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b/>
          <w:bCs/>
          <w:color w:val="1F4E79"/>
          <w:sz w:val="56"/>
          <w:szCs w:val="56"/>
        </w:rPr>
        <w:t xml:space="preserve">LoRaWAN-as-a-Service for Rwanda</w:t>
      </w:r>
    </w:p>
    <w:p>
      <w:pPr>
        <w:spacing w:after="600"/>
        <w:jc w:val="center"/>
      </w:pPr>
      <w:r>
        <w:rPr>
          <w:i/>
          <w:iCs/>
          <w:color w:val="2E75B6"/>
          <w:sz w:val="28"/>
          <w:szCs w:val="28"/>
        </w:rPr>
        <w:t xml:space="preserve">Business Concept and Grant-Ready Strategy Document</w:t>
      </w:r>
    </w:p>
    <w:p>
      <w:pPr>
        <w:spacing w:after="2400"/>
      </w:pPr>
      <w:r>
        <w:t xml:space="preserve"/>
      </w:r>
    </w:p>
    <w:p>
      <w:pPr>
        <w:spacing w:after="100"/>
        <w:jc w:val="center"/>
      </w:pPr>
      <w:r>
        <w:rPr>
          <w:sz w:val="22"/>
          <w:szCs w:val="22"/>
        </w:rPr>
        <w:t xml:space="preserve">Building Rwanda's first private LoRaWAN connectivity-and-solutions network</w:t>
      </w:r>
    </w:p>
    <w:p>
      <w:pPr>
        <w:spacing w:after="100"/>
        <w:jc w:val="center"/>
      </w:pPr>
      <w:r>
        <w:rPr>
          <w:sz w:val="22"/>
          <w:szCs w:val="22"/>
        </w:rPr>
        <w:t xml:space="preserve">for water utilities, agriculture, logistics, and smart-city applications.</w:t>
      </w:r>
    </w:p>
    <w:p>
      <w:pPr>
        <w:spacing w:after="3000"/>
      </w:pPr>
      <w:r>
        <w:t xml:space="preserve"/>
      </w:r>
    </w:p>
    <w:p>
      <w:pPr>
        <w:jc w:val="center"/>
      </w:pPr>
      <w:r>
        <w:rPr>
          <w:color w:val="595959"/>
          <w:sz w:val="20"/>
          <w:szCs w:val="20"/>
        </w:rPr>
        <w:t xml:space="preserve">Version 1.0     |     June 2026     |     Kigali, Rwanda</w:t>
      </w:r>
    </w:p>
    <w:p>
      <w:pPr>
        <w:spacing w:after="200"/>
        <w:jc w:val="center"/>
      </w:pPr>
      <w:r>
        <w:rPr>
          <w:i/>
          <w:iCs/>
          <w:color w:val="808080"/>
          <w:sz w:val="18"/>
          <w:szCs w:val="18"/>
        </w:rPr>
        <w:t xml:space="preserve">Confidential — to be customised per recipient</w:t>
      </w:r>
    </w:p>
    <w:p>
      <w:r>
        <w:br w:type="page"/>
      </w:r>
    </w:p>
    <w:p>
      <w:pPr>
        <w:pStyle w:val="Heading1"/>
        <w:spacing w:after="200" w:before="360"/>
      </w:pPr>
      <w:r>
        <w:t xml:space="preserve">Executive Summary</w:t>
      </w:r>
    </w:p>
    <w:p>
      <w:pPr>
        <w:spacing w:after="120" w:before="0"/>
      </w:pPr>
      <w:r>
        <w:t xml:space="preserve">We are building the first private LoRaWAN connectivity-and-solutions network for Rwanda. The network provides long-range, low-power, low-cost wireless communication for IoT devices — purpose-built for the use cases that matter to Rwandan utilities, agriculture, logistics, and smart-city projects.</w:t>
      </w:r>
    </w:p>
    <w:p>
      <w:pPr>
        <w:spacing w:after="120" w:before="0"/>
      </w:pPr>
      <w:r>
        <w:t xml:space="preserve">Our offering bundles three things into a single recurring-revenue model:</w:t>
      </w:r>
    </w:p>
    <w:p>
      <w:pPr>
        <w:pStyle w:val="ListParagraph"/>
        <w:numPr>
          <w:ilvl w:val="0"/>
          <w:numId w:val="2"/>
        </w:numPr>
        <w:spacing w:after="80"/>
      </w:pPr>
      <w:r>
        <w:rPr>
          <w:b/>
          <w:bCs/>
        </w:rPr>
        <w:t xml:space="preserve">Network coverage — </w:t>
      </w:r>
      <w:r>
        <w:t xml:space="preserve">gateways we deploy across Kigali (Phase 1) and progressively into secondary cities (Phase 2-3) that any compatible LoRaWAN sensor can talk to.</w:t>
      </w:r>
    </w:p>
    <w:p>
      <w:pPr>
        <w:pStyle w:val="ListParagraph"/>
        <w:numPr>
          <w:ilvl w:val="0"/>
          <w:numId w:val="2"/>
        </w:numPr>
        <w:spacing w:after="80"/>
      </w:pPr>
      <w:r>
        <w:rPr>
          <w:b/>
          <w:bCs/>
        </w:rPr>
        <w:t xml:space="preserve">Solution stack — </w:t>
      </w:r>
      <w:r>
        <w:t xml:space="preserve">dashboards, payload decoders, integrations and APIs that turn raw sensor data into business decisions.</w:t>
      </w:r>
    </w:p>
    <w:p>
      <w:pPr>
        <w:pStyle w:val="ListParagraph"/>
        <w:numPr>
          <w:ilvl w:val="0"/>
          <w:numId w:val="2"/>
        </w:numPr>
        <w:spacing w:after="80"/>
      </w:pPr>
      <w:r>
        <w:rPr>
          <w:b/>
          <w:bCs/>
        </w:rPr>
        <w:t xml:space="preserve">Lifecycle services — </w:t>
      </w:r>
      <w:r>
        <w:t xml:space="preserve">installation, maintenance, training and SLA-backed support tailored to the Rwandan context.</w:t>
      </w:r>
    </w:p>
    <w:p>
      <w:pPr>
        <w:spacing w:after="200" w:before="0"/>
      </w:pPr>
      <w:r>
        <w:t xml:space="preserve">The infrastructure is already operational at proof-of-concept stage: a working ChirpStack v4 network server, one gateway online, and the full software stack tested end-to-end. We need 6-12 months of seed funding to convert the proof of concept into Rwanda's first commercial LoRaWAN operator.</w:t>
      </w:r>
    </w:p>
    <w:p>
      <w:pPr>
        <w:pBdr>
          <w:top w:val="single" w:color="2E75B6" w:sz="12"/>
          <w:bottom w:val="single" w:color="2E75B6" w:sz="12"/>
          <w:left w:val="single" w:color="2E75B6" w:sz="12"/>
          <w:right w:val="single" w:color="2E75B6" w:sz="12"/>
        </w:pBdr>
        <w:shd w:fill="D5E8F0" w:val="clear"/>
        <w:spacing w:after="200" w:before="200"/>
      </w:pPr>
      <w:r>
        <w:rPr>
          <w:b/>
          <w:bCs/>
          <w:color w:val="1F4E79"/>
        </w:rPr>
        <w:t xml:space="preserve">Why this matters now: </w:t>
      </w:r>
      <w:r>
        <w:t xml:space="preserve">Rwanda's water utility (WASAC) loses ~38% of produced water — roughly Rwf 9.9 billion (USD 7.5M) annually — to leaks, faulty meters, and unbilled consumption. Rwanda's Strategic Plan for Agricultural Transformation (PSTA5) targets 83,250 hectares for climate-smart upgrades benefiting 170,200 farmers and 375 agribusinesses. Both sectors urgently need affordable, scalable IoT — and neither has an in-country wholesale LoRaWAN provider serving them today.</w:t>
      </w:r>
    </w:p>
    <w:p>
      <w:r>
        <w:br w:type="page"/>
      </w:r>
    </w:p>
    <w:p>
      <w:pPr>
        <w:pStyle w:val="Heading1"/>
        <w:spacing w:after="200" w:before="360"/>
      </w:pPr>
      <w:r>
        <w:t xml:space="preserve">1. The Problem</w:t>
      </w:r>
    </w:p>
    <w:p>
      <w:pPr>
        <w:pStyle w:val="Heading2"/>
        <w:spacing w:after="140" w:before="280"/>
      </w:pPr>
      <w:r>
        <w:t xml:space="preserve">1.1 What Rwanda actually loses to weak IoT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Sector</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Annual loss / cost</w:t>
            </w:r>
          </w:p>
        </w:tc>
        <w:tc>
          <w:tcPr>
            <w:tcW w:type="dxa" w:w="2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Source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Water (NRW losses, WASAC)</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~Rwf 9.9 B (~USD 7.5M)</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RURA / WASAC public reports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Post-harvest agricultural losses</w:t>
            </w:r>
          </w:p>
        </w:tc>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15–40% of production</w:t>
            </w:r>
          </w:p>
        </w:tc>
        <w:tc>
          <w:tcPr>
            <w:tcW w:type="dxa" w:w="2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MINAGRI PSTA5</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Cold-chain failures (vaccines, dairy, exports)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Significant; uncounted</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Industry estimates</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Manual electricity meter reading</w:t>
            </w:r>
          </w:p>
        </w:tc>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Monthly, labour-intensive</w:t>
            </w:r>
          </w:p>
        </w:tc>
        <w:tc>
          <w:tcPr>
            <w:tcW w:type="dxa" w:w="2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REG operational reports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Asset and vehicle inefficiency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Significant; uncounted</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Logistics industry</w:t>
            </w:r>
          </w:p>
        </w:tc>
      </w:tr>
    </w:tbl>
    <w:p>
      <w:pPr>
        <w:pStyle w:val="Heading2"/>
        <w:spacing w:after="140" w:before="280"/>
      </w:pPr>
      <w:r>
        <w:t xml:space="preserve">1.2 Why current connectivity options don't fit IoT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Technology</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Why it doesn't work for high-volume Rwandan IoT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Cellular (3G / 4G via MTN, Airtel)</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0.50–2 / device / month plus SIM and data costs. Power-hungry — weeks of battery, not years. Coverage gaps rurally.</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WiFi / Ethernet</w:t>
            </w:r>
          </w:p>
        </w:tc>
        <w:tc>
          <w:tcPr>
            <w:tcW w:type="dxa" w:w="6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Requires existing site network. Unworkable for distributed assets across cities or farms.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Satellite (Starlink)</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Cost-prohibitive per endpoint. Not designed for cheap sensors.</w:t>
            </w:r>
          </w:p>
        </w:tc>
      </w:tr>
      <w:tr>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LoRaWAN (our offering)</w:t>
            </w:r>
          </w:p>
        </w:tc>
        <w:tc>
          <w:tcPr>
            <w:tcW w:type="dxa" w:w="6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0.50 / device / month total connectivity. 5-10 year battery life. 2-15 km gateway range. No public LoRaWAN operator exists in Rwanda today.</w:t>
            </w:r>
          </w:p>
        </w:tc>
      </w:tr>
    </w:tbl>
    <w:p>
      <w:pPr>
        <w:pStyle w:val="Heading2"/>
        <w:spacing w:after="140" w:before="280"/>
      </w:pPr>
      <w:r>
        <w:t xml:space="preserve">1.3 The strategic timing window</w:t>
      </w:r>
    </w:p>
    <w:p>
      <w:pPr>
        <w:pStyle w:val="ListParagraph"/>
        <w:numPr>
          <w:ilvl w:val="0"/>
          <w:numId w:val="2"/>
        </w:numPr>
        <w:spacing w:after="80"/>
      </w:pPr>
      <w:r>
        <w:t xml:space="preserve">MWC Kigali has positioned Rwanda as Africa's connectivity proving ground</w:t>
      </w:r>
    </w:p>
    <w:p>
      <w:pPr>
        <w:pStyle w:val="ListParagraph"/>
        <w:numPr>
          <w:ilvl w:val="0"/>
          <w:numId w:val="2"/>
        </w:numPr>
        <w:spacing w:after="80"/>
      </w:pPr>
      <w:r>
        <w:t xml:space="preserve">MINAGRI's Climate-Smart Agriculture Investment Plan (launched June 2025 with IFC) explicitly targets digital agriculture</w:t>
      </w:r>
    </w:p>
    <w:p>
      <w:pPr>
        <w:pStyle w:val="ListParagraph"/>
        <w:numPr>
          <w:ilvl w:val="0"/>
          <w:numId w:val="2"/>
        </w:numPr>
        <w:spacing w:after="80"/>
      </w:pPr>
      <w:r>
        <w:t xml:space="preserve">WASAC Group is publicly soliciting private-sector partnerships for smart metering at scale</w:t>
      </w:r>
    </w:p>
    <w:p>
      <w:pPr>
        <w:pStyle w:val="ListParagraph"/>
        <w:numPr>
          <w:ilvl w:val="0"/>
          <w:numId w:val="2"/>
        </w:numPr>
        <w:spacing w:after="80"/>
      </w:pPr>
      <w:r>
        <w:t xml:space="preserve">City of Kigali Master Plan 2050 includes IoT-based water, lighting, and waste management</w:t>
      </w:r>
    </w:p>
    <w:p>
      <w:pPr>
        <w:pStyle w:val="ListParagraph"/>
        <w:numPr>
          <w:ilvl w:val="0"/>
          <w:numId w:val="2"/>
        </w:numPr>
        <w:spacing w:after="80"/>
      </w:pPr>
      <w:r>
        <w:t xml:space="preserve">Anthropic-Rwanda MoU signed in 2025 signals government openness to digital infrastructure investment</w:t>
      </w:r>
    </w:p>
    <w:p>
      <w:pPr>
        <w:spacing w:after="120" w:before="0"/>
      </w:pPr>
      <w:r>
        <w:t xml:space="preserve">There is an 18-to-36-month window to establish Rwanda's first LoRaWAN operator before a foreign player does. Once a competitor lays gateways across Kigali, the moat is theirs.</w:t>
      </w:r>
    </w:p>
    <w:p>
      <w:r>
        <w:br w:type="page"/>
      </w:r>
    </w:p>
    <w:p>
      <w:pPr>
        <w:pStyle w:val="Heading1"/>
        <w:spacing w:after="200" w:before="360"/>
      </w:pPr>
      <w:r>
        <w:t xml:space="preserve">2. The Solution</w:t>
      </w:r>
    </w:p>
    <w:p>
      <w:pPr>
        <w:pStyle w:val="Heading2"/>
        <w:spacing w:after="140" w:before="280"/>
      </w:pPr>
      <w:r>
        <w:t xml:space="preserve">2.1 What we operate</w:t>
      </w:r>
    </w:p>
    <w:p>
      <w:pPr>
        <w:spacing w:after="120" w:before="0"/>
      </w:pPr>
      <w:r>
        <w:t xml:space="preserve">A multi-tenant private LoRaWAN network running on ChirpStack v4 — an open-source platform (Apache 2.0 licence) that means no licensing fees, no foreign vendor dependency, and full commercial freedom:</w:t>
      </w:r>
    </w:p>
    <w:p>
      <w:pPr>
        <w:pStyle w:val="ListParagraph"/>
        <w:numPr>
          <w:ilvl w:val="0"/>
          <w:numId w:val="2"/>
        </w:numPr>
        <w:spacing w:after="80"/>
      </w:pPr>
      <w:r>
        <w:rPr>
          <w:b/>
          <w:bCs/>
        </w:rPr>
        <w:t xml:space="preserve">Gateways: </w:t>
      </w:r>
      <w:r>
        <w:t xml:space="preserve">a mix of indoor and outdoor LoRaWAN units across Kigali, expanding progressively.</w:t>
      </w:r>
    </w:p>
    <w:p>
      <w:pPr>
        <w:pStyle w:val="ListParagraph"/>
        <w:numPr>
          <w:ilvl w:val="0"/>
          <w:numId w:val="2"/>
        </w:numPr>
        <w:spacing w:after="80"/>
      </w:pPr>
      <w:r>
        <w:rPr>
          <w:b/>
          <w:bCs/>
        </w:rPr>
        <w:t xml:space="preserve">Network server: </w:t>
      </w:r>
      <w:r>
        <w:t xml:space="preserve">hosted initially on cost-effective cloud, with the option to migrate to sovereign in-country hosting for customers who require data residency.</w:t>
      </w:r>
    </w:p>
    <w:p>
      <w:pPr>
        <w:pStyle w:val="ListParagraph"/>
        <w:numPr>
          <w:ilvl w:val="0"/>
          <w:numId w:val="2"/>
        </w:numPr>
        <w:spacing w:after="80"/>
      </w:pPr>
      <w:r>
        <w:rPr>
          <w:b/>
          <w:bCs/>
        </w:rPr>
        <w:t xml:space="preserve">Integration APIs: </w:t>
      </w:r>
      <w:r>
        <w:t xml:space="preserve">MQTT and REST endpoints. Customers receive their data as clean JSON with the protocol details abstracted away.</w:t>
      </w:r>
    </w:p>
    <w:p>
      <w:pPr>
        <w:pStyle w:val="ListParagraph"/>
        <w:numPr>
          <w:ilvl w:val="0"/>
          <w:numId w:val="2"/>
        </w:numPr>
        <w:spacing w:after="80"/>
      </w:pPr>
      <w:r>
        <w:rPr>
          <w:b/>
          <w:bCs/>
        </w:rPr>
        <w:t xml:space="preserve">Customer dashboards: </w:t>
      </w:r>
      <w:r>
        <w:t xml:space="preserve">purpose-built per vertical (water, agriculture, logistics) on Grafana, ThingsBoard, or custom.</w:t>
      </w:r>
    </w:p>
    <w:p>
      <w:pPr>
        <w:pStyle w:val="Heading2"/>
        <w:spacing w:after="140" w:before="280"/>
      </w:pPr>
      <w:r>
        <w:t xml:space="preserve">2.2 What customers actually buy from us</w:t>
      </w:r>
    </w:p>
    <w:p>
      <w:pPr>
        <w:spacing w:after="120" w:before="0"/>
      </w:pPr>
      <w:r>
        <w:t xml:space="preserve">Three product tiers, each mapped to how customers currently buy IT services:</w:t>
      </w:r>
    </w:p>
    <w:p>
      <w:pPr>
        <w:pStyle w:val="Heading3"/>
        <w:spacing w:after="100" w:before="200"/>
      </w:pPr>
      <w:r>
        <w:t xml:space="preserve">Tier 1 — Connectivity-as-a-Service (NaaS)</w:t>
      </w:r>
    </w:p>
    <w:p>
      <w:pPr>
        <w:pStyle w:val="ListParagraph"/>
        <w:numPr>
          <w:ilvl w:val="0"/>
          <w:numId w:val="2"/>
        </w:numPr>
        <w:spacing w:after="80"/>
      </w:pPr>
      <w:r>
        <w:rPr>
          <w:b/>
          <w:bCs/>
        </w:rPr>
        <w:t xml:space="preserve">What customer brings: </w:t>
      </w:r>
      <w:r>
        <w:t xml:space="preserve">their own LoRaWAN sensors and their own dashboards.</w:t>
      </w:r>
    </w:p>
    <w:p>
      <w:pPr>
        <w:pStyle w:val="ListParagraph"/>
        <w:numPr>
          <w:ilvl w:val="0"/>
          <w:numId w:val="2"/>
        </w:numPr>
        <w:spacing w:after="80"/>
      </w:pPr>
      <w:r>
        <w:rPr>
          <w:b/>
          <w:bCs/>
        </w:rPr>
        <w:t xml:space="preserve">What we provide: </w:t>
      </w:r>
      <w:r>
        <w:t xml:space="preserve">network coverage and a tenant in our ChirpStack network server.</w:t>
      </w:r>
    </w:p>
    <w:p>
      <w:pPr>
        <w:pStyle w:val="ListParagraph"/>
        <w:numPr>
          <w:ilvl w:val="0"/>
          <w:numId w:val="2"/>
        </w:numPr>
        <w:spacing w:after="80"/>
      </w:pPr>
      <w:r>
        <w:rPr>
          <w:b/>
          <w:bCs/>
        </w:rPr>
        <w:t xml:space="preserve">Pricing: </w:t>
      </w:r>
      <w:r>
        <w:t xml:space="preserve">USD 0.50–3.00 per device per month, volume-tiered.</w:t>
      </w:r>
    </w:p>
    <w:p>
      <w:pPr>
        <w:pStyle w:val="ListParagraph"/>
        <w:numPr>
          <w:ilvl w:val="0"/>
          <w:numId w:val="2"/>
        </w:numPr>
        <w:spacing w:after="80"/>
      </w:pPr>
      <w:r>
        <w:rPr>
          <w:b/>
          <w:bCs/>
        </w:rPr>
        <w:t xml:space="preserve">Margin: </w:t>
      </w:r>
      <w:r>
        <w:t xml:space="preserve">~85% gross after gateway amortisation.</w:t>
      </w:r>
    </w:p>
    <w:p>
      <w:pPr>
        <w:pStyle w:val="ListParagraph"/>
        <w:numPr>
          <w:ilvl w:val="0"/>
          <w:numId w:val="2"/>
        </w:numPr>
        <w:spacing w:after="80"/>
      </w:pPr>
      <w:r>
        <w:rPr>
          <w:b/>
          <w:bCs/>
        </w:rPr>
        <w:t xml:space="preserve">Target customer: </w:t>
      </w:r>
      <w:r>
        <w:t xml:space="preserve">technical integrators, OEMs, donor-funded projects that already have hardware.</w:t>
      </w:r>
    </w:p>
    <w:p>
      <w:pPr>
        <w:pStyle w:val="Heading3"/>
        <w:spacing w:after="100" w:before="200"/>
      </w:pPr>
      <w:r>
        <w:t xml:space="preserve">Tier 2 — Vertical Solution Bundle (Outcome-as-a-Service)</w:t>
      </w:r>
    </w:p>
    <w:p>
      <w:pPr>
        <w:pStyle w:val="ListParagraph"/>
        <w:numPr>
          <w:ilvl w:val="0"/>
          <w:numId w:val="2"/>
        </w:numPr>
        <w:spacing w:after="80"/>
      </w:pPr>
      <w:r>
        <w:rPr>
          <w:b/>
          <w:bCs/>
        </w:rPr>
        <w:t xml:space="preserve">What we deliver: </w:t>
      </w:r>
      <w:r>
        <w:t xml:space="preserve">sensors + connectivity + dashboard + support as one subscription.</w:t>
      </w:r>
    </w:p>
    <w:p>
      <w:pPr>
        <w:pStyle w:val="ListParagraph"/>
        <w:numPr>
          <w:ilvl w:val="0"/>
          <w:numId w:val="2"/>
        </w:numPr>
        <w:spacing w:after="80"/>
      </w:pPr>
      <w:r>
        <w:rPr>
          <w:b/>
          <w:bCs/>
        </w:rPr>
        <w:t xml:space="preserve">Examples: </w:t>
      </w:r>
      <w:r>
        <w:t xml:space="preserve">water tank monitoring, soil moisture for greenhouses, asset tracking, cold-chain monitoring.</w:t>
      </w:r>
    </w:p>
    <w:p>
      <w:pPr>
        <w:pStyle w:val="ListParagraph"/>
        <w:numPr>
          <w:ilvl w:val="0"/>
          <w:numId w:val="2"/>
        </w:numPr>
        <w:spacing w:after="80"/>
      </w:pPr>
      <w:r>
        <w:rPr>
          <w:b/>
          <w:bCs/>
        </w:rPr>
        <w:t xml:space="preserve">Pricing: </w:t>
      </w:r>
      <w:r>
        <w:t xml:space="preserve">USD 5–25 per asset per month depending on hardware cost amortisation.</w:t>
      </w:r>
    </w:p>
    <w:p>
      <w:pPr>
        <w:pStyle w:val="ListParagraph"/>
        <w:numPr>
          <w:ilvl w:val="0"/>
          <w:numId w:val="2"/>
        </w:numPr>
        <w:spacing w:after="80"/>
      </w:pPr>
      <w:r>
        <w:rPr>
          <w:b/>
          <w:bCs/>
        </w:rPr>
        <w:t xml:space="preserve">Margin: </w:t>
      </w:r>
      <w:r>
        <w:t xml:space="preserve">40–60% — lower than NaaS but addressing an order-of-magnitude larger market.</w:t>
      </w:r>
    </w:p>
    <w:p>
      <w:pPr>
        <w:pStyle w:val="ListParagraph"/>
        <w:numPr>
          <w:ilvl w:val="0"/>
          <w:numId w:val="2"/>
        </w:numPr>
        <w:spacing w:after="80"/>
      </w:pPr>
      <w:r>
        <w:rPr>
          <w:b/>
          <w:bCs/>
        </w:rPr>
        <w:t xml:space="preserve">Target customer: </w:t>
      </w:r>
      <w:r>
        <w:t xml:space="preserve">utilities, cooperatives, hospitals, NGOs.</w:t>
      </w:r>
    </w:p>
    <w:p>
      <w:pPr>
        <w:pStyle w:val="Heading3"/>
        <w:spacing w:after="100" w:before="200"/>
      </w:pPr>
      <w:r>
        <w:t xml:space="preserve">Tier 3 — Coverage-as-a-Service (Wholesale roaming)</w:t>
      </w:r>
    </w:p>
    <w:p>
      <w:pPr>
        <w:pStyle w:val="ListParagraph"/>
        <w:numPr>
          <w:ilvl w:val="0"/>
          <w:numId w:val="2"/>
        </w:numPr>
        <w:spacing w:after="80"/>
      </w:pPr>
      <w:r>
        <w:rPr>
          <w:b/>
          <w:bCs/>
        </w:rPr>
        <w:t xml:space="preserve">Concept: </w:t>
      </w:r>
      <w:r>
        <w:t xml:space="preserve">other IoT operators or international networks buy access to our coverage for their devices roaming in Rwanda.</w:t>
      </w:r>
    </w:p>
    <w:p>
      <w:pPr>
        <w:pStyle w:val="ListParagraph"/>
        <w:numPr>
          <w:ilvl w:val="0"/>
          <w:numId w:val="2"/>
        </w:numPr>
        <w:spacing w:after="80"/>
      </w:pPr>
      <w:r>
        <w:rPr>
          <w:b/>
          <w:bCs/>
        </w:rPr>
        <w:t xml:space="preserve">Pricing: </w:t>
      </w:r>
      <w:r>
        <w:t xml:space="preserve">per-message wholesale.</w:t>
      </w:r>
    </w:p>
    <w:p>
      <w:pPr>
        <w:pStyle w:val="ListParagraph"/>
        <w:numPr>
          <w:ilvl w:val="0"/>
          <w:numId w:val="2"/>
        </w:numPr>
        <w:spacing w:after="80"/>
      </w:pPr>
      <w:r>
        <w:rPr>
          <w:b/>
          <w:bCs/>
        </w:rPr>
        <w:t xml:space="preserve">Target: </w:t>
      </w:r>
      <w:r>
        <w:t xml:space="preserve">deferred to Year 3+, once we have 50+ gateways and credible national coverage.</w:t>
      </w:r>
    </w:p>
    <w:p>
      <w:pPr>
        <w:pStyle w:val="Heading2"/>
        <w:spacing w:after="140" w:before="280"/>
      </w:pPr>
      <w:r>
        <w:t xml:space="preserve">2.3 Technical proof of concept already built</w:t>
      </w:r>
    </w:p>
    <w:p>
      <w:pPr>
        <w:spacing w:after="120" w:before="0"/>
      </w:pPr>
      <w:r>
        <w:t xml:space="preserve">As of June 2026, the following is operational and documented:</w:t>
      </w:r>
    </w:p>
    <w:p>
      <w:pPr>
        <w:pStyle w:val="ListParagraph"/>
        <w:numPr>
          <w:ilvl w:val="0"/>
          <w:numId w:val="2"/>
        </w:numPr>
        <w:spacing w:after="80"/>
      </w:pPr>
      <w:r>
        <w:rPr>
          <w:b/>
          <w:bCs/>
        </w:rPr>
        <w:t xml:space="preserve">✓ </w:t>
      </w:r>
      <w:r>
        <w:t xml:space="preserve">ChirpStack v4 fully deployed and verified end-to-end</w:t>
      </w:r>
    </w:p>
    <w:p>
      <w:pPr>
        <w:pStyle w:val="ListParagraph"/>
        <w:numPr>
          <w:ilvl w:val="0"/>
          <w:numId w:val="2"/>
        </w:numPr>
        <w:spacing w:after="80"/>
      </w:pPr>
      <w:r>
        <w:rPr>
          <w:b/>
          <w:bCs/>
        </w:rPr>
        <w:t xml:space="preserve">✓ </w:t>
      </w:r>
      <w:r>
        <w:t xml:space="preserve">One gateway commissioned and forwarding LoRaWAN packets</w:t>
      </w:r>
    </w:p>
    <w:p>
      <w:pPr>
        <w:pStyle w:val="ListParagraph"/>
        <w:numPr>
          <w:ilvl w:val="0"/>
          <w:numId w:val="2"/>
        </w:numPr>
        <w:spacing w:after="80"/>
      </w:pPr>
      <w:r>
        <w:rPr>
          <w:b/>
          <w:bCs/>
        </w:rPr>
        <w:t xml:space="preserve">✓ </w:t>
      </w:r>
      <w:r>
        <w:t xml:space="preserve">MQTT and REST integrations validated</w:t>
      </w:r>
    </w:p>
    <w:p>
      <w:pPr>
        <w:pStyle w:val="ListParagraph"/>
        <w:numPr>
          <w:ilvl w:val="0"/>
          <w:numId w:val="2"/>
        </w:numPr>
        <w:spacing w:after="80"/>
      </w:pPr>
      <w:r>
        <w:rPr>
          <w:b/>
          <w:bCs/>
        </w:rPr>
        <w:t xml:space="preserve">✓ </w:t>
      </w:r>
      <w:r>
        <w:t xml:space="preserve">Full deployment record, runbooks, and operational documentation — a level of engineering discipline rarely seen in pre-pilot ventures</w:t>
      </w:r>
    </w:p>
    <w:p>
      <w:pPr>
        <w:pStyle w:val="ListParagraph"/>
        <w:numPr>
          <w:ilvl w:val="0"/>
          <w:numId w:val="2"/>
        </w:numPr>
        <w:spacing w:after="80"/>
      </w:pPr>
      <w:r>
        <w:rPr>
          <w:b/>
          <w:bCs/>
        </w:rPr>
        <w:t xml:space="preserve">→ </w:t>
      </w:r>
      <w:r>
        <w:t xml:space="preserve">Next: production-grade EU868 hardware procurement and RURA Type Approval (in progress)</w:t>
      </w:r>
    </w:p>
    <w:p>
      <w:r>
        <w:br w:type="page"/>
      </w:r>
    </w:p>
    <w:p>
      <w:pPr>
        <w:pStyle w:val="Heading1"/>
        <w:spacing w:after="200" w:before="360"/>
      </w:pPr>
      <w:r>
        <w:t xml:space="preserve">3. Market Opportunity</w:t>
      </w:r>
    </w:p>
    <w:p>
      <w:pPr>
        <w:pStyle w:val="Heading2"/>
        <w:spacing w:after="140" w:before="280"/>
      </w:pPr>
      <w:r>
        <w:t xml:space="preserve">3.1 Bottom-up addressable revenue in Rwanda by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680"/>
        <w:gridCol w:w="2280"/>
      </w:tblGrid>
      <w:tr>
        <w:trPr>
          <w:tblHeader/>
        </w:trPr>
        <w:tc>
          <w:tcPr>
            <w:tcW w:type="dxa" w:w="3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Vertical</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Endpoints (est.)</w:t>
            </w:r>
          </w:p>
        </w:tc>
        <w:tc>
          <w:tcPr>
            <w:tcW w:type="dxa" w:w="16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ARPU/mo USD</w:t>
            </w:r>
          </w:p>
        </w:tc>
        <w:tc>
          <w:tcPr>
            <w:tcW w:type="dxa" w:w="22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Annual revenue USD</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Water meters (WASAC + private wells)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250,000</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1.50</w:t>
            </w:r>
          </w:p>
        </w:tc>
        <w:tc>
          <w:tcPr>
            <w:tcW w:type="dxa" w:w="2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4,500,000</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Smart agriculture (farms + cooperatives)</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100,000</w:t>
            </w:r>
          </w:p>
        </w:tc>
        <w:tc>
          <w:tcPr>
            <w:tcW w:type="dxa" w:w="1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2.50</w:t>
            </w:r>
          </w:p>
        </w:tc>
        <w:tc>
          <w:tcPr>
            <w:tcW w:type="dxa" w:w="22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3,000,000</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Cold-chain / pharma</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20,000</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8.00</w:t>
            </w:r>
          </w:p>
        </w:tc>
        <w:tc>
          <w:tcPr>
            <w:tcW w:type="dxa" w:w="2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1,920,000</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Asset / vehicle tracking</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50,000</w:t>
            </w:r>
          </w:p>
        </w:tc>
        <w:tc>
          <w:tcPr>
            <w:tcW w:type="dxa" w:w="1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4.00</w:t>
            </w:r>
          </w:p>
        </w:tc>
        <w:tc>
          <w:tcPr>
            <w:tcW w:type="dxa" w:w="22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2,400,000</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Smart city (lighting, waste, parking)</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30,000</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3.00</w:t>
            </w:r>
          </w:p>
        </w:tc>
        <w:tc>
          <w:tcPr>
            <w:tcW w:type="dxa" w:w="2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1,080,000</w:t>
            </w:r>
          </w:p>
        </w:tc>
      </w:tr>
      <w:tr>
        <w:tc>
          <w:tcPr>
            <w:tcW w:type="dxa" w:w="3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Industrial / mining</w:t>
            </w:r>
          </w:p>
        </w:tc>
        <w:tc>
          <w:tcPr>
            <w:tcW w:type="dxa" w:w="1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15,000</w:t>
            </w:r>
          </w:p>
        </w:tc>
        <w:tc>
          <w:tcPr>
            <w:tcW w:type="dxa" w:w="16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5.00</w:t>
            </w:r>
          </w:p>
        </w:tc>
        <w:tc>
          <w:tcPr>
            <w:tcW w:type="dxa" w:w="228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900,000</w:t>
            </w:r>
          </w:p>
        </w:tc>
      </w:tr>
      <w:tr>
        <w:tc>
          <w:tcPr>
            <w:tcW w:type="dxa" w:w="3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Total addressable — Rwanda alone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465,000</w:t>
            </w:r>
          </w:p>
        </w:tc>
        <w:tc>
          <w:tcPr>
            <w:tcW w:type="dxa" w:w="1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t>
            </w:r>
          </w:p>
        </w:tc>
        <w:tc>
          <w:tcPr>
            <w:tcW w:type="dxa" w:w="2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~13.8M</w:t>
            </w:r>
          </w:p>
        </w:tc>
      </w:tr>
    </w:tbl>
    <w:p>
      <w:pPr>
        <w:pStyle w:val="Heading2"/>
        <w:spacing w:after="140" w:before="280"/>
      </w:pPr>
      <w:r>
        <w:t xml:space="preserve">3.2 Regional expansion</w:t>
      </w:r>
    </w:p>
    <w:p>
      <w:pPr>
        <w:spacing w:after="120" w:before="0"/>
      </w:pPr>
      <w:r>
        <w:t xml:space="preserve">The same software and operating model replicates across the East African Community: Burundi, Tanzania, Uganda, and Kenya. Adding regional markets pushes 2030 addressable revenue to approximately USD 50M without changing the platform. Burundi's REGIDESO utility already follows a very similar smart-metering trajectory to Rwanda's WASAC — a natural first cross-border expansion.</w:t>
      </w:r>
    </w:p>
    <w:p>
      <w:r>
        <w:br w:type="page"/>
      </w:r>
    </w:p>
    <w:p>
      <w:pPr>
        <w:pStyle w:val="Heading1"/>
        <w:spacing w:after="200" w:before="360"/>
      </w:pPr>
      <w:r>
        <w:t xml:space="preserve">4. Target Customers — Who to Approach</w:t>
      </w:r>
    </w:p>
    <w:p>
      <w:pPr>
        <w:spacing w:after="120" w:before="0"/>
      </w:pPr>
      <w:r>
        <w:rPr>
          <w:i/>
          <w:iCs/>
        </w:rPr>
        <w:t xml:space="preserve">The operational outreach list. Companies are tagged by why they fit, realistic deal size, and best entry door.</w:t>
      </w:r>
    </w:p>
    <w:p>
      <w:pPr>
        <w:pStyle w:val="Heading2"/>
        <w:spacing w:after="140" w:before="280"/>
      </w:pPr>
      <w:r>
        <w:t xml:space="preserve">4.1 Tier A — Government and utilities (high deal size, slow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760"/>
        <w:gridCol w:w="1500"/>
        <w:gridCol w:w="1400"/>
      </w:tblGrid>
      <w:tr>
        <w:trPr>
          <w:tblHeader/>
        </w:trPr>
        <w:tc>
          <w:tcPr>
            <w:tcW w:type="dxa" w:w="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Organisation</w:t>
            </w:r>
          </w:p>
        </w:tc>
        <w:tc>
          <w:tcPr>
            <w:tcW w:type="dxa" w:w="3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Why they need us</w:t>
            </w:r>
          </w:p>
        </w:tc>
        <w:tc>
          <w:tcPr>
            <w:tcW w:type="dxa" w:w="1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Year-1 deal size</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Sales cycle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WASAC Group</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Publicly soliciting private smart-meter partnerships. 160,000+ Itron meters lack a unified IoT layer. NRW reduction is their KPI.</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50-200k pilot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6-18 mo</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REG / EUCL (Rwanda Energy Group)</w:t>
            </w:r>
          </w:p>
        </w:tc>
        <w:tc>
          <w:tcPr>
            <w:tcW w:type="dxa" w:w="3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Manual electricity meter reading; smart-grid roadmap in MINICT plans.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30-100k pilot</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12-24 mo</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City of Kigali</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Smart-city ambitions: lighting, waste, parking, traffic.</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30-80k pilot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9-18 mo</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4</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MINAGRI</w:t>
            </w:r>
          </w:p>
        </w:tc>
        <w:tc>
          <w:tcPr>
            <w:tcW w:type="dxa" w:w="3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Owns Climate-Smart Agriculture Investment Plan. Direct buyer of demos.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50-150k pilot</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6-12 mo</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RDB (Rwanda Development Board)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Not a buyer — gatekeeper. Provides incentives and one-stop facilitation.</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Enabler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n/a</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6</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RURA (Regulator)</w:t>
            </w:r>
          </w:p>
        </w:tc>
        <w:tc>
          <w:tcPr>
            <w:tcW w:type="dxa" w:w="3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Issues type approval; sets spectrum policy. Must be onboard.</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Regulator</w:t>
            </w:r>
          </w:p>
        </w:tc>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2-3 mo for approval</w:t>
            </w:r>
          </w:p>
        </w:tc>
      </w:tr>
    </w:tbl>
    <w:p>
      <w:pPr>
        <w:pStyle w:val="Heading2"/>
        <w:spacing w:after="140" w:before="280"/>
      </w:pPr>
      <w:r>
        <w:t xml:space="preserve">4.2 Tier B — Commercial agriculture and agribusiness (mid deal size, faster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4000"/>
        <w:gridCol w:w="1960"/>
      </w:tblGrid>
      <w:tr>
        <w:trPr>
          <w:tblHeader/>
        </w:trPr>
        <w:tc>
          <w:tcPr>
            <w:tcW w:type="dxa" w:w="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t>
            </w:r>
          </w:p>
        </w:tc>
        <w:tc>
          <w:tcPr>
            <w:tcW w:type="dxa" w:w="2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Organisation</w:t>
            </w:r>
          </w:p>
        </w:tc>
        <w:tc>
          <w:tcPr>
            <w:tcW w:type="dxa" w:w="4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Use case</w:t>
            </w:r>
          </w:p>
        </w:tc>
        <w:tc>
          <w:tcPr>
            <w:tcW w:type="dxa" w:w="1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Year-1 deal size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7</w:t>
            </w:r>
          </w:p>
        </w:tc>
        <w:tc>
          <w:tcPr>
            <w:tcW w:type="dxa" w:w="2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Inyange Industries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Cold-chain across dairy collection centres</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20-60k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8</w:t>
            </w:r>
          </w:p>
        </w:tc>
        <w:tc>
          <w:tcPr>
            <w:tcW w:type="dxa" w:w="2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Bakhresa Grain Milling Rwanda</w:t>
            </w:r>
          </w:p>
        </w:tc>
        <w:tc>
          <w:tcPr>
            <w:tcW w:type="dxa" w:w="4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Silo temperature/humidity, spoilage prevention</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15-40k</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9</w:t>
            </w:r>
          </w:p>
        </w:tc>
        <w:tc>
          <w:tcPr>
            <w:tcW w:type="dxa" w:w="2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Rwanda Mountain Tea / Sorwathe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Tea factories, plantation, drying-house monitoring</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25-75k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10</w:t>
            </w:r>
          </w:p>
        </w:tc>
        <w:tc>
          <w:tcPr>
            <w:tcW w:type="dxa" w:w="2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NAEB (Export Development Board)</w:t>
            </w:r>
          </w:p>
        </w:tc>
        <w:tc>
          <w:tcPr>
            <w:tcW w:type="dxa" w:w="4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Coffee/tea/horticulture traceability, donor-funded budgets</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30-100k</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11</w:t>
            </w:r>
          </w:p>
        </w:tc>
        <w:tc>
          <w:tcPr>
            <w:tcW w:type="dxa" w:w="2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Coffee cooperatives via NAEB</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800+ washing stations — temperature, water, fermentation</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5-15k each</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12</w:t>
            </w:r>
          </w:p>
        </w:tc>
        <w:tc>
          <w:tcPr>
            <w:tcW w:type="dxa" w:w="29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Holland Greentech Rwanda / Smart Farms</w:t>
            </w:r>
          </w:p>
        </w:tc>
        <w:tc>
          <w:tcPr>
            <w:tcW w:type="dxa" w:w="4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Greenhouse IoT — they have devices, need network (Tier-1 NaaS)</w:t>
            </w:r>
          </w:p>
        </w:tc>
        <w:tc>
          <w:tcPr>
            <w:tcW w:type="dxa" w:w="1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5-15k connectivity</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13</w:t>
            </w:r>
          </w:p>
        </w:tc>
        <w:tc>
          <w:tcPr>
            <w:tcW w:type="dxa" w:w="2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Kumva Insights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Existing IoT player. Partnership candidate.</w:t>
            </w:r>
          </w:p>
        </w:tc>
        <w:tc>
          <w:tcPr>
            <w:tcW w:type="dxa" w:w="1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Partner / not contract</w:t>
            </w:r>
          </w:p>
        </w:tc>
      </w:tr>
    </w:tbl>
    <w:p>
      <w:pPr>
        <w:pStyle w:val="Heading2"/>
        <w:spacing w:after="140" w:before="280"/>
      </w:pPr>
      <w:r>
        <w:t xml:space="preserve">4.3 Tier C — Health, logistics, hospitality (smaller, fastest-closing)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800"/>
        <w:gridCol w:w="1860"/>
      </w:tblGrid>
      <w:tr>
        <w:trPr>
          <w:tblHeader/>
        </w:trPr>
        <w:tc>
          <w:tcPr>
            <w:tcW w:type="dxa" w:w="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Organisation</w:t>
            </w:r>
          </w:p>
        </w:tc>
        <w:tc>
          <w:tcPr>
            <w:tcW w:type="dxa" w:w="3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Use case</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Year-1 deal size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CHUK / CHUB (Teaching Hospitals)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Cold-chain: vaccines, blood, samples</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10-30k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15</w:t>
            </w:r>
          </w:p>
        </w:tc>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Pharmacie du 1000 Collines / pharmacy chains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Cold-chain across branches</w:t>
            </w:r>
          </w:p>
        </w:tc>
        <w:tc>
          <w:tcPr>
            <w:tcW w:type="dxa" w:w="1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5-15k</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16</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Akagera Aviation / Bralirwa fleets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Vehicle tracking, fuel monitoring</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10-30k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17</w:t>
            </w:r>
          </w:p>
        </w:tc>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DHL Rwanda, BollorÊ Africa Logistics</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Asset tracking for transit goods</w:t>
            </w:r>
          </w:p>
        </w:tc>
        <w:tc>
          <w:tcPr>
            <w:tcW w:type="dxa" w:w="1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20-50k</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18</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Hotels: Marriott, Serena, Radisson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Energy, water tanks, kitchen cold storage</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5-15k each</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19</w:t>
            </w:r>
          </w:p>
        </w:tc>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Volkswagen Mobility Solutions Rwanda</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Fleet telematics</w:t>
            </w:r>
          </w:p>
        </w:tc>
        <w:tc>
          <w:tcPr>
            <w:tcW w:type="dxa" w:w="1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15-40k</w:t>
            </w:r>
          </w:p>
        </w:tc>
      </w:tr>
    </w:tbl>
    <w:p>
      <w:pPr>
        <w:pStyle w:val="Heading2"/>
        <w:spacing w:after="140" w:before="280"/>
      </w:pPr>
      <w:r>
        <w:t xml:space="preserve">4.4 Tier D — International donors and NGOs (grant-funded, can be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800"/>
        <w:gridCol w:w="2660"/>
      </w:tblGrid>
      <w:tr>
        <w:trPr>
          <w:tblHeader/>
        </w:trPr>
        <w:tc>
          <w:tcPr>
            <w:tcW w:type="dxa" w:w="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Organisation</w:t>
            </w:r>
          </w:p>
        </w:tc>
        <w:tc>
          <w:tcPr>
            <w:tcW w:type="dxa" w:w="3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Why they fund this</w:t>
            </w:r>
          </w:p>
        </w:tc>
        <w:tc>
          <w:tcPr>
            <w:tcW w:type="dxa" w:w="26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Engagement</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20</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Water For People Rwanda</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Already funding rural water metering kits with USAID money</w:t>
            </w:r>
          </w:p>
        </w:tc>
        <w:tc>
          <w:tcPr>
            <w:tcW w:type="dxa" w:w="26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Sub-contract; USD 20-80k</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21</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GIZ Rwanda</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German cooperation, large climate adaptation portfolio</w:t>
            </w:r>
          </w:p>
        </w:tc>
        <w:tc>
          <w:tcPr>
            <w:tcW w:type="dxa" w:w="26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Implementing partner; USD 50-200k</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22</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JICA Rwanda</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Funded the WASAC NRW Reduction Project — likely follow-on</w:t>
            </w:r>
          </w:p>
        </w:tc>
        <w:tc>
          <w:tcPr>
            <w:tcW w:type="dxa" w:w="26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Partner / sub-contractor</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23</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USAID Rwanda (Feed the Future)</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Digital agriculture tools fit mandate</w:t>
            </w:r>
          </w:p>
        </w:tc>
        <w:tc>
          <w:tcPr>
            <w:tcW w:type="dxa" w:w="26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50-300k via partner</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24</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GGGI (Global Green Growth Institute)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Climate-smart agriculture focus, Rwanda office</w:t>
            </w:r>
          </w:p>
        </w:tc>
        <w:tc>
          <w:tcPr>
            <w:tcW w:type="dxa" w:w="26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Project partnership</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25</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One Acre Fund (Tubura Rwanda)</w:t>
            </w:r>
          </w:p>
        </w:tc>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Reaches 200,000+ smallholders; farmer-data needs</w:t>
            </w:r>
          </w:p>
        </w:tc>
        <w:tc>
          <w:tcPr>
            <w:tcW w:type="dxa" w:w="26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Strategic partnership / paid pilot</w:t>
            </w:r>
          </w:p>
        </w:tc>
      </w:tr>
    </w:tbl>
    <w:p>
      <w:pPr>
        <w:pStyle w:val="Heading2"/>
        <w:spacing w:after="140" w:before="280"/>
      </w:pPr>
      <w:r>
        <w:t xml:space="preserve">4.5 Tier E — Ecosystem partners (multipliers, not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Organisation</w:t>
            </w:r>
          </w:p>
        </w:tc>
        <w:tc>
          <w:tcPr>
            <w:tcW w:type="dxa" w:w="5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Why engage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26</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Smart Africa (Kigali HQ)</w:t>
            </w:r>
          </w:p>
        </w:tc>
        <w:tc>
          <w:tcPr>
            <w:tcW w:type="dxa" w:w="5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Continental policy body. Endorsement = continental credibility.</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27</w:t>
            </w:r>
          </w:p>
        </w:tc>
        <w:tc>
          <w:tcPr>
            <w:tcW w:type="dxa" w:w="3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Kigali Innovation City</w:t>
            </w:r>
          </w:p>
        </w:tc>
        <w:tc>
          <w:tcPr>
            <w:tcW w:type="dxa" w:w="5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Co-location for offices and visibility.</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28</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NCST (Science and Technology)</w:t>
            </w:r>
          </w:p>
        </w:tc>
        <w:tc>
          <w:tcPr>
            <w:tcW w:type="dxa" w:w="5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Research collaboration grants (see Section 7).</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29</w:t>
            </w:r>
          </w:p>
        </w:tc>
        <w:tc>
          <w:tcPr>
            <w:tcW w:type="dxa" w:w="3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ACE-IoT at University of Rwanda</w:t>
            </w:r>
          </w:p>
        </w:tc>
        <w:tc>
          <w:tcPr>
            <w:tcW w:type="dxa" w:w="5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Academic partner for talent pipeline and research credibility.</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Norrsken Kigali / Impact Hub / Westerwelle</w:t>
            </w:r>
          </w:p>
        </w:tc>
        <w:tc>
          <w:tcPr>
            <w:tcW w:type="dxa" w:w="5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Community, mentors, demo days, investor connections.</w:t>
            </w:r>
          </w:p>
        </w:tc>
      </w:tr>
      <w:tr>
        <w:tc>
          <w:tcPr>
            <w:tcW w:type="dxa" w:w="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31</w:t>
            </w:r>
          </w:p>
        </w:tc>
        <w:tc>
          <w:tcPr>
            <w:tcW w:type="dxa" w:w="3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MTN Rwanda / Airtel Rwanda</w:t>
            </w:r>
          </w:p>
        </w:tc>
        <w:tc>
          <w:tcPr>
            <w:tcW w:type="dxa" w:w="5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Not competitors — sell cellular. Partners for gateway backhaul connectivity in remote areas.</w:t>
            </w:r>
          </w:p>
        </w:tc>
      </w:tr>
    </w:tbl>
    <w:p>
      <w:r>
        <w:br w:type="page"/>
      </w:r>
    </w:p>
    <w:p>
      <w:pPr>
        <w:pStyle w:val="Heading1"/>
        <w:spacing w:after="200" w:before="360"/>
      </w:pPr>
      <w:r>
        <w:t xml:space="preserve">5. Business Model</w:t>
      </w:r>
    </w:p>
    <w:p>
      <w:pPr>
        <w:pStyle w:val="Heading2"/>
        <w:spacing w:after="140" w:before="280"/>
      </w:pPr>
      <w:r>
        <w:t xml:space="preserve">5.1 Unit economics — illustrative water utility pilot</w:t>
      </w:r>
    </w:p>
    <w:p>
      <w:pPr>
        <w:spacing w:after="120" w:before="0"/>
      </w:pPr>
      <w:r>
        <w:t xml:space="preserve">Single 1,000-device water-utility pilot, fully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Line item</w:t>
            </w:r>
          </w:p>
        </w:tc>
        <w:tc>
          <w:tcPr>
            <w:tcW w:type="dxa" w:w="4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Value</w:t>
            </w:r>
          </w:p>
        </w:tc>
      </w:tr>
      <w:tr>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One-time hardware (customer-financed)</w:t>
            </w:r>
          </w:p>
        </w:tc>
        <w:tc>
          <w:tcPr>
            <w:tcW w:type="dxa" w:w="4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1,000 meters Ă— USD 80 = USD 80,000</w:t>
            </w:r>
          </w:p>
        </w:tc>
      </w:tr>
      <w:tr>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One-time installation</w:t>
            </w:r>
          </w:p>
        </w:tc>
        <w:tc>
          <w:tcPr>
            <w:tcW w:type="dxa" w:w="4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10,000</w:t>
            </w:r>
          </w:p>
        </w:tc>
      </w:tr>
      <w:tr>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Connectivity (our recurring)</w:t>
            </w:r>
          </w:p>
        </w:tc>
        <w:tc>
          <w:tcPr>
            <w:tcW w:type="dxa" w:w="4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1,000 Ă— USD 1.50/mo Ă— 12 = USD 18,000/yr</w:t>
            </w:r>
          </w:p>
        </w:tc>
      </w:tr>
      <w:tr>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Software / dashboards (our recurring)</w:t>
            </w:r>
          </w:p>
        </w:tc>
        <w:tc>
          <w:tcPr>
            <w:tcW w:type="dxa" w:w="4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6,000/yr</w:t>
            </w:r>
          </w:p>
        </w:tc>
      </w:tr>
      <w:tr>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Support / SLA (our recurring)</w:t>
            </w:r>
          </w:p>
        </w:tc>
        <w:tc>
          <w:tcPr>
            <w:tcW w:type="dxa" w:w="4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4,000/yr</w:t>
            </w:r>
          </w:p>
        </w:tc>
      </w:tr>
      <w:tr>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Our recurring revenue per customer</w:t>
            </w:r>
          </w:p>
        </w:tc>
        <w:tc>
          <w:tcPr>
            <w:tcW w:type="dxa" w:w="4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28,000/yr</w:t>
            </w:r>
          </w:p>
        </w:tc>
      </w:tr>
      <w:tr>
        <w:tc>
          <w:tcPr>
            <w:tcW w:type="dxa" w:w="4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Gross margin on connectivity</w:t>
            </w:r>
          </w:p>
        </w:tc>
        <w:tc>
          <w:tcPr>
            <w:tcW w:type="dxa" w:w="4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~85%</w:t>
            </w:r>
          </w:p>
        </w:tc>
      </w:tr>
      <w:tr>
        <w:tc>
          <w:tcPr>
            <w:tcW w:type="dxa" w:w="4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Customer payback on NRW recovered</w:t>
            </w:r>
          </w:p>
        </w:tc>
        <w:tc>
          <w:tcPr>
            <w:tcW w:type="dxa" w:w="48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~7 months</w:t>
            </w:r>
          </w:p>
        </w:tc>
      </w:tr>
    </w:tbl>
    <w:p>
      <w:pPr>
        <w:pStyle w:val="Heading2"/>
        <w:spacing w:after="140" w:before="280"/>
      </w:pPr>
      <w:r>
        <w:t xml:space="preserve">5.2 Year-1 cost structure (operating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Category</w:t>
            </w:r>
          </w:p>
        </w:tc>
        <w:tc>
          <w:tcPr>
            <w:tcW w:type="dxa" w:w="41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USD / year</w:t>
            </w:r>
          </w:p>
        </w:tc>
      </w:tr>
      <w:tr>
        <w:tc>
          <w:tcPr>
            <w:tcW w:type="dxa" w:w="5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Salaries (3-4 people)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60,000</w:t>
            </w:r>
          </w:p>
        </w:tc>
      </w:tr>
      <w:tr>
        <w:tc>
          <w:tcPr>
            <w:tcW w:type="dxa" w:w="5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Cloud hosting</w:t>
            </w:r>
          </w:p>
        </w:tc>
        <w:tc>
          <w:tcPr>
            <w:tcW w:type="dxa" w:w="4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1,200</w:t>
            </w:r>
          </w:p>
        </w:tc>
      </w:tr>
      <w:tr>
        <w:tc>
          <w:tcPr>
            <w:tcW w:type="dxa" w:w="5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Gateway hardware (20 units for Phase 1)</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30,000</w:t>
            </w:r>
          </w:p>
        </w:tc>
      </w:tr>
      <w:tr>
        <w:tc>
          <w:tcPr>
            <w:tcW w:type="dxa" w:w="5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RURA type approval + legal</w:t>
            </w:r>
          </w:p>
        </w:tc>
        <w:tc>
          <w:tcPr>
            <w:tcW w:type="dxa" w:w="4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8,000</w:t>
            </w:r>
          </w:p>
        </w:tc>
      </w:tr>
      <w:tr>
        <w:tc>
          <w:tcPr>
            <w:tcW w:type="dxa" w:w="5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Office (incubator/innovation hub)</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6,000</w:t>
            </w:r>
          </w:p>
        </w:tc>
      </w:tr>
      <w:tr>
        <w:tc>
          <w:tcPr>
            <w:tcW w:type="dxa" w:w="5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Marketing, travel, events</w:t>
            </w:r>
          </w:p>
        </w:tc>
        <w:tc>
          <w:tcPr>
            <w:tcW w:type="dxa" w:w="4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10,000</w:t>
            </w:r>
          </w:p>
        </w:tc>
      </w:tr>
      <w:tr>
        <w:tc>
          <w:tcPr>
            <w:tcW w:type="dxa" w:w="5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Reserves and contingency</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15,000</w:t>
            </w:r>
          </w:p>
        </w:tc>
      </w:tr>
      <w:tr>
        <w:tc>
          <w:tcPr>
            <w:tcW w:type="dxa" w:w="5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Total</w:t>
            </w:r>
          </w:p>
        </w:tc>
        <w:tc>
          <w:tcPr>
            <w:tcW w:type="dxa" w:w="41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~130,000</w:t>
            </w:r>
          </w:p>
        </w:tc>
      </w:tr>
    </w:tbl>
    <w:p>
      <w:r>
        <w:br w:type="page"/>
      </w:r>
    </w:p>
    <w:p>
      <w:pPr>
        <w:pStyle w:val="Heading1"/>
        <w:spacing w:after="200" w:before="360"/>
      </w:pPr>
      <w:r>
        <w:t xml:space="preserve">6. Grant and Funding Strategy</w:t>
      </w:r>
    </w:p>
    <w:p>
      <w:pPr>
        <w:spacing w:after="120" w:before="0"/>
      </w:pPr>
      <w:r>
        <w:t xml:space="preserve">This section is structured for direct re-use in funding applications. We are eligible for multiple parallel programs — they should be pursued in parallel, not sequentially.</w:t>
      </w:r>
    </w:p>
    <w:p>
      <w:pPr>
        <w:pStyle w:val="Heading2"/>
        <w:spacing w:after="140" w:before="280"/>
      </w:pPr>
      <w:r>
        <w:t xml:space="preserve">6.1 Local grants (Rwanda)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Programme</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Funder</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Amount</w:t>
            </w:r>
          </w:p>
        </w:tc>
        <w:tc>
          <w:tcPr>
            <w:tcW w:type="dxa" w:w="1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Window</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Hanga Pitchfest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MINICT + RDB + UNDP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10-50k cash + in-kind</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Annual (Q3-Q4)</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Innovate Rwanda Platform</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Government of Rwanda</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Variable + ecosystem support</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Rolling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Rwanda Innovation Fund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Angaza Capital (USD 30M fund)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100k-1M equity/convertible</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Rolling (after pilot)</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NCST Collaborative R&amp;I Grants</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National Council for Science and Technology</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20-100k</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Annual calls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RDAP Early Stage Financing</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World Bank-funded, MINICT-executed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10-100k</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Rolling — currently active</w:t>
            </w:r>
          </w:p>
        </w:tc>
      </w:tr>
      <w:tr>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Rwanda Green Fund (FONERWA)</w:t>
            </w:r>
          </w:p>
        </w:tc>
        <w:tc>
          <w:tcPr>
            <w:tcW w:type="dxa" w:w="2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Government climate finance</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50-500k</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Quarterly review</w:t>
            </w:r>
          </w:p>
        </w:tc>
      </w:tr>
    </w:tbl>
    <w:p>
      <w:pPr>
        <w:pStyle w:val="Heading2"/>
        <w:spacing w:after="140" w:before="280"/>
      </w:pPr>
      <w:r>
        <w:t xml:space="preserve">6.2 International grants (highest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Programme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Funder</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Amount</w:t>
            </w:r>
          </w:p>
        </w:tc>
        <w:tc>
          <w:tcPr>
            <w:tcW w:type="dxa" w:w="1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Window</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GSMA Innovation Fund — Green Transition for Mobile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GSMA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GBP 100-200k (~USD 130-260k)</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Annual rounds — confirm next</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GSMA Innovation Fund — Digital Utilities</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GSMA</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GBP 100-250k (~USD 130-330k)</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Rolling rounds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AfDB / ADFI (Digital Financial Inclusion)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African Development Bank</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Up to USD 1M</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Rolling</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AIIB Project Preparation Special Fund</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Asian Infrastructure Investment Bank</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Project-specific</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Via WASAC as prime; we as tech partner</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IFC Climate-Smart Agriculture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International Finance Corporation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Loans + grants</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Engage IFC Kigali Resident Rep</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USAID Development Innovation Ventures (DIV)</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USAID</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USD 25-200k (Stage 1)</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Rolling</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Mastercard Foundation Africa Growth Fund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Mastercard Foundation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USD 100k-2M</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Annual</w:t>
            </w:r>
          </w:p>
        </w:tc>
      </w:tr>
      <w:tr>
        <w:tc>
          <w:tcPr>
            <w:tcW w:type="dxa" w:w="3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UK FCDO Frontier Technology Hub</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UK Government</w:t>
            </w:r>
          </w:p>
        </w:tc>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GBP 20-100k pilot</w:t>
            </w:r>
          </w:p>
        </w:tc>
        <w:tc>
          <w:tcPr>
            <w:tcW w:type="dxa" w:w="17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Rolling</w:t>
            </w:r>
          </w:p>
        </w:tc>
      </w:tr>
    </w:tbl>
    <w:p>
      <w:pPr>
        <w:pStyle w:val="Heading2"/>
        <w:spacing w:after="140" w:before="280"/>
      </w:pPr>
      <w:r>
        <w:t xml:space="preserve">6.3 Recommended sequencing</w:t>
      </w:r>
    </w:p>
    <w:p>
      <w:pPr>
        <w:spacing w:after="100"/>
      </w:pPr>
      <w:r>
        <w:rPr>
          <w:b/>
          <w:bCs/>
        </w:rPr>
        <w:t xml:space="preserve">Apply now (Month 1-3): </w:t>
      </w:r>
      <w:r>
        <w:t xml:space="preserve">Hanga Pitchfest, RDAP Early Stage Financing, GSMA Innovation Fund (whichever round is open), Rwanda Green Fund. These are fast, local where possible, and build credibility ahead of bigger asks.</w:t>
      </w:r>
    </w:p>
    <w:p>
      <w:pPr>
        <w:spacing w:after="100"/>
      </w:pPr>
      <w:r>
        <w:rPr>
          <w:b/>
          <w:bCs/>
        </w:rPr>
        <w:t xml:space="preserve">Apply Month 4-9 (after working pilot + first LOI from anchor customer): </w:t>
      </w:r>
      <w:r>
        <w:t xml:space="preserve">Rwanda Innovation Fund / Angaza Capital (equity round), USAID DIV Stage 1, IFC engagement via CSA Investment Plan, Mastercard Foundation Africa Growth Fund.</w:t>
      </w:r>
    </w:p>
    <w:p>
      <w:pPr>
        <w:spacing w:after="200"/>
      </w:pPr>
      <w:r>
        <w:rPr>
          <w:b/>
          <w:bCs/>
        </w:rPr>
        <w:t xml:space="preserve">Position parallel applications differently: </w:t>
      </w:r>
      <w:r>
        <w:t xml:space="preserve">For climate funders (GSMA Green, FONERWA, IFC), lead with water and agriculture sustainability angle. For digital inclusion funders (USAID DIV, Mastercard), lead with rural farmer reach and women-led component. For innovation funders (NCST, Hanga), lead with technology novelty and first-in-country positioning.</w:t>
      </w:r>
    </w:p>
    <w:p>
      <w:pPr>
        <w:pStyle w:val="Heading2"/>
        <w:spacing w:after="140" w:before="280"/>
      </w:pPr>
      <w:r>
        <w:t xml:space="preserve">6.4 Reusable narrative blocks for grant proposals</w:t>
      </w:r>
    </w:p>
    <w:p>
      <w:pPr>
        <w:spacing w:after="120" w:before="0"/>
      </w:pPr>
      <w:r>
        <w:t xml:space="preserve">Four narrative blocks usable across applications; mix and match per funder:</w:t>
      </w:r>
    </w:p>
    <w:p>
      <w:pPr>
        <w:spacing w:after="60" w:before="160"/>
      </w:pPr>
      <w:r>
        <w:rPr>
          <w:b/>
          <w:bCs/>
          <w:color w:val="1F4E79"/>
        </w:rPr>
        <w:t xml:space="preserve">Block A — Climate / sustainability angle</w:t>
      </w:r>
    </w:p>
    <w:p>
      <w:pPr>
        <w:pBdr>
          <w:left w:val="single" w:color="2E75B6" w:sz="18" w:space="8"/>
        </w:pBdr>
        <w:spacing w:after="120"/>
        <w:ind w:left="360"/>
      </w:pPr>
      <w:r>
        <w:rPr>
          <w:i/>
          <w:iCs/>
        </w:rPr>
        <w:t xml:space="preserve">Rwanda loses an estimated 38% of its produced municipal water to leaks and unbilled consumption — over Rwf 9.9 B (USD 7.5M) annually, equivalent to a full year of operating budget for the national water utility. Our LoRaWAN-based smart-metering platform enables near-real-time leak detection at a fraction of the cost of cellular alternatives, addressing both economic loss and the climate-adaptation imperative of efficient freshwater use.</w:t>
      </w:r>
    </w:p>
    <w:p>
      <w:pPr>
        <w:spacing w:after="60" w:before="160"/>
      </w:pPr>
      <w:r>
        <w:rPr>
          <w:b/>
          <w:bCs/>
          <w:color w:val="1F4E79"/>
        </w:rPr>
        <w:t xml:space="preserve">Block B — Agricultural transformation angle</w:t>
      </w:r>
    </w:p>
    <w:p>
      <w:pPr>
        <w:pBdr>
          <w:left w:val="single" w:color="2E75B6" w:sz="18" w:space="8"/>
        </w:pBdr>
        <w:spacing w:after="120"/>
        <w:ind w:left="360"/>
      </w:pPr>
      <w:r>
        <w:rPr>
          <w:i/>
          <w:iCs/>
        </w:rPr>
        <w:t xml:space="preserve">Rwanda's Strategic Plan for Agricultural Transformation (PSTA5, MINAGRI 2025) aims to make 83,250 hectares climate-resilient and link 170,200 farmers to climate-smart financing. Our connectivity layer enables affordable IoT sensors — soil moisture, temperature, livestock tracking — at USD 1.50 per device per month, making digital agriculture viable for smallholder cooperatives, not only commercial farms.</w:t>
      </w:r>
    </w:p>
    <w:p>
      <w:pPr>
        <w:spacing w:after="60" w:before="160"/>
      </w:pPr>
      <w:r>
        <w:rPr>
          <w:b/>
          <w:bCs/>
          <w:color w:val="1F4E79"/>
        </w:rPr>
        <w:t xml:space="preserve">Block C — Digital sovereignty and local ownership angle</w:t>
      </w:r>
    </w:p>
    <w:p>
      <w:pPr>
        <w:pBdr>
          <w:left w:val="single" w:color="2E75B6" w:sz="18" w:space="8"/>
        </w:pBdr>
        <w:spacing w:after="120"/>
        <w:ind w:left="360"/>
      </w:pPr>
      <w:r>
        <w:rPr>
          <w:i/>
          <w:iCs/>
        </w:rPr>
        <w:t xml:space="preserve">Our network is built on open-source ChirpStack with no foreign licensing fees, runs on infrastructure that can be hosted entirely within Rwanda, and creates local skilled employment in network engineering, RF deployment, and IoT solutions consulting. Unlike foreign vendors selling closed systems, we transfer capability — not just hardware.</w:t>
      </w:r>
    </w:p>
    <w:p>
      <w:pPr>
        <w:spacing w:after="60" w:before="160"/>
      </w:pPr>
      <w:r>
        <w:rPr>
          <w:b/>
          <w:bCs/>
          <w:color w:val="1F4E79"/>
        </w:rPr>
        <w:t xml:space="preserve">Block D — Regional scalability angle</w:t>
      </w:r>
    </w:p>
    <w:p>
      <w:pPr>
        <w:pBdr>
          <w:left w:val="single" w:color="2E75B6" w:sz="18" w:space="8"/>
        </w:pBdr>
        <w:spacing w:after="120"/>
        <w:ind w:left="360"/>
      </w:pPr>
      <w:r>
        <w:rPr>
          <w:i/>
          <w:iCs/>
        </w:rPr>
        <w:t xml:space="preserve">The platform we operationalise in Rwanda is identical to what we would deploy in any East African Community country. A successful Rwandan deployment establishes the operational, regulatory, and commercial template for replicable expansion across the EAC, directly supporting EAC integration objectives at the regional level.</w:t>
      </w:r>
    </w:p>
    <w:p>
      <w:r>
        <w:br w:type="page"/>
      </w:r>
    </w:p>
    <w:p>
      <w:pPr>
        <w:pStyle w:val="Heading1"/>
        <w:spacing w:after="200" w:before="360"/>
      </w:pPr>
      <w:r>
        <w:t xml:space="preserve">7. Go-to-Market Plan</w:t>
      </w:r>
    </w:p>
    <w:p>
      <w:pPr>
        <w:pStyle w:val="Heading2"/>
        <w:spacing w:after="140" w:before="280"/>
      </w:pPr>
      <w:r>
        <w:t xml:space="preserve">7.1 12-month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Month</w:t>
            </w:r>
          </w:p>
        </w:tc>
        <w:tc>
          <w:tcPr>
            <w:tcW w:type="dxa" w:w="7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Milestone</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0</w:t>
            </w:r>
          </w:p>
        </w:tc>
        <w:tc>
          <w:tcPr>
            <w:tcW w:type="dxa" w:w="7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Concept document finalised. This document.</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1-2</w:t>
            </w:r>
          </w:p>
        </w:tc>
        <w:tc>
          <w:tcPr>
            <w:tcW w:type="dxa" w:w="7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Procure 3 production EU868 gateways. Begin RURA type approval.</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2-3</w:t>
            </w:r>
          </w:p>
        </w:tc>
        <w:tc>
          <w:tcPr>
            <w:tcW w:type="dxa" w:w="7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Open conversations with WASAC, NAEB, City of Kigali. Apply to Hanga Pitchfest and GSMA Innovation Fund.</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3-4</w:t>
            </w:r>
          </w:p>
        </w:tc>
        <w:tc>
          <w:tcPr>
            <w:tcW w:type="dxa" w:w="7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Deploy gateways at 1 indoor demo office + 2 outdoor sites. Legal entity formed.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4-6</w:t>
            </w:r>
          </w:p>
        </w:tc>
        <w:tc>
          <w:tcPr>
            <w:tcW w:type="dxa" w:w="7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Land first paid pilot. Target: 100-500 devices with one anchor customer.</w:t>
            </w:r>
          </w:p>
        </w:tc>
      </w:tr>
      <w:tr>
        <w:tc>
          <w:tcPr>
            <w:tcW w:type="dxa" w:w="1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6-9</w:t>
            </w:r>
          </w:p>
        </w:tc>
        <w:tc>
          <w:tcPr>
            <w:tcW w:type="dxa" w:w="79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Operational pilot. Generate case study + data. Apply to Innovation Fund (equity round).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9-12</w:t>
            </w:r>
          </w:p>
        </w:tc>
        <w:tc>
          <w:tcPr>
            <w:tcW w:type="dxa" w:w="7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Sign 2nd and 3rd customers. Expand gateway footprint to 10-15 across Kigali.</w:t>
            </w:r>
          </w:p>
        </w:tc>
      </w:tr>
    </w:tbl>
    <w:p>
      <w:pPr>
        <w:pStyle w:val="Heading2"/>
        <w:spacing w:after="140" w:before="280"/>
      </w:pPr>
      <w:r>
        <w:t xml:space="preserve">7.2 Anchor pilot — the contract that unlocks everything</w:t>
      </w:r>
    </w:p>
    <w:p>
      <w:pPr>
        <w:spacing w:after="120" w:before="0"/>
      </w:pPr>
      <w:r>
        <w:t xml:space="default"/>
      </w:r>
    </w:p>
    <w:p>
      <w:pPr>
        <w:spacing w:after="120" w:before="0"/>
      </w:pPr>
      <w:r>
        <w:t xml:space="preserve">Reasons:</w:t>
      </w:r>
    </w:p>
    <w:p>
      <w:pPr>
        <w:pStyle w:val="ListParagraph"/>
        <w:numPr>
          <w:ilvl w:val="0"/>
          <w:numId w:val="2"/>
        </w:numPr>
        <w:spacing w:after="80"/>
      </w:pPr>
      <w:r>
        <w:t xml:space="preserve">Validates the most-cited Rwanda IoT use case (water non-revenue loss)</w:t>
      </w:r>
    </w:p>
    <w:p>
      <w:pPr>
        <w:pStyle w:val="ListParagraph"/>
        <w:numPr>
          <w:ilvl w:val="0"/>
          <w:numId w:val="2"/>
        </w:numPr>
        <w:spacing w:after="80"/>
      </w:pPr>
      <w:r>
        <w:t xml:space="preserve">Government utility = reference customer for every subsequent agriculture, health, and logistics conversation</w:t>
      </w:r>
    </w:p>
    <w:p>
      <w:pPr>
        <w:pStyle w:val="ListParagraph"/>
        <w:numPr>
          <w:ilvl w:val="0"/>
          <w:numId w:val="2"/>
        </w:numPr>
        <w:spacing w:after="80"/>
      </w:pPr>
      <w:r>
        <w:t xml:space="preserve">Their procurement is happening now (active RFPs for smart meter leasing 2025-2026)</w:t>
      </w:r>
    </w:p>
    <w:p>
      <w:pPr>
        <w:pStyle w:val="ListParagraph"/>
        <w:numPr>
          <w:ilvl w:val="0"/>
          <w:numId w:val="2"/>
        </w:numPr>
        <w:spacing w:after="80"/>
      </w:pPr>
      <w:r>
        <w:t xml:space="preserve">Their CEO has publicly stated strategic interest in this technology</w:t>
      </w:r>
    </w:p>
    <w:p>
      <w:pPr>
        <w:spacing w:after="120" w:before="0"/>
      </w:pPr>
      <w:r>
        <w:t xml:space="default"/>
      </w:r>
    </w:p>
    <w:p>
      <w:r>
        <w:br w:type="page"/>
      </w:r>
    </w:p>
    <w:p>
      <w:pPr>
        <w:pStyle w:val="Heading1"/>
        <w:spacing w:after="200" w:before="360"/>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rPr>
          <w:tblHeader/>
        </w:trPr>
        <w:tc>
          <w:tcPr>
            <w:tcW w:type="dxa" w:w="3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Risk</w:t>
            </w:r>
          </w:p>
        </w:tc>
        <w:tc>
          <w:tcPr>
            <w:tcW w:type="dxa" w:w="1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Likelihood</w:t>
            </w:r>
          </w:p>
        </w:tc>
        <w:tc>
          <w:tcPr>
            <w:tcW w:type="dxa" w:w="40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Mitigation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RURA type approval delays &gt; 3 months</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Medium</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Start process Month 1; engage RURA briefing Week 2; use pre-CE-certified hardware to shorten path</w:t>
            </w:r>
          </w:p>
        </w:tc>
      </w:tr>
      <w:tr>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WASAC procurement timeline &gt; 12 months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High</w:t>
            </w:r>
          </w:p>
        </w:tc>
        <w:tc>
          <w:tcPr>
            <w:tcW w:type="dxa" w:w="40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Multi-track Tier-A engagement; use grant-funded pilots to build references in parallel</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Foreign competitor enters Rwanda first</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Medium</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Speed: be operational within 6 months. Moats: regulatory positioning, local relationships, in-language support</w:t>
            </w:r>
          </w:p>
        </w:tc>
      </w:tr>
      <w:tr>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Hardware import / customs delays</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Medium</w:t>
            </w:r>
          </w:p>
        </w:tc>
        <w:tc>
          <w:tcPr>
            <w:tcW w:type="dxa" w:w="40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Pre-order Month 1; identify local distributor relationships</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Cellular operators undercut on NB-IoT pricing</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Low-Medium</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Retain advantages on battery life (5-10y vs ~2y), per-device cost, indoor RF penetration</w:t>
            </w:r>
          </w:p>
        </w:tc>
      </w:tr>
      <w:tr>
        <w:tc>
          <w:tcPr>
            <w:tcW w:type="dxa" w:w="38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Early SLA violations damage reputation</w:t>
            </w:r>
          </w:p>
        </w:tc>
        <w:tc>
          <w:tcPr>
            <w:tcW w:type="dxa" w:w="15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High at start</w:t>
            </w:r>
          </w:p>
        </w:tc>
        <w:tc>
          <w:tcPr>
            <w:tcW w:type="dxa" w:w="40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sz w:val="18"/>
                <w:szCs w:val="18"/>
              </w:rPr>
              <w:t xml:space="preserve">Conservative SLAs (95% initially, not 99.9%); transparent status page; on-call by Month 6</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Currency / forex (hardware USD, revenue RWF)</w:t>
            </w:r>
          </w:p>
        </w:tc>
        <w:tc>
          <w:tcPr>
            <w:tcW w:type="dxa" w:w="1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Medium</w:t>
            </w:r>
          </w:p>
        </w:tc>
        <w:tc>
          <w:tcPr>
            <w:tcW w:type="dxa" w:w="40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Price contracts in USD where possible; build forex buffer into Year 1 reserves</w:t>
            </w:r>
          </w:p>
        </w:tc>
      </w:tr>
    </w:tbl>
    <w:p>
      <w:r>
        <w:br w:type="page"/>
      </w:r>
    </w:p>
    <w:p>
      <w:pPr>
        <w:pStyle w:val="Heading1"/>
        <w:spacing w:after="200" w:before="360"/>
      </w:pPr>
      <w:r>
        <w:t xml:space="preserve">9. The Ask</w:t>
      </w:r>
    </w:p>
    <w:p>
      <w:pPr>
        <w:spacing w:after="120" w:before="0"/>
      </w:pPr>
      <w:r>
        <w:t xml:space="preserve">This document is suitable for three purposes — sections will be highlighted differently depending on the recipient:</w:t>
      </w:r>
    </w:p>
    <w:p>
      <w:pPr>
        <w:pStyle w:val="ListParagraph"/>
        <w:numPr>
          <w:ilvl w:val="0"/>
          <w:numId w:val="2"/>
        </w:numPr>
        <w:spacing w:after="80"/>
      </w:pPr>
      <w:r>
        <w:rPr>
          <w:b/>
          <w:bCs/>
        </w:rPr>
        <w:t xml:space="preserve">Anchor customer (WASAC, NAEB, City of Kigali): </w:t>
      </w:r>
      <w:r>
        <w:t xml:space="preserve">use Sections 1, 2, and a customised version of 4.1 / 7.2.</w:t>
      </w:r>
    </w:p>
    <w:p>
      <w:pPr>
        <w:pStyle w:val="ListParagraph"/>
        <w:numPr>
          <w:ilvl w:val="0"/>
          <w:numId w:val="2"/>
        </w:numPr>
        <w:spacing w:after="80"/>
      </w:pPr>
      <w:r>
        <w:rPr>
          <w:b/>
          <w:bCs/>
        </w:rPr>
        <w:t xml:space="preserve">Grant funder: </w:t>
      </w:r>
      <w:r>
        <w:t xml:space="preserve">use Sections 1, 2, 3, 6 plus a customised narrative block from 6.4.</w:t>
      </w:r>
    </w:p>
    <w:p>
      <w:pPr>
        <w:pStyle w:val="ListParagraph"/>
        <w:numPr>
          <w:ilvl w:val="0"/>
          <w:numId w:val="2"/>
        </w:numPr>
        <w:spacing w:after="80"/>
      </w:pPr>
      <w:r>
        <w:rPr>
          <w:b/>
          <w:bCs/>
        </w:rPr>
        <w:t xml:space="preserve">Investor: </w:t>
      </w:r>
      <w:r>
        <w:t xml:space="preserve">use Sections 1, 3, 5, 7, 8 as the core; add detailed financial model as appendix.</w:t>
      </w:r>
    </w:p>
    <w:p>
      <w:pPr>
        <w:spacing w:after="200"/>
      </w:pPr>
      <w:r>
        <w:t xml:space="preserve"/>
      </w:r>
    </w:p>
    <w:p>
      <w:pPr>
        <w:pStyle w:val="Heading2"/>
        <w:spacing w:after="140" w:before="280"/>
      </w:pPr>
      <w:r>
        <w:t xml:space="preserve">What we need now (Month 0)</w:t>
      </w:r>
    </w:p>
    <w:p>
      <w:pPr>
        <w:pStyle w:val="ListParagraph"/>
        <w:numPr>
          <w:ilvl w:val="0"/>
          <w:numId w:val="2"/>
        </w:numPr>
        <w:spacing w:after="80"/>
      </w:pPr>
      <w:r>
        <w:rPr>
          <w:b/>
          <w:bCs/>
        </w:rPr>
        <w:t xml:space="preserve">USD 30k seed capital </w:t>
      </w:r>
      <w:r>
        <w:t xml:space="preserve">to procure first 3 production gateways, complete RURA approval, and operate for 6 months while landing the anchor customer.</w:t>
      </w:r>
    </w:p>
    <w:p>
      <w:pPr>
        <w:pStyle w:val="ListParagraph"/>
        <w:numPr>
          <w:ilvl w:val="0"/>
          <w:numId w:val="2"/>
        </w:numPr>
        <w:spacing w:after="80"/>
      </w:pPr>
      <w:r>
        <w:rPr>
          <w:b/>
          <w:bCs/>
        </w:rPr>
        <w:t xml:space="preserve">2-3 advisory board members </w:t>
      </w:r>
      <w:r>
        <w:t xml:space="preserve">with relationships into WASAC, RDB, or MINICT.</w:t>
      </w:r>
    </w:p>
    <w:p>
      <w:pPr>
        <w:pStyle w:val="ListParagraph"/>
        <w:numPr>
          <w:ilvl w:val="0"/>
          <w:numId w:val="2"/>
        </w:numPr>
        <w:spacing w:after="80"/>
      </w:pPr>
      <w:r>
        <w:rPr>
          <w:b/>
          <w:bCs/>
        </w:rPr>
        <w:t xml:space="preserve">1 letter of intent </w:t>
      </w:r>
      <w:r>
        <w:t xml:space="preserve">from any Tier-A organisation in Section 4.1 — even a non-binding LOI dramatically accelerates all subsequent fundraising.</w:t>
      </w:r>
    </w:p>
    <w:p>
      <w:pPr>
        <w:pBdr>
          <w:bottom w:val="single" w:color="2E75B6" w:sz="6" w:space="1"/>
        </w:pBdr>
        <w:spacing w:after="200" w:before="100"/>
      </w:pPr>
      <w:r>
        <w:t xml:space="preserve"/>
      </w:r>
    </w:p>
    <w:p>
      <w:pPr>
        <w:spacing w:after="100" w:before="240"/>
        <w:jc w:val="center"/>
      </w:pPr>
      <w:r>
        <w:rPr>
          <w:b/>
          <w:bCs/>
          <w:color w:val="1F4E79"/>
          <w:sz w:val="24"/>
          <w:szCs w:val="24"/>
        </w:rPr>
        <w:t xml:space="preserve">Contact</w:t>
      </w:r>
    </w:p>
    <w:p>
      <w:pPr>
        <w:spacing w:after="80"/>
        <w:jc w:val="center"/>
      </w:pPr>
      <w:r>
        <w:rPr>
          <w:sz w:val="22"/>
          <w:szCs w:val="22"/>
        </w:rPr>
        <w:t xml:space="preserve">[Founder Name]</w:t>
      </w:r>
    </w:p>
    <w:p>
      <w:pPr>
        <w:spacing w:after="80"/>
        <w:jc w:val="center"/>
      </w:pPr>
      <w:r>
        <w:rPr>
          <w:color w:val="595959"/>
          <w:sz w:val="20"/>
          <w:szCs w:val="20"/>
        </w:rPr>
        <w:t xml:space="preserve">Email — Phone — LinkedIn</w:t>
      </w:r>
    </w:p>
    <w:p>
      <w:pPr>
        <w:spacing w:after="200"/>
        <w:jc w:val="center"/>
      </w:pPr>
      <w:r>
        <w:rPr>
          <w:color w:val="595959"/>
          <w:sz w:val="20"/>
          <w:szCs w:val="20"/>
        </w:rPr>
        <w:t xml:space="preserve">Kigali, Rwanda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LoRaWAN-as-a-Service Rwanda — Business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LoRaWAN-as-a-Service Rwanda - Business Concept</dc:title>
  <dc:creator>LoRaWAN Rwanda</dc:creator>
  <dc:description>Business concept document for a private LoRaWAN network operator in Rwanda</dc:description>
  <cp:lastModifiedBy>Un-named</cp:lastModifiedBy>
  <cp:revision>1</cp:revision>
  <dcterms:created xsi:type="dcterms:W3CDTF">2026-06-06T11:29:24.550Z</dcterms:created>
  <dcterms:modified xsi:type="dcterms:W3CDTF">2026-06-06T11:29:24.550Z</dcterms:modified>
</cp:coreProperties>
</file>

<file path=docProps/custom.xml><?xml version="1.0" encoding="utf-8"?>
<Properties xmlns="http://schemas.openxmlformats.org/officeDocument/2006/custom-properties" xmlns:vt="http://schemas.openxmlformats.org/officeDocument/2006/docPropsVTypes"/>
</file>