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48AA5" w14:textId="77777777" w:rsidR="00B51FEF" w:rsidRPr="00B51FEF" w:rsidRDefault="00B51FEF" w:rsidP="00B51FEF">
      <w:pPr>
        <w:rPr>
          <w:b/>
          <w:bCs/>
        </w:rPr>
      </w:pPr>
      <w:r w:rsidRPr="00B51FEF">
        <w:rPr>
          <w:b/>
          <w:bCs/>
        </w:rPr>
        <w:t>Refined Derivation of Coupling Constant (k)</w:t>
      </w:r>
    </w:p>
    <w:p w14:paraId="2D9789CD" w14:textId="77777777" w:rsidR="00B51FEF" w:rsidRPr="00B51FEF" w:rsidRDefault="00B51FEF" w:rsidP="00B51FEF">
      <w:pPr>
        <w:numPr>
          <w:ilvl w:val="0"/>
          <w:numId w:val="1"/>
        </w:numPr>
      </w:pPr>
      <w:r w:rsidRPr="00B51FEF">
        <w:rPr>
          <w:b/>
          <w:bCs/>
        </w:rPr>
        <w:t>Starobinsky R² Coupling in f(R) Gravity:</w:t>
      </w:r>
      <w:r w:rsidRPr="00B51FEF">
        <w:t xml:space="preserve"> In an $f(R)$ modified gravity framework with a Starobinsky-type $R^2$ term, the action can be written (in 4D) as $S = \frac{M_{\rm Pl}^2}{2}\int \sqrt{-g},[R + \frac{1}{6m^2}R^2],d^4x$</w:t>
      </w:r>
      <w:r w:rsidRPr="00B51FEF">
        <w:rPr>
          <w:rFonts w:ascii="Arial" w:hAnsi="Arial" w:cs="Arial"/>
        </w:rPr>
        <w:t>​</w:t>
      </w:r>
    </w:p>
    <w:p w14:paraId="298E373E" w14:textId="77777777" w:rsidR="00B51FEF" w:rsidRPr="00B51FEF" w:rsidRDefault="00B51FEF" w:rsidP="00B51FEF">
      <w:hyperlink r:id="rId5" w:anchor=":~:text=R%20%2B%201%206m2%20R,mass%20MPl%20%3D%201%2F%20%E2%88%9A" w:tgtFrame="_blank" w:history="1">
        <w:r w:rsidRPr="00B51FEF">
          <w:rPr>
            <w:rStyle w:val="Hyperlink"/>
          </w:rPr>
          <w:t>inspirehep.net</w:t>
        </w:r>
      </w:hyperlink>
    </w:p>
    <w:p w14:paraId="4FEA2116" w14:textId="77777777" w:rsidR="00B51FEF" w:rsidRPr="00B51FEF" w:rsidRDefault="00B51FEF" w:rsidP="00B51FEF">
      <w:r w:rsidRPr="00B51FEF">
        <w:t>. Here $m$ is a mass scale related to the $R^2$ coupling. At low curvature, the $R^2$ term is negligible, recovering Einstein–Hilbert ($R$) gravity, while at high curvature the $R^2$ term dominates (driving inflation in Starobinsky’s model). The dimensionless coupling constant $k$ (analogous to $1/(6m^2)$) is derived by requiring consistency with observations and theoretical constraints. Notably, the $R^2$ term (with positive coupling) is the only quadratic curvature correction that avoids ghost instabilities</w:t>
      </w:r>
      <w:r w:rsidRPr="00B51FEF">
        <w:rPr>
          <w:rFonts w:ascii="Arial" w:hAnsi="Arial" w:cs="Arial"/>
        </w:rPr>
        <w:t>​</w:t>
      </w:r>
    </w:p>
    <w:p w14:paraId="6404217B" w14:textId="77777777" w:rsidR="00B51FEF" w:rsidRPr="00B51FEF" w:rsidRDefault="00B51FEF" w:rsidP="00B51FEF">
      <w:hyperlink r:id="rId6" w:anchor=":~:text=2%20term%20with%20a%20positive,g" w:tgtFrame="_blank" w:history="1">
        <w:r w:rsidRPr="00B51FEF">
          <w:rPr>
            <w:rStyle w:val="Hyperlink"/>
          </w:rPr>
          <w:t>inspirehep.net</w:t>
        </w:r>
      </w:hyperlink>
    </w:p>
    <w:p w14:paraId="0D855962" w14:textId="77777777" w:rsidR="00B51FEF" w:rsidRPr="00B51FEF" w:rsidRDefault="00B51FEF" w:rsidP="00B51FEF">
      <w:r w:rsidRPr="00B51FEF">
        <w:t>. In Starobinsky’s inflation, observational COBE/WMAP normalization fixes $m \approx 3\times10^{13}$ GeV (about $1.3\times10^{-5},M_{\rm Pl}$)</w:t>
      </w:r>
      <w:r w:rsidRPr="00B51FEF">
        <w:rPr>
          <w:rFonts w:ascii="Arial" w:hAnsi="Arial" w:cs="Arial"/>
        </w:rPr>
        <w:t>​</w:t>
      </w:r>
    </w:p>
    <w:p w14:paraId="4FC2B514" w14:textId="77777777" w:rsidR="00B51FEF" w:rsidRPr="00B51FEF" w:rsidRDefault="00B51FEF" w:rsidP="00B51FEF">
      <w:hyperlink r:id="rId7" w:anchor=":~:text=background%20radiation%20,is%20the%20Hubble" w:tgtFrame="_blank" w:history="1">
        <w:r w:rsidRPr="00B51FEF">
          <w:rPr>
            <w:rStyle w:val="Hyperlink"/>
          </w:rPr>
          <w:t>inspirehep.net</w:t>
        </w:r>
      </w:hyperlink>
    </w:p>
    <w:p w14:paraId="7BA9AE1B" w14:textId="77777777" w:rsidR="00B51FEF" w:rsidRPr="00B51FEF" w:rsidRDefault="00B51FEF" w:rsidP="00B51FEF">
      <w:r w:rsidRPr="00B51FEF">
        <w:t>, yielding an extremely small coupling $k \sim 1/(6m^2) \approx 2.8\times10^{-11}$ in Planck units. This refined value of $k$ ensures the $R^2$ term is significant only at the appropriate scale (early universe or very strong gravity), and vanishes otherwise, matching both theoretical expectations and empirical data.</w:t>
      </w:r>
    </w:p>
    <w:p w14:paraId="37894CF4" w14:textId="77777777" w:rsidR="00B51FEF" w:rsidRPr="00B51FEF" w:rsidRDefault="00B51FEF" w:rsidP="00B51FEF">
      <w:pPr>
        <w:numPr>
          <w:ilvl w:val="0"/>
          <w:numId w:val="1"/>
        </w:numPr>
      </w:pPr>
      <w:r w:rsidRPr="00B51FEF">
        <w:rPr>
          <w:b/>
          <w:bCs/>
        </w:rPr>
        <w:t>Comparison with Entropic Gravity Models:</w:t>
      </w:r>
      <w:r w:rsidRPr="00B51FEF">
        <w:t xml:space="preserve"> Verlinde’s emergent gravity and holographic dark energy models also introduce new “couplings,” but via thermodynamic or holographic arguments. Verlinde’s approach (entropic gravity) adds an apparent gravity effect attributed to horizon entropy, which effectively modifies the force law. However, simple entropic derivations can differ numerically from what is needed in reality. For example, Verlinde’s 2016 emergent gravity formula underestimates the required gravitational strength in galaxy clusters – it would need to be multiplied by about a factor of </w:t>
      </w:r>
      <w:r w:rsidRPr="00B51FEF">
        <w:rPr>
          <w:b/>
          <w:bCs/>
        </w:rPr>
        <w:t>3</w:t>
      </w:r>
      <w:r w:rsidRPr="00B51FEF">
        <w:t xml:space="preserve"> to match the observed dark matter effects</w:t>
      </w:r>
      <w:r w:rsidRPr="00B51FEF">
        <w:rPr>
          <w:rFonts w:ascii="Arial" w:hAnsi="Arial" w:cs="Arial"/>
        </w:rPr>
        <w:t>​</w:t>
      </w:r>
    </w:p>
    <w:p w14:paraId="2959EBF5" w14:textId="77777777" w:rsidR="00B51FEF" w:rsidRPr="00B51FEF" w:rsidRDefault="00B51FEF" w:rsidP="00B51FEF">
      <w:hyperlink r:id="rId8" w:anchor=":~:text=clusters%2C%20since%20it%20underestimates%20the,33%2C35%5D.%20Equation%20%28102%29%20also" w:tgtFrame="_blank" w:history="1">
        <w:r w:rsidRPr="00B51FEF">
          <w:rPr>
            <w:rStyle w:val="Hyperlink"/>
          </w:rPr>
          <w:t>pure.uva.nl</w:t>
        </w:r>
      </w:hyperlink>
    </w:p>
    <w:p w14:paraId="79BDDC22" w14:textId="77777777" w:rsidR="00B51FEF" w:rsidRPr="00B51FEF" w:rsidRDefault="00B51FEF" w:rsidP="00B51FEF">
      <w:r w:rsidRPr="00B51FEF">
        <w:t>. In other words, the entropically derived acceleration scale was too low. Likewise, holographic dark energy (HDE) models introduce a dimensionless parameter $c$ in the dark energy density ($\rho_{\rm DE} = \frac{3c^2 M_{\rm Pl}^2}{L^2}$). Naively one might set $c=1$, but this yields a dark energy equation-of-state that is off-target (e.g. $w_0\approx -0.89$ for $c=1$) compared to observations (which require $w_0\approx -1.03$)</w:t>
      </w:r>
      <w:r w:rsidRPr="00B51FEF">
        <w:rPr>
          <w:rFonts w:ascii="Arial" w:hAnsi="Arial" w:cs="Arial"/>
        </w:rPr>
        <w:t>​</w:t>
      </w:r>
    </w:p>
    <w:p w14:paraId="03B30528" w14:textId="77777777" w:rsidR="00B51FEF" w:rsidRPr="00B51FEF" w:rsidRDefault="00B51FEF" w:rsidP="00B51FEF">
      <w:hyperlink r:id="rId9" w:anchor=":~:text=And%20this%20is%20where%20the,1.03%5Cpm0.03" w:tgtFrame="_blank" w:history="1">
        <w:r w:rsidRPr="00B51FEF">
          <w:rPr>
            <w:rStyle w:val="Hyperlink"/>
          </w:rPr>
          <w:t>physics.stackexchange.com</w:t>
        </w:r>
      </w:hyperlink>
    </w:p>
    <w:p w14:paraId="05D98C4D" w14:textId="77777777" w:rsidR="00B51FEF" w:rsidRPr="00B51FEF" w:rsidRDefault="00B51FEF" w:rsidP="00B51FEF">
      <w:r w:rsidRPr="00B51FEF">
        <w:t>. Fits to data typically prefer $c\sim0.7$–0.8, a significant deviation from the simple theoretical guess. These examples show that emergent/holographic models often miss a numerical factor or require calibration – essentially a “coupling constant” adjustment – to align with empirical reality.</w:t>
      </w:r>
    </w:p>
    <w:p w14:paraId="05E8255E" w14:textId="77777777" w:rsidR="00B51FEF" w:rsidRPr="00B51FEF" w:rsidRDefault="00B51FEF" w:rsidP="00B51FEF">
      <w:pPr>
        <w:numPr>
          <w:ilvl w:val="0"/>
          <w:numId w:val="1"/>
        </w:numPr>
      </w:pPr>
      <w:r w:rsidRPr="00B51FEF">
        <w:rPr>
          <w:b/>
          <w:bCs/>
        </w:rPr>
        <w:lastRenderedPageBreak/>
        <w:t>Origin of the ~2.5 Discrepancy in k:</w:t>
      </w:r>
      <w:r w:rsidRPr="00B51FEF">
        <w:t xml:space="preserve"> The refined derivation of $k$ using the $f(R)$ (Starobinsky $R^2$) framework helps explain why earlier entropic estimates were off by a factor of about 2.5. The discrepancy arises because the entropic models made simplifying assumptions about how gravity emerges (for instance, idealized entropy equipartition or horizon geometry) that omitted some contributions. In Verlinde’s case, treating the de Sitter horizon entropy as isotropic and directly relating it to an extra acceleration left out the detailed distribution of matter (e.g. extended gas in clusters) – hence his derived effect was too small by roughly a factor of 2–3</w:t>
      </w:r>
      <w:r w:rsidRPr="00B51FEF">
        <w:rPr>
          <w:rFonts w:ascii="Arial" w:hAnsi="Arial" w:cs="Arial"/>
        </w:rPr>
        <w:t>​</w:t>
      </w:r>
    </w:p>
    <w:p w14:paraId="35EE2DE3" w14:textId="77777777" w:rsidR="00B51FEF" w:rsidRPr="00B51FEF" w:rsidRDefault="00B51FEF" w:rsidP="00B51FEF">
      <w:hyperlink r:id="rId10" w:anchor=":~:text=clusters%2C%20since%20it%20underestimates%20the,33%2C35%5D.%20Equation%20%28102%29%20also" w:tgtFrame="_blank" w:history="1">
        <w:r w:rsidRPr="00B51FEF">
          <w:rPr>
            <w:rStyle w:val="Hyperlink"/>
          </w:rPr>
          <w:t>pure.uva.nl</w:t>
        </w:r>
      </w:hyperlink>
    </w:p>
    <w:p w14:paraId="0D6333C9" w14:textId="77777777" w:rsidR="00B51FEF" w:rsidRPr="00B51FEF" w:rsidRDefault="00B51FEF" w:rsidP="00B51FEF">
      <w:r w:rsidRPr="00B51FEF">
        <w:t>. The $f(R)$ approach, on the other hand, effectively includes a new dynamical degree of freedom (the “scalaron” from the $R^2$ term) that can adjust the strength of gravity in a scale-dependent way. When one derives $k$ in this more rigorous framework, the extra factors (stemming from proper accounting of energy density, horizon thermodynamics, and quantum corrections) naturally appear, boosting $k$ to the empirically required value. In summary, the refined $k$ is higher (~2.5×) because the $f(R)$ derivation captures physics that the simplest entropic picture glossed over – bringing the theory into alignment with simulations and observations.</w:t>
      </w:r>
    </w:p>
    <w:p w14:paraId="31C66316" w14:textId="77777777" w:rsidR="00B51FEF" w:rsidRPr="00B51FEF" w:rsidRDefault="00B51FEF" w:rsidP="00B51FEF">
      <w:pPr>
        <w:rPr>
          <w:b/>
          <w:bCs/>
        </w:rPr>
      </w:pPr>
      <w:r w:rsidRPr="00B51FEF">
        <w:rPr>
          <w:b/>
          <w:bCs/>
        </w:rPr>
        <w:t>Clarification on the Critical Energy (E_crit) Implementation</w:t>
      </w:r>
    </w:p>
    <w:p w14:paraId="22D41E42" w14:textId="77777777" w:rsidR="00B51FEF" w:rsidRPr="00B51FEF" w:rsidRDefault="00B51FEF" w:rsidP="00B51FEF">
      <w:pPr>
        <w:numPr>
          <w:ilvl w:val="0"/>
          <w:numId w:val="2"/>
        </w:numPr>
      </w:pPr>
      <w:r w:rsidRPr="00B51FEF">
        <w:rPr>
          <w:b/>
          <w:bCs/>
        </w:rPr>
        <w:t>Current Implementation and Intended Scale:</w:t>
      </w:r>
      <w:r w:rsidRPr="00B51FEF">
        <w:t xml:space="preserve"> We need to verify how the critical energy density $E_{\rm crit}$ is handled in the simulations. It appears there may have been a mix-up in scale: instead of using a Planck-scale energy density, a much lower placeholder value was used. In fact, the Planck energy density is enormously high – on the order of $10^{113}$ J/m³</w:t>
      </w:r>
      <w:r w:rsidRPr="00B51FEF">
        <w:rPr>
          <w:rFonts w:ascii="Arial" w:hAnsi="Arial" w:cs="Arial"/>
        </w:rPr>
        <w:t>​</w:t>
      </w:r>
    </w:p>
    <w:p w14:paraId="3E998698" w14:textId="77777777" w:rsidR="00B51FEF" w:rsidRPr="00B51FEF" w:rsidRDefault="00B51FEF" w:rsidP="00B51FEF">
      <w:hyperlink r:id="rId11" w:anchor=":~:text=%5Csim%205%20%5Ctimes%2010%5E%7B,1%29%20is" w:tgtFrame="_blank" w:history="1">
        <w:r w:rsidRPr="00B51FEF">
          <w:rPr>
            <w:rStyle w:val="Hyperlink"/>
          </w:rPr>
          <w:t>physics.stackexchange.com</w:t>
        </w:r>
      </w:hyperlink>
    </w:p>
    <w:p w14:paraId="22CD4D09" w14:textId="77777777" w:rsidR="00B51FEF" w:rsidRPr="00B51FEF" w:rsidRDefault="00B51FEF" w:rsidP="00B51FEF">
      <w:r w:rsidRPr="00B51FEF">
        <w:t xml:space="preserve">(this is the natural “cutoff” density where quantum gravity becomes important). By contrast, $10^{-10}$ J/m³ is around the </w:t>
      </w:r>
      <w:r w:rsidRPr="00B51FEF">
        <w:rPr>
          <w:i/>
          <w:iCs/>
        </w:rPr>
        <w:t>cosmological dark energy</w:t>
      </w:r>
      <w:r w:rsidRPr="00B51FEF">
        <w:t xml:space="preserve"> density</w:t>
      </w:r>
      <w:r w:rsidRPr="00B51FEF">
        <w:rPr>
          <w:rFonts w:ascii="Arial" w:hAnsi="Arial" w:cs="Arial"/>
        </w:rPr>
        <w:t>​</w:t>
      </w:r>
    </w:p>
    <w:p w14:paraId="3911279D" w14:textId="77777777" w:rsidR="00B51FEF" w:rsidRPr="00B51FEF" w:rsidRDefault="00B51FEF" w:rsidP="00B51FEF">
      <w:hyperlink r:id="rId12" w:anchor=":~:text=%5Csim%205%20%5Ctimes%2010%5E%7B,1%29%20is" w:tgtFrame="_blank" w:history="1">
        <w:r w:rsidRPr="00B51FEF">
          <w:rPr>
            <w:rStyle w:val="Hyperlink"/>
          </w:rPr>
          <w:t>physics.stackexchange.com</w:t>
        </w:r>
      </w:hyperlink>
    </w:p>
    <w:p w14:paraId="6229879A" w14:textId="77777777" w:rsidR="00B51FEF" w:rsidRPr="00B51FEF" w:rsidRDefault="00B51FEF" w:rsidP="00B51FEF">
      <w:r w:rsidRPr="00B51FEF">
        <w:t xml:space="preserve">, a value </w:t>
      </w:r>
      <w:r w:rsidRPr="00B51FEF">
        <w:rPr>
          <w:b/>
          <w:bCs/>
        </w:rPr>
        <w:t>123</w:t>
      </w:r>
      <w:r w:rsidRPr="00B51FEF">
        <w:t xml:space="preserve"> orders of magnitude smaller. If the code was mistakenly using $10^{-10}$ J/m³ for $E_{\rm crit}$, it means the simulation was triggering modified-gravity effects at an absurdly low energy density. In other words, the model would start deviating from General Relativity in regimes as ordinary as intergalactic space (since $10^{-10}$ J/m³ is about the ambient vacuum energy), which is not intended. We have now documented that $E_{\rm crit}$ should in fact be set to a Planck-like density ($10^{113}$ J/m³) and </w:t>
      </w:r>
      <w:r w:rsidRPr="00B51FEF">
        <w:rPr>
          <w:b/>
          <w:bCs/>
        </w:rPr>
        <w:t>not</w:t>
      </w:r>
      <w:r w:rsidRPr="00B51FEF">
        <w:t xml:space="preserve"> a cosmological-scale density.</w:t>
      </w:r>
    </w:p>
    <w:p w14:paraId="6E44096A" w14:textId="77777777" w:rsidR="00B51FEF" w:rsidRPr="00B51FEF" w:rsidRDefault="00B51FEF" w:rsidP="00B51FEF">
      <w:pPr>
        <w:numPr>
          <w:ilvl w:val="0"/>
          <w:numId w:val="2"/>
        </w:numPr>
      </w:pPr>
      <w:r w:rsidRPr="00B51FEF">
        <w:rPr>
          <w:b/>
          <w:bCs/>
        </w:rPr>
        <w:t>Correcting $E_{\rm crit}$ to Planck Scale:</w:t>
      </w:r>
      <w:r w:rsidRPr="00B51FEF">
        <w:t xml:space="preserve"> We will adjust $E_{\rm crit}$ in the simulations to the proper Planck-scale value and then validate the outcomes. Using $E_{\rm crit}\sim10^{113}$ J/m³ (approximately the Planck density</w:t>
      </w:r>
      <w:r w:rsidRPr="00B51FEF">
        <w:rPr>
          <w:rFonts w:ascii="Arial" w:hAnsi="Arial" w:cs="Arial"/>
        </w:rPr>
        <w:t>​</w:t>
      </w:r>
    </w:p>
    <w:p w14:paraId="432A2BFB" w14:textId="77777777" w:rsidR="00B51FEF" w:rsidRPr="00B51FEF" w:rsidRDefault="00B51FEF" w:rsidP="00B51FEF">
      <w:hyperlink r:id="rId13" w:anchor=":~:text=%5Csim%205%20%5Ctimes%2010%5E%7B,1%29%20is" w:tgtFrame="_blank" w:history="1">
        <w:r w:rsidRPr="00B51FEF">
          <w:rPr>
            <w:rStyle w:val="Hyperlink"/>
          </w:rPr>
          <w:t>physics.stackexchange.com</w:t>
        </w:r>
      </w:hyperlink>
    </w:p>
    <w:p w14:paraId="43E61B6B" w14:textId="77777777" w:rsidR="00B51FEF" w:rsidRPr="00B51FEF" w:rsidRDefault="00B51FEF" w:rsidP="00B51FEF">
      <w:r w:rsidRPr="00B51FEF">
        <w:t xml:space="preserve">) ensures that the $R^2$ modifications only become significant at extreme conditions (near the Planck regime). Under normal astrophysical and cosmological conditions (far below this energy </w:t>
      </w:r>
      <w:r w:rsidRPr="00B51FEF">
        <w:lastRenderedPageBreak/>
        <w:t>density), the theory reduces to standard GR, as it should. After correcting this value, the simulations should be rerun or checked: we expect that previously observed deviations or anomalies (which were due to the erroneously low threshold) will vanish. Essentially, nothing noticeable should happen until energy densities approach $E_{\rm crit}$, at which point the code would incorporate the $R^2$-driven effects. This correction brings the numerical implementation into consistency with the theoretical setup – a crucial fix for accuracy. We will document the change and compare key results (e.g. galaxy rotation curves, cosmological expansion rates) before vs. after the fix to confirm that the only differences occur in regimes that are truly near-Planckian.</w:t>
      </w:r>
    </w:p>
    <w:p w14:paraId="6DB6AC8A" w14:textId="77777777" w:rsidR="00B51FEF" w:rsidRPr="00B51FEF" w:rsidRDefault="00B51FEF" w:rsidP="00B51FEF">
      <w:pPr>
        <w:numPr>
          <w:ilvl w:val="0"/>
          <w:numId w:val="2"/>
        </w:numPr>
      </w:pPr>
      <w:r w:rsidRPr="00B51FEF">
        <w:rPr>
          <w:b/>
          <w:bCs/>
        </w:rPr>
        <w:t>Testing an EFT Cutoff Alternative:</w:t>
      </w:r>
      <w:r w:rsidRPr="00B51FEF">
        <w:t xml:space="preserve"> In addition to the direct implementation of $E_{\rm crit}$ as a threshold, we will explore a more physically intuitive approach using an </w:t>
      </w:r>
      <w:r w:rsidRPr="00B51FEF">
        <w:rPr>
          <w:b/>
          <w:bCs/>
        </w:rPr>
        <w:t>effective field theory (EFT) cutoff</w:t>
      </w:r>
      <w:r w:rsidRPr="00B51FEF">
        <w:t xml:space="preserve">. The idea is to treat $E_{\rm crit}$ not just as a hard-coded density limit, but as an energy scale (or corresponding curvature scale) where new physics kicks in. For example, we can introduce a smooth high-frequency cutoff in the equations: modes or curvature contributions above a certain cutoff (comparable to the Planck energy or perhaps a fraction of it) are gradually suppressed. This is analogous to how an EFT would include all effects up to a cutoff $\Lambda$ (here $\Lambda \sim E_{\rm crit}^{1/4}$ in energy units or related to the Planck length) and ignore or dampen contributions beyond that. Implementing this could mean modifying the $R^2$ term to transition to a weaker effect as $R$ (or the local energy density) approaches the cutoff scale, instead of an abrupt switch. We will test such a scheme to see if it reproduces the intended phenomenology. The expectation is that an EFT-style cutoff will yield results similar to the sharp $E_{\rm crit}$ threshold, but with a more gradual onset of modifications. This approach has the benefit of being more </w:t>
      </w:r>
      <w:r w:rsidRPr="00B51FEF">
        <w:rPr>
          <w:i/>
          <w:iCs/>
        </w:rPr>
        <w:t>physically transparent</w:t>
      </w:r>
      <w:r w:rsidRPr="00B51FEF">
        <w:t xml:space="preserve"> – it ties the critical energy density to a fundamental cutoff scale in the theory, which is easier to justify in terms of known physics. If the EFT cutoff yields consistent results, it could replace the previous implementation, making the model more robust and conceptually clear. In any case, ensuring $E_{\rm crit}$ is implemented at the correct (Planck) scale – whether as a hard threshold or an effective cutoff – is essential for the RFT model’s accuracy and consistency with both analytical expectations and observational constraints.</w:t>
      </w:r>
    </w:p>
    <w:p w14:paraId="4F864849"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D4F0B"/>
    <w:multiLevelType w:val="multilevel"/>
    <w:tmpl w:val="26F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50C67"/>
    <w:multiLevelType w:val="multilevel"/>
    <w:tmpl w:val="F29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766856">
    <w:abstractNumId w:val="1"/>
  </w:num>
  <w:num w:numId="2" w16cid:durableId="138028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4978"/>
    <w:rsid w:val="00362BC5"/>
    <w:rsid w:val="006D06DB"/>
    <w:rsid w:val="00736310"/>
    <w:rsid w:val="008E7986"/>
    <w:rsid w:val="008F4978"/>
    <w:rsid w:val="00B2407C"/>
    <w:rsid w:val="00B51FEF"/>
    <w:rsid w:val="00D50300"/>
    <w:rsid w:val="00EC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9032D-1073-4171-A0B1-52067401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978"/>
    <w:rPr>
      <w:rFonts w:eastAsiaTheme="majorEastAsia" w:cstheme="majorBidi"/>
      <w:color w:val="272727" w:themeColor="text1" w:themeTint="D8"/>
    </w:rPr>
  </w:style>
  <w:style w:type="paragraph" w:styleId="Title">
    <w:name w:val="Title"/>
    <w:basedOn w:val="Normal"/>
    <w:next w:val="Normal"/>
    <w:link w:val="TitleChar"/>
    <w:uiPriority w:val="10"/>
    <w:qFormat/>
    <w:rsid w:val="008F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978"/>
    <w:pPr>
      <w:spacing w:before="160"/>
      <w:jc w:val="center"/>
    </w:pPr>
    <w:rPr>
      <w:i/>
      <w:iCs/>
      <w:color w:val="404040" w:themeColor="text1" w:themeTint="BF"/>
    </w:rPr>
  </w:style>
  <w:style w:type="character" w:customStyle="1" w:styleId="QuoteChar">
    <w:name w:val="Quote Char"/>
    <w:basedOn w:val="DefaultParagraphFont"/>
    <w:link w:val="Quote"/>
    <w:uiPriority w:val="29"/>
    <w:rsid w:val="008F4978"/>
    <w:rPr>
      <w:i/>
      <w:iCs/>
      <w:color w:val="404040" w:themeColor="text1" w:themeTint="BF"/>
    </w:rPr>
  </w:style>
  <w:style w:type="paragraph" w:styleId="ListParagraph">
    <w:name w:val="List Paragraph"/>
    <w:basedOn w:val="Normal"/>
    <w:uiPriority w:val="34"/>
    <w:qFormat/>
    <w:rsid w:val="008F4978"/>
    <w:pPr>
      <w:ind w:left="720"/>
      <w:contextualSpacing/>
    </w:pPr>
  </w:style>
  <w:style w:type="character" w:styleId="IntenseEmphasis">
    <w:name w:val="Intense Emphasis"/>
    <w:basedOn w:val="DefaultParagraphFont"/>
    <w:uiPriority w:val="21"/>
    <w:qFormat/>
    <w:rsid w:val="008F4978"/>
    <w:rPr>
      <w:i/>
      <w:iCs/>
      <w:color w:val="0F4761" w:themeColor="accent1" w:themeShade="BF"/>
    </w:rPr>
  </w:style>
  <w:style w:type="paragraph" w:styleId="IntenseQuote">
    <w:name w:val="Intense Quote"/>
    <w:basedOn w:val="Normal"/>
    <w:next w:val="Normal"/>
    <w:link w:val="IntenseQuoteChar"/>
    <w:uiPriority w:val="30"/>
    <w:qFormat/>
    <w:rsid w:val="008F4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978"/>
    <w:rPr>
      <w:i/>
      <w:iCs/>
      <w:color w:val="0F4761" w:themeColor="accent1" w:themeShade="BF"/>
    </w:rPr>
  </w:style>
  <w:style w:type="character" w:styleId="IntenseReference">
    <w:name w:val="Intense Reference"/>
    <w:basedOn w:val="DefaultParagraphFont"/>
    <w:uiPriority w:val="32"/>
    <w:qFormat/>
    <w:rsid w:val="008F4978"/>
    <w:rPr>
      <w:b/>
      <w:bCs/>
      <w:smallCaps/>
      <w:color w:val="0F4761" w:themeColor="accent1" w:themeShade="BF"/>
      <w:spacing w:val="5"/>
    </w:rPr>
  </w:style>
  <w:style w:type="character" w:styleId="Hyperlink">
    <w:name w:val="Hyperlink"/>
    <w:basedOn w:val="DefaultParagraphFont"/>
    <w:uiPriority w:val="99"/>
    <w:unhideWhenUsed/>
    <w:rsid w:val="00B51FEF"/>
    <w:rPr>
      <w:color w:val="467886" w:themeColor="hyperlink"/>
      <w:u w:val="single"/>
    </w:rPr>
  </w:style>
  <w:style w:type="character" w:styleId="UnresolvedMention">
    <w:name w:val="Unresolved Mention"/>
    <w:basedOn w:val="DefaultParagraphFont"/>
    <w:uiPriority w:val="99"/>
    <w:semiHidden/>
    <w:unhideWhenUsed/>
    <w:rsid w:val="00B51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65285">
      <w:bodyDiv w:val="1"/>
      <w:marLeft w:val="0"/>
      <w:marRight w:val="0"/>
      <w:marTop w:val="0"/>
      <w:marBottom w:val="0"/>
      <w:divBdr>
        <w:top w:val="none" w:sz="0" w:space="0" w:color="auto"/>
        <w:left w:val="none" w:sz="0" w:space="0" w:color="auto"/>
        <w:bottom w:val="none" w:sz="0" w:space="0" w:color="auto"/>
        <w:right w:val="none" w:sz="0" w:space="0" w:color="auto"/>
      </w:divBdr>
      <w:divsChild>
        <w:div w:id="1534995956">
          <w:marLeft w:val="0"/>
          <w:marRight w:val="0"/>
          <w:marTop w:val="0"/>
          <w:marBottom w:val="0"/>
          <w:divBdr>
            <w:top w:val="none" w:sz="0" w:space="0" w:color="auto"/>
            <w:left w:val="none" w:sz="0" w:space="0" w:color="auto"/>
            <w:bottom w:val="none" w:sz="0" w:space="0" w:color="auto"/>
            <w:right w:val="none" w:sz="0" w:space="0" w:color="auto"/>
          </w:divBdr>
          <w:divsChild>
            <w:div w:id="1322807233">
              <w:marLeft w:val="0"/>
              <w:marRight w:val="0"/>
              <w:marTop w:val="0"/>
              <w:marBottom w:val="0"/>
              <w:divBdr>
                <w:top w:val="none" w:sz="0" w:space="0" w:color="auto"/>
                <w:left w:val="none" w:sz="0" w:space="0" w:color="auto"/>
                <w:bottom w:val="none" w:sz="0" w:space="0" w:color="auto"/>
                <w:right w:val="none" w:sz="0" w:space="0" w:color="auto"/>
              </w:divBdr>
              <w:divsChild>
                <w:div w:id="1300260226">
                  <w:marLeft w:val="0"/>
                  <w:marRight w:val="0"/>
                  <w:marTop w:val="0"/>
                  <w:marBottom w:val="0"/>
                  <w:divBdr>
                    <w:top w:val="none" w:sz="0" w:space="0" w:color="auto"/>
                    <w:left w:val="none" w:sz="0" w:space="0" w:color="auto"/>
                    <w:bottom w:val="none" w:sz="0" w:space="0" w:color="auto"/>
                    <w:right w:val="none" w:sz="0" w:space="0" w:color="auto"/>
                  </w:divBdr>
                  <w:divsChild>
                    <w:div w:id="1607693165">
                      <w:marLeft w:val="0"/>
                      <w:marRight w:val="0"/>
                      <w:marTop w:val="0"/>
                      <w:marBottom w:val="0"/>
                      <w:divBdr>
                        <w:top w:val="none" w:sz="0" w:space="0" w:color="auto"/>
                        <w:left w:val="none" w:sz="0" w:space="0" w:color="auto"/>
                        <w:bottom w:val="none" w:sz="0" w:space="0" w:color="auto"/>
                        <w:right w:val="none" w:sz="0" w:space="0" w:color="auto"/>
                      </w:divBdr>
                      <w:divsChild>
                        <w:div w:id="1769351163">
                          <w:marLeft w:val="0"/>
                          <w:marRight w:val="0"/>
                          <w:marTop w:val="0"/>
                          <w:marBottom w:val="0"/>
                          <w:divBdr>
                            <w:top w:val="none" w:sz="0" w:space="0" w:color="auto"/>
                            <w:left w:val="none" w:sz="0" w:space="0" w:color="auto"/>
                            <w:bottom w:val="none" w:sz="0" w:space="0" w:color="auto"/>
                            <w:right w:val="none" w:sz="0" w:space="0" w:color="auto"/>
                          </w:divBdr>
                          <w:divsChild>
                            <w:div w:id="788739068">
                              <w:marLeft w:val="0"/>
                              <w:marRight w:val="0"/>
                              <w:marTop w:val="0"/>
                              <w:marBottom w:val="0"/>
                              <w:divBdr>
                                <w:top w:val="none" w:sz="0" w:space="0" w:color="auto"/>
                                <w:left w:val="none" w:sz="0" w:space="0" w:color="auto"/>
                                <w:bottom w:val="none" w:sz="0" w:space="0" w:color="auto"/>
                                <w:right w:val="none" w:sz="0" w:space="0" w:color="auto"/>
                              </w:divBdr>
                              <w:divsChild>
                                <w:div w:id="833958366">
                                  <w:marLeft w:val="0"/>
                                  <w:marRight w:val="0"/>
                                  <w:marTop w:val="0"/>
                                  <w:marBottom w:val="0"/>
                                  <w:divBdr>
                                    <w:top w:val="none" w:sz="0" w:space="0" w:color="auto"/>
                                    <w:left w:val="none" w:sz="0" w:space="0" w:color="auto"/>
                                    <w:bottom w:val="none" w:sz="0" w:space="0" w:color="auto"/>
                                    <w:right w:val="none" w:sz="0" w:space="0" w:color="auto"/>
                                  </w:divBdr>
                                  <w:divsChild>
                                    <w:div w:id="1004748976">
                                      <w:marLeft w:val="0"/>
                                      <w:marRight w:val="0"/>
                                      <w:marTop w:val="0"/>
                                      <w:marBottom w:val="0"/>
                                      <w:divBdr>
                                        <w:top w:val="none" w:sz="0" w:space="0" w:color="auto"/>
                                        <w:left w:val="none" w:sz="0" w:space="0" w:color="auto"/>
                                        <w:bottom w:val="none" w:sz="0" w:space="0" w:color="auto"/>
                                        <w:right w:val="none" w:sz="0" w:space="0" w:color="auto"/>
                                      </w:divBdr>
                                      <w:divsChild>
                                        <w:div w:id="888954896">
                                          <w:marLeft w:val="0"/>
                                          <w:marRight w:val="0"/>
                                          <w:marTop w:val="0"/>
                                          <w:marBottom w:val="0"/>
                                          <w:divBdr>
                                            <w:top w:val="none" w:sz="0" w:space="0" w:color="auto"/>
                                            <w:left w:val="none" w:sz="0" w:space="0" w:color="auto"/>
                                            <w:bottom w:val="none" w:sz="0" w:space="0" w:color="auto"/>
                                            <w:right w:val="none" w:sz="0" w:space="0" w:color="auto"/>
                                          </w:divBdr>
                                        </w:div>
                                        <w:div w:id="1812868008">
                                          <w:marLeft w:val="0"/>
                                          <w:marRight w:val="0"/>
                                          <w:marTop w:val="0"/>
                                          <w:marBottom w:val="0"/>
                                          <w:divBdr>
                                            <w:top w:val="none" w:sz="0" w:space="0" w:color="auto"/>
                                            <w:left w:val="none" w:sz="0" w:space="0" w:color="auto"/>
                                            <w:bottom w:val="none" w:sz="0" w:space="0" w:color="auto"/>
                                            <w:right w:val="none" w:sz="0" w:space="0" w:color="auto"/>
                                          </w:divBdr>
                                        </w:div>
                                        <w:div w:id="1541747917">
                                          <w:marLeft w:val="0"/>
                                          <w:marRight w:val="0"/>
                                          <w:marTop w:val="0"/>
                                          <w:marBottom w:val="0"/>
                                          <w:divBdr>
                                            <w:top w:val="none" w:sz="0" w:space="0" w:color="auto"/>
                                            <w:left w:val="none" w:sz="0" w:space="0" w:color="auto"/>
                                            <w:bottom w:val="none" w:sz="0" w:space="0" w:color="auto"/>
                                            <w:right w:val="none" w:sz="0" w:space="0" w:color="auto"/>
                                          </w:divBdr>
                                        </w:div>
                                        <w:div w:id="786001000">
                                          <w:marLeft w:val="0"/>
                                          <w:marRight w:val="0"/>
                                          <w:marTop w:val="0"/>
                                          <w:marBottom w:val="0"/>
                                          <w:divBdr>
                                            <w:top w:val="none" w:sz="0" w:space="0" w:color="auto"/>
                                            <w:left w:val="none" w:sz="0" w:space="0" w:color="auto"/>
                                            <w:bottom w:val="none" w:sz="0" w:space="0" w:color="auto"/>
                                            <w:right w:val="none" w:sz="0" w:space="0" w:color="auto"/>
                                          </w:divBdr>
                                        </w:div>
                                        <w:div w:id="2009290763">
                                          <w:marLeft w:val="0"/>
                                          <w:marRight w:val="0"/>
                                          <w:marTop w:val="0"/>
                                          <w:marBottom w:val="0"/>
                                          <w:divBdr>
                                            <w:top w:val="none" w:sz="0" w:space="0" w:color="auto"/>
                                            <w:left w:val="none" w:sz="0" w:space="0" w:color="auto"/>
                                            <w:bottom w:val="none" w:sz="0" w:space="0" w:color="auto"/>
                                            <w:right w:val="none" w:sz="0" w:space="0" w:color="auto"/>
                                          </w:divBdr>
                                        </w:div>
                                        <w:div w:id="948708462">
                                          <w:marLeft w:val="0"/>
                                          <w:marRight w:val="0"/>
                                          <w:marTop w:val="0"/>
                                          <w:marBottom w:val="0"/>
                                          <w:divBdr>
                                            <w:top w:val="none" w:sz="0" w:space="0" w:color="auto"/>
                                            <w:left w:val="none" w:sz="0" w:space="0" w:color="auto"/>
                                            <w:bottom w:val="none" w:sz="0" w:space="0" w:color="auto"/>
                                            <w:right w:val="none" w:sz="0" w:space="0" w:color="auto"/>
                                          </w:divBdr>
                                        </w:div>
                                        <w:div w:id="80177848">
                                          <w:marLeft w:val="0"/>
                                          <w:marRight w:val="0"/>
                                          <w:marTop w:val="0"/>
                                          <w:marBottom w:val="0"/>
                                          <w:divBdr>
                                            <w:top w:val="none" w:sz="0" w:space="0" w:color="auto"/>
                                            <w:left w:val="none" w:sz="0" w:space="0" w:color="auto"/>
                                            <w:bottom w:val="none" w:sz="0" w:space="0" w:color="auto"/>
                                            <w:right w:val="none" w:sz="0" w:space="0" w:color="auto"/>
                                          </w:divBdr>
                                        </w:div>
                                        <w:div w:id="834759867">
                                          <w:marLeft w:val="0"/>
                                          <w:marRight w:val="0"/>
                                          <w:marTop w:val="0"/>
                                          <w:marBottom w:val="0"/>
                                          <w:divBdr>
                                            <w:top w:val="none" w:sz="0" w:space="0" w:color="auto"/>
                                            <w:left w:val="none" w:sz="0" w:space="0" w:color="auto"/>
                                            <w:bottom w:val="none" w:sz="0" w:space="0" w:color="auto"/>
                                            <w:right w:val="none" w:sz="0" w:space="0" w:color="auto"/>
                                          </w:divBdr>
                                        </w:div>
                                        <w:div w:id="15978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539385">
      <w:bodyDiv w:val="1"/>
      <w:marLeft w:val="0"/>
      <w:marRight w:val="0"/>
      <w:marTop w:val="0"/>
      <w:marBottom w:val="0"/>
      <w:divBdr>
        <w:top w:val="none" w:sz="0" w:space="0" w:color="auto"/>
        <w:left w:val="none" w:sz="0" w:space="0" w:color="auto"/>
        <w:bottom w:val="none" w:sz="0" w:space="0" w:color="auto"/>
        <w:right w:val="none" w:sz="0" w:space="0" w:color="auto"/>
      </w:divBdr>
      <w:divsChild>
        <w:div w:id="494152462">
          <w:marLeft w:val="0"/>
          <w:marRight w:val="0"/>
          <w:marTop w:val="0"/>
          <w:marBottom w:val="0"/>
          <w:divBdr>
            <w:top w:val="none" w:sz="0" w:space="0" w:color="auto"/>
            <w:left w:val="none" w:sz="0" w:space="0" w:color="auto"/>
            <w:bottom w:val="none" w:sz="0" w:space="0" w:color="auto"/>
            <w:right w:val="none" w:sz="0" w:space="0" w:color="auto"/>
          </w:divBdr>
          <w:divsChild>
            <w:div w:id="1963992998">
              <w:marLeft w:val="0"/>
              <w:marRight w:val="0"/>
              <w:marTop w:val="0"/>
              <w:marBottom w:val="0"/>
              <w:divBdr>
                <w:top w:val="none" w:sz="0" w:space="0" w:color="auto"/>
                <w:left w:val="none" w:sz="0" w:space="0" w:color="auto"/>
                <w:bottom w:val="none" w:sz="0" w:space="0" w:color="auto"/>
                <w:right w:val="none" w:sz="0" w:space="0" w:color="auto"/>
              </w:divBdr>
              <w:divsChild>
                <w:div w:id="1722172247">
                  <w:marLeft w:val="0"/>
                  <w:marRight w:val="0"/>
                  <w:marTop w:val="0"/>
                  <w:marBottom w:val="0"/>
                  <w:divBdr>
                    <w:top w:val="none" w:sz="0" w:space="0" w:color="auto"/>
                    <w:left w:val="none" w:sz="0" w:space="0" w:color="auto"/>
                    <w:bottom w:val="none" w:sz="0" w:space="0" w:color="auto"/>
                    <w:right w:val="none" w:sz="0" w:space="0" w:color="auto"/>
                  </w:divBdr>
                  <w:divsChild>
                    <w:div w:id="855850898">
                      <w:marLeft w:val="0"/>
                      <w:marRight w:val="0"/>
                      <w:marTop w:val="0"/>
                      <w:marBottom w:val="0"/>
                      <w:divBdr>
                        <w:top w:val="none" w:sz="0" w:space="0" w:color="auto"/>
                        <w:left w:val="none" w:sz="0" w:space="0" w:color="auto"/>
                        <w:bottom w:val="none" w:sz="0" w:space="0" w:color="auto"/>
                        <w:right w:val="none" w:sz="0" w:space="0" w:color="auto"/>
                      </w:divBdr>
                      <w:divsChild>
                        <w:div w:id="1120762153">
                          <w:marLeft w:val="0"/>
                          <w:marRight w:val="0"/>
                          <w:marTop w:val="0"/>
                          <w:marBottom w:val="0"/>
                          <w:divBdr>
                            <w:top w:val="none" w:sz="0" w:space="0" w:color="auto"/>
                            <w:left w:val="none" w:sz="0" w:space="0" w:color="auto"/>
                            <w:bottom w:val="none" w:sz="0" w:space="0" w:color="auto"/>
                            <w:right w:val="none" w:sz="0" w:space="0" w:color="auto"/>
                          </w:divBdr>
                          <w:divsChild>
                            <w:div w:id="1035303903">
                              <w:marLeft w:val="0"/>
                              <w:marRight w:val="0"/>
                              <w:marTop w:val="0"/>
                              <w:marBottom w:val="0"/>
                              <w:divBdr>
                                <w:top w:val="none" w:sz="0" w:space="0" w:color="auto"/>
                                <w:left w:val="none" w:sz="0" w:space="0" w:color="auto"/>
                                <w:bottom w:val="none" w:sz="0" w:space="0" w:color="auto"/>
                                <w:right w:val="none" w:sz="0" w:space="0" w:color="auto"/>
                              </w:divBdr>
                              <w:divsChild>
                                <w:div w:id="1858501012">
                                  <w:marLeft w:val="0"/>
                                  <w:marRight w:val="0"/>
                                  <w:marTop w:val="0"/>
                                  <w:marBottom w:val="0"/>
                                  <w:divBdr>
                                    <w:top w:val="none" w:sz="0" w:space="0" w:color="auto"/>
                                    <w:left w:val="none" w:sz="0" w:space="0" w:color="auto"/>
                                    <w:bottom w:val="none" w:sz="0" w:space="0" w:color="auto"/>
                                    <w:right w:val="none" w:sz="0" w:space="0" w:color="auto"/>
                                  </w:divBdr>
                                  <w:divsChild>
                                    <w:div w:id="229314277">
                                      <w:marLeft w:val="0"/>
                                      <w:marRight w:val="0"/>
                                      <w:marTop w:val="0"/>
                                      <w:marBottom w:val="0"/>
                                      <w:divBdr>
                                        <w:top w:val="none" w:sz="0" w:space="0" w:color="auto"/>
                                        <w:left w:val="none" w:sz="0" w:space="0" w:color="auto"/>
                                        <w:bottom w:val="none" w:sz="0" w:space="0" w:color="auto"/>
                                        <w:right w:val="none" w:sz="0" w:space="0" w:color="auto"/>
                                      </w:divBdr>
                                      <w:divsChild>
                                        <w:div w:id="1152058733">
                                          <w:marLeft w:val="0"/>
                                          <w:marRight w:val="0"/>
                                          <w:marTop w:val="0"/>
                                          <w:marBottom w:val="0"/>
                                          <w:divBdr>
                                            <w:top w:val="none" w:sz="0" w:space="0" w:color="auto"/>
                                            <w:left w:val="none" w:sz="0" w:space="0" w:color="auto"/>
                                            <w:bottom w:val="none" w:sz="0" w:space="0" w:color="auto"/>
                                            <w:right w:val="none" w:sz="0" w:space="0" w:color="auto"/>
                                          </w:divBdr>
                                        </w:div>
                                        <w:div w:id="497501949">
                                          <w:marLeft w:val="0"/>
                                          <w:marRight w:val="0"/>
                                          <w:marTop w:val="0"/>
                                          <w:marBottom w:val="0"/>
                                          <w:divBdr>
                                            <w:top w:val="none" w:sz="0" w:space="0" w:color="auto"/>
                                            <w:left w:val="none" w:sz="0" w:space="0" w:color="auto"/>
                                            <w:bottom w:val="none" w:sz="0" w:space="0" w:color="auto"/>
                                            <w:right w:val="none" w:sz="0" w:space="0" w:color="auto"/>
                                          </w:divBdr>
                                        </w:div>
                                        <w:div w:id="111218170">
                                          <w:marLeft w:val="0"/>
                                          <w:marRight w:val="0"/>
                                          <w:marTop w:val="0"/>
                                          <w:marBottom w:val="0"/>
                                          <w:divBdr>
                                            <w:top w:val="none" w:sz="0" w:space="0" w:color="auto"/>
                                            <w:left w:val="none" w:sz="0" w:space="0" w:color="auto"/>
                                            <w:bottom w:val="none" w:sz="0" w:space="0" w:color="auto"/>
                                            <w:right w:val="none" w:sz="0" w:space="0" w:color="auto"/>
                                          </w:divBdr>
                                        </w:div>
                                        <w:div w:id="909995708">
                                          <w:marLeft w:val="0"/>
                                          <w:marRight w:val="0"/>
                                          <w:marTop w:val="0"/>
                                          <w:marBottom w:val="0"/>
                                          <w:divBdr>
                                            <w:top w:val="none" w:sz="0" w:space="0" w:color="auto"/>
                                            <w:left w:val="none" w:sz="0" w:space="0" w:color="auto"/>
                                            <w:bottom w:val="none" w:sz="0" w:space="0" w:color="auto"/>
                                            <w:right w:val="none" w:sz="0" w:space="0" w:color="auto"/>
                                          </w:divBdr>
                                        </w:div>
                                        <w:div w:id="1130055197">
                                          <w:marLeft w:val="0"/>
                                          <w:marRight w:val="0"/>
                                          <w:marTop w:val="0"/>
                                          <w:marBottom w:val="0"/>
                                          <w:divBdr>
                                            <w:top w:val="none" w:sz="0" w:space="0" w:color="auto"/>
                                            <w:left w:val="none" w:sz="0" w:space="0" w:color="auto"/>
                                            <w:bottom w:val="none" w:sz="0" w:space="0" w:color="auto"/>
                                            <w:right w:val="none" w:sz="0" w:space="0" w:color="auto"/>
                                          </w:divBdr>
                                        </w:div>
                                        <w:div w:id="1767382075">
                                          <w:marLeft w:val="0"/>
                                          <w:marRight w:val="0"/>
                                          <w:marTop w:val="0"/>
                                          <w:marBottom w:val="0"/>
                                          <w:divBdr>
                                            <w:top w:val="none" w:sz="0" w:space="0" w:color="auto"/>
                                            <w:left w:val="none" w:sz="0" w:space="0" w:color="auto"/>
                                            <w:bottom w:val="none" w:sz="0" w:space="0" w:color="auto"/>
                                            <w:right w:val="none" w:sz="0" w:space="0" w:color="auto"/>
                                          </w:divBdr>
                                        </w:div>
                                        <w:div w:id="1245648760">
                                          <w:marLeft w:val="0"/>
                                          <w:marRight w:val="0"/>
                                          <w:marTop w:val="0"/>
                                          <w:marBottom w:val="0"/>
                                          <w:divBdr>
                                            <w:top w:val="none" w:sz="0" w:space="0" w:color="auto"/>
                                            <w:left w:val="none" w:sz="0" w:space="0" w:color="auto"/>
                                            <w:bottom w:val="none" w:sz="0" w:space="0" w:color="auto"/>
                                            <w:right w:val="none" w:sz="0" w:space="0" w:color="auto"/>
                                          </w:divBdr>
                                        </w:div>
                                        <w:div w:id="1932859092">
                                          <w:marLeft w:val="0"/>
                                          <w:marRight w:val="0"/>
                                          <w:marTop w:val="0"/>
                                          <w:marBottom w:val="0"/>
                                          <w:divBdr>
                                            <w:top w:val="none" w:sz="0" w:space="0" w:color="auto"/>
                                            <w:left w:val="none" w:sz="0" w:space="0" w:color="auto"/>
                                            <w:bottom w:val="none" w:sz="0" w:space="0" w:color="auto"/>
                                            <w:right w:val="none" w:sz="0" w:space="0" w:color="auto"/>
                                          </w:divBdr>
                                        </w:div>
                                        <w:div w:id="14505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uva.nl/ws/files/58825053/SciPostPhys_2_3_016.pdf" TargetMode="External"/><Relationship Id="rId13" Type="http://schemas.openxmlformats.org/officeDocument/2006/relationships/hyperlink" Target="https://physics.stackexchange.com/questions/507447/entropy-of-de-sitter-spacetime-and-the-10120-vacuum-discrepency" TargetMode="External"/><Relationship Id="rId3" Type="http://schemas.openxmlformats.org/officeDocument/2006/relationships/settings" Target="settings.xml"/><Relationship Id="rId7" Type="http://schemas.openxmlformats.org/officeDocument/2006/relationships/hyperlink" Target="https://inspirehep.net/files/3d5556fa5b9d0d9e07bb1fab9d305cb5" TargetMode="External"/><Relationship Id="rId12" Type="http://schemas.openxmlformats.org/officeDocument/2006/relationships/hyperlink" Target="https://physics.stackexchange.com/questions/507447/entropy-of-de-sitter-spacetime-and-the-10120-vacuum-discrep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pirehep.net/files/3d5556fa5b9d0d9e07bb1fab9d305cb5" TargetMode="External"/><Relationship Id="rId11" Type="http://schemas.openxmlformats.org/officeDocument/2006/relationships/hyperlink" Target="https://physics.stackexchange.com/questions/507447/entropy-of-de-sitter-spacetime-and-the-10120-vacuum-discrepency" TargetMode="External"/><Relationship Id="rId5" Type="http://schemas.openxmlformats.org/officeDocument/2006/relationships/hyperlink" Target="https://inspirehep.net/files/3d5556fa5b9d0d9e07bb1fab9d305cb5" TargetMode="External"/><Relationship Id="rId15" Type="http://schemas.openxmlformats.org/officeDocument/2006/relationships/theme" Target="theme/theme1.xml"/><Relationship Id="rId10" Type="http://schemas.openxmlformats.org/officeDocument/2006/relationships/hyperlink" Target="https://pure.uva.nl/ws/files/58825053/SciPostPhys_2_3_016.pdf" TargetMode="External"/><Relationship Id="rId4" Type="http://schemas.openxmlformats.org/officeDocument/2006/relationships/webSettings" Target="webSettings.xml"/><Relationship Id="rId9" Type="http://schemas.openxmlformats.org/officeDocument/2006/relationships/hyperlink" Target="https://physics.stackexchange.com/questions/823417/varying-c-term-in-the-holographic-dark-energy-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2025-03-06T18:43:00Z</dcterms:created>
  <dcterms:modified xsi:type="dcterms:W3CDTF">2025-03-06T18:43:00Z</dcterms:modified>
</cp:coreProperties>
</file>