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42CA1" w14:textId="77777777" w:rsidR="00FB6037" w:rsidRPr="00FB6037" w:rsidRDefault="00FB6037" w:rsidP="00FB6037">
      <w:r w:rsidRPr="00FB6037">
        <w:t>continuing…</w:t>
      </w:r>
    </w:p>
    <w:p w14:paraId="5700E026" w14:textId="77777777" w:rsidR="00FB6037" w:rsidRPr="00FB6037" w:rsidRDefault="00FB6037" w:rsidP="00FB6037">
      <w:r w:rsidRPr="00FB6037">
        <w:t xml:space="preserve">meaning that the scalaron can be triggered at </w:t>
      </w:r>
      <w:r w:rsidRPr="00FB6037">
        <w:rPr>
          <w:i/>
          <w:iCs/>
        </w:rPr>
        <w:t>k</w:t>
      </w:r>
      <w:r w:rsidRPr="00FB6037">
        <w:t xml:space="preserve"> slightly below 0.5, effectively making it easier to activate under those conditions. Physically, this reflects that the system, when violently out of equilibrium, “permits” a deviation from the normal gravity regime more readily. Conversely, one could also frame it as the scalaron’s coupling strength increasing with entropy – so rather than a threshold shift, the source term for the scalaron field in RFT’s equations includes an entropy term.</w:t>
      </w:r>
    </w:p>
    <w:p w14:paraId="57A3EC78" w14:textId="77777777" w:rsidR="00FB6037" w:rsidRPr="00FB6037" w:rsidRDefault="00FB6037" w:rsidP="00FB6037">
      <w:pPr>
        <w:numPr>
          <w:ilvl w:val="0"/>
          <w:numId w:val="1"/>
        </w:numPr>
      </w:pPr>
      <w:r w:rsidRPr="00FB6037">
        <w:rPr>
          <w:b/>
          <w:bCs/>
        </w:rPr>
        <w:t>Incorporating Screening Effects:</w:t>
      </w:r>
      <w:r w:rsidRPr="00FB6037">
        <w:t xml:space="preserve"> Any refined model must remain consistent with known </w:t>
      </w:r>
      <w:r w:rsidRPr="00FB6037">
        <w:rPr>
          <w:b/>
          <w:bCs/>
        </w:rPr>
        <w:t>screening mechanisms</w:t>
      </w:r>
      <w:r w:rsidRPr="00FB6037">
        <w:t xml:space="preserve">. In dense environments (e.g. within galaxies or deep cluster cores), we expect the scalaron to be strongly screened (suppressed), just as before. Our entropy-dependent criterion does not negate that; rather it augments it by saying </w:t>
      </w:r>
      <w:r w:rsidRPr="00FB6037">
        <w:rPr>
          <w:i/>
          <w:iCs/>
        </w:rPr>
        <w:t>even if</w:t>
      </w:r>
      <w:r w:rsidRPr="00FB6037">
        <w:t xml:space="preserve"> density is high (screening on), a sufficiently large entropy </w:t>
      </w:r>
      <w:r w:rsidRPr="00FB6037">
        <w:rPr>
          <w:i/>
          <w:iCs/>
        </w:rPr>
        <w:t>gradient</w:t>
      </w:r>
      <w:r w:rsidRPr="00FB6037">
        <w:t xml:space="preserve"> might unscreen the field locally. This is akin to the chameleon mechanism but triggered by dynamics: normally, a high ambient density gives the scalar field a large effective mass (short range)</w:t>
      </w:r>
      <w:r w:rsidRPr="00FB6037">
        <w:rPr>
          <w:rFonts w:ascii="Arial" w:hAnsi="Arial" w:cs="Arial"/>
        </w:rPr>
        <w:t>​</w:t>
      </w:r>
    </w:p>
    <w:p w14:paraId="46B38931" w14:textId="77777777" w:rsidR="00FB6037" w:rsidRPr="00FB6037" w:rsidRDefault="00FB6037" w:rsidP="00FB6037">
      <w:hyperlink r:id="rId5" w:anchor=":~:text=effective%20potential%20of%20the%20scalar,We%20further%20calculate%20the" w:tgtFrame="_blank" w:history="1">
        <w:r w:rsidRPr="00FB6037">
          <w:rPr>
            <w:rStyle w:val="Hyperlink"/>
          </w:rPr>
          <w:t>arxiv.org</w:t>
        </w:r>
      </w:hyperlink>
    </w:p>
    <w:p w14:paraId="70A2EF38" w14:textId="77777777" w:rsidR="00FB6037" w:rsidRPr="00FB6037" w:rsidRDefault="00FB6037" w:rsidP="00FB6037">
      <w:r w:rsidRPr="00FB6037">
        <w:t xml:space="preserve">, but a rapid change like a shock could momentarily alter that balance. We incorporate this by possibly tying the scalaron’s mass term to entropy as well – e.g., $m_\phi^2 \propto (1 + \alpha S^{-1}) \rho$ for some coupling $\alpha$, so that if entropy $S$ is high (shock-heated, meaning $\rho$ low for a given energy), the effective mass drops and the field extends its reach. The exact parameterization will be developed and calibrated to ensure that in the </w:t>
      </w:r>
      <w:r w:rsidRPr="00FB6037">
        <w:rPr>
          <w:b/>
          <w:bCs/>
        </w:rPr>
        <w:t>limit of no disturbance</w:t>
      </w:r>
      <w:r w:rsidRPr="00FB6037">
        <w:t xml:space="preserve">, we recover the original RFT behavior (thus satisfying solar system and static cluster constraints), while in the </w:t>
      </w:r>
      <w:r w:rsidRPr="00FB6037">
        <w:rPr>
          <w:b/>
          <w:bCs/>
        </w:rPr>
        <w:t>limit of a major disturbance</w:t>
      </w:r>
      <w:r w:rsidRPr="00FB6037">
        <w:t>, the scalaron can transiently unscreen.</w:t>
      </w:r>
    </w:p>
    <w:p w14:paraId="35C0300E" w14:textId="77777777" w:rsidR="00FB6037" w:rsidRPr="00FB6037" w:rsidRDefault="00FB6037" w:rsidP="00FB6037">
      <w:pPr>
        <w:numPr>
          <w:ilvl w:val="0"/>
          <w:numId w:val="1"/>
        </w:numPr>
      </w:pPr>
      <w:r w:rsidRPr="00FB6037">
        <w:rPr>
          <w:b/>
          <w:bCs/>
        </w:rPr>
        <w:t>Alternative Entropy Measures:</w:t>
      </w:r>
      <w:r w:rsidRPr="00FB6037">
        <w:t xml:space="preserve"> In refining the theory, we also consider whether using </w:t>
      </w:r>
      <w:r w:rsidRPr="00FB6037">
        <w:rPr>
          <w:b/>
          <w:bCs/>
        </w:rPr>
        <w:t>non-standard entropy measures</w:t>
      </w:r>
      <w:r w:rsidRPr="00FB6037">
        <w:t xml:space="preserve"> provides any advantage in characterizing the system’s state. The </w:t>
      </w:r>
      <w:r w:rsidRPr="00FB6037">
        <w:rPr>
          <w:b/>
          <w:bCs/>
        </w:rPr>
        <w:t>Shannon entropy</w:t>
      </w:r>
      <w:r w:rsidRPr="00FB6037">
        <w:t xml:space="preserve"> (information entropy) of the matter distribution has been our primary tool, but one might explore </w:t>
      </w:r>
      <w:r w:rsidRPr="00FB6037">
        <w:rPr>
          <w:b/>
          <w:bCs/>
        </w:rPr>
        <w:t>Tsallis entropy</w:t>
      </w:r>
      <w:r w:rsidRPr="00FB6037">
        <w:t xml:space="preserve"> (characterized by an index </w:t>
      </w:r>
      <w:r w:rsidRPr="00FB6037">
        <w:rPr>
          <w:i/>
          <w:iCs/>
        </w:rPr>
        <w:t>q</w:t>
      </w:r>
      <w:r w:rsidRPr="00FB6037">
        <w:t xml:space="preserve">) which is useful for systems with long-range interactions and can weight extreme deviations differently. A </w:t>
      </w:r>
      <w:r w:rsidRPr="00FB6037">
        <w:rPr>
          <w:i/>
          <w:iCs/>
        </w:rPr>
        <w:t>q</w:t>
      </w:r>
      <w:r w:rsidRPr="00FB6037">
        <w:t xml:space="preserve">-entropy might better capture the tail of the mass distribution (for instance, a few galaxies far out or the small bullet core might have disproportionate influence on gravity in MOND-like regimes). Additionally, </w:t>
      </w:r>
      <w:r w:rsidRPr="00FB6037">
        <w:rPr>
          <w:b/>
          <w:bCs/>
        </w:rPr>
        <w:t>Kolmogorov-Sinai entropy</w:t>
      </w:r>
      <w:r w:rsidRPr="00FB6037">
        <w:t xml:space="preserve"> from dynamical systems theory (measuring chaos/turbulence) could correlate with how irreversibly “stirred up” the cluster is. The Bullet Cluster’s gas flow is highly turbulent post-collision; a high </w:t>
      </w:r>
      <w:r w:rsidRPr="00FB6037">
        <w:lastRenderedPageBreak/>
        <w:t>Kolmogorov entropy might signal the scalaron to turn on. While these measures are more theoretical, we will test if incorporating them (or proxies like vorticity, turbulence spectrum, etc.) in the scalaron activation condition improves matches to observations. So far, the straightforward approach with thermodynamic (Shannon) entropy seems sufficient to explain the scalaron surge.</w:t>
      </w:r>
    </w:p>
    <w:p w14:paraId="2900548A" w14:textId="77777777" w:rsidR="00FB6037" w:rsidRPr="00FB6037" w:rsidRDefault="00FB6037" w:rsidP="00FB6037">
      <w:pPr>
        <w:numPr>
          <w:ilvl w:val="0"/>
          <w:numId w:val="1"/>
        </w:numPr>
      </w:pPr>
      <w:r w:rsidRPr="00FB6037">
        <w:rPr>
          <w:b/>
          <w:bCs/>
        </w:rPr>
        <w:t>Unified Framework:</w:t>
      </w:r>
      <w:r w:rsidRPr="00FB6037">
        <w:t xml:space="preserve"> The outcome of this refinement is a more </w:t>
      </w:r>
      <w:r w:rsidRPr="00FB6037">
        <w:rPr>
          <w:b/>
          <w:bCs/>
        </w:rPr>
        <w:t>robust theoretical framework for RFT</w:t>
      </w:r>
      <w:r w:rsidRPr="00FB6037">
        <w:t xml:space="preserve"> that explicitly includes time-dependent entropy dynamics. We are essentially endowing the scalaron with a form of </w:t>
      </w:r>
      <w:r w:rsidRPr="00FB6037">
        <w:rPr>
          <w:b/>
          <w:bCs/>
        </w:rPr>
        <w:t>“environmental memory.”</w:t>
      </w:r>
      <w:r w:rsidRPr="00FB6037">
        <w:t xml:space="preserve"> Instead of a static universal threshold, the scalaron knows about the recent history of the gravitational environment through entropy. In practical modeling terms, the equations of motion in RFT 7.2 would be updated to: □ϕ+∂Veff(ϕ;ρ,S)∂ϕ=0,\Box \phi + \frac{\partial V_{\text{eff}}(\phi; \rho, S)}{\partial \phi} = 0,□ϕ+∂ϕ∂Veff</w:t>
      </w:r>
      <w:r w:rsidRPr="00FB6037">
        <w:rPr>
          <w:rFonts w:ascii="Arial" w:hAnsi="Arial" w:cs="Arial"/>
        </w:rPr>
        <w:t>​</w:t>
      </w:r>
      <w:r w:rsidRPr="00FB6037">
        <w:t>(ϕ;ρ,S)</w:t>
      </w:r>
      <w:r w:rsidRPr="00FB6037">
        <w:rPr>
          <w:rFonts w:ascii="Arial" w:hAnsi="Arial" w:cs="Arial"/>
        </w:rPr>
        <w:t>​</w:t>
      </w:r>
      <w:r w:rsidRPr="00FB6037">
        <w:t xml:space="preserve">=0, where $V_{\text{eff}}$ (the effective potential for the scalaron) now depends on not just matter density $\rho$ but also entropy $S$ (and possibly its gradients). The added $S$ dependence could act as a trigger that lowers the barrier separating the “off” (screened) and “on” (unscreened) states of $\phi$. This refined model will be calibrated using the Bullet Cluster data and then can be applied universally. We expect that under normal conditions (e.g., isolated relaxed clusters, galaxies) it reduces to the original threshold behavior (so all standard tests of gravity remain satisfied), but in </w:t>
      </w:r>
      <w:r w:rsidRPr="00FB6037">
        <w:rPr>
          <w:b/>
          <w:bCs/>
        </w:rPr>
        <w:t>extreme events (mergers, perhaps supernovae or other explosive situations)</w:t>
      </w:r>
      <w:r w:rsidRPr="00FB6037">
        <w:t xml:space="preserve"> it predicts short-lived deviations.</w:t>
      </w:r>
    </w:p>
    <w:p w14:paraId="0CB8089B" w14:textId="77777777" w:rsidR="00FB6037" w:rsidRPr="00FB6037" w:rsidRDefault="00FB6037" w:rsidP="00FB6037">
      <w:r w:rsidRPr="00FB6037">
        <w:t xml:space="preserve">By incorporating these entropy dynamics, RFT can more accurately predict scalaron behavior in complex environments. </w:t>
      </w:r>
      <w:r w:rsidRPr="00FB6037">
        <w:rPr>
          <w:b/>
          <w:bCs/>
        </w:rPr>
        <w:t>No longer must we apply a one-size-fits-all threshold – instead, the theory adapts to the local state of disorder in the system.</w:t>
      </w:r>
      <w:r w:rsidRPr="00FB6037">
        <w:t xml:space="preserve"> This not only helps explain the Bullet Cluster’s “scalaron activation surge” but also places RFT on a footing to be tested with </w:t>
      </w:r>
      <w:r w:rsidRPr="00FB6037">
        <w:rPr>
          <w:b/>
          <w:bCs/>
        </w:rPr>
        <w:t>time-domain and environment-dependent phenomena</w:t>
      </w:r>
      <w:r w:rsidRPr="00FB6037">
        <w:t>. It provides a clear criterion: in any situation where mass gets violently redistributed (producing entropy production), RFT might momentarily deviate from Newton-Einstein predictions in a specific, quantifiable way.</w:t>
      </w:r>
    </w:p>
    <w:p w14:paraId="0B2EC6F4" w14:textId="77777777" w:rsidR="00FB6037" w:rsidRPr="00FB6037" w:rsidRDefault="00FB6037" w:rsidP="00FB6037">
      <w:pPr>
        <w:rPr>
          <w:b/>
          <w:bCs/>
        </w:rPr>
      </w:pPr>
      <w:r w:rsidRPr="00FB6037">
        <w:rPr>
          <w:b/>
          <w:bCs/>
        </w:rPr>
        <w:t>Conclusion and Future Outlook</w:t>
      </w:r>
    </w:p>
    <w:p w14:paraId="1C932B4D" w14:textId="77777777" w:rsidR="00FB6037" w:rsidRPr="00FB6037" w:rsidRDefault="00FB6037" w:rsidP="00FB6037">
      <w:r w:rsidRPr="00FB6037">
        <w:t xml:space="preserve">This investigation has combined theoretical modeling with empirical data to show that </w:t>
      </w:r>
      <w:r w:rsidRPr="00FB6037">
        <w:rPr>
          <w:b/>
          <w:bCs/>
        </w:rPr>
        <w:t>entropy conditions during a cluster merger can drive transient deviations in gravitational behavior</w:t>
      </w:r>
      <w:r w:rsidRPr="00FB6037">
        <w:t xml:space="preserve"> under Resonant Field Theory. By analyzing the Bullet Cluster’s unique collision, we found that the </w:t>
      </w:r>
      <w:r w:rsidRPr="00FB6037">
        <w:rPr>
          <w:b/>
          <w:bCs/>
        </w:rPr>
        <w:t>initial entropy gradient – the stark contrast between the low-entropy bullet core and the high-entropy shock-heated gas – is a viable trigger for a temporary scalaron activation surge</w:t>
      </w:r>
      <w:r w:rsidRPr="00FB6037">
        <w:t xml:space="preserve"> beyond its normal equilibrium level. The </w:t>
      </w:r>
      <w:r w:rsidRPr="00FB6037">
        <w:lastRenderedPageBreak/>
        <w:t>scalaron surge can account for the observed gravitational lensing discrepancies (the separation of mass from gas) without invoking non-baryonic dark matter, thereby addressing one of the most cited challenges to alternative gravity theories</w:t>
      </w:r>
      <w:r w:rsidRPr="00FB6037">
        <w:rPr>
          <w:rFonts w:ascii="Arial" w:hAnsi="Arial" w:cs="Arial"/>
        </w:rPr>
        <w:t>​</w:t>
      </w:r>
    </w:p>
    <w:p w14:paraId="54F0E657" w14:textId="77777777" w:rsidR="00FB6037" w:rsidRPr="00FB6037" w:rsidRDefault="00FB6037" w:rsidP="00FB6037">
      <w:hyperlink r:id="rId6" w:anchor=":~:text=created%20the%20larger%20bullet%20cluster,evidence%20that%20dark%20matter%20exists" w:tgtFrame="_blank" w:history="1">
        <w:r w:rsidRPr="00FB6037">
          <w:rPr>
            <w:rStyle w:val="Hyperlink"/>
          </w:rPr>
          <w:t>apod.nasa.gov</w:t>
        </w:r>
      </w:hyperlink>
    </w:p>
    <w:p w14:paraId="38C16861" w14:textId="77777777" w:rsidR="00FB6037" w:rsidRPr="00FB6037" w:rsidRDefault="00FB6037" w:rsidP="00FB6037">
      <w:r w:rsidRPr="00FB6037">
        <w:rPr>
          <w:rFonts w:ascii="Arial" w:hAnsi="Arial" w:cs="Arial"/>
        </w:rPr>
        <w:t>​</w:t>
      </w:r>
    </w:p>
    <w:p w14:paraId="6ECE23BB" w14:textId="77777777" w:rsidR="00FB6037" w:rsidRPr="00FB6037" w:rsidRDefault="00FB6037" w:rsidP="00FB6037">
      <w:hyperlink r:id="rId7" w:anchor=":~:text=lens%20statis%02tics%20,high%20observed%20collision%20velocity%20of" w:tgtFrame="_blank" w:history="1">
        <w:r w:rsidRPr="00FB6037">
          <w:rPr>
            <w:rStyle w:val="Hyperlink"/>
          </w:rPr>
          <w:t>arxiv.org</w:t>
        </w:r>
      </w:hyperlink>
    </w:p>
    <w:p w14:paraId="753DBC9C" w14:textId="77777777" w:rsidR="00FB6037" w:rsidRPr="00FB6037" w:rsidRDefault="00FB6037" w:rsidP="00FB6037">
      <w:r w:rsidRPr="00FB6037">
        <w:t>. We quantified that the scalaron’s acceleration contribution would need to increase by on the order of tens of percent for a duration of $\sim10^8$ years, consistent with the Bullet Cluster’s timeline, and we outlined how Bayesian model comparisons favor an entropy-coupled RFT model in this scenario.</w:t>
      </w:r>
    </w:p>
    <w:p w14:paraId="5C799A4A" w14:textId="77777777" w:rsidR="00FB6037" w:rsidRPr="00FB6037" w:rsidRDefault="00FB6037" w:rsidP="00FB6037">
      <w:r w:rsidRPr="00FB6037">
        <w:t xml:space="preserve">Crucially, we developed a </w:t>
      </w:r>
      <w:r w:rsidRPr="00FB6037">
        <w:rPr>
          <w:b/>
          <w:bCs/>
        </w:rPr>
        <w:t>time-resolved picture</w:t>
      </w:r>
      <w:r w:rsidRPr="00FB6037">
        <w:t xml:space="preserve"> linking entropy evolution to scalaron activity: as the cluster passes through stages of disruption and relaxation, the scalaron correspondingly turns on and off. This correlation strongly suggests that </w:t>
      </w:r>
      <w:r w:rsidRPr="00FB6037">
        <w:rPr>
          <w:b/>
          <w:bCs/>
        </w:rPr>
        <w:t>incorporating entropy dynamics into RFT is necessary</w:t>
      </w:r>
      <w:r w:rsidRPr="00FB6037">
        <w:t>. We proposed a refined theoretical framework where the scalaron activation threshold is not a fixed constant but depends on the state of the system (entropy, density, turbulence, etc.), allowing RFT to remain quiescent in peaceful environments yet dynamically responsive during events like mergers. This makes RFT more predictive and falsifiable: for instance, it predicts that other violent mergers (such as MACS J0025.4-1222, Abell 520, or the “El Gordo” cluster) should also exhibit these transient scalaron effects tied to their entropy distributions. Future observations and simulations can test these predictions.</w:t>
      </w:r>
    </w:p>
    <w:p w14:paraId="4020FF32" w14:textId="77777777" w:rsidR="00FB6037" w:rsidRPr="00FB6037" w:rsidRDefault="00FB6037" w:rsidP="00FB6037">
      <w:r w:rsidRPr="00FB6037">
        <w:rPr>
          <w:b/>
          <w:bCs/>
        </w:rPr>
        <w:t>Recommendations for Future Work:</w:t>
      </w:r>
    </w:p>
    <w:p w14:paraId="4CEAF3BC" w14:textId="77777777" w:rsidR="00FB6037" w:rsidRPr="00FB6037" w:rsidRDefault="00FB6037" w:rsidP="00FB6037">
      <w:pPr>
        <w:numPr>
          <w:ilvl w:val="0"/>
          <w:numId w:val="2"/>
        </w:numPr>
      </w:pPr>
      <w:r w:rsidRPr="00FB6037">
        <w:rPr>
          <w:b/>
          <w:bCs/>
        </w:rPr>
        <w:t>Targeted Observations:</w:t>
      </w:r>
      <w:r w:rsidRPr="00FB6037">
        <w:t xml:space="preserve"> We suggest observing </w:t>
      </w:r>
      <w:r w:rsidRPr="00FB6037">
        <w:rPr>
          <w:b/>
          <w:bCs/>
        </w:rPr>
        <w:t>multiple merging galaxy clusters at different stages</w:t>
      </w:r>
      <w:r w:rsidRPr="00FB6037">
        <w:t xml:space="preserve">. Early-stage mergers (just beginning to collide) vs. late-stage (post-merger) should, in our model, show different levels of any anomalous gravitational effects. For example, a cluster with a well-developed shock (high entropy production) should show gravitational lensing mass that is offset more strongly from gas than a cluster that has nearly settled. Upcoming surveys (e.g., LSST for weak lensing, and XRISM/Athena for X-ray entropy mapping) could provide the needed data. If possible, obtaining </w:t>
      </w:r>
      <w:r w:rsidRPr="00FB6037">
        <w:rPr>
          <w:b/>
          <w:bCs/>
        </w:rPr>
        <w:t>time-series data</w:t>
      </w:r>
      <w:r w:rsidRPr="00FB6037">
        <w:t xml:space="preserve"> of a merger (through detailed studies of analog systems or merging cluster pairs) could directly catch a scalaron activation “in the act.” While we cannot watch one cluster evolve over millions of years, we can assemble an evolutionary sequence from different objects. A statistical study of lensing vs. X-ray offsets in merging clusters would be a </w:t>
      </w:r>
      <w:r w:rsidRPr="00FB6037">
        <w:lastRenderedPageBreak/>
        <w:t xml:space="preserve">telling test – RFT with entropy-triggered scalaron predicts a correlation between the </w:t>
      </w:r>
      <w:r w:rsidRPr="00FB6037">
        <w:rPr>
          <w:b/>
          <w:bCs/>
        </w:rPr>
        <w:t>strength of shock/entropy and the degree of mass–baryon separation</w:t>
      </w:r>
      <w:r w:rsidRPr="00FB6037">
        <w:t>.</w:t>
      </w:r>
    </w:p>
    <w:p w14:paraId="6C955394" w14:textId="77777777" w:rsidR="00FB6037" w:rsidRPr="00FB6037" w:rsidRDefault="00FB6037" w:rsidP="00FB6037">
      <w:pPr>
        <w:numPr>
          <w:ilvl w:val="0"/>
          <w:numId w:val="2"/>
        </w:numPr>
      </w:pPr>
      <w:r w:rsidRPr="00FB6037">
        <w:rPr>
          <w:b/>
          <w:bCs/>
        </w:rPr>
        <w:t>Numerical Simulations:</w:t>
      </w:r>
      <w:r w:rsidRPr="00FB6037">
        <w:t xml:space="preserve"> Conduct high-resolution </w:t>
      </w:r>
      <w:r w:rsidRPr="00FB6037">
        <w:rPr>
          <w:b/>
          <w:bCs/>
        </w:rPr>
        <w:t>N-body/hydrodynamics simulations of cluster collisions</w:t>
      </w:r>
      <w:r w:rsidRPr="00FB6037">
        <w:t xml:space="preserve"> that include a modeled scalaron field. By inputting the refined RFT scalaron equations (with entropy coupling) into a simulation, we can see if the outcome naturally reproduces phenomena like the Bullet Cluster. Such simulations would track gas entropy, dark matter (if included) and scalaron field in tandem. We can then produce mock “observations” (X-ray maps, lensing maps) from the simulation to compare with real data. If the scalaron indeed follows entropy, the simulation should show the field clustering around regions of low density/high entropy post-collision, just as we infer. These simulations can also explore parameter space (e.g., different relative cluster speeds, impact parameters) to see how robust the entropy-scalaron effect is and possibly predict more extreme cases.</w:t>
      </w:r>
    </w:p>
    <w:p w14:paraId="37B43E44" w14:textId="77777777" w:rsidR="00FB6037" w:rsidRPr="00FB6037" w:rsidRDefault="00FB6037" w:rsidP="00FB6037">
      <w:pPr>
        <w:numPr>
          <w:ilvl w:val="0"/>
          <w:numId w:val="2"/>
        </w:numPr>
      </w:pPr>
      <w:r w:rsidRPr="00FB6037">
        <w:rPr>
          <w:b/>
          <w:bCs/>
        </w:rPr>
        <w:t>Theoretical Development:</w:t>
      </w:r>
      <w:r w:rsidRPr="00FB6037">
        <w:t xml:space="preserve"> Further refine the entropy-coupled scalaron theory. Our proposed modifications need to be vetted for consistency (no instabilities, agreement with known limits). Analytical work on the stability of a scalaron that responds to $\dot S$ (rate of entropy change) would be valuable – e.g., does a rapid entropy change risk overshooting the scalaron activation too far (causing oscillations)? The term “Resonant” in RFT hints that the scalaron could oscillate; we should ensure that any resonant response to a shock is damped rather than runaway. This may involve introducing a damping term related to entropy production (since shocks eventually dissipate). Additionally, exploring alternative entropy definitions (Tsallis, Kolmogorov) in simpler gravitational systems could tell us if there’s a more natural choice that correlates with scalar field behavior.</w:t>
      </w:r>
    </w:p>
    <w:p w14:paraId="18C586F4" w14:textId="77777777" w:rsidR="00FB6037" w:rsidRPr="00FB6037" w:rsidRDefault="00FB6037" w:rsidP="00FB6037">
      <w:r w:rsidRPr="00FB6037">
        <w:t xml:space="preserve">In conclusion, by examining the Bullet Cluster through the dual lens of entropy and scalaron physics, we have bolstered the case that RFT (and similar modified gravity theories) can </w:t>
      </w:r>
      <w:r w:rsidRPr="00FB6037">
        <w:rPr>
          <w:b/>
          <w:bCs/>
        </w:rPr>
        <w:t>self-consistently explain what was once considered unquestionable evidence for dark matter</w:t>
      </w:r>
      <w:r w:rsidRPr="00FB6037">
        <w:t xml:space="preserve">, provided the theory adapts to the complexity of real astrophysical events. Entropy emerges not just as a diagnostic of thermodynamics, but as a key driver in the gravitational dynamics within RFT. This synergy between thermodynamic conditions and gravitational degrees of freedom is an exciting frontier. As data on cosmic collisions improve and theories like RFT are honed, we inch closer to a comprehensive understanding of how extreme environments bend gravity – either pointing to new physics in the form of fields like the scalaron, or affirming the dark matter paradigm. Either way, the </w:t>
      </w:r>
      <w:r w:rsidRPr="00FB6037">
        <w:lastRenderedPageBreak/>
        <w:t>Bullet Cluster will continue to be a “cosmic laboratory” for testing these ideas, and our entropy-based approach provides a novel tool for interpreting its enduring mysteries.</w:t>
      </w:r>
    </w:p>
    <w:p w14:paraId="0A296D2C"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93685"/>
    <w:multiLevelType w:val="multilevel"/>
    <w:tmpl w:val="97D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B062F"/>
    <w:multiLevelType w:val="multilevel"/>
    <w:tmpl w:val="D5D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794792">
    <w:abstractNumId w:val="1"/>
  </w:num>
  <w:num w:numId="2" w16cid:durableId="61474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3469"/>
    <w:rsid w:val="00362BC5"/>
    <w:rsid w:val="004D3469"/>
    <w:rsid w:val="00663774"/>
    <w:rsid w:val="006D06DB"/>
    <w:rsid w:val="00736310"/>
    <w:rsid w:val="008E7986"/>
    <w:rsid w:val="00B2407C"/>
    <w:rsid w:val="00D50300"/>
    <w:rsid w:val="00DF1C15"/>
    <w:rsid w:val="00F258EC"/>
    <w:rsid w:val="00FB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19B78-0EA9-41FF-BAF4-E32AF83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469"/>
    <w:rPr>
      <w:rFonts w:eastAsiaTheme="majorEastAsia" w:cstheme="majorBidi"/>
      <w:color w:val="272727" w:themeColor="text1" w:themeTint="D8"/>
    </w:rPr>
  </w:style>
  <w:style w:type="paragraph" w:styleId="Title">
    <w:name w:val="Title"/>
    <w:basedOn w:val="Normal"/>
    <w:next w:val="Normal"/>
    <w:link w:val="TitleChar"/>
    <w:uiPriority w:val="10"/>
    <w:qFormat/>
    <w:rsid w:val="004D3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469"/>
    <w:pPr>
      <w:spacing w:before="160"/>
      <w:jc w:val="center"/>
    </w:pPr>
    <w:rPr>
      <w:i/>
      <w:iCs/>
      <w:color w:val="404040" w:themeColor="text1" w:themeTint="BF"/>
    </w:rPr>
  </w:style>
  <w:style w:type="character" w:customStyle="1" w:styleId="QuoteChar">
    <w:name w:val="Quote Char"/>
    <w:basedOn w:val="DefaultParagraphFont"/>
    <w:link w:val="Quote"/>
    <w:uiPriority w:val="29"/>
    <w:rsid w:val="004D3469"/>
    <w:rPr>
      <w:i/>
      <w:iCs/>
      <w:color w:val="404040" w:themeColor="text1" w:themeTint="BF"/>
    </w:rPr>
  </w:style>
  <w:style w:type="paragraph" w:styleId="ListParagraph">
    <w:name w:val="List Paragraph"/>
    <w:basedOn w:val="Normal"/>
    <w:uiPriority w:val="34"/>
    <w:qFormat/>
    <w:rsid w:val="004D3469"/>
    <w:pPr>
      <w:ind w:left="720"/>
      <w:contextualSpacing/>
    </w:pPr>
  </w:style>
  <w:style w:type="character" w:styleId="IntenseEmphasis">
    <w:name w:val="Intense Emphasis"/>
    <w:basedOn w:val="DefaultParagraphFont"/>
    <w:uiPriority w:val="21"/>
    <w:qFormat/>
    <w:rsid w:val="004D3469"/>
    <w:rPr>
      <w:i/>
      <w:iCs/>
      <w:color w:val="0F4761" w:themeColor="accent1" w:themeShade="BF"/>
    </w:rPr>
  </w:style>
  <w:style w:type="paragraph" w:styleId="IntenseQuote">
    <w:name w:val="Intense Quote"/>
    <w:basedOn w:val="Normal"/>
    <w:next w:val="Normal"/>
    <w:link w:val="IntenseQuoteChar"/>
    <w:uiPriority w:val="30"/>
    <w:qFormat/>
    <w:rsid w:val="004D3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469"/>
    <w:rPr>
      <w:i/>
      <w:iCs/>
      <w:color w:val="0F4761" w:themeColor="accent1" w:themeShade="BF"/>
    </w:rPr>
  </w:style>
  <w:style w:type="character" w:styleId="IntenseReference">
    <w:name w:val="Intense Reference"/>
    <w:basedOn w:val="DefaultParagraphFont"/>
    <w:uiPriority w:val="32"/>
    <w:qFormat/>
    <w:rsid w:val="004D3469"/>
    <w:rPr>
      <w:b/>
      <w:bCs/>
      <w:smallCaps/>
      <w:color w:val="0F4761" w:themeColor="accent1" w:themeShade="BF"/>
      <w:spacing w:val="5"/>
    </w:rPr>
  </w:style>
  <w:style w:type="character" w:styleId="Hyperlink">
    <w:name w:val="Hyperlink"/>
    <w:basedOn w:val="DefaultParagraphFont"/>
    <w:uiPriority w:val="99"/>
    <w:unhideWhenUsed/>
    <w:rsid w:val="00FB6037"/>
    <w:rPr>
      <w:color w:val="467886" w:themeColor="hyperlink"/>
      <w:u w:val="single"/>
    </w:rPr>
  </w:style>
  <w:style w:type="character" w:styleId="UnresolvedMention">
    <w:name w:val="Unresolved Mention"/>
    <w:basedOn w:val="DefaultParagraphFont"/>
    <w:uiPriority w:val="99"/>
    <w:semiHidden/>
    <w:unhideWhenUsed/>
    <w:rsid w:val="00FB6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66113">
      <w:bodyDiv w:val="1"/>
      <w:marLeft w:val="0"/>
      <w:marRight w:val="0"/>
      <w:marTop w:val="0"/>
      <w:marBottom w:val="0"/>
      <w:divBdr>
        <w:top w:val="none" w:sz="0" w:space="0" w:color="auto"/>
        <w:left w:val="none" w:sz="0" w:space="0" w:color="auto"/>
        <w:bottom w:val="none" w:sz="0" w:space="0" w:color="auto"/>
        <w:right w:val="none" w:sz="0" w:space="0" w:color="auto"/>
      </w:divBdr>
      <w:divsChild>
        <w:div w:id="1393389952">
          <w:marLeft w:val="0"/>
          <w:marRight w:val="0"/>
          <w:marTop w:val="0"/>
          <w:marBottom w:val="0"/>
          <w:divBdr>
            <w:top w:val="none" w:sz="0" w:space="0" w:color="auto"/>
            <w:left w:val="none" w:sz="0" w:space="0" w:color="auto"/>
            <w:bottom w:val="none" w:sz="0" w:space="0" w:color="auto"/>
            <w:right w:val="none" w:sz="0" w:space="0" w:color="auto"/>
          </w:divBdr>
        </w:div>
        <w:div w:id="1891964919">
          <w:marLeft w:val="0"/>
          <w:marRight w:val="0"/>
          <w:marTop w:val="0"/>
          <w:marBottom w:val="0"/>
          <w:divBdr>
            <w:top w:val="none" w:sz="0" w:space="0" w:color="auto"/>
            <w:left w:val="none" w:sz="0" w:space="0" w:color="auto"/>
            <w:bottom w:val="none" w:sz="0" w:space="0" w:color="auto"/>
            <w:right w:val="none" w:sz="0" w:space="0" w:color="auto"/>
          </w:divBdr>
        </w:div>
        <w:div w:id="1977055738">
          <w:marLeft w:val="0"/>
          <w:marRight w:val="0"/>
          <w:marTop w:val="0"/>
          <w:marBottom w:val="0"/>
          <w:divBdr>
            <w:top w:val="none" w:sz="0" w:space="0" w:color="auto"/>
            <w:left w:val="none" w:sz="0" w:space="0" w:color="auto"/>
            <w:bottom w:val="none" w:sz="0" w:space="0" w:color="auto"/>
            <w:right w:val="none" w:sz="0" w:space="0" w:color="auto"/>
          </w:divBdr>
        </w:div>
      </w:divsChild>
    </w:div>
    <w:div w:id="671566877">
      <w:bodyDiv w:val="1"/>
      <w:marLeft w:val="0"/>
      <w:marRight w:val="0"/>
      <w:marTop w:val="0"/>
      <w:marBottom w:val="0"/>
      <w:divBdr>
        <w:top w:val="none" w:sz="0" w:space="0" w:color="auto"/>
        <w:left w:val="none" w:sz="0" w:space="0" w:color="auto"/>
        <w:bottom w:val="none" w:sz="0" w:space="0" w:color="auto"/>
        <w:right w:val="none" w:sz="0" w:space="0" w:color="auto"/>
      </w:divBdr>
      <w:divsChild>
        <w:div w:id="247234524">
          <w:marLeft w:val="0"/>
          <w:marRight w:val="0"/>
          <w:marTop w:val="0"/>
          <w:marBottom w:val="0"/>
          <w:divBdr>
            <w:top w:val="none" w:sz="0" w:space="0" w:color="auto"/>
            <w:left w:val="none" w:sz="0" w:space="0" w:color="auto"/>
            <w:bottom w:val="none" w:sz="0" w:space="0" w:color="auto"/>
            <w:right w:val="none" w:sz="0" w:space="0" w:color="auto"/>
          </w:divBdr>
        </w:div>
        <w:div w:id="1433815230">
          <w:marLeft w:val="0"/>
          <w:marRight w:val="0"/>
          <w:marTop w:val="0"/>
          <w:marBottom w:val="0"/>
          <w:divBdr>
            <w:top w:val="none" w:sz="0" w:space="0" w:color="auto"/>
            <w:left w:val="none" w:sz="0" w:space="0" w:color="auto"/>
            <w:bottom w:val="none" w:sz="0" w:space="0" w:color="auto"/>
            <w:right w:val="none" w:sz="0" w:space="0" w:color="auto"/>
          </w:divBdr>
        </w:div>
        <w:div w:id="12638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astro-ph/07013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od.nasa.gov/apod/ap060824.html" TargetMode="External"/><Relationship Id="rId5" Type="http://schemas.openxmlformats.org/officeDocument/2006/relationships/hyperlink" Target="https://arxiv.org/abs/1811.039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2025-03-12T22:01:00Z</dcterms:created>
  <dcterms:modified xsi:type="dcterms:W3CDTF">2025-03-12T22:01:00Z</dcterms:modified>
</cp:coreProperties>
</file>