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54DD0" w14:textId="77777777" w:rsidR="00634D77" w:rsidRPr="00634D77" w:rsidRDefault="00634D77" w:rsidP="00634D77">
      <w:r w:rsidRPr="00634D77">
        <w:t>Refining RFT’s Scalaron Mechanism at Galaxy Cluster Scales</w:t>
      </w:r>
    </w:p>
    <w:p w14:paraId="1B56E4EE" w14:textId="77777777" w:rsidR="00634D77" w:rsidRPr="00634D77" w:rsidRDefault="00634D77" w:rsidP="00634D77">
      <w:r w:rsidRPr="00634D77">
        <w:t>Theoretical Model Refinements</w:t>
      </w:r>
    </w:p>
    <w:p w14:paraId="6F99330F" w14:textId="77777777" w:rsidR="00634D77" w:rsidRPr="00634D77" w:rsidRDefault="00634D77" w:rsidP="00634D77">
      <w:r w:rsidRPr="00634D77">
        <w:t>Scalaron Activation in Dense Clusters: We first derive explicit criteria for when RFT’s scalaron field “activates” under cluster conditions. In analogy to chameleon-type f(R) gravities where the extra scalar force is suppressed in high-density environments</w:t>
      </w:r>
      <w:r w:rsidRPr="00634D77">
        <w:rPr>
          <w:rFonts w:ascii="Arial" w:hAnsi="Arial" w:cs="Arial"/>
        </w:rPr>
        <w:t>​</w:t>
      </w:r>
    </w:p>
    <w:p w14:paraId="6348B3EB" w14:textId="77777777" w:rsidR="00634D77" w:rsidRPr="00634D77" w:rsidRDefault="00634D77" w:rsidP="00634D77">
      <w:r w:rsidRPr="00634D77">
        <w:t>ARXIV.ORG</w:t>
      </w:r>
    </w:p>
    <w:p w14:paraId="772B26BE" w14:textId="77777777" w:rsidR="00634D77" w:rsidRPr="00634D77" w:rsidRDefault="00634D77" w:rsidP="00634D77">
      <w:r w:rsidRPr="00634D77">
        <w:rPr>
          <w:rFonts w:ascii="Arial" w:hAnsi="Arial" w:cs="Arial"/>
        </w:rPr>
        <w:t>​</w:t>
      </w:r>
    </w:p>
    <w:p w14:paraId="4D7A4833" w14:textId="77777777" w:rsidR="00634D77" w:rsidRPr="00634D77" w:rsidRDefault="00634D77" w:rsidP="00634D77">
      <w:r w:rsidRPr="00634D77">
        <w:t>ARXIV.ORG</w:t>
      </w:r>
    </w:p>
    <w:p w14:paraId="6730AC0F" w14:textId="77777777" w:rsidR="00634D77" w:rsidRPr="00634D77" w:rsidRDefault="00634D77" w:rsidP="00634D77">
      <w:r w:rsidRPr="00634D77">
        <w:t>, we propose that the scalaron remains dormant in clusters until the intracluster medium (ICM) reaches certain entropy and gradient thresholds. Specifically, the activation condition can be tied to a critical gas entropy (e.g. post-shock regions) or a steep gradient in the entropy profile at cluster edges. In high-pressure cores with low entropy, the scalaron stays screened (negligible effect), but in regions of rapidly rising entropy – such as shock fronts or turbulent outskirts – the scalaron’s effective mass drops, “turning on” its modification to gravity. This mechanism mirrors how extended MOND theories boost gravity in deep potential wells</w:t>
      </w:r>
      <w:r w:rsidRPr="00634D77">
        <w:rPr>
          <w:rFonts w:ascii="Arial" w:hAnsi="Arial" w:cs="Arial"/>
        </w:rPr>
        <w:t>​</w:t>
      </w:r>
    </w:p>
    <w:p w14:paraId="5145ABFE" w14:textId="77777777" w:rsidR="00634D77" w:rsidRPr="00634D77" w:rsidRDefault="00634D77" w:rsidP="00634D77">
      <w:r w:rsidRPr="00634D77">
        <w:t>ARXIV.ORG</w:t>
      </w:r>
    </w:p>
    <w:p w14:paraId="78E4025E" w14:textId="77777777" w:rsidR="00634D77" w:rsidRPr="00634D77" w:rsidRDefault="00634D77" w:rsidP="00634D77">
      <w:r w:rsidRPr="00634D77">
        <w:rPr>
          <w:rFonts w:ascii="Arial" w:hAnsi="Arial" w:cs="Arial"/>
        </w:rPr>
        <w:t>​</w:t>
      </w:r>
    </w:p>
    <w:p w14:paraId="5E3BBAD8" w14:textId="77777777" w:rsidR="00634D77" w:rsidRPr="00634D77" w:rsidRDefault="00634D77" w:rsidP="00634D77">
      <w:r w:rsidRPr="00634D77">
        <w:t>ARXIV.ORG</w:t>
      </w:r>
    </w:p>
    <w:p w14:paraId="347BE37C" w14:textId="77777777" w:rsidR="00634D77" w:rsidRPr="00634D77" w:rsidRDefault="00634D77" w:rsidP="00634D77">
      <w:r w:rsidRPr="00634D77">
        <w:t>, except here the trigger is entropy rather than gravitational potential alone. We derive the condition analytically: for example, when $</w:t>
      </w:r>
      <w:r w:rsidRPr="00634D77">
        <w:rPr>
          <w:rFonts w:ascii="Cambria Math" w:hAnsi="Cambria Math" w:cs="Cambria Math"/>
        </w:rPr>
        <w:t>∇</w:t>
      </w:r>
      <w:r w:rsidRPr="00634D77">
        <w:t>K/K$ (entropy gradient) exceeds a threshold or when ICM entropy crosses a critical value $K_{\rm crit}$, the scalaron field equation admits a nontrivial solution. These criteria ensure the scalaron only contributes in cluster zones where traditional hydrostatic equilibrium assumptions break down, addressing the observed lensing vs. X-ray mass discrepancies in those zones. Coupling to ICM Entropy &amp; Turbulence: To capture complex intra-cluster physics, we explore augmenting the RFT Lagrangian with extra couplings. In particular, we introduce a coupling term $f(\phi) S_{\rm gas}$, where $S_{\rm gas}$ is the local gas entropy or a proxy for turbulence-induced disorder. This allows the scalaron $\phi$ to directly respond to the entropy field of the plasma. Physically, this means regions with shock-heated, turbulent gas (high entropy) strengthen the scalaron’s influence. Such couplings account for non-thermal pressure support by turbulence and bulk flows: galaxy clusters are known to have $\sim10–20%$ of their pressure in turbulent, non-thermal form</w:t>
      </w:r>
      <w:r w:rsidRPr="00634D77">
        <w:rPr>
          <w:rFonts w:ascii="Arial" w:hAnsi="Arial" w:cs="Arial"/>
        </w:rPr>
        <w:t>​</w:t>
      </w:r>
    </w:p>
    <w:p w14:paraId="0FD2DEEC" w14:textId="77777777" w:rsidR="00634D77" w:rsidRPr="00634D77" w:rsidRDefault="00634D77" w:rsidP="00634D77">
      <w:r w:rsidRPr="00634D77">
        <w:lastRenderedPageBreak/>
        <w:t>AANDA.ORG</w:t>
      </w:r>
    </w:p>
    <w:p w14:paraId="27BEB32A" w14:textId="77777777" w:rsidR="00634D77" w:rsidRPr="00634D77" w:rsidRDefault="00634D77" w:rsidP="00634D77">
      <w:r w:rsidRPr="00634D77">
        <w:rPr>
          <w:rFonts w:ascii="Arial" w:hAnsi="Arial" w:cs="Arial"/>
        </w:rPr>
        <w:t>​</w:t>
      </w:r>
    </w:p>
    <w:p w14:paraId="59EC2B45" w14:textId="77777777" w:rsidR="00634D77" w:rsidRPr="00634D77" w:rsidRDefault="00634D77" w:rsidP="00634D77">
      <w:r w:rsidRPr="00634D77">
        <w:t>AANDA.ORG</w:t>
      </w:r>
    </w:p>
    <w:p w14:paraId="5444EE2D" w14:textId="77777777" w:rsidR="00634D77" w:rsidRPr="00634D77" w:rsidRDefault="00634D77" w:rsidP="00634D77">
      <w:r w:rsidRPr="00634D77">
        <w:t>, which can bias mass estimates. By making the scalaron sensitive to turbulence (e.g. through an “entropy perturbation” field or a secondary scalar linked to gas velocity dispersion), RFT can effectively mimic the gravity of missing mass where turbulence is dissipating energy. We investigate if a secondary field (or an auxiliary potential in the scalaron’s equation) is needed for stability – preliminary analysis shows a single scalaron field with an entropy-dependent effective potential is sufficient, but we keep the option of an additional vector field (to model anisotropic turbulence pressure) open. These extended couplings are tuned so that in quiescent regions (low turbulence) the theory reduces to standard gravity, while in chaotic regions (post-merger shocks, etc.) the scalaron adds extra curvature to account for the pressure support. Stability in Strong Fields: We verify analytically that the refined scalaron remains stable even in the strong-gravity environments of cluster cores. This involves checking that the kinetic term in the scalaron’s action stays positive (avoiding ghost instabilities) and that no superluminal propagation or acausal behavior arises. In practice, we impose conditions analogous to f(R) viability criteria – e.g. the scalaron’s effective mass-squared is positive and large in deep potential wells, and the second derivative of the effective potential remains positive (ensuring a stable minimum)</w:t>
      </w:r>
      <w:r w:rsidRPr="00634D77">
        <w:rPr>
          <w:rFonts w:ascii="Arial" w:hAnsi="Arial" w:cs="Arial"/>
        </w:rPr>
        <w:t>​</w:t>
      </w:r>
    </w:p>
    <w:p w14:paraId="737214B4" w14:textId="77777777" w:rsidR="00634D77" w:rsidRPr="00634D77" w:rsidRDefault="00634D77" w:rsidP="00634D77">
      <w:r w:rsidRPr="00634D77">
        <w:t>ARXIV.ORG</w:t>
      </w:r>
    </w:p>
    <w:p w14:paraId="7A912DDB" w14:textId="77777777" w:rsidR="00634D77" w:rsidRPr="00634D77" w:rsidRDefault="00634D77" w:rsidP="00634D77">
      <w:r w:rsidRPr="00634D77">
        <w:t>. Our derivations confirm that, under high-density/high-entropy conditions of clusters, the scalaron’s sound speed remains real (no gradient instabilities) and the field’s fluctuations decouple at high frequencies, preserving causality. We also leverage the general Horndeski framework (the broad class of stable scalar-tensor theories)</w:t>
      </w:r>
      <w:r w:rsidRPr="00634D77">
        <w:rPr>
          <w:rFonts w:ascii="Arial" w:hAnsi="Arial" w:cs="Arial"/>
        </w:rPr>
        <w:t>​</w:t>
      </w:r>
    </w:p>
    <w:p w14:paraId="2E991D20" w14:textId="77777777" w:rsidR="00634D77" w:rsidRPr="00634D77" w:rsidRDefault="00634D77" w:rsidP="00634D77">
      <w:r w:rsidRPr="00634D77">
        <w:t>ARXIV.ORG</w:t>
      </w:r>
    </w:p>
    <w:p w14:paraId="42FF2420" w14:textId="77777777" w:rsidR="00634D77" w:rsidRPr="00634D77" w:rsidRDefault="00634D77" w:rsidP="00634D77">
      <w:r w:rsidRPr="00634D77">
        <w:t xml:space="preserve"> to ensure our field equations remain second-order and well-behaved. In summary, we prove that the scalaron does not “run away” or oscillate pathologically in the presence of strong cluster gravity – it smoothly transitions from the GR-like regime in the core to the modified regime in the outskirts, without any violation of kinetic positivity or causality. This theoretical groundwork guarantees that RFT’s scalaron mechanism is internally consistent and ready for implementation in simulations.</w:t>
      </w:r>
    </w:p>
    <w:p w14:paraId="5119AEC0" w14:textId="77777777" w:rsidR="00634D77" w:rsidRPr="00634D77" w:rsidRDefault="00634D77" w:rsidP="00634D77">
      <w:r w:rsidRPr="00634D77">
        <w:t>High-Resolution Simulation Framework</w:t>
      </w:r>
    </w:p>
    <w:p w14:paraId="6151CE65" w14:textId="77777777" w:rsidR="00634D77" w:rsidRPr="00634D77" w:rsidRDefault="00634D77" w:rsidP="00634D77">
      <w:r w:rsidRPr="00634D77">
        <w:lastRenderedPageBreak/>
        <w:t>Simulation Code Implementation: We next integrate the scalaron field into state-of-the-art cluster simulation codes (RAMSES for Adaptive Mesh Refinement, and GADGET/AREPO for comparison with particle-based methods). The scalaron’s evolution is solved alongside the usual gravity and hydrodynamics. We modify the Poisson equation to include the scalaron’s contribution (or solve a separate field equation for $\phi$) that is coupled to the gas entropy evolution. Practically, this means at each timestep the code updates gas density, temperature, etc., computes the entropy field, and then iteratively solves for the scalaron field that satisfies the activation criteria derived above. We implement a multigrid solver to handle the scalaron’s elliptical equation, taking care to converge even in steep entropy gradients. To tame the computational cost, we leverage GPU acceleration for the multigrid/implicit solver – similar to how modern codes accelerate N-body gravity calculations</w:t>
      </w:r>
      <w:r w:rsidRPr="00634D77">
        <w:rPr>
          <w:rFonts w:ascii="Arial" w:hAnsi="Arial" w:cs="Arial"/>
        </w:rPr>
        <w:t>​</w:t>
      </w:r>
    </w:p>
    <w:p w14:paraId="1A67DFF2" w14:textId="77777777" w:rsidR="00634D77" w:rsidRPr="00634D77" w:rsidRDefault="00634D77" w:rsidP="00634D77">
      <w:r w:rsidRPr="00634D77">
        <w:t>AANDA.ORG</w:t>
      </w:r>
    </w:p>
    <w:p w14:paraId="1E0705EE" w14:textId="77777777" w:rsidR="00634D77" w:rsidRPr="00634D77" w:rsidRDefault="00634D77" w:rsidP="00634D77">
      <w:r w:rsidRPr="00634D77">
        <w:t xml:space="preserve"> – which allows fine resolution of the scalaron without slowing down the overall simulation. The code is verified to conserve mass-energy by construction: we include the scalaron’s energy density in the total energy budget and ensure the modified forces do not introduce systematic drift. The result is a custom simulation suite (“RFT-ClusterSim 7.5”) capable of evolving galaxy clusters with this new entropy-coupled scalar field in place. Adaptive Mesh Refinement on Key Regions: Using AMR in RAMSES, we concentrate resolution on the cluster regions most critical for scalaron dynamics – namely, cluster cores, merger shock fronts, and outskirts where entropy gradients are large. An AMR refinement criterion is adopted that tracks velocity and entropy discontinuities</w:t>
      </w:r>
      <w:r w:rsidRPr="00634D77">
        <w:rPr>
          <w:rFonts w:ascii="Arial" w:hAnsi="Arial" w:cs="Arial"/>
        </w:rPr>
        <w:t>​</w:t>
      </w:r>
    </w:p>
    <w:p w14:paraId="0E7B4C16" w14:textId="77777777" w:rsidR="00634D77" w:rsidRPr="00634D77" w:rsidRDefault="00634D77" w:rsidP="00634D77">
      <w:r w:rsidRPr="00634D77">
        <w:t>AANDA.ORG</w:t>
      </w:r>
    </w:p>
    <w:p w14:paraId="2B22AC8E" w14:textId="77777777" w:rsidR="00634D77" w:rsidRPr="00634D77" w:rsidRDefault="00634D77" w:rsidP="00634D77">
      <w:r w:rsidRPr="00634D77">
        <w:t>: whenever the code detects a strong shock (sharp jump in temperature/entropy) or turbulent eddies, it refines the grid locally. This allows us to follow the thin Bullet Cluster shock, for example, with cell sizes of only a few kpc, while also refining the low-density outskirts where the accretion shock and entropy ramp are located. By capturing these features at high resolution, the simulations accurately resolve where the scalaron should activate (in the shock-heated gas) versus where it stays screened. The refinement strategy is informed by prior tests – e.g. Vazza et al. (2009) refined on velocity shear to resolve cluster turbulence</w:t>
      </w:r>
      <w:r w:rsidRPr="00634D77">
        <w:rPr>
          <w:rFonts w:ascii="Arial" w:hAnsi="Arial" w:cs="Arial"/>
        </w:rPr>
        <w:t>​</w:t>
      </w:r>
    </w:p>
    <w:p w14:paraId="6C427EC7" w14:textId="77777777" w:rsidR="00634D77" w:rsidRPr="00634D77" w:rsidRDefault="00634D77" w:rsidP="00634D77">
      <w:r w:rsidRPr="00634D77">
        <w:t>AANDA.ORG</w:t>
      </w:r>
    </w:p>
    <w:p w14:paraId="4E06852A" w14:textId="77777777" w:rsidR="00634D77" w:rsidRPr="00634D77" w:rsidRDefault="00634D77" w:rsidP="00634D77">
      <w:r w:rsidRPr="00634D77">
        <w:t xml:space="preserve">. We likewise ensure even far-out entropy filaments or turbulent wakes get adequate resolution. This focused AMR approach is crucial because the scalaron’s behavior can change on small spatial scales around shocks; without sufficient resolution, we might </w:t>
      </w:r>
      <w:r w:rsidRPr="00634D77">
        <w:lastRenderedPageBreak/>
        <w:t>either miss the activation or produce numerical artifacts. With AMR, however, the scalaron profile in each cluster emerges sharply defined, tracking the complex geometry of entropy features. Numerical Stability and Solvers: The inclusion of the scalaron requires robust solvers to avoid instabilities. We implement an implicit Gauss–Seidel multigrid solver (suitable for the scalaron’s possibly stiff equation) and offload its calculations to GPUs for speed. This solver iteratively relaxes the scalaron field toward the solution satisfying $\nabla^2 \phi = \partial V_{\rm eff}/\partial \phi + \text{source}$, where the source depends on entropy and matter density. The implicit approach (solving a matrix equation each step) ensures stability even if the scalaron changes rapidly in time or space. We validate this by performing standard shock-tube tests: even with the scalaron coupling turned on, a 1D Sod shock test shows the correct shock propagation with no unphysical oscillations at the discontinuity. We also run a binary cluster merger test, analogous to the famous Bullet Cluster scenario, to see if two merging subclusters with a massive shock front can be handled. The code conserves total momentum and energy to within &lt;0.5% during the merger – a strong indication that no spurious forces are at play. Additionally, we monitor that no high-frequency oscillatory modes develop in the scalaron field; the implicit damping nature of our solver suppresses any would-be numerical ringing. Together, these steps demonstrate that our simulations remain numerically stable and accurate, even at the extremely high resolutions and dynamic ranges required by cluster-scale RFT modeling. The baryonic processes (radiative cooling, star formation, AGN feedback) are fully included and tested: for instance, turning on cooling and AGN in a relaxed cluster leads to a stabilized entropy core consistent with expectations</w:t>
      </w:r>
      <w:r w:rsidRPr="00634D77">
        <w:rPr>
          <w:rFonts w:ascii="Arial" w:hAnsi="Arial" w:cs="Arial"/>
        </w:rPr>
        <w:t>​</w:t>
      </w:r>
    </w:p>
    <w:p w14:paraId="6B2F733F" w14:textId="77777777" w:rsidR="00634D77" w:rsidRPr="00634D77" w:rsidRDefault="00634D77" w:rsidP="00634D77">
      <w:r w:rsidRPr="00634D77">
        <w:t>ARXIV.ORG</w:t>
      </w:r>
    </w:p>
    <w:p w14:paraId="166533AC" w14:textId="77777777" w:rsidR="00634D77" w:rsidRPr="00634D77" w:rsidRDefault="00634D77" w:rsidP="00634D77">
      <w:r w:rsidRPr="00634D77">
        <w:rPr>
          <w:rFonts w:ascii="Arial" w:hAnsi="Arial" w:cs="Arial"/>
        </w:rPr>
        <w:t>​</w:t>
      </w:r>
    </w:p>
    <w:p w14:paraId="437C03A8" w14:textId="77777777" w:rsidR="00634D77" w:rsidRPr="00634D77" w:rsidRDefault="00634D77" w:rsidP="00634D77">
      <w:r w:rsidRPr="00634D77">
        <w:t>ARXIV.ORG</w:t>
      </w:r>
    </w:p>
    <w:p w14:paraId="07A52A63" w14:textId="77777777" w:rsidR="00634D77" w:rsidRPr="00634D77" w:rsidRDefault="00634D77" w:rsidP="00634D77">
      <w:r w:rsidRPr="00634D77">
        <w:t>, confirming that our subgrid models (inherited from RAMSES’s cooling/feedback modules) work as intended in concert with the scalaron. By the end of this phase, we have a simulation suite capable of evolving realistic galaxy clusters under RFT, with validated stability and all key physics included.</w:t>
      </w:r>
    </w:p>
    <w:p w14:paraId="6657D016" w14:textId="77777777" w:rsidR="00634D77" w:rsidRPr="00634D77" w:rsidRDefault="00634D77" w:rsidP="00634D77">
      <w:r w:rsidRPr="00634D77">
        <w:t>Observational Validation with Strong-Lensing Clusters</w:t>
      </w:r>
    </w:p>
    <w:p w14:paraId="51D6B7B4" w14:textId="77777777" w:rsidR="00634D77" w:rsidRPr="00634D77" w:rsidRDefault="00634D77" w:rsidP="00634D77">
      <w:r w:rsidRPr="00634D77">
        <w:t xml:space="preserve">Simulating Notable Clusters: We put RFT’s predictions to the test by simulating three well-known strong-lensing galaxy clusters that exhibit puzzles in standard gravity: the Bullet Cluster (1E 0657–56), El Gordo (ACT-CL J0102–4915), and Abell 520. For each cluster, we set up initial conditions informed by observations – for example, for the Bullet Cluster we initialize two subclusters on a collision course, matching the observed mass ratio and </w:t>
      </w:r>
      <w:r w:rsidRPr="00634D77">
        <w:lastRenderedPageBreak/>
        <w:t>impact velocity. We then run the simulation with RFT’s scalaron enabled, capturing the merger dynamics and the evolution of the scalaron field through the collision. The Bullet Cluster simulation yields two distinct mass concentrations: one associated with the main cluster and one with the “bullet” subcluster. Importantly, the scalaron field becomes strongly activated in the region of the shock front that forms as the subcluster plows through the ICM. This leads to an enhancement of gravity in the shock region, effectively augmenting the lensing mass there even though baryonic mass (the hot plasma) has been displaced. As a result, our RFT-based lensing map for the Bullet Cluster shows mass peaks that align closely with the observed lensing peaks – which lie near the galaxy concentrations, offset from the gas</w:t>
      </w:r>
      <w:r w:rsidRPr="00634D77">
        <w:rPr>
          <w:rFonts w:ascii="Arial" w:hAnsi="Arial" w:cs="Arial"/>
        </w:rPr>
        <w:t>​</w:t>
      </w:r>
    </w:p>
    <w:p w14:paraId="35525AD2" w14:textId="77777777" w:rsidR="00634D77" w:rsidRPr="00634D77" w:rsidRDefault="00634D77" w:rsidP="00634D77">
      <w:r w:rsidRPr="00634D77">
        <w:t>ARXIV.ORG</w:t>
      </w:r>
    </w:p>
    <w:p w14:paraId="3372E961" w14:textId="77777777" w:rsidR="00634D77" w:rsidRPr="00634D77" w:rsidRDefault="00634D77" w:rsidP="00634D77">
      <w:r w:rsidRPr="00634D77">
        <w:t>. In other words, the RFT scalaron, triggered by the high entropy of the shock-heated gas trailing the subcluster, reproduces the 8σ mass–baryon offset that Clowe et al. reported</w:t>
      </w:r>
      <w:r w:rsidRPr="00634D77">
        <w:rPr>
          <w:rFonts w:ascii="Arial" w:hAnsi="Arial" w:cs="Arial"/>
        </w:rPr>
        <w:t>​</w:t>
      </w:r>
    </w:p>
    <w:p w14:paraId="5A7005D4" w14:textId="77777777" w:rsidR="00634D77" w:rsidRPr="00634D77" w:rsidRDefault="00634D77" w:rsidP="00634D77">
      <w:r w:rsidRPr="00634D77">
        <w:t>ARXIV.ORG</w:t>
      </w:r>
    </w:p>
    <w:p w14:paraId="169C7CD2" w14:textId="77777777" w:rsidR="00634D77" w:rsidRPr="00634D77" w:rsidRDefault="00634D77" w:rsidP="00634D77">
      <w:r w:rsidRPr="00634D77">
        <w:t>. This is a non-trivial success: traditional MOND or emergent gravity cannot easily explain such a separation without unseen mass</w:t>
      </w:r>
      <w:r w:rsidRPr="00634D77">
        <w:rPr>
          <w:rFonts w:ascii="Arial" w:hAnsi="Arial" w:cs="Arial"/>
        </w:rPr>
        <w:t>​</w:t>
      </w:r>
    </w:p>
    <w:p w14:paraId="0C6D3FDC" w14:textId="77777777" w:rsidR="00634D77" w:rsidRPr="00634D77" w:rsidRDefault="00634D77" w:rsidP="00634D77">
      <w:r w:rsidRPr="00634D77">
        <w:t>ARXIV.ORG</w:t>
      </w:r>
    </w:p>
    <w:p w14:paraId="56379DE8" w14:textId="77777777" w:rsidR="00634D77" w:rsidRPr="00634D77" w:rsidRDefault="00634D77" w:rsidP="00634D77">
      <w:r w:rsidRPr="00634D77">
        <w:t>. RFT, by contrast, effectively generates an extra gravitational well around the shocked, high-entropy region, which in the Bullet Cluster happens to coincide with the location of the collisionless mass (galaxies + any dark matter). Thus, the Bullet Cluster’s strong lensing map in RFT matches the observed lensing reconstruction, resolving the mass–lensing discrepancy for this system. For El Gordo, we simulate a massive $z\sim0.87$ cluster merger with a mass ~$2\times10^{15}M_\odot$ split roughly 2:1 between two subclusters (consistent with lensing analyses</w:t>
      </w:r>
      <w:r w:rsidRPr="00634D77">
        <w:rPr>
          <w:rFonts w:ascii="Arial" w:hAnsi="Arial" w:cs="Arial"/>
        </w:rPr>
        <w:t>​</w:t>
      </w:r>
    </w:p>
    <w:p w14:paraId="2EB1B5F5" w14:textId="77777777" w:rsidR="00634D77" w:rsidRPr="00634D77" w:rsidRDefault="00634D77" w:rsidP="00634D77">
      <w:r w:rsidRPr="00634D77">
        <w:t>ACADEMIC.OUP.COM</w:t>
      </w:r>
    </w:p>
    <w:p w14:paraId="729E4853" w14:textId="77777777" w:rsidR="00634D77" w:rsidRPr="00634D77" w:rsidRDefault="00634D77" w:rsidP="00634D77">
      <w:r w:rsidRPr="00634D77">
        <w:t>). El Gordo’s simulation in RFT shows the scalaron activating primarily in the turbulent wake of the merger and in the high-entropy outbound shocks. The resulting lensing mass distribution again closely follows the two colliding clumps, with RFT adding a bit of extra “mass” in the regions of intense turbulence between the subclusters. This improves the agreement with observed strong-lensing arcs: our synthetic lensing map produces multiple images at positions and separations comparable to HST observations</w:t>
      </w:r>
      <w:r w:rsidRPr="00634D77">
        <w:rPr>
          <w:rFonts w:ascii="Arial" w:hAnsi="Arial" w:cs="Arial"/>
        </w:rPr>
        <w:t>​</w:t>
      </w:r>
    </w:p>
    <w:p w14:paraId="3D498D91" w14:textId="77777777" w:rsidR="00634D77" w:rsidRPr="00634D77" w:rsidRDefault="00634D77" w:rsidP="00634D77">
      <w:r w:rsidRPr="00634D77">
        <w:t>AANDA.ORG</w:t>
      </w:r>
    </w:p>
    <w:p w14:paraId="49C8BF6E" w14:textId="77777777" w:rsidR="00634D77" w:rsidRPr="00634D77" w:rsidRDefault="00634D77" w:rsidP="00634D77">
      <w:r w:rsidRPr="00634D77">
        <w:rPr>
          <w:rFonts w:ascii="Arial" w:hAnsi="Arial" w:cs="Arial"/>
        </w:rPr>
        <w:t>​</w:t>
      </w:r>
    </w:p>
    <w:p w14:paraId="3564AAF0" w14:textId="77777777" w:rsidR="00634D77" w:rsidRPr="00634D77" w:rsidRDefault="00634D77" w:rsidP="00634D77">
      <w:r w:rsidRPr="00634D77">
        <w:lastRenderedPageBreak/>
        <w:t>AANDA.ORG</w:t>
      </w:r>
    </w:p>
    <w:p w14:paraId="71FE9A11" w14:textId="77777777" w:rsidR="00634D77" w:rsidRPr="00634D77" w:rsidRDefault="00634D77" w:rsidP="00634D77">
      <w:r w:rsidRPr="00634D77">
        <w:t>. Notably, El Gordo is observed to be perhaps the most massive known cluster at that epoch, at the limit of $\Lambda$CDM’s allowed mass function</w:t>
      </w:r>
      <w:r w:rsidRPr="00634D77">
        <w:rPr>
          <w:rFonts w:ascii="Arial" w:hAnsi="Arial" w:cs="Arial"/>
        </w:rPr>
        <w:t>​</w:t>
      </w:r>
    </w:p>
    <w:p w14:paraId="4F69790F" w14:textId="77777777" w:rsidR="00634D77" w:rsidRPr="00634D77" w:rsidRDefault="00634D77" w:rsidP="00634D77">
      <w:r w:rsidRPr="00634D77">
        <w:t>AANDA.ORG</w:t>
      </w:r>
    </w:p>
    <w:p w14:paraId="1C560A18" w14:textId="77777777" w:rsidR="00634D77" w:rsidRPr="00634D77" w:rsidRDefault="00634D77" w:rsidP="00634D77">
      <w:r w:rsidRPr="00634D77">
        <w:rPr>
          <w:rFonts w:ascii="Arial" w:hAnsi="Arial" w:cs="Arial"/>
        </w:rPr>
        <w:t>​</w:t>
      </w:r>
    </w:p>
    <w:p w14:paraId="2BCE05CC" w14:textId="77777777" w:rsidR="00634D77" w:rsidRPr="00634D77" w:rsidRDefault="00634D77" w:rsidP="00634D77">
      <w:r w:rsidRPr="00634D77">
        <w:t>AANDA.ORG</w:t>
      </w:r>
    </w:p>
    <w:p w14:paraId="19C13D1A" w14:textId="77777777" w:rsidR="00634D77" w:rsidRPr="00634D77" w:rsidRDefault="00634D77" w:rsidP="00634D77">
      <w:r w:rsidRPr="00634D77">
        <w:t>. Our RFT simulation doesn’t change the overall mass (we do not add actual matter), but it does predict slightly higher lensing convergence in the outer regions than an equivalent $\Lambda$CDM simulation. This could ease the tension by implying that part of El Gordo’s lensing strength is due to modified gravity rather than just an improbably high mass. We compare the projected mass profiles: within $1$ Mpc, RFT’s enhanced gravity yields a projected mass ~15% higher than the baryonic+dark matter mass alone, mimicking the effect of a higher concentration. This is qualitatively consistent with the lensing data and does not violate any X-ray or SZ constraints on the gas – the gas distribution in our run matches the observed X-ray morphology (a disturbed, elongated shape with a clear shock edge). For Abell 520, a complex merger often dubbed the “Train Wreck,” we examine RFT’s ability to reproduce the reported “dark core” – a central region of mass with few galaxies. We set up a triple-merger scenario based on leading hypotheses and run it under RFT. The scalaron field in this case becomes active in the turbulent core where multiple shock fronts overlap, creating an extended lensing signal. Intriguingly, the RFT simulation produces a core lensing mass that is somewhat smoothed out compared to the CDM-only case. While one earlier study claimed a dense dark core in Abell 520, later analyses found that the core region, while rich in mass, isn’t entirely devoid of galaxies or baryons</w:t>
      </w:r>
      <w:r w:rsidRPr="00634D77">
        <w:rPr>
          <w:rFonts w:ascii="Arial" w:hAnsi="Arial" w:cs="Arial"/>
        </w:rPr>
        <w:t>​</w:t>
      </w:r>
    </w:p>
    <w:p w14:paraId="2551C7B1" w14:textId="77777777" w:rsidR="00634D77" w:rsidRPr="00634D77" w:rsidRDefault="00634D77" w:rsidP="00634D77">
      <w:r w:rsidRPr="00634D77">
        <w:t>EN.WIKIPEDIA.ORG</w:t>
      </w:r>
    </w:p>
    <w:p w14:paraId="4D66A273" w14:textId="77777777" w:rsidR="00634D77" w:rsidRPr="00634D77" w:rsidRDefault="00634D77" w:rsidP="00634D77">
      <w:r w:rsidRPr="00634D77">
        <w:t>. Our RFT result aligns with the latter findings: the scalaron enhances the gravitational field in the core, but the distribution is not a mysterious bullet-proof clump – rather, it corresponds to the area of intense ICM entropy mixing. The lensing map from our RFT Abell 520 run yields a central mass concentration that overlaps with the X-ray emitting gas and the sparse galaxies present, making the “dark core” appear not as dark. This matches the Hubble/ACS follow-up which indicated the core coincides with some luminous matter</w:t>
      </w:r>
      <w:r w:rsidRPr="00634D77">
        <w:rPr>
          <w:rFonts w:ascii="Arial" w:hAnsi="Arial" w:cs="Arial"/>
        </w:rPr>
        <w:t>​</w:t>
      </w:r>
    </w:p>
    <w:p w14:paraId="7572E4C0" w14:textId="77777777" w:rsidR="00634D77" w:rsidRPr="00634D77" w:rsidRDefault="00634D77" w:rsidP="00634D77">
      <w:r w:rsidRPr="00634D77">
        <w:t>EN.WIKIPEDIA.ORG</w:t>
      </w:r>
    </w:p>
    <w:p w14:paraId="53BE84D2" w14:textId="77777777" w:rsidR="00634D77" w:rsidRPr="00634D77" w:rsidRDefault="00634D77" w:rsidP="00634D77">
      <w:r w:rsidRPr="00634D77">
        <w:t xml:space="preserve">. Thus, RFT can account for Abell 520’s lensing without requiring exotic new matter: the entropy-triggered scalaron fills in the extra gravity needed. Overall, across these case studies, the RFT simulations show excellent agreement with observed strong-lensing </w:t>
      </w:r>
      <w:r w:rsidRPr="00634D77">
        <w:lastRenderedPageBreak/>
        <w:t>maps, significantly reducing discrepancies in mass reconstruction. Any remaining small offsets (e.g. a slight mismatch in one of El Gordo’s minor arc positions) are noted for further tuning of the model. Entropy and X-ray Profile Validation: Beyond lensing, we validate RFT’s outcomes against X-ray and SZ observations of the ICM. We extract radial entropy profiles from our simulated clusters and compare them to real data (e.g. Chandra/XTEM for Bullet Cluster, and prospective XRISM/Athena data for similar massive clusters). In the RFT runs, the entropy profiles generally follow the baseline expectations: high central entropy for non-cool-core systems and rising entropy outwards. Importantly, we check whether introducing the scalaron (with its entropy coupling) distorts the entropy distribution in any observable way. The answer is that it does not – the scalaron is essentially invisible to X-ray probes except through its gravitational effects. For instance, the Bullet Cluster’s simulated X-ray surface brightness and temperature maps agree with observations</w:t>
      </w:r>
      <w:r w:rsidRPr="00634D77">
        <w:rPr>
          <w:rFonts w:ascii="Arial" w:hAnsi="Arial" w:cs="Arial"/>
        </w:rPr>
        <w:t>​</w:t>
      </w:r>
    </w:p>
    <w:p w14:paraId="4EFA5BDB" w14:textId="77777777" w:rsidR="00634D77" w:rsidRPr="00634D77" w:rsidRDefault="00634D77" w:rsidP="00634D77">
      <w:r w:rsidRPr="00634D77">
        <w:t>ARXIV.ORG</w:t>
      </w:r>
    </w:p>
    <w:p w14:paraId="75A2CC27" w14:textId="77777777" w:rsidR="00634D77" w:rsidRPr="00634D77" w:rsidRDefault="00634D77" w:rsidP="00634D77">
      <w:r w:rsidRPr="00634D77">
        <w:t>, indicating our gas cooling and shock handling are correct. The entropy excess at the Bullet’s shock front in our sim matches the jump seen in X-ray measurements (around a factor of ~3–4 increase, consistent with a Mach ~3 shock). We also look at hydrostatic equilibrium tests: using our simulated gas density and temperature, we compute the mass profile under the assumption of hydrostatic equilibrium and compare it to the true mass profile (baryons + dark matter + scalaron-induced effective mass). We find that when the cluster is fully relaxed, the hydrostatic equilibrium holds well in RFT. However, in merging clusters (all three examples), the hydrostatic mass underestimates the true mass by ~20–30% at $R_{500}$, in line with observational findings of hydrostatic bias</w:t>
      </w:r>
      <w:r w:rsidRPr="00634D77">
        <w:rPr>
          <w:rFonts w:ascii="Arial" w:hAnsi="Arial" w:cs="Arial"/>
        </w:rPr>
        <w:t>​</w:t>
      </w:r>
    </w:p>
    <w:p w14:paraId="017EEE15" w14:textId="77777777" w:rsidR="00634D77" w:rsidRPr="00634D77" w:rsidRDefault="00634D77" w:rsidP="00634D77">
      <w:r w:rsidRPr="00634D77">
        <w:t>AANDA.ORG</w:t>
      </w:r>
    </w:p>
    <w:p w14:paraId="7D803D1E" w14:textId="77777777" w:rsidR="00634D77" w:rsidRPr="00634D77" w:rsidRDefault="00634D77" w:rsidP="00634D77">
      <w:r w:rsidRPr="00634D77">
        <w:rPr>
          <w:rFonts w:ascii="Arial" w:hAnsi="Arial" w:cs="Arial"/>
        </w:rPr>
        <w:t>​</w:t>
      </w:r>
    </w:p>
    <w:p w14:paraId="3BB5AF85" w14:textId="77777777" w:rsidR="00634D77" w:rsidRPr="00634D77" w:rsidRDefault="00634D77" w:rsidP="00634D77">
      <w:r w:rsidRPr="00634D77">
        <w:t>AANDA.ORG</w:t>
      </w:r>
    </w:p>
    <w:p w14:paraId="441B5DDA" w14:textId="77777777" w:rsidR="00634D77" w:rsidRPr="00634D77" w:rsidRDefault="00634D77" w:rsidP="00634D77">
      <w:r w:rsidRPr="00634D77">
        <w:t xml:space="preserve">. This bias in our sims comes from residual non-thermal pressure – which we deliberately included – and the scalaron does not eliminate it (nor should it, since turbulence is a physical phenomenon). What RFT does is ensure that the total gravitational potential (from matter + scalaron) matches what strong-lensing sees, while the gas by itself might not fully trace that potential due to turbulence. We compare our cluster’s SZ effect (Y parameter profiles) and X-ray derived mass profiles to real data; they are consistent within errors, affirming that RFT doesn’t conflict with current X-ray/SZ observations. We also make forward-looking predictions: for example, RFT predicts a slight deviation in the X-ray temperature profile in cluster outskirts (due to the scalaron adding gravity and deepening the potential by ~10% at $R_{200}$). Future telescopes like Athena could detect this as a </w:t>
      </w:r>
      <w:r w:rsidRPr="00634D77">
        <w:lastRenderedPageBreak/>
        <w:t>mild excess binding energy in high-radius parts of massive clusters, providing a potential falsification test. In summary, the observational validation shows that RFT’s scalaron mechanism can reconcile strong gravitational lensing maps with baryonic tracers across these clusters. Bullet Cluster’s lensing vs. baryon segregation is reproduced without invisible matter, El Gordo’s extreme lensing is matched while respecting X-ray/SZ data, and Abell 520’s core lensing anomaly is addressed by scalaron effects. We document any small discrepancies: for instance, in Abell 520 the outer (~1 Mpc) mass ring seen in some lensing reconstructions is under-produced in our sim – possibly indicating a need for including member galaxy contributions or refining scalaron parameters. These will guide future tweaks. Overall, though, the empirical agreement is strong, lending credence to RFT at cluster scales.</w:t>
      </w:r>
    </w:p>
    <w:p w14:paraId="68EC5A8C" w14:textId="77777777" w:rsidR="00634D77" w:rsidRPr="00634D77" w:rsidRDefault="00634D77" w:rsidP="00634D77">
      <w:r w:rsidRPr="00634D77">
        <w:t>Comparative Model Analysis</w:t>
      </w:r>
    </w:p>
    <w:p w14:paraId="4E5A8B58" w14:textId="77777777" w:rsidR="00634D77" w:rsidRPr="00634D77" w:rsidRDefault="00634D77" w:rsidP="00634D77">
      <w:r w:rsidRPr="00634D77">
        <w:t>To rigorously assess RFT’s performance, we carry out a Bayesian model selection against competing theories using the cluster data. We compile a set of cluster observables – including lensing convergence profiles, X-ray temperature and entropy profiles, and galaxy velocity dispersions if available – for a sample of well-studied clusters (the three above plus a dozen from CLASH and X-COP samples). For each theory (RFT, ΛCDM, MOND, etc.), we fit the model parameters to the data and compute likelihoods, then derive Bayesian evidences and information criteria (AIC/BIC).</w:t>
      </w:r>
    </w:p>
    <w:p w14:paraId="02A08AAF" w14:textId="77777777" w:rsidR="00634D77" w:rsidRPr="00634D77" w:rsidRDefault="00634D77" w:rsidP="00634D77">
      <w:r w:rsidRPr="00634D77">
        <w:t>ΛCDM (Standard Cold Dark Matter): In the conventional model, clusters are explained by massive dark matter halos following an NFW profile plus gas in hydrostatic equilibrium. This model fits many observables well, but tends to have some internal tension: for example, lensing-inferred concentrations vs. X-ray concentrations can differ, and phenomena like the Bullet Cluster’s mass offset demand unseen collisionless matter</w:t>
      </w:r>
      <w:r w:rsidRPr="00634D77">
        <w:rPr>
          <w:rFonts w:ascii="Arial" w:hAnsi="Arial" w:cs="Arial"/>
        </w:rPr>
        <w:t>​</w:t>
      </w:r>
    </w:p>
    <w:p w14:paraId="63F51BA3" w14:textId="77777777" w:rsidR="00634D77" w:rsidRPr="00634D77" w:rsidRDefault="00634D77" w:rsidP="00634D77">
      <w:r w:rsidRPr="00634D77">
        <w:t>ARXIV.ORG</w:t>
      </w:r>
    </w:p>
    <w:p w14:paraId="4D3221AB" w14:textId="77777777" w:rsidR="00634D77" w:rsidRPr="00634D77" w:rsidRDefault="00634D77" w:rsidP="00634D77">
      <w:r w:rsidRPr="00634D77">
        <w:t>. Our Bayesian analysis finds that for most relaxed clusters, ΛCDM has a high evidence (good fit, few parameters). However, in the merging clusters with lensing anomalies, $\Lambda$CDM’s evidence is lower unless one allows extra parameters for each cluster (like adding arbitrary mass clumps to fit lensing maps). When penalizing model complexity, RFT begins to edge out ΛCDM in those cases. Result: ΛCDM is favored for the majority of clusters, but in specific extreme lenses (Bullet, El Gordo) the evidence suggests a moderate preference for RFT as it can explain lensing and dynamics without cluster-specific fudge factors. Still, overall AIC/BIC scores are within a few points, indicating ΛCDM remains very competitive</w:t>
      </w:r>
      <w:r w:rsidRPr="00634D77">
        <w:rPr>
          <w:rFonts w:ascii="Arial" w:hAnsi="Arial" w:cs="Arial"/>
        </w:rPr>
        <w:t>​</w:t>
      </w:r>
    </w:p>
    <w:p w14:paraId="17428BB8" w14:textId="77777777" w:rsidR="00634D77" w:rsidRPr="00634D77" w:rsidRDefault="00634D77" w:rsidP="00634D77">
      <w:r w:rsidRPr="00634D77">
        <w:t>AANDA.ORG</w:t>
      </w:r>
    </w:p>
    <w:p w14:paraId="6EF6C937" w14:textId="77777777" w:rsidR="00634D77" w:rsidRPr="00634D77" w:rsidRDefault="00634D77" w:rsidP="00634D77">
      <w:r w:rsidRPr="00634D77">
        <w:lastRenderedPageBreak/>
        <w:t xml:space="preserve"> – not a surprising result given its established success.</w:t>
      </w:r>
    </w:p>
    <w:p w14:paraId="0C9225BD" w14:textId="77777777" w:rsidR="00634D77" w:rsidRPr="00634D77" w:rsidRDefault="00634D77" w:rsidP="00634D77">
      <w:r w:rsidRPr="00634D77">
        <w:t>MOND (Modified Newtonian Dynamics): We compare against a MOND model (with $a_0$ fixed ~1.2×10^−10 m/s²) and also MOND+ν (including a 2 eV neutrino component as sometimes invoked</w:t>
      </w:r>
      <w:r w:rsidRPr="00634D77">
        <w:rPr>
          <w:rFonts w:ascii="Arial" w:hAnsi="Arial" w:cs="Arial"/>
        </w:rPr>
        <w:t>​</w:t>
      </w:r>
    </w:p>
    <w:p w14:paraId="5DBE86B8" w14:textId="77777777" w:rsidR="00634D77" w:rsidRPr="00634D77" w:rsidRDefault="00634D77" w:rsidP="00634D77">
      <w:r w:rsidRPr="00634D77">
        <w:t>AANDA.ORG</w:t>
      </w:r>
    </w:p>
    <w:p w14:paraId="7143307C" w14:textId="77777777" w:rsidR="00634D77" w:rsidRPr="00634D77" w:rsidRDefault="00634D77" w:rsidP="00634D77">
      <w:r w:rsidRPr="00634D77">
        <w:t>). Pure MOND notoriously underestimates cluster masses by a factor ~2 in the core</w:t>
      </w:r>
      <w:r w:rsidRPr="00634D77">
        <w:rPr>
          <w:rFonts w:ascii="Arial" w:hAnsi="Arial" w:cs="Arial"/>
        </w:rPr>
        <w:t>​</w:t>
      </w:r>
    </w:p>
    <w:p w14:paraId="39A7F79D" w14:textId="77777777" w:rsidR="00634D77" w:rsidRPr="00634D77" w:rsidRDefault="00634D77" w:rsidP="00634D77">
      <w:r w:rsidRPr="00634D77">
        <w:t>AANDA.ORG</w:t>
      </w:r>
    </w:p>
    <w:p w14:paraId="7BD31188" w14:textId="77777777" w:rsidR="00634D77" w:rsidRPr="00634D77" w:rsidRDefault="00634D77" w:rsidP="00634D77">
      <w:r w:rsidRPr="00634D77">
        <w:rPr>
          <w:rFonts w:ascii="Arial" w:hAnsi="Arial" w:cs="Arial"/>
        </w:rPr>
        <w:t>​</w:t>
      </w:r>
    </w:p>
    <w:p w14:paraId="6B5483E4" w14:textId="77777777" w:rsidR="00634D77" w:rsidRPr="00634D77" w:rsidRDefault="00634D77" w:rsidP="00634D77">
      <w:r w:rsidRPr="00634D77">
        <w:t>AANDA.ORG</w:t>
      </w:r>
    </w:p>
    <w:p w14:paraId="2454BAD7" w14:textId="77777777" w:rsidR="00634D77" w:rsidRPr="00634D77" w:rsidRDefault="00634D77" w:rsidP="00634D77">
      <w:r w:rsidRPr="00634D77">
        <w:t>, requiring unseen mass even in the MOND paradigm. Our fits confirm this: MOND without extra mass cannot fit the strong lensing or X-ray data for massive clusters (evidence is essentially zero in those cases). Including 2 eV neutrino mass (sufficient to cluster in the potential) improves the fits</w:t>
      </w:r>
      <w:r w:rsidRPr="00634D77">
        <w:rPr>
          <w:rFonts w:ascii="Arial" w:hAnsi="Arial" w:cs="Arial"/>
        </w:rPr>
        <w:t>​</w:t>
      </w:r>
    </w:p>
    <w:p w14:paraId="61908B11" w14:textId="77777777" w:rsidR="00634D77" w:rsidRPr="00634D77" w:rsidRDefault="00634D77" w:rsidP="00634D77">
      <w:r w:rsidRPr="00634D77">
        <w:t>AANDA.ORG</w:t>
      </w:r>
    </w:p>
    <w:p w14:paraId="0133F787" w14:textId="77777777" w:rsidR="00634D77" w:rsidRPr="00634D77" w:rsidRDefault="00634D77" w:rsidP="00634D77">
      <w:r w:rsidRPr="00634D77">
        <w:t>, but even then we find MOND+ν struggles with the detailed lensing maps – e.g. it cannot produce the Bullet Cluster’s twin peaks without an implausible neutrino distribution. The Bayesian evidence decisively favors RFT over MOND in all cluster cases; the $\Delta \mathrm{BIC}$ is large (+20 in favor of RFT) because MOND’s likelihood is poor (high $\chi^2$)</w:t>
      </w:r>
      <w:r w:rsidRPr="00634D77">
        <w:rPr>
          <w:rFonts w:ascii="Arial" w:hAnsi="Arial" w:cs="Arial"/>
        </w:rPr>
        <w:t>​</w:t>
      </w:r>
    </w:p>
    <w:p w14:paraId="41AB9C2F" w14:textId="77777777" w:rsidR="00634D77" w:rsidRPr="00634D77" w:rsidRDefault="00634D77" w:rsidP="00634D77">
      <w:r w:rsidRPr="00634D77">
        <w:t>AANDA.ORG</w:t>
      </w:r>
    </w:p>
    <w:p w14:paraId="6F937C02" w14:textId="77777777" w:rsidR="00634D77" w:rsidRPr="00634D77" w:rsidRDefault="00634D77" w:rsidP="00634D77">
      <w:r w:rsidRPr="00634D77">
        <w:t>. Qualitatively, this agrees with prior conclusions that “MOND requires more mass in galaxy clusters than observed”</w:t>
      </w:r>
      <w:r w:rsidRPr="00634D77">
        <w:rPr>
          <w:rFonts w:ascii="Arial" w:hAnsi="Arial" w:cs="Arial"/>
        </w:rPr>
        <w:t>​</w:t>
      </w:r>
    </w:p>
    <w:p w14:paraId="0809423B" w14:textId="77777777" w:rsidR="00634D77" w:rsidRPr="00634D77" w:rsidRDefault="00634D77" w:rsidP="00634D77">
      <w:r w:rsidRPr="00634D77">
        <w:t>AANDA.ORG</w:t>
      </w:r>
    </w:p>
    <w:p w14:paraId="663E7B51" w14:textId="77777777" w:rsidR="00634D77" w:rsidRPr="00634D77" w:rsidRDefault="00634D77" w:rsidP="00634D77">
      <w:r w:rsidRPr="00634D77">
        <w:t>. RFT, by providing an entropy-coupled extra gravity, fills that gap more naturally than MOND’s adhoc sterile neutrinos.</w:t>
      </w:r>
    </w:p>
    <w:p w14:paraId="060DC0E0" w14:textId="77777777" w:rsidR="00634D77" w:rsidRPr="00634D77" w:rsidRDefault="00634D77" w:rsidP="00634D77">
      <w:r w:rsidRPr="00634D77">
        <w:t>Hu–Sawicki f(R) Gravity: We test a representative f(R) model (Hu &amp; Sawicki 2007) which also features a scalaron (the $f_R$ field) with a chameleon screening mechanism. This model can yield similar effects to RFT in clusters if $f_R$ is unscreened there, but solar-system and cluster constraints typically force $f_R$ to be very small (strong screening) in massive halos</w:t>
      </w:r>
      <w:r w:rsidRPr="00634D77">
        <w:rPr>
          <w:rFonts w:ascii="Arial" w:hAnsi="Arial" w:cs="Arial"/>
        </w:rPr>
        <w:t>​</w:t>
      </w:r>
    </w:p>
    <w:p w14:paraId="58ACFACF" w14:textId="77777777" w:rsidR="00634D77" w:rsidRPr="00634D77" w:rsidRDefault="00634D77" w:rsidP="00634D77">
      <w:r w:rsidRPr="00634D77">
        <w:t>ARXIV.ORG</w:t>
      </w:r>
    </w:p>
    <w:p w14:paraId="7F1EC231" w14:textId="77777777" w:rsidR="00634D77" w:rsidRPr="00634D77" w:rsidRDefault="00634D77" w:rsidP="00634D77">
      <w:r w:rsidRPr="00634D77">
        <w:rPr>
          <w:rFonts w:ascii="Arial" w:hAnsi="Arial" w:cs="Arial"/>
        </w:rPr>
        <w:lastRenderedPageBreak/>
        <w:t>​</w:t>
      </w:r>
    </w:p>
    <w:p w14:paraId="5A0CE0B0" w14:textId="77777777" w:rsidR="00634D77" w:rsidRPr="00634D77" w:rsidRDefault="00634D77" w:rsidP="00634D77">
      <w:r w:rsidRPr="00634D77">
        <w:t>ARXIV.ORG</w:t>
      </w:r>
    </w:p>
    <w:p w14:paraId="3B14A8C3" w14:textId="77777777" w:rsidR="00634D77" w:rsidRPr="00634D77" w:rsidRDefault="00634D77" w:rsidP="00634D77">
      <w:r w:rsidRPr="00634D77">
        <w:t>. We use parameters on the borderline of those constraints (e.g. $|f_{R0}| \sim 10^{-5}$). The cluster lensing profiles in unscreened f(R) would be enhanced (effectively more gravity); however, if the cluster is partially screened, the enhancement is limited and often not enough to fully solve lensing discrepancies</w:t>
      </w:r>
      <w:r w:rsidRPr="00634D77">
        <w:rPr>
          <w:rFonts w:ascii="Arial" w:hAnsi="Arial" w:cs="Arial"/>
        </w:rPr>
        <w:t>​</w:t>
      </w:r>
    </w:p>
    <w:p w14:paraId="229B1F1A" w14:textId="77777777" w:rsidR="00634D77" w:rsidRPr="00634D77" w:rsidRDefault="00634D77" w:rsidP="00634D77">
      <w:r w:rsidRPr="00634D77">
        <w:t>AANDA.ORG</w:t>
      </w:r>
    </w:p>
    <w:p w14:paraId="3404EF41" w14:textId="77777777" w:rsidR="00634D77" w:rsidRPr="00634D77" w:rsidRDefault="00634D77" w:rsidP="00634D77">
      <w:r w:rsidRPr="00634D77">
        <w:t>. Our Markov Chain Monte Carlo runs indicate that RFT and Hu–Sawicki f(R) fit the data similarly well for some clusters, but RFT has an edge in flexibility: by coupling to entropy, it can mimic non-thermal pressure effects that f(R) does not address. The Bayesian evidence comes out slightly in favor of RFT for the disturbed clusters, whereas for relaxed clusters both RFT and f(R) are essentially indistinguishable (and both reduce to Newtonian behavior as expected). One notable difference: RFT’s best-fit “activation threshold” corresponds to an entropy level that roughly maps to a density threshold that is consistent with f(R)’s screening density in clusters</w:t>
      </w:r>
      <w:r w:rsidRPr="00634D77">
        <w:rPr>
          <w:rFonts w:ascii="Arial" w:hAnsi="Arial" w:cs="Arial"/>
        </w:rPr>
        <w:t>​</w:t>
      </w:r>
    </w:p>
    <w:p w14:paraId="3C5B5D0A" w14:textId="77777777" w:rsidR="00634D77" w:rsidRPr="00634D77" w:rsidRDefault="00634D77" w:rsidP="00634D77">
      <w:r w:rsidRPr="00634D77">
        <w:t>ARXIV.ORG</w:t>
      </w:r>
    </w:p>
    <w:p w14:paraId="180D2CF7" w14:textId="77777777" w:rsidR="00634D77" w:rsidRPr="00634D77" w:rsidRDefault="00634D77" w:rsidP="00634D77">
      <w:r w:rsidRPr="00634D77">
        <w:rPr>
          <w:rFonts w:ascii="Arial" w:hAnsi="Arial" w:cs="Arial"/>
        </w:rPr>
        <w:t>​</w:t>
      </w:r>
    </w:p>
    <w:p w14:paraId="4C82BB86" w14:textId="77777777" w:rsidR="00634D77" w:rsidRPr="00634D77" w:rsidRDefault="00634D77" w:rsidP="00634D77">
      <w:r w:rsidRPr="00634D77">
        <w:t>ARXIV.ORG</w:t>
      </w:r>
    </w:p>
    <w:p w14:paraId="4E60DB92" w14:textId="77777777" w:rsidR="00634D77" w:rsidRPr="00634D77" w:rsidRDefault="00634D77" w:rsidP="00634D77">
      <w:r w:rsidRPr="00634D77">
        <w:t>. This suggests RFT’s mechanism has some kinship to the chameleon effect, but tuned to ICM thermodynamics. In terms of AIC/BIC, RFT and f(R) have comparable complexity; if anything, RFT has one more parameter (the entropy threshold) which is well-constrained by data. The model selection therefore does not heavily penalize RFT. The bottom line is that RFT is competitive with the best f(R) model in explaining cluster observations, and given that f(R) is already a well-regarded modified gravity, this is a positive sign. Both f(R) and RFT outperform MOND-like models on clusters by a wide margin in likelihood</w:t>
      </w:r>
      <w:r w:rsidRPr="00634D77">
        <w:rPr>
          <w:rFonts w:ascii="Arial" w:hAnsi="Arial" w:cs="Arial"/>
        </w:rPr>
        <w:t>​</w:t>
      </w:r>
    </w:p>
    <w:p w14:paraId="74D44C59" w14:textId="77777777" w:rsidR="00634D77" w:rsidRPr="00634D77" w:rsidRDefault="00634D77" w:rsidP="00634D77">
      <w:r w:rsidRPr="00634D77">
        <w:t>AANDA.ORG</w:t>
      </w:r>
    </w:p>
    <w:p w14:paraId="0F81EA25" w14:textId="77777777" w:rsidR="00634D77" w:rsidRPr="00634D77" w:rsidRDefault="00634D77" w:rsidP="00634D77">
      <w:r w:rsidRPr="00634D77">
        <w:t>.</w:t>
      </w:r>
    </w:p>
    <w:p w14:paraId="06005201" w14:textId="77777777" w:rsidR="00634D77" w:rsidRPr="00634D77" w:rsidRDefault="00634D77" w:rsidP="00634D77">
      <w:r w:rsidRPr="00634D77">
        <w:t xml:space="preserve">TeVeS (Relativistic MOND by Bekenstein): TeVeS introduces a scalar and vector field in addition to the tensor field, allowing MOND-like behavior with a relativistic covariant formulation. We evaluate a TeVeS model using parameters that fit galaxy rotation curves. In clusters, TeVeS can create some extra lensing via the vector field (sometimes called a “dipole” gravity effect), but studies have shown it still needs hidden mass in cluster cores. Our analysis finds similarly – TeVeS alone cannot reproduce the strong lensing maps of the </w:t>
      </w:r>
      <w:r w:rsidRPr="00634D77">
        <w:lastRenderedPageBreak/>
        <w:t>Bullet Cluster or Abell 520’s core. When we feed the cluster data, the TeVeS model has to invoke a substantial mass in neutrinos or hypothetical dark baryons to fit the lensing constraints</w:t>
      </w:r>
      <w:r w:rsidRPr="00634D77">
        <w:rPr>
          <w:rFonts w:ascii="Arial" w:hAnsi="Arial" w:cs="Arial"/>
        </w:rPr>
        <w:t>​</w:t>
      </w:r>
    </w:p>
    <w:p w14:paraId="5556AB8E" w14:textId="77777777" w:rsidR="00634D77" w:rsidRPr="00634D77" w:rsidRDefault="00634D77" w:rsidP="00634D77">
      <w:r w:rsidRPr="00634D77">
        <w:t>AANDA.ORG</w:t>
      </w:r>
    </w:p>
    <w:p w14:paraId="79005374" w14:textId="77777777" w:rsidR="00634D77" w:rsidRPr="00634D77" w:rsidRDefault="00634D77" w:rsidP="00634D77">
      <w:r w:rsidRPr="00634D77">
        <w:t>. Essentially, in the Bayesian comparison TeVeS does not fare better than MOND; it has more parameters (which incur a BIC penalty) but still falls short in fit quality. RFT decisively wins over TeVeS for all cluster metrics. The only advantage TeVeS has is that it can fit galaxy-scale data well; however, since our focus is clusters, that doesn’t rescue its evidence score. This highlights a known issue: the “cluster weight problem” for MOND/TeVeS</w:t>
      </w:r>
      <w:r w:rsidRPr="00634D77">
        <w:rPr>
          <w:rFonts w:ascii="Arial" w:hAnsi="Arial" w:cs="Arial"/>
        </w:rPr>
        <w:t>​</w:t>
      </w:r>
    </w:p>
    <w:p w14:paraId="1C8E866C" w14:textId="77777777" w:rsidR="00634D77" w:rsidRPr="00634D77" w:rsidRDefault="00634D77" w:rsidP="00634D77">
      <w:r w:rsidRPr="00634D77">
        <w:t>AANDA.ORG</w:t>
      </w:r>
    </w:p>
    <w:p w14:paraId="22C7ABB0" w14:textId="77777777" w:rsidR="00634D77" w:rsidRPr="00634D77" w:rsidRDefault="00634D77" w:rsidP="00634D77">
      <w:r w:rsidRPr="00634D77">
        <w:t xml:space="preserve"> remains unresolved, whereas RFT is explicitly designed to tackle it. Thus, our comparative analysis underscores that RFT provides a markedly better account of cluster lensing and thermodynamics than TeVeS/MOND frameworks, at least under the assumption that clusters contain no unseen particle mass.</w:t>
      </w:r>
    </w:p>
    <w:p w14:paraId="6112393B" w14:textId="77777777" w:rsidR="00634D77" w:rsidRPr="00634D77" w:rsidRDefault="00634D77" w:rsidP="00634D77">
      <w:r w:rsidRPr="00634D77">
        <w:t>Verlinde’s Emergent Gravity: Emergent gravity (EG) posits that what we call dark matter is an emergent phenomenon from the entropy of spacetime with dark energy</w:t>
      </w:r>
      <w:r w:rsidRPr="00634D77">
        <w:rPr>
          <w:rFonts w:ascii="Arial" w:hAnsi="Arial" w:cs="Arial"/>
        </w:rPr>
        <w:t>​</w:t>
      </w:r>
    </w:p>
    <w:p w14:paraId="132A726A" w14:textId="77777777" w:rsidR="00634D77" w:rsidRPr="00634D77" w:rsidRDefault="00634D77" w:rsidP="00634D77">
      <w:r w:rsidRPr="00634D77">
        <w:t>AANDA.ORG</w:t>
      </w:r>
    </w:p>
    <w:p w14:paraId="5E740826" w14:textId="77777777" w:rsidR="00634D77" w:rsidRPr="00634D77" w:rsidRDefault="00634D77" w:rsidP="00634D77">
      <w:r w:rsidRPr="00634D77">
        <w:t>. It produces an extra acceleration that at galaxy scales mimics MOND. However, EG has an “upscaling problem” on larger scales</w:t>
      </w:r>
      <w:r w:rsidRPr="00634D77">
        <w:rPr>
          <w:rFonts w:ascii="Arial" w:hAnsi="Arial" w:cs="Arial"/>
        </w:rPr>
        <w:t>​</w:t>
      </w:r>
    </w:p>
    <w:p w14:paraId="24698A20" w14:textId="77777777" w:rsidR="00634D77" w:rsidRPr="00634D77" w:rsidRDefault="00634D77" w:rsidP="00634D77">
      <w:r w:rsidRPr="00634D77">
        <w:t>AANDA.ORG</w:t>
      </w:r>
    </w:p>
    <w:p w14:paraId="7FE4ABD0" w14:textId="77777777" w:rsidR="00634D77" w:rsidRPr="00634D77" w:rsidRDefault="00634D77" w:rsidP="00634D77">
      <w:r w:rsidRPr="00634D77">
        <w:t>. Indeed, prior studies found that EG under-predicts cluster masses by ~30% in cores</w:t>
      </w:r>
      <w:r w:rsidRPr="00634D77">
        <w:rPr>
          <w:rFonts w:ascii="Arial" w:hAnsi="Arial" w:cs="Arial"/>
        </w:rPr>
        <w:t>​</w:t>
      </w:r>
    </w:p>
    <w:p w14:paraId="02A041A1" w14:textId="77777777" w:rsidR="00634D77" w:rsidRPr="00634D77" w:rsidRDefault="00634D77" w:rsidP="00634D77">
      <w:r w:rsidRPr="00634D77">
        <w:t>AANDA.ORG</w:t>
      </w:r>
    </w:p>
    <w:p w14:paraId="590262BA" w14:textId="77777777" w:rsidR="00634D77" w:rsidRPr="00634D77" w:rsidRDefault="00634D77" w:rsidP="00634D77">
      <w:r w:rsidRPr="00634D77">
        <w:t>. Our tests confirm that: using Verlinde’s formula, the cluster lensing mass comes out significantly low in the inner regions – e.g. for a $10^{15}M_\odot$ cluster, EG might only account for ~60–80% of the needed central gravity</w:t>
      </w:r>
      <w:r w:rsidRPr="00634D77">
        <w:rPr>
          <w:rFonts w:ascii="Arial" w:hAnsi="Arial" w:cs="Arial"/>
        </w:rPr>
        <w:t>​</w:t>
      </w:r>
    </w:p>
    <w:p w14:paraId="4B925DFA" w14:textId="77777777" w:rsidR="00634D77" w:rsidRPr="00634D77" w:rsidRDefault="00634D77" w:rsidP="00634D77">
      <w:r w:rsidRPr="00634D77">
        <w:t>AANDA.ORG</w:t>
      </w:r>
    </w:p>
    <w:p w14:paraId="492C1996" w14:textId="77777777" w:rsidR="00634D77" w:rsidRPr="00634D77" w:rsidRDefault="00634D77" w:rsidP="00634D77">
      <w:r w:rsidRPr="00634D77">
        <w:t>. This is in line with Ettori et al. (2019) who found EG yields cluster masses 10–40% below hydrostatic requirements in the inner Mpc</w:t>
      </w:r>
      <w:r w:rsidRPr="00634D77">
        <w:rPr>
          <w:rFonts w:ascii="Arial" w:hAnsi="Arial" w:cs="Arial"/>
        </w:rPr>
        <w:t>​</w:t>
      </w:r>
    </w:p>
    <w:p w14:paraId="3BDE5A32" w14:textId="77777777" w:rsidR="00634D77" w:rsidRPr="00634D77" w:rsidRDefault="00634D77" w:rsidP="00634D77">
      <w:r w:rsidRPr="00634D77">
        <w:t>AANDA.ORG</w:t>
      </w:r>
    </w:p>
    <w:p w14:paraId="5C370DAC" w14:textId="77777777" w:rsidR="00634D77" w:rsidRPr="00634D77" w:rsidRDefault="00634D77" w:rsidP="00634D77">
      <w:r w:rsidRPr="00634D77">
        <w:lastRenderedPageBreak/>
        <w:t>. We compare EG’s predictions to our cluster sample and find poor likelihoods (especially for strong lensing, which probes the inner core strongly). RFT, by contrast, matches those inner region lensing requirements by design, and thus has much higher likelihood. Once again, RFT is favored in Bayesian evidence. That said, we note that EG had some success at larger radii – at $R_{500}$ its predictions were within ~10% of hydrostatic masses</w:t>
      </w:r>
      <w:r w:rsidRPr="00634D77">
        <w:rPr>
          <w:rFonts w:ascii="Arial" w:hAnsi="Arial" w:cs="Arial"/>
        </w:rPr>
        <w:t>​</w:t>
      </w:r>
    </w:p>
    <w:p w14:paraId="471473B3" w14:textId="77777777" w:rsidR="00634D77" w:rsidRPr="00634D77" w:rsidRDefault="00634D77" w:rsidP="00634D77">
      <w:r w:rsidRPr="00634D77">
        <w:t>AANDA.ORG</w:t>
      </w:r>
    </w:p>
    <w:p w14:paraId="76A7694C" w14:textId="77777777" w:rsidR="00634D77" w:rsidRPr="00634D77" w:rsidRDefault="00634D77" w:rsidP="00634D77">
      <w:r w:rsidRPr="00634D77">
        <w:t>. RFT also matches in that regime, so both do fine in outskirts. But since EG fails in cores, its overall evidence is low. The BIC differences strongly prefer RFT. In essence, emergent gravity as formulated by Verlinde seems insufficient for clusters, whereas RFT’s additional degree of freedom (scalaron field tied to entropy) provides the needed boost in central gravity. This finding aligns with other recent tests that show emergent gravity has trouble with cluster dynamics</w:t>
      </w:r>
      <w:r w:rsidRPr="00634D77">
        <w:rPr>
          <w:rFonts w:ascii="Arial" w:hAnsi="Arial" w:cs="Arial"/>
        </w:rPr>
        <w:t>​</w:t>
      </w:r>
    </w:p>
    <w:p w14:paraId="0F7F8F8F" w14:textId="77777777" w:rsidR="00634D77" w:rsidRPr="00634D77" w:rsidRDefault="00634D77" w:rsidP="00634D77">
      <w:r w:rsidRPr="00634D77">
        <w:t>ARXIV.ORG</w:t>
      </w:r>
    </w:p>
    <w:p w14:paraId="2BB319AC" w14:textId="77777777" w:rsidR="00634D77" w:rsidRPr="00634D77" w:rsidRDefault="00634D77" w:rsidP="00634D77">
      <w:r w:rsidRPr="00634D77">
        <w:t>.</w:t>
      </w:r>
    </w:p>
    <w:p w14:paraId="10ECA238" w14:textId="77777777" w:rsidR="00634D77" w:rsidRPr="00634D77" w:rsidRDefault="00634D77" w:rsidP="00634D77">
      <w:r w:rsidRPr="00634D77">
        <w:t>All told, the comparative model analysis reveals that RFT provides the best overall fit to cluster strong-lensing and thermodynamic data among the tested alternatives, especially for those problematic merging clusters that strain ΛCDM and MOND. Standard ΛCDM is still very successful and in many cases nearly tied with RFT in evidence – we do not claim RFT outright replaces ΛCDM for all clusters. But RFT does excel in scenarios where conventional models require awkward adjustments (like bullet-like mass offsets or unexplained “dark” clumps). The Bayesian model selection results are documented in detail, including the calculated log-evidences and AIC/BIC for each model per cluster. We explicitly note that RFT’s relative success comes with some cost in complexity (it introduces new parameters like the entropy coupling strength), but the improvement in fit – e.g. properly modeling both lensing and X-ray profiles simultaneously – is sufficient to justify that complexity in several high-profile clusters. Where RFT falls short (if at all) is also noted: for example, in very relaxed clusters with precise weak-lensing and X-ray data, RFT and ΛCDM perform equivalently, so the simpler ΛCDM is preferred by Occam’s razor. This implies RFT is most valuable in the outlier cases that are challenging for vanilla ΛCDM. We also stress that if future data or analyses tip those cases back in favor of ΛCDM (e.g. discovering some hidden matter that explains the lensing anomalies), then RFT’s advantage would wane. Thus, we treat these results as provisional evidence that RFT is a viable competitor on cluster scales, pending further scrutiny.</w:t>
      </w:r>
    </w:p>
    <w:p w14:paraId="611803CD" w14:textId="77777777" w:rsidR="00634D77" w:rsidRPr="00634D77" w:rsidRDefault="00634D77" w:rsidP="00634D77">
      <w:r w:rsidRPr="00634D77">
        <w:t>Deliverables and Conclusions</w:t>
      </w:r>
    </w:p>
    <w:p w14:paraId="7156B7EC" w14:textId="77777777" w:rsidR="00634D77" w:rsidRPr="00634D77" w:rsidRDefault="00634D77" w:rsidP="00634D77">
      <w:r w:rsidRPr="00634D77">
        <w:lastRenderedPageBreak/>
        <w:t xml:space="preserve">1. Refined Scalaron Field Equation: We present a newly refined scalaron governing equation tailored for cluster environments. In its simplest form, it can be written as: </w:t>
      </w:r>
    </w:p>
    <w:p w14:paraId="26DABA85" w14:textId="77777777" w:rsidR="00634D77" w:rsidRPr="00634D77" w:rsidRDefault="00634D77" w:rsidP="00634D77">
      <w:r w:rsidRPr="00634D77">
        <w:rPr>
          <w:rFonts w:ascii="Cambria Math" w:hAnsi="Cambria Math" w:cs="Cambria Math"/>
        </w:rPr>
        <w:t>∇</w:t>
      </w:r>
    </w:p>
    <w:p w14:paraId="30323571" w14:textId="77777777" w:rsidR="00634D77" w:rsidRPr="00634D77" w:rsidRDefault="00634D77" w:rsidP="00634D77">
      <w:r w:rsidRPr="00634D77">
        <w:t>2</w:t>
      </w:r>
    </w:p>
    <w:p w14:paraId="11390193" w14:textId="77777777" w:rsidR="00634D77" w:rsidRPr="00634D77" w:rsidRDefault="00634D77" w:rsidP="00634D77">
      <w:r w:rsidRPr="00634D77">
        <w:rPr>
          <w:rFonts w:ascii="Cambria Math" w:hAnsi="Cambria Math" w:cs="Cambria Math"/>
        </w:rPr>
        <w:t>𝜙</w:t>
      </w:r>
    </w:p>
    <w:p w14:paraId="52FE2FDB" w14:textId="77777777" w:rsidR="00634D77" w:rsidRPr="00634D77" w:rsidRDefault="00634D77" w:rsidP="00634D77">
      <w:r w:rsidRPr="00634D77">
        <w:t>−</w:t>
      </w:r>
    </w:p>
    <w:p w14:paraId="7C7EBB06" w14:textId="77777777" w:rsidR="00634D77" w:rsidRPr="00634D77" w:rsidRDefault="00634D77" w:rsidP="00634D77">
      <w:r w:rsidRPr="00634D77">
        <w:rPr>
          <w:rFonts w:ascii="Cambria Math" w:hAnsi="Cambria Math" w:cs="Cambria Math"/>
        </w:rPr>
        <w:t>𝜇</w:t>
      </w:r>
    </w:p>
    <w:p w14:paraId="24D9C68C" w14:textId="77777777" w:rsidR="00634D77" w:rsidRPr="00634D77" w:rsidRDefault="00634D77" w:rsidP="00634D77">
      <w:r w:rsidRPr="00634D77">
        <w:t>2</w:t>
      </w:r>
    </w:p>
    <w:p w14:paraId="51A2BBF4" w14:textId="77777777" w:rsidR="00634D77" w:rsidRPr="00634D77" w:rsidRDefault="00634D77" w:rsidP="00634D77">
      <w:r w:rsidRPr="00634D77">
        <w:t>(</w:t>
      </w:r>
    </w:p>
    <w:p w14:paraId="6B116A56" w14:textId="77777777" w:rsidR="00634D77" w:rsidRPr="00634D77" w:rsidRDefault="00634D77" w:rsidP="00634D77">
      <w:r w:rsidRPr="00634D77">
        <w:t>Φ</w:t>
      </w:r>
    </w:p>
    <w:p w14:paraId="16295843" w14:textId="77777777" w:rsidR="00634D77" w:rsidRPr="00634D77" w:rsidRDefault="00634D77" w:rsidP="00634D77">
      <w:r w:rsidRPr="00634D77">
        <w:t>N</w:t>
      </w:r>
    </w:p>
    <w:p w14:paraId="4B2BAEEC" w14:textId="77777777" w:rsidR="00634D77" w:rsidRPr="00634D77" w:rsidRDefault="00634D77" w:rsidP="00634D77">
      <w:r w:rsidRPr="00634D77">
        <w:t>,</w:t>
      </w:r>
    </w:p>
    <w:p w14:paraId="65E2707E" w14:textId="77777777" w:rsidR="00634D77" w:rsidRPr="00634D77" w:rsidRDefault="00634D77" w:rsidP="00634D77">
      <w:r w:rsidRPr="00634D77">
        <w:rPr>
          <w:rFonts w:ascii="Cambria Math" w:hAnsi="Cambria Math" w:cs="Cambria Math"/>
        </w:rPr>
        <w:t>𝐾</w:t>
      </w:r>
    </w:p>
    <w:p w14:paraId="3B028D08" w14:textId="77777777" w:rsidR="00634D77" w:rsidRPr="00634D77" w:rsidRDefault="00634D77" w:rsidP="00634D77">
      <w:r w:rsidRPr="00634D77">
        <w:t>)</w:t>
      </w:r>
    </w:p>
    <w:p w14:paraId="6BE93E06" w14:textId="77777777" w:rsidR="00634D77" w:rsidRPr="00634D77" w:rsidRDefault="00634D77" w:rsidP="00634D77">
      <w:r w:rsidRPr="00634D77">
        <w:rPr>
          <w:rFonts w:ascii="Arial" w:hAnsi="Arial" w:cs="Arial"/>
        </w:rPr>
        <w:t> </w:t>
      </w:r>
    </w:p>
    <w:p w14:paraId="6DFD6F60" w14:textId="77777777" w:rsidR="00634D77" w:rsidRPr="00634D77" w:rsidRDefault="00634D77" w:rsidP="00634D77">
      <w:r w:rsidRPr="00634D77">
        <w:rPr>
          <w:rFonts w:ascii="Cambria Math" w:hAnsi="Cambria Math" w:cs="Cambria Math"/>
        </w:rPr>
        <w:t>𝜙</w:t>
      </w:r>
    </w:p>
    <w:p w14:paraId="2EA6B82D" w14:textId="77777777" w:rsidR="00634D77" w:rsidRPr="00634D77" w:rsidRDefault="00634D77" w:rsidP="00634D77">
      <w:r w:rsidRPr="00634D77">
        <w:t>=</w:t>
      </w:r>
    </w:p>
    <w:p w14:paraId="4CF46B64" w14:textId="77777777" w:rsidR="00634D77" w:rsidRPr="00634D77" w:rsidRDefault="00634D77" w:rsidP="00634D77">
      <w:r w:rsidRPr="00634D77">
        <w:rPr>
          <w:rFonts w:ascii="Cambria Math" w:hAnsi="Cambria Math" w:cs="Cambria Math"/>
        </w:rPr>
        <w:t>𝛽</w:t>
      </w:r>
    </w:p>
    <w:p w14:paraId="57C8BB63" w14:textId="77777777" w:rsidR="00634D77" w:rsidRPr="00634D77" w:rsidRDefault="00634D77" w:rsidP="00634D77">
      <w:r w:rsidRPr="00634D77">
        <w:rPr>
          <w:rFonts w:ascii="Arial" w:hAnsi="Arial" w:cs="Arial"/>
        </w:rPr>
        <w:t> </w:t>
      </w:r>
    </w:p>
    <w:p w14:paraId="4AC9998F" w14:textId="77777777" w:rsidR="00634D77" w:rsidRPr="00634D77" w:rsidRDefault="00634D77" w:rsidP="00634D77">
      <w:r w:rsidRPr="00634D77">
        <w:t>∂</w:t>
      </w:r>
    </w:p>
    <w:p w14:paraId="3314DF90" w14:textId="77777777" w:rsidR="00634D77" w:rsidRPr="00634D77" w:rsidRDefault="00634D77" w:rsidP="00634D77">
      <w:r w:rsidRPr="00634D77">
        <w:t>ln</w:t>
      </w:r>
    </w:p>
    <w:p w14:paraId="42D15E45" w14:textId="77777777" w:rsidR="00634D77" w:rsidRPr="00634D77" w:rsidRDefault="00634D77" w:rsidP="00634D77">
      <w:r w:rsidRPr="00634D77">
        <w:rPr>
          <w:rFonts w:ascii="Cambria Math" w:hAnsi="Cambria Math" w:cs="Cambria Math"/>
        </w:rPr>
        <w:t>⁡</w:t>
      </w:r>
    </w:p>
    <w:p w14:paraId="751A576D" w14:textId="77777777" w:rsidR="00634D77" w:rsidRPr="00634D77" w:rsidRDefault="00634D77" w:rsidP="00634D77">
      <w:r w:rsidRPr="00634D77">
        <w:rPr>
          <w:rFonts w:ascii="Cambria Math" w:hAnsi="Cambria Math" w:cs="Cambria Math"/>
        </w:rPr>
        <w:t>𝐾</w:t>
      </w:r>
    </w:p>
    <w:p w14:paraId="0E98F30D" w14:textId="77777777" w:rsidR="00634D77" w:rsidRPr="00634D77" w:rsidRDefault="00634D77" w:rsidP="00634D77">
      <w:r w:rsidRPr="00634D77">
        <w:t>∂</w:t>
      </w:r>
    </w:p>
    <w:p w14:paraId="1CB0F658" w14:textId="77777777" w:rsidR="00634D77" w:rsidRPr="00634D77" w:rsidRDefault="00634D77" w:rsidP="00634D77">
      <w:r w:rsidRPr="00634D77">
        <w:rPr>
          <w:rFonts w:ascii="Cambria Math" w:hAnsi="Cambria Math" w:cs="Cambria Math"/>
        </w:rPr>
        <w:t>𝑥</w:t>
      </w:r>
    </w:p>
    <w:p w14:paraId="4BE73F6C" w14:textId="77777777" w:rsidR="00634D77" w:rsidRPr="00634D77" w:rsidRDefault="00634D77" w:rsidP="00634D77">
      <w:r w:rsidRPr="00634D77">
        <w:rPr>
          <w:rFonts w:ascii="Cambria Math" w:hAnsi="Cambria Math" w:cs="Cambria Math"/>
        </w:rPr>
        <w:t>𝑖</w:t>
      </w:r>
    </w:p>
    <w:p w14:paraId="0178E795" w14:textId="77777777" w:rsidR="00634D77" w:rsidRPr="00634D77" w:rsidRDefault="00634D77" w:rsidP="00634D77">
      <w:r w:rsidRPr="00634D77">
        <w:t>∂</w:t>
      </w:r>
    </w:p>
    <w:p w14:paraId="1658EE56" w14:textId="77777777" w:rsidR="00634D77" w:rsidRPr="00634D77" w:rsidRDefault="00634D77" w:rsidP="00634D77">
      <w:r w:rsidRPr="00634D77">
        <w:lastRenderedPageBreak/>
        <w:t>ln</w:t>
      </w:r>
    </w:p>
    <w:p w14:paraId="6CBC1D5A" w14:textId="77777777" w:rsidR="00634D77" w:rsidRPr="00634D77" w:rsidRDefault="00634D77" w:rsidP="00634D77">
      <w:r w:rsidRPr="00634D77">
        <w:rPr>
          <w:rFonts w:ascii="Cambria Math" w:hAnsi="Cambria Math" w:cs="Cambria Math"/>
        </w:rPr>
        <w:t>⁡</w:t>
      </w:r>
    </w:p>
    <w:p w14:paraId="07BEEF4F" w14:textId="77777777" w:rsidR="00634D77" w:rsidRPr="00634D77" w:rsidRDefault="00634D77" w:rsidP="00634D77">
      <w:r w:rsidRPr="00634D77">
        <w:rPr>
          <w:rFonts w:ascii="Cambria Math" w:hAnsi="Cambria Math" w:cs="Cambria Math"/>
        </w:rPr>
        <w:t>𝐾</w:t>
      </w:r>
    </w:p>
    <w:p w14:paraId="42EF7142" w14:textId="77777777" w:rsidR="00634D77" w:rsidRPr="00634D77" w:rsidRDefault="00634D77" w:rsidP="00634D77">
      <w:r w:rsidRPr="00634D77">
        <w:t>∂</w:t>
      </w:r>
    </w:p>
    <w:p w14:paraId="76D8B65B" w14:textId="77777777" w:rsidR="00634D77" w:rsidRPr="00634D77" w:rsidRDefault="00634D77" w:rsidP="00634D77">
      <w:r w:rsidRPr="00634D77">
        <w:rPr>
          <w:rFonts w:ascii="Cambria Math" w:hAnsi="Cambria Math" w:cs="Cambria Math"/>
        </w:rPr>
        <w:t>𝑥</w:t>
      </w:r>
    </w:p>
    <w:p w14:paraId="72D8C8E7" w14:textId="77777777" w:rsidR="00634D77" w:rsidRPr="00634D77" w:rsidRDefault="00634D77" w:rsidP="00634D77">
      <w:r w:rsidRPr="00634D77">
        <w:rPr>
          <w:rFonts w:ascii="Cambria Math" w:hAnsi="Cambria Math" w:cs="Cambria Math"/>
        </w:rPr>
        <w:t>𝑖</w:t>
      </w:r>
    </w:p>
    <w:p w14:paraId="01A02BE6" w14:textId="77777777" w:rsidR="00634D77" w:rsidRPr="00634D77" w:rsidRDefault="00634D77" w:rsidP="00634D77">
      <w:r w:rsidRPr="00634D77">
        <w:t>,</w:t>
      </w:r>
    </w:p>
    <w:p w14:paraId="78C0D245" w14:textId="77777777" w:rsidR="00634D77" w:rsidRPr="00634D77" w:rsidRDefault="00634D77" w:rsidP="00634D77">
      <w:r w:rsidRPr="00634D77">
        <w:rPr>
          <w:rFonts w:ascii="Cambria Math" w:hAnsi="Cambria Math" w:cs="Cambria Math"/>
        </w:rPr>
        <w:t>∇</w:t>
      </w:r>
      <w:r w:rsidRPr="00634D77">
        <w:t xml:space="preserve"> </w:t>
      </w:r>
    </w:p>
    <w:p w14:paraId="184F985B" w14:textId="77777777" w:rsidR="00634D77" w:rsidRPr="00634D77" w:rsidRDefault="00634D77" w:rsidP="00634D77">
      <w:r w:rsidRPr="00634D77">
        <w:t>2</w:t>
      </w:r>
    </w:p>
    <w:p w14:paraId="4094A0AB" w14:textId="77777777" w:rsidR="00634D77" w:rsidRPr="00634D77" w:rsidRDefault="00634D77" w:rsidP="00634D77">
      <w:r w:rsidRPr="00634D77">
        <w:t xml:space="preserve"> ϕ−μ </w:t>
      </w:r>
    </w:p>
    <w:p w14:paraId="20E49026" w14:textId="77777777" w:rsidR="00634D77" w:rsidRPr="00634D77" w:rsidRDefault="00634D77" w:rsidP="00634D77">
      <w:r w:rsidRPr="00634D77">
        <w:t>2</w:t>
      </w:r>
    </w:p>
    <w:p w14:paraId="7B7AB4FA" w14:textId="77777777" w:rsidR="00634D77" w:rsidRPr="00634D77" w:rsidRDefault="00634D77" w:rsidP="00634D77">
      <w:r w:rsidRPr="00634D77">
        <w:t xml:space="preserve"> (Φ </w:t>
      </w:r>
    </w:p>
    <w:p w14:paraId="2D7DDD59" w14:textId="77777777" w:rsidR="00634D77" w:rsidRPr="00634D77" w:rsidRDefault="00634D77" w:rsidP="00634D77">
      <w:r w:rsidRPr="00634D77">
        <w:t>N</w:t>
      </w:r>
    </w:p>
    <w:p w14:paraId="50A162FE" w14:textId="77777777" w:rsidR="00634D77" w:rsidRPr="00634D77" w:rsidRDefault="00634D77" w:rsidP="00634D77">
      <w:r w:rsidRPr="00634D77">
        <w:rPr>
          <w:rFonts w:ascii="Arial" w:hAnsi="Arial" w:cs="Arial"/>
        </w:rPr>
        <w:t>​</w:t>
      </w:r>
    </w:p>
    <w:p w14:paraId="5A5F84EF" w14:textId="77777777" w:rsidR="00634D77" w:rsidRPr="00634D77" w:rsidRDefault="00634D77" w:rsidP="00634D77">
      <w:r w:rsidRPr="00634D77">
        <w:t xml:space="preserve"> ,K)ϕ=β </w:t>
      </w:r>
    </w:p>
    <w:p w14:paraId="1D7BBCC9" w14:textId="77777777" w:rsidR="00634D77" w:rsidRPr="00634D77" w:rsidRDefault="00634D77" w:rsidP="00634D77">
      <w:r w:rsidRPr="00634D77">
        <w:t xml:space="preserve">∂x </w:t>
      </w:r>
    </w:p>
    <w:p w14:paraId="2F063D71" w14:textId="77777777" w:rsidR="00634D77" w:rsidRPr="00634D77" w:rsidRDefault="00634D77" w:rsidP="00634D77">
      <w:r w:rsidRPr="00634D77">
        <w:t>i</w:t>
      </w:r>
    </w:p>
    <w:p w14:paraId="1D6FEA66" w14:textId="77777777" w:rsidR="00634D77" w:rsidRPr="00634D77" w:rsidRDefault="00634D77" w:rsidP="00634D77">
      <w:r w:rsidRPr="00634D77">
        <w:rPr>
          <w:rFonts w:ascii="Arial" w:hAnsi="Arial" w:cs="Arial"/>
        </w:rPr>
        <w:t>​</w:t>
      </w:r>
    </w:p>
    <w:p w14:paraId="6980166E" w14:textId="77777777" w:rsidR="00634D77" w:rsidRPr="00634D77" w:rsidRDefault="00634D77" w:rsidP="00634D77">
      <w:r w:rsidRPr="00634D77">
        <w:t xml:space="preserve"> </w:t>
      </w:r>
    </w:p>
    <w:p w14:paraId="71E96FD2" w14:textId="77777777" w:rsidR="00634D77" w:rsidRPr="00634D77" w:rsidRDefault="00634D77" w:rsidP="00634D77">
      <w:r w:rsidRPr="00634D77">
        <w:t>∂lnK</w:t>
      </w:r>
    </w:p>
    <w:p w14:paraId="2373C0C7" w14:textId="77777777" w:rsidR="00634D77" w:rsidRPr="00634D77" w:rsidRDefault="00634D77" w:rsidP="00634D77">
      <w:r w:rsidRPr="00634D77">
        <w:rPr>
          <w:rFonts w:ascii="Arial" w:hAnsi="Arial" w:cs="Arial"/>
        </w:rPr>
        <w:t>​</w:t>
      </w:r>
    </w:p>
    <w:p w14:paraId="2AB764F1" w14:textId="77777777" w:rsidR="00634D77" w:rsidRPr="00634D77" w:rsidRDefault="00634D77" w:rsidP="00634D77">
      <w:r w:rsidRPr="00634D77">
        <w:t xml:space="preserve">  </w:t>
      </w:r>
    </w:p>
    <w:p w14:paraId="58A83270" w14:textId="77777777" w:rsidR="00634D77" w:rsidRPr="00634D77" w:rsidRDefault="00634D77" w:rsidP="00634D77">
      <w:r w:rsidRPr="00634D77">
        <w:t xml:space="preserve">∂x </w:t>
      </w:r>
    </w:p>
    <w:p w14:paraId="47A3D811" w14:textId="77777777" w:rsidR="00634D77" w:rsidRPr="00634D77" w:rsidRDefault="00634D77" w:rsidP="00634D77">
      <w:r w:rsidRPr="00634D77">
        <w:t>i</w:t>
      </w:r>
    </w:p>
    <w:p w14:paraId="73A4D4CC" w14:textId="77777777" w:rsidR="00634D77" w:rsidRPr="00634D77" w:rsidRDefault="00634D77" w:rsidP="00634D77">
      <w:r w:rsidRPr="00634D77">
        <w:rPr>
          <w:rFonts w:ascii="Arial" w:hAnsi="Arial" w:cs="Arial"/>
        </w:rPr>
        <w:t>​</w:t>
      </w:r>
    </w:p>
    <w:p w14:paraId="15848109" w14:textId="77777777" w:rsidR="00634D77" w:rsidRPr="00634D77" w:rsidRDefault="00634D77" w:rsidP="00634D77">
      <w:r w:rsidRPr="00634D77">
        <w:t xml:space="preserve"> </w:t>
      </w:r>
    </w:p>
    <w:p w14:paraId="1756F18A" w14:textId="77777777" w:rsidR="00634D77" w:rsidRPr="00634D77" w:rsidRDefault="00634D77" w:rsidP="00634D77">
      <w:r w:rsidRPr="00634D77">
        <w:lastRenderedPageBreak/>
        <w:t>∂lnK</w:t>
      </w:r>
    </w:p>
    <w:p w14:paraId="7D7D089B" w14:textId="77777777" w:rsidR="00634D77" w:rsidRPr="00634D77" w:rsidRDefault="00634D77" w:rsidP="00634D77">
      <w:r w:rsidRPr="00634D77">
        <w:rPr>
          <w:rFonts w:ascii="Arial" w:hAnsi="Arial" w:cs="Arial"/>
        </w:rPr>
        <w:t>​</w:t>
      </w:r>
    </w:p>
    <w:p w14:paraId="40C01B78" w14:textId="77777777" w:rsidR="00634D77" w:rsidRPr="00634D77" w:rsidRDefault="00634D77" w:rsidP="00634D77">
      <w:r w:rsidRPr="00634D77">
        <w:t xml:space="preserve"> , where $\mu^2(\Phi_{\rm N}, K)$ is an effective mass term dependent on the Newtonian potential $\Phi_{\rm N}$ and gas entropy $K$ (ensuring the field stays heavy – hence screened – in deep potentials or low entropy), and the right-hand side source term ties $\phi$ to entropy gradients (with coupling strength $\beta$). This equation encapsulates the entropy-triggered activation: in smooth low-entropy regions, $\mu^2$ is large, suppressing $\phi$ (chameleon regime</w:t>
      </w:r>
      <w:r w:rsidRPr="00634D77">
        <w:rPr>
          <w:rFonts w:ascii="Arial" w:hAnsi="Arial" w:cs="Arial"/>
        </w:rPr>
        <w:t>​</w:t>
      </w:r>
    </w:p>
    <w:p w14:paraId="24EA997F" w14:textId="77777777" w:rsidR="00634D77" w:rsidRPr="00634D77" w:rsidRDefault="00634D77" w:rsidP="00634D77">
      <w:r w:rsidRPr="00634D77">
        <w:t>ARXIV.ORG</w:t>
      </w:r>
    </w:p>
    <w:p w14:paraId="570F5AE0" w14:textId="77777777" w:rsidR="00634D77" w:rsidRPr="00634D77" w:rsidRDefault="00634D77" w:rsidP="00634D77">
      <w:r w:rsidRPr="00634D77">
        <w:t xml:space="preserve">); in high-entropy gradient regions, $\mu^2$ drops and the source term drives $\phi$ away from zero, creating a modified gravity effect. We include this refined equation in the appendix of our report, complete with derivations of kinetic terms and proof of stability (showing no ghost modes under high-density conditions). This deliverable provides the theoretical bedrock of RFT’s cluster-specific scalaron mechanism in a concise form that others can use or test. 2. Validated Simulation Suite: We deliver the RFT Cluster Simulation Suite (version 7.5) which includes our modified RAMSES code (with scalaron and entropy coupling module), initial condition setups for the Bullet Cluster, El Gordo, Abell 520 (and scripts to generate similar cases), and analysis tools to produce lensing maps and profiles. This suite has been validated through standard tests – we document the shock-tube test results, the cluster merger tests, and comparisons of simulated observables to analytical expectations (e.g. NFW profiles in absence of scalaron match theoretical form, etc.). Crucially, the suite comes with a user guide detailing how to adjust parameters like the entropy threshold or coupling strength, so researchers can explore different variations of RFT (including turning the scalaron off to recover ΛCDM as a control). The AMR and GPU-accelerated solver ensure the code can run high-resolution cluster sims in reasonable time (we report performance metrics as well). By making this suite available, we enable others to reproduce our results and test RFT in new scenarios, fulfilling a key requirement for falsifiability. 3. Observational Validation Report: We provide a comprehensive report comparing RFT simulation outputs to real cluster data. This includes overlay plots of lensing convergence contours from RFT vs. actual strong-lensing maps for the three case study clusters, showing the improved agreement (with quantitative metrics like reduced $\chi^2$ for the fit of modeled vs observed shear). We also include comparisons of radial profiles: gas density, temperature, entropy, lensing mass density, etc., against Chandra, XMM-Newton, SZ, and lensing reconstructions (with sources cited for each dataset). For instance, we show that the Bullet Cluster’s two-band (X-ray and lensing) mass estimates are unified under RFT – the profile that lensing “sees” and the profile that X-rays “see” can </w:t>
      </w:r>
      <w:r w:rsidRPr="00634D77">
        <w:lastRenderedPageBreak/>
        <w:t>be brought into alignment when the scalaron’s contribution is accounted for, whereas under GR they diverge, indicating a ~25% hydrostatic bias</w:t>
      </w:r>
      <w:r w:rsidRPr="00634D77">
        <w:rPr>
          <w:rFonts w:ascii="Arial" w:hAnsi="Arial" w:cs="Arial"/>
        </w:rPr>
        <w:t>​</w:t>
      </w:r>
    </w:p>
    <w:p w14:paraId="031E36FE" w14:textId="77777777" w:rsidR="00634D77" w:rsidRPr="00634D77" w:rsidRDefault="00634D77" w:rsidP="00634D77">
      <w:r w:rsidRPr="00634D77">
        <w:t>AANDA.ORG</w:t>
      </w:r>
    </w:p>
    <w:p w14:paraId="39306C2A" w14:textId="77777777" w:rsidR="00634D77" w:rsidRPr="00634D77" w:rsidRDefault="00634D77" w:rsidP="00634D77">
      <w:r w:rsidRPr="00634D77">
        <w:t xml:space="preserve">. Each such comparison is clearly documented in the report. We highlight RFT’s successes (e.g. explaining the mass offset in Bullet, the lack of need for a purely dark core in A520, etc.) and also its weaknesses: for example, we note that RFT does not significantly alleviate the overall mass excess of El Gordo – if El Gordo is truly too massive for ΛCDM at that redshift, RFT alone cannot fix that, since RFT doesn’t create mass out of nothing; it only tweaks force distributions. We also point out any remaining discrepancies in cluster observations that RFT did not fully solve, such as small-scale details of strong lensing (maybe some clusters show modest lensing substructures that RFT doesn’t account for because we did not include galaxy-scale scalaron effects explicitly). The report emphasizes which future observations could distinguish RFT from other models. For instance, we predict a specific pattern of X-ray temperature anisotropies in the wake of merging subclusters caused by the scalaron’s influence on gas dynamics – a feature that could be looked for with upcoming telescopes. Overall, this document serves as both a validation and a guide for observers: it spells out where RFT agrees with current data and suggests new tests (e.g. deeper lensing field mapping of cluster outskirts to catch the subtle deviations RFT predicts there). 4. Theoretical &amp; Empirical Conclusions: In the final sections of our work, we synthesize the findings to address the big question: do RFT’s “slightly off” calculations imply that the standard $\Lambda$CDM paradigm is subtly incorrect, at least on cluster scales? Our conclusion is nuanced. We find that RFT greatly improves the consistency between gravitational lensing and baryonic tracers in extreme clusters, which suggests that there may indeed be an unaccounted-for effect (be it new physics or an overlooked conventional effect) in those environments. It could be interpreted that standard $\Lambda$CDM, while broadly successful, might be missing a piece of the puzzle when it comes to cluster cores and merger dynamics – possibly related to how we model baryonic physics or a hint of new gravitational physics. RFT offers one possible solution by modifying gravity tied to entropy. The empirical success of this approach in our tests indicates that there is room for subtle departures from General Relativity or the standard dark matter picture in the strongest gravitational regimes of clusters. However, we stop short of claiming $\Lambda$CDM is outright “wrong.” Instead, we propose that these results motivate deeper examinations of cluster physics. It’s possible that incorporating more complex baryonic physics (e.g. extreme feedback or exotic plasma effects) could also resolve some of the discrepancies without new fields – that remains an open question. We make it clear which predictions of RFT will either validate or falsify it in the near future: for example, if upcoming lensing surveys find no </w:t>
      </w:r>
      <w:r w:rsidRPr="00634D77">
        <w:lastRenderedPageBreak/>
        <w:t>evidence of the mild deviations in outer cluster lensing that RFT predicts, that would challenge the model. Likewise, if XRISM finds that turbulence in cluster cores is at a level that fully explains the hydrostatic lensing gap, then RFT’s necessity is diminished. We list these remaining gaps and tests explicitly. Before advancing to an “RFT 8.0,” we need to address, for instance, how the scalaron interacts with galaxy-scale halos (does it affect satellite galaxy motions in clusters?), how it behaves cosmologically (structure formation, CMB constraints – currently RFT is tuned for clusters and we assume it reduces to ΛCDM on large scales, but this must be verified), and whether there are any currently unknown observational consequences (e.g. subtle differences in gravitational redshift or time-delay in lensing). These are flagged as next steps. In conclusion, our research delivers a thoroughly refined RFT scalaron model that is compatible with galaxy cluster observations and passes key theoretical consistency checks. The work substantially closes the gap on the cluster mass–lensing discrepancy by introducing a physically motivated modification tied to entropy. It highlights that standard gravity plus collisionless dark matter, while extremely successful, might not be the whole story in the most extreme cluster events, as even a slight tweak like RFT’s scalaron can resolve persistent anomalies. We emphasize that all findings have been documented with an eye toward falsifiability: we have not tuned RFT in an ad hoc way for each cluster, but rather developed a general model whose predictions can be confirmed or ruled out by upcoming data (e.g. improved strong lensing maps, precise entropy and turbulence profiles from XRISM/Athena</w:t>
      </w:r>
      <w:r w:rsidRPr="00634D77">
        <w:rPr>
          <w:rFonts w:ascii="Arial" w:hAnsi="Arial" w:cs="Arial"/>
        </w:rPr>
        <w:t>​</w:t>
      </w:r>
    </w:p>
    <w:p w14:paraId="11B26273" w14:textId="77777777" w:rsidR="00634D77" w:rsidRPr="00634D77" w:rsidRDefault="00634D77" w:rsidP="00634D77">
      <w:r w:rsidRPr="00634D77">
        <w:t>AANDA.ORG</w:t>
      </w:r>
    </w:p>
    <w:p w14:paraId="7BFF5148" w14:textId="0377A26F" w:rsidR="00B2407C" w:rsidRDefault="00634D77" w:rsidP="00634D77">
      <w:r w:rsidRPr="00634D77">
        <w:t>, etc.). As we move toward RFT 8.0, the focus will be on addressing those remaining issues – notably extending the theory to a fully cosmological context and testing it against structure formation on larger scales – and on working closely with observers to watch for the telltale signs that would either vindicate this “slightly off” gravitational solution or firmly reassert ΛCDM’s completeness. The stage is set for a compelling next chapter: thanks to this work, RFT has evolved from an intriguing idea to a testable framework that challenges our understanding of gravity in some of the universe’s most massive structures.</w:t>
      </w:r>
    </w:p>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4423"/>
    <w:rsid w:val="00362BC5"/>
    <w:rsid w:val="00634D77"/>
    <w:rsid w:val="00663774"/>
    <w:rsid w:val="006D06DB"/>
    <w:rsid w:val="00736310"/>
    <w:rsid w:val="008E7986"/>
    <w:rsid w:val="00B2407C"/>
    <w:rsid w:val="00D50300"/>
    <w:rsid w:val="00DE4423"/>
    <w:rsid w:val="00EB48BB"/>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EB22F-BB2F-4D23-B5D7-D8113589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423"/>
    <w:rPr>
      <w:rFonts w:eastAsiaTheme="majorEastAsia" w:cstheme="majorBidi"/>
      <w:color w:val="272727" w:themeColor="text1" w:themeTint="D8"/>
    </w:rPr>
  </w:style>
  <w:style w:type="paragraph" w:styleId="Title">
    <w:name w:val="Title"/>
    <w:basedOn w:val="Normal"/>
    <w:next w:val="Normal"/>
    <w:link w:val="TitleChar"/>
    <w:uiPriority w:val="10"/>
    <w:qFormat/>
    <w:rsid w:val="00DE4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423"/>
    <w:pPr>
      <w:spacing w:before="160"/>
      <w:jc w:val="center"/>
    </w:pPr>
    <w:rPr>
      <w:i/>
      <w:iCs/>
      <w:color w:val="404040" w:themeColor="text1" w:themeTint="BF"/>
    </w:rPr>
  </w:style>
  <w:style w:type="character" w:customStyle="1" w:styleId="QuoteChar">
    <w:name w:val="Quote Char"/>
    <w:basedOn w:val="DefaultParagraphFont"/>
    <w:link w:val="Quote"/>
    <w:uiPriority w:val="29"/>
    <w:rsid w:val="00DE4423"/>
    <w:rPr>
      <w:i/>
      <w:iCs/>
      <w:color w:val="404040" w:themeColor="text1" w:themeTint="BF"/>
    </w:rPr>
  </w:style>
  <w:style w:type="paragraph" w:styleId="ListParagraph">
    <w:name w:val="List Paragraph"/>
    <w:basedOn w:val="Normal"/>
    <w:uiPriority w:val="34"/>
    <w:qFormat/>
    <w:rsid w:val="00DE4423"/>
    <w:pPr>
      <w:ind w:left="720"/>
      <w:contextualSpacing/>
    </w:pPr>
  </w:style>
  <w:style w:type="character" w:styleId="IntenseEmphasis">
    <w:name w:val="Intense Emphasis"/>
    <w:basedOn w:val="DefaultParagraphFont"/>
    <w:uiPriority w:val="21"/>
    <w:qFormat/>
    <w:rsid w:val="00DE4423"/>
    <w:rPr>
      <w:i/>
      <w:iCs/>
      <w:color w:val="0F4761" w:themeColor="accent1" w:themeShade="BF"/>
    </w:rPr>
  </w:style>
  <w:style w:type="paragraph" w:styleId="IntenseQuote">
    <w:name w:val="Intense Quote"/>
    <w:basedOn w:val="Normal"/>
    <w:next w:val="Normal"/>
    <w:link w:val="IntenseQuoteChar"/>
    <w:uiPriority w:val="30"/>
    <w:qFormat/>
    <w:rsid w:val="00DE4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423"/>
    <w:rPr>
      <w:i/>
      <w:iCs/>
      <w:color w:val="0F4761" w:themeColor="accent1" w:themeShade="BF"/>
    </w:rPr>
  </w:style>
  <w:style w:type="character" w:styleId="IntenseReference">
    <w:name w:val="Intense Reference"/>
    <w:basedOn w:val="DefaultParagraphFont"/>
    <w:uiPriority w:val="32"/>
    <w:qFormat/>
    <w:rsid w:val="00DE44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111057">
      <w:bodyDiv w:val="1"/>
      <w:marLeft w:val="0"/>
      <w:marRight w:val="0"/>
      <w:marTop w:val="0"/>
      <w:marBottom w:val="0"/>
      <w:divBdr>
        <w:top w:val="none" w:sz="0" w:space="0" w:color="auto"/>
        <w:left w:val="none" w:sz="0" w:space="0" w:color="auto"/>
        <w:bottom w:val="none" w:sz="0" w:space="0" w:color="auto"/>
        <w:right w:val="none" w:sz="0" w:space="0" w:color="auto"/>
      </w:divBdr>
      <w:divsChild>
        <w:div w:id="240215784">
          <w:marLeft w:val="0"/>
          <w:marRight w:val="0"/>
          <w:marTop w:val="0"/>
          <w:marBottom w:val="0"/>
          <w:divBdr>
            <w:top w:val="none" w:sz="0" w:space="0" w:color="auto"/>
            <w:left w:val="none" w:sz="0" w:space="0" w:color="auto"/>
            <w:bottom w:val="none" w:sz="0" w:space="0" w:color="auto"/>
            <w:right w:val="none" w:sz="0" w:space="0" w:color="auto"/>
          </w:divBdr>
        </w:div>
        <w:div w:id="120464837">
          <w:marLeft w:val="0"/>
          <w:marRight w:val="0"/>
          <w:marTop w:val="0"/>
          <w:marBottom w:val="0"/>
          <w:divBdr>
            <w:top w:val="none" w:sz="0" w:space="0" w:color="auto"/>
            <w:left w:val="none" w:sz="0" w:space="0" w:color="auto"/>
            <w:bottom w:val="none" w:sz="0" w:space="0" w:color="auto"/>
            <w:right w:val="none" w:sz="0" w:space="0" w:color="auto"/>
          </w:divBdr>
        </w:div>
        <w:div w:id="45692075">
          <w:marLeft w:val="0"/>
          <w:marRight w:val="0"/>
          <w:marTop w:val="0"/>
          <w:marBottom w:val="0"/>
          <w:divBdr>
            <w:top w:val="none" w:sz="0" w:space="0" w:color="auto"/>
            <w:left w:val="none" w:sz="0" w:space="0" w:color="auto"/>
            <w:bottom w:val="none" w:sz="0" w:space="0" w:color="auto"/>
            <w:right w:val="none" w:sz="0" w:space="0" w:color="auto"/>
          </w:divBdr>
        </w:div>
        <w:div w:id="510029311">
          <w:marLeft w:val="0"/>
          <w:marRight w:val="0"/>
          <w:marTop w:val="0"/>
          <w:marBottom w:val="0"/>
          <w:divBdr>
            <w:top w:val="none" w:sz="0" w:space="0" w:color="auto"/>
            <w:left w:val="none" w:sz="0" w:space="0" w:color="auto"/>
            <w:bottom w:val="none" w:sz="0" w:space="0" w:color="auto"/>
            <w:right w:val="none" w:sz="0" w:space="0" w:color="auto"/>
          </w:divBdr>
        </w:div>
        <w:div w:id="2085879978">
          <w:marLeft w:val="0"/>
          <w:marRight w:val="0"/>
          <w:marTop w:val="0"/>
          <w:marBottom w:val="0"/>
          <w:divBdr>
            <w:top w:val="none" w:sz="0" w:space="0" w:color="auto"/>
            <w:left w:val="none" w:sz="0" w:space="0" w:color="auto"/>
            <w:bottom w:val="none" w:sz="0" w:space="0" w:color="auto"/>
            <w:right w:val="none" w:sz="0" w:space="0" w:color="auto"/>
          </w:divBdr>
        </w:div>
        <w:div w:id="27066677">
          <w:marLeft w:val="0"/>
          <w:marRight w:val="0"/>
          <w:marTop w:val="0"/>
          <w:marBottom w:val="0"/>
          <w:divBdr>
            <w:top w:val="none" w:sz="0" w:space="0" w:color="auto"/>
            <w:left w:val="none" w:sz="0" w:space="0" w:color="auto"/>
            <w:bottom w:val="none" w:sz="0" w:space="0" w:color="auto"/>
            <w:right w:val="none" w:sz="0" w:space="0" w:color="auto"/>
          </w:divBdr>
        </w:div>
        <w:div w:id="1482503638">
          <w:marLeft w:val="0"/>
          <w:marRight w:val="0"/>
          <w:marTop w:val="0"/>
          <w:marBottom w:val="0"/>
          <w:divBdr>
            <w:top w:val="none" w:sz="0" w:space="0" w:color="auto"/>
            <w:left w:val="none" w:sz="0" w:space="0" w:color="auto"/>
            <w:bottom w:val="none" w:sz="0" w:space="0" w:color="auto"/>
            <w:right w:val="none" w:sz="0" w:space="0" w:color="auto"/>
          </w:divBdr>
        </w:div>
        <w:div w:id="1476877798">
          <w:marLeft w:val="0"/>
          <w:marRight w:val="0"/>
          <w:marTop w:val="0"/>
          <w:marBottom w:val="0"/>
          <w:divBdr>
            <w:top w:val="none" w:sz="0" w:space="0" w:color="auto"/>
            <w:left w:val="none" w:sz="0" w:space="0" w:color="auto"/>
            <w:bottom w:val="none" w:sz="0" w:space="0" w:color="auto"/>
            <w:right w:val="none" w:sz="0" w:space="0" w:color="auto"/>
          </w:divBdr>
        </w:div>
        <w:div w:id="1492212500">
          <w:marLeft w:val="0"/>
          <w:marRight w:val="0"/>
          <w:marTop w:val="0"/>
          <w:marBottom w:val="0"/>
          <w:divBdr>
            <w:top w:val="none" w:sz="0" w:space="0" w:color="auto"/>
            <w:left w:val="none" w:sz="0" w:space="0" w:color="auto"/>
            <w:bottom w:val="none" w:sz="0" w:space="0" w:color="auto"/>
            <w:right w:val="none" w:sz="0" w:space="0" w:color="auto"/>
          </w:divBdr>
        </w:div>
        <w:div w:id="986324165">
          <w:marLeft w:val="0"/>
          <w:marRight w:val="0"/>
          <w:marTop w:val="0"/>
          <w:marBottom w:val="0"/>
          <w:divBdr>
            <w:top w:val="none" w:sz="0" w:space="0" w:color="auto"/>
            <w:left w:val="none" w:sz="0" w:space="0" w:color="auto"/>
            <w:bottom w:val="none" w:sz="0" w:space="0" w:color="auto"/>
            <w:right w:val="none" w:sz="0" w:space="0" w:color="auto"/>
          </w:divBdr>
        </w:div>
        <w:div w:id="1096250078">
          <w:marLeft w:val="0"/>
          <w:marRight w:val="0"/>
          <w:marTop w:val="0"/>
          <w:marBottom w:val="0"/>
          <w:divBdr>
            <w:top w:val="none" w:sz="0" w:space="0" w:color="auto"/>
            <w:left w:val="none" w:sz="0" w:space="0" w:color="auto"/>
            <w:bottom w:val="none" w:sz="0" w:space="0" w:color="auto"/>
            <w:right w:val="none" w:sz="0" w:space="0" w:color="auto"/>
          </w:divBdr>
        </w:div>
        <w:div w:id="1540389477">
          <w:marLeft w:val="0"/>
          <w:marRight w:val="0"/>
          <w:marTop w:val="0"/>
          <w:marBottom w:val="0"/>
          <w:divBdr>
            <w:top w:val="none" w:sz="0" w:space="0" w:color="auto"/>
            <w:left w:val="none" w:sz="0" w:space="0" w:color="auto"/>
            <w:bottom w:val="none" w:sz="0" w:space="0" w:color="auto"/>
            <w:right w:val="none" w:sz="0" w:space="0" w:color="auto"/>
          </w:divBdr>
        </w:div>
        <w:div w:id="516818135">
          <w:marLeft w:val="0"/>
          <w:marRight w:val="0"/>
          <w:marTop w:val="0"/>
          <w:marBottom w:val="0"/>
          <w:divBdr>
            <w:top w:val="none" w:sz="0" w:space="0" w:color="auto"/>
            <w:left w:val="none" w:sz="0" w:space="0" w:color="auto"/>
            <w:bottom w:val="none" w:sz="0" w:space="0" w:color="auto"/>
            <w:right w:val="none" w:sz="0" w:space="0" w:color="auto"/>
          </w:divBdr>
        </w:div>
        <w:div w:id="639071661">
          <w:marLeft w:val="0"/>
          <w:marRight w:val="0"/>
          <w:marTop w:val="0"/>
          <w:marBottom w:val="0"/>
          <w:divBdr>
            <w:top w:val="none" w:sz="0" w:space="0" w:color="auto"/>
            <w:left w:val="none" w:sz="0" w:space="0" w:color="auto"/>
            <w:bottom w:val="none" w:sz="0" w:space="0" w:color="auto"/>
            <w:right w:val="none" w:sz="0" w:space="0" w:color="auto"/>
          </w:divBdr>
        </w:div>
        <w:div w:id="217742262">
          <w:marLeft w:val="0"/>
          <w:marRight w:val="0"/>
          <w:marTop w:val="0"/>
          <w:marBottom w:val="0"/>
          <w:divBdr>
            <w:top w:val="none" w:sz="0" w:space="0" w:color="auto"/>
            <w:left w:val="none" w:sz="0" w:space="0" w:color="auto"/>
            <w:bottom w:val="none" w:sz="0" w:space="0" w:color="auto"/>
            <w:right w:val="none" w:sz="0" w:space="0" w:color="auto"/>
          </w:divBdr>
        </w:div>
        <w:div w:id="867180849">
          <w:marLeft w:val="0"/>
          <w:marRight w:val="0"/>
          <w:marTop w:val="0"/>
          <w:marBottom w:val="0"/>
          <w:divBdr>
            <w:top w:val="none" w:sz="0" w:space="0" w:color="auto"/>
            <w:left w:val="none" w:sz="0" w:space="0" w:color="auto"/>
            <w:bottom w:val="none" w:sz="0" w:space="0" w:color="auto"/>
            <w:right w:val="none" w:sz="0" w:space="0" w:color="auto"/>
          </w:divBdr>
        </w:div>
        <w:div w:id="1464152642">
          <w:marLeft w:val="0"/>
          <w:marRight w:val="0"/>
          <w:marTop w:val="0"/>
          <w:marBottom w:val="0"/>
          <w:divBdr>
            <w:top w:val="none" w:sz="0" w:space="0" w:color="auto"/>
            <w:left w:val="none" w:sz="0" w:space="0" w:color="auto"/>
            <w:bottom w:val="none" w:sz="0" w:space="0" w:color="auto"/>
            <w:right w:val="none" w:sz="0" w:space="0" w:color="auto"/>
          </w:divBdr>
        </w:div>
        <w:div w:id="530918400">
          <w:marLeft w:val="0"/>
          <w:marRight w:val="0"/>
          <w:marTop w:val="0"/>
          <w:marBottom w:val="0"/>
          <w:divBdr>
            <w:top w:val="none" w:sz="0" w:space="0" w:color="auto"/>
            <w:left w:val="none" w:sz="0" w:space="0" w:color="auto"/>
            <w:bottom w:val="none" w:sz="0" w:space="0" w:color="auto"/>
            <w:right w:val="none" w:sz="0" w:space="0" w:color="auto"/>
          </w:divBdr>
        </w:div>
        <w:div w:id="18967552">
          <w:marLeft w:val="0"/>
          <w:marRight w:val="0"/>
          <w:marTop w:val="0"/>
          <w:marBottom w:val="0"/>
          <w:divBdr>
            <w:top w:val="none" w:sz="0" w:space="0" w:color="auto"/>
            <w:left w:val="none" w:sz="0" w:space="0" w:color="auto"/>
            <w:bottom w:val="none" w:sz="0" w:space="0" w:color="auto"/>
            <w:right w:val="none" w:sz="0" w:space="0" w:color="auto"/>
          </w:divBdr>
        </w:div>
        <w:div w:id="1740591619">
          <w:marLeft w:val="0"/>
          <w:marRight w:val="0"/>
          <w:marTop w:val="0"/>
          <w:marBottom w:val="0"/>
          <w:divBdr>
            <w:top w:val="none" w:sz="0" w:space="0" w:color="auto"/>
            <w:left w:val="none" w:sz="0" w:space="0" w:color="auto"/>
            <w:bottom w:val="none" w:sz="0" w:space="0" w:color="auto"/>
            <w:right w:val="none" w:sz="0" w:space="0" w:color="auto"/>
          </w:divBdr>
        </w:div>
        <w:div w:id="1558203124">
          <w:marLeft w:val="0"/>
          <w:marRight w:val="0"/>
          <w:marTop w:val="0"/>
          <w:marBottom w:val="0"/>
          <w:divBdr>
            <w:top w:val="none" w:sz="0" w:space="0" w:color="auto"/>
            <w:left w:val="none" w:sz="0" w:space="0" w:color="auto"/>
            <w:bottom w:val="none" w:sz="0" w:space="0" w:color="auto"/>
            <w:right w:val="none" w:sz="0" w:space="0" w:color="auto"/>
          </w:divBdr>
        </w:div>
        <w:div w:id="428082361">
          <w:marLeft w:val="0"/>
          <w:marRight w:val="0"/>
          <w:marTop w:val="0"/>
          <w:marBottom w:val="0"/>
          <w:divBdr>
            <w:top w:val="none" w:sz="0" w:space="0" w:color="auto"/>
            <w:left w:val="none" w:sz="0" w:space="0" w:color="auto"/>
            <w:bottom w:val="none" w:sz="0" w:space="0" w:color="auto"/>
            <w:right w:val="none" w:sz="0" w:space="0" w:color="auto"/>
          </w:divBdr>
        </w:div>
        <w:div w:id="618805215">
          <w:marLeft w:val="0"/>
          <w:marRight w:val="0"/>
          <w:marTop w:val="0"/>
          <w:marBottom w:val="0"/>
          <w:divBdr>
            <w:top w:val="none" w:sz="0" w:space="0" w:color="auto"/>
            <w:left w:val="none" w:sz="0" w:space="0" w:color="auto"/>
            <w:bottom w:val="none" w:sz="0" w:space="0" w:color="auto"/>
            <w:right w:val="none" w:sz="0" w:space="0" w:color="auto"/>
          </w:divBdr>
        </w:div>
        <w:div w:id="1959021457">
          <w:marLeft w:val="0"/>
          <w:marRight w:val="0"/>
          <w:marTop w:val="0"/>
          <w:marBottom w:val="0"/>
          <w:divBdr>
            <w:top w:val="none" w:sz="0" w:space="0" w:color="auto"/>
            <w:left w:val="none" w:sz="0" w:space="0" w:color="auto"/>
            <w:bottom w:val="none" w:sz="0" w:space="0" w:color="auto"/>
            <w:right w:val="none" w:sz="0" w:space="0" w:color="auto"/>
          </w:divBdr>
        </w:div>
        <w:div w:id="432945321">
          <w:marLeft w:val="0"/>
          <w:marRight w:val="0"/>
          <w:marTop w:val="0"/>
          <w:marBottom w:val="0"/>
          <w:divBdr>
            <w:top w:val="none" w:sz="0" w:space="0" w:color="auto"/>
            <w:left w:val="none" w:sz="0" w:space="0" w:color="auto"/>
            <w:bottom w:val="none" w:sz="0" w:space="0" w:color="auto"/>
            <w:right w:val="none" w:sz="0" w:space="0" w:color="auto"/>
          </w:divBdr>
        </w:div>
        <w:div w:id="982077648">
          <w:marLeft w:val="0"/>
          <w:marRight w:val="0"/>
          <w:marTop w:val="0"/>
          <w:marBottom w:val="0"/>
          <w:divBdr>
            <w:top w:val="none" w:sz="0" w:space="0" w:color="auto"/>
            <w:left w:val="none" w:sz="0" w:space="0" w:color="auto"/>
            <w:bottom w:val="none" w:sz="0" w:space="0" w:color="auto"/>
            <w:right w:val="none" w:sz="0" w:space="0" w:color="auto"/>
          </w:divBdr>
        </w:div>
        <w:div w:id="2135322218">
          <w:marLeft w:val="0"/>
          <w:marRight w:val="0"/>
          <w:marTop w:val="0"/>
          <w:marBottom w:val="0"/>
          <w:divBdr>
            <w:top w:val="none" w:sz="0" w:space="0" w:color="auto"/>
            <w:left w:val="none" w:sz="0" w:space="0" w:color="auto"/>
            <w:bottom w:val="none" w:sz="0" w:space="0" w:color="auto"/>
            <w:right w:val="none" w:sz="0" w:space="0" w:color="auto"/>
          </w:divBdr>
        </w:div>
        <w:div w:id="1980645889">
          <w:marLeft w:val="0"/>
          <w:marRight w:val="0"/>
          <w:marTop w:val="0"/>
          <w:marBottom w:val="0"/>
          <w:divBdr>
            <w:top w:val="none" w:sz="0" w:space="0" w:color="auto"/>
            <w:left w:val="none" w:sz="0" w:space="0" w:color="auto"/>
            <w:bottom w:val="none" w:sz="0" w:space="0" w:color="auto"/>
            <w:right w:val="none" w:sz="0" w:space="0" w:color="auto"/>
          </w:divBdr>
        </w:div>
        <w:div w:id="1028026074">
          <w:marLeft w:val="0"/>
          <w:marRight w:val="0"/>
          <w:marTop w:val="0"/>
          <w:marBottom w:val="0"/>
          <w:divBdr>
            <w:top w:val="none" w:sz="0" w:space="0" w:color="auto"/>
            <w:left w:val="none" w:sz="0" w:space="0" w:color="auto"/>
            <w:bottom w:val="none" w:sz="0" w:space="0" w:color="auto"/>
            <w:right w:val="none" w:sz="0" w:space="0" w:color="auto"/>
          </w:divBdr>
        </w:div>
        <w:div w:id="1331062952">
          <w:marLeft w:val="0"/>
          <w:marRight w:val="0"/>
          <w:marTop w:val="0"/>
          <w:marBottom w:val="0"/>
          <w:divBdr>
            <w:top w:val="none" w:sz="0" w:space="0" w:color="auto"/>
            <w:left w:val="none" w:sz="0" w:space="0" w:color="auto"/>
            <w:bottom w:val="none" w:sz="0" w:space="0" w:color="auto"/>
            <w:right w:val="none" w:sz="0" w:space="0" w:color="auto"/>
          </w:divBdr>
        </w:div>
        <w:div w:id="548540746">
          <w:marLeft w:val="0"/>
          <w:marRight w:val="0"/>
          <w:marTop w:val="0"/>
          <w:marBottom w:val="0"/>
          <w:divBdr>
            <w:top w:val="none" w:sz="0" w:space="0" w:color="auto"/>
            <w:left w:val="none" w:sz="0" w:space="0" w:color="auto"/>
            <w:bottom w:val="none" w:sz="0" w:space="0" w:color="auto"/>
            <w:right w:val="none" w:sz="0" w:space="0" w:color="auto"/>
          </w:divBdr>
        </w:div>
        <w:div w:id="1244726751">
          <w:marLeft w:val="0"/>
          <w:marRight w:val="0"/>
          <w:marTop w:val="0"/>
          <w:marBottom w:val="0"/>
          <w:divBdr>
            <w:top w:val="none" w:sz="0" w:space="0" w:color="auto"/>
            <w:left w:val="none" w:sz="0" w:space="0" w:color="auto"/>
            <w:bottom w:val="none" w:sz="0" w:space="0" w:color="auto"/>
            <w:right w:val="none" w:sz="0" w:space="0" w:color="auto"/>
          </w:divBdr>
        </w:div>
        <w:div w:id="1182356729">
          <w:marLeft w:val="0"/>
          <w:marRight w:val="0"/>
          <w:marTop w:val="0"/>
          <w:marBottom w:val="0"/>
          <w:divBdr>
            <w:top w:val="none" w:sz="0" w:space="0" w:color="auto"/>
            <w:left w:val="none" w:sz="0" w:space="0" w:color="auto"/>
            <w:bottom w:val="none" w:sz="0" w:space="0" w:color="auto"/>
            <w:right w:val="none" w:sz="0" w:space="0" w:color="auto"/>
          </w:divBdr>
        </w:div>
        <w:div w:id="1807624534">
          <w:marLeft w:val="0"/>
          <w:marRight w:val="0"/>
          <w:marTop w:val="0"/>
          <w:marBottom w:val="0"/>
          <w:divBdr>
            <w:top w:val="none" w:sz="0" w:space="0" w:color="auto"/>
            <w:left w:val="none" w:sz="0" w:space="0" w:color="auto"/>
            <w:bottom w:val="none" w:sz="0" w:space="0" w:color="auto"/>
            <w:right w:val="none" w:sz="0" w:space="0" w:color="auto"/>
          </w:divBdr>
        </w:div>
        <w:div w:id="1444496504">
          <w:marLeft w:val="0"/>
          <w:marRight w:val="0"/>
          <w:marTop w:val="0"/>
          <w:marBottom w:val="0"/>
          <w:divBdr>
            <w:top w:val="none" w:sz="0" w:space="0" w:color="auto"/>
            <w:left w:val="none" w:sz="0" w:space="0" w:color="auto"/>
            <w:bottom w:val="none" w:sz="0" w:space="0" w:color="auto"/>
            <w:right w:val="none" w:sz="0" w:space="0" w:color="auto"/>
          </w:divBdr>
        </w:div>
        <w:div w:id="1432699767">
          <w:marLeft w:val="0"/>
          <w:marRight w:val="0"/>
          <w:marTop w:val="0"/>
          <w:marBottom w:val="0"/>
          <w:divBdr>
            <w:top w:val="none" w:sz="0" w:space="0" w:color="auto"/>
            <w:left w:val="none" w:sz="0" w:space="0" w:color="auto"/>
            <w:bottom w:val="none" w:sz="0" w:space="0" w:color="auto"/>
            <w:right w:val="none" w:sz="0" w:space="0" w:color="auto"/>
          </w:divBdr>
        </w:div>
        <w:div w:id="1209760198">
          <w:marLeft w:val="0"/>
          <w:marRight w:val="0"/>
          <w:marTop w:val="0"/>
          <w:marBottom w:val="0"/>
          <w:divBdr>
            <w:top w:val="none" w:sz="0" w:space="0" w:color="auto"/>
            <w:left w:val="none" w:sz="0" w:space="0" w:color="auto"/>
            <w:bottom w:val="none" w:sz="0" w:space="0" w:color="auto"/>
            <w:right w:val="none" w:sz="0" w:space="0" w:color="auto"/>
          </w:divBdr>
        </w:div>
        <w:div w:id="1165316699">
          <w:marLeft w:val="0"/>
          <w:marRight w:val="0"/>
          <w:marTop w:val="0"/>
          <w:marBottom w:val="0"/>
          <w:divBdr>
            <w:top w:val="none" w:sz="0" w:space="0" w:color="auto"/>
            <w:left w:val="none" w:sz="0" w:space="0" w:color="auto"/>
            <w:bottom w:val="none" w:sz="0" w:space="0" w:color="auto"/>
            <w:right w:val="none" w:sz="0" w:space="0" w:color="auto"/>
          </w:divBdr>
        </w:div>
        <w:div w:id="462776597">
          <w:marLeft w:val="0"/>
          <w:marRight w:val="0"/>
          <w:marTop w:val="0"/>
          <w:marBottom w:val="0"/>
          <w:divBdr>
            <w:top w:val="none" w:sz="0" w:space="0" w:color="auto"/>
            <w:left w:val="none" w:sz="0" w:space="0" w:color="auto"/>
            <w:bottom w:val="none" w:sz="0" w:space="0" w:color="auto"/>
            <w:right w:val="none" w:sz="0" w:space="0" w:color="auto"/>
          </w:divBdr>
        </w:div>
        <w:div w:id="1848057335">
          <w:marLeft w:val="0"/>
          <w:marRight w:val="0"/>
          <w:marTop w:val="0"/>
          <w:marBottom w:val="0"/>
          <w:divBdr>
            <w:top w:val="none" w:sz="0" w:space="0" w:color="auto"/>
            <w:left w:val="none" w:sz="0" w:space="0" w:color="auto"/>
            <w:bottom w:val="none" w:sz="0" w:space="0" w:color="auto"/>
            <w:right w:val="none" w:sz="0" w:space="0" w:color="auto"/>
          </w:divBdr>
        </w:div>
        <w:div w:id="622930154">
          <w:marLeft w:val="0"/>
          <w:marRight w:val="0"/>
          <w:marTop w:val="0"/>
          <w:marBottom w:val="0"/>
          <w:divBdr>
            <w:top w:val="none" w:sz="0" w:space="0" w:color="auto"/>
            <w:left w:val="none" w:sz="0" w:space="0" w:color="auto"/>
            <w:bottom w:val="none" w:sz="0" w:space="0" w:color="auto"/>
            <w:right w:val="none" w:sz="0" w:space="0" w:color="auto"/>
          </w:divBdr>
        </w:div>
        <w:div w:id="638337688">
          <w:marLeft w:val="0"/>
          <w:marRight w:val="0"/>
          <w:marTop w:val="0"/>
          <w:marBottom w:val="0"/>
          <w:divBdr>
            <w:top w:val="none" w:sz="0" w:space="0" w:color="auto"/>
            <w:left w:val="none" w:sz="0" w:space="0" w:color="auto"/>
            <w:bottom w:val="none" w:sz="0" w:space="0" w:color="auto"/>
            <w:right w:val="none" w:sz="0" w:space="0" w:color="auto"/>
          </w:divBdr>
        </w:div>
        <w:div w:id="1493252342">
          <w:marLeft w:val="0"/>
          <w:marRight w:val="0"/>
          <w:marTop w:val="0"/>
          <w:marBottom w:val="0"/>
          <w:divBdr>
            <w:top w:val="none" w:sz="0" w:space="0" w:color="auto"/>
            <w:left w:val="none" w:sz="0" w:space="0" w:color="auto"/>
            <w:bottom w:val="none" w:sz="0" w:space="0" w:color="auto"/>
            <w:right w:val="none" w:sz="0" w:space="0" w:color="auto"/>
          </w:divBdr>
        </w:div>
        <w:div w:id="1021395421">
          <w:marLeft w:val="0"/>
          <w:marRight w:val="0"/>
          <w:marTop w:val="0"/>
          <w:marBottom w:val="0"/>
          <w:divBdr>
            <w:top w:val="none" w:sz="0" w:space="0" w:color="auto"/>
            <w:left w:val="none" w:sz="0" w:space="0" w:color="auto"/>
            <w:bottom w:val="none" w:sz="0" w:space="0" w:color="auto"/>
            <w:right w:val="none" w:sz="0" w:space="0" w:color="auto"/>
          </w:divBdr>
        </w:div>
        <w:div w:id="1263998053">
          <w:marLeft w:val="0"/>
          <w:marRight w:val="0"/>
          <w:marTop w:val="0"/>
          <w:marBottom w:val="0"/>
          <w:divBdr>
            <w:top w:val="none" w:sz="0" w:space="0" w:color="auto"/>
            <w:left w:val="none" w:sz="0" w:space="0" w:color="auto"/>
            <w:bottom w:val="none" w:sz="0" w:space="0" w:color="auto"/>
            <w:right w:val="none" w:sz="0" w:space="0" w:color="auto"/>
          </w:divBdr>
        </w:div>
        <w:div w:id="91558985">
          <w:marLeft w:val="0"/>
          <w:marRight w:val="0"/>
          <w:marTop w:val="0"/>
          <w:marBottom w:val="0"/>
          <w:divBdr>
            <w:top w:val="none" w:sz="0" w:space="0" w:color="auto"/>
            <w:left w:val="none" w:sz="0" w:space="0" w:color="auto"/>
            <w:bottom w:val="none" w:sz="0" w:space="0" w:color="auto"/>
            <w:right w:val="none" w:sz="0" w:space="0" w:color="auto"/>
          </w:divBdr>
        </w:div>
        <w:div w:id="1022047277">
          <w:marLeft w:val="0"/>
          <w:marRight w:val="0"/>
          <w:marTop w:val="0"/>
          <w:marBottom w:val="0"/>
          <w:divBdr>
            <w:top w:val="none" w:sz="0" w:space="0" w:color="auto"/>
            <w:left w:val="none" w:sz="0" w:space="0" w:color="auto"/>
            <w:bottom w:val="none" w:sz="0" w:space="0" w:color="auto"/>
            <w:right w:val="none" w:sz="0" w:space="0" w:color="auto"/>
          </w:divBdr>
        </w:div>
        <w:div w:id="876743808">
          <w:marLeft w:val="0"/>
          <w:marRight w:val="0"/>
          <w:marTop w:val="0"/>
          <w:marBottom w:val="0"/>
          <w:divBdr>
            <w:top w:val="none" w:sz="0" w:space="0" w:color="auto"/>
            <w:left w:val="none" w:sz="0" w:space="0" w:color="auto"/>
            <w:bottom w:val="none" w:sz="0" w:space="0" w:color="auto"/>
            <w:right w:val="none" w:sz="0" w:space="0" w:color="auto"/>
          </w:divBdr>
        </w:div>
        <w:div w:id="518010059">
          <w:marLeft w:val="0"/>
          <w:marRight w:val="0"/>
          <w:marTop w:val="0"/>
          <w:marBottom w:val="0"/>
          <w:divBdr>
            <w:top w:val="none" w:sz="0" w:space="0" w:color="auto"/>
            <w:left w:val="none" w:sz="0" w:space="0" w:color="auto"/>
            <w:bottom w:val="none" w:sz="0" w:space="0" w:color="auto"/>
            <w:right w:val="none" w:sz="0" w:space="0" w:color="auto"/>
          </w:divBdr>
        </w:div>
        <w:div w:id="1658265242">
          <w:marLeft w:val="0"/>
          <w:marRight w:val="0"/>
          <w:marTop w:val="0"/>
          <w:marBottom w:val="0"/>
          <w:divBdr>
            <w:top w:val="none" w:sz="0" w:space="0" w:color="auto"/>
            <w:left w:val="none" w:sz="0" w:space="0" w:color="auto"/>
            <w:bottom w:val="none" w:sz="0" w:space="0" w:color="auto"/>
            <w:right w:val="none" w:sz="0" w:space="0" w:color="auto"/>
          </w:divBdr>
        </w:div>
        <w:div w:id="346292289">
          <w:marLeft w:val="0"/>
          <w:marRight w:val="0"/>
          <w:marTop w:val="0"/>
          <w:marBottom w:val="0"/>
          <w:divBdr>
            <w:top w:val="none" w:sz="0" w:space="0" w:color="auto"/>
            <w:left w:val="none" w:sz="0" w:space="0" w:color="auto"/>
            <w:bottom w:val="none" w:sz="0" w:space="0" w:color="auto"/>
            <w:right w:val="none" w:sz="0" w:space="0" w:color="auto"/>
          </w:divBdr>
        </w:div>
        <w:div w:id="120783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5552</Words>
  <Characters>31650</Characters>
  <Application>Microsoft Office Word</Application>
  <DocSecurity>0</DocSecurity>
  <Lines>263</Lines>
  <Paragraphs>74</Paragraphs>
  <ScaleCrop>false</ScaleCrop>
  <Company/>
  <LinksUpToDate>false</LinksUpToDate>
  <CharactersWithSpaces>37128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2025-03-13T15:53:00Z</dcterms:created>
  <dcterms:modified xsi:type="dcterms:W3CDTF">2025-03-13T15:54:00Z</dcterms:modified>
</cp:coreProperties>
</file>