
<file path=[Content_Types].xml><?xml version="1.0" encoding="utf-8"?>
<Types xmlns="http://schemas.openxmlformats.org/package/2006/content-types">
  <Default Extension="png" ContentType="image/png"/>
  <Default Extension="bin" ContentType="application/vnd.openxmlformats-officedocument.oleObject"/>
  <Default Extension="jpeg" ContentType="image/jpeg"/>
  <Default Extension="emf" ContentType="image/x-emf"/>
  <Default Extension="rels" ContentType="application/vnd.openxmlformats-package.relationships+xml"/>
  <Default Extension="xml" ContentType="application/xml"/>
  <Default Extension="wdp" ContentType="image/vnd.ms-photo"/>
  <Default Extension="xlsx" ContentType="application/vnd.openxmlformats-officedocument.spreadsheetml.sheet"/>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harts/chart1.xml" ContentType="application/vnd.openxmlformats-officedocument.drawingml.chart+xml"/>
  <Override PartName="/word/theme/themeOverride1.xml" ContentType="application/vnd.openxmlformats-officedocument.themeOverride+xml"/>
  <Override PartName="/word/charts/chart2.xml" ContentType="application/vnd.openxmlformats-officedocument.drawingml.chart+xml"/>
  <Override PartName="/word/theme/themeOverride2.xml" ContentType="application/vnd.openxmlformats-officedocument.themeOverride+xml"/>
  <Override PartName="/word/charts/chart3.xml" ContentType="application/vnd.openxmlformats-officedocument.drawingml.chart+xml"/>
  <Override PartName="/word/theme/themeOverride3.xml" ContentType="application/vnd.openxmlformats-officedocument.themeOverride+xml"/>
  <Override PartName="/word/charts/chart4.xml" ContentType="application/vnd.openxmlformats-officedocument.drawingml.chart+xml"/>
  <Override PartName="/word/theme/themeOverride4.xml" ContentType="application/vnd.openxmlformats-officedocument.themeOverride+xml"/>
  <Override PartName="/word/charts/chart5.xml" ContentType="application/vnd.openxmlformats-officedocument.drawingml.chart+xml"/>
  <Override PartName="/word/theme/themeOverride5.xml" ContentType="application/vnd.openxmlformats-officedocument.themeOverride+xml"/>
  <Override PartName="/word/charts/chart6.xml" ContentType="application/vnd.openxmlformats-officedocument.drawingml.chart+xml"/>
  <Override PartName="/word/theme/themeOverride6.xml" ContentType="application/vnd.openxmlformats-officedocument.themeOverride+xml"/>
  <Override PartName="/word/charts/chart7.xml" ContentType="application/vnd.openxmlformats-officedocument.drawingml.chart+xml"/>
  <Override PartName="/word/theme/themeOverride7.xml" ContentType="application/vnd.openxmlformats-officedocument.themeOverride+xml"/>
  <Override PartName="/word/charts/chart8.xml" ContentType="application/vnd.openxmlformats-officedocument.drawingml.chart+xml"/>
  <Override PartName="/word/theme/themeOverride8.xml" ContentType="application/vnd.openxmlformats-officedocument.themeOverride+xml"/>
  <Override PartName="/word/charts/chart9.xml" ContentType="application/vnd.openxmlformats-officedocument.drawingml.chart+xml"/>
  <Override PartName="/word/theme/themeOverride9.xml" ContentType="application/vnd.openxmlformats-officedocument.themeOverride+xml"/>
  <Override PartName="/word/charts/chart10.xml" ContentType="application/vnd.openxmlformats-officedocument.drawingml.chart+xml"/>
  <Override PartName="/word/theme/themeOverride10.xml" ContentType="application/vnd.openxmlformats-officedocument.themeOverride+xml"/>
  <Override PartName="/word/charts/chart11.xml" ContentType="application/vnd.openxmlformats-officedocument.drawingml.chart+xml"/>
  <Override PartName="/word/theme/themeOverride11.xml" ContentType="application/vnd.openxmlformats-officedocument.themeOverride+xml"/>
  <Override PartName="/word/charts/chart12.xml" ContentType="application/vnd.openxmlformats-officedocument.drawingml.chart+xml"/>
  <Override PartName="/word/theme/themeOverride12.xml" ContentType="application/vnd.openxmlformats-officedocument.themeOverride+xml"/>
  <Override PartName="/word/charts/chart13.xml" ContentType="application/vnd.openxmlformats-officedocument.drawingml.chart+xml"/>
  <Override PartName="/word/theme/themeOverride13.xml" ContentType="application/vnd.openxmlformats-officedocument.themeOverride+xml"/>
  <Override PartName="/word/charts/chart14.xml" ContentType="application/vnd.openxmlformats-officedocument.drawingml.chart+xml"/>
  <Override PartName="/word/theme/themeOverride14.xml" ContentType="application/vnd.openxmlformats-officedocument.themeOverride+xml"/>
  <Override PartName="/word/charts/chart15.xml" ContentType="application/vnd.openxmlformats-officedocument.drawingml.chart+xml"/>
  <Override PartName="/word/theme/themeOverride15.xml" ContentType="application/vnd.openxmlformats-officedocument.themeOverride+xml"/>
  <Override PartName="/word/charts/chart16.xml" ContentType="application/vnd.openxmlformats-officedocument.drawingml.chart+xml"/>
  <Override PartName="/word/theme/themeOverride16.xml" ContentType="application/vnd.openxmlformats-officedocument.themeOverride+xml"/>
  <Override PartName="/word/charts/chart17.xml" ContentType="application/vnd.openxmlformats-officedocument.drawingml.chart+xml"/>
  <Override PartName="/word/theme/themeOverride17.xml" ContentType="application/vnd.openxmlformats-officedocument.themeOverride+xml"/>
  <Override PartName="/word/charts/chart18.xml" ContentType="application/vnd.openxmlformats-officedocument.drawingml.chart+xml"/>
  <Override PartName="/word/theme/themeOverride18.xml" ContentType="application/vnd.openxmlformats-officedocument.themeOverride+xml"/>
  <Override PartName="/word/charts/chart19.xml" ContentType="application/vnd.openxmlformats-officedocument.drawingml.chart+xml"/>
  <Override PartName="/word/theme/themeOverride19.xml" ContentType="application/vnd.openxmlformats-officedocument.themeOverride+xml"/>
  <Override PartName="/word/charts/chart20.xml" ContentType="application/vnd.openxmlformats-officedocument.drawingml.chart+xml"/>
  <Override PartName="/word/theme/themeOverride20.xml" ContentType="application/vnd.openxmlformats-officedocument.themeOverride+xml"/>
  <Override PartName="/word/charts/chart21.xml" ContentType="application/vnd.openxmlformats-officedocument.drawingml.chart+xml"/>
  <Override PartName="/word/theme/themeOverride21.xml" ContentType="application/vnd.openxmlformats-officedocument.themeOverride+xml"/>
  <Override PartName="/word/charts/chart22.xml" ContentType="application/vnd.openxmlformats-officedocument.drawingml.chart+xml"/>
  <Override PartName="/word/theme/themeOverride22.xml" ContentType="application/vnd.openxmlformats-officedocument.themeOverride+xml"/>
  <Override PartName="/word/charts/chart23.xml" ContentType="application/vnd.openxmlformats-officedocument.drawingml.chart+xml"/>
  <Override PartName="/word/theme/themeOverride23.xml" ContentType="application/vnd.openxmlformats-officedocument.themeOverride+xml"/>
  <Override PartName="/word/charts/chart24.xml" ContentType="application/vnd.openxmlformats-officedocument.drawingml.chart+xml"/>
  <Override PartName="/word/theme/themeOverride24.xml" ContentType="application/vnd.openxmlformats-officedocument.themeOverride+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46469" w:rsidRDefault="002E2362" w:rsidP="005D46E0">
      <w:pPr>
        <w:jc w:val="center"/>
        <w:rPr>
          <w:rFonts w:ascii="Tahoma" w:hAnsi="Tahoma" w:cs="Tahoma"/>
          <w:b/>
          <w:bCs/>
          <w:i/>
          <w:iCs/>
          <w:w w:val="85"/>
          <w:sz w:val="36"/>
          <w:szCs w:val="36"/>
        </w:rPr>
      </w:pPr>
      <w:bookmarkStart w:id="0" w:name="_Toc190769571"/>
      <w:bookmarkStart w:id="1" w:name="_Toc190774605"/>
      <w:bookmarkStart w:id="2" w:name="_Toc177835097"/>
      <w:bookmarkStart w:id="3" w:name="_GoBack"/>
      <w:bookmarkEnd w:id="3"/>
      <w:r w:rsidRPr="002462E6">
        <w:rPr>
          <w:rFonts w:ascii="Tahoma" w:hAnsi="Tahoma" w:cs="Tahoma"/>
          <w:b/>
          <w:bCs/>
          <w:i/>
          <w:iCs/>
          <w:w w:val="85"/>
          <w:sz w:val="36"/>
          <w:szCs w:val="36"/>
        </w:rPr>
        <w:br w:type="page"/>
      </w:r>
      <w:r w:rsidR="005D46E0" w:rsidRPr="002462E6">
        <w:rPr>
          <w:rFonts w:ascii="Tahoma" w:hAnsi="Tahoma" w:cs="Tahoma"/>
          <w:b/>
          <w:bCs/>
          <w:i/>
          <w:iCs/>
          <w:w w:val="85"/>
          <w:sz w:val="36"/>
          <w:szCs w:val="36"/>
        </w:rPr>
        <w:lastRenderedPageBreak/>
        <w:t xml:space="preserve">             </w:t>
      </w:r>
    </w:p>
    <w:p w:rsidR="00846469" w:rsidRDefault="00846469" w:rsidP="005D46E0">
      <w:pPr>
        <w:jc w:val="center"/>
        <w:rPr>
          <w:rFonts w:ascii="Tahoma" w:hAnsi="Tahoma" w:cs="Tahoma"/>
          <w:b/>
          <w:bCs/>
          <w:i/>
          <w:iCs/>
          <w:w w:val="85"/>
          <w:sz w:val="36"/>
          <w:szCs w:val="36"/>
        </w:rPr>
      </w:pPr>
    </w:p>
    <w:p w:rsidR="005F6B4D" w:rsidRPr="002462E6" w:rsidRDefault="005D46E0" w:rsidP="005D46E0">
      <w:pPr>
        <w:jc w:val="center"/>
        <w:rPr>
          <w:rFonts w:ascii="Tahoma" w:hAnsi="Tahoma" w:cs="Tahoma"/>
          <w:b/>
          <w:bCs/>
          <w:i/>
          <w:iCs/>
          <w:w w:val="85"/>
          <w:sz w:val="36"/>
          <w:szCs w:val="36"/>
        </w:rPr>
      </w:pPr>
      <w:r w:rsidRPr="002462E6">
        <w:rPr>
          <w:rFonts w:ascii="Tahoma" w:hAnsi="Tahoma" w:cs="Tahoma"/>
          <w:b/>
          <w:bCs/>
          <w:i/>
          <w:iCs/>
          <w:w w:val="85"/>
          <w:sz w:val="36"/>
          <w:szCs w:val="36"/>
        </w:rPr>
        <w:t xml:space="preserve">                        </w:t>
      </w:r>
      <w:r w:rsidR="005F6B4D" w:rsidRPr="002462E6">
        <w:rPr>
          <w:rFonts w:ascii="Tahoma" w:hAnsi="Tahoma" w:cs="Tahoma"/>
          <w:b/>
          <w:bCs/>
          <w:i/>
          <w:iCs/>
          <w:w w:val="85"/>
          <w:sz w:val="36"/>
          <w:szCs w:val="36"/>
        </w:rPr>
        <w:t>A</w:t>
      </w:r>
    </w:p>
    <w:p w:rsidR="005F6B4D" w:rsidRPr="002462E6" w:rsidRDefault="005F6B4D" w:rsidP="005F6B4D">
      <w:pPr>
        <w:pStyle w:val="Corpsdetexte"/>
        <w:rPr>
          <w:i/>
          <w:sz w:val="26"/>
        </w:rPr>
      </w:pPr>
    </w:p>
    <w:p w:rsidR="005F6B4D" w:rsidRPr="002462E6" w:rsidRDefault="005F6B4D" w:rsidP="005F6B4D">
      <w:pPr>
        <w:pStyle w:val="Corpsdetexte"/>
        <w:rPr>
          <w:i/>
          <w:sz w:val="26"/>
        </w:rPr>
      </w:pPr>
    </w:p>
    <w:p w:rsidR="005F6B4D" w:rsidRPr="002462E6" w:rsidRDefault="005F6B4D" w:rsidP="005F6B4D">
      <w:pPr>
        <w:pStyle w:val="Corpsdetexte"/>
        <w:spacing w:before="2"/>
        <w:rPr>
          <w:i/>
          <w:sz w:val="29"/>
        </w:rPr>
      </w:pPr>
    </w:p>
    <w:p w:rsidR="005F6B4D" w:rsidRPr="002462E6" w:rsidRDefault="005F6B4D" w:rsidP="001D4741">
      <w:pPr>
        <w:spacing w:line="360" w:lineRule="auto"/>
        <w:ind w:left="4253" w:right="4"/>
        <w:jc w:val="both"/>
        <w:rPr>
          <w:rFonts w:ascii="Tahoma" w:hAnsi="Tahoma" w:cs="Tahoma"/>
          <w:i/>
          <w:w w:val="85"/>
          <w:sz w:val="24"/>
          <w:szCs w:val="24"/>
        </w:rPr>
      </w:pPr>
      <w:r w:rsidRPr="002462E6">
        <w:rPr>
          <w:rFonts w:ascii="Tahoma" w:hAnsi="Tahoma" w:cs="Tahoma"/>
          <w:i/>
          <w:w w:val="85"/>
          <w:sz w:val="24"/>
          <w:szCs w:val="24"/>
        </w:rPr>
        <w:t>La</w:t>
      </w:r>
      <w:r w:rsidRPr="002462E6">
        <w:rPr>
          <w:rFonts w:ascii="Tahoma" w:hAnsi="Tahoma" w:cs="Tahoma"/>
          <w:i/>
          <w:spacing w:val="-5"/>
          <w:w w:val="85"/>
          <w:sz w:val="24"/>
          <w:szCs w:val="24"/>
        </w:rPr>
        <w:t xml:space="preserve"> </w:t>
      </w:r>
      <w:r w:rsidRPr="002462E6">
        <w:rPr>
          <w:rFonts w:ascii="Tahoma" w:hAnsi="Tahoma" w:cs="Tahoma"/>
          <w:i/>
          <w:w w:val="85"/>
          <w:sz w:val="24"/>
          <w:szCs w:val="24"/>
        </w:rPr>
        <w:t>mémoire</w:t>
      </w:r>
      <w:r w:rsidRPr="002462E6">
        <w:rPr>
          <w:rFonts w:ascii="Tahoma" w:hAnsi="Tahoma" w:cs="Tahoma"/>
          <w:i/>
          <w:spacing w:val="-5"/>
          <w:w w:val="85"/>
          <w:sz w:val="24"/>
          <w:szCs w:val="24"/>
        </w:rPr>
        <w:t xml:space="preserve"> </w:t>
      </w:r>
      <w:r w:rsidRPr="002462E6">
        <w:rPr>
          <w:rFonts w:ascii="Tahoma" w:hAnsi="Tahoma" w:cs="Tahoma"/>
          <w:i/>
          <w:w w:val="85"/>
          <w:sz w:val="24"/>
          <w:szCs w:val="24"/>
        </w:rPr>
        <w:t>de</w:t>
      </w:r>
      <w:r w:rsidRPr="002462E6">
        <w:rPr>
          <w:rFonts w:ascii="Tahoma" w:hAnsi="Tahoma" w:cs="Tahoma"/>
          <w:i/>
          <w:spacing w:val="-5"/>
          <w:w w:val="85"/>
          <w:sz w:val="24"/>
          <w:szCs w:val="24"/>
        </w:rPr>
        <w:t xml:space="preserve"> </w:t>
      </w:r>
      <w:r w:rsidRPr="002462E6">
        <w:rPr>
          <w:rFonts w:ascii="Tahoma" w:hAnsi="Tahoma" w:cs="Tahoma"/>
          <w:i/>
          <w:w w:val="85"/>
          <w:sz w:val="24"/>
          <w:szCs w:val="24"/>
        </w:rPr>
        <w:t>mon</w:t>
      </w:r>
      <w:r w:rsidRPr="002462E6">
        <w:rPr>
          <w:rFonts w:ascii="Tahoma" w:hAnsi="Tahoma" w:cs="Tahoma"/>
          <w:i/>
          <w:spacing w:val="-5"/>
          <w:w w:val="85"/>
          <w:sz w:val="24"/>
          <w:szCs w:val="24"/>
        </w:rPr>
        <w:t xml:space="preserve"> </w:t>
      </w:r>
      <w:r w:rsidRPr="002462E6">
        <w:rPr>
          <w:rFonts w:ascii="Tahoma" w:hAnsi="Tahoma" w:cs="Tahoma"/>
          <w:i/>
          <w:w w:val="85"/>
          <w:sz w:val="24"/>
          <w:szCs w:val="24"/>
        </w:rPr>
        <w:t>défunt</w:t>
      </w:r>
      <w:r w:rsidRPr="002462E6">
        <w:rPr>
          <w:rFonts w:ascii="Tahoma" w:hAnsi="Tahoma" w:cs="Tahoma"/>
          <w:i/>
          <w:spacing w:val="-5"/>
          <w:w w:val="85"/>
          <w:sz w:val="24"/>
          <w:szCs w:val="24"/>
        </w:rPr>
        <w:t xml:space="preserve"> </w:t>
      </w:r>
      <w:r w:rsidRPr="002462E6">
        <w:rPr>
          <w:rFonts w:ascii="Tahoma" w:hAnsi="Tahoma" w:cs="Tahoma"/>
          <w:i/>
          <w:w w:val="85"/>
          <w:sz w:val="24"/>
          <w:szCs w:val="24"/>
        </w:rPr>
        <w:t>père,</w:t>
      </w:r>
      <w:r w:rsidRPr="002462E6">
        <w:rPr>
          <w:rFonts w:ascii="Tahoma" w:hAnsi="Tahoma" w:cs="Tahoma"/>
          <w:i/>
          <w:spacing w:val="-5"/>
          <w:w w:val="85"/>
          <w:sz w:val="24"/>
          <w:szCs w:val="24"/>
        </w:rPr>
        <w:t xml:space="preserve"> qui</w:t>
      </w:r>
      <w:r w:rsidRPr="002462E6">
        <w:rPr>
          <w:rFonts w:ascii="Tahoma" w:hAnsi="Tahoma" w:cs="Tahoma"/>
          <w:i/>
          <w:spacing w:val="-66"/>
          <w:w w:val="85"/>
          <w:sz w:val="24"/>
          <w:szCs w:val="24"/>
        </w:rPr>
        <w:t xml:space="preserve">      </w:t>
      </w:r>
      <w:r w:rsidRPr="002462E6">
        <w:rPr>
          <w:rFonts w:ascii="Tahoma" w:hAnsi="Tahoma" w:cs="Tahoma"/>
          <w:i/>
          <w:w w:val="85"/>
          <w:sz w:val="24"/>
          <w:szCs w:val="24"/>
        </w:rPr>
        <w:t xml:space="preserve"> m’a tant offert sans s’attendre à un retour de ma part, qui m’a toujours inculqué, depuis mon bas âge que le premier pas vers l’apprentissage,</w:t>
      </w:r>
    </w:p>
    <w:p w:rsidR="005F6B4D" w:rsidRPr="002462E6" w:rsidRDefault="005F6B4D" w:rsidP="001D4741">
      <w:pPr>
        <w:spacing w:line="360" w:lineRule="auto"/>
        <w:ind w:left="4253" w:right="4"/>
        <w:jc w:val="both"/>
        <w:rPr>
          <w:rFonts w:ascii="Tahoma" w:hAnsi="Tahoma" w:cs="Tahoma"/>
          <w:i/>
          <w:w w:val="85"/>
          <w:sz w:val="24"/>
          <w:szCs w:val="24"/>
        </w:rPr>
      </w:pPr>
      <w:r w:rsidRPr="002462E6">
        <w:rPr>
          <w:rFonts w:ascii="Tahoma" w:hAnsi="Tahoma" w:cs="Tahoma"/>
          <w:i/>
          <w:w w:val="85"/>
          <w:sz w:val="24"/>
          <w:szCs w:val="24"/>
        </w:rPr>
        <w:t>C</w:t>
      </w:r>
      <w:r w:rsidR="001D4741" w:rsidRPr="002462E6">
        <w:rPr>
          <w:rFonts w:ascii="Tahoma" w:hAnsi="Tahoma" w:cs="Tahoma"/>
          <w:i/>
          <w:w w:val="85"/>
          <w:sz w:val="24"/>
          <w:szCs w:val="24"/>
        </w:rPr>
        <w:t xml:space="preserve">’est de tenir, tout d’abord, sa </w:t>
      </w:r>
      <w:r w:rsidRPr="002462E6">
        <w:rPr>
          <w:rFonts w:ascii="Tahoma" w:hAnsi="Tahoma" w:cs="Tahoma"/>
          <w:i/>
          <w:w w:val="85"/>
          <w:sz w:val="24"/>
          <w:szCs w:val="24"/>
        </w:rPr>
        <w:t>plume correctement entre ses doigts,</w:t>
      </w:r>
    </w:p>
    <w:p w:rsidR="005F6B4D" w:rsidRPr="002462E6" w:rsidRDefault="005F6B4D" w:rsidP="001D4741">
      <w:pPr>
        <w:spacing w:line="360" w:lineRule="auto"/>
        <w:ind w:left="4253" w:right="4"/>
        <w:jc w:val="both"/>
        <w:rPr>
          <w:rFonts w:ascii="Tahoma" w:hAnsi="Tahoma" w:cs="Tahoma"/>
          <w:i/>
          <w:w w:val="85"/>
          <w:sz w:val="24"/>
          <w:szCs w:val="24"/>
        </w:rPr>
      </w:pPr>
      <w:r w:rsidRPr="002462E6">
        <w:rPr>
          <w:rFonts w:ascii="Tahoma" w:hAnsi="Tahoma" w:cs="Tahoma"/>
          <w:i/>
          <w:w w:val="85"/>
          <w:sz w:val="24"/>
          <w:szCs w:val="24"/>
        </w:rPr>
        <w:t>C’est</w:t>
      </w:r>
      <w:r w:rsidR="007D4F49" w:rsidRPr="002462E6">
        <w:rPr>
          <w:rFonts w:ascii="Tahoma" w:hAnsi="Tahoma" w:cs="Tahoma"/>
          <w:i/>
          <w:w w:val="85"/>
          <w:sz w:val="24"/>
          <w:szCs w:val="24"/>
        </w:rPr>
        <w:t xml:space="preserve"> dans la maîtrise</w:t>
      </w:r>
      <w:r w:rsidRPr="002462E6">
        <w:rPr>
          <w:rFonts w:ascii="Tahoma" w:hAnsi="Tahoma" w:cs="Tahoma"/>
          <w:i/>
          <w:w w:val="85"/>
          <w:sz w:val="24"/>
          <w:szCs w:val="24"/>
        </w:rPr>
        <w:t xml:space="preserve"> du geste que peut naître la volonté d’écrire et de produire ;</w:t>
      </w:r>
    </w:p>
    <w:p w:rsidR="005F6B4D" w:rsidRPr="002462E6" w:rsidRDefault="005F6B4D" w:rsidP="001D4741">
      <w:pPr>
        <w:pStyle w:val="Corpsdetexte"/>
        <w:spacing w:before="10" w:line="360" w:lineRule="auto"/>
        <w:ind w:left="4253" w:right="4"/>
        <w:jc w:val="both"/>
        <w:rPr>
          <w:rFonts w:ascii="Tahoma" w:hAnsi="Tahoma" w:cs="Tahoma"/>
          <w:i/>
        </w:rPr>
      </w:pPr>
    </w:p>
    <w:p w:rsidR="005F6B4D" w:rsidRPr="002462E6" w:rsidRDefault="005F6B4D" w:rsidP="001D4741">
      <w:pPr>
        <w:spacing w:line="360" w:lineRule="auto"/>
        <w:ind w:left="4253" w:right="4"/>
        <w:jc w:val="both"/>
        <w:rPr>
          <w:rFonts w:ascii="Tahoma" w:hAnsi="Tahoma" w:cs="Tahoma"/>
          <w:i/>
          <w:w w:val="85"/>
          <w:sz w:val="24"/>
          <w:szCs w:val="24"/>
        </w:rPr>
      </w:pPr>
      <w:r w:rsidRPr="002462E6">
        <w:rPr>
          <w:rFonts w:ascii="Tahoma" w:hAnsi="Tahoma" w:cs="Tahoma"/>
          <w:i/>
          <w:w w:val="85"/>
          <w:sz w:val="24"/>
          <w:szCs w:val="24"/>
        </w:rPr>
        <w:t>Ma</w:t>
      </w:r>
      <w:r w:rsidRPr="002462E6">
        <w:rPr>
          <w:rFonts w:ascii="Tahoma" w:hAnsi="Tahoma" w:cs="Tahoma"/>
          <w:i/>
          <w:spacing w:val="-3"/>
          <w:w w:val="85"/>
          <w:sz w:val="24"/>
          <w:szCs w:val="24"/>
        </w:rPr>
        <w:t xml:space="preserve"> </w:t>
      </w:r>
      <w:r w:rsidRPr="002462E6">
        <w:rPr>
          <w:rFonts w:ascii="Tahoma" w:hAnsi="Tahoma" w:cs="Tahoma"/>
          <w:i/>
          <w:w w:val="85"/>
          <w:sz w:val="24"/>
          <w:szCs w:val="24"/>
        </w:rPr>
        <w:t>nièce</w:t>
      </w:r>
      <w:r w:rsidRPr="002462E6">
        <w:rPr>
          <w:rFonts w:ascii="Tahoma" w:hAnsi="Tahoma" w:cs="Tahoma"/>
          <w:i/>
          <w:spacing w:val="-2"/>
          <w:w w:val="85"/>
          <w:sz w:val="24"/>
          <w:szCs w:val="24"/>
        </w:rPr>
        <w:t xml:space="preserve"> </w:t>
      </w:r>
      <w:r w:rsidRPr="002462E6">
        <w:rPr>
          <w:rFonts w:ascii="Tahoma" w:hAnsi="Tahoma" w:cs="Tahoma"/>
          <w:i/>
          <w:w w:val="85"/>
          <w:sz w:val="24"/>
          <w:szCs w:val="24"/>
        </w:rPr>
        <w:t>Zineb</w:t>
      </w:r>
      <w:r w:rsidRPr="002462E6">
        <w:rPr>
          <w:rFonts w:ascii="Tahoma" w:hAnsi="Tahoma" w:cs="Tahoma"/>
          <w:i/>
          <w:spacing w:val="-1"/>
          <w:w w:val="85"/>
          <w:sz w:val="24"/>
          <w:szCs w:val="24"/>
        </w:rPr>
        <w:t xml:space="preserve"> </w:t>
      </w:r>
      <w:r w:rsidRPr="002462E6">
        <w:rPr>
          <w:rFonts w:ascii="Tahoma" w:hAnsi="Tahoma" w:cs="Tahoma"/>
          <w:i/>
          <w:w w:val="85"/>
          <w:sz w:val="24"/>
          <w:szCs w:val="24"/>
        </w:rPr>
        <w:t>;</w:t>
      </w:r>
    </w:p>
    <w:p w:rsidR="005F6B4D" w:rsidRPr="002462E6" w:rsidRDefault="005F6B4D" w:rsidP="001D4741">
      <w:pPr>
        <w:spacing w:line="360" w:lineRule="auto"/>
        <w:ind w:left="4253" w:right="4"/>
        <w:jc w:val="both"/>
        <w:rPr>
          <w:rFonts w:ascii="Tahoma" w:hAnsi="Tahoma" w:cs="Tahoma"/>
          <w:i/>
          <w:w w:val="85"/>
          <w:sz w:val="24"/>
          <w:szCs w:val="24"/>
        </w:rPr>
      </w:pPr>
    </w:p>
    <w:p w:rsidR="005F6B4D" w:rsidRPr="002462E6" w:rsidRDefault="005F6B4D" w:rsidP="001D4741">
      <w:pPr>
        <w:spacing w:line="360" w:lineRule="auto"/>
        <w:ind w:left="4253" w:right="4"/>
        <w:jc w:val="both"/>
        <w:rPr>
          <w:rFonts w:ascii="Tahoma" w:hAnsi="Tahoma" w:cs="Tahoma"/>
          <w:i/>
          <w:sz w:val="24"/>
          <w:szCs w:val="24"/>
        </w:rPr>
      </w:pPr>
      <w:r w:rsidRPr="002462E6">
        <w:rPr>
          <w:rFonts w:ascii="Tahoma" w:hAnsi="Tahoma" w:cs="Tahoma"/>
          <w:i/>
          <w:w w:val="85"/>
          <w:sz w:val="24"/>
          <w:szCs w:val="24"/>
        </w:rPr>
        <w:t>Mes amies Najoua et Hakima ;</w:t>
      </w:r>
    </w:p>
    <w:p w:rsidR="005F6B4D" w:rsidRPr="002462E6" w:rsidRDefault="005F6B4D" w:rsidP="001D4741">
      <w:pPr>
        <w:pStyle w:val="Corpsdetexte"/>
        <w:spacing w:before="9" w:line="360" w:lineRule="auto"/>
        <w:ind w:left="4253" w:right="4"/>
        <w:jc w:val="both"/>
        <w:rPr>
          <w:rFonts w:ascii="Tahoma" w:hAnsi="Tahoma" w:cs="Tahoma"/>
          <w:i/>
        </w:rPr>
      </w:pPr>
    </w:p>
    <w:p w:rsidR="005F6B4D" w:rsidRPr="002462E6" w:rsidRDefault="005F6B4D" w:rsidP="001D4741">
      <w:pPr>
        <w:spacing w:line="360" w:lineRule="auto"/>
        <w:ind w:left="4253" w:right="4"/>
        <w:jc w:val="both"/>
        <w:rPr>
          <w:rFonts w:ascii="Tahoma" w:hAnsi="Tahoma" w:cs="Tahoma"/>
          <w:i/>
          <w:sz w:val="24"/>
          <w:szCs w:val="24"/>
        </w:rPr>
      </w:pPr>
      <w:r w:rsidRPr="002462E6">
        <w:rPr>
          <w:rFonts w:ascii="Tahoma" w:hAnsi="Tahoma" w:cs="Tahoma"/>
          <w:i/>
          <w:w w:val="85"/>
          <w:sz w:val="24"/>
          <w:szCs w:val="24"/>
        </w:rPr>
        <w:t>Celles</w:t>
      </w:r>
      <w:r w:rsidRPr="002462E6">
        <w:rPr>
          <w:rFonts w:ascii="Tahoma" w:hAnsi="Tahoma" w:cs="Tahoma"/>
          <w:i/>
          <w:spacing w:val="-3"/>
          <w:w w:val="85"/>
          <w:sz w:val="24"/>
          <w:szCs w:val="24"/>
        </w:rPr>
        <w:t xml:space="preserve"> </w:t>
      </w:r>
      <w:r w:rsidRPr="002462E6">
        <w:rPr>
          <w:rFonts w:ascii="Tahoma" w:hAnsi="Tahoma" w:cs="Tahoma"/>
          <w:i/>
          <w:w w:val="85"/>
          <w:sz w:val="24"/>
          <w:szCs w:val="24"/>
        </w:rPr>
        <w:t>et</w:t>
      </w:r>
      <w:r w:rsidRPr="002462E6">
        <w:rPr>
          <w:rFonts w:ascii="Tahoma" w:hAnsi="Tahoma" w:cs="Tahoma"/>
          <w:i/>
          <w:spacing w:val="-2"/>
          <w:w w:val="85"/>
          <w:sz w:val="24"/>
          <w:szCs w:val="24"/>
        </w:rPr>
        <w:t xml:space="preserve"> </w:t>
      </w:r>
      <w:r w:rsidRPr="002462E6">
        <w:rPr>
          <w:rFonts w:ascii="Tahoma" w:hAnsi="Tahoma" w:cs="Tahoma"/>
          <w:i/>
          <w:w w:val="85"/>
          <w:sz w:val="24"/>
          <w:szCs w:val="24"/>
        </w:rPr>
        <w:t>ceux</w:t>
      </w:r>
      <w:r w:rsidRPr="002462E6">
        <w:rPr>
          <w:rFonts w:ascii="Tahoma" w:hAnsi="Tahoma" w:cs="Tahoma"/>
          <w:i/>
          <w:spacing w:val="-4"/>
          <w:w w:val="85"/>
          <w:sz w:val="24"/>
          <w:szCs w:val="24"/>
        </w:rPr>
        <w:t xml:space="preserve"> </w:t>
      </w:r>
      <w:r w:rsidRPr="002462E6">
        <w:rPr>
          <w:rFonts w:ascii="Tahoma" w:hAnsi="Tahoma" w:cs="Tahoma"/>
          <w:i/>
          <w:w w:val="85"/>
          <w:sz w:val="24"/>
          <w:szCs w:val="24"/>
        </w:rPr>
        <w:t>qui</w:t>
      </w:r>
      <w:r w:rsidRPr="002462E6">
        <w:rPr>
          <w:rFonts w:ascii="Tahoma" w:hAnsi="Tahoma" w:cs="Tahoma"/>
          <w:i/>
          <w:spacing w:val="-3"/>
          <w:w w:val="85"/>
          <w:sz w:val="24"/>
          <w:szCs w:val="24"/>
        </w:rPr>
        <w:t xml:space="preserve"> </w:t>
      </w:r>
      <w:r w:rsidRPr="002462E6">
        <w:rPr>
          <w:rFonts w:ascii="Tahoma" w:hAnsi="Tahoma" w:cs="Tahoma"/>
          <w:i/>
          <w:w w:val="85"/>
          <w:sz w:val="24"/>
          <w:szCs w:val="24"/>
        </w:rPr>
        <w:t>me</w:t>
      </w:r>
      <w:r w:rsidRPr="002462E6">
        <w:rPr>
          <w:rFonts w:ascii="Tahoma" w:hAnsi="Tahoma" w:cs="Tahoma"/>
          <w:i/>
          <w:spacing w:val="-2"/>
          <w:w w:val="85"/>
          <w:sz w:val="24"/>
          <w:szCs w:val="24"/>
        </w:rPr>
        <w:t xml:space="preserve"> </w:t>
      </w:r>
      <w:r w:rsidRPr="002462E6">
        <w:rPr>
          <w:rFonts w:ascii="Tahoma" w:hAnsi="Tahoma" w:cs="Tahoma"/>
          <w:i/>
          <w:w w:val="85"/>
          <w:sz w:val="24"/>
          <w:szCs w:val="24"/>
        </w:rPr>
        <w:t>sont</w:t>
      </w:r>
      <w:r w:rsidRPr="002462E6">
        <w:rPr>
          <w:rFonts w:ascii="Tahoma" w:hAnsi="Tahoma" w:cs="Tahoma"/>
          <w:i/>
          <w:spacing w:val="-4"/>
          <w:w w:val="85"/>
          <w:sz w:val="24"/>
          <w:szCs w:val="24"/>
        </w:rPr>
        <w:t xml:space="preserve"> </w:t>
      </w:r>
      <w:r w:rsidRPr="002462E6">
        <w:rPr>
          <w:rFonts w:ascii="Tahoma" w:hAnsi="Tahoma" w:cs="Tahoma"/>
          <w:i/>
          <w:w w:val="85"/>
          <w:sz w:val="24"/>
          <w:szCs w:val="24"/>
        </w:rPr>
        <w:t>chers...</w:t>
      </w:r>
    </w:p>
    <w:p w:rsidR="005F6B4D" w:rsidRPr="002462E6" w:rsidRDefault="005F6B4D" w:rsidP="001D4741">
      <w:pPr>
        <w:pStyle w:val="Corpsdetexte"/>
        <w:spacing w:line="360" w:lineRule="auto"/>
        <w:ind w:left="4253"/>
        <w:jc w:val="both"/>
        <w:rPr>
          <w:rFonts w:ascii="Tahoma" w:hAnsi="Tahoma" w:cs="Tahoma"/>
          <w:i/>
        </w:rPr>
      </w:pPr>
    </w:p>
    <w:p w:rsidR="005F6B4D" w:rsidRPr="002462E6" w:rsidRDefault="005F6B4D" w:rsidP="001D4741">
      <w:pPr>
        <w:pStyle w:val="Corpsdetexte"/>
        <w:spacing w:line="360" w:lineRule="auto"/>
        <w:ind w:left="4253"/>
        <w:rPr>
          <w:rFonts w:ascii="Tahoma" w:hAnsi="Tahoma" w:cs="Tahoma"/>
        </w:rPr>
      </w:pPr>
    </w:p>
    <w:p w:rsidR="007D4F49" w:rsidRPr="002462E6" w:rsidRDefault="005F6B4D" w:rsidP="001D4741">
      <w:pPr>
        <w:pStyle w:val="Corpsdetexte"/>
        <w:spacing w:line="360" w:lineRule="auto"/>
        <w:ind w:left="4253"/>
        <w:jc w:val="right"/>
        <w:rPr>
          <w:rFonts w:ascii="Tahoma" w:hAnsi="Tahoma" w:cs="Tahoma"/>
          <w:iCs/>
          <w:color w:val="000000" w:themeColor="text1"/>
        </w:rPr>
      </w:pPr>
      <w:r w:rsidRPr="002462E6">
        <w:rPr>
          <w:rFonts w:ascii="Tahoma" w:hAnsi="Tahoma" w:cs="Tahoma"/>
          <w:iCs/>
          <w:color w:val="000000" w:themeColor="text1"/>
        </w:rPr>
        <w:t>... Je dédie le fruit de la présente recherche académique.</w:t>
      </w:r>
    </w:p>
    <w:p w:rsidR="007D4F49" w:rsidRPr="002462E6" w:rsidRDefault="007D4F49" w:rsidP="001D4741">
      <w:pPr>
        <w:pStyle w:val="Corpsdetexte"/>
        <w:spacing w:line="360" w:lineRule="auto"/>
        <w:ind w:left="4253"/>
        <w:jc w:val="right"/>
        <w:rPr>
          <w:rFonts w:ascii="Tahoma" w:hAnsi="Tahoma" w:cs="Tahoma"/>
          <w:iCs/>
          <w:color w:val="000000" w:themeColor="text1"/>
        </w:rPr>
      </w:pPr>
    </w:p>
    <w:p w:rsidR="007D4F49" w:rsidRPr="002462E6" w:rsidRDefault="007D4F49" w:rsidP="001D4741">
      <w:pPr>
        <w:pStyle w:val="Corpsdetexte"/>
        <w:spacing w:line="360" w:lineRule="auto"/>
        <w:ind w:left="4253"/>
        <w:jc w:val="right"/>
        <w:rPr>
          <w:rFonts w:ascii="Tahoma" w:hAnsi="Tahoma" w:cs="Tahoma"/>
          <w:b/>
          <w:bCs/>
          <w:iCs/>
          <w:color w:val="000000" w:themeColor="text1"/>
        </w:rPr>
      </w:pPr>
    </w:p>
    <w:p w:rsidR="000436F7" w:rsidRPr="002462E6" w:rsidRDefault="000436F7" w:rsidP="007D4F49">
      <w:pPr>
        <w:pStyle w:val="Corpsdetexte"/>
        <w:spacing w:line="360" w:lineRule="auto"/>
        <w:jc w:val="right"/>
        <w:rPr>
          <w:rFonts w:ascii="Tahoma" w:hAnsi="Tahoma" w:cs="Tahoma"/>
          <w:b/>
          <w:bCs/>
          <w:iCs/>
          <w:color w:val="000000" w:themeColor="text1"/>
        </w:rPr>
      </w:pPr>
    </w:p>
    <w:p w:rsidR="006252B4" w:rsidRPr="002462E6" w:rsidRDefault="006252B4" w:rsidP="006252B4">
      <w:pPr>
        <w:pStyle w:val="Corpsdetexte"/>
        <w:spacing w:line="360" w:lineRule="auto"/>
        <w:rPr>
          <w:rFonts w:ascii="Tahoma" w:eastAsia="Calibri" w:hAnsi="Tahoma"/>
          <w:noProof/>
          <w:color w:val="0070C0"/>
          <w:spacing w:val="5"/>
          <w:kern w:val="28"/>
          <w:sz w:val="32"/>
          <w:szCs w:val="32"/>
          <w:lang w:eastAsia="fr-FR"/>
        </w:rPr>
      </w:pPr>
    </w:p>
    <w:p w:rsidR="006641DA" w:rsidRPr="002462E6" w:rsidRDefault="00A327B2" w:rsidP="002F1A32">
      <w:pPr>
        <w:pStyle w:val="Titre"/>
      </w:pPr>
      <w:bookmarkStart w:id="4" w:name="_Toc201570879"/>
      <w:bookmarkStart w:id="5" w:name="_Toc201655443"/>
      <w:bookmarkStart w:id="6" w:name="_Toc203642998"/>
      <w:r w:rsidRPr="002462E6">
        <w:lastRenderedPageBreak/>
        <w:t>Remerci</w:t>
      </w:r>
      <w:r w:rsidR="000736EA" w:rsidRPr="002462E6">
        <w:t>e</w:t>
      </w:r>
      <w:r w:rsidR="00E643FE" w:rsidRPr="002462E6">
        <w:t>ments</w:t>
      </w:r>
      <w:bookmarkEnd w:id="0"/>
      <w:bookmarkEnd w:id="1"/>
      <w:bookmarkEnd w:id="4"/>
      <w:bookmarkEnd w:id="5"/>
      <w:bookmarkEnd w:id="6"/>
    </w:p>
    <w:p w:rsidR="006E6660" w:rsidRPr="002462E6" w:rsidRDefault="006E6660" w:rsidP="006E6660">
      <w:pPr>
        <w:pStyle w:val="Corpsdetexte"/>
        <w:spacing w:before="56" w:line="360" w:lineRule="auto"/>
        <w:ind w:right="4"/>
        <w:jc w:val="both"/>
        <w:rPr>
          <w:rFonts w:ascii="Tahoma" w:hAnsi="Tahoma" w:cs="Tahoma"/>
        </w:rPr>
      </w:pPr>
      <w:bookmarkStart w:id="7" w:name="_Toc190769572"/>
      <w:bookmarkStart w:id="8" w:name="_Toc190774606"/>
      <w:bookmarkStart w:id="9" w:name="_Toc201570880"/>
      <w:bookmarkStart w:id="10" w:name="_Toc201655444"/>
      <w:r w:rsidRPr="002462E6">
        <w:rPr>
          <w:rFonts w:ascii="Tahoma" w:hAnsi="Tahoma" w:cs="Tahoma"/>
        </w:rPr>
        <w:t>La présente thèse est le résultat d'un long processus d'apprentissage, focalisé sur de</w:t>
      </w:r>
      <w:r w:rsidRPr="002462E6">
        <w:rPr>
          <w:rFonts w:ascii="Tahoma" w:hAnsi="Tahoma" w:cs="Tahoma"/>
          <w:spacing w:val="1"/>
        </w:rPr>
        <w:t xml:space="preserve"> </w:t>
      </w:r>
      <w:r w:rsidRPr="002462E6">
        <w:rPr>
          <w:rFonts w:ascii="Tahoma" w:hAnsi="Tahoma" w:cs="Tahoma"/>
        </w:rPr>
        <w:t xml:space="preserve">profondes discussions et échanges enrichissants avec différents interlocuteurs et de participation active à divers événements scientifiques. </w:t>
      </w:r>
    </w:p>
    <w:p w:rsidR="006E6660" w:rsidRPr="002462E6" w:rsidRDefault="006E6660" w:rsidP="006E6660">
      <w:pPr>
        <w:pStyle w:val="Corpsdetexte"/>
        <w:spacing w:before="56" w:line="360" w:lineRule="auto"/>
        <w:ind w:right="4"/>
        <w:jc w:val="both"/>
        <w:rPr>
          <w:rFonts w:ascii="Tahoma" w:hAnsi="Tahoma" w:cs="Tahoma"/>
          <w:sz w:val="4"/>
          <w:szCs w:val="4"/>
        </w:rPr>
      </w:pPr>
    </w:p>
    <w:p w:rsidR="006E6660" w:rsidRPr="002462E6" w:rsidRDefault="006E6660" w:rsidP="006E6660">
      <w:pPr>
        <w:pStyle w:val="Corpsdetexte"/>
        <w:spacing w:before="56" w:line="360" w:lineRule="auto"/>
        <w:ind w:right="4"/>
        <w:jc w:val="both"/>
        <w:rPr>
          <w:rFonts w:ascii="Tahoma" w:hAnsi="Tahoma" w:cs="Tahoma"/>
        </w:rPr>
      </w:pPr>
      <w:r w:rsidRPr="002462E6">
        <w:rPr>
          <w:rFonts w:ascii="Tahoma" w:hAnsi="Tahoma" w:cs="Tahoma"/>
        </w:rPr>
        <w:t>Ce travail a pu bénéficier de l’appui, combien inestimable de nombreuses personnes :</w:t>
      </w:r>
    </w:p>
    <w:p w:rsidR="006E6660" w:rsidRPr="002462E6" w:rsidRDefault="006E6660" w:rsidP="006E6660">
      <w:pPr>
        <w:pStyle w:val="Corpsdetexte"/>
        <w:spacing w:before="56" w:line="360" w:lineRule="auto"/>
        <w:ind w:right="4"/>
        <w:jc w:val="both"/>
        <w:rPr>
          <w:rFonts w:ascii="Tahoma" w:hAnsi="Tahoma" w:cs="Tahoma"/>
        </w:rPr>
      </w:pPr>
      <w:r w:rsidRPr="002462E6">
        <w:rPr>
          <w:rFonts w:ascii="Tahoma" w:hAnsi="Tahoma" w:cs="Tahoma"/>
        </w:rPr>
        <w:t xml:space="preserve">De prime à bord, j’exprime ma profonde gratitude au professeur Mohamed HADDY, Coordonnateur Scientifique de la formation doctorale « Gestion des Risques et Développement Territorial » de l'INAU, à qui je suis très redevable de m’avoir   accordé l'opportunité d'intégrer le domaine de la recherche scientifique et de contribuer à la production des connaissances dans ce champ d'étude. </w:t>
      </w:r>
    </w:p>
    <w:p w:rsidR="006E6660" w:rsidRPr="002462E6" w:rsidRDefault="006E6660" w:rsidP="006E6660">
      <w:pPr>
        <w:pStyle w:val="Corpsdetexte"/>
        <w:spacing w:before="56" w:line="360" w:lineRule="auto"/>
        <w:ind w:right="4"/>
        <w:jc w:val="both"/>
        <w:rPr>
          <w:rFonts w:ascii="Tahoma" w:hAnsi="Tahoma" w:cs="Tahoma"/>
          <w:sz w:val="10"/>
          <w:szCs w:val="10"/>
        </w:rPr>
      </w:pPr>
    </w:p>
    <w:p w:rsidR="006E6660" w:rsidRPr="002462E6" w:rsidRDefault="006E6660" w:rsidP="006E13BF">
      <w:pPr>
        <w:spacing w:line="360" w:lineRule="auto"/>
        <w:jc w:val="both"/>
        <w:rPr>
          <w:rFonts w:ascii="Tahoma" w:hAnsi="Tahoma" w:cs="Tahoma"/>
          <w:sz w:val="24"/>
          <w:szCs w:val="24"/>
        </w:rPr>
      </w:pPr>
      <w:r w:rsidRPr="002462E6">
        <w:rPr>
          <w:rFonts w:ascii="Tahoma" w:hAnsi="Tahoma" w:cs="Tahoma"/>
          <w:sz w:val="24"/>
          <w:szCs w:val="24"/>
        </w:rPr>
        <w:t>Pendant toutes les années de cet investissement académique, le support continu de mes directeurs de thèse, les professeurs Mohamed HADDY et Fayçal BENCHEKROUN, a été d'une grande importance pour surmonter les incertitudes et les obstacles rencontrés. Dès le commencement, ils m’ont appris que le travail de recherche est une œuvre collective nécessitant un esprit critique</w:t>
      </w:r>
      <w:r w:rsidRPr="002462E6">
        <w:rPr>
          <w:rFonts w:ascii="Tahoma" w:hAnsi="Tahoma" w:cs="Tahoma"/>
          <w:sz w:val="24"/>
          <w:szCs w:val="24"/>
          <w:vertAlign w:val="superscript"/>
        </w:rPr>
        <w:t>1</w:t>
      </w:r>
      <w:r w:rsidRPr="002462E6">
        <w:rPr>
          <w:rFonts w:ascii="Tahoma" w:hAnsi="Tahoma" w:cs="Tahoma"/>
          <w:sz w:val="24"/>
          <w:szCs w:val="24"/>
        </w:rPr>
        <w:t xml:space="preserve"> dont la rigueur scientifique et l'objectivité priment. A cet égard, je leur exprime ma profonde reconnaissance et je leur adresse ici, mes sincères remerciements pour leur disponibilité, leur générosité intellectuelle, leurs remarques constructives et leur détermination à mener ce projet à son terme dans les meilleures conditions possibles.</w:t>
      </w:r>
    </w:p>
    <w:p w:rsidR="006E6660" w:rsidRPr="002462E6" w:rsidRDefault="006E6660" w:rsidP="006E13BF">
      <w:pPr>
        <w:spacing w:line="360" w:lineRule="auto"/>
        <w:jc w:val="both"/>
        <w:rPr>
          <w:rFonts w:ascii="Tahoma" w:hAnsi="Tahoma" w:cs="Tahoma"/>
          <w:sz w:val="24"/>
          <w:szCs w:val="24"/>
        </w:rPr>
      </w:pPr>
      <w:r w:rsidRPr="002462E6">
        <w:rPr>
          <w:rFonts w:ascii="Tahoma" w:hAnsi="Tahoma" w:cs="Tahoma"/>
          <w:sz w:val="24"/>
          <w:szCs w:val="24"/>
        </w:rPr>
        <w:t>Je rends un grand hommage aux membres du jury pour leur expertise et l'attention portée à cette recherche doctorale. Leurs regards critiques et leurs observat</w:t>
      </w:r>
      <w:r w:rsidR="006E13BF">
        <w:rPr>
          <w:rFonts w:ascii="Tahoma" w:hAnsi="Tahoma" w:cs="Tahoma"/>
          <w:sz w:val="24"/>
          <w:szCs w:val="24"/>
        </w:rPr>
        <w:t xml:space="preserve">ions constructives, </w:t>
      </w:r>
      <w:r w:rsidR="00F10CBC">
        <w:rPr>
          <w:rFonts w:ascii="Tahoma" w:hAnsi="Tahoma" w:cs="Tahoma"/>
          <w:sz w:val="24"/>
          <w:szCs w:val="24"/>
        </w:rPr>
        <w:t>formulés lors</w:t>
      </w:r>
      <w:r w:rsidR="006E13BF">
        <w:rPr>
          <w:rFonts w:ascii="Tahoma" w:hAnsi="Tahoma" w:cs="Tahoma"/>
          <w:sz w:val="24"/>
          <w:szCs w:val="24"/>
        </w:rPr>
        <w:t xml:space="preserve"> de la soutenance, constitueront</w:t>
      </w:r>
      <w:r w:rsidRPr="002462E6">
        <w:rPr>
          <w:rFonts w:ascii="Tahoma" w:hAnsi="Tahoma" w:cs="Tahoma"/>
          <w:sz w:val="24"/>
          <w:szCs w:val="24"/>
        </w:rPr>
        <w:t xml:space="preserve"> certainement une contribution essentielle à l'amélioration continue </w:t>
      </w:r>
      <w:r w:rsidR="006E13BF">
        <w:rPr>
          <w:rFonts w:ascii="Tahoma" w:hAnsi="Tahoma" w:cs="Tahoma"/>
          <w:sz w:val="24"/>
          <w:szCs w:val="24"/>
        </w:rPr>
        <w:t xml:space="preserve">et l’enrichissement </w:t>
      </w:r>
      <w:r w:rsidRPr="002462E6">
        <w:rPr>
          <w:rFonts w:ascii="Tahoma" w:hAnsi="Tahoma" w:cs="Tahoma"/>
          <w:sz w:val="24"/>
          <w:szCs w:val="24"/>
        </w:rPr>
        <w:t xml:space="preserve">de sa portée scientifique. </w:t>
      </w:r>
    </w:p>
    <w:p w:rsidR="006E6660" w:rsidRPr="002462E6" w:rsidRDefault="006E6660" w:rsidP="006E6660">
      <w:pPr>
        <w:pStyle w:val="Corpsdetexte"/>
        <w:spacing w:before="120" w:line="360" w:lineRule="auto"/>
        <w:ind w:right="4"/>
        <w:jc w:val="both"/>
        <w:rPr>
          <w:rFonts w:ascii="Tahoma" w:hAnsi="Tahoma" w:cs="Tahoma"/>
        </w:rPr>
      </w:pPr>
      <w:r w:rsidRPr="002462E6">
        <w:rPr>
          <w:rFonts w:ascii="Tahoma" w:hAnsi="Tahoma" w:cs="Tahoma"/>
        </w:rPr>
        <w:t>J’adresse mes profonds remerciements à l’ensemble des personnes qui ont apporté leur contribution directe ou indirecte à l'accomplissement de cette recherche.</w:t>
      </w:r>
    </w:p>
    <w:p w:rsidR="006E6660" w:rsidRPr="002462E6" w:rsidRDefault="006E6660">
      <w:pPr>
        <w:rPr>
          <w:rFonts w:ascii="Tahoma" w:eastAsia="Times New Roman" w:hAnsi="Tahoma" w:cs="Tahoma"/>
          <w:sz w:val="24"/>
          <w:szCs w:val="24"/>
        </w:rPr>
      </w:pPr>
      <w:r w:rsidRPr="002462E6">
        <w:rPr>
          <w:rFonts w:eastAsia="Times New Roman" w:cs="Tahoma"/>
          <w:b/>
          <w:bCs/>
          <w:iCs/>
          <w:sz w:val="24"/>
          <w:szCs w:val="24"/>
        </w:rPr>
        <w:br w:type="page"/>
      </w:r>
    </w:p>
    <w:p w:rsidR="00F74F4A" w:rsidRPr="002462E6" w:rsidRDefault="00E643FE" w:rsidP="002F1A32">
      <w:pPr>
        <w:pStyle w:val="Titre"/>
        <w:bidi w:val="0"/>
      </w:pPr>
      <w:bookmarkStart w:id="11" w:name="_Toc203642999"/>
      <w:r w:rsidRPr="002462E6">
        <w:lastRenderedPageBreak/>
        <w:t>RESUM</w:t>
      </w:r>
      <w:bookmarkEnd w:id="7"/>
      <w:bookmarkEnd w:id="8"/>
      <w:r w:rsidR="00A17E0E" w:rsidRPr="002462E6">
        <w:t>E</w:t>
      </w:r>
      <w:bookmarkStart w:id="12" w:name="_Toc190769573"/>
      <w:bookmarkStart w:id="13" w:name="_Toc190774607"/>
      <w:bookmarkStart w:id="14" w:name="_Toc201570881"/>
      <w:bookmarkStart w:id="15" w:name="_Toc201655445"/>
      <w:bookmarkEnd w:id="9"/>
      <w:bookmarkEnd w:id="10"/>
      <w:bookmarkEnd w:id="11"/>
    </w:p>
    <w:p w:rsidR="005F14FB" w:rsidRPr="002462E6" w:rsidRDefault="005F14FB" w:rsidP="005F14FB">
      <w:pPr>
        <w:spacing w:before="100" w:beforeAutospacing="1" w:after="100" w:afterAutospacing="1" w:line="276" w:lineRule="auto"/>
        <w:jc w:val="both"/>
        <w:outlineLvl w:val="0"/>
        <w:rPr>
          <w:rFonts w:ascii="Tahoma" w:eastAsia="Times New Roman" w:hAnsi="Tahoma" w:cs="Tahoma"/>
          <w:sz w:val="24"/>
          <w:szCs w:val="24"/>
          <w:lang w:eastAsia="fr-FR"/>
        </w:rPr>
      </w:pPr>
      <w:r w:rsidRPr="002462E6">
        <w:rPr>
          <w:rFonts w:ascii="Tahoma" w:eastAsia="Times New Roman" w:hAnsi="Tahoma" w:cs="Tahoma"/>
          <w:sz w:val="24"/>
          <w:szCs w:val="24"/>
          <w:lang w:eastAsia="fr-FR"/>
        </w:rPr>
        <w:t>Cette thèse doctorale examine les liens entre dégradation forestière et migrations rurales au Maroc, dans un contexte marqué par l’accélération du changement climatique à travers l'étude de cas de la forêt de Korifla. La recherche interroge la manière dont les processus de dégradation des écosystèmes forestiers constituent des facteurs déterminants dans l'accélération des migrations des populations rurales, questionnant ainsi les modèles traditionnels de gestion forestière et leurs implications socio-territoriales.</w:t>
      </w:r>
    </w:p>
    <w:p w:rsidR="005F14FB" w:rsidRPr="002462E6" w:rsidRDefault="005F14FB" w:rsidP="005F14FB">
      <w:pPr>
        <w:spacing w:before="100" w:beforeAutospacing="1" w:after="100" w:afterAutospacing="1" w:line="276" w:lineRule="auto"/>
        <w:jc w:val="both"/>
        <w:outlineLvl w:val="0"/>
        <w:rPr>
          <w:rFonts w:ascii="Tahoma" w:eastAsia="Times New Roman" w:hAnsi="Tahoma" w:cs="Tahoma"/>
          <w:sz w:val="24"/>
          <w:szCs w:val="24"/>
          <w:lang w:eastAsia="fr-FR"/>
        </w:rPr>
      </w:pPr>
      <w:r w:rsidRPr="002462E6">
        <w:rPr>
          <w:rFonts w:ascii="Tahoma" w:eastAsia="Times New Roman" w:hAnsi="Tahoma" w:cs="Tahoma"/>
          <w:sz w:val="24"/>
          <w:szCs w:val="24"/>
          <w:lang w:eastAsia="fr-FR"/>
        </w:rPr>
        <w:t>La thèse développe le concept du " risque accélératif migratoire" qui révèle comment dégradation environnementale, défaillances institutionnelles et précarité socio-économique s'articulent selon une logique de rétroaction positive. Cette conceptualisation dépasse les approches linéaires pour démontrer que la migration constitue une stratégie d'adaptation révélatrice de l'accumulation systémique des vulnérabilités territoriales.</w:t>
      </w:r>
    </w:p>
    <w:p w:rsidR="005F14FB" w:rsidRPr="002462E6" w:rsidRDefault="005F14FB" w:rsidP="005F14FB">
      <w:pPr>
        <w:spacing w:before="100" w:beforeAutospacing="1" w:after="100" w:afterAutospacing="1" w:line="276" w:lineRule="auto"/>
        <w:jc w:val="both"/>
        <w:outlineLvl w:val="0"/>
        <w:rPr>
          <w:rFonts w:ascii="Tahoma" w:eastAsia="Times New Roman" w:hAnsi="Tahoma" w:cs="Tahoma"/>
          <w:sz w:val="24"/>
          <w:szCs w:val="24"/>
          <w:lang w:eastAsia="fr-FR"/>
        </w:rPr>
      </w:pPr>
      <w:r w:rsidRPr="002462E6">
        <w:rPr>
          <w:rFonts w:ascii="Tahoma" w:eastAsia="Times New Roman" w:hAnsi="Tahoma" w:cs="Tahoma"/>
          <w:sz w:val="24"/>
          <w:szCs w:val="24"/>
          <w:lang w:eastAsia="fr-FR"/>
        </w:rPr>
        <w:t>L'analyse met en évidence une dialectique complexe entre institutions coutumières (AGDAL, JEMAA) et institutions modernes d'administration forestière. Elle révèle un hiatus institutionnel résultant de la persistance d'approches technocratiques héritées de l'administration coloniale, compromettant ainsi l'efficacité des politiques de conservation.</w:t>
      </w:r>
    </w:p>
    <w:p w:rsidR="005F14FB" w:rsidRPr="002462E6" w:rsidRDefault="005F14FB" w:rsidP="005F14FB">
      <w:pPr>
        <w:spacing w:before="100" w:beforeAutospacing="1" w:after="100" w:afterAutospacing="1" w:line="276" w:lineRule="auto"/>
        <w:jc w:val="both"/>
        <w:outlineLvl w:val="0"/>
        <w:rPr>
          <w:rFonts w:ascii="Tahoma" w:eastAsia="Times New Roman" w:hAnsi="Tahoma" w:cs="Tahoma"/>
          <w:sz w:val="24"/>
          <w:szCs w:val="24"/>
          <w:lang w:eastAsia="fr-FR"/>
        </w:rPr>
      </w:pPr>
      <w:r w:rsidRPr="002462E6">
        <w:rPr>
          <w:rFonts w:ascii="Tahoma" w:eastAsia="Times New Roman" w:hAnsi="Tahoma" w:cs="Tahoma"/>
          <w:sz w:val="24"/>
          <w:szCs w:val="24"/>
          <w:lang w:eastAsia="fr-FR"/>
        </w:rPr>
        <w:t>Les résultats de l’enquête convergent vers la nécessité d'une refondation paradigmatique impliquant l'abandon des logiques sectorielles au profit d'une approche écosystémique intégrée, la reconnaissance juridique des mécanismes coutumiers, l'institutionnalisation de la gestion participative et la territorialisation des politiques publiques.</w:t>
      </w:r>
    </w:p>
    <w:p w:rsidR="005F14FB" w:rsidRPr="002462E6" w:rsidRDefault="005F14FB" w:rsidP="005F14FB">
      <w:pPr>
        <w:spacing w:before="100" w:beforeAutospacing="1" w:after="100" w:afterAutospacing="1" w:line="276" w:lineRule="auto"/>
        <w:jc w:val="both"/>
        <w:outlineLvl w:val="0"/>
        <w:rPr>
          <w:rFonts w:ascii="Tahoma" w:eastAsia="Times New Roman" w:hAnsi="Tahoma" w:cs="Tahoma"/>
          <w:sz w:val="24"/>
          <w:szCs w:val="24"/>
          <w:lang w:eastAsia="fr-FR"/>
        </w:rPr>
      </w:pPr>
      <w:r w:rsidRPr="002462E6">
        <w:rPr>
          <w:rFonts w:ascii="Tahoma" w:eastAsia="Times New Roman" w:hAnsi="Tahoma" w:cs="Tahoma"/>
          <w:sz w:val="24"/>
          <w:szCs w:val="24"/>
          <w:lang w:eastAsia="fr-FR"/>
        </w:rPr>
        <w:t>La transition vers une approche écosystémique démocratisée dépassant le modèle techniciste colonial pour une gestion forestière participative et équitable constitue l'horizon stratégique de cette recherche, qui</w:t>
      </w:r>
      <w:r w:rsidR="006B01D5">
        <w:rPr>
          <w:rFonts w:ascii="Tahoma" w:eastAsia="Times New Roman" w:hAnsi="Tahoma" w:cs="Tahoma"/>
          <w:sz w:val="24"/>
          <w:szCs w:val="24"/>
          <w:lang w:eastAsia="fr-FR"/>
        </w:rPr>
        <w:t xml:space="preserve"> tente de</w:t>
      </w:r>
      <w:r w:rsidRPr="002462E6">
        <w:rPr>
          <w:rFonts w:ascii="Tahoma" w:eastAsia="Times New Roman" w:hAnsi="Tahoma" w:cs="Tahoma"/>
          <w:sz w:val="24"/>
          <w:szCs w:val="24"/>
          <w:lang w:eastAsia="fr-FR"/>
        </w:rPr>
        <w:t xml:space="preserve"> contribue</w:t>
      </w:r>
      <w:r w:rsidR="006B01D5">
        <w:rPr>
          <w:rFonts w:ascii="Tahoma" w:eastAsia="Times New Roman" w:hAnsi="Tahoma" w:cs="Tahoma"/>
          <w:sz w:val="24"/>
          <w:szCs w:val="24"/>
          <w:lang w:eastAsia="fr-FR"/>
        </w:rPr>
        <w:t>r</w:t>
      </w:r>
      <w:r w:rsidRPr="002462E6">
        <w:rPr>
          <w:rFonts w:ascii="Tahoma" w:eastAsia="Times New Roman" w:hAnsi="Tahoma" w:cs="Tahoma"/>
          <w:sz w:val="24"/>
          <w:szCs w:val="24"/>
          <w:lang w:eastAsia="fr-FR"/>
        </w:rPr>
        <w:t xml:space="preserve"> au renouvellement épistémologique des sciences sociales de l'environnement et révèle l'urgence d'une transition écologique juste.</w:t>
      </w:r>
    </w:p>
    <w:p w:rsidR="005F14FB" w:rsidRPr="002462E6" w:rsidRDefault="005F14FB" w:rsidP="005F14FB">
      <w:pPr>
        <w:spacing w:before="100" w:beforeAutospacing="1" w:after="100" w:afterAutospacing="1" w:line="276" w:lineRule="auto"/>
        <w:jc w:val="both"/>
        <w:outlineLvl w:val="0"/>
        <w:rPr>
          <w:rFonts w:ascii="Tahoma" w:eastAsia="Times New Roman" w:hAnsi="Tahoma" w:cs="Tahoma"/>
          <w:sz w:val="24"/>
          <w:szCs w:val="24"/>
          <w:lang w:eastAsia="fr-FR"/>
        </w:rPr>
      </w:pPr>
      <w:r w:rsidRPr="002462E6">
        <w:rPr>
          <w:rFonts w:ascii="Tahoma" w:eastAsia="Times New Roman" w:hAnsi="Tahoma" w:cs="Tahoma"/>
          <w:sz w:val="24"/>
          <w:szCs w:val="24"/>
          <w:lang w:eastAsia="fr-FR"/>
        </w:rPr>
        <w:t>Mots clés : Forêt, dégradation, analyse systémique, facteurs accélérateurs, risque accélératif migratoire, Maroc, Korifla.</w:t>
      </w:r>
    </w:p>
    <w:p w:rsidR="00F74F4A" w:rsidRPr="002462E6" w:rsidRDefault="00F74F4A" w:rsidP="00F74F4A">
      <w:pPr>
        <w:rPr>
          <w:rFonts w:ascii="Tahoma" w:eastAsia="Times New Roman" w:hAnsi="Tahoma" w:cs="Tahoma"/>
          <w:iCs/>
          <w:noProof/>
          <w:color w:val="000000" w:themeColor="text1"/>
          <w:sz w:val="24"/>
          <w:szCs w:val="24"/>
          <w:lang w:eastAsia="fr-FR"/>
        </w:rPr>
      </w:pPr>
      <w:r w:rsidRPr="002462E6">
        <w:rPr>
          <w:rFonts w:eastAsia="Times New Roman" w:cs="Tahoma"/>
          <w:b/>
          <w:bCs/>
          <w:sz w:val="24"/>
          <w:szCs w:val="24"/>
        </w:rPr>
        <w:br w:type="page"/>
      </w:r>
    </w:p>
    <w:p w:rsidR="00E643FE" w:rsidRPr="002462E6" w:rsidRDefault="00E643FE" w:rsidP="002F1A32">
      <w:pPr>
        <w:pStyle w:val="Titre"/>
      </w:pPr>
      <w:bookmarkStart w:id="16" w:name="_Toc203643000"/>
      <w:r w:rsidRPr="002462E6">
        <w:lastRenderedPageBreak/>
        <w:t>ABSTRACT</w:t>
      </w:r>
      <w:bookmarkEnd w:id="12"/>
      <w:bookmarkEnd w:id="13"/>
      <w:bookmarkEnd w:id="14"/>
      <w:bookmarkEnd w:id="15"/>
      <w:bookmarkEnd w:id="16"/>
      <w:r w:rsidRPr="002462E6">
        <w:t> </w:t>
      </w:r>
    </w:p>
    <w:p w:rsidR="00F74F4A" w:rsidRPr="002462E6" w:rsidRDefault="00F74F4A" w:rsidP="00F74F4A">
      <w:pPr>
        <w:spacing w:after="200" w:line="360" w:lineRule="auto"/>
        <w:jc w:val="both"/>
        <w:rPr>
          <w:rFonts w:ascii="Tahoma" w:eastAsia="Times New Roman" w:hAnsi="Tahoma" w:cs="Tahoma"/>
          <w:sz w:val="24"/>
          <w:szCs w:val="24"/>
          <w:lang w:eastAsia="fr-FR"/>
        </w:rPr>
      </w:pPr>
      <w:r w:rsidRPr="002462E6">
        <w:rPr>
          <w:rFonts w:ascii="Tahoma" w:eastAsia="Times New Roman" w:hAnsi="Tahoma" w:cs="Tahoma"/>
          <w:sz w:val="24"/>
          <w:szCs w:val="24"/>
          <w:lang w:eastAsia="fr-FR"/>
        </w:rPr>
        <w:t>This doctoral thesis examines the links between forest degradation and rural migration in Morocco, within a context marked by the acceleration of climate change through the case study of the Korifla forest. The research investigates how forest ecosystem degradation processes constitute determining factors in the acceleration of rural population migrations, thereby questioning traditional forest management models and their socio-territorial implications.</w:t>
      </w:r>
    </w:p>
    <w:p w:rsidR="00F74F4A" w:rsidRPr="002462E6" w:rsidRDefault="00F74F4A" w:rsidP="00F74F4A">
      <w:pPr>
        <w:spacing w:after="200" w:line="360" w:lineRule="auto"/>
        <w:jc w:val="both"/>
        <w:rPr>
          <w:rFonts w:ascii="Tahoma" w:eastAsia="Times New Roman" w:hAnsi="Tahoma" w:cs="Tahoma"/>
          <w:sz w:val="24"/>
          <w:szCs w:val="24"/>
          <w:lang w:eastAsia="fr-FR"/>
        </w:rPr>
      </w:pPr>
      <w:r w:rsidRPr="002462E6">
        <w:rPr>
          <w:rFonts w:ascii="Tahoma" w:eastAsia="Times New Roman" w:hAnsi="Tahoma" w:cs="Tahoma"/>
          <w:sz w:val="24"/>
          <w:szCs w:val="24"/>
          <w:lang w:eastAsia="fr-FR"/>
        </w:rPr>
        <w:t>The thesis develops the concept of "migratory accelerative risk" which reveals how environmental degradation, institutional failures, and socio-economic precarity articulate according to a positive feedback logic. This conceptualization transcends linear approaches to demonstrate that migration constitutes an adaptation strategy revealing the systemic accumulation of territorial vulnerabilities.</w:t>
      </w:r>
    </w:p>
    <w:p w:rsidR="00F74F4A" w:rsidRPr="002462E6" w:rsidRDefault="00F74F4A" w:rsidP="00F74F4A">
      <w:pPr>
        <w:spacing w:after="200" w:line="360" w:lineRule="auto"/>
        <w:jc w:val="both"/>
        <w:rPr>
          <w:rFonts w:ascii="Tahoma" w:eastAsia="Times New Roman" w:hAnsi="Tahoma" w:cs="Tahoma"/>
          <w:sz w:val="24"/>
          <w:szCs w:val="24"/>
          <w:lang w:eastAsia="fr-FR"/>
        </w:rPr>
      </w:pPr>
      <w:r w:rsidRPr="002462E6">
        <w:rPr>
          <w:rFonts w:ascii="Tahoma" w:eastAsia="Times New Roman" w:hAnsi="Tahoma" w:cs="Tahoma"/>
          <w:sz w:val="24"/>
          <w:szCs w:val="24"/>
          <w:lang w:eastAsia="fr-FR"/>
        </w:rPr>
        <w:t>The investigation highlights a complex dialectic between customary institutions (AGDAL, JEMAA) and modern forest administration institutions. It reveals an institutional hiatus resulting from the persistence of technocratic approaches inherited from colonial administration, compromising the effectiveness of conservation policies.</w:t>
      </w:r>
    </w:p>
    <w:p w:rsidR="00F74F4A" w:rsidRPr="002462E6" w:rsidRDefault="00F74F4A" w:rsidP="00F74F4A">
      <w:pPr>
        <w:spacing w:after="200" w:line="360" w:lineRule="auto"/>
        <w:jc w:val="both"/>
        <w:rPr>
          <w:rFonts w:ascii="Tahoma" w:eastAsia="Times New Roman" w:hAnsi="Tahoma" w:cs="Tahoma"/>
          <w:sz w:val="24"/>
          <w:szCs w:val="24"/>
          <w:lang w:eastAsia="fr-FR"/>
        </w:rPr>
      </w:pPr>
      <w:r w:rsidRPr="002462E6">
        <w:rPr>
          <w:rFonts w:ascii="Tahoma" w:eastAsia="Times New Roman" w:hAnsi="Tahoma" w:cs="Tahoma"/>
          <w:sz w:val="24"/>
          <w:szCs w:val="24"/>
          <w:lang w:eastAsia="fr-FR"/>
        </w:rPr>
        <w:t>The survey results converge toward the necessity of a paradigmatic refoundation involving the abandonment of sectoral logics in favor of an integrated ecosystem approach, the legal recognition of customary mechanisms, the institutionalization of participatory management, and the territorialization of public policies.</w:t>
      </w:r>
    </w:p>
    <w:p w:rsidR="00F74F4A" w:rsidRPr="002462E6" w:rsidRDefault="00F74F4A" w:rsidP="00F74F4A">
      <w:pPr>
        <w:spacing w:after="200" w:line="360" w:lineRule="auto"/>
        <w:jc w:val="both"/>
        <w:rPr>
          <w:rFonts w:ascii="Tahoma" w:eastAsia="Times New Roman" w:hAnsi="Tahoma" w:cs="Tahoma"/>
          <w:sz w:val="24"/>
          <w:szCs w:val="24"/>
          <w:lang w:eastAsia="fr-FR"/>
        </w:rPr>
      </w:pPr>
      <w:r w:rsidRPr="002462E6">
        <w:rPr>
          <w:rFonts w:ascii="Tahoma" w:eastAsia="Times New Roman" w:hAnsi="Tahoma" w:cs="Tahoma"/>
          <w:sz w:val="24"/>
          <w:szCs w:val="24"/>
          <w:lang w:eastAsia="fr-FR"/>
        </w:rPr>
        <w:t>The transition toward a democratized ecosystem approach transcending the colonial technicist model for participatory and equitable forest management constitutes the strategic horizon of this investigation, which contributes to the epistemological renewal of environmental social sciences and reveals the urgency of a just ecological transition.</w:t>
      </w:r>
    </w:p>
    <w:p w:rsidR="00F74F4A" w:rsidRPr="002462E6" w:rsidRDefault="00F74F4A" w:rsidP="00F74F4A">
      <w:pPr>
        <w:spacing w:after="200" w:line="360" w:lineRule="auto"/>
        <w:jc w:val="both"/>
        <w:rPr>
          <w:rFonts w:ascii="Tahoma" w:eastAsia="Times New Roman" w:hAnsi="Tahoma" w:cs="Tahoma"/>
          <w:sz w:val="24"/>
          <w:szCs w:val="24"/>
          <w:lang w:eastAsia="fr-FR"/>
        </w:rPr>
      </w:pPr>
      <w:r w:rsidRPr="002462E6">
        <w:rPr>
          <w:rFonts w:ascii="Tahoma" w:eastAsia="Times New Roman" w:hAnsi="Tahoma" w:cs="Tahoma"/>
          <w:sz w:val="24"/>
          <w:szCs w:val="24"/>
          <w:lang w:eastAsia="fr-FR"/>
        </w:rPr>
        <w:t>Keywords: forest, degradation, systemic analysis, accelerating factors, migratory accelerative risk, Morocco, Korifla.</w:t>
      </w:r>
    </w:p>
    <w:p w:rsidR="00E643FE" w:rsidRPr="002462E6" w:rsidRDefault="00F74F4A" w:rsidP="00F74F4A">
      <w:pPr>
        <w:rPr>
          <w:rFonts w:ascii="Calibri" w:eastAsia="Calibri" w:hAnsi="Calibri" w:cs="Arial"/>
        </w:rPr>
      </w:pPr>
      <w:r w:rsidRPr="002462E6">
        <w:rPr>
          <w:rFonts w:ascii="Calibri" w:eastAsia="Calibri" w:hAnsi="Calibri" w:cs="Arial"/>
        </w:rPr>
        <w:br w:type="page"/>
      </w:r>
    </w:p>
    <w:p w:rsidR="00E643FE" w:rsidRPr="002462E6" w:rsidRDefault="00E643FE" w:rsidP="002F1A32">
      <w:pPr>
        <w:pStyle w:val="Titre"/>
      </w:pPr>
      <w:bookmarkStart w:id="17" w:name="_Toc190769574"/>
      <w:bookmarkStart w:id="18" w:name="_Toc190774608"/>
      <w:bookmarkStart w:id="19" w:name="_Toc201570882"/>
      <w:bookmarkStart w:id="20" w:name="_Toc201655446"/>
      <w:bookmarkStart w:id="21" w:name="_Toc203643001"/>
      <w:r w:rsidRPr="002462E6">
        <w:rPr>
          <w:rtl/>
        </w:rPr>
        <w:lastRenderedPageBreak/>
        <w:t>ملخــــــــص</w:t>
      </w:r>
      <w:bookmarkEnd w:id="17"/>
      <w:bookmarkEnd w:id="18"/>
      <w:bookmarkEnd w:id="19"/>
      <w:bookmarkEnd w:id="20"/>
      <w:bookmarkEnd w:id="21"/>
    </w:p>
    <w:p w:rsidR="00F74F4A" w:rsidRPr="002462E6" w:rsidRDefault="00F74F4A" w:rsidP="00F74F4A">
      <w:pPr>
        <w:bidi/>
        <w:spacing w:line="480" w:lineRule="auto"/>
        <w:jc w:val="both"/>
        <w:rPr>
          <w:rFonts w:ascii="Tahoma" w:eastAsia="Times New Roman" w:hAnsi="Tahoma" w:cs="Tahoma"/>
          <w:sz w:val="24"/>
          <w:szCs w:val="24"/>
          <w:rtl/>
          <w:lang w:eastAsia="fr-FR"/>
        </w:rPr>
      </w:pPr>
      <w:r w:rsidRPr="002462E6">
        <w:rPr>
          <w:rFonts w:ascii="Tahoma" w:eastAsia="Times New Roman" w:hAnsi="Tahoma" w:cs="Tahoma"/>
          <w:sz w:val="24"/>
          <w:szCs w:val="24"/>
          <w:rtl/>
          <w:lang w:eastAsia="fr-FR"/>
        </w:rPr>
        <w:t>تبحث هذه الأطروحة في الروابط بين تدهور الغابات والهجرة القروية في المغرب، في سياق يتميز بتسارع التغير المناخي من خلال دراسة حالة غابة كوريفلا. يستجوب البحث الطريقة التي تشكل بها عمليات تدهور النظم البيئية الغابوية عوامل محددة في تسريع هجرة السكان القرويين، مما يطرح تساؤلات حول النماذج التقليدية لإدارة الغابات وآثارها الاجتماعية والإقليمية</w:t>
      </w:r>
      <w:r w:rsidRPr="002462E6">
        <w:rPr>
          <w:rFonts w:ascii="Tahoma" w:eastAsia="Times New Roman" w:hAnsi="Tahoma" w:cs="Tahoma"/>
          <w:sz w:val="24"/>
          <w:szCs w:val="24"/>
          <w:lang w:eastAsia="fr-FR"/>
        </w:rPr>
        <w:t>.</w:t>
      </w:r>
    </w:p>
    <w:p w:rsidR="00F74F4A" w:rsidRPr="002462E6" w:rsidRDefault="00F74F4A" w:rsidP="00F74F4A">
      <w:pPr>
        <w:bidi/>
        <w:spacing w:line="480" w:lineRule="auto"/>
        <w:jc w:val="both"/>
        <w:rPr>
          <w:rFonts w:ascii="Tahoma" w:eastAsia="Times New Roman" w:hAnsi="Tahoma" w:cs="Tahoma"/>
          <w:sz w:val="24"/>
          <w:szCs w:val="24"/>
          <w:rtl/>
          <w:lang w:eastAsia="fr-FR"/>
        </w:rPr>
      </w:pPr>
      <w:r w:rsidRPr="002462E6">
        <w:rPr>
          <w:rFonts w:ascii="Tahoma" w:eastAsia="Times New Roman" w:hAnsi="Tahoma" w:cs="Tahoma"/>
          <w:sz w:val="24"/>
          <w:szCs w:val="24"/>
          <w:rtl/>
          <w:lang w:eastAsia="fr-FR"/>
        </w:rPr>
        <w:t>تطور الأطروحة مفهوم "الخطر التسريعي للهجرة" الذي يكشف كيف يترابط التدهور البيئي والإخفاقات المؤسسية والهشاشة الاجتماعية والاقتصادية وفقاً لمنطق التغذية الراجعة الإيجابية. هذا التصور يتجاوز المناهج الخطية ليبرهن أن الهجرة تشكل استراتيجية تكيف كاشفة لتراكم مواطن الضعف الإقليمية بشكل منظومي</w:t>
      </w:r>
      <w:r w:rsidRPr="002462E6">
        <w:rPr>
          <w:rFonts w:ascii="Tahoma" w:eastAsia="Times New Roman" w:hAnsi="Tahoma" w:cs="Tahoma"/>
          <w:sz w:val="24"/>
          <w:szCs w:val="24"/>
          <w:lang w:eastAsia="fr-FR"/>
        </w:rPr>
        <w:t>.</w:t>
      </w:r>
    </w:p>
    <w:p w:rsidR="00F74F4A" w:rsidRPr="002462E6" w:rsidRDefault="00F74F4A" w:rsidP="00F74F4A">
      <w:pPr>
        <w:bidi/>
        <w:spacing w:line="480" w:lineRule="auto"/>
        <w:jc w:val="both"/>
        <w:rPr>
          <w:rFonts w:ascii="Tahoma" w:eastAsia="Times New Roman" w:hAnsi="Tahoma" w:cs="Tahoma"/>
          <w:sz w:val="24"/>
          <w:szCs w:val="24"/>
          <w:rtl/>
          <w:lang w:eastAsia="fr-FR"/>
        </w:rPr>
      </w:pPr>
      <w:r w:rsidRPr="002462E6">
        <w:rPr>
          <w:rFonts w:ascii="Tahoma" w:eastAsia="Times New Roman" w:hAnsi="Tahoma" w:cs="Tahoma"/>
          <w:sz w:val="24"/>
          <w:szCs w:val="24"/>
          <w:rtl/>
          <w:lang w:eastAsia="fr-FR"/>
        </w:rPr>
        <w:t>يسلط التحليل الضوء على جدلية معقدة بين المؤسسات العرفية (أكدال، الجماعة) والمؤسسات الحديثة للإدارة الغابوية. ليكشف عن فجوة مؤسسية ناتجة عن استمرار المناهج التكنوقراطية الموروثة من الإدارة الاستعمارية، مما يقوض فعالية سياسات الحفظ</w:t>
      </w:r>
      <w:r w:rsidRPr="002462E6">
        <w:rPr>
          <w:rFonts w:ascii="Tahoma" w:eastAsia="Times New Roman" w:hAnsi="Tahoma" w:cs="Tahoma"/>
          <w:sz w:val="24"/>
          <w:szCs w:val="24"/>
          <w:lang w:eastAsia="fr-FR"/>
        </w:rPr>
        <w:t>.</w:t>
      </w:r>
    </w:p>
    <w:p w:rsidR="00F74F4A" w:rsidRPr="002462E6" w:rsidRDefault="00F74F4A" w:rsidP="00F74F4A">
      <w:pPr>
        <w:bidi/>
        <w:spacing w:line="480" w:lineRule="auto"/>
        <w:jc w:val="both"/>
        <w:rPr>
          <w:rFonts w:ascii="Tahoma" w:eastAsia="Times New Roman" w:hAnsi="Tahoma" w:cs="Tahoma"/>
          <w:sz w:val="24"/>
          <w:szCs w:val="24"/>
          <w:rtl/>
          <w:lang w:eastAsia="fr-FR"/>
        </w:rPr>
      </w:pPr>
      <w:r w:rsidRPr="002462E6">
        <w:rPr>
          <w:rFonts w:ascii="Tahoma" w:eastAsia="Times New Roman" w:hAnsi="Tahoma" w:cs="Tahoma"/>
          <w:sz w:val="24"/>
          <w:szCs w:val="24"/>
          <w:rtl/>
          <w:lang w:eastAsia="fr-FR"/>
        </w:rPr>
        <w:t>تتقارب نتائج المسح نحو ضرورة إعادة تأسيس نموذجي يتضمن التخلي عن المنطق القطاعي لصالح نهج نظامي بيئي متكامل، والاعتراف القانوني بالآليات العرفية، وإضفاء الطابع المؤسسي على الإدارة التشاركية، وإقليمية السياسات العامة</w:t>
      </w:r>
      <w:r w:rsidRPr="002462E6">
        <w:rPr>
          <w:rFonts w:ascii="Tahoma" w:eastAsia="Times New Roman" w:hAnsi="Tahoma" w:cs="Tahoma"/>
          <w:sz w:val="24"/>
          <w:szCs w:val="24"/>
          <w:lang w:eastAsia="fr-FR"/>
        </w:rPr>
        <w:t>.</w:t>
      </w:r>
    </w:p>
    <w:p w:rsidR="00F74F4A" w:rsidRPr="002462E6" w:rsidRDefault="00F74F4A" w:rsidP="00F74F4A">
      <w:pPr>
        <w:bidi/>
        <w:spacing w:line="480" w:lineRule="auto"/>
        <w:jc w:val="both"/>
        <w:rPr>
          <w:rFonts w:ascii="Tahoma" w:eastAsia="Times New Roman" w:hAnsi="Tahoma" w:cs="Tahoma"/>
          <w:sz w:val="24"/>
          <w:szCs w:val="24"/>
          <w:rtl/>
          <w:lang w:eastAsia="fr-FR"/>
        </w:rPr>
      </w:pPr>
      <w:r w:rsidRPr="002462E6">
        <w:rPr>
          <w:rFonts w:ascii="Tahoma" w:eastAsia="Times New Roman" w:hAnsi="Tahoma" w:cs="Tahoma"/>
          <w:sz w:val="24"/>
          <w:szCs w:val="24"/>
          <w:rtl/>
          <w:lang w:eastAsia="fr-FR"/>
        </w:rPr>
        <w:t>إن الانتقال نحو نهج نظامي بيئي ديمقراطي يتجاوز النموذج التقني الاستعماري نحو إدارة غابوية تشاركية وعادلة يشكل الأفق الاستراتيجي لهذا التحقيق، الذي يساهم في التجديد المعرفي للعلوم الاجتماعية البيئية ويكشف عن إلحاح الانتقال البيئي العادل</w:t>
      </w:r>
      <w:r w:rsidRPr="002462E6">
        <w:rPr>
          <w:rFonts w:ascii="Tahoma" w:eastAsia="Times New Roman" w:hAnsi="Tahoma" w:cs="Tahoma"/>
          <w:sz w:val="24"/>
          <w:szCs w:val="24"/>
          <w:lang w:eastAsia="fr-FR"/>
        </w:rPr>
        <w:t>.</w:t>
      </w:r>
    </w:p>
    <w:p w:rsidR="00F74F4A" w:rsidRPr="002462E6" w:rsidRDefault="00F74F4A" w:rsidP="00F74F4A">
      <w:pPr>
        <w:bidi/>
        <w:spacing w:line="480" w:lineRule="auto"/>
        <w:jc w:val="both"/>
        <w:rPr>
          <w:rFonts w:ascii="Tahoma" w:eastAsia="Times New Roman" w:hAnsi="Tahoma" w:cs="Tahoma"/>
          <w:sz w:val="24"/>
          <w:szCs w:val="24"/>
          <w:rtl/>
          <w:lang w:eastAsia="fr-FR"/>
        </w:rPr>
      </w:pPr>
    </w:p>
    <w:p w:rsidR="00F74F4A" w:rsidRPr="002462E6" w:rsidRDefault="00F74F4A" w:rsidP="00F74F4A">
      <w:pPr>
        <w:bidi/>
        <w:spacing w:line="480" w:lineRule="auto"/>
        <w:jc w:val="both"/>
        <w:rPr>
          <w:rFonts w:ascii="Tahoma" w:eastAsia="Times New Roman" w:hAnsi="Tahoma" w:cs="Tahoma"/>
          <w:sz w:val="24"/>
          <w:szCs w:val="24"/>
          <w:rtl/>
          <w:lang w:eastAsia="fr-FR"/>
        </w:rPr>
      </w:pPr>
      <w:r w:rsidRPr="002462E6">
        <w:rPr>
          <w:rFonts w:ascii="Tahoma" w:eastAsia="Times New Roman" w:hAnsi="Tahoma" w:cs="Tahoma"/>
          <w:sz w:val="24"/>
          <w:szCs w:val="24"/>
          <w:rtl/>
          <w:lang w:eastAsia="fr-FR"/>
        </w:rPr>
        <w:t>الكلمات المفتاحية: غابة، تدهور، تحليل منظومي، عوامل مسرعة، خطر تسريعي للهجرة، المغرب، كوريفلا.</w:t>
      </w:r>
    </w:p>
    <w:p w:rsidR="00B17912" w:rsidRPr="002462E6" w:rsidRDefault="00B17912" w:rsidP="002F1A32">
      <w:pPr>
        <w:pStyle w:val="Titre"/>
        <w:bidi w:val="0"/>
      </w:pPr>
      <w:bookmarkStart w:id="22" w:name="_Toc190769575"/>
      <w:bookmarkStart w:id="23" w:name="_Toc190774609"/>
      <w:bookmarkStart w:id="24" w:name="_Toc201570883"/>
      <w:bookmarkStart w:id="25" w:name="_Toc201655447"/>
      <w:bookmarkStart w:id="26" w:name="_Toc203643002"/>
      <w:bookmarkStart w:id="27" w:name="_Toc182027236"/>
      <w:bookmarkStart w:id="28" w:name="_Toc190769576"/>
      <w:bookmarkStart w:id="29" w:name="_Toc190774610"/>
      <w:bookmarkStart w:id="30" w:name="_Toc201570884"/>
      <w:r w:rsidRPr="002462E6">
        <w:lastRenderedPageBreak/>
        <w:t>SOMMAIRE</w:t>
      </w:r>
      <w:bookmarkEnd w:id="22"/>
      <w:bookmarkEnd w:id="23"/>
      <w:bookmarkEnd w:id="24"/>
      <w:bookmarkEnd w:id="25"/>
      <w:bookmarkEnd w:id="26"/>
    </w:p>
    <w:p w:rsidR="00B17912" w:rsidRPr="002462E6" w:rsidRDefault="00B17912" w:rsidP="00B17912">
      <w:pPr>
        <w:pStyle w:val="TM1"/>
        <w:rPr>
          <w:szCs w:val="24"/>
        </w:rPr>
      </w:pPr>
      <w:r w:rsidRPr="002462E6">
        <w:rPr>
          <w:szCs w:val="24"/>
        </w:rPr>
        <w:t>Introduction</w:t>
      </w:r>
    </w:p>
    <w:p w:rsidR="00B17912" w:rsidRPr="002462E6" w:rsidRDefault="00B17912" w:rsidP="00B17912">
      <w:pPr>
        <w:pStyle w:val="TM1"/>
        <w:rPr>
          <w:szCs w:val="24"/>
        </w:rPr>
      </w:pPr>
    </w:p>
    <w:p w:rsidR="00B17912" w:rsidRPr="002462E6" w:rsidRDefault="00B17912" w:rsidP="00B17912">
      <w:pPr>
        <w:pStyle w:val="TM1"/>
        <w:rPr>
          <w:szCs w:val="24"/>
        </w:rPr>
      </w:pPr>
      <w:r w:rsidRPr="002462E6">
        <w:rPr>
          <w:szCs w:val="24"/>
        </w:rPr>
        <w:t>Première partie : Trajectoire de la gestion des forêts au Maroc : dynamiques historiques et défis contemporains</w:t>
      </w:r>
    </w:p>
    <w:p w:rsidR="00B17912" w:rsidRPr="002462E6" w:rsidRDefault="00B17912" w:rsidP="00B17912">
      <w:pPr>
        <w:pStyle w:val="TM1"/>
        <w:rPr>
          <w:szCs w:val="24"/>
        </w:rPr>
      </w:pPr>
      <w:r w:rsidRPr="002462E6">
        <w:rPr>
          <w:szCs w:val="24"/>
        </w:rPr>
        <w:t xml:space="preserve">Chapitre I : </w:t>
      </w:r>
      <w:r w:rsidRPr="002462E6">
        <w:rPr>
          <w:b w:val="0"/>
          <w:bCs w:val="0"/>
          <w:szCs w:val="24"/>
        </w:rPr>
        <w:t>DE La gestion ancestrale à la gestion durable : tensions et convergence</w:t>
      </w:r>
    </w:p>
    <w:p w:rsidR="00B17912" w:rsidRPr="002462E6" w:rsidRDefault="00B17912" w:rsidP="00B17912">
      <w:pPr>
        <w:pStyle w:val="TM2"/>
        <w:tabs>
          <w:tab w:val="right" w:leader="dot" w:pos="9346"/>
        </w:tabs>
        <w:spacing w:line="360" w:lineRule="auto"/>
        <w:jc w:val="both"/>
        <w:rPr>
          <w:rFonts w:ascii="Tahoma" w:hAnsi="Tahoma" w:cs="Tahoma"/>
          <w:iCs/>
          <w:sz w:val="24"/>
        </w:rPr>
      </w:pPr>
      <w:r w:rsidRPr="002462E6">
        <w:rPr>
          <w:rFonts w:ascii="Tahoma" w:hAnsi="Tahoma" w:cs="Tahoma"/>
          <w:b/>
          <w:bCs/>
          <w:iCs/>
          <w:sz w:val="24"/>
        </w:rPr>
        <w:t>Première Section</w:t>
      </w:r>
      <w:r w:rsidRPr="002462E6">
        <w:rPr>
          <w:rFonts w:ascii="Tahoma" w:hAnsi="Tahoma" w:cs="Tahoma"/>
          <w:iCs/>
          <w:sz w:val="24"/>
        </w:rPr>
        <w:t> : Gestion des forêts marocaines entre héritage coutumier et enjeux modernes</w:t>
      </w:r>
    </w:p>
    <w:p w:rsidR="00B17912" w:rsidRPr="002462E6" w:rsidRDefault="00B17912" w:rsidP="00B17912">
      <w:pPr>
        <w:pStyle w:val="TM3"/>
        <w:tabs>
          <w:tab w:val="left" w:pos="880"/>
          <w:tab w:val="right" w:leader="dot" w:pos="9346"/>
        </w:tabs>
        <w:spacing w:line="360" w:lineRule="auto"/>
        <w:jc w:val="both"/>
        <w:rPr>
          <w:rFonts w:ascii="Tahoma" w:hAnsi="Tahoma" w:cs="Tahoma"/>
          <w:i w:val="0"/>
          <w:sz w:val="24"/>
        </w:rPr>
      </w:pPr>
      <w:r w:rsidRPr="002462E6">
        <w:rPr>
          <w:rFonts w:ascii="Tahoma" w:hAnsi="Tahoma" w:cs="Tahoma"/>
          <w:i w:val="0"/>
          <w:sz w:val="24"/>
        </w:rPr>
        <w:t>A.</w:t>
      </w:r>
      <w:r w:rsidRPr="002462E6">
        <w:rPr>
          <w:rFonts w:ascii="Tahoma" w:hAnsi="Tahoma" w:cs="Tahoma"/>
          <w:i w:val="0"/>
          <w:sz w:val="24"/>
        </w:rPr>
        <w:tab/>
        <w:t>L’AGDAL : un patrimoine socio-écologique et de soutenabilité environnementale et communautaire</w:t>
      </w:r>
    </w:p>
    <w:p w:rsidR="00B17912" w:rsidRPr="002462E6" w:rsidRDefault="00B17912" w:rsidP="00B17912">
      <w:pPr>
        <w:pStyle w:val="TM3"/>
        <w:tabs>
          <w:tab w:val="left" w:pos="880"/>
          <w:tab w:val="right" w:leader="dot" w:pos="9346"/>
        </w:tabs>
        <w:spacing w:line="360" w:lineRule="auto"/>
        <w:jc w:val="both"/>
        <w:rPr>
          <w:rFonts w:ascii="Tahoma" w:hAnsi="Tahoma" w:cs="Tahoma"/>
          <w:i w:val="0"/>
          <w:sz w:val="24"/>
        </w:rPr>
      </w:pPr>
      <w:r w:rsidRPr="002462E6">
        <w:rPr>
          <w:rFonts w:ascii="Tahoma" w:hAnsi="Tahoma" w:cs="Tahoma"/>
          <w:i w:val="0"/>
          <w:sz w:val="24"/>
        </w:rPr>
        <w:t>B.</w:t>
      </w:r>
      <w:r w:rsidRPr="002462E6">
        <w:rPr>
          <w:rFonts w:ascii="Tahoma" w:hAnsi="Tahoma" w:cs="Tahoma"/>
          <w:i w:val="0"/>
          <w:sz w:val="24"/>
        </w:rPr>
        <w:tab/>
        <w:t>Nouveau cadre stratégique pour l'action publique forestière</w:t>
      </w:r>
    </w:p>
    <w:p w:rsidR="00B17912" w:rsidRPr="002462E6" w:rsidRDefault="00B17912" w:rsidP="00B17912">
      <w:pPr>
        <w:pStyle w:val="TM2"/>
        <w:tabs>
          <w:tab w:val="right" w:leader="dot" w:pos="9346"/>
        </w:tabs>
        <w:spacing w:line="360" w:lineRule="auto"/>
        <w:jc w:val="both"/>
        <w:rPr>
          <w:rFonts w:ascii="Tahoma" w:hAnsi="Tahoma" w:cs="Tahoma"/>
          <w:iCs/>
          <w:sz w:val="24"/>
        </w:rPr>
      </w:pPr>
      <w:r w:rsidRPr="002462E6">
        <w:rPr>
          <w:rFonts w:ascii="Tahoma" w:hAnsi="Tahoma" w:cs="Tahoma"/>
          <w:b/>
          <w:bCs/>
          <w:iCs/>
          <w:sz w:val="24"/>
        </w:rPr>
        <w:t>Deuxième section</w:t>
      </w:r>
      <w:r w:rsidRPr="002462E6">
        <w:rPr>
          <w:rFonts w:ascii="Tahoma" w:hAnsi="Tahoma" w:cs="Tahoma"/>
          <w:iCs/>
          <w:sz w:val="24"/>
        </w:rPr>
        <w:t xml:space="preserve"> : Evolution de l’administration forestière et formation des ingénieurs forestiers</w:t>
      </w:r>
    </w:p>
    <w:p w:rsidR="00B17912" w:rsidRPr="002462E6" w:rsidRDefault="00B17912" w:rsidP="00B17912">
      <w:pPr>
        <w:pStyle w:val="TM3"/>
        <w:tabs>
          <w:tab w:val="left" w:pos="880"/>
          <w:tab w:val="right" w:leader="dot" w:pos="9346"/>
        </w:tabs>
        <w:spacing w:line="360" w:lineRule="auto"/>
        <w:jc w:val="both"/>
        <w:rPr>
          <w:rFonts w:ascii="Tahoma" w:hAnsi="Tahoma" w:cs="Tahoma"/>
          <w:i w:val="0"/>
          <w:sz w:val="24"/>
        </w:rPr>
      </w:pPr>
      <w:r w:rsidRPr="002462E6">
        <w:rPr>
          <w:rFonts w:ascii="Tahoma" w:hAnsi="Tahoma" w:cs="Tahoma"/>
          <w:i w:val="0"/>
          <w:sz w:val="24"/>
        </w:rPr>
        <w:t>A.</w:t>
      </w:r>
      <w:r w:rsidRPr="002462E6">
        <w:rPr>
          <w:rFonts w:ascii="Tahoma" w:hAnsi="Tahoma" w:cs="Tahoma"/>
          <w:i w:val="0"/>
          <w:sz w:val="24"/>
        </w:rPr>
        <w:tab/>
        <w:t>Evolution historique institutionnelle de l’administration forestière</w:t>
      </w:r>
    </w:p>
    <w:p w:rsidR="00B17912" w:rsidRPr="002462E6" w:rsidRDefault="00B17912" w:rsidP="00B17912">
      <w:pPr>
        <w:pStyle w:val="TM3"/>
        <w:tabs>
          <w:tab w:val="left" w:pos="880"/>
          <w:tab w:val="right" w:leader="dot" w:pos="9346"/>
        </w:tabs>
        <w:spacing w:line="360" w:lineRule="auto"/>
        <w:jc w:val="both"/>
        <w:rPr>
          <w:rFonts w:ascii="Tahoma" w:hAnsi="Tahoma" w:cs="Tahoma"/>
          <w:i w:val="0"/>
          <w:sz w:val="24"/>
        </w:rPr>
      </w:pPr>
      <w:r w:rsidRPr="002462E6">
        <w:rPr>
          <w:rFonts w:ascii="Tahoma" w:hAnsi="Tahoma" w:cs="Tahoma"/>
          <w:i w:val="0"/>
          <w:sz w:val="24"/>
        </w:rPr>
        <w:t>B.</w:t>
      </w:r>
      <w:r w:rsidRPr="002462E6">
        <w:rPr>
          <w:rFonts w:ascii="Tahoma" w:hAnsi="Tahoma" w:cs="Tahoma"/>
          <w:i w:val="0"/>
          <w:sz w:val="24"/>
        </w:rPr>
        <w:tab/>
        <w:t>Evolution des ressources humaines et création de l’ENFI</w:t>
      </w:r>
    </w:p>
    <w:p w:rsidR="00B17912" w:rsidRPr="002462E6" w:rsidRDefault="00B17912" w:rsidP="00B17912">
      <w:pPr>
        <w:pStyle w:val="TM1"/>
        <w:rPr>
          <w:szCs w:val="24"/>
        </w:rPr>
      </w:pPr>
      <w:r w:rsidRPr="002462E6">
        <w:rPr>
          <w:szCs w:val="24"/>
        </w:rPr>
        <w:t xml:space="preserve">Chapitre 2 : </w:t>
      </w:r>
      <w:r w:rsidRPr="002462E6">
        <w:rPr>
          <w:b w:val="0"/>
          <w:bCs w:val="0"/>
          <w:szCs w:val="24"/>
        </w:rPr>
        <w:t>Écosystèmes forestiers marocains : Enjeux de protection juridique et dégradation anthropique</w:t>
      </w:r>
    </w:p>
    <w:p w:rsidR="00B17912" w:rsidRPr="002462E6" w:rsidRDefault="00B17912" w:rsidP="00B17912">
      <w:pPr>
        <w:pStyle w:val="TM2"/>
        <w:tabs>
          <w:tab w:val="right" w:leader="dot" w:pos="9346"/>
        </w:tabs>
        <w:spacing w:line="360" w:lineRule="auto"/>
        <w:jc w:val="both"/>
        <w:rPr>
          <w:rFonts w:ascii="Tahoma" w:hAnsi="Tahoma" w:cs="Tahoma"/>
          <w:iCs/>
          <w:sz w:val="24"/>
        </w:rPr>
      </w:pPr>
      <w:r w:rsidRPr="002462E6">
        <w:rPr>
          <w:rFonts w:ascii="Tahoma" w:hAnsi="Tahoma" w:cs="Tahoma"/>
          <w:b/>
          <w:bCs/>
          <w:iCs/>
          <w:sz w:val="24"/>
        </w:rPr>
        <w:t>Première section</w:t>
      </w:r>
      <w:r w:rsidRPr="002462E6">
        <w:rPr>
          <w:rFonts w:ascii="Tahoma" w:hAnsi="Tahoma" w:cs="Tahoma"/>
          <w:iCs/>
          <w:sz w:val="24"/>
        </w:rPr>
        <w:t xml:space="preserve"> : Diversité et richesse du patrimoine floral forestier marocain</w:t>
      </w:r>
    </w:p>
    <w:p w:rsidR="00B17912" w:rsidRPr="002462E6" w:rsidRDefault="00B17912" w:rsidP="00B17912">
      <w:pPr>
        <w:pStyle w:val="TM3"/>
        <w:tabs>
          <w:tab w:val="left" w:pos="880"/>
          <w:tab w:val="right" w:leader="dot" w:pos="9346"/>
        </w:tabs>
        <w:spacing w:line="360" w:lineRule="auto"/>
        <w:jc w:val="both"/>
        <w:rPr>
          <w:rFonts w:ascii="Tahoma" w:hAnsi="Tahoma" w:cs="Tahoma"/>
          <w:i w:val="0"/>
          <w:sz w:val="24"/>
        </w:rPr>
      </w:pPr>
      <w:r w:rsidRPr="002462E6">
        <w:rPr>
          <w:rFonts w:ascii="Tahoma" w:hAnsi="Tahoma" w:cs="Tahoma"/>
          <w:i w:val="0"/>
          <w:sz w:val="24"/>
        </w:rPr>
        <w:t>A.</w:t>
      </w:r>
      <w:r w:rsidRPr="002462E6">
        <w:rPr>
          <w:rFonts w:ascii="Tahoma" w:hAnsi="Tahoma" w:cs="Tahoma"/>
          <w:i w:val="0"/>
          <w:sz w:val="24"/>
        </w:rPr>
        <w:tab/>
        <w:t>Multifonctionnalité du patrimoine floristique forestier marocain : enjeux et perspectives</w:t>
      </w:r>
    </w:p>
    <w:p w:rsidR="00B17912" w:rsidRPr="002462E6" w:rsidRDefault="00B17912" w:rsidP="00B17912">
      <w:pPr>
        <w:pStyle w:val="TM3"/>
        <w:tabs>
          <w:tab w:val="left" w:pos="880"/>
          <w:tab w:val="right" w:leader="dot" w:pos="9346"/>
        </w:tabs>
        <w:spacing w:line="360" w:lineRule="auto"/>
        <w:jc w:val="both"/>
        <w:rPr>
          <w:rFonts w:ascii="Tahoma" w:hAnsi="Tahoma" w:cs="Tahoma"/>
          <w:i w:val="0"/>
          <w:sz w:val="24"/>
        </w:rPr>
      </w:pPr>
      <w:r w:rsidRPr="002462E6">
        <w:rPr>
          <w:rFonts w:ascii="Tahoma" w:hAnsi="Tahoma" w:cs="Tahoma"/>
          <w:i w:val="0"/>
          <w:sz w:val="24"/>
        </w:rPr>
        <w:t>B.</w:t>
      </w:r>
      <w:r w:rsidRPr="002462E6">
        <w:rPr>
          <w:rFonts w:ascii="Tahoma" w:hAnsi="Tahoma" w:cs="Tahoma"/>
          <w:i w:val="0"/>
          <w:sz w:val="24"/>
        </w:rPr>
        <w:tab/>
        <w:t>Analyse du cadre juridique de protection du domaine forestier marocain : forces et faiblesses</w:t>
      </w:r>
    </w:p>
    <w:p w:rsidR="00B17912" w:rsidRPr="002462E6" w:rsidRDefault="00B17912" w:rsidP="00B17912">
      <w:pPr>
        <w:pStyle w:val="TM2"/>
        <w:tabs>
          <w:tab w:val="right" w:leader="dot" w:pos="9346"/>
        </w:tabs>
        <w:spacing w:line="360" w:lineRule="auto"/>
        <w:jc w:val="both"/>
        <w:rPr>
          <w:rFonts w:ascii="Tahoma" w:hAnsi="Tahoma" w:cs="Tahoma"/>
          <w:iCs/>
          <w:sz w:val="24"/>
        </w:rPr>
      </w:pPr>
      <w:r w:rsidRPr="002462E6">
        <w:rPr>
          <w:rFonts w:ascii="Tahoma" w:hAnsi="Tahoma" w:cs="Tahoma"/>
          <w:b/>
          <w:bCs/>
          <w:iCs/>
          <w:sz w:val="24"/>
        </w:rPr>
        <w:t>Deuxième section</w:t>
      </w:r>
      <w:r w:rsidRPr="002462E6">
        <w:rPr>
          <w:rFonts w:ascii="Tahoma" w:hAnsi="Tahoma" w:cs="Tahoma"/>
          <w:iCs/>
          <w:sz w:val="24"/>
        </w:rPr>
        <w:t xml:space="preserve"> : Dynamique de la dégradation des forêts au Maroc et impacts sur la biodiversité</w:t>
      </w:r>
    </w:p>
    <w:p w:rsidR="00B17912" w:rsidRPr="002462E6" w:rsidRDefault="00B17912" w:rsidP="00B17912">
      <w:pPr>
        <w:pStyle w:val="TM3"/>
        <w:tabs>
          <w:tab w:val="left" w:pos="880"/>
          <w:tab w:val="right" w:leader="dot" w:pos="9346"/>
        </w:tabs>
        <w:spacing w:line="360" w:lineRule="auto"/>
        <w:jc w:val="both"/>
        <w:rPr>
          <w:rFonts w:ascii="Tahoma" w:hAnsi="Tahoma" w:cs="Tahoma"/>
          <w:i w:val="0"/>
          <w:webHidden/>
          <w:sz w:val="24"/>
        </w:rPr>
      </w:pPr>
      <w:r w:rsidRPr="002462E6">
        <w:rPr>
          <w:rFonts w:ascii="Tahoma" w:hAnsi="Tahoma" w:cs="Tahoma"/>
          <w:i w:val="0"/>
          <w:sz w:val="24"/>
        </w:rPr>
        <w:t>A.</w:t>
      </w:r>
      <w:r w:rsidRPr="002462E6">
        <w:rPr>
          <w:rFonts w:ascii="Tahoma" w:hAnsi="Tahoma" w:cs="Tahoma"/>
          <w:i w:val="0"/>
          <w:sz w:val="24"/>
        </w:rPr>
        <w:tab/>
        <w:t>Manifestations de la dégradation forestière : une analyse multifactorielle approfondie</w:t>
      </w:r>
    </w:p>
    <w:p w:rsidR="00B17912" w:rsidRPr="002462E6" w:rsidRDefault="00B17912" w:rsidP="00B17912">
      <w:pPr>
        <w:pStyle w:val="TM3"/>
        <w:tabs>
          <w:tab w:val="left" w:pos="880"/>
          <w:tab w:val="right" w:leader="dot" w:pos="9346"/>
        </w:tabs>
        <w:spacing w:line="360" w:lineRule="auto"/>
        <w:jc w:val="both"/>
        <w:rPr>
          <w:rFonts w:ascii="Tahoma" w:hAnsi="Tahoma" w:cs="Tahoma"/>
          <w:i w:val="0"/>
          <w:sz w:val="24"/>
        </w:rPr>
      </w:pPr>
      <w:r w:rsidRPr="002462E6">
        <w:rPr>
          <w:rFonts w:ascii="Tahoma" w:hAnsi="Tahoma" w:cs="Tahoma"/>
          <w:i w:val="0"/>
          <w:sz w:val="24"/>
        </w:rPr>
        <w:t>B.</w:t>
      </w:r>
      <w:r w:rsidRPr="002462E6">
        <w:rPr>
          <w:rFonts w:ascii="Tahoma" w:hAnsi="Tahoma" w:cs="Tahoma"/>
          <w:i w:val="0"/>
          <w:sz w:val="24"/>
        </w:rPr>
        <w:tab/>
        <w:t>Dynamiques de dégradation des écosystèmes forestiers de Korifla : enjeux environnementaux et socio-économiques</w:t>
      </w:r>
    </w:p>
    <w:p w:rsidR="00B17912" w:rsidRPr="002462E6" w:rsidRDefault="00B17912" w:rsidP="00B17912">
      <w:pPr>
        <w:pStyle w:val="TM1"/>
        <w:rPr>
          <w:szCs w:val="24"/>
        </w:rPr>
      </w:pPr>
    </w:p>
    <w:p w:rsidR="00B17912" w:rsidRPr="002462E6" w:rsidRDefault="00B17912" w:rsidP="00B17912">
      <w:pPr>
        <w:pStyle w:val="TM1"/>
        <w:rPr>
          <w:szCs w:val="24"/>
        </w:rPr>
      </w:pPr>
    </w:p>
    <w:p w:rsidR="002462E6" w:rsidRPr="002462E6" w:rsidRDefault="002462E6" w:rsidP="00B17912">
      <w:pPr>
        <w:pStyle w:val="TM1"/>
        <w:rPr>
          <w:szCs w:val="24"/>
        </w:rPr>
      </w:pPr>
    </w:p>
    <w:p w:rsidR="002462E6" w:rsidRPr="002462E6" w:rsidRDefault="002462E6" w:rsidP="00B17912">
      <w:pPr>
        <w:pStyle w:val="TM1"/>
        <w:rPr>
          <w:szCs w:val="24"/>
        </w:rPr>
      </w:pPr>
    </w:p>
    <w:p w:rsidR="00B17912" w:rsidRPr="002462E6" w:rsidRDefault="002462E6" w:rsidP="00B17912">
      <w:pPr>
        <w:pStyle w:val="TM1"/>
        <w:rPr>
          <w:szCs w:val="24"/>
        </w:rPr>
      </w:pPr>
      <w:r w:rsidRPr="002462E6">
        <w:rPr>
          <w:szCs w:val="24"/>
        </w:rPr>
        <w:tab/>
      </w:r>
      <w:r w:rsidR="00B17912" w:rsidRPr="002462E6">
        <w:rPr>
          <w:szCs w:val="24"/>
        </w:rPr>
        <w:t>Deuxième partie : Transformation structurelle du territoire marocain et risque accélératif migratoire de la population rurale</w:t>
      </w:r>
    </w:p>
    <w:p w:rsidR="00B17912" w:rsidRPr="002462E6" w:rsidRDefault="00B17912" w:rsidP="00B17912">
      <w:pPr>
        <w:pStyle w:val="TM1"/>
        <w:rPr>
          <w:szCs w:val="24"/>
        </w:rPr>
      </w:pPr>
      <w:r w:rsidRPr="002462E6">
        <w:rPr>
          <w:szCs w:val="24"/>
        </w:rPr>
        <w:t xml:space="preserve">Chapitre 1 : </w:t>
      </w:r>
      <w:r w:rsidRPr="002462E6">
        <w:rPr>
          <w:b w:val="0"/>
          <w:bCs w:val="0"/>
          <w:szCs w:val="24"/>
        </w:rPr>
        <w:t>Analyse de la configuration territoriale du Maroc rural</w:t>
      </w:r>
    </w:p>
    <w:p w:rsidR="00B17912" w:rsidRPr="002462E6" w:rsidRDefault="00B17912" w:rsidP="00B17912">
      <w:pPr>
        <w:pStyle w:val="TM2"/>
        <w:tabs>
          <w:tab w:val="right" w:leader="dot" w:pos="9346"/>
        </w:tabs>
        <w:spacing w:line="360" w:lineRule="auto"/>
        <w:jc w:val="both"/>
        <w:rPr>
          <w:rFonts w:ascii="Tahoma" w:hAnsi="Tahoma" w:cs="Tahoma"/>
          <w:iCs/>
          <w:sz w:val="24"/>
        </w:rPr>
      </w:pPr>
      <w:r w:rsidRPr="002462E6">
        <w:rPr>
          <w:rFonts w:ascii="Tahoma" w:hAnsi="Tahoma" w:cs="Tahoma"/>
          <w:b/>
          <w:bCs/>
          <w:iCs/>
          <w:sz w:val="24"/>
        </w:rPr>
        <w:t>Première section</w:t>
      </w:r>
      <w:r w:rsidRPr="002462E6">
        <w:rPr>
          <w:rFonts w:ascii="Tahoma" w:hAnsi="Tahoma" w:cs="Tahoma"/>
          <w:iCs/>
          <w:sz w:val="24"/>
        </w:rPr>
        <w:t xml:space="preserve"> : Conceptualisation du territoire et évolution de l’aménagement au Maroc</w:t>
      </w:r>
    </w:p>
    <w:p w:rsidR="00B17912" w:rsidRPr="002462E6" w:rsidRDefault="00B17912" w:rsidP="00B17912">
      <w:pPr>
        <w:pStyle w:val="TM3"/>
        <w:tabs>
          <w:tab w:val="left" w:pos="880"/>
          <w:tab w:val="right" w:leader="dot" w:pos="9346"/>
        </w:tabs>
        <w:spacing w:line="360" w:lineRule="auto"/>
        <w:jc w:val="both"/>
        <w:rPr>
          <w:rFonts w:ascii="Tahoma" w:hAnsi="Tahoma" w:cs="Tahoma"/>
          <w:i w:val="0"/>
          <w:sz w:val="24"/>
        </w:rPr>
      </w:pPr>
      <w:r w:rsidRPr="002462E6">
        <w:rPr>
          <w:rFonts w:ascii="Tahoma" w:hAnsi="Tahoma" w:cs="Tahoma"/>
          <w:i w:val="0"/>
          <w:sz w:val="24"/>
        </w:rPr>
        <w:t>A.</w:t>
      </w:r>
      <w:r w:rsidRPr="002462E6">
        <w:rPr>
          <w:rFonts w:ascii="Tahoma" w:hAnsi="Tahoma" w:cs="Tahoma"/>
          <w:i w:val="0"/>
          <w:sz w:val="24"/>
        </w:rPr>
        <w:tab/>
        <w:t>Approches théoriques du concept de territoire</w:t>
      </w:r>
    </w:p>
    <w:p w:rsidR="00B17912" w:rsidRPr="002462E6" w:rsidRDefault="00B17912" w:rsidP="00B17912">
      <w:pPr>
        <w:pStyle w:val="TM3"/>
        <w:tabs>
          <w:tab w:val="left" w:pos="880"/>
          <w:tab w:val="right" w:leader="dot" w:pos="9346"/>
        </w:tabs>
        <w:spacing w:line="360" w:lineRule="auto"/>
        <w:jc w:val="both"/>
        <w:rPr>
          <w:rFonts w:ascii="Tahoma" w:hAnsi="Tahoma" w:cs="Tahoma"/>
          <w:i w:val="0"/>
          <w:sz w:val="24"/>
        </w:rPr>
      </w:pPr>
      <w:r w:rsidRPr="002462E6">
        <w:rPr>
          <w:rFonts w:ascii="Tahoma" w:hAnsi="Tahoma" w:cs="Tahoma"/>
          <w:i w:val="0"/>
          <w:sz w:val="24"/>
        </w:rPr>
        <w:t>B.</w:t>
      </w:r>
      <w:r w:rsidRPr="002462E6">
        <w:rPr>
          <w:rFonts w:ascii="Tahoma" w:hAnsi="Tahoma" w:cs="Tahoma"/>
          <w:i w:val="0"/>
          <w:sz w:val="24"/>
        </w:rPr>
        <w:tab/>
        <w:t>L'aménagement du développement territorial : quelles implications pour le rural ?</w:t>
      </w:r>
    </w:p>
    <w:p w:rsidR="00B17912" w:rsidRPr="002462E6" w:rsidRDefault="00B17912" w:rsidP="00B17912">
      <w:pPr>
        <w:pStyle w:val="TM2"/>
        <w:tabs>
          <w:tab w:val="right" w:leader="dot" w:pos="9346"/>
        </w:tabs>
        <w:spacing w:line="360" w:lineRule="auto"/>
        <w:jc w:val="both"/>
        <w:rPr>
          <w:rFonts w:ascii="Tahoma" w:hAnsi="Tahoma" w:cs="Tahoma"/>
          <w:iCs/>
          <w:sz w:val="24"/>
        </w:rPr>
      </w:pPr>
      <w:r w:rsidRPr="002462E6">
        <w:rPr>
          <w:rFonts w:ascii="Tahoma" w:hAnsi="Tahoma" w:cs="Tahoma"/>
          <w:b/>
          <w:bCs/>
          <w:iCs/>
          <w:sz w:val="24"/>
        </w:rPr>
        <w:t>Deuxième Section</w:t>
      </w:r>
      <w:r w:rsidRPr="002462E6">
        <w:rPr>
          <w:rFonts w:ascii="Tahoma" w:hAnsi="Tahoma" w:cs="Tahoma"/>
          <w:iCs/>
          <w:sz w:val="24"/>
        </w:rPr>
        <w:t> : Le territoire forestier de Korifla : analyse des paradigmes de gestion territoriale</w:t>
      </w:r>
    </w:p>
    <w:p w:rsidR="00B17912" w:rsidRPr="002462E6" w:rsidRDefault="00B17912" w:rsidP="00B17912">
      <w:pPr>
        <w:pStyle w:val="TM3"/>
        <w:tabs>
          <w:tab w:val="left" w:pos="880"/>
          <w:tab w:val="right" w:leader="dot" w:pos="9346"/>
        </w:tabs>
        <w:spacing w:line="360" w:lineRule="auto"/>
        <w:jc w:val="both"/>
        <w:rPr>
          <w:rFonts w:ascii="Tahoma" w:hAnsi="Tahoma" w:cs="Tahoma"/>
          <w:i w:val="0"/>
          <w:sz w:val="24"/>
        </w:rPr>
      </w:pPr>
      <w:r w:rsidRPr="002462E6">
        <w:rPr>
          <w:rFonts w:ascii="Tahoma" w:hAnsi="Tahoma" w:cs="Tahoma"/>
          <w:i w:val="0"/>
          <w:sz w:val="24"/>
        </w:rPr>
        <w:t>A.</w:t>
      </w:r>
      <w:r w:rsidRPr="002462E6">
        <w:rPr>
          <w:rFonts w:ascii="Tahoma" w:hAnsi="Tahoma" w:cs="Tahoma"/>
          <w:i w:val="0"/>
          <w:sz w:val="24"/>
        </w:rPr>
        <w:tab/>
        <w:t>Analyse critique des paradigmes de gestion territoriale des forêts au Maroc</w:t>
      </w:r>
    </w:p>
    <w:p w:rsidR="00B17912" w:rsidRPr="002462E6" w:rsidRDefault="00B17912" w:rsidP="00B17912">
      <w:pPr>
        <w:pStyle w:val="TM3"/>
        <w:tabs>
          <w:tab w:val="left" w:pos="880"/>
          <w:tab w:val="right" w:leader="dot" w:pos="9346"/>
        </w:tabs>
        <w:spacing w:line="360" w:lineRule="auto"/>
        <w:jc w:val="both"/>
        <w:rPr>
          <w:rFonts w:ascii="Tahoma" w:hAnsi="Tahoma" w:cs="Tahoma"/>
          <w:i w:val="0"/>
          <w:sz w:val="24"/>
        </w:rPr>
      </w:pPr>
      <w:r w:rsidRPr="002462E6">
        <w:rPr>
          <w:rFonts w:ascii="Tahoma" w:hAnsi="Tahoma" w:cs="Tahoma"/>
          <w:i w:val="0"/>
          <w:sz w:val="24"/>
        </w:rPr>
        <w:t>B.</w:t>
      </w:r>
      <w:r w:rsidRPr="002462E6">
        <w:rPr>
          <w:rFonts w:ascii="Tahoma" w:hAnsi="Tahoma" w:cs="Tahoma"/>
          <w:i w:val="0"/>
          <w:sz w:val="24"/>
        </w:rPr>
        <w:tab/>
        <w:t>Le territoire forestier de Korifla : une configuration administrative fragmentée</w:t>
      </w:r>
    </w:p>
    <w:p w:rsidR="00B17912" w:rsidRPr="002462E6" w:rsidRDefault="00B17912" w:rsidP="00B17912">
      <w:pPr>
        <w:pStyle w:val="TM1"/>
        <w:rPr>
          <w:szCs w:val="24"/>
        </w:rPr>
      </w:pPr>
      <w:r w:rsidRPr="002462E6">
        <w:rPr>
          <w:szCs w:val="24"/>
        </w:rPr>
        <w:t xml:space="preserve">Chapitre 2 : </w:t>
      </w:r>
      <w:r w:rsidRPr="002462E6">
        <w:rPr>
          <w:b w:val="0"/>
          <w:bCs w:val="0"/>
          <w:szCs w:val="24"/>
        </w:rPr>
        <w:t>Risque accélératif migratoire: analyse systémique</w:t>
      </w:r>
    </w:p>
    <w:p w:rsidR="00B17912" w:rsidRPr="002462E6" w:rsidRDefault="00B17912" w:rsidP="00B17912">
      <w:pPr>
        <w:pStyle w:val="TM2"/>
        <w:tabs>
          <w:tab w:val="right" w:leader="dot" w:pos="9346"/>
        </w:tabs>
        <w:spacing w:line="360" w:lineRule="auto"/>
        <w:jc w:val="both"/>
        <w:rPr>
          <w:rFonts w:ascii="Tahoma" w:hAnsi="Tahoma" w:cs="Tahoma"/>
          <w:iCs/>
          <w:sz w:val="24"/>
        </w:rPr>
      </w:pPr>
      <w:r w:rsidRPr="002462E6">
        <w:rPr>
          <w:rFonts w:ascii="Tahoma" w:hAnsi="Tahoma" w:cs="Tahoma"/>
          <w:b/>
          <w:bCs/>
          <w:iCs/>
          <w:sz w:val="24"/>
        </w:rPr>
        <w:t>Première section</w:t>
      </w:r>
      <w:r w:rsidRPr="002462E6">
        <w:rPr>
          <w:rFonts w:ascii="Tahoma" w:hAnsi="Tahoma" w:cs="Tahoma"/>
          <w:iCs/>
          <w:sz w:val="24"/>
        </w:rPr>
        <w:t xml:space="preserve"> : Dynamiques interactives des facteurs accélérateurs de la dégradation des écosystèmes forestiers au Maroc</w:t>
      </w:r>
    </w:p>
    <w:p w:rsidR="00B17912" w:rsidRPr="002462E6" w:rsidRDefault="00B17912" w:rsidP="00D051D7">
      <w:pPr>
        <w:pStyle w:val="TM3"/>
        <w:numPr>
          <w:ilvl w:val="0"/>
          <w:numId w:val="101"/>
        </w:numPr>
        <w:tabs>
          <w:tab w:val="left" w:pos="880"/>
          <w:tab w:val="right" w:leader="dot" w:pos="9346"/>
        </w:tabs>
        <w:spacing w:line="360" w:lineRule="auto"/>
        <w:jc w:val="both"/>
        <w:rPr>
          <w:rFonts w:ascii="Tahoma" w:hAnsi="Tahoma" w:cs="Tahoma"/>
          <w:i w:val="0"/>
          <w:sz w:val="24"/>
        </w:rPr>
      </w:pPr>
      <w:r w:rsidRPr="002462E6">
        <w:rPr>
          <w:rFonts w:ascii="Tahoma" w:hAnsi="Tahoma" w:cs="Tahoma"/>
          <w:i w:val="0"/>
          <w:sz w:val="24"/>
        </w:rPr>
        <w:t>Analyse systémique des facteurs accélérateurs de la dégradation des écosystèmes forestiers</w:t>
      </w:r>
    </w:p>
    <w:p w:rsidR="00B17912" w:rsidRPr="002462E6" w:rsidRDefault="00B17912" w:rsidP="00D051D7">
      <w:pPr>
        <w:pStyle w:val="TM3"/>
        <w:numPr>
          <w:ilvl w:val="0"/>
          <w:numId w:val="101"/>
        </w:numPr>
        <w:tabs>
          <w:tab w:val="left" w:pos="880"/>
          <w:tab w:val="right" w:leader="dot" w:pos="9346"/>
        </w:tabs>
        <w:spacing w:line="360" w:lineRule="auto"/>
        <w:jc w:val="both"/>
        <w:rPr>
          <w:rFonts w:ascii="Tahoma" w:hAnsi="Tahoma" w:cs="Tahoma"/>
          <w:i w:val="0"/>
          <w:sz w:val="24"/>
        </w:rPr>
      </w:pPr>
      <w:r w:rsidRPr="002462E6">
        <w:rPr>
          <w:rFonts w:ascii="Tahoma" w:hAnsi="Tahoma" w:cs="Tahoma"/>
          <w:i w:val="0"/>
          <w:sz w:val="24"/>
        </w:rPr>
        <w:t>Effets systémiques : vers une spirale de dégradation écologique et sociale</w:t>
      </w:r>
    </w:p>
    <w:p w:rsidR="00B17912" w:rsidRPr="002462E6" w:rsidRDefault="00B17912" w:rsidP="00B17912">
      <w:pPr>
        <w:pStyle w:val="TM2"/>
        <w:tabs>
          <w:tab w:val="right" w:leader="dot" w:pos="9346"/>
        </w:tabs>
        <w:spacing w:line="360" w:lineRule="auto"/>
        <w:jc w:val="both"/>
        <w:rPr>
          <w:rFonts w:ascii="Tahoma" w:hAnsi="Tahoma" w:cs="Tahoma"/>
          <w:iCs/>
          <w:smallCaps w:val="0"/>
          <w:sz w:val="24"/>
        </w:rPr>
      </w:pPr>
      <w:r w:rsidRPr="002462E6">
        <w:rPr>
          <w:rFonts w:ascii="Tahoma" w:hAnsi="Tahoma" w:cs="Tahoma"/>
          <w:b/>
          <w:bCs/>
          <w:iCs/>
          <w:sz w:val="24"/>
        </w:rPr>
        <w:t>Deuxième section</w:t>
      </w:r>
      <w:r w:rsidRPr="002462E6">
        <w:rPr>
          <w:rFonts w:ascii="Tahoma" w:hAnsi="Tahoma" w:cs="Tahoma"/>
          <w:iCs/>
          <w:sz w:val="24"/>
        </w:rPr>
        <w:t xml:space="preserve"> : Analyse Socioéconomique et énvironnementale de la Dégradation Forestière : </w:t>
      </w:r>
      <w:r w:rsidRPr="002462E6">
        <w:rPr>
          <w:rFonts w:ascii="Tahoma" w:hAnsi="Tahoma" w:cs="Tahoma"/>
          <w:iCs/>
          <w:smallCaps w:val="0"/>
          <w:sz w:val="24"/>
        </w:rPr>
        <w:t>Cas de la forêt de Korifla au Maroc</w:t>
      </w:r>
    </w:p>
    <w:p w:rsidR="00B17912" w:rsidRPr="002462E6" w:rsidRDefault="00B17912" w:rsidP="00D051D7">
      <w:pPr>
        <w:pStyle w:val="Paragraphedeliste"/>
        <w:widowControl/>
        <w:numPr>
          <w:ilvl w:val="0"/>
          <w:numId w:val="102"/>
        </w:numPr>
        <w:autoSpaceDE/>
        <w:autoSpaceDN/>
        <w:spacing w:after="160" w:line="259" w:lineRule="auto"/>
        <w:contextualSpacing/>
        <w:jc w:val="left"/>
        <w:rPr>
          <w:rFonts w:ascii="Tahoma" w:hAnsi="Tahoma" w:cs="Tahoma"/>
          <w:iCs/>
          <w:sz w:val="24"/>
          <w:szCs w:val="24"/>
        </w:rPr>
      </w:pPr>
      <w:r w:rsidRPr="002462E6">
        <w:rPr>
          <w:rFonts w:ascii="Tahoma" w:hAnsi="Tahoma" w:cs="Tahoma"/>
          <w:iCs/>
          <w:sz w:val="24"/>
          <w:szCs w:val="24"/>
        </w:rPr>
        <w:t xml:space="preserve">Santé, éducation et accès aux services de base selon la perception des populations rurales de la forêt de Korifla </w:t>
      </w:r>
    </w:p>
    <w:p w:rsidR="00B17912" w:rsidRDefault="00B17912" w:rsidP="00136E62">
      <w:pPr>
        <w:pStyle w:val="TM3"/>
        <w:numPr>
          <w:ilvl w:val="0"/>
          <w:numId w:val="102"/>
        </w:numPr>
        <w:tabs>
          <w:tab w:val="left" w:pos="880"/>
          <w:tab w:val="right" w:leader="dot" w:pos="9346"/>
        </w:tabs>
        <w:spacing w:line="360" w:lineRule="auto"/>
        <w:jc w:val="both"/>
        <w:rPr>
          <w:rFonts w:ascii="Tahoma" w:hAnsi="Tahoma" w:cs="Tahoma"/>
          <w:i w:val="0"/>
          <w:sz w:val="24"/>
        </w:rPr>
      </w:pPr>
      <w:r w:rsidRPr="002462E6">
        <w:rPr>
          <w:rFonts w:ascii="Tahoma" w:hAnsi="Tahoma" w:cs="Tahoma"/>
          <w:i w:val="0"/>
          <w:sz w:val="24"/>
        </w:rPr>
        <w:t>Économie, dégradation forestière et risque accélératif migratoire en forêt de Korifla : vulnérabilités rurales croisées</w:t>
      </w:r>
    </w:p>
    <w:p w:rsidR="00136E62" w:rsidRPr="00136E62" w:rsidRDefault="00136E62" w:rsidP="00136E62">
      <w:pPr>
        <w:pStyle w:val="TM3"/>
        <w:tabs>
          <w:tab w:val="left" w:pos="880"/>
          <w:tab w:val="right" w:leader="dot" w:pos="9346"/>
        </w:tabs>
        <w:spacing w:line="360" w:lineRule="auto"/>
        <w:ind w:left="890"/>
        <w:jc w:val="both"/>
        <w:rPr>
          <w:rFonts w:ascii="Tahoma" w:hAnsi="Tahoma" w:cs="Tahoma"/>
          <w:i w:val="0"/>
          <w:sz w:val="24"/>
        </w:rPr>
      </w:pPr>
    </w:p>
    <w:p w:rsidR="00B17912" w:rsidRPr="002462E6" w:rsidRDefault="00B17912" w:rsidP="00B17912">
      <w:pPr>
        <w:pStyle w:val="TM1"/>
        <w:rPr>
          <w:szCs w:val="24"/>
        </w:rPr>
      </w:pPr>
      <w:r w:rsidRPr="002462E6">
        <w:rPr>
          <w:szCs w:val="24"/>
        </w:rPr>
        <w:t>Conclusion générale</w:t>
      </w:r>
    </w:p>
    <w:p w:rsidR="00B17912" w:rsidRPr="002462E6" w:rsidRDefault="00B17912" w:rsidP="00B17912">
      <w:pPr>
        <w:pStyle w:val="TM1"/>
      </w:pPr>
    </w:p>
    <w:p w:rsidR="00176475" w:rsidRPr="002462E6" w:rsidRDefault="00176475" w:rsidP="00B17912">
      <w:pPr>
        <w:pStyle w:val="TM1"/>
        <w:rPr>
          <w:rFonts w:eastAsiaTheme="minorEastAsia"/>
          <w:lang w:eastAsia="fr-FR"/>
        </w:rPr>
      </w:pPr>
      <w:r w:rsidRPr="002462E6">
        <w:br w:type="page"/>
      </w:r>
    </w:p>
    <w:p w:rsidR="00E643FE" w:rsidRPr="002462E6" w:rsidRDefault="00E643FE" w:rsidP="002F1A32">
      <w:pPr>
        <w:pStyle w:val="Titre"/>
      </w:pPr>
      <w:bookmarkStart w:id="31" w:name="_Toc201655448"/>
      <w:bookmarkStart w:id="32" w:name="_Toc203643003"/>
      <w:r w:rsidRPr="002462E6">
        <w:lastRenderedPageBreak/>
        <w:t>Liste des abréviations</w:t>
      </w:r>
      <w:bookmarkEnd w:id="27"/>
      <w:bookmarkEnd w:id="28"/>
      <w:bookmarkEnd w:id="29"/>
      <w:bookmarkEnd w:id="30"/>
      <w:bookmarkEnd w:id="31"/>
      <w:bookmarkEnd w:id="32"/>
    </w:p>
    <w:p w:rsidR="000A7532" w:rsidRPr="002462E6" w:rsidRDefault="000A7532" w:rsidP="000A7532">
      <w:pPr>
        <w:widowControl w:val="0"/>
        <w:autoSpaceDE w:val="0"/>
        <w:autoSpaceDN w:val="0"/>
        <w:spacing w:before="9" w:after="0" w:line="240" w:lineRule="auto"/>
        <w:rPr>
          <w:rFonts w:ascii="Times New Roman" w:eastAsia="Times New Roman" w:hAnsi="Times New Roman" w:cs="Times New Roman"/>
          <w:iCs/>
          <w:color w:val="00B050"/>
          <w:sz w:val="21"/>
          <w:szCs w:val="24"/>
        </w:rPr>
      </w:pPr>
    </w:p>
    <w:p w:rsidR="0060030A" w:rsidRPr="002462E6" w:rsidRDefault="0060030A" w:rsidP="00954B3A">
      <w:pPr>
        <w:tabs>
          <w:tab w:val="left" w:pos="1418"/>
        </w:tabs>
        <w:jc w:val="both"/>
        <w:rPr>
          <w:rFonts w:ascii="Tahoma" w:eastAsia="Times New Roman" w:hAnsi="Tahoma" w:cs="Tahoma"/>
          <w:sz w:val="24"/>
          <w:szCs w:val="24"/>
          <w:lang w:eastAsia="fr-FR"/>
        </w:rPr>
      </w:pPr>
      <w:bookmarkStart w:id="33" w:name="_bookmark7"/>
      <w:bookmarkStart w:id="34" w:name="_Toc182058797"/>
      <w:bookmarkStart w:id="35" w:name="_Toc186533789"/>
      <w:bookmarkEnd w:id="33"/>
      <w:r w:rsidRPr="002462E6">
        <w:rPr>
          <w:rFonts w:ascii="Tahoma" w:eastAsia="Times New Roman" w:hAnsi="Tahoma" w:cs="Tahoma"/>
          <w:b/>
          <w:bCs/>
          <w:sz w:val="24"/>
          <w:szCs w:val="24"/>
          <w:lang w:eastAsia="fr-FR"/>
        </w:rPr>
        <w:t>ACFCC</w:t>
      </w:r>
      <w:r w:rsidR="0083519B">
        <w:rPr>
          <w:rFonts w:ascii="Tahoma" w:eastAsia="Times New Roman" w:hAnsi="Tahoma" w:cs="Tahoma"/>
          <w:b/>
          <w:bCs/>
          <w:sz w:val="24"/>
          <w:szCs w:val="24"/>
          <w:lang w:eastAsia="fr-FR"/>
        </w:rPr>
        <w:tab/>
      </w:r>
      <w:r w:rsidRPr="002462E6">
        <w:rPr>
          <w:rFonts w:ascii="Tahoma" w:eastAsia="Times New Roman" w:hAnsi="Tahoma" w:cs="Tahoma"/>
          <w:sz w:val="24"/>
          <w:szCs w:val="24"/>
          <w:lang w:eastAsia="fr-FR"/>
        </w:rPr>
        <w:t xml:space="preserve">: l'Agence de la Conservation Foncière, du Cadastre et de la Cartographie </w:t>
      </w:r>
    </w:p>
    <w:p w:rsidR="0060030A" w:rsidRPr="002462E6" w:rsidRDefault="0060030A" w:rsidP="00954B3A">
      <w:pPr>
        <w:widowControl w:val="0"/>
        <w:tabs>
          <w:tab w:val="left" w:pos="1418"/>
        </w:tabs>
        <w:autoSpaceDE w:val="0"/>
        <w:autoSpaceDN w:val="0"/>
        <w:spacing w:after="0" w:line="360" w:lineRule="auto"/>
        <w:jc w:val="both"/>
        <w:rPr>
          <w:rFonts w:ascii="Tahoma" w:eastAsia="Times New Roman" w:hAnsi="Tahoma" w:cs="Tahoma"/>
          <w:sz w:val="24"/>
          <w:szCs w:val="24"/>
        </w:rPr>
      </w:pPr>
      <w:r w:rsidRPr="002462E6">
        <w:rPr>
          <w:rFonts w:ascii="Tahoma" w:eastAsia="Times New Roman" w:hAnsi="Tahoma" w:cs="Tahoma"/>
          <w:b/>
          <w:bCs/>
          <w:sz w:val="24"/>
          <w:szCs w:val="24"/>
        </w:rPr>
        <w:t xml:space="preserve">AEF </w:t>
      </w:r>
      <w:r w:rsidR="0083519B">
        <w:rPr>
          <w:rFonts w:ascii="Tahoma" w:eastAsia="Times New Roman" w:hAnsi="Tahoma" w:cs="Tahoma"/>
          <w:b/>
          <w:bCs/>
          <w:sz w:val="24"/>
          <w:szCs w:val="24"/>
        </w:rPr>
        <w:tab/>
      </w:r>
      <w:r w:rsidRPr="002462E6">
        <w:rPr>
          <w:rFonts w:ascii="Tahoma" w:eastAsia="Times New Roman" w:hAnsi="Tahoma" w:cs="Tahoma"/>
          <w:sz w:val="24"/>
          <w:szCs w:val="24"/>
        </w:rPr>
        <w:t>: Administration des Eaux et Forêts</w:t>
      </w:r>
    </w:p>
    <w:p w:rsidR="0060030A" w:rsidRPr="002462E6" w:rsidRDefault="0060030A" w:rsidP="00954B3A">
      <w:pPr>
        <w:tabs>
          <w:tab w:val="left" w:pos="1418"/>
        </w:tabs>
        <w:jc w:val="both"/>
        <w:rPr>
          <w:rFonts w:ascii="Tahoma" w:eastAsia="Times New Roman" w:hAnsi="Tahoma" w:cs="Tahoma"/>
          <w:color w:val="232333"/>
          <w:sz w:val="24"/>
          <w:szCs w:val="24"/>
        </w:rPr>
      </w:pPr>
      <w:r w:rsidRPr="002462E6">
        <w:rPr>
          <w:rFonts w:ascii="Tahoma" w:eastAsia="Times New Roman" w:hAnsi="Tahoma" w:cs="Tahoma"/>
          <w:b/>
          <w:bCs/>
          <w:color w:val="232333"/>
          <w:sz w:val="24"/>
          <w:szCs w:val="24"/>
        </w:rPr>
        <w:t>AEFCS </w:t>
      </w:r>
      <w:r w:rsidR="00954B3A">
        <w:rPr>
          <w:rFonts w:ascii="Tahoma" w:eastAsia="Times New Roman" w:hAnsi="Tahoma" w:cs="Tahoma"/>
          <w:b/>
          <w:bCs/>
          <w:color w:val="232333"/>
          <w:sz w:val="24"/>
          <w:szCs w:val="24"/>
        </w:rPr>
        <w:tab/>
      </w:r>
      <w:r w:rsidRPr="002462E6">
        <w:rPr>
          <w:rFonts w:ascii="Tahoma" w:eastAsia="Times New Roman" w:hAnsi="Tahoma" w:cs="Tahoma"/>
          <w:color w:val="232333"/>
          <w:sz w:val="24"/>
          <w:szCs w:val="24"/>
        </w:rPr>
        <w:t xml:space="preserve">: Administration des Eaux et Forêts de la Conservation des Sols </w:t>
      </w:r>
    </w:p>
    <w:p w:rsidR="0060030A" w:rsidRPr="002462E6" w:rsidRDefault="0060030A" w:rsidP="0083519B">
      <w:pPr>
        <w:widowControl w:val="0"/>
        <w:tabs>
          <w:tab w:val="left" w:pos="1418"/>
        </w:tabs>
        <w:autoSpaceDE w:val="0"/>
        <w:autoSpaceDN w:val="0"/>
        <w:spacing w:after="0" w:line="360" w:lineRule="auto"/>
        <w:jc w:val="both"/>
        <w:rPr>
          <w:rFonts w:ascii="Tahoma" w:eastAsia="Times New Roman" w:hAnsi="Tahoma" w:cs="Tahoma"/>
          <w:sz w:val="24"/>
          <w:szCs w:val="24"/>
        </w:rPr>
      </w:pPr>
      <w:r w:rsidRPr="002462E6">
        <w:rPr>
          <w:rFonts w:ascii="Tahoma" w:eastAsia="Times New Roman" w:hAnsi="Tahoma" w:cs="Tahoma"/>
          <w:b/>
          <w:bCs/>
          <w:sz w:val="24"/>
          <w:szCs w:val="24"/>
        </w:rPr>
        <w:t xml:space="preserve">AFR </w:t>
      </w:r>
      <w:r w:rsidR="00954B3A">
        <w:rPr>
          <w:rFonts w:ascii="Tahoma" w:eastAsia="Times New Roman" w:hAnsi="Tahoma" w:cs="Tahoma"/>
          <w:b/>
          <w:bCs/>
          <w:sz w:val="24"/>
          <w:szCs w:val="24"/>
        </w:rPr>
        <w:tab/>
      </w:r>
      <w:r w:rsidRPr="002462E6">
        <w:rPr>
          <w:rFonts w:ascii="Tahoma" w:eastAsia="Times New Roman" w:hAnsi="Tahoma" w:cs="Tahoma"/>
          <w:sz w:val="24"/>
          <w:szCs w:val="24"/>
        </w:rPr>
        <w:t>: Restauration des Paysages Forestiers</w:t>
      </w:r>
    </w:p>
    <w:p w:rsidR="0060030A" w:rsidRPr="002462E6" w:rsidRDefault="0060030A" w:rsidP="0083519B">
      <w:pPr>
        <w:tabs>
          <w:tab w:val="left" w:pos="1418"/>
        </w:tabs>
        <w:jc w:val="both"/>
        <w:rPr>
          <w:rFonts w:ascii="Tahoma" w:eastAsia="Times New Roman" w:hAnsi="Tahoma" w:cs="Tahoma"/>
          <w:color w:val="212121"/>
          <w:sz w:val="24"/>
          <w:szCs w:val="24"/>
        </w:rPr>
      </w:pPr>
      <w:r w:rsidRPr="002462E6">
        <w:rPr>
          <w:rFonts w:ascii="Tahoma" w:eastAsia="Times New Roman" w:hAnsi="Tahoma" w:cs="Tahoma"/>
          <w:b/>
          <w:bCs/>
          <w:color w:val="212121"/>
          <w:sz w:val="24"/>
          <w:szCs w:val="24"/>
        </w:rPr>
        <w:t>AMCI</w:t>
      </w:r>
      <w:r w:rsidRPr="002462E6">
        <w:rPr>
          <w:rFonts w:ascii="Tahoma" w:eastAsia="Times New Roman" w:hAnsi="Tahoma" w:cs="Tahoma"/>
          <w:color w:val="212121"/>
          <w:sz w:val="24"/>
          <w:szCs w:val="24"/>
        </w:rPr>
        <w:t> </w:t>
      </w:r>
      <w:r w:rsidR="00954B3A">
        <w:rPr>
          <w:rFonts w:ascii="Tahoma" w:eastAsia="Times New Roman" w:hAnsi="Tahoma" w:cs="Tahoma"/>
          <w:color w:val="212121"/>
          <w:sz w:val="24"/>
          <w:szCs w:val="24"/>
        </w:rPr>
        <w:tab/>
      </w:r>
      <w:r w:rsidRPr="002462E6">
        <w:rPr>
          <w:rFonts w:ascii="Tahoma" w:eastAsia="Times New Roman" w:hAnsi="Tahoma" w:cs="Tahoma"/>
          <w:color w:val="212121"/>
          <w:sz w:val="24"/>
          <w:szCs w:val="24"/>
        </w:rPr>
        <w:t xml:space="preserve">: Agence Marocaine de Coopération Internationale </w:t>
      </w:r>
    </w:p>
    <w:p w:rsidR="0060030A" w:rsidRPr="002462E6" w:rsidRDefault="0060030A" w:rsidP="0083519B">
      <w:pPr>
        <w:tabs>
          <w:tab w:val="left" w:pos="1418"/>
        </w:tabs>
        <w:jc w:val="both"/>
        <w:rPr>
          <w:rFonts w:ascii="Tahoma" w:hAnsi="Tahoma" w:cs="Tahoma"/>
          <w:sz w:val="24"/>
          <w:szCs w:val="24"/>
        </w:rPr>
      </w:pPr>
      <w:r w:rsidRPr="002462E6">
        <w:rPr>
          <w:rFonts w:ascii="Tahoma" w:eastAsia="Times New Roman" w:hAnsi="Tahoma" w:cs="Tahoma"/>
          <w:b/>
          <w:bCs/>
          <w:sz w:val="24"/>
          <w:szCs w:val="24"/>
          <w:lang w:eastAsia="fr-FR"/>
        </w:rPr>
        <w:t>AMO </w:t>
      </w:r>
      <w:r w:rsidR="00954B3A">
        <w:rPr>
          <w:rFonts w:ascii="Tahoma" w:eastAsia="Times New Roman" w:hAnsi="Tahoma" w:cs="Tahoma"/>
          <w:b/>
          <w:bCs/>
          <w:sz w:val="24"/>
          <w:szCs w:val="24"/>
          <w:lang w:eastAsia="fr-FR"/>
        </w:rPr>
        <w:tab/>
      </w:r>
      <w:r w:rsidRPr="002462E6">
        <w:rPr>
          <w:rFonts w:ascii="Tahoma" w:hAnsi="Tahoma" w:cs="Tahoma"/>
          <w:sz w:val="24"/>
          <w:szCs w:val="24"/>
        </w:rPr>
        <w:t xml:space="preserve">: l'Assurance Maladie Obligatoire </w:t>
      </w:r>
    </w:p>
    <w:p w:rsidR="0060030A" w:rsidRPr="002462E6" w:rsidRDefault="0060030A" w:rsidP="00954B3A">
      <w:pPr>
        <w:tabs>
          <w:tab w:val="left" w:pos="1418"/>
        </w:tabs>
        <w:ind w:left="1418" w:hanging="1418"/>
        <w:jc w:val="both"/>
        <w:rPr>
          <w:rFonts w:ascii="Tahoma" w:eastAsia="Times New Roman" w:hAnsi="Tahoma" w:cs="Tahoma"/>
          <w:sz w:val="24"/>
          <w:szCs w:val="24"/>
        </w:rPr>
      </w:pPr>
      <w:r w:rsidRPr="002462E6">
        <w:rPr>
          <w:rFonts w:ascii="Tahoma" w:eastAsia="Times New Roman" w:hAnsi="Tahoma" w:cs="Tahoma"/>
          <w:b/>
          <w:bCs/>
          <w:sz w:val="24"/>
          <w:szCs w:val="24"/>
        </w:rPr>
        <w:t>ANDZOA </w:t>
      </w:r>
      <w:r w:rsidR="00954B3A">
        <w:rPr>
          <w:rFonts w:ascii="Tahoma" w:eastAsia="Times New Roman" w:hAnsi="Tahoma" w:cs="Tahoma"/>
          <w:b/>
          <w:bCs/>
          <w:sz w:val="24"/>
          <w:szCs w:val="24"/>
        </w:rPr>
        <w:tab/>
      </w:r>
      <w:r w:rsidRPr="002462E6">
        <w:rPr>
          <w:rFonts w:ascii="Tahoma" w:eastAsia="Times New Roman" w:hAnsi="Tahoma" w:cs="Tahoma"/>
          <w:sz w:val="24"/>
          <w:szCs w:val="24"/>
        </w:rPr>
        <w:t xml:space="preserve">: Agence Nationale pour le Développement des Zones Oasiennes et de l’Arganier </w:t>
      </w:r>
    </w:p>
    <w:p w:rsidR="0060030A" w:rsidRPr="002462E6" w:rsidRDefault="0060030A" w:rsidP="0083519B">
      <w:pPr>
        <w:tabs>
          <w:tab w:val="left" w:pos="1418"/>
        </w:tabs>
        <w:jc w:val="both"/>
        <w:rPr>
          <w:rFonts w:ascii="Tahoma" w:eastAsia="Times New Roman" w:hAnsi="Tahoma" w:cs="Tahoma"/>
          <w:sz w:val="24"/>
          <w:szCs w:val="24"/>
        </w:rPr>
      </w:pPr>
      <w:r w:rsidRPr="002462E6">
        <w:rPr>
          <w:rFonts w:ascii="Tahoma" w:eastAsia="Times New Roman" w:hAnsi="Tahoma" w:cs="Tahoma"/>
          <w:b/>
          <w:bCs/>
          <w:sz w:val="24"/>
          <w:szCs w:val="24"/>
        </w:rPr>
        <w:t>ANEF </w:t>
      </w:r>
      <w:r w:rsidR="00954B3A">
        <w:rPr>
          <w:rFonts w:ascii="Tahoma" w:eastAsia="Times New Roman" w:hAnsi="Tahoma" w:cs="Tahoma"/>
          <w:b/>
          <w:bCs/>
          <w:sz w:val="24"/>
          <w:szCs w:val="24"/>
        </w:rPr>
        <w:tab/>
      </w:r>
      <w:r w:rsidRPr="002462E6">
        <w:rPr>
          <w:rFonts w:ascii="Tahoma" w:eastAsia="Times New Roman" w:hAnsi="Tahoma" w:cs="Tahoma"/>
          <w:sz w:val="24"/>
          <w:szCs w:val="24"/>
        </w:rPr>
        <w:t>:</w:t>
      </w:r>
      <w:r w:rsidR="00BA7465">
        <w:rPr>
          <w:rFonts w:ascii="Tahoma" w:eastAsia="Times New Roman" w:hAnsi="Tahoma" w:cs="Tahoma"/>
          <w:sz w:val="24"/>
          <w:szCs w:val="24"/>
        </w:rPr>
        <w:t xml:space="preserve"> </w:t>
      </w:r>
      <w:r w:rsidRPr="002462E6">
        <w:rPr>
          <w:rFonts w:ascii="Tahoma" w:eastAsia="Times New Roman" w:hAnsi="Tahoma" w:cs="Tahoma"/>
          <w:sz w:val="24"/>
          <w:szCs w:val="24"/>
        </w:rPr>
        <w:t xml:space="preserve">Agence Nationale des Eaux et Forêts </w:t>
      </w:r>
    </w:p>
    <w:p w:rsidR="0060030A" w:rsidRPr="002462E6" w:rsidRDefault="0060030A" w:rsidP="0083519B">
      <w:pPr>
        <w:tabs>
          <w:tab w:val="left" w:pos="1418"/>
        </w:tabs>
        <w:jc w:val="both"/>
        <w:rPr>
          <w:rFonts w:ascii="Tahoma" w:eastAsia="Times New Roman" w:hAnsi="Tahoma" w:cs="Tahoma"/>
          <w:sz w:val="24"/>
          <w:szCs w:val="24"/>
        </w:rPr>
      </w:pPr>
      <w:r w:rsidRPr="002462E6">
        <w:rPr>
          <w:rFonts w:ascii="Tahoma" w:eastAsia="Times New Roman" w:hAnsi="Tahoma" w:cs="Tahoma"/>
          <w:b/>
          <w:bCs/>
          <w:sz w:val="24"/>
          <w:szCs w:val="24"/>
        </w:rPr>
        <w:t>APESA </w:t>
      </w:r>
      <w:r w:rsidR="00954B3A">
        <w:rPr>
          <w:rFonts w:ascii="Tahoma" w:eastAsia="Times New Roman" w:hAnsi="Tahoma" w:cs="Tahoma"/>
          <w:b/>
          <w:bCs/>
          <w:sz w:val="24"/>
          <w:szCs w:val="24"/>
        </w:rPr>
        <w:tab/>
      </w:r>
      <w:r w:rsidRPr="002462E6">
        <w:rPr>
          <w:rFonts w:ascii="Tahoma" w:eastAsia="Times New Roman" w:hAnsi="Tahoma" w:cs="Tahoma"/>
          <w:sz w:val="24"/>
          <w:szCs w:val="24"/>
        </w:rPr>
        <w:t>: Année Préparatoire aux Études Supérieures Agronomiques</w:t>
      </w:r>
    </w:p>
    <w:p w:rsidR="0060030A" w:rsidRPr="002462E6" w:rsidRDefault="0060030A" w:rsidP="0083519B">
      <w:pPr>
        <w:widowControl w:val="0"/>
        <w:tabs>
          <w:tab w:val="left" w:pos="1418"/>
        </w:tabs>
        <w:autoSpaceDE w:val="0"/>
        <w:autoSpaceDN w:val="0"/>
        <w:spacing w:after="0" w:line="360" w:lineRule="auto"/>
        <w:jc w:val="both"/>
        <w:rPr>
          <w:rFonts w:ascii="Tahoma" w:eastAsia="Times New Roman" w:hAnsi="Tahoma" w:cs="Tahoma"/>
          <w:sz w:val="24"/>
          <w:szCs w:val="24"/>
        </w:rPr>
      </w:pPr>
      <w:r w:rsidRPr="002462E6">
        <w:rPr>
          <w:rFonts w:ascii="Tahoma" w:eastAsia="Times New Roman" w:hAnsi="Tahoma" w:cs="Tahoma"/>
          <w:b/>
          <w:bCs/>
          <w:color w:val="232333"/>
          <w:sz w:val="24"/>
          <w:szCs w:val="24"/>
        </w:rPr>
        <w:t>B.O</w:t>
      </w:r>
      <w:r w:rsidR="00954B3A">
        <w:rPr>
          <w:rFonts w:ascii="Tahoma" w:eastAsia="Times New Roman" w:hAnsi="Tahoma" w:cs="Tahoma"/>
          <w:b/>
          <w:bCs/>
          <w:color w:val="232333"/>
          <w:sz w:val="24"/>
          <w:szCs w:val="24"/>
        </w:rPr>
        <w:tab/>
      </w:r>
      <w:r w:rsidRPr="002462E6">
        <w:rPr>
          <w:rFonts w:ascii="Tahoma" w:eastAsia="Times New Roman" w:hAnsi="Tahoma" w:cs="Tahoma"/>
          <w:sz w:val="24"/>
          <w:szCs w:val="24"/>
        </w:rPr>
        <w:t xml:space="preserve">: Bulletin Officiel </w:t>
      </w:r>
    </w:p>
    <w:p w:rsidR="0060030A" w:rsidRPr="002462E6" w:rsidRDefault="0060030A" w:rsidP="0083519B">
      <w:pPr>
        <w:tabs>
          <w:tab w:val="left" w:pos="1418"/>
        </w:tabs>
        <w:jc w:val="both"/>
        <w:rPr>
          <w:rFonts w:ascii="Tahoma" w:eastAsia="Times New Roman" w:hAnsi="Tahoma" w:cs="Tahoma"/>
          <w:sz w:val="24"/>
          <w:szCs w:val="24"/>
        </w:rPr>
      </w:pPr>
      <w:r w:rsidRPr="002462E6">
        <w:rPr>
          <w:rFonts w:ascii="Tahoma" w:eastAsia="Times New Roman" w:hAnsi="Tahoma" w:cs="Tahoma"/>
          <w:b/>
          <w:bCs/>
          <w:color w:val="232333"/>
          <w:sz w:val="24"/>
          <w:szCs w:val="24"/>
        </w:rPr>
        <w:t>CCDRF</w:t>
      </w:r>
      <w:r w:rsidRPr="002462E6">
        <w:rPr>
          <w:rFonts w:ascii="Tahoma" w:eastAsia="Times New Roman" w:hAnsi="Tahoma" w:cs="Tahoma"/>
          <w:color w:val="000000"/>
          <w:sz w:val="24"/>
          <w:szCs w:val="24"/>
        </w:rPr>
        <w:t> </w:t>
      </w:r>
      <w:r w:rsidR="00954B3A">
        <w:rPr>
          <w:rFonts w:ascii="Tahoma" w:eastAsia="Times New Roman" w:hAnsi="Tahoma" w:cs="Tahoma"/>
          <w:color w:val="000000"/>
          <w:sz w:val="24"/>
          <w:szCs w:val="24"/>
        </w:rPr>
        <w:tab/>
      </w:r>
      <w:r w:rsidRPr="002462E6">
        <w:rPr>
          <w:rFonts w:ascii="Tahoma" w:eastAsia="Times New Roman" w:hAnsi="Tahoma" w:cs="Tahoma"/>
          <w:color w:val="000000"/>
          <w:sz w:val="24"/>
          <w:szCs w:val="24"/>
        </w:rPr>
        <w:t xml:space="preserve">: Centre de Conservation et de Développement des Ressources Forestières </w:t>
      </w:r>
    </w:p>
    <w:p w:rsidR="0060030A" w:rsidRPr="002462E6" w:rsidRDefault="0060030A" w:rsidP="0083519B">
      <w:pPr>
        <w:widowControl w:val="0"/>
        <w:tabs>
          <w:tab w:val="left" w:pos="1418"/>
        </w:tabs>
        <w:autoSpaceDE w:val="0"/>
        <w:autoSpaceDN w:val="0"/>
        <w:spacing w:after="0" w:line="360" w:lineRule="auto"/>
        <w:jc w:val="both"/>
        <w:rPr>
          <w:rFonts w:ascii="Tahoma" w:eastAsia="Times New Roman" w:hAnsi="Tahoma" w:cs="Tahoma"/>
          <w:sz w:val="24"/>
          <w:szCs w:val="24"/>
        </w:rPr>
      </w:pPr>
      <w:r w:rsidRPr="002462E6">
        <w:rPr>
          <w:rFonts w:ascii="Tahoma" w:eastAsia="Times New Roman" w:hAnsi="Tahoma" w:cs="Tahoma"/>
          <w:b/>
          <w:bCs/>
          <w:sz w:val="24"/>
          <w:szCs w:val="24"/>
        </w:rPr>
        <w:t xml:space="preserve">CCNUCC </w:t>
      </w:r>
      <w:r w:rsidR="00954B3A">
        <w:rPr>
          <w:rFonts w:ascii="Tahoma" w:eastAsia="Times New Roman" w:hAnsi="Tahoma" w:cs="Tahoma"/>
          <w:b/>
          <w:bCs/>
          <w:sz w:val="24"/>
          <w:szCs w:val="24"/>
        </w:rPr>
        <w:tab/>
      </w:r>
      <w:r w:rsidRPr="002462E6">
        <w:rPr>
          <w:rFonts w:ascii="Tahoma" w:eastAsia="Times New Roman" w:hAnsi="Tahoma" w:cs="Tahoma"/>
          <w:sz w:val="24"/>
          <w:szCs w:val="24"/>
        </w:rPr>
        <w:t>: Convention</w:t>
      </w:r>
      <w:r w:rsidR="007C23A7" w:rsidRPr="002462E6">
        <w:rPr>
          <w:rFonts w:ascii="Tahoma" w:eastAsia="Times New Roman" w:hAnsi="Tahoma" w:cs="Tahoma"/>
          <w:sz w:val="24"/>
          <w:szCs w:val="24"/>
        </w:rPr>
        <w:t xml:space="preserve">-Cadre </w:t>
      </w:r>
      <w:r w:rsidR="007C23A7">
        <w:rPr>
          <w:rFonts w:ascii="Tahoma" w:eastAsia="Times New Roman" w:hAnsi="Tahoma" w:cs="Tahoma"/>
          <w:sz w:val="24"/>
          <w:szCs w:val="24"/>
        </w:rPr>
        <w:t>d</w:t>
      </w:r>
      <w:r w:rsidR="007C23A7" w:rsidRPr="002462E6">
        <w:rPr>
          <w:rFonts w:ascii="Tahoma" w:eastAsia="Times New Roman" w:hAnsi="Tahoma" w:cs="Tahoma"/>
          <w:sz w:val="24"/>
          <w:szCs w:val="24"/>
        </w:rPr>
        <w:t xml:space="preserve">es </w:t>
      </w:r>
      <w:r w:rsidRPr="002462E6">
        <w:rPr>
          <w:rFonts w:ascii="Tahoma" w:eastAsia="Times New Roman" w:hAnsi="Tahoma" w:cs="Tahoma"/>
          <w:sz w:val="24"/>
          <w:szCs w:val="24"/>
        </w:rPr>
        <w:t xml:space="preserve">Nations </w:t>
      </w:r>
      <w:r w:rsidR="007C23A7" w:rsidRPr="002462E6">
        <w:rPr>
          <w:rFonts w:ascii="Tahoma" w:eastAsia="Times New Roman" w:hAnsi="Tahoma" w:cs="Tahoma"/>
          <w:sz w:val="24"/>
          <w:szCs w:val="24"/>
        </w:rPr>
        <w:t xml:space="preserve">Unies </w:t>
      </w:r>
      <w:r w:rsidR="007C23A7">
        <w:rPr>
          <w:rFonts w:ascii="Tahoma" w:eastAsia="Times New Roman" w:hAnsi="Tahoma" w:cs="Tahoma"/>
          <w:sz w:val="24"/>
          <w:szCs w:val="24"/>
        </w:rPr>
        <w:t>s</w:t>
      </w:r>
      <w:r w:rsidR="007C23A7" w:rsidRPr="002462E6">
        <w:rPr>
          <w:rFonts w:ascii="Tahoma" w:eastAsia="Times New Roman" w:hAnsi="Tahoma" w:cs="Tahoma"/>
          <w:sz w:val="24"/>
          <w:szCs w:val="24"/>
        </w:rPr>
        <w:t xml:space="preserve">ur </w:t>
      </w:r>
      <w:r w:rsidR="007C23A7">
        <w:rPr>
          <w:rFonts w:ascii="Tahoma" w:eastAsia="Times New Roman" w:hAnsi="Tahoma" w:cs="Tahoma"/>
          <w:sz w:val="24"/>
          <w:szCs w:val="24"/>
        </w:rPr>
        <w:t>l</w:t>
      </w:r>
      <w:r w:rsidR="007C23A7" w:rsidRPr="002462E6">
        <w:rPr>
          <w:rFonts w:ascii="Tahoma" w:eastAsia="Times New Roman" w:hAnsi="Tahoma" w:cs="Tahoma"/>
          <w:sz w:val="24"/>
          <w:szCs w:val="24"/>
        </w:rPr>
        <w:t>es Changements Climatiques</w:t>
      </w:r>
    </w:p>
    <w:p w:rsidR="0060030A" w:rsidRPr="002462E6" w:rsidRDefault="0060030A" w:rsidP="0083519B">
      <w:pPr>
        <w:widowControl w:val="0"/>
        <w:tabs>
          <w:tab w:val="left" w:pos="1418"/>
        </w:tabs>
        <w:autoSpaceDE w:val="0"/>
        <w:autoSpaceDN w:val="0"/>
        <w:spacing w:after="0" w:line="360" w:lineRule="auto"/>
        <w:jc w:val="both"/>
        <w:rPr>
          <w:rFonts w:ascii="Tahoma" w:eastAsia="Times New Roman" w:hAnsi="Tahoma" w:cs="Tahoma"/>
          <w:sz w:val="24"/>
          <w:szCs w:val="24"/>
        </w:rPr>
      </w:pPr>
      <w:r w:rsidRPr="002462E6">
        <w:rPr>
          <w:rFonts w:ascii="Tahoma" w:eastAsia="Times New Roman" w:hAnsi="Tahoma" w:cs="Tahoma"/>
          <w:b/>
          <w:bCs/>
          <w:sz w:val="24"/>
          <w:szCs w:val="24"/>
        </w:rPr>
        <w:t>CDB</w:t>
      </w:r>
      <w:r w:rsidRPr="002462E6">
        <w:rPr>
          <w:rFonts w:ascii="Tahoma" w:eastAsia="Times New Roman" w:hAnsi="Tahoma" w:cs="Tahoma"/>
          <w:sz w:val="24"/>
          <w:szCs w:val="24"/>
        </w:rPr>
        <w:t xml:space="preserve"> </w:t>
      </w:r>
      <w:r w:rsidR="00954B3A">
        <w:rPr>
          <w:rFonts w:ascii="Tahoma" w:eastAsia="Times New Roman" w:hAnsi="Tahoma" w:cs="Tahoma"/>
          <w:sz w:val="24"/>
          <w:szCs w:val="24"/>
        </w:rPr>
        <w:tab/>
      </w:r>
      <w:r w:rsidRPr="002462E6">
        <w:rPr>
          <w:rFonts w:ascii="Tahoma" w:eastAsia="Times New Roman" w:hAnsi="Tahoma" w:cs="Tahoma"/>
          <w:sz w:val="24"/>
          <w:szCs w:val="24"/>
        </w:rPr>
        <w:t>: Convention sur la Diversité Biologique</w:t>
      </w:r>
    </w:p>
    <w:p w:rsidR="0060030A" w:rsidRPr="002462E6" w:rsidRDefault="0060030A" w:rsidP="0083519B">
      <w:pPr>
        <w:tabs>
          <w:tab w:val="left" w:pos="1418"/>
        </w:tabs>
        <w:jc w:val="both"/>
        <w:rPr>
          <w:rFonts w:ascii="Tahoma" w:eastAsia="Times New Roman" w:hAnsi="Tahoma" w:cs="Tahoma"/>
          <w:sz w:val="24"/>
          <w:szCs w:val="24"/>
        </w:rPr>
      </w:pPr>
      <w:r w:rsidRPr="002462E6">
        <w:rPr>
          <w:rFonts w:ascii="Tahoma" w:eastAsia="Times New Roman" w:hAnsi="Tahoma" w:cs="Tahoma"/>
          <w:b/>
          <w:bCs/>
          <w:sz w:val="24"/>
          <w:szCs w:val="24"/>
        </w:rPr>
        <w:t>CDF</w:t>
      </w:r>
      <w:r w:rsidR="007C23A7">
        <w:rPr>
          <w:rFonts w:ascii="Tahoma" w:eastAsia="Times New Roman" w:hAnsi="Tahoma" w:cs="Tahoma"/>
          <w:sz w:val="24"/>
          <w:szCs w:val="24"/>
        </w:rPr>
        <w:t> </w:t>
      </w:r>
      <w:r w:rsidR="00954B3A">
        <w:rPr>
          <w:rFonts w:ascii="Tahoma" w:eastAsia="Times New Roman" w:hAnsi="Tahoma" w:cs="Tahoma"/>
          <w:sz w:val="24"/>
          <w:szCs w:val="24"/>
        </w:rPr>
        <w:tab/>
      </w:r>
      <w:r w:rsidR="007C23A7">
        <w:rPr>
          <w:rFonts w:ascii="Tahoma" w:eastAsia="Times New Roman" w:hAnsi="Tahoma" w:cs="Tahoma"/>
          <w:sz w:val="24"/>
          <w:szCs w:val="24"/>
        </w:rPr>
        <w:t>: Centre</w:t>
      </w:r>
      <w:r w:rsidRPr="002462E6">
        <w:rPr>
          <w:rFonts w:ascii="Tahoma" w:eastAsia="Times New Roman" w:hAnsi="Tahoma" w:cs="Tahoma"/>
          <w:sz w:val="24"/>
          <w:szCs w:val="24"/>
        </w:rPr>
        <w:t xml:space="preserve"> de Développement Forestier </w:t>
      </w:r>
    </w:p>
    <w:p w:rsidR="0060030A" w:rsidRPr="002462E6" w:rsidRDefault="0060030A" w:rsidP="0083519B">
      <w:pPr>
        <w:tabs>
          <w:tab w:val="left" w:pos="1418"/>
        </w:tabs>
        <w:jc w:val="both"/>
        <w:rPr>
          <w:rFonts w:ascii="Tahoma" w:hAnsi="Tahoma" w:cs="Tahoma"/>
          <w:sz w:val="24"/>
          <w:szCs w:val="24"/>
        </w:rPr>
      </w:pPr>
      <w:r w:rsidRPr="002462E6">
        <w:rPr>
          <w:rFonts w:ascii="Tahoma" w:eastAsia="Times New Roman" w:hAnsi="Tahoma" w:cs="Tahoma"/>
          <w:b/>
          <w:bCs/>
          <w:sz w:val="24"/>
          <w:szCs w:val="24"/>
          <w:lang w:eastAsia="fr-FR"/>
        </w:rPr>
        <w:t>CDN</w:t>
      </w:r>
      <w:r w:rsidRPr="002462E6">
        <w:rPr>
          <w:rFonts w:ascii="Tahoma" w:hAnsi="Tahoma" w:cs="Tahoma"/>
          <w:sz w:val="24"/>
          <w:szCs w:val="24"/>
        </w:rPr>
        <w:t> </w:t>
      </w:r>
      <w:r w:rsidR="00954B3A">
        <w:rPr>
          <w:rFonts w:ascii="Tahoma" w:hAnsi="Tahoma" w:cs="Tahoma"/>
          <w:sz w:val="24"/>
          <w:szCs w:val="24"/>
        </w:rPr>
        <w:tab/>
      </w:r>
      <w:r w:rsidRPr="002462E6">
        <w:rPr>
          <w:rFonts w:ascii="Tahoma" w:hAnsi="Tahoma" w:cs="Tahoma"/>
          <w:sz w:val="24"/>
          <w:szCs w:val="24"/>
        </w:rPr>
        <w:t xml:space="preserve">: Contribution </w:t>
      </w:r>
      <w:r w:rsidR="007C23A7">
        <w:rPr>
          <w:rFonts w:ascii="Tahoma" w:hAnsi="Tahoma" w:cs="Tahoma"/>
          <w:sz w:val="24"/>
          <w:szCs w:val="24"/>
        </w:rPr>
        <w:t>D</w:t>
      </w:r>
      <w:r w:rsidRPr="002462E6">
        <w:rPr>
          <w:rFonts w:ascii="Tahoma" w:hAnsi="Tahoma" w:cs="Tahoma"/>
          <w:sz w:val="24"/>
          <w:szCs w:val="24"/>
        </w:rPr>
        <w:t xml:space="preserve">éterminée au </w:t>
      </w:r>
      <w:r w:rsidR="007C23A7">
        <w:rPr>
          <w:rFonts w:ascii="Tahoma" w:hAnsi="Tahoma" w:cs="Tahoma"/>
          <w:sz w:val="24"/>
          <w:szCs w:val="24"/>
        </w:rPr>
        <w:t>N</w:t>
      </w:r>
      <w:r w:rsidRPr="002462E6">
        <w:rPr>
          <w:rFonts w:ascii="Tahoma" w:hAnsi="Tahoma" w:cs="Tahoma"/>
          <w:sz w:val="24"/>
          <w:szCs w:val="24"/>
        </w:rPr>
        <w:t xml:space="preserve">iveau </w:t>
      </w:r>
      <w:r w:rsidR="007C23A7">
        <w:rPr>
          <w:rFonts w:ascii="Tahoma" w:hAnsi="Tahoma" w:cs="Tahoma"/>
          <w:sz w:val="24"/>
          <w:szCs w:val="24"/>
        </w:rPr>
        <w:t>N</w:t>
      </w:r>
      <w:r w:rsidRPr="002462E6">
        <w:rPr>
          <w:rFonts w:ascii="Tahoma" w:hAnsi="Tahoma" w:cs="Tahoma"/>
          <w:sz w:val="24"/>
          <w:szCs w:val="24"/>
        </w:rPr>
        <w:t xml:space="preserve">ational </w:t>
      </w:r>
    </w:p>
    <w:p w:rsidR="0060030A" w:rsidRPr="002462E6" w:rsidRDefault="0060030A" w:rsidP="0083519B">
      <w:pPr>
        <w:tabs>
          <w:tab w:val="left" w:pos="1418"/>
        </w:tabs>
        <w:jc w:val="both"/>
        <w:rPr>
          <w:rFonts w:ascii="Tahoma" w:hAnsi="Tahoma" w:cs="Tahoma"/>
          <w:sz w:val="24"/>
          <w:szCs w:val="24"/>
        </w:rPr>
      </w:pPr>
      <w:r w:rsidRPr="002462E6">
        <w:rPr>
          <w:rFonts w:ascii="Tahoma" w:eastAsia="Times New Roman" w:hAnsi="Tahoma" w:cs="Tahoma"/>
          <w:b/>
          <w:bCs/>
          <w:sz w:val="24"/>
          <w:szCs w:val="24"/>
          <w:lang w:eastAsia="fr-FR"/>
        </w:rPr>
        <w:t>CESE </w:t>
      </w:r>
      <w:r w:rsidR="00954B3A">
        <w:rPr>
          <w:rFonts w:ascii="Tahoma" w:eastAsia="Times New Roman" w:hAnsi="Tahoma" w:cs="Tahoma"/>
          <w:b/>
          <w:bCs/>
          <w:sz w:val="24"/>
          <w:szCs w:val="24"/>
          <w:lang w:eastAsia="fr-FR"/>
        </w:rPr>
        <w:tab/>
      </w:r>
      <w:r w:rsidRPr="002462E6">
        <w:rPr>
          <w:rFonts w:ascii="Tahoma" w:hAnsi="Tahoma" w:cs="Tahoma"/>
          <w:sz w:val="24"/>
          <w:szCs w:val="24"/>
        </w:rPr>
        <w:t xml:space="preserve">: Conseil Économique, Social et Environnemental </w:t>
      </w:r>
    </w:p>
    <w:p w:rsidR="0060030A" w:rsidRPr="002462E6" w:rsidRDefault="0060030A" w:rsidP="0083519B">
      <w:pPr>
        <w:widowControl w:val="0"/>
        <w:tabs>
          <w:tab w:val="left" w:pos="1418"/>
        </w:tabs>
        <w:autoSpaceDE w:val="0"/>
        <w:autoSpaceDN w:val="0"/>
        <w:spacing w:after="0" w:line="360" w:lineRule="auto"/>
        <w:jc w:val="both"/>
        <w:rPr>
          <w:rFonts w:ascii="Tahoma" w:eastAsia="Times New Roman" w:hAnsi="Tahoma" w:cs="Tahoma"/>
          <w:sz w:val="24"/>
          <w:szCs w:val="24"/>
        </w:rPr>
      </w:pPr>
      <w:r w:rsidRPr="002462E6">
        <w:rPr>
          <w:rFonts w:ascii="Tahoma" w:eastAsia="Times New Roman" w:hAnsi="Tahoma" w:cs="Tahoma"/>
          <w:b/>
          <w:bCs/>
          <w:sz w:val="24"/>
          <w:szCs w:val="24"/>
        </w:rPr>
        <w:t>CIFOR</w:t>
      </w:r>
      <w:r w:rsidRPr="002462E6">
        <w:rPr>
          <w:rFonts w:ascii="Tahoma" w:eastAsia="Times New Roman" w:hAnsi="Tahoma" w:cs="Tahoma"/>
          <w:sz w:val="24"/>
          <w:szCs w:val="24"/>
        </w:rPr>
        <w:t xml:space="preserve"> </w:t>
      </w:r>
      <w:r w:rsidR="00954B3A">
        <w:rPr>
          <w:rFonts w:ascii="Tahoma" w:eastAsia="Times New Roman" w:hAnsi="Tahoma" w:cs="Tahoma"/>
          <w:sz w:val="24"/>
          <w:szCs w:val="24"/>
        </w:rPr>
        <w:tab/>
      </w:r>
      <w:r w:rsidRPr="002462E6">
        <w:rPr>
          <w:rFonts w:ascii="Tahoma" w:eastAsia="Times New Roman" w:hAnsi="Tahoma" w:cs="Tahoma"/>
          <w:sz w:val="24"/>
          <w:szCs w:val="24"/>
        </w:rPr>
        <w:t>: Centre de Recherche Forestière Internationale</w:t>
      </w:r>
    </w:p>
    <w:p w:rsidR="0060030A" w:rsidRPr="002462E6" w:rsidRDefault="0060030A" w:rsidP="0083519B">
      <w:pPr>
        <w:widowControl w:val="0"/>
        <w:tabs>
          <w:tab w:val="left" w:pos="1418"/>
        </w:tabs>
        <w:autoSpaceDE w:val="0"/>
        <w:autoSpaceDN w:val="0"/>
        <w:spacing w:after="0" w:line="360" w:lineRule="auto"/>
        <w:jc w:val="both"/>
        <w:rPr>
          <w:rFonts w:ascii="Tahoma" w:eastAsia="Times New Roman" w:hAnsi="Tahoma" w:cs="Tahoma"/>
          <w:sz w:val="24"/>
          <w:szCs w:val="24"/>
        </w:rPr>
      </w:pPr>
      <w:r w:rsidRPr="002462E6">
        <w:rPr>
          <w:rFonts w:ascii="Tahoma" w:eastAsia="Times New Roman" w:hAnsi="Tahoma" w:cs="Tahoma"/>
          <w:b/>
          <w:bCs/>
          <w:sz w:val="24"/>
          <w:szCs w:val="24"/>
        </w:rPr>
        <w:t>CNUCED</w:t>
      </w:r>
      <w:r w:rsidRPr="002462E6">
        <w:rPr>
          <w:rFonts w:ascii="Tahoma" w:eastAsia="Times New Roman" w:hAnsi="Tahoma" w:cs="Tahoma"/>
          <w:sz w:val="24"/>
          <w:szCs w:val="24"/>
        </w:rPr>
        <w:t xml:space="preserve"> </w:t>
      </w:r>
      <w:r w:rsidR="00954B3A">
        <w:rPr>
          <w:rFonts w:ascii="Tahoma" w:eastAsia="Times New Roman" w:hAnsi="Tahoma" w:cs="Tahoma"/>
          <w:sz w:val="24"/>
          <w:szCs w:val="24"/>
        </w:rPr>
        <w:tab/>
      </w:r>
      <w:r w:rsidRPr="002462E6">
        <w:rPr>
          <w:rFonts w:ascii="Tahoma" w:eastAsia="Times New Roman" w:hAnsi="Tahoma" w:cs="Tahoma"/>
          <w:sz w:val="24"/>
          <w:szCs w:val="24"/>
        </w:rPr>
        <w:t xml:space="preserve">: Conférence des Nations </w:t>
      </w:r>
      <w:r w:rsidR="00C412F7">
        <w:rPr>
          <w:rFonts w:ascii="Tahoma" w:eastAsia="Times New Roman" w:hAnsi="Tahoma" w:cs="Tahoma"/>
          <w:sz w:val="24"/>
          <w:szCs w:val="24"/>
        </w:rPr>
        <w:t>U</w:t>
      </w:r>
      <w:r w:rsidRPr="002462E6">
        <w:rPr>
          <w:rFonts w:ascii="Tahoma" w:eastAsia="Times New Roman" w:hAnsi="Tahoma" w:cs="Tahoma"/>
          <w:sz w:val="24"/>
          <w:szCs w:val="24"/>
        </w:rPr>
        <w:t xml:space="preserve">nies sur le </w:t>
      </w:r>
      <w:r w:rsidR="00C412F7">
        <w:rPr>
          <w:rFonts w:ascii="Tahoma" w:eastAsia="Times New Roman" w:hAnsi="Tahoma" w:cs="Tahoma"/>
          <w:sz w:val="24"/>
          <w:szCs w:val="24"/>
        </w:rPr>
        <w:t>C</w:t>
      </w:r>
      <w:r w:rsidRPr="002462E6">
        <w:rPr>
          <w:rFonts w:ascii="Tahoma" w:eastAsia="Times New Roman" w:hAnsi="Tahoma" w:cs="Tahoma"/>
          <w:sz w:val="24"/>
          <w:szCs w:val="24"/>
        </w:rPr>
        <w:t xml:space="preserve">ommerce et le </w:t>
      </w:r>
      <w:r w:rsidR="00C412F7">
        <w:rPr>
          <w:rFonts w:ascii="Tahoma" w:eastAsia="Times New Roman" w:hAnsi="Tahoma" w:cs="Tahoma"/>
          <w:sz w:val="24"/>
          <w:szCs w:val="24"/>
        </w:rPr>
        <w:t>D</w:t>
      </w:r>
      <w:r w:rsidRPr="002462E6">
        <w:rPr>
          <w:rFonts w:ascii="Tahoma" w:eastAsia="Times New Roman" w:hAnsi="Tahoma" w:cs="Tahoma"/>
          <w:sz w:val="24"/>
          <w:szCs w:val="24"/>
        </w:rPr>
        <w:t>éveloppement</w:t>
      </w:r>
    </w:p>
    <w:p w:rsidR="0060030A" w:rsidRPr="002462E6" w:rsidRDefault="0060030A" w:rsidP="0083519B">
      <w:pPr>
        <w:widowControl w:val="0"/>
        <w:tabs>
          <w:tab w:val="left" w:pos="1418"/>
        </w:tabs>
        <w:autoSpaceDE w:val="0"/>
        <w:autoSpaceDN w:val="0"/>
        <w:spacing w:after="0" w:line="360" w:lineRule="auto"/>
        <w:jc w:val="both"/>
        <w:rPr>
          <w:rFonts w:ascii="Tahoma" w:eastAsia="Times New Roman" w:hAnsi="Tahoma" w:cs="Tahoma"/>
          <w:sz w:val="24"/>
          <w:szCs w:val="24"/>
        </w:rPr>
      </w:pPr>
      <w:r w:rsidRPr="002462E6">
        <w:rPr>
          <w:rFonts w:ascii="Tahoma" w:eastAsia="Times New Roman" w:hAnsi="Tahoma" w:cs="Tahoma"/>
          <w:b/>
          <w:bCs/>
          <w:sz w:val="24"/>
          <w:szCs w:val="24"/>
        </w:rPr>
        <w:t>CO2</w:t>
      </w:r>
      <w:r w:rsidR="00954B3A">
        <w:rPr>
          <w:rFonts w:ascii="Tahoma" w:eastAsia="Times New Roman" w:hAnsi="Tahoma" w:cs="Tahoma"/>
          <w:b/>
          <w:bCs/>
          <w:sz w:val="24"/>
          <w:szCs w:val="24"/>
        </w:rPr>
        <w:tab/>
      </w:r>
      <w:r w:rsidRPr="002462E6">
        <w:rPr>
          <w:rFonts w:ascii="Tahoma" w:eastAsia="Times New Roman" w:hAnsi="Tahoma" w:cs="Tahoma"/>
          <w:sz w:val="24"/>
          <w:szCs w:val="24"/>
        </w:rPr>
        <w:t>: Dioxyde de carbone</w:t>
      </w:r>
    </w:p>
    <w:p w:rsidR="0060030A" w:rsidRPr="002462E6" w:rsidRDefault="0060030A" w:rsidP="0083519B">
      <w:pPr>
        <w:widowControl w:val="0"/>
        <w:tabs>
          <w:tab w:val="left" w:pos="1418"/>
        </w:tabs>
        <w:autoSpaceDE w:val="0"/>
        <w:autoSpaceDN w:val="0"/>
        <w:spacing w:after="0" w:line="360" w:lineRule="auto"/>
        <w:jc w:val="both"/>
        <w:rPr>
          <w:rFonts w:ascii="Tahoma" w:eastAsia="Times New Roman" w:hAnsi="Tahoma" w:cs="Tahoma"/>
          <w:sz w:val="24"/>
          <w:szCs w:val="24"/>
        </w:rPr>
      </w:pPr>
      <w:r w:rsidRPr="002462E6">
        <w:rPr>
          <w:rFonts w:ascii="Tahoma" w:eastAsia="Times New Roman" w:hAnsi="Tahoma" w:cs="Tahoma"/>
          <w:b/>
          <w:bCs/>
          <w:sz w:val="24"/>
          <w:szCs w:val="24"/>
        </w:rPr>
        <w:t>CRF</w:t>
      </w:r>
      <w:r w:rsidRPr="002462E6">
        <w:rPr>
          <w:rFonts w:ascii="Tahoma" w:eastAsia="Times New Roman" w:hAnsi="Tahoma" w:cs="Tahoma"/>
          <w:sz w:val="24"/>
          <w:szCs w:val="24"/>
        </w:rPr>
        <w:t xml:space="preserve"> </w:t>
      </w:r>
      <w:r w:rsidR="00954B3A">
        <w:rPr>
          <w:rFonts w:ascii="Tahoma" w:eastAsia="Times New Roman" w:hAnsi="Tahoma" w:cs="Tahoma"/>
          <w:sz w:val="24"/>
          <w:szCs w:val="24"/>
        </w:rPr>
        <w:tab/>
      </w:r>
      <w:r w:rsidRPr="002462E6">
        <w:rPr>
          <w:rFonts w:ascii="Tahoma" w:eastAsia="Times New Roman" w:hAnsi="Tahoma" w:cs="Tahoma"/>
          <w:sz w:val="24"/>
          <w:szCs w:val="24"/>
        </w:rPr>
        <w:t>: Centre de Recherche Forestière</w:t>
      </w:r>
    </w:p>
    <w:p w:rsidR="0060030A" w:rsidRPr="002462E6" w:rsidRDefault="0060030A" w:rsidP="0083519B">
      <w:pPr>
        <w:tabs>
          <w:tab w:val="left" w:pos="1418"/>
        </w:tabs>
        <w:jc w:val="both"/>
        <w:rPr>
          <w:rFonts w:ascii="Tahoma" w:hAnsi="Tahoma" w:cs="Tahoma"/>
          <w:sz w:val="24"/>
          <w:szCs w:val="24"/>
        </w:rPr>
      </w:pPr>
      <w:r w:rsidRPr="002462E6">
        <w:rPr>
          <w:rFonts w:ascii="Tahoma" w:eastAsia="Times New Roman" w:hAnsi="Tahoma" w:cs="Tahoma"/>
          <w:b/>
          <w:bCs/>
          <w:sz w:val="24"/>
          <w:szCs w:val="24"/>
          <w:lang w:eastAsia="fr-FR"/>
        </w:rPr>
        <w:t>CSMD </w:t>
      </w:r>
      <w:r w:rsidR="00954B3A">
        <w:rPr>
          <w:rFonts w:ascii="Tahoma" w:eastAsia="Times New Roman" w:hAnsi="Tahoma" w:cs="Tahoma"/>
          <w:b/>
          <w:bCs/>
          <w:sz w:val="24"/>
          <w:szCs w:val="24"/>
          <w:lang w:eastAsia="fr-FR"/>
        </w:rPr>
        <w:tab/>
      </w:r>
      <w:r w:rsidRPr="002462E6">
        <w:rPr>
          <w:rFonts w:ascii="Tahoma" w:hAnsi="Tahoma" w:cs="Tahoma"/>
          <w:sz w:val="24"/>
          <w:szCs w:val="24"/>
        </w:rPr>
        <w:t xml:space="preserve">: Commission Spéciale sur le Modèle de Développement </w:t>
      </w:r>
    </w:p>
    <w:p w:rsidR="0060030A" w:rsidRPr="002462E6" w:rsidRDefault="0060030A" w:rsidP="0083519B">
      <w:pPr>
        <w:tabs>
          <w:tab w:val="left" w:pos="1418"/>
        </w:tabs>
        <w:jc w:val="both"/>
        <w:rPr>
          <w:rFonts w:ascii="Tahoma" w:eastAsia="Times New Roman" w:hAnsi="Tahoma" w:cs="Tahoma"/>
          <w:color w:val="232333"/>
          <w:sz w:val="24"/>
          <w:szCs w:val="24"/>
        </w:rPr>
      </w:pPr>
      <w:r w:rsidRPr="002462E6">
        <w:rPr>
          <w:rFonts w:ascii="Tahoma" w:eastAsia="Times New Roman" w:hAnsi="Tahoma" w:cs="Tahoma"/>
          <w:b/>
          <w:bCs/>
          <w:color w:val="232333"/>
          <w:sz w:val="24"/>
          <w:szCs w:val="24"/>
        </w:rPr>
        <w:t>DCRF</w:t>
      </w:r>
      <w:r w:rsidRPr="002462E6">
        <w:rPr>
          <w:rFonts w:ascii="Tahoma" w:eastAsia="Times New Roman" w:hAnsi="Tahoma" w:cs="Tahoma"/>
          <w:color w:val="232333"/>
          <w:sz w:val="24"/>
          <w:szCs w:val="24"/>
        </w:rPr>
        <w:t> </w:t>
      </w:r>
      <w:r w:rsidR="00954B3A">
        <w:rPr>
          <w:rFonts w:ascii="Tahoma" w:eastAsia="Times New Roman" w:hAnsi="Tahoma" w:cs="Tahoma"/>
          <w:color w:val="232333"/>
          <w:sz w:val="24"/>
          <w:szCs w:val="24"/>
        </w:rPr>
        <w:tab/>
      </w:r>
      <w:r w:rsidRPr="002462E6">
        <w:rPr>
          <w:rFonts w:ascii="Tahoma" w:eastAsia="Times New Roman" w:hAnsi="Tahoma" w:cs="Tahoma"/>
          <w:color w:val="232333"/>
          <w:sz w:val="24"/>
          <w:szCs w:val="24"/>
        </w:rPr>
        <w:t xml:space="preserve">: Direction de la Conservation des Ressources Forestières </w:t>
      </w:r>
    </w:p>
    <w:p w:rsidR="0060030A" w:rsidRPr="002462E6" w:rsidRDefault="0060030A" w:rsidP="0083519B">
      <w:pPr>
        <w:tabs>
          <w:tab w:val="left" w:pos="1418"/>
        </w:tabs>
        <w:jc w:val="both"/>
        <w:rPr>
          <w:rFonts w:ascii="Tahoma" w:eastAsia="Times New Roman" w:hAnsi="Tahoma" w:cs="Tahoma"/>
          <w:color w:val="232333"/>
          <w:sz w:val="24"/>
          <w:szCs w:val="24"/>
        </w:rPr>
      </w:pPr>
      <w:r w:rsidRPr="002462E6">
        <w:rPr>
          <w:rFonts w:ascii="Tahoma" w:eastAsia="Times New Roman" w:hAnsi="Tahoma" w:cs="Tahoma"/>
          <w:b/>
          <w:bCs/>
          <w:color w:val="232333"/>
          <w:sz w:val="24"/>
          <w:szCs w:val="24"/>
        </w:rPr>
        <w:t>DDF</w:t>
      </w:r>
      <w:r w:rsidRPr="002462E6">
        <w:rPr>
          <w:rFonts w:ascii="Tahoma" w:eastAsia="Times New Roman" w:hAnsi="Tahoma" w:cs="Tahoma"/>
          <w:color w:val="232333"/>
          <w:sz w:val="24"/>
          <w:szCs w:val="24"/>
        </w:rPr>
        <w:t> </w:t>
      </w:r>
      <w:r w:rsidR="00954B3A">
        <w:rPr>
          <w:rFonts w:ascii="Tahoma" w:eastAsia="Times New Roman" w:hAnsi="Tahoma" w:cs="Tahoma"/>
          <w:color w:val="232333"/>
          <w:sz w:val="24"/>
          <w:szCs w:val="24"/>
        </w:rPr>
        <w:tab/>
      </w:r>
      <w:r w:rsidRPr="002462E6">
        <w:rPr>
          <w:rFonts w:ascii="Tahoma" w:eastAsia="Times New Roman" w:hAnsi="Tahoma" w:cs="Tahoma"/>
          <w:color w:val="232333"/>
          <w:sz w:val="24"/>
          <w:szCs w:val="24"/>
        </w:rPr>
        <w:t>: Direction du Développement Forestier</w:t>
      </w:r>
    </w:p>
    <w:p w:rsidR="0060030A" w:rsidRPr="002462E6" w:rsidRDefault="0060030A" w:rsidP="0083519B">
      <w:pPr>
        <w:tabs>
          <w:tab w:val="left" w:pos="1418"/>
        </w:tabs>
        <w:jc w:val="both"/>
        <w:rPr>
          <w:rFonts w:ascii="Tahoma" w:eastAsia="Times New Roman" w:hAnsi="Tahoma" w:cs="Tahoma"/>
          <w:sz w:val="24"/>
          <w:szCs w:val="24"/>
          <w:lang w:eastAsia="fr-FR"/>
        </w:rPr>
      </w:pPr>
      <w:r w:rsidRPr="002462E6">
        <w:rPr>
          <w:rFonts w:ascii="Tahoma" w:eastAsia="Times New Roman" w:hAnsi="Tahoma" w:cs="Tahoma"/>
          <w:b/>
          <w:bCs/>
          <w:color w:val="232333"/>
          <w:sz w:val="24"/>
          <w:szCs w:val="24"/>
        </w:rPr>
        <w:t>DEF </w:t>
      </w:r>
      <w:r w:rsidR="00954B3A">
        <w:rPr>
          <w:rFonts w:ascii="Tahoma" w:eastAsia="Times New Roman" w:hAnsi="Tahoma" w:cs="Tahoma"/>
          <w:b/>
          <w:bCs/>
          <w:color w:val="232333"/>
          <w:sz w:val="24"/>
          <w:szCs w:val="24"/>
        </w:rPr>
        <w:tab/>
      </w:r>
      <w:r w:rsidRPr="002462E6">
        <w:rPr>
          <w:rFonts w:ascii="Tahoma" w:eastAsia="Times New Roman" w:hAnsi="Tahoma" w:cs="Tahoma"/>
          <w:sz w:val="24"/>
          <w:szCs w:val="24"/>
          <w:lang w:eastAsia="fr-FR"/>
        </w:rPr>
        <w:t xml:space="preserve">: Département des Eaux et Forêts </w:t>
      </w:r>
    </w:p>
    <w:p w:rsidR="0060030A" w:rsidRPr="002462E6" w:rsidRDefault="0060030A" w:rsidP="0083519B">
      <w:pPr>
        <w:tabs>
          <w:tab w:val="left" w:pos="1418"/>
        </w:tabs>
        <w:jc w:val="both"/>
        <w:rPr>
          <w:rFonts w:ascii="Tahoma" w:eastAsia="Times New Roman" w:hAnsi="Tahoma" w:cs="Tahoma"/>
          <w:color w:val="232333"/>
          <w:sz w:val="24"/>
          <w:szCs w:val="24"/>
        </w:rPr>
      </w:pPr>
      <w:r w:rsidRPr="002462E6">
        <w:rPr>
          <w:rFonts w:ascii="Tahoma" w:eastAsia="Times New Roman" w:hAnsi="Tahoma" w:cs="Tahoma"/>
          <w:b/>
          <w:bCs/>
          <w:color w:val="232333"/>
          <w:sz w:val="24"/>
          <w:szCs w:val="24"/>
        </w:rPr>
        <w:t>DEFCS</w:t>
      </w:r>
      <w:r w:rsidRPr="002462E6">
        <w:rPr>
          <w:rFonts w:ascii="Tahoma" w:eastAsia="Times New Roman" w:hAnsi="Tahoma" w:cs="Tahoma"/>
          <w:color w:val="232333"/>
          <w:sz w:val="24"/>
          <w:szCs w:val="24"/>
        </w:rPr>
        <w:t> </w:t>
      </w:r>
      <w:r w:rsidR="00954B3A">
        <w:rPr>
          <w:rFonts w:ascii="Tahoma" w:eastAsia="Times New Roman" w:hAnsi="Tahoma" w:cs="Tahoma"/>
          <w:color w:val="232333"/>
          <w:sz w:val="24"/>
          <w:szCs w:val="24"/>
        </w:rPr>
        <w:tab/>
      </w:r>
      <w:r w:rsidRPr="002462E6">
        <w:rPr>
          <w:rFonts w:ascii="Tahoma" w:eastAsia="Times New Roman" w:hAnsi="Tahoma" w:cs="Tahoma"/>
          <w:color w:val="232333"/>
          <w:sz w:val="24"/>
          <w:szCs w:val="24"/>
        </w:rPr>
        <w:t xml:space="preserve">: Direction des Eaux et Forêts de la Conservation des Sols </w:t>
      </w:r>
    </w:p>
    <w:p w:rsidR="0060030A" w:rsidRPr="002462E6" w:rsidRDefault="0060030A" w:rsidP="0083519B">
      <w:pPr>
        <w:tabs>
          <w:tab w:val="left" w:pos="1418"/>
        </w:tabs>
        <w:jc w:val="both"/>
        <w:rPr>
          <w:rFonts w:ascii="Tahoma" w:eastAsia="Times New Roman" w:hAnsi="Tahoma" w:cs="Tahoma"/>
          <w:sz w:val="24"/>
          <w:szCs w:val="24"/>
        </w:rPr>
      </w:pPr>
      <w:r w:rsidRPr="002462E6">
        <w:rPr>
          <w:rFonts w:ascii="Tahoma" w:eastAsia="Times New Roman" w:hAnsi="Tahoma" w:cs="Tahoma"/>
          <w:b/>
          <w:bCs/>
          <w:sz w:val="24"/>
          <w:szCs w:val="24"/>
          <w:lang w:eastAsia="fr-FR"/>
        </w:rPr>
        <w:t>DEP </w:t>
      </w:r>
      <w:r w:rsidR="00954B3A">
        <w:rPr>
          <w:rFonts w:ascii="Tahoma" w:eastAsia="Times New Roman" w:hAnsi="Tahoma" w:cs="Tahoma"/>
          <w:b/>
          <w:bCs/>
          <w:sz w:val="24"/>
          <w:szCs w:val="24"/>
          <w:lang w:eastAsia="fr-FR"/>
        </w:rPr>
        <w:tab/>
      </w:r>
      <w:r w:rsidRPr="002462E6">
        <w:rPr>
          <w:rFonts w:ascii="Tahoma" w:eastAsia="Times New Roman" w:hAnsi="Tahoma" w:cs="Tahoma"/>
          <w:sz w:val="24"/>
          <w:szCs w:val="24"/>
        </w:rPr>
        <w:t xml:space="preserve">: Département des Eaux et Forêts </w:t>
      </w:r>
    </w:p>
    <w:p w:rsidR="0060030A" w:rsidRPr="002462E6" w:rsidRDefault="0060030A" w:rsidP="0083519B">
      <w:pPr>
        <w:tabs>
          <w:tab w:val="left" w:pos="1418"/>
        </w:tabs>
        <w:jc w:val="both"/>
        <w:rPr>
          <w:rFonts w:ascii="Tahoma" w:eastAsia="Times New Roman" w:hAnsi="Tahoma" w:cs="Tahoma"/>
          <w:color w:val="232333"/>
          <w:sz w:val="24"/>
          <w:szCs w:val="24"/>
        </w:rPr>
      </w:pPr>
      <w:r w:rsidRPr="002462E6">
        <w:rPr>
          <w:rFonts w:ascii="Tahoma" w:eastAsia="Times New Roman" w:hAnsi="Tahoma" w:cs="Tahoma"/>
          <w:b/>
          <w:bCs/>
          <w:color w:val="232333"/>
          <w:sz w:val="24"/>
          <w:szCs w:val="24"/>
        </w:rPr>
        <w:t>DPA</w:t>
      </w:r>
      <w:r w:rsidRPr="002462E6">
        <w:rPr>
          <w:rFonts w:ascii="Tahoma" w:eastAsia="Times New Roman" w:hAnsi="Tahoma" w:cs="Tahoma"/>
          <w:color w:val="232333"/>
          <w:sz w:val="24"/>
          <w:szCs w:val="24"/>
        </w:rPr>
        <w:t> </w:t>
      </w:r>
      <w:r w:rsidR="00954B3A">
        <w:rPr>
          <w:rFonts w:ascii="Tahoma" w:eastAsia="Times New Roman" w:hAnsi="Tahoma" w:cs="Tahoma"/>
          <w:color w:val="232333"/>
          <w:sz w:val="24"/>
          <w:szCs w:val="24"/>
        </w:rPr>
        <w:tab/>
      </w:r>
      <w:r w:rsidRPr="002462E6">
        <w:rPr>
          <w:rFonts w:ascii="Tahoma" w:eastAsia="Times New Roman" w:hAnsi="Tahoma" w:cs="Tahoma"/>
          <w:color w:val="232333"/>
          <w:sz w:val="24"/>
          <w:szCs w:val="24"/>
        </w:rPr>
        <w:t xml:space="preserve">: Directions Provinciales de l’Agriculture </w:t>
      </w:r>
    </w:p>
    <w:p w:rsidR="0060030A" w:rsidRPr="002462E6" w:rsidRDefault="0060030A" w:rsidP="00954B3A">
      <w:pPr>
        <w:tabs>
          <w:tab w:val="left" w:pos="1418"/>
        </w:tabs>
        <w:ind w:left="1418" w:hanging="1418"/>
        <w:jc w:val="both"/>
        <w:rPr>
          <w:rFonts w:ascii="Tahoma" w:hAnsi="Tahoma" w:cs="Tahoma"/>
          <w:sz w:val="24"/>
          <w:szCs w:val="24"/>
        </w:rPr>
      </w:pPr>
      <w:r w:rsidRPr="002462E6">
        <w:rPr>
          <w:rFonts w:ascii="Tahoma" w:eastAsia="Times New Roman" w:hAnsi="Tahoma" w:cs="Tahoma"/>
          <w:b/>
          <w:bCs/>
          <w:sz w:val="24"/>
          <w:szCs w:val="24"/>
          <w:lang w:eastAsia="fr-FR"/>
        </w:rPr>
        <w:lastRenderedPageBreak/>
        <w:t>DPEFLCD</w:t>
      </w:r>
      <w:r w:rsidRPr="002462E6">
        <w:rPr>
          <w:rFonts w:ascii="Tahoma" w:hAnsi="Tahoma" w:cs="Tahoma"/>
          <w:sz w:val="24"/>
          <w:szCs w:val="24"/>
        </w:rPr>
        <w:t> </w:t>
      </w:r>
      <w:r w:rsidR="00954B3A">
        <w:rPr>
          <w:rFonts w:ascii="Tahoma" w:hAnsi="Tahoma" w:cs="Tahoma"/>
          <w:sz w:val="24"/>
          <w:szCs w:val="24"/>
        </w:rPr>
        <w:tab/>
      </w:r>
      <w:r w:rsidRPr="002462E6">
        <w:rPr>
          <w:rFonts w:ascii="Tahoma" w:hAnsi="Tahoma" w:cs="Tahoma"/>
          <w:sz w:val="24"/>
          <w:szCs w:val="24"/>
        </w:rPr>
        <w:t xml:space="preserve">: Directions Provinciales des Eaux et Forêts et de la Lutte Contre la Désertification </w:t>
      </w:r>
    </w:p>
    <w:p w:rsidR="0060030A" w:rsidRPr="002462E6" w:rsidRDefault="0060030A" w:rsidP="00954B3A">
      <w:pPr>
        <w:tabs>
          <w:tab w:val="left" w:pos="1418"/>
        </w:tabs>
        <w:ind w:left="1418" w:hanging="1418"/>
        <w:jc w:val="both"/>
        <w:rPr>
          <w:rFonts w:ascii="Tahoma" w:eastAsia="Times New Roman" w:hAnsi="Tahoma" w:cs="Tahoma"/>
          <w:sz w:val="24"/>
          <w:szCs w:val="24"/>
        </w:rPr>
      </w:pPr>
      <w:r w:rsidRPr="002462E6">
        <w:rPr>
          <w:rFonts w:ascii="Tahoma" w:eastAsia="Times New Roman" w:hAnsi="Tahoma" w:cs="Tahoma"/>
          <w:b/>
          <w:bCs/>
          <w:color w:val="232333"/>
          <w:sz w:val="24"/>
          <w:szCs w:val="24"/>
        </w:rPr>
        <w:t>DREFLCD</w:t>
      </w:r>
      <w:r w:rsidRPr="002462E6">
        <w:rPr>
          <w:rFonts w:ascii="Tahoma" w:eastAsia="Times New Roman" w:hAnsi="Tahoma" w:cs="Tahoma"/>
          <w:sz w:val="24"/>
          <w:szCs w:val="24"/>
        </w:rPr>
        <w:t> </w:t>
      </w:r>
      <w:r w:rsidR="00954B3A">
        <w:rPr>
          <w:rFonts w:ascii="Tahoma" w:eastAsia="Times New Roman" w:hAnsi="Tahoma" w:cs="Tahoma"/>
          <w:sz w:val="24"/>
          <w:szCs w:val="24"/>
        </w:rPr>
        <w:tab/>
      </w:r>
      <w:r w:rsidRPr="002462E6">
        <w:rPr>
          <w:rFonts w:ascii="Tahoma" w:eastAsia="Times New Roman" w:hAnsi="Tahoma" w:cs="Tahoma"/>
          <w:sz w:val="24"/>
          <w:szCs w:val="24"/>
        </w:rPr>
        <w:t xml:space="preserve">: Direction Régionale des Eaux et Forêts et de la Lutte Contre la Désertification </w:t>
      </w:r>
    </w:p>
    <w:p w:rsidR="0060030A" w:rsidRPr="002462E6" w:rsidRDefault="0060030A" w:rsidP="0083519B">
      <w:pPr>
        <w:widowControl w:val="0"/>
        <w:tabs>
          <w:tab w:val="left" w:pos="1418"/>
        </w:tabs>
        <w:autoSpaceDE w:val="0"/>
        <w:autoSpaceDN w:val="0"/>
        <w:spacing w:after="0" w:line="360" w:lineRule="auto"/>
        <w:jc w:val="both"/>
        <w:rPr>
          <w:rFonts w:ascii="Tahoma" w:eastAsia="Times New Roman" w:hAnsi="Tahoma" w:cs="Tahoma"/>
          <w:sz w:val="24"/>
          <w:szCs w:val="24"/>
        </w:rPr>
      </w:pPr>
      <w:r w:rsidRPr="002462E6">
        <w:rPr>
          <w:rFonts w:ascii="Tahoma" w:eastAsia="Times New Roman" w:hAnsi="Tahoma" w:cs="Tahoma"/>
          <w:b/>
          <w:bCs/>
          <w:sz w:val="24"/>
          <w:szCs w:val="24"/>
        </w:rPr>
        <w:t>DRR</w:t>
      </w:r>
      <w:r w:rsidRPr="002462E6">
        <w:rPr>
          <w:rFonts w:ascii="Tahoma" w:eastAsia="Times New Roman" w:hAnsi="Tahoma" w:cs="Tahoma"/>
          <w:sz w:val="24"/>
          <w:szCs w:val="24"/>
        </w:rPr>
        <w:t xml:space="preserve"> </w:t>
      </w:r>
      <w:r w:rsidR="00954B3A">
        <w:rPr>
          <w:rFonts w:ascii="Tahoma" w:eastAsia="Times New Roman" w:hAnsi="Tahoma" w:cs="Tahoma"/>
          <w:sz w:val="24"/>
          <w:szCs w:val="24"/>
        </w:rPr>
        <w:tab/>
      </w:r>
      <w:r w:rsidRPr="002462E6">
        <w:rPr>
          <w:rFonts w:ascii="Tahoma" w:eastAsia="Times New Roman" w:hAnsi="Tahoma" w:cs="Tahoma"/>
          <w:sz w:val="24"/>
          <w:szCs w:val="24"/>
        </w:rPr>
        <w:t xml:space="preserve">: Disaster Risk Reduction </w:t>
      </w:r>
    </w:p>
    <w:p w:rsidR="0060030A" w:rsidRPr="002462E6" w:rsidRDefault="0060030A" w:rsidP="0083519B">
      <w:pPr>
        <w:tabs>
          <w:tab w:val="left" w:pos="1418"/>
        </w:tabs>
        <w:jc w:val="both"/>
        <w:rPr>
          <w:rFonts w:ascii="Tahoma" w:eastAsia="Times New Roman" w:hAnsi="Tahoma" w:cs="Tahoma"/>
          <w:color w:val="232333"/>
          <w:sz w:val="24"/>
          <w:szCs w:val="24"/>
        </w:rPr>
      </w:pPr>
      <w:r w:rsidRPr="002462E6">
        <w:rPr>
          <w:rFonts w:ascii="Tahoma" w:eastAsia="Times New Roman" w:hAnsi="Tahoma" w:cs="Tahoma"/>
          <w:b/>
          <w:bCs/>
          <w:color w:val="232333"/>
          <w:sz w:val="24"/>
          <w:szCs w:val="24"/>
        </w:rPr>
        <w:t>ENFI</w:t>
      </w:r>
      <w:r w:rsidRPr="002462E6">
        <w:rPr>
          <w:rFonts w:ascii="Tahoma" w:eastAsia="Times New Roman" w:hAnsi="Tahoma" w:cs="Tahoma"/>
          <w:color w:val="232333"/>
          <w:sz w:val="24"/>
          <w:szCs w:val="24"/>
        </w:rPr>
        <w:t> </w:t>
      </w:r>
      <w:r w:rsidR="00954B3A">
        <w:rPr>
          <w:rFonts w:ascii="Tahoma" w:eastAsia="Times New Roman" w:hAnsi="Tahoma" w:cs="Tahoma"/>
          <w:color w:val="232333"/>
          <w:sz w:val="24"/>
          <w:szCs w:val="24"/>
        </w:rPr>
        <w:tab/>
      </w:r>
      <w:r w:rsidRPr="002462E6">
        <w:rPr>
          <w:rFonts w:ascii="Tahoma" w:eastAsia="Times New Roman" w:hAnsi="Tahoma" w:cs="Tahoma"/>
          <w:color w:val="232333"/>
          <w:sz w:val="24"/>
          <w:szCs w:val="24"/>
        </w:rPr>
        <w:t xml:space="preserve">: l’École Nationale Forestière d'Ingénieurs </w:t>
      </w:r>
    </w:p>
    <w:p w:rsidR="0060030A" w:rsidRPr="002462E6" w:rsidRDefault="0060030A" w:rsidP="0083519B">
      <w:pPr>
        <w:tabs>
          <w:tab w:val="left" w:pos="1418"/>
        </w:tabs>
        <w:jc w:val="both"/>
        <w:rPr>
          <w:rFonts w:ascii="Tahoma" w:hAnsi="Tahoma" w:cs="Tahoma"/>
          <w:sz w:val="24"/>
          <w:szCs w:val="24"/>
        </w:rPr>
      </w:pPr>
      <w:r w:rsidRPr="002462E6">
        <w:rPr>
          <w:rFonts w:ascii="Tahoma" w:eastAsia="Times New Roman" w:hAnsi="Tahoma" w:cs="Tahoma"/>
          <w:b/>
          <w:bCs/>
          <w:sz w:val="24"/>
          <w:szCs w:val="24"/>
          <w:lang w:eastAsia="fr-FR"/>
        </w:rPr>
        <w:t>EPCI </w:t>
      </w:r>
      <w:r w:rsidR="00954B3A">
        <w:rPr>
          <w:rFonts w:ascii="Tahoma" w:eastAsia="Times New Roman" w:hAnsi="Tahoma" w:cs="Tahoma"/>
          <w:b/>
          <w:bCs/>
          <w:sz w:val="24"/>
          <w:szCs w:val="24"/>
          <w:lang w:eastAsia="fr-FR"/>
        </w:rPr>
        <w:tab/>
      </w:r>
      <w:r w:rsidRPr="002462E6">
        <w:rPr>
          <w:rFonts w:ascii="Tahoma" w:hAnsi="Tahoma" w:cs="Tahoma"/>
          <w:sz w:val="24"/>
          <w:szCs w:val="24"/>
        </w:rPr>
        <w:t xml:space="preserve">: Etablissements </w:t>
      </w:r>
      <w:r w:rsidR="00C412F7">
        <w:rPr>
          <w:rFonts w:ascii="Tahoma" w:hAnsi="Tahoma" w:cs="Tahoma"/>
          <w:sz w:val="24"/>
          <w:szCs w:val="24"/>
        </w:rPr>
        <w:t>P</w:t>
      </w:r>
      <w:r w:rsidRPr="002462E6">
        <w:rPr>
          <w:rFonts w:ascii="Tahoma" w:hAnsi="Tahoma" w:cs="Tahoma"/>
          <w:sz w:val="24"/>
          <w:szCs w:val="24"/>
        </w:rPr>
        <w:t xml:space="preserve">ublics de </w:t>
      </w:r>
      <w:r w:rsidR="00C412F7">
        <w:rPr>
          <w:rFonts w:ascii="Tahoma" w:hAnsi="Tahoma" w:cs="Tahoma"/>
          <w:sz w:val="24"/>
          <w:szCs w:val="24"/>
        </w:rPr>
        <w:t>C</w:t>
      </w:r>
      <w:r w:rsidRPr="002462E6">
        <w:rPr>
          <w:rFonts w:ascii="Tahoma" w:hAnsi="Tahoma" w:cs="Tahoma"/>
          <w:sz w:val="24"/>
          <w:szCs w:val="24"/>
        </w:rPr>
        <w:t xml:space="preserve">oopération </w:t>
      </w:r>
      <w:r w:rsidR="00C412F7">
        <w:rPr>
          <w:rFonts w:ascii="Tahoma" w:hAnsi="Tahoma" w:cs="Tahoma"/>
          <w:sz w:val="24"/>
          <w:szCs w:val="24"/>
        </w:rPr>
        <w:t>I</w:t>
      </w:r>
      <w:r w:rsidRPr="002462E6">
        <w:rPr>
          <w:rFonts w:ascii="Tahoma" w:hAnsi="Tahoma" w:cs="Tahoma"/>
          <w:sz w:val="24"/>
          <w:szCs w:val="24"/>
        </w:rPr>
        <w:t xml:space="preserve">ntercommunale </w:t>
      </w:r>
    </w:p>
    <w:p w:rsidR="0060030A" w:rsidRPr="002462E6" w:rsidRDefault="0060030A" w:rsidP="0083519B">
      <w:pPr>
        <w:tabs>
          <w:tab w:val="left" w:pos="1418"/>
        </w:tabs>
        <w:jc w:val="both"/>
        <w:rPr>
          <w:rFonts w:ascii="Tahoma" w:eastAsia="Times New Roman" w:hAnsi="Tahoma" w:cs="Tahoma"/>
          <w:color w:val="212121"/>
          <w:sz w:val="24"/>
          <w:szCs w:val="24"/>
        </w:rPr>
      </w:pPr>
      <w:r w:rsidRPr="002462E6">
        <w:rPr>
          <w:rFonts w:ascii="Tahoma" w:eastAsia="Times New Roman" w:hAnsi="Tahoma" w:cs="Tahoma"/>
          <w:b/>
          <w:bCs/>
          <w:color w:val="212121"/>
          <w:sz w:val="24"/>
          <w:szCs w:val="24"/>
        </w:rPr>
        <w:t>ERF </w:t>
      </w:r>
      <w:r w:rsidR="00954B3A">
        <w:rPr>
          <w:rFonts w:ascii="Tahoma" w:eastAsia="Times New Roman" w:hAnsi="Tahoma" w:cs="Tahoma"/>
          <w:b/>
          <w:bCs/>
          <w:color w:val="212121"/>
          <w:sz w:val="24"/>
          <w:szCs w:val="24"/>
        </w:rPr>
        <w:tab/>
      </w:r>
      <w:r w:rsidRPr="002462E6">
        <w:rPr>
          <w:rFonts w:ascii="Tahoma" w:eastAsia="Times New Roman" w:hAnsi="Tahoma" w:cs="Tahoma"/>
          <w:b/>
          <w:bCs/>
          <w:color w:val="212121"/>
          <w:sz w:val="24"/>
          <w:szCs w:val="24"/>
        </w:rPr>
        <w:t xml:space="preserve">: </w:t>
      </w:r>
      <w:r w:rsidRPr="002462E6">
        <w:rPr>
          <w:rFonts w:ascii="Tahoma" w:eastAsia="Times New Roman" w:hAnsi="Tahoma" w:cs="Tahoma"/>
          <w:color w:val="212121"/>
          <w:sz w:val="24"/>
          <w:szCs w:val="24"/>
        </w:rPr>
        <w:t xml:space="preserve">École Royale Forestière  </w:t>
      </w:r>
    </w:p>
    <w:p w:rsidR="0060030A" w:rsidRPr="002462E6" w:rsidRDefault="0060030A" w:rsidP="0083519B">
      <w:pPr>
        <w:tabs>
          <w:tab w:val="left" w:pos="1418"/>
        </w:tabs>
        <w:jc w:val="both"/>
        <w:rPr>
          <w:rFonts w:ascii="Tahoma" w:hAnsi="Tahoma" w:cs="Tahoma"/>
          <w:sz w:val="24"/>
          <w:szCs w:val="24"/>
        </w:rPr>
      </w:pPr>
      <w:r w:rsidRPr="002462E6">
        <w:rPr>
          <w:rFonts w:ascii="Tahoma" w:hAnsi="Tahoma" w:cs="Tahoma"/>
          <w:b/>
          <w:bCs/>
          <w:sz w:val="24"/>
          <w:szCs w:val="24"/>
        </w:rPr>
        <w:t>ESES</w:t>
      </w:r>
      <w:r w:rsidRPr="002462E6">
        <w:rPr>
          <w:rFonts w:ascii="Tahoma" w:hAnsi="Tahoma" w:cs="Tahoma"/>
          <w:sz w:val="24"/>
          <w:szCs w:val="24"/>
        </w:rPr>
        <w:t> </w:t>
      </w:r>
      <w:r w:rsidR="00954B3A">
        <w:rPr>
          <w:rFonts w:ascii="Tahoma" w:hAnsi="Tahoma" w:cs="Tahoma"/>
          <w:sz w:val="24"/>
          <w:szCs w:val="24"/>
        </w:rPr>
        <w:tab/>
      </w:r>
      <w:r w:rsidRPr="002462E6">
        <w:rPr>
          <w:rFonts w:ascii="Tahoma" w:hAnsi="Tahoma" w:cs="Tahoma"/>
          <w:sz w:val="24"/>
          <w:szCs w:val="24"/>
        </w:rPr>
        <w:t xml:space="preserve">: Évaluation des Systèmes Environnementaux et Sociaux </w:t>
      </w:r>
    </w:p>
    <w:p w:rsidR="0060030A" w:rsidRPr="002462E6" w:rsidRDefault="0060030A" w:rsidP="0083519B">
      <w:pPr>
        <w:widowControl w:val="0"/>
        <w:tabs>
          <w:tab w:val="left" w:pos="1418"/>
        </w:tabs>
        <w:autoSpaceDE w:val="0"/>
        <w:autoSpaceDN w:val="0"/>
        <w:spacing w:after="0" w:line="360" w:lineRule="auto"/>
        <w:jc w:val="both"/>
        <w:rPr>
          <w:rFonts w:ascii="Tahoma" w:eastAsia="Times New Roman" w:hAnsi="Tahoma" w:cs="Tahoma"/>
          <w:sz w:val="24"/>
          <w:szCs w:val="24"/>
        </w:rPr>
      </w:pPr>
      <w:r w:rsidRPr="002462E6">
        <w:rPr>
          <w:rFonts w:ascii="Tahoma" w:eastAsia="Times New Roman" w:hAnsi="Tahoma" w:cs="Tahoma"/>
          <w:b/>
          <w:bCs/>
          <w:sz w:val="24"/>
          <w:szCs w:val="24"/>
        </w:rPr>
        <w:t>FAO</w:t>
      </w:r>
      <w:r w:rsidRPr="002462E6">
        <w:rPr>
          <w:rFonts w:ascii="Tahoma" w:eastAsia="Times New Roman" w:hAnsi="Tahoma" w:cs="Tahoma"/>
          <w:sz w:val="24"/>
          <w:szCs w:val="24"/>
        </w:rPr>
        <w:t xml:space="preserve"> </w:t>
      </w:r>
      <w:r w:rsidR="00954B3A">
        <w:rPr>
          <w:rFonts w:ascii="Tahoma" w:eastAsia="Times New Roman" w:hAnsi="Tahoma" w:cs="Tahoma"/>
          <w:sz w:val="24"/>
          <w:szCs w:val="24"/>
        </w:rPr>
        <w:tab/>
      </w:r>
      <w:r w:rsidRPr="002462E6">
        <w:rPr>
          <w:rFonts w:ascii="Tahoma" w:eastAsia="Times New Roman" w:hAnsi="Tahoma" w:cs="Tahoma"/>
          <w:sz w:val="24"/>
          <w:szCs w:val="24"/>
        </w:rPr>
        <w:t>: Organisation des Nations Unies pour l'alimentation et l'agriculture</w:t>
      </w:r>
    </w:p>
    <w:p w:rsidR="0060030A" w:rsidRPr="002462E6" w:rsidRDefault="0060030A" w:rsidP="0083519B">
      <w:pPr>
        <w:widowControl w:val="0"/>
        <w:tabs>
          <w:tab w:val="left" w:pos="1418"/>
        </w:tabs>
        <w:autoSpaceDE w:val="0"/>
        <w:autoSpaceDN w:val="0"/>
        <w:spacing w:after="0" w:line="360" w:lineRule="auto"/>
        <w:jc w:val="both"/>
        <w:rPr>
          <w:rFonts w:ascii="Tahoma" w:eastAsia="Times New Roman" w:hAnsi="Tahoma" w:cs="Tahoma"/>
          <w:sz w:val="24"/>
          <w:szCs w:val="24"/>
        </w:rPr>
      </w:pPr>
      <w:r w:rsidRPr="002462E6">
        <w:rPr>
          <w:rFonts w:ascii="Tahoma" w:eastAsia="Times New Roman" w:hAnsi="Tahoma" w:cs="Tahoma"/>
          <w:b/>
          <w:bCs/>
          <w:sz w:val="24"/>
          <w:szCs w:val="24"/>
        </w:rPr>
        <w:t>FDA</w:t>
      </w:r>
      <w:r w:rsidRPr="002462E6">
        <w:rPr>
          <w:rFonts w:ascii="Tahoma" w:eastAsia="Times New Roman" w:hAnsi="Tahoma" w:cs="Tahoma"/>
          <w:sz w:val="24"/>
          <w:szCs w:val="24"/>
        </w:rPr>
        <w:t xml:space="preserve"> </w:t>
      </w:r>
      <w:r w:rsidR="00954B3A">
        <w:rPr>
          <w:rFonts w:ascii="Tahoma" w:eastAsia="Times New Roman" w:hAnsi="Tahoma" w:cs="Tahoma"/>
          <w:sz w:val="24"/>
          <w:szCs w:val="24"/>
        </w:rPr>
        <w:tab/>
      </w:r>
      <w:r w:rsidRPr="002462E6">
        <w:rPr>
          <w:rFonts w:ascii="Tahoma" w:eastAsia="Times New Roman" w:hAnsi="Tahoma" w:cs="Tahoma"/>
          <w:sz w:val="24"/>
          <w:szCs w:val="24"/>
        </w:rPr>
        <w:t>: Forest Declaration Assessment</w:t>
      </w:r>
    </w:p>
    <w:p w:rsidR="0060030A" w:rsidRPr="002462E6" w:rsidRDefault="0060030A" w:rsidP="0083519B">
      <w:pPr>
        <w:widowControl w:val="0"/>
        <w:tabs>
          <w:tab w:val="left" w:pos="1418"/>
        </w:tabs>
        <w:autoSpaceDE w:val="0"/>
        <w:autoSpaceDN w:val="0"/>
        <w:spacing w:after="0" w:line="360" w:lineRule="auto"/>
        <w:jc w:val="both"/>
        <w:rPr>
          <w:rFonts w:ascii="Tahoma" w:eastAsia="Times New Roman" w:hAnsi="Tahoma" w:cs="Tahoma"/>
          <w:sz w:val="24"/>
          <w:szCs w:val="24"/>
        </w:rPr>
      </w:pPr>
      <w:r w:rsidRPr="002462E6">
        <w:rPr>
          <w:rFonts w:ascii="Tahoma" w:eastAsia="Times New Roman" w:hAnsi="Tahoma" w:cs="Tahoma"/>
          <w:b/>
          <w:bCs/>
          <w:sz w:val="24"/>
          <w:szCs w:val="24"/>
        </w:rPr>
        <w:t xml:space="preserve">FLR </w:t>
      </w:r>
      <w:r w:rsidR="00954B3A">
        <w:rPr>
          <w:rFonts w:ascii="Tahoma" w:eastAsia="Times New Roman" w:hAnsi="Tahoma" w:cs="Tahoma"/>
          <w:b/>
          <w:bCs/>
          <w:sz w:val="24"/>
          <w:szCs w:val="24"/>
        </w:rPr>
        <w:tab/>
      </w:r>
      <w:r w:rsidRPr="002462E6">
        <w:rPr>
          <w:rFonts w:ascii="Tahoma" w:eastAsia="Times New Roman" w:hAnsi="Tahoma" w:cs="Tahoma"/>
          <w:sz w:val="24"/>
          <w:szCs w:val="24"/>
        </w:rPr>
        <w:t xml:space="preserve">: Forest Landscape Restoration </w:t>
      </w:r>
    </w:p>
    <w:p w:rsidR="0060030A" w:rsidRPr="002462E6" w:rsidRDefault="0060030A" w:rsidP="0083519B">
      <w:pPr>
        <w:tabs>
          <w:tab w:val="left" w:pos="1418"/>
        </w:tabs>
        <w:jc w:val="both"/>
        <w:rPr>
          <w:rFonts w:ascii="Tahoma" w:eastAsia="Times New Roman" w:hAnsi="Tahoma" w:cs="Tahoma"/>
          <w:sz w:val="24"/>
          <w:szCs w:val="24"/>
        </w:rPr>
      </w:pPr>
      <w:r w:rsidRPr="002462E6">
        <w:rPr>
          <w:rFonts w:ascii="Tahoma" w:eastAsia="Times New Roman" w:hAnsi="Tahoma" w:cs="Tahoma"/>
          <w:b/>
          <w:bCs/>
          <w:sz w:val="24"/>
          <w:szCs w:val="24"/>
        </w:rPr>
        <w:t>FNF </w:t>
      </w:r>
      <w:r w:rsidR="00954B3A">
        <w:rPr>
          <w:rFonts w:ascii="Tahoma" w:eastAsia="Times New Roman" w:hAnsi="Tahoma" w:cs="Tahoma"/>
          <w:b/>
          <w:bCs/>
          <w:sz w:val="24"/>
          <w:szCs w:val="24"/>
        </w:rPr>
        <w:tab/>
      </w:r>
      <w:r w:rsidRPr="002462E6">
        <w:rPr>
          <w:rFonts w:ascii="Tahoma" w:eastAsia="Times New Roman" w:hAnsi="Tahoma" w:cs="Tahoma"/>
          <w:sz w:val="24"/>
          <w:szCs w:val="24"/>
        </w:rPr>
        <w:t xml:space="preserve">: Le Fonds National Forestier </w:t>
      </w:r>
    </w:p>
    <w:p w:rsidR="0060030A" w:rsidRPr="002462E6" w:rsidRDefault="0060030A" w:rsidP="0083519B">
      <w:pPr>
        <w:widowControl w:val="0"/>
        <w:tabs>
          <w:tab w:val="left" w:pos="1418"/>
        </w:tabs>
        <w:autoSpaceDE w:val="0"/>
        <w:autoSpaceDN w:val="0"/>
        <w:spacing w:after="0" w:line="360" w:lineRule="auto"/>
        <w:jc w:val="both"/>
        <w:rPr>
          <w:rFonts w:ascii="Tahoma" w:eastAsia="Times New Roman" w:hAnsi="Tahoma" w:cs="Tahoma"/>
          <w:sz w:val="24"/>
          <w:szCs w:val="24"/>
        </w:rPr>
      </w:pPr>
      <w:r w:rsidRPr="002462E6">
        <w:rPr>
          <w:rFonts w:ascii="Tahoma" w:eastAsia="Times New Roman" w:hAnsi="Tahoma" w:cs="Tahoma"/>
          <w:b/>
          <w:bCs/>
          <w:sz w:val="24"/>
          <w:szCs w:val="24"/>
        </w:rPr>
        <w:t>FNUF</w:t>
      </w:r>
      <w:r w:rsidRPr="002462E6">
        <w:rPr>
          <w:rFonts w:ascii="Tahoma" w:eastAsia="Times New Roman" w:hAnsi="Tahoma" w:cs="Tahoma"/>
          <w:sz w:val="24"/>
          <w:szCs w:val="24"/>
        </w:rPr>
        <w:t xml:space="preserve"> </w:t>
      </w:r>
      <w:r w:rsidR="00954B3A">
        <w:rPr>
          <w:rFonts w:ascii="Tahoma" w:eastAsia="Times New Roman" w:hAnsi="Tahoma" w:cs="Tahoma"/>
          <w:sz w:val="24"/>
          <w:szCs w:val="24"/>
        </w:rPr>
        <w:tab/>
      </w:r>
      <w:r w:rsidRPr="002462E6">
        <w:rPr>
          <w:rFonts w:ascii="Tahoma" w:eastAsia="Times New Roman" w:hAnsi="Tahoma" w:cs="Tahoma"/>
          <w:sz w:val="24"/>
          <w:szCs w:val="24"/>
        </w:rPr>
        <w:t>: Forum des Nations Unies sur les Forêts</w:t>
      </w:r>
    </w:p>
    <w:p w:rsidR="0060030A" w:rsidRPr="002462E6" w:rsidRDefault="0060030A" w:rsidP="0083519B">
      <w:pPr>
        <w:widowControl w:val="0"/>
        <w:tabs>
          <w:tab w:val="left" w:pos="1418"/>
        </w:tabs>
        <w:autoSpaceDE w:val="0"/>
        <w:autoSpaceDN w:val="0"/>
        <w:spacing w:after="0" w:line="360" w:lineRule="auto"/>
        <w:jc w:val="both"/>
        <w:rPr>
          <w:rFonts w:ascii="Tahoma" w:eastAsia="Times New Roman" w:hAnsi="Tahoma" w:cs="Tahoma"/>
          <w:sz w:val="24"/>
          <w:szCs w:val="24"/>
        </w:rPr>
      </w:pPr>
      <w:r w:rsidRPr="002462E6">
        <w:rPr>
          <w:rFonts w:ascii="Tahoma" w:eastAsia="Times New Roman" w:hAnsi="Tahoma" w:cs="Tahoma"/>
          <w:b/>
          <w:bCs/>
          <w:sz w:val="24"/>
          <w:szCs w:val="24"/>
        </w:rPr>
        <w:t>FRA</w:t>
      </w:r>
      <w:r w:rsidRPr="002462E6">
        <w:rPr>
          <w:rFonts w:ascii="Tahoma" w:eastAsia="Times New Roman" w:hAnsi="Tahoma" w:cs="Tahoma"/>
          <w:sz w:val="24"/>
          <w:szCs w:val="24"/>
        </w:rPr>
        <w:t xml:space="preserve"> </w:t>
      </w:r>
      <w:r w:rsidR="00954B3A">
        <w:rPr>
          <w:rFonts w:ascii="Tahoma" w:eastAsia="Times New Roman" w:hAnsi="Tahoma" w:cs="Tahoma"/>
          <w:sz w:val="24"/>
          <w:szCs w:val="24"/>
        </w:rPr>
        <w:tab/>
      </w:r>
      <w:r w:rsidRPr="002462E6">
        <w:rPr>
          <w:rFonts w:ascii="Tahoma" w:eastAsia="Times New Roman" w:hAnsi="Tahoma" w:cs="Tahoma"/>
          <w:sz w:val="24"/>
          <w:szCs w:val="24"/>
        </w:rPr>
        <w:t>: Évaluation des Ressources Forestières Mondiales</w:t>
      </w:r>
    </w:p>
    <w:p w:rsidR="0060030A" w:rsidRPr="002462E6" w:rsidRDefault="0060030A" w:rsidP="0083519B">
      <w:pPr>
        <w:widowControl w:val="0"/>
        <w:tabs>
          <w:tab w:val="left" w:pos="1418"/>
        </w:tabs>
        <w:autoSpaceDE w:val="0"/>
        <w:autoSpaceDN w:val="0"/>
        <w:spacing w:after="0" w:line="360" w:lineRule="auto"/>
        <w:jc w:val="both"/>
        <w:rPr>
          <w:rFonts w:ascii="Tahoma" w:eastAsia="Times New Roman" w:hAnsi="Tahoma" w:cs="Tahoma"/>
          <w:sz w:val="24"/>
          <w:szCs w:val="24"/>
        </w:rPr>
      </w:pPr>
      <w:r w:rsidRPr="002462E6">
        <w:rPr>
          <w:rFonts w:ascii="Tahoma" w:eastAsia="Times New Roman" w:hAnsi="Tahoma" w:cs="Tahoma"/>
          <w:b/>
          <w:bCs/>
          <w:sz w:val="24"/>
          <w:szCs w:val="24"/>
        </w:rPr>
        <w:t>GATT</w:t>
      </w:r>
      <w:r w:rsidR="006058AF">
        <w:rPr>
          <w:rFonts w:ascii="Tahoma" w:eastAsia="Times New Roman" w:hAnsi="Tahoma" w:cs="Tahoma"/>
          <w:sz w:val="24"/>
          <w:szCs w:val="24"/>
        </w:rPr>
        <w:t xml:space="preserve"> </w:t>
      </w:r>
      <w:r w:rsidR="00954B3A">
        <w:rPr>
          <w:rFonts w:ascii="Tahoma" w:eastAsia="Times New Roman" w:hAnsi="Tahoma" w:cs="Tahoma"/>
          <w:sz w:val="24"/>
          <w:szCs w:val="24"/>
        </w:rPr>
        <w:tab/>
      </w:r>
      <w:r w:rsidR="006058AF">
        <w:rPr>
          <w:rFonts w:ascii="Tahoma" w:eastAsia="Times New Roman" w:hAnsi="Tahoma" w:cs="Tahoma"/>
          <w:sz w:val="24"/>
          <w:szCs w:val="24"/>
        </w:rPr>
        <w:t>: Accord Général sur les Tarifs Douaniers et le c</w:t>
      </w:r>
      <w:r w:rsidRPr="002462E6">
        <w:rPr>
          <w:rFonts w:ascii="Tahoma" w:eastAsia="Times New Roman" w:hAnsi="Tahoma" w:cs="Tahoma"/>
          <w:sz w:val="24"/>
          <w:szCs w:val="24"/>
        </w:rPr>
        <w:t>ommerce</w:t>
      </w:r>
    </w:p>
    <w:p w:rsidR="0060030A" w:rsidRPr="002462E6" w:rsidRDefault="0060030A" w:rsidP="0083519B">
      <w:pPr>
        <w:widowControl w:val="0"/>
        <w:tabs>
          <w:tab w:val="left" w:pos="1418"/>
        </w:tabs>
        <w:autoSpaceDE w:val="0"/>
        <w:autoSpaceDN w:val="0"/>
        <w:spacing w:after="0" w:line="360" w:lineRule="auto"/>
        <w:jc w:val="both"/>
        <w:rPr>
          <w:rFonts w:ascii="Tahoma" w:eastAsia="Times New Roman" w:hAnsi="Tahoma" w:cs="Tahoma"/>
          <w:sz w:val="24"/>
          <w:szCs w:val="24"/>
        </w:rPr>
      </w:pPr>
      <w:r w:rsidRPr="002462E6">
        <w:rPr>
          <w:rFonts w:ascii="Tahoma" w:eastAsia="Times New Roman" w:hAnsi="Tahoma" w:cs="Tahoma"/>
          <w:b/>
          <w:bCs/>
          <w:sz w:val="24"/>
          <w:szCs w:val="24"/>
        </w:rPr>
        <w:t>GIEC</w:t>
      </w:r>
      <w:r w:rsidRPr="002462E6">
        <w:rPr>
          <w:rFonts w:ascii="Tahoma" w:eastAsia="Times New Roman" w:hAnsi="Tahoma" w:cs="Tahoma"/>
          <w:sz w:val="24"/>
          <w:szCs w:val="24"/>
        </w:rPr>
        <w:t xml:space="preserve"> </w:t>
      </w:r>
      <w:r w:rsidR="00954B3A">
        <w:rPr>
          <w:rFonts w:ascii="Tahoma" w:eastAsia="Times New Roman" w:hAnsi="Tahoma" w:cs="Tahoma"/>
          <w:sz w:val="24"/>
          <w:szCs w:val="24"/>
        </w:rPr>
        <w:tab/>
      </w:r>
      <w:r w:rsidRPr="002462E6">
        <w:rPr>
          <w:rFonts w:ascii="Tahoma" w:eastAsia="Times New Roman" w:hAnsi="Tahoma" w:cs="Tahoma"/>
          <w:sz w:val="24"/>
          <w:szCs w:val="24"/>
        </w:rPr>
        <w:t>: Groupe d'Experts</w:t>
      </w:r>
      <w:r w:rsidR="00753614" w:rsidRPr="00753614">
        <w:rPr>
          <w:rFonts w:ascii="Tahoma" w:eastAsia="Times New Roman" w:hAnsi="Tahoma" w:cs="Tahoma"/>
          <w:sz w:val="24"/>
          <w:szCs w:val="24"/>
        </w:rPr>
        <w:t xml:space="preserve"> </w:t>
      </w:r>
      <w:r w:rsidR="00753614" w:rsidRPr="002462E6">
        <w:rPr>
          <w:rFonts w:ascii="Tahoma" w:eastAsia="Times New Roman" w:hAnsi="Tahoma" w:cs="Tahoma"/>
          <w:sz w:val="24"/>
          <w:szCs w:val="24"/>
        </w:rPr>
        <w:t>Intergouvernemental sur l'Évolution du Climat</w:t>
      </w:r>
    </w:p>
    <w:p w:rsidR="0060030A" w:rsidRPr="002462E6" w:rsidRDefault="0060030A" w:rsidP="00954B3A">
      <w:pPr>
        <w:tabs>
          <w:tab w:val="left" w:pos="1418"/>
        </w:tabs>
        <w:ind w:left="1418" w:hanging="1418"/>
        <w:jc w:val="both"/>
        <w:rPr>
          <w:rFonts w:ascii="Tahoma" w:eastAsia="Times New Roman" w:hAnsi="Tahoma" w:cs="Tahoma"/>
          <w:color w:val="232333"/>
          <w:sz w:val="24"/>
          <w:szCs w:val="24"/>
        </w:rPr>
      </w:pPr>
      <w:r w:rsidRPr="002462E6">
        <w:rPr>
          <w:rFonts w:ascii="Tahoma" w:eastAsia="Times New Roman" w:hAnsi="Tahoma" w:cs="Tahoma"/>
          <w:b/>
          <w:bCs/>
          <w:color w:val="232333"/>
          <w:sz w:val="24"/>
          <w:szCs w:val="24"/>
        </w:rPr>
        <w:t>HCEFLCD</w:t>
      </w:r>
      <w:r w:rsidRPr="002462E6">
        <w:rPr>
          <w:rFonts w:ascii="Tahoma" w:eastAsia="Times New Roman" w:hAnsi="Tahoma" w:cs="Tahoma"/>
          <w:color w:val="232333"/>
          <w:sz w:val="24"/>
          <w:szCs w:val="24"/>
        </w:rPr>
        <w:t> </w:t>
      </w:r>
      <w:r w:rsidR="00954B3A">
        <w:rPr>
          <w:rFonts w:ascii="Tahoma" w:eastAsia="Times New Roman" w:hAnsi="Tahoma" w:cs="Tahoma"/>
          <w:color w:val="232333"/>
          <w:sz w:val="24"/>
          <w:szCs w:val="24"/>
        </w:rPr>
        <w:tab/>
      </w:r>
      <w:r w:rsidRPr="002462E6">
        <w:rPr>
          <w:rFonts w:ascii="Tahoma" w:eastAsia="Times New Roman" w:hAnsi="Tahoma" w:cs="Tahoma"/>
          <w:color w:val="232333"/>
          <w:sz w:val="24"/>
          <w:szCs w:val="24"/>
        </w:rPr>
        <w:t>: Haut-Commissariat aux Eaux et Forêts et à la Lutte Contre la Désertification</w:t>
      </w:r>
    </w:p>
    <w:p w:rsidR="0060030A" w:rsidRPr="002462E6" w:rsidRDefault="0060030A" w:rsidP="00954B3A">
      <w:pPr>
        <w:widowControl w:val="0"/>
        <w:tabs>
          <w:tab w:val="left" w:pos="1418"/>
        </w:tabs>
        <w:autoSpaceDE w:val="0"/>
        <w:autoSpaceDN w:val="0"/>
        <w:spacing w:after="0" w:line="360" w:lineRule="auto"/>
        <w:ind w:left="1418" w:hanging="1418"/>
        <w:jc w:val="both"/>
        <w:rPr>
          <w:rFonts w:ascii="Tahoma" w:eastAsia="Times New Roman" w:hAnsi="Tahoma" w:cs="Tahoma"/>
          <w:sz w:val="24"/>
          <w:szCs w:val="24"/>
        </w:rPr>
      </w:pPr>
      <w:r w:rsidRPr="002462E6">
        <w:rPr>
          <w:rFonts w:ascii="Tahoma" w:eastAsia="Times New Roman" w:hAnsi="Tahoma" w:cs="Tahoma"/>
          <w:b/>
          <w:bCs/>
          <w:sz w:val="24"/>
          <w:szCs w:val="24"/>
        </w:rPr>
        <w:t>IDMC</w:t>
      </w:r>
      <w:r w:rsidRPr="002462E6">
        <w:rPr>
          <w:rFonts w:ascii="Tahoma" w:eastAsia="Times New Roman" w:hAnsi="Tahoma" w:cs="Tahoma"/>
          <w:sz w:val="24"/>
          <w:szCs w:val="24"/>
        </w:rPr>
        <w:t xml:space="preserve"> </w:t>
      </w:r>
      <w:r w:rsidR="00954B3A">
        <w:rPr>
          <w:rFonts w:ascii="Tahoma" w:eastAsia="Times New Roman" w:hAnsi="Tahoma" w:cs="Tahoma"/>
          <w:sz w:val="24"/>
          <w:szCs w:val="24"/>
        </w:rPr>
        <w:tab/>
      </w:r>
      <w:r w:rsidRPr="002462E6">
        <w:rPr>
          <w:rFonts w:ascii="Tahoma" w:eastAsia="Times New Roman" w:hAnsi="Tahoma" w:cs="Tahoma"/>
          <w:sz w:val="24"/>
          <w:szCs w:val="24"/>
        </w:rPr>
        <w:t>: Internal Displacement Monitoring Centre (Observatoire des déplacements internes)</w:t>
      </w:r>
    </w:p>
    <w:p w:rsidR="0060030A" w:rsidRPr="002462E6" w:rsidRDefault="0060030A" w:rsidP="0083519B">
      <w:pPr>
        <w:widowControl w:val="0"/>
        <w:tabs>
          <w:tab w:val="left" w:pos="1418"/>
        </w:tabs>
        <w:autoSpaceDE w:val="0"/>
        <w:autoSpaceDN w:val="0"/>
        <w:spacing w:after="0" w:line="360" w:lineRule="auto"/>
        <w:jc w:val="both"/>
        <w:rPr>
          <w:rFonts w:ascii="Tahoma" w:eastAsia="Times New Roman" w:hAnsi="Tahoma" w:cs="Tahoma"/>
          <w:sz w:val="24"/>
          <w:szCs w:val="24"/>
        </w:rPr>
      </w:pPr>
      <w:r w:rsidRPr="002462E6">
        <w:rPr>
          <w:rFonts w:ascii="Tahoma" w:eastAsia="Times New Roman" w:hAnsi="Tahoma" w:cs="Tahoma"/>
          <w:b/>
          <w:bCs/>
          <w:sz w:val="24"/>
          <w:szCs w:val="24"/>
        </w:rPr>
        <w:t xml:space="preserve">IFN </w:t>
      </w:r>
      <w:r w:rsidR="00954B3A">
        <w:rPr>
          <w:rFonts w:ascii="Tahoma" w:eastAsia="Times New Roman" w:hAnsi="Tahoma" w:cs="Tahoma"/>
          <w:b/>
          <w:bCs/>
          <w:sz w:val="24"/>
          <w:szCs w:val="24"/>
        </w:rPr>
        <w:tab/>
      </w:r>
      <w:r w:rsidR="00753614">
        <w:rPr>
          <w:rFonts w:ascii="Tahoma" w:eastAsia="Times New Roman" w:hAnsi="Tahoma" w:cs="Tahoma"/>
          <w:sz w:val="24"/>
          <w:szCs w:val="24"/>
        </w:rPr>
        <w:t>: Inventaire Forestier National</w:t>
      </w:r>
    </w:p>
    <w:p w:rsidR="0060030A" w:rsidRPr="002462E6" w:rsidRDefault="0060030A" w:rsidP="0083519B">
      <w:pPr>
        <w:tabs>
          <w:tab w:val="left" w:pos="1418"/>
        </w:tabs>
        <w:jc w:val="both"/>
        <w:rPr>
          <w:rFonts w:ascii="Tahoma" w:eastAsia="Times New Roman" w:hAnsi="Tahoma" w:cs="Tahoma"/>
          <w:sz w:val="24"/>
          <w:szCs w:val="24"/>
        </w:rPr>
      </w:pPr>
      <w:r w:rsidRPr="002462E6">
        <w:rPr>
          <w:rFonts w:ascii="Tahoma" w:eastAsia="Times New Roman" w:hAnsi="Tahoma" w:cs="Tahoma"/>
          <w:b/>
          <w:bCs/>
          <w:sz w:val="24"/>
          <w:szCs w:val="24"/>
        </w:rPr>
        <w:t>IRES</w:t>
      </w:r>
      <w:r w:rsidR="00954B3A">
        <w:rPr>
          <w:rFonts w:ascii="Tahoma" w:eastAsia="Times New Roman" w:hAnsi="Tahoma" w:cs="Tahoma"/>
          <w:b/>
          <w:bCs/>
          <w:sz w:val="24"/>
          <w:szCs w:val="24"/>
        </w:rPr>
        <w:tab/>
      </w:r>
      <w:r w:rsidRPr="002462E6">
        <w:rPr>
          <w:rFonts w:ascii="Tahoma" w:eastAsia="Times New Roman" w:hAnsi="Tahoma" w:cs="Tahoma"/>
          <w:b/>
          <w:bCs/>
          <w:sz w:val="24"/>
          <w:szCs w:val="24"/>
        </w:rPr>
        <w:t>:</w:t>
      </w:r>
      <w:r w:rsidRPr="002462E6">
        <w:rPr>
          <w:rFonts w:ascii="Tahoma" w:hAnsi="Tahoma" w:cs="Tahoma"/>
          <w:sz w:val="24"/>
          <w:szCs w:val="24"/>
        </w:rPr>
        <w:t xml:space="preserve"> Institut Royal des Etudes Stratégiques</w:t>
      </w:r>
      <w:r w:rsidRPr="002462E6">
        <w:rPr>
          <w:rFonts w:ascii="Tahoma" w:eastAsia="Times New Roman" w:hAnsi="Tahoma" w:cs="Tahoma"/>
          <w:sz w:val="24"/>
          <w:szCs w:val="24"/>
        </w:rPr>
        <w:t xml:space="preserve"> </w:t>
      </w:r>
    </w:p>
    <w:p w:rsidR="0060030A" w:rsidRPr="002462E6" w:rsidRDefault="0060030A" w:rsidP="0083519B">
      <w:pPr>
        <w:tabs>
          <w:tab w:val="left" w:pos="1418"/>
        </w:tabs>
        <w:jc w:val="both"/>
        <w:rPr>
          <w:rFonts w:ascii="Tahoma" w:eastAsia="Times New Roman" w:hAnsi="Tahoma" w:cs="Tahoma"/>
          <w:color w:val="212121"/>
          <w:sz w:val="24"/>
          <w:szCs w:val="24"/>
        </w:rPr>
      </w:pPr>
      <w:r w:rsidRPr="002462E6">
        <w:rPr>
          <w:rFonts w:ascii="Tahoma" w:eastAsia="Times New Roman" w:hAnsi="Tahoma" w:cs="Tahoma"/>
          <w:b/>
          <w:bCs/>
          <w:color w:val="212121"/>
          <w:sz w:val="24"/>
          <w:szCs w:val="24"/>
        </w:rPr>
        <w:t>ITREF</w:t>
      </w:r>
      <w:r w:rsidRPr="002462E6">
        <w:rPr>
          <w:rFonts w:ascii="Tahoma" w:eastAsia="Times New Roman" w:hAnsi="Tahoma" w:cs="Tahoma"/>
          <w:color w:val="212121"/>
          <w:sz w:val="24"/>
          <w:szCs w:val="24"/>
        </w:rPr>
        <w:t> </w:t>
      </w:r>
      <w:r w:rsidR="00954B3A">
        <w:rPr>
          <w:rFonts w:ascii="Tahoma" w:eastAsia="Times New Roman" w:hAnsi="Tahoma" w:cs="Tahoma"/>
          <w:color w:val="212121"/>
          <w:sz w:val="24"/>
          <w:szCs w:val="24"/>
        </w:rPr>
        <w:tab/>
      </w:r>
      <w:r w:rsidRPr="002462E6">
        <w:rPr>
          <w:rFonts w:ascii="Tahoma" w:eastAsia="Times New Roman" w:hAnsi="Tahoma" w:cs="Tahoma"/>
          <w:color w:val="212121"/>
          <w:sz w:val="24"/>
          <w:szCs w:val="24"/>
        </w:rPr>
        <w:t xml:space="preserve">: Institut Technique Royal des Eaux et Forêts </w:t>
      </w:r>
    </w:p>
    <w:p w:rsidR="0060030A" w:rsidRPr="002462E6" w:rsidRDefault="0060030A" w:rsidP="00954B3A">
      <w:pPr>
        <w:widowControl w:val="0"/>
        <w:tabs>
          <w:tab w:val="left" w:pos="1418"/>
        </w:tabs>
        <w:autoSpaceDE w:val="0"/>
        <w:autoSpaceDN w:val="0"/>
        <w:spacing w:after="0" w:line="360" w:lineRule="auto"/>
        <w:ind w:left="1418" w:hanging="1418"/>
        <w:jc w:val="both"/>
        <w:rPr>
          <w:rFonts w:ascii="Tahoma" w:eastAsia="Times New Roman" w:hAnsi="Tahoma" w:cs="Tahoma"/>
          <w:sz w:val="24"/>
          <w:szCs w:val="24"/>
        </w:rPr>
      </w:pPr>
      <w:r w:rsidRPr="002462E6">
        <w:rPr>
          <w:rFonts w:ascii="Tahoma" w:eastAsia="Times New Roman" w:hAnsi="Tahoma" w:cs="Tahoma"/>
          <w:b/>
          <w:bCs/>
          <w:sz w:val="24"/>
          <w:szCs w:val="24"/>
        </w:rPr>
        <w:t xml:space="preserve">IUFRO </w:t>
      </w:r>
      <w:r w:rsidR="00954B3A">
        <w:rPr>
          <w:rFonts w:ascii="Tahoma" w:eastAsia="Times New Roman" w:hAnsi="Tahoma" w:cs="Tahoma"/>
          <w:b/>
          <w:bCs/>
          <w:sz w:val="24"/>
          <w:szCs w:val="24"/>
        </w:rPr>
        <w:tab/>
      </w:r>
      <w:r w:rsidR="00954B3A">
        <w:rPr>
          <w:rFonts w:ascii="Tahoma" w:eastAsia="Times New Roman" w:hAnsi="Tahoma" w:cs="Tahoma"/>
          <w:sz w:val="24"/>
          <w:szCs w:val="24"/>
        </w:rPr>
        <w:t xml:space="preserve">: </w:t>
      </w:r>
      <w:r w:rsidRPr="002462E6">
        <w:rPr>
          <w:rFonts w:ascii="Tahoma" w:eastAsia="Times New Roman" w:hAnsi="Tahoma" w:cs="Tahoma"/>
          <w:sz w:val="24"/>
          <w:szCs w:val="24"/>
        </w:rPr>
        <w:t>International Union of Forest Research Organizations (Union Internationale des Organisations de Recherche Forestière)</w:t>
      </w:r>
    </w:p>
    <w:p w:rsidR="0060030A" w:rsidRPr="002462E6" w:rsidRDefault="0060030A" w:rsidP="0083519B">
      <w:pPr>
        <w:tabs>
          <w:tab w:val="left" w:pos="1418"/>
        </w:tabs>
        <w:jc w:val="both"/>
        <w:rPr>
          <w:rFonts w:ascii="Tahoma" w:eastAsia="Times New Roman" w:hAnsi="Tahoma" w:cs="Tahoma"/>
          <w:sz w:val="24"/>
          <w:szCs w:val="24"/>
        </w:rPr>
      </w:pPr>
      <w:r w:rsidRPr="002462E6">
        <w:rPr>
          <w:rFonts w:ascii="Tahoma" w:eastAsia="Times New Roman" w:hAnsi="Tahoma" w:cs="Tahoma"/>
          <w:b/>
          <w:bCs/>
          <w:sz w:val="24"/>
          <w:szCs w:val="24"/>
        </w:rPr>
        <w:t>LMD</w:t>
      </w:r>
      <w:r w:rsidRPr="002462E6">
        <w:rPr>
          <w:rFonts w:ascii="Tahoma" w:eastAsia="Times New Roman" w:hAnsi="Tahoma" w:cs="Tahoma"/>
          <w:sz w:val="24"/>
          <w:szCs w:val="24"/>
        </w:rPr>
        <w:t> </w:t>
      </w:r>
      <w:r w:rsidR="00954B3A">
        <w:rPr>
          <w:rFonts w:ascii="Tahoma" w:eastAsia="Times New Roman" w:hAnsi="Tahoma" w:cs="Tahoma"/>
          <w:sz w:val="24"/>
          <w:szCs w:val="24"/>
        </w:rPr>
        <w:tab/>
      </w:r>
      <w:r w:rsidR="00D3238B" w:rsidRPr="002462E6">
        <w:rPr>
          <w:rFonts w:ascii="Tahoma" w:eastAsia="Times New Roman" w:hAnsi="Tahoma" w:cs="Tahoma"/>
          <w:sz w:val="24"/>
          <w:szCs w:val="24"/>
        </w:rPr>
        <w:t>: Licence</w:t>
      </w:r>
      <w:r w:rsidRPr="002462E6">
        <w:rPr>
          <w:rFonts w:ascii="Tahoma" w:eastAsia="Times New Roman" w:hAnsi="Tahoma" w:cs="Tahoma"/>
          <w:sz w:val="24"/>
          <w:szCs w:val="24"/>
        </w:rPr>
        <w:t>, Master, Doctorat</w:t>
      </w:r>
    </w:p>
    <w:p w:rsidR="0060030A" w:rsidRPr="002462E6" w:rsidRDefault="0060030A" w:rsidP="0083519B">
      <w:pPr>
        <w:tabs>
          <w:tab w:val="left" w:pos="1418"/>
        </w:tabs>
        <w:jc w:val="both"/>
        <w:rPr>
          <w:rFonts w:ascii="Tahoma" w:hAnsi="Tahoma" w:cs="Tahoma"/>
          <w:sz w:val="24"/>
          <w:szCs w:val="24"/>
        </w:rPr>
      </w:pPr>
      <w:r w:rsidRPr="002462E6">
        <w:rPr>
          <w:rFonts w:ascii="Tahoma" w:hAnsi="Tahoma" w:cs="Tahoma"/>
          <w:b/>
          <w:bCs/>
          <w:sz w:val="24"/>
          <w:szCs w:val="24"/>
        </w:rPr>
        <w:t>MAP</w:t>
      </w:r>
      <w:r w:rsidRPr="002462E6">
        <w:rPr>
          <w:rFonts w:ascii="Tahoma" w:hAnsi="Tahoma" w:cs="Tahoma"/>
          <w:sz w:val="24"/>
          <w:szCs w:val="24"/>
        </w:rPr>
        <w:t> </w:t>
      </w:r>
      <w:r w:rsidR="00954B3A">
        <w:rPr>
          <w:rFonts w:ascii="Tahoma" w:hAnsi="Tahoma" w:cs="Tahoma"/>
          <w:sz w:val="24"/>
          <w:szCs w:val="24"/>
        </w:rPr>
        <w:tab/>
      </w:r>
      <w:r w:rsidRPr="002462E6">
        <w:rPr>
          <w:rFonts w:ascii="Tahoma" w:hAnsi="Tahoma" w:cs="Tahoma"/>
          <w:sz w:val="24"/>
          <w:szCs w:val="24"/>
        </w:rPr>
        <w:t>: Agence Marocaine de Presse</w:t>
      </w:r>
    </w:p>
    <w:p w:rsidR="0060030A" w:rsidRPr="002462E6" w:rsidRDefault="0060030A" w:rsidP="0083519B">
      <w:pPr>
        <w:tabs>
          <w:tab w:val="left" w:pos="1418"/>
        </w:tabs>
        <w:jc w:val="both"/>
        <w:rPr>
          <w:rFonts w:ascii="Tahoma" w:hAnsi="Tahoma" w:cs="Tahoma"/>
          <w:sz w:val="24"/>
          <w:szCs w:val="24"/>
        </w:rPr>
      </w:pPr>
      <w:r w:rsidRPr="002462E6">
        <w:rPr>
          <w:rFonts w:ascii="Tahoma" w:eastAsia="Times New Roman" w:hAnsi="Tahoma" w:cs="Tahoma"/>
          <w:b/>
          <w:bCs/>
          <w:color w:val="232333"/>
          <w:sz w:val="24"/>
          <w:szCs w:val="24"/>
        </w:rPr>
        <w:t>MARA</w:t>
      </w:r>
      <w:r w:rsidRPr="002462E6">
        <w:rPr>
          <w:rFonts w:ascii="Tahoma" w:eastAsia="Times New Roman" w:hAnsi="Tahoma" w:cs="Tahoma"/>
          <w:color w:val="232333"/>
          <w:sz w:val="24"/>
          <w:szCs w:val="24"/>
        </w:rPr>
        <w:t> </w:t>
      </w:r>
      <w:r w:rsidR="00954B3A">
        <w:rPr>
          <w:rFonts w:ascii="Tahoma" w:eastAsia="Times New Roman" w:hAnsi="Tahoma" w:cs="Tahoma"/>
          <w:color w:val="232333"/>
          <w:sz w:val="24"/>
          <w:szCs w:val="24"/>
        </w:rPr>
        <w:tab/>
      </w:r>
      <w:r w:rsidRPr="002462E6">
        <w:rPr>
          <w:rFonts w:ascii="Tahoma" w:eastAsia="Times New Roman" w:hAnsi="Tahoma" w:cs="Tahoma"/>
          <w:color w:val="232333"/>
          <w:sz w:val="24"/>
          <w:szCs w:val="24"/>
        </w:rPr>
        <w:t xml:space="preserve">: Ministère de l'Agriculture et de la Réforme Agraire </w:t>
      </w:r>
    </w:p>
    <w:p w:rsidR="0060030A" w:rsidRPr="002462E6" w:rsidRDefault="0060030A" w:rsidP="0083519B">
      <w:pPr>
        <w:tabs>
          <w:tab w:val="left" w:pos="1418"/>
        </w:tabs>
        <w:jc w:val="both"/>
        <w:rPr>
          <w:rFonts w:ascii="Tahoma" w:eastAsia="Times New Roman" w:hAnsi="Tahoma" w:cs="Tahoma"/>
          <w:color w:val="232333"/>
          <w:sz w:val="24"/>
          <w:szCs w:val="24"/>
        </w:rPr>
      </w:pPr>
      <w:r w:rsidRPr="002462E6">
        <w:rPr>
          <w:rFonts w:ascii="Tahoma" w:eastAsia="Times New Roman" w:hAnsi="Tahoma" w:cs="Tahoma"/>
          <w:b/>
          <w:bCs/>
          <w:color w:val="232333"/>
          <w:sz w:val="24"/>
          <w:szCs w:val="24"/>
        </w:rPr>
        <w:t>MCEF</w:t>
      </w:r>
      <w:r w:rsidRPr="002462E6">
        <w:rPr>
          <w:rFonts w:ascii="Tahoma" w:eastAsia="Times New Roman" w:hAnsi="Tahoma" w:cs="Tahoma"/>
          <w:color w:val="232333"/>
          <w:sz w:val="24"/>
          <w:szCs w:val="24"/>
        </w:rPr>
        <w:t> </w:t>
      </w:r>
      <w:r w:rsidR="00954B3A">
        <w:rPr>
          <w:rFonts w:ascii="Tahoma" w:eastAsia="Times New Roman" w:hAnsi="Tahoma" w:cs="Tahoma"/>
          <w:color w:val="232333"/>
          <w:sz w:val="24"/>
          <w:szCs w:val="24"/>
        </w:rPr>
        <w:tab/>
      </w:r>
      <w:r w:rsidRPr="002462E6">
        <w:rPr>
          <w:rFonts w:ascii="Tahoma" w:eastAsia="Times New Roman" w:hAnsi="Tahoma" w:cs="Tahoma"/>
          <w:color w:val="232333"/>
          <w:sz w:val="24"/>
          <w:szCs w:val="24"/>
        </w:rPr>
        <w:t xml:space="preserve">: Ministère </w:t>
      </w:r>
      <w:r w:rsidR="00753614">
        <w:rPr>
          <w:rFonts w:ascii="Tahoma" w:eastAsia="Times New Roman" w:hAnsi="Tahoma" w:cs="Tahoma"/>
          <w:color w:val="232333"/>
          <w:sz w:val="24"/>
          <w:szCs w:val="24"/>
        </w:rPr>
        <w:t>D</w:t>
      </w:r>
      <w:r w:rsidRPr="002462E6">
        <w:rPr>
          <w:rFonts w:ascii="Tahoma" w:eastAsia="Times New Roman" w:hAnsi="Tahoma" w:cs="Tahoma"/>
          <w:color w:val="232333"/>
          <w:sz w:val="24"/>
          <w:szCs w:val="24"/>
        </w:rPr>
        <w:t xml:space="preserve">élégué </w:t>
      </w:r>
      <w:r w:rsidR="00753614">
        <w:rPr>
          <w:rFonts w:ascii="Tahoma" w:eastAsia="Times New Roman" w:hAnsi="Tahoma" w:cs="Tahoma"/>
          <w:color w:val="232333"/>
          <w:sz w:val="24"/>
          <w:szCs w:val="24"/>
        </w:rPr>
        <w:t>C</w:t>
      </w:r>
      <w:r w:rsidRPr="002462E6">
        <w:rPr>
          <w:rFonts w:ascii="Tahoma" w:eastAsia="Times New Roman" w:hAnsi="Tahoma" w:cs="Tahoma"/>
          <w:color w:val="232333"/>
          <w:sz w:val="24"/>
          <w:szCs w:val="24"/>
        </w:rPr>
        <w:t xml:space="preserve">hargé des Eaux et Forêts </w:t>
      </w:r>
    </w:p>
    <w:p w:rsidR="0060030A" w:rsidRPr="002462E6" w:rsidRDefault="0060030A" w:rsidP="0083519B">
      <w:pPr>
        <w:widowControl w:val="0"/>
        <w:tabs>
          <w:tab w:val="left" w:pos="1418"/>
        </w:tabs>
        <w:autoSpaceDE w:val="0"/>
        <w:autoSpaceDN w:val="0"/>
        <w:spacing w:after="0" w:line="360" w:lineRule="auto"/>
        <w:jc w:val="both"/>
        <w:rPr>
          <w:rFonts w:ascii="Tahoma" w:eastAsia="Times New Roman" w:hAnsi="Tahoma" w:cs="Tahoma"/>
          <w:sz w:val="24"/>
          <w:szCs w:val="24"/>
        </w:rPr>
      </w:pPr>
      <w:r w:rsidRPr="002462E6">
        <w:rPr>
          <w:rFonts w:ascii="Tahoma" w:eastAsia="Times New Roman" w:hAnsi="Tahoma" w:cs="Tahoma"/>
          <w:b/>
          <w:bCs/>
          <w:sz w:val="24"/>
          <w:szCs w:val="24"/>
        </w:rPr>
        <w:t xml:space="preserve">MDP </w:t>
      </w:r>
      <w:r w:rsidR="00954B3A">
        <w:rPr>
          <w:rFonts w:ascii="Tahoma" w:eastAsia="Times New Roman" w:hAnsi="Tahoma" w:cs="Tahoma"/>
          <w:b/>
          <w:bCs/>
          <w:sz w:val="24"/>
          <w:szCs w:val="24"/>
        </w:rPr>
        <w:tab/>
      </w:r>
      <w:r w:rsidRPr="002462E6">
        <w:rPr>
          <w:rFonts w:ascii="Tahoma" w:eastAsia="Times New Roman" w:hAnsi="Tahoma" w:cs="Tahoma"/>
          <w:sz w:val="24"/>
          <w:szCs w:val="24"/>
        </w:rPr>
        <w:t>: Mécanisme de Développement Propre</w:t>
      </w:r>
    </w:p>
    <w:p w:rsidR="0060030A" w:rsidRPr="002462E6" w:rsidRDefault="0060030A" w:rsidP="00954B3A">
      <w:pPr>
        <w:tabs>
          <w:tab w:val="left" w:pos="1418"/>
        </w:tabs>
        <w:jc w:val="both"/>
        <w:rPr>
          <w:rFonts w:ascii="Tahoma" w:hAnsi="Tahoma" w:cs="Tahoma"/>
          <w:sz w:val="24"/>
          <w:szCs w:val="24"/>
        </w:rPr>
      </w:pPr>
      <w:r w:rsidRPr="002462E6">
        <w:rPr>
          <w:rFonts w:ascii="Tahoma" w:eastAsia="Times New Roman" w:hAnsi="Tahoma" w:cs="Tahoma"/>
          <w:b/>
          <w:bCs/>
          <w:sz w:val="24"/>
          <w:szCs w:val="24"/>
          <w:lang w:eastAsia="fr-FR"/>
        </w:rPr>
        <w:lastRenderedPageBreak/>
        <w:t>NMD </w:t>
      </w:r>
      <w:r w:rsidR="00954B3A">
        <w:rPr>
          <w:rFonts w:ascii="Tahoma" w:eastAsia="Times New Roman" w:hAnsi="Tahoma" w:cs="Tahoma"/>
          <w:b/>
          <w:bCs/>
          <w:sz w:val="24"/>
          <w:szCs w:val="24"/>
          <w:lang w:eastAsia="fr-FR"/>
        </w:rPr>
        <w:tab/>
      </w:r>
      <w:r w:rsidRPr="002462E6">
        <w:rPr>
          <w:rFonts w:ascii="Tahoma" w:hAnsi="Tahoma" w:cs="Tahoma"/>
          <w:sz w:val="24"/>
          <w:szCs w:val="24"/>
        </w:rPr>
        <w:t xml:space="preserve">: Nouveau Modèle de Développement </w:t>
      </w:r>
    </w:p>
    <w:p w:rsidR="0060030A" w:rsidRPr="002462E6" w:rsidRDefault="0060030A" w:rsidP="0083519B">
      <w:pPr>
        <w:widowControl w:val="0"/>
        <w:autoSpaceDE w:val="0"/>
        <w:autoSpaceDN w:val="0"/>
        <w:spacing w:after="0" w:line="360" w:lineRule="auto"/>
        <w:jc w:val="both"/>
        <w:rPr>
          <w:rFonts w:ascii="Tahoma" w:eastAsia="Times New Roman" w:hAnsi="Tahoma" w:cs="Tahoma"/>
          <w:sz w:val="24"/>
          <w:szCs w:val="24"/>
        </w:rPr>
      </w:pPr>
      <w:r w:rsidRPr="002462E6">
        <w:rPr>
          <w:rFonts w:ascii="Tahoma" w:eastAsia="Times New Roman" w:hAnsi="Tahoma" w:cs="Tahoma"/>
          <w:b/>
          <w:bCs/>
          <w:sz w:val="24"/>
          <w:szCs w:val="24"/>
        </w:rPr>
        <w:t xml:space="preserve">ODD </w:t>
      </w:r>
      <w:r w:rsidR="00954B3A">
        <w:rPr>
          <w:rFonts w:ascii="Tahoma" w:eastAsia="Times New Roman" w:hAnsi="Tahoma" w:cs="Tahoma"/>
          <w:b/>
          <w:bCs/>
          <w:sz w:val="24"/>
          <w:szCs w:val="24"/>
        </w:rPr>
        <w:tab/>
      </w:r>
      <w:r w:rsidR="00954B3A">
        <w:rPr>
          <w:rFonts w:ascii="Tahoma" w:eastAsia="Times New Roman" w:hAnsi="Tahoma" w:cs="Tahoma"/>
          <w:b/>
          <w:bCs/>
          <w:sz w:val="24"/>
          <w:szCs w:val="24"/>
        </w:rPr>
        <w:tab/>
      </w:r>
      <w:r w:rsidRPr="002462E6">
        <w:rPr>
          <w:rFonts w:ascii="Tahoma" w:eastAsia="Times New Roman" w:hAnsi="Tahoma" w:cs="Tahoma"/>
          <w:sz w:val="24"/>
          <w:szCs w:val="24"/>
        </w:rPr>
        <w:t>: Objectifs de Développement Durable</w:t>
      </w:r>
    </w:p>
    <w:p w:rsidR="0060030A" w:rsidRPr="002462E6" w:rsidRDefault="0060030A" w:rsidP="0083519B">
      <w:pPr>
        <w:widowControl w:val="0"/>
        <w:autoSpaceDE w:val="0"/>
        <w:autoSpaceDN w:val="0"/>
        <w:spacing w:after="0" w:line="360" w:lineRule="auto"/>
        <w:jc w:val="both"/>
        <w:rPr>
          <w:rFonts w:ascii="Tahoma" w:eastAsia="Times New Roman" w:hAnsi="Tahoma" w:cs="Tahoma"/>
          <w:sz w:val="24"/>
          <w:szCs w:val="24"/>
        </w:rPr>
      </w:pPr>
      <w:r w:rsidRPr="002462E6">
        <w:rPr>
          <w:rFonts w:ascii="Tahoma" w:eastAsia="Times New Roman" w:hAnsi="Tahoma" w:cs="Tahoma"/>
          <w:b/>
          <w:bCs/>
          <w:sz w:val="24"/>
          <w:szCs w:val="24"/>
        </w:rPr>
        <w:t>OIBT</w:t>
      </w:r>
      <w:r w:rsidRPr="002462E6">
        <w:rPr>
          <w:rFonts w:ascii="Tahoma" w:eastAsia="Times New Roman" w:hAnsi="Tahoma" w:cs="Tahoma"/>
          <w:sz w:val="24"/>
          <w:szCs w:val="24"/>
        </w:rPr>
        <w:t xml:space="preserve"> </w:t>
      </w:r>
      <w:r w:rsidR="00954B3A">
        <w:rPr>
          <w:rFonts w:ascii="Tahoma" w:eastAsia="Times New Roman" w:hAnsi="Tahoma" w:cs="Tahoma"/>
          <w:sz w:val="24"/>
          <w:szCs w:val="24"/>
        </w:rPr>
        <w:tab/>
      </w:r>
      <w:r w:rsidR="00954B3A">
        <w:rPr>
          <w:rFonts w:ascii="Tahoma" w:eastAsia="Times New Roman" w:hAnsi="Tahoma" w:cs="Tahoma"/>
          <w:sz w:val="24"/>
          <w:szCs w:val="24"/>
        </w:rPr>
        <w:tab/>
      </w:r>
      <w:r w:rsidRPr="002462E6">
        <w:rPr>
          <w:rFonts w:ascii="Tahoma" w:eastAsia="Times New Roman" w:hAnsi="Tahoma" w:cs="Tahoma"/>
          <w:sz w:val="24"/>
          <w:szCs w:val="24"/>
        </w:rPr>
        <w:t>: Organisation Internationale des Bois Tropicaux</w:t>
      </w:r>
    </w:p>
    <w:p w:rsidR="0060030A" w:rsidRPr="002462E6" w:rsidRDefault="0060030A" w:rsidP="0083519B">
      <w:pPr>
        <w:jc w:val="both"/>
        <w:rPr>
          <w:rFonts w:ascii="Tahoma" w:eastAsia="Times New Roman" w:hAnsi="Tahoma" w:cs="Tahoma"/>
          <w:sz w:val="24"/>
          <w:szCs w:val="24"/>
          <w:lang w:eastAsia="fr-FR"/>
        </w:rPr>
      </w:pPr>
      <w:r w:rsidRPr="002462E6">
        <w:rPr>
          <w:rFonts w:ascii="Tahoma" w:eastAsia="Times New Roman" w:hAnsi="Tahoma" w:cs="Tahoma"/>
          <w:b/>
          <w:bCs/>
          <w:sz w:val="24"/>
          <w:szCs w:val="24"/>
          <w:lang w:eastAsia="fr-FR"/>
        </w:rPr>
        <w:t>PERG</w:t>
      </w:r>
      <w:r w:rsidRPr="002462E6">
        <w:rPr>
          <w:rFonts w:ascii="Tahoma" w:eastAsia="Times New Roman" w:hAnsi="Tahoma" w:cs="Tahoma"/>
          <w:sz w:val="24"/>
          <w:szCs w:val="24"/>
          <w:lang w:eastAsia="fr-FR"/>
        </w:rPr>
        <w:t> </w:t>
      </w:r>
      <w:r w:rsidR="00954B3A">
        <w:rPr>
          <w:rFonts w:ascii="Tahoma" w:eastAsia="Times New Roman" w:hAnsi="Tahoma" w:cs="Tahoma"/>
          <w:sz w:val="24"/>
          <w:szCs w:val="24"/>
          <w:lang w:eastAsia="fr-FR"/>
        </w:rPr>
        <w:tab/>
      </w:r>
      <w:r w:rsidRPr="002462E6">
        <w:rPr>
          <w:rFonts w:ascii="Tahoma" w:eastAsia="Times New Roman" w:hAnsi="Tahoma" w:cs="Tahoma"/>
          <w:sz w:val="24"/>
          <w:szCs w:val="24"/>
          <w:lang w:eastAsia="fr-FR"/>
        </w:rPr>
        <w:t xml:space="preserve">: Programme d’Électrification Rurale Global </w:t>
      </w:r>
    </w:p>
    <w:p w:rsidR="0060030A" w:rsidRPr="002462E6" w:rsidRDefault="0060030A" w:rsidP="0083519B">
      <w:pPr>
        <w:jc w:val="both"/>
        <w:rPr>
          <w:rFonts w:ascii="Tahoma" w:eastAsia="Times New Roman" w:hAnsi="Tahoma" w:cs="Tahoma"/>
          <w:sz w:val="24"/>
          <w:szCs w:val="24"/>
        </w:rPr>
      </w:pPr>
      <w:r w:rsidRPr="002462E6">
        <w:rPr>
          <w:rFonts w:ascii="Tahoma" w:eastAsia="Times New Roman" w:hAnsi="Tahoma" w:cs="Tahoma"/>
          <w:b/>
          <w:bCs/>
          <w:sz w:val="24"/>
          <w:szCs w:val="24"/>
        </w:rPr>
        <w:t>PFN </w:t>
      </w:r>
      <w:r w:rsidR="00954B3A">
        <w:rPr>
          <w:rFonts w:ascii="Tahoma" w:eastAsia="Times New Roman" w:hAnsi="Tahoma" w:cs="Tahoma"/>
          <w:b/>
          <w:bCs/>
          <w:sz w:val="24"/>
          <w:szCs w:val="24"/>
        </w:rPr>
        <w:tab/>
      </w:r>
      <w:r w:rsidR="00954B3A">
        <w:rPr>
          <w:rFonts w:ascii="Tahoma" w:eastAsia="Times New Roman" w:hAnsi="Tahoma" w:cs="Tahoma"/>
          <w:b/>
          <w:bCs/>
          <w:sz w:val="24"/>
          <w:szCs w:val="24"/>
        </w:rPr>
        <w:tab/>
      </w:r>
      <w:r w:rsidRPr="002462E6">
        <w:rPr>
          <w:rFonts w:ascii="Tahoma" w:eastAsia="Times New Roman" w:hAnsi="Tahoma" w:cs="Tahoma"/>
          <w:sz w:val="24"/>
          <w:szCs w:val="24"/>
        </w:rPr>
        <w:t>: Programme Forestier National</w:t>
      </w:r>
    </w:p>
    <w:p w:rsidR="0060030A" w:rsidRPr="002462E6" w:rsidRDefault="0060030A" w:rsidP="0083519B">
      <w:pPr>
        <w:jc w:val="both"/>
        <w:rPr>
          <w:rFonts w:ascii="Tahoma" w:hAnsi="Tahoma" w:cs="Tahoma"/>
          <w:sz w:val="24"/>
          <w:szCs w:val="24"/>
        </w:rPr>
      </w:pPr>
      <w:r w:rsidRPr="002462E6">
        <w:rPr>
          <w:rFonts w:ascii="Tahoma" w:eastAsia="Times New Roman" w:hAnsi="Tahoma" w:cs="Tahoma"/>
          <w:b/>
          <w:bCs/>
          <w:sz w:val="24"/>
          <w:szCs w:val="24"/>
          <w:lang w:eastAsia="fr-FR"/>
        </w:rPr>
        <w:t>PFNL</w:t>
      </w:r>
      <w:r w:rsidRPr="002462E6">
        <w:rPr>
          <w:rFonts w:ascii="Tahoma" w:hAnsi="Tahoma" w:cs="Tahoma"/>
          <w:sz w:val="24"/>
          <w:szCs w:val="24"/>
        </w:rPr>
        <w:t> </w:t>
      </w:r>
      <w:r w:rsidR="00954B3A">
        <w:rPr>
          <w:rFonts w:ascii="Tahoma" w:hAnsi="Tahoma" w:cs="Tahoma"/>
          <w:sz w:val="24"/>
          <w:szCs w:val="24"/>
        </w:rPr>
        <w:tab/>
      </w:r>
      <w:r w:rsidR="00954B3A">
        <w:rPr>
          <w:rFonts w:ascii="Tahoma" w:hAnsi="Tahoma" w:cs="Tahoma"/>
          <w:sz w:val="24"/>
          <w:szCs w:val="24"/>
        </w:rPr>
        <w:tab/>
      </w:r>
      <w:r w:rsidRPr="002462E6">
        <w:rPr>
          <w:rFonts w:ascii="Tahoma" w:hAnsi="Tahoma" w:cs="Tahoma"/>
          <w:sz w:val="24"/>
          <w:szCs w:val="24"/>
        </w:rPr>
        <w:t xml:space="preserve">: </w:t>
      </w:r>
      <w:r w:rsidR="00753614" w:rsidRPr="002462E6">
        <w:rPr>
          <w:rFonts w:ascii="Tahoma" w:hAnsi="Tahoma" w:cs="Tahoma"/>
          <w:sz w:val="24"/>
          <w:szCs w:val="24"/>
        </w:rPr>
        <w:t xml:space="preserve">Produits Forestiers </w:t>
      </w:r>
      <w:r w:rsidR="00753614">
        <w:rPr>
          <w:rFonts w:ascii="Tahoma" w:hAnsi="Tahoma" w:cs="Tahoma"/>
          <w:sz w:val="24"/>
          <w:szCs w:val="24"/>
        </w:rPr>
        <w:t>n</w:t>
      </w:r>
      <w:r w:rsidR="00753614" w:rsidRPr="002462E6">
        <w:rPr>
          <w:rFonts w:ascii="Tahoma" w:hAnsi="Tahoma" w:cs="Tahoma"/>
          <w:sz w:val="24"/>
          <w:szCs w:val="24"/>
        </w:rPr>
        <w:t xml:space="preserve">on Ligneux </w:t>
      </w:r>
    </w:p>
    <w:p w:rsidR="0060030A" w:rsidRPr="002462E6" w:rsidRDefault="0060030A" w:rsidP="0083519B">
      <w:pPr>
        <w:jc w:val="both"/>
        <w:rPr>
          <w:rFonts w:ascii="Tahoma" w:hAnsi="Tahoma" w:cs="Tahoma"/>
          <w:sz w:val="24"/>
          <w:szCs w:val="24"/>
        </w:rPr>
      </w:pPr>
      <w:r w:rsidRPr="002462E6">
        <w:rPr>
          <w:rFonts w:ascii="Tahoma" w:eastAsia="Times New Roman" w:hAnsi="Tahoma" w:cs="Tahoma"/>
          <w:b/>
          <w:bCs/>
          <w:sz w:val="24"/>
          <w:szCs w:val="24"/>
          <w:lang w:eastAsia="fr-FR"/>
        </w:rPr>
        <w:t>PMV </w:t>
      </w:r>
      <w:r w:rsidR="00954B3A">
        <w:rPr>
          <w:rFonts w:ascii="Tahoma" w:eastAsia="Times New Roman" w:hAnsi="Tahoma" w:cs="Tahoma"/>
          <w:b/>
          <w:bCs/>
          <w:sz w:val="24"/>
          <w:szCs w:val="24"/>
          <w:lang w:eastAsia="fr-FR"/>
        </w:rPr>
        <w:tab/>
      </w:r>
      <w:r w:rsidR="00954B3A">
        <w:rPr>
          <w:rFonts w:ascii="Tahoma" w:eastAsia="Times New Roman" w:hAnsi="Tahoma" w:cs="Tahoma"/>
          <w:b/>
          <w:bCs/>
          <w:sz w:val="24"/>
          <w:szCs w:val="24"/>
          <w:lang w:eastAsia="fr-FR"/>
        </w:rPr>
        <w:tab/>
      </w:r>
      <w:r w:rsidRPr="002462E6">
        <w:rPr>
          <w:rFonts w:ascii="Tahoma" w:hAnsi="Tahoma" w:cs="Tahoma"/>
          <w:sz w:val="24"/>
          <w:szCs w:val="24"/>
        </w:rPr>
        <w:t xml:space="preserve">: Plan Maroc Vert </w:t>
      </w:r>
    </w:p>
    <w:p w:rsidR="0060030A" w:rsidRPr="002462E6" w:rsidRDefault="0060030A" w:rsidP="0083519B">
      <w:pPr>
        <w:jc w:val="both"/>
        <w:rPr>
          <w:rFonts w:ascii="Tahoma" w:eastAsia="Times New Roman" w:hAnsi="Tahoma" w:cs="Tahoma"/>
          <w:sz w:val="24"/>
          <w:szCs w:val="24"/>
        </w:rPr>
      </w:pPr>
      <w:r w:rsidRPr="002462E6">
        <w:rPr>
          <w:rFonts w:ascii="Tahoma" w:eastAsia="Times New Roman" w:hAnsi="Tahoma" w:cs="Tahoma"/>
          <w:b/>
          <w:bCs/>
          <w:sz w:val="24"/>
          <w:szCs w:val="24"/>
        </w:rPr>
        <w:t>RGPH</w:t>
      </w:r>
      <w:r w:rsidRPr="002462E6">
        <w:rPr>
          <w:rFonts w:ascii="Tahoma" w:eastAsia="Times New Roman" w:hAnsi="Tahoma" w:cs="Tahoma"/>
          <w:sz w:val="24"/>
          <w:szCs w:val="24"/>
        </w:rPr>
        <w:t> </w:t>
      </w:r>
      <w:r w:rsidR="00954B3A">
        <w:rPr>
          <w:rFonts w:ascii="Tahoma" w:eastAsia="Times New Roman" w:hAnsi="Tahoma" w:cs="Tahoma"/>
          <w:sz w:val="24"/>
          <w:szCs w:val="24"/>
        </w:rPr>
        <w:tab/>
      </w:r>
      <w:r w:rsidRPr="002462E6">
        <w:rPr>
          <w:rFonts w:ascii="Tahoma" w:eastAsia="Times New Roman" w:hAnsi="Tahoma" w:cs="Tahoma"/>
          <w:sz w:val="24"/>
          <w:szCs w:val="24"/>
        </w:rPr>
        <w:t xml:space="preserve">: Recensement Général de la Population et de l’Habitat </w:t>
      </w:r>
    </w:p>
    <w:p w:rsidR="0060030A" w:rsidRPr="002462E6" w:rsidRDefault="0060030A" w:rsidP="0083519B">
      <w:pPr>
        <w:jc w:val="both"/>
        <w:rPr>
          <w:rFonts w:ascii="Tahoma" w:eastAsia="Times New Roman" w:hAnsi="Tahoma" w:cs="Tahoma"/>
          <w:sz w:val="24"/>
          <w:szCs w:val="24"/>
        </w:rPr>
      </w:pPr>
      <w:r w:rsidRPr="002462E6">
        <w:rPr>
          <w:rFonts w:ascii="Tahoma" w:eastAsia="Times New Roman" w:hAnsi="Tahoma" w:cs="Tahoma"/>
          <w:b/>
          <w:bCs/>
          <w:color w:val="232333"/>
          <w:sz w:val="24"/>
          <w:szCs w:val="24"/>
        </w:rPr>
        <w:t>RSK</w:t>
      </w:r>
      <w:r w:rsidRPr="002462E6">
        <w:rPr>
          <w:rFonts w:ascii="Tahoma" w:eastAsia="Times New Roman" w:hAnsi="Tahoma" w:cs="Tahoma"/>
          <w:sz w:val="24"/>
          <w:szCs w:val="24"/>
        </w:rPr>
        <w:t> </w:t>
      </w:r>
      <w:r w:rsidR="00954B3A">
        <w:rPr>
          <w:rFonts w:ascii="Tahoma" w:eastAsia="Times New Roman" w:hAnsi="Tahoma" w:cs="Tahoma"/>
          <w:sz w:val="24"/>
          <w:szCs w:val="24"/>
        </w:rPr>
        <w:tab/>
      </w:r>
      <w:r w:rsidR="00954B3A">
        <w:rPr>
          <w:rFonts w:ascii="Tahoma" w:eastAsia="Times New Roman" w:hAnsi="Tahoma" w:cs="Tahoma"/>
          <w:sz w:val="24"/>
          <w:szCs w:val="24"/>
        </w:rPr>
        <w:tab/>
      </w:r>
      <w:r w:rsidRPr="002462E6">
        <w:rPr>
          <w:rFonts w:ascii="Tahoma" w:eastAsia="Times New Roman" w:hAnsi="Tahoma" w:cs="Tahoma"/>
          <w:sz w:val="24"/>
          <w:szCs w:val="24"/>
        </w:rPr>
        <w:t xml:space="preserve">: Rabat-Salé-Kénitra </w:t>
      </w:r>
    </w:p>
    <w:p w:rsidR="0060030A" w:rsidRPr="002462E6" w:rsidRDefault="0060030A" w:rsidP="0083519B">
      <w:pPr>
        <w:jc w:val="both"/>
        <w:rPr>
          <w:rFonts w:ascii="Tahoma" w:eastAsia="Times New Roman" w:hAnsi="Tahoma" w:cs="Tahoma"/>
          <w:sz w:val="24"/>
          <w:szCs w:val="24"/>
        </w:rPr>
      </w:pPr>
      <w:r w:rsidRPr="002462E6">
        <w:rPr>
          <w:rFonts w:ascii="Tahoma" w:eastAsia="Times New Roman" w:hAnsi="Tahoma" w:cs="Tahoma"/>
          <w:b/>
          <w:bCs/>
          <w:color w:val="232333"/>
          <w:sz w:val="24"/>
          <w:szCs w:val="24"/>
        </w:rPr>
        <w:t>SF </w:t>
      </w:r>
      <w:r w:rsidR="00954B3A">
        <w:rPr>
          <w:rFonts w:ascii="Tahoma" w:eastAsia="Times New Roman" w:hAnsi="Tahoma" w:cs="Tahoma"/>
          <w:b/>
          <w:bCs/>
          <w:color w:val="232333"/>
          <w:sz w:val="24"/>
          <w:szCs w:val="24"/>
        </w:rPr>
        <w:tab/>
      </w:r>
      <w:r w:rsidR="00954B3A">
        <w:rPr>
          <w:rFonts w:ascii="Tahoma" w:eastAsia="Times New Roman" w:hAnsi="Tahoma" w:cs="Tahoma"/>
          <w:b/>
          <w:bCs/>
          <w:color w:val="232333"/>
          <w:sz w:val="24"/>
          <w:szCs w:val="24"/>
        </w:rPr>
        <w:tab/>
      </w:r>
      <w:r w:rsidRPr="002462E6">
        <w:rPr>
          <w:rFonts w:ascii="Tahoma" w:eastAsia="Times New Roman" w:hAnsi="Tahoma" w:cs="Tahoma"/>
          <w:sz w:val="24"/>
          <w:szCs w:val="24"/>
        </w:rPr>
        <w:t xml:space="preserve">: Secteurs Forestiers </w:t>
      </w:r>
    </w:p>
    <w:p w:rsidR="0060030A" w:rsidRPr="002462E6" w:rsidRDefault="0060030A" w:rsidP="0083519B">
      <w:pPr>
        <w:jc w:val="both"/>
        <w:rPr>
          <w:rFonts w:ascii="Tahoma" w:eastAsia="Times New Roman" w:hAnsi="Tahoma" w:cs="Tahoma"/>
          <w:sz w:val="24"/>
          <w:szCs w:val="24"/>
        </w:rPr>
      </w:pPr>
      <w:r w:rsidRPr="002462E6">
        <w:rPr>
          <w:rFonts w:ascii="Tahoma" w:eastAsia="Times New Roman" w:hAnsi="Tahoma" w:cs="Tahoma"/>
          <w:b/>
          <w:bCs/>
          <w:color w:val="232333"/>
          <w:sz w:val="24"/>
          <w:szCs w:val="24"/>
        </w:rPr>
        <w:t>SIBE</w:t>
      </w:r>
      <w:r w:rsidRPr="002462E6">
        <w:rPr>
          <w:rFonts w:ascii="Tahoma" w:eastAsia="Times New Roman" w:hAnsi="Tahoma" w:cs="Tahoma"/>
          <w:sz w:val="24"/>
          <w:szCs w:val="24"/>
        </w:rPr>
        <w:t> </w:t>
      </w:r>
      <w:r w:rsidR="00954B3A">
        <w:rPr>
          <w:rFonts w:ascii="Tahoma" w:eastAsia="Times New Roman" w:hAnsi="Tahoma" w:cs="Tahoma"/>
          <w:sz w:val="24"/>
          <w:szCs w:val="24"/>
        </w:rPr>
        <w:tab/>
      </w:r>
      <w:r w:rsidR="00954B3A">
        <w:rPr>
          <w:rFonts w:ascii="Tahoma" w:eastAsia="Times New Roman" w:hAnsi="Tahoma" w:cs="Tahoma"/>
          <w:sz w:val="24"/>
          <w:szCs w:val="24"/>
        </w:rPr>
        <w:tab/>
      </w:r>
      <w:r w:rsidRPr="002462E6">
        <w:rPr>
          <w:rFonts w:ascii="Tahoma" w:eastAsia="Times New Roman" w:hAnsi="Tahoma" w:cs="Tahoma"/>
          <w:sz w:val="24"/>
          <w:szCs w:val="24"/>
        </w:rPr>
        <w:t xml:space="preserve">: Sites d’Intérêt Biologique et Écologique </w:t>
      </w:r>
    </w:p>
    <w:p w:rsidR="0060030A" w:rsidRPr="002462E6" w:rsidRDefault="0060030A" w:rsidP="0083519B">
      <w:pPr>
        <w:jc w:val="both"/>
        <w:rPr>
          <w:rFonts w:ascii="Tahoma" w:eastAsia="Times New Roman" w:hAnsi="Tahoma" w:cs="Tahoma"/>
          <w:sz w:val="24"/>
          <w:szCs w:val="24"/>
          <w:lang w:eastAsia="fr-FR"/>
        </w:rPr>
      </w:pPr>
      <w:r w:rsidRPr="002462E6">
        <w:rPr>
          <w:rFonts w:ascii="Tahoma" w:eastAsia="Times New Roman" w:hAnsi="Tahoma" w:cs="Tahoma"/>
          <w:b/>
          <w:bCs/>
          <w:sz w:val="24"/>
          <w:szCs w:val="24"/>
          <w:lang w:eastAsia="fr-FR"/>
        </w:rPr>
        <w:t>TAMA</w:t>
      </w:r>
      <w:r w:rsidRPr="002462E6">
        <w:rPr>
          <w:rFonts w:ascii="Tahoma" w:eastAsia="Times New Roman" w:hAnsi="Tahoma" w:cs="Tahoma"/>
          <w:sz w:val="24"/>
          <w:szCs w:val="24"/>
          <w:lang w:eastAsia="fr-FR"/>
        </w:rPr>
        <w:t> </w:t>
      </w:r>
      <w:r w:rsidR="00954B3A">
        <w:rPr>
          <w:rFonts w:ascii="Tahoma" w:eastAsia="Times New Roman" w:hAnsi="Tahoma" w:cs="Tahoma"/>
          <w:sz w:val="24"/>
          <w:szCs w:val="24"/>
          <w:lang w:eastAsia="fr-FR"/>
        </w:rPr>
        <w:tab/>
      </w:r>
      <w:r w:rsidRPr="002462E6">
        <w:rPr>
          <w:rFonts w:ascii="Tahoma" w:eastAsia="Times New Roman" w:hAnsi="Tahoma" w:cs="Tahoma"/>
          <w:sz w:val="24"/>
          <w:szCs w:val="24"/>
          <w:lang w:eastAsia="fr-FR"/>
        </w:rPr>
        <w:t xml:space="preserve">: Taux d'Accroissement Moyen Annuel </w:t>
      </w:r>
    </w:p>
    <w:p w:rsidR="00D41FAD" w:rsidRPr="002462E6" w:rsidRDefault="0060030A" w:rsidP="0060030A">
      <w:pPr>
        <w:rPr>
          <w:rFonts w:ascii="Tahoma" w:eastAsia="Times New Roman" w:hAnsi="Tahoma" w:cs="Tahoma"/>
          <w:sz w:val="24"/>
          <w:szCs w:val="24"/>
        </w:rPr>
      </w:pPr>
      <w:r w:rsidRPr="002462E6">
        <w:rPr>
          <w:rFonts w:ascii="Tahoma" w:eastAsia="Times New Roman" w:hAnsi="Tahoma" w:cs="Tahoma"/>
          <w:sz w:val="24"/>
          <w:szCs w:val="24"/>
        </w:rPr>
        <w:br w:type="page"/>
      </w:r>
    </w:p>
    <w:p w:rsidR="00935A5D" w:rsidRPr="002462E6" w:rsidRDefault="00935A5D" w:rsidP="00E37950">
      <w:pPr>
        <w:widowControl w:val="0"/>
        <w:autoSpaceDE w:val="0"/>
        <w:autoSpaceDN w:val="0"/>
        <w:spacing w:after="0" w:line="360" w:lineRule="auto"/>
        <w:rPr>
          <w:rFonts w:ascii="Tahoma" w:eastAsia="Times New Roman" w:hAnsi="Tahoma" w:cs="Tahoma"/>
          <w:sz w:val="24"/>
          <w:szCs w:val="24"/>
        </w:rPr>
      </w:pPr>
    </w:p>
    <w:p w:rsidR="000A7532" w:rsidRPr="002462E6" w:rsidRDefault="000A7532">
      <w:pPr>
        <w:rPr>
          <w:rFonts w:ascii="Tahoma" w:eastAsia="Calibri Light" w:hAnsi="Tahoma" w:cs="Tahoma"/>
          <w:sz w:val="28"/>
          <w:szCs w:val="28"/>
        </w:rPr>
      </w:pPr>
    </w:p>
    <w:p w:rsidR="005011C2" w:rsidRPr="002462E6" w:rsidRDefault="005011C2" w:rsidP="000A7532">
      <w:pPr>
        <w:widowControl w:val="0"/>
        <w:autoSpaceDE w:val="0"/>
        <w:autoSpaceDN w:val="0"/>
        <w:spacing w:before="16" w:after="0" w:line="240" w:lineRule="auto"/>
        <w:jc w:val="both"/>
        <w:outlineLvl w:val="0"/>
        <w:rPr>
          <w:rFonts w:ascii="Tahoma" w:eastAsia="Calibri Light" w:hAnsi="Tahoma" w:cs="Tahoma"/>
          <w:b/>
          <w:bCs/>
          <w:sz w:val="36"/>
          <w:szCs w:val="36"/>
        </w:rPr>
      </w:pPr>
    </w:p>
    <w:p w:rsidR="00BA648C" w:rsidRPr="002462E6" w:rsidRDefault="00BA648C" w:rsidP="000A7532">
      <w:pPr>
        <w:widowControl w:val="0"/>
        <w:autoSpaceDE w:val="0"/>
        <w:autoSpaceDN w:val="0"/>
        <w:spacing w:before="16" w:after="0" w:line="240" w:lineRule="auto"/>
        <w:jc w:val="both"/>
        <w:outlineLvl w:val="0"/>
        <w:rPr>
          <w:rFonts w:ascii="Tahoma" w:eastAsia="Calibri Light" w:hAnsi="Tahoma" w:cs="Tahoma"/>
          <w:b/>
          <w:bCs/>
          <w:sz w:val="36"/>
          <w:szCs w:val="36"/>
        </w:rPr>
      </w:pPr>
    </w:p>
    <w:p w:rsidR="00BA648C" w:rsidRPr="002462E6" w:rsidRDefault="00BA648C" w:rsidP="000A7532">
      <w:pPr>
        <w:widowControl w:val="0"/>
        <w:autoSpaceDE w:val="0"/>
        <w:autoSpaceDN w:val="0"/>
        <w:spacing w:before="16" w:after="0" w:line="240" w:lineRule="auto"/>
        <w:jc w:val="both"/>
        <w:outlineLvl w:val="0"/>
        <w:rPr>
          <w:rFonts w:ascii="Tahoma" w:eastAsia="Calibri Light" w:hAnsi="Tahoma" w:cs="Tahoma"/>
          <w:b/>
          <w:bCs/>
          <w:sz w:val="36"/>
          <w:szCs w:val="36"/>
        </w:rPr>
      </w:pPr>
    </w:p>
    <w:p w:rsidR="00BA648C" w:rsidRPr="002462E6" w:rsidRDefault="00BA648C" w:rsidP="000A7532">
      <w:pPr>
        <w:widowControl w:val="0"/>
        <w:autoSpaceDE w:val="0"/>
        <w:autoSpaceDN w:val="0"/>
        <w:spacing w:before="16" w:after="0" w:line="240" w:lineRule="auto"/>
        <w:jc w:val="both"/>
        <w:outlineLvl w:val="0"/>
        <w:rPr>
          <w:rFonts w:ascii="Tahoma" w:eastAsia="Calibri Light" w:hAnsi="Tahoma" w:cs="Tahoma"/>
          <w:b/>
          <w:bCs/>
          <w:sz w:val="36"/>
          <w:szCs w:val="36"/>
        </w:rPr>
      </w:pPr>
    </w:p>
    <w:p w:rsidR="00BA648C" w:rsidRPr="002462E6" w:rsidRDefault="00BA648C" w:rsidP="000A7532">
      <w:pPr>
        <w:widowControl w:val="0"/>
        <w:autoSpaceDE w:val="0"/>
        <w:autoSpaceDN w:val="0"/>
        <w:spacing w:before="16" w:after="0" w:line="240" w:lineRule="auto"/>
        <w:jc w:val="both"/>
        <w:outlineLvl w:val="0"/>
        <w:rPr>
          <w:rFonts w:ascii="Tahoma" w:eastAsia="Calibri Light" w:hAnsi="Tahoma" w:cs="Tahoma"/>
          <w:b/>
          <w:bCs/>
          <w:sz w:val="36"/>
          <w:szCs w:val="36"/>
        </w:rPr>
      </w:pPr>
    </w:p>
    <w:p w:rsidR="00BA648C" w:rsidRPr="002462E6" w:rsidRDefault="00BA648C" w:rsidP="000A7532">
      <w:pPr>
        <w:widowControl w:val="0"/>
        <w:autoSpaceDE w:val="0"/>
        <w:autoSpaceDN w:val="0"/>
        <w:spacing w:before="16" w:after="0" w:line="240" w:lineRule="auto"/>
        <w:jc w:val="both"/>
        <w:outlineLvl w:val="0"/>
        <w:rPr>
          <w:rFonts w:ascii="Tahoma" w:eastAsia="Calibri Light" w:hAnsi="Tahoma" w:cs="Tahoma"/>
          <w:b/>
          <w:bCs/>
          <w:sz w:val="36"/>
          <w:szCs w:val="36"/>
        </w:rPr>
      </w:pPr>
    </w:p>
    <w:p w:rsidR="00BA648C" w:rsidRPr="002462E6" w:rsidRDefault="00BA648C" w:rsidP="000A7532">
      <w:pPr>
        <w:widowControl w:val="0"/>
        <w:autoSpaceDE w:val="0"/>
        <w:autoSpaceDN w:val="0"/>
        <w:spacing w:before="16" w:after="0" w:line="240" w:lineRule="auto"/>
        <w:jc w:val="both"/>
        <w:outlineLvl w:val="0"/>
        <w:rPr>
          <w:rFonts w:ascii="Tahoma" w:eastAsia="Calibri Light" w:hAnsi="Tahoma" w:cs="Tahoma"/>
          <w:b/>
          <w:bCs/>
          <w:sz w:val="36"/>
          <w:szCs w:val="36"/>
        </w:rPr>
      </w:pPr>
    </w:p>
    <w:p w:rsidR="00BA648C" w:rsidRPr="002462E6" w:rsidRDefault="00BA648C" w:rsidP="000A7532">
      <w:pPr>
        <w:widowControl w:val="0"/>
        <w:autoSpaceDE w:val="0"/>
        <w:autoSpaceDN w:val="0"/>
        <w:spacing w:before="16" w:after="0" w:line="240" w:lineRule="auto"/>
        <w:jc w:val="both"/>
        <w:outlineLvl w:val="0"/>
        <w:rPr>
          <w:rFonts w:ascii="Tahoma" w:eastAsia="Calibri Light" w:hAnsi="Tahoma" w:cs="Tahoma"/>
          <w:b/>
          <w:bCs/>
          <w:sz w:val="36"/>
          <w:szCs w:val="36"/>
        </w:rPr>
      </w:pPr>
    </w:p>
    <w:p w:rsidR="005011C2" w:rsidRPr="002462E6" w:rsidRDefault="005011C2" w:rsidP="000A7532">
      <w:pPr>
        <w:widowControl w:val="0"/>
        <w:autoSpaceDE w:val="0"/>
        <w:autoSpaceDN w:val="0"/>
        <w:spacing w:before="16" w:after="0" w:line="240" w:lineRule="auto"/>
        <w:jc w:val="both"/>
        <w:outlineLvl w:val="0"/>
        <w:rPr>
          <w:rFonts w:ascii="Tahoma" w:eastAsia="Calibri Light" w:hAnsi="Tahoma" w:cs="Tahoma"/>
          <w:b/>
          <w:bCs/>
          <w:sz w:val="36"/>
          <w:szCs w:val="36"/>
        </w:rPr>
      </w:pPr>
    </w:p>
    <w:p w:rsidR="005011C2" w:rsidRPr="002462E6" w:rsidRDefault="005011C2" w:rsidP="000A7532">
      <w:pPr>
        <w:widowControl w:val="0"/>
        <w:autoSpaceDE w:val="0"/>
        <w:autoSpaceDN w:val="0"/>
        <w:spacing w:before="16" w:after="0" w:line="240" w:lineRule="auto"/>
        <w:jc w:val="both"/>
        <w:outlineLvl w:val="0"/>
        <w:rPr>
          <w:rFonts w:ascii="Tahoma" w:eastAsia="Calibri Light" w:hAnsi="Tahoma" w:cs="Tahoma"/>
          <w:b/>
          <w:bCs/>
          <w:sz w:val="36"/>
          <w:szCs w:val="36"/>
        </w:rPr>
      </w:pPr>
    </w:p>
    <w:p w:rsidR="005011C2" w:rsidRPr="002462E6" w:rsidRDefault="005011C2" w:rsidP="000A7532">
      <w:pPr>
        <w:widowControl w:val="0"/>
        <w:autoSpaceDE w:val="0"/>
        <w:autoSpaceDN w:val="0"/>
        <w:spacing w:before="16" w:after="0" w:line="240" w:lineRule="auto"/>
        <w:jc w:val="both"/>
        <w:outlineLvl w:val="0"/>
        <w:rPr>
          <w:rFonts w:ascii="Tahoma" w:eastAsia="Calibri Light" w:hAnsi="Tahoma" w:cs="Tahoma"/>
          <w:b/>
          <w:bCs/>
          <w:sz w:val="36"/>
          <w:szCs w:val="36"/>
        </w:rPr>
      </w:pPr>
    </w:p>
    <w:p w:rsidR="005011C2" w:rsidRPr="002462E6" w:rsidRDefault="005011C2" w:rsidP="001B13DD">
      <w:pPr>
        <w:pStyle w:val="Corpsdetexte"/>
        <w:spacing w:line="360" w:lineRule="auto"/>
        <w:jc w:val="center"/>
        <w:rPr>
          <w:rFonts w:ascii="Tahoma" w:eastAsia="Calibri Light" w:hAnsi="Tahoma" w:cs="Calibri Light"/>
          <w:b/>
          <w:color w:val="6E9400" w:themeColor="accent1" w:themeShade="BF"/>
          <w:sz w:val="32"/>
          <w:szCs w:val="32"/>
        </w:rPr>
      </w:pPr>
      <w:r w:rsidRPr="002462E6">
        <w:rPr>
          <w:rFonts w:ascii="Tahoma" w:eastAsia="Calibri Light" w:hAnsi="Tahoma" w:cs="Calibri Light"/>
          <w:b/>
          <w:color w:val="6E9400" w:themeColor="accent1" w:themeShade="BF"/>
          <w:sz w:val="32"/>
          <w:szCs w:val="32"/>
        </w:rPr>
        <w:t>« Un peuple sans forêts est un peuple qui meurt »</w:t>
      </w:r>
      <w:r w:rsidRPr="002462E6">
        <w:rPr>
          <w:rFonts w:ascii="Tahoma" w:eastAsia="Calibri Light" w:hAnsi="Tahoma" w:cs="Calibri Light"/>
          <w:b/>
          <w:color w:val="6E9400" w:themeColor="accent1" w:themeShade="BF"/>
          <w:sz w:val="32"/>
          <w:szCs w:val="32"/>
          <w:vertAlign w:val="superscript"/>
        </w:rPr>
        <w:footnoteReference w:id="1"/>
      </w:r>
      <w:r w:rsidRPr="002462E6">
        <w:rPr>
          <w:rFonts w:ascii="Tahoma" w:eastAsia="Calibri Light" w:hAnsi="Tahoma" w:cs="Calibri Light"/>
          <w:b/>
          <w:color w:val="6E9400" w:themeColor="accent1" w:themeShade="BF"/>
          <w:sz w:val="32"/>
          <w:szCs w:val="32"/>
          <w:vertAlign w:val="superscript"/>
        </w:rPr>
        <w:t xml:space="preserve"> </w:t>
      </w:r>
    </w:p>
    <w:p w:rsidR="00A10881" w:rsidRPr="002462E6" w:rsidRDefault="00A10881">
      <w:pPr>
        <w:rPr>
          <w:rFonts w:ascii="Tahoma" w:eastAsia="Calibri" w:hAnsi="Tahoma" w:cs="Tahoma"/>
          <w:b/>
          <w:bCs/>
          <w:noProof/>
          <w:color w:val="00B050"/>
          <w:spacing w:val="5"/>
          <w:kern w:val="28"/>
          <w:sz w:val="32"/>
          <w:szCs w:val="32"/>
          <w:lang w:eastAsia="fr-FR"/>
        </w:rPr>
      </w:pPr>
      <w:r w:rsidRPr="002462E6">
        <w:rPr>
          <w:rFonts w:ascii="Tahoma" w:eastAsia="Calibri" w:hAnsi="Tahoma" w:cs="Tahoma"/>
          <w:b/>
          <w:bCs/>
          <w:noProof/>
          <w:color w:val="00B050"/>
          <w:spacing w:val="5"/>
          <w:kern w:val="28"/>
          <w:sz w:val="32"/>
          <w:szCs w:val="32"/>
          <w:lang w:eastAsia="fr-FR"/>
        </w:rPr>
        <w:br w:type="page"/>
      </w:r>
    </w:p>
    <w:p w:rsidR="005011C2" w:rsidRPr="002462E6" w:rsidRDefault="00A10881" w:rsidP="001B13DD">
      <w:pPr>
        <w:pStyle w:val="Corpsdetexte"/>
        <w:spacing w:line="360" w:lineRule="auto"/>
        <w:jc w:val="center"/>
        <w:rPr>
          <w:rFonts w:ascii="Tahoma" w:eastAsia="Calibri" w:hAnsi="Tahoma" w:cs="Tahoma"/>
          <w:b/>
          <w:bCs/>
          <w:noProof/>
          <w:color w:val="00B050"/>
          <w:spacing w:val="5"/>
          <w:kern w:val="28"/>
          <w:sz w:val="32"/>
          <w:szCs w:val="32"/>
          <w:lang w:eastAsia="fr-FR"/>
        </w:rPr>
      </w:pPr>
      <w:r w:rsidRPr="002462E6">
        <w:rPr>
          <w:rFonts w:ascii="Tahoma" w:eastAsia="Calibri" w:hAnsi="Tahoma" w:cs="Tahoma"/>
          <w:b/>
          <w:bCs/>
          <w:noProof/>
          <w:color w:val="00B050"/>
          <w:spacing w:val="5"/>
          <w:kern w:val="28"/>
          <w:sz w:val="32"/>
          <w:szCs w:val="32"/>
          <w:lang w:eastAsia="fr-FR"/>
        </w:rPr>
        <w:lastRenderedPageBreak/>
        <mc:AlternateContent>
          <mc:Choice Requires="wps">
            <w:drawing>
              <wp:anchor distT="0" distB="0" distL="114300" distR="114300" simplePos="0" relativeHeight="251755520" behindDoc="0" locked="0" layoutInCell="1" allowOverlap="1" wp14:anchorId="7D174D14" wp14:editId="01F501C3">
                <wp:simplePos x="0" y="0"/>
                <wp:positionH relativeFrom="column">
                  <wp:posOffset>-257810</wp:posOffset>
                </wp:positionH>
                <wp:positionV relativeFrom="paragraph">
                  <wp:posOffset>-234950</wp:posOffset>
                </wp:positionV>
                <wp:extent cx="6593306" cy="9553074"/>
                <wp:effectExtent l="19050" t="19050" r="36195" b="29210"/>
                <wp:wrapNone/>
                <wp:docPr id="2" name="Rectangle 2"/>
                <wp:cNvGraphicFramePr/>
                <a:graphic xmlns:a="http://schemas.openxmlformats.org/drawingml/2006/main">
                  <a:graphicData uri="http://schemas.microsoft.com/office/word/2010/wordprocessingShape">
                    <wps:wsp>
                      <wps:cNvSpPr/>
                      <wps:spPr>
                        <a:xfrm>
                          <a:off x="0" y="0"/>
                          <a:ext cx="6593306" cy="9553074"/>
                        </a:xfrm>
                        <a:prstGeom prst="rect">
                          <a:avLst/>
                        </a:prstGeom>
                        <a:ln w="57150" cmpd="thinThick">
                          <a:solidFill>
                            <a:schemeClr val="tx1"/>
                          </a:solidFill>
                        </a:ln>
                      </wps:spPr>
                      <wps:style>
                        <a:lnRef idx="2">
                          <a:schemeClr val="accent6"/>
                        </a:lnRef>
                        <a:fillRef idx="1">
                          <a:schemeClr val="lt1"/>
                        </a:fillRef>
                        <a:effectRef idx="0">
                          <a:schemeClr val="accent6"/>
                        </a:effectRef>
                        <a:fontRef idx="minor">
                          <a:schemeClr val="dk1"/>
                        </a:fontRef>
                      </wps:style>
                      <wps:txbx>
                        <w:txbxContent>
                          <w:p w:rsidR="0083519B" w:rsidRPr="00263B66" w:rsidRDefault="0083519B" w:rsidP="00263B66">
                            <w:pPr>
                              <w:jc w:val="center"/>
                              <w:rPr>
                                <w:b/>
                                <w:bCs/>
                                <w:sz w:val="72"/>
                                <w:szCs w:val="72"/>
                              </w:rPr>
                            </w:pPr>
                            <w:r w:rsidRPr="00263B66">
                              <w:rPr>
                                <w:b/>
                                <w:bCs/>
                                <w:sz w:val="72"/>
                                <w:szCs w:val="72"/>
                              </w:rPr>
                              <w:t>Introduction G</w:t>
                            </w:r>
                            <w:r>
                              <w:rPr>
                                <w:b/>
                                <w:bCs/>
                                <w:sz w:val="72"/>
                                <w:szCs w:val="72"/>
                              </w:rPr>
                              <w:t>é</w:t>
                            </w:r>
                            <w:r w:rsidRPr="00263B66">
                              <w:rPr>
                                <w:b/>
                                <w:bCs/>
                                <w:sz w:val="72"/>
                                <w:szCs w:val="72"/>
                              </w:rPr>
                              <w:t>n</w:t>
                            </w:r>
                            <w:r>
                              <w:rPr>
                                <w:b/>
                                <w:bCs/>
                                <w:sz w:val="72"/>
                                <w:szCs w:val="72"/>
                              </w:rPr>
                              <w:t>é</w:t>
                            </w:r>
                            <w:r w:rsidRPr="00263B66">
                              <w:rPr>
                                <w:b/>
                                <w:bCs/>
                                <w:sz w:val="72"/>
                                <w:szCs w:val="72"/>
                              </w:rPr>
                              <w:t>rale</w:t>
                            </w:r>
                          </w:p>
                          <w:p w:rsidR="0083519B" w:rsidRDefault="0083519B" w:rsidP="00A10881">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D174D14" id="Rectangle 2" o:spid="_x0000_s1026" style="position:absolute;left:0;text-align:left;margin-left:-20.3pt;margin-top:-18.5pt;width:519.15pt;height:752.2pt;z-index:2517555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" fillcolor="white [3201]" strokecolor="black [3213]" strokeweight="4.5pt">
                <v:stroke linestyle="thinThick"/>
                <v:textbox>
                  <w:txbxContent>
                    <w:p w:rsidR="0083519B" w:rsidRPr="00263B66" w:rsidRDefault="0083519B" w:rsidP="00263B66">
                      <w:pPr>
                        <w:jc w:val="center"/>
                        <w:rPr>
                          <w:b/>
                          <w:bCs/>
                          <w:sz w:val="72"/>
                          <w:szCs w:val="72"/>
                        </w:rPr>
                      </w:pPr>
                      <w:r w:rsidRPr="00263B66">
                        <w:rPr>
                          <w:b/>
                          <w:bCs/>
                          <w:sz w:val="72"/>
                          <w:szCs w:val="72"/>
                        </w:rPr>
                        <w:t>Introduction G</w:t>
                      </w:r>
                      <w:r>
                        <w:rPr>
                          <w:b/>
                          <w:bCs/>
                          <w:sz w:val="72"/>
                          <w:szCs w:val="72"/>
                        </w:rPr>
                        <w:t>é</w:t>
                      </w:r>
                      <w:r w:rsidRPr="00263B66">
                        <w:rPr>
                          <w:b/>
                          <w:bCs/>
                          <w:sz w:val="72"/>
                          <w:szCs w:val="72"/>
                        </w:rPr>
                        <w:t>n</w:t>
                      </w:r>
                      <w:r>
                        <w:rPr>
                          <w:b/>
                          <w:bCs/>
                          <w:sz w:val="72"/>
                          <w:szCs w:val="72"/>
                        </w:rPr>
                        <w:t>é</w:t>
                      </w:r>
                      <w:r w:rsidRPr="00263B66">
                        <w:rPr>
                          <w:b/>
                          <w:bCs/>
                          <w:sz w:val="72"/>
                          <w:szCs w:val="72"/>
                        </w:rPr>
                        <w:t>rale</w:t>
                      </w:r>
                    </w:p>
                    <w:p w:rsidR="0083519B" w:rsidRDefault="0083519B" w:rsidP="00A10881">
                      <w:pPr>
                        <w:jc w:val="center"/>
                      </w:pPr>
                    </w:p>
                  </w:txbxContent>
                </v:textbox>
              </v:rect>
            </w:pict>
          </mc:Fallback>
        </mc:AlternateContent>
      </w:r>
    </w:p>
    <w:p w:rsidR="005011C2" w:rsidRPr="002462E6" w:rsidRDefault="005011C2" w:rsidP="005011C2">
      <w:pPr>
        <w:widowControl w:val="0"/>
        <w:autoSpaceDE w:val="0"/>
        <w:autoSpaceDN w:val="0"/>
        <w:spacing w:before="16" w:after="0" w:line="240" w:lineRule="auto"/>
        <w:jc w:val="both"/>
        <w:outlineLvl w:val="0"/>
        <w:rPr>
          <w:rFonts w:ascii="Tahoma" w:eastAsia="Calibri Light" w:hAnsi="Tahoma" w:cs="Tahoma"/>
          <w:b/>
          <w:bCs/>
          <w:color w:val="00B050"/>
          <w:sz w:val="36"/>
          <w:szCs w:val="36"/>
        </w:rPr>
      </w:pPr>
    </w:p>
    <w:p w:rsidR="005011C2" w:rsidRPr="002462E6" w:rsidRDefault="005011C2" w:rsidP="005011C2">
      <w:pPr>
        <w:widowControl w:val="0"/>
        <w:autoSpaceDE w:val="0"/>
        <w:autoSpaceDN w:val="0"/>
        <w:spacing w:before="16" w:after="0" w:line="240" w:lineRule="auto"/>
        <w:jc w:val="both"/>
        <w:outlineLvl w:val="0"/>
        <w:rPr>
          <w:rFonts w:ascii="Tahoma" w:eastAsia="Calibri Light" w:hAnsi="Tahoma" w:cs="Tahoma"/>
          <w:b/>
          <w:bCs/>
          <w:color w:val="74A510" w:themeColor="background2" w:themeShade="80"/>
          <w:sz w:val="36"/>
          <w:szCs w:val="36"/>
        </w:rPr>
      </w:pPr>
    </w:p>
    <w:p w:rsidR="005011C2" w:rsidRPr="002462E6" w:rsidRDefault="005011C2" w:rsidP="005011C2">
      <w:pPr>
        <w:widowControl w:val="0"/>
        <w:autoSpaceDE w:val="0"/>
        <w:autoSpaceDN w:val="0"/>
        <w:spacing w:before="16" w:after="0" w:line="240" w:lineRule="auto"/>
        <w:jc w:val="both"/>
        <w:outlineLvl w:val="0"/>
        <w:rPr>
          <w:rFonts w:ascii="Tahoma" w:eastAsia="Calibri Light" w:hAnsi="Tahoma" w:cs="Tahoma"/>
          <w:b/>
          <w:bCs/>
          <w:color w:val="00B050"/>
          <w:sz w:val="36"/>
          <w:szCs w:val="36"/>
        </w:rPr>
      </w:pPr>
    </w:p>
    <w:p w:rsidR="005011C2" w:rsidRPr="002462E6" w:rsidRDefault="005011C2" w:rsidP="005011C2">
      <w:pPr>
        <w:widowControl w:val="0"/>
        <w:autoSpaceDE w:val="0"/>
        <w:autoSpaceDN w:val="0"/>
        <w:spacing w:before="16" w:after="0" w:line="240" w:lineRule="auto"/>
        <w:jc w:val="both"/>
        <w:outlineLvl w:val="0"/>
        <w:rPr>
          <w:rFonts w:ascii="Tahoma" w:eastAsia="Calibri Light" w:hAnsi="Tahoma" w:cs="Tahoma"/>
          <w:b/>
          <w:bCs/>
          <w:sz w:val="36"/>
          <w:szCs w:val="36"/>
        </w:rPr>
      </w:pPr>
    </w:p>
    <w:p w:rsidR="008018BA" w:rsidRDefault="00D41FAD" w:rsidP="00D3238B">
      <w:pPr>
        <w:rPr>
          <w:rFonts w:ascii="Tahoma" w:eastAsia="Calibri" w:hAnsi="Tahoma" w:cs="Times New Roman"/>
          <w:b/>
          <w:bCs/>
          <w:iCs/>
          <w:noProof/>
          <w:color w:val="00823B"/>
          <w:sz w:val="32"/>
          <w:szCs w:val="32"/>
          <w:lang w:eastAsia="fr-FR"/>
        </w:rPr>
      </w:pPr>
      <w:r w:rsidRPr="002462E6">
        <w:br w:type="page"/>
      </w:r>
      <w:bookmarkEnd w:id="34"/>
      <w:bookmarkEnd w:id="35"/>
      <w:r w:rsidR="008018BA">
        <w:rPr>
          <w:rFonts w:ascii="Tahoma" w:hAnsi="Tahoma" w:cs="Tahoma"/>
          <w:b/>
          <w:bCs/>
          <w:i/>
          <w:iCs/>
          <w:w w:val="85"/>
          <w:sz w:val="36"/>
          <w:szCs w:val="36"/>
        </w:rPr>
        <w:lastRenderedPageBreak/>
        <w:t xml:space="preserve">   </w:t>
      </w:r>
      <w:r w:rsidR="008018BA" w:rsidRPr="0012493B">
        <w:rPr>
          <w:rFonts w:ascii="Tahoma" w:hAnsi="Tahoma" w:cs="Tahoma"/>
          <w:b/>
          <w:bCs/>
          <w:i/>
          <w:iCs/>
          <w:w w:val="85"/>
          <w:sz w:val="36"/>
          <w:szCs w:val="36"/>
        </w:rPr>
        <w:t xml:space="preserve">             </w:t>
      </w:r>
    </w:p>
    <w:p w:rsidR="008018BA" w:rsidRPr="00954B06" w:rsidRDefault="008018BA" w:rsidP="002F1A32">
      <w:pPr>
        <w:pStyle w:val="Titre"/>
      </w:pPr>
      <w:bookmarkStart w:id="36" w:name="_Toc202928453"/>
      <w:bookmarkStart w:id="37" w:name="_Toc203643004"/>
      <w:r w:rsidRPr="00954B06">
        <w:t>Introduction</w:t>
      </w:r>
      <w:bookmarkEnd w:id="36"/>
      <w:bookmarkEnd w:id="37"/>
    </w:p>
    <w:p w:rsidR="008018BA" w:rsidRDefault="008018BA" w:rsidP="008018BA">
      <w:pPr>
        <w:shd w:val="clear" w:color="auto" w:fill="FFFFFF"/>
        <w:spacing w:before="100" w:beforeAutospacing="1" w:after="100" w:afterAutospacing="1" w:line="360" w:lineRule="auto"/>
        <w:jc w:val="both"/>
        <w:rPr>
          <w:rFonts w:ascii="Tahoma" w:eastAsia="Times New Roman" w:hAnsi="Tahoma" w:cs="Tahoma"/>
          <w:color w:val="000000"/>
          <w:sz w:val="24"/>
          <w:szCs w:val="24"/>
          <w:lang w:eastAsia="fr-FR"/>
        </w:rPr>
      </w:pPr>
      <w:r w:rsidRPr="005C562E">
        <w:rPr>
          <w:rFonts w:ascii="Tahoma" w:eastAsia="Times New Roman" w:hAnsi="Tahoma" w:cs="Tahoma"/>
          <w:color w:val="000000"/>
          <w:sz w:val="24"/>
          <w:szCs w:val="24"/>
          <w:lang w:eastAsia="fr-FR"/>
        </w:rPr>
        <w:t>« Source de calme, de sérénité, de ressourcement et de vie, de liberté et d’un monde non marchand » : c'est ainsi que la sociologue Nicole Eisner avait qualifié la forêt lors du débat international sur la gestion des forêts en 1994</w:t>
      </w:r>
      <w:r w:rsidRPr="005C562E">
        <w:rPr>
          <w:rFonts w:ascii="Tahoma" w:eastAsia="Times New Roman" w:hAnsi="Tahoma" w:cs="Tahoma"/>
          <w:color w:val="000000"/>
          <w:sz w:val="24"/>
          <w:szCs w:val="24"/>
          <w:vertAlign w:val="superscript"/>
          <w:lang w:eastAsia="fr-FR"/>
        </w:rPr>
        <w:footnoteReference w:id="2"/>
      </w:r>
      <w:r w:rsidRPr="005C562E">
        <w:rPr>
          <w:rFonts w:ascii="Tahoma" w:eastAsia="Times New Roman" w:hAnsi="Tahoma" w:cs="Tahoma"/>
          <w:color w:val="000000"/>
          <w:sz w:val="24"/>
          <w:szCs w:val="24"/>
          <w:lang w:eastAsia="fr-FR"/>
        </w:rPr>
        <w:t xml:space="preserve">. </w:t>
      </w:r>
    </w:p>
    <w:p w:rsidR="008018BA" w:rsidRDefault="008018BA" w:rsidP="008018BA">
      <w:pPr>
        <w:shd w:val="clear" w:color="auto" w:fill="FFFFFF"/>
        <w:spacing w:before="100" w:beforeAutospacing="1" w:after="100" w:afterAutospacing="1" w:line="360" w:lineRule="auto"/>
        <w:jc w:val="both"/>
        <w:rPr>
          <w:rFonts w:ascii="Tahoma" w:eastAsia="Times New Roman" w:hAnsi="Tahoma" w:cs="Tahoma"/>
          <w:color w:val="000000"/>
          <w:sz w:val="24"/>
          <w:szCs w:val="24"/>
          <w:lang w:eastAsia="fr-FR"/>
        </w:rPr>
      </w:pPr>
      <w:r w:rsidRPr="0087240F">
        <w:rPr>
          <w:rFonts w:ascii="Tahoma" w:eastAsia="Times New Roman" w:hAnsi="Tahoma" w:cs="Tahoma"/>
          <w:color w:val="000000"/>
          <w:sz w:val="24"/>
          <w:szCs w:val="24"/>
          <w:lang w:eastAsia="fr-FR"/>
        </w:rPr>
        <w:t>Au-del</w:t>
      </w:r>
      <w:r>
        <w:rPr>
          <w:rFonts w:ascii="Tahoma" w:eastAsia="Times New Roman" w:hAnsi="Tahoma" w:cs="Tahoma"/>
          <w:color w:val="000000"/>
          <w:sz w:val="24"/>
          <w:szCs w:val="24"/>
          <w:lang w:eastAsia="fr-FR"/>
        </w:rPr>
        <w:t xml:space="preserve">à de cette </w:t>
      </w:r>
      <w:r w:rsidRPr="008264AC">
        <w:rPr>
          <w:rFonts w:ascii="Tahoma" w:eastAsia="Times New Roman" w:hAnsi="Tahoma" w:cs="Tahoma"/>
          <w:color w:val="000000"/>
          <w:sz w:val="24"/>
          <w:szCs w:val="24"/>
          <w:lang w:eastAsia="fr-FR"/>
        </w:rPr>
        <w:t>dimension immatérielle et symbolique</w:t>
      </w:r>
      <w:r w:rsidRPr="0087240F">
        <w:rPr>
          <w:rFonts w:ascii="Tahoma" w:eastAsia="Times New Roman" w:hAnsi="Tahoma" w:cs="Tahoma"/>
          <w:color w:val="000000"/>
          <w:sz w:val="24"/>
          <w:szCs w:val="24"/>
          <w:lang w:eastAsia="fr-FR"/>
        </w:rPr>
        <w:t xml:space="preserve">, la forêt peut être considérée comme </w:t>
      </w:r>
      <w:r w:rsidRPr="008264AC">
        <w:rPr>
          <w:rFonts w:ascii="Tahoma" w:eastAsia="Times New Roman" w:hAnsi="Tahoma" w:cs="Tahoma"/>
          <w:color w:val="000000"/>
          <w:sz w:val="24"/>
          <w:szCs w:val="24"/>
          <w:lang w:eastAsia="fr-FR"/>
        </w:rPr>
        <w:t>un milieu naturel d’une richesse exceptionnelle, abritant une diversité biologique remarquable. Elle constitue</w:t>
      </w:r>
      <w:r>
        <w:rPr>
          <w:rFonts w:ascii="Tahoma" w:eastAsia="Times New Roman" w:hAnsi="Tahoma" w:cs="Tahoma"/>
          <w:color w:val="000000"/>
          <w:sz w:val="24"/>
          <w:szCs w:val="24"/>
          <w:lang w:eastAsia="fr-FR"/>
        </w:rPr>
        <w:t xml:space="preserve"> </w:t>
      </w:r>
      <w:r w:rsidRPr="008264AC">
        <w:rPr>
          <w:rFonts w:ascii="Tahoma" w:eastAsia="Times New Roman" w:hAnsi="Tahoma" w:cs="Tahoma"/>
          <w:color w:val="000000"/>
          <w:sz w:val="24"/>
          <w:szCs w:val="24"/>
          <w:lang w:eastAsia="fr-FR"/>
        </w:rPr>
        <w:t>un témoin privilégié d’identités culturelles spécifiques, dont la beauté intrinsèque et l’atmosphère envoûtante renforcent l’originalité et la valeur singulière</w:t>
      </w:r>
      <w:r w:rsidRPr="000A7532">
        <w:rPr>
          <w:rFonts w:ascii="Tahoma" w:eastAsia="Times New Roman" w:hAnsi="Tahoma" w:cs="Tahoma"/>
          <w:color w:val="000000"/>
          <w:sz w:val="24"/>
          <w:szCs w:val="24"/>
          <w:vertAlign w:val="superscript"/>
          <w:lang w:eastAsia="fr-FR"/>
        </w:rPr>
        <w:footnoteReference w:id="3"/>
      </w:r>
      <w:r w:rsidRPr="000A7532">
        <w:rPr>
          <w:rFonts w:ascii="Tahoma" w:eastAsia="Times New Roman" w:hAnsi="Tahoma" w:cs="Tahoma"/>
          <w:color w:val="000000"/>
          <w:sz w:val="24"/>
          <w:szCs w:val="24"/>
          <w:lang w:eastAsia="fr-FR"/>
        </w:rPr>
        <w:t>.</w:t>
      </w:r>
      <w:r>
        <w:rPr>
          <w:rFonts w:ascii="Tahoma" w:eastAsia="Times New Roman" w:hAnsi="Tahoma" w:cs="Tahoma"/>
          <w:color w:val="000000"/>
          <w:sz w:val="24"/>
          <w:szCs w:val="24"/>
          <w:lang w:eastAsia="fr-FR"/>
        </w:rPr>
        <w:t>T</w:t>
      </w:r>
      <w:r w:rsidRPr="002F6183">
        <w:rPr>
          <w:rFonts w:ascii="Tahoma" w:eastAsia="Times New Roman" w:hAnsi="Tahoma" w:cs="Tahoma"/>
          <w:color w:val="000000"/>
          <w:sz w:val="24"/>
          <w:szCs w:val="24"/>
          <w:lang w:eastAsia="fr-FR"/>
        </w:rPr>
        <w:t>outefois</w:t>
      </w:r>
      <w:r>
        <w:rPr>
          <w:rFonts w:ascii="Tahoma" w:eastAsia="Times New Roman" w:hAnsi="Tahoma" w:cs="Tahoma"/>
          <w:color w:val="000000"/>
          <w:sz w:val="24"/>
          <w:szCs w:val="24"/>
          <w:lang w:eastAsia="fr-FR"/>
        </w:rPr>
        <w:t xml:space="preserve">, cette richesse </w:t>
      </w:r>
      <w:r w:rsidRPr="00BB4913">
        <w:rPr>
          <w:rFonts w:ascii="Tahoma" w:eastAsia="Times New Roman" w:hAnsi="Tahoma" w:cs="Tahoma"/>
          <w:color w:val="000000"/>
          <w:sz w:val="24"/>
          <w:szCs w:val="24"/>
          <w:lang w:eastAsia="fr-FR"/>
        </w:rPr>
        <w:t xml:space="preserve">s'accompagne d'enjeux écologiques et économiques majeurs. </w:t>
      </w:r>
    </w:p>
    <w:p w:rsidR="008018BA" w:rsidRPr="000516B0" w:rsidRDefault="008018BA" w:rsidP="008018BA">
      <w:pPr>
        <w:shd w:val="clear" w:color="auto" w:fill="FFFFFF"/>
        <w:spacing w:before="100" w:beforeAutospacing="1" w:after="100" w:afterAutospacing="1" w:line="360" w:lineRule="auto"/>
        <w:jc w:val="both"/>
        <w:rPr>
          <w:rFonts w:ascii="Tahoma" w:eastAsia="Times New Roman" w:hAnsi="Tahoma" w:cs="Tahoma"/>
          <w:color w:val="000000"/>
          <w:sz w:val="24"/>
          <w:szCs w:val="24"/>
          <w:lang w:eastAsia="fr-FR"/>
        </w:rPr>
      </w:pPr>
      <w:r w:rsidRPr="00BB4913">
        <w:rPr>
          <w:rFonts w:ascii="Tahoma" w:eastAsia="Times New Roman" w:hAnsi="Tahoma" w:cs="Tahoma"/>
          <w:color w:val="000000"/>
          <w:sz w:val="24"/>
          <w:szCs w:val="24"/>
          <w:lang w:eastAsia="fr-FR"/>
        </w:rPr>
        <w:t xml:space="preserve">Partout dans le monde, les écosystèmes forestiers constituent une composante indispensable de la biodiversité³. Ils jouent également un rôle crucial dans le développement territorial des États via leurs contributions directes aux économies nationales. </w:t>
      </w:r>
      <w:r w:rsidRPr="00D336FF">
        <w:rPr>
          <w:rFonts w:ascii="Tahoma" w:eastAsia="Times New Roman" w:hAnsi="Tahoma" w:cs="Tahoma"/>
          <w:color w:val="000000"/>
          <w:sz w:val="24"/>
          <w:szCs w:val="24"/>
          <w:lang w:eastAsia="fr-FR"/>
        </w:rPr>
        <w:t>Cette importance multidimensionnelle s'enracine dans une relation millénaire entre l'humanité et les espaces boisés, dont témoignent les vestiges archéologiques remontant au Paléolithique moyen</w:t>
      </w:r>
      <w:r w:rsidRPr="000A7532">
        <w:rPr>
          <w:rFonts w:ascii="Tahoma" w:eastAsia="Times New Roman" w:hAnsi="Tahoma" w:cs="Tahoma"/>
          <w:color w:val="000000"/>
          <w:sz w:val="24"/>
          <w:szCs w:val="24"/>
          <w:vertAlign w:val="superscript"/>
          <w:lang w:eastAsia="fr-FR"/>
        </w:rPr>
        <w:footnoteReference w:id="4"/>
      </w:r>
      <w:r w:rsidRPr="000A7532">
        <w:rPr>
          <w:rFonts w:ascii="Tahoma" w:eastAsia="Times New Roman" w:hAnsi="Tahoma" w:cs="Tahoma"/>
          <w:color w:val="000000"/>
          <w:sz w:val="24"/>
          <w:szCs w:val="24"/>
          <w:lang w:eastAsia="fr-FR"/>
        </w:rPr>
        <w:t>. A propos de cette interconnexion humaine vis- à-vis de la forêt, Honoré de Balzac</w:t>
      </w:r>
      <w:r w:rsidRPr="000A7532">
        <w:rPr>
          <w:rFonts w:ascii="Tahoma" w:eastAsia="Times New Roman" w:hAnsi="Tahoma" w:cs="Tahoma"/>
          <w:color w:val="000000"/>
          <w:sz w:val="24"/>
          <w:szCs w:val="24"/>
          <w:vertAlign w:val="superscript"/>
          <w:lang w:eastAsia="fr-FR"/>
        </w:rPr>
        <w:footnoteReference w:id="5"/>
      </w:r>
      <w:r w:rsidRPr="000A7532">
        <w:rPr>
          <w:rFonts w:ascii="Tahoma" w:eastAsia="Times New Roman" w:hAnsi="Tahoma" w:cs="Tahoma"/>
          <w:color w:val="000000"/>
          <w:sz w:val="24"/>
          <w:szCs w:val="24"/>
          <w:vertAlign w:val="superscript"/>
          <w:lang w:eastAsia="fr-FR"/>
        </w:rPr>
        <w:t xml:space="preserve"> </w:t>
      </w:r>
      <w:r w:rsidRPr="000A7532">
        <w:rPr>
          <w:rFonts w:ascii="Tahoma" w:eastAsia="Times New Roman" w:hAnsi="Tahoma" w:cs="Tahoma"/>
          <w:color w:val="000000"/>
          <w:sz w:val="24"/>
          <w:szCs w:val="24"/>
          <w:lang w:eastAsia="fr-FR"/>
        </w:rPr>
        <w:t xml:space="preserve">écrivait en 1874 « Il n’est pas un site de forêt qui n’ait sa signification ; pas une clairière, pas un fourré qui ne présente des analogies avec le labyrinthe des pensées humaines. Quelle personne parmi les gens dont l’esprit est cultivé, ou dont le cœur a reçu des blessures, peut se promener dans une forêt, sans que la forêt </w:t>
      </w:r>
      <w:r w:rsidRPr="000A7532">
        <w:rPr>
          <w:rFonts w:ascii="Tahoma" w:eastAsia="Times New Roman" w:hAnsi="Tahoma" w:cs="Tahoma"/>
          <w:color w:val="000000"/>
          <w:sz w:val="24"/>
          <w:szCs w:val="24"/>
          <w:lang w:eastAsia="fr-FR"/>
        </w:rPr>
        <w:lastRenderedPageBreak/>
        <w:t>lui parle ? Insensiblement, il s’en élève une</w:t>
      </w:r>
      <w:r w:rsidRPr="000A7532">
        <w:rPr>
          <w:rFonts w:ascii="Tahoma" w:eastAsia="Times New Roman" w:hAnsi="Tahoma" w:cs="Tahoma"/>
          <w:sz w:val="24"/>
          <w:szCs w:val="24"/>
          <w:lang w:eastAsia="fr-FR"/>
        </w:rPr>
        <w:t xml:space="preserve"> voix ou consolante ou terrible, mais plus souvent consolante que terrible »</w:t>
      </w:r>
      <w:r w:rsidRPr="000A7532">
        <w:rPr>
          <w:rFonts w:ascii="Tahoma" w:eastAsia="Times New Roman" w:hAnsi="Tahoma" w:cs="Tahoma"/>
          <w:sz w:val="24"/>
          <w:szCs w:val="24"/>
          <w:vertAlign w:val="superscript"/>
          <w:lang w:eastAsia="fr-FR"/>
        </w:rPr>
        <w:footnoteReference w:id="6"/>
      </w:r>
      <w:r w:rsidRPr="000A7532">
        <w:rPr>
          <w:rFonts w:ascii="Tahoma" w:eastAsia="Times New Roman" w:hAnsi="Tahoma" w:cs="Tahoma"/>
          <w:sz w:val="24"/>
          <w:szCs w:val="24"/>
          <w:lang w:eastAsia="fr-FR"/>
        </w:rPr>
        <w:t>.</w:t>
      </w:r>
      <w:r>
        <w:rPr>
          <w:rFonts w:ascii="Tahoma" w:eastAsia="Times New Roman" w:hAnsi="Tahoma" w:cs="Tahoma"/>
          <w:sz w:val="24"/>
          <w:szCs w:val="24"/>
          <w:lang w:eastAsia="fr-FR"/>
        </w:rPr>
        <w:t xml:space="preserve"> </w:t>
      </w:r>
    </w:p>
    <w:p w:rsidR="008018BA" w:rsidRPr="000A7532" w:rsidRDefault="008018BA" w:rsidP="008018BA">
      <w:pPr>
        <w:shd w:val="clear" w:color="auto" w:fill="FFFFFF"/>
        <w:spacing w:before="100" w:beforeAutospacing="1" w:after="100" w:afterAutospacing="1" w:line="360" w:lineRule="auto"/>
        <w:jc w:val="both"/>
        <w:rPr>
          <w:rFonts w:ascii="Tahoma" w:eastAsia="Times New Roman" w:hAnsi="Tahoma" w:cs="Tahoma"/>
          <w:spacing w:val="-5"/>
          <w:sz w:val="24"/>
          <w:szCs w:val="24"/>
          <w:lang w:eastAsia="fr-FR"/>
        </w:rPr>
      </w:pPr>
      <w:r>
        <w:rPr>
          <w:rFonts w:ascii="Tahoma" w:eastAsia="Times New Roman" w:hAnsi="Tahoma" w:cs="Tahoma"/>
          <w:sz w:val="24"/>
          <w:szCs w:val="24"/>
          <w:lang w:eastAsia="fr-FR"/>
        </w:rPr>
        <w:t>Il est important</w:t>
      </w:r>
      <w:r w:rsidRPr="000A7532">
        <w:rPr>
          <w:rFonts w:ascii="Tahoma" w:eastAsia="Times New Roman" w:hAnsi="Tahoma" w:cs="Tahoma"/>
          <w:sz w:val="24"/>
          <w:szCs w:val="24"/>
          <w:lang w:eastAsia="fr-FR"/>
        </w:rPr>
        <w:t xml:space="preserve"> de souligner que, tout au long des différentes ères géologiques, les forêts ont connu des transformations majeures, marquées par des cycles alternant périodes d'exubérance et phases de déclin. En effet, le mode</w:t>
      </w:r>
      <w:r w:rsidRPr="000A7532">
        <w:rPr>
          <w:rFonts w:ascii="Tahoma" w:eastAsia="Times New Roman" w:hAnsi="Tahoma" w:cs="Tahoma"/>
          <w:spacing w:val="1"/>
          <w:sz w:val="24"/>
          <w:szCs w:val="24"/>
          <w:lang w:eastAsia="fr-FR"/>
        </w:rPr>
        <w:t xml:space="preserve"> </w:t>
      </w:r>
      <w:r w:rsidRPr="000A7532">
        <w:rPr>
          <w:rFonts w:ascii="Tahoma" w:eastAsia="Times New Roman" w:hAnsi="Tahoma" w:cs="Tahoma"/>
          <w:sz w:val="24"/>
          <w:szCs w:val="24"/>
          <w:lang w:eastAsia="fr-FR"/>
        </w:rPr>
        <w:t>de croissance des arbres et leur structure en liaison avec la succession des saisons et aux</w:t>
      </w:r>
      <w:r w:rsidRPr="000A7532">
        <w:rPr>
          <w:rFonts w:ascii="Tahoma" w:eastAsia="Times New Roman" w:hAnsi="Tahoma" w:cs="Tahoma"/>
          <w:spacing w:val="1"/>
          <w:sz w:val="24"/>
          <w:szCs w:val="24"/>
          <w:lang w:eastAsia="fr-FR"/>
        </w:rPr>
        <w:t xml:space="preserve"> </w:t>
      </w:r>
      <w:r w:rsidRPr="000A7532">
        <w:rPr>
          <w:rFonts w:ascii="Tahoma" w:eastAsia="Times New Roman" w:hAnsi="Tahoma" w:cs="Tahoma"/>
          <w:sz w:val="24"/>
          <w:szCs w:val="24"/>
          <w:lang w:eastAsia="fr-FR"/>
        </w:rPr>
        <w:t>variations climatiques, trouvent leurs origines dans des périodes géologiques anciennes. Les arbres appartenant alors à l'ère</w:t>
      </w:r>
      <w:r w:rsidRPr="000A7532">
        <w:rPr>
          <w:rFonts w:ascii="Tahoma" w:eastAsia="Times New Roman" w:hAnsi="Tahoma" w:cs="Tahoma"/>
          <w:spacing w:val="1"/>
          <w:sz w:val="24"/>
          <w:szCs w:val="24"/>
          <w:lang w:eastAsia="fr-FR"/>
        </w:rPr>
        <w:t xml:space="preserve"> </w:t>
      </w:r>
      <w:r w:rsidRPr="000A7532">
        <w:rPr>
          <w:rFonts w:ascii="Tahoma" w:eastAsia="Times New Roman" w:hAnsi="Tahoma" w:cs="Tahoma"/>
          <w:sz w:val="24"/>
          <w:szCs w:val="24"/>
          <w:lang w:eastAsia="fr-FR"/>
        </w:rPr>
        <w:t>secondaire</w:t>
      </w:r>
      <w:r w:rsidRPr="000A7532">
        <w:rPr>
          <w:rFonts w:ascii="Tahoma" w:eastAsia="Times New Roman" w:hAnsi="Tahoma" w:cs="Tahoma"/>
          <w:spacing w:val="-6"/>
          <w:sz w:val="24"/>
          <w:szCs w:val="24"/>
          <w:lang w:eastAsia="fr-FR"/>
        </w:rPr>
        <w:t xml:space="preserve"> </w:t>
      </w:r>
      <w:r w:rsidRPr="000A7532">
        <w:rPr>
          <w:rFonts w:ascii="Tahoma" w:eastAsia="Times New Roman" w:hAnsi="Tahoma" w:cs="Tahoma"/>
          <w:sz w:val="24"/>
          <w:szCs w:val="24"/>
          <w:lang w:eastAsia="fr-FR"/>
        </w:rPr>
        <w:t>ne</w:t>
      </w:r>
      <w:r w:rsidRPr="000A7532">
        <w:rPr>
          <w:rFonts w:ascii="Tahoma" w:eastAsia="Times New Roman" w:hAnsi="Tahoma" w:cs="Tahoma"/>
          <w:spacing w:val="-6"/>
          <w:sz w:val="24"/>
          <w:szCs w:val="24"/>
          <w:lang w:eastAsia="fr-FR"/>
        </w:rPr>
        <w:t xml:space="preserve"> </w:t>
      </w:r>
      <w:r w:rsidRPr="000A7532">
        <w:rPr>
          <w:rFonts w:ascii="Tahoma" w:eastAsia="Times New Roman" w:hAnsi="Tahoma" w:cs="Tahoma"/>
          <w:sz w:val="24"/>
          <w:szCs w:val="24"/>
          <w:lang w:eastAsia="fr-FR"/>
        </w:rPr>
        <w:t>diffèrent</w:t>
      </w:r>
      <w:r w:rsidRPr="000A7532">
        <w:rPr>
          <w:rFonts w:ascii="Tahoma" w:eastAsia="Times New Roman" w:hAnsi="Tahoma" w:cs="Tahoma"/>
          <w:spacing w:val="-6"/>
          <w:sz w:val="24"/>
          <w:szCs w:val="24"/>
          <w:lang w:eastAsia="fr-FR"/>
        </w:rPr>
        <w:t xml:space="preserve"> </w:t>
      </w:r>
      <w:r w:rsidRPr="000A7532">
        <w:rPr>
          <w:rFonts w:ascii="Tahoma" w:eastAsia="Times New Roman" w:hAnsi="Tahoma" w:cs="Tahoma"/>
          <w:sz w:val="24"/>
          <w:szCs w:val="24"/>
          <w:lang w:eastAsia="fr-FR"/>
        </w:rPr>
        <w:t>pas</w:t>
      </w:r>
      <w:r w:rsidRPr="000A7532">
        <w:rPr>
          <w:rFonts w:ascii="Tahoma" w:eastAsia="Times New Roman" w:hAnsi="Tahoma" w:cs="Tahoma"/>
          <w:spacing w:val="-6"/>
          <w:sz w:val="24"/>
          <w:szCs w:val="24"/>
          <w:lang w:eastAsia="fr-FR"/>
        </w:rPr>
        <w:t xml:space="preserve"> </w:t>
      </w:r>
      <w:r w:rsidRPr="000A7532">
        <w:rPr>
          <w:rFonts w:ascii="Tahoma" w:eastAsia="Times New Roman" w:hAnsi="Tahoma" w:cs="Tahoma"/>
          <w:sz w:val="24"/>
          <w:szCs w:val="24"/>
          <w:lang w:eastAsia="fr-FR"/>
        </w:rPr>
        <w:t>de</w:t>
      </w:r>
      <w:r w:rsidRPr="000A7532">
        <w:rPr>
          <w:rFonts w:ascii="Tahoma" w:eastAsia="Times New Roman" w:hAnsi="Tahoma" w:cs="Tahoma"/>
          <w:spacing w:val="-7"/>
          <w:sz w:val="24"/>
          <w:szCs w:val="24"/>
          <w:lang w:eastAsia="fr-FR"/>
        </w:rPr>
        <w:t xml:space="preserve"> </w:t>
      </w:r>
      <w:r w:rsidRPr="000A7532">
        <w:rPr>
          <w:rFonts w:ascii="Tahoma" w:eastAsia="Times New Roman" w:hAnsi="Tahoma" w:cs="Tahoma"/>
          <w:sz w:val="24"/>
          <w:szCs w:val="24"/>
          <w:lang w:eastAsia="fr-FR"/>
        </w:rPr>
        <w:t>leurs</w:t>
      </w:r>
      <w:r w:rsidRPr="000A7532">
        <w:rPr>
          <w:rFonts w:ascii="Tahoma" w:eastAsia="Times New Roman" w:hAnsi="Tahoma" w:cs="Tahoma"/>
          <w:spacing w:val="-6"/>
          <w:sz w:val="24"/>
          <w:szCs w:val="24"/>
          <w:lang w:eastAsia="fr-FR"/>
        </w:rPr>
        <w:t xml:space="preserve"> </w:t>
      </w:r>
      <w:r w:rsidRPr="000A7532">
        <w:rPr>
          <w:rFonts w:ascii="Tahoma" w:eastAsia="Times New Roman" w:hAnsi="Tahoma" w:cs="Tahoma"/>
          <w:sz w:val="24"/>
          <w:szCs w:val="24"/>
          <w:lang w:eastAsia="fr-FR"/>
        </w:rPr>
        <w:t>ancêtres.</w:t>
      </w:r>
      <w:r w:rsidRPr="000A7532">
        <w:rPr>
          <w:rFonts w:ascii="Tahoma" w:eastAsia="Times New Roman" w:hAnsi="Tahoma" w:cs="Tahoma"/>
          <w:spacing w:val="49"/>
          <w:sz w:val="24"/>
          <w:szCs w:val="24"/>
          <w:lang w:eastAsia="fr-FR"/>
        </w:rPr>
        <w:t xml:space="preserve"> </w:t>
      </w:r>
      <w:r w:rsidRPr="000A7532">
        <w:rPr>
          <w:rFonts w:ascii="Tahoma" w:eastAsia="Times New Roman" w:hAnsi="Tahoma" w:cs="Tahoma"/>
          <w:sz w:val="24"/>
          <w:szCs w:val="24"/>
          <w:lang w:eastAsia="fr-FR"/>
        </w:rPr>
        <w:t>En revanche,</w:t>
      </w:r>
      <w:r w:rsidRPr="000A7532">
        <w:rPr>
          <w:rFonts w:ascii="Tahoma" w:eastAsia="Times New Roman" w:hAnsi="Tahoma" w:cs="Tahoma"/>
          <w:spacing w:val="-7"/>
          <w:sz w:val="24"/>
          <w:szCs w:val="24"/>
          <w:lang w:eastAsia="fr-FR"/>
        </w:rPr>
        <w:t xml:space="preserve"> </w:t>
      </w:r>
      <w:r w:rsidRPr="000A7532">
        <w:rPr>
          <w:rFonts w:ascii="Tahoma" w:eastAsia="Times New Roman" w:hAnsi="Tahoma" w:cs="Tahoma"/>
          <w:sz w:val="24"/>
          <w:szCs w:val="24"/>
          <w:lang w:eastAsia="fr-FR"/>
        </w:rPr>
        <w:t>les</w:t>
      </w:r>
      <w:r w:rsidRPr="000A7532">
        <w:rPr>
          <w:rFonts w:ascii="Tahoma" w:eastAsia="Times New Roman" w:hAnsi="Tahoma" w:cs="Tahoma"/>
          <w:spacing w:val="-5"/>
          <w:sz w:val="24"/>
          <w:szCs w:val="24"/>
          <w:lang w:eastAsia="fr-FR"/>
        </w:rPr>
        <w:t xml:space="preserve"> </w:t>
      </w:r>
      <w:r w:rsidRPr="000A7532">
        <w:rPr>
          <w:rFonts w:ascii="Tahoma" w:eastAsia="Times New Roman" w:hAnsi="Tahoma" w:cs="Tahoma"/>
          <w:sz w:val="24"/>
          <w:szCs w:val="24"/>
          <w:lang w:eastAsia="fr-FR"/>
        </w:rPr>
        <w:t>forêts</w:t>
      </w:r>
      <w:r w:rsidRPr="000A7532">
        <w:rPr>
          <w:rFonts w:ascii="Tahoma" w:eastAsia="Times New Roman" w:hAnsi="Tahoma" w:cs="Tahoma"/>
          <w:spacing w:val="-7"/>
          <w:sz w:val="24"/>
          <w:szCs w:val="24"/>
          <w:lang w:eastAsia="fr-FR"/>
        </w:rPr>
        <w:t xml:space="preserve"> </w:t>
      </w:r>
      <w:r w:rsidRPr="000A7532">
        <w:rPr>
          <w:rFonts w:ascii="Tahoma" w:eastAsia="Times New Roman" w:hAnsi="Tahoma" w:cs="Tahoma"/>
          <w:sz w:val="24"/>
          <w:szCs w:val="24"/>
          <w:lang w:eastAsia="fr-FR"/>
        </w:rPr>
        <w:t>à</w:t>
      </w:r>
      <w:r w:rsidRPr="000A7532">
        <w:rPr>
          <w:rFonts w:ascii="Tahoma" w:eastAsia="Times New Roman" w:hAnsi="Tahoma" w:cs="Tahoma"/>
          <w:spacing w:val="-7"/>
          <w:sz w:val="24"/>
          <w:szCs w:val="24"/>
          <w:lang w:eastAsia="fr-FR"/>
        </w:rPr>
        <w:t xml:space="preserve"> </w:t>
      </w:r>
      <w:r w:rsidRPr="000A7532">
        <w:rPr>
          <w:rFonts w:ascii="Tahoma" w:eastAsia="Times New Roman" w:hAnsi="Tahoma" w:cs="Tahoma"/>
          <w:sz w:val="24"/>
          <w:szCs w:val="24"/>
          <w:lang w:eastAsia="fr-FR"/>
        </w:rPr>
        <w:t>l’état</w:t>
      </w:r>
      <w:r w:rsidRPr="000A7532">
        <w:rPr>
          <w:rFonts w:ascii="Tahoma" w:eastAsia="Times New Roman" w:hAnsi="Tahoma" w:cs="Tahoma"/>
          <w:spacing w:val="-5"/>
          <w:sz w:val="24"/>
          <w:szCs w:val="24"/>
          <w:lang w:eastAsia="fr-FR"/>
        </w:rPr>
        <w:t xml:space="preserve"> </w:t>
      </w:r>
      <w:r w:rsidRPr="000A7532">
        <w:rPr>
          <w:rFonts w:ascii="Tahoma" w:eastAsia="Times New Roman" w:hAnsi="Tahoma" w:cs="Tahoma"/>
          <w:sz w:val="24"/>
          <w:szCs w:val="24"/>
          <w:lang w:eastAsia="fr-FR"/>
        </w:rPr>
        <w:t>actuel semblent constituer une représentation approximative des formations boisées de l’époque préhistorique</w:t>
      </w:r>
      <w:r w:rsidRPr="000A7532">
        <w:rPr>
          <w:rFonts w:ascii="Tahoma" w:eastAsia="Times New Roman" w:hAnsi="Tahoma" w:cs="Tahoma"/>
          <w:sz w:val="24"/>
          <w:szCs w:val="24"/>
          <w:vertAlign w:val="superscript"/>
          <w:lang w:eastAsia="fr-FR"/>
        </w:rPr>
        <w:footnoteReference w:id="7"/>
      </w:r>
      <w:r w:rsidRPr="000A7532">
        <w:rPr>
          <w:rFonts w:ascii="Tahoma" w:eastAsia="Times New Roman" w:hAnsi="Tahoma" w:cs="Tahoma"/>
          <w:sz w:val="24"/>
          <w:szCs w:val="24"/>
          <w:lang w:eastAsia="fr-FR"/>
        </w:rPr>
        <w:t>.</w:t>
      </w:r>
      <w:r w:rsidRPr="000A7532">
        <w:rPr>
          <w:rFonts w:ascii="Tahoma" w:eastAsia="Times New Roman" w:hAnsi="Tahoma" w:cs="Tahoma"/>
          <w:spacing w:val="-5"/>
          <w:sz w:val="24"/>
          <w:szCs w:val="24"/>
          <w:lang w:eastAsia="fr-FR"/>
        </w:rPr>
        <w:t xml:space="preserve"> </w:t>
      </w:r>
    </w:p>
    <w:p w:rsidR="008018BA" w:rsidRPr="000A7532" w:rsidRDefault="008018BA" w:rsidP="008018BA">
      <w:pPr>
        <w:shd w:val="clear" w:color="auto" w:fill="FFFFFF"/>
        <w:spacing w:before="100" w:beforeAutospacing="1" w:after="100" w:afterAutospacing="1" w:line="360" w:lineRule="auto"/>
        <w:jc w:val="both"/>
        <w:rPr>
          <w:rFonts w:ascii="Tahoma" w:eastAsia="Times New Roman" w:hAnsi="Tahoma" w:cs="Tahoma"/>
          <w:sz w:val="24"/>
          <w:szCs w:val="24"/>
          <w:lang w:eastAsia="fr-FR"/>
        </w:rPr>
      </w:pPr>
      <w:r w:rsidRPr="000A7532">
        <w:rPr>
          <w:rFonts w:ascii="Tahoma" w:eastAsia="Times New Roman" w:hAnsi="Tahoma" w:cs="Tahoma"/>
          <w:spacing w:val="-5"/>
          <w:sz w:val="24"/>
          <w:szCs w:val="24"/>
          <w:lang w:eastAsia="fr-FR"/>
        </w:rPr>
        <w:t xml:space="preserve">Aujourd’hui, </w:t>
      </w:r>
      <w:r w:rsidRPr="000A7532">
        <w:rPr>
          <w:rFonts w:ascii="Tahoma" w:eastAsia="Times New Roman" w:hAnsi="Tahoma" w:cs="Tahoma"/>
          <w:sz w:val="24"/>
          <w:szCs w:val="24"/>
          <w:lang w:eastAsia="fr-FR"/>
        </w:rPr>
        <w:t>les</w:t>
      </w:r>
      <w:r w:rsidRPr="000A7532">
        <w:rPr>
          <w:rFonts w:ascii="Tahoma" w:eastAsia="Times New Roman" w:hAnsi="Tahoma" w:cs="Tahoma"/>
          <w:spacing w:val="-5"/>
          <w:sz w:val="24"/>
          <w:szCs w:val="24"/>
          <w:lang w:eastAsia="fr-FR"/>
        </w:rPr>
        <w:t xml:space="preserve"> </w:t>
      </w:r>
      <w:r w:rsidRPr="000A7532">
        <w:rPr>
          <w:rFonts w:ascii="Tahoma" w:eastAsia="Times New Roman" w:hAnsi="Tahoma" w:cs="Tahoma"/>
          <w:sz w:val="24"/>
          <w:szCs w:val="24"/>
          <w:lang w:eastAsia="fr-FR"/>
        </w:rPr>
        <w:t>forêts</w:t>
      </w:r>
      <w:r w:rsidRPr="000A7532">
        <w:rPr>
          <w:rFonts w:ascii="Tahoma" w:eastAsia="Times New Roman" w:hAnsi="Tahoma" w:cs="Tahoma"/>
          <w:spacing w:val="-6"/>
          <w:sz w:val="24"/>
          <w:szCs w:val="24"/>
          <w:lang w:eastAsia="fr-FR"/>
        </w:rPr>
        <w:t xml:space="preserve"> </w:t>
      </w:r>
      <w:r w:rsidRPr="000A7532">
        <w:rPr>
          <w:rFonts w:ascii="Tahoma" w:eastAsia="Times New Roman" w:hAnsi="Tahoma" w:cs="Tahoma"/>
          <w:sz w:val="24"/>
          <w:szCs w:val="24"/>
          <w:lang w:eastAsia="fr-FR"/>
        </w:rPr>
        <w:t>apparaissent comme l’un des espaces naturels les plus transformés par l’activité humaine au</w:t>
      </w:r>
      <w:r w:rsidRPr="000A7532">
        <w:rPr>
          <w:rFonts w:ascii="Tahoma" w:eastAsia="Times New Roman" w:hAnsi="Tahoma" w:cs="Tahoma"/>
          <w:spacing w:val="1"/>
          <w:sz w:val="24"/>
          <w:szCs w:val="24"/>
          <w:lang w:eastAsia="fr-FR"/>
        </w:rPr>
        <w:t xml:space="preserve"> </w:t>
      </w:r>
      <w:r w:rsidRPr="000A7532">
        <w:rPr>
          <w:rFonts w:ascii="Tahoma" w:eastAsia="Times New Roman" w:hAnsi="Tahoma" w:cs="Tahoma"/>
          <w:sz w:val="24"/>
          <w:szCs w:val="24"/>
          <w:lang w:eastAsia="fr-FR"/>
        </w:rPr>
        <w:t>cours des dernières décennies (LAMB, ERSKINE, et PARROTTA, 2005)</w:t>
      </w:r>
      <w:r w:rsidRPr="000A7532">
        <w:rPr>
          <w:rFonts w:ascii="Tahoma" w:eastAsia="Times New Roman" w:hAnsi="Tahoma" w:cs="Tahoma"/>
          <w:sz w:val="24"/>
          <w:szCs w:val="24"/>
          <w:vertAlign w:val="superscript"/>
          <w:lang w:eastAsia="fr-FR"/>
        </w:rPr>
        <w:footnoteReference w:id="8"/>
      </w:r>
      <w:r w:rsidRPr="000A7532">
        <w:rPr>
          <w:rFonts w:ascii="Tahoma" w:eastAsia="Times New Roman" w:hAnsi="Tahoma" w:cs="Tahoma"/>
          <w:sz w:val="24"/>
          <w:szCs w:val="24"/>
          <w:lang w:eastAsia="fr-FR"/>
        </w:rPr>
        <w:t>. Cette transformation souligne l'importance de la perspective environnementale dans l'analyse des risques, car les perturbations environnementales sont intrinsèquement liées à leurs impacts potentiels et aux stratégies d'atténuation mises en œuvre. Une corrélation directe demeure à analyser et à formaliser entre la problématique des risques et la problématique environnementale</w:t>
      </w:r>
      <w:r w:rsidRPr="000A7532">
        <w:rPr>
          <w:rFonts w:ascii="Tahoma" w:eastAsia="Times New Roman" w:hAnsi="Tahoma" w:cs="Tahoma"/>
          <w:sz w:val="24"/>
          <w:szCs w:val="24"/>
          <w:vertAlign w:val="superscript"/>
          <w:lang w:eastAsia="fr-FR"/>
        </w:rPr>
        <w:footnoteReference w:id="9"/>
      </w:r>
      <w:r w:rsidRPr="000A7532">
        <w:rPr>
          <w:rFonts w:ascii="Tahoma" w:eastAsia="Times New Roman" w:hAnsi="Tahoma" w:cs="Tahoma"/>
          <w:sz w:val="24"/>
          <w:szCs w:val="24"/>
          <w:lang w:eastAsia="fr-FR"/>
        </w:rPr>
        <w:t xml:space="preserve"> (Metzger, 1999). </w:t>
      </w:r>
    </w:p>
    <w:p w:rsidR="008018BA" w:rsidRPr="000D6C9C" w:rsidRDefault="008018BA" w:rsidP="008262EA">
      <w:pPr>
        <w:spacing w:line="360" w:lineRule="auto"/>
        <w:jc w:val="both"/>
        <w:rPr>
          <w:rFonts w:ascii="Tahoma" w:hAnsi="Tahoma" w:cs="Tahoma"/>
          <w:b/>
          <w:bCs/>
          <w:sz w:val="24"/>
          <w:szCs w:val="24"/>
        </w:rPr>
      </w:pPr>
      <w:r w:rsidRPr="000A7532">
        <w:rPr>
          <w:rFonts w:ascii="Tahoma" w:eastAsia="Times New Roman" w:hAnsi="Tahoma" w:cs="Tahoma"/>
          <w:sz w:val="24"/>
          <w:szCs w:val="24"/>
        </w:rPr>
        <w:t>Aborder la question de</w:t>
      </w:r>
      <w:r>
        <w:rPr>
          <w:rFonts w:ascii="Tahoma" w:eastAsia="Times New Roman" w:hAnsi="Tahoma" w:cs="Tahoma"/>
          <w:sz w:val="24"/>
          <w:szCs w:val="24"/>
        </w:rPr>
        <w:t xml:space="preserve">s forêts mondiales revient </w:t>
      </w:r>
      <w:r w:rsidRPr="000A7532">
        <w:rPr>
          <w:rFonts w:ascii="Tahoma" w:eastAsia="Times New Roman" w:hAnsi="Tahoma" w:cs="Tahoma"/>
          <w:sz w:val="24"/>
          <w:szCs w:val="24"/>
        </w:rPr>
        <w:t xml:space="preserve">à évoquer </w:t>
      </w:r>
      <w:r>
        <w:rPr>
          <w:rFonts w:ascii="Tahoma" w:eastAsia="Times New Roman" w:hAnsi="Tahoma" w:cs="Tahoma"/>
          <w:sz w:val="24"/>
          <w:szCs w:val="24"/>
        </w:rPr>
        <w:t xml:space="preserve">alors </w:t>
      </w:r>
      <w:r w:rsidRPr="000A7532">
        <w:rPr>
          <w:rFonts w:ascii="Tahoma" w:eastAsia="Times New Roman" w:hAnsi="Tahoma" w:cs="Tahoma"/>
          <w:sz w:val="24"/>
          <w:szCs w:val="24"/>
        </w:rPr>
        <w:t>une étendue terrestre considérable, avoisinant 4,06 milliards d'hectares, ce qui représente environ 30,8 % de la surface terrestre mondiale (FAO, 2020)</w:t>
      </w:r>
      <w:r w:rsidRPr="000A7532">
        <w:rPr>
          <w:rFonts w:ascii="Tahoma" w:eastAsia="Times New Roman" w:hAnsi="Tahoma" w:cs="Tahoma"/>
          <w:sz w:val="24"/>
          <w:szCs w:val="24"/>
          <w:vertAlign w:val="superscript"/>
        </w:rPr>
        <w:footnoteReference w:id="10"/>
      </w:r>
      <w:r w:rsidRPr="000A7532">
        <w:rPr>
          <w:rFonts w:ascii="Tahoma" w:eastAsia="Times New Roman" w:hAnsi="Tahoma" w:cs="Tahoma"/>
          <w:sz w:val="24"/>
          <w:szCs w:val="24"/>
        </w:rPr>
        <w:t xml:space="preserve">.  </w:t>
      </w:r>
      <w:r w:rsidRPr="001F4DDF">
        <w:rPr>
          <w:rFonts w:ascii="Tahoma" w:eastAsia="Times New Roman" w:hAnsi="Tahoma" w:cs="Tahoma"/>
          <w:sz w:val="24"/>
          <w:szCs w:val="24"/>
        </w:rPr>
        <w:t xml:space="preserve">Il convient de </w:t>
      </w:r>
      <w:r>
        <w:rPr>
          <w:rFonts w:ascii="Tahoma" w:eastAsia="Times New Roman" w:hAnsi="Tahoma" w:cs="Tahoma"/>
          <w:sz w:val="24"/>
          <w:szCs w:val="24"/>
        </w:rPr>
        <w:t xml:space="preserve">signaler </w:t>
      </w:r>
      <w:r w:rsidRPr="001F4DDF">
        <w:rPr>
          <w:rFonts w:ascii="Tahoma" w:eastAsia="Times New Roman" w:hAnsi="Tahoma" w:cs="Tahoma"/>
          <w:sz w:val="24"/>
          <w:szCs w:val="24"/>
        </w:rPr>
        <w:t xml:space="preserve">que près de la moitié de cette superficie forestière mondiale est concentrée au sein de cinq États : le Brésil, le </w:t>
      </w:r>
      <w:r w:rsidRPr="001F4DDF">
        <w:rPr>
          <w:rFonts w:ascii="Tahoma" w:eastAsia="Times New Roman" w:hAnsi="Tahoma" w:cs="Tahoma"/>
          <w:sz w:val="24"/>
          <w:szCs w:val="24"/>
        </w:rPr>
        <w:lastRenderedPageBreak/>
        <w:t xml:space="preserve">Canada, la Fédération de Russie, les </w:t>
      </w:r>
      <w:r w:rsidRPr="003C5CFF">
        <w:rPr>
          <w:rFonts w:ascii="Tahoma" w:eastAsia="Times New Roman" w:hAnsi="Tahoma" w:cs="Tahoma"/>
          <w:sz w:val="24"/>
          <w:szCs w:val="24"/>
        </w:rPr>
        <w:t>États-Unis d’Amérique et la Chine</w:t>
      </w:r>
      <w:r w:rsidRPr="003C5CFF">
        <w:rPr>
          <w:rFonts w:ascii="Tahoma" w:eastAsia="Times New Roman" w:hAnsi="Tahoma" w:cs="Tahoma"/>
          <w:sz w:val="24"/>
          <w:szCs w:val="24"/>
          <w:vertAlign w:val="superscript"/>
        </w:rPr>
        <w:footnoteReference w:id="11"/>
      </w:r>
      <w:r w:rsidRPr="003C5CFF">
        <w:rPr>
          <w:rFonts w:ascii="Tahoma" w:eastAsia="Times New Roman" w:hAnsi="Tahoma" w:cs="Tahoma"/>
          <w:sz w:val="24"/>
          <w:szCs w:val="24"/>
        </w:rPr>
        <w:t xml:space="preserve"> </w:t>
      </w:r>
      <w:r w:rsidRPr="003C5CFF">
        <w:rPr>
          <w:rFonts w:ascii="Tahoma" w:eastAsia="Times New Roman" w:hAnsi="Tahoma" w:cs="Tahoma"/>
          <w:b/>
          <w:bCs/>
          <w:sz w:val="24"/>
          <w:szCs w:val="24"/>
        </w:rPr>
        <w:t xml:space="preserve"> (</w:t>
      </w:r>
      <w:r w:rsidR="008262EA">
        <w:rPr>
          <w:rFonts w:ascii="Tahoma" w:hAnsi="Tahoma" w:cs="Tahoma"/>
          <w:b/>
          <w:bCs/>
          <w:sz w:val="24"/>
          <w:szCs w:val="24"/>
        </w:rPr>
        <w:t>cf. graph</w:t>
      </w:r>
      <w:r w:rsidRPr="003C5CFF">
        <w:rPr>
          <w:rFonts w:ascii="Tahoma" w:hAnsi="Tahoma" w:cs="Tahoma"/>
          <w:b/>
          <w:bCs/>
          <w:sz w:val="24"/>
          <w:szCs w:val="24"/>
        </w:rPr>
        <w:t xml:space="preserve">e </w:t>
      </w:r>
      <w:r w:rsidR="008262EA" w:rsidRPr="003C5CFF">
        <w:rPr>
          <w:rFonts w:ascii="Tahoma" w:hAnsi="Tahoma" w:cs="Tahoma"/>
          <w:b/>
          <w:bCs/>
          <w:sz w:val="24"/>
          <w:szCs w:val="24"/>
        </w:rPr>
        <w:t>ANNEXE</w:t>
      </w:r>
      <w:r w:rsidR="008262EA">
        <w:rPr>
          <w:rFonts w:ascii="Tahoma" w:hAnsi="Tahoma" w:cs="Tahoma"/>
          <w:b/>
          <w:bCs/>
          <w:sz w:val="24"/>
          <w:szCs w:val="24"/>
        </w:rPr>
        <w:t xml:space="preserve"> 4</w:t>
      </w:r>
      <w:r w:rsidRPr="003C5CFF">
        <w:rPr>
          <w:rFonts w:ascii="Tahoma" w:hAnsi="Tahoma" w:cs="Tahoma"/>
          <w:b/>
          <w:bCs/>
          <w:sz w:val="24"/>
          <w:szCs w:val="24"/>
        </w:rPr>
        <w:t>).</w:t>
      </w:r>
      <w:r>
        <w:rPr>
          <w:rFonts w:ascii="Tahoma" w:hAnsi="Tahoma" w:cs="Tahoma"/>
          <w:b/>
          <w:bCs/>
          <w:sz w:val="24"/>
          <w:szCs w:val="24"/>
        </w:rPr>
        <w:t xml:space="preserve"> </w:t>
      </w:r>
      <w:r w:rsidRPr="000A7532">
        <w:rPr>
          <w:rFonts w:ascii="Tahoma" w:eastAsia="Times New Roman" w:hAnsi="Tahoma" w:cs="Tahoma"/>
          <w:sz w:val="24"/>
          <w:szCs w:val="24"/>
        </w:rPr>
        <w:t>La classification des forêts repose principalement sur deux catégories distinctes : les forêts régénérées naturellement (comprennent à la fois les forêts primaires et les autres forêts issues de régénération naturelle) et les forêts plantées représentant la majorité du couvert forestier mondial avec une superficie estimée à environ 93% de l'ensemble des forêts.  En revanche, les forêts plantées occupent les 7% restants et connaissent une dynamique de croissance constante</w:t>
      </w:r>
      <w:r w:rsidRPr="000A7532">
        <w:rPr>
          <w:rFonts w:ascii="Tahoma" w:eastAsia="Times New Roman" w:hAnsi="Tahoma" w:cs="Tahoma"/>
          <w:sz w:val="24"/>
          <w:szCs w:val="24"/>
          <w:vertAlign w:val="superscript"/>
        </w:rPr>
        <w:footnoteReference w:id="12"/>
      </w:r>
      <w:r w:rsidRPr="000A7532">
        <w:rPr>
          <w:rFonts w:ascii="Tahoma" w:eastAsia="Times New Roman" w:hAnsi="Tahoma" w:cs="Tahoma"/>
          <w:sz w:val="24"/>
          <w:szCs w:val="24"/>
        </w:rPr>
        <w:t>.</w:t>
      </w:r>
      <w:r w:rsidRPr="000A7532">
        <w:rPr>
          <w:rFonts w:ascii="Times New Roman" w:eastAsia="Times New Roman" w:hAnsi="Times New Roman" w:cs="Times New Roman"/>
          <w:sz w:val="24"/>
          <w:szCs w:val="24"/>
        </w:rPr>
        <w:t xml:space="preserve"> </w:t>
      </w:r>
      <w:r w:rsidRPr="000A7532">
        <w:rPr>
          <w:rFonts w:ascii="Tahoma" w:eastAsia="Times New Roman" w:hAnsi="Tahoma" w:cs="Tahoma"/>
          <w:sz w:val="24"/>
          <w:szCs w:val="24"/>
        </w:rPr>
        <w:t>Dès lors, il est essentiel de mettre en place des stratégies de conservation et de gestion efficaces des forêts naturelles, tout en reconnaissant l'importance des plantations forestières pour la production de bois et la séquestration du carbone.</w:t>
      </w:r>
    </w:p>
    <w:p w:rsidR="008018BA" w:rsidRPr="003C5CFF" w:rsidRDefault="008018BA" w:rsidP="008018BA">
      <w:pPr>
        <w:widowControl w:val="0"/>
        <w:autoSpaceDE w:val="0"/>
        <w:autoSpaceDN w:val="0"/>
        <w:spacing w:before="160" w:after="0" w:line="360" w:lineRule="auto"/>
        <w:jc w:val="both"/>
        <w:rPr>
          <w:rFonts w:ascii="Tahoma" w:eastAsia="Times New Roman" w:hAnsi="Tahoma" w:cs="Tahoma"/>
          <w:sz w:val="10"/>
          <w:szCs w:val="10"/>
        </w:rPr>
      </w:pPr>
    </w:p>
    <w:p w:rsidR="008018BA" w:rsidRDefault="008018BA" w:rsidP="008018BA">
      <w:pPr>
        <w:widowControl w:val="0"/>
        <w:autoSpaceDE w:val="0"/>
        <w:autoSpaceDN w:val="0"/>
        <w:spacing w:after="0" w:line="360" w:lineRule="auto"/>
        <w:jc w:val="both"/>
        <w:rPr>
          <w:rFonts w:ascii="Tahoma" w:eastAsia="Times New Roman" w:hAnsi="Tahoma" w:cs="Tahoma"/>
          <w:sz w:val="24"/>
          <w:szCs w:val="24"/>
        </w:rPr>
      </w:pPr>
      <w:bookmarkStart w:id="38" w:name="_bookmark8"/>
      <w:bookmarkEnd w:id="38"/>
      <w:r w:rsidRPr="00B276D7">
        <w:rPr>
          <w:rFonts w:ascii="Tahoma" w:eastAsia="Times New Roman" w:hAnsi="Tahoma" w:cs="Tahoma"/>
          <w:sz w:val="24"/>
          <w:szCs w:val="24"/>
        </w:rPr>
        <w:t>À l’échelle mondiale, la répartition des forêts est structurée selon cinq grands domaines climatiques : boréal, polaire, tempéré, subtropical et tropical. Cette typologie climatique constitue un cadre analytique pertinent pour appréhender la répartition forestière à l’échelle globale. Il est important de noter que près de 45 % des forêts mondiales se situent dans la zone tropicale, tandis que les domaines boréal, tempéré et subtropical regroupent c</w:t>
      </w:r>
      <w:r>
        <w:rPr>
          <w:rFonts w:ascii="Tahoma" w:eastAsia="Times New Roman" w:hAnsi="Tahoma" w:cs="Tahoma"/>
          <w:sz w:val="24"/>
          <w:szCs w:val="24"/>
        </w:rPr>
        <w:t>ollectivement les 55 % restants</w:t>
      </w:r>
      <w:r w:rsidRPr="000A7532">
        <w:rPr>
          <w:rFonts w:ascii="Tahoma" w:eastAsia="Times New Roman" w:hAnsi="Tahoma" w:cs="Tahoma"/>
          <w:sz w:val="24"/>
          <w:szCs w:val="24"/>
          <w:vertAlign w:val="superscript"/>
        </w:rPr>
        <w:footnoteReference w:id="13"/>
      </w:r>
      <w:r w:rsidRPr="000A7532">
        <w:rPr>
          <w:rFonts w:ascii="Tahoma" w:eastAsia="Times New Roman" w:hAnsi="Tahoma" w:cs="Tahoma"/>
          <w:sz w:val="24"/>
          <w:szCs w:val="24"/>
        </w:rPr>
        <w:t xml:space="preserve">. </w:t>
      </w:r>
    </w:p>
    <w:p w:rsidR="008018BA" w:rsidRDefault="008018BA" w:rsidP="008018BA">
      <w:pPr>
        <w:widowControl w:val="0"/>
        <w:autoSpaceDE w:val="0"/>
        <w:autoSpaceDN w:val="0"/>
        <w:spacing w:after="0" w:line="360" w:lineRule="auto"/>
        <w:jc w:val="both"/>
        <w:rPr>
          <w:rFonts w:ascii="Tahoma" w:eastAsia="Times New Roman" w:hAnsi="Tahoma" w:cs="Tahoma"/>
          <w:sz w:val="24"/>
          <w:szCs w:val="24"/>
        </w:rPr>
      </w:pPr>
      <w:r w:rsidRPr="00CF7AE3">
        <w:rPr>
          <w:rFonts w:ascii="Tahoma" w:eastAsia="Times New Roman" w:hAnsi="Tahoma" w:cs="Tahoma"/>
          <w:sz w:val="24"/>
          <w:szCs w:val="24"/>
        </w:rPr>
        <w:t>Plusieurs études ont mis en évidence les impacts particulièrement préjudiciables de la déforestation sur les populations locales, affectant notamment leur sécurité alimentaire, l’accès à l’eau et leur santé. Lambin et al. (2003), dans leur article intitulé “Dynamics of land-use and land-cover change in tropical regions”, analysent les principales causes de la déforestation et de la conversion des terres dans les régions tropicales, en insistant sur les conséquences socio-économiques pour les populations locales, telles que la réduction de l’accès aux ressources naturelles ainsi que les perturbations des activités agricoles et forestières</w:t>
      </w:r>
      <w:r w:rsidRPr="00CF50B2">
        <w:rPr>
          <w:rFonts w:ascii="Tahoma" w:eastAsia="Times New Roman" w:hAnsi="Tahoma" w:cs="Tahoma"/>
          <w:sz w:val="24"/>
          <w:szCs w:val="24"/>
          <w:vertAlign w:val="superscript"/>
        </w:rPr>
        <w:footnoteReference w:id="14"/>
      </w:r>
      <w:r w:rsidRPr="00CF50B2">
        <w:rPr>
          <w:rFonts w:ascii="Tahoma" w:eastAsia="Times New Roman" w:hAnsi="Tahoma" w:cs="Tahoma"/>
          <w:sz w:val="24"/>
          <w:szCs w:val="24"/>
        </w:rPr>
        <w:t>.</w:t>
      </w:r>
    </w:p>
    <w:p w:rsidR="008018BA" w:rsidRPr="00624A39" w:rsidRDefault="008018BA" w:rsidP="008018BA">
      <w:pPr>
        <w:widowControl w:val="0"/>
        <w:autoSpaceDE w:val="0"/>
        <w:autoSpaceDN w:val="0"/>
        <w:spacing w:after="0" w:line="360" w:lineRule="auto"/>
        <w:jc w:val="both"/>
        <w:rPr>
          <w:rFonts w:ascii="Tahoma" w:eastAsia="Times New Roman" w:hAnsi="Tahoma" w:cs="Tahoma"/>
          <w:sz w:val="12"/>
          <w:szCs w:val="12"/>
        </w:rPr>
      </w:pPr>
    </w:p>
    <w:p w:rsidR="008018BA" w:rsidRDefault="008018BA" w:rsidP="008018BA">
      <w:pPr>
        <w:widowControl w:val="0"/>
        <w:autoSpaceDE w:val="0"/>
        <w:autoSpaceDN w:val="0"/>
        <w:spacing w:after="0" w:line="360" w:lineRule="auto"/>
        <w:jc w:val="both"/>
        <w:rPr>
          <w:rFonts w:ascii="Tahoma" w:eastAsia="Times New Roman" w:hAnsi="Tahoma" w:cs="Tahoma"/>
          <w:sz w:val="24"/>
          <w:szCs w:val="24"/>
        </w:rPr>
      </w:pPr>
      <w:r w:rsidRPr="00CF7AE3">
        <w:rPr>
          <w:rFonts w:ascii="Tahoma" w:eastAsia="Times New Roman" w:hAnsi="Tahoma" w:cs="Tahoma"/>
          <w:sz w:val="24"/>
          <w:szCs w:val="24"/>
        </w:rPr>
        <w:t xml:space="preserve">De son côté, Chazdon (2008), dans son étude “Beyond deforestation: Restoring forests </w:t>
      </w:r>
      <w:r w:rsidRPr="00CF7AE3">
        <w:rPr>
          <w:rFonts w:ascii="Tahoma" w:eastAsia="Times New Roman" w:hAnsi="Tahoma" w:cs="Tahoma"/>
          <w:sz w:val="24"/>
          <w:szCs w:val="24"/>
        </w:rPr>
        <w:lastRenderedPageBreak/>
        <w:t>and ecosystem services”, souligne les effets délétères de la déforestation et de la dégradation des terres sur les populations locales, en insistant particulièrement sur la perte de services écosystémiques essentiels, notamment la régulation climatique et la fertilité des sols, et leurs répercussions négatives sur la sécurité alimentaire et les co</w:t>
      </w:r>
      <w:r>
        <w:rPr>
          <w:rFonts w:ascii="Tahoma" w:eastAsia="Times New Roman" w:hAnsi="Tahoma" w:cs="Tahoma"/>
          <w:sz w:val="24"/>
          <w:szCs w:val="24"/>
        </w:rPr>
        <w:t>nditions de vie des communautés</w:t>
      </w:r>
      <w:r w:rsidRPr="00CF50B2">
        <w:rPr>
          <w:rFonts w:ascii="Tahoma" w:eastAsia="Times New Roman" w:hAnsi="Tahoma" w:cs="Tahoma"/>
          <w:sz w:val="24"/>
          <w:szCs w:val="24"/>
          <w:vertAlign w:val="superscript"/>
        </w:rPr>
        <w:footnoteReference w:id="15"/>
      </w:r>
      <w:r w:rsidRPr="00CF50B2">
        <w:rPr>
          <w:rFonts w:ascii="Tahoma" w:eastAsia="Times New Roman" w:hAnsi="Tahoma" w:cs="Tahoma"/>
          <w:sz w:val="24"/>
          <w:szCs w:val="24"/>
        </w:rPr>
        <w:t>.</w:t>
      </w:r>
    </w:p>
    <w:p w:rsidR="008018BA" w:rsidRPr="0097088E" w:rsidRDefault="008018BA" w:rsidP="008018BA">
      <w:pPr>
        <w:widowControl w:val="0"/>
        <w:autoSpaceDE w:val="0"/>
        <w:autoSpaceDN w:val="0"/>
        <w:spacing w:after="0" w:line="360" w:lineRule="auto"/>
        <w:jc w:val="both"/>
        <w:rPr>
          <w:rFonts w:ascii="Tahoma" w:eastAsia="Times New Roman" w:hAnsi="Tahoma" w:cs="Tahoma"/>
          <w:sz w:val="24"/>
          <w:szCs w:val="24"/>
        </w:rPr>
      </w:pPr>
      <w:r w:rsidRPr="0097088E">
        <w:rPr>
          <w:rFonts w:ascii="Tahoma" w:hAnsi="Tahoma" w:cs="Tahoma"/>
          <w:sz w:val="24"/>
          <w:szCs w:val="24"/>
        </w:rPr>
        <w:t xml:space="preserve">En définitive, il apparaît évident que la conservation de la majeure partie de la biodiversité mondiale dépend à la fois des interactions humaines avec les forêts </w:t>
      </w:r>
      <w:r>
        <w:rPr>
          <w:rFonts w:ascii="Tahoma" w:hAnsi="Tahoma" w:cs="Tahoma"/>
          <w:sz w:val="24"/>
          <w:szCs w:val="24"/>
        </w:rPr>
        <w:t>et des modes de gestion appropriés, en aggravant la pauvreté et en croinssant la vulnérabilité des communautés.</w:t>
      </w:r>
    </w:p>
    <w:p w:rsidR="008018BA" w:rsidRDefault="008018BA" w:rsidP="008018BA">
      <w:pPr>
        <w:widowControl w:val="0"/>
        <w:autoSpaceDE w:val="0"/>
        <w:autoSpaceDN w:val="0"/>
        <w:spacing w:before="160" w:after="0" w:line="360" w:lineRule="auto"/>
        <w:jc w:val="both"/>
        <w:rPr>
          <w:rFonts w:ascii="Tahoma" w:eastAsia="Times New Roman" w:hAnsi="Tahoma" w:cs="Tahoma"/>
          <w:sz w:val="24"/>
          <w:szCs w:val="24"/>
        </w:rPr>
      </w:pPr>
      <w:r w:rsidRPr="0097088E">
        <w:rPr>
          <w:rFonts w:ascii="Tahoma" w:eastAsia="Times New Roman" w:hAnsi="Tahoma" w:cs="Tahoma"/>
          <w:sz w:val="24"/>
          <w:szCs w:val="24"/>
        </w:rPr>
        <w:t xml:space="preserve">Il est désormais incontestable que la conservation de la majeure partie de la biodiversité mondiale repose fondamentalement, d’une part, sur les modes d’interaction des sociétés humaines avec les forêts, et d’autre part, sur les stratégies de gestion qui leur sont appliquées. Selon le Rapport sur l’état des forêts du monde (SOFO 2020), la déforestation ainsi que la dégradation forestière se poursuivent à un rythme préoccupant, entraînant des conséquences négatives significatives pour la biodiversité globale. Depuis 1990, près de 420 millions d’hectares de forêts ont disparu, principalement en raison de leur conversion à d’autres usages. Par ailleurs, la FAO estime que, sur la période 2015-2020, le taux annuel de déforestation a atteint environ 10 millions d’hectares, tandis que la superficie mondiale des forêts primaires a diminué de plus de 80 millions d’hectares. En outre, plus de 100 millions d’hectares de forêts subissent diverses formes d’agressions, notamment les incendies, les infestations par des ravageurs, la propagation d’espèces envahissantes, les maladies, la sécheresse ainsi que des </w:t>
      </w:r>
      <w:r>
        <w:rPr>
          <w:rFonts w:ascii="Tahoma" w:eastAsia="Times New Roman" w:hAnsi="Tahoma" w:cs="Tahoma"/>
          <w:sz w:val="24"/>
          <w:szCs w:val="24"/>
        </w:rPr>
        <w:t>événements climatiques extrêmes</w:t>
      </w:r>
      <w:r w:rsidRPr="000A7532">
        <w:rPr>
          <w:rFonts w:ascii="Tahoma" w:eastAsia="Times New Roman" w:hAnsi="Tahoma" w:cs="Tahoma"/>
          <w:color w:val="000000"/>
          <w:sz w:val="24"/>
          <w:szCs w:val="24"/>
          <w:vertAlign w:val="superscript"/>
        </w:rPr>
        <w:footnoteReference w:id="16"/>
      </w:r>
      <w:r w:rsidRPr="000A7532">
        <w:rPr>
          <w:rFonts w:ascii="Tahoma" w:eastAsia="Times New Roman" w:hAnsi="Tahoma" w:cs="Tahoma"/>
          <w:color w:val="000000"/>
          <w:sz w:val="24"/>
          <w:szCs w:val="24"/>
        </w:rPr>
        <w:t xml:space="preserve">. </w:t>
      </w:r>
    </w:p>
    <w:p w:rsidR="008018BA" w:rsidRDefault="008018BA" w:rsidP="008018BA">
      <w:pPr>
        <w:widowControl w:val="0"/>
        <w:autoSpaceDE w:val="0"/>
        <w:autoSpaceDN w:val="0"/>
        <w:spacing w:before="160" w:after="0" w:line="360" w:lineRule="auto"/>
        <w:jc w:val="both"/>
        <w:rPr>
          <w:rFonts w:ascii="Tahoma" w:eastAsia="Times New Roman" w:hAnsi="Tahoma" w:cs="Tahoma"/>
          <w:sz w:val="24"/>
          <w:szCs w:val="24"/>
        </w:rPr>
      </w:pPr>
      <w:r w:rsidRPr="00AD4F47">
        <w:rPr>
          <w:rFonts w:ascii="Tahoma" w:eastAsia="Times New Roman" w:hAnsi="Tahoma" w:cs="Tahoma"/>
          <w:sz w:val="24"/>
          <w:szCs w:val="24"/>
        </w:rPr>
        <w:t xml:space="preserve">Il convient de noter qu’entre 1990 et 2020, la superficie forestière mondiale a diminué de 178 millions d’hectares, une perte équivalente à la superficie totale de la Libye. L’intégrité de la biodiversité est particulièrement compromise dans les régions caractérisées par une forte densité démographique et une agriculture intensive, telles que le Bangladesh, la </w:t>
      </w:r>
      <w:r w:rsidRPr="00AD4F47">
        <w:rPr>
          <w:rFonts w:ascii="Tahoma" w:eastAsia="Times New Roman" w:hAnsi="Tahoma" w:cs="Tahoma"/>
          <w:sz w:val="24"/>
          <w:szCs w:val="24"/>
        </w:rPr>
        <w:lastRenderedPageBreak/>
        <w:t>Chine, l’Inde, l’Amérique, ainsi que d’autres zones similaires</w:t>
      </w:r>
      <w:r w:rsidRPr="000A7532">
        <w:rPr>
          <w:rFonts w:ascii="Tahoma" w:eastAsia="Times New Roman" w:hAnsi="Tahoma" w:cs="Tahoma"/>
          <w:sz w:val="24"/>
          <w:szCs w:val="24"/>
          <w:vertAlign w:val="superscript"/>
        </w:rPr>
        <w:footnoteReference w:id="17"/>
      </w:r>
      <w:r w:rsidRPr="000A7532">
        <w:rPr>
          <w:rFonts w:ascii="Tahoma" w:eastAsia="Times New Roman" w:hAnsi="Tahoma" w:cs="Tahoma"/>
          <w:sz w:val="24"/>
          <w:szCs w:val="24"/>
        </w:rPr>
        <w:t>.</w:t>
      </w:r>
      <w:r w:rsidRPr="000A7532">
        <w:rPr>
          <w:rFonts w:ascii="Times New Roman" w:eastAsia="Times New Roman" w:hAnsi="Times New Roman" w:cs="Times New Roman"/>
          <w:sz w:val="24"/>
          <w:szCs w:val="24"/>
        </w:rPr>
        <w:t xml:space="preserve"> </w:t>
      </w:r>
      <w:r w:rsidRPr="00DB34D1">
        <w:rPr>
          <w:rFonts w:ascii="Tahoma" w:eastAsia="Times New Roman" w:hAnsi="Tahoma" w:cs="Tahoma"/>
          <w:sz w:val="24"/>
          <w:szCs w:val="24"/>
        </w:rPr>
        <w:t xml:space="preserve">Ces données soulignent l’urgence de mettre </w:t>
      </w:r>
      <w:r>
        <w:rPr>
          <w:rFonts w:ascii="Tahoma" w:eastAsia="Times New Roman" w:hAnsi="Tahoma" w:cs="Tahoma"/>
          <w:sz w:val="24"/>
          <w:szCs w:val="24"/>
        </w:rPr>
        <w:t>en œuvre des stratégies efficaces</w:t>
      </w:r>
      <w:r w:rsidRPr="00DB34D1">
        <w:rPr>
          <w:rFonts w:ascii="Tahoma" w:eastAsia="Times New Roman" w:hAnsi="Tahoma" w:cs="Tahoma"/>
          <w:sz w:val="24"/>
          <w:szCs w:val="24"/>
        </w:rPr>
        <w:t xml:space="preserve"> de conser</w:t>
      </w:r>
      <w:r>
        <w:rPr>
          <w:rFonts w:ascii="Tahoma" w:eastAsia="Times New Roman" w:hAnsi="Tahoma" w:cs="Tahoma"/>
          <w:sz w:val="24"/>
          <w:szCs w:val="24"/>
        </w:rPr>
        <w:t>vation et de gestion soutenable</w:t>
      </w:r>
      <w:r w:rsidRPr="00DB34D1">
        <w:rPr>
          <w:rFonts w:ascii="Tahoma" w:eastAsia="Times New Roman" w:hAnsi="Tahoma" w:cs="Tahoma"/>
          <w:sz w:val="24"/>
          <w:szCs w:val="24"/>
        </w:rPr>
        <w:t xml:space="preserve"> des forêts, essentielles à la préservation de la biodiversité ainsi qu’à la pérennité des services écosystémiques qu’elles assurent.</w:t>
      </w:r>
    </w:p>
    <w:p w:rsidR="008018BA" w:rsidRPr="004D1AE2" w:rsidRDefault="008018BA" w:rsidP="008018BA">
      <w:pPr>
        <w:widowControl w:val="0"/>
        <w:autoSpaceDE w:val="0"/>
        <w:autoSpaceDN w:val="0"/>
        <w:spacing w:before="160" w:after="0" w:line="360" w:lineRule="auto"/>
        <w:jc w:val="both"/>
        <w:rPr>
          <w:rFonts w:ascii="Tahoma" w:eastAsia="Times New Roman" w:hAnsi="Tahoma" w:cs="Tahoma"/>
          <w:sz w:val="24"/>
          <w:szCs w:val="24"/>
        </w:rPr>
      </w:pPr>
      <w:r>
        <w:rPr>
          <w:rFonts w:ascii="Tahoma" w:eastAsia="Times New Roman" w:hAnsi="Tahoma" w:cs="Tahoma"/>
          <w:sz w:val="24"/>
          <w:szCs w:val="24"/>
        </w:rPr>
        <w:t>C</w:t>
      </w:r>
      <w:r w:rsidRPr="004D1AE2">
        <w:rPr>
          <w:rFonts w:ascii="Tahoma" w:eastAsia="Times New Roman" w:hAnsi="Tahoma" w:cs="Tahoma"/>
          <w:sz w:val="24"/>
          <w:szCs w:val="24"/>
        </w:rPr>
        <w:t>ertaines régions telles que l’Afrique du Nord, l’Australie méridionale, le littoral brésilien, Madagascar et l’Afrique du Sud connaissent des pertes d’intégrité de la biodiversité particulièrement prononcées</w:t>
      </w:r>
      <w:r w:rsidRPr="004D1AE2">
        <w:rPr>
          <w:rFonts w:ascii="Tahoma" w:eastAsia="Times New Roman" w:hAnsi="Tahoma" w:cs="Tahoma"/>
          <w:sz w:val="24"/>
          <w:szCs w:val="24"/>
          <w:vertAlign w:val="superscript"/>
        </w:rPr>
        <w:footnoteReference w:id="18"/>
      </w:r>
      <w:r w:rsidRPr="004D1AE2">
        <w:rPr>
          <w:rFonts w:ascii="Tahoma" w:eastAsia="Times New Roman" w:hAnsi="Tahoma" w:cs="Tahoma"/>
          <w:sz w:val="24"/>
          <w:szCs w:val="24"/>
        </w:rPr>
        <w:t>.</w:t>
      </w:r>
      <w:r w:rsidRPr="004D1AE2">
        <w:rPr>
          <w:rFonts w:ascii="Tahoma" w:eastAsia="Times New Roman" w:hAnsi="Tahoma" w:cs="Tahoma"/>
          <w:spacing w:val="1"/>
          <w:sz w:val="24"/>
          <w:szCs w:val="24"/>
        </w:rPr>
        <w:t xml:space="preserve"> </w:t>
      </w:r>
      <w:r w:rsidRPr="004D1AE2">
        <w:rPr>
          <w:rFonts w:ascii="Tahoma" w:eastAsia="Times New Roman" w:hAnsi="Tahoma" w:cs="Tahoma"/>
          <w:sz w:val="24"/>
          <w:szCs w:val="24"/>
        </w:rPr>
        <w:t xml:space="preserve">Paradoxalement, les efforts visant à protéger les espèces menacées et à améliorer leur état de conservation progressent à un rythme jugé insuffisant. En effet, environ 60 000 espèces d’arbres ont été recensées, dont plus de 20 000 figurent sur la Liste rouge de l’Union internationale pour la conservation de la nature (UICN), et près de 8 000 sont classées comme « en danger critique d’extinction », « en danger » ou « vulnérables » à l’échelle mondiale. De surcroît, plus de 1 400 essences d’arbres sont considérées comme étant </w:t>
      </w:r>
      <w:r>
        <w:rPr>
          <w:rFonts w:ascii="Tahoma" w:eastAsia="Times New Roman" w:hAnsi="Tahoma" w:cs="Tahoma"/>
          <w:sz w:val="24"/>
          <w:szCs w:val="24"/>
        </w:rPr>
        <w:t>en danger critique d’extinction</w:t>
      </w:r>
      <w:r w:rsidRPr="004D1AE2">
        <w:rPr>
          <w:rFonts w:ascii="Tahoma" w:eastAsia="Times New Roman" w:hAnsi="Tahoma" w:cs="Tahoma"/>
          <w:sz w:val="24"/>
          <w:szCs w:val="24"/>
          <w:vertAlign w:val="superscript"/>
        </w:rPr>
        <w:footnoteReference w:id="19"/>
      </w:r>
      <w:r w:rsidRPr="004D1AE2">
        <w:rPr>
          <w:rFonts w:ascii="Tahoma" w:eastAsia="Times New Roman" w:hAnsi="Tahoma" w:cs="Tahoma"/>
          <w:sz w:val="24"/>
          <w:szCs w:val="24"/>
        </w:rPr>
        <w:t>.</w:t>
      </w:r>
    </w:p>
    <w:p w:rsidR="008018BA" w:rsidRDefault="008018BA" w:rsidP="008018BA">
      <w:pPr>
        <w:widowControl w:val="0"/>
        <w:autoSpaceDE w:val="0"/>
        <w:autoSpaceDN w:val="0"/>
        <w:spacing w:before="160" w:after="0" w:line="360" w:lineRule="auto"/>
        <w:jc w:val="both"/>
        <w:rPr>
          <w:rFonts w:ascii="Tahoma" w:eastAsia="Times New Roman" w:hAnsi="Tahoma" w:cs="Tahoma"/>
          <w:sz w:val="24"/>
          <w:szCs w:val="24"/>
        </w:rPr>
      </w:pPr>
      <w:r w:rsidRPr="004D1AE2">
        <w:rPr>
          <w:rFonts w:ascii="Tahoma" w:eastAsia="Times New Roman" w:hAnsi="Tahoma" w:cs="Tahoma"/>
          <w:sz w:val="24"/>
          <w:szCs w:val="24"/>
        </w:rPr>
        <w:t>Au niveau des forêts, environ 8 % des plantes, 5 % des animaux et 5 % des champignons sont officiellement reconnus comme étant en danger critique d’extinction</w:t>
      </w:r>
      <w:r w:rsidRPr="004D1AE2">
        <w:rPr>
          <w:rFonts w:ascii="Tahoma" w:eastAsia="Times New Roman" w:hAnsi="Tahoma" w:cs="Tahoma"/>
          <w:sz w:val="24"/>
          <w:szCs w:val="24"/>
          <w:vertAlign w:val="superscript"/>
        </w:rPr>
        <w:footnoteReference w:id="20"/>
      </w:r>
      <w:r w:rsidRPr="004D1AE2">
        <w:rPr>
          <w:rFonts w:ascii="Tahoma" w:eastAsia="Times New Roman" w:hAnsi="Tahoma" w:cs="Tahoma"/>
          <w:sz w:val="24"/>
          <w:szCs w:val="24"/>
        </w:rPr>
        <w:t>. Il convient également de souligner que l’indice des espèces spécialistes des milieux forestiers, regroupant 455 populations de 268 mammifères, amphibiens, reptiles et oiseaux, a enregistré un déclin de près de 53 % entre 1970 et 2014, ce qui correspond à un taux annuel de perte de 1,7 %. Ces données statistiques illustrent clairement la nécessité d’intensifier les efforts de conservation</w:t>
      </w:r>
      <w:r w:rsidRPr="004D1AE2">
        <w:rPr>
          <w:rFonts w:ascii="Tahoma" w:eastAsia="Times New Roman" w:hAnsi="Tahoma" w:cs="Tahoma"/>
          <w:sz w:val="24"/>
          <w:szCs w:val="24"/>
          <w:vertAlign w:val="superscript"/>
        </w:rPr>
        <w:footnoteReference w:id="21"/>
      </w:r>
      <w:r w:rsidRPr="004D1AE2">
        <w:rPr>
          <w:rFonts w:ascii="Tahoma" w:eastAsia="Times New Roman" w:hAnsi="Tahoma" w:cs="Tahoma"/>
          <w:spacing w:val="-20"/>
          <w:sz w:val="24"/>
          <w:szCs w:val="24"/>
        </w:rPr>
        <w:t xml:space="preserve">. </w:t>
      </w:r>
    </w:p>
    <w:p w:rsidR="008018BA" w:rsidRPr="000A7532" w:rsidRDefault="008018BA" w:rsidP="008018BA">
      <w:pPr>
        <w:widowControl w:val="0"/>
        <w:autoSpaceDE w:val="0"/>
        <w:autoSpaceDN w:val="0"/>
        <w:spacing w:before="160" w:after="0" w:line="360" w:lineRule="auto"/>
        <w:jc w:val="both"/>
        <w:rPr>
          <w:rFonts w:ascii="Tahoma" w:eastAsia="Times New Roman" w:hAnsi="Tahoma" w:cs="Tahoma"/>
          <w:sz w:val="24"/>
          <w:szCs w:val="24"/>
        </w:rPr>
      </w:pPr>
      <w:r w:rsidRPr="00A97BF0">
        <w:rPr>
          <w:rFonts w:ascii="Tahoma" w:eastAsia="Times New Roman" w:hAnsi="Tahoma" w:cs="Tahoma"/>
          <w:sz w:val="24"/>
          <w:szCs w:val="24"/>
        </w:rPr>
        <w:t xml:space="preserve">Le </w:t>
      </w:r>
      <w:r>
        <w:rPr>
          <w:rFonts w:ascii="Tahoma" w:eastAsia="Times New Roman" w:hAnsi="Tahoma" w:cs="Tahoma"/>
          <w:sz w:val="24"/>
          <w:szCs w:val="24"/>
        </w:rPr>
        <w:t>World Resources Institute (WRI)</w:t>
      </w:r>
      <w:r w:rsidRPr="000A7532">
        <w:rPr>
          <w:rFonts w:ascii="Tahoma" w:eastAsia="Times New Roman" w:hAnsi="Tahoma" w:cs="Tahoma"/>
          <w:sz w:val="24"/>
          <w:szCs w:val="24"/>
          <w:vertAlign w:val="superscript"/>
        </w:rPr>
        <w:footnoteReference w:id="22"/>
      </w:r>
      <w:r w:rsidRPr="000A7532">
        <w:rPr>
          <w:rFonts w:ascii="Tahoma" w:eastAsia="Times New Roman" w:hAnsi="Tahoma" w:cs="Tahoma"/>
          <w:sz w:val="24"/>
          <w:szCs w:val="24"/>
        </w:rPr>
        <w:t xml:space="preserve"> </w:t>
      </w:r>
      <w:r w:rsidRPr="004D1AE2">
        <w:rPr>
          <w:rFonts w:ascii="Tahoma" w:eastAsia="Times New Roman" w:hAnsi="Tahoma" w:cs="Tahoma"/>
          <w:sz w:val="24"/>
          <w:szCs w:val="24"/>
        </w:rPr>
        <w:t xml:space="preserve">rapporte que près de 80 % de la couverture forestière mondiale originelle a été dégradée au cours des trois dernières décennies. Entre 2000 et 2005, une perte moyenne annuelle d’environ 7,3 millions d’hectares a été enregistrée, compromettant ainsi la résilience des écosystèmes forestiers et rendant plus </w:t>
      </w:r>
      <w:r w:rsidRPr="004D1AE2">
        <w:rPr>
          <w:rFonts w:ascii="Tahoma" w:eastAsia="Times New Roman" w:hAnsi="Tahoma" w:cs="Tahoma"/>
          <w:sz w:val="24"/>
          <w:szCs w:val="24"/>
        </w:rPr>
        <w:lastRenderedPageBreak/>
        <w:t>difficile leur adaptation aux changements environnementaux. Par ailleurs, 96 % des opérations de déforestation observées entre 1990 et 2000 ont été concentrées dans les régi</w:t>
      </w:r>
      <w:r>
        <w:rPr>
          <w:rFonts w:ascii="Tahoma" w:eastAsia="Times New Roman" w:hAnsi="Tahoma" w:cs="Tahoma"/>
          <w:sz w:val="24"/>
          <w:szCs w:val="24"/>
        </w:rPr>
        <w:t>ons tropicales et subtropicales</w:t>
      </w:r>
      <w:r w:rsidRPr="000A7532">
        <w:rPr>
          <w:rFonts w:ascii="Tahoma" w:eastAsia="Times New Roman" w:hAnsi="Tahoma" w:cs="Tahoma"/>
          <w:sz w:val="24"/>
          <w:szCs w:val="24"/>
          <w:vertAlign w:val="superscript"/>
        </w:rPr>
        <w:footnoteReference w:id="23"/>
      </w:r>
      <w:r>
        <w:rPr>
          <w:rFonts w:ascii="Tahoma" w:eastAsia="Times New Roman" w:hAnsi="Tahoma" w:cs="Tahoma"/>
          <w:sz w:val="24"/>
          <w:szCs w:val="24"/>
        </w:rPr>
        <w:t>.</w:t>
      </w:r>
      <w:r w:rsidRPr="000A7532">
        <w:rPr>
          <w:rFonts w:ascii="Tahoma" w:eastAsia="Times New Roman" w:hAnsi="Tahoma" w:cs="Tahoma"/>
          <w:sz w:val="24"/>
          <w:szCs w:val="24"/>
        </w:rPr>
        <w:t xml:space="preserve"> </w:t>
      </w:r>
    </w:p>
    <w:p w:rsidR="008018BA" w:rsidRPr="00421A48" w:rsidRDefault="008018BA" w:rsidP="008018BA">
      <w:pPr>
        <w:widowControl w:val="0"/>
        <w:autoSpaceDE w:val="0"/>
        <w:autoSpaceDN w:val="0"/>
        <w:spacing w:before="74" w:after="0" w:line="360" w:lineRule="auto"/>
        <w:jc w:val="both"/>
        <w:rPr>
          <w:rFonts w:ascii="Tahoma" w:hAnsi="Tahoma" w:cs="Tahoma"/>
          <w:sz w:val="24"/>
          <w:szCs w:val="24"/>
        </w:rPr>
      </w:pPr>
      <w:r w:rsidRPr="00A97BF0">
        <w:rPr>
          <w:rFonts w:ascii="Tahoma" w:eastAsia="Times New Roman" w:hAnsi="Tahoma" w:cs="Tahoma"/>
          <w:sz w:val="24"/>
          <w:szCs w:val="24"/>
        </w:rPr>
        <w:t xml:space="preserve">Les grandes régions forestières mondiales, souvent qualifiées de « poumons écologiques » de la planète, telles que le bassin du Congo en Afrique ou la région amazonienne en Amérique latine, sont confrontées à des conditions socio-économiques marquées par la pauvreté. Cette situation favorise une surexploitation des ressources forestières, lesquelles constituent la principale source de revenus pour ces États. Ce constat expose ainsi ces écosystèmes à un risque accru de disparition de nombreuses espèces. Par ailleurs, les tendances négatives actuellement observées en matière de biodiversité et de santé des écosystèmes représentent des obstacles significatifs à la réalisation des </w:t>
      </w:r>
      <w:r w:rsidRPr="00421A48">
        <w:rPr>
          <w:rFonts w:ascii="Tahoma" w:eastAsia="Times New Roman" w:hAnsi="Tahoma" w:cs="Tahoma"/>
          <w:sz w:val="24"/>
          <w:szCs w:val="24"/>
        </w:rPr>
        <w:t>Objectifs de Développement Durable (ODD)</w:t>
      </w:r>
      <w:r w:rsidRPr="00421A48">
        <w:rPr>
          <w:rFonts w:ascii="Tahoma" w:eastAsia="Times New Roman" w:hAnsi="Tahoma" w:cs="Tahoma"/>
          <w:sz w:val="24"/>
          <w:szCs w:val="24"/>
          <w:vertAlign w:val="superscript"/>
        </w:rPr>
        <w:footnoteReference w:id="24"/>
      </w:r>
      <w:r w:rsidRPr="00421A48">
        <w:rPr>
          <w:rFonts w:ascii="Tahoma" w:eastAsia="Times New Roman" w:hAnsi="Tahoma" w:cs="Tahoma"/>
          <w:sz w:val="24"/>
          <w:szCs w:val="24"/>
        </w:rPr>
        <w:t xml:space="preserve"> . </w:t>
      </w:r>
      <w:r w:rsidRPr="00421A48">
        <w:rPr>
          <w:rFonts w:ascii="Tahoma" w:hAnsi="Tahoma" w:cs="Tahoma"/>
          <w:sz w:val="24"/>
          <w:szCs w:val="24"/>
        </w:rPr>
        <w:t>Dans ce contexte, l’objectif fixé par le Plan stratégique des Nations Unies sur les forêts (ONU, 2017a), visant une augmentation de 3 % de la superficie forestière mondiale d’ici 2030, apparaît de plus en plus difficile à atteindre, au regard de l’intensification des défis qui se posent.</w:t>
      </w:r>
    </w:p>
    <w:p w:rsidR="008018BA" w:rsidRDefault="008018BA" w:rsidP="008018BA">
      <w:pPr>
        <w:widowControl w:val="0"/>
        <w:autoSpaceDE w:val="0"/>
        <w:autoSpaceDN w:val="0"/>
        <w:spacing w:before="160" w:after="0" w:line="360" w:lineRule="auto"/>
        <w:jc w:val="both"/>
        <w:rPr>
          <w:rFonts w:ascii="Tahoma" w:eastAsia="Times New Roman" w:hAnsi="Tahoma" w:cs="Tahoma"/>
          <w:sz w:val="24"/>
          <w:szCs w:val="24"/>
        </w:rPr>
      </w:pPr>
      <w:r w:rsidRPr="00DE3643">
        <w:rPr>
          <w:rFonts w:ascii="Tahoma" w:eastAsia="Times New Roman" w:hAnsi="Tahoma" w:cs="Tahoma"/>
          <w:noProof/>
          <w:sz w:val="24"/>
          <w:szCs w:val="24"/>
          <w:lang w:eastAsia="fr-FR"/>
        </w:rPr>
        <mc:AlternateContent>
          <mc:Choice Requires="wps">
            <w:drawing>
              <wp:anchor distT="0" distB="0" distL="114300" distR="114300" simplePos="0" relativeHeight="251770880" behindDoc="1" locked="0" layoutInCell="1" allowOverlap="1" wp14:anchorId="2F51554E" wp14:editId="5E426568">
                <wp:simplePos x="0" y="0"/>
                <wp:positionH relativeFrom="page">
                  <wp:posOffset>4946650</wp:posOffset>
                </wp:positionH>
                <wp:positionV relativeFrom="paragraph">
                  <wp:posOffset>422275</wp:posOffset>
                </wp:positionV>
                <wp:extent cx="25400" cy="112395"/>
                <wp:effectExtent l="0" t="0" r="0" b="0"/>
                <wp:wrapNone/>
                <wp:docPr id="4" name="Text Box 4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400" cy="1123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3519B" w:rsidRDefault="0083519B" w:rsidP="008018BA">
                            <w:pPr>
                              <w:spacing w:line="177" w:lineRule="exact"/>
                              <w:rPr>
                                <w:sz w:val="16"/>
                              </w:rPr>
                            </w:pPr>
                            <w:r>
                              <w:rPr>
                                <w:w w:val="99"/>
                                <w:sz w:val="16"/>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F51554E" id="_x0000_t202" coordsize="21600,21600" o:spt="202" path="m,l,21600r21600,l21600,xe">
                <v:stroke joinstyle="miter"/>
                <v:path gradientshapeok="t" o:connecttype="rect"/>
              </v:shapetype>
              <v:shape id="Text Box 417" o:spid="_x0000_s1027" type="#_x0000_t202" style="position:absolute;left:0;text-align:left;margin-left:389.5pt;margin-top:33.25pt;width:2pt;height:8.85pt;z-index:-2515456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" filled="f" stroked="f">
                <v:textbox inset="0,0,0,0">
                  <w:txbxContent>
                    <w:p w:rsidR="0083519B" w:rsidRDefault="0083519B" w:rsidP="008018BA">
                      <w:pPr>
                        <w:spacing w:line="177" w:lineRule="exact"/>
                        <w:rPr>
                          <w:sz w:val="16"/>
                        </w:rPr>
                      </w:pPr>
                      <w:r>
                        <w:rPr>
                          <w:w w:val="99"/>
                          <w:sz w:val="16"/>
                        </w:rPr>
                        <w:t>.</w:t>
                      </w:r>
                    </w:p>
                  </w:txbxContent>
                </v:textbox>
                <w10:wrap anchorx="page"/>
              </v:shape>
            </w:pict>
          </mc:Fallback>
        </mc:AlternateContent>
      </w:r>
      <w:r w:rsidRPr="00DE3643">
        <w:rPr>
          <w:rFonts w:ascii="Tahoma" w:eastAsia="Times New Roman" w:hAnsi="Tahoma" w:cs="Tahoma"/>
          <w:sz w:val="24"/>
          <w:szCs w:val="24"/>
        </w:rPr>
        <w:t>Dans ce même ordre d’idées, les estimations récentes du W</w:t>
      </w:r>
      <w:r>
        <w:rPr>
          <w:rFonts w:ascii="Tahoma" w:eastAsia="Times New Roman" w:hAnsi="Tahoma" w:cs="Tahoma"/>
          <w:sz w:val="24"/>
          <w:szCs w:val="24"/>
        </w:rPr>
        <w:t>orld Wide Fund for Nature (WWF)</w:t>
      </w:r>
      <w:r w:rsidRPr="00DE3643">
        <w:rPr>
          <w:rFonts w:ascii="Times New Roman" w:eastAsia="Times New Roman" w:hAnsi="Times New Roman" w:cs="Times New Roman"/>
          <w:sz w:val="24"/>
          <w:szCs w:val="24"/>
          <w:vertAlign w:val="superscript"/>
        </w:rPr>
        <w:footnoteReference w:id="25"/>
      </w:r>
      <w:r w:rsidRPr="00DE3643">
        <w:rPr>
          <w:rFonts w:ascii="Tahoma" w:eastAsia="Times New Roman" w:hAnsi="Tahoma" w:cs="Tahoma"/>
          <w:sz w:val="24"/>
          <w:szCs w:val="24"/>
        </w:rPr>
        <w:t xml:space="preserve"> indiquent que la biodiversité mondiale a diminué de près de moitié au cours des quatre dernières décennies</w:t>
      </w:r>
      <w:r w:rsidRPr="00DE3643">
        <w:rPr>
          <w:rFonts w:ascii="Tahoma" w:eastAsia="Times New Roman" w:hAnsi="Tahoma" w:cs="Tahoma"/>
          <w:sz w:val="24"/>
          <w:szCs w:val="24"/>
          <w:vertAlign w:val="superscript"/>
        </w:rPr>
        <w:footnoteReference w:id="26"/>
      </w:r>
      <w:r w:rsidRPr="00DE3643">
        <w:rPr>
          <w:rFonts w:ascii="Tahoma" w:eastAsia="Times New Roman" w:hAnsi="Tahoma" w:cs="Tahoma"/>
          <w:sz w:val="24"/>
          <w:szCs w:val="24"/>
        </w:rPr>
        <w:t>.</w:t>
      </w:r>
    </w:p>
    <w:p w:rsidR="008018BA" w:rsidRPr="00DE3643" w:rsidRDefault="008018BA" w:rsidP="008018BA">
      <w:pPr>
        <w:widowControl w:val="0"/>
        <w:autoSpaceDE w:val="0"/>
        <w:autoSpaceDN w:val="0"/>
        <w:spacing w:before="160" w:after="0" w:line="360" w:lineRule="auto"/>
        <w:jc w:val="both"/>
        <w:rPr>
          <w:rFonts w:ascii="Tahoma" w:eastAsia="Times New Roman" w:hAnsi="Tahoma" w:cs="Tahoma"/>
          <w:sz w:val="24"/>
          <w:szCs w:val="24"/>
        </w:rPr>
      </w:pPr>
      <w:r w:rsidRPr="00DE3643">
        <w:rPr>
          <w:rFonts w:ascii="Tahoma" w:eastAsia="Times New Roman" w:hAnsi="Tahoma" w:cs="Tahoma"/>
          <w:sz w:val="24"/>
          <w:szCs w:val="24"/>
        </w:rPr>
        <w:t>Cette érosion préoccupante de la diversité biologique est exacerbée par plusieurs facteurs directs de dégradation des forêts, parmi lesquels figurent les maladies parasitaires, la pollution issue des pays industrialisés, les incendies de forêt intensifiés par des épisodes de sécheresse e</w:t>
      </w:r>
      <w:r>
        <w:rPr>
          <w:rFonts w:ascii="Tahoma" w:eastAsia="Times New Roman" w:hAnsi="Tahoma" w:cs="Tahoma"/>
          <w:sz w:val="24"/>
          <w:szCs w:val="24"/>
        </w:rPr>
        <w:t>xtrême, ainsi que la pauvreté -</w:t>
      </w:r>
      <w:r w:rsidRPr="00DE3643">
        <w:rPr>
          <w:rFonts w:ascii="Tahoma" w:eastAsia="Times New Roman" w:hAnsi="Tahoma" w:cs="Tahoma"/>
          <w:sz w:val="24"/>
          <w:szCs w:val="24"/>
        </w:rPr>
        <w:t>en particulier l’utilisation du bois comme source principale d’énergie pour la cuisson et le chauffage</w:t>
      </w:r>
      <w:r>
        <w:rPr>
          <w:rFonts w:ascii="Tahoma" w:eastAsia="Times New Roman" w:hAnsi="Tahoma" w:cs="Tahoma"/>
          <w:sz w:val="24"/>
          <w:szCs w:val="24"/>
        </w:rPr>
        <w:t>-</w:t>
      </w:r>
      <w:r w:rsidRPr="00DE3643">
        <w:rPr>
          <w:rFonts w:ascii="Tahoma" w:eastAsia="Times New Roman" w:hAnsi="Tahoma" w:cs="Tahoma"/>
          <w:sz w:val="24"/>
          <w:szCs w:val="24"/>
        </w:rPr>
        <w:t>. À cela s’ajoutent le surpâturage et la surexploitation commerciale des essences tropicales.</w:t>
      </w:r>
    </w:p>
    <w:p w:rsidR="008018BA" w:rsidRDefault="008018BA" w:rsidP="008018BA">
      <w:pPr>
        <w:widowControl w:val="0"/>
        <w:autoSpaceDE w:val="0"/>
        <w:autoSpaceDN w:val="0"/>
        <w:spacing w:before="160" w:after="0" w:line="360" w:lineRule="auto"/>
        <w:jc w:val="both"/>
        <w:rPr>
          <w:rFonts w:ascii="Tahoma" w:eastAsia="Times New Roman" w:hAnsi="Tahoma" w:cs="Tahoma"/>
          <w:sz w:val="24"/>
          <w:szCs w:val="24"/>
        </w:rPr>
      </w:pPr>
      <w:r w:rsidRPr="00DE3643">
        <w:rPr>
          <w:rFonts w:ascii="Tahoma" w:eastAsia="Times New Roman" w:hAnsi="Tahoma" w:cs="Tahoma"/>
          <w:sz w:val="24"/>
          <w:szCs w:val="24"/>
        </w:rPr>
        <w:lastRenderedPageBreak/>
        <w:t>Cette situation soulève des interrogations quant à la représentation de la forêt comme un « monde non marchand », telle que formulée par la sociologue Nicole Eisner. En effet, dans un contexte global dominé par l’économie de marché, les forêts apparaissent de plus en plus soumises à des logiques d’exploitation économique intensifiée, remettant en question leur caractère symbolique et leur fonction non marchande.</w:t>
      </w:r>
    </w:p>
    <w:p w:rsidR="008018BA" w:rsidRPr="00DE3643" w:rsidRDefault="008018BA" w:rsidP="008018BA">
      <w:pPr>
        <w:widowControl w:val="0"/>
        <w:autoSpaceDE w:val="0"/>
        <w:autoSpaceDN w:val="0"/>
        <w:spacing w:before="160" w:after="0" w:line="360" w:lineRule="auto"/>
        <w:jc w:val="both"/>
        <w:rPr>
          <w:rFonts w:ascii="Tahoma" w:hAnsi="Tahoma" w:cs="Tahoma"/>
          <w:sz w:val="24"/>
          <w:szCs w:val="24"/>
        </w:rPr>
      </w:pPr>
      <w:r w:rsidRPr="00DE3643">
        <w:rPr>
          <w:rFonts w:ascii="Tahoma" w:eastAsia="Times New Roman" w:hAnsi="Tahoma" w:cs="Tahoma"/>
          <w:sz w:val="24"/>
          <w:szCs w:val="24"/>
        </w:rPr>
        <w:t xml:space="preserve">Par ailleurs, le rapport sur la Situation des Forêts du Monde de 2020 (SOFO, 2020) </w:t>
      </w:r>
      <w:r w:rsidRPr="00DE3643">
        <w:rPr>
          <w:rFonts w:ascii="Tahoma" w:eastAsia="Times New Roman" w:hAnsi="Tahoma" w:cs="Tahoma"/>
          <w:sz w:val="24"/>
          <w:szCs w:val="24"/>
          <w:vertAlign w:val="superscript"/>
        </w:rPr>
        <w:footnoteReference w:id="27"/>
      </w:r>
      <w:r w:rsidRPr="00DE3643">
        <w:rPr>
          <w:rFonts w:ascii="Tahoma" w:eastAsia="Times New Roman" w:hAnsi="Tahoma" w:cs="Tahoma"/>
          <w:sz w:val="24"/>
          <w:szCs w:val="24"/>
        </w:rPr>
        <w:t xml:space="preserve"> </w:t>
      </w:r>
      <w:r w:rsidRPr="00DE3643">
        <w:rPr>
          <w:rFonts w:ascii="Tahoma" w:hAnsi="Tahoma" w:cs="Tahoma"/>
          <w:sz w:val="24"/>
          <w:szCs w:val="24"/>
        </w:rPr>
        <w:t>met en exergue l’émergence de nouvelles sources de déforestation, parmi lesquelles le développement des biocarburants occupe une place centrale. Bien que ces derniers soient présentés comme des leviers potentiels pour atténuer le changement climatique, ils contribuent paradoxalement à l’accélération de la déforestation des forêts naturelles et à la destruction de la biodiversité, notamment en raison de la multiplication des monocultures génétiquement modifiées. Les plantations de palmiers à huile en Asie du Sud-Est, la production de soja destinée à l’alimentation animale, ainsi que la culture de la canne à sucre pour la fabrication</w:t>
      </w:r>
      <w:r>
        <w:rPr>
          <w:rFonts w:ascii="Tahoma" w:hAnsi="Tahoma" w:cs="Tahoma"/>
          <w:sz w:val="24"/>
          <w:szCs w:val="24"/>
        </w:rPr>
        <w:t xml:space="preserve"> d’éthanol en Amérique du Sud - </w:t>
      </w:r>
      <w:r w:rsidRPr="00DE3643">
        <w:rPr>
          <w:rFonts w:ascii="Tahoma" w:hAnsi="Tahoma" w:cs="Tahoma"/>
          <w:sz w:val="24"/>
          <w:szCs w:val="24"/>
        </w:rPr>
        <w:t>notamment au Bré</w:t>
      </w:r>
      <w:r>
        <w:rPr>
          <w:rFonts w:ascii="Tahoma" w:hAnsi="Tahoma" w:cs="Tahoma"/>
          <w:sz w:val="24"/>
          <w:szCs w:val="24"/>
        </w:rPr>
        <w:t>sil, en Bolivie et au Paraguay -</w:t>
      </w:r>
      <w:r w:rsidRPr="00DE3643">
        <w:rPr>
          <w:rFonts w:ascii="Tahoma" w:hAnsi="Tahoma" w:cs="Tahoma"/>
          <w:sz w:val="24"/>
          <w:szCs w:val="24"/>
        </w:rPr>
        <w:t xml:space="preserve"> figurent parmi les principaux facteurs responsables de cette dynamique.</w:t>
      </w:r>
    </w:p>
    <w:p w:rsidR="008018BA" w:rsidRPr="000A7532" w:rsidRDefault="008018BA" w:rsidP="008018BA">
      <w:pPr>
        <w:pStyle w:val="NormalWeb"/>
        <w:spacing w:line="360" w:lineRule="auto"/>
        <w:jc w:val="both"/>
        <w:rPr>
          <w:rFonts w:ascii="Tahoma" w:hAnsi="Tahoma" w:cs="Tahoma"/>
        </w:rPr>
      </w:pPr>
      <w:r w:rsidRPr="00DE3643">
        <w:rPr>
          <w:rFonts w:ascii="Tahoma" w:hAnsi="Tahoma" w:cs="Tahoma"/>
        </w:rPr>
        <w:t>En outre, la production intensive de caoutchouc, de café, de sucre, de poivre, de cacao, de bananes, de tabac et de coca a profondément modifié les écosystèmes forestiers tropicaux. Dès lors, il apparaît crucial de s’interroger sur les moyens de lutter efficacement contre cette déforestation croissante et de concevoir des stratégies intégrées de développement soutenable et de conservation adaptées aux spécificités régionales.</w:t>
      </w:r>
    </w:p>
    <w:p w:rsidR="008018BA" w:rsidRDefault="008018BA" w:rsidP="008018BA">
      <w:pPr>
        <w:widowControl w:val="0"/>
        <w:autoSpaceDE w:val="0"/>
        <w:autoSpaceDN w:val="0"/>
        <w:spacing w:before="1" w:after="0" w:line="360" w:lineRule="auto"/>
        <w:jc w:val="both"/>
        <w:rPr>
          <w:rFonts w:ascii="Tahoma" w:eastAsia="Times New Roman" w:hAnsi="Tahoma" w:cs="Tahoma"/>
          <w:sz w:val="24"/>
          <w:szCs w:val="24"/>
        </w:rPr>
      </w:pPr>
      <w:r w:rsidRPr="003E1584">
        <w:rPr>
          <w:rFonts w:ascii="Tahoma" w:eastAsia="Times New Roman" w:hAnsi="Tahoma" w:cs="Tahoma"/>
          <w:sz w:val="24"/>
          <w:szCs w:val="24"/>
        </w:rPr>
        <w:t>Il y a treize ans, plus de trente pays d’Afrique, d’Amérique et d’Asie du Sud-Est, situés au sein des bassins du Congo, de l’Amazonie et du Bornéo-Mékong, ont organisé le Sommet sur les Trois Bassins Forestiers Tropicaux. Ces bassins représentent près de 80 % de la couverture végétale mondiale, abritent environ les trois quarts de la biodiversité terrestre ainsi que plus de 1,5 milliard de personnes</w:t>
      </w:r>
      <w:r w:rsidRPr="000A7532">
        <w:rPr>
          <w:rFonts w:ascii="Tahoma" w:eastAsia="Times New Roman" w:hAnsi="Tahoma" w:cs="Tahoma"/>
          <w:sz w:val="24"/>
          <w:szCs w:val="24"/>
          <w:vertAlign w:val="superscript"/>
        </w:rPr>
        <w:footnoteReference w:id="28"/>
      </w:r>
      <w:r w:rsidRPr="000A7532">
        <w:rPr>
          <w:rFonts w:ascii="Tahoma" w:eastAsia="Times New Roman" w:hAnsi="Tahoma" w:cs="Tahoma"/>
          <w:sz w:val="24"/>
          <w:szCs w:val="24"/>
        </w:rPr>
        <w:t xml:space="preserve">. </w:t>
      </w:r>
      <w:r w:rsidRPr="003E1584">
        <w:rPr>
          <w:rFonts w:ascii="Tahoma" w:eastAsia="Times New Roman" w:hAnsi="Tahoma" w:cs="Tahoma"/>
          <w:sz w:val="24"/>
          <w:szCs w:val="24"/>
        </w:rPr>
        <w:t xml:space="preserve">L’objectif principal de ce sommet consistait </w:t>
      </w:r>
      <w:r w:rsidRPr="003E1584">
        <w:rPr>
          <w:rFonts w:ascii="Tahoma" w:eastAsia="Times New Roman" w:hAnsi="Tahoma" w:cs="Tahoma"/>
          <w:sz w:val="24"/>
          <w:szCs w:val="24"/>
        </w:rPr>
        <w:lastRenderedPageBreak/>
        <w:t>à élaborer une stratégie commune de conservation de ce patrimoine forestier face à l’accélération de la déforestation et à l’intensification du changement climatique.</w:t>
      </w:r>
    </w:p>
    <w:p w:rsidR="008018BA" w:rsidRPr="00DE3643" w:rsidRDefault="008018BA" w:rsidP="008018BA">
      <w:pPr>
        <w:widowControl w:val="0"/>
        <w:autoSpaceDE w:val="0"/>
        <w:autoSpaceDN w:val="0"/>
        <w:spacing w:after="0" w:line="360" w:lineRule="auto"/>
        <w:jc w:val="both"/>
        <w:rPr>
          <w:rFonts w:ascii="Tahoma" w:eastAsia="Times New Roman" w:hAnsi="Tahoma" w:cs="Tahoma"/>
          <w:sz w:val="24"/>
          <w:szCs w:val="24"/>
          <w:lang w:eastAsia="fr-FR"/>
        </w:rPr>
      </w:pPr>
      <w:r w:rsidRPr="004F50D5">
        <w:rPr>
          <w:rFonts w:ascii="Tahoma" w:eastAsia="Times New Roman" w:hAnsi="Tahoma" w:cs="Tahoma"/>
          <w:sz w:val="24"/>
          <w:szCs w:val="24"/>
        </w:rPr>
        <w:t>Dans cette perspective, le rapport publié par la Forest Declaration Assessment (FDA) en octobre 2023 révèle que le monde a perdu 6,6 millions d’hectares de forêts en 2022, soit une superficie comparable à celle d’un pays comme la Sierra Leone</w:t>
      </w:r>
      <w:r w:rsidRPr="004F50D5">
        <w:rPr>
          <w:rFonts w:ascii="Tahoma" w:eastAsia="Times New Roman" w:hAnsi="Tahoma" w:cs="Tahoma"/>
          <w:sz w:val="24"/>
          <w:szCs w:val="24"/>
          <w:vertAlign w:val="superscript"/>
        </w:rPr>
        <w:footnoteReference w:id="29"/>
      </w:r>
      <w:r w:rsidRPr="004F50D5">
        <w:rPr>
          <w:rFonts w:ascii="Tahoma" w:eastAsia="Times New Roman" w:hAnsi="Tahoma" w:cs="Tahoma"/>
          <w:sz w:val="24"/>
          <w:szCs w:val="24"/>
        </w:rPr>
        <w:t xml:space="preserve">. </w:t>
      </w:r>
      <w:r w:rsidRPr="00DE3643">
        <w:rPr>
          <w:rFonts w:ascii="Tahoma" w:eastAsia="Times New Roman" w:hAnsi="Tahoma" w:cs="Tahoma"/>
          <w:sz w:val="24"/>
          <w:szCs w:val="24"/>
          <w:lang w:eastAsia="fr-FR"/>
        </w:rPr>
        <w:t>Ce constat soulève d’importantes interrogations quant à l’efficacité du deuxième Sommet des Trois Bassins, tenu à Brazzaville du 26 au 28 octobre 2023. Dans quelle mesure les pays organisateurs ont-ils réussi à instaurer une alliance mondiale véritable, favorisant une coopération Nord-Sud efficiente et consolidant un front uni lors des négociations internationales en faveur de la protection des forêts ?</w:t>
      </w:r>
    </w:p>
    <w:p w:rsidR="008018BA" w:rsidRPr="00F9262A" w:rsidRDefault="008018BA" w:rsidP="008018BA">
      <w:pPr>
        <w:widowControl w:val="0"/>
        <w:autoSpaceDE w:val="0"/>
        <w:autoSpaceDN w:val="0"/>
        <w:spacing w:before="74" w:after="0" w:line="360" w:lineRule="auto"/>
        <w:jc w:val="both"/>
        <w:rPr>
          <w:rFonts w:ascii="Tahoma" w:hAnsi="Tahoma" w:cs="Tahoma"/>
          <w:sz w:val="24"/>
          <w:szCs w:val="24"/>
        </w:rPr>
      </w:pPr>
      <w:r w:rsidRPr="00F9262A">
        <w:rPr>
          <w:rFonts w:ascii="Tahoma" w:eastAsia="Times New Roman" w:hAnsi="Tahoma" w:cs="Tahoma"/>
          <w:sz w:val="24"/>
          <w:szCs w:val="24"/>
        </w:rPr>
        <w:t>Les forêts constituent des écosystèmes essentiels pour des centaines de millions de personnes à travers le monde, fournissant des services vitaux tels que l’abri, la nourriture, les médicaments, le chauffage, le fourrage, l’eau ainsi que des espaces récréatifs</w:t>
      </w:r>
      <w:r w:rsidRPr="00F9262A">
        <w:rPr>
          <w:rFonts w:ascii="Tahoma" w:eastAsia="Times New Roman" w:hAnsi="Tahoma" w:cs="Tahoma"/>
          <w:sz w:val="24"/>
          <w:szCs w:val="24"/>
          <w:vertAlign w:val="superscript"/>
        </w:rPr>
        <w:footnoteReference w:id="30"/>
      </w:r>
      <w:r w:rsidRPr="00F9262A">
        <w:rPr>
          <w:rFonts w:ascii="Tahoma" w:eastAsia="Times New Roman" w:hAnsi="Tahoma" w:cs="Tahoma"/>
          <w:sz w:val="24"/>
          <w:szCs w:val="24"/>
        </w:rPr>
        <w:t xml:space="preserve">. </w:t>
      </w:r>
      <w:r w:rsidRPr="00F9262A">
        <w:rPr>
          <w:rFonts w:ascii="Tahoma" w:hAnsi="Tahoma" w:cs="Tahoma"/>
          <w:sz w:val="24"/>
          <w:szCs w:val="24"/>
        </w:rPr>
        <w:t>La pression exercée sur ces ressources naturelles s’accroît de manière continue en raison de la croissance démographique mondiale, un phénomène dont le Maroc n’est pas exempt.</w:t>
      </w:r>
    </w:p>
    <w:p w:rsidR="008018BA" w:rsidRPr="00F9262A" w:rsidRDefault="008018BA" w:rsidP="008018BA">
      <w:pPr>
        <w:widowControl w:val="0"/>
        <w:autoSpaceDE w:val="0"/>
        <w:autoSpaceDN w:val="0"/>
        <w:spacing w:before="74" w:after="0" w:line="360" w:lineRule="auto"/>
        <w:jc w:val="both"/>
        <w:rPr>
          <w:rFonts w:ascii="Tahoma" w:eastAsia="Times New Roman" w:hAnsi="Tahoma" w:cs="Tahoma"/>
          <w:sz w:val="24"/>
          <w:szCs w:val="24"/>
        </w:rPr>
      </w:pPr>
      <w:r w:rsidRPr="00F9262A">
        <w:rPr>
          <w:rFonts w:ascii="Tahoma" w:eastAsia="Times New Roman" w:hAnsi="Tahoma" w:cs="Tahoma"/>
          <w:sz w:val="24"/>
          <w:szCs w:val="24"/>
        </w:rPr>
        <w:t>Abritant près de la moitié de la biodiversité mondiale, avec environ deux tiers des espèces terrestres connues vivant dans les forêts, ces dernières jouent un rôle crucial en tant que « réservoirs » de la diversité biologique. Il convient de souligner qu'elles contribuent à la lutte contre la dégradation des terres en réduisant l’érosion des sols, ralentissant le ruissellement des eaux et atténuant les risques d'inondation et d'envasement, notamment dans les forêts des bassins versants</w:t>
      </w:r>
      <w:r w:rsidRPr="00F9262A">
        <w:rPr>
          <w:rFonts w:ascii="Tahoma" w:eastAsia="Times New Roman" w:hAnsi="Tahoma" w:cs="Tahoma"/>
          <w:sz w:val="24"/>
          <w:szCs w:val="24"/>
          <w:vertAlign w:val="superscript"/>
        </w:rPr>
        <w:footnoteReference w:id="31"/>
      </w:r>
      <w:r w:rsidRPr="00F9262A">
        <w:rPr>
          <w:rFonts w:ascii="Tahoma" w:eastAsia="Times New Roman" w:hAnsi="Tahoma" w:cs="Tahoma"/>
          <w:sz w:val="24"/>
          <w:szCs w:val="24"/>
        </w:rPr>
        <w:t xml:space="preserve">. </w:t>
      </w:r>
    </w:p>
    <w:p w:rsidR="008018BA" w:rsidRPr="000A7532" w:rsidRDefault="008018BA" w:rsidP="008018BA">
      <w:pPr>
        <w:widowControl w:val="0"/>
        <w:autoSpaceDE w:val="0"/>
        <w:autoSpaceDN w:val="0"/>
        <w:spacing w:before="74" w:after="0" w:line="360" w:lineRule="auto"/>
        <w:jc w:val="both"/>
        <w:rPr>
          <w:rFonts w:ascii="Tahoma" w:eastAsia="Times New Roman" w:hAnsi="Tahoma" w:cs="Tahoma"/>
          <w:sz w:val="24"/>
          <w:szCs w:val="24"/>
        </w:rPr>
      </w:pPr>
      <w:r w:rsidRPr="007D3402">
        <w:rPr>
          <w:rFonts w:ascii="Tahoma" w:eastAsia="Times New Roman" w:hAnsi="Tahoma" w:cs="Tahoma"/>
          <w:sz w:val="24"/>
          <w:szCs w:val="24"/>
        </w:rPr>
        <w:t xml:space="preserve">Par ailleurs, les forêts créent les conditions indispensables au maintien de la vie sur Terre en absorbant le dioxyde de carbone et en libérant de l’oxygène durant la photosynthèse. Elles jouent un rôle clé dans la régulation des gaz à effet de serre, contribuant ainsi à la </w:t>
      </w:r>
      <w:r w:rsidRPr="007D3402">
        <w:rPr>
          <w:rFonts w:ascii="Tahoma" w:eastAsia="Times New Roman" w:hAnsi="Tahoma" w:cs="Tahoma"/>
          <w:sz w:val="24"/>
          <w:szCs w:val="24"/>
        </w:rPr>
        <w:lastRenderedPageBreak/>
        <w:t>lutte contre le réchauffement climatique. Chaque année, près de 1,1 gigatonne (Gt) de carbone est stockée dans la biomasse forestière mondiale</w:t>
      </w:r>
      <w:r w:rsidRPr="007D3402">
        <w:rPr>
          <w:rFonts w:ascii="Tahoma" w:eastAsia="Times New Roman" w:hAnsi="Tahoma" w:cs="Tahoma"/>
          <w:sz w:val="24"/>
          <w:szCs w:val="24"/>
          <w:vertAlign w:val="superscript"/>
        </w:rPr>
        <w:footnoteReference w:id="32"/>
      </w:r>
      <w:r w:rsidRPr="007D3402">
        <w:rPr>
          <w:rFonts w:ascii="Tahoma" w:eastAsia="Times New Roman" w:hAnsi="Tahoma" w:cs="Tahoma"/>
          <w:sz w:val="24"/>
          <w:szCs w:val="24"/>
        </w:rPr>
        <w:t>.</w:t>
      </w:r>
    </w:p>
    <w:p w:rsidR="008018BA" w:rsidRDefault="008018BA" w:rsidP="008018BA">
      <w:pPr>
        <w:pStyle w:val="NormalWeb"/>
        <w:spacing w:line="360" w:lineRule="auto"/>
        <w:jc w:val="both"/>
        <w:rPr>
          <w:rFonts w:ascii="Tahoma" w:hAnsi="Tahoma" w:cs="Tahoma"/>
        </w:rPr>
      </w:pPr>
      <w:r w:rsidRPr="007D3402">
        <w:rPr>
          <w:rFonts w:ascii="Tahoma" w:hAnsi="Tahoma" w:cs="Tahoma"/>
        </w:rPr>
        <w:t xml:space="preserve">Toutefois, des données récentes indiquent que les forêts sont de plus en plus vulnérables aux effets du changement climatique, en raison de facteurs de stress abiotiques et biotiques tels que les incendies de forêt et les attaques d’organismes nuisibles. En 2023, les incendies ont libéré environ 6 687 mégatonnes de dioxyde de carbone à l’échelle mondiale, soit plus du double des émissions provenant de </w:t>
      </w:r>
      <w:r w:rsidRPr="000971FC">
        <w:rPr>
          <w:rFonts w:ascii="Tahoma" w:hAnsi="Tahoma" w:cs="Tahoma"/>
        </w:rPr>
        <w:t>la combustion des ressources fossiles au sein de l’Union européenne durant la même année</w:t>
      </w:r>
      <w:r w:rsidRPr="007D3402">
        <w:rPr>
          <w:rFonts w:ascii="Tahoma" w:hAnsi="Tahoma" w:cs="Tahoma"/>
        </w:rPr>
        <w:t>. Aux États-Unis, les projections estiment qu’à l’horizon 2027, 25 millions d’hectares de terres forestières pourraient subir une perte supérieure à 20 % de la surface de leurs arbres hôtes, en raison des insectes et des maladies.</w:t>
      </w:r>
    </w:p>
    <w:p w:rsidR="008018BA" w:rsidRDefault="008018BA" w:rsidP="008018BA">
      <w:pPr>
        <w:widowControl w:val="0"/>
        <w:autoSpaceDE w:val="0"/>
        <w:autoSpaceDN w:val="0"/>
        <w:spacing w:before="74" w:after="0" w:line="360" w:lineRule="auto"/>
        <w:jc w:val="both"/>
        <w:rPr>
          <w:rFonts w:ascii="Tahoma" w:eastAsia="Times New Roman" w:hAnsi="Tahoma" w:cs="Tahoma"/>
          <w:sz w:val="24"/>
          <w:szCs w:val="24"/>
          <w:lang w:eastAsia="fr-FR"/>
        </w:rPr>
      </w:pPr>
      <w:r w:rsidRPr="00B451EA">
        <w:rPr>
          <w:rFonts w:ascii="Tahoma" w:eastAsia="Times New Roman" w:hAnsi="Tahoma" w:cs="Tahoma"/>
          <w:sz w:val="24"/>
          <w:szCs w:val="24"/>
          <w:lang w:eastAsia="fr-FR"/>
        </w:rPr>
        <w:t>La dégradation forestière, alimentée en grande partie par les activités anthropiques, compromet significativement le rôle crucial des forêts en tant que puits de carbone. Paradoxalement, au lieu de jouer leur rôle traditionnel de réservoir de carbone en stockant le dioxyde de carbone (CO2) et en contribuant au refroidissement de l'atmosphère, les forêts dégradées peuvent devenir des sources nettes d'émissions de gaz à effet de serre (GES). En effet, la destruction des forêts entraîne la libération de carbone stocké, contribuant ainsi de manière significative au réchauffement climatique</w:t>
      </w:r>
      <w:r w:rsidRPr="00B451EA">
        <w:rPr>
          <w:rFonts w:ascii="Tahoma" w:eastAsia="Times New Roman" w:hAnsi="Tahoma" w:cs="Tahoma"/>
          <w:sz w:val="24"/>
          <w:szCs w:val="24"/>
          <w:vertAlign w:val="superscript"/>
          <w:lang w:eastAsia="fr-FR"/>
        </w:rPr>
        <w:footnoteReference w:id="33"/>
      </w:r>
      <w:r w:rsidRPr="00B451EA">
        <w:rPr>
          <w:rFonts w:ascii="Tahoma" w:eastAsia="Times New Roman" w:hAnsi="Tahoma" w:cs="Tahoma"/>
          <w:sz w:val="24"/>
          <w:szCs w:val="24"/>
          <w:lang w:eastAsia="fr-FR"/>
        </w:rPr>
        <w:t>. Des études quantitatives ont démontré que la déforestation et la dégradation forestière sont responsables d'environ 10% des émissions mondiales de GES</w:t>
      </w:r>
      <w:r w:rsidRPr="00B451EA">
        <w:rPr>
          <w:rFonts w:ascii="Tahoma" w:eastAsia="Times New Roman" w:hAnsi="Tahoma" w:cs="Tahoma"/>
          <w:sz w:val="24"/>
          <w:szCs w:val="24"/>
          <w:vertAlign w:val="superscript"/>
          <w:lang w:eastAsia="fr-FR"/>
        </w:rPr>
        <w:footnoteReference w:id="34"/>
      </w:r>
      <w:r w:rsidRPr="00B451EA">
        <w:rPr>
          <w:rFonts w:ascii="Tahoma" w:eastAsia="Times New Roman" w:hAnsi="Tahoma" w:cs="Tahoma"/>
          <w:sz w:val="24"/>
          <w:szCs w:val="24"/>
          <w:lang w:eastAsia="fr-FR"/>
        </w:rPr>
        <w:t>.</w:t>
      </w:r>
    </w:p>
    <w:p w:rsidR="008018BA" w:rsidRPr="002F6097" w:rsidRDefault="008018BA" w:rsidP="00D051D7">
      <w:pPr>
        <w:pStyle w:val="Paragraphedeliste"/>
        <w:numPr>
          <w:ilvl w:val="0"/>
          <w:numId w:val="107"/>
        </w:numPr>
        <w:spacing w:before="74" w:line="360" w:lineRule="auto"/>
        <w:rPr>
          <w:rFonts w:ascii="Tahoma" w:hAnsi="Tahoma" w:cs="Tahoma"/>
          <w:b/>
          <w:bCs/>
          <w:color w:val="000000" w:themeColor="text1"/>
          <w:sz w:val="28"/>
          <w:szCs w:val="28"/>
          <w:lang w:eastAsia="fr-FR"/>
        </w:rPr>
      </w:pPr>
      <w:r w:rsidRPr="002F6097">
        <w:rPr>
          <w:rFonts w:ascii="Tahoma" w:hAnsi="Tahoma" w:cs="Tahoma"/>
          <w:b/>
          <w:bCs/>
          <w:color w:val="000000" w:themeColor="text1"/>
          <w:sz w:val="28"/>
          <w:szCs w:val="28"/>
          <w:lang w:eastAsia="fr-FR"/>
        </w:rPr>
        <w:t xml:space="preserve">Cadre conceptuel et contextualisation </w:t>
      </w:r>
    </w:p>
    <w:p w:rsidR="008018BA" w:rsidRDefault="008018BA" w:rsidP="008018BA">
      <w:pPr>
        <w:widowControl w:val="0"/>
        <w:autoSpaceDE w:val="0"/>
        <w:autoSpaceDN w:val="0"/>
        <w:spacing w:before="160" w:after="0" w:line="360" w:lineRule="auto"/>
        <w:jc w:val="both"/>
        <w:rPr>
          <w:rFonts w:ascii="Tahoma" w:eastAsia="Times New Roman" w:hAnsi="Tahoma" w:cs="Tahoma"/>
          <w:sz w:val="24"/>
          <w:szCs w:val="24"/>
        </w:rPr>
      </w:pPr>
      <w:r w:rsidRPr="00B451EA">
        <w:rPr>
          <w:rFonts w:ascii="Tahoma" w:eastAsia="Times New Roman" w:hAnsi="Tahoma" w:cs="Tahoma"/>
          <w:sz w:val="24"/>
          <w:szCs w:val="24"/>
          <w:lang w:eastAsia="fr-FR"/>
        </w:rPr>
        <w:t>La dégradation des forêts engendre une perte substantielle de biodiversité, mettant en</w:t>
      </w:r>
      <w:r w:rsidRPr="0033560B">
        <w:rPr>
          <w:rFonts w:ascii="Tahoma" w:eastAsia="Times New Roman" w:hAnsi="Tahoma" w:cs="Tahoma"/>
          <w:sz w:val="24"/>
          <w:szCs w:val="24"/>
          <w:lang w:eastAsia="fr-FR"/>
        </w:rPr>
        <w:t xml:space="preserve"> péril la survie de nombreuses espèces végétales et animales, et constituant ainsi une</w:t>
      </w:r>
      <w:r>
        <w:rPr>
          <w:rFonts w:ascii="Tahoma" w:eastAsia="Times New Roman" w:hAnsi="Tahoma" w:cs="Tahoma"/>
          <w:sz w:val="24"/>
          <w:szCs w:val="24"/>
          <w:lang w:eastAsia="fr-FR"/>
        </w:rPr>
        <w:t xml:space="preserve"> </w:t>
      </w:r>
      <w:r>
        <w:rPr>
          <w:rFonts w:ascii="Tahoma" w:eastAsia="Times New Roman" w:hAnsi="Tahoma" w:cs="Tahoma"/>
          <w:sz w:val="24"/>
          <w:szCs w:val="24"/>
          <w:lang w:eastAsia="fr-FR"/>
        </w:rPr>
        <w:lastRenderedPageBreak/>
        <w:t>menace majeure pour l’humanité</w:t>
      </w:r>
      <w:r w:rsidRPr="000A7532">
        <w:rPr>
          <w:rFonts w:ascii="Tahoma" w:eastAsia="Times New Roman" w:hAnsi="Tahoma" w:cs="Tahoma"/>
          <w:sz w:val="24"/>
          <w:szCs w:val="24"/>
          <w:lang w:eastAsia="fr-FR"/>
        </w:rPr>
        <w:t xml:space="preserve">. </w:t>
      </w:r>
      <w:r w:rsidRPr="0033560B">
        <w:rPr>
          <w:rFonts w:ascii="Tahoma" w:eastAsia="Times New Roman" w:hAnsi="Tahoma" w:cs="Tahoma"/>
          <w:sz w:val="24"/>
          <w:szCs w:val="24"/>
          <w:lang w:eastAsia="fr-FR"/>
        </w:rPr>
        <w:t>Conscients de cette problématique, les acteurs internationaux ont intégré la lutte contre la dégradation forestière dans les principaux agendas politiques mondiaux. En effet, la question de la dégradation des forêts figure parmi les quatre objectifs mondiaux définis par la New York Declaration on Forests (NLBI), adoptée par les membres du Forum des Nations Unies sur les Forêts (FNUF). Cet objectif appelle à un « redoublement d’efforts pour prévenir la dégradation des forêts ». Par ailleurs, le dixième objectif de la Convention sur la Diversité Biologique (CDB) aborde cette problématique par l’instauration d’un indicateur spécifique relatif à la fragmentation et à la connectivité des écosystèmes, lequel est directement lié à la dégradation forestière (CDB, 2005)</w:t>
      </w:r>
      <w:r w:rsidRPr="000A7532">
        <w:rPr>
          <w:rFonts w:ascii="Tahoma" w:eastAsia="Times New Roman" w:hAnsi="Tahoma" w:cs="Tahoma"/>
          <w:sz w:val="24"/>
          <w:szCs w:val="24"/>
          <w:vertAlign w:val="superscript"/>
        </w:rPr>
        <w:footnoteReference w:id="35"/>
      </w:r>
      <w:r w:rsidRPr="000A7532">
        <w:rPr>
          <w:rFonts w:ascii="Tahoma" w:eastAsia="Times New Roman" w:hAnsi="Tahoma" w:cs="Tahoma"/>
          <w:sz w:val="24"/>
          <w:szCs w:val="24"/>
        </w:rPr>
        <w:t xml:space="preserve">. </w:t>
      </w:r>
    </w:p>
    <w:p w:rsidR="008018BA" w:rsidRDefault="008018BA" w:rsidP="008018BA">
      <w:pPr>
        <w:widowControl w:val="0"/>
        <w:autoSpaceDE w:val="0"/>
        <w:autoSpaceDN w:val="0"/>
        <w:spacing w:before="160" w:after="0" w:line="360" w:lineRule="auto"/>
        <w:jc w:val="both"/>
        <w:rPr>
          <w:rFonts w:ascii="Tahoma" w:eastAsia="Times New Roman" w:hAnsi="Tahoma" w:cs="Tahoma"/>
          <w:sz w:val="24"/>
          <w:szCs w:val="24"/>
        </w:rPr>
      </w:pPr>
      <w:r w:rsidRPr="00E74857">
        <w:rPr>
          <w:rFonts w:ascii="Tahoma" w:eastAsia="Times New Roman" w:hAnsi="Tahoma" w:cs="Tahoma"/>
          <w:sz w:val="24"/>
          <w:szCs w:val="24"/>
        </w:rPr>
        <w:t>Malgré la reconnaissance internationale de l’importance de la lutte contre la dégradation des forêts, la notion même de « dégradation forestière » demeure dépourvue d’une définition consensuelle au niveau global. En effet, divers organismes internationaux tels que la FAO, l’Organisation Internationale des Bois Tropicaux (OIBT) et le Groupe d’Experts Intergouvernemental sur l’Évolution du Climat (GIEC) ont élaboré des définitions propres, reflétant leurs perspe</w:t>
      </w:r>
      <w:r>
        <w:rPr>
          <w:rFonts w:ascii="Tahoma" w:eastAsia="Times New Roman" w:hAnsi="Tahoma" w:cs="Tahoma"/>
          <w:sz w:val="24"/>
          <w:szCs w:val="24"/>
        </w:rPr>
        <w:t xml:space="preserve">ctives et priorités respectives </w:t>
      </w:r>
      <w:r w:rsidRPr="00C9507A">
        <w:rPr>
          <w:rFonts w:ascii="Tahoma" w:eastAsia="Times New Roman" w:hAnsi="Tahoma" w:cs="Tahoma"/>
          <w:sz w:val="24"/>
          <w:szCs w:val="24"/>
        </w:rPr>
        <w:t>(Cf. glossaire, tableau n°1)</w:t>
      </w:r>
      <w:r>
        <w:rPr>
          <w:rFonts w:ascii="Tahoma" w:eastAsia="Times New Roman" w:hAnsi="Tahoma" w:cs="Tahoma"/>
          <w:sz w:val="24"/>
          <w:szCs w:val="24"/>
        </w:rPr>
        <w:t>.</w:t>
      </w:r>
    </w:p>
    <w:p w:rsidR="008018BA" w:rsidRPr="00D63EAE" w:rsidRDefault="008018BA" w:rsidP="008018BA">
      <w:pPr>
        <w:spacing w:line="360" w:lineRule="auto"/>
        <w:jc w:val="both"/>
        <w:rPr>
          <w:rFonts w:ascii="Tahoma" w:eastAsia="Times New Roman" w:hAnsi="Tahoma" w:cs="Tahoma"/>
          <w:sz w:val="24"/>
          <w:szCs w:val="24"/>
        </w:rPr>
      </w:pPr>
      <w:r w:rsidRPr="000A7532">
        <w:rPr>
          <w:rFonts w:ascii="Tahoma" w:eastAsia="Times New Roman" w:hAnsi="Tahoma" w:cs="Tahoma"/>
          <w:sz w:val="24"/>
          <w:szCs w:val="24"/>
        </w:rPr>
        <w:t>L'analyse comparative de ces définitions révèle une focalisation prédominante sur la réduction de la ca</w:t>
      </w:r>
      <w:r>
        <w:rPr>
          <w:rFonts w:ascii="Tahoma" w:eastAsia="Times New Roman" w:hAnsi="Tahoma" w:cs="Tahoma"/>
          <w:sz w:val="24"/>
          <w:szCs w:val="24"/>
        </w:rPr>
        <w:t xml:space="preserve">pacité de production des forêts. </w:t>
      </w:r>
      <w:r w:rsidRPr="000A7532">
        <w:rPr>
          <w:rFonts w:ascii="Tahoma" w:eastAsia="Times New Roman" w:hAnsi="Tahoma" w:cs="Tahoma"/>
          <w:sz w:val="24"/>
          <w:szCs w:val="24"/>
        </w:rPr>
        <w:t>Cette approche, bien que pertinente, pourrait s'avérer restrictive et négliger d'autres aspects essentiels de la dégradation forestière, tels que la perte de biodiversité, l'altération des fonctions écosystémiques et l'impact sur les populations locales. Une définition holistique et consensuelle de la dégradation des forêts est donc cruciale pour élaborer des politiques efficaces et mettre en œuvre des actions concrètes visant à protéger et restaurer ces écosystèmes vitaux.</w:t>
      </w:r>
    </w:p>
    <w:p w:rsidR="008018BA" w:rsidRDefault="008018BA" w:rsidP="008018BA">
      <w:pPr>
        <w:widowControl w:val="0"/>
        <w:autoSpaceDE w:val="0"/>
        <w:autoSpaceDN w:val="0"/>
        <w:spacing w:after="0" w:line="360" w:lineRule="auto"/>
        <w:jc w:val="both"/>
        <w:rPr>
          <w:rFonts w:ascii="Tahoma" w:eastAsia="Times New Roman" w:hAnsi="Tahoma" w:cs="Tahoma"/>
          <w:sz w:val="24"/>
          <w:szCs w:val="24"/>
        </w:rPr>
      </w:pPr>
      <w:r>
        <w:rPr>
          <w:rFonts w:ascii="Tahoma" w:eastAsia="Times New Roman" w:hAnsi="Tahoma" w:cs="Tahoma"/>
          <w:sz w:val="24"/>
          <w:szCs w:val="24"/>
        </w:rPr>
        <w:t>En somme, l</w:t>
      </w:r>
      <w:r w:rsidRPr="00125DF0">
        <w:rPr>
          <w:rFonts w:ascii="Tahoma" w:eastAsia="Times New Roman" w:hAnsi="Tahoma" w:cs="Tahoma"/>
          <w:sz w:val="24"/>
          <w:szCs w:val="24"/>
        </w:rPr>
        <w:t>'approche néolibérale contemporaine, caractérisée par la primauté a</w:t>
      </w:r>
      <w:r>
        <w:rPr>
          <w:rFonts w:ascii="Tahoma" w:eastAsia="Times New Roman" w:hAnsi="Tahoma" w:cs="Tahoma"/>
          <w:sz w:val="24"/>
          <w:szCs w:val="24"/>
        </w:rPr>
        <w:t xml:space="preserve">ccordée </w:t>
      </w:r>
      <w:r w:rsidRPr="00F90635">
        <w:rPr>
          <w:rFonts w:ascii="Tahoma" w:eastAsia="Times New Roman" w:hAnsi="Tahoma" w:cs="Tahoma"/>
          <w:sz w:val="24"/>
          <w:szCs w:val="24"/>
        </w:rPr>
        <w:t>aux logiques économicistes et par l'intensification de l'exploitation des ressources naturelles et humaines, génère des transformations structurelles majeures.</w:t>
      </w:r>
    </w:p>
    <w:p w:rsidR="008018BA" w:rsidRDefault="008018BA" w:rsidP="008018BA">
      <w:pPr>
        <w:widowControl w:val="0"/>
        <w:autoSpaceDE w:val="0"/>
        <w:autoSpaceDN w:val="0"/>
        <w:spacing w:after="0" w:line="360" w:lineRule="auto"/>
        <w:jc w:val="both"/>
        <w:rPr>
          <w:rFonts w:ascii="Tahoma" w:eastAsia="Times New Roman" w:hAnsi="Tahoma" w:cs="Tahoma"/>
          <w:spacing w:val="1"/>
          <w:sz w:val="24"/>
          <w:szCs w:val="24"/>
        </w:rPr>
      </w:pPr>
      <w:r w:rsidRPr="00F90635">
        <w:rPr>
          <w:rFonts w:ascii="Tahoma" w:eastAsia="Times New Roman" w:hAnsi="Tahoma" w:cs="Tahoma"/>
          <w:sz w:val="24"/>
          <w:szCs w:val="24"/>
        </w:rPr>
        <w:lastRenderedPageBreak/>
        <w:t>Cette dynamique de mondialisation, fondée sur la suppression des barrières commerciales, la libre circulation des capitaux et l'unification des marchés internationaux, engendre paradoxalement une fragmentation sociale, politique et culturelle considérable</w:t>
      </w:r>
      <w:r w:rsidRPr="00F90635">
        <w:rPr>
          <w:rFonts w:ascii="Tahoma" w:eastAsia="Times New Roman" w:hAnsi="Tahoma" w:cs="Tahoma"/>
          <w:sz w:val="24"/>
          <w:szCs w:val="24"/>
          <w:vertAlign w:val="superscript"/>
        </w:rPr>
        <w:footnoteReference w:id="36"/>
      </w:r>
      <w:r w:rsidRPr="00F90635">
        <w:rPr>
          <w:rFonts w:ascii="Tahoma" w:eastAsia="Times New Roman" w:hAnsi="Tahoma" w:cs="Tahoma"/>
          <w:sz w:val="24"/>
          <w:szCs w:val="24"/>
        </w:rPr>
        <w:t>.</w:t>
      </w:r>
      <w:r w:rsidRPr="00F90635">
        <w:rPr>
          <w:rFonts w:ascii="Tahoma" w:eastAsia="Times New Roman" w:hAnsi="Tahoma" w:cs="Tahoma"/>
          <w:spacing w:val="1"/>
          <w:sz w:val="24"/>
          <w:szCs w:val="24"/>
        </w:rPr>
        <w:t xml:space="preserve"> </w:t>
      </w:r>
    </w:p>
    <w:p w:rsidR="008018BA" w:rsidRPr="00F90635" w:rsidRDefault="00D3238B" w:rsidP="008018BA">
      <w:pPr>
        <w:widowControl w:val="0"/>
        <w:autoSpaceDE w:val="0"/>
        <w:autoSpaceDN w:val="0"/>
        <w:spacing w:after="0" w:line="360" w:lineRule="auto"/>
        <w:jc w:val="both"/>
        <w:rPr>
          <w:rFonts w:ascii="Tahoma" w:eastAsia="Times New Roman" w:hAnsi="Tahoma" w:cs="Tahoma"/>
          <w:sz w:val="24"/>
          <w:szCs w:val="24"/>
        </w:rPr>
      </w:pPr>
      <w:r>
        <w:rPr>
          <w:rFonts w:ascii="Tahoma" w:eastAsia="Times New Roman" w:hAnsi="Tahoma" w:cs="Tahoma"/>
          <w:sz w:val="24"/>
          <w:szCs w:val="24"/>
        </w:rPr>
        <w:t xml:space="preserve">La </w:t>
      </w:r>
      <w:r w:rsidR="008018BA" w:rsidRPr="00F90635">
        <w:rPr>
          <w:rFonts w:ascii="Tahoma" w:eastAsia="Times New Roman" w:hAnsi="Tahoma" w:cs="Tahoma"/>
          <w:sz w:val="24"/>
          <w:szCs w:val="24"/>
        </w:rPr>
        <w:t xml:space="preserve">critique du néolibéralisme trouve un écho dans les travaux de nombreux économistes et sociologues contemporains. </w:t>
      </w:r>
      <w:r w:rsidR="008018BA">
        <w:rPr>
          <w:rFonts w:ascii="Tahoma" w:eastAsia="Times New Roman" w:hAnsi="Tahoma" w:cs="Tahoma"/>
          <w:sz w:val="24"/>
          <w:szCs w:val="24"/>
        </w:rPr>
        <w:t xml:space="preserve">En effet, </w:t>
      </w:r>
      <w:r w:rsidR="008018BA" w:rsidRPr="00F90635">
        <w:rPr>
          <w:rFonts w:ascii="Tahoma" w:eastAsia="Times New Roman" w:hAnsi="Tahoma" w:cs="Tahoma"/>
          <w:sz w:val="24"/>
          <w:szCs w:val="24"/>
        </w:rPr>
        <w:t>Thomas Piketty</w:t>
      </w:r>
      <w:r w:rsidR="008018BA" w:rsidRPr="00F90635">
        <w:rPr>
          <w:rFonts w:ascii="Tahoma" w:eastAsia="Times New Roman" w:hAnsi="Tahoma" w:cs="Tahoma"/>
          <w:sz w:val="24"/>
          <w:szCs w:val="24"/>
          <w:vertAlign w:val="superscript"/>
        </w:rPr>
        <w:footnoteReference w:id="37"/>
      </w:r>
      <w:r w:rsidR="008018BA" w:rsidRPr="00F90635">
        <w:rPr>
          <w:rFonts w:ascii="Tahoma" w:eastAsia="Times New Roman" w:hAnsi="Tahoma" w:cs="Tahoma"/>
          <w:sz w:val="24"/>
          <w:szCs w:val="24"/>
        </w:rPr>
        <w:t xml:space="preserve"> (2013) </w:t>
      </w:r>
      <w:r w:rsidR="008018BA" w:rsidRPr="00F90635">
        <w:rPr>
          <w:rFonts w:ascii="Tahoma" w:hAnsi="Tahoma" w:cs="Tahoma"/>
          <w:sz w:val="24"/>
          <w:szCs w:val="24"/>
        </w:rPr>
        <w:t>a notamment démontré que les politiques économiques néolibérales favorisent une concentration accrue de la richesse, exacerbant les inégalités entre classes sociales et entre nations, tout en compromettant les mécanismes de redistribution des ressources</w:t>
      </w:r>
      <w:r w:rsidR="008018BA" w:rsidRPr="00F90635">
        <w:rPr>
          <w:rFonts w:ascii="Tahoma" w:eastAsia="Times New Roman" w:hAnsi="Tahoma" w:cs="Tahoma"/>
          <w:sz w:val="24"/>
          <w:szCs w:val="24"/>
          <w:vertAlign w:val="superscript"/>
        </w:rPr>
        <w:footnoteReference w:id="38"/>
      </w:r>
      <w:r w:rsidR="008018BA" w:rsidRPr="00F90635">
        <w:rPr>
          <w:rFonts w:ascii="Tahoma" w:eastAsia="Times New Roman" w:hAnsi="Tahoma" w:cs="Tahoma"/>
          <w:sz w:val="24"/>
          <w:szCs w:val="24"/>
        </w:rPr>
        <w:t>.</w:t>
      </w:r>
    </w:p>
    <w:p w:rsidR="008018BA" w:rsidRDefault="008018BA" w:rsidP="008018BA">
      <w:pPr>
        <w:widowControl w:val="0"/>
        <w:autoSpaceDE w:val="0"/>
        <w:autoSpaceDN w:val="0"/>
        <w:spacing w:after="0" w:line="360" w:lineRule="auto"/>
        <w:jc w:val="both"/>
        <w:rPr>
          <w:rFonts w:ascii="Tahoma" w:eastAsia="Times New Roman" w:hAnsi="Tahoma" w:cs="Tahoma"/>
          <w:sz w:val="24"/>
          <w:szCs w:val="24"/>
        </w:rPr>
      </w:pPr>
      <w:r w:rsidRPr="00EB60E0">
        <w:rPr>
          <w:rFonts w:ascii="Tahoma" w:eastAsia="Times New Roman" w:hAnsi="Tahoma" w:cs="Tahoma"/>
          <w:sz w:val="24"/>
          <w:szCs w:val="24"/>
        </w:rPr>
        <w:t>Il convient de souligner que l</w:t>
      </w:r>
      <w:r w:rsidRPr="00AA09B6">
        <w:rPr>
          <w:rFonts w:ascii="Tahoma" w:eastAsia="Times New Roman" w:hAnsi="Tahoma" w:cs="Tahoma"/>
          <w:sz w:val="24"/>
          <w:szCs w:val="24"/>
        </w:rPr>
        <w:t>es sociétés contemporaines se muent ainsi en « manufactures à risques », ce qui accentue les déséquilibres écologiques et renforce les inégalités sociales et les processus d'exclusion.</w:t>
      </w:r>
    </w:p>
    <w:p w:rsidR="008018BA" w:rsidRPr="004955A8" w:rsidRDefault="008018BA" w:rsidP="008018BA">
      <w:pPr>
        <w:widowControl w:val="0"/>
        <w:autoSpaceDE w:val="0"/>
        <w:autoSpaceDN w:val="0"/>
        <w:spacing w:after="0" w:line="360" w:lineRule="auto"/>
        <w:jc w:val="both"/>
        <w:rPr>
          <w:rFonts w:ascii="Tahoma" w:eastAsia="Times New Roman" w:hAnsi="Tahoma" w:cs="Tahoma"/>
          <w:sz w:val="10"/>
          <w:szCs w:val="10"/>
        </w:rPr>
      </w:pPr>
    </w:p>
    <w:p w:rsidR="008018BA" w:rsidRPr="00EB60E0" w:rsidRDefault="008018BA" w:rsidP="008018BA">
      <w:pPr>
        <w:widowControl w:val="0"/>
        <w:autoSpaceDE w:val="0"/>
        <w:autoSpaceDN w:val="0"/>
        <w:spacing w:after="0" w:line="360" w:lineRule="auto"/>
        <w:jc w:val="both"/>
        <w:rPr>
          <w:rFonts w:ascii="Tahoma" w:eastAsia="Times New Roman" w:hAnsi="Tahoma" w:cs="Tahoma"/>
          <w:sz w:val="24"/>
          <w:szCs w:val="24"/>
        </w:rPr>
      </w:pPr>
      <w:r w:rsidRPr="00527BC6">
        <w:rPr>
          <w:rFonts w:ascii="Tahoma" w:eastAsia="Times New Roman" w:hAnsi="Tahoma" w:cs="Tahoma"/>
          <w:sz w:val="24"/>
          <w:szCs w:val="24"/>
        </w:rPr>
        <w:t xml:space="preserve">Dans cette perspective, </w:t>
      </w:r>
      <w:r w:rsidRPr="00527BC6">
        <w:rPr>
          <w:rFonts w:ascii="Tahoma" w:hAnsi="Tahoma" w:cs="Tahoma"/>
          <w:sz w:val="24"/>
          <w:szCs w:val="24"/>
        </w:rPr>
        <w:t>l'intensification et l'interconnexion des crises environnementales locales produisent des effets d'ampleur planétaire</w:t>
      </w:r>
      <w:r w:rsidRPr="00527BC6">
        <w:rPr>
          <w:rFonts w:ascii="Tahoma" w:eastAsia="Times New Roman" w:hAnsi="Tahoma" w:cs="Tahoma"/>
          <w:sz w:val="24"/>
          <w:szCs w:val="24"/>
          <w:vertAlign w:val="superscript"/>
        </w:rPr>
        <w:footnoteReference w:id="39"/>
      </w:r>
      <w:r w:rsidRPr="00527BC6">
        <w:rPr>
          <w:rFonts w:ascii="Tahoma" w:eastAsia="Times New Roman" w:hAnsi="Tahoma" w:cs="Tahoma"/>
          <w:sz w:val="24"/>
          <w:szCs w:val="24"/>
        </w:rPr>
        <w:t>. Les conséquences de cette crise systémique menacent la sécurité humaine dans plusieurs domaines : conflits armés, précarité socio-économique, insécurité alimentaire et sanitaire, ainsi que déplacements de populations</w:t>
      </w:r>
      <w:r w:rsidRPr="00527BC6">
        <w:rPr>
          <w:rFonts w:ascii="Tahoma" w:eastAsia="Times New Roman" w:hAnsi="Tahoma" w:cs="Tahoma"/>
          <w:sz w:val="24"/>
          <w:szCs w:val="24"/>
          <w:vertAlign w:val="superscript"/>
        </w:rPr>
        <w:footnoteReference w:id="40"/>
      </w:r>
      <w:r>
        <w:rPr>
          <w:rFonts w:ascii="Tahoma" w:eastAsia="Times New Roman" w:hAnsi="Tahoma" w:cs="Tahoma"/>
          <w:sz w:val="24"/>
          <w:szCs w:val="24"/>
        </w:rPr>
        <w:t xml:space="preserve">. </w:t>
      </w:r>
      <w:r w:rsidRPr="00EB60E0">
        <w:rPr>
          <w:rFonts w:ascii="Tahoma" w:eastAsia="Times New Roman" w:hAnsi="Tahoma" w:cs="Tahoma"/>
          <w:sz w:val="24"/>
          <w:szCs w:val="24"/>
        </w:rPr>
        <w:t>Ces bouleversements environnementaux contraignent les populations à migrer en raison des chocs climatiques, donnant naissance à des flux de migrations forcées d'une ampleur inédite.</w:t>
      </w:r>
    </w:p>
    <w:p w:rsidR="008018BA" w:rsidRPr="0090350B" w:rsidRDefault="008018BA" w:rsidP="009C7D13">
      <w:pPr>
        <w:widowControl w:val="0"/>
        <w:autoSpaceDE w:val="0"/>
        <w:autoSpaceDN w:val="0"/>
        <w:spacing w:after="0" w:line="360" w:lineRule="auto"/>
        <w:jc w:val="both"/>
        <w:rPr>
          <w:rFonts w:ascii="Times New Roman" w:eastAsia="Times New Roman" w:hAnsi="Times New Roman" w:cs="Times New Roman"/>
          <w:sz w:val="24"/>
          <w:szCs w:val="24"/>
        </w:rPr>
      </w:pPr>
      <w:r w:rsidRPr="0090350B">
        <w:rPr>
          <w:rFonts w:ascii="Tahoma" w:eastAsia="Times New Roman" w:hAnsi="Tahoma" w:cs="Tahoma"/>
          <w:sz w:val="24"/>
          <w:szCs w:val="24"/>
        </w:rPr>
        <w:t xml:space="preserve">Le rapport mondial 2024 de l'Observatoire des </w:t>
      </w:r>
      <w:r w:rsidR="009C7D13">
        <w:rPr>
          <w:rFonts w:ascii="Tahoma" w:eastAsia="Times New Roman" w:hAnsi="Tahoma" w:cs="Tahoma"/>
          <w:sz w:val="24"/>
          <w:szCs w:val="24"/>
        </w:rPr>
        <w:t>D</w:t>
      </w:r>
      <w:r w:rsidRPr="0090350B">
        <w:rPr>
          <w:rFonts w:ascii="Tahoma" w:eastAsia="Times New Roman" w:hAnsi="Tahoma" w:cs="Tahoma"/>
          <w:sz w:val="24"/>
          <w:szCs w:val="24"/>
        </w:rPr>
        <w:t xml:space="preserve">éplacements </w:t>
      </w:r>
      <w:r w:rsidR="009C7D13">
        <w:rPr>
          <w:rFonts w:ascii="Tahoma" w:eastAsia="Times New Roman" w:hAnsi="Tahoma" w:cs="Tahoma"/>
          <w:sz w:val="24"/>
          <w:szCs w:val="24"/>
        </w:rPr>
        <w:t>I</w:t>
      </w:r>
      <w:r w:rsidRPr="0090350B">
        <w:rPr>
          <w:rFonts w:ascii="Tahoma" w:eastAsia="Times New Roman" w:hAnsi="Tahoma" w:cs="Tahoma"/>
          <w:sz w:val="24"/>
          <w:szCs w:val="24"/>
        </w:rPr>
        <w:t xml:space="preserve">nternes (IDMC) révèle </w:t>
      </w:r>
      <w:r w:rsidRPr="0090350B">
        <w:rPr>
          <w:rFonts w:ascii="Tahoma" w:eastAsia="Times New Roman" w:hAnsi="Tahoma" w:cs="Tahoma"/>
          <w:sz w:val="24"/>
          <w:szCs w:val="24"/>
        </w:rPr>
        <w:lastRenderedPageBreak/>
        <w:t>l'ampleur du phénomène des déplacements forcés liés aux catastrophes naturelles. En</w:t>
      </w:r>
      <w:r>
        <w:rPr>
          <w:rFonts w:ascii="Tahoma" w:eastAsia="Times New Roman" w:hAnsi="Tahoma" w:cs="Tahoma"/>
          <w:sz w:val="24"/>
          <w:szCs w:val="24"/>
        </w:rPr>
        <w:t xml:space="preserve"> effet, 75.</w:t>
      </w:r>
      <w:r w:rsidRPr="0090350B">
        <w:rPr>
          <w:rFonts w:ascii="Tahoma" w:eastAsia="Times New Roman" w:hAnsi="Tahoma" w:cs="Tahoma"/>
          <w:sz w:val="24"/>
          <w:szCs w:val="24"/>
        </w:rPr>
        <w:t>9 millions de personnes se sont déplacées</w:t>
      </w:r>
      <w:r>
        <w:rPr>
          <w:rFonts w:ascii="Tahoma" w:eastAsia="Times New Roman" w:hAnsi="Tahoma" w:cs="Tahoma"/>
          <w:sz w:val="24"/>
          <w:szCs w:val="24"/>
        </w:rPr>
        <w:t xml:space="preserve">, </w:t>
      </w:r>
      <w:r w:rsidRPr="0090350B">
        <w:rPr>
          <w:rFonts w:ascii="Tahoma" w:eastAsia="Times New Roman" w:hAnsi="Tahoma" w:cs="Tahoma"/>
          <w:sz w:val="24"/>
          <w:szCs w:val="24"/>
        </w:rPr>
        <w:t>2023,  à l'intérieur de leur propre pays, marquant</w:t>
      </w:r>
      <w:r>
        <w:rPr>
          <w:rFonts w:ascii="Tahoma" w:eastAsia="Times New Roman" w:hAnsi="Tahoma" w:cs="Tahoma"/>
          <w:sz w:val="24"/>
          <w:szCs w:val="24"/>
        </w:rPr>
        <w:t xml:space="preserve"> ainsi </w:t>
      </w:r>
      <w:r w:rsidRPr="0090350B">
        <w:rPr>
          <w:rFonts w:ascii="Tahoma" w:eastAsia="Times New Roman" w:hAnsi="Tahoma" w:cs="Tahoma"/>
          <w:sz w:val="24"/>
          <w:szCs w:val="24"/>
        </w:rPr>
        <w:t xml:space="preserve"> une progression significative par rapport aux 32,6 millions de déplacements internes enregistrés en 2022</w:t>
      </w:r>
      <w:r w:rsidRPr="0090350B">
        <w:rPr>
          <w:rFonts w:ascii="Tahoma" w:eastAsia="Times New Roman" w:hAnsi="Tahoma" w:cs="Tahoma"/>
          <w:sz w:val="24"/>
          <w:szCs w:val="24"/>
          <w:vertAlign w:val="superscript"/>
        </w:rPr>
        <w:footnoteReference w:id="41"/>
      </w:r>
      <w:r w:rsidRPr="0090350B">
        <w:rPr>
          <w:rFonts w:ascii="Tahoma" w:eastAsia="Times New Roman" w:hAnsi="Tahoma" w:cs="Tahoma"/>
          <w:sz w:val="24"/>
          <w:szCs w:val="24"/>
        </w:rPr>
        <w:t>.</w:t>
      </w:r>
      <w:r w:rsidRPr="0090350B">
        <w:rPr>
          <w:rFonts w:ascii="Times New Roman" w:eastAsia="Times New Roman" w:hAnsi="Times New Roman" w:cs="Times New Roman"/>
          <w:sz w:val="24"/>
          <w:szCs w:val="24"/>
        </w:rPr>
        <w:t xml:space="preserve"> </w:t>
      </w:r>
    </w:p>
    <w:p w:rsidR="008018BA" w:rsidRPr="0090350B" w:rsidRDefault="008018BA" w:rsidP="008018BA">
      <w:pPr>
        <w:widowControl w:val="0"/>
        <w:autoSpaceDE w:val="0"/>
        <w:autoSpaceDN w:val="0"/>
        <w:spacing w:after="0" w:line="360" w:lineRule="auto"/>
        <w:rPr>
          <w:rFonts w:ascii="Tahoma" w:eastAsia="Times New Roman" w:hAnsi="Tahoma" w:cs="Tahoma"/>
          <w:sz w:val="24"/>
          <w:szCs w:val="24"/>
        </w:rPr>
      </w:pPr>
      <w:r w:rsidRPr="0090350B">
        <w:rPr>
          <w:rFonts w:ascii="Tahoma" w:eastAsia="Times New Roman" w:hAnsi="Tahoma" w:cs="Tahoma"/>
          <w:sz w:val="24"/>
          <w:szCs w:val="24"/>
        </w:rPr>
        <w:t>Cette évolution considérable exige l'élaboration de stratégies de prévention fondées sur l'identification précise des tendances et des vulnérabilités.</w:t>
      </w:r>
    </w:p>
    <w:p w:rsidR="008018BA" w:rsidRDefault="008018BA" w:rsidP="008018BA">
      <w:pPr>
        <w:widowControl w:val="0"/>
        <w:autoSpaceDE w:val="0"/>
        <w:autoSpaceDN w:val="0"/>
        <w:spacing w:after="0" w:line="360" w:lineRule="auto"/>
        <w:jc w:val="both"/>
        <w:rPr>
          <w:rFonts w:ascii="Tahoma" w:eastAsia="Times New Roman" w:hAnsi="Tahoma" w:cs="Tahoma"/>
          <w:sz w:val="24"/>
          <w:szCs w:val="24"/>
        </w:rPr>
      </w:pPr>
      <w:r>
        <w:rPr>
          <w:rFonts w:ascii="Tahoma" w:eastAsia="Times New Roman" w:hAnsi="Tahoma" w:cs="Tahoma"/>
          <w:sz w:val="24"/>
          <w:szCs w:val="24"/>
        </w:rPr>
        <w:t>L</w:t>
      </w:r>
      <w:r w:rsidRPr="00005D61">
        <w:rPr>
          <w:rFonts w:ascii="Tahoma" w:eastAsia="Times New Roman" w:hAnsi="Tahoma" w:cs="Tahoma"/>
          <w:sz w:val="24"/>
          <w:szCs w:val="24"/>
        </w:rPr>
        <w:t>a Banque mondiale a alerté que, sans mesures urgentes et coordonnées en matière de climat et de développement, plus de 216 millions de personnes pourraient devenir des migrants climatiques internes d'ici 2050</w:t>
      </w:r>
      <w:r w:rsidRPr="00005D61">
        <w:rPr>
          <w:rFonts w:ascii="Tahoma" w:eastAsia="Times New Roman" w:hAnsi="Tahoma" w:cs="Tahoma"/>
          <w:sz w:val="24"/>
          <w:szCs w:val="24"/>
          <w:vertAlign w:val="superscript"/>
        </w:rPr>
        <w:footnoteReference w:id="42"/>
      </w:r>
      <w:r w:rsidRPr="00005D61">
        <w:rPr>
          <w:rFonts w:ascii="Tahoma" w:eastAsia="Times New Roman" w:hAnsi="Tahoma" w:cs="Tahoma"/>
          <w:sz w:val="24"/>
          <w:szCs w:val="24"/>
        </w:rPr>
        <w:t>. Cette projection souligne la nécessité d'engager une réflexion approfondie et de renouveler les stratégies relatives à la dégradation environnementale et au développement. La question migratoire doit désormais être appréhendée dans un cadre global et systémique, permettant de traiter efficacement les causes profondes des dysfonctionnements identifiés.</w:t>
      </w:r>
    </w:p>
    <w:p w:rsidR="008018BA" w:rsidRDefault="008018BA" w:rsidP="008018BA">
      <w:pPr>
        <w:widowControl w:val="0"/>
        <w:autoSpaceDE w:val="0"/>
        <w:autoSpaceDN w:val="0"/>
        <w:spacing w:after="0" w:line="360" w:lineRule="auto"/>
        <w:jc w:val="both"/>
        <w:rPr>
          <w:rFonts w:ascii="Tahoma" w:eastAsia="Times New Roman" w:hAnsi="Tahoma" w:cs="Tahoma"/>
          <w:sz w:val="24"/>
          <w:szCs w:val="24"/>
        </w:rPr>
      </w:pPr>
      <w:r w:rsidRPr="002F0415">
        <w:rPr>
          <w:rFonts w:ascii="Tahoma" w:eastAsia="Times New Roman" w:hAnsi="Tahoma" w:cs="Tahoma"/>
          <w:sz w:val="24"/>
          <w:szCs w:val="24"/>
        </w:rPr>
        <w:t xml:space="preserve">Ces éléments révèlent la complexité et la </w:t>
      </w:r>
      <w:r>
        <w:rPr>
          <w:rFonts w:ascii="Tahoma" w:eastAsia="Times New Roman" w:hAnsi="Tahoma" w:cs="Tahoma"/>
          <w:sz w:val="24"/>
          <w:szCs w:val="24"/>
        </w:rPr>
        <w:t>multi</w:t>
      </w:r>
      <w:r w:rsidRPr="002F0415">
        <w:rPr>
          <w:rFonts w:ascii="Tahoma" w:eastAsia="Times New Roman" w:hAnsi="Tahoma" w:cs="Tahoma"/>
          <w:sz w:val="24"/>
          <w:szCs w:val="24"/>
        </w:rPr>
        <w:t xml:space="preserve">dimensionnalité croissantes des relations entre l'humanité et l'environnement. Les perturbations anthropiques des écosystèmes </w:t>
      </w:r>
      <w:r>
        <w:rPr>
          <w:rFonts w:ascii="Tahoma" w:eastAsia="Times New Roman" w:hAnsi="Tahoma" w:cs="Tahoma"/>
          <w:sz w:val="24"/>
          <w:szCs w:val="24"/>
        </w:rPr>
        <w:t>naturels -</w:t>
      </w:r>
      <w:r w:rsidRPr="002F0415">
        <w:rPr>
          <w:rFonts w:ascii="Tahoma" w:eastAsia="Times New Roman" w:hAnsi="Tahoma" w:cs="Tahoma"/>
          <w:sz w:val="24"/>
          <w:szCs w:val="24"/>
        </w:rPr>
        <w:t>déforestation, déserti</w:t>
      </w:r>
      <w:r>
        <w:rPr>
          <w:rFonts w:ascii="Tahoma" w:eastAsia="Times New Roman" w:hAnsi="Tahoma" w:cs="Tahoma"/>
          <w:sz w:val="24"/>
          <w:szCs w:val="24"/>
        </w:rPr>
        <w:t>fication, dégradation des sols-</w:t>
      </w:r>
      <w:r w:rsidRPr="002F0415">
        <w:rPr>
          <w:rFonts w:ascii="Tahoma" w:eastAsia="Times New Roman" w:hAnsi="Tahoma" w:cs="Tahoma"/>
          <w:sz w:val="24"/>
          <w:szCs w:val="24"/>
        </w:rPr>
        <w:t xml:space="preserve"> engendrent des catastrophes qui ne relèvent plus du registre purement naturel, mais résultent d'interactions complexes entre facteurs climatiques et activités humaines.</w:t>
      </w:r>
    </w:p>
    <w:p w:rsidR="008018BA" w:rsidRDefault="008018BA" w:rsidP="008018BA">
      <w:pPr>
        <w:widowControl w:val="0"/>
        <w:autoSpaceDE w:val="0"/>
        <w:autoSpaceDN w:val="0"/>
        <w:spacing w:after="0" w:line="360" w:lineRule="auto"/>
        <w:jc w:val="both"/>
        <w:rPr>
          <w:rFonts w:ascii="Tahoma" w:eastAsia="Times New Roman" w:hAnsi="Tahoma" w:cs="Tahoma"/>
          <w:sz w:val="24"/>
          <w:szCs w:val="24"/>
        </w:rPr>
      </w:pPr>
      <w:r w:rsidRPr="002F0415">
        <w:rPr>
          <w:rFonts w:ascii="Tahoma" w:eastAsia="Times New Roman" w:hAnsi="Tahoma" w:cs="Tahoma"/>
          <w:sz w:val="24"/>
          <w:szCs w:val="24"/>
        </w:rPr>
        <w:t>Cette approche rejoint la terminologie adoptée par les programmes de réduction des risques de catastrophe des Nations Unies (Disaster Risk Reduction - DRR), qui affirment qu'« il n'y a pas de catastrophes naturelles » et que l'impact d'une catastrophe « dépend des choix que nous faisons pour nos vies et notre environnement »</w:t>
      </w:r>
      <w:r w:rsidRPr="002F0415">
        <w:rPr>
          <w:rFonts w:ascii="Tahoma" w:eastAsia="Times New Roman" w:hAnsi="Tahoma" w:cs="Tahoma"/>
          <w:sz w:val="24"/>
          <w:szCs w:val="24"/>
          <w:vertAlign w:val="superscript"/>
        </w:rPr>
        <w:footnoteReference w:id="43"/>
      </w:r>
      <w:r w:rsidRPr="002F0415">
        <w:rPr>
          <w:rFonts w:ascii="Tahoma" w:eastAsia="Times New Roman" w:hAnsi="Tahoma" w:cs="Tahoma"/>
          <w:sz w:val="24"/>
          <w:szCs w:val="24"/>
        </w:rPr>
        <w:t>.</w:t>
      </w:r>
      <w:r w:rsidRPr="002F0415">
        <w:rPr>
          <w:rFonts w:ascii="Tahoma" w:hAnsi="Tahoma" w:cs="Tahoma"/>
          <w:sz w:val="24"/>
          <w:szCs w:val="24"/>
        </w:rPr>
        <w:t>Cette perspective souligne la responsabilité humaine dans la genèse et l'amplification des phénomènes catastrophiques, déplaçant l'analyse des causes naturelles vers les facteurs socio-économiques et politiques.</w:t>
      </w:r>
    </w:p>
    <w:p w:rsidR="008018BA" w:rsidRPr="004955A8" w:rsidRDefault="008018BA" w:rsidP="008018BA">
      <w:pPr>
        <w:widowControl w:val="0"/>
        <w:autoSpaceDE w:val="0"/>
        <w:autoSpaceDN w:val="0"/>
        <w:spacing w:after="0" w:line="360" w:lineRule="auto"/>
        <w:jc w:val="both"/>
        <w:rPr>
          <w:rFonts w:ascii="Tahoma" w:eastAsia="Times New Roman" w:hAnsi="Tahoma" w:cs="Tahoma"/>
          <w:sz w:val="12"/>
          <w:szCs w:val="12"/>
        </w:rPr>
      </w:pPr>
    </w:p>
    <w:p w:rsidR="008018BA" w:rsidRDefault="008018BA" w:rsidP="008018BA">
      <w:pPr>
        <w:widowControl w:val="0"/>
        <w:autoSpaceDE w:val="0"/>
        <w:autoSpaceDN w:val="0"/>
        <w:spacing w:after="0" w:line="360" w:lineRule="auto"/>
        <w:jc w:val="both"/>
        <w:rPr>
          <w:rFonts w:ascii="Tahoma" w:eastAsia="Times New Roman" w:hAnsi="Tahoma" w:cs="Tahoma"/>
          <w:sz w:val="24"/>
          <w:szCs w:val="24"/>
        </w:rPr>
      </w:pPr>
      <w:r w:rsidRPr="003A507D">
        <w:rPr>
          <w:rFonts w:ascii="Tahoma" w:eastAsia="Times New Roman" w:hAnsi="Tahoma" w:cs="Tahoma"/>
          <w:sz w:val="24"/>
          <w:szCs w:val="24"/>
        </w:rPr>
        <w:t xml:space="preserve">Cette conscience des impacts anthropiques sur l'environnement n'est pas nouvelle. Dès 1820, Jean-Baptiste Lamarck alertait déjà sur les risques de l'action humaine, déclarant : </w:t>
      </w:r>
      <w:r w:rsidRPr="003A507D">
        <w:rPr>
          <w:rFonts w:ascii="Tahoma" w:eastAsia="Times New Roman" w:hAnsi="Tahoma" w:cs="Tahoma"/>
          <w:sz w:val="24"/>
          <w:szCs w:val="24"/>
        </w:rPr>
        <w:lastRenderedPageBreak/>
        <w:t>« L'Homme, par son égoïsme, trop peu clairvoyant pour ses propres intérêts, par son penchant à jouir de tout ce qui est à sa disposition, en un mot, par son insouciance pour l'avenir et pour ses semblables, semble travailler à l'anéantissement de ses moyens de conservation et à la destruction même de sa propre espèce »</w:t>
      </w:r>
      <w:r w:rsidRPr="003A507D">
        <w:rPr>
          <w:rFonts w:ascii="Tahoma" w:eastAsia="Times New Roman" w:hAnsi="Tahoma" w:cs="Tahoma"/>
          <w:sz w:val="24"/>
          <w:szCs w:val="24"/>
          <w:vertAlign w:val="superscript"/>
        </w:rPr>
        <w:footnoteReference w:id="44"/>
      </w:r>
      <w:r w:rsidRPr="003A507D">
        <w:rPr>
          <w:rFonts w:ascii="Tahoma" w:eastAsia="Times New Roman" w:hAnsi="Tahoma" w:cs="Tahoma"/>
          <w:sz w:val="24"/>
          <w:szCs w:val="24"/>
        </w:rPr>
        <w:t xml:space="preserve">. </w:t>
      </w:r>
    </w:p>
    <w:p w:rsidR="008018BA" w:rsidRDefault="008018BA" w:rsidP="008018BA">
      <w:pPr>
        <w:widowControl w:val="0"/>
        <w:autoSpaceDE w:val="0"/>
        <w:autoSpaceDN w:val="0"/>
        <w:spacing w:after="0" w:line="360" w:lineRule="auto"/>
        <w:jc w:val="both"/>
        <w:rPr>
          <w:rFonts w:ascii="Tahoma" w:eastAsia="Times New Roman" w:hAnsi="Tahoma" w:cs="Tahoma"/>
          <w:sz w:val="24"/>
          <w:szCs w:val="24"/>
        </w:rPr>
      </w:pPr>
      <w:r w:rsidRPr="00543BA9">
        <w:rPr>
          <w:rFonts w:ascii="Tahoma" w:eastAsia="Times New Roman" w:hAnsi="Tahoma" w:cs="Tahoma"/>
          <w:sz w:val="24"/>
          <w:szCs w:val="24"/>
        </w:rPr>
        <w:t>Cette analyse prémonitoire trouve une illustration concrète dans la situation actuelle du Maroc qui, à l'instar de nombreux autres pays, subit une dégradation constante de ses ressources naturelles. Les écosystèmes forestiers marocains ont atteint des seuils critiques de surexploitation, notamment durant la période coloniale, dont les effets perdurent aujourd'hui et se manifestent par une augmentation considérable des risques écologiques et sociaux.</w:t>
      </w:r>
    </w:p>
    <w:p w:rsidR="008018BA" w:rsidRPr="00543BA9" w:rsidRDefault="008018BA" w:rsidP="008018BA">
      <w:pPr>
        <w:widowControl w:val="0"/>
        <w:autoSpaceDE w:val="0"/>
        <w:autoSpaceDN w:val="0"/>
        <w:spacing w:after="0" w:line="360" w:lineRule="auto"/>
        <w:jc w:val="both"/>
        <w:rPr>
          <w:rFonts w:ascii="Tahoma" w:eastAsia="Times New Roman" w:hAnsi="Tahoma" w:cs="Tahoma"/>
          <w:sz w:val="24"/>
          <w:szCs w:val="24"/>
        </w:rPr>
      </w:pPr>
      <w:r w:rsidRPr="002C1692">
        <w:rPr>
          <w:rFonts w:ascii="Tahoma" w:eastAsia="Times New Roman" w:hAnsi="Tahoma" w:cs="Tahoma"/>
          <w:sz w:val="24"/>
          <w:szCs w:val="24"/>
        </w:rPr>
        <w:t>Entre 1939 et 1945, une intense vague de coupe de bois a été enregistrée au Maroc. Paul Boudy, premier directeur de l'Administration forestière marocaine, expliquait en 1952 cette situation par les contraintes de l'économie de guerre : « Il fallut s'adapter à l'économie de guerre et approvisionner en combustible un pays qui ne reçut bientôt plus de charbon et de pétrole ». L'exploitation du bois et du charbon durant cette période est estimée à 14 millions de mètres cubes, soit le double des volumes exploités en temps normal</w:t>
      </w:r>
      <w:r w:rsidRPr="002C1692">
        <w:rPr>
          <w:rFonts w:ascii="Tahoma" w:eastAsia="Times New Roman" w:hAnsi="Tahoma" w:cs="Tahoma"/>
          <w:sz w:val="24"/>
          <w:szCs w:val="24"/>
          <w:vertAlign w:val="superscript"/>
        </w:rPr>
        <w:footnoteReference w:id="45"/>
      </w:r>
      <w:r w:rsidRPr="002C1692">
        <w:rPr>
          <w:rFonts w:ascii="Tahoma" w:eastAsia="Times New Roman" w:hAnsi="Tahoma" w:cs="Tahoma"/>
          <w:sz w:val="24"/>
          <w:szCs w:val="24"/>
        </w:rPr>
        <w:t>.</w:t>
      </w:r>
    </w:p>
    <w:p w:rsidR="008018BA" w:rsidRPr="00AF5E6C" w:rsidRDefault="008018BA" w:rsidP="008018BA">
      <w:pPr>
        <w:widowControl w:val="0"/>
        <w:autoSpaceDE w:val="0"/>
        <w:autoSpaceDN w:val="0"/>
        <w:spacing w:after="0" w:line="360" w:lineRule="auto"/>
        <w:jc w:val="both"/>
        <w:rPr>
          <w:rFonts w:ascii="Tahoma" w:eastAsia="Times New Roman" w:hAnsi="Tahoma" w:cs="Tahoma"/>
          <w:sz w:val="24"/>
          <w:szCs w:val="24"/>
          <w:lang w:eastAsia="fr-FR"/>
        </w:rPr>
      </w:pPr>
      <w:r w:rsidRPr="00AF5E6C">
        <w:rPr>
          <w:rFonts w:ascii="Tahoma" w:eastAsia="Times New Roman" w:hAnsi="Tahoma" w:cs="Tahoma"/>
          <w:sz w:val="24"/>
          <w:szCs w:val="24"/>
          <w:lang w:eastAsia="fr-FR"/>
        </w:rPr>
        <w:t>Cette intensification s'est accompagnée d'une augmentation significative de la consommation de bois d'œuvre et d'industrie, atteignant près d'un million de mètres cubes, soit un quadruplement par rapport aux niveaux de production antérieurs à 1939</w:t>
      </w:r>
      <w:r w:rsidRPr="00AF5E6C">
        <w:rPr>
          <w:rFonts w:ascii="Tahoma" w:eastAsia="Times New Roman" w:hAnsi="Tahoma" w:cs="Tahoma"/>
          <w:sz w:val="24"/>
          <w:szCs w:val="24"/>
          <w:vertAlign w:val="superscript"/>
          <w:lang w:eastAsia="fr-FR"/>
        </w:rPr>
        <w:footnoteReference w:id="46"/>
      </w:r>
      <w:r w:rsidRPr="00AF5E6C">
        <w:rPr>
          <w:rFonts w:ascii="Tahoma" w:eastAsia="Times New Roman" w:hAnsi="Tahoma" w:cs="Tahoma"/>
          <w:sz w:val="24"/>
          <w:szCs w:val="24"/>
          <w:lang w:eastAsia="fr-FR"/>
        </w:rPr>
        <w:t>. Cette forte demande a exercé une pression considérable sur les ressources forestières, se traduisant par des coupes abusives s'étenda</w:t>
      </w:r>
      <w:r>
        <w:rPr>
          <w:rFonts w:ascii="Tahoma" w:eastAsia="Times New Roman" w:hAnsi="Tahoma" w:cs="Tahoma"/>
          <w:sz w:val="24"/>
          <w:szCs w:val="24"/>
          <w:lang w:eastAsia="fr-FR"/>
        </w:rPr>
        <w:t>nt sur environ 350 000 hectares</w:t>
      </w:r>
      <w:r w:rsidRPr="00AF5E6C">
        <w:rPr>
          <w:rFonts w:ascii="Tahoma" w:eastAsia="Times New Roman" w:hAnsi="Tahoma" w:cs="Tahoma"/>
          <w:sz w:val="24"/>
          <w:szCs w:val="24"/>
          <w:lang w:eastAsia="fr-FR"/>
        </w:rPr>
        <w:t xml:space="preserve">. </w:t>
      </w:r>
    </w:p>
    <w:p w:rsidR="008018BA" w:rsidRPr="000A7532" w:rsidRDefault="008018BA" w:rsidP="008018BA">
      <w:pPr>
        <w:widowControl w:val="0"/>
        <w:autoSpaceDE w:val="0"/>
        <w:autoSpaceDN w:val="0"/>
        <w:spacing w:after="0" w:line="360" w:lineRule="auto"/>
        <w:jc w:val="both"/>
        <w:rPr>
          <w:rFonts w:ascii="Tahoma" w:eastAsia="Times New Roman" w:hAnsi="Tahoma" w:cs="Tahoma"/>
          <w:sz w:val="24"/>
          <w:szCs w:val="24"/>
        </w:rPr>
      </w:pPr>
      <w:r w:rsidRPr="00483402">
        <w:rPr>
          <w:rFonts w:ascii="Tahoma" w:eastAsia="Times New Roman" w:hAnsi="Tahoma" w:cs="Tahoma"/>
          <w:sz w:val="24"/>
          <w:szCs w:val="24"/>
          <w:lang w:eastAsia="fr-FR"/>
        </w:rPr>
        <w:t xml:space="preserve">L'arganeraie, écosystème emblématique du Maroc, illustre particulièrement cette surexploitation. Dès 1917-1925, cet écosystème avait déjà subi des coupes de bois à grande échelle pour approvisionner en combustible les centres urbains de Safi, Marrakech et Casablanca, ainsi que pour répondre à la demande d'exportation vers la France³. Les données historiques indiquent que ces coupes ont entraîné la disparition d'environ deux </w:t>
      </w:r>
      <w:r w:rsidRPr="00483402">
        <w:rPr>
          <w:rFonts w:ascii="Tahoma" w:eastAsia="Times New Roman" w:hAnsi="Tahoma" w:cs="Tahoma"/>
          <w:sz w:val="24"/>
          <w:szCs w:val="24"/>
          <w:lang w:eastAsia="fr-FR"/>
        </w:rPr>
        <w:lastRenderedPageBreak/>
        <w:t>mille hectares d'arganiers par an</w:t>
      </w:r>
      <w:r w:rsidRPr="00483402">
        <w:rPr>
          <w:rFonts w:ascii="Tahoma" w:eastAsia="Times New Roman" w:hAnsi="Tahoma" w:cs="Tahoma"/>
          <w:sz w:val="24"/>
          <w:szCs w:val="24"/>
          <w:vertAlign w:val="superscript"/>
          <w:lang w:eastAsia="fr-FR"/>
        </w:rPr>
        <w:footnoteReference w:id="47"/>
      </w:r>
      <w:r w:rsidRPr="00483402">
        <w:rPr>
          <w:rFonts w:ascii="Tahoma" w:eastAsia="Times New Roman" w:hAnsi="Tahoma" w:cs="Tahoma"/>
          <w:sz w:val="24"/>
          <w:szCs w:val="24"/>
          <w:lang w:eastAsia="fr-FR"/>
        </w:rPr>
        <w:t xml:space="preserve"> .</w:t>
      </w:r>
    </w:p>
    <w:p w:rsidR="008018BA" w:rsidRPr="000A7532" w:rsidRDefault="008018BA" w:rsidP="008018BA">
      <w:pPr>
        <w:spacing w:line="360" w:lineRule="auto"/>
        <w:jc w:val="both"/>
        <w:rPr>
          <w:rFonts w:ascii="Tahoma" w:eastAsia="Times New Roman" w:hAnsi="Tahoma" w:cs="Tahoma"/>
          <w:sz w:val="24"/>
          <w:szCs w:val="24"/>
        </w:rPr>
      </w:pPr>
      <w:r w:rsidRPr="001B4251">
        <w:rPr>
          <w:rFonts w:ascii="Tahoma" w:eastAsia="Times New Roman" w:hAnsi="Tahoma" w:cs="Tahoma"/>
          <w:sz w:val="24"/>
          <w:szCs w:val="24"/>
        </w:rPr>
        <w:t>Il convient de souligner que la forêt d'arganiers, classée réserve de biosphère par l'UNESCO en 1998, représente un symbole fondamental de la biodiversité et de la culture marocaines. Elle couvre environ 800 000 hectares et abrite plus de trois millions d'habitants qui dépendent de ses ressources pour leur subsistance. L'arganier (Argania spinosa) est reconnu pour sa capacité à lutter contre la désertification, constituant un écosystème vital dans une région confrontée à des défis environnementaux majeurs</w:t>
      </w:r>
      <w:r w:rsidRPr="000A7532">
        <w:rPr>
          <w:rFonts w:ascii="Tahoma" w:eastAsia="Times New Roman" w:hAnsi="Tahoma" w:cs="Tahoma"/>
          <w:sz w:val="24"/>
          <w:szCs w:val="24"/>
          <w:vertAlign w:val="superscript"/>
        </w:rPr>
        <w:footnoteReference w:id="48"/>
      </w:r>
      <w:r w:rsidRPr="000A7532">
        <w:rPr>
          <w:rFonts w:ascii="Tahoma" w:eastAsia="Times New Roman" w:hAnsi="Tahoma" w:cs="Tahoma"/>
          <w:sz w:val="24"/>
          <w:szCs w:val="24"/>
        </w:rPr>
        <w:t>.</w:t>
      </w:r>
    </w:p>
    <w:p w:rsidR="008018BA" w:rsidRPr="000A7532" w:rsidRDefault="008018BA" w:rsidP="008018BA">
      <w:pPr>
        <w:widowControl w:val="0"/>
        <w:autoSpaceDE w:val="0"/>
        <w:autoSpaceDN w:val="0"/>
        <w:spacing w:after="0" w:line="360" w:lineRule="auto"/>
        <w:jc w:val="both"/>
        <w:rPr>
          <w:rFonts w:ascii="Tahoma" w:eastAsia="Times New Roman" w:hAnsi="Tahoma" w:cs="Tahoma"/>
          <w:sz w:val="24"/>
          <w:szCs w:val="24"/>
        </w:rPr>
      </w:pPr>
      <w:r>
        <w:rPr>
          <w:rFonts w:ascii="Tahoma" w:eastAsia="Times New Roman" w:hAnsi="Tahoma" w:cs="Tahoma"/>
          <w:sz w:val="24"/>
          <w:szCs w:val="24"/>
        </w:rPr>
        <w:t>En effet, l</w:t>
      </w:r>
      <w:r w:rsidRPr="001D1EC7">
        <w:rPr>
          <w:rFonts w:ascii="Tahoma" w:eastAsia="Times New Roman" w:hAnsi="Tahoma" w:cs="Tahoma"/>
          <w:sz w:val="24"/>
          <w:szCs w:val="24"/>
        </w:rPr>
        <w:t>e passage d'une gestion communautaire des forêts marocaines à une gestion étatique monopolisée par l'Administration des Eaux et Forêts, ainsi que l'application du code forestier français au Maroc durant la période du protectorat (1912-1956), ont bouleversé radicalement le régime foncier et les modalités d'exploitation forestière. Cette transformation a conduit l'État à devenir propriétaire et gestionnaire exclusif de la quasi-totalité des espaces boisés</w:t>
      </w:r>
      <w:r w:rsidRPr="000A7532">
        <w:rPr>
          <w:rFonts w:ascii="Tahoma" w:eastAsia="Times New Roman" w:hAnsi="Tahoma" w:cs="Tahoma"/>
          <w:sz w:val="24"/>
          <w:szCs w:val="24"/>
          <w:vertAlign w:val="superscript"/>
        </w:rPr>
        <w:footnoteReference w:id="49"/>
      </w:r>
      <w:r w:rsidRPr="000A7532">
        <w:rPr>
          <w:rFonts w:ascii="Tahoma" w:eastAsia="Times New Roman" w:hAnsi="Tahoma" w:cs="Tahoma"/>
          <w:sz w:val="24"/>
          <w:szCs w:val="24"/>
        </w:rPr>
        <w:t>.</w:t>
      </w:r>
    </w:p>
    <w:p w:rsidR="008018BA" w:rsidRDefault="008018BA" w:rsidP="008018BA">
      <w:pPr>
        <w:spacing w:line="360" w:lineRule="auto"/>
        <w:jc w:val="both"/>
        <w:rPr>
          <w:rFonts w:ascii="Tahoma" w:eastAsia="Times New Roman" w:hAnsi="Tahoma" w:cs="Tahoma"/>
          <w:sz w:val="24"/>
          <w:szCs w:val="24"/>
        </w:rPr>
      </w:pPr>
      <w:r w:rsidRPr="0039191B">
        <w:rPr>
          <w:rFonts w:ascii="Tahoma" w:eastAsia="Times New Roman" w:hAnsi="Tahoma" w:cs="Tahoma"/>
          <w:sz w:val="24"/>
          <w:szCs w:val="24"/>
        </w:rPr>
        <w:t>Dans les pays colonisés, les politiques relatives à la protection des forêts visaient principalement à soumettre et à déposséder les populations locales de leurs ressources naturelles. En Algérie, par exemple, le discours sur la dégradation environnementale a servi d'instrument de justification pour la politique coloniale</w:t>
      </w:r>
      <w:r>
        <w:rPr>
          <w:rFonts w:ascii="Tahoma" w:eastAsia="Times New Roman" w:hAnsi="Tahoma" w:cs="Tahoma"/>
          <w:sz w:val="24"/>
          <w:szCs w:val="24"/>
        </w:rPr>
        <w:t>.</w:t>
      </w:r>
      <w:r w:rsidRPr="0039191B">
        <w:rPr>
          <w:rFonts w:ascii="Tahoma" w:eastAsia="Times New Roman" w:hAnsi="Tahoma" w:cs="Tahoma"/>
          <w:sz w:val="24"/>
          <w:szCs w:val="24"/>
        </w:rPr>
        <w:t xml:space="preserve"> « Tout au long de la période coloniale, le récit déclinant a servi trois objectifs principaux : l'appropriation des terres et des ressources, le contrôle social (y compris la mobilisation de la main-d'œuvre) et la transformation de la production de subsistance en production commerciale »</w:t>
      </w:r>
      <w:r w:rsidRPr="0039191B">
        <w:rPr>
          <w:rFonts w:ascii="Tahoma" w:eastAsia="Times New Roman" w:hAnsi="Tahoma" w:cs="Tahoma"/>
          <w:sz w:val="24"/>
          <w:szCs w:val="24"/>
          <w:vertAlign w:val="superscript"/>
        </w:rPr>
        <w:footnoteReference w:id="50"/>
      </w:r>
      <w:r w:rsidRPr="0039191B">
        <w:rPr>
          <w:rFonts w:ascii="Tahoma" w:eastAsia="Times New Roman" w:hAnsi="Tahoma" w:cs="Tahoma"/>
          <w:sz w:val="24"/>
          <w:szCs w:val="24"/>
        </w:rPr>
        <w:t xml:space="preserve"> .</w:t>
      </w:r>
    </w:p>
    <w:p w:rsidR="008018BA" w:rsidRPr="00FA341B" w:rsidRDefault="008018BA" w:rsidP="008018BA">
      <w:pPr>
        <w:widowControl w:val="0"/>
        <w:autoSpaceDE w:val="0"/>
        <w:autoSpaceDN w:val="0"/>
        <w:spacing w:after="0" w:line="360" w:lineRule="auto"/>
        <w:jc w:val="both"/>
        <w:rPr>
          <w:rFonts w:ascii="Tahoma" w:eastAsia="Times New Roman" w:hAnsi="Tahoma" w:cs="Tahoma"/>
          <w:sz w:val="24"/>
          <w:szCs w:val="24"/>
        </w:rPr>
      </w:pPr>
      <w:r w:rsidRPr="00FA341B">
        <w:rPr>
          <w:rFonts w:ascii="Tahoma" w:eastAsia="Times New Roman" w:hAnsi="Tahoma" w:cs="Tahoma"/>
          <w:sz w:val="24"/>
          <w:szCs w:val="24"/>
        </w:rPr>
        <w:t>Au Maghreb, l'intégration de certains terrains de parcours des nomades dans le domaine forestier faisait partie intégrante de ce projet colonial. Ce récit déclinant sur l'environnement a facilité l'expulsion des populations autochtones des terres les plus fertiles, ouvrant ainsi la voie à l'agriculture coloniale¹.</w:t>
      </w:r>
    </w:p>
    <w:p w:rsidR="008018BA" w:rsidRDefault="008018BA" w:rsidP="008018BA">
      <w:pPr>
        <w:widowControl w:val="0"/>
        <w:autoSpaceDE w:val="0"/>
        <w:autoSpaceDN w:val="0"/>
        <w:spacing w:after="0" w:line="360" w:lineRule="auto"/>
        <w:jc w:val="both"/>
        <w:rPr>
          <w:rFonts w:ascii="Tahoma" w:eastAsia="Times New Roman" w:hAnsi="Tahoma" w:cs="Tahoma"/>
          <w:sz w:val="24"/>
          <w:szCs w:val="24"/>
        </w:rPr>
      </w:pPr>
      <w:r w:rsidRPr="00FA341B">
        <w:rPr>
          <w:rFonts w:ascii="Tahoma" w:eastAsia="Times New Roman" w:hAnsi="Tahoma" w:cs="Tahoma"/>
          <w:sz w:val="24"/>
          <w:szCs w:val="24"/>
        </w:rPr>
        <w:t xml:space="preserve">Cette instrumentalisation du discours environnemental s'inscrivait dans une stratégie plus </w:t>
      </w:r>
      <w:r w:rsidRPr="00FA341B">
        <w:rPr>
          <w:rFonts w:ascii="Tahoma" w:eastAsia="Times New Roman" w:hAnsi="Tahoma" w:cs="Tahoma"/>
          <w:sz w:val="24"/>
          <w:szCs w:val="24"/>
        </w:rPr>
        <w:lastRenderedPageBreak/>
        <w:t>large de transformation territoriale. Comme le souligne Davis, cité par Aubert, « le récit environnemental... a été utilisé pour justifier des lois sur la propriété privée niant les droits des Nord-Africains, pour sédentariser les nomades, pour promouvoir des programmes de reboisement et pour instaurer des régle</w:t>
      </w:r>
      <w:r>
        <w:rPr>
          <w:rFonts w:ascii="Tahoma" w:eastAsia="Times New Roman" w:hAnsi="Tahoma" w:cs="Tahoma"/>
          <w:sz w:val="24"/>
          <w:szCs w:val="24"/>
        </w:rPr>
        <w:t>mentations forestières sévères</w:t>
      </w:r>
      <w:r w:rsidRPr="000A7532">
        <w:rPr>
          <w:rFonts w:ascii="Tahoma" w:eastAsia="Times New Roman" w:hAnsi="Tahoma" w:cs="Tahoma"/>
          <w:sz w:val="24"/>
          <w:szCs w:val="24"/>
        </w:rPr>
        <w:t>»</w:t>
      </w:r>
      <w:r w:rsidRPr="000A7532">
        <w:rPr>
          <w:rFonts w:ascii="Tahoma" w:eastAsia="Times New Roman" w:hAnsi="Tahoma" w:cs="Tahoma"/>
          <w:sz w:val="24"/>
          <w:szCs w:val="24"/>
          <w:vertAlign w:val="superscript"/>
        </w:rPr>
        <w:footnoteReference w:id="51"/>
      </w:r>
      <w:r w:rsidRPr="000A7532">
        <w:rPr>
          <w:rFonts w:ascii="Tahoma" w:eastAsia="Times New Roman" w:hAnsi="Tahoma" w:cs="Tahoma"/>
          <w:sz w:val="24"/>
          <w:szCs w:val="24"/>
        </w:rPr>
        <w:t>.</w:t>
      </w:r>
    </w:p>
    <w:p w:rsidR="008018BA" w:rsidRDefault="008018BA" w:rsidP="008018BA">
      <w:pPr>
        <w:widowControl w:val="0"/>
        <w:autoSpaceDE w:val="0"/>
        <w:autoSpaceDN w:val="0"/>
        <w:spacing w:after="0" w:line="360" w:lineRule="auto"/>
        <w:jc w:val="both"/>
        <w:rPr>
          <w:rFonts w:ascii="Tahoma" w:eastAsia="Times New Roman" w:hAnsi="Tahoma" w:cs="Tahoma"/>
          <w:sz w:val="24"/>
          <w:szCs w:val="24"/>
        </w:rPr>
      </w:pPr>
    </w:p>
    <w:p w:rsidR="008018BA" w:rsidRDefault="008018BA" w:rsidP="008018BA">
      <w:pPr>
        <w:widowControl w:val="0"/>
        <w:autoSpaceDE w:val="0"/>
        <w:autoSpaceDN w:val="0"/>
        <w:spacing w:after="0" w:line="360" w:lineRule="auto"/>
        <w:jc w:val="both"/>
        <w:rPr>
          <w:rFonts w:ascii="Tahoma" w:eastAsia="Times New Roman" w:hAnsi="Tahoma" w:cs="Tahoma"/>
          <w:sz w:val="24"/>
          <w:szCs w:val="24"/>
        </w:rPr>
      </w:pPr>
      <w:r w:rsidRPr="009B3F0D">
        <w:rPr>
          <w:rFonts w:ascii="Tahoma" w:eastAsia="Times New Roman" w:hAnsi="Tahoma" w:cs="Tahoma"/>
          <w:sz w:val="24"/>
          <w:szCs w:val="24"/>
        </w:rPr>
        <w:t>Après la Seconde Guerre mondiale, la consommation de bois de feu extrait des forêts marocaines était estimée à environ 6,35 millions de tonnes par an, entraînant une déforestation annuelle d'environ 20 000 hectares. Ce niveau d'exploitation non durable témoigne de la pression exercée sur les écosystèmes forestiers, une pression exacerbée par les transformations socio-économiques et les besoins énergétiques croissants</w:t>
      </w:r>
      <w:r w:rsidRPr="009B3F0D">
        <w:rPr>
          <w:rFonts w:ascii="Tahoma" w:eastAsia="Times New Roman" w:hAnsi="Tahoma" w:cs="Tahoma"/>
          <w:sz w:val="24"/>
          <w:szCs w:val="24"/>
          <w:vertAlign w:val="superscript"/>
        </w:rPr>
        <w:footnoteReference w:id="52"/>
      </w:r>
      <w:r>
        <w:rPr>
          <w:rFonts w:ascii="Tahoma" w:eastAsia="Times New Roman" w:hAnsi="Tahoma" w:cs="Tahoma"/>
          <w:sz w:val="24"/>
          <w:szCs w:val="24"/>
        </w:rPr>
        <w:t>.</w:t>
      </w:r>
    </w:p>
    <w:p w:rsidR="008018BA" w:rsidRPr="00F10B74" w:rsidRDefault="008018BA" w:rsidP="008018BA">
      <w:pPr>
        <w:widowControl w:val="0"/>
        <w:autoSpaceDE w:val="0"/>
        <w:autoSpaceDN w:val="0"/>
        <w:spacing w:after="0" w:line="360" w:lineRule="auto"/>
        <w:jc w:val="both"/>
        <w:rPr>
          <w:rFonts w:ascii="Tahoma" w:eastAsia="Times New Roman" w:hAnsi="Tahoma" w:cs="Tahoma"/>
          <w:sz w:val="24"/>
          <w:szCs w:val="24"/>
        </w:rPr>
      </w:pPr>
      <w:r w:rsidRPr="009B3F0D">
        <w:rPr>
          <w:rFonts w:ascii="Tahoma" w:eastAsia="Times New Roman" w:hAnsi="Tahoma" w:cs="Tahoma"/>
          <w:sz w:val="24"/>
        </w:rPr>
        <w:t xml:space="preserve">Cette surexploitation trouve ses racines dans les transformations du régime foncier forestier instaurées durant le protectorat. Le processus de domanialisation a été formalisé par la circulaire du Grand Vizir du 1er novembre 1912, qui stipulait que « certains biens ne peuvent être aliénés en aucune manière sans l'autorisation du Makhzen, car celui-ci détient sur ces biens des droits de propriété </w:t>
      </w:r>
      <w:r w:rsidRPr="00BB1727">
        <w:rPr>
          <w:rFonts w:ascii="Tahoma" w:eastAsia="Times New Roman" w:hAnsi="Tahoma" w:cs="Tahoma"/>
          <w:sz w:val="24"/>
        </w:rPr>
        <w:t>ou de contrôle ; il s'agit des forêts, qui appartiennent au Makhzen, sous réserve des droits d'usage »</w:t>
      </w:r>
      <w:r w:rsidRPr="00BB1727">
        <w:rPr>
          <w:rFonts w:ascii="Tahoma" w:eastAsia="Times New Roman" w:hAnsi="Tahoma" w:cs="Tahoma"/>
          <w:i/>
          <w:iCs/>
          <w:sz w:val="24"/>
          <w:vertAlign w:val="superscript"/>
        </w:rPr>
        <w:footnoteReference w:id="53"/>
      </w:r>
      <w:r w:rsidRPr="00BB1727">
        <w:rPr>
          <w:rFonts w:ascii="Tahoma" w:eastAsia="Times New Roman" w:hAnsi="Tahoma" w:cs="Tahoma"/>
          <w:sz w:val="24"/>
        </w:rPr>
        <w:t>.</w:t>
      </w:r>
      <w:r w:rsidRPr="00BB1727">
        <w:rPr>
          <w:rFonts w:ascii="Tahoma" w:eastAsia="Times New Roman" w:hAnsi="Tahoma" w:cs="Tahoma"/>
          <w:spacing w:val="1"/>
          <w:sz w:val="24"/>
        </w:rPr>
        <w:t xml:space="preserve"> </w:t>
      </w:r>
      <w:r w:rsidRPr="009B3F0D">
        <w:rPr>
          <w:rFonts w:ascii="Tahoma" w:eastAsia="Times New Roman" w:hAnsi="Tahoma" w:cs="Tahoma"/>
          <w:sz w:val="24"/>
        </w:rPr>
        <w:t>Cette appropriation étatique marquait une rupture fondamentale avec le système traditionnel. Auparavant, la forêt marocaine constituait un bien collectif géré par les tribus usagères, dont les structures organisationnelles traditionnelles assuraient la gestion des intérêts communautaires avec une autonomie significative vis-à-vis du pouvoir central. Cette transformation s'inscrivait dans une logique coloniale plus large qui, selon Bayart, instrumentalisait les discours présentant l'Afrique comme « vide » et « désolée » pour légitimer la présence européenne et justifier une mission civilisatrice</w:t>
      </w:r>
      <w:r>
        <w:rPr>
          <w:rStyle w:val="Appelnotedebasdep"/>
          <w:rFonts w:ascii="Tahoma" w:eastAsia="Times New Roman" w:hAnsi="Tahoma" w:cs="Tahoma"/>
          <w:sz w:val="24"/>
        </w:rPr>
        <w:footnoteReference w:id="54"/>
      </w:r>
      <w:r>
        <w:rPr>
          <w:rFonts w:ascii="Tahoma" w:eastAsia="Times New Roman" w:hAnsi="Tahoma" w:cs="Tahoma"/>
          <w:sz w:val="24"/>
        </w:rPr>
        <w:t>.</w:t>
      </w:r>
    </w:p>
    <w:p w:rsidR="008018BA" w:rsidRDefault="008018BA" w:rsidP="008018BA">
      <w:pPr>
        <w:widowControl w:val="0"/>
        <w:autoSpaceDE w:val="0"/>
        <w:autoSpaceDN w:val="0"/>
        <w:spacing w:before="160" w:after="0" w:line="360" w:lineRule="auto"/>
        <w:jc w:val="both"/>
        <w:rPr>
          <w:rFonts w:ascii="Tahoma" w:eastAsia="Times New Roman" w:hAnsi="Tahoma" w:cs="Tahoma"/>
          <w:sz w:val="24"/>
          <w:szCs w:val="24"/>
        </w:rPr>
      </w:pPr>
      <w:r w:rsidRPr="008C0E88">
        <w:rPr>
          <w:rFonts w:ascii="Tahoma" w:eastAsia="Times New Roman" w:hAnsi="Tahoma" w:cs="Tahoma"/>
          <w:sz w:val="24"/>
          <w:szCs w:val="24"/>
        </w:rPr>
        <w:t>Les premières années du protectorat se caractéris</w:t>
      </w:r>
      <w:r>
        <w:rPr>
          <w:rFonts w:ascii="Tahoma" w:eastAsia="Times New Roman" w:hAnsi="Tahoma" w:cs="Tahoma"/>
          <w:sz w:val="24"/>
          <w:szCs w:val="24"/>
        </w:rPr>
        <w:t>ai</w:t>
      </w:r>
      <w:r w:rsidRPr="008C0E88">
        <w:rPr>
          <w:rFonts w:ascii="Tahoma" w:eastAsia="Times New Roman" w:hAnsi="Tahoma" w:cs="Tahoma"/>
          <w:sz w:val="24"/>
          <w:szCs w:val="24"/>
        </w:rPr>
        <w:t xml:space="preserve">ent par une production législative intensive visant à encadrer et aménager les peuplements forestiers. Trois textes </w:t>
      </w:r>
      <w:r w:rsidRPr="008C0E88">
        <w:rPr>
          <w:rFonts w:ascii="Tahoma" w:eastAsia="Times New Roman" w:hAnsi="Tahoma" w:cs="Tahoma"/>
          <w:sz w:val="24"/>
          <w:szCs w:val="24"/>
        </w:rPr>
        <w:lastRenderedPageBreak/>
        <w:t>fondamentaux structur</w:t>
      </w:r>
      <w:r>
        <w:rPr>
          <w:rFonts w:ascii="Tahoma" w:eastAsia="Times New Roman" w:hAnsi="Tahoma" w:cs="Tahoma"/>
          <w:sz w:val="24"/>
          <w:szCs w:val="24"/>
        </w:rPr>
        <w:t>ai</w:t>
      </w:r>
      <w:r w:rsidRPr="008C0E88">
        <w:rPr>
          <w:rFonts w:ascii="Tahoma" w:eastAsia="Times New Roman" w:hAnsi="Tahoma" w:cs="Tahoma"/>
          <w:sz w:val="24"/>
          <w:szCs w:val="24"/>
        </w:rPr>
        <w:t>ent cette réglementation : le Dahir du 27 décembre 1913 sur la protection des forêts, celui du 3 janvier 1916 sur la délimitation du domaine de l'État, et le Dahir du 10 octobre 1917 sur la conservation et l'exploitation des forêts. Ce dern</w:t>
      </w:r>
      <w:r>
        <w:rPr>
          <w:rFonts w:ascii="Tahoma" w:eastAsia="Times New Roman" w:hAnsi="Tahoma" w:cs="Tahoma"/>
          <w:sz w:val="24"/>
          <w:szCs w:val="24"/>
        </w:rPr>
        <w:t>ier constituait</w:t>
      </w:r>
      <w:r w:rsidRPr="008C0E88">
        <w:rPr>
          <w:rFonts w:ascii="Tahoma" w:eastAsia="Times New Roman" w:hAnsi="Tahoma" w:cs="Tahoma"/>
          <w:sz w:val="24"/>
          <w:szCs w:val="24"/>
        </w:rPr>
        <w:t xml:space="preserve"> la pierre angulaire de l'aménagement forestier durant toute la période du protectorat français, ses principes directeurs continuant de structurer le code forestier marocain actuel</w:t>
      </w:r>
      <w:r w:rsidRPr="00BB3DD5">
        <w:rPr>
          <w:rFonts w:ascii="Tahoma" w:eastAsia="Times New Roman" w:hAnsi="Tahoma" w:cs="Tahoma"/>
          <w:sz w:val="24"/>
          <w:szCs w:val="24"/>
        </w:rPr>
        <w:t>.</w:t>
      </w:r>
    </w:p>
    <w:p w:rsidR="008018BA" w:rsidRPr="00BB3DD5" w:rsidRDefault="008018BA" w:rsidP="008018BA">
      <w:pPr>
        <w:widowControl w:val="0"/>
        <w:autoSpaceDE w:val="0"/>
        <w:autoSpaceDN w:val="0"/>
        <w:spacing w:before="160" w:after="0" w:line="360" w:lineRule="auto"/>
        <w:jc w:val="both"/>
        <w:rPr>
          <w:rFonts w:ascii="Tahoma" w:eastAsia="Times New Roman" w:hAnsi="Tahoma" w:cs="Tahoma"/>
          <w:sz w:val="24"/>
          <w:szCs w:val="24"/>
        </w:rPr>
      </w:pPr>
      <w:r w:rsidRPr="00BB3DD5">
        <w:rPr>
          <w:rFonts w:ascii="Tahoma" w:eastAsia="Times New Roman" w:hAnsi="Tahoma" w:cs="Tahoma"/>
          <w:sz w:val="24"/>
          <w:szCs w:val="24"/>
        </w:rPr>
        <w:t>Cette réglementation révélait une démarche résolument répressive et centralisée. Le Dahir de 1917 attribue aux forestiers des fonctions de surveillance, de contrôle, d'interdiction, de verbalisation et, le cas échéant, de poursuites judiciaires. L'architecture même du texte témoigne de cette orientation sécuritaire : le titre VI traite de la police et de la conservation des forêts, le titre VII de la constatation des délits, et le titre VIII des poursuites et réparations des infractions</w:t>
      </w:r>
      <w:r w:rsidRPr="00BB3DD5">
        <w:rPr>
          <w:rFonts w:ascii="Tahoma" w:eastAsia="Times New Roman" w:hAnsi="Tahoma" w:cs="Tahoma"/>
          <w:sz w:val="24"/>
          <w:szCs w:val="24"/>
          <w:vertAlign w:val="superscript"/>
        </w:rPr>
        <w:footnoteReference w:id="55"/>
      </w:r>
      <w:r w:rsidRPr="00BB3DD5">
        <w:rPr>
          <w:rFonts w:ascii="Tahoma" w:eastAsia="Times New Roman" w:hAnsi="Tahoma" w:cs="Tahoma"/>
          <w:sz w:val="24"/>
          <w:szCs w:val="24"/>
        </w:rPr>
        <w:t xml:space="preserve">. </w:t>
      </w:r>
    </w:p>
    <w:p w:rsidR="008018BA" w:rsidRDefault="008018BA" w:rsidP="008018BA">
      <w:pPr>
        <w:widowControl w:val="0"/>
        <w:autoSpaceDE w:val="0"/>
        <w:autoSpaceDN w:val="0"/>
        <w:spacing w:before="160" w:after="0" w:line="360" w:lineRule="auto"/>
        <w:jc w:val="both"/>
        <w:rPr>
          <w:rFonts w:ascii="Tahoma" w:eastAsia="Times New Roman" w:hAnsi="Tahoma" w:cs="Tahoma"/>
          <w:sz w:val="24"/>
          <w:szCs w:val="24"/>
        </w:rPr>
      </w:pPr>
      <w:r w:rsidRPr="00BB3DD5">
        <w:rPr>
          <w:rFonts w:ascii="Tahoma" w:eastAsia="Times New Roman" w:hAnsi="Tahoma" w:cs="Tahoma"/>
          <w:sz w:val="24"/>
          <w:szCs w:val="24"/>
        </w:rPr>
        <w:t>Cette conception descendante et centralisée de la gestion forestière</w:t>
      </w:r>
      <w:r w:rsidRPr="00AB137A">
        <w:rPr>
          <w:rFonts w:ascii="Tahoma" w:eastAsia="Times New Roman" w:hAnsi="Tahoma" w:cs="Tahoma"/>
          <w:sz w:val="24"/>
          <w:szCs w:val="24"/>
        </w:rPr>
        <w:t xml:space="preserve"> privilégie l'autorité étatique au détriment des modes de gestion traditionnels et des intérêts des communautés locales.</w:t>
      </w:r>
      <w:r>
        <w:rPr>
          <w:rFonts w:ascii="Tahoma" w:eastAsia="Times New Roman" w:hAnsi="Tahoma" w:cs="Tahoma"/>
          <w:sz w:val="24"/>
          <w:szCs w:val="24"/>
        </w:rPr>
        <w:t xml:space="preserve"> En revanche</w:t>
      </w:r>
      <w:r w:rsidRPr="00AB137A">
        <w:rPr>
          <w:rFonts w:ascii="Tahoma" w:eastAsia="Times New Roman" w:hAnsi="Tahoma" w:cs="Tahoma"/>
          <w:sz w:val="24"/>
          <w:szCs w:val="24"/>
        </w:rPr>
        <w:t>, aucune disposition n'accorde de priorité à la coordination entre les différents acteurs ni à l'implication des populations locales dans les processus décisionnels.</w:t>
      </w:r>
    </w:p>
    <w:p w:rsidR="008018BA" w:rsidRPr="000A7532" w:rsidRDefault="008018BA" w:rsidP="008018BA">
      <w:pPr>
        <w:widowControl w:val="0"/>
        <w:autoSpaceDE w:val="0"/>
        <w:autoSpaceDN w:val="0"/>
        <w:spacing w:before="160" w:after="0" w:line="360" w:lineRule="auto"/>
        <w:jc w:val="both"/>
        <w:rPr>
          <w:rFonts w:ascii="Tahoma" w:eastAsia="Times New Roman" w:hAnsi="Tahoma" w:cs="Tahoma"/>
          <w:sz w:val="24"/>
          <w:szCs w:val="24"/>
        </w:rPr>
      </w:pPr>
      <w:r w:rsidRPr="000A7532">
        <w:rPr>
          <w:rFonts w:ascii="Tahoma" w:eastAsia="Times New Roman" w:hAnsi="Tahoma" w:cs="Tahoma"/>
          <w:sz w:val="24"/>
          <w:szCs w:val="24"/>
        </w:rPr>
        <w:t xml:space="preserve">En définitive, </w:t>
      </w:r>
      <w:r>
        <w:rPr>
          <w:rFonts w:ascii="Tahoma" w:eastAsia="Times New Roman" w:hAnsi="Tahoma" w:cs="Tahoma"/>
          <w:sz w:val="24"/>
          <w:szCs w:val="24"/>
        </w:rPr>
        <w:t>l</w:t>
      </w:r>
      <w:r w:rsidRPr="00AB137A">
        <w:rPr>
          <w:rFonts w:ascii="Tahoma" w:eastAsia="Times New Roman" w:hAnsi="Tahoma" w:cs="Tahoma"/>
          <w:sz w:val="24"/>
          <w:szCs w:val="24"/>
        </w:rPr>
        <w:t xml:space="preserve">e Dahir de 1917 marque un tournant historique dans la gestion des forêts au Maroc, ayant conduit à l'intégration de la quasi-totalité des forêts (plus de 99 %) dans le domaine forestier de l'État par </w:t>
      </w:r>
      <w:r>
        <w:rPr>
          <w:rFonts w:ascii="Tahoma" w:eastAsia="Times New Roman" w:hAnsi="Tahoma" w:cs="Tahoma"/>
          <w:sz w:val="24"/>
          <w:szCs w:val="24"/>
        </w:rPr>
        <w:t>le processus de domanialisation</w:t>
      </w:r>
      <w:r w:rsidRPr="00AB137A">
        <w:rPr>
          <w:rFonts w:ascii="Tahoma" w:eastAsia="Times New Roman" w:hAnsi="Tahoma" w:cs="Tahoma"/>
          <w:sz w:val="24"/>
          <w:szCs w:val="24"/>
        </w:rPr>
        <w:t>. Cette transformation a fondamentalement modifié le statut juridique des espaces boisés, les faisant passer d'un régime de propriété collective traditionnelle à une app</w:t>
      </w:r>
      <w:r>
        <w:rPr>
          <w:rFonts w:ascii="Tahoma" w:eastAsia="Times New Roman" w:hAnsi="Tahoma" w:cs="Tahoma"/>
          <w:sz w:val="24"/>
          <w:szCs w:val="24"/>
        </w:rPr>
        <w:t>ropriation étatique centralisée</w:t>
      </w:r>
      <w:r w:rsidRPr="000A7532">
        <w:rPr>
          <w:rFonts w:ascii="Tahoma" w:eastAsia="Times New Roman" w:hAnsi="Tahoma" w:cs="Tahoma"/>
          <w:sz w:val="24"/>
          <w:szCs w:val="24"/>
          <w:vertAlign w:val="superscript"/>
        </w:rPr>
        <w:footnoteReference w:id="56"/>
      </w:r>
      <w:r w:rsidRPr="000A7532">
        <w:rPr>
          <w:rFonts w:ascii="Tahoma" w:eastAsia="Times New Roman" w:hAnsi="Tahoma" w:cs="Tahoma"/>
          <w:sz w:val="24"/>
          <w:szCs w:val="24"/>
        </w:rPr>
        <w:t xml:space="preserve">. </w:t>
      </w:r>
    </w:p>
    <w:p w:rsidR="008018BA" w:rsidRDefault="008018BA" w:rsidP="008018BA">
      <w:pPr>
        <w:widowControl w:val="0"/>
        <w:autoSpaceDE w:val="0"/>
        <w:autoSpaceDN w:val="0"/>
        <w:spacing w:before="160" w:after="0" w:line="360" w:lineRule="auto"/>
        <w:jc w:val="both"/>
        <w:rPr>
          <w:rFonts w:ascii="Tahoma" w:eastAsia="Times New Roman" w:hAnsi="Tahoma" w:cs="Tahoma"/>
          <w:sz w:val="24"/>
          <w:szCs w:val="24"/>
        </w:rPr>
      </w:pPr>
      <w:r w:rsidRPr="00AB137A">
        <w:rPr>
          <w:rFonts w:ascii="Tahoma" w:eastAsia="Times New Roman" w:hAnsi="Tahoma" w:cs="Tahoma"/>
          <w:sz w:val="24"/>
          <w:szCs w:val="24"/>
        </w:rPr>
        <w:t>Actuellement, la gestion des massifs forestiers est confiée à l'Agence Nationale des Eaux et Forêts (ANEF). Les ingénieurs forestiers de cette institution sont également investis de la qualité d'officiers de police judiciaire, leur conférant la responsabilité d'appliquer la législation forestière</w:t>
      </w:r>
      <w:r w:rsidRPr="000A7532">
        <w:rPr>
          <w:rFonts w:ascii="Tahoma" w:eastAsia="Times New Roman" w:hAnsi="Tahoma" w:cs="Tahoma"/>
          <w:sz w:val="24"/>
          <w:szCs w:val="24"/>
          <w:vertAlign w:val="superscript"/>
        </w:rPr>
        <w:footnoteReference w:id="57"/>
      </w:r>
      <w:r w:rsidRPr="000A7532">
        <w:rPr>
          <w:rFonts w:ascii="Tahoma" w:eastAsia="Times New Roman" w:hAnsi="Tahoma" w:cs="Tahoma"/>
          <w:sz w:val="24"/>
          <w:szCs w:val="24"/>
        </w:rPr>
        <w:t xml:space="preserve">. </w:t>
      </w:r>
      <w:r w:rsidRPr="00AB137A">
        <w:rPr>
          <w:rFonts w:ascii="Tahoma" w:eastAsia="Times New Roman" w:hAnsi="Tahoma" w:cs="Tahoma"/>
          <w:sz w:val="24"/>
          <w:szCs w:val="24"/>
        </w:rPr>
        <w:t xml:space="preserve">Cette double attribution </w:t>
      </w:r>
      <w:r w:rsidRPr="000A7532">
        <w:rPr>
          <w:rFonts w:ascii="Tahoma" w:eastAsia="Times New Roman" w:hAnsi="Tahoma" w:cs="Tahoma"/>
          <w:sz w:val="24"/>
          <w:szCs w:val="24"/>
        </w:rPr>
        <w:t xml:space="preserve">illustre la persistance d'une approche </w:t>
      </w:r>
      <w:r w:rsidRPr="000A7532">
        <w:rPr>
          <w:rFonts w:ascii="Tahoma" w:eastAsia="Times New Roman" w:hAnsi="Tahoma" w:cs="Tahoma"/>
          <w:sz w:val="24"/>
          <w:szCs w:val="24"/>
        </w:rPr>
        <w:lastRenderedPageBreak/>
        <w:t xml:space="preserve">régalienne de la gestion forestière, </w:t>
      </w:r>
      <w:r w:rsidRPr="00AB137A">
        <w:rPr>
          <w:rFonts w:ascii="Tahoma" w:eastAsia="Times New Roman" w:hAnsi="Tahoma" w:cs="Tahoma"/>
          <w:sz w:val="24"/>
          <w:szCs w:val="24"/>
        </w:rPr>
        <w:t>privilégiant</w:t>
      </w:r>
      <w:r>
        <w:rPr>
          <w:rFonts w:ascii="Tahoma" w:eastAsia="Times New Roman" w:hAnsi="Tahoma" w:cs="Tahoma"/>
          <w:sz w:val="24"/>
          <w:szCs w:val="24"/>
        </w:rPr>
        <w:t xml:space="preserve"> </w:t>
      </w:r>
      <w:r w:rsidRPr="000A7532">
        <w:rPr>
          <w:rFonts w:ascii="Tahoma" w:eastAsia="Times New Roman" w:hAnsi="Tahoma" w:cs="Tahoma"/>
          <w:sz w:val="24"/>
          <w:szCs w:val="24"/>
        </w:rPr>
        <w:t>la surveillance et la répression des infractions.</w:t>
      </w:r>
    </w:p>
    <w:p w:rsidR="008018BA" w:rsidRDefault="008018BA" w:rsidP="008018BA">
      <w:pPr>
        <w:widowControl w:val="0"/>
        <w:autoSpaceDE w:val="0"/>
        <w:autoSpaceDN w:val="0"/>
        <w:spacing w:before="160" w:after="0" w:line="360" w:lineRule="auto"/>
        <w:jc w:val="both"/>
        <w:rPr>
          <w:rFonts w:ascii="Tahoma" w:eastAsia="Times New Roman" w:hAnsi="Tahoma" w:cs="Tahoma"/>
          <w:sz w:val="24"/>
          <w:szCs w:val="24"/>
        </w:rPr>
      </w:pPr>
      <w:r w:rsidRPr="00030AFC">
        <w:rPr>
          <w:rFonts w:ascii="Tahoma" w:eastAsia="Times New Roman" w:hAnsi="Tahoma" w:cs="Tahoma"/>
          <w:sz w:val="24"/>
          <w:szCs w:val="24"/>
        </w:rPr>
        <w:t>Après avoir examiné l'évolution historique de la gestion forestière au Maroc, il convient d'analyser certains concepts clés dont l'usage influence les pratiques de gestion forestière, tant au niveau national qu'à l'échelle mondiale.</w:t>
      </w:r>
      <w:r>
        <w:rPr>
          <w:rFonts w:ascii="Tahoma" w:eastAsia="Times New Roman" w:hAnsi="Tahoma" w:cs="Tahoma"/>
          <w:sz w:val="24"/>
          <w:szCs w:val="24"/>
        </w:rPr>
        <w:t xml:space="preserve"> L’analyse</w:t>
      </w:r>
      <w:r w:rsidRPr="001823DC">
        <w:rPr>
          <w:rFonts w:ascii="Tahoma" w:eastAsia="Times New Roman" w:hAnsi="Tahoma" w:cs="Tahoma"/>
          <w:sz w:val="24"/>
          <w:szCs w:val="24"/>
        </w:rPr>
        <w:t xml:space="preserve"> conceptuelle constitue un préalable indispensabl</w:t>
      </w:r>
      <w:r>
        <w:rPr>
          <w:rFonts w:ascii="Tahoma" w:eastAsia="Times New Roman" w:hAnsi="Tahoma" w:cs="Tahoma"/>
          <w:sz w:val="24"/>
          <w:szCs w:val="24"/>
        </w:rPr>
        <w:t>e à toute recherche</w:t>
      </w:r>
      <w:r w:rsidRPr="001823DC">
        <w:rPr>
          <w:rFonts w:ascii="Tahoma" w:eastAsia="Times New Roman" w:hAnsi="Tahoma" w:cs="Tahoma"/>
          <w:sz w:val="24"/>
          <w:szCs w:val="24"/>
        </w:rPr>
        <w:t>, permettant de délim</w:t>
      </w:r>
      <w:r>
        <w:rPr>
          <w:rFonts w:ascii="Tahoma" w:eastAsia="Times New Roman" w:hAnsi="Tahoma" w:cs="Tahoma"/>
          <w:sz w:val="24"/>
          <w:szCs w:val="24"/>
        </w:rPr>
        <w:t>iter précisément l'objet d'étudié</w:t>
      </w:r>
      <w:r w:rsidRPr="001823DC">
        <w:rPr>
          <w:rFonts w:ascii="Tahoma" w:eastAsia="Times New Roman" w:hAnsi="Tahoma" w:cs="Tahoma"/>
          <w:sz w:val="24"/>
          <w:szCs w:val="24"/>
        </w:rPr>
        <w:t xml:space="preserve"> et d'éviter les ambiguïtés terminologiques. </w:t>
      </w:r>
    </w:p>
    <w:p w:rsidR="008018BA" w:rsidRPr="000A7532" w:rsidRDefault="008018BA" w:rsidP="008018BA">
      <w:pPr>
        <w:widowControl w:val="0"/>
        <w:autoSpaceDE w:val="0"/>
        <w:autoSpaceDN w:val="0"/>
        <w:spacing w:before="160" w:after="0" w:line="360" w:lineRule="auto"/>
        <w:jc w:val="both"/>
        <w:rPr>
          <w:rFonts w:ascii="Tahoma" w:eastAsia="Times New Roman" w:hAnsi="Tahoma" w:cs="Tahoma"/>
          <w:sz w:val="24"/>
          <w:szCs w:val="24"/>
        </w:rPr>
      </w:pPr>
      <w:r w:rsidRPr="001823DC">
        <w:rPr>
          <w:rFonts w:ascii="Tahoma" w:eastAsia="Times New Roman" w:hAnsi="Tahoma" w:cs="Tahoma"/>
          <w:sz w:val="24"/>
          <w:szCs w:val="24"/>
        </w:rPr>
        <w:t>Dans le domaine forestier, la définition du terme « dégradation » revêt une importance particulière, car elle détermine les critères permettant d'identifier les espaces qui ne peuvent plus être considérés comme des forêts.</w:t>
      </w:r>
      <w:r>
        <w:rPr>
          <w:rFonts w:ascii="Tahoma" w:eastAsia="Times New Roman" w:hAnsi="Tahoma" w:cs="Tahoma"/>
          <w:sz w:val="24"/>
          <w:szCs w:val="24"/>
        </w:rPr>
        <w:t xml:space="preserve"> </w:t>
      </w:r>
      <w:r w:rsidRPr="001823DC">
        <w:rPr>
          <w:rFonts w:ascii="Tahoma" w:eastAsia="Times New Roman" w:hAnsi="Tahoma" w:cs="Tahoma"/>
          <w:sz w:val="24"/>
          <w:szCs w:val="24"/>
        </w:rPr>
        <w:t>Cette exigence de précision conceptuelle se révèle d'autant plus cruciale que l'élaboration des rapports internationaux sur les forêts nécessite l'utilisation de définitions cohérentes, comparables et harmonisées. Les contextes nationaux influencent l'application des définitions internationales, créant une interaction dynamique entre les échelles locale et globale de compréhe</w:t>
      </w:r>
      <w:r>
        <w:rPr>
          <w:rFonts w:ascii="Tahoma" w:eastAsia="Times New Roman" w:hAnsi="Tahoma" w:cs="Tahoma"/>
          <w:sz w:val="24"/>
          <w:szCs w:val="24"/>
        </w:rPr>
        <w:t>nsion des phénomènes forestiers</w:t>
      </w:r>
      <w:r w:rsidRPr="00D31457">
        <w:rPr>
          <w:rFonts w:ascii="Tahoma" w:eastAsia="Times New Roman" w:hAnsi="Tahoma" w:cs="Tahoma"/>
          <w:sz w:val="24"/>
          <w:szCs w:val="24"/>
          <w:vertAlign w:val="superscript"/>
        </w:rPr>
        <w:footnoteReference w:id="58"/>
      </w:r>
      <w:r w:rsidRPr="000A7532">
        <w:rPr>
          <w:rFonts w:ascii="Tahoma" w:eastAsia="Times New Roman" w:hAnsi="Tahoma" w:cs="Tahoma"/>
          <w:sz w:val="24"/>
          <w:szCs w:val="24"/>
        </w:rPr>
        <w:t>.</w:t>
      </w:r>
    </w:p>
    <w:p w:rsidR="008018BA" w:rsidRPr="00480BAD" w:rsidRDefault="008018BA" w:rsidP="008018BA">
      <w:pPr>
        <w:widowControl w:val="0"/>
        <w:autoSpaceDE w:val="0"/>
        <w:autoSpaceDN w:val="0"/>
        <w:spacing w:after="0" w:line="360" w:lineRule="auto"/>
        <w:jc w:val="both"/>
        <w:rPr>
          <w:rFonts w:ascii="Tahoma" w:eastAsia="Times New Roman" w:hAnsi="Tahoma" w:cs="Tahoma"/>
          <w:sz w:val="24"/>
          <w:szCs w:val="24"/>
        </w:rPr>
      </w:pPr>
      <w:r w:rsidRPr="001823DC">
        <w:rPr>
          <w:rFonts w:ascii="Tahoma" w:eastAsia="Times New Roman" w:hAnsi="Tahoma" w:cs="Tahoma"/>
          <w:sz w:val="24"/>
          <w:szCs w:val="24"/>
        </w:rPr>
        <w:t xml:space="preserve">Selon l'Organisation des Nations Unies pour l'alimentation et l'agriculture (FAO), l'expérience démontre que dans certains États, les mêmes termes et définitions peuvent </w:t>
      </w:r>
      <w:r w:rsidRPr="00480BAD">
        <w:rPr>
          <w:rFonts w:ascii="Tahoma" w:eastAsia="Times New Roman" w:hAnsi="Tahoma" w:cs="Tahoma"/>
          <w:sz w:val="24"/>
          <w:szCs w:val="24"/>
        </w:rPr>
        <w:t>correspondre à des usages différents selon les contextes. L'adoption d'un processus d'harmonisation s'avère donc indispensable pour améliorer la qualité des rapports forestiers et l'utilisation des définitions, tout en mettant en évidence les divergences existantes.</w:t>
      </w:r>
    </w:p>
    <w:p w:rsidR="008018BA" w:rsidRPr="00480BAD" w:rsidRDefault="008018BA" w:rsidP="008018BA">
      <w:pPr>
        <w:widowControl w:val="0"/>
        <w:autoSpaceDE w:val="0"/>
        <w:autoSpaceDN w:val="0"/>
        <w:spacing w:before="160" w:after="0" w:line="360" w:lineRule="auto"/>
        <w:jc w:val="both"/>
        <w:rPr>
          <w:rFonts w:ascii="Tahoma" w:eastAsia="Times New Roman" w:hAnsi="Tahoma" w:cs="Tahoma"/>
          <w:sz w:val="24"/>
          <w:szCs w:val="24"/>
        </w:rPr>
      </w:pPr>
      <w:r w:rsidRPr="00480BAD">
        <w:rPr>
          <w:rFonts w:ascii="Tahoma" w:eastAsia="Times New Roman" w:hAnsi="Tahoma" w:cs="Tahoma"/>
          <w:sz w:val="24"/>
          <w:szCs w:val="24"/>
        </w:rPr>
        <w:t>Cette exigence d'harmonisation soulève la question de l'élaboration des définitions internationales. Celles-ci gagneraient à s'ouvrir davantage aux débats scientifiques et aux échanges approfondis préalablement à leur adoption</w:t>
      </w:r>
      <w:r w:rsidRPr="00480BAD">
        <w:rPr>
          <w:rFonts w:ascii="Tahoma" w:eastAsia="Times New Roman" w:hAnsi="Tahoma" w:cs="Tahoma"/>
          <w:sz w:val="24"/>
          <w:szCs w:val="24"/>
          <w:vertAlign w:val="superscript"/>
        </w:rPr>
        <w:footnoteReference w:id="59"/>
      </w:r>
      <w:r w:rsidRPr="00480BAD">
        <w:rPr>
          <w:rFonts w:ascii="Tahoma" w:eastAsia="Times New Roman" w:hAnsi="Tahoma" w:cs="Tahoma"/>
          <w:sz w:val="24"/>
          <w:szCs w:val="24"/>
        </w:rPr>
        <w:t>.</w:t>
      </w:r>
    </w:p>
    <w:p w:rsidR="008018BA" w:rsidRPr="00480BAD" w:rsidRDefault="008018BA" w:rsidP="008018BA">
      <w:pPr>
        <w:widowControl w:val="0"/>
        <w:autoSpaceDE w:val="0"/>
        <w:autoSpaceDN w:val="0"/>
        <w:spacing w:before="74" w:after="0" w:line="360" w:lineRule="auto"/>
        <w:jc w:val="both"/>
        <w:rPr>
          <w:rFonts w:ascii="Tahoma" w:eastAsia="Times New Roman" w:hAnsi="Tahoma" w:cs="Tahoma"/>
          <w:sz w:val="24"/>
          <w:szCs w:val="24"/>
        </w:rPr>
      </w:pPr>
      <w:r w:rsidRPr="00480BAD">
        <w:rPr>
          <w:rFonts w:ascii="Tahoma" w:eastAsia="Times New Roman" w:hAnsi="Tahoma" w:cs="Tahoma"/>
          <w:sz w:val="24"/>
          <w:szCs w:val="24"/>
        </w:rPr>
        <w:t xml:space="preserve">Les définitions relatives au domaine forestier, à l'instar de l'expression « dégradation des forêts », résultent en effet de processus politiques internationaux et constituent des outils ayant des répercussions considérables sur les plans économique, social et </w:t>
      </w:r>
      <w:r w:rsidRPr="00480BAD">
        <w:rPr>
          <w:rFonts w:ascii="Tahoma" w:eastAsia="Times New Roman" w:hAnsi="Tahoma" w:cs="Tahoma"/>
          <w:sz w:val="24"/>
          <w:szCs w:val="24"/>
        </w:rPr>
        <w:lastRenderedPageBreak/>
        <w:t>environnemental.</w:t>
      </w:r>
    </w:p>
    <w:p w:rsidR="008018BA" w:rsidRPr="000A7532" w:rsidRDefault="008018BA" w:rsidP="008018BA">
      <w:pPr>
        <w:widowControl w:val="0"/>
        <w:autoSpaceDE w:val="0"/>
        <w:autoSpaceDN w:val="0"/>
        <w:spacing w:before="74" w:after="0" w:line="360" w:lineRule="auto"/>
        <w:jc w:val="both"/>
        <w:rPr>
          <w:rFonts w:ascii="Tahoma" w:eastAsia="Times New Roman" w:hAnsi="Tahoma" w:cs="Tahoma"/>
          <w:sz w:val="24"/>
          <w:szCs w:val="24"/>
        </w:rPr>
      </w:pPr>
      <w:r w:rsidRPr="00480BAD">
        <w:rPr>
          <w:rFonts w:ascii="Tahoma" w:eastAsia="Times New Roman" w:hAnsi="Tahoma" w:cs="Tahoma"/>
          <w:sz w:val="24"/>
          <w:szCs w:val="24"/>
        </w:rPr>
        <w:t>Une révision approfondie de ces définitions doit donc prendre en considération leur finalité, en intégrant leurs contextes et objectifs spécifiques, afin de prévenir toute erreur d'interprétation. Ces concepts sont intrinsèquement liés à leur environnement institutionnel et nécessitent une approche nuancée qui tienne compte des spécificités nationales et locales.</w:t>
      </w:r>
    </w:p>
    <w:p w:rsidR="008018BA" w:rsidRPr="000A7532" w:rsidRDefault="008018BA" w:rsidP="008018BA">
      <w:pPr>
        <w:widowControl w:val="0"/>
        <w:autoSpaceDE w:val="0"/>
        <w:autoSpaceDN w:val="0"/>
        <w:spacing w:before="160" w:after="0" w:line="360" w:lineRule="auto"/>
        <w:jc w:val="both"/>
        <w:rPr>
          <w:rFonts w:ascii="Tahoma" w:eastAsia="Times New Roman" w:hAnsi="Tahoma" w:cs="Tahoma"/>
          <w:sz w:val="24"/>
          <w:szCs w:val="24"/>
        </w:rPr>
      </w:pPr>
      <w:r w:rsidRPr="000A7532">
        <w:rPr>
          <w:rFonts w:ascii="Tahoma" w:eastAsia="Times New Roman" w:hAnsi="Tahoma" w:cs="Tahoma"/>
          <w:sz w:val="24"/>
          <w:szCs w:val="24"/>
        </w:rPr>
        <w:t>En outre, l’étendue des concepts peut dans certains cas, dépasser la question de notification ou de</w:t>
      </w:r>
      <w:r w:rsidRPr="000A7532">
        <w:rPr>
          <w:rFonts w:ascii="Tahoma" w:eastAsia="Times New Roman" w:hAnsi="Tahoma" w:cs="Tahoma"/>
          <w:spacing w:val="-4"/>
          <w:sz w:val="24"/>
          <w:szCs w:val="24"/>
        </w:rPr>
        <w:t xml:space="preserve"> </w:t>
      </w:r>
      <w:r w:rsidRPr="000A7532">
        <w:rPr>
          <w:rFonts w:ascii="Tahoma" w:eastAsia="Times New Roman" w:hAnsi="Tahoma" w:cs="Tahoma"/>
          <w:sz w:val="24"/>
          <w:szCs w:val="24"/>
        </w:rPr>
        <w:t>suivi</w:t>
      </w:r>
      <w:r w:rsidRPr="000A7532">
        <w:rPr>
          <w:rFonts w:ascii="Tahoma" w:eastAsia="Times New Roman" w:hAnsi="Tahoma" w:cs="Tahoma"/>
          <w:spacing w:val="-2"/>
          <w:sz w:val="24"/>
          <w:szCs w:val="24"/>
        </w:rPr>
        <w:t xml:space="preserve"> </w:t>
      </w:r>
      <w:r w:rsidRPr="000A7532">
        <w:rPr>
          <w:rFonts w:ascii="Tahoma" w:eastAsia="Times New Roman" w:hAnsi="Tahoma" w:cs="Tahoma"/>
          <w:sz w:val="24"/>
          <w:szCs w:val="24"/>
        </w:rPr>
        <w:t>des</w:t>
      </w:r>
      <w:r w:rsidRPr="000A7532">
        <w:rPr>
          <w:rFonts w:ascii="Tahoma" w:eastAsia="Times New Roman" w:hAnsi="Tahoma" w:cs="Tahoma"/>
          <w:spacing w:val="-3"/>
          <w:sz w:val="24"/>
          <w:szCs w:val="24"/>
        </w:rPr>
        <w:t xml:space="preserve"> </w:t>
      </w:r>
      <w:r w:rsidRPr="000A7532">
        <w:rPr>
          <w:rFonts w:ascii="Tahoma" w:eastAsia="Times New Roman" w:hAnsi="Tahoma" w:cs="Tahoma"/>
          <w:sz w:val="24"/>
          <w:szCs w:val="24"/>
        </w:rPr>
        <w:t>situations</w:t>
      </w:r>
      <w:r w:rsidRPr="000A7532">
        <w:rPr>
          <w:rFonts w:ascii="Tahoma" w:eastAsia="Times New Roman" w:hAnsi="Tahoma" w:cs="Tahoma"/>
          <w:spacing w:val="-4"/>
          <w:sz w:val="24"/>
          <w:szCs w:val="24"/>
        </w:rPr>
        <w:t xml:space="preserve"> </w:t>
      </w:r>
      <w:r w:rsidRPr="000A7532">
        <w:rPr>
          <w:rFonts w:ascii="Tahoma" w:eastAsia="Times New Roman" w:hAnsi="Tahoma" w:cs="Tahoma"/>
          <w:sz w:val="24"/>
          <w:szCs w:val="24"/>
        </w:rPr>
        <w:t>par</w:t>
      </w:r>
      <w:r w:rsidRPr="000A7532">
        <w:rPr>
          <w:rFonts w:ascii="Tahoma" w:eastAsia="Times New Roman" w:hAnsi="Tahoma" w:cs="Tahoma"/>
          <w:spacing w:val="-3"/>
          <w:sz w:val="24"/>
          <w:szCs w:val="24"/>
        </w:rPr>
        <w:t xml:space="preserve"> </w:t>
      </w:r>
      <w:r w:rsidRPr="000A7532">
        <w:rPr>
          <w:rFonts w:ascii="Tahoma" w:eastAsia="Times New Roman" w:hAnsi="Tahoma" w:cs="Tahoma"/>
          <w:sz w:val="24"/>
          <w:szCs w:val="24"/>
        </w:rPr>
        <w:t>l’engagement</w:t>
      </w:r>
      <w:r w:rsidRPr="000A7532">
        <w:rPr>
          <w:rFonts w:ascii="Tahoma" w:eastAsia="Times New Roman" w:hAnsi="Tahoma" w:cs="Tahoma"/>
          <w:spacing w:val="-3"/>
          <w:sz w:val="24"/>
          <w:szCs w:val="24"/>
        </w:rPr>
        <w:t xml:space="preserve"> </w:t>
      </w:r>
      <w:r w:rsidRPr="000A7532">
        <w:rPr>
          <w:rFonts w:ascii="Tahoma" w:eastAsia="Times New Roman" w:hAnsi="Tahoma" w:cs="Tahoma"/>
          <w:sz w:val="24"/>
          <w:szCs w:val="24"/>
        </w:rPr>
        <w:t>et</w:t>
      </w:r>
      <w:r w:rsidRPr="000A7532">
        <w:rPr>
          <w:rFonts w:ascii="Tahoma" w:eastAsia="Times New Roman" w:hAnsi="Tahoma" w:cs="Tahoma"/>
          <w:spacing w:val="-2"/>
          <w:sz w:val="24"/>
          <w:szCs w:val="24"/>
        </w:rPr>
        <w:t xml:space="preserve"> </w:t>
      </w:r>
      <w:r w:rsidRPr="000A7532">
        <w:rPr>
          <w:rFonts w:ascii="Tahoma" w:eastAsia="Times New Roman" w:hAnsi="Tahoma" w:cs="Tahoma"/>
          <w:sz w:val="24"/>
          <w:szCs w:val="24"/>
        </w:rPr>
        <w:t>la</w:t>
      </w:r>
      <w:r w:rsidRPr="000A7532">
        <w:rPr>
          <w:rFonts w:ascii="Tahoma" w:eastAsia="Times New Roman" w:hAnsi="Tahoma" w:cs="Tahoma"/>
          <w:spacing w:val="-1"/>
          <w:sz w:val="24"/>
          <w:szCs w:val="24"/>
        </w:rPr>
        <w:t xml:space="preserve"> </w:t>
      </w:r>
      <w:r w:rsidRPr="000A7532">
        <w:rPr>
          <w:rFonts w:ascii="Tahoma" w:eastAsia="Times New Roman" w:hAnsi="Tahoma" w:cs="Tahoma"/>
          <w:sz w:val="24"/>
          <w:szCs w:val="24"/>
        </w:rPr>
        <w:t>mise</w:t>
      </w:r>
      <w:r w:rsidRPr="000A7532">
        <w:rPr>
          <w:rFonts w:ascii="Tahoma" w:eastAsia="Times New Roman" w:hAnsi="Tahoma" w:cs="Tahoma"/>
          <w:spacing w:val="-2"/>
          <w:sz w:val="24"/>
          <w:szCs w:val="24"/>
        </w:rPr>
        <w:t xml:space="preserve"> </w:t>
      </w:r>
      <w:r w:rsidRPr="000A7532">
        <w:rPr>
          <w:rFonts w:ascii="Tahoma" w:eastAsia="Times New Roman" w:hAnsi="Tahoma" w:cs="Tahoma"/>
          <w:sz w:val="24"/>
          <w:szCs w:val="24"/>
        </w:rPr>
        <w:t>en</w:t>
      </w:r>
      <w:r w:rsidRPr="000A7532">
        <w:rPr>
          <w:rFonts w:ascii="Tahoma" w:eastAsia="Times New Roman" w:hAnsi="Tahoma" w:cs="Tahoma"/>
          <w:spacing w:val="-2"/>
          <w:sz w:val="24"/>
          <w:szCs w:val="24"/>
        </w:rPr>
        <w:t xml:space="preserve"> </w:t>
      </w:r>
      <w:r w:rsidRPr="000A7532">
        <w:rPr>
          <w:rFonts w:ascii="Tahoma" w:eastAsia="Times New Roman" w:hAnsi="Tahoma" w:cs="Tahoma"/>
          <w:sz w:val="24"/>
          <w:szCs w:val="24"/>
        </w:rPr>
        <w:t>œuvre</w:t>
      </w:r>
      <w:r w:rsidRPr="000A7532">
        <w:rPr>
          <w:rFonts w:ascii="Tahoma" w:eastAsia="Times New Roman" w:hAnsi="Tahoma" w:cs="Tahoma"/>
          <w:spacing w:val="-2"/>
          <w:sz w:val="24"/>
          <w:szCs w:val="24"/>
        </w:rPr>
        <w:t xml:space="preserve"> </w:t>
      </w:r>
      <w:r w:rsidRPr="000A7532">
        <w:rPr>
          <w:rFonts w:ascii="Tahoma" w:eastAsia="Times New Roman" w:hAnsi="Tahoma" w:cs="Tahoma"/>
          <w:sz w:val="24"/>
          <w:szCs w:val="24"/>
        </w:rPr>
        <w:t>d’actions</w:t>
      </w:r>
      <w:r w:rsidRPr="000A7532">
        <w:rPr>
          <w:rFonts w:ascii="Tahoma" w:eastAsia="Times New Roman" w:hAnsi="Tahoma" w:cs="Tahoma"/>
          <w:spacing w:val="-4"/>
          <w:sz w:val="24"/>
          <w:szCs w:val="24"/>
        </w:rPr>
        <w:t xml:space="preserve"> </w:t>
      </w:r>
      <w:r w:rsidRPr="000A7532">
        <w:rPr>
          <w:rFonts w:ascii="Tahoma" w:eastAsia="Times New Roman" w:hAnsi="Tahoma" w:cs="Tahoma"/>
          <w:sz w:val="24"/>
          <w:szCs w:val="24"/>
        </w:rPr>
        <w:t>concrètes,</w:t>
      </w:r>
      <w:r w:rsidRPr="000A7532">
        <w:rPr>
          <w:rFonts w:ascii="Tahoma" w:eastAsia="Times New Roman" w:hAnsi="Tahoma" w:cs="Tahoma"/>
          <w:spacing w:val="-3"/>
          <w:sz w:val="24"/>
          <w:szCs w:val="24"/>
        </w:rPr>
        <w:t xml:space="preserve"> </w:t>
      </w:r>
      <w:r w:rsidRPr="000A7532">
        <w:rPr>
          <w:rFonts w:ascii="Tahoma" w:eastAsia="Times New Roman" w:hAnsi="Tahoma" w:cs="Tahoma"/>
          <w:sz w:val="24"/>
          <w:szCs w:val="24"/>
        </w:rPr>
        <w:t>tel</w:t>
      </w:r>
      <w:r w:rsidRPr="000A7532">
        <w:rPr>
          <w:rFonts w:ascii="Tahoma" w:eastAsia="Times New Roman" w:hAnsi="Tahoma" w:cs="Tahoma"/>
          <w:spacing w:val="-3"/>
          <w:sz w:val="24"/>
          <w:szCs w:val="24"/>
        </w:rPr>
        <w:t xml:space="preserve"> </w:t>
      </w:r>
      <w:r w:rsidRPr="000A7532">
        <w:rPr>
          <w:rFonts w:ascii="Tahoma" w:eastAsia="Times New Roman" w:hAnsi="Tahoma" w:cs="Tahoma"/>
          <w:sz w:val="24"/>
          <w:szCs w:val="24"/>
        </w:rPr>
        <w:t>l’octroi</w:t>
      </w:r>
      <w:r w:rsidRPr="000A7532">
        <w:rPr>
          <w:rFonts w:ascii="Tahoma" w:eastAsia="Times New Roman" w:hAnsi="Tahoma" w:cs="Tahoma"/>
          <w:spacing w:val="-58"/>
          <w:sz w:val="24"/>
          <w:szCs w:val="24"/>
        </w:rPr>
        <w:t xml:space="preserve"> </w:t>
      </w:r>
      <w:r w:rsidRPr="000A7532">
        <w:rPr>
          <w:rFonts w:ascii="Tahoma" w:eastAsia="Times New Roman" w:hAnsi="Tahoma" w:cs="Tahoma"/>
          <w:sz w:val="24"/>
          <w:szCs w:val="24"/>
        </w:rPr>
        <w:t>de flux financiers en faveur des forêts et l’allocation de fonds de soutien pour divers usages</w:t>
      </w:r>
      <w:r w:rsidRPr="000A7532">
        <w:rPr>
          <w:rFonts w:ascii="Tahoma" w:eastAsia="Times New Roman" w:hAnsi="Tahoma" w:cs="Tahoma"/>
          <w:spacing w:val="1"/>
          <w:sz w:val="24"/>
          <w:szCs w:val="24"/>
        </w:rPr>
        <w:t xml:space="preserve"> </w:t>
      </w:r>
      <w:r w:rsidRPr="000A7532">
        <w:rPr>
          <w:rFonts w:ascii="Tahoma" w:eastAsia="Times New Roman" w:hAnsi="Tahoma" w:cs="Tahoma"/>
          <w:sz w:val="24"/>
          <w:szCs w:val="24"/>
        </w:rPr>
        <w:t>(restauration des forêts dégradées, amélioration de la forêt, etc). À titre d'exemple, les définitions du boisement et du reboisement établies dans le cadre du Protocole de Kyoto déterminent les activités éligibles au financement via le Mécanisme de Développement Propre (MDP)</w:t>
      </w:r>
      <w:r w:rsidRPr="000A7532">
        <w:rPr>
          <w:rFonts w:ascii="Tahoma" w:eastAsia="Times New Roman" w:hAnsi="Tahoma" w:cs="Tahoma"/>
          <w:sz w:val="24"/>
          <w:szCs w:val="24"/>
          <w:vertAlign w:val="superscript"/>
        </w:rPr>
        <w:footnoteReference w:id="60"/>
      </w:r>
      <w:r w:rsidRPr="000A7532">
        <w:rPr>
          <w:rFonts w:ascii="Tahoma" w:eastAsia="Times New Roman" w:hAnsi="Tahoma" w:cs="Tahoma"/>
          <w:sz w:val="24"/>
          <w:szCs w:val="24"/>
        </w:rPr>
        <w:t>.</w:t>
      </w:r>
    </w:p>
    <w:p w:rsidR="008018BA" w:rsidRPr="000A7532" w:rsidRDefault="008018BA" w:rsidP="008018BA">
      <w:pPr>
        <w:widowControl w:val="0"/>
        <w:autoSpaceDE w:val="0"/>
        <w:autoSpaceDN w:val="0"/>
        <w:spacing w:before="160" w:after="0" w:line="360" w:lineRule="auto"/>
        <w:jc w:val="both"/>
        <w:rPr>
          <w:rFonts w:ascii="Tahoma" w:eastAsia="Times New Roman" w:hAnsi="Tahoma" w:cs="Tahoma"/>
          <w:sz w:val="24"/>
          <w:szCs w:val="24"/>
        </w:rPr>
      </w:pPr>
      <w:r w:rsidRPr="00352D82">
        <w:rPr>
          <w:rFonts w:ascii="Tahoma" w:eastAsia="Times New Roman" w:hAnsi="Tahoma" w:cs="Tahoma"/>
          <w:sz w:val="24"/>
          <w:szCs w:val="24"/>
        </w:rPr>
        <w:t>Par conséquent, l'élaboration d'une définition claire et opérationnelle de la dégradation forestière s'avère indispensable. Elle permet d'optimiser la planification et la mise en œuvre de stratégies et de programmes ciblés, visant à atténuer les impacts de la dégradation, à restaurer les écosystèmes forestiers et à réhabiliter les terres boisées. Cette démarche nécessite l'implication collaborative de tous les acteurs concernés, afin</w:t>
      </w:r>
      <w:r w:rsidRPr="000A7532">
        <w:rPr>
          <w:rFonts w:ascii="Tahoma" w:eastAsia="Times New Roman" w:hAnsi="Tahoma" w:cs="Tahoma"/>
          <w:sz w:val="24"/>
          <w:szCs w:val="24"/>
        </w:rPr>
        <w:t xml:space="preserve"> d'adopter des mesures correctives adaptées</w:t>
      </w:r>
      <w:r w:rsidRPr="000A7532">
        <w:rPr>
          <w:rFonts w:ascii="Tahoma" w:eastAsia="Times New Roman" w:hAnsi="Tahoma" w:cs="Tahoma"/>
          <w:sz w:val="24"/>
          <w:szCs w:val="24"/>
          <w:vertAlign w:val="superscript"/>
        </w:rPr>
        <w:footnoteReference w:id="61"/>
      </w:r>
      <w:r w:rsidRPr="000A7532">
        <w:rPr>
          <w:rFonts w:ascii="Tahoma" w:eastAsia="Times New Roman" w:hAnsi="Tahoma" w:cs="Tahoma"/>
          <w:sz w:val="24"/>
          <w:szCs w:val="24"/>
        </w:rPr>
        <w:t>. </w:t>
      </w:r>
    </w:p>
    <w:p w:rsidR="008018BA" w:rsidRPr="00352D82" w:rsidRDefault="008018BA" w:rsidP="008018BA">
      <w:pPr>
        <w:widowControl w:val="0"/>
        <w:autoSpaceDE w:val="0"/>
        <w:autoSpaceDN w:val="0"/>
        <w:spacing w:before="160" w:after="0" w:line="360" w:lineRule="auto"/>
        <w:jc w:val="both"/>
        <w:rPr>
          <w:rFonts w:ascii="Tahoma" w:eastAsia="Times New Roman" w:hAnsi="Tahoma" w:cs="Tahoma"/>
          <w:spacing w:val="1"/>
          <w:sz w:val="24"/>
          <w:szCs w:val="24"/>
        </w:rPr>
      </w:pPr>
      <w:r w:rsidRPr="00480BAD">
        <w:rPr>
          <w:rFonts w:ascii="Tahoma" w:eastAsia="Times New Roman" w:hAnsi="Tahoma" w:cs="Tahoma"/>
          <w:sz w:val="24"/>
          <w:szCs w:val="24"/>
        </w:rPr>
        <w:t>La dégradation du couvert forestier peut être définie comme un processus de changement au sein de la forêt ayant un impact négatif sur ses caractéristiques intrinsèques. Ce phénomène résulte de perturbations dont la nature, l'origine, l'ampleur et la fréquence varient considérablement selon les contextes géographiques et clima</w:t>
      </w:r>
      <w:r>
        <w:rPr>
          <w:rFonts w:ascii="Tahoma" w:eastAsia="Times New Roman" w:hAnsi="Tahoma" w:cs="Tahoma"/>
          <w:sz w:val="24"/>
          <w:szCs w:val="24"/>
        </w:rPr>
        <w:t>tiques (Schoene et al., 2007)</w:t>
      </w:r>
      <w:r w:rsidRPr="000A7532">
        <w:rPr>
          <w:rFonts w:ascii="Tahoma" w:eastAsia="Times New Roman" w:hAnsi="Tahoma" w:cs="Tahoma"/>
          <w:sz w:val="24"/>
          <w:szCs w:val="24"/>
          <w:vertAlign w:val="superscript"/>
        </w:rPr>
        <w:footnoteReference w:id="62"/>
      </w:r>
      <w:r w:rsidRPr="000A7532">
        <w:rPr>
          <w:rFonts w:ascii="Tahoma" w:eastAsia="Times New Roman" w:hAnsi="Tahoma" w:cs="Tahoma"/>
          <w:spacing w:val="1"/>
          <w:sz w:val="24"/>
          <w:szCs w:val="24"/>
        </w:rPr>
        <w:t>.</w:t>
      </w:r>
      <w:r>
        <w:rPr>
          <w:rFonts w:ascii="Tahoma" w:eastAsia="Times New Roman" w:hAnsi="Tahoma" w:cs="Tahoma"/>
          <w:spacing w:val="1"/>
          <w:sz w:val="24"/>
          <w:szCs w:val="24"/>
        </w:rPr>
        <w:t xml:space="preserve"> </w:t>
      </w:r>
      <w:r w:rsidRPr="00480BAD">
        <w:rPr>
          <w:rFonts w:ascii="Tahoma" w:eastAsia="Times New Roman" w:hAnsi="Tahoma" w:cs="Tahoma"/>
          <w:spacing w:val="1"/>
          <w:sz w:val="24"/>
          <w:szCs w:val="24"/>
        </w:rPr>
        <w:t xml:space="preserve">Bien que les termes de dégradation et de désertification soient relativement </w:t>
      </w:r>
      <w:r w:rsidRPr="00480BAD">
        <w:rPr>
          <w:rFonts w:ascii="Tahoma" w:eastAsia="Times New Roman" w:hAnsi="Tahoma" w:cs="Tahoma"/>
          <w:spacing w:val="1"/>
          <w:sz w:val="24"/>
          <w:szCs w:val="24"/>
        </w:rPr>
        <w:lastRenderedPageBreak/>
        <w:t>récents, les réflexions sur les processus sous-jacents remontent à l'Antiquité. Selon Barrow (1991), les auteurs grecs et romains s'intéressaient déjà aux problématiques liées à l'érosion des sols et à la déforestation</w:t>
      </w:r>
      <w:r w:rsidRPr="00480BAD">
        <w:rPr>
          <w:rFonts w:ascii="Tahoma" w:eastAsia="Times New Roman" w:hAnsi="Tahoma" w:cs="Tahoma"/>
          <w:spacing w:val="1"/>
          <w:sz w:val="24"/>
          <w:szCs w:val="24"/>
          <w:vertAlign w:val="superscript"/>
        </w:rPr>
        <w:footnoteReference w:id="63"/>
      </w:r>
      <w:r w:rsidRPr="00480BAD">
        <w:rPr>
          <w:rFonts w:ascii="Tahoma" w:eastAsia="Times New Roman" w:hAnsi="Tahoma" w:cs="Tahoma"/>
          <w:spacing w:val="1"/>
          <w:sz w:val="24"/>
          <w:szCs w:val="24"/>
        </w:rPr>
        <w:t>. Néanmoins, des divergences persistent quant au contenu précis de ces notions.</w:t>
      </w:r>
      <w:r>
        <w:rPr>
          <w:rFonts w:ascii="Tahoma" w:eastAsia="Times New Roman" w:hAnsi="Tahoma" w:cs="Tahoma"/>
          <w:spacing w:val="1"/>
          <w:sz w:val="24"/>
          <w:szCs w:val="24"/>
        </w:rPr>
        <w:t xml:space="preserve"> </w:t>
      </w:r>
      <w:r w:rsidRPr="003D568D">
        <w:rPr>
          <w:rFonts w:ascii="Tahoma" w:eastAsia="Times New Roman" w:hAnsi="Tahoma" w:cs="Tahoma"/>
          <w:sz w:val="24"/>
          <w:szCs w:val="24"/>
        </w:rPr>
        <w:t>Définir la dégradation des forêts sous l'angle technique et scientifique paraît difficile et peut engendrer des implications politiques qui compliquent davantage l'atteinte d'approches communes, tant au niveau international qu'au niveau des États forestiers</w:t>
      </w:r>
      <w:r w:rsidRPr="003D568D">
        <w:rPr>
          <w:rFonts w:ascii="Tahoma" w:eastAsia="Times New Roman" w:hAnsi="Tahoma" w:cs="Tahoma"/>
          <w:sz w:val="24"/>
          <w:szCs w:val="24"/>
          <w:vertAlign w:val="superscript"/>
        </w:rPr>
        <w:footnoteReference w:id="64"/>
      </w:r>
      <w:r w:rsidRPr="003D568D">
        <w:rPr>
          <w:rFonts w:ascii="Tahoma" w:eastAsia="Times New Roman" w:hAnsi="Tahoma" w:cs="Tahoma"/>
          <w:sz w:val="24"/>
          <w:szCs w:val="24"/>
        </w:rPr>
        <w:t>.</w:t>
      </w:r>
    </w:p>
    <w:p w:rsidR="008018BA" w:rsidRPr="00352D82" w:rsidRDefault="008018BA" w:rsidP="008018BA">
      <w:pPr>
        <w:widowControl w:val="0"/>
        <w:autoSpaceDE w:val="0"/>
        <w:autoSpaceDN w:val="0"/>
        <w:spacing w:before="160" w:after="0" w:line="360" w:lineRule="auto"/>
        <w:jc w:val="both"/>
        <w:rPr>
          <w:rFonts w:ascii="Tahoma" w:eastAsia="Times New Roman" w:hAnsi="Tahoma" w:cs="Tahoma"/>
          <w:sz w:val="24"/>
          <w:szCs w:val="24"/>
        </w:rPr>
      </w:pPr>
      <w:r w:rsidRPr="003D568D">
        <w:rPr>
          <w:rFonts w:ascii="Tahoma" w:eastAsia="Times New Roman" w:hAnsi="Tahoma" w:cs="Tahoma"/>
          <w:sz w:val="24"/>
          <w:szCs w:val="24"/>
        </w:rPr>
        <w:t>Cette complexité conceptuelle reflète la diversité des contextes écologiques, économiques et sociopolitiques dans lesquels s'inscrivent les processus de dégradation forestière.</w:t>
      </w:r>
      <w:r>
        <w:rPr>
          <w:rFonts w:ascii="Tahoma" w:eastAsia="Times New Roman" w:hAnsi="Tahoma" w:cs="Tahoma"/>
          <w:sz w:val="24"/>
          <w:szCs w:val="24"/>
        </w:rPr>
        <w:t xml:space="preserve"> </w:t>
      </w:r>
      <w:r w:rsidRPr="00DC69E5">
        <w:rPr>
          <w:rFonts w:ascii="Tahoma" w:eastAsia="Times New Roman" w:hAnsi="Tahoma" w:cs="Tahoma"/>
          <w:spacing w:val="1"/>
          <w:sz w:val="24"/>
          <w:szCs w:val="24"/>
        </w:rPr>
        <w:t>En effet, les première et deuxième réunions d'experts sur l'harmonisation des définitions forestières, organisées conjointement par l'Organisation des Nations Unies pour l'alimentation et l'agriculture (FAO), le Groupe d'experts intergouvernemental sur l'évolution du climat (GIEC), l'Union Internationale des Instituts de Recherches Forestières (IUFRO) et le Programme des Nations Unies pour l'environnement (PNUE) en 2002, ont principalement porté sur la définition de la dégradation forestière (FAO, 2002a; 2002b)</w:t>
      </w:r>
      <w:r w:rsidRPr="00DC69E5">
        <w:rPr>
          <w:rFonts w:ascii="Tahoma" w:eastAsia="Times New Roman" w:hAnsi="Tahoma" w:cs="Tahoma"/>
          <w:spacing w:val="1"/>
          <w:sz w:val="24"/>
          <w:szCs w:val="24"/>
          <w:vertAlign w:val="superscript"/>
        </w:rPr>
        <w:footnoteReference w:id="65"/>
      </w:r>
      <w:r w:rsidRPr="00DC69E5">
        <w:rPr>
          <w:rFonts w:ascii="Tahoma" w:eastAsia="Times New Roman" w:hAnsi="Tahoma" w:cs="Tahoma"/>
          <w:spacing w:val="1"/>
          <w:sz w:val="24"/>
          <w:szCs w:val="24"/>
        </w:rPr>
        <w:t xml:space="preserve">.   </w:t>
      </w:r>
    </w:p>
    <w:p w:rsidR="008018BA" w:rsidRPr="00F4195D" w:rsidRDefault="008018BA" w:rsidP="008018BA">
      <w:pPr>
        <w:widowControl w:val="0"/>
        <w:autoSpaceDE w:val="0"/>
        <w:autoSpaceDN w:val="0"/>
        <w:spacing w:before="160" w:after="0" w:line="360" w:lineRule="auto"/>
        <w:jc w:val="both"/>
        <w:rPr>
          <w:rFonts w:ascii="Tahoma" w:eastAsia="Times New Roman" w:hAnsi="Tahoma" w:cs="Tahoma"/>
          <w:sz w:val="24"/>
          <w:szCs w:val="24"/>
        </w:rPr>
      </w:pPr>
      <w:r w:rsidRPr="00F4195D">
        <w:rPr>
          <w:rFonts w:ascii="Tahoma" w:eastAsia="Times New Roman" w:hAnsi="Tahoma" w:cs="Tahoma"/>
          <w:sz w:val="24"/>
          <w:szCs w:val="24"/>
        </w:rPr>
        <w:t>À l'issue de ces réunions, la définition retenue stipule que la dégradation forestière correspond à « la réduction de la capacité d'une forêt à fournir des biens et des services ». Toutefois, cette formulation demeure peu opérationnelle en raison des multiples perceptions existantes quant à la nature et à la mesure de la dégradation forestière</w:t>
      </w:r>
      <w:r w:rsidRPr="00F4195D">
        <w:rPr>
          <w:rFonts w:ascii="Tahoma" w:eastAsia="Times New Roman" w:hAnsi="Tahoma" w:cs="Tahoma"/>
          <w:sz w:val="24"/>
          <w:szCs w:val="24"/>
          <w:vertAlign w:val="superscript"/>
        </w:rPr>
        <w:footnoteReference w:id="66"/>
      </w:r>
      <w:r w:rsidRPr="00F4195D">
        <w:rPr>
          <w:rFonts w:ascii="Tahoma" w:eastAsia="Times New Roman" w:hAnsi="Tahoma" w:cs="Tahoma"/>
          <w:sz w:val="24"/>
          <w:szCs w:val="24"/>
        </w:rPr>
        <w:t>.</w:t>
      </w:r>
    </w:p>
    <w:p w:rsidR="008018BA" w:rsidRPr="00F4195D" w:rsidRDefault="008018BA" w:rsidP="008018BA">
      <w:pPr>
        <w:widowControl w:val="0"/>
        <w:autoSpaceDE w:val="0"/>
        <w:autoSpaceDN w:val="0"/>
        <w:spacing w:before="160" w:after="0" w:line="360" w:lineRule="auto"/>
        <w:jc w:val="both"/>
        <w:rPr>
          <w:rFonts w:ascii="Tahoma" w:eastAsia="Times New Roman" w:hAnsi="Tahoma" w:cs="Tahoma"/>
          <w:sz w:val="24"/>
          <w:szCs w:val="24"/>
        </w:rPr>
      </w:pPr>
      <w:r w:rsidRPr="00F4195D">
        <w:rPr>
          <w:rFonts w:ascii="Tahoma" w:eastAsia="Times New Roman" w:hAnsi="Tahoma" w:cs="Tahoma"/>
          <w:sz w:val="24"/>
          <w:szCs w:val="24"/>
        </w:rPr>
        <w:t>Cette difficulté conceptuelle se traduit par des lacunes méthodologiques significatives. L'Évaluation des ressources forestières mondiales (FRA) de la FAO ne dispose pas d'indicateurs de mesure directe de la dégradation des forêts, illustrant les obstacles rencontrés dans la recherche d'approches harmonisées</w:t>
      </w:r>
      <w:r w:rsidRPr="00F4195D">
        <w:rPr>
          <w:rFonts w:ascii="Tahoma" w:eastAsia="Times New Roman" w:hAnsi="Tahoma" w:cs="Tahoma"/>
          <w:sz w:val="24"/>
          <w:szCs w:val="24"/>
          <w:vertAlign w:val="superscript"/>
        </w:rPr>
        <w:footnoteReference w:id="67"/>
      </w:r>
      <w:r w:rsidRPr="00F4195D">
        <w:rPr>
          <w:rFonts w:ascii="Tahoma" w:eastAsia="Times New Roman" w:hAnsi="Tahoma" w:cs="Tahoma"/>
          <w:sz w:val="24"/>
          <w:szCs w:val="24"/>
        </w:rPr>
        <w:t>.</w:t>
      </w:r>
    </w:p>
    <w:p w:rsidR="008018BA" w:rsidRPr="000A7532" w:rsidRDefault="008018BA" w:rsidP="008018BA">
      <w:pPr>
        <w:widowControl w:val="0"/>
        <w:autoSpaceDE w:val="0"/>
        <w:autoSpaceDN w:val="0"/>
        <w:spacing w:before="160" w:after="0" w:line="360" w:lineRule="auto"/>
        <w:jc w:val="both"/>
        <w:rPr>
          <w:rFonts w:ascii="Tahoma" w:eastAsia="Times New Roman" w:hAnsi="Tahoma" w:cs="Tahoma"/>
          <w:sz w:val="24"/>
          <w:szCs w:val="24"/>
        </w:rPr>
      </w:pPr>
      <w:r w:rsidRPr="00F4195D">
        <w:rPr>
          <w:rFonts w:ascii="Tahoma" w:eastAsia="Times New Roman" w:hAnsi="Tahoma" w:cs="Tahoma"/>
          <w:sz w:val="24"/>
          <w:szCs w:val="24"/>
        </w:rPr>
        <w:t xml:space="preserve">Par conséquent, l'objectivité des statistiques présentées dans les rapports internationaux </w:t>
      </w:r>
      <w:r w:rsidRPr="00F4195D">
        <w:rPr>
          <w:rFonts w:ascii="Tahoma" w:eastAsia="Times New Roman" w:hAnsi="Tahoma" w:cs="Tahoma"/>
          <w:sz w:val="24"/>
          <w:szCs w:val="24"/>
        </w:rPr>
        <w:lastRenderedPageBreak/>
        <w:t>sur la dégradation forestière demeure relative, les données étant souvent instrumentalisées à des fins nationales, économiques ou politiques</w:t>
      </w:r>
      <w:r w:rsidRPr="00F4195D">
        <w:rPr>
          <w:rFonts w:ascii="Tahoma" w:eastAsia="Times New Roman" w:hAnsi="Tahoma" w:cs="Tahoma"/>
          <w:sz w:val="24"/>
          <w:szCs w:val="24"/>
          <w:vertAlign w:val="superscript"/>
        </w:rPr>
        <w:footnoteReference w:id="68"/>
      </w:r>
      <w:r w:rsidRPr="00F4195D">
        <w:rPr>
          <w:rFonts w:ascii="Tahoma" w:eastAsia="Times New Roman" w:hAnsi="Tahoma" w:cs="Tahoma"/>
          <w:sz w:val="24"/>
          <w:szCs w:val="24"/>
        </w:rPr>
        <w:t>.</w:t>
      </w:r>
    </w:p>
    <w:p w:rsidR="008018BA" w:rsidRPr="00534638" w:rsidRDefault="008018BA" w:rsidP="008018BA">
      <w:pPr>
        <w:widowControl w:val="0"/>
        <w:autoSpaceDE w:val="0"/>
        <w:autoSpaceDN w:val="0"/>
        <w:spacing w:before="160" w:after="0" w:line="360" w:lineRule="auto"/>
        <w:jc w:val="both"/>
        <w:rPr>
          <w:rFonts w:ascii="Tahoma" w:eastAsia="Times New Roman" w:hAnsi="Tahoma" w:cs="Tahoma"/>
          <w:sz w:val="24"/>
          <w:szCs w:val="24"/>
        </w:rPr>
      </w:pPr>
      <w:r w:rsidRPr="00534638">
        <w:rPr>
          <w:rFonts w:ascii="Tahoma" w:hAnsi="Tahoma" w:cs="Tahoma"/>
          <w:sz w:val="24"/>
          <w:szCs w:val="24"/>
        </w:rPr>
        <w:t>Après avoir examiné le concept de dégradation forestière, il convient d'analyser un terme connexe, largement répandu</w:t>
      </w:r>
      <w:r>
        <w:rPr>
          <w:rFonts w:ascii="Tahoma" w:hAnsi="Tahoma" w:cs="Tahoma"/>
          <w:sz w:val="24"/>
          <w:szCs w:val="24"/>
        </w:rPr>
        <w:t xml:space="preserve"> dans le discours contemporain à savoir</w:t>
      </w:r>
      <w:r w:rsidRPr="00534638">
        <w:rPr>
          <w:rFonts w:ascii="Tahoma" w:hAnsi="Tahoma" w:cs="Tahoma"/>
          <w:sz w:val="24"/>
          <w:szCs w:val="24"/>
        </w:rPr>
        <w:t xml:space="preserve"> la "gestion durable". Cette expression, qui connaît un essor notable depuis les dernières décennies auprès des instances gouvernementales, des organisations internationales et du secteur privé, mérite une attention particulière.</w:t>
      </w:r>
    </w:p>
    <w:p w:rsidR="008018BA" w:rsidRPr="00F82D9D" w:rsidRDefault="008018BA" w:rsidP="008018BA">
      <w:pPr>
        <w:widowControl w:val="0"/>
        <w:autoSpaceDE w:val="0"/>
        <w:autoSpaceDN w:val="0"/>
        <w:spacing w:before="160" w:after="0" w:line="360" w:lineRule="auto"/>
        <w:jc w:val="both"/>
        <w:rPr>
          <w:rFonts w:ascii="Tahoma" w:eastAsia="Times New Roman" w:hAnsi="Tahoma" w:cs="Tahoma"/>
          <w:sz w:val="24"/>
          <w:szCs w:val="24"/>
        </w:rPr>
      </w:pPr>
      <w:r w:rsidRPr="00534638">
        <w:rPr>
          <w:rFonts w:ascii="Tahoma" w:eastAsia="Times New Roman" w:hAnsi="Tahoma" w:cs="Tahoma"/>
          <w:sz w:val="24"/>
          <w:szCs w:val="24"/>
        </w:rPr>
        <w:t>Bien que le concept de développement durable ait émergé dès 1980 dans un rapport de l'Union Internationale pour la Conservation de la Nature (UICN), c'est avec la publication du Rapport Brundtland en 1987 que celui-ci a bénéficié d'une diffusion médiatique significative et d'une adoption à l'échelle mondiale</w:t>
      </w:r>
      <w:r w:rsidRPr="000A7532">
        <w:rPr>
          <w:rFonts w:ascii="Tahoma" w:eastAsia="Times New Roman" w:hAnsi="Tahoma" w:cs="Tahoma"/>
          <w:sz w:val="24"/>
          <w:szCs w:val="24"/>
          <w:vertAlign w:val="superscript"/>
        </w:rPr>
        <w:footnoteReference w:id="69"/>
      </w:r>
      <w:r w:rsidRPr="000A7532">
        <w:rPr>
          <w:rFonts w:ascii="Tahoma" w:eastAsia="Times New Roman" w:hAnsi="Tahoma" w:cs="Tahoma"/>
          <w:sz w:val="24"/>
          <w:szCs w:val="24"/>
        </w:rPr>
        <w:t xml:space="preserve">. </w:t>
      </w:r>
      <w:r w:rsidRPr="00534638">
        <w:rPr>
          <w:rFonts w:ascii="Tahoma" w:eastAsia="Times New Roman" w:hAnsi="Tahoma" w:cs="Tahoma"/>
          <w:sz w:val="24"/>
          <w:szCs w:val="24"/>
        </w:rPr>
        <w:t xml:space="preserve">Cette mise en perspective historique souligne l'importance d'analyser la gestion durable dans le contexte plus large des enjeux </w:t>
      </w:r>
      <w:r>
        <w:rPr>
          <w:rFonts w:ascii="Tahoma" w:eastAsia="Times New Roman" w:hAnsi="Tahoma" w:cs="Tahoma"/>
          <w:sz w:val="24"/>
          <w:szCs w:val="24"/>
        </w:rPr>
        <w:t>environnementaux contemporains</w:t>
      </w:r>
      <w:r w:rsidRPr="000A7532">
        <w:rPr>
          <w:rFonts w:ascii="Tahoma" w:eastAsia="Times New Roman" w:hAnsi="Tahoma" w:cs="Tahoma"/>
          <w:sz w:val="24"/>
          <w:szCs w:val="24"/>
          <w:vertAlign w:val="superscript"/>
        </w:rPr>
        <w:footnoteReference w:id="70"/>
      </w:r>
      <w:r w:rsidRPr="000A7532">
        <w:rPr>
          <w:rFonts w:ascii="Tahoma" w:eastAsia="Times New Roman" w:hAnsi="Tahoma" w:cs="Tahoma"/>
          <w:sz w:val="24"/>
          <w:szCs w:val="24"/>
        </w:rPr>
        <w:t>.</w:t>
      </w:r>
    </w:p>
    <w:p w:rsidR="008018BA" w:rsidRPr="00F03C89" w:rsidRDefault="008018BA" w:rsidP="008018BA">
      <w:pPr>
        <w:widowControl w:val="0"/>
        <w:autoSpaceDE w:val="0"/>
        <w:autoSpaceDN w:val="0"/>
        <w:spacing w:after="0" w:line="360" w:lineRule="auto"/>
        <w:jc w:val="both"/>
        <w:rPr>
          <w:rFonts w:ascii="Tahoma" w:eastAsia="Times New Roman" w:hAnsi="Tahoma" w:cs="Tahoma"/>
          <w:sz w:val="24"/>
          <w:szCs w:val="24"/>
        </w:rPr>
      </w:pPr>
      <w:r w:rsidRPr="00F03C89">
        <w:rPr>
          <w:rFonts w:ascii="Tahoma" w:eastAsia="Times New Roman" w:hAnsi="Tahoma" w:cs="Tahoma"/>
          <w:sz w:val="24"/>
          <w:szCs w:val="24"/>
        </w:rPr>
        <w:t>Défini comme un développement qui répond aux besoins du présent sans compromettre la capacité des générations futures à satisfaire les leurs, le concept de développement durable, incarné par le « Paradigme de Rio », apparaît généreux et difficilement contestable. Néanmoins, il demeure sujet à des interprétations variées en raison de son caractère abstrait</w:t>
      </w:r>
      <w:r w:rsidRPr="00F03C89">
        <w:rPr>
          <w:rFonts w:ascii="Tahoma" w:eastAsia="Times New Roman" w:hAnsi="Tahoma" w:cs="Tahoma"/>
          <w:sz w:val="24"/>
          <w:szCs w:val="24"/>
          <w:vertAlign w:val="superscript"/>
        </w:rPr>
        <w:footnoteReference w:id="71"/>
      </w:r>
      <w:r w:rsidRPr="00F03C89">
        <w:rPr>
          <w:rFonts w:ascii="Tahoma" w:eastAsia="Times New Roman" w:hAnsi="Tahoma" w:cs="Tahoma"/>
          <w:sz w:val="24"/>
          <w:szCs w:val="24"/>
        </w:rPr>
        <w:t>.</w:t>
      </w:r>
    </w:p>
    <w:p w:rsidR="008018BA" w:rsidRPr="00954B06" w:rsidRDefault="008018BA" w:rsidP="008018BA">
      <w:pPr>
        <w:widowControl w:val="0"/>
        <w:autoSpaceDE w:val="0"/>
        <w:autoSpaceDN w:val="0"/>
        <w:spacing w:after="0" w:line="360" w:lineRule="auto"/>
        <w:jc w:val="both"/>
        <w:rPr>
          <w:rFonts w:ascii="Tahoma" w:eastAsia="Times New Roman" w:hAnsi="Tahoma" w:cs="Tahoma"/>
          <w:sz w:val="18"/>
          <w:szCs w:val="18"/>
        </w:rPr>
      </w:pPr>
    </w:p>
    <w:p w:rsidR="008018BA" w:rsidRPr="00F03C89" w:rsidRDefault="008018BA" w:rsidP="008018BA">
      <w:pPr>
        <w:widowControl w:val="0"/>
        <w:autoSpaceDE w:val="0"/>
        <w:autoSpaceDN w:val="0"/>
        <w:spacing w:after="0" w:line="360" w:lineRule="auto"/>
        <w:jc w:val="both"/>
        <w:rPr>
          <w:rFonts w:ascii="Tahoma" w:eastAsia="Times New Roman" w:hAnsi="Tahoma" w:cs="Tahoma"/>
          <w:sz w:val="24"/>
          <w:szCs w:val="24"/>
        </w:rPr>
      </w:pPr>
      <w:r w:rsidRPr="00F03C89">
        <w:rPr>
          <w:rFonts w:ascii="Tahoma" w:eastAsia="Times New Roman" w:hAnsi="Tahoma" w:cs="Tahoma"/>
          <w:sz w:val="24"/>
          <w:szCs w:val="24"/>
        </w:rPr>
        <w:t xml:space="preserve">Ce concept constitue également une traduction littérale de l'expression anglaise « sustainable development », utilisée par les Nations Unies. Cette transposition linguistique a suscité des débats sémantiques, notamment de la part de Serge Latouche, qui la qualifie </w:t>
      </w:r>
      <w:r w:rsidRPr="00F03C89">
        <w:rPr>
          <w:rFonts w:ascii="Tahoma" w:eastAsia="Times New Roman" w:hAnsi="Tahoma" w:cs="Tahoma"/>
          <w:sz w:val="24"/>
          <w:szCs w:val="24"/>
        </w:rPr>
        <w:lastRenderedPageBreak/>
        <w:t xml:space="preserve">d'« oxymore » </w:t>
      </w:r>
      <w:r w:rsidRPr="00761FED">
        <w:rPr>
          <w:rFonts w:ascii="Tahoma" w:eastAsia="Times New Roman" w:hAnsi="Tahoma" w:cs="Tahoma"/>
          <w:sz w:val="24"/>
          <w:szCs w:val="24"/>
          <w:vertAlign w:val="superscript"/>
        </w:rPr>
        <w:footnoteReference w:id="72"/>
      </w:r>
      <w:r w:rsidRPr="00F03C89">
        <w:rPr>
          <w:rFonts w:ascii="Tahoma" w:eastAsia="Times New Roman" w:hAnsi="Tahoma" w:cs="Tahoma"/>
          <w:sz w:val="24"/>
          <w:szCs w:val="24"/>
        </w:rPr>
        <w:t xml:space="preserve"> et de « pléonasme »</w:t>
      </w:r>
      <w:r w:rsidRPr="00761FED">
        <w:rPr>
          <w:rFonts w:ascii="Tahoma" w:eastAsia="Times New Roman" w:hAnsi="Tahoma" w:cs="Tahoma"/>
          <w:sz w:val="24"/>
          <w:szCs w:val="24"/>
          <w:vertAlign w:val="superscript"/>
        </w:rPr>
        <w:footnoteReference w:id="73"/>
      </w:r>
      <w:r w:rsidRPr="00761FED">
        <w:rPr>
          <w:rFonts w:ascii="Tahoma" w:eastAsia="Times New Roman" w:hAnsi="Tahoma" w:cs="Tahoma"/>
          <w:sz w:val="24"/>
          <w:szCs w:val="24"/>
          <w:vertAlign w:val="superscript"/>
        </w:rPr>
        <w:t xml:space="preserve"> </w:t>
      </w:r>
      <w:r w:rsidRPr="00F03C89">
        <w:rPr>
          <w:rFonts w:ascii="Tahoma" w:eastAsia="Times New Roman" w:hAnsi="Tahoma" w:cs="Tahoma"/>
          <w:sz w:val="24"/>
          <w:szCs w:val="24"/>
        </w:rPr>
        <w:t>. Les écologistes ont particulièrement critiqué le choix du terme « durable » au détriment de « soutenable », qu'ils jugent plus fidèle au terme anglais « sustainable »</w:t>
      </w:r>
      <w:r>
        <w:rPr>
          <w:rFonts w:ascii="Tahoma" w:eastAsia="Times New Roman" w:hAnsi="Tahoma" w:cs="Tahoma"/>
          <w:sz w:val="24"/>
          <w:szCs w:val="24"/>
        </w:rPr>
        <w:t>.</w:t>
      </w:r>
    </w:p>
    <w:p w:rsidR="008018BA" w:rsidRPr="00AA3B1B" w:rsidRDefault="008018BA" w:rsidP="008018BA">
      <w:pPr>
        <w:widowControl w:val="0"/>
        <w:autoSpaceDE w:val="0"/>
        <w:autoSpaceDN w:val="0"/>
        <w:spacing w:after="0" w:line="360" w:lineRule="auto"/>
        <w:jc w:val="both"/>
        <w:rPr>
          <w:rFonts w:ascii="Tahoma" w:eastAsia="Times New Roman" w:hAnsi="Tahoma" w:cs="Tahoma"/>
          <w:sz w:val="24"/>
          <w:szCs w:val="24"/>
        </w:rPr>
      </w:pPr>
      <w:r w:rsidRPr="00501003">
        <w:rPr>
          <w:rFonts w:ascii="Tahoma" w:eastAsia="Times New Roman" w:hAnsi="Tahoma" w:cs="Tahoma"/>
          <w:sz w:val="24"/>
          <w:szCs w:val="24"/>
        </w:rPr>
        <w:t>Cette distinction terminologique revêt une importance conceptuelle. Le terme « soutenable » renvoie à ce qui peut être soutenu, supporté et défendu. Il traduit la capacité d'un système à résister aux aléas et aux chocs qui le menacent, en privilégiant la viabilité du développement par rapport aux ressources naturelles et au bien-être des individus. Cette approche met l'accent sur les enjeux écologiques. À l'inverse, le terme « durable » « laisse penser qu'il s'agit de maintenir en un état stable quelque chose qui, par définition, n'existe que par</w:t>
      </w:r>
      <w:r>
        <w:rPr>
          <w:rFonts w:ascii="Tahoma" w:eastAsia="Times New Roman" w:hAnsi="Tahoma" w:cs="Tahoma"/>
          <w:sz w:val="24"/>
          <w:szCs w:val="24"/>
        </w:rPr>
        <w:t xml:space="preserve"> sa dynamique d'évolution »</w:t>
      </w:r>
      <w:r w:rsidRPr="00AA3B1B">
        <w:rPr>
          <w:rFonts w:ascii="Tahoma" w:eastAsia="Times New Roman" w:hAnsi="Tahoma" w:cs="Tahoma"/>
          <w:sz w:val="24"/>
          <w:szCs w:val="24"/>
          <w:vertAlign w:val="superscript"/>
          <w:lang w:eastAsia="fr-FR"/>
        </w:rPr>
        <w:footnoteReference w:id="74"/>
      </w:r>
      <w:r w:rsidRPr="00AA3B1B">
        <w:rPr>
          <w:rFonts w:ascii="Tahoma" w:eastAsia="Times New Roman" w:hAnsi="Tahoma" w:cs="Tahoma"/>
          <w:sz w:val="24"/>
          <w:szCs w:val="24"/>
          <w:lang w:eastAsia="fr-FR"/>
        </w:rPr>
        <w:t>.</w:t>
      </w:r>
    </w:p>
    <w:p w:rsidR="008018BA" w:rsidRPr="00F33AEA" w:rsidRDefault="008018BA" w:rsidP="008018BA">
      <w:pPr>
        <w:widowControl w:val="0"/>
        <w:autoSpaceDE w:val="0"/>
        <w:autoSpaceDN w:val="0"/>
        <w:spacing w:after="0" w:line="360" w:lineRule="auto"/>
        <w:jc w:val="both"/>
        <w:rPr>
          <w:rFonts w:ascii="Tahoma" w:eastAsia="Times New Roman" w:hAnsi="Tahoma" w:cs="Tahoma"/>
          <w:sz w:val="12"/>
          <w:szCs w:val="12"/>
        </w:rPr>
      </w:pPr>
    </w:p>
    <w:p w:rsidR="008018BA" w:rsidRPr="00AA3B1B" w:rsidRDefault="008018BA" w:rsidP="008018BA">
      <w:pPr>
        <w:widowControl w:val="0"/>
        <w:autoSpaceDE w:val="0"/>
        <w:autoSpaceDN w:val="0"/>
        <w:spacing w:after="0" w:line="360" w:lineRule="auto"/>
        <w:jc w:val="both"/>
        <w:rPr>
          <w:rFonts w:ascii="Tahoma" w:eastAsia="Times New Roman" w:hAnsi="Tahoma" w:cs="Tahoma"/>
          <w:sz w:val="24"/>
          <w:szCs w:val="24"/>
        </w:rPr>
      </w:pPr>
      <w:r w:rsidRPr="00AA3B1B">
        <w:rPr>
          <w:rFonts w:ascii="Tahoma" w:eastAsia="Times New Roman" w:hAnsi="Tahoma" w:cs="Tahoma"/>
          <w:sz w:val="24"/>
          <w:szCs w:val="24"/>
        </w:rPr>
        <w:t>La définition du développement durable proposée par le Rapport Brundtland soulève plusieurs interrogations fondamentales. Premièrement, quels critères permettent</w:t>
      </w:r>
      <w:r>
        <w:rPr>
          <w:rFonts w:ascii="Tahoma" w:eastAsia="Times New Roman" w:hAnsi="Tahoma" w:cs="Tahoma"/>
          <w:sz w:val="24"/>
          <w:szCs w:val="24"/>
        </w:rPr>
        <w:t>-ils</w:t>
      </w:r>
      <w:r w:rsidRPr="00AA3B1B">
        <w:rPr>
          <w:rFonts w:ascii="Tahoma" w:eastAsia="Times New Roman" w:hAnsi="Tahoma" w:cs="Tahoma"/>
          <w:sz w:val="24"/>
          <w:szCs w:val="24"/>
        </w:rPr>
        <w:t xml:space="preserve"> d'affirmer que les générations présentes ont effectivement satisfait leurs besoins, sachant que les besoins des pays du Nord diffèrent considérablement de ceux des pays du Sud ? Deuxièmement, à partir de quel seuil peut-on considérer que les besoins des générations futures seront satisfaits ?</w:t>
      </w:r>
    </w:p>
    <w:p w:rsidR="008018BA" w:rsidRDefault="008018BA" w:rsidP="008018BA">
      <w:pPr>
        <w:widowControl w:val="0"/>
        <w:autoSpaceDE w:val="0"/>
        <w:autoSpaceDN w:val="0"/>
        <w:spacing w:after="0" w:line="360" w:lineRule="auto"/>
        <w:jc w:val="both"/>
        <w:rPr>
          <w:rFonts w:ascii="Tahoma" w:eastAsia="Times New Roman" w:hAnsi="Tahoma" w:cs="Tahoma"/>
          <w:sz w:val="24"/>
          <w:szCs w:val="24"/>
        </w:rPr>
      </w:pPr>
      <w:r w:rsidRPr="00AA3B1B">
        <w:rPr>
          <w:rFonts w:ascii="Tahoma" w:eastAsia="Times New Roman" w:hAnsi="Tahoma" w:cs="Tahoma"/>
          <w:sz w:val="24"/>
          <w:szCs w:val="24"/>
        </w:rPr>
        <w:t>En outre, chaque acteur tend naturellement à privilégier les intérêts de ses propres générations futures, avec lesquelles il partage des valeurs socioculturelles communes, plutôt que ceux de l'humanité dans son ensemble, notion qui demeure intrinsèquement abstraite</w:t>
      </w:r>
      <w:r w:rsidRPr="00AA3B1B">
        <w:rPr>
          <w:rFonts w:ascii="Tahoma" w:eastAsia="Times New Roman" w:hAnsi="Tahoma" w:cs="Tahoma"/>
          <w:sz w:val="24"/>
          <w:szCs w:val="24"/>
          <w:vertAlign w:val="superscript"/>
        </w:rPr>
        <w:footnoteReference w:id="75"/>
      </w:r>
      <w:r w:rsidRPr="00AA3B1B">
        <w:rPr>
          <w:rFonts w:ascii="Tahoma" w:eastAsia="Times New Roman" w:hAnsi="Tahoma" w:cs="Tahoma"/>
          <w:sz w:val="24"/>
          <w:szCs w:val="24"/>
        </w:rPr>
        <w:t>.</w:t>
      </w:r>
    </w:p>
    <w:p w:rsidR="008018BA" w:rsidRPr="00A12D23" w:rsidRDefault="008018BA" w:rsidP="008018BA">
      <w:pPr>
        <w:widowControl w:val="0"/>
        <w:autoSpaceDE w:val="0"/>
        <w:autoSpaceDN w:val="0"/>
        <w:spacing w:before="161" w:after="0" w:line="360" w:lineRule="auto"/>
        <w:jc w:val="both"/>
        <w:rPr>
          <w:rFonts w:ascii="Tahoma" w:hAnsi="Tahoma" w:cs="Tahoma"/>
          <w:sz w:val="24"/>
          <w:szCs w:val="24"/>
        </w:rPr>
      </w:pPr>
      <w:r w:rsidRPr="00A12D23">
        <w:rPr>
          <w:rFonts w:ascii="Tahoma" w:hAnsi="Tahoma" w:cs="Tahoma"/>
          <w:sz w:val="24"/>
          <w:szCs w:val="24"/>
        </w:rPr>
        <w:t xml:space="preserve">L’évaluation de l’impact </w:t>
      </w:r>
      <w:r>
        <w:rPr>
          <w:rFonts w:ascii="Tahoma" w:hAnsi="Tahoma" w:cs="Tahoma"/>
          <w:sz w:val="24"/>
          <w:szCs w:val="24"/>
        </w:rPr>
        <w:t>du</w:t>
      </w:r>
      <w:r w:rsidRPr="00A12D23">
        <w:rPr>
          <w:rFonts w:ascii="Tahoma" w:hAnsi="Tahoma" w:cs="Tahoma"/>
          <w:sz w:val="24"/>
          <w:szCs w:val="24"/>
        </w:rPr>
        <w:t xml:space="preserve"> Rapport Brundtland sur le secteur forestier s’impose comme une démarche essentielle dans l’analyse des politiques de développement durable. Elle conduit à s’interroger sur la nature de cette influence : représente-t-elle une avancée significative en matière de protection des forêts, ou marque-t-elle, au contraire, une </w:t>
      </w:r>
      <w:r w:rsidRPr="00A12D23">
        <w:rPr>
          <w:rFonts w:ascii="Tahoma" w:hAnsi="Tahoma" w:cs="Tahoma"/>
          <w:sz w:val="24"/>
          <w:szCs w:val="24"/>
        </w:rPr>
        <w:lastRenderedPageBreak/>
        <w:t>forme de régression dans les efforts de préservati</w:t>
      </w:r>
      <w:r>
        <w:rPr>
          <w:rFonts w:ascii="Tahoma" w:hAnsi="Tahoma" w:cs="Tahoma"/>
          <w:sz w:val="24"/>
          <w:szCs w:val="24"/>
        </w:rPr>
        <w:t>on des écosystèmes forestiers ?</w:t>
      </w:r>
    </w:p>
    <w:p w:rsidR="008018BA" w:rsidRDefault="008018BA" w:rsidP="008018BA">
      <w:pPr>
        <w:widowControl w:val="0"/>
        <w:autoSpaceDE w:val="0"/>
        <w:autoSpaceDN w:val="0"/>
        <w:spacing w:before="161" w:after="0" w:line="360" w:lineRule="auto"/>
        <w:jc w:val="both"/>
        <w:rPr>
          <w:rFonts w:ascii="Tahoma" w:eastAsia="Times New Roman" w:hAnsi="Tahoma" w:cs="Tahoma"/>
          <w:sz w:val="24"/>
          <w:szCs w:val="24"/>
        </w:rPr>
      </w:pPr>
      <w:r w:rsidRPr="00583B30">
        <w:rPr>
          <w:rFonts w:ascii="Tahoma" w:eastAsia="Times New Roman" w:hAnsi="Tahoma" w:cs="Tahoma"/>
          <w:sz w:val="24"/>
          <w:szCs w:val="24"/>
        </w:rPr>
        <w:t xml:space="preserve">Sur le plan international, le rapport semble avoir apporté des réponses nouvelles à des questions jusqu'alors partiellement abordées. Le débat qu'il a suscité s'inscrit dans la continuité des discussions forestières des années 1970 et 1980, portant sur des sujets tels que les peuplements monospécifiques résineux, l'acidification des sols, les essences exotiques, les « pluies acides », la gestion en futaie régulière ou irrégulière, la protection </w:t>
      </w:r>
      <w:r w:rsidRPr="008141E9">
        <w:rPr>
          <w:rFonts w:ascii="Tahoma" w:eastAsia="Times New Roman" w:hAnsi="Tahoma" w:cs="Tahoma"/>
          <w:sz w:val="24"/>
          <w:szCs w:val="24"/>
        </w:rPr>
        <w:t>des espèces et des milieux remarquables, ainsi que la sylviculture proche de la nature.</w:t>
      </w:r>
      <w:r>
        <w:rPr>
          <w:rFonts w:ascii="Tahoma" w:eastAsia="Times New Roman" w:hAnsi="Tahoma" w:cs="Tahoma"/>
          <w:sz w:val="24"/>
          <w:szCs w:val="24"/>
        </w:rPr>
        <w:t xml:space="preserve"> </w:t>
      </w:r>
      <w:r w:rsidRPr="008141E9">
        <w:rPr>
          <w:rFonts w:ascii="Tahoma" w:eastAsia="Times New Roman" w:hAnsi="Tahoma" w:cs="Tahoma"/>
          <w:sz w:val="24"/>
          <w:szCs w:val="24"/>
        </w:rPr>
        <w:t xml:space="preserve">Si ces thématiques n'étaient pas nouvelles en soi, l'innovation du rapport Brundtland tient à leur articulation dans une approche globale qui dépasse les clivages traditionnels entre protection environnementale et développement économique. Le rapport a </w:t>
      </w:r>
      <w:r>
        <w:rPr>
          <w:rFonts w:ascii="Tahoma" w:eastAsia="Times New Roman" w:hAnsi="Tahoma" w:cs="Tahoma"/>
          <w:sz w:val="24"/>
          <w:szCs w:val="24"/>
        </w:rPr>
        <w:t>initié et légitimé</w:t>
      </w:r>
      <w:r w:rsidRPr="008141E9">
        <w:rPr>
          <w:rFonts w:ascii="Tahoma" w:eastAsia="Times New Roman" w:hAnsi="Tahoma" w:cs="Tahoma"/>
          <w:sz w:val="24"/>
          <w:szCs w:val="24"/>
        </w:rPr>
        <w:t xml:space="preserve"> une mobilisation internationale d'envergure, tant intergouvernementale que non gouvernementale</w:t>
      </w:r>
      <w:r>
        <w:rPr>
          <w:rFonts w:ascii="Tahoma" w:eastAsia="Times New Roman" w:hAnsi="Tahoma" w:cs="Tahoma"/>
          <w:sz w:val="24"/>
          <w:szCs w:val="24"/>
        </w:rPr>
        <w:t>, autour des enjeux forestiers.</w:t>
      </w:r>
    </w:p>
    <w:p w:rsidR="008018BA" w:rsidRDefault="008018BA" w:rsidP="008018BA">
      <w:pPr>
        <w:widowControl w:val="0"/>
        <w:autoSpaceDE w:val="0"/>
        <w:autoSpaceDN w:val="0"/>
        <w:spacing w:before="161" w:after="0" w:line="360" w:lineRule="auto"/>
        <w:jc w:val="both"/>
        <w:rPr>
          <w:rFonts w:ascii="Tahoma" w:eastAsia="Times New Roman" w:hAnsi="Tahoma" w:cs="Tahoma"/>
          <w:sz w:val="24"/>
          <w:szCs w:val="24"/>
        </w:rPr>
      </w:pPr>
      <w:r w:rsidRPr="00583B30">
        <w:rPr>
          <w:rFonts w:ascii="Tahoma" w:eastAsia="Times New Roman" w:hAnsi="Tahoma" w:cs="Tahoma"/>
          <w:sz w:val="24"/>
          <w:szCs w:val="24"/>
        </w:rPr>
        <w:t>En matière de gestion, la dimension durable ne se limite pas à la productivité ou à la continuité des approvisionnements en bois, mais paraît englober d'autres valeurs forestières de nature sociale, environnementale, économique, culturelle et spirituelle. À cet égard, les stratégies de gestion durable des forêts visent à intégrer la biodiversité, les processus écosystémiques et la productivité à long terme des sites, afin de maintenir et d'améliorer le bien-être humain selon une approche écologiquement fondée, économiquement viable et socialement acceptable</w:t>
      </w:r>
      <w:r w:rsidRPr="00583B30">
        <w:rPr>
          <w:rFonts w:ascii="Tahoma" w:eastAsia="Times New Roman" w:hAnsi="Tahoma" w:cs="Tahoma"/>
          <w:sz w:val="24"/>
          <w:szCs w:val="24"/>
          <w:vertAlign w:val="superscript"/>
        </w:rPr>
        <w:footnoteReference w:id="76"/>
      </w:r>
      <w:r w:rsidRPr="00583B30">
        <w:rPr>
          <w:rFonts w:ascii="Tahoma" w:eastAsia="Times New Roman" w:hAnsi="Tahoma" w:cs="Tahoma"/>
          <w:sz w:val="24"/>
          <w:szCs w:val="24"/>
        </w:rPr>
        <w:t>.</w:t>
      </w:r>
    </w:p>
    <w:p w:rsidR="008018BA" w:rsidRPr="00F33AEA" w:rsidRDefault="008018BA" w:rsidP="008018BA">
      <w:pPr>
        <w:widowControl w:val="0"/>
        <w:autoSpaceDE w:val="0"/>
        <w:autoSpaceDN w:val="0"/>
        <w:spacing w:before="161" w:after="0" w:line="360" w:lineRule="auto"/>
        <w:jc w:val="both"/>
        <w:rPr>
          <w:rFonts w:ascii="Tahoma" w:eastAsia="Times New Roman" w:hAnsi="Tahoma" w:cs="Tahoma"/>
          <w:sz w:val="6"/>
          <w:szCs w:val="6"/>
        </w:rPr>
      </w:pPr>
    </w:p>
    <w:p w:rsidR="008018BA" w:rsidRPr="00EC612F" w:rsidRDefault="008018BA" w:rsidP="008018BA">
      <w:pPr>
        <w:widowControl w:val="0"/>
        <w:autoSpaceDE w:val="0"/>
        <w:autoSpaceDN w:val="0"/>
        <w:spacing w:after="0" w:line="360" w:lineRule="auto"/>
        <w:jc w:val="both"/>
        <w:rPr>
          <w:rFonts w:ascii="Tahoma" w:eastAsia="Times New Roman" w:hAnsi="Tahoma" w:cs="Tahoma"/>
          <w:sz w:val="24"/>
          <w:szCs w:val="24"/>
          <w:highlight w:val="yellow"/>
        </w:rPr>
      </w:pPr>
      <w:r w:rsidRPr="005557DC">
        <w:rPr>
          <w:rFonts w:ascii="Tahoma" w:eastAsia="Times New Roman" w:hAnsi="Tahoma" w:cs="Tahoma"/>
          <w:sz w:val="24"/>
          <w:szCs w:val="24"/>
        </w:rPr>
        <w:t xml:space="preserve">Selon la déclaration de Sha Zukang, Secrétaire général adjoint aux affaires économiques et sociales, lors de la huitième session du Forum des Nations Unies sur les forêts (FNUF) en avril 2009, la gestion durable des forêts, « concept dynamique en évolution », vise à « maintenir et renforcer les valeurs économiques, sociales et environnementales de tous les types de forêts pour les générations présentes et futures ». Cette déclaration soulève des interrogations quant aux modalités pratiques et efficaces pour assurer la préservation des forêts dans un contexte mondial fortement marqué par l'hégémonie de l'économie </w:t>
      </w:r>
      <w:r w:rsidRPr="005557DC">
        <w:rPr>
          <w:rFonts w:ascii="Tahoma" w:eastAsia="Times New Roman" w:hAnsi="Tahoma" w:cs="Tahoma"/>
          <w:sz w:val="24"/>
          <w:szCs w:val="24"/>
        </w:rPr>
        <w:lastRenderedPageBreak/>
        <w:t>néolibérale</w:t>
      </w:r>
      <w:r w:rsidRPr="005557DC">
        <w:rPr>
          <w:rFonts w:ascii="Tahoma" w:eastAsia="Times New Roman" w:hAnsi="Tahoma" w:cs="Tahoma"/>
          <w:sz w:val="24"/>
          <w:szCs w:val="24"/>
          <w:vertAlign w:val="superscript"/>
        </w:rPr>
        <w:footnoteReference w:id="77"/>
      </w:r>
      <w:r w:rsidRPr="005557DC">
        <w:rPr>
          <w:rFonts w:ascii="Tahoma" w:eastAsia="Times New Roman" w:hAnsi="Tahoma" w:cs="Tahoma"/>
          <w:sz w:val="24"/>
          <w:szCs w:val="24"/>
        </w:rPr>
        <w:t>.</w:t>
      </w:r>
    </w:p>
    <w:p w:rsidR="008018BA" w:rsidRDefault="008018BA" w:rsidP="008018BA">
      <w:pPr>
        <w:widowControl w:val="0"/>
        <w:autoSpaceDE w:val="0"/>
        <w:autoSpaceDN w:val="0"/>
        <w:spacing w:after="0" w:line="360" w:lineRule="auto"/>
        <w:jc w:val="both"/>
        <w:rPr>
          <w:rFonts w:ascii="Tahoma" w:eastAsia="Times New Roman" w:hAnsi="Tahoma" w:cs="Tahoma"/>
          <w:sz w:val="24"/>
          <w:szCs w:val="24"/>
        </w:rPr>
      </w:pPr>
      <w:r>
        <w:rPr>
          <w:rFonts w:ascii="Tahoma" w:eastAsia="Times New Roman" w:hAnsi="Tahoma" w:cs="Tahoma"/>
          <w:sz w:val="24"/>
          <w:szCs w:val="24"/>
        </w:rPr>
        <w:t xml:space="preserve">En somme, </w:t>
      </w:r>
      <w:r w:rsidRPr="005557DC">
        <w:rPr>
          <w:rFonts w:ascii="Tahoma" w:eastAsia="Times New Roman" w:hAnsi="Tahoma" w:cs="Tahoma"/>
          <w:sz w:val="24"/>
          <w:szCs w:val="24"/>
        </w:rPr>
        <w:t>des contradictions se révèlent particulièrement manifestes entre, d'une part, les impératifs de rentabilité à court terme et de compétitivité imposés par les logiques de marché et, d'autre part, les exigences de préservation écosystémique et de justice intergénérationnelle inhérentes au développement durable. Cette contradiction structurelle questionne la capacité réelle des mécanismes économiques dominants à concilier efficacement exploitation forestière et conservation environneme</w:t>
      </w:r>
      <w:r>
        <w:rPr>
          <w:rFonts w:ascii="Tahoma" w:eastAsia="Times New Roman" w:hAnsi="Tahoma" w:cs="Tahoma"/>
          <w:sz w:val="24"/>
          <w:szCs w:val="24"/>
        </w:rPr>
        <w:t>ntale.</w:t>
      </w:r>
    </w:p>
    <w:p w:rsidR="008018BA" w:rsidRPr="00EC612F" w:rsidRDefault="008018BA" w:rsidP="008018BA">
      <w:pPr>
        <w:widowControl w:val="0"/>
        <w:autoSpaceDE w:val="0"/>
        <w:autoSpaceDN w:val="0"/>
        <w:spacing w:before="160" w:after="0" w:line="360" w:lineRule="auto"/>
        <w:jc w:val="both"/>
        <w:rPr>
          <w:rFonts w:ascii="Tahoma" w:hAnsi="Tahoma" w:cs="Tahoma"/>
          <w:sz w:val="24"/>
          <w:szCs w:val="24"/>
        </w:rPr>
      </w:pPr>
      <w:r w:rsidRPr="00EC612F">
        <w:rPr>
          <w:rFonts w:ascii="Tahoma" w:hAnsi="Tahoma" w:cs="Tahoma"/>
          <w:sz w:val="24"/>
          <w:szCs w:val="24"/>
        </w:rPr>
        <w:t>Il est important de noter que les acteurs impliqués dans la gestion forestière (compagnies d'exploitation, concessionnaires, communautés locales et autochtones, institutions gouvernementales, ONG environnementales) ont des intérêts divergents, voire contradictoires. Les forêts constituent parfois le théâtre de conflits politiques et sociaux liés à l'accès aux ressources.</w:t>
      </w:r>
    </w:p>
    <w:p w:rsidR="008018BA" w:rsidRPr="00EC612F" w:rsidRDefault="008018BA" w:rsidP="008018BA">
      <w:pPr>
        <w:widowControl w:val="0"/>
        <w:autoSpaceDE w:val="0"/>
        <w:autoSpaceDN w:val="0"/>
        <w:spacing w:before="160" w:after="0" w:line="360" w:lineRule="auto"/>
        <w:jc w:val="both"/>
        <w:rPr>
          <w:rFonts w:ascii="Tahoma" w:hAnsi="Tahoma" w:cs="Tahoma"/>
          <w:sz w:val="24"/>
          <w:szCs w:val="24"/>
        </w:rPr>
      </w:pPr>
      <w:r w:rsidRPr="00EC612F">
        <w:rPr>
          <w:rFonts w:ascii="Tahoma" w:hAnsi="Tahoma" w:cs="Tahoma"/>
          <w:sz w:val="24"/>
          <w:szCs w:val="24"/>
        </w:rPr>
        <w:t>Parvenir à une gestion rationnelle des forêts semble donc dépendre fondamentalement de la définition préalablement accordée à la forêt, dans la mesure où ses différentes fonctions façonnent distinctement les territoires et les populations qui en dépendent.</w:t>
      </w:r>
    </w:p>
    <w:p w:rsidR="008018BA" w:rsidRPr="000A7532" w:rsidRDefault="008018BA" w:rsidP="008018BA">
      <w:pPr>
        <w:widowControl w:val="0"/>
        <w:autoSpaceDE w:val="0"/>
        <w:autoSpaceDN w:val="0"/>
        <w:spacing w:before="74" w:after="0" w:line="360" w:lineRule="auto"/>
        <w:jc w:val="both"/>
        <w:rPr>
          <w:rFonts w:ascii="Tahoma" w:eastAsia="Times New Roman" w:hAnsi="Tahoma" w:cs="Tahoma"/>
          <w:sz w:val="24"/>
          <w:szCs w:val="24"/>
        </w:rPr>
      </w:pPr>
      <w:r w:rsidRPr="000A7532">
        <w:rPr>
          <w:rFonts w:ascii="Tahoma" w:eastAsia="Times New Roman" w:hAnsi="Tahoma" w:cs="Tahoma"/>
          <w:sz w:val="24"/>
          <w:szCs w:val="24"/>
        </w:rPr>
        <w:t xml:space="preserve">Pour la FAO, les forêts sont </w:t>
      </w:r>
      <w:r w:rsidRPr="000A7532">
        <w:rPr>
          <w:rFonts w:ascii="Tahoma" w:eastAsia="Times New Roman" w:hAnsi="Tahoma" w:cs="Tahoma"/>
          <w:i/>
          <w:iCs/>
          <w:sz w:val="24"/>
          <w:szCs w:val="24"/>
        </w:rPr>
        <w:t>« des terres occupant une superficie de plus de 0,5 hectares avec des arbres atteignant une hauteur supérieure à 5 mètres et un couvert forestier de plus de 10 pour cent, ou avec des arbres capables d’atteindre ces seuils in situ. Sont exclues les terres à vocation agricole ou urbaine prédominante »</w:t>
      </w:r>
      <w:r w:rsidRPr="000A7532">
        <w:rPr>
          <w:rFonts w:ascii="Tahoma" w:eastAsia="Times New Roman" w:hAnsi="Tahoma" w:cs="Tahoma"/>
          <w:i/>
          <w:iCs/>
          <w:sz w:val="24"/>
          <w:szCs w:val="24"/>
          <w:vertAlign w:val="superscript"/>
        </w:rPr>
        <w:footnoteReference w:id="78"/>
      </w:r>
      <w:r w:rsidRPr="000A7532">
        <w:rPr>
          <w:rFonts w:ascii="Tahoma" w:eastAsia="Times New Roman" w:hAnsi="Tahoma" w:cs="Tahoma"/>
          <w:sz w:val="24"/>
          <w:szCs w:val="24"/>
        </w:rPr>
        <w:t>. Cette définition semble être largement utilisée aujourd'hui au niveau mondial. Cependant, elle suscite des controverses.</w:t>
      </w:r>
    </w:p>
    <w:p w:rsidR="008018BA" w:rsidRPr="000A7532" w:rsidRDefault="008018BA" w:rsidP="008018BA">
      <w:pPr>
        <w:widowControl w:val="0"/>
        <w:autoSpaceDE w:val="0"/>
        <w:autoSpaceDN w:val="0"/>
        <w:spacing w:before="160" w:after="0" w:line="360" w:lineRule="auto"/>
        <w:jc w:val="both"/>
        <w:rPr>
          <w:rFonts w:ascii="Tahoma" w:eastAsia="Times New Roman" w:hAnsi="Tahoma" w:cs="Tahoma"/>
          <w:sz w:val="24"/>
          <w:szCs w:val="24"/>
        </w:rPr>
      </w:pPr>
      <w:r w:rsidRPr="000A7532">
        <w:rPr>
          <w:rFonts w:ascii="Tahoma" w:eastAsia="Times New Roman" w:hAnsi="Tahoma" w:cs="Tahoma"/>
          <w:sz w:val="24"/>
          <w:szCs w:val="24"/>
        </w:rPr>
        <w:t xml:space="preserve">A titre d’exemple, le  </w:t>
      </w:r>
      <w:r w:rsidRPr="000A7532">
        <w:rPr>
          <w:rFonts w:ascii="Tahoma" w:eastAsia="Times New Roman" w:hAnsi="Tahoma" w:cs="Tahoma"/>
          <w:i/>
          <w:iCs/>
          <w:sz w:val="24"/>
          <w:szCs w:val="24"/>
        </w:rPr>
        <w:t>Mouvement mondial pour les forêts tropicales (</w:t>
      </w:r>
      <w:r w:rsidRPr="000A7532">
        <w:rPr>
          <w:rFonts w:ascii="Tahoma" w:eastAsia="Times New Roman" w:hAnsi="Tahoma" w:cs="Tahoma"/>
          <w:sz w:val="24"/>
          <w:szCs w:val="24"/>
        </w:rPr>
        <w:t>WRM)</w:t>
      </w:r>
      <w:r w:rsidRPr="000A7532">
        <w:rPr>
          <w:rFonts w:ascii="Tahoma" w:eastAsia="Times New Roman" w:hAnsi="Tahoma" w:cs="Tahoma"/>
          <w:sz w:val="24"/>
          <w:szCs w:val="24"/>
          <w:vertAlign w:val="superscript"/>
        </w:rPr>
        <w:footnoteReference w:id="79"/>
      </w:r>
      <w:r w:rsidRPr="000A7532">
        <w:rPr>
          <w:rFonts w:ascii="Tahoma" w:eastAsia="Times New Roman" w:hAnsi="Tahoma" w:cs="Tahoma"/>
          <w:sz w:val="24"/>
          <w:szCs w:val="24"/>
        </w:rPr>
        <w:t xml:space="preserve"> critique cette définition en précisant qu’elle profite principalement aux intérêts des entreprises de plantations d'arbres industrielles du moment que la FAO a réduit la forêt à une zone </w:t>
      </w:r>
      <w:r w:rsidRPr="000A7532">
        <w:rPr>
          <w:rFonts w:ascii="Tahoma" w:eastAsia="Times New Roman" w:hAnsi="Tahoma" w:cs="Tahoma"/>
          <w:sz w:val="24"/>
          <w:szCs w:val="24"/>
        </w:rPr>
        <w:lastRenderedPageBreak/>
        <w:t>couverte par des arbres tout en marginalisant les autres formes de vie ainsi que la diversité biologique, cyclique et culturelle qui constituent une forêt en interconnexion permanente avec les communautés qui en dépendent.</w:t>
      </w:r>
    </w:p>
    <w:p w:rsidR="008018BA" w:rsidRPr="0045141B" w:rsidRDefault="008018BA" w:rsidP="008018BA">
      <w:pPr>
        <w:widowControl w:val="0"/>
        <w:autoSpaceDE w:val="0"/>
        <w:autoSpaceDN w:val="0"/>
        <w:spacing w:before="160" w:after="0" w:line="360" w:lineRule="auto"/>
        <w:jc w:val="both"/>
        <w:rPr>
          <w:rFonts w:ascii="Tahoma" w:eastAsia="Times New Roman" w:hAnsi="Tahoma" w:cs="Tahoma"/>
          <w:sz w:val="24"/>
          <w:szCs w:val="24"/>
        </w:rPr>
      </w:pPr>
      <w:r w:rsidRPr="003951DA">
        <w:rPr>
          <w:rFonts w:ascii="Tahoma" w:eastAsia="Times New Roman" w:hAnsi="Tahoma" w:cs="Tahoma"/>
          <w:sz w:val="24"/>
          <w:szCs w:val="24"/>
        </w:rPr>
        <w:t>De plus, cette définition permet d'inclure des millions d'hectares de plantations industrielles dans les statistiques forestières, malgré leurs impacts sociaux et environnementaux. D'autres organisations, telles que La Via Campesina, Les Amis de la</w:t>
      </w:r>
      <w:r w:rsidRPr="000A7532">
        <w:rPr>
          <w:rFonts w:ascii="Tahoma" w:eastAsia="Times New Roman" w:hAnsi="Tahoma" w:cs="Tahoma"/>
          <w:i/>
          <w:iCs/>
          <w:sz w:val="24"/>
          <w:szCs w:val="24"/>
        </w:rPr>
        <w:t xml:space="preserve"> </w:t>
      </w:r>
      <w:r w:rsidRPr="0045141B">
        <w:rPr>
          <w:rFonts w:ascii="Tahoma" w:eastAsia="Times New Roman" w:hAnsi="Tahoma" w:cs="Tahoma"/>
          <w:sz w:val="24"/>
          <w:szCs w:val="24"/>
        </w:rPr>
        <w:t>Terre International et Focus on the Global South, soulignent que cette définition ne tient pas compte des 300 millions de personnes dépendant directement des forêts pour leur subsistance</w:t>
      </w:r>
      <w:r w:rsidRPr="0045141B">
        <w:rPr>
          <w:rFonts w:ascii="Tahoma" w:eastAsia="Times New Roman" w:hAnsi="Tahoma" w:cs="Tahoma"/>
          <w:sz w:val="24"/>
          <w:szCs w:val="24"/>
          <w:vertAlign w:val="superscript"/>
        </w:rPr>
        <w:footnoteReference w:id="80"/>
      </w:r>
      <w:r w:rsidRPr="0045141B">
        <w:rPr>
          <w:rFonts w:ascii="Tahoma" w:eastAsia="Times New Roman" w:hAnsi="Tahoma" w:cs="Tahoma"/>
          <w:sz w:val="24"/>
          <w:szCs w:val="24"/>
        </w:rPr>
        <w:t>.</w:t>
      </w:r>
    </w:p>
    <w:p w:rsidR="008018BA" w:rsidRPr="000A7532" w:rsidRDefault="008018BA" w:rsidP="008018BA">
      <w:pPr>
        <w:widowControl w:val="0"/>
        <w:autoSpaceDE w:val="0"/>
        <w:autoSpaceDN w:val="0"/>
        <w:spacing w:before="161" w:after="0" w:line="360" w:lineRule="auto"/>
        <w:jc w:val="both"/>
        <w:rPr>
          <w:rFonts w:ascii="Tahoma" w:eastAsia="Times New Roman" w:hAnsi="Tahoma" w:cs="Tahoma"/>
          <w:sz w:val="24"/>
          <w:szCs w:val="24"/>
        </w:rPr>
      </w:pPr>
      <w:r>
        <w:rPr>
          <w:rFonts w:ascii="Tahoma" w:eastAsia="Times New Roman" w:hAnsi="Tahoma" w:cs="Tahoma"/>
          <w:sz w:val="24"/>
          <w:szCs w:val="24"/>
        </w:rPr>
        <w:t>L</w:t>
      </w:r>
      <w:r w:rsidRPr="000A7532">
        <w:rPr>
          <w:rFonts w:ascii="Tahoma" w:eastAsia="Times New Roman" w:hAnsi="Tahoma" w:cs="Tahoma"/>
          <w:sz w:val="24"/>
          <w:szCs w:val="24"/>
        </w:rPr>
        <w:t>a définition de la forêt adoptée par l'Organisation des Nations Unies pour l'alimentation et l'agriculture (FAO) exerce une influence significative sur les politiques économiques, écologiques et sociales à l'échelle mondiale. Cette influence peut expliquer, en partie, les problématiques auxquelles sont confrontées les forêts.</w:t>
      </w:r>
    </w:p>
    <w:p w:rsidR="008018BA" w:rsidRPr="000A7532" w:rsidRDefault="008018BA" w:rsidP="008018BA">
      <w:pPr>
        <w:widowControl w:val="0"/>
        <w:autoSpaceDE w:val="0"/>
        <w:autoSpaceDN w:val="0"/>
        <w:spacing w:before="161" w:after="0" w:line="360" w:lineRule="auto"/>
        <w:jc w:val="both"/>
        <w:rPr>
          <w:rFonts w:ascii="Tahoma" w:eastAsia="Times New Roman" w:hAnsi="Tahoma" w:cs="Tahoma"/>
          <w:sz w:val="24"/>
          <w:szCs w:val="24"/>
        </w:rPr>
      </w:pPr>
      <w:r w:rsidRPr="000A7532">
        <w:rPr>
          <w:rFonts w:ascii="Tahoma" w:eastAsia="Times New Roman" w:hAnsi="Tahoma" w:cs="Tahoma"/>
          <w:sz w:val="24"/>
          <w:szCs w:val="24"/>
        </w:rPr>
        <w:t>Au-delà des enjeux conceptuels, l'absence d'un instrument juridique international contraignant, spécifiquement dédié à la conservation et à la gestion rationnelle des forêts, constitue un obstacle majeur.</w:t>
      </w:r>
    </w:p>
    <w:p w:rsidR="008018BA" w:rsidRPr="000A7532" w:rsidRDefault="008018BA" w:rsidP="008018BA">
      <w:pPr>
        <w:widowControl w:val="0"/>
        <w:autoSpaceDE w:val="0"/>
        <w:autoSpaceDN w:val="0"/>
        <w:spacing w:before="160" w:after="0" w:line="360" w:lineRule="auto"/>
        <w:jc w:val="both"/>
        <w:rPr>
          <w:rFonts w:ascii="Tahoma" w:eastAsia="Times New Roman" w:hAnsi="Tahoma" w:cs="Tahoma"/>
          <w:sz w:val="24"/>
          <w:szCs w:val="24"/>
        </w:rPr>
      </w:pPr>
      <w:r w:rsidRPr="000A7532">
        <w:rPr>
          <w:rFonts w:ascii="Tahoma" w:eastAsia="Times New Roman" w:hAnsi="Tahoma" w:cs="Tahoma"/>
          <w:sz w:val="24"/>
          <w:szCs w:val="24"/>
        </w:rPr>
        <w:t>L'analyse de l'arsenal juridique international actuel révèle que des dispositions non spécifiques, universelles et générales contribuent indirectement à la protection des forêts, à travers la sauvegarde de l'environnement naturel. Parmi les conventions internationales pertinentes, on peut citer la Convention de l'UNESCO de 1972 concernant la protection du patrimoine mondial culturel et naturel, ainsi que les Conventions sur la diversité biologique et les changements climatiques, adoptées en 1992 lors du Sommet de Rio</w:t>
      </w:r>
      <w:r w:rsidRPr="000A7532">
        <w:rPr>
          <w:rFonts w:ascii="Tahoma" w:eastAsia="Times New Roman" w:hAnsi="Tahoma" w:cs="Tahoma"/>
          <w:sz w:val="24"/>
          <w:szCs w:val="24"/>
          <w:vertAlign w:val="superscript"/>
        </w:rPr>
        <w:footnoteReference w:id="81"/>
      </w:r>
      <w:r w:rsidRPr="000A7532">
        <w:rPr>
          <w:rFonts w:ascii="Tahoma" w:eastAsia="Times New Roman" w:hAnsi="Tahoma" w:cs="Tahoma"/>
          <w:sz w:val="24"/>
          <w:szCs w:val="24"/>
        </w:rPr>
        <w:t>.</w:t>
      </w:r>
    </w:p>
    <w:p w:rsidR="008018BA" w:rsidRPr="000A7532" w:rsidRDefault="008018BA" w:rsidP="008018BA">
      <w:pPr>
        <w:widowControl w:val="0"/>
        <w:autoSpaceDE w:val="0"/>
        <w:autoSpaceDN w:val="0"/>
        <w:spacing w:before="160" w:after="0" w:line="360" w:lineRule="auto"/>
        <w:jc w:val="both"/>
        <w:rPr>
          <w:rFonts w:ascii="Tahoma" w:eastAsia="Times New Roman" w:hAnsi="Tahoma" w:cs="Tahoma"/>
          <w:spacing w:val="1"/>
          <w:sz w:val="24"/>
          <w:szCs w:val="24"/>
        </w:rPr>
      </w:pPr>
      <w:r w:rsidRPr="000A7532">
        <w:rPr>
          <w:rFonts w:ascii="Tahoma" w:eastAsia="Times New Roman" w:hAnsi="Tahoma" w:cs="Tahoma"/>
          <w:spacing w:val="1"/>
          <w:sz w:val="24"/>
          <w:szCs w:val="24"/>
        </w:rPr>
        <w:t xml:space="preserve">Parallèlement, des conventions régionales et sous-régionales ont été adoptées, telles que la Convention de Washington de 1940 pour l'Amérique, la Convention de Berne de 1979 pour l'Europe, la Convention d'Apia de 1976 pour le Pacifique Sud, la Convention </w:t>
      </w:r>
      <w:r w:rsidRPr="000A7532">
        <w:rPr>
          <w:rFonts w:ascii="Tahoma" w:eastAsia="Times New Roman" w:hAnsi="Tahoma" w:cs="Tahoma"/>
          <w:spacing w:val="1"/>
          <w:sz w:val="24"/>
          <w:szCs w:val="24"/>
        </w:rPr>
        <w:lastRenderedPageBreak/>
        <w:t>de Kuala Lumpur de 1985 pour l'Asie du Sud-Est, et la Convention africaine sur la conservation de la nature et des ressources naturelles, adoptée en 1968 à Alger.</w:t>
      </w:r>
    </w:p>
    <w:p w:rsidR="008018BA" w:rsidRPr="000A7532" w:rsidRDefault="008018BA" w:rsidP="008018BA">
      <w:pPr>
        <w:widowControl w:val="0"/>
        <w:autoSpaceDE w:val="0"/>
        <w:autoSpaceDN w:val="0"/>
        <w:spacing w:before="160" w:after="0" w:line="360" w:lineRule="auto"/>
        <w:jc w:val="both"/>
        <w:rPr>
          <w:rFonts w:ascii="Tahoma" w:eastAsia="Times New Roman" w:hAnsi="Tahoma" w:cs="Tahoma"/>
          <w:spacing w:val="-6"/>
          <w:sz w:val="24"/>
          <w:szCs w:val="24"/>
        </w:rPr>
      </w:pPr>
      <w:r>
        <w:rPr>
          <w:rFonts w:ascii="Tahoma" w:eastAsia="Times New Roman" w:hAnsi="Tahoma" w:cs="Tahoma"/>
          <w:sz w:val="24"/>
          <w:szCs w:val="24"/>
        </w:rPr>
        <w:t xml:space="preserve">Il est important de souligner </w:t>
      </w:r>
      <w:r w:rsidRPr="000A7532">
        <w:rPr>
          <w:rFonts w:ascii="Tahoma" w:eastAsia="Times New Roman" w:hAnsi="Tahoma" w:cs="Tahoma"/>
          <w:sz w:val="24"/>
          <w:szCs w:val="24"/>
        </w:rPr>
        <w:t>que</w:t>
      </w:r>
      <w:r w:rsidRPr="000A7532">
        <w:rPr>
          <w:rFonts w:ascii="Tahoma" w:eastAsia="Times New Roman" w:hAnsi="Tahoma" w:cs="Tahoma"/>
          <w:spacing w:val="-6"/>
          <w:sz w:val="24"/>
          <w:szCs w:val="24"/>
        </w:rPr>
        <w:t xml:space="preserve"> la Conférence des Nations Unies sur l'environnement, tenue à Stockholm en 1972, a marqué une étape importante en inscrivant les enjeux environnementaux à l'agenda international. La Déclaration de Stockholm a énoncé des principes relatifs à la gestion écologiquement rationnelle de l'environnement, initiant un dialogue entre pays industrialisés et pays en développement sur les liens entre croissance économique, pollution et bien-être des populations. Bien que la question des forêts ait été peu abordée lors de cette conférence, les forêts tropicales ont été évoquées dans le Plan d'action pour l'environnement humain, sous le titre « Conservation et gestion des forêts ». Ce plan a mis l'accent sur l'exploitation forestière et la nécessité de mener des études sur l'aménagement des forêts tropicales.</w:t>
      </w:r>
    </w:p>
    <w:p w:rsidR="008018BA" w:rsidRPr="000A7532" w:rsidRDefault="008018BA" w:rsidP="00D103D3">
      <w:pPr>
        <w:widowControl w:val="0"/>
        <w:autoSpaceDE w:val="0"/>
        <w:autoSpaceDN w:val="0"/>
        <w:spacing w:before="160" w:after="0" w:line="360" w:lineRule="auto"/>
        <w:jc w:val="both"/>
        <w:rPr>
          <w:rFonts w:ascii="Tahoma" w:eastAsia="Times New Roman" w:hAnsi="Tahoma" w:cs="Tahoma"/>
          <w:sz w:val="24"/>
          <w:szCs w:val="24"/>
        </w:rPr>
      </w:pPr>
      <w:r w:rsidRPr="000A7532">
        <w:rPr>
          <w:rFonts w:ascii="Tahoma" w:eastAsia="Times New Roman" w:hAnsi="Tahoma" w:cs="Tahoma"/>
          <w:sz w:val="24"/>
          <w:szCs w:val="24"/>
        </w:rPr>
        <w:t xml:space="preserve">Le plan a également préconisé un suivi de l'état du couvert forestier mondial, confiant aux Nations Unies, à l'UNESCO et à la FAO la collecte de données sur l'équilibre de la biomasse forestière et les impacts du commerce des produits forestiers sur l'environnement. Ces études devaient être menées en collaboration avec l'Accord </w:t>
      </w:r>
      <w:r w:rsidR="00D103D3">
        <w:rPr>
          <w:rFonts w:ascii="Tahoma" w:eastAsia="Times New Roman" w:hAnsi="Tahoma" w:cs="Tahoma"/>
          <w:sz w:val="24"/>
          <w:szCs w:val="24"/>
        </w:rPr>
        <w:t>G</w:t>
      </w:r>
      <w:r w:rsidRPr="000A7532">
        <w:rPr>
          <w:rFonts w:ascii="Tahoma" w:eastAsia="Times New Roman" w:hAnsi="Tahoma" w:cs="Tahoma"/>
          <w:sz w:val="24"/>
          <w:szCs w:val="24"/>
        </w:rPr>
        <w:t xml:space="preserve">énéral sur les </w:t>
      </w:r>
      <w:r w:rsidR="00D103D3">
        <w:rPr>
          <w:rFonts w:ascii="Tahoma" w:eastAsia="Times New Roman" w:hAnsi="Tahoma" w:cs="Tahoma"/>
          <w:sz w:val="24"/>
          <w:szCs w:val="24"/>
        </w:rPr>
        <w:t>T</w:t>
      </w:r>
      <w:r w:rsidRPr="000A7532">
        <w:rPr>
          <w:rFonts w:ascii="Tahoma" w:eastAsia="Times New Roman" w:hAnsi="Tahoma" w:cs="Tahoma"/>
          <w:sz w:val="24"/>
          <w:szCs w:val="24"/>
        </w:rPr>
        <w:t xml:space="preserve">arifs </w:t>
      </w:r>
      <w:r w:rsidR="00D103D3">
        <w:rPr>
          <w:rFonts w:ascii="Tahoma" w:eastAsia="Times New Roman" w:hAnsi="Tahoma" w:cs="Tahoma"/>
          <w:sz w:val="24"/>
          <w:szCs w:val="24"/>
        </w:rPr>
        <w:t>D</w:t>
      </w:r>
      <w:r w:rsidRPr="000A7532">
        <w:rPr>
          <w:rFonts w:ascii="Tahoma" w:eastAsia="Times New Roman" w:hAnsi="Tahoma" w:cs="Tahoma"/>
          <w:sz w:val="24"/>
          <w:szCs w:val="24"/>
        </w:rPr>
        <w:t xml:space="preserve">ouaniers et le </w:t>
      </w:r>
      <w:r w:rsidR="00D103D3">
        <w:rPr>
          <w:rFonts w:ascii="Tahoma" w:eastAsia="Times New Roman" w:hAnsi="Tahoma" w:cs="Tahoma"/>
          <w:sz w:val="24"/>
          <w:szCs w:val="24"/>
        </w:rPr>
        <w:t>C</w:t>
      </w:r>
      <w:r w:rsidRPr="000A7532">
        <w:rPr>
          <w:rFonts w:ascii="Tahoma" w:eastAsia="Times New Roman" w:hAnsi="Tahoma" w:cs="Tahoma"/>
          <w:sz w:val="24"/>
          <w:szCs w:val="24"/>
        </w:rPr>
        <w:t>ommerce (GATT) et la Conférence des Nations unies sur le commerce et le développement (CNUCED)</w:t>
      </w:r>
      <w:r w:rsidRPr="000A7532">
        <w:rPr>
          <w:rFonts w:ascii="Tahoma" w:eastAsia="Times New Roman" w:hAnsi="Tahoma" w:cs="Tahoma"/>
          <w:sz w:val="24"/>
          <w:szCs w:val="24"/>
          <w:vertAlign w:val="superscript"/>
        </w:rPr>
        <w:footnoteReference w:id="82"/>
      </w:r>
      <w:r w:rsidRPr="000A7532">
        <w:rPr>
          <w:rFonts w:ascii="Tahoma" w:eastAsia="Times New Roman" w:hAnsi="Tahoma" w:cs="Tahoma"/>
          <w:sz w:val="24"/>
          <w:szCs w:val="24"/>
        </w:rPr>
        <w:t>.</w:t>
      </w:r>
    </w:p>
    <w:p w:rsidR="008018BA" w:rsidRPr="000A7532" w:rsidRDefault="008018BA" w:rsidP="008018BA">
      <w:pPr>
        <w:widowControl w:val="0"/>
        <w:autoSpaceDE w:val="0"/>
        <w:autoSpaceDN w:val="0"/>
        <w:spacing w:after="0" w:line="360" w:lineRule="auto"/>
        <w:jc w:val="both"/>
        <w:rPr>
          <w:rFonts w:ascii="Tahoma" w:eastAsia="Times New Roman" w:hAnsi="Tahoma" w:cs="Tahoma"/>
          <w:color w:val="252525"/>
          <w:sz w:val="24"/>
          <w:szCs w:val="24"/>
        </w:rPr>
      </w:pPr>
      <w:r w:rsidRPr="000A7532">
        <w:rPr>
          <w:rFonts w:ascii="Tahoma" w:eastAsia="Times New Roman" w:hAnsi="Tahoma" w:cs="Tahoma"/>
          <w:color w:val="252525"/>
          <w:sz w:val="24"/>
          <w:szCs w:val="24"/>
        </w:rPr>
        <w:t xml:space="preserve">Le Plan Vigie, en tant que dispositif d'action non contraignant, ainsi que les recommandations émanant de la Conférence de Stockholm, qui se limitent à des lignes directrices générales, illustrent les limites inhérentes aux instruments internationaux en matière de gestion forestière. Leur mise en œuvre dépend en grande partie de la volonté des États concernés. </w:t>
      </w:r>
    </w:p>
    <w:p w:rsidR="008018BA" w:rsidRDefault="008018BA" w:rsidP="008018BA">
      <w:pPr>
        <w:widowControl w:val="0"/>
        <w:autoSpaceDE w:val="0"/>
        <w:autoSpaceDN w:val="0"/>
        <w:spacing w:after="0" w:line="360" w:lineRule="auto"/>
        <w:jc w:val="both"/>
        <w:rPr>
          <w:rFonts w:ascii="Tahoma" w:eastAsia="Times New Roman" w:hAnsi="Tahoma" w:cs="Tahoma"/>
          <w:color w:val="252525"/>
          <w:sz w:val="24"/>
          <w:szCs w:val="24"/>
        </w:rPr>
      </w:pPr>
      <w:r w:rsidRPr="000A7532">
        <w:rPr>
          <w:rFonts w:ascii="Tahoma" w:eastAsia="Times New Roman" w:hAnsi="Tahoma" w:cs="Tahoma"/>
          <w:color w:val="252525"/>
          <w:sz w:val="24"/>
          <w:szCs w:val="24"/>
        </w:rPr>
        <w:t xml:space="preserve">La Conférence de Rio de 1992 avait envisagé l'adoption d'une convention forestière juridiquement contraignante. Cependant, les divergences entre les pays industrialisés, qui privilégient les préoccupations écologiques, et les pays en développement, désireux de défendre leurs intérêts économiques et leur souveraineté, ont abouti à l'adoption d'une </w:t>
      </w:r>
      <w:r w:rsidRPr="000A7532">
        <w:rPr>
          <w:rFonts w:ascii="Tahoma" w:eastAsia="Times New Roman" w:hAnsi="Tahoma" w:cs="Tahoma"/>
          <w:color w:val="252525"/>
          <w:sz w:val="24"/>
          <w:szCs w:val="24"/>
        </w:rPr>
        <w:lastRenderedPageBreak/>
        <w:t>simple déclaration de principes, non contraignante sur le plan juridique. Cette déclaration, a permis d'établir un consensus mondial sur la gestion, la conservation et l'exploitation des forêts. Elle inclut une série de principes relatifs à une gestion dite écologique</w:t>
      </w:r>
      <w:r>
        <w:rPr>
          <w:rFonts w:ascii="Tahoma" w:eastAsia="Times New Roman" w:hAnsi="Tahoma" w:cs="Tahoma"/>
          <w:color w:val="252525"/>
          <w:sz w:val="24"/>
          <w:szCs w:val="24"/>
        </w:rPr>
        <w:t>ment viable des forêts (</w:t>
      </w:r>
      <w:r w:rsidR="008262EA">
        <w:rPr>
          <w:rFonts w:ascii="Tahoma" w:eastAsia="Times New Roman" w:hAnsi="Tahoma" w:cs="Tahoma"/>
          <w:b/>
          <w:bCs/>
          <w:color w:val="252525"/>
          <w:sz w:val="24"/>
          <w:szCs w:val="24"/>
        </w:rPr>
        <w:t xml:space="preserve">ANNEXE </w:t>
      </w:r>
      <w:r w:rsidRPr="00D103D3">
        <w:rPr>
          <w:rFonts w:ascii="Tahoma" w:eastAsia="Times New Roman" w:hAnsi="Tahoma" w:cs="Tahoma"/>
          <w:b/>
          <w:bCs/>
          <w:color w:val="252525"/>
          <w:sz w:val="24"/>
          <w:szCs w:val="24"/>
        </w:rPr>
        <w:t>1</w:t>
      </w:r>
      <w:r w:rsidRPr="000A7532">
        <w:rPr>
          <w:rFonts w:ascii="Tahoma" w:eastAsia="Times New Roman" w:hAnsi="Tahoma" w:cs="Tahoma"/>
          <w:color w:val="252525"/>
          <w:sz w:val="24"/>
          <w:szCs w:val="24"/>
        </w:rPr>
        <w:t>).</w:t>
      </w:r>
    </w:p>
    <w:p w:rsidR="008018BA" w:rsidRPr="000A7532" w:rsidRDefault="008018BA" w:rsidP="008018BA">
      <w:pPr>
        <w:widowControl w:val="0"/>
        <w:autoSpaceDE w:val="0"/>
        <w:autoSpaceDN w:val="0"/>
        <w:spacing w:after="0" w:line="360" w:lineRule="auto"/>
        <w:jc w:val="both"/>
        <w:rPr>
          <w:rFonts w:ascii="Tahoma" w:eastAsia="Times New Roman" w:hAnsi="Tahoma" w:cs="Tahoma"/>
          <w:color w:val="252525"/>
          <w:sz w:val="24"/>
          <w:szCs w:val="24"/>
        </w:rPr>
      </w:pPr>
    </w:p>
    <w:p w:rsidR="008018BA" w:rsidRPr="000A7532" w:rsidRDefault="008018BA" w:rsidP="008018BA">
      <w:pPr>
        <w:widowControl w:val="0"/>
        <w:autoSpaceDE w:val="0"/>
        <w:autoSpaceDN w:val="0"/>
        <w:spacing w:after="0" w:line="360" w:lineRule="auto"/>
        <w:jc w:val="both"/>
        <w:rPr>
          <w:rFonts w:ascii="Tahoma" w:eastAsia="Times New Roman" w:hAnsi="Tahoma" w:cs="Tahoma"/>
          <w:color w:val="252525"/>
          <w:sz w:val="24"/>
          <w:szCs w:val="24"/>
        </w:rPr>
      </w:pPr>
      <w:r w:rsidRPr="000A7532">
        <w:rPr>
          <w:rFonts w:ascii="Tahoma" w:eastAsia="Times New Roman" w:hAnsi="Tahoma" w:cs="Tahoma"/>
          <w:color w:val="252525"/>
          <w:sz w:val="24"/>
          <w:szCs w:val="24"/>
        </w:rPr>
        <w:t>Dix ans plus tard, lors du Sommet mondial pour le développement durable (SMDD) de Johannesburg en 2002, peu de progrès substantiels ont été réalisés concernant la protection des forêts malgré la perte de millions d'hectares de forêts depuis le Sommet de Rio. Le plan de mise en œuvre du SMDD reconnaît l'importance de la gestion durable des forêts dans la lutte contre la pauvreté, la conservation de la biodiversité, ainsi que pour l'amélioration de la sécurité alimentaire, l'accès à l'eau potable et à l'énergie. Toutefois, aucun mécanisme conventionnel contraignant n'a été instauré</w:t>
      </w:r>
      <w:r w:rsidRPr="000A7532">
        <w:rPr>
          <w:rFonts w:ascii="Tahoma" w:eastAsia="Times New Roman" w:hAnsi="Tahoma" w:cs="Tahoma"/>
          <w:color w:val="252525"/>
          <w:sz w:val="24"/>
          <w:szCs w:val="24"/>
          <w:vertAlign w:val="superscript"/>
        </w:rPr>
        <w:footnoteReference w:id="83"/>
      </w:r>
      <w:r w:rsidRPr="000A7532">
        <w:rPr>
          <w:rFonts w:ascii="Tahoma" w:eastAsia="Times New Roman" w:hAnsi="Tahoma" w:cs="Tahoma"/>
          <w:color w:val="252525"/>
          <w:sz w:val="24"/>
          <w:szCs w:val="24"/>
        </w:rPr>
        <w:t>.</w:t>
      </w:r>
    </w:p>
    <w:p w:rsidR="008018BA" w:rsidRPr="00BF5304" w:rsidRDefault="008018BA" w:rsidP="00D103D3">
      <w:pPr>
        <w:spacing w:before="100" w:beforeAutospacing="1" w:after="100" w:afterAutospacing="1" w:line="360" w:lineRule="auto"/>
        <w:jc w:val="both"/>
        <w:rPr>
          <w:rFonts w:ascii="Tahoma" w:eastAsia="Times New Roman" w:hAnsi="Tahoma" w:cs="Tahoma"/>
          <w:sz w:val="24"/>
          <w:szCs w:val="24"/>
          <w:lang w:eastAsia="fr-FR"/>
        </w:rPr>
      </w:pPr>
      <w:r w:rsidRPr="000A7532">
        <w:rPr>
          <w:rFonts w:ascii="Tahoma" w:eastAsia="Times New Roman" w:hAnsi="Tahoma" w:cs="Tahoma"/>
          <w:sz w:val="24"/>
          <w:szCs w:val="24"/>
          <w:lang w:eastAsia="fr-FR"/>
        </w:rPr>
        <w:t xml:space="preserve">En conclusion, l'analyse conceptuelle des notions de dégradation </w:t>
      </w:r>
      <w:r w:rsidR="00D103D3">
        <w:rPr>
          <w:rFonts w:ascii="Tahoma" w:eastAsia="Times New Roman" w:hAnsi="Tahoma" w:cs="Tahoma"/>
          <w:sz w:val="24"/>
          <w:szCs w:val="24"/>
          <w:lang w:eastAsia="fr-FR"/>
        </w:rPr>
        <w:t>forestiere</w:t>
      </w:r>
      <w:r w:rsidRPr="000A7532">
        <w:rPr>
          <w:rFonts w:ascii="Tahoma" w:eastAsia="Times New Roman" w:hAnsi="Tahoma" w:cs="Tahoma"/>
          <w:sz w:val="24"/>
          <w:szCs w:val="24"/>
          <w:lang w:eastAsia="fr-FR"/>
        </w:rPr>
        <w:t xml:space="preserve">, de gestion durable et de forêt révèle un risque significatif de compromission de l'efficience des instruments juridiques internationaux voués à la protection des écosystèmes forestiers. Par conséquent, l'incidence des lacunes épistémologiques inhérentes à ces concepts sur les politiques de gestion forestière mérite une attention particulière et une mobilisation accrue de la part des chercheurs et des décideurs. Une clarification rigoureuse et transdisciplinaire de ces concepts s'avère donc nécessaire </w:t>
      </w:r>
      <w:r>
        <w:rPr>
          <w:rFonts w:ascii="Tahoma" w:eastAsia="Times New Roman" w:hAnsi="Tahoma" w:cs="Tahoma"/>
          <w:sz w:val="24"/>
          <w:szCs w:val="24"/>
          <w:lang w:eastAsia="fr-FR"/>
        </w:rPr>
        <w:t xml:space="preserve">afin </w:t>
      </w:r>
      <w:r w:rsidRPr="000A7532">
        <w:rPr>
          <w:rFonts w:ascii="Tahoma" w:eastAsia="Times New Roman" w:hAnsi="Tahoma" w:cs="Tahoma"/>
          <w:sz w:val="24"/>
          <w:szCs w:val="24"/>
          <w:lang w:eastAsia="fr-FR"/>
        </w:rPr>
        <w:t xml:space="preserve">de garantir l'effectivité des régimes juridiques internationaux et optimiser leur influence positive sur la conservation et la gestion efficace des forêts à l'échelle globale. Des recherches empiriques supplémentaires, intégrant des méthodes quantitatives et qualitatives, sont indispensables pour quantifier l'ampleur de cette influence et identifier les stratégies de mitigation visant à pallier ces déficiences épistémologiques. L'intégration de données statistiques sur la déforestation et la dégradation forestière, corrélées avec l'application des instruments juridiques, pourrait fournir des éclairages pertinents (exemples : taux de </w:t>
      </w:r>
      <w:r w:rsidRPr="00BF5304">
        <w:rPr>
          <w:rFonts w:ascii="Tahoma" w:eastAsia="Times New Roman" w:hAnsi="Tahoma" w:cs="Tahoma"/>
          <w:sz w:val="24"/>
          <w:szCs w:val="24"/>
          <w:lang w:eastAsia="fr-FR"/>
        </w:rPr>
        <w:t xml:space="preserve">déforestation avant et après l'application d'un accord international, variation des stocks </w:t>
      </w:r>
      <w:r w:rsidRPr="00BF5304">
        <w:rPr>
          <w:rFonts w:ascii="Tahoma" w:eastAsia="Times New Roman" w:hAnsi="Tahoma" w:cs="Tahoma"/>
          <w:sz w:val="24"/>
          <w:szCs w:val="24"/>
          <w:lang w:eastAsia="fr-FR"/>
        </w:rPr>
        <w:lastRenderedPageBreak/>
        <w:t>de carbone forestier, etc.).  Une telle démarche permettrait d'affiner les outils juridiques et de renforcer leur impact sur la préservation des forêts.</w:t>
      </w:r>
      <w:bookmarkStart w:id="39" w:name="_Toc182058798"/>
      <w:bookmarkStart w:id="40" w:name="_Toc186533790"/>
    </w:p>
    <w:p w:rsidR="008018BA" w:rsidRPr="00C25D95" w:rsidRDefault="008018BA" w:rsidP="008018BA">
      <w:pPr>
        <w:spacing w:before="100" w:beforeAutospacing="1" w:after="100" w:afterAutospacing="1" w:line="360" w:lineRule="auto"/>
        <w:jc w:val="both"/>
        <w:rPr>
          <w:rFonts w:ascii="Tahoma" w:eastAsia="Times New Roman" w:hAnsi="Tahoma" w:cs="Tahoma"/>
          <w:sz w:val="2"/>
          <w:szCs w:val="2"/>
          <w:lang w:eastAsia="fr-FR"/>
        </w:rPr>
      </w:pPr>
    </w:p>
    <w:p w:rsidR="008018BA" w:rsidRPr="00BF5304" w:rsidRDefault="008018BA" w:rsidP="00D051D7">
      <w:pPr>
        <w:pStyle w:val="Paragraphedeliste"/>
        <w:numPr>
          <w:ilvl w:val="0"/>
          <w:numId w:val="107"/>
        </w:numPr>
        <w:spacing w:before="74" w:line="360" w:lineRule="auto"/>
        <w:rPr>
          <w:rFonts w:ascii="Tahoma" w:hAnsi="Tahoma" w:cs="Tahoma"/>
          <w:b/>
          <w:bCs/>
          <w:color w:val="000000" w:themeColor="text1"/>
          <w:sz w:val="28"/>
          <w:szCs w:val="28"/>
          <w:lang w:eastAsia="fr-FR"/>
        </w:rPr>
      </w:pPr>
      <w:r w:rsidRPr="00BF5304">
        <w:rPr>
          <w:rFonts w:ascii="Tahoma" w:hAnsi="Tahoma" w:cs="Tahoma"/>
          <w:b/>
          <w:bCs/>
          <w:color w:val="000000" w:themeColor="text1"/>
          <w:sz w:val="28"/>
          <w:szCs w:val="28"/>
          <w:lang w:eastAsia="fr-FR"/>
        </w:rPr>
        <w:t>Délimitation du sujet de la recherche</w:t>
      </w:r>
    </w:p>
    <w:p w:rsidR="008018BA" w:rsidRPr="00C25D95" w:rsidRDefault="008018BA" w:rsidP="008018BA">
      <w:pPr>
        <w:pStyle w:val="Paragraphedeliste"/>
        <w:spacing w:before="74" w:line="360" w:lineRule="auto"/>
        <w:ind w:left="720" w:firstLine="0"/>
        <w:rPr>
          <w:rFonts w:ascii="Tahoma" w:hAnsi="Tahoma" w:cs="Tahoma"/>
          <w:b/>
          <w:bCs/>
          <w:color w:val="000000" w:themeColor="text1"/>
          <w:sz w:val="14"/>
          <w:szCs w:val="14"/>
          <w:lang w:eastAsia="fr-FR"/>
        </w:rPr>
      </w:pPr>
    </w:p>
    <w:p w:rsidR="008018BA" w:rsidRPr="00BF5304" w:rsidRDefault="008018BA" w:rsidP="008018BA">
      <w:pPr>
        <w:spacing w:before="74" w:line="360" w:lineRule="auto"/>
        <w:jc w:val="both"/>
        <w:rPr>
          <w:rFonts w:ascii="Tahoma" w:eastAsia="Times New Roman" w:hAnsi="Tahoma" w:cs="Tahoma"/>
          <w:sz w:val="24"/>
          <w:szCs w:val="24"/>
          <w:lang w:eastAsia="fr-FR"/>
        </w:rPr>
      </w:pPr>
      <w:r w:rsidRPr="00BF5304">
        <w:rPr>
          <w:rFonts w:ascii="Tahoma" w:eastAsia="Times New Roman" w:hAnsi="Tahoma" w:cs="Tahoma"/>
          <w:sz w:val="24"/>
          <w:szCs w:val="24"/>
          <w:lang w:eastAsia="fr-FR"/>
        </w:rPr>
        <w:t xml:space="preserve">La première partie de la présente recherche doctorale se focalise sur la trajectoire de la gestion des forêts au Maroc entre dynamiques historiques et défis contemporains. En effet, le premier chapitre analyse les tensions et convergences entre gestion ancestrale et gestion durable. Cette analyse met l’éclairage sur les systèmes traditionnels de gestion socio-écologique, notamment l'AGDAL et le rôle historique de la Jemaâ dans la régulation des ressources forestières. </w:t>
      </w:r>
      <w:r>
        <w:rPr>
          <w:rFonts w:ascii="Tahoma" w:eastAsia="Times New Roman" w:hAnsi="Tahoma" w:cs="Tahoma"/>
          <w:sz w:val="24"/>
          <w:szCs w:val="24"/>
          <w:lang w:eastAsia="fr-FR"/>
        </w:rPr>
        <w:t xml:space="preserve">Elle </w:t>
      </w:r>
      <w:r w:rsidRPr="00BF5304">
        <w:rPr>
          <w:rFonts w:ascii="Tahoma" w:eastAsia="Times New Roman" w:hAnsi="Tahoma" w:cs="Tahoma"/>
          <w:sz w:val="24"/>
          <w:szCs w:val="24"/>
          <w:lang w:eastAsia="fr-FR"/>
        </w:rPr>
        <w:t>s'appuie sur l'exemple emblématique de la vallée des Ayt Bouguemmez pour illustrer les tensions entre pratiques traditionnelles et politiques publiques modernisatrices. Cette dimension conceptuelle mobilise les approches de l'anthropologie environnementale et de l'écologie politique pour questionner la coexistence, souvent conflictuelle, entre institutions coutumières et modernes.</w:t>
      </w:r>
    </w:p>
    <w:p w:rsidR="008018BA" w:rsidRPr="00BF5304" w:rsidRDefault="008018BA" w:rsidP="008018BA">
      <w:pPr>
        <w:spacing w:before="74" w:line="360" w:lineRule="auto"/>
        <w:jc w:val="both"/>
        <w:rPr>
          <w:rFonts w:ascii="Tahoma" w:eastAsia="Times New Roman" w:hAnsi="Tahoma" w:cs="Tahoma"/>
          <w:sz w:val="24"/>
          <w:szCs w:val="24"/>
          <w:lang w:eastAsia="fr-FR"/>
        </w:rPr>
      </w:pPr>
      <w:r w:rsidRPr="00BF5304">
        <w:rPr>
          <w:rFonts w:ascii="Tahoma" w:eastAsia="Times New Roman" w:hAnsi="Tahoma" w:cs="Tahoma"/>
          <w:sz w:val="24"/>
          <w:szCs w:val="24"/>
          <w:lang w:eastAsia="fr-FR"/>
        </w:rPr>
        <w:t>Le second chapitre examine les écosystèmes forestiers marocains à travers le prisme dialectique des enjeux de protection juridique et des dynamiques de dégradation anthropique. Cette investigation privilégie une approche systémique du patrimoine forestier national (9 millions d'hectares, 4 000 plantes vasculaires, 40 écosystèmes terrestres distincts) en articulant analyse juridique critique et étude empirique des processus de dégradation. L’étude de cas de la forêt de Korifla illustre la complexité des relations entre cadre normatif anachronique et réalités socio-écologiques contemporaines.</w:t>
      </w:r>
    </w:p>
    <w:p w:rsidR="008018BA" w:rsidRPr="00BF5304" w:rsidRDefault="008018BA" w:rsidP="008018BA">
      <w:pPr>
        <w:spacing w:before="74" w:line="360" w:lineRule="auto"/>
        <w:jc w:val="both"/>
        <w:rPr>
          <w:rFonts w:ascii="Tahoma" w:eastAsia="Times New Roman" w:hAnsi="Tahoma" w:cs="Tahoma"/>
          <w:sz w:val="24"/>
          <w:szCs w:val="24"/>
          <w:lang w:eastAsia="fr-FR"/>
        </w:rPr>
      </w:pPr>
      <w:r w:rsidRPr="00BF5304">
        <w:rPr>
          <w:rFonts w:ascii="Tahoma" w:eastAsia="Times New Roman" w:hAnsi="Tahoma" w:cs="Tahoma"/>
          <w:sz w:val="24"/>
          <w:szCs w:val="24"/>
          <w:lang w:eastAsia="fr-FR"/>
        </w:rPr>
        <w:t>Quant à la seconde partie, elle propose d’analyser les Vulnérabilités territoriales et dynamiques socio-spatiales, le premier chapitre développe une approche transdisciplinaire du territoire forestier en questionnant les contradictions inhérentes aux paradigmes contemporains de gestion territoriale au Maroc. Cette recherche privilégie l'analyse critique de la transition graduelle d'une vision centralisée vers une approche territorialisée, tout en soulignant la persistance de pratiques technocratiques malgré la rhétorique participative institutionnelle.</w:t>
      </w:r>
    </w:p>
    <w:p w:rsidR="008018BA" w:rsidRPr="00BF5304" w:rsidRDefault="008018BA" w:rsidP="008018BA">
      <w:pPr>
        <w:spacing w:before="74" w:line="360" w:lineRule="auto"/>
        <w:jc w:val="both"/>
        <w:rPr>
          <w:rFonts w:ascii="Tahoma" w:eastAsia="Times New Roman" w:hAnsi="Tahoma" w:cs="Tahoma"/>
          <w:sz w:val="24"/>
          <w:szCs w:val="24"/>
          <w:lang w:eastAsia="fr-FR"/>
        </w:rPr>
      </w:pPr>
      <w:r w:rsidRPr="00BF5304">
        <w:rPr>
          <w:rFonts w:ascii="Tahoma" w:eastAsia="Times New Roman" w:hAnsi="Tahoma" w:cs="Tahoma"/>
          <w:sz w:val="24"/>
          <w:szCs w:val="24"/>
          <w:lang w:eastAsia="fr-FR"/>
        </w:rPr>
        <w:lastRenderedPageBreak/>
        <w:t>Le dernier chapitre propose une analyse systémique des relations dialectiques entre dégradation forestière et risque migratoire en tant que manifestations interdépendantes d'un processus de vulnérabilisation territoriale.</w:t>
      </w:r>
    </w:p>
    <w:p w:rsidR="008018BA" w:rsidRPr="00D905A7" w:rsidRDefault="008018BA" w:rsidP="008018BA">
      <w:pPr>
        <w:spacing w:before="74" w:line="360" w:lineRule="auto"/>
        <w:jc w:val="both"/>
        <w:rPr>
          <w:rFonts w:ascii="Tahoma" w:eastAsia="Times New Roman" w:hAnsi="Tahoma" w:cs="Tahoma"/>
          <w:sz w:val="24"/>
          <w:szCs w:val="24"/>
          <w:lang w:eastAsia="fr-FR"/>
        </w:rPr>
      </w:pPr>
      <w:r w:rsidRPr="00BF5304">
        <w:rPr>
          <w:rFonts w:ascii="Tahoma" w:eastAsia="Times New Roman" w:hAnsi="Tahoma" w:cs="Tahoma"/>
          <w:sz w:val="24"/>
          <w:szCs w:val="24"/>
          <w:lang w:eastAsia="fr-FR"/>
        </w:rPr>
        <w:t>En définitive, l'intensité des aspirations migratoires selon les résultats de l’enquête (51%) reflète l'ampleur des vulnérabilités territoriales accumulées et constitue un indicateur considérable d’évaluation de l'efficacité des politiques de développement rural. Cette approche enrichit les corpus théoriques en proposant une lecture territoriale renouvelée des dynamiques migratoires rurales forestières dans le contexte des transformations socio-écologiques contemporaines.</w:t>
      </w:r>
    </w:p>
    <w:p w:rsidR="008018BA" w:rsidRDefault="008018BA" w:rsidP="008018BA">
      <w:pPr>
        <w:widowControl w:val="0"/>
        <w:autoSpaceDE w:val="0"/>
        <w:autoSpaceDN w:val="0"/>
        <w:spacing w:after="0" w:line="240" w:lineRule="auto"/>
        <w:jc w:val="both"/>
        <w:outlineLvl w:val="1"/>
        <w:rPr>
          <w:rFonts w:ascii="Times New Roman" w:eastAsia="Times New Roman" w:hAnsi="Times New Roman" w:cs="Times New Roman"/>
          <w:b/>
          <w:bCs/>
          <w:sz w:val="28"/>
          <w:szCs w:val="28"/>
        </w:rPr>
      </w:pPr>
    </w:p>
    <w:p w:rsidR="008018BA" w:rsidRDefault="008018BA" w:rsidP="00D051D7">
      <w:pPr>
        <w:pStyle w:val="Paragraphedeliste"/>
        <w:numPr>
          <w:ilvl w:val="0"/>
          <w:numId w:val="107"/>
        </w:numPr>
        <w:spacing w:before="74" w:line="360" w:lineRule="auto"/>
        <w:rPr>
          <w:rFonts w:ascii="Tahoma" w:hAnsi="Tahoma" w:cs="Tahoma"/>
          <w:b/>
          <w:bCs/>
          <w:color w:val="000000" w:themeColor="text1"/>
          <w:sz w:val="28"/>
          <w:szCs w:val="28"/>
          <w:lang w:eastAsia="fr-FR"/>
        </w:rPr>
      </w:pPr>
      <w:bookmarkStart w:id="41" w:name="_Toc201570814"/>
      <w:r w:rsidRPr="00624A39">
        <w:rPr>
          <w:rFonts w:ascii="Tahoma" w:hAnsi="Tahoma" w:cs="Tahoma"/>
          <w:b/>
          <w:bCs/>
          <w:color w:val="000000" w:themeColor="text1"/>
          <w:sz w:val="28"/>
          <w:szCs w:val="28"/>
          <w:lang w:eastAsia="fr-FR"/>
        </w:rPr>
        <w:t>Problématique de la recherche</w:t>
      </w:r>
      <w:bookmarkEnd w:id="39"/>
      <w:bookmarkEnd w:id="40"/>
      <w:bookmarkEnd w:id="41"/>
    </w:p>
    <w:p w:rsidR="00D103D3" w:rsidRPr="00D103D3" w:rsidRDefault="00D103D3" w:rsidP="00D103D3">
      <w:pPr>
        <w:pStyle w:val="Paragraphedeliste"/>
        <w:spacing w:before="74" w:line="360" w:lineRule="auto"/>
        <w:ind w:left="720" w:firstLine="0"/>
        <w:rPr>
          <w:rFonts w:ascii="Tahoma" w:hAnsi="Tahoma" w:cs="Tahoma"/>
          <w:b/>
          <w:bCs/>
          <w:color w:val="000000" w:themeColor="text1"/>
          <w:sz w:val="2"/>
          <w:szCs w:val="2"/>
          <w:lang w:eastAsia="fr-FR"/>
        </w:rPr>
      </w:pPr>
    </w:p>
    <w:p w:rsidR="008018BA" w:rsidRDefault="008018BA" w:rsidP="008018BA">
      <w:pPr>
        <w:widowControl w:val="0"/>
        <w:autoSpaceDE w:val="0"/>
        <w:autoSpaceDN w:val="0"/>
        <w:spacing w:before="160" w:after="0" w:line="360" w:lineRule="auto"/>
        <w:jc w:val="both"/>
        <w:rPr>
          <w:rFonts w:ascii="Tahoma" w:eastAsia="Times New Roman" w:hAnsi="Tahoma" w:cs="Tahoma"/>
          <w:sz w:val="24"/>
          <w:szCs w:val="24"/>
        </w:rPr>
      </w:pPr>
      <w:r w:rsidRPr="00327B3C">
        <w:rPr>
          <w:rFonts w:ascii="Tahoma" w:eastAsia="Times New Roman" w:hAnsi="Tahoma" w:cs="Tahoma"/>
          <w:sz w:val="24"/>
          <w:szCs w:val="24"/>
        </w:rPr>
        <w:t>À la lumière des constats présentés ci-dessus concernant la surexploitation des forêts à l'échelle mondiale et régionale, il apparaît clairement que la forêt marocaine subit également des pressions considérables. Cette situation résulte principalement de pratiques anthropiques intensifiées, telles que les défrichements, le surpâturage et la collecte du bois de feu, auxquelles s'ajoutent la pénurie d'eau liée aux sécheresses récurrentes, les incendies et les attaques parasitaires</w:t>
      </w:r>
      <w:r w:rsidRPr="00327B3C">
        <w:rPr>
          <w:rFonts w:ascii="Tahoma" w:eastAsia="Times New Roman" w:hAnsi="Tahoma" w:cs="Tahoma"/>
          <w:sz w:val="24"/>
          <w:szCs w:val="24"/>
          <w:vertAlign w:val="superscript"/>
        </w:rPr>
        <w:footnoteReference w:id="84"/>
      </w:r>
      <w:r w:rsidRPr="000A7532">
        <w:rPr>
          <w:rFonts w:ascii="Tahoma" w:eastAsia="Times New Roman" w:hAnsi="Tahoma" w:cs="Tahoma"/>
          <w:sz w:val="24"/>
          <w:szCs w:val="24"/>
        </w:rPr>
        <w:t xml:space="preserve">. </w:t>
      </w:r>
    </w:p>
    <w:p w:rsidR="008018BA" w:rsidRDefault="008018BA" w:rsidP="008018BA">
      <w:pPr>
        <w:spacing w:line="360" w:lineRule="auto"/>
        <w:jc w:val="both"/>
        <w:rPr>
          <w:rFonts w:ascii="Tahoma" w:eastAsia="Times New Roman" w:hAnsi="Tahoma" w:cs="Tahoma"/>
          <w:sz w:val="24"/>
          <w:szCs w:val="24"/>
        </w:rPr>
      </w:pPr>
      <w:r w:rsidRPr="003D3C3B">
        <w:rPr>
          <w:rFonts w:ascii="Tahoma" w:eastAsia="Times New Roman" w:hAnsi="Tahoma" w:cs="Tahoma"/>
          <w:sz w:val="24"/>
          <w:szCs w:val="24"/>
        </w:rPr>
        <w:t>Il convient de souligner que le mode de gestion des ressources forestières peut lui-même contribuer à cette dégradation, pouvant ainsi conduire à une véritable déforestation avec des conséquences considérables sur la biodiversité. Par conséquent, cette situation menace non seulement l'économie nationale, mais également la survie de</w:t>
      </w:r>
      <w:r>
        <w:rPr>
          <w:rFonts w:ascii="Tahoma" w:eastAsia="Times New Roman" w:hAnsi="Tahoma" w:cs="Tahoma"/>
          <w:sz w:val="24"/>
          <w:szCs w:val="24"/>
        </w:rPr>
        <w:t>s</w:t>
      </w:r>
      <w:r w:rsidRPr="003D3C3B">
        <w:rPr>
          <w:rFonts w:ascii="Tahoma" w:eastAsia="Times New Roman" w:hAnsi="Tahoma" w:cs="Tahoma"/>
          <w:sz w:val="24"/>
          <w:szCs w:val="24"/>
        </w:rPr>
        <w:t xml:space="preserve"> centaines de milliers de ruraux dont la vie quotidienne est étroitement liée à l'exploitation des ressources forestières</w:t>
      </w:r>
      <w:r w:rsidRPr="0016441E">
        <w:rPr>
          <w:rFonts w:ascii="Tahoma" w:eastAsia="Times New Roman" w:hAnsi="Tahoma" w:cs="Tahoma"/>
          <w:sz w:val="24"/>
          <w:szCs w:val="24"/>
          <w:vertAlign w:val="superscript"/>
        </w:rPr>
        <w:footnoteReference w:id="85"/>
      </w:r>
      <w:r w:rsidRPr="000A7532">
        <w:rPr>
          <w:rFonts w:ascii="Tahoma" w:eastAsia="Times New Roman" w:hAnsi="Tahoma" w:cs="Tahoma"/>
          <w:sz w:val="24"/>
          <w:szCs w:val="24"/>
        </w:rPr>
        <w:t>.</w:t>
      </w:r>
    </w:p>
    <w:p w:rsidR="008018BA" w:rsidRDefault="008018BA" w:rsidP="00726C67">
      <w:pPr>
        <w:widowControl w:val="0"/>
        <w:autoSpaceDE w:val="0"/>
        <w:autoSpaceDN w:val="0"/>
        <w:spacing w:before="160" w:after="0" w:line="360" w:lineRule="auto"/>
        <w:jc w:val="both"/>
        <w:rPr>
          <w:rFonts w:ascii="Tahoma" w:eastAsia="Times New Roman" w:hAnsi="Tahoma" w:cs="Tahoma"/>
          <w:i/>
          <w:iCs/>
          <w:color w:val="252525"/>
          <w:sz w:val="24"/>
          <w:szCs w:val="24"/>
        </w:rPr>
      </w:pPr>
      <w:r w:rsidRPr="000A7532">
        <w:rPr>
          <w:rFonts w:ascii="Tahoma" w:eastAsia="Times New Roman" w:hAnsi="Tahoma" w:cs="Tahoma"/>
          <w:color w:val="252525"/>
          <w:sz w:val="24"/>
          <w:szCs w:val="24"/>
        </w:rPr>
        <w:t>En 2005, le quotidien ma</w:t>
      </w:r>
      <w:r>
        <w:rPr>
          <w:rFonts w:ascii="Tahoma" w:eastAsia="Times New Roman" w:hAnsi="Tahoma" w:cs="Tahoma"/>
          <w:color w:val="252525"/>
          <w:sz w:val="24"/>
          <w:szCs w:val="24"/>
        </w:rPr>
        <w:t xml:space="preserve">rocain </w:t>
      </w:r>
      <w:r w:rsidRPr="00356166">
        <w:rPr>
          <w:rFonts w:ascii="Tahoma" w:eastAsia="Times New Roman" w:hAnsi="Tahoma" w:cs="Tahoma"/>
          <w:i/>
          <w:iCs/>
          <w:color w:val="252525"/>
          <w:sz w:val="24"/>
          <w:szCs w:val="24"/>
        </w:rPr>
        <w:t>« l'Économiste »</w:t>
      </w:r>
      <w:r w:rsidRPr="003D3C3B">
        <w:rPr>
          <w:rFonts w:ascii="Tahoma" w:eastAsia="Times New Roman" w:hAnsi="Tahoma" w:cs="Tahoma"/>
          <w:color w:val="252525"/>
          <w:sz w:val="24"/>
          <w:szCs w:val="24"/>
        </w:rPr>
        <w:t xml:space="preserve"> </w:t>
      </w:r>
      <w:r w:rsidRPr="000A7532">
        <w:rPr>
          <w:rFonts w:ascii="Tahoma" w:eastAsia="Times New Roman" w:hAnsi="Tahoma" w:cs="Tahoma"/>
          <w:sz w:val="24"/>
          <w:szCs w:val="24"/>
        </w:rPr>
        <w:t xml:space="preserve">avait déjà tiré la sonnette d’alarme quant </w:t>
      </w:r>
      <w:r w:rsidRPr="000A7532">
        <w:rPr>
          <w:rFonts w:ascii="Tahoma" w:eastAsia="Times New Roman" w:hAnsi="Tahoma" w:cs="Tahoma"/>
          <w:sz w:val="24"/>
          <w:szCs w:val="24"/>
        </w:rPr>
        <w:lastRenderedPageBreak/>
        <w:t>à l’état préoccupant des forêts marocaines, en déclarant dans l'un de ses articles :</w:t>
      </w:r>
      <w:r w:rsidRPr="000A7532">
        <w:rPr>
          <w:rFonts w:ascii="Tahoma" w:eastAsia="Times New Roman" w:hAnsi="Tahoma" w:cs="Tahoma"/>
          <w:color w:val="252525"/>
          <w:sz w:val="24"/>
          <w:szCs w:val="24"/>
        </w:rPr>
        <w:t xml:space="preserve"> « </w:t>
      </w:r>
      <w:r w:rsidRPr="000A7532">
        <w:rPr>
          <w:rFonts w:ascii="Tahoma" w:eastAsia="Times New Roman" w:hAnsi="Tahoma" w:cs="Tahoma"/>
          <w:i/>
          <w:iCs/>
          <w:color w:val="252525"/>
          <w:sz w:val="24"/>
          <w:szCs w:val="24"/>
        </w:rPr>
        <w:t>La forêt marocaine est en péril, la désertification gagne du terrain et les eaux souterraines se font de plus en plus rares. D’année en année, les surfaces boisées diminuent, les lacs s’assèchent et les sources se tarissent…</w:t>
      </w:r>
      <w:r w:rsidR="00726C67">
        <w:rPr>
          <w:rStyle w:val="Appelnotedebasdep"/>
          <w:rFonts w:ascii="Tahoma" w:eastAsia="Times New Roman" w:hAnsi="Tahoma" w:cs="Tahoma"/>
          <w:i/>
          <w:iCs/>
          <w:color w:val="252525"/>
          <w:sz w:val="24"/>
          <w:szCs w:val="24"/>
        </w:rPr>
        <w:footnoteReference w:id="86"/>
      </w:r>
      <w:r w:rsidRPr="000A7532">
        <w:rPr>
          <w:rFonts w:ascii="Tahoma" w:eastAsia="Times New Roman" w:hAnsi="Tahoma" w:cs="Tahoma"/>
          <w:i/>
          <w:iCs/>
          <w:color w:val="252525"/>
          <w:sz w:val="24"/>
          <w:szCs w:val="24"/>
        </w:rPr>
        <w:t xml:space="preserve"> »</w:t>
      </w:r>
    </w:p>
    <w:p w:rsidR="008018BA" w:rsidRPr="00356166" w:rsidRDefault="008018BA" w:rsidP="008018BA">
      <w:pPr>
        <w:widowControl w:val="0"/>
        <w:autoSpaceDE w:val="0"/>
        <w:autoSpaceDN w:val="0"/>
        <w:spacing w:before="160" w:after="0" w:line="360" w:lineRule="auto"/>
        <w:jc w:val="both"/>
        <w:rPr>
          <w:rFonts w:ascii="Tahoma" w:eastAsia="Times New Roman" w:hAnsi="Tahoma" w:cs="Tahoma"/>
          <w:i/>
          <w:iCs/>
          <w:color w:val="252525"/>
          <w:sz w:val="24"/>
          <w:szCs w:val="24"/>
        </w:rPr>
      </w:pPr>
      <w:r w:rsidRPr="00E25830">
        <w:rPr>
          <w:rFonts w:ascii="Tahoma" w:eastAsia="Times New Roman" w:hAnsi="Tahoma" w:cs="Tahoma"/>
          <w:sz w:val="24"/>
          <w:szCs w:val="24"/>
        </w:rPr>
        <w:t>Près de deux décennies plus tard, cette mise en garde demeure d'actualité. La forêt marocaine continue de souffrir de dysfonctionnements persistants, compliquant ainsi la conservation des territoires forestiers et la stabilisation des populations rurales qui en dépendent. En effet, des spécialistes en la matière, tel Abdelmalek Benabid</w:t>
      </w:r>
      <w:r w:rsidRPr="000A7532">
        <w:rPr>
          <w:rFonts w:ascii="Tahoma" w:eastAsia="Times New Roman" w:hAnsi="Tahoma" w:cs="Tahoma"/>
          <w:color w:val="252525"/>
          <w:sz w:val="24"/>
          <w:szCs w:val="24"/>
          <w:vertAlign w:val="superscript"/>
        </w:rPr>
        <w:footnoteReference w:id="87"/>
      </w:r>
      <w:r w:rsidRPr="000A7532">
        <w:rPr>
          <w:rFonts w:ascii="Tahoma" w:eastAsia="Times New Roman" w:hAnsi="Tahoma" w:cs="Tahoma"/>
          <w:color w:val="252525"/>
          <w:sz w:val="24"/>
          <w:szCs w:val="24"/>
        </w:rPr>
        <w:t xml:space="preserve"> </w:t>
      </w:r>
      <w:r w:rsidRPr="00E25830">
        <w:rPr>
          <w:rFonts w:ascii="Tahoma" w:eastAsia="Times New Roman" w:hAnsi="Tahoma" w:cs="Tahoma"/>
          <w:color w:val="252525"/>
          <w:sz w:val="24"/>
          <w:szCs w:val="24"/>
        </w:rPr>
        <w:t>avaient déjà souligné en 1995 que le couvert forestier marocain était soumis à une surexploitation due au surpâturage et aux prélèvements excessifs, outre les pratiques de défrichement pour extension agricole ou pour installation de plantations forestières artificielles exotiques. Benabid expliquait que la dégradation du couvert forestier pouvait principalement être attribuée à une gestion inappropriée du domaine sylvestre</w:t>
      </w:r>
      <w:r w:rsidRPr="000A7532">
        <w:rPr>
          <w:rFonts w:ascii="Tahoma" w:eastAsia="Times New Roman" w:hAnsi="Tahoma" w:cs="Tahoma"/>
          <w:color w:val="252525"/>
          <w:sz w:val="24"/>
          <w:szCs w:val="24"/>
          <w:vertAlign w:val="superscript"/>
        </w:rPr>
        <w:footnoteReference w:id="88"/>
      </w:r>
      <w:r w:rsidRPr="000A7532">
        <w:rPr>
          <w:rFonts w:ascii="Tahoma" w:eastAsia="Times New Roman" w:hAnsi="Tahoma" w:cs="Tahoma"/>
          <w:color w:val="252525"/>
          <w:sz w:val="24"/>
          <w:szCs w:val="24"/>
        </w:rPr>
        <w:t>.</w:t>
      </w:r>
    </w:p>
    <w:p w:rsidR="008018BA" w:rsidRDefault="008018BA" w:rsidP="008018BA">
      <w:pPr>
        <w:widowControl w:val="0"/>
        <w:autoSpaceDE w:val="0"/>
        <w:autoSpaceDN w:val="0"/>
        <w:spacing w:before="160" w:after="0" w:line="360" w:lineRule="auto"/>
        <w:jc w:val="both"/>
        <w:rPr>
          <w:rFonts w:ascii="Tahoma" w:eastAsia="Times New Roman" w:hAnsi="Tahoma" w:cs="Tahoma"/>
          <w:sz w:val="24"/>
          <w:szCs w:val="24"/>
        </w:rPr>
      </w:pPr>
      <w:r w:rsidRPr="000A7532">
        <w:rPr>
          <w:rFonts w:ascii="Tahoma" w:eastAsia="Times New Roman" w:hAnsi="Tahoma" w:cs="Tahoma"/>
          <w:sz w:val="24"/>
          <w:szCs w:val="24"/>
        </w:rPr>
        <w:t>Par ailleurs, en 2006, le Haut-Commissariat au Plan (HCP), dans son rapport intitulé « Prospective Maroc 2030 : Gestion durable des ressources naturelles et de la biodiversité au Maroc », a révélé que le Maroc traverse une transition bioclimatique et écologique, caractérisée par des ressources fragiles et menacées par une dégradation rapide. En effet, les sols y sont particulièrement vulnérables et largement exposés à l’érosion. La forêt recule de manière considérable, les espaces steppiques sont menacés par la désertification, les côtes subissent des phénomènes d’érosion ou sont soumises à une sur-occupation, tandis que les ressources marines se raréfient. Par ailleurs, des biotopes précieux sont perdus de manière constante et irréversible. Face à ces défis, les catastrophes naturelles représentent une menace croissante pour le territoire national. Cependant, la planification à long terme pour y faire face, ainsi que les plans d’urgence pour leur sauvegarde, demeurent rarement conçus ou mis en œuvre de manière adéquate</w:t>
      </w:r>
      <w:r w:rsidRPr="000A7532">
        <w:rPr>
          <w:rFonts w:ascii="Tahoma" w:eastAsia="Times New Roman" w:hAnsi="Tahoma" w:cs="Tahoma"/>
          <w:sz w:val="24"/>
          <w:szCs w:val="24"/>
          <w:vertAlign w:val="superscript"/>
        </w:rPr>
        <w:footnoteReference w:id="89"/>
      </w:r>
      <w:r w:rsidRPr="000A7532">
        <w:rPr>
          <w:rFonts w:ascii="Tahoma" w:eastAsia="Times New Roman" w:hAnsi="Tahoma" w:cs="Tahoma"/>
          <w:sz w:val="24"/>
          <w:szCs w:val="24"/>
        </w:rPr>
        <w:t>.</w:t>
      </w:r>
    </w:p>
    <w:p w:rsidR="008018BA" w:rsidRPr="000A7532" w:rsidRDefault="008018BA" w:rsidP="008018BA">
      <w:pPr>
        <w:widowControl w:val="0"/>
        <w:autoSpaceDE w:val="0"/>
        <w:autoSpaceDN w:val="0"/>
        <w:spacing w:before="160" w:after="0" w:line="360" w:lineRule="auto"/>
        <w:jc w:val="both"/>
        <w:rPr>
          <w:rFonts w:ascii="Tahoma" w:eastAsia="Times New Roman" w:hAnsi="Tahoma" w:cs="Tahoma"/>
          <w:sz w:val="24"/>
          <w:szCs w:val="24"/>
        </w:rPr>
      </w:pPr>
      <w:r>
        <w:rPr>
          <w:rFonts w:ascii="Tahoma" w:eastAsia="Times New Roman" w:hAnsi="Tahoma" w:cs="Tahoma"/>
          <w:sz w:val="24"/>
          <w:szCs w:val="24"/>
        </w:rPr>
        <w:lastRenderedPageBreak/>
        <w:t>En 2007, le directeeur de l’ENFI</w:t>
      </w:r>
      <w:r w:rsidRPr="000A7532">
        <w:rPr>
          <w:rFonts w:ascii="Tahoma" w:eastAsia="Times New Roman" w:hAnsi="Tahoma" w:cs="Tahoma"/>
          <w:sz w:val="24"/>
          <w:szCs w:val="24"/>
        </w:rPr>
        <w:t xml:space="preserve"> </w:t>
      </w:r>
      <w:r w:rsidRPr="000A7532">
        <w:rPr>
          <w:rFonts w:ascii="Tahoma" w:eastAsia="Times New Roman" w:hAnsi="Tahoma" w:cs="Tahoma"/>
          <w:sz w:val="24"/>
          <w:szCs w:val="24"/>
          <w:vertAlign w:val="superscript"/>
        </w:rPr>
        <w:footnoteReference w:id="90"/>
      </w:r>
      <w:r>
        <w:rPr>
          <w:rFonts w:ascii="Tahoma" w:eastAsia="Times New Roman" w:hAnsi="Tahoma" w:cs="Tahoma"/>
          <w:sz w:val="24"/>
          <w:szCs w:val="24"/>
        </w:rPr>
        <w:t xml:space="preserve"> avait souligné</w:t>
      </w:r>
      <w:r w:rsidRPr="000A7532">
        <w:rPr>
          <w:rFonts w:ascii="Tahoma" w:eastAsia="Times New Roman" w:hAnsi="Tahoma" w:cs="Tahoma"/>
          <w:sz w:val="24"/>
          <w:szCs w:val="24"/>
        </w:rPr>
        <w:t xml:space="preserve"> </w:t>
      </w:r>
      <w:r>
        <w:rPr>
          <w:rFonts w:ascii="Tahoma" w:eastAsia="Times New Roman" w:hAnsi="Tahoma" w:cs="Tahoma"/>
          <w:sz w:val="24"/>
          <w:szCs w:val="24"/>
        </w:rPr>
        <w:t xml:space="preserve">également </w:t>
      </w:r>
      <w:r w:rsidRPr="000A7532">
        <w:rPr>
          <w:rFonts w:ascii="Tahoma" w:eastAsia="Times New Roman" w:hAnsi="Tahoma" w:cs="Tahoma"/>
          <w:sz w:val="24"/>
          <w:szCs w:val="24"/>
        </w:rPr>
        <w:t>que l’état de la forêt marocaine est inquiétant. D’autres travaux scientifiques ont démontré que malgré la diversité des écosystèmes forestiers, ils demeurent très fragiles vu la pression anthropique accrue</w:t>
      </w:r>
      <w:r w:rsidRPr="000A7532">
        <w:rPr>
          <w:rFonts w:ascii="Tahoma" w:eastAsia="Times New Roman" w:hAnsi="Tahoma" w:cs="Tahoma"/>
          <w:sz w:val="24"/>
          <w:szCs w:val="24"/>
          <w:vertAlign w:val="superscript"/>
        </w:rPr>
        <w:footnoteReference w:id="91"/>
      </w:r>
      <w:r w:rsidRPr="000A7532">
        <w:rPr>
          <w:rFonts w:ascii="Tahoma" w:eastAsia="Times New Roman" w:hAnsi="Tahoma" w:cs="Tahoma"/>
          <w:sz w:val="24"/>
          <w:szCs w:val="24"/>
        </w:rPr>
        <w:t>, causée par la croissance démographique et par la faiblesse du niveau de vie des populations rurales</w:t>
      </w:r>
      <w:r w:rsidRPr="000A7532">
        <w:rPr>
          <w:rFonts w:ascii="Tahoma" w:eastAsia="Times New Roman" w:hAnsi="Tahoma" w:cs="Tahoma"/>
          <w:sz w:val="24"/>
          <w:szCs w:val="24"/>
          <w:vertAlign w:val="superscript"/>
        </w:rPr>
        <w:footnoteReference w:id="92"/>
      </w:r>
      <w:r w:rsidRPr="000A7532">
        <w:rPr>
          <w:rFonts w:ascii="Tahoma" w:eastAsia="Times New Roman" w:hAnsi="Tahoma" w:cs="Tahoma"/>
          <w:sz w:val="24"/>
          <w:szCs w:val="24"/>
        </w:rPr>
        <w:t xml:space="preserve">. </w:t>
      </w:r>
    </w:p>
    <w:p w:rsidR="008018BA" w:rsidRPr="000A7532" w:rsidRDefault="008018BA" w:rsidP="008018BA">
      <w:pPr>
        <w:widowControl w:val="0"/>
        <w:autoSpaceDE w:val="0"/>
        <w:autoSpaceDN w:val="0"/>
        <w:spacing w:before="160" w:after="0" w:line="360" w:lineRule="auto"/>
        <w:jc w:val="both"/>
        <w:rPr>
          <w:rFonts w:ascii="Tahoma" w:eastAsia="Times New Roman" w:hAnsi="Tahoma" w:cs="Tahoma"/>
          <w:sz w:val="24"/>
          <w:szCs w:val="24"/>
        </w:rPr>
      </w:pPr>
      <w:r w:rsidRPr="000A7532">
        <w:rPr>
          <w:rFonts w:ascii="Tahoma" w:eastAsia="Times New Roman" w:hAnsi="Tahoma" w:cs="Tahoma"/>
          <w:sz w:val="24"/>
          <w:szCs w:val="24"/>
        </w:rPr>
        <w:t xml:space="preserve">En conséquence, la dégradation des écosystèmes forestiers se caractérise souvent par une approche anarchique, affectant une variété de milieux à des degrés pouvant atteindre des seuils fortement critiques. Les menaces pesant sur les espèces et les habitats, à court et moyen termes, sont particulièrement préoccupantes, notamment en raison des effets du changement climatique global (MATEE, 2007). </w:t>
      </w:r>
    </w:p>
    <w:p w:rsidR="008018BA" w:rsidRDefault="008018BA" w:rsidP="008018BA">
      <w:pPr>
        <w:widowControl w:val="0"/>
        <w:autoSpaceDE w:val="0"/>
        <w:autoSpaceDN w:val="0"/>
        <w:spacing w:before="160" w:after="0" w:line="360" w:lineRule="auto"/>
        <w:jc w:val="both"/>
        <w:rPr>
          <w:rFonts w:ascii="Tahoma" w:eastAsia="Times New Roman" w:hAnsi="Tahoma" w:cs="Tahoma"/>
          <w:sz w:val="24"/>
          <w:szCs w:val="24"/>
        </w:rPr>
      </w:pPr>
      <w:r w:rsidRPr="000A7532">
        <w:rPr>
          <w:rFonts w:ascii="Tahoma" w:eastAsia="Times New Roman" w:hAnsi="Tahoma" w:cs="Tahoma"/>
          <w:sz w:val="24"/>
          <w:szCs w:val="24"/>
        </w:rPr>
        <w:t>De surcroît, le dysfonctionnement de plusieurs écosystèmes, tels que les subéraies, cédraies, thuriféraies et junipéraies, ainsi que la destruction de certains habitats, essentiels à l'installation et au développement d'une flore et d'une faune riches et diversifiées, ont conduit à la raréfaction de certaines espèces et à la disparition d'autres</w:t>
      </w:r>
      <w:r w:rsidRPr="00D05769">
        <w:rPr>
          <w:rFonts w:ascii="Tahoma" w:eastAsia="Times New Roman" w:hAnsi="Tahoma" w:cs="Tahoma"/>
          <w:sz w:val="24"/>
          <w:szCs w:val="24"/>
          <w:vertAlign w:val="superscript"/>
        </w:rPr>
        <w:footnoteReference w:id="93"/>
      </w:r>
      <w:r w:rsidRPr="000A7532">
        <w:rPr>
          <w:rFonts w:ascii="Tahoma" w:eastAsia="Times New Roman" w:hAnsi="Tahoma" w:cs="Tahoma"/>
          <w:sz w:val="24"/>
          <w:szCs w:val="24"/>
        </w:rPr>
        <w:t>.</w:t>
      </w:r>
    </w:p>
    <w:p w:rsidR="008018BA" w:rsidRDefault="008018BA" w:rsidP="008018BA">
      <w:pPr>
        <w:widowControl w:val="0"/>
        <w:autoSpaceDE w:val="0"/>
        <w:autoSpaceDN w:val="0"/>
        <w:spacing w:before="160" w:after="0" w:line="360" w:lineRule="auto"/>
        <w:jc w:val="both"/>
        <w:rPr>
          <w:rFonts w:ascii="Tahoma" w:eastAsia="Times New Roman" w:hAnsi="Tahoma" w:cs="Tahoma"/>
          <w:sz w:val="24"/>
          <w:szCs w:val="24"/>
        </w:rPr>
      </w:pPr>
      <w:r w:rsidRPr="000A7532">
        <w:rPr>
          <w:rFonts w:ascii="Tahoma" w:eastAsia="Times New Roman" w:hAnsi="Tahoma" w:cs="Tahoma"/>
          <w:sz w:val="24"/>
          <w:szCs w:val="24"/>
        </w:rPr>
        <w:t>En ce qui concerne la flore, parmi les quelque 7 000 taxons inventoriés, un quart d'entre eux est classé comme rare ou menacé. Les espèces disponibles dans les zones de haute montagne, qui constituent des caractéristiques des environnements froids et abritent une proportion importante d'espèces rares, menacées et endémiques, sont particulièrement vulnérables (IFN, 1994)</w:t>
      </w:r>
      <w:r w:rsidRPr="000A7532">
        <w:rPr>
          <w:rFonts w:ascii="Tahoma" w:eastAsia="Times New Roman" w:hAnsi="Tahoma" w:cs="Tahoma"/>
          <w:color w:val="252525"/>
          <w:sz w:val="24"/>
          <w:szCs w:val="24"/>
        </w:rPr>
        <w:t xml:space="preserve">. </w:t>
      </w:r>
      <w:r w:rsidRPr="000A7532">
        <w:rPr>
          <w:rFonts w:ascii="Tahoma" w:eastAsia="Times New Roman" w:hAnsi="Tahoma" w:cs="Tahoma"/>
          <w:sz w:val="24"/>
          <w:szCs w:val="24"/>
        </w:rPr>
        <w:t xml:space="preserve">Dans ce contexte, les estimations du Centre de Recherche Forestière de Rabat (CRF) soulignent avec acuité la vulnérabilité du patrimoine forestier marocain. Le CRF a alerté dès 2010 sur la projection d'une potentielle perte de 45% de la superficie forestière actuelle à l'horizon 2050 malgré les efforts de reboisement entrepris, estimés à environ 30 </w:t>
      </w:r>
      <w:r>
        <w:rPr>
          <w:rFonts w:ascii="Tahoma" w:eastAsia="Times New Roman" w:hAnsi="Tahoma" w:cs="Tahoma"/>
          <w:sz w:val="24"/>
          <w:szCs w:val="24"/>
        </w:rPr>
        <w:t>000 hectares par an (cf. Carte n</w:t>
      </w:r>
      <w:r w:rsidRPr="000A7532">
        <w:rPr>
          <w:rFonts w:ascii="Tahoma" w:eastAsia="Times New Roman" w:hAnsi="Tahoma" w:cs="Tahoma"/>
          <w:sz w:val="24"/>
          <w:szCs w:val="24"/>
        </w:rPr>
        <w:t>°1, CRF, 2010)</w:t>
      </w:r>
      <w:r w:rsidRPr="000A7532">
        <w:rPr>
          <w:rFonts w:ascii="Tahoma" w:eastAsia="Times New Roman" w:hAnsi="Tahoma" w:cs="Tahoma"/>
          <w:sz w:val="24"/>
          <w:szCs w:val="24"/>
          <w:vertAlign w:val="superscript"/>
        </w:rPr>
        <w:footnoteReference w:id="94"/>
      </w:r>
      <w:r w:rsidRPr="000A7532">
        <w:rPr>
          <w:rFonts w:ascii="Tahoma" w:eastAsia="Times New Roman" w:hAnsi="Tahoma" w:cs="Tahoma"/>
          <w:sz w:val="24"/>
          <w:szCs w:val="24"/>
        </w:rPr>
        <w:t xml:space="preserve">. Cette </w:t>
      </w:r>
      <w:r w:rsidRPr="000A7532">
        <w:rPr>
          <w:rFonts w:ascii="Tahoma" w:eastAsia="Times New Roman" w:hAnsi="Tahoma" w:cs="Tahoma"/>
          <w:sz w:val="24"/>
          <w:szCs w:val="24"/>
        </w:rPr>
        <w:lastRenderedPageBreak/>
        <w:t>projection met en évidence l'impérieuse nécessité de reconsidérer les stratégies de gestion forestière et d'intensifier les efforts de conservation afin d'atténuer les pressions exercées s</w:t>
      </w:r>
      <w:r>
        <w:rPr>
          <w:rFonts w:ascii="Tahoma" w:eastAsia="Times New Roman" w:hAnsi="Tahoma" w:cs="Tahoma"/>
          <w:sz w:val="24"/>
          <w:szCs w:val="24"/>
        </w:rPr>
        <w:t>ur les écosystèmes forestiers</w:t>
      </w:r>
      <w:r w:rsidRPr="000A7532">
        <w:rPr>
          <w:rFonts w:ascii="Tahoma" w:eastAsia="Times New Roman" w:hAnsi="Tahoma" w:cs="Tahoma"/>
          <w:sz w:val="24"/>
          <w:szCs w:val="24"/>
        </w:rPr>
        <w:t xml:space="preserve">. </w:t>
      </w:r>
    </w:p>
    <w:p w:rsidR="008018BA" w:rsidRDefault="008018BA" w:rsidP="008018BA">
      <w:pPr>
        <w:widowControl w:val="0"/>
        <w:autoSpaceDE w:val="0"/>
        <w:autoSpaceDN w:val="0"/>
        <w:spacing w:before="160" w:after="0" w:line="360" w:lineRule="auto"/>
        <w:jc w:val="both"/>
        <w:rPr>
          <w:rFonts w:ascii="Tahoma" w:eastAsia="Times New Roman" w:hAnsi="Tahoma" w:cs="Tahoma"/>
          <w:sz w:val="24"/>
          <w:szCs w:val="24"/>
        </w:rPr>
      </w:pPr>
      <w:r w:rsidRPr="00CA7581">
        <w:rPr>
          <w:rFonts w:ascii="Tahoma" w:eastAsia="Times New Roman" w:hAnsi="Tahoma" w:cs="Tahoma"/>
          <w:sz w:val="24"/>
          <w:szCs w:val="24"/>
        </w:rPr>
        <w:t>Les approches traditionnelles de conservation forestière (replantations, protections, réglementations) ont échoué car elles n'adressent que les symptômes et non les causes profondes du problème.</w:t>
      </w:r>
      <w:r>
        <w:rPr>
          <w:rFonts w:ascii="Tahoma" w:eastAsia="Times New Roman" w:hAnsi="Tahoma" w:cs="Tahoma"/>
          <w:sz w:val="24"/>
          <w:szCs w:val="24"/>
        </w:rPr>
        <w:t xml:space="preserve"> </w:t>
      </w:r>
      <w:r w:rsidRPr="00CA7581">
        <w:rPr>
          <w:rFonts w:ascii="Tahoma" w:eastAsia="Times New Roman" w:hAnsi="Tahoma" w:cs="Tahoma"/>
          <w:sz w:val="24"/>
          <w:szCs w:val="24"/>
        </w:rPr>
        <w:t>La conservation forestière ne saurait être envisagée exclusivement sous l’angle environnemental. Elle doit d’abord s’inscrire dans une dynamique de développement social et économique, répondant aux besoins fondamentaux des populations locales. En l’absence d’une telle réorientation, les investissements dans la préservation des écosystèmes forestiers risquent de demeurer inefficaces, car ils se heurteront inévitablement aux logiques de survie qui façonnent les pratiques des communautés riveraines</w:t>
      </w:r>
      <w:r w:rsidRPr="00CA7581">
        <w:rPr>
          <w:rStyle w:val="Appelnotedebasdep"/>
          <w:rFonts w:ascii="Tahoma" w:eastAsia="Times New Roman" w:hAnsi="Tahoma" w:cs="Tahoma"/>
          <w:sz w:val="24"/>
          <w:szCs w:val="24"/>
        </w:rPr>
        <w:footnoteReference w:id="95"/>
      </w:r>
      <w:r w:rsidRPr="00CA7581">
        <w:rPr>
          <w:rFonts w:ascii="Tahoma" w:eastAsia="Times New Roman" w:hAnsi="Tahoma" w:cs="Tahoma"/>
          <w:sz w:val="24"/>
          <w:szCs w:val="24"/>
        </w:rPr>
        <w:t>.</w:t>
      </w:r>
    </w:p>
    <w:p w:rsidR="008018BA" w:rsidRPr="00054201" w:rsidRDefault="008018BA" w:rsidP="008018BA">
      <w:pPr>
        <w:widowControl w:val="0"/>
        <w:autoSpaceDE w:val="0"/>
        <w:autoSpaceDN w:val="0"/>
        <w:spacing w:before="160" w:after="0" w:line="360" w:lineRule="auto"/>
        <w:jc w:val="both"/>
        <w:rPr>
          <w:rFonts w:ascii="Tahoma" w:eastAsia="Times New Roman" w:hAnsi="Tahoma" w:cs="Tahoma"/>
          <w:b/>
          <w:i/>
          <w:szCs w:val="24"/>
        </w:rPr>
      </w:pPr>
      <w:r>
        <w:rPr>
          <w:noProof/>
          <w:lang w:eastAsia="fr-FR"/>
        </w:rPr>
        <w:lastRenderedPageBreak/>
        <mc:AlternateContent>
          <mc:Choice Requires="wps">
            <w:drawing>
              <wp:anchor distT="0" distB="0" distL="114300" distR="114300" simplePos="0" relativeHeight="251772928" behindDoc="0" locked="0" layoutInCell="1" allowOverlap="1" wp14:anchorId="34392FFB" wp14:editId="10F28AED">
                <wp:simplePos x="0" y="0"/>
                <wp:positionH relativeFrom="column">
                  <wp:posOffset>-191770</wp:posOffset>
                </wp:positionH>
                <wp:positionV relativeFrom="paragraph">
                  <wp:posOffset>-243840</wp:posOffset>
                </wp:positionV>
                <wp:extent cx="6388100" cy="457200"/>
                <wp:effectExtent l="0" t="0" r="0" b="0"/>
                <wp:wrapNone/>
                <wp:docPr id="31" name="Zone de texte 31"/>
                <wp:cNvGraphicFramePr/>
                <a:graphic xmlns:a="http://schemas.openxmlformats.org/drawingml/2006/main">
                  <a:graphicData uri="http://schemas.microsoft.com/office/word/2010/wordprocessingShape">
                    <wps:wsp>
                      <wps:cNvSpPr txBox="1"/>
                      <wps:spPr>
                        <a:xfrm>
                          <a:off x="0" y="0"/>
                          <a:ext cx="6388100" cy="457200"/>
                        </a:xfrm>
                        <a:prstGeom prst="rect">
                          <a:avLst/>
                        </a:prstGeom>
                        <a:solidFill>
                          <a:prstClr val="white"/>
                        </a:solidFill>
                        <a:ln>
                          <a:noFill/>
                        </a:ln>
                        <a:effectLst/>
                      </wps:spPr>
                      <wps:txbx>
                        <w:txbxContent>
                          <w:p w:rsidR="0083519B" w:rsidRPr="001410FD" w:rsidRDefault="0083519B" w:rsidP="008018BA">
                            <w:pPr>
                              <w:pStyle w:val="Sous-titre"/>
                              <w:rPr>
                                <w:rFonts w:ascii="Times New Roman" w:hAnsi="Times New Roman" w:cs="Times New Roman"/>
                              </w:rPr>
                            </w:pPr>
                            <w:bookmarkStart w:id="42" w:name="_Toc202782400"/>
                            <w:bookmarkStart w:id="43" w:name="_Toc203642675"/>
                            <w:r w:rsidRPr="001410FD">
                              <w:t xml:space="preserve">Carte </w:t>
                            </w:r>
                            <w:r>
                              <w:rPr>
                                <w:noProof/>
                              </w:rPr>
                              <w:fldChar w:fldCharType="begin"/>
                            </w:r>
                            <w:r>
                              <w:rPr>
                                <w:noProof/>
                              </w:rPr>
                              <w:instrText xml:space="preserve"> SEQ Carte \* ARABIC </w:instrText>
                            </w:r>
                            <w:r>
                              <w:rPr>
                                <w:noProof/>
                              </w:rPr>
                              <w:fldChar w:fldCharType="separate"/>
                            </w:r>
                            <w:r w:rsidR="00124AFB">
                              <w:rPr>
                                <w:noProof/>
                              </w:rPr>
                              <w:t>1</w:t>
                            </w:r>
                            <w:r>
                              <w:rPr>
                                <w:noProof/>
                              </w:rPr>
                              <w:fldChar w:fldCharType="end"/>
                            </w:r>
                            <w:r w:rsidRPr="001410FD">
                              <w:t xml:space="preserve"> : Evolution du couvert forestier de 1900 à 1994 et projection à l'horizon 2050</w:t>
                            </w:r>
                            <w:bookmarkEnd w:id="42"/>
                            <w:bookmarkEnd w:id="43"/>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4392FFB" id="Zone de texte 31" o:spid="_x0000_s1028" type="#_x0000_t202" style="position:absolute;left:0;text-align:left;margin-left:-15.1pt;margin-top:-19.2pt;width:503pt;height:36pt;z-index:2517729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" stroked="f">
                <v:textbox inset="0,0,0,0">
                  <w:txbxContent>
                    <w:p w:rsidR="0083519B" w:rsidRPr="001410FD" w:rsidRDefault="0083519B" w:rsidP="008018BA">
                      <w:pPr>
                        <w:pStyle w:val="Sous-titre"/>
                        <w:rPr>
                          <w:rFonts w:ascii="Times New Roman" w:hAnsi="Times New Roman" w:cs="Times New Roman"/>
                        </w:rPr>
                      </w:pPr>
                      <w:bookmarkStart w:id="44" w:name="_Toc202782400"/>
                      <w:bookmarkStart w:id="45" w:name="_Toc203642675"/>
                      <w:r w:rsidRPr="001410FD">
                        <w:t xml:space="preserve">Carte </w:t>
                      </w:r>
                      <w:r>
                        <w:rPr>
                          <w:noProof/>
                        </w:rPr>
                        <w:fldChar w:fldCharType="begin"/>
                      </w:r>
                      <w:r>
                        <w:rPr>
                          <w:noProof/>
                        </w:rPr>
                        <w:instrText xml:space="preserve"> SEQ Carte \* ARABIC </w:instrText>
                      </w:r>
                      <w:r>
                        <w:rPr>
                          <w:noProof/>
                        </w:rPr>
                        <w:fldChar w:fldCharType="separate"/>
                      </w:r>
                      <w:r w:rsidR="00124AFB">
                        <w:rPr>
                          <w:noProof/>
                        </w:rPr>
                        <w:t>1</w:t>
                      </w:r>
                      <w:r>
                        <w:rPr>
                          <w:noProof/>
                        </w:rPr>
                        <w:fldChar w:fldCharType="end"/>
                      </w:r>
                      <w:r w:rsidRPr="001410FD">
                        <w:t xml:space="preserve"> : Evolution du couvert forestier de 1900 à 1994 et projection à l'horizon 2050</w:t>
                      </w:r>
                      <w:bookmarkEnd w:id="44"/>
                      <w:bookmarkEnd w:id="45"/>
                    </w:p>
                  </w:txbxContent>
                </v:textbox>
              </v:shape>
            </w:pict>
          </mc:Fallback>
        </mc:AlternateContent>
      </w:r>
      <w:r w:rsidRPr="000A7532">
        <w:rPr>
          <w:rFonts w:ascii="Times New Roman" w:eastAsia="Times New Roman" w:hAnsi="Times New Roman" w:cs="Times New Roman"/>
          <w:noProof/>
          <w:sz w:val="24"/>
          <w:szCs w:val="24"/>
          <w:lang w:eastAsia="fr-FR"/>
        </w:rPr>
        <w:drawing>
          <wp:anchor distT="0" distB="0" distL="0" distR="0" simplePos="0" relativeHeight="251771904" behindDoc="0" locked="0" layoutInCell="1" allowOverlap="1" wp14:anchorId="43C8584D" wp14:editId="77F05045">
            <wp:simplePos x="0" y="0"/>
            <wp:positionH relativeFrom="page">
              <wp:posOffset>857250</wp:posOffset>
            </wp:positionH>
            <wp:positionV relativeFrom="paragraph">
              <wp:posOffset>130175</wp:posOffset>
            </wp:positionV>
            <wp:extent cx="6153150" cy="5657850"/>
            <wp:effectExtent l="0" t="0" r="0" b="0"/>
            <wp:wrapTopAndBottom/>
            <wp:docPr id="8" name="image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jpeg"/>
                    <pic:cNvPicPr/>
                  </pic:nvPicPr>
                  <pic:blipFill>
                    <a:blip r:embed="rId8" cstate="print"/>
                    <a:stretch>
                      <a:fillRect/>
                    </a:stretch>
                  </pic:blipFill>
                  <pic:spPr>
                    <a:xfrm>
                      <a:off x="0" y="0"/>
                      <a:ext cx="6153150" cy="5657850"/>
                    </a:xfrm>
                    <a:prstGeom prst="rect">
                      <a:avLst/>
                    </a:prstGeom>
                  </pic:spPr>
                </pic:pic>
              </a:graphicData>
            </a:graphic>
            <wp14:sizeRelH relativeFrom="margin">
              <wp14:pctWidth>0</wp14:pctWidth>
            </wp14:sizeRelH>
            <wp14:sizeRelV relativeFrom="margin">
              <wp14:pctHeight>0</wp14:pctHeight>
            </wp14:sizeRelV>
          </wp:anchor>
        </w:drawing>
      </w:r>
    </w:p>
    <w:p w:rsidR="00054201" w:rsidRPr="00054201" w:rsidRDefault="00054201" w:rsidP="00054201">
      <w:pPr>
        <w:widowControl w:val="0"/>
        <w:autoSpaceDE w:val="0"/>
        <w:autoSpaceDN w:val="0"/>
        <w:spacing w:before="161" w:after="0" w:line="240" w:lineRule="auto"/>
        <w:jc w:val="center"/>
        <w:rPr>
          <w:rFonts w:ascii="Tahoma" w:eastAsia="Times New Roman" w:hAnsi="Tahoma" w:cs="Tahoma"/>
          <w:i/>
          <w:szCs w:val="24"/>
        </w:rPr>
      </w:pPr>
      <w:r w:rsidRPr="00054201">
        <w:rPr>
          <w:rFonts w:ascii="Tahoma" w:eastAsia="Times New Roman" w:hAnsi="Tahoma" w:cs="Tahoma"/>
          <w:bCs/>
          <w:i/>
          <w:szCs w:val="24"/>
        </w:rPr>
        <w:t>Source</w:t>
      </w:r>
      <w:r w:rsidRPr="00054201">
        <w:rPr>
          <w:rFonts w:ascii="Tahoma" w:eastAsia="Times New Roman" w:hAnsi="Tahoma" w:cs="Tahoma"/>
          <w:bCs/>
          <w:i/>
          <w:spacing w:val="-2"/>
          <w:szCs w:val="24"/>
        </w:rPr>
        <w:t xml:space="preserve"> </w:t>
      </w:r>
      <w:r w:rsidRPr="00054201">
        <w:rPr>
          <w:rFonts w:ascii="Tahoma" w:eastAsia="Times New Roman" w:hAnsi="Tahoma" w:cs="Tahoma"/>
          <w:i/>
          <w:szCs w:val="24"/>
        </w:rPr>
        <w:t>:</w:t>
      </w:r>
      <w:r w:rsidRPr="00054201">
        <w:rPr>
          <w:rFonts w:ascii="Tahoma" w:eastAsia="Times New Roman" w:hAnsi="Tahoma" w:cs="Tahoma"/>
          <w:i/>
          <w:spacing w:val="-1"/>
          <w:szCs w:val="24"/>
        </w:rPr>
        <w:t xml:space="preserve"> </w:t>
      </w:r>
      <w:r w:rsidRPr="00054201">
        <w:rPr>
          <w:rFonts w:ascii="Tahoma" w:eastAsia="Times New Roman" w:hAnsi="Tahoma" w:cs="Tahoma"/>
          <w:iCs/>
          <w:szCs w:val="24"/>
        </w:rPr>
        <w:t>Centre de</w:t>
      </w:r>
      <w:r w:rsidRPr="00054201">
        <w:rPr>
          <w:rFonts w:ascii="Tahoma" w:eastAsia="Times New Roman" w:hAnsi="Tahoma" w:cs="Tahoma"/>
          <w:iCs/>
          <w:spacing w:val="-1"/>
          <w:szCs w:val="24"/>
        </w:rPr>
        <w:t xml:space="preserve"> </w:t>
      </w:r>
      <w:r w:rsidRPr="00054201">
        <w:rPr>
          <w:rFonts w:ascii="Tahoma" w:eastAsia="Times New Roman" w:hAnsi="Tahoma" w:cs="Tahoma"/>
          <w:iCs/>
          <w:szCs w:val="24"/>
        </w:rPr>
        <w:t>Recherche</w:t>
      </w:r>
      <w:r w:rsidRPr="00054201">
        <w:rPr>
          <w:rFonts w:ascii="Tahoma" w:eastAsia="Times New Roman" w:hAnsi="Tahoma" w:cs="Tahoma"/>
          <w:iCs/>
          <w:spacing w:val="-1"/>
          <w:szCs w:val="24"/>
        </w:rPr>
        <w:t xml:space="preserve"> </w:t>
      </w:r>
      <w:r w:rsidRPr="00054201">
        <w:rPr>
          <w:rFonts w:ascii="Tahoma" w:eastAsia="Times New Roman" w:hAnsi="Tahoma" w:cs="Tahoma"/>
          <w:iCs/>
          <w:szCs w:val="24"/>
        </w:rPr>
        <w:t>Forestière-Rabat (2010)</w:t>
      </w:r>
    </w:p>
    <w:p w:rsidR="008018BA" w:rsidRPr="000A7532" w:rsidRDefault="008018BA" w:rsidP="008018BA">
      <w:pPr>
        <w:widowControl w:val="0"/>
        <w:autoSpaceDE w:val="0"/>
        <w:autoSpaceDN w:val="0"/>
        <w:spacing w:after="0" w:line="360" w:lineRule="auto"/>
        <w:jc w:val="both"/>
        <w:rPr>
          <w:rFonts w:ascii="Tahoma" w:eastAsia="Times New Roman" w:hAnsi="Tahoma" w:cs="Tahoma"/>
          <w:sz w:val="24"/>
          <w:szCs w:val="24"/>
        </w:rPr>
      </w:pPr>
    </w:p>
    <w:p w:rsidR="008018BA" w:rsidRPr="000A7532" w:rsidRDefault="008018BA" w:rsidP="008018BA">
      <w:pPr>
        <w:widowControl w:val="0"/>
        <w:autoSpaceDE w:val="0"/>
        <w:autoSpaceDN w:val="0"/>
        <w:spacing w:before="160" w:after="0" w:line="360" w:lineRule="auto"/>
        <w:jc w:val="both"/>
        <w:rPr>
          <w:rFonts w:ascii="Tahoma" w:eastAsia="Times New Roman" w:hAnsi="Tahoma" w:cs="Tahoma"/>
          <w:sz w:val="24"/>
          <w:szCs w:val="24"/>
        </w:rPr>
      </w:pPr>
      <w:r w:rsidRPr="000A7532">
        <w:rPr>
          <w:rFonts w:ascii="Tahoma" w:eastAsia="Times New Roman" w:hAnsi="Tahoma" w:cs="Tahoma"/>
          <w:sz w:val="24"/>
          <w:szCs w:val="24"/>
        </w:rPr>
        <w:t>Conscient de la gravité du phénomène de la dégradation forestière, le Maroc a adopté   une nouvelle stratégie dénommée « Forêts du Maroc 2020-2030 », qui témoigne d'une volonté réformatrice. Les objectifs principaux de cette stratégie visent le</w:t>
      </w:r>
      <w:r w:rsidRPr="000A7532">
        <w:rPr>
          <w:rFonts w:ascii="Tahoma" w:eastAsia="Times New Roman" w:hAnsi="Tahoma" w:cs="Tahoma"/>
          <w:spacing w:val="-5"/>
          <w:sz w:val="24"/>
          <w:szCs w:val="24"/>
        </w:rPr>
        <w:t xml:space="preserve"> </w:t>
      </w:r>
      <w:r w:rsidRPr="000A7532">
        <w:rPr>
          <w:rFonts w:ascii="Tahoma" w:eastAsia="Times New Roman" w:hAnsi="Tahoma" w:cs="Tahoma"/>
          <w:sz w:val="24"/>
          <w:szCs w:val="24"/>
        </w:rPr>
        <w:t>rattrapage</w:t>
      </w:r>
      <w:r w:rsidRPr="000A7532">
        <w:rPr>
          <w:rFonts w:ascii="Tahoma" w:eastAsia="Times New Roman" w:hAnsi="Tahoma" w:cs="Tahoma"/>
          <w:spacing w:val="-4"/>
          <w:sz w:val="24"/>
          <w:szCs w:val="24"/>
        </w:rPr>
        <w:t xml:space="preserve"> </w:t>
      </w:r>
      <w:r w:rsidRPr="000A7532">
        <w:rPr>
          <w:rFonts w:ascii="Tahoma" w:eastAsia="Times New Roman" w:hAnsi="Tahoma" w:cs="Tahoma"/>
          <w:sz w:val="24"/>
          <w:szCs w:val="24"/>
        </w:rPr>
        <w:t xml:space="preserve">de trois décennies de dégradation du couvert forestier, en récupérant une superficie de plus de 133 000 hectares. Par ailleurs, cette stratégie cherche à réinventer l’approche participative et à réconcilier les citoyens marocains </w:t>
      </w:r>
      <w:r w:rsidRPr="005865D7">
        <w:rPr>
          <w:rFonts w:ascii="Tahoma" w:eastAsia="Times New Roman" w:hAnsi="Tahoma" w:cs="Tahoma"/>
          <w:sz w:val="24"/>
          <w:szCs w:val="24"/>
        </w:rPr>
        <w:t>avec</w:t>
      </w:r>
      <w:r w:rsidRPr="000A7532">
        <w:rPr>
          <w:rFonts w:ascii="Tahoma" w:eastAsia="Times New Roman" w:hAnsi="Tahoma" w:cs="Tahoma"/>
          <w:sz w:val="24"/>
          <w:szCs w:val="24"/>
        </w:rPr>
        <w:t xml:space="preserve"> leur patrimoine forestier. </w:t>
      </w:r>
    </w:p>
    <w:p w:rsidR="008018BA" w:rsidRDefault="008018BA" w:rsidP="008018BA">
      <w:pPr>
        <w:widowControl w:val="0"/>
        <w:autoSpaceDE w:val="0"/>
        <w:autoSpaceDN w:val="0"/>
        <w:spacing w:after="0" w:line="360" w:lineRule="auto"/>
        <w:jc w:val="both"/>
        <w:rPr>
          <w:rFonts w:ascii="Tahoma" w:eastAsia="Times New Roman" w:hAnsi="Tahoma" w:cs="Tahoma"/>
          <w:sz w:val="24"/>
          <w:szCs w:val="24"/>
        </w:rPr>
      </w:pPr>
      <w:r w:rsidRPr="000A7532">
        <w:rPr>
          <w:rFonts w:ascii="Tahoma" w:eastAsia="Times New Roman" w:hAnsi="Tahoma" w:cs="Tahoma"/>
          <w:sz w:val="24"/>
          <w:szCs w:val="24"/>
        </w:rPr>
        <w:t xml:space="preserve">D’après, le Directeur de la Planification, du Système d'Information et de la Coopération </w:t>
      </w:r>
      <w:r w:rsidRPr="000A7532">
        <w:rPr>
          <w:rFonts w:ascii="Tahoma" w:eastAsia="Times New Roman" w:hAnsi="Tahoma" w:cs="Tahoma"/>
          <w:sz w:val="24"/>
          <w:szCs w:val="24"/>
        </w:rPr>
        <w:lastRenderedPageBreak/>
        <w:t>au Département des Eaux et Forêts, cette nouvelle approche se distingue par la volonté de rompre avec les pratiques antérieures. Elle considère la population usagère, comme le premier partenaire dans la gestion forestière afin de changer leur perception vis-à-vis de la forêt</w:t>
      </w:r>
      <w:r w:rsidRPr="000A7532">
        <w:rPr>
          <w:rFonts w:ascii="Tahoma" w:eastAsia="Times New Roman" w:hAnsi="Tahoma" w:cs="Tahoma"/>
          <w:sz w:val="24"/>
          <w:szCs w:val="24"/>
          <w:vertAlign w:val="superscript"/>
        </w:rPr>
        <w:footnoteReference w:id="96"/>
      </w:r>
      <w:r>
        <w:rPr>
          <w:rFonts w:ascii="Tahoma" w:eastAsia="Times New Roman" w:hAnsi="Tahoma" w:cs="Tahoma"/>
          <w:sz w:val="24"/>
          <w:szCs w:val="24"/>
        </w:rPr>
        <w:t>.</w:t>
      </w:r>
    </w:p>
    <w:p w:rsidR="008018BA" w:rsidRDefault="008018BA" w:rsidP="008018BA">
      <w:pPr>
        <w:widowControl w:val="0"/>
        <w:autoSpaceDE w:val="0"/>
        <w:autoSpaceDN w:val="0"/>
        <w:spacing w:before="160" w:after="0" w:line="360" w:lineRule="auto"/>
        <w:jc w:val="both"/>
        <w:rPr>
          <w:rFonts w:ascii="Tahoma" w:eastAsia="Times New Roman" w:hAnsi="Tahoma" w:cs="Tahoma"/>
          <w:sz w:val="24"/>
          <w:szCs w:val="24"/>
        </w:rPr>
      </w:pPr>
      <w:r w:rsidRPr="000A7532">
        <w:rPr>
          <w:rFonts w:ascii="Tahoma" w:eastAsia="Times New Roman" w:hAnsi="Tahoma" w:cs="Tahoma"/>
          <w:sz w:val="24"/>
          <w:szCs w:val="24"/>
        </w:rPr>
        <w:t>Le présent travail s’attache à analyser le phénomène de la dégradation forestière d’origine anthropique dans les territoires forestiers ruraux, en mettant l’accent sur l’action publique en matière de gestion de ces espaces, indispensables à la vie et aux activités des populations locales. Il vise à démontrer que le manque de soutien socio-économique des populations dépendantes des forêts, ainsi que leur exclusion des processus de gestion forestière, peuvent constituer des facteurs accélérateurs de la dégradation, voire de déclenchement de flux migratoires des populations rurales dépendantes de ces territoires.</w:t>
      </w:r>
    </w:p>
    <w:p w:rsidR="008018BA" w:rsidRPr="00EF7E20" w:rsidRDefault="006F7C91" w:rsidP="00D051D7">
      <w:pPr>
        <w:pStyle w:val="Paragraphedeliste"/>
        <w:numPr>
          <w:ilvl w:val="0"/>
          <w:numId w:val="108"/>
        </w:numPr>
        <w:spacing w:before="160" w:line="360" w:lineRule="auto"/>
        <w:rPr>
          <w:rFonts w:ascii="Tahoma" w:hAnsi="Tahoma" w:cs="Tahoma"/>
          <w:b/>
          <w:bCs/>
          <w:sz w:val="28"/>
          <w:szCs w:val="28"/>
        </w:rPr>
      </w:pPr>
      <w:r>
        <w:rPr>
          <w:rFonts w:ascii="Tahoma" w:hAnsi="Tahoma" w:cs="Tahoma"/>
          <w:b/>
          <w:bCs/>
          <w:sz w:val="28"/>
          <w:szCs w:val="28"/>
        </w:rPr>
        <w:t>Question principale</w:t>
      </w:r>
      <w:r w:rsidR="008018BA" w:rsidRPr="00185234">
        <w:rPr>
          <w:rFonts w:ascii="Tahoma" w:hAnsi="Tahoma" w:cs="Tahoma"/>
          <w:b/>
          <w:bCs/>
          <w:sz w:val="28"/>
          <w:szCs w:val="28"/>
        </w:rPr>
        <w:t xml:space="preserve"> : </w:t>
      </w:r>
    </w:p>
    <w:p w:rsidR="008018BA" w:rsidRPr="00CA7581" w:rsidRDefault="008018BA" w:rsidP="008018BA">
      <w:pPr>
        <w:widowControl w:val="0"/>
        <w:autoSpaceDE w:val="0"/>
        <w:autoSpaceDN w:val="0"/>
        <w:spacing w:before="160" w:after="0" w:line="360" w:lineRule="auto"/>
        <w:jc w:val="both"/>
        <w:rPr>
          <w:rFonts w:ascii="Tahoma" w:eastAsia="Times New Roman" w:hAnsi="Tahoma" w:cs="Tahoma"/>
          <w:sz w:val="24"/>
          <w:szCs w:val="24"/>
        </w:rPr>
      </w:pPr>
      <w:r>
        <w:rPr>
          <w:rFonts w:ascii="Tahoma" w:eastAsia="Times New Roman" w:hAnsi="Tahoma" w:cs="Tahoma"/>
          <w:sz w:val="24"/>
          <w:szCs w:val="24"/>
        </w:rPr>
        <w:t xml:space="preserve">Dans cette persepetive, une recherche </w:t>
      </w:r>
      <w:r w:rsidRPr="008261C9">
        <w:rPr>
          <w:rFonts w:ascii="Tahoma" w:eastAsia="Times New Roman" w:hAnsi="Tahoma" w:cs="Tahoma"/>
          <w:sz w:val="24"/>
          <w:szCs w:val="24"/>
        </w:rPr>
        <w:t>empirique a été menée à Korifla, une des forêts de la régio</w:t>
      </w:r>
      <w:r>
        <w:rPr>
          <w:rFonts w:ascii="Tahoma" w:eastAsia="Times New Roman" w:hAnsi="Tahoma" w:cs="Tahoma"/>
          <w:sz w:val="24"/>
          <w:szCs w:val="24"/>
        </w:rPr>
        <w:t xml:space="preserve">n de Rabat-Salé-Kénitra, dans le cadre de l’évaluation critique </w:t>
      </w:r>
      <w:r w:rsidRPr="008261C9">
        <w:rPr>
          <w:rFonts w:ascii="Tahoma" w:eastAsia="Times New Roman" w:hAnsi="Tahoma" w:cs="Tahoma"/>
          <w:sz w:val="24"/>
          <w:szCs w:val="24"/>
        </w:rPr>
        <w:t>de l'efficacité de l'action publ</w:t>
      </w:r>
      <w:r>
        <w:rPr>
          <w:rFonts w:ascii="Tahoma" w:eastAsia="Times New Roman" w:hAnsi="Tahoma" w:cs="Tahoma"/>
          <w:sz w:val="24"/>
          <w:szCs w:val="24"/>
        </w:rPr>
        <w:t xml:space="preserve">ique. Cette recherche s’articule autour </w:t>
      </w:r>
      <w:r w:rsidRPr="008261C9">
        <w:rPr>
          <w:rFonts w:ascii="Tahoma" w:eastAsia="Times New Roman" w:hAnsi="Tahoma" w:cs="Tahoma"/>
          <w:sz w:val="24"/>
          <w:szCs w:val="24"/>
        </w:rPr>
        <w:t>de</w:t>
      </w:r>
      <w:r>
        <w:rPr>
          <w:rFonts w:ascii="Tahoma" w:eastAsia="Times New Roman" w:hAnsi="Tahoma" w:cs="Tahoma"/>
          <w:sz w:val="24"/>
          <w:szCs w:val="24"/>
        </w:rPr>
        <w:t xml:space="preserve"> la problématique centrale suivante :</w:t>
      </w:r>
    </w:p>
    <w:p w:rsidR="008018BA" w:rsidRDefault="008018BA" w:rsidP="008018BA">
      <w:pPr>
        <w:widowControl w:val="0"/>
        <w:autoSpaceDE w:val="0"/>
        <w:autoSpaceDN w:val="0"/>
        <w:spacing w:before="160" w:after="0" w:line="360" w:lineRule="auto"/>
        <w:ind w:left="708"/>
        <w:jc w:val="both"/>
        <w:rPr>
          <w:rFonts w:ascii="Tahoma" w:hAnsi="Tahoma" w:cs="Tahoma"/>
          <w:b/>
          <w:bCs/>
          <w:sz w:val="24"/>
          <w:szCs w:val="24"/>
        </w:rPr>
      </w:pPr>
      <w:r w:rsidRPr="008261C9">
        <w:rPr>
          <w:rFonts w:ascii="Tahoma" w:hAnsi="Tahoma" w:cs="Tahoma"/>
          <w:b/>
          <w:bCs/>
          <w:sz w:val="24"/>
          <w:szCs w:val="24"/>
        </w:rPr>
        <w:t>Dans quelle mesure l'accélération de la dégradation des écosystèmes forestiers de Korifla, sous l'effet conjugué des pressions anthropiques et du changement climatique, constitue-t-elle un facteur accélératif des flux migratoires des populations rurales ?</w:t>
      </w:r>
    </w:p>
    <w:p w:rsidR="008018BA" w:rsidRPr="008261C9" w:rsidRDefault="008018BA" w:rsidP="008018BA">
      <w:pPr>
        <w:widowControl w:val="0"/>
        <w:autoSpaceDE w:val="0"/>
        <w:autoSpaceDN w:val="0"/>
        <w:spacing w:after="0" w:line="360" w:lineRule="auto"/>
        <w:jc w:val="both"/>
        <w:rPr>
          <w:rFonts w:ascii="Tahoma" w:eastAsia="Times New Roman" w:hAnsi="Tahoma" w:cs="Tahoma"/>
          <w:b/>
          <w:bCs/>
          <w:sz w:val="24"/>
          <w:szCs w:val="24"/>
        </w:rPr>
      </w:pPr>
    </w:p>
    <w:p w:rsidR="008018BA" w:rsidRPr="000A7532" w:rsidRDefault="008018BA" w:rsidP="008018BA">
      <w:pPr>
        <w:widowControl w:val="0"/>
        <w:autoSpaceDE w:val="0"/>
        <w:autoSpaceDN w:val="0"/>
        <w:spacing w:after="0" w:line="360" w:lineRule="auto"/>
        <w:jc w:val="both"/>
        <w:rPr>
          <w:rFonts w:ascii="Tahoma" w:eastAsia="Times New Roman" w:hAnsi="Tahoma" w:cs="Tahoma"/>
          <w:sz w:val="24"/>
          <w:szCs w:val="24"/>
        </w:rPr>
      </w:pPr>
      <w:r w:rsidRPr="005865D7">
        <w:rPr>
          <w:rFonts w:ascii="Tahoma" w:eastAsia="Times New Roman" w:hAnsi="Tahoma" w:cs="Tahoma"/>
          <w:sz w:val="24"/>
          <w:szCs w:val="24"/>
        </w:rPr>
        <w:t>Cette notion d'accélération trouve son origine dans la philosophie sociale relative à la vie moderne, caractérisée par une accélération du changement social, une intensification des innovations technologiques et l'accélération du rythme de vie. Ce concept dynamique est fréquemment associé au système néolibéral, dont les conséquences se manifestent par un épuisement des ressources naturelles, un dérèglement climatique, une surexploitation du capital humain et une marginalisation de larges pans de la population.</w:t>
      </w:r>
    </w:p>
    <w:p w:rsidR="008018BA" w:rsidRDefault="008018BA" w:rsidP="008018BA">
      <w:pPr>
        <w:widowControl w:val="0"/>
        <w:autoSpaceDE w:val="0"/>
        <w:autoSpaceDN w:val="0"/>
        <w:spacing w:after="0" w:line="360" w:lineRule="auto"/>
        <w:jc w:val="both"/>
        <w:rPr>
          <w:rFonts w:ascii="Tahoma" w:eastAsia="Times New Roman" w:hAnsi="Tahoma" w:cs="Tahoma"/>
          <w:sz w:val="24"/>
          <w:szCs w:val="24"/>
        </w:rPr>
      </w:pPr>
      <w:r>
        <w:rPr>
          <w:rFonts w:ascii="Tahoma" w:eastAsia="Times New Roman" w:hAnsi="Tahoma" w:cs="Tahoma"/>
          <w:sz w:val="24"/>
          <w:szCs w:val="24"/>
        </w:rPr>
        <w:lastRenderedPageBreak/>
        <w:t>Dans le cadre de cette recherche doctorale</w:t>
      </w:r>
      <w:r w:rsidRPr="000A7532">
        <w:rPr>
          <w:rFonts w:ascii="Tahoma" w:eastAsia="Times New Roman" w:hAnsi="Tahoma" w:cs="Tahoma"/>
          <w:sz w:val="24"/>
          <w:szCs w:val="24"/>
        </w:rPr>
        <w:t>, le risque accélératif</w:t>
      </w:r>
      <w:r w:rsidRPr="000A7532">
        <w:rPr>
          <w:rFonts w:ascii="Tahoma" w:eastAsia="Times New Roman" w:hAnsi="Tahoma" w:cs="Tahoma"/>
          <w:sz w:val="24"/>
          <w:szCs w:val="24"/>
          <w:vertAlign w:val="superscript"/>
        </w:rPr>
        <w:footnoteReference w:id="97"/>
      </w:r>
      <w:r w:rsidRPr="000A7532">
        <w:rPr>
          <w:rFonts w:ascii="Tahoma" w:eastAsia="Times New Roman" w:hAnsi="Tahoma" w:cs="Tahoma"/>
          <w:sz w:val="24"/>
          <w:szCs w:val="24"/>
        </w:rPr>
        <w:t xml:space="preserve"> migratoire est intrinsèquement lié à l'accélération de la dégradation environnementale, et plus précisément, à celle qui affecte les écosystèmes forestiers marocains, en raison de la surexploitation des ressources, des modes de gestion inadaptés et des effets du changement climatique. La convergence et l'intensification de ces facteurs posent des questions fondamentales quant à la stabilité des populations rurales marocaines, particulièrement vulnérables, à l'instar des populations rurales dépendantes de la forêt de Korifla. Cette vulnérabilité accrue, combinée aux pressions environnementales croissantes, pourrait engendrer des déplacements de populations, nécessitant une analyse approfondie des dynamiques socio-économiques et environnementales. </w:t>
      </w:r>
    </w:p>
    <w:p w:rsidR="008018BA" w:rsidRDefault="008018BA" w:rsidP="008018BA">
      <w:pPr>
        <w:widowControl w:val="0"/>
        <w:autoSpaceDE w:val="0"/>
        <w:autoSpaceDN w:val="0"/>
        <w:spacing w:after="0" w:line="360" w:lineRule="auto"/>
        <w:jc w:val="both"/>
        <w:rPr>
          <w:rFonts w:ascii="Tahoma" w:eastAsia="Times New Roman" w:hAnsi="Tahoma" w:cs="Tahoma"/>
          <w:sz w:val="24"/>
          <w:szCs w:val="24"/>
        </w:rPr>
      </w:pPr>
    </w:p>
    <w:p w:rsidR="008018BA" w:rsidRPr="00B20B49" w:rsidRDefault="008018BA" w:rsidP="00D051D7">
      <w:pPr>
        <w:pStyle w:val="Paragraphedeliste"/>
        <w:numPr>
          <w:ilvl w:val="0"/>
          <w:numId w:val="108"/>
        </w:numPr>
        <w:spacing w:line="360" w:lineRule="auto"/>
        <w:rPr>
          <w:rFonts w:ascii="Tahoma" w:hAnsi="Tahoma" w:cs="Tahoma"/>
          <w:b/>
          <w:bCs/>
          <w:sz w:val="28"/>
          <w:szCs w:val="28"/>
        </w:rPr>
      </w:pPr>
      <w:r w:rsidRPr="00B20B49">
        <w:rPr>
          <w:rFonts w:ascii="Tahoma" w:hAnsi="Tahoma" w:cs="Tahoma"/>
          <w:b/>
          <w:bCs/>
          <w:sz w:val="28"/>
          <w:szCs w:val="28"/>
        </w:rPr>
        <w:t xml:space="preserve">Questions secondaires : </w:t>
      </w:r>
    </w:p>
    <w:p w:rsidR="008018BA" w:rsidRPr="000A7532" w:rsidRDefault="008018BA" w:rsidP="008018BA">
      <w:pPr>
        <w:widowControl w:val="0"/>
        <w:autoSpaceDE w:val="0"/>
        <w:autoSpaceDN w:val="0"/>
        <w:spacing w:before="160" w:after="0" w:line="360" w:lineRule="auto"/>
        <w:jc w:val="both"/>
        <w:rPr>
          <w:rFonts w:ascii="Tahoma" w:eastAsia="Times New Roman" w:hAnsi="Tahoma" w:cs="Tahoma"/>
          <w:sz w:val="24"/>
          <w:szCs w:val="24"/>
        </w:rPr>
      </w:pPr>
      <w:r w:rsidRPr="000A7532">
        <w:rPr>
          <w:rFonts w:ascii="Tahoma" w:eastAsia="Times New Roman" w:hAnsi="Tahoma" w:cs="Tahoma"/>
          <w:sz w:val="24"/>
          <w:szCs w:val="24"/>
        </w:rPr>
        <w:t>Cette thématique aux multiples facettes renvoie à une pléthore de questionnements secondaires :</w:t>
      </w:r>
    </w:p>
    <w:p w:rsidR="008018BA" w:rsidRPr="000A7532" w:rsidRDefault="008018BA" w:rsidP="008018BA">
      <w:pPr>
        <w:widowControl w:val="0"/>
        <w:numPr>
          <w:ilvl w:val="0"/>
          <w:numId w:val="1"/>
        </w:numPr>
        <w:autoSpaceDE w:val="0"/>
        <w:autoSpaceDN w:val="0"/>
        <w:spacing w:before="102" w:after="0" w:line="360" w:lineRule="auto"/>
        <w:ind w:left="709" w:hanging="357"/>
        <w:contextualSpacing/>
        <w:jc w:val="both"/>
        <w:rPr>
          <w:rFonts w:ascii="Tahoma" w:eastAsia="Times New Roman" w:hAnsi="Tahoma" w:cs="Tahoma"/>
          <w:sz w:val="24"/>
          <w:szCs w:val="24"/>
          <w:lang w:val="fr-MA"/>
        </w:rPr>
      </w:pPr>
      <w:r w:rsidRPr="000A7532">
        <w:rPr>
          <w:rFonts w:ascii="Tahoma" w:eastAsia="Times New Roman" w:hAnsi="Tahoma" w:cs="Tahoma"/>
          <w:sz w:val="24"/>
          <w:szCs w:val="24"/>
          <w:lang w:val="fr-MA"/>
        </w:rPr>
        <w:t xml:space="preserve">Dans quelle mesure la domanialité peut-elle contribuer à la protection et au développement des différents territoires forestiers au Maroc ? </w:t>
      </w:r>
    </w:p>
    <w:p w:rsidR="008018BA" w:rsidRPr="000A7532" w:rsidRDefault="008018BA" w:rsidP="008018BA">
      <w:pPr>
        <w:widowControl w:val="0"/>
        <w:numPr>
          <w:ilvl w:val="0"/>
          <w:numId w:val="1"/>
        </w:numPr>
        <w:autoSpaceDE w:val="0"/>
        <w:autoSpaceDN w:val="0"/>
        <w:spacing w:before="102" w:after="0" w:line="360" w:lineRule="auto"/>
        <w:ind w:left="709" w:hanging="357"/>
        <w:contextualSpacing/>
        <w:jc w:val="both"/>
        <w:rPr>
          <w:rFonts w:ascii="Tahoma" w:eastAsia="Times New Roman" w:hAnsi="Tahoma" w:cs="Tahoma"/>
          <w:sz w:val="24"/>
          <w:szCs w:val="24"/>
          <w:lang w:val="fr-MA"/>
        </w:rPr>
      </w:pPr>
      <w:r w:rsidRPr="000A7532">
        <w:rPr>
          <w:rFonts w:ascii="Tahoma" w:eastAsia="Times New Roman" w:hAnsi="Tahoma" w:cs="Tahoma"/>
          <w:sz w:val="24"/>
          <w:szCs w:val="24"/>
        </w:rPr>
        <w:t>En quoi les conditions socio-économiques des populations rurales peuvent-elles contribuer à la dégradation des ressources forestières dans la forêt de Korifla ?</w:t>
      </w:r>
    </w:p>
    <w:p w:rsidR="008018BA" w:rsidRDefault="008018BA" w:rsidP="008018BA">
      <w:pPr>
        <w:widowControl w:val="0"/>
        <w:numPr>
          <w:ilvl w:val="0"/>
          <w:numId w:val="1"/>
        </w:numPr>
        <w:autoSpaceDE w:val="0"/>
        <w:autoSpaceDN w:val="0"/>
        <w:spacing w:before="102" w:after="0" w:line="360" w:lineRule="auto"/>
        <w:ind w:left="709" w:hanging="357"/>
        <w:contextualSpacing/>
        <w:jc w:val="both"/>
        <w:rPr>
          <w:rFonts w:ascii="Tahoma" w:eastAsia="Times New Roman" w:hAnsi="Tahoma" w:cs="Tahoma"/>
          <w:sz w:val="24"/>
          <w:szCs w:val="24"/>
          <w:lang w:val="fr-MA"/>
        </w:rPr>
      </w:pPr>
      <w:r w:rsidRPr="000A7532">
        <w:rPr>
          <w:rFonts w:ascii="Tahoma" w:eastAsia="Times New Roman" w:hAnsi="Tahoma" w:cs="Tahoma"/>
          <w:sz w:val="24"/>
          <w:szCs w:val="24"/>
        </w:rPr>
        <w:t xml:space="preserve">Comment le mode de gestion actuel des forêts au Maroc peut-il </w:t>
      </w:r>
      <w:r>
        <w:rPr>
          <w:rFonts w:ascii="Tahoma" w:eastAsia="Times New Roman" w:hAnsi="Tahoma" w:cs="Tahoma"/>
          <w:sz w:val="24"/>
          <w:szCs w:val="24"/>
        </w:rPr>
        <w:t>contribuer à l’</w:t>
      </w:r>
      <w:r w:rsidRPr="000A7532">
        <w:rPr>
          <w:rFonts w:ascii="Tahoma" w:eastAsia="Times New Roman" w:hAnsi="Tahoma" w:cs="Tahoma"/>
          <w:sz w:val="24"/>
          <w:szCs w:val="24"/>
        </w:rPr>
        <w:t>accél</w:t>
      </w:r>
      <w:r>
        <w:rPr>
          <w:rFonts w:ascii="Tahoma" w:eastAsia="Times New Roman" w:hAnsi="Tahoma" w:cs="Tahoma"/>
          <w:sz w:val="24"/>
          <w:szCs w:val="24"/>
        </w:rPr>
        <w:t xml:space="preserve">ération de </w:t>
      </w:r>
      <w:r w:rsidRPr="000A7532">
        <w:rPr>
          <w:rFonts w:ascii="Tahoma" w:eastAsia="Times New Roman" w:hAnsi="Tahoma" w:cs="Tahoma"/>
          <w:sz w:val="24"/>
          <w:szCs w:val="24"/>
        </w:rPr>
        <w:t>l</w:t>
      </w:r>
      <w:r>
        <w:rPr>
          <w:rFonts w:ascii="Tahoma" w:eastAsia="Times New Roman" w:hAnsi="Tahoma" w:cs="Tahoma"/>
          <w:sz w:val="24"/>
          <w:szCs w:val="24"/>
        </w:rPr>
        <w:t>a dégradation de ces espaces et</w:t>
      </w:r>
      <w:r w:rsidRPr="000A7532">
        <w:rPr>
          <w:rFonts w:ascii="Tahoma" w:eastAsia="Times New Roman" w:hAnsi="Tahoma" w:cs="Tahoma"/>
          <w:sz w:val="24"/>
          <w:szCs w:val="24"/>
        </w:rPr>
        <w:t xml:space="preserve"> par conséquent, </w:t>
      </w:r>
      <w:r>
        <w:rPr>
          <w:rFonts w:ascii="Tahoma" w:eastAsia="Times New Roman" w:hAnsi="Tahoma" w:cs="Tahoma"/>
          <w:sz w:val="24"/>
          <w:szCs w:val="24"/>
        </w:rPr>
        <w:t xml:space="preserve">accentuer </w:t>
      </w:r>
      <w:r w:rsidRPr="000A7532">
        <w:rPr>
          <w:rFonts w:ascii="Tahoma" w:eastAsia="Times New Roman" w:hAnsi="Tahoma" w:cs="Tahoma"/>
          <w:sz w:val="24"/>
          <w:szCs w:val="24"/>
        </w:rPr>
        <w:t>la migration des populations rurales ?</w:t>
      </w:r>
    </w:p>
    <w:p w:rsidR="008018BA" w:rsidRPr="008A05FC" w:rsidRDefault="008018BA" w:rsidP="008018BA">
      <w:pPr>
        <w:widowControl w:val="0"/>
        <w:numPr>
          <w:ilvl w:val="0"/>
          <w:numId w:val="1"/>
        </w:numPr>
        <w:autoSpaceDE w:val="0"/>
        <w:autoSpaceDN w:val="0"/>
        <w:spacing w:before="102" w:after="0" w:line="360" w:lineRule="auto"/>
        <w:ind w:left="709" w:hanging="357"/>
        <w:contextualSpacing/>
        <w:jc w:val="both"/>
        <w:rPr>
          <w:rFonts w:ascii="Tahoma" w:eastAsia="Times New Roman" w:hAnsi="Tahoma" w:cs="Tahoma"/>
          <w:sz w:val="24"/>
          <w:szCs w:val="24"/>
        </w:rPr>
      </w:pPr>
      <w:r w:rsidRPr="008A05FC">
        <w:rPr>
          <w:rFonts w:ascii="Tahoma" w:eastAsia="Times New Roman" w:hAnsi="Tahoma" w:cs="Tahoma"/>
          <w:sz w:val="24"/>
          <w:szCs w:val="24"/>
        </w:rPr>
        <w:t>La stratégie "Forêts du Maroc 2020-2030" vise principalement le rattrapage de</w:t>
      </w:r>
      <w:r>
        <w:rPr>
          <w:rFonts w:ascii="Tahoma" w:eastAsia="Times New Roman" w:hAnsi="Tahoma" w:cs="Tahoma"/>
          <w:sz w:val="24"/>
          <w:szCs w:val="24"/>
        </w:rPr>
        <w:t xml:space="preserve"> 30 ans de dégradation</w:t>
      </w:r>
      <w:r w:rsidRPr="008A05FC">
        <w:rPr>
          <w:rFonts w:ascii="Tahoma" w:eastAsia="Times New Roman" w:hAnsi="Tahoma" w:cs="Tahoma"/>
          <w:sz w:val="24"/>
          <w:szCs w:val="24"/>
        </w:rPr>
        <w:t xml:space="preserve"> des écosystèmes forestiers, à quel point parviendrait</w:t>
      </w:r>
      <w:r>
        <w:rPr>
          <w:rFonts w:ascii="Tahoma" w:eastAsia="Times New Roman" w:hAnsi="Tahoma" w:cs="Tahoma"/>
          <w:sz w:val="24"/>
          <w:szCs w:val="24"/>
        </w:rPr>
        <w:t>-</w:t>
      </w:r>
      <w:r w:rsidRPr="008A05FC">
        <w:rPr>
          <w:rFonts w:ascii="Tahoma" w:eastAsia="Times New Roman" w:hAnsi="Tahoma" w:cs="Tahoma"/>
          <w:sz w:val="24"/>
          <w:szCs w:val="24"/>
        </w:rPr>
        <w:t>elle à enrayer le processus de dégradation et de concilier la conservation avec le développe</w:t>
      </w:r>
      <w:r>
        <w:rPr>
          <w:rFonts w:ascii="Tahoma" w:eastAsia="Times New Roman" w:hAnsi="Tahoma" w:cs="Tahoma"/>
          <w:sz w:val="24"/>
          <w:szCs w:val="24"/>
        </w:rPr>
        <w:t>ment des territoires forestiers</w:t>
      </w:r>
      <w:r w:rsidRPr="008A05FC">
        <w:rPr>
          <w:rFonts w:ascii="Tahoma" w:eastAsia="Times New Roman" w:hAnsi="Tahoma" w:cs="Tahoma"/>
          <w:sz w:val="24"/>
          <w:szCs w:val="24"/>
        </w:rPr>
        <w:t> ?</w:t>
      </w:r>
    </w:p>
    <w:p w:rsidR="008018BA" w:rsidRDefault="008018BA" w:rsidP="00F0272E">
      <w:pPr>
        <w:widowControl w:val="0"/>
        <w:numPr>
          <w:ilvl w:val="0"/>
          <w:numId w:val="1"/>
        </w:numPr>
        <w:autoSpaceDE w:val="0"/>
        <w:autoSpaceDN w:val="0"/>
        <w:spacing w:before="102" w:after="0" w:line="360" w:lineRule="auto"/>
        <w:ind w:left="709" w:hanging="357"/>
        <w:contextualSpacing/>
        <w:jc w:val="both"/>
        <w:rPr>
          <w:rFonts w:ascii="Tahoma" w:eastAsia="Times New Roman" w:hAnsi="Tahoma" w:cs="Tahoma"/>
          <w:sz w:val="24"/>
          <w:szCs w:val="24"/>
          <w:lang w:val="fr-MA"/>
        </w:rPr>
      </w:pPr>
      <w:r w:rsidRPr="000A7532">
        <w:rPr>
          <w:rFonts w:ascii="Tahoma" w:eastAsia="Times New Roman" w:hAnsi="Tahoma" w:cs="Tahoma"/>
          <w:sz w:val="24"/>
          <w:szCs w:val="24"/>
          <w:lang w:val="fr-MA"/>
        </w:rPr>
        <w:t xml:space="preserve"> La stratégie « Forêts du Maroc 2020-2030 » représente-t-elle un retour vers le concept des « communs », paradigme nouveau susceptible de façonner l'évolution du 21</w:t>
      </w:r>
      <w:r w:rsidRPr="000A7532">
        <w:rPr>
          <w:rFonts w:ascii="Tahoma" w:eastAsia="Times New Roman" w:hAnsi="Tahoma" w:cs="Tahoma"/>
          <w:sz w:val="24"/>
          <w:szCs w:val="24"/>
          <w:vertAlign w:val="superscript"/>
          <w:lang w:val="fr-MA"/>
        </w:rPr>
        <w:t>ème</w:t>
      </w:r>
      <w:r w:rsidRPr="000A7532">
        <w:rPr>
          <w:rFonts w:ascii="Tahoma" w:eastAsia="Times New Roman" w:hAnsi="Tahoma" w:cs="Tahoma"/>
          <w:sz w:val="24"/>
          <w:szCs w:val="24"/>
          <w:lang w:val="fr-MA"/>
        </w:rPr>
        <w:t xml:space="preserve"> siècle (Bolliér et Helfrich, 2012 ; Dardot et Laval, 2014 ; Coriat, 2015)</w:t>
      </w:r>
      <w:r w:rsidRPr="000A7532">
        <w:rPr>
          <w:rFonts w:ascii="Tahoma" w:eastAsia="Times New Roman" w:hAnsi="Tahoma" w:cs="Tahoma"/>
          <w:sz w:val="24"/>
          <w:szCs w:val="24"/>
          <w:vertAlign w:val="superscript"/>
          <w:lang w:val="fr-MA"/>
        </w:rPr>
        <w:footnoteReference w:id="98"/>
      </w:r>
      <w:r w:rsidRPr="000A7532">
        <w:rPr>
          <w:rFonts w:ascii="Tahoma" w:eastAsia="Times New Roman" w:hAnsi="Tahoma" w:cs="Tahoma"/>
          <w:sz w:val="24"/>
          <w:szCs w:val="24"/>
          <w:lang w:val="fr-MA"/>
        </w:rPr>
        <w:t xml:space="preserve"> </w:t>
      </w:r>
      <w:r w:rsidRPr="000A7532">
        <w:rPr>
          <w:rFonts w:ascii="Tahoma" w:eastAsia="Times New Roman" w:hAnsi="Tahoma" w:cs="Tahoma"/>
          <w:sz w:val="24"/>
          <w:szCs w:val="24"/>
          <w:lang w:val="fr-MA"/>
        </w:rPr>
        <w:lastRenderedPageBreak/>
        <w:t>?</w:t>
      </w:r>
    </w:p>
    <w:p w:rsidR="00870236" w:rsidRPr="00F0272E" w:rsidRDefault="00870236" w:rsidP="00870236">
      <w:pPr>
        <w:widowControl w:val="0"/>
        <w:autoSpaceDE w:val="0"/>
        <w:autoSpaceDN w:val="0"/>
        <w:spacing w:before="102" w:after="0" w:line="360" w:lineRule="auto"/>
        <w:ind w:left="709"/>
        <w:contextualSpacing/>
        <w:jc w:val="both"/>
        <w:rPr>
          <w:rFonts w:ascii="Tahoma" w:eastAsia="Times New Roman" w:hAnsi="Tahoma" w:cs="Tahoma"/>
          <w:sz w:val="24"/>
          <w:szCs w:val="24"/>
          <w:lang w:val="fr-MA"/>
        </w:rPr>
      </w:pPr>
    </w:p>
    <w:p w:rsidR="008018BA" w:rsidRPr="000A7532" w:rsidRDefault="008018BA" w:rsidP="008018BA">
      <w:pPr>
        <w:widowControl w:val="0"/>
        <w:autoSpaceDE w:val="0"/>
        <w:autoSpaceDN w:val="0"/>
        <w:spacing w:after="0" w:line="360" w:lineRule="auto"/>
        <w:jc w:val="both"/>
        <w:rPr>
          <w:rFonts w:ascii="Tahoma" w:eastAsia="Times New Roman" w:hAnsi="Tahoma" w:cs="Tahoma"/>
          <w:sz w:val="24"/>
          <w:szCs w:val="24"/>
        </w:rPr>
      </w:pPr>
      <w:r w:rsidRPr="000A7532">
        <w:rPr>
          <w:rFonts w:ascii="Tahoma" w:eastAsia="Times New Roman" w:hAnsi="Tahoma" w:cs="Tahoma"/>
          <w:sz w:val="24"/>
          <w:szCs w:val="24"/>
        </w:rPr>
        <w:t>En définitive, sans se prétendre à l'exhaustivité sur un sujet aussi vaste interpellant un décloisonnement disciplinaire pour le traiter.  Il apparaît que la géographie constitue une discipline appropriée pour en explorer les enjeux. Par son approche pluridisciplinaire (incluant la géomorphologie, la climatologie, la démographie, la géomatique, l’architecture du paysage, et la cartographie, entre autres), elle présente un cadre optimal pour comprendre la réalité physique, biologique et humaine du territoire forestier étudié.</w:t>
      </w:r>
    </w:p>
    <w:p w:rsidR="008018BA" w:rsidRDefault="008018BA" w:rsidP="008018BA">
      <w:pPr>
        <w:widowControl w:val="0"/>
        <w:autoSpaceDE w:val="0"/>
        <w:autoSpaceDN w:val="0"/>
        <w:spacing w:after="0" w:line="360" w:lineRule="auto"/>
        <w:jc w:val="both"/>
        <w:rPr>
          <w:rFonts w:ascii="Tahoma" w:eastAsia="Times New Roman" w:hAnsi="Tahoma" w:cs="Tahoma"/>
          <w:sz w:val="24"/>
          <w:szCs w:val="24"/>
        </w:rPr>
      </w:pPr>
      <w:r w:rsidRPr="000A7532">
        <w:rPr>
          <w:rFonts w:ascii="Tahoma" w:eastAsia="Times New Roman" w:hAnsi="Tahoma" w:cs="Tahoma"/>
          <w:spacing w:val="-1"/>
          <w:sz w:val="24"/>
          <w:szCs w:val="24"/>
        </w:rPr>
        <w:t>Compte tenu de la nature de la problématique étudiée, il semble important de recourir à l'analyse systémique, telle que définie par Rémy Allain. Dans cette perspective, la notion de système fait référence à la cohérence entre les divers éléments ainsi qu'aux interactions ou aux relations dialectiques qui les lient</w:t>
      </w:r>
      <w:r w:rsidRPr="000A7532">
        <w:rPr>
          <w:rFonts w:ascii="Tahoma" w:eastAsia="Times New Roman" w:hAnsi="Tahoma" w:cs="Tahoma"/>
          <w:spacing w:val="-1"/>
          <w:sz w:val="24"/>
          <w:szCs w:val="24"/>
          <w:vertAlign w:val="superscript"/>
        </w:rPr>
        <w:footnoteReference w:id="99"/>
      </w:r>
      <w:r w:rsidRPr="000A7532">
        <w:rPr>
          <w:rFonts w:ascii="Tahoma" w:eastAsia="Times New Roman" w:hAnsi="Tahoma" w:cs="Tahoma"/>
          <w:spacing w:val="-1"/>
          <w:sz w:val="24"/>
          <w:szCs w:val="24"/>
        </w:rPr>
        <w:t xml:space="preserve">. Ce mode de raisonnement s’avère important pour étudier </w:t>
      </w:r>
      <w:r w:rsidRPr="000A7532">
        <w:rPr>
          <w:rFonts w:ascii="Tahoma" w:eastAsia="Times New Roman" w:hAnsi="Tahoma" w:cs="Tahoma"/>
          <w:sz w:val="24"/>
          <w:szCs w:val="24"/>
        </w:rPr>
        <w:t>les interactions et le fonctionnement des différentes composantes de l'objet d'étude. En effet, l'objectif de la présente recherche est d'analyser le triptyque constitué par la dégradation anthropique des forêts au Maroc, le développement rural et le risque migratoire.</w:t>
      </w:r>
    </w:p>
    <w:p w:rsidR="008018BA" w:rsidRPr="000A7532" w:rsidRDefault="008018BA" w:rsidP="008018BA">
      <w:pPr>
        <w:widowControl w:val="0"/>
        <w:autoSpaceDE w:val="0"/>
        <w:autoSpaceDN w:val="0"/>
        <w:spacing w:before="130" w:after="0" w:line="360" w:lineRule="auto"/>
        <w:jc w:val="both"/>
        <w:rPr>
          <w:rFonts w:ascii="Tahoma" w:eastAsia="Times New Roman" w:hAnsi="Tahoma" w:cs="Tahoma"/>
          <w:spacing w:val="-1"/>
          <w:sz w:val="24"/>
          <w:szCs w:val="24"/>
        </w:rPr>
      </w:pPr>
      <w:r w:rsidRPr="000A7532">
        <w:rPr>
          <w:rFonts w:ascii="Tahoma" w:eastAsia="Times New Roman" w:hAnsi="Tahoma" w:cs="Tahoma"/>
          <w:spacing w:val="-1"/>
          <w:sz w:val="24"/>
          <w:szCs w:val="24"/>
        </w:rPr>
        <w:t>Pour atteindre les objectifs de cette recherche, les connaissances scientifiques acquises dans le cadre de la formation doctorale en « Gestion des Risques et Développement Territorial » à l'INAU constituent des outils primordiaux permettant de réinterroger les concepts, les méthodes et les modèles, dont le risque occupe un axe central de réflexion, en tant qu’alternative à la catastrophe.</w:t>
      </w:r>
    </w:p>
    <w:p w:rsidR="008018BA" w:rsidRDefault="008018BA" w:rsidP="008018BA">
      <w:pPr>
        <w:widowControl w:val="0"/>
        <w:autoSpaceDE w:val="0"/>
        <w:autoSpaceDN w:val="0"/>
        <w:spacing w:before="128" w:after="0" w:line="360" w:lineRule="auto"/>
        <w:jc w:val="both"/>
        <w:rPr>
          <w:rFonts w:ascii="Tahoma" w:eastAsia="Times New Roman" w:hAnsi="Tahoma" w:cs="Tahoma"/>
          <w:spacing w:val="-1"/>
          <w:sz w:val="24"/>
          <w:szCs w:val="24"/>
        </w:rPr>
      </w:pPr>
      <w:r w:rsidRPr="000A7532">
        <w:rPr>
          <w:rFonts w:ascii="Tahoma" w:eastAsia="Times New Roman" w:hAnsi="Tahoma" w:cs="Tahoma"/>
          <w:spacing w:val="-1"/>
          <w:sz w:val="24"/>
          <w:szCs w:val="24"/>
        </w:rPr>
        <w:t xml:space="preserve">Le </w:t>
      </w:r>
      <w:r>
        <w:rPr>
          <w:rFonts w:ascii="Tahoma" w:eastAsia="Times New Roman" w:hAnsi="Tahoma" w:cs="Tahoma"/>
          <w:spacing w:val="-1"/>
          <w:sz w:val="24"/>
          <w:szCs w:val="24"/>
        </w:rPr>
        <w:t xml:space="preserve">type de risque abordé dans la présente </w:t>
      </w:r>
      <w:r w:rsidRPr="000A7532">
        <w:rPr>
          <w:rFonts w:ascii="Tahoma" w:eastAsia="Times New Roman" w:hAnsi="Tahoma" w:cs="Tahoma"/>
          <w:spacing w:val="-1"/>
          <w:sz w:val="24"/>
          <w:szCs w:val="24"/>
        </w:rPr>
        <w:t xml:space="preserve">thèse vise à </w:t>
      </w:r>
      <w:r>
        <w:rPr>
          <w:rFonts w:ascii="Tahoma" w:eastAsia="Times New Roman" w:hAnsi="Tahoma" w:cs="Tahoma"/>
          <w:spacing w:val="-1"/>
          <w:sz w:val="24"/>
          <w:szCs w:val="24"/>
        </w:rPr>
        <w:t xml:space="preserve">comprendre </w:t>
      </w:r>
      <w:r w:rsidRPr="000A7532">
        <w:rPr>
          <w:rFonts w:ascii="Tahoma" w:eastAsia="Times New Roman" w:hAnsi="Tahoma" w:cs="Tahoma"/>
          <w:spacing w:val="-1"/>
          <w:sz w:val="24"/>
          <w:szCs w:val="24"/>
        </w:rPr>
        <w:t xml:space="preserve">les déséquilibres sociaux susceptibles d’affecter les territoires forestiers ruraux, à la suite de profondes mutations démographiques, culturelles, environnementales, sociales et économiques, ainsi que du territoire national dans son ensemble. Cette transition pourrait se manifester par un développement accéléré et anarchique des centres périurbains, induit par les flux migratoires vers les grandes villes, en l’absence d’une politique intégrée d’aménagement de ces espaces. En effet, les zones périurbaines continuent de subir une pression foncière </w:t>
      </w:r>
      <w:r w:rsidRPr="000A7532">
        <w:rPr>
          <w:rFonts w:ascii="Tahoma" w:eastAsia="Times New Roman" w:hAnsi="Tahoma" w:cs="Tahoma"/>
          <w:spacing w:val="-1"/>
          <w:sz w:val="24"/>
          <w:szCs w:val="24"/>
        </w:rPr>
        <w:lastRenderedPageBreak/>
        <w:t>et démographique croissante, générant divers risques associés à la concentration de populations hétérogènes, souvent pauvres, sur un même territoire</w:t>
      </w:r>
      <w:r w:rsidRPr="000A7532">
        <w:rPr>
          <w:rFonts w:ascii="Tahoma" w:eastAsia="Times New Roman" w:hAnsi="Tahoma" w:cs="Tahoma"/>
          <w:spacing w:val="-1"/>
          <w:sz w:val="24"/>
          <w:szCs w:val="24"/>
          <w:vertAlign w:val="superscript"/>
        </w:rPr>
        <w:footnoteReference w:id="100"/>
      </w:r>
      <w:r w:rsidRPr="000A7532">
        <w:rPr>
          <w:rFonts w:ascii="Tahoma" w:eastAsia="Times New Roman" w:hAnsi="Tahoma" w:cs="Tahoma"/>
          <w:spacing w:val="-1"/>
          <w:sz w:val="24"/>
          <w:szCs w:val="24"/>
        </w:rPr>
        <w:t>.</w:t>
      </w:r>
    </w:p>
    <w:p w:rsidR="008018BA" w:rsidRPr="001123B4" w:rsidRDefault="008018BA" w:rsidP="008018BA">
      <w:pPr>
        <w:widowControl w:val="0"/>
        <w:autoSpaceDE w:val="0"/>
        <w:autoSpaceDN w:val="0"/>
        <w:spacing w:before="128" w:after="0" w:line="360" w:lineRule="auto"/>
        <w:jc w:val="both"/>
        <w:rPr>
          <w:rFonts w:ascii="Tahoma" w:eastAsia="Times New Roman" w:hAnsi="Tahoma" w:cs="Tahoma"/>
          <w:spacing w:val="-1"/>
          <w:sz w:val="12"/>
          <w:szCs w:val="12"/>
        </w:rPr>
      </w:pPr>
    </w:p>
    <w:p w:rsidR="008018BA" w:rsidRPr="00783AD0" w:rsidRDefault="008018BA" w:rsidP="008018BA">
      <w:pPr>
        <w:pStyle w:val="Paragraphedeliste"/>
        <w:spacing w:line="360" w:lineRule="auto"/>
        <w:ind w:left="720" w:firstLine="0"/>
        <w:rPr>
          <w:rFonts w:ascii="Tahoma" w:hAnsi="Tahoma" w:cs="Tahoma"/>
          <w:b/>
          <w:bCs/>
          <w:sz w:val="24"/>
          <w:szCs w:val="24"/>
        </w:rPr>
      </w:pPr>
      <w:r w:rsidRPr="00783AD0">
        <w:rPr>
          <w:rFonts w:ascii="Tahoma" w:hAnsi="Tahoma" w:cs="Tahoma"/>
          <w:b/>
          <w:bCs/>
          <w:sz w:val="24"/>
          <w:szCs w:val="24"/>
        </w:rPr>
        <w:t xml:space="preserve">C) Hypothèses : </w:t>
      </w:r>
    </w:p>
    <w:p w:rsidR="008018BA" w:rsidRPr="001123B4" w:rsidRDefault="008018BA" w:rsidP="008018BA">
      <w:pPr>
        <w:widowControl w:val="0"/>
        <w:autoSpaceDE w:val="0"/>
        <w:autoSpaceDN w:val="0"/>
        <w:spacing w:after="0" w:line="360" w:lineRule="auto"/>
        <w:jc w:val="both"/>
        <w:rPr>
          <w:rFonts w:ascii="Tahoma" w:eastAsia="Times New Roman" w:hAnsi="Tahoma" w:cs="Tahoma"/>
          <w:sz w:val="10"/>
          <w:szCs w:val="10"/>
        </w:rPr>
      </w:pPr>
    </w:p>
    <w:p w:rsidR="008018BA" w:rsidRDefault="008018BA" w:rsidP="008018BA">
      <w:pPr>
        <w:widowControl w:val="0"/>
        <w:autoSpaceDE w:val="0"/>
        <w:autoSpaceDN w:val="0"/>
        <w:spacing w:after="0" w:line="360" w:lineRule="auto"/>
        <w:jc w:val="both"/>
        <w:rPr>
          <w:rFonts w:ascii="Tahoma" w:eastAsia="Times New Roman" w:hAnsi="Tahoma" w:cs="Tahoma"/>
          <w:sz w:val="24"/>
          <w:szCs w:val="24"/>
        </w:rPr>
      </w:pPr>
      <w:r w:rsidRPr="00A716AB">
        <w:rPr>
          <w:rFonts w:ascii="Tahoma" w:eastAsia="Times New Roman" w:hAnsi="Tahoma" w:cs="Tahoma"/>
          <w:sz w:val="24"/>
          <w:szCs w:val="24"/>
        </w:rPr>
        <w:t>Afin de répondre à la problématique de la dégradation des forêts dans les zones rurales marocaines, cette recherche rep</w:t>
      </w:r>
      <w:r>
        <w:rPr>
          <w:rFonts w:ascii="Tahoma" w:eastAsia="Times New Roman" w:hAnsi="Tahoma" w:cs="Tahoma"/>
          <w:sz w:val="24"/>
          <w:szCs w:val="24"/>
        </w:rPr>
        <w:t>ose sur les hypothèses ci-dessous</w:t>
      </w:r>
      <w:r w:rsidRPr="00A716AB">
        <w:rPr>
          <w:rFonts w:ascii="Tahoma" w:eastAsia="Times New Roman" w:hAnsi="Tahoma" w:cs="Tahoma"/>
          <w:sz w:val="24"/>
          <w:szCs w:val="24"/>
        </w:rPr>
        <w:t>, qui seront analysées à la lumière du cas d’étude de Korifla. Ces hypothèses ont été formulées en tenant compte des dynamiques socio-environnementales, des cadres institutionnels et des pratiques locales de gestion des ressources.</w:t>
      </w:r>
    </w:p>
    <w:p w:rsidR="008018BA" w:rsidRPr="001123B4" w:rsidRDefault="008018BA" w:rsidP="008018BA">
      <w:pPr>
        <w:widowControl w:val="0"/>
        <w:autoSpaceDE w:val="0"/>
        <w:autoSpaceDN w:val="0"/>
        <w:spacing w:after="0" w:line="360" w:lineRule="auto"/>
        <w:jc w:val="both"/>
        <w:rPr>
          <w:sz w:val="18"/>
          <w:szCs w:val="18"/>
        </w:rPr>
      </w:pPr>
    </w:p>
    <w:p w:rsidR="008018BA" w:rsidRPr="00783AD0" w:rsidRDefault="008018BA" w:rsidP="00D051D7">
      <w:pPr>
        <w:pStyle w:val="Paragraphedeliste"/>
        <w:numPr>
          <w:ilvl w:val="0"/>
          <w:numId w:val="110"/>
        </w:numPr>
        <w:spacing w:line="360" w:lineRule="auto"/>
        <w:rPr>
          <w:rFonts w:ascii="Tahoma" w:hAnsi="Tahoma" w:cs="Tahoma"/>
          <w:b/>
          <w:bCs/>
          <w:sz w:val="24"/>
          <w:szCs w:val="24"/>
        </w:rPr>
      </w:pPr>
      <w:r w:rsidRPr="00783AD0">
        <w:rPr>
          <w:rFonts w:ascii="Tahoma" w:hAnsi="Tahoma" w:cs="Tahoma"/>
          <w:b/>
          <w:bCs/>
          <w:sz w:val="24"/>
          <w:szCs w:val="24"/>
        </w:rPr>
        <w:t>Hypothèse principale :</w:t>
      </w:r>
    </w:p>
    <w:p w:rsidR="008018BA" w:rsidRPr="001123B4" w:rsidRDefault="008018BA" w:rsidP="008018BA">
      <w:pPr>
        <w:pStyle w:val="Paragraphedeliste"/>
        <w:spacing w:line="360" w:lineRule="auto"/>
        <w:ind w:left="2844" w:firstLine="0"/>
        <w:rPr>
          <w:rFonts w:ascii="Tahoma" w:hAnsi="Tahoma" w:cs="Tahoma"/>
          <w:sz w:val="14"/>
          <w:szCs w:val="14"/>
        </w:rPr>
      </w:pPr>
    </w:p>
    <w:p w:rsidR="008018BA" w:rsidRDefault="008018BA" w:rsidP="008018BA">
      <w:pPr>
        <w:spacing w:line="360" w:lineRule="auto"/>
        <w:jc w:val="both"/>
        <w:rPr>
          <w:rFonts w:ascii="Tahoma" w:eastAsia="Times New Roman" w:hAnsi="Tahoma" w:cs="Tahoma"/>
          <w:sz w:val="24"/>
          <w:szCs w:val="24"/>
        </w:rPr>
      </w:pPr>
      <w:r w:rsidRPr="004E4CA2">
        <w:rPr>
          <w:rFonts w:ascii="Tahoma" w:eastAsia="Times New Roman" w:hAnsi="Tahoma" w:cs="Tahoma"/>
          <w:sz w:val="24"/>
          <w:szCs w:val="24"/>
        </w:rPr>
        <w:t>Le « risque accélératif migratoire » dans la forêt de Korifla résulte d'une désynchronisation croissante entre les temporalités écologiques (cycles de régénération forestière), institutionnelles (rythmes décisionnels des politiques publiques) et sociales (organisation communautaire rurale). Cette désynchronisation est exacerbée par l'accélération des transformations induites par les politiques néolibérales contemporaines, qui reconfigurent les rapports société-nature selon une logique de marchandisation, générant de nouvelles vulnérabilités territoriales et des dy</w:t>
      </w:r>
      <w:r>
        <w:rPr>
          <w:rFonts w:ascii="Tahoma" w:eastAsia="Times New Roman" w:hAnsi="Tahoma" w:cs="Tahoma"/>
          <w:sz w:val="24"/>
          <w:szCs w:val="24"/>
        </w:rPr>
        <w:t>namiques de mobilité contrainte</w:t>
      </w:r>
    </w:p>
    <w:p w:rsidR="008018BA" w:rsidRPr="00F33AEA" w:rsidRDefault="008018BA" w:rsidP="008018BA">
      <w:pPr>
        <w:spacing w:line="360" w:lineRule="auto"/>
        <w:jc w:val="both"/>
        <w:rPr>
          <w:rFonts w:ascii="Tahoma" w:eastAsia="Times New Roman" w:hAnsi="Tahoma" w:cs="Tahoma"/>
          <w:sz w:val="2"/>
          <w:szCs w:val="2"/>
        </w:rPr>
      </w:pPr>
    </w:p>
    <w:p w:rsidR="008018BA" w:rsidRDefault="008018BA" w:rsidP="00D051D7">
      <w:pPr>
        <w:pStyle w:val="Paragraphedeliste"/>
        <w:numPr>
          <w:ilvl w:val="0"/>
          <w:numId w:val="110"/>
        </w:numPr>
        <w:spacing w:line="360" w:lineRule="auto"/>
        <w:rPr>
          <w:rFonts w:ascii="Tahoma" w:hAnsi="Tahoma" w:cs="Tahoma"/>
          <w:b/>
          <w:bCs/>
          <w:sz w:val="24"/>
          <w:szCs w:val="24"/>
        </w:rPr>
      </w:pPr>
      <w:r w:rsidRPr="00FF659B">
        <w:rPr>
          <w:rFonts w:ascii="Tahoma" w:hAnsi="Tahoma" w:cs="Tahoma"/>
          <w:b/>
          <w:bCs/>
          <w:sz w:val="24"/>
          <w:szCs w:val="24"/>
        </w:rPr>
        <w:t xml:space="preserve">Hypothèses spécifiques : </w:t>
      </w:r>
    </w:p>
    <w:p w:rsidR="008018BA" w:rsidRPr="00624A39" w:rsidRDefault="008018BA" w:rsidP="008018BA">
      <w:pPr>
        <w:spacing w:line="360" w:lineRule="auto"/>
        <w:ind w:left="2844"/>
        <w:rPr>
          <w:rFonts w:ascii="Tahoma" w:hAnsi="Tahoma" w:cs="Tahoma"/>
          <w:b/>
          <w:bCs/>
          <w:sz w:val="8"/>
          <w:szCs w:val="8"/>
        </w:rPr>
      </w:pPr>
    </w:p>
    <w:p w:rsidR="008018BA" w:rsidRDefault="008018BA" w:rsidP="008018BA">
      <w:pPr>
        <w:widowControl w:val="0"/>
        <w:autoSpaceDE w:val="0"/>
        <w:autoSpaceDN w:val="0"/>
        <w:spacing w:before="102" w:after="0" w:line="360" w:lineRule="auto"/>
        <w:jc w:val="both"/>
        <w:rPr>
          <w:rFonts w:ascii="Tahoma" w:eastAsia="Times New Roman" w:hAnsi="Tahoma" w:cs="Tahoma"/>
          <w:sz w:val="24"/>
          <w:szCs w:val="24"/>
        </w:rPr>
      </w:pPr>
      <w:r w:rsidRPr="001123B4">
        <w:rPr>
          <w:rFonts w:ascii="Tahoma" w:eastAsia="Times New Roman" w:hAnsi="Tahoma" w:cs="Tahoma"/>
          <w:b/>
          <w:bCs/>
          <w:sz w:val="24"/>
          <w:szCs w:val="24"/>
        </w:rPr>
        <w:t>Hypothèse 1 :</w:t>
      </w:r>
      <w:r>
        <w:rPr>
          <w:rFonts w:ascii="Tahoma" w:eastAsia="Times New Roman" w:hAnsi="Tahoma" w:cs="Tahoma"/>
          <w:sz w:val="24"/>
          <w:szCs w:val="24"/>
        </w:rPr>
        <w:t xml:space="preserve"> l</w:t>
      </w:r>
      <w:r w:rsidRPr="000A7532">
        <w:rPr>
          <w:rFonts w:ascii="Tahoma" w:eastAsia="Times New Roman" w:hAnsi="Tahoma" w:cs="Tahoma"/>
          <w:sz w:val="24"/>
          <w:szCs w:val="24"/>
        </w:rPr>
        <w:t xml:space="preserve">a dégradation des forêts marocaines résulte d’une exploitation </w:t>
      </w:r>
      <w:r>
        <w:rPr>
          <w:rFonts w:ascii="Tahoma" w:eastAsia="Times New Roman" w:hAnsi="Tahoma" w:cs="Tahoma"/>
          <w:sz w:val="24"/>
          <w:szCs w:val="24"/>
        </w:rPr>
        <w:t xml:space="preserve">dite </w:t>
      </w:r>
      <w:r w:rsidRPr="000A7532">
        <w:rPr>
          <w:rFonts w:ascii="Tahoma" w:eastAsia="Times New Roman" w:hAnsi="Tahoma" w:cs="Tahoma"/>
          <w:sz w:val="24"/>
          <w:szCs w:val="24"/>
        </w:rPr>
        <w:t xml:space="preserve">irrationnelle, accentuée par une forte pression démographique, par le changement climatique et par un faible niveau d’inclusion par les stratégies de développement rural. </w:t>
      </w:r>
    </w:p>
    <w:p w:rsidR="008018BA" w:rsidRDefault="008018BA" w:rsidP="008018BA">
      <w:pPr>
        <w:widowControl w:val="0"/>
        <w:autoSpaceDE w:val="0"/>
        <w:autoSpaceDN w:val="0"/>
        <w:spacing w:after="0" w:line="360" w:lineRule="auto"/>
        <w:jc w:val="both"/>
        <w:rPr>
          <w:rFonts w:ascii="Tahoma" w:eastAsia="Times New Roman" w:hAnsi="Tahoma" w:cs="Tahoma"/>
          <w:sz w:val="24"/>
          <w:szCs w:val="24"/>
        </w:rPr>
      </w:pPr>
      <w:r w:rsidRPr="00042489">
        <w:rPr>
          <w:rFonts w:ascii="Tahoma" w:eastAsia="Times New Roman" w:hAnsi="Tahoma" w:cs="Tahoma"/>
          <w:sz w:val="24"/>
          <w:szCs w:val="24"/>
        </w:rPr>
        <w:t>Cette hypothèse postule que les comportements</w:t>
      </w:r>
      <w:r>
        <w:rPr>
          <w:rFonts w:ascii="Tahoma" w:eastAsia="Times New Roman" w:hAnsi="Tahoma" w:cs="Tahoma"/>
          <w:sz w:val="24"/>
          <w:szCs w:val="24"/>
        </w:rPr>
        <w:t xml:space="preserve"> des populations rurales</w:t>
      </w:r>
      <w:r w:rsidRPr="00042489">
        <w:rPr>
          <w:rFonts w:ascii="Tahoma" w:eastAsia="Times New Roman" w:hAnsi="Tahoma" w:cs="Tahoma"/>
          <w:sz w:val="24"/>
          <w:szCs w:val="24"/>
        </w:rPr>
        <w:t xml:space="preserve"> qualifiés d’« irrationnels » ne peuvent être interprétés sans une analyse fine des contraintes structurelles qui pèsent sur les ménages forestiers. </w:t>
      </w:r>
    </w:p>
    <w:p w:rsidR="008018BA" w:rsidRPr="00F33AEA" w:rsidRDefault="008018BA" w:rsidP="008018BA">
      <w:pPr>
        <w:widowControl w:val="0"/>
        <w:autoSpaceDE w:val="0"/>
        <w:autoSpaceDN w:val="0"/>
        <w:spacing w:after="0" w:line="360" w:lineRule="auto"/>
        <w:jc w:val="both"/>
        <w:rPr>
          <w:rFonts w:ascii="Tahoma" w:eastAsia="Times New Roman" w:hAnsi="Tahoma" w:cs="Tahoma"/>
          <w:sz w:val="12"/>
          <w:szCs w:val="12"/>
        </w:rPr>
      </w:pPr>
    </w:p>
    <w:p w:rsidR="008018BA" w:rsidRPr="000A7532" w:rsidRDefault="008018BA" w:rsidP="008018BA">
      <w:pPr>
        <w:widowControl w:val="0"/>
        <w:autoSpaceDE w:val="0"/>
        <w:autoSpaceDN w:val="0"/>
        <w:spacing w:before="102" w:after="0" w:line="360" w:lineRule="auto"/>
        <w:jc w:val="both"/>
        <w:rPr>
          <w:rFonts w:ascii="Tahoma" w:eastAsia="Times New Roman" w:hAnsi="Tahoma" w:cs="Tahoma"/>
          <w:sz w:val="24"/>
          <w:szCs w:val="24"/>
        </w:rPr>
      </w:pPr>
      <w:r w:rsidRPr="001123B4">
        <w:rPr>
          <w:rFonts w:ascii="Tahoma" w:eastAsia="Times New Roman" w:hAnsi="Tahoma" w:cs="Tahoma"/>
          <w:b/>
          <w:bCs/>
          <w:sz w:val="24"/>
          <w:szCs w:val="24"/>
        </w:rPr>
        <w:t>Hypothèse 2 :</w:t>
      </w:r>
      <w:r w:rsidRPr="001123B4">
        <w:rPr>
          <w:rFonts w:ascii="Tahoma" w:eastAsia="Times New Roman" w:hAnsi="Tahoma" w:cs="Tahoma"/>
          <w:sz w:val="24"/>
          <w:szCs w:val="24"/>
        </w:rPr>
        <w:t xml:space="preserve">  </w:t>
      </w:r>
      <w:r>
        <w:rPr>
          <w:rFonts w:ascii="Tahoma" w:eastAsia="Times New Roman" w:hAnsi="Tahoma" w:cs="Tahoma"/>
          <w:sz w:val="24"/>
          <w:szCs w:val="24"/>
        </w:rPr>
        <w:t>l</w:t>
      </w:r>
      <w:r w:rsidRPr="00042489">
        <w:rPr>
          <w:rFonts w:ascii="Tahoma" w:eastAsia="Times New Roman" w:hAnsi="Tahoma" w:cs="Tahoma"/>
          <w:sz w:val="24"/>
          <w:szCs w:val="24"/>
        </w:rPr>
        <w:t xml:space="preserve">'administration des forêts au Maroc repose historiquement sur une logique régalienne et centralisée, fortement héritée du dispositif colonial, qui privilégie </w:t>
      </w:r>
      <w:r w:rsidRPr="00042489">
        <w:rPr>
          <w:rFonts w:ascii="Tahoma" w:eastAsia="Times New Roman" w:hAnsi="Tahoma" w:cs="Tahoma"/>
          <w:sz w:val="24"/>
          <w:szCs w:val="24"/>
        </w:rPr>
        <w:lastRenderedPageBreak/>
        <w:t>une approche normative, répressive et descendante de la conservation</w:t>
      </w:r>
      <w:r>
        <w:rPr>
          <w:rFonts w:ascii="Tahoma" w:eastAsia="Times New Roman" w:hAnsi="Tahoma" w:cs="Tahoma"/>
          <w:sz w:val="24"/>
          <w:szCs w:val="24"/>
        </w:rPr>
        <w:t xml:space="preserve"> écosystèmes forestiers</w:t>
      </w:r>
      <w:r w:rsidRPr="00042489">
        <w:rPr>
          <w:rFonts w:ascii="Tahoma" w:eastAsia="Times New Roman" w:hAnsi="Tahoma" w:cs="Tahoma"/>
          <w:sz w:val="24"/>
          <w:szCs w:val="24"/>
        </w:rPr>
        <w:t>.</w:t>
      </w:r>
      <w:r w:rsidRPr="00042489">
        <w:rPr>
          <w:rFonts w:ascii="Tahoma" w:eastAsia="Times New Roman" w:hAnsi="Tahoma" w:cs="Tahoma"/>
          <w:sz w:val="24"/>
          <w:szCs w:val="24"/>
        </w:rPr>
        <w:br/>
        <w:t xml:space="preserve">Cette configuration se traduit par une marginalisation persistante des communautés locales dans la définition et la mise en œuvre des politiques forestières. L’analyse des textes juridiques et des pratiques administratives révèle une conception de la forêt comme </w:t>
      </w:r>
      <w:r>
        <w:rPr>
          <w:rFonts w:ascii="Tahoma" w:eastAsia="Times New Roman" w:hAnsi="Tahoma" w:cs="Tahoma"/>
          <w:sz w:val="24"/>
          <w:szCs w:val="24"/>
        </w:rPr>
        <w:t xml:space="preserve">un </w:t>
      </w:r>
      <w:r w:rsidRPr="00042489">
        <w:rPr>
          <w:rFonts w:ascii="Tahoma" w:eastAsia="Times New Roman" w:hAnsi="Tahoma" w:cs="Tahoma"/>
          <w:sz w:val="24"/>
          <w:szCs w:val="24"/>
        </w:rPr>
        <w:t>espace à contrôler plutôt qu’à co-construire, générant des tensions, des formes de désobéissance environnementale, et une défiance institutionnelle.</w:t>
      </w:r>
    </w:p>
    <w:p w:rsidR="008018BA" w:rsidRPr="00F33AEA" w:rsidRDefault="008018BA" w:rsidP="008018BA">
      <w:pPr>
        <w:widowControl w:val="0"/>
        <w:autoSpaceDE w:val="0"/>
        <w:autoSpaceDN w:val="0"/>
        <w:spacing w:before="102" w:after="0" w:line="360" w:lineRule="auto"/>
        <w:rPr>
          <w:rFonts w:ascii="Tahoma" w:eastAsia="Times New Roman" w:hAnsi="Tahoma" w:cs="Tahoma"/>
          <w:b/>
          <w:bCs/>
          <w:sz w:val="8"/>
          <w:szCs w:val="8"/>
        </w:rPr>
      </w:pPr>
    </w:p>
    <w:p w:rsidR="008018BA" w:rsidRDefault="008018BA" w:rsidP="008018BA">
      <w:pPr>
        <w:widowControl w:val="0"/>
        <w:autoSpaceDE w:val="0"/>
        <w:autoSpaceDN w:val="0"/>
        <w:spacing w:before="102" w:after="0" w:line="360" w:lineRule="auto"/>
        <w:jc w:val="both"/>
        <w:rPr>
          <w:rFonts w:ascii="Tahoma" w:eastAsia="Times New Roman" w:hAnsi="Tahoma" w:cs="Tahoma"/>
          <w:sz w:val="24"/>
          <w:szCs w:val="24"/>
        </w:rPr>
      </w:pPr>
      <w:r w:rsidRPr="001123B4">
        <w:rPr>
          <w:rFonts w:ascii="Tahoma" w:eastAsia="Times New Roman" w:hAnsi="Tahoma" w:cs="Tahoma"/>
          <w:b/>
          <w:bCs/>
          <w:sz w:val="24"/>
          <w:szCs w:val="24"/>
        </w:rPr>
        <w:t>Hypothèse 3 :</w:t>
      </w:r>
      <w:r>
        <w:rPr>
          <w:rFonts w:ascii="Tahoma" w:eastAsia="Times New Roman" w:hAnsi="Tahoma" w:cs="Tahoma"/>
          <w:sz w:val="24"/>
          <w:szCs w:val="24"/>
        </w:rPr>
        <w:t xml:space="preserve"> l</w:t>
      </w:r>
      <w:r w:rsidRPr="008A2F31">
        <w:rPr>
          <w:rFonts w:ascii="Tahoma" w:eastAsia="Times New Roman" w:hAnsi="Tahoma" w:cs="Tahoma"/>
          <w:sz w:val="24"/>
          <w:szCs w:val="24"/>
        </w:rPr>
        <w:t xml:space="preserve">es systèmes communautaires traditionnels de gestion des ressources naturelles, bien qu’historiquement situés et en constante évolution, peuvent constituer des référentiels </w:t>
      </w:r>
      <w:r>
        <w:rPr>
          <w:rFonts w:ascii="Tahoma" w:eastAsia="Times New Roman" w:hAnsi="Tahoma" w:cs="Tahoma"/>
          <w:sz w:val="24"/>
          <w:szCs w:val="24"/>
        </w:rPr>
        <w:t xml:space="preserve">importants </w:t>
      </w:r>
      <w:r w:rsidRPr="008A2F31">
        <w:rPr>
          <w:rFonts w:ascii="Tahoma" w:eastAsia="Times New Roman" w:hAnsi="Tahoma" w:cs="Tahoma"/>
          <w:sz w:val="24"/>
          <w:szCs w:val="24"/>
        </w:rPr>
        <w:t>pour l’élaboration de modèles de gestion forestière partici</w:t>
      </w:r>
      <w:r>
        <w:rPr>
          <w:rFonts w:ascii="Tahoma" w:eastAsia="Times New Roman" w:hAnsi="Tahoma" w:cs="Tahoma"/>
          <w:sz w:val="24"/>
          <w:szCs w:val="24"/>
        </w:rPr>
        <w:t xml:space="preserve">patifs et adaptés aux contextes </w:t>
      </w:r>
      <w:r w:rsidRPr="008A2F31">
        <w:rPr>
          <w:rFonts w:ascii="Tahoma" w:eastAsia="Times New Roman" w:hAnsi="Tahoma" w:cs="Tahoma"/>
          <w:sz w:val="24"/>
          <w:szCs w:val="24"/>
        </w:rPr>
        <w:t>locaux.</w:t>
      </w:r>
    </w:p>
    <w:p w:rsidR="008018BA" w:rsidRPr="00BF5304" w:rsidRDefault="008018BA" w:rsidP="008018BA">
      <w:pPr>
        <w:widowControl w:val="0"/>
        <w:autoSpaceDE w:val="0"/>
        <w:autoSpaceDN w:val="0"/>
        <w:spacing w:before="102" w:after="0" w:line="360" w:lineRule="auto"/>
        <w:jc w:val="both"/>
        <w:rPr>
          <w:rFonts w:ascii="Tahoma" w:eastAsia="Times New Roman" w:hAnsi="Tahoma" w:cs="Tahoma"/>
          <w:sz w:val="24"/>
          <w:szCs w:val="24"/>
        </w:rPr>
      </w:pPr>
      <w:r w:rsidRPr="008A2F31">
        <w:rPr>
          <w:rFonts w:ascii="Tahoma" w:eastAsia="Times New Roman" w:hAnsi="Tahoma" w:cs="Tahoma"/>
          <w:sz w:val="24"/>
          <w:szCs w:val="24"/>
        </w:rPr>
        <w:t xml:space="preserve">Cette hypothèse ne suppose pas une idéalisation de ces pratiques, mais reconnaît leur potentiel à intégrer des logiques d’usage plus résilientes, culturellement légitimes, et parfois plus </w:t>
      </w:r>
      <w:r>
        <w:rPr>
          <w:rFonts w:ascii="Tahoma" w:eastAsia="Times New Roman" w:hAnsi="Tahoma" w:cs="Tahoma"/>
          <w:sz w:val="24"/>
          <w:szCs w:val="24"/>
        </w:rPr>
        <w:t>soutenables</w:t>
      </w:r>
      <w:r w:rsidRPr="008A2F31">
        <w:rPr>
          <w:rFonts w:ascii="Tahoma" w:eastAsia="Times New Roman" w:hAnsi="Tahoma" w:cs="Tahoma"/>
          <w:sz w:val="24"/>
          <w:szCs w:val="24"/>
        </w:rPr>
        <w:t xml:space="preserve"> que les dispositifs imposés par le haut. Il s’agira d’évaluer, de manière critique, dans quelle </w:t>
      </w:r>
      <w:r>
        <w:rPr>
          <w:rFonts w:ascii="Tahoma" w:eastAsia="Times New Roman" w:hAnsi="Tahoma" w:cs="Tahoma"/>
          <w:sz w:val="24"/>
          <w:szCs w:val="24"/>
        </w:rPr>
        <w:t>mesure ces formes de gestion</w:t>
      </w:r>
      <w:r w:rsidRPr="008A2F31">
        <w:rPr>
          <w:rFonts w:ascii="Tahoma" w:eastAsia="Times New Roman" w:hAnsi="Tahoma" w:cs="Tahoma"/>
          <w:sz w:val="24"/>
          <w:szCs w:val="24"/>
        </w:rPr>
        <w:t xml:space="preserve"> peuvent contribuer à stabiliser les dynamiques socioécologiques et renforcer la légitimité des</w:t>
      </w:r>
      <w:r>
        <w:rPr>
          <w:rFonts w:ascii="Tahoma" w:eastAsia="Times New Roman" w:hAnsi="Tahoma" w:cs="Tahoma"/>
          <w:sz w:val="24"/>
          <w:szCs w:val="24"/>
        </w:rPr>
        <w:t xml:space="preserve"> actions de conservation.</w:t>
      </w:r>
    </w:p>
    <w:p w:rsidR="008018BA" w:rsidRPr="001123B4" w:rsidRDefault="008018BA" w:rsidP="008018BA">
      <w:pPr>
        <w:widowControl w:val="0"/>
        <w:autoSpaceDE w:val="0"/>
        <w:autoSpaceDN w:val="0"/>
        <w:spacing w:before="102" w:after="0" w:line="360" w:lineRule="auto"/>
        <w:rPr>
          <w:rFonts w:ascii="Tahoma" w:eastAsia="Times New Roman" w:hAnsi="Tahoma" w:cs="Tahoma"/>
          <w:b/>
          <w:bCs/>
          <w:sz w:val="24"/>
          <w:szCs w:val="24"/>
        </w:rPr>
      </w:pPr>
      <w:r w:rsidRPr="000A7532">
        <w:rPr>
          <w:rFonts w:ascii="Tahoma" w:eastAsia="Times New Roman" w:hAnsi="Tahoma" w:cs="Tahoma"/>
          <w:b/>
          <w:bCs/>
          <w:sz w:val="24"/>
          <w:szCs w:val="24"/>
        </w:rPr>
        <w:t>Hypothèse 4 :</w:t>
      </w:r>
      <w:r>
        <w:rPr>
          <w:rFonts w:ascii="Tahoma" w:eastAsia="Times New Roman" w:hAnsi="Tahoma" w:cs="Tahoma"/>
          <w:b/>
          <w:bCs/>
          <w:sz w:val="24"/>
          <w:szCs w:val="24"/>
        </w:rPr>
        <w:t xml:space="preserve"> </w:t>
      </w:r>
      <w:r w:rsidRPr="001123B4">
        <w:rPr>
          <w:rFonts w:ascii="Tahoma" w:eastAsia="Times New Roman" w:hAnsi="Tahoma" w:cs="Tahoma"/>
          <w:sz w:val="24"/>
          <w:szCs w:val="24"/>
        </w:rPr>
        <w:t>l</w:t>
      </w:r>
      <w:r w:rsidRPr="00CA2240">
        <w:rPr>
          <w:rFonts w:ascii="Tahoma" w:eastAsia="Times New Roman" w:hAnsi="Tahoma" w:cs="Tahoma"/>
          <w:sz w:val="24"/>
          <w:szCs w:val="24"/>
        </w:rPr>
        <w:t>a mise en place d’une nouvelle démarche fondée sur une participation effective des populations locales – selon une logique « pour, par et avec » – constitue une condition indispensable à la mise en œuvre d’un développement territorial inclusif et soutenable.</w:t>
      </w:r>
    </w:p>
    <w:p w:rsidR="008018BA" w:rsidRDefault="008018BA" w:rsidP="008018BA">
      <w:pPr>
        <w:widowControl w:val="0"/>
        <w:autoSpaceDE w:val="0"/>
        <w:autoSpaceDN w:val="0"/>
        <w:spacing w:after="0" w:line="360" w:lineRule="auto"/>
        <w:jc w:val="both"/>
        <w:rPr>
          <w:rFonts w:ascii="Tahoma" w:eastAsia="Times New Roman" w:hAnsi="Tahoma" w:cs="Tahoma"/>
          <w:sz w:val="24"/>
          <w:szCs w:val="24"/>
        </w:rPr>
      </w:pPr>
      <w:r w:rsidRPr="00CA2240">
        <w:rPr>
          <w:rFonts w:ascii="Tahoma" w:eastAsia="Times New Roman" w:hAnsi="Tahoma" w:cs="Tahoma"/>
          <w:sz w:val="24"/>
          <w:szCs w:val="24"/>
        </w:rPr>
        <w:t>Cette hypothèse postule que la qualité de la participation dépendra des rapports de pouvoir en présence, des formes de reconnaissance institutionnelle, et des capacités effectives des populations à agir.</w:t>
      </w:r>
    </w:p>
    <w:p w:rsidR="008018BA" w:rsidRDefault="008018BA" w:rsidP="008018BA">
      <w:pPr>
        <w:widowControl w:val="0"/>
        <w:autoSpaceDE w:val="0"/>
        <w:autoSpaceDN w:val="0"/>
        <w:spacing w:after="0" w:line="360" w:lineRule="auto"/>
        <w:jc w:val="both"/>
        <w:rPr>
          <w:rFonts w:ascii="Tahoma" w:eastAsia="Times New Roman" w:hAnsi="Tahoma" w:cs="Tahoma"/>
          <w:sz w:val="16"/>
          <w:szCs w:val="16"/>
        </w:rPr>
      </w:pPr>
    </w:p>
    <w:p w:rsidR="00C02024" w:rsidRDefault="00C02024" w:rsidP="008018BA">
      <w:pPr>
        <w:widowControl w:val="0"/>
        <w:autoSpaceDE w:val="0"/>
        <w:autoSpaceDN w:val="0"/>
        <w:spacing w:after="0" w:line="360" w:lineRule="auto"/>
        <w:jc w:val="both"/>
        <w:rPr>
          <w:rFonts w:ascii="Tahoma" w:eastAsia="Times New Roman" w:hAnsi="Tahoma" w:cs="Tahoma"/>
          <w:sz w:val="16"/>
          <w:szCs w:val="16"/>
        </w:rPr>
      </w:pPr>
    </w:p>
    <w:p w:rsidR="00C02024" w:rsidRPr="00F33AEA" w:rsidRDefault="00C02024" w:rsidP="008018BA">
      <w:pPr>
        <w:widowControl w:val="0"/>
        <w:autoSpaceDE w:val="0"/>
        <w:autoSpaceDN w:val="0"/>
        <w:spacing w:after="0" w:line="360" w:lineRule="auto"/>
        <w:jc w:val="both"/>
        <w:rPr>
          <w:rFonts w:ascii="Tahoma" w:eastAsia="Times New Roman" w:hAnsi="Tahoma" w:cs="Tahoma"/>
          <w:sz w:val="16"/>
          <w:szCs w:val="16"/>
        </w:rPr>
      </w:pPr>
    </w:p>
    <w:p w:rsidR="008018BA" w:rsidRPr="00FF659B" w:rsidRDefault="008018BA" w:rsidP="008018BA">
      <w:pPr>
        <w:pStyle w:val="Paragraphedeliste"/>
        <w:spacing w:line="360" w:lineRule="auto"/>
        <w:ind w:left="720" w:firstLine="0"/>
        <w:rPr>
          <w:rFonts w:ascii="Tahoma" w:hAnsi="Tahoma" w:cs="Tahoma"/>
          <w:b/>
          <w:bCs/>
          <w:sz w:val="24"/>
          <w:szCs w:val="24"/>
        </w:rPr>
      </w:pPr>
      <w:bookmarkStart w:id="44" w:name="_Toc182058801"/>
      <w:bookmarkStart w:id="45" w:name="_Toc186533793"/>
      <w:bookmarkStart w:id="46" w:name="_Toc201570817"/>
      <w:r>
        <w:rPr>
          <w:rFonts w:ascii="Tahoma" w:hAnsi="Tahoma" w:cs="Tahoma"/>
          <w:b/>
          <w:bCs/>
          <w:sz w:val="24"/>
          <w:szCs w:val="24"/>
        </w:rPr>
        <w:t>d)</w:t>
      </w:r>
      <w:r w:rsidRPr="00FF659B">
        <w:rPr>
          <w:rFonts w:ascii="Tahoma" w:hAnsi="Tahoma" w:cs="Tahoma"/>
          <w:b/>
          <w:bCs/>
          <w:sz w:val="24"/>
          <w:szCs w:val="24"/>
        </w:rPr>
        <w:t xml:space="preserve"> Cadre théorique de la recherche</w:t>
      </w:r>
      <w:bookmarkEnd w:id="44"/>
      <w:bookmarkEnd w:id="45"/>
      <w:bookmarkEnd w:id="46"/>
    </w:p>
    <w:p w:rsidR="008018BA" w:rsidRPr="001123B4" w:rsidRDefault="008018BA" w:rsidP="008018BA">
      <w:pPr>
        <w:widowControl w:val="0"/>
        <w:autoSpaceDE w:val="0"/>
        <w:autoSpaceDN w:val="0"/>
        <w:spacing w:before="9" w:after="0" w:line="240" w:lineRule="auto"/>
        <w:rPr>
          <w:rFonts w:ascii="Calibri Light" w:eastAsia="Times New Roman" w:hAnsi="Times New Roman" w:cs="Times New Roman"/>
          <w:sz w:val="18"/>
          <w:szCs w:val="10"/>
        </w:rPr>
      </w:pPr>
    </w:p>
    <w:p w:rsidR="008018BA" w:rsidRDefault="008018BA" w:rsidP="008018BA">
      <w:pPr>
        <w:widowControl w:val="0"/>
        <w:autoSpaceDE w:val="0"/>
        <w:autoSpaceDN w:val="0"/>
        <w:spacing w:before="1" w:after="0" w:line="360" w:lineRule="auto"/>
        <w:jc w:val="both"/>
        <w:rPr>
          <w:rFonts w:ascii="Tahoma" w:hAnsi="Tahoma" w:cs="Tahoma"/>
          <w:sz w:val="24"/>
          <w:szCs w:val="24"/>
        </w:rPr>
      </w:pPr>
      <w:bookmarkStart w:id="47" w:name="_bookmark16"/>
      <w:bookmarkEnd w:id="47"/>
      <w:r w:rsidRPr="00C66104">
        <w:rPr>
          <w:rFonts w:ascii="Tahoma" w:eastAsia="Times New Roman" w:hAnsi="Tahoma" w:cs="Tahoma"/>
          <w:sz w:val="24"/>
          <w:szCs w:val="24"/>
        </w:rPr>
        <w:t xml:space="preserve">Afin de tester les différentes hypothèses émises par rapport au caractère composite de la problématique étudiée, la présente </w:t>
      </w:r>
      <w:r>
        <w:rPr>
          <w:rFonts w:ascii="Tahoma" w:eastAsia="Times New Roman" w:hAnsi="Tahoma" w:cs="Tahoma"/>
          <w:sz w:val="24"/>
          <w:szCs w:val="24"/>
        </w:rPr>
        <w:t xml:space="preserve">recherche </w:t>
      </w:r>
      <w:r w:rsidRPr="00C66104">
        <w:rPr>
          <w:rFonts w:ascii="Tahoma" w:eastAsia="Times New Roman" w:hAnsi="Tahoma" w:cs="Tahoma"/>
          <w:sz w:val="24"/>
          <w:szCs w:val="24"/>
        </w:rPr>
        <w:t xml:space="preserve">met l’éclairage sur </w:t>
      </w:r>
      <w:r w:rsidRPr="00C66104">
        <w:rPr>
          <w:rFonts w:ascii="Tahoma" w:hAnsi="Tahoma" w:cs="Tahoma"/>
          <w:sz w:val="24"/>
          <w:szCs w:val="24"/>
        </w:rPr>
        <w:t xml:space="preserve">le caractère complexe de la problématique du "risque accélératif migratoire" de la population rurale de la forêt </w:t>
      </w:r>
      <w:r w:rsidRPr="00C66104">
        <w:rPr>
          <w:rFonts w:ascii="Tahoma" w:hAnsi="Tahoma" w:cs="Tahoma"/>
          <w:sz w:val="24"/>
          <w:szCs w:val="24"/>
        </w:rPr>
        <w:lastRenderedPageBreak/>
        <w:t>de Korifla</w:t>
      </w:r>
      <w:r>
        <w:rPr>
          <w:rFonts w:ascii="Tahoma" w:hAnsi="Tahoma" w:cs="Tahoma"/>
          <w:sz w:val="24"/>
          <w:szCs w:val="24"/>
        </w:rPr>
        <w:t xml:space="preserve"> à travers un </w:t>
      </w:r>
      <w:r w:rsidRPr="00C66104">
        <w:rPr>
          <w:rFonts w:ascii="Tahoma" w:hAnsi="Tahoma" w:cs="Tahoma"/>
          <w:sz w:val="24"/>
          <w:szCs w:val="24"/>
        </w:rPr>
        <w:t xml:space="preserve">croisement doctrinaire entre la gestion des ressources naturelles et la prise de décision migratoire des populations rurales dans un contexte de changement climatique accéléré. </w:t>
      </w:r>
    </w:p>
    <w:p w:rsidR="008018BA" w:rsidRPr="00C66104" w:rsidRDefault="008018BA" w:rsidP="008018BA">
      <w:pPr>
        <w:widowControl w:val="0"/>
        <w:autoSpaceDE w:val="0"/>
        <w:autoSpaceDN w:val="0"/>
        <w:spacing w:before="1" w:after="0" w:line="360" w:lineRule="auto"/>
        <w:jc w:val="both"/>
        <w:rPr>
          <w:rFonts w:ascii="Tahoma" w:hAnsi="Tahoma" w:cs="Tahoma"/>
          <w:sz w:val="24"/>
          <w:szCs w:val="24"/>
        </w:rPr>
      </w:pPr>
    </w:p>
    <w:p w:rsidR="008018BA" w:rsidRPr="003B2E35" w:rsidRDefault="008018BA" w:rsidP="008018BA">
      <w:pPr>
        <w:spacing w:line="360" w:lineRule="auto"/>
        <w:jc w:val="both"/>
        <w:rPr>
          <w:rFonts w:ascii="Tahoma" w:hAnsi="Tahoma" w:cs="Tahoma"/>
          <w:sz w:val="24"/>
          <w:szCs w:val="24"/>
        </w:rPr>
      </w:pPr>
      <w:r w:rsidRPr="00C66104">
        <w:rPr>
          <w:rFonts w:ascii="Tahoma" w:hAnsi="Tahoma" w:cs="Tahoma"/>
          <w:sz w:val="24"/>
          <w:szCs w:val="24"/>
        </w:rPr>
        <w:t xml:space="preserve">À l'échelle mondiale, l'intensification conjointe de la pression démographique et du changement climatique menace la capacité productive des écosystèmes naturels, créant </w:t>
      </w:r>
      <w:r>
        <w:rPr>
          <w:rFonts w:ascii="Tahoma" w:hAnsi="Tahoma" w:cs="Tahoma"/>
          <w:sz w:val="24"/>
          <w:szCs w:val="24"/>
        </w:rPr>
        <w:t xml:space="preserve">ainsi </w:t>
      </w:r>
      <w:r w:rsidRPr="00C66104">
        <w:rPr>
          <w:rFonts w:ascii="Tahoma" w:hAnsi="Tahoma" w:cs="Tahoma"/>
          <w:sz w:val="24"/>
          <w:szCs w:val="24"/>
        </w:rPr>
        <w:t>des configurations inédites de vulnérabilité socio-environnementale caractéristiques de l'Anthropocène</w:t>
      </w:r>
      <w:r w:rsidRPr="00C66104">
        <w:rPr>
          <w:rStyle w:val="Appelnotedebasdep"/>
          <w:rFonts w:ascii="Tahoma" w:hAnsi="Tahoma" w:cs="Tahoma"/>
          <w:sz w:val="24"/>
          <w:szCs w:val="24"/>
        </w:rPr>
        <w:footnoteReference w:id="101"/>
      </w:r>
      <w:r w:rsidRPr="00C66104">
        <w:rPr>
          <w:rFonts w:ascii="Tahoma" w:hAnsi="Tahoma" w:cs="Tahoma"/>
          <w:sz w:val="24"/>
          <w:szCs w:val="24"/>
        </w:rPr>
        <w:t>. Ces défis exigent un dépassement des frontières disciplinaires traditionnelles pour développer une approche systémique des interactions société-environnement</w:t>
      </w:r>
      <w:r w:rsidRPr="00C66104">
        <w:rPr>
          <w:rStyle w:val="Appelnotedebasdep"/>
          <w:rFonts w:ascii="Tahoma" w:hAnsi="Tahoma" w:cs="Tahoma"/>
          <w:sz w:val="24"/>
          <w:szCs w:val="24"/>
        </w:rPr>
        <w:footnoteReference w:id="102"/>
      </w:r>
      <w:r w:rsidRPr="00C66104">
        <w:rPr>
          <w:rFonts w:ascii="Tahoma" w:hAnsi="Tahoma" w:cs="Tahoma"/>
          <w:sz w:val="24"/>
          <w:szCs w:val="24"/>
        </w:rPr>
        <w:t>.</w:t>
      </w:r>
    </w:p>
    <w:p w:rsidR="008018BA" w:rsidRPr="000F7CD3" w:rsidRDefault="008018BA" w:rsidP="008018BA">
      <w:pPr>
        <w:spacing w:line="360" w:lineRule="auto"/>
        <w:jc w:val="both"/>
        <w:rPr>
          <w:rFonts w:ascii="Tahoma" w:hAnsi="Tahoma" w:cs="Tahoma"/>
          <w:sz w:val="24"/>
          <w:szCs w:val="24"/>
        </w:rPr>
      </w:pPr>
      <w:r w:rsidRPr="000622F8">
        <w:rPr>
          <w:rFonts w:ascii="Tahoma" w:hAnsi="Tahoma" w:cs="Tahoma"/>
          <w:sz w:val="24"/>
          <w:szCs w:val="24"/>
        </w:rPr>
        <w:t>Au-delà de la simple intégration des considérations écologiques dans les modèles économiques, ce</w:t>
      </w:r>
      <w:r>
        <w:rPr>
          <w:rFonts w:ascii="Tahoma" w:hAnsi="Tahoma" w:cs="Tahoma"/>
          <w:sz w:val="24"/>
          <w:szCs w:val="24"/>
        </w:rPr>
        <w:t xml:space="preserve">tte recherche s'appuie sur la </w:t>
      </w:r>
      <w:r w:rsidRPr="000622F8">
        <w:rPr>
          <w:rFonts w:ascii="Tahoma" w:hAnsi="Tahoma" w:cs="Tahoma"/>
          <w:sz w:val="24"/>
          <w:szCs w:val="24"/>
        </w:rPr>
        <w:t xml:space="preserve">théorie </w:t>
      </w:r>
      <w:r>
        <w:rPr>
          <w:rFonts w:ascii="Tahoma" w:hAnsi="Tahoma" w:cs="Tahoma"/>
          <w:sz w:val="24"/>
          <w:szCs w:val="24"/>
        </w:rPr>
        <w:t xml:space="preserve">des systèmes socio-écologiques, </w:t>
      </w:r>
      <w:r w:rsidRPr="000622F8">
        <w:rPr>
          <w:rFonts w:ascii="Tahoma" w:hAnsi="Tahoma" w:cs="Tahoma"/>
          <w:sz w:val="24"/>
          <w:szCs w:val="24"/>
        </w:rPr>
        <w:t>développée par Holling</w:t>
      </w:r>
      <w:r>
        <w:rPr>
          <w:rStyle w:val="Appelnotedebasdep"/>
          <w:rFonts w:ascii="Tahoma" w:hAnsi="Tahoma" w:cs="Tahoma"/>
          <w:sz w:val="24"/>
          <w:szCs w:val="24"/>
        </w:rPr>
        <w:footnoteReference w:id="103"/>
      </w:r>
      <w:r w:rsidRPr="000622F8">
        <w:rPr>
          <w:rFonts w:ascii="Tahoma" w:hAnsi="Tahoma" w:cs="Tahoma"/>
          <w:sz w:val="24"/>
          <w:szCs w:val="24"/>
        </w:rPr>
        <w:t xml:space="preserve"> et formalisée par Berkes &amp; Folke</w:t>
      </w:r>
      <w:r>
        <w:rPr>
          <w:rStyle w:val="Appelnotedebasdep"/>
          <w:rFonts w:ascii="Tahoma" w:hAnsi="Tahoma" w:cs="Tahoma"/>
          <w:sz w:val="24"/>
          <w:szCs w:val="24"/>
        </w:rPr>
        <w:footnoteReference w:id="104"/>
      </w:r>
      <w:r w:rsidRPr="000622F8">
        <w:rPr>
          <w:rFonts w:ascii="Tahoma" w:hAnsi="Tahoma" w:cs="Tahoma"/>
          <w:sz w:val="24"/>
          <w:szCs w:val="24"/>
        </w:rPr>
        <w:t>. Cette approche révolutionnaire conçoit les écosystèmes et les systèmes sociaux comme des entités co-évolutives et indissociables, dépassant ainsi les paradigmes réductionnistes de l'écologie classique.</w:t>
      </w:r>
    </w:p>
    <w:p w:rsidR="008018BA" w:rsidRPr="000A7532" w:rsidRDefault="008018BA" w:rsidP="008018BA">
      <w:pPr>
        <w:widowControl w:val="0"/>
        <w:autoSpaceDE w:val="0"/>
        <w:autoSpaceDN w:val="0"/>
        <w:spacing w:before="1" w:after="0" w:line="360" w:lineRule="auto"/>
        <w:jc w:val="both"/>
        <w:rPr>
          <w:rFonts w:ascii="Tahoma" w:eastAsia="Times New Roman" w:hAnsi="Tahoma" w:cs="Tahoma"/>
          <w:sz w:val="24"/>
          <w:szCs w:val="24"/>
        </w:rPr>
      </w:pPr>
      <w:r w:rsidRPr="000A7532">
        <w:rPr>
          <w:rFonts w:ascii="Tahoma" w:eastAsia="Times New Roman" w:hAnsi="Tahoma" w:cs="Tahoma"/>
          <w:sz w:val="24"/>
          <w:szCs w:val="24"/>
        </w:rPr>
        <w:t>Concernant le phénomène migratoire, les premières bases théoriques explicatives de la décision migratoire peuvent être retrouvées chez Adam Smith (1776) et Friedrich Ratzel (1882). Toutefois, les « lois » formulées par le géographe Ernst Georg Ravenstein sont généralement considérées comme la première tentative explicite de théorie sur les causes des migrations</w:t>
      </w:r>
      <w:r w:rsidRPr="000A7532">
        <w:rPr>
          <w:rFonts w:ascii="Tahoma" w:eastAsia="Times New Roman" w:hAnsi="Tahoma" w:cs="Tahoma"/>
          <w:sz w:val="24"/>
          <w:szCs w:val="24"/>
          <w:vertAlign w:val="superscript"/>
        </w:rPr>
        <w:footnoteReference w:id="105"/>
      </w:r>
      <w:r w:rsidRPr="000A7532">
        <w:rPr>
          <w:rFonts w:ascii="Tahoma" w:eastAsia="Times New Roman" w:hAnsi="Tahoma" w:cs="Tahoma"/>
          <w:sz w:val="24"/>
          <w:szCs w:val="24"/>
        </w:rPr>
        <w:t xml:space="preserve">. En s'appuyant sur l'observation des migrations internes au Royaume-Uni et des migrations internationales entre 19 pays, Ravenstein identifie plusieurs facteurs influençant les migrations, tels que les lois répressives, les impôts élevés, un environnement social défavorable, les événements incitant à migrer (« compulsion »), un climat peu attractif, et d’autres encore. En définitive, il soutient que le facteur décisif </w:t>
      </w:r>
      <w:r w:rsidRPr="000A7532">
        <w:rPr>
          <w:rFonts w:ascii="Tahoma" w:eastAsia="Times New Roman" w:hAnsi="Tahoma" w:cs="Tahoma"/>
          <w:sz w:val="24"/>
          <w:szCs w:val="24"/>
        </w:rPr>
        <w:lastRenderedPageBreak/>
        <w:t>réside dans les motivations économiques des acteurs</w:t>
      </w:r>
      <w:r w:rsidRPr="000A7532">
        <w:rPr>
          <w:rFonts w:ascii="Tahoma" w:eastAsia="Times New Roman" w:hAnsi="Tahoma" w:cs="Tahoma"/>
          <w:sz w:val="24"/>
          <w:szCs w:val="24"/>
          <w:vertAlign w:val="superscript"/>
        </w:rPr>
        <w:footnoteReference w:id="106"/>
      </w:r>
      <w:r w:rsidRPr="000A7532">
        <w:rPr>
          <w:rFonts w:ascii="Tahoma" w:eastAsia="Times New Roman" w:hAnsi="Tahoma" w:cs="Tahoma"/>
          <w:sz w:val="24"/>
          <w:szCs w:val="24"/>
        </w:rPr>
        <w:t xml:space="preserve"> (Ravenstein, 1889 : 286).</w:t>
      </w:r>
    </w:p>
    <w:p w:rsidR="008018BA" w:rsidRPr="000A7532" w:rsidRDefault="008018BA" w:rsidP="008018BA">
      <w:pPr>
        <w:widowControl w:val="0"/>
        <w:autoSpaceDE w:val="0"/>
        <w:autoSpaceDN w:val="0"/>
        <w:spacing w:after="0" w:line="360" w:lineRule="auto"/>
        <w:jc w:val="both"/>
        <w:rPr>
          <w:rFonts w:ascii="Tahoma" w:eastAsia="Times New Roman" w:hAnsi="Tahoma" w:cs="Tahoma"/>
          <w:sz w:val="24"/>
          <w:szCs w:val="24"/>
        </w:rPr>
      </w:pPr>
      <w:r w:rsidRPr="000A7532">
        <w:rPr>
          <w:rFonts w:ascii="Tahoma" w:eastAsia="Times New Roman" w:hAnsi="Tahoma" w:cs="Tahoma"/>
          <w:sz w:val="24"/>
          <w:szCs w:val="24"/>
        </w:rPr>
        <w:t xml:space="preserve">Selon l’approche néoclassique découlant de ces travaux, la migration est considérée comme un choix rationnel visant à maximiser l’« utilité ». Dans cette optique, de nombreuses théories se concentrent sur l’individu, telles que la théorie du choix rationnel, la théorie du cycle de vie, la théorie du capital humain et la théorie de l’information incomplète. </w:t>
      </w:r>
    </w:p>
    <w:p w:rsidR="008018BA" w:rsidRPr="000A7532" w:rsidRDefault="008018BA" w:rsidP="008018BA">
      <w:pPr>
        <w:widowControl w:val="0"/>
        <w:autoSpaceDE w:val="0"/>
        <w:autoSpaceDN w:val="0"/>
        <w:spacing w:after="0" w:line="360" w:lineRule="auto"/>
        <w:jc w:val="both"/>
        <w:rPr>
          <w:rFonts w:ascii="Tahoma" w:eastAsia="Times New Roman" w:hAnsi="Tahoma" w:cs="Tahoma"/>
          <w:sz w:val="24"/>
          <w:szCs w:val="24"/>
        </w:rPr>
      </w:pPr>
      <w:r w:rsidRPr="000A7532">
        <w:rPr>
          <w:rFonts w:ascii="Tahoma" w:eastAsia="Times New Roman" w:hAnsi="Tahoma" w:cs="Tahoma"/>
          <w:sz w:val="24"/>
          <w:szCs w:val="24"/>
        </w:rPr>
        <w:t>Par ailleurs, des recherches</w:t>
      </w:r>
      <w:r w:rsidRPr="000A7532">
        <w:rPr>
          <w:rFonts w:ascii="Times New Roman" w:eastAsia="Times New Roman" w:hAnsi="Times New Roman" w:cs="Times New Roman"/>
        </w:rPr>
        <w:t xml:space="preserve"> </w:t>
      </w:r>
      <w:r w:rsidRPr="000A7532">
        <w:rPr>
          <w:rFonts w:ascii="Tahoma" w:eastAsia="Times New Roman" w:hAnsi="Tahoma" w:cs="Tahoma"/>
          <w:sz w:val="24"/>
          <w:szCs w:val="24"/>
        </w:rPr>
        <w:t>relativement récentes ont élargi cette perspective en mettant en lumière la relation entre les migrants et leur environnement, comme le montre la théorie des réseaux et du capital social, ainsi que l’imaginaire géographique, parmi d’autres.</w:t>
      </w:r>
    </w:p>
    <w:p w:rsidR="008018BA" w:rsidRDefault="008018BA" w:rsidP="008018BA">
      <w:pPr>
        <w:widowControl w:val="0"/>
        <w:autoSpaceDE w:val="0"/>
        <w:autoSpaceDN w:val="0"/>
        <w:spacing w:after="0" w:line="360" w:lineRule="auto"/>
        <w:jc w:val="both"/>
        <w:rPr>
          <w:rFonts w:ascii="Tahoma" w:eastAsia="Times New Roman" w:hAnsi="Tahoma" w:cs="Tahoma"/>
          <w:sz w:val="24"/>
          <w:szCs w:val="24"/>
        </w:rPr>
      </w:pPr>
      <w:r w:rsidRPr="000A7532">
        <w:rPr>
          <w:rFonts w:ascii="Tahoma" w:eastAsia="Times New Roman" w:hAnsi="Tahoma" w:cs="Tahoma"/>
          <w:sz w:val="24"/>
          <w:szCs w:val="24"/>
        </w:rPr>
        <w:t>Dans le cadre de la problématique analysée, la « théorie des attentes et des valeurs (value-expectancy) » développée par FISHBEIN (1967) semble correspondre à la nature de la problématique étudiée. Cette théorie, qui sous-tend de nombreux modèles de prise de décision, s’éloigne des caractéristiques psychologiques favorisant la migration pour se concentrer sur les processus décisionnels d</w:t>
      </w:r>
      <w:r>
        <w:rPr>
          <w:rFonts w:ascii="Tahoma" w:eastAsia="Times New Roman" w:hAnsi="Tahoma" w:cs="Tahoma"/>
          <w:sz w:val="24"/>
          <w:szCs w:val="24"/>
        </w:rPr>
        <w:t xml:space="preserve">ans un contexte social donné. </w:t>
      </w:r>
      <w:r w:rsidRPr="000A7532">
        <w:rPr>
          <w:rFonts w:ascii="Tahoma" w:eastAsia="Times New Roman" w:hAnsi="Tahoma" w:cs="Tahoma"/>
          <w:sz w:val="24"/>
          <w:szCs w:val="24"/>
        </w:rPr>
        <w:t>Elle postule que le comportement humain est modelé par les attentes et les valeurs associées aux objectifs qu’un acteur se fixe. Le comportement adopté sera celui qui offre les meilleures chances d’atteindre un résultat jugé positif. Sur la base de travaux empiriques, Gordon F. De Jong et James T. Fawcett (1981)</w:t>
      </w:r>
      <w:r w:rsidRPr="000A7532">
        <w:rPr>
          <w:rFonts w:ascii="Tahoma" w:eastAsia="Times New Roman" w:hAnsi="Tahoma" w:cs="Tahoma"/>
          <w:sz w:val="24"/>
          <w:szCs w:val="24"/>
          <w:vertAlign w:val="superscript"/>
        </w:rPr>
        <w:footnoteReference w:id="107"/>
      </w:r>
      <w:r w:rsidRPr="000A7532">
        <w:rPr>
          <w:rFonts w:ascii="Tahoma" w:eastAsia="Times New Roman" w:hAnsi="Tahoma" w:cs="Tahoma"/>
          <w:sz w:val="24"/>
          <w:szCs w:val="24"/>
        </w:rPr>
        <w:t xml:space="preserve"> identifient sept types d'attentes pouvant influencer le processus décisionnel migratoire : richesse, statut, confort, stimulation (plaisir des activités), autonomie, affiliation (rejoindre d’autres personnes) et moralité (croyances sur la manière de vivre). De plus, ils soulignent que d'autres facteurs, tels que les caractéristiques personnelles, les normes sociales et culturelles, la propension à prendre des risques et la structure des opportunités, exercent également une influence sur les décisions migratoires.</w:t>
      </w:r>
    </w:p>
    <w:p w:rsidR="00F402AC" w:rsidRDefault="00F402AC" w:rsidP="008018BA">
      <w:pPr>
        <w:widowControl w:val="0"/>
        <w:autoSpaceDE w:val="0"/>
        <w:autoSpaceDN w:val="0"/>
        <w:spacing w:after="0" w:line="360" w:lineRule="auto"/>
        <w:jc w:val="both"/>
        <w:rPr>
          <w:rFonts w:ascii="Tahoma" w:eastAsia="Times New Roman" w:hAnsi="Tahoma" w:cs="Tahoma"/>
          <w:sz w:val="24"/>
          <w:szCs w:val="24"/>
        </w:rPr>
      </w:pPr>
    </w:p>
    <w:p w:rsidR="008018BA" w:rsidRPr="00F33AEA" w:rsidRDefault="008018BA" w:rsidP="008018BA">
      <w:pPr>
        <w:widowControl w:val="0"/>
        <w:autoSpaceDE w:val="0"/>
        <w:autoSpaceDN w:val="0"/>
        <w:spacing w:after="0" w:line="360" w:lineRule="auto"/>
        <w:jc w:val="both"/>
        <w:rPr>
          <w:rFonts w:ascii="Tahoma" w:eastAsia="Times New Roman" w:hAnsi="Tahoma" w:cs="Tahoma"/>
          <w:sz w:val="10"/>
          <w:szCs w:val="10"/>
        </w:rPr>
      </w:pPr>
    </w:p>
    <w:p w:rsidR="008018BA" w:rsidRPr="00781F3F" w:rsidRDefault="008018BA" w:rsidP="00C02024">
      <w:pPr>
        <w:rPr>
          <w:rFonts w:ascii="Tahoma" w:hAnsi="Tahoma" w:cs="Tahoma"/>
          <w:b/>
          <w:bCs/>
          <w:sz w:val="28"/>
          <w:szCs w:val="28"/>
        </w:rPr>
      </w:pPr>
      <w:r>
        <w:rPr>
          <w:rFonts w:ascii="Tahoma" w:hAnsi="Tahoma" w:cs="Tahoma"/>
          <w:b/>
          <w:bCs/>
          <w:sz w:val="28"/>
          <w:szCs w:val="28"/>
        </w:rPr>
        <w:lastRenderedPageBreak/>
        <w:t>e</w:t>
      </w:r>
      <w:r w:rsidRPr="00E51C63">
        <w:rPr>
          <w:rFonts w:ascii="Tahoma" w:eastAsia="Times New Roman" w:hAnsi="Tahoma" w:cs="Tahoma"/>
          <w:b/>
          <w:bCs/>
          <w:sz w:val="24"/>
          <w:szCs w:val="24"/>
        </w:rPr>
        <w:t>)</w:t>
      </w:r>
      <w:r>
        <w:rPr>
          <w:rFonts w:ascii="Tahoma" w:eastAsia="Times New Roman" w:hAnsi="Tahoma" w:cs="Tahoma"/>
          <w:b/>
          <w:bCs/>
          <w:sz w:val="24"/>
          <w:szCs w:val="24"/>
        </w:rPr>
        <w:t xml:space="preserve"> </w:t>
      </w:r>
      <w:r w:rsidRPr="00E51C63">
        <w:rPr>
          <w:rFonts w:ascii="Tahoma" w:eastAsia="Times New Roman" w:hAnsi="Tahoma" w:cs="Tahoma"/>
          <w:b/>
          <w:bCs/>
          <w:sz w:val="24"/>
          <w:szCs w:val="24"/>
        </w:rPr>
        <w:t xml:space="preserve">Méthodologie </w:t>
      </w:r>
      <w:r w:rsidR="00C02024">
        <w:rPr>
          <w:rFonts w:ascii="Tahoma" w:eastAsia="Times New Roman" w:hAnsi="Tahoma" w:cs="Tahoma"/>
          <w:b/>
          <w:bCs/>
          <w:sz w:val="24"/>
          <w:szCs w:val="24"/>
        </w:rPr>
        <w:t>appliquée</w:t>
      </w:r>
      <w:r w:rsidRPr="00E51C63">
        <w:rPr>
          <w:rFonts w:ascii="Tahoma" w:eastAsia="Times New Roman" w:hAnsi="Tahoma" w:cs="Tahoma"/>
          <w:b/>
          <w:bCs/>
          <w:sz w:val="24"/>
          <w:szCs w:val="24"/>
        </w:rPr>
        <w:t xml:space="preserve"> </w:t>
      </w:r>
    </w:p>
    <w:p w:rsidR="008018BA" w:rsidRPr="00112A07" w:rsidRDefault="008018BA" w:rsidP="008018BA">
      <w:pPr>
        <w:rPr>
          <w:rFonts w:ascii="Tahoma" w:hAnsi="Tahoma" w:cs="Tahoma"/>
          <w:b/>
          <w:bCs/>
          <w:sz w:val="6"/>
          <w:szCs w:val="6"/>
        </w:rPr>
      </w:pPr>
    </w:p>
    <w:p w:rsidR="008018BA" w:rsidRPr="000A7532" w:rsidRDefault="008018BA" w:rsidP="008018BA">
      <w:pPr>
        <w:widowControl w:val="0"/>
        <w:autoSpaceDE w:val="0"/>
        <w:autoSpaceDN w:val="0"/>
        <w:spacing w:after="0" w:line="360" w:lineRule="auto"/>
        <w:jc w:val="both"/>
        <w:rPr>
          <w:rFonts w:ascii="Tahoma" w:eastAsia="Times New Roman" w:hAnsi="Tahoma" w:cs="Tahoma"/>
          <w:sz w:val="24"/>
          <w:szCs w:val="24"/>
        </w:rPr>
      </w:pPr>
      <w:r w:rsidRPr="000A7532">
        <w:rPr>
          <w:rFonts w:ascii="Tahoma" w:eastAsia="Times New Roman" w:hAnsi="Tahoma" w:cs="Tahoma"/>
          <w:sz w:val="24"/>
          <w:szCs w:val="24"/>
        </w:rPr>
        <w:t>En sciences sociales, la méthodologie scientifique présente l’épine dorsale de toute recherche visant à produire des connaissances ou quêtant à observer et à analyser les comportements et les changements au sein de la société.</w:t>
      </w:r>
    </w:p>
    <w:p w:rsidR="008018BA" w:rsidRPr="0066799C" w:rsidRDefault="008018BA" w:rsidP="008018BA">
      <w:pPr>
        <w:spacing w:line="360" w:lineRule="auto"/>
        <w:jc w:val="both"/>
        <w:rPr>
          <w:rFonts w:ascii="Tahoma" w:hAnsi="Tahoma" w:cs="Tahoma"/>
          <w:sz w:val="24"/>
          <w:szCs w:val="24"/>
        </w:rPr>
      </w:pPr>
      <w:r>
        <w:rPr>
          <w:rFonts w:ascii="Tahoma" w:hAnsi="Tahoma" w:cs="Tahoma"/>
          <w:sz w:val="24"/>
          <w:szCs w:val="24"/>
        </w:rPr>
        <w:t>La présente recherche adopte une démarche</w:t>
      </w:r>
      <w:r w:rsidRPr="000D5733">
        <w:rPr>
          <w:rFonts w:ascii="Tahoma" w:hAnsi="Tahoma" w:cs="Tahoma"/>
          <w:sz w:val="24"/>
          <w:szCs w:val="24"/>
        </w:rPr>
        <w:t xml:space="preserve"> méthodologique mixte articulant démarches qualitative et quantitative, conformément aux exigences épistémologiques des sciences sociales contemporaines. La stratégie de recherche s'ancre dans le </w:t>
      </w:r>
      <w:r w:rsidRPr="0066799C">
        <w:rPr>
          <w:rFonts w:ascii="Tahoma" w:hAnsi="Tahoma" w:cs="Tahoma"/>
          <w:sz w:val="24"/>
          <w:szCs w:val="24"/>
        </w:rPr>
        <w:t>paradigme de l'individualisme méthodologique (Boudon, 1979 ; Weber, 1922), postulant que la compréhension des phénomènes sociaux complexes nécessite une analyse des actions et motivations individuelles pour en inférer les dynamiques collectives</w:t>
      </w:r>
      <w:r w:rsidRPr="0066799C">
        <w:rPr>
          <w:rStyle w:val="Appelnotedebasdep"/>
          <w:sz w:val="24"/>
          <w:szCs w:val="24"/>
        </w:rPr>
        <w:footnoteReference w:id="108"/>
      </w:r>
      <w:r w:rsidRPr="0066799C">
        <w:rPr>
          <w:rFonts w:ascii="Tahoma" w:hAnsi="Tahoma" w:cs="Tahoma"/>
          <w:sz w:val="24"/>
          <w:szCs w:val="24"/>
        </w:rPr>
        <w:t>.</w:t>
      </w:r>
    </w:p>
    <w:p w:rsidR="008018BA" w:rsidRPr="0066799C" w:rsidRDefault="008018BA" w:rsidP="00D051D7">
      <w:pPr>
        <w:pStyle w:val="Paragraphedeliste"/>
        <w:numPr>
          <w:ilvl w:val="0"/>
          <w:numId w:val="111"/>
        </w:numPr>
        <w:rPr>
          <w:rFonts w:ascii="Tahoma" w:hAnsi="Tahoma" w:cs="Tahoma"/>
          <w:sz w:val="24"/>
          <w:szCs w:val="24"/>
        </w:rPr>
      </w:pPr>
      <w:r w:rsidRPr="0066799C">
        <w:rPr>
          <w:rFonts w:ascii="Tahoma" w:hAnsi="Tahoma" w:cs="Tahoma"/>
          <w:sz w:val="24"/>
          <w:szCs w:val="24"/>
        </w:rPr>
        <w:t>Démarche Qualitative</w:t>
      </w:r>
    </w:p>
    <w:p w:rsidR="008018BA" w:rsidRPr="0064346D" w:rsidRDefault="008018BA" w:rsidP="008018BA">
      <w:pPr>
        <w:rPr>
          <w:rFonts w:ascii="Tahoma" w:hAnsi="Tahoma" w:cs="Tahoma"/>
          <w:sz w:val="10"/>
          <w:szCs w:val="10"/>
        </w:rPr>
      </w:pPr>
    </w:p>
    <w:p w:rsidR="008018BA" w:rsidRPr="00332D27" w:rsidRDefault="008018BA" w:rsidP="008018BA">
      <w:pPr>
        <w:widowControl w:val="0"/>
        <w:autoSpaceDE w:val="0"/>
        <w:autoSpaceDN w:val="0"/>
        <w:spacing w:after="0" w:line="360" w:lineRule="auto"/>
        <w:jc w:val="both"/>
        <w:rPr>
          <w:rFonts w:ascii="Tahoma" w:eastAsia="Times New Roman" w:hAnsi="Tahoma" w:cs="Tahoma"/>
          <w:sz w:val="24"/>
          <w:szCs w:val="24"/>
        </w:rPr>
      </w:pPr>
      <w:r w:rsidRPr="00332D27">
        <w:rPr>
          <w:rFonts w:ascii="Tahoma" w:eastAsia="Times New Roman" w:hAnsi="Tahoma" w:cs="Tahoma"/>
          <w:sz w:val="24"/>
          <w:szCs w:val="24"/>
        </w:rPr>
        <w:t>Le processus de recherche scientifique débute généralement par une exploration documentaire approfondie, qui inclut la consultation d’une variété de sources telles que des ouvrages, des thèses, des mémoires, des périodiques, des textes législatifs, des publications administratives, des statistiques, des annales, des documents professionnels etc. Cette phase, bien que longue, est indispensable pour ouvrir de nouvels horizons de réflexion et identifier de nouvelles pistes d’investigation, permettant ainsi au chercheur de mieux comprendre son sujet et de s'en approprier les enjeux.</w:t>
      </w:r>
    </w:p>
    <w:p w:rsidR="008018BA" w:rsidRPr="00332D27" w:rsidRDefault="008018BA" w:rsidP="008018BA">
      <w:pPr>
        <w:spacing w:line="360" w:lineRule="auto"/>
        <w:jc w:val="both"/>
        <w:rPr>
          <w:rFonts w:ascii="Tahoma" w:eastAsia="Times New Roman" w:hAnsi="Tahoma" w:cs="Tahoma"/>
          <w:sz w:val="24"/>
          <w:szCs w:val="24"/>
        </w:rPr>
      </w:pPr>
      <w:r w:rsidRPr="00332D27">
        <w:rPr>
          <w:rFonts w:ascii="Tahoma" w:eastAsia="Times New Roman" w:hAnsi="Tahoma" w:cs="Tahoma"/>
          <w:sz w:val="24"/>
          <w:szCs w:val="24"/>
        </w:rPr>
        <w:t>Dans ce cadre, la recherche qualitative permet de répondre à des questions de type « pourquoi » ou « comment ». Elle s’intéresse particulièrement aux comportements des acteurs. En fait, les méthodes qualitatives permettent de recueillir des données pour appréhender des phénomènes, de chercher à les comprendre et à expliquer leur impact sur les façons de faire et de penser.</w:t>
      </w:r>
    </w:p>
    <w:p w:rsidR="008018BA" w:rsidRPr="00332D27" w:rsidRDefault="008018BA" w:rsidP="008018BA">
      <w:pPr>
        <w:widowControl w:val="0"/>
        <w:autoSpaceDE w:val="0"/>
        <w:autoSpaceDN w:val="0"/>
        <w:spacing w:after="0" w:line="360" w:lineRule="auto"/>
        <w:jc w:val="both"/>
        <w:rPr>
          <w:rFonts w:ascii="Tahoma" w:eastAsia="Times New Roman" w:hAnsi="Tahoma" w:cs="Tahoma"/>
          <w:sz w:val="24"/>
          <w:szCs w:val="24"/>
        </w:rPr>
      </w:pPr>
      <w:r w:rsidRPr="00332D27">
        <w:rPr>
          <w:rFonts w:ascii="Tahoma" w:eastAsia="Times New Roman" w:hAnsi="Tahoma" w:cs="Tahoma"/>
          <w:sz w:val="24"/>
          <w:szCs w:val="24"/>
        </w:rPr>
        <w:t xml:space="preserve">La démarche qualitative de cette recherche a débuté par l’organisation d’un groupe de discussion composé de différents experts, </w:t>
      </w:r>
      <w:r w:rsidRPr="00332D27">
        <w:rPr>
          <w:rFonts w:ascii="Tahoma" w:hAnsi="Tahoma" w:cs="Tahoma"/>
          <w:sz w:val="24"/>
          <w:szCs w:val="24"/>
        </w:rPr>
        <w:t xml:space="preserve">en juin 2019 à la Faculté des Sciences Juridiques, Économiques et Sociales de Rabat-Agdal, réunissant différents professionnels du secteur forestier. Cette technique, introduite par Ernest Dichter en 1991², a permis </w:t>
      </w:r>
      <w:r w:rsidRPr="00332D27">
        <w:rPr>
          <w:rFonts w:ascii="Tahoma" w:hAnsi="Tahoma" w:cs="Tahoma"/>
          <w:sz w:val="24"/>
          <w:szCs w:val="24"/>
        </w:rPr>
        <w:lastRenderedPageBreak/>
        <w:t>de structurer une réflexion critique sur l'état des forêts marocaines et les processus de dégradation</w:t>
      </w:r>
      <w:r>
        <w:rPr>
          <w:rFonts w:ascii="Tahoma" w:hAnsi="Tahoma" w:cs="Tahoma"/>
          <w:sz w:val="24"/>
          <w:szCs w:val="24"/>
        </w:rPr>
        <w:t xml:space="preserve">. </w:t>
      </w:r>
    </w:p>
    <w:p w:rsidR="008018BA" w:rsidRPr="00332D27" w:rsidRDefault="008018BA" w:rsidP="008018BA">
      <w:pPr>
        <w:widowControl w:val="0"/>
        <w:autoSpaceDE w:val="0"/>
        <w:autoSpaceDN w:val="0"/>
        <w:spacing w:after="0" w:line="360" w:lineRule="auto"/>
        <w:jc w:val="both"/>
        <w:rPr>
          <w:rFonts w:ascii="Tahoma" w:eastAsia="Times New Roman" w:hAnsi="Tahoma" w:cs="Tahoma"/>
          <w:sz w:val="24"/>
          <w:szCs w:val="24"/>
        </w:rPr>
      </w:pPr>
      <w:r w:rsidRPr="00332D27">
        <w:rPr>
          <w:rFonts w:ascii="Tahoma" w:eastAsia="Times New Roman" w:hAnsi="Tahoma" w:cs="Tahoma"/>
          <w:sz w:val="24"/>
          <w:szCs w:val="24"/>
        </w:rPr>
        <w:t>Les participants incluaient M. Fayçal Benchekroun, Directeur de la Programmation, des Systèmes d’Information et de la Communication</w:t>
      </w:r>
      <w:r>
        <w:rPr>
          <w:rFonts w:ascii="Tahoma" w:eastAsia="Times New Roman" w:hAnsi="Tahoma" w:cs="Tahoma"/>
          <w:sz w:val="24"/>
          <w:szCs w:val="24"/>
        </w:rPr>
        <w:t xml:space="preserve"> au HCEFLCD</w:t>
      </w:r>
      <w:r w:rsidRPr="00332D27">
        <w:rPr>
          <w:rFonts w:ascii="Tahoma" w:eastAsia="Times New Roman" w:hAnsi="Tahoma" w:cs="Tahoma"/>
          <w:sz w:val="24"/>
          <w:szCs w:val="24"/>
        </w:rPr>
        <w:t xml:space="preserve"> ; M. Mohamed Saber, ancien</w:t>
      </w:r>
      <w:r>
        <w:rPr>
          <w:rFonts w:ascii="Tahoma" w:eastAsia="Times New Roman" w:hAnsi="Tahoma" w:cs="Tahoma"/>
          <w:sz w:val="24"/>
          <w:szCs w:val="24"/>
        </w:rPr>
        <w:t>,</w:t>
      </w:r>
      <w:r w:rsidRPr="00332D27">
        <w:rPr>
          <w:rFonts w:ascii="Tahoma" w:eastAsia="Times New Roman" w:hAnsi="Tahoma" w:cs="Tahoma"/>
          <w:sz w:val="24"/>
          <w:szCs w:val="24"/>
        </w:rPr>
        <w:t xml:space="preserve"> Directeur et Professeur à l’École Nationale Forestière des Ingénieurs (ENFI) ; et M. Mustapha Bengueddour, Chef de la Division de l'Aménagement Forestier</w:t>
      </w:r>
      <w:r>
        <w:rPr>
          <w:rFonts w:ascii="Tahoma" w:eastAsia="Times New Roman" w:hAnsi="Tahoma" w:cs="Tahoma"/>
          <w:sz w:val="24"/>
          <w:szCs w:val="24"/>
        </w:rPr>
        <w:t xml:space="preserve"> au HCEFLCD</w:t>
      </w:r>
      <w:r w:rsidRPr="00332D27">
        <w:rPr>
          <w:rFonts w:ascii="Tahoma" w:eastAsia="Times New Roman" w:hAnsi="Tahoma" w:cs="Tahoma"/>
          <w:sz w:val="24"/>
          <w:szCs w:val="24"/>
        </w:rPr>
        <w:t xml:space="preserve">. La discussion a été animée par M. Mohamed Haddy, Coordonnateur Scientifique du Laboratoire Gestion des Risques et Développement Territorial (GRDT) à l’Institut National d’Aménagement et d’Urbanisme (INAU). </w:t>
      </w:r>
    </w:p>
    <w:p w:rsidR="008018BA" w:rsidRDefault="008018BA" w:rsidP="008018BA">
      <w:pPr>
        <w:widowControl w:val="0"/>
        <w:autoSpaceDE w:val="0"/>
        <w:autoSpaceDN w:val="0"/>
        <w:spacing w:after="0" w:line="360" w:lineRule="auto"/>
        <w:jc w:val="both"/>
        <w:rPr>
          <w:rFonts w:ascii="Tahoma" w:eastAsia="Times New Roman" w:hAnsi="Tahoma" w:cs="Tahoma"/>
          <w:sz w:val="24"/>
          <w:szCs w:val="24"/>
        </w:rPr>
      </w:pPr>
      <w:r w:rsidRPr="00332D27">
        <w:rPr>
          <w:rFonts w:ascii="Tahoma" w:eastAsia="Times New Roman" w:hAnsi="Tahoma" w:cs="Tahoma"/>
          <w:sz w:val="24"/>
          <w:szCs w:val="24"/>
        </w:rPr>
        <w:t>Cette rencontre a constitué un espace important pour écouter et partager des perspectives entre professionnels, chercheurs et étudiants, contribuant ainsi à la structuration de la présente thèse.</w:t>
      </w:r>
    </w:p>
    <w:p w:rsidR="008018BA" w:rsidRDefault="008018BA" w:rsidP="00F0272E">
      <w:pPr>
        <w:widowControl w:val="0"/>
        <w:autoSpaceDE w:val="0"/>
        <w:autoSpaceDN w:val="0"/>
        <w:spacing w:after="0" w:line="360" w:lineRule="auto"/>
        <w:jc w:val="both"/>
        <w:rPr>
          <w:rFonts w:ascii="Tahoma" w:hAnsi="Tahoma" w:cs="Tahoma"/>
          <w:b/>
          <w:bCs/>
          <w:sz w:val="24"/>
          <w:szCs w:val="24"/>
        </w:rPr>
      </w:pPr>
      <w:r>
        <w:rPr>
          <w:rFonts w:ascii="Tahoma" w:hAnsi="Tahoma" w:cs="Tahoma"/>
          <w:sz w:val="24"/>
          <w:szCs w:val="24"/>
        </w:rPr>
        <w:t>En parallèle à cette technique</w:t>
      </w:r>
      <w:r w:rsidRPr="00332D27">
        <w:rPr>
          <w:rFonts w:ascii="Tahoma" w:hAnsi="Tahoma" w:cs="Tahoma"/>
          <w:sz w:val="24"/>
          <w:szCs w:val="24"/>
        </w:rPr>
        <w:t>, des entretiens semi-directifs ont été conduits auprès des gestionnaires forestiers de Korifla pour analyser leurs relations avec les populations locales et identifier les mesures de limitation d</w:t>
      </w:r>
      <w:r>
        <w:rPr>
          <w:rFonts w:ascii="Tahoma" w:hAnsi="Tahoma" w:cs="Tahoma"/>
          <w:sz w:val="24"/>
          <w:szCs w:val="24"/>
        </w:rPr>
        <w:t>e la dégradation des ressources</w:t>
      </w:r>
      <w:r w:rsidR="00985AA1">
        <w:rPr>
          <w:rFonts w:ascii="Tahoma" w:hAnsi="Tahoma" w:cs="Tahoma"/>
          <w:sz w:val="24"/>
          <w:szCs w:val="24"/>
        </w:rPr>
        <w:t xml:space="preserve"> </w:t>
      </w:r>
      <w:r w:rsidR="00985AA1" w:rsidRPr="00985AA1">
        <w:rPr>
          <w:rFonts w:ascii="Tahoma" w:hAnsi="Tahoma" w:cs="Tahoma"/>
          <w:b/>
          <w:bCs/>
          <w:sz w:val="24"/>
          <w:szCs w:val="24"/>
        </w:rPr>
        <w:t>(En</w:t>
      </w:r>
      <w:r w:rsidR="008262EA">
        <w:rPr>
          <w:rFonts w:ascii="Tahoma" w:hAnsi="Tahoma" w:cs="Tahoma"/>
          <w:b/>
          <w:bCs/>
          <w:sz w:val="24"/>
          <w:szCs w:val="24"/>
        </w:rPr>
        <w:t xml:space="preserve">tretien semi-directif, ANNEXE </w:t>
      </w:r>
      <w:r w:rsidR="00985AA1" w:rsidRPr="00985AA1">
        <w:rPr>
          <w:rFonts w:ascii="Tahoma" w:hAnsi="Tahoma" w:cs="Tahoma"/>
          <w:b/>
          <w:bCs/>
          <w:sz w:val="24"/>
          <w:szCs w:val="24"/>
        </w:rPr>
        <w:t>7)</w:t>
      </w:r>
      <w:r w:rsidRPr="00985AA1">
        <w:rPr>
          <w:rFonts w:ascii="Tahoma" w:hAnsi="Tahoma" w:cs="Tahoma"/>
          <w:b/>
          <w:bCs/>
          <w:sz w:val="24"/>
          <w:szCs w:val="24"/>
        </w:rPr>
        <w:t>.</w:t>
      </w:r>
    </w:p>
    <w:p w:rsidR="007E5760" w:rsidRPr="00F0272E" w:rsidRDefault="007E5760" w:rsidP="00F0272E">
      <w:pPr>
        <w:widowControl w:val="0"/>
        <w:autoSpaceDE w:val="0"/>
        <w:autoSpaceDN w:val="0"/>
        <w:spacing w:after="0" w:line="360" w:lineRule="auto"/>
        <w:jc w:val="both"/>
        <w:rPr>
          <w:rFonts w:ascii="Tahoma" w:eastAsia="Times New Roman" w:hAnsi="Tahoma" w:cs="Tahoma"/>
          <w:sz w:val="24"/>
          <w:szCs w:val="24"/>
        </w:rPr>
      </w:pPr>
    </w:p>
    <w:p w:rsidR="008018BA" w:rsidRPr="000D5733" w:rsidRDefault="008018BA" w:rsidP="00D051D7">
      <w:pPr>
        <w:pStyle w:val="Paragraphedeliste"/>
        <w:numPr>
          <w:ilvl w:val="0"/>
          <w:numId w:val="111"/>
        </w:numPr>
        <w:rPr>
          <w:rFonts w:ascii="Tahoma" w:hAnsi="Tahoma" w:cs="Tahoma"/>
          <w:sz w:val="24"/>
          <w:szCs w:val="24"/>
        </w:rPr>
      </w:pPr>
      <w:r w:rsidRPr="000D5733">
        <w:rPr>
          <w:rFonts w:ascii="Tahoma" w:hAnsi="Tahoma" w:cs="Tahoma"/>
          <w:sz w:val="24"/>
          <w:szCs w:val="24"/>
        </w:rPr>
        <w:t>Démarche Quantitative</w:t>
      </w:r>
    </w:p>
    <w:p w:rsidR="008018BA" w:rsidRPr="00F33AEA" w:rsidRDefault="008018BA" w:rsidP="008018BA">
      <w:pPr>
        <w:rPr>
          <w:rFonts w:ascii="Tahoma" w:hAnsi="Tahoma" w:cs="Tahoma"/>
          <w:sz w:val="6"/>
          <w:szCs w:val="6"/>
        </w:rPr>
      </w:pPr>
    </w:p>
    <w:p w:rsidR="008018BA" w:rsidRDefault="008018BA" w:rsidP="008018BA">
      <w:pPr>
        <w:spacing w:line="360" w:lineRule="auto"/>
        <w:jc w:val="both"/>
        <w:rPr>
          <w:rFonts w:ascii="Tahoma" w:hAnsi="Tahoma" w:cs="Tahoma"/>
          <w:sz w:val="24"/>
          <w:szCs w:val="24"/>
        </w:rPr>
      </w:pPr>
      <w:r>
        <w:rPr>
          <w:rFonts w:ascii="Tahoma" w:hAnsi="Tahoma" w:cs="Tahoma"/>
          <w:sz w:val="24"/>
          <w:szCs w:val="24"/>
        </w:rPr>
        <w:t>La démarche</w:t>
      </w:r>
      <w:r w:rsidRPr="000D5733">
        <w:rPr>
          <w:rFonts w:ascii="Tahoma" w:hAnsi="Tahoma" w:cs="Tahoma"/>
          <w:sz w:val="24"/>
          <w:szCs w:val="24"/>
        </w:rPr>
        <w:t xml:space="preserve"> quantitative, fondée sur l'individualisme méthodologique, privilégie l'individu comme unité d'analyse fondamentale. Comme le souligne Raymond Boudon, "le changement social, même au niveau macrosociologique, n'est intelligible que si l'analyse descend jusqu'aux agents ou acteurs sociaux les plus élémentaires composant les systèmes d'interdépendance auxquels il s'intéresse" (Boudon, </w:t>
      </w:r>
      <w:r>
        <w:rPr>
          <w:rFonts w:ascii="Tahoma" w:hAnsi="Tahoma" w:cs="Tahoma"/>
          <w:sz w:val="24"/>
          <w:szCs w:val="24"/>
        </w:rPr>
        <w:t>1979, p. 35)</w:t>
      </w:r>
      <w:r>
        <w:rPr>
          <w:rStyle w:val="Appelnotedebasdep"/>
          <w:rFonts w:ascii="Tahoma" w:hAnsi="Tahoma" w:cs="Tahoma"/>
          <w:sz w:val="24"/>
          <w:szCs w:val="24"/>
        </w:rPr>
        <w:footnoteReference w:id="109"/>
      </w:r>
      <w:r w:rsidRPr="005332DF">
        <w:rPr>
          <w:rFonts w:ascii="Tahoma" w:hAnsi="Tahoma" w:cs="Tahoma"/>
          <w:sz w:val="24"/>
          <w:szCs w:val="24"/>
        </w:rPr>
        <w:t>.</w:t>
      </w:r>
      <w:r w:rsidRPr="000D5733">
        <w:rPr>
          <w:rFonts w:ascii="Tahoma" w:hAnsi="Tahoma" w:cs="Tahoma"/>
          <w:sz w:val="24"/>
          <w:szCs w:val="24"/>
        </w:rPr>
        <w:t xml:space="preserve"> Cette perspective trouve un écho dans la conception wébérienne, qui postule que "les données macrosociologiques ne sont rien d'autre que les traces laissées par une myriade des comportements individuels" (Weber, 1922, p. </w:t>
      </w:r>
      <w:r>
        <w:rPr>
          <w:rFonts w:ascii="Tahoma" w:hAnsi="Tahoma" w:cs="Tahoma"/>
          <w:sz w:val="24"/>
          <w:szCs w:val="24"/>
        </w:rPr>
        <w:t>25)</w:t>
      </w:r>
      <w:r w:rsidRPr="000D5733">
        <w:rPr>
          <w:rFonts w:ascii="Tahoma" w:hAnsi="Tahoma" w:cs="Tahoma"/>
          <w:sz w:val="24"/>
          <w:szCs w:val="24"/>
        </w:rPr>
        <w:t>.</w:t>
      </w:r>
    </w:p>
    <w:p w:rsidR="008018BA" w:rsidRPr="000A7532" w:rsidRDefault="008018BA" w:rsidP="008018BA">
      <w:pPr>
        <w:widowControl w:val="0"/>
        <w:autoSpaceDE w:val="0"/>
        <w:autoSpaceDN w:val="0"/>
        <w:spacing w:after="0" w:line="360" w:lineRule="auto"/>
        <w:jc w:val="both"/>
        <w:rPr>
          <w:rFonts w:ascii="Tahoma" w:eastAsia="Times New Roman" w:hAnsi="Tahoma" w:cs="Tahoma"/>
          <w:sz w:val="24"/>
          <w:szCs w:val="24"/>
        </w:rPr>
      </w:pPr>
      <w:r w:rsidRPr="000A7532">
        <w:rPr>
          <w:rFonts w:ascii="Tahoma" w:eastAsia="Times New Roman" w:hAnsi="Tahoma" w:cs="Tahoma"/>
          <w:sz w:val="24"/>
          <w:szCs w:val="24"/>
        </w:rPr>
        <w:t>L’analyse des phénomènes sociaux à travers l’étude des actions des individus est devenue une pratique scientifique courante. Elle constitue une démarche importante en sciences sociales, et en s</w:t>
      </w:r>
      <w:r>
        <w:rPr>
          <w:rFonts w:ascii="Tahoma" w:eastAsia="Times New Roman" w:hAnsi="Tahoma" w:cs="Tahoma"/>
          <w:sz w:val="24"/>
          <w:szCs w:val="24"/>
        </w:rPr>
        <w:t>ociologie plus particulièrement</w:t>
      </w:r>
      <w:r w:rsidRPr="000A7532">
        <w:rPr>
          <w:rFonts w:ascii="Tahoma" w:eastAsia="Times New Roman" w:hAnsi="Tahoma" w:cs="Tahoma"/>
          <w:sz w:val="24"/>
          <w:szCs w:val="24"/>
        </w:rPr>
        <w:t>.</w:t>
      </w:r>
    </w:p>
    <w:p w:rsidR="008018BA" w:rsidRPr="000A7532" w:rsidRDefault="008018BA" w:rsidP="008018BA">
      <w:pPr>
        <w:widowControl w:val="0"/>
        <w:autoSpaceDE w:val="0"/>
        <w:autoSpaceDN w:val="0"/>
        <w:spacing w:after="0" w:line="360" w:lineRule="auto"/>
        <w:jc w:val="both"/>
        <w:rPr>
          <w:rFonts w:ascii="Tahoma" w:eastAsia="Times New Roman" w:hAnsi="Tahoma" w:cs="Tahoma"/>
          <w:sz w:val="24"/>
          <w:szCs w:val="24"/>
        </w:rPr>
      </w:pPr>
      <w:r w:rsidRPr="000A7532">
        <w:rPr>
          <w:rFonts w:ascii="Tahoma" w:eastAsia="Times New Roman" w:hAnsi="Tahoma" w:cs="Tahoma"/>
          <w:sz w:val="24"/>
          <w:szCs w:val="24"/>
        </w:rPr>
        <w:lastRenderedPageBreak/>
        <w:t>L'approche quantitative, inhérente à l'individualisme méthodologique, se concentre sur la quantification et l'analyse statistique des données. Le recours aux chiffres, dans ce contexte, dépasse une simple fonction descriptive et vise à établir des relations statistiques significatives permettant d'expliquer les phénomènes sociaux observés (Lazarsfeld, 1969).</w:t>
      </w:r>
    </w:p>
    <w:p w:rsidR="008018BA" w:rsidRPr="00EF52A5" w:rsidRDefault="008018BA" w:rsidP="008018BA">
      <w:pPr>
        <w:widowControl w:val="0"/>
        <w:autoSpaceDE w:val="0"/>
        <w:autoSpaceDN w:val="0"/>
        <w:spacing w:after="0" w:line="360" w:lineRule="auto"/>
        <w:jc w:val="both"/>
        <w:rPr>
          <w:rFonts w:ascii="Tahoma" w:eastAsia="Times New Roman" w:hAnsi="Tahoma" w:cs="Tahoma"/>
          <w:sz w:val="6"/>
          <w:szCs w:val="6"/>
        </w:rPr>
      </w:pPr>
    </w:p>
    <w:p w:rsidR="008018BA" w:rsidRPr="003906DA" w:rsidRDefault="008018BA" w:rsidP="00080187">
      <w:pPr>
        <w:widowControl w:val="0"/>
        <w:autoSpaceDE w:val="0"/>
        <w:autoSpaceDN w:val="0"/>
        <w:spacing w:after="0" w:line="360" w:lineRule="auto"/>
        <w:jc w:val="both"/>
        <w:rPr>
          <w:rFonts w:ascii="Tahoma" w:eastAsia="Times New Roman" w:hAnsi="Tahoma" w:cs="Tahoma"/>
          <w:sz w:val="24"/>
          <w:szCs w:val="24"/>
        </w:rPr>
      </w:pPr>
      <w:r w:rsidRPr="003906DA">
        <w:rPr>
          <w:rFonts w:ascii="Tahoma" w:eastAsia="Times New Roman" w:hAnsi="Tahoma" w:cs="Tahoma"/>
          <w:sz w:val="24"/>
          <w:szCs w:val="24"/>
        </w:rPr>
        <w:t xml:space="preserve">Conformément à cette approche, la technique du questionnaire a été retenue vis-à-vis des enquêté(es) instruit(es) et la technique de l’entretien </w:t>
      </w:r>
      <w:r>
        <w:rPr>
          <w:rFonts w:ascii="Tahoma" w:eastAsia="Times New Roman" w:hAnsi="Tahoma" w:cs="Tahoma"/>
          <w:sz w:val="24"/>
          <w:szCs w:val="24"/>
        </w:rPr>
        <w:t xml:space="preserve">vis-à-vis des </w:t>
      </w:r>
      <w:r w:rsidRPr="003906DA">
        <w:rPr>
          <w:rFonts w:ascii="Tahoma" w:eastAsia="Times New Roman" w:hAnsi="Tahoma" w:cs="Tahoma"/>
          <w:sz w:val="24"/>
          <w:szCs w:val="24"/>
        </w:rPr>
        <w:t>enquêté(es) analphabètes avec l'assistance d'une personne ressource locale (épicier de la zone d’</w:t>
      </w:r>
      <w:r w:rsidR="00080187">
        <w:rPr>
          <w:rFonts w:ascii="Tahoma" w:eastAsia="Times New Roman" w:hAnsi="Tahoma" w:cs="Tahoma"/>
          <w:sz w:val="24"/>
          <w:szCs w:val="24"/>
        </w:rPr>
        <w:t>analyse</w:t>
      </w:r>
      <w:r w:rsidRPr="003906DA">
        <w:rPr>
          <w:rFonts w:ascii="Tahoma" w:eastAsia="Times New Roman" w:hAnsi="Tahoma" w:cs="Tahoma"/>
          <w:sz w:val="24"/>
          <w:szCs w:val="24"/>
        </w:rPr>
        <w:t>) pour faciliter d’une part, l’opération d’échange et de discussion avec la population et d’autre part, l’accès aux différents Douars (guide de terrain). L'échantillon étudié est composé de 110 individus, répartis sur 22 Douars situés dans la forêt de Korifla, à raison de cinq enquêtés par Douar.</w:t>
      </w:r>
    </w:p>
    <w:p w:rsidR="008018BA" w:rsidRDefault="00080187" w:rsidP="00080187">
      <w:pPr>
        <w:spacing w:line="360" w:lineRule="auto"/>
        <w:jc w:val="both"/>
        <w:rPr>
          <w:rFonts w:ascii="Tahoma" w:hAnsi="Tahoma" w:cs="Tahoma"/>
          <w:sz w:val="24"/>
          <w:szCs w:val="24"/>
        </w:rPr>
      </w:pPr>
      <w:r>
        <w:rPr>
          <w:rFonts w:ascii="Tahoma" w:hAnsi="Tahoma" w:cs="Tahoma"/>
          <w:sz w:val="24"/>
          <w:szCs w:val="24"/>
        </w:rPr>
        <w:t>En effet, l</w:t>
      </w:r>
      <w:r w:rsidR="008018BA" w:rsidRPr="003906DA">
        <w:rPr>
          <w:rFonts w:ascii="Tahoma" w:hAnsi="Tahoma" w:cs="Tahoma"/>
          <w:sz w:val="24"/>
          <w:szCs w:val="24"/>
        </w:rPr>
        <w:t>a construction d'un modèle d'analyse hypothético-déductif a permis d'identifier les variables explicatives (conditions environnementales, socioéconomiques et modes de gestion territoriale) influençant la variable dépendante (risque migratoire accélératif). L'analyse mobilise des données primaires (résultats du terrain) et secondaires, notamment les</w:t>
      </w:r>
      <w:r w:rsidR="008018BA">
        <w:rPr>
          <w:rFonts w:ascii="Tahoma" w:hAnsi="Tahoma" w:cs="Tahoma"/>
          <w:sz w:val="24"/>
          <w:szCs w:val="24"/>
        </w:rPr>
        <w:t xml:space="preserve"> résultats </w:t>
      </w:r>
      <w:r w:rsidR="008018BA" w:rsidRPr="003906DA">
        <w:rPr>
          <w:rFonts w:ascii="Tahoma" w:hAnsi="Tahoma" w:cs="Tahoma"/>
          <w:sz w:val="24"/>
          <w:szCs w:val="24"/>
        </w:rPr>
        <w:t>de l’e</w:t>
      </w:r>
      <w:r w:rsidR="008018BA">
        <w:rPr>
          <w:rFonts w:ascii="Tahoma" w:hAnsi="Tahoma" w:cs="Tahoma"/>
          <w:sz w:val="24"/>
          <w:szCs w:val="24"/>
        </w:rPr>
        <w:t>nquête effectuée en ligne durant</w:t>
      </w:r>
      <w:r w:rsidR="008018BA" w:rsidRPr="003906DA">
        <w:rPr>
          <w:rFonts w:ascii="Tahoma" w:hAnsi="Tahoma" w:cs="Tahoma"/>
          <w:sz w:val="24"/>
          <w:szCs w:val="24"/>
        </w:rPr>
        <w:t xml:space="preserve"> la période du 15 au 31 août 2024 par l’Institut Royal des Etudes Stratégiques (IRES) dans le cadre de la réflexion sur l’avenir de la forêt marocaine dans un contexte marqué par une accélération du changement climatique.</w:t>
      </w:r>
      <w:r w:rsidR="008018BA" w:rsidRPr="000D5733">
        <w:rPr>
          <w:rFonts w:ascii="Tahoma" w:hAnsi="Tahoma" w:cs="Tahoma"/>
          <w:sz w:val="24"/>
          <w:szCs w:val="24"/>
        </w:rPr>
        <w:t xml:space="preserve"> </w:t>
      </w:r>
    </w:p>
    <w:p w:rsidR="008018BA" w:rsidRDefault="008018BA" w:rsidP="000351A9">
      <w:pPr>
        <w:spacing w:line="360" w:lineRule="auto"/>
        <w:jc w:val="both"/>
        <w:rPr>
          <w:rFonts w:ascii="Tahoma" w:hAnsi="Tahoma" w:cs="Tahoma"/>
          <w:sz w:val="24"/>
          <w:szCs w:val="24"/>
        </w:rPr>
      </w:pPr>
      <w:r w:rsidRPr="000D5733">
        <w:rPr>
          <w:rFonts w:ascii="Tahoma" w:hAnsi="Tahoma" w:cs="Tahoma"/>
          <w:sz w:val="24"/>
          <w:szCs w:val="24"/>
        </w:rPr>
        <w:t>Le traitemen</w:t>
      </w:r>
      <w:r>
        <w:rPr>
          <w:rFonts w:ascii="Tahoma" w:hAnsi="Tahoma" w:cs="Tahoma"/>
          <w:sz w:val="24"/>
          <w:szCs w:val="24"/>
        </w:rPr>
        <w:t xml:space="preserve">t statistique </w:t>
      </w:r>
      <w:r>
        <w:rPr>
          <w:rFonts w:ascii="Tahoma" w:eastAsia="Times New Roman" w:hAnsi="Tahoma" w:cs="Tahoma"/>
          <w:sz w:val="24"/>
          <w:szCs w:val="24"/>
        </w:rPr>
        <w:t>des données issues de l’e</w:t>
      </w:r>
      <w:r w:rsidRPr="000A7532">
        <w:rPr>
          <w:rFonts w:ascii="Tahoma" w:eastAsia="Times New Roman" w:hAnsi="Tahoma" w:cs="Tahoma"/>
          <w:sz w:val="24"/>
          <w:szCs w:val="24"/>
        </w:rPr>
        <w:t>nquête</w:t>
      </w:r>
      <w:r>
        <w:rPr>
          <w:rFonts w:ascii="Tahoma" w:eastAsia="Times New Roman" w:hAnsi="Tahoma" w:cs="Tahoma"/>
          <w:sz w:val="24"/>
          <w:szCs w:val="24"/>
        </w:rPr>
        <w:t xml:space="preserve"> du terrain</w:t>
      </w:r>
      <w:r w:rsidRPr="000A7532">
        <w:rPr>
          <w:rFonts w:ascii="Tahoma" w:eastAsia="Times New Roman" w:hAnsi="Tahoma" w:cs="Tahoma"/>
          <w:sz w:val="24"/>
          <w:szCs w:val="24"/>
        </w:rPr>
        <w:t xml:space="preserve"> </w:t>
      </w:r>
      <w:r w:rsidR="000351A9">
        <w:rPr>
          <w:rFonts w:ascii="Tahoma" w:hAnsi="Tahoma" w:cs="Tahoma"/>
          <w:sz w:val="24"/>
          <w:szCs w:val="24"/>
        </w:rPr>
        <w:t>s’est basé</w:t>
      </w:r>
      <w:r>
        <w:rPr>
          <w:rFonts w:ascii="Tahoma" w:hAnsi="Tahoma" w:cs="Tahoma"/>
          <w:sz w:val="24"/>
          <w:szCs w:val="24"/>
        </w:rPr>
        <w:t xml:space="preserve"> sur l’utilisation  du</w:t>
      </w:r>
      <w:r w:rsidRPr="003906DA">
        <w:rPr>
          <w:rFonts w:ascii="Tahoma" w:eastAsia="Times New Roman" w:hAnsi="Tahoma" w:cs="Tahoma"/>
          <w:sz w:val="24"/>
          <w:szCs w:val="24"/>
        </w:rPr>
        <w:t xml:space="preserve"> </w:t>
      </w:r>
      <w:r w:rsidRPr="000A7532">
        <w:rPr>
          <w:rFonts w:ascii="Tahoma" w:eastAsia="Times New Roman" w:hAnsi="Tahoma" w:cs="Tahoma"/>
          <w:sz w:val="24"/>
          <w:szCs w:val="24"/>
        </w:rPr>
        <w:t>logiciel SPSS (Statistical Package for the Social Sciences)</w:t>
      </w:r>
      <w:r w:rsidRPr="000A7532">
        <w:rPr>
          <w:rFonts w:ascii="Tahoma" w:eastAsia="Times New Roman" w:hAnsi="Tahoma" w:cs="Tahoma"/>
          <w:sz w:val="24"/>
          <w:szCs w:val="24"/>
          <w:vertAlign w:val="superscript"/>
        </w:rPr>
        <w:footnoteReference w:id="110"/>
      </w:r>
      <w:r w:rsidRPr="000A7532">
        <w:rPr>
          <w:rFonts w:ascii="Tahoma" w:eastAsia="Times New Roman" w:hAnsi="Tahoma" w:cs="Tahoma"/>
          <w:sz w:val="24"/>
          <w:szCs w:val="24"/>
        </w:rPr>
        <w:t>,</w:t>
      </w:r>
      <w:r w:rsidRPr="003906DA">
        <w:rPr>
          <w:rFonts w:ascii="Tahoma" w:eastAsia="Times New Roman" w:hAnsi="Tahoma" w:cs="Tahoma"/>
          <w:sz w:val="24"/>
          <w:szCs w:val="24"/>
        </w:rPr>
        <w:t xml:space="preserve"> </w:t>
      </w:r>
      <w:r w:rsidRPr="000A7532">
        <w:rPr>
          <w:rFonts w:ascii="Tahoma" w:eastAsia="Times New Roman" w:hAnsi="Tahoma" w:cs="Tahoma"/>
          <w:sz w:val="24"/>
          <w:szCs w:val="24"/>
        </w:rPr>
        <w:t>version 19</w:t>
      </w:r>
      <w:r>
        <w:rPr>
          <w:rFonts w:ascii="Tahoma" w:eastAsia="Times New Roman" w:hAnsi="Tahoma" w:cs="Tahoma"/>
          <w:sz w:val="24"/>
          <w:szCs w:val="24"/>
        </w:rPr>
        <w:t xml:space="preserve">. </w:t>
      </w:r>
      <w:r w:rsidRPr="000A7532">
        <w:rPr>
          <w:rFonts w:ascii="Tahoma" w:eastAsia="Times New Roman" w:hAnsi="Tahoma" w:cs="Tahoma"/>
          <w:sz w:val="24"/>
          <w:szCs w:val="24"/>
        </w:rPr>
        <w:t>Parallèlement, le logiciel ARCGIS</w:t>
      </w:r>
      <w:r w:rsidRPr="000A7532">
        <w:rPr>
          <w:rFonts w:ascii="Tahoma" w:eastAsia="Times New Roman" w:hAnsi="Tahoma" w:cs="Tahoma"/>
          <w:sz w:val="24"/>
          <w:szCs w:val="24"/>
          <w:vertAlign w:val="superscript"/>
        </w:rPr>
        <w:footnoteReference w:id="111"/>
      </w:r>
      <w:r w:rsidRPr="000A7532">
        <w:rPr>
          <w:rFonts w:ascii="Tahoma" w:eastAsia="Times New Roman" w:hAnsi="Tahoma" w:cs="Tahoma"/>
          <w:sz w:val="24"/>
          <w:szCs w:val="24"/>
        </w:rPr>
        <w:t xml:space="preserve"> a été employé pour la production de cartes thématiques, permettant la visualisation et l'interprétation spatiale des résultats obtenus. L'utilisation conjointe de ces outils a permis une analyse multidimensionnelle des </w:t>
      </w:r>
      <w:r w:rsidRPr="000A7532">
        <w:rPr>
          <w:rFonts w:ascii="Tahoma" w:eastAsia="Times New Roman" w:hAnsi="Tahoma" w:cs="Tahoma"/>
          <w:sz w:val="24"/>
          <w:szCs w:val="24"/>
        </w:rPr>
        <w:lastRenderedPageBreak/>
        <w:t>données, combinant des approches statistiques et géographiques pour u</w:t>
      </w:r>
      <w:r>
        <w:rPr>
          <w:rFonts w:ascii="Tahoma" w:eastAsia="Times New Roman" w:hAnsi="Tahoma" w:cs="Tahoma"/>
          <w:sz w:val="24"/>
          <w:szCs w:val="24"/>
        </w:rPr>
        <w:t>ne compréhension approfondie du phénomène étudié</w:t>
      </w:r>
      <w:r w:rsidRPr="000A7532">
        <w:rPr>
          <w:rFonts w:ascii="Tahoma" w:eastAsia="Times New Roman" w:hAnsi="Tahoma" w:cs="Tahoma"/>
          <w:sz w:val="24"/>
          <w:szCs w:val="24"/>
        </w:rPr>
        <w:t>.</w:t>
      </w:r>
    </w:p>
    <w:p w:rsidR="008018BA" w:rsidRPr="005F5B4D" w:rsidRDefault="008018BA" w:rsidP="008018BA">
      <w:pPr>
        <w:widowControl w:val="0"/>
        <w:autoSpaceDE w:val="0"/>
        <w:autoSpaceDN w:val="0"/>
        <w:spacing w:after="0" w:line="360" w:lineRule="auto"/>
        <w:jc w:val="both"/>
        <w:rPr>
          <w:rFonts w:ascii="Tahoma" w:eastAsia="Times New Roman" w:hAnsi="Tahoma" w:cs="Tahoma"/>
          <w:sz w:val="2"/>
          <w:szCs w:val="2"/>
        </w:rPr>
      </w:pPr>
    </w:p>
    <w:p w:rsidR="008018BA" w:rsidRPr="00F37F63" w:rsidRDefault="008018BA" w:rsidP="00D051D7">
      <w:pPr>
        <w:pStyle w:val="Paragraphedeliste"/>
        <w:numPr>
          <w:ilvl w:val="0"/>
          <w:numId w:val="109"/>
        </w:numPr>
        <w:spacing w:before="74" w:line="360" w:lineRule="auto"/>
        <w:rPr>
          <w:rFonts w:ascii="Tahoma" w:hAnsi="Tahoma" w:cs="Tahoma"/>
          <w:b/>
          <w:bCs/>
          <w:color w:val="000000" w:themeColor="text1"/>
          <w:sz w:val="28"/>
          <w:szCs w:val="28"/>
          <w:lang w:eastAsia="fr-FR"/>
        </w:rPr>
      </w:pPr>
      <w:bookmarkStart w:id="48" w:name="_Toc182058799"/>
      <w:bookmarkStart w:id="49" w:name="_Toc186533791"/>
      <w:bookmarkStart w:id="50" w:name="_Toc201570815"/>
      <w:r w:rsidRPr="00F37F63">
        <w:rPr>
          <w:rFonts w:ascii="Tahoma" w:hAnsi="Tahoma" w:cs="Tahoma"/>
          <w:b/>
          <w:bCs/>
          <w:color w:val="000000" w:themeColor="text1"/>
          <w:sz w:val="28"/>
          <w:szCs w:val="28"/>
          <w:lang w:eastAsia="fr-FR"/>
        </w:rPr>
        <w:t>Intérêts et objectifs de la recherche</w:t>
      </w:r>
      <w:bookmarkStart w:id="51" w:name="_bookmark14"/>
      <w:bookmarkEnd w:id="48"/>
      <w:bookmarkEnd w:id="49"/>
      <w:bookmarkEnd w:id="50"/>
      <w:bookmarkEnd w:id="51"/>
    </w:p>
    <w:p w:rsidR="008018BA" w:rsidRPr="00F34328" w:rsidRDefault="008018BA" w:rsidP="008018BA">
      <w:pPr>
        <w:widowControl w:val="0"/>
        <w:autoSpaceDE w:val="0"/>
        <w:autoSpaceDN w:val="0"/>
        <w:spacing w:after="0" w:line="240" w:lineRule="auto"/>
        <w:rPr>
          <w:rFonts w:ascii="Times New Roman" w:eastAsia="Times New Roman" w:hAnsi="Times New Roman" w:cs="Times New Roman"/>
          <w:sz w:val="8"/>
          <w:szCs w:val="8"/>
          <w:lang w:eastAsia="fr-FR"/>
        </w:rPr>
      </w:pPr>
    </w:p>
    <w:p w:rsidR="008018BA" w:rsidRPr="00F37F63" w:rsidRDefault="008018BA" w:rsidP="008018BA">
      <w:pPr>
        <w:widowControl w:val="0"/>
        <w:autoSpaceDE w:val="0"/>
        <w:autoSpaceDN w:val="0"/>
        <w:spacing w:before="130" w:after="0" w:line="360" w:lineRule="auto"/>
        <w:jc w:val="both"/>
        <w:rPr>
          <w:rFonts w:ascii="Tahoma" w:eastAsia="Times New Roman" w:hAnsi="Tahoma" w:cs="Tahoma"/>
          <w:spacing w:val="-1"/>
          <w:sz w:val="24"/>
          <w:szCs w:val="24"/>
        </w:rPr>
      </w:pPr>
      <w:r w:rsidRPr="00F37F63">
        <w:rPr>
          <w:rFonts w:ascii="Tahoma" w:eastAsia="Times New Roman" w:hAnsi="Tahoma" w:cs="Tahoma"/>
          <w:spacing w:val="-1"/>
          <w:sz w:val="24"/>
          <w:szCs w:val="24"/>
        </w:rPr>
        <w:t>Le choix de la thématique de thèse représente une étape cruciale et déterminante dans le processus de la recherche académique. En effet, ce choix constitue le socle sur lequel s’articule la démarche intellectuelle du chercheur, orientant la formulation des problématiques, la sélection des méthodes, ainsi que l’interprétation des résultats.</w:t>
      </w:r>
    </w:p>
    <w:p w:rsidR="008018BA" w:rsidRPr="00F37F63" w:rsidRDefault="008018BA" w:rsidP="000C077A">
      <w:pPr>
        <w:widowControl w:val="0"/>
        <w:autoSpaceDE w:val="0"/>
        <w:autoSpaceDN w:val="0"/>
        <w:spacing w:before="130" w:after="0" w:line="360" w:lineRule="auto"/>
        <w:jc w:val="both"/>
        <w:rPr>
          <w:rFonts w:ascii="Tahoma" w:eastAsia="Times New Roman" w:hAnsi="Tahoma" w:cs="Tahoma"/>
          <w:spacing w:val="-1"/>
          <w:sz w:val="24"/>
          <w:szCs w:val="24"/>
        </w:rPr>
      </w:pPr>
      <w:r w:rsidRPr="00F37F63">
        <w:rPr>
          <w:rFonts w:ascii="Tahoma" w:eastAsia="Times New Roman" w:hAnsi="Tahoma" w:cs="Tahoma"/>
          <w:spacing w:val="-1"/>
          <w:sz w:val="24"/>
          <w:szCs w:val="24"/>
        </w:rPr>
        <w:t>Par ailleurs, la nature et l’étendue du sujet retenu jouent un rôle essentiel dans la mobilisation de la curiosité et de la motivation du doctorant. Elles nourrissent un engagement intellectuel profond, lequel se traduit par une volonté affirmée de participer activement à l’avancement des savoirs dans un domaine spécifique. Cette aspiration peut être guidée aussi bien par des préoccupations scientifiques, telles que la nécessité de combler des lacunes théoriques ou empiriques, que par des raisons d’ordre personnel, incluant des intérêts professionnels ou</w:t>
      </w:r>
      <w:r w:rsidR="000C077A">
        <w:rPr>
          <w:rFonts w:ascii="Tahoma" w:eastAsia="Times New Roman" w:hAnsi="Tahoma" w:cs="Tahoma"/>
          <w:spacing w:val="-1"/>
          <w:sz w:val="24"/>
          <w:szCs w:val="24"/>
        </w:rPr>
        <w:t xml:space="preserve"> des convictions </w:t>
      </w:r>
      <w:r w:rsidR="00F402AC">
        <w:rPr>
          <w:rFonts w:ascii="Tahoma" w:eastAsia="Times New Roman" w:hAnsi="Tahoma" w:cs="Tahoma"/>
          <w:spacing w:val="-1"/>
          <w:sz w:val="24"/>
          <w:szCs w:val="24"/>
        </w:rPr>
        <w:t>individuelles.</w:t>
      </w:r>
    </w:p>
    <w:p w:rsidR="008018BA" w:rsidRPr="00F37F63" w:rsidRDefault="008018BA" w:rsidP="008018BA">
      <w:pPr>
        <w:widowControl w:val="0"/>
        <w:autoSpaceDE w:val="0"/>
        <w:autoSpaceDN w:val="0"/>
        <w:spacing w:before="128" w:after="0" w:line="360" w:lineRule="auto"/>
        <w:jc w:val="both"/>
        <w:rPr>
          <w:rFonts w:ascii="Tahoma" w:eastAsia="Times New Roman" w:hAnsi="Tahoma" w:cs="Tahoma"/>
          <w:spacing w:val="-1"/>
          <w:sz w:val="24"/>
          <w:szCs w:val="24"/>
        </w:rPr>
      </w:pPr>
      <w:r w:rsidRPr="00F37F63">
        <w:rPr>
          <w:rFonts w:ascii="Tahoma" w:eastAsia="Times New Roman" w:hAnsi="Tahoma" w:cs="Tahoma"/>
          <w:spacing w:val="-1"/>
          <w:sz w:val="24"/>
          <w:szCs w:val="24"/>
        </w:rPr>
        <w:t>La présente thèse repose sur notre profonde conviction que la problématique de la dégradation des forêts, en raison de sa complexité intrinsèque et de ses nombreuses implications multidimensionnelles, ne peut être pleinement appréhendée par les seules sciences de l’ingénierie forestière, fondées principalement sur un savoir techniciste. En effet, la recherche dans le domaine des forêts requiert une démarche pluridisciplinaire, qui intègre les perspectives des sciences sociales, car les forêts ne sont pas uniquement des espaces naturels, mais également des espaces sociaux où s’entremêlent des dynamiques écologiques et humaines complexes.</w:t>
      </w:r>
    </w:p>
    <w:p w:rsidR="008018BA" w:rsidRPr="00F37F63" w:rsidRDefault="008018BA" w:rsidP="008018BA">
      <w:pPr>
        <w:widowControl w:val="0"/>
        <w:autoSpaceDE w:val="0"/>
        <w:autoSpaceDN w:val="0"/>
        <w:spacing w:before="128" w:after="0" w:line="360" w:lineRule="auto"/>
        <w:jc w:val="both"/>
        <w:rPr>
          <w:rFonts w:ascii="Tahoma" w:eastAsia="Times New Roman" w:hAnsi="Tahoma" w:cs="Tahoma"/>
          <w:spacing w:val="-1"/>
          <w:sz w:val="24"/>
          <w:szCs w:val="24"/>
        </w:rPr>
      </w:pPr>
      <w:r w:rsidRPr="00F37F63">
        <w:rPr>
          <w:rFonts w:ascii="Tahoma" w:eastAsia="Times New Roman" w:hAnsi="Tahoma" w:cs="Tahoma"/>
          <w:spacing w:val="-1"/>
          <w:sz w:val="24"/>
          <w:szCs w:val="24"/>
        </w:rPr>
        <w:t xml:space="preserve">Il apparaît dès lors nécessaire de réconcilier les savoirs issus de disciplines diverses et de construire des ponts entre elles, afin d’établir des connexions solides permettant d’interroger de manière critique les concepts, les principes, les logiques, les causalités ainsi que les interactions. Cette interrogation doit également porter sur les cadres juridiques, les dispositifs institutionnels, ainsi que sur les responsabilités des différents acteurs impliqués dans la gestion et la conservation des forêts. À cet égard, la transdisciplinarité s’impose comme un outil fondamental pour comprendre l’interdépendance étroite entre </w:t>
      </w:r>
      <w:r w:rsidRPr="00F37F63">
        <w:rPr>
          <w:rFonts w:ascii="Tahoma" w:eastAsia="Times New Roman" w:hAnsi="Tahoma" w:cs="Tahoma"/>
          <w:spacing w:val="-1"/>
          <w:sz w:val="24"/>
          <w:szCs w:val="24"/>
        </w:rPr>
        <w:lastRenderedPageBreak/>
        <w:t>les phénomènes naturels et les processus sociaux qui les influencent.</w:t>
      </w:r>
    </w:p>
    <w:p w:rsidR="008018BA" w:rsidRPr="00F37F63" w:rsidRDefault="008018BA" w:rsidP="008018BA">
      <w:pPr>
        <w:widowControl w:val="0"/>
        <w:autoSpaceDE w:val="0"/>
        <w:autoSpaceDN w:val="0"/>
        <w:spacing w:before="128" w:after="0" w:line="360" w:lineRule="auto"/>
        <w:jc w:val="both"/>
        <w:rPr>
          <w:rFonts w:ascii="Tahoma" w:eastAsia="Times New Roman" w:hAnsi="Tahoma" w:cs="Tahoma"/>
          <w:spacing w:val="-1"/>
          <w:sz w:val="24"/>
          <w:szCs w:val="24"/>
        </w:rPr>
      </w:pPr>
      <w:r w:rsidRPr="00F37F63">
        <w:rPr>
          <w:rFonts w:ascii="Tahoma" w:eastAsia="Times New Roman" w:hAnsi="Tahoma" w:cs="Tahoma"/>
          <w:spacing w:val="-1"/>
          <w:sz w:val="24"/>
          <w:szCs w:val="24"/>
        </w:rPr>
        <w:t>A cet égard, il s’avère nécessaire d’aborder l’objet de recherche comme un système organisé et dynamique, et non comme une entité figée ou isolée. Cette perspective favorise une confrontation constructive entre la théorie et la réalité, en s’inscrivant dans un cadre multidimensionnel intégrant les dimensions écologiques, économiques, sociales et culturelles. Une telle démarche permet de dépasser les visions fragmentaires et d’appréhender la complexité inhérente aux questions environnementales contemporaines.</w:t>
      </w:r>
    </w:p>
    <w:p w:rsidR="008018BA" w:rsidRPr="00F37F63" w:rsidRDefault="008018BA" w:rsidP="008018BA">
      <w:pPr>
        <w:widowControl w:val="0"/>
        <w:autoSpaceDE w:val="0"/>
        <w:autoSpaceDN w:val="0"/>
        <w:spacing w:before="128" w:after="0" w:line="360" w:lineRule="auto"/>
        <w:jc w:val="both"/>
        <w:rPr>
          <w:rFonts w:ascii="Tahoma" w:eastAsia="Times New Roman" w:hAnsi="Tahoma" w:cs="Tahoma"/>
          <w:spacing w:val="-1"/>
          <w:sz w:val="24"/>
          <w:szCs w:val="24"/>
        </w:rPr>
      </w:pPr>
      <w:r w:rsidRPr="00F37F63">
        <w:rPr>
          <w:rFonts w:ascii="Tahoma" w:eastAsia="Times New Roman" w:hAnsi="Tahoma" w:cs="Tahoma"/>
          <w:spacing w:val="-1"/>
          <w:sz w:val="24"/>
          <w:szCs w:val="24"/>
        </w:rPr>
        <w:t>Par ailleurs, cette recherche est également motivée par un intérêt personnel, étroitement lié à un engagement associatif dans le domaine de la protection de l’environnement naturel à travers la participation à des événements majeurs tels que la MedCOP, la PréCOP de Rabat, la COP22 de Marrakech, ainsi que diverses marches pour le climat et l’organisation d’ateliers sur les enjeux environnementaux, cette implication peut conférer à la démarche académique une dimension pragmatique et enrichissante. Ce double intérêt, à la fois scientifique et militant, peut constituer un atout important pour nourrir la réflexion et approfondir l’investigation menée dans le cadre de cette thèse.</w:t>
      </w:r>
    </w:p>
    <w:p w:rsidR="008018BA" w:rsidRPr="00F37F63" w:rsidRDefault="008018BA" w:rsidP="008018BA">
      <w:pPr>
        <w:widowControl w:val="0"/>
        <w:autoSpaceDE w:val="0"/>
        <w:autoSpaceDN w:val="0"/>
        <w:spacing w:before="128" w:after="0" w:line="360" w:lineRule="auto"/>
        <w:jc w:val="both"/>
        <w:rPr>
          <w:rFonts w:ascii="Tahoma" w:eastAsia="Times New Roman" w:hAnsi="Tahoma" w:cs="Tahoma"/>
          <w:sz w:val="24"/>
          <w:szCs w:val="24"/>
        </w:rPr>
      </w:pPr>
      <w:r w:rsidRPr="00F37F63">
        <w:rPr>
          <w:rFonts w:ascii="Tahoma" w:eastAsia="Times New Roman" w:hAnsi="Tahoma" w:cs="Tahoma"/>
          <w:sz w:val="24"/>
          <w:szCs w:val="24"/>
        </w:rPr>
        <w:t xml:space="preserve">La présente recherche a pour objectifs : </w:t>
      </w:r>
    </w:p>
    <w:p w:rsidR="008018BA" w:rsidRPr="00F37F63" w:rsidRDefault="008018BA" w:rsidP="008018BA">
      <w:pPr>
        <w:widowControl w:val="0"/>
        <w:numPr>
          <w:ilvl w:val="0"/>
          <w:numId w:val="2"/>
        </w:numPr>
        <w:autoSpaceDE w:val="0"/>
        <w:autoSpaceDN w:val="0"/>
        <w:spacing w:before="128" w:after="0" w:line="360" w:lineRule="auto"/>
        <w:ind w:left="426"/>
        <w:jc w:val="both"/>
        <w:rPr>
          <w:rFonts w:ascii="Tahoma" w:eastAsia="Times New Roman" w:hAnsi="Tahoma" w:cs="Tahoma"/>
          <w:sz w:val="24"/>
          <w:szCs w:val="24"/>
        </w:rPr>
      </w:pPr>
      <w:r w:rsidRPr="00F37F63">
        <w:rPr>
          <w:rFonts w:ascii="Tahoma" w:eastAsia="Times New Roman" w:hAnsi="Tahoma" w:cs="Tahoma"/>
          <w:sz w:val="24"/>
          <w:szCs w:val="24"/>
        </w:rPr>
        <w:t>Analyser le phénomène de la dégradation des forêts dans les zones rurales du Maroc, en accordant une attention particulière à la dimension socioéconomique, notamment sur le site de Korifla, ainsi qu’au mode de gestion adopté. Cette analyse a pour ambition de démontrer l’interdépendance étroite entre les facteurs écologiques et sociaux dans le processus de dégradation des ressources forestières. Plus précisément, il importe de souligner que les conditions socioéconomiques des populations rurales évaluées constituent un déterminant majeur de cette dégradation ;</w:t>
      </w:r>
    </w:p>
    <w:p w:rsidR="008018BA" w:rsidRPr="00F37F63" w:rsidRDefault="008018BA" w:rsidP="008018BA">
      <w:pPr>
        <w:widowControl w:val="0"/>
        <w:numPr>
          <w:ilvl w:val="0"/>
          <w:numId w:val="2"/>
        </w:numPr>
        <w:autoSpaceDE w:val="0"/>
        <w:autoSpaceDN w:val="0"/>
        <w:spacing w:before="128" w:after="0" w:line="360" w:lineRule="auto"/>
        <w:ind w:left="426"/>
        <w:jc w:val="both"/>
        <w:rPr>
          <w:rFonts w:ascii="Tahoma" w:eastAsia="Times New Roman" w:hAnsi="Tahoma" w:cs="Tahoma"/>
          <w:sz w:val="24"/>
          <w:szCs w:val="24"/>
        </w:rPr>
      </w:pPr>
      <w:r w:rsidRPr="00F37F63">
        <w:rPr>
          <w:rFonts w:ascii="Tahoma" w:hAnsi="Tahoma" w:cs="Tahoma"/>
          <w:sz w:val="24"/>
          <w:szCs w:val="24"/>
        </w:rPr>
        <w:t>Mettre en évidence que la construction et la protection d’un territoire reposent, de manière générale, sur l’harmonie et la participation active de l’ensemble des acteurs concernés. Cette condition apparaît comme une nécessité incontournable pour favoriser l’émergence d’un développement inclusif au sein des territoires ;</w:t>
      </w:r>
    </w:p>
    <w:p w:rsidR="008018BA" w:rsidRPr="00F37F63" w:rsidRDefault="008018BA" w:rsidP="008018BA">
      <w:pPr>
        <w:widowControl w:val="0"/>
        <w:numPr>
          <w:ilvl w:val="0"/>
          <w:numId w:val="2"/>
        </w:numPr>
        <w:autoSpaceDE w:val="0"/>
        <w:autoSpaceDN w:val="0"/>
        <w:spacing w:before="128" w:after="0" w:line="360" w:lineRule="auto"/>
        <w:ind w:left="426"/>
        <w:jc w:val="both"/>
        <w:rPr>
          <w:rFonts w:ascii="Tahoma" w:eastAsia="Times New Roman" w:hAnsi="Tahoma" w:cs="Tahoma"/>
          <w:sz w:val="24"/>
          <w:szCs w:val="24"/>
        </w:rPr>
      </w:pPr>
      <w:r w:rsidRPr="00F37F63">
        <w:rPr>
          <w:rFonts w:ascii="Tahoma" w:hAnsi="Tahoma" w:cs="Tahoma"/>
          <w:sz w:val="24"/>
          <w:szCs w:val="24"/>
        </w:rPr>
        <w:t>Élaborer un modèle explicatif du phénomène de dégradation des forêts rurales au Maroc, en s’appuyant sur l’étude de cas pratique conduite sur le site de Korifla ;</w:t>
      </w:r>
    </w:p>
    <w:p w:rsidR="00F0272E" w:rsidRPr="00F0272E" w:rsidRDefault="008018BA" w:rsidP="00F0272E">
      <w:pPr>
        <w:widowControl w:val="0"/>
        <w:numPr>
          <w:ilvl w:val="0"/>
          <w:numId w:val="2"/>
        </w:numPr>
        <w:autoSpaceDE w:val="0"/>
        <w:autoSpaceDN w:val="0"/>
        <w:spacing w:before="128" w:after="0" w:line="360" w:lineRule="auto"/>
        <w:ind w:left="426"/>
        <w:jc w:val="both"/>
        <w:rPr>
          <w:rFonts w:ascii="Tahoma" w:eastAsia="Times New Roman" w:hAnsi="Tahoma" w:cs="Tahoma"/>
          <w:sz w:val="24"/>
          <w:szCs w:val="24"/>
        </w:rPr>
      </w:pPr>
      <w:r w:rsidRPr="00F37F63">
        <w:rPr>
          <w:rFonts w:ascii="Tahoma" w:eastAsia="Times New Roman" w:hAnsi="Tahoma" w:cs="Tahoma"/>
          <w:sz w:val="24"/>
          <w:szCs w:val="24"/>
        </w:rPr>
        <w:lastRenderedPageBreak/>
        <w:t>Vérifier la validité des hypothèses formulées dans le contexte spécifique de la société marocaine contemporaine, en confirmant ou infirmant leur pertinence.</w:t>
      </w:r>
    </w:p>
    <w:p w:rsidR="008018BA" w:rsidRPr="00F0272E" w:rsidRDefault="008018BA" w:rsidP="008018BA">
      <w:pPr>
        <w:widowControl w:val="0"/>
        <w:autoSpaceDE w:val="0"/>
        <w:autoSpaceDN w:val="0"/>
        <w:spacing w:before="128" w:after="0" w:line="360" w:lineRule="auto"/>
        <w:jc w:val="both"/>
        <w:rPr>
          <w:rFonts w:ascii="Tahoma" w:eastAsia="Times New Roman" w:hAnsi="Tahoma" w:cs="Tahoma"/>
          <w:sz w:val="4"/>
          <w:szCs w:val="4"/>
        </w:rPr>
      </w:pPr>
    </w:p>
    <w:p w:rsidR="008018BA" w:rsidRPr="00F37F63" w:rsidRDefault="008018BA" w:rsidP="00D051D7">
      <w:pPr>
        <w:pStyle w:val="Paragraphedeliste"/>
        <w:numPr>
          <w:ilvl w:val="0"/>
          <w:numId w:val="109"/>
        </w:numPr>
        <w:spacing w:before="74" w:line="360" w:lineRule="auto"/>
        <w:rPr>
          <w:rFonts w:ascii="Tahoma" w:hAnsi="Tahoma" w:cs="Tahoma"/>
          <w:b/>
          <w:bCs/>
          <w:color w:val="000000" w:themeColor="text1"/>
          <w:sz w:val="28"/>
          <w:szCs w:val="28"/>
          <w:lang w:eastAsia="fr-FR"/>
        </w:rPr>
      </w:pPr>
      <w:r w:rsidRPr="00F37F63">
        <w:rPr>
          <w:rFonts w:ascii="Tahoma" w:hAnsi="Tahoma" w:cs="Tahoma"/>
          <w:b/>
          <w:bCs/>
          <w:color w:val="000000" w:themeColor="text1"/>
          <w:sz w:val="28"/>
          <w:szCs w:val="28"/>
          <w:lang w:eastAsia="fr-FR"/>
        </w:rPr>
        <w:t>Justification du plan de</w:t>
      </w:r>
      <w:r>
        <w:rPr>
          <w:rFonts w:ascii="Tahoma" w:hAnsi="Tahoma" w:cs="Tahoma"/>
          <w:b/>
          <w:bCs/>
          <w:color w:val="000000" w:themeColor="text1"/>
          <w:sz w:val="28"/>
          <w:szCs w:val="28"/>
          <w:lang w:eastAsia="fr-FR"/>
        </w:rPr>
        <w:t xml:space="preserve"> la</w:t>
      </w:r>
      <w:r w:rsidRPr="00F37F63">
        <w:rPr>
          <w:rFonts w:ascii="Tahoma" w:hAnsi="Tahoma" w:cs="Tahoma"/>
          <w:b/>
          <w:bCs/>
          <w:color w:val="000000" w:themeColor="text1"/>
          <w:sz w:val="28"/>
          <w:szCs w:val="28"/>
          <w:lang w:eastAsia="fr-FR"/>
        </w:rPr>
        <w:t xml:space="preserve"> recherche : </w:t>
      </w:r>
    </w:p>
    <w:p w:rsidR="008018BA" w:rsidRPr="00F37F63" w:rsidRDefault="008018BA" w:rsidP="008018BA">
      <w:pPr>
        <w:spacing w:before="136" w:line="360" w:lineRule="auto"/>
        <w:jc w:val="both"/>
        <w:rPr>
          <w:rFonts w:ascii="Tahoma" w:hAnsi="Tahoma" w:cs="Tahoma"/>
          <w:sz w:val="24"/>
          <w:szCs w:val="24"/>
        </w:rPr>
      </w:pPr>
      <w:r w:rsidRPr="00F37F63">
        <w:rPr>
          <w:rFonts w:ascii="Tahoma" w:hAnsi="Tahoma" w:cs="Tahoma"/>
          <w:sz w:val="24"/>
          <w:szCs w:val="24"/>
        </w:rPr>
        <w:t>L'architecture argumentative adoptée</w:t>
      </w:r>
      <w:r w:rsidR="002846E7">
        <w:rPr>
          <w:rFonts w:ascii="Tahoma" w:hAnsi="Tahoma" w:cs="Tahoma"/>
          <w:sz w:val="24"/>
          <w:szCs w:val="24"/>
        </w:rPr>
        <w:t xml:space="preserve"> dans la </w:t>
      </w:r>
      <w:r w:rsidR="00F402AC">
        <w:rPr>
          <w:rFonts w:ascii="Tahoma" w:hAnsi="Tahoma" w:cs="Tahoma"/>
          <w:sz w:val="24"/>
          <w:szCs w:val="24"/>
        </w:rPr>
        <w:t>présente recherche</w:t>
      </w:r>
      <w:r w:rsidRPr="00F37F63">
        <w:rPr>
          <w:rFonts w:ascii="Tahoma" w:hAnsi="Tahoma" w:cs="Tahoma"/>
          <w:sz w:val="24"/>
          <w:szCs w:val="24"/>
        </w:rPr>
        <w:t xml:space="preserve"> fait recours à deux grandes parties analytiques complémentaires. Le premier chapitre établit la matrice conceptuelle en révélant la coexistence conflictuelle entre institutions coutumières et modernes. Le deuxième chapitre développe une approche dialectique entre protection juridique et dynamiques de dégradation anthropique, révélant un double hiatus épistémologique entre dispositifs institutionnels et réalités socio-écologiques. </w:t>
      </w:r>
    </w:p>
    <w:p w:rsidR="008018BA" w:rsidRDefault="008018BA" w:rsidP="005A78CA">
      <w:pPr>
        <w:spacing w:after="0" w:line="360" w:lineRule="auto"/>
        <w:jc w:val="both"/>
        <w:rPr>
          <w:rFonts w:ascii="Tahoma" w:hAnsi="Tahoma" w:cs="Tahoma"/>
          <w:sz w:val="24"/>
          <w:szCs w:val="24"/>
        </w:rPr>
      </w:pPr>
      <w:r w:rsidRPr="00F37F63">
        <w:rPr>
          <w:rFonts w:ascii="Tahoma" w:hAnsi="Tahoma" w:cs="Tahoma"/>
          <w:sz w:val="24"/>
          <w:szCs w:val="24"/>
        </w:rPr>
        <w:t>Quant au</w:t>
      </w:r>
      <w:r w:rsidR="005A78CA">
        <w:rPr>
          <w:rFonts w:ascii="Tahoma" w:hAnsi="Tahoma" w:cs="Tahoma"/>
          <w:sz w:val="24"/>
          <w:szCs w:val="24"/>
        </w:rPr>
        <w:t xml:space="preserve"> dernier </w:t>
      </w:r>
      <w:r w:rsidRPr="00F37F63">
        <w:rPr>
          <w:rFonts w:ascii="Tahoma" w:hAnsi="Tahoma" w:cs="Tahoma"/>
          <w:sz w:val="24"/>
          <w:szCs w:val="24"/>
        </w:rPr>
        <w:t xml:space="preserve">chapitre de la deuxième partie, il </w:t>
      </w:r>
      <w:r w:rsidR="005A78CA">
        <w:rPr>
          <w:rFonts w:ascii="Tahoma" w:hAnsi="Tahoma" w:cs="Tahoma"/>
          <w:sz w:val="24"/>
          <w:szCs w:val="24"/>
        </w:rPr>
        <w:t>examine</w:t>
      </w:r>
      <w:r w:rsidRPr="00F37F63">
        <w:rPr>
          <w:rFonts w:ascii="Tahoma" w:hAnsi="Tahoma" w:cs="Tahoma"/>
          <w:sz w:val="24"/>
          <w:szCs w:val="24"/>
        </w:rPr>
        <w:t xml:space="preserve"> un approfondissement territorial à travers l'étude de cas de Korifla, révélant les contradictions des paradigmes contemporains de gestion territoriale. En définitive, le dernier chapitre propose une analyse systémique qui justifie l'existence d'un système d'accélérations mutuelles entre dégradation forestière et risque migratoire. </w:t>
      </w:r>
      <w:bookmarkStart w:id="52" w:name="_bookmark20"/>
      <w:bookmarkStart w:id="53" w:name="_Toc182058806"/>
      <w:bookmarkStart w:id="54" w:name="_Toc186533798"/>
      <w:bookmarkStart w:id="55" w:name="_Toc201570822"/>
      <w:bookmarkEnd w:id="52"/>
    </w:p>
    <w:p w:rsidR="005A78CA" w:rsidRPr="00F0272E" w:rsidRDefault="005A78CA" w:rsidP="00F0272E">
      <w:pPr>
        <w:spacing w:after="0" w:line="360" w:lineRule="auto"/>
        <w:jc w:val="both"/>
        <w:rPr>
          <w:rFonts w:ascii="Tahoma" w:hAnsi="Tahoma" w:cs="Tahoma"/>
          <w:sz w:val="24"/>
          <w:szCs w:val="24"/>
        </w:rPr>
      </w:pPr>
    </w:p>
    <w:p w:rsidR="008018BA" w:rsidRPr="00B45E69" w:rsidRDefault="008018BA" w:rsidP="00D051D7">
      <w:pPr>
        <w:pStyle w:val="Paragraphedeliste"/>
        <w:numPr>
          <w:ilvl w:val="0"/>
          <w:numId w:val="109"/>
        </w:numPr>
        <w:spacing w:line="360" w:lineRule="auto"/>
        <w:rPr>
          <w:rFonts w:ascii="Tahoma" w:hAnsi="Tahoma" w:cs="Tahoma"/>
          <w:b/>
          <w:bCs/>
          <w:color w:val="000000" w:themeColor="text1"/>
          <w:sz w:val="28"/>
          <w:szCs w:val="28"/>
          <w:lang w:eastAsia="fr-FR"/>
        </w:rPr>
      </w:pPr>
      <w:r w:rsidRPr="00B45E69">
        <w:rPr>
          <w:rFonts w:ascii="Tahoma" w:hAnsi="Tahoma" w:cs="Tahoma"/>
          <w:b/>
          <w:bCs/>
          <w:color w:val="000000" w:themeColor="text1"/>
          <w:sz w:val="28"/>
          <w:szCs w:val="28"/>
          <w:lang w:eastAsia="fr-FR"/>
        </w:rPr>
        <w:t>Limites de l’enquête</w:t>
      </w:r>
      <w:bookmarkEnd w:id="53"/>
      <w:bookmarkEnd w:id="54"/>
      <w:bookmarkEnd w:id="55"/>
      <w:r>
        <w:rPr>
          <w:rFonts w:ascii="Tahoma" w:hAnsi="Tahoma" w:cs="Tahoma"/>
          <w:b/>
          <w:bCs/>
          <w:color w:val="000000" w:themeColor="text1"/>
          <w:sz w:val="28"/>
          <w:szCs w:val="28"/>
          <w:lang w:eastAsia="fr-FR"/>
        </w:rPr>
        <w:t xml:space="preserve"> : </w:t>
      </w:r>
    </w:p>
    <w:p w:rsidR="008018BA" w:rsidRPr="00F34328" w:rsidRDefault="008018BA" w:rsidP="00F0272E">
      <w:pPr>
        <w:widowControl w:val="0"/>
        <w:autoSpaceDE w:val="0"/>
        <w:autoSpaceDN w:val="0"/>
        <w:spacing w:after="0" w:line="240" w:lineRule="auto"/>
        <w:jc w:val="both"/>
        <w:outlineLvl w:val="1"/>
        <w:rPr>
          <w:rFonts w:ascii="Times New Roman" w:eastAsia="Times New Roman" w:hAnsi="Times New Roman" w:cs="Times New Roman"/>
          <w:b/>
          <w:bCs/>
          <w:sz w:val="18"/>
          <w:szCs w:val="18"/>
        </w:rPr>
      </w:pPr>
    </w:p>
    <w:p w:rsidR="008018BA" w:rsidRPr="00C018D8" w:rsidRDefault="008018BA" w:rsidP="00F0272E">
      <w:pPr>
        <w:widowControl w:val="0"/>
        <w:autoSpaceDE w:val="0"/>
        <w:autoSpaceDN w:val="0"/>
        <w:spacing w:after="0" w:line="360" w:lineRule="auto"/>
        <w:jc w:val="both"/>
        <w:rPr>
          <w:rFonts w:ascii="Tahoma" w:eastAsia="Times New Roman" w:hAnsi="Tahoma" w:cs="Tahoma"/>
          <w:sz w:val="24"/>
          <w:szCs w:val="24"/>
        </w:rPr>
      </w:pPr>
      <w:r w:rsidRPr="00C018D8">
        <w:rPr>
          <w:rFonts w:ascii="Tahoma" w:eastAsia="Times New Roman" w:hAnsi="Tahoma" w:cs="Tahoma"/>
          <w:sz w:val="24"/>
          <w:szCs w:val="24"/>
        </w:rPr>
        <w:t xml:space="preserve">La présente enquête, menée dans le contexte d'une recherche doctorale, a été confrontée à plusieurs limitations méthodologiques et obstacles. </w:t>
      </w:r>
    </w:p>
    <w:p w:rsidR="008018BA" w:rsidRDefault="008018BA" w:rsidP="00F0272E">
      <w:pPr>
        <w:widowControl w:val="0"/>
        <w:autoSpaceDE w:val="0"/>
        <w:autoSpaceDN w:val="0"/>
        <w:spacing w:after="0" w:line="360" w:lineRule="auto"/>
        <w:jc w:val="both"/>
        <w:rPr>
          <w:rFonts w:ascii="Tahoma" w:eastAsia="Times New Roman" w:hAnsi="Tahoma" w:cs="Tahoma"/>
          <w:sz w:val="24"/>
          <w:szCs w:val="24"/>
          <w:lang w:eastAsia="fr-FR"/>
        </w:rPr>
      </w:pPr>
      <w:r w:rsidRPr="00C018D8">
        <w:rPr>
          <w:rFonts w:ascii="Tahoma" w:eastAsia="Times New Roman" w:hAnsi="Tahoma" w:cs="Tahoma"/>
          <w:sz w:val="24"/>
          <w:szCs w:val="24"/>
          <w:lang w:eastAsia="fr-FR"/>
        </w:rPr>
        <w:t>Premièrement, la distanciation objectivante vis-à-vis du sujet de recherche, en particulier face aux conditions socio-économiques précaires de la population rurale étudiée, a constitué un défi initial. L'objectivité scientifique, essentielle à la validité des données, exige un équilibre délicat entre une analyse rigoureuse et une empathie nécessaire à la compréhension des réalités vécues. Le maintien de cette neutralité émotionnelle, tout en reconnaissant et en respectant la situation des participants, a nécessité une vigilance constante tout au long du processus de collecte de données.</w:t>
      </w:r>
    </w:p>
    <w:p w:rsidR="008018BA" w:rsidRPr="00F34328" w:rsidRDefault="008018BA" w:rsidP="008018BA">
      <w:pPr>
        <w:widowControl w:val="0"/>
        <w:autoSpaceDE w:val="0"/>
        <w:autoSpaceDN w:val="0"/>
        <w:spacing w:after="0" w:line="360" w:lineRule="auto"/>
        <w:jc w:val="both"/>
        <w:rPr>
          <w:rFonts w:ascii="Tahoma" w:eastAsia="Times New Roman" w:hAnsi="Tahoma" w:cs="Tahoma"/>
          <w:sz w:val="12"/>
          <w:szCs w:val="12"/>
          <w:lang w:eastAsia="fr-FR"/>
        </w:rPr>
      </w:pPr>
    </w:p>
    <w:p w:rsidR="008018BA" w:rsidRPr="000A7532" w:rsidRDefault="008018BA" w:rsidP="008018BA">
      <w:pPr>
        <w:widowControl w:val="0"/>
        <w:autoSpaceDE w:val="0"/>
        <w:autoSpaceDN w:val="0"/>
        <w:spacing w:after="0" w:line="360" w:lineRule="auto"/>
        <w:jc w:val="both"/>
        <w:rPr>
          <w:rFonts w:ascii="Tahoma" w:eastAsia="Times New Roman" w:hAnsi="Tahoma" w:cs="Tahoma"/>
          <w:sz w:val="24"/>
          <w:szCs w:val="24"/>
          <w:lang w:eastAsia="fr-FR"/>
        </w:rPr>
      </w:pPr>
      <w:r w:rsidRPr="000A7532">
        <w:rPr>
          <w:rFonts w:ascii="Tahoma" w:eastAsia="Times New Roman" w:hAnsi="Tahoma" w:cs="Tahoma"/>
          <w:sz w:val="24"/>
          <w:szCs w:val="24"/>
          <w:lang w:eastAsia="fr-FR"/>
        </w:rPr>
        <w:t xml:space="preserve">Deuxièmement, l'établissement d'une relation de confiance avec la population rurale s'est avéré cruciale pour garantir la participation et l'authenticité des réponses. Cette démarche a impliqué un investissement conséquent en temps pour s'identifier auprès des enquêtés, expliciter les objectifs de la recherche de manière transparente et souligner la nature </w:t>
      </w:r>
      <w:r w:rsidRPr="000A7532">
        <w:rPr>
          <w:rFonts w:ascii="Tahoma" w:eastAsia="Times New Roman" w:hAnsi="Tahoma" w:cs="Tahoma"/>
          <w:sz w:val="24"/>
          <w:szCs w:val="24"/>
          <w:lang w:eastAsia="fr-FR"/>
        </w:rPr>
        <w:lastRenderedPageBreak/>
        <w:t>volontaire et la valeur de leur contribution. Le recours à une personne ressource locale, en l'occurrence l'épicier de la zone d'étude, a facilité cette intégration et a permis de surmonter les réticences initiales, contribuant ainsi à la création d'un climat de confiance propice à la collecte d'informations fiables.</w:t>
      </w:r>
    </w:p>
    <w:p w:rsidR="008018BA" w:rsidRDefault="008018BA" w:rsidP="008018BA">
      <w:pPr>
        <w:widowControl w:val="0"/>
        <w:autoSpaceDE w:val="0"/>
        <w:autoSpaceDN w:val="0"/>
        <w:spacing w:after="0" w:line="360" w:lineRule="auto"/>
        <w:jc w:val="both"/>
        <w:rPr>
          <w:rFonts w:ascii="Tahoma" w:eastAsia="Times New Roman" w:hAnsi="Tahoma" w:cs="Tahoma"/>
          <w:sz w:val="24"/>
          <w:szCs w:val="24"/>
        </w:rPr>
      </w:pPr>
      <w:r w:rsidRPr="000A7532">
        <w:rPr>
          <w:rFonts w:ascii="Tahoma" w:eastAsia="Times New Roman" w:hAnsi="Tahoma" w:cs="Tahoma"/>
          <w:sz w:val="24"/>
          <w:szCs w:val="24"/>
        </w:rPr>
        <w:t xml:space="preserve">Par ailleurs, la pénurie de données quantitatives de références et d’études traitant les problématiques liées aux domaines forestiers au Maroc se présente également comme difficulté majeure. </w:t>
      </w:r>
      <w:r w:rsidRPr="00C018D8">
        <w:rPr>
          <w:rFonts w:ascii="Tahoma" w:eastAsia="Times New Roman" w:hAnsi="Tahoma" w:cs="Tahoma"/>
          <w:sz w:val="24"/>
          <w:szCs w:val="24"/>
        </w:rPr>
        <w:t>L'inexistence</w:t>
      </w:r>
      <w:r w:rsidRPr="000A7532">
        <w:rPr>
          <w:rFonts w:ascii="Tahoma" w:eastAsia="Times New Roman" w:hAnsi="Tahoma" w:cs="Tahoma"/>
          <w:sz w:val="24"/>
          <w:szCs w:val="24"/>
        </w:rPr>
        <w:t xml:space="preserve"> de plans de développement homologués de la zone d’étude se pose aussi avec acuité limitant ainsi l’analyse de l’historique des actions et choix publics des acteurs pour le développement du domaine forestier étudié.</w:t>
      </w:r>
    </w:p>
    <w:p w:rsidR="008018BA" w:rsidRDefault="008018BA" w:rsidP="008018BA">
      <w:pPr>
        <w:widowControl w:val="0"/>
        <w:autoSpaceDE w:val="0"/>
        <w:autoSpaceDN w:val="0"/>
        <w:spacing w:after="0" w:line="360" w:lineRule="auto"/>
        <w:jc w:val="both"/>
        <w:rPr>
          <w:rFonts w:ascii="Tahoma" w:eastAsia="Times New Roman" w:hAnsi="Tahoma" w:cs="Tahoma"/>
          <w:sz w:val="24"/>
          <w:szCs w:val="24"/>
        </w:rPr>
      </w:pPr>
    </w:p>
    <w:p w:rsidR="008018BA" w:rsidRDefault="008018BA" w:rsidP="008018BA">
      <w:pPr>
        <w:widowControl w:val="0"/>
        <w:autoSpaceDE w:val="0"/>
        <w:autoSpaceDN w:val="0"/>
        <w:spacing w:after="0" w:line="360" w:lineRule="auto"/>
        <w:jc w:val="both"/>
        <w:rPr>
          <w:rFonts w:ascii="Tahoma" w:eastAsia="Times New Roman" w:hAnsi="Tahoma" w:cs="Tahoma"/>
          <w:sz w:val="24"/>
          <w:szCs w:val="24"/>
        </w:rPr>
      </w:pPr>
    </w:p>
    <w:p w:rsidR="004074BC" w:rsidRDefault="004074BC" w:rsidP="0057456E">
      <w:pPr>
        <w:widowControl w:val="0"/>
        <w:autoSpaceDE w:val="0"/>
        <w:autoSpaceDN w:val="0"/>
        <w:spacing w:after="0" w:line="360" w:lineRule="auto"/>
        <w:ind w:left="708"/>
        <w:jc w:val="both"/>
        <w:rPr>
          <w:rFonts w:ascii="Tahoma" w:eastAsia="Times New Roman" w:hAnsi="Tahoma" w:cs="Tahoma"/>
          <w:sz w:val="24"/>
          <w:szCs w:val="24"/>
        </w:rPr>
      </w:pPr>
    </w:p>
    <w:p w:rsidR="00F0272E" w:rsidRDefault="00F0272E" w:rsidP="0057456E">
      <w:pPr>
        <w:widowControl w:val="0"/>
        <w:autoSpaceDE w:val="0"/>
        <w:autoSpaceDN w:val="0"/>
        <w:spacing w:after="0" w:line="360" w:lineRule="auto"/>
        <w:ind w:left="708"/>
        <w:jc w:val="both"/>
        <w:rPr>
          <w:rFonts w:ascii="Tahoma" w:eastAsia="Times New Roman" w:hAnsi="Tahoma" w:cs="Tahoma"/>
          <w:sz w:val="24"/>
          <w:szCs w:val="24"/>
        </w:rPr>
      </w:pPr>
    </w:p>
    <w:p w:rsidR="00F0272E" w:rsidRDefault="00F0272E" w:rsidP="0057456E">
      <w:pPr>
        <w:widowControl w:val="0"/>
        <w:autoSpaceDE w:val="0"/>
        <w:autoSpaceDN w:val="0"/>
        <w:spacing w:after="0" w:line="360" w:lineRule="auto"/>
        <w:ind w:left="708"/>
        <w:jc w:val="both"/>
        <w:rPr>
          <w:rFonts w:ascii="Tahoma" w:eastAsia="Times New Roman" w:hAnsi="Tahoma" w:cs="Tahoma"/>
          <w:sz w:val="24"/>
          <w:szCs w:val="24"/>
        </w:rPr>
      </w:pPr>
    </w:p>
    <w:p w:rsidR="00F0272E" w:rsidRDefault="00F0272E" w:rsidP="0057456E">
      <w:pPr>
        <w:widowControl w:val="0"/>
        <w:autoSpaceDE w:val="0"/>
        <w:autoSpaceDN w:val="0"/>
        <w:spacing w:after="0" w:line="360" w:lineRule="auto"/>
        <w:ind w:left="708"/>
        <w:jc w:val="both"/>
        <w:rPr>
          <w:rFonts w:ascii="Tahoma" w:eastAsia="Times New Roman" w:hAnsi="Tahoma" w:cs="Tahoma"/>
          <w:sz w:val="24"/>
          <w:szCs w:val="24"/>
        </w:rPr>
      </w:pPr>
    </w:p>
    <w:p w:rsidR="00F0272E" w:rsidRDefault="00F0272E" w:rsidP="0057456E">
      <w:pPr>
        <w:widowControl w:val="0"/>
        <w:autoSpaceDE w:val="0"/>
        <w:autoSpaceDN w:val="0"/>
        <w:spacing w:after="0" w:line="360" w:lineRule="auto"/>
        <w:ind w:left="708"/>
        <w:jc w:val="both"/>
        <w:rPr>
          <w:rFonts w:ascii="Tahoma" w:eastAsia="Times New Roman" w:hAnsi="Tahoma" w:cs="Tahoma"/>
          <w:sz w:val="24"/>
          <w:szCs w:val="24"/>
        </w:rPr>
      </w:pPr>
    </w:p>
    <w:p w:rsidR="00F0272E" w:rsidRDefault="00F0272E" w:rsidP="0057456E">
      <w:pPr>
        <w:widowControl w:val="0"/>
        <w:autoSpaceDE w:val="0"/>
        <w:autoSpaceDN w:val="0"/>
        <w:spacing w:after="0" w:line="360" w:lineRule="auto"/>
        <w:ind w:left="708"/>
        <w:jc w:val="both"/>
        <w:rPr>
          <w:rFonts w:ascii="Tahoma" w:eastAsia="Times New Roman" w:hAnsi="Tahoma" w:cs="Tahoma"/>
          <w:sz w:val="24"/>
          <w:szCs w:val="24"/>
        </w:rPr>
      </w:pPr>
    </w:p>
    <w:p w:rsidR="002E4C77" w:rsidRDefault="002E4C77">
      <w:pPr>
        <w:rPr>
          <w:rFonts w:ascii="Tahoma" w:eastAsia="Times New Roman" w:hAnsi="Tahoma" w:cs="Tahoma"/>
          <w:sz w:val="24"/>
          <w:szCs w:val="24"/>
        </w:rPr>
      </w:pPr>
      <w:r>
        <w:rPr>
          <w:rFonts w:ascii="Tahoma" w:eastAsia="Times New Roman" w:hAnsi="Tahoma" w:cs="Tahoma"/>
          <w:sz w:val="24"/>
          <w:szCs w:val="24"/>
        </w:rPr>
        <w:br w:type="page"/>
      </w:r>
    </w:p>
    <w:p w:rsidR="00F0272E" w:rsidRDefault="00F0272E" w:rsidP="0057456E">
      <w:pPr>
        <w:widowControl w:val="0"/>
        <w:autoSpaceDE w:val="0"/>
        <w:autoSpaceDN w:val="0"/>
        <w:spacing w:after="0" w:line="360" w:lineRule="auto"/>
        <w:ind w:left="708"/>
        <w:jc w:val="both"/>
        <w:rPr>
          <w:rFonts w:ascii="Tahoma" w:eastAsia="Times New Roman" w:hAnsi="Tahoma" w:cs="Tahoma"/>
          <w:sz w:val="24"/>
          <w:szCs w:val="24"/>
        </w:rPr>
      </w:pPr>
    </w:p>
    <w:p w:rsidR="002E4C77" w:rsidRDefault="002E4C77" w:rsidP="0057456E">
      <w:pPr>
        <w:widowControl w:val="0"/>
        <w:autoSpaceDE w:val="0"/>
        <w:autoSpaceDN w:val="0"/>
        <w:spacing w:after="0" w:line="360" w:lineRule="auto"/>
        <w:ind w:left="708"/>
        <w:jc w:val="both"/>
        <w:rPr>
          <w:rFonts w:ascii="Tahoma" w:eastAsia="Times New Roman" w:hAnsi="Tahoma" w:cs="Tahoma"/>
          <w:sz w:val="24"/>
          <w:szCs w:val="24"/>
        </w:rPr>
      </w:pPr>
    </w:p>
    <w:p w:rsidR="002E4C77" w:rsidRDefault="002E4C77" w:rsidP="0057456E">
      <w:pPr>
        <w:widowControl w:val="0"/>
        <w:autoSpaceDE w:val="0"/>
        <w:autoSpaceDN w:val="0"/>
        <w:spacing w:after="0" w:line="360" w:lineRule="auto"/>
        <w:ind w:left="708"/>
        <w:jc w:val="both"/>
        <w:rPr>
          <w:rFonts w:ascii="Tahoma" w:eastAsia="Times New Roman" w:hAnsi="Tahoma" w:cs="Tahoma"/>
          <w:sz w:val="24"/>
          <w:szCs w:val="24"/>
        </w:rPr>
      </w:pPr>
    </w:p>
    <w:p w:rsidR="002E4C77" w:rsidRDefault="002E4C77" w:rsidP="0057456E">
      <w:pPr>
        <w:widowControl w:val="0"/>
        <w:autoSpaceDE w:val="0"/>
        <w:autoSpaceDN w:val="0"/>
        <w:spacing w:after="0" w:line="360" w:lineRule="auto"/>
        <w:ind w:left="708"/>
        <w:jc w:val="both"/>
        <w:rPr>
          <w:rFonts w:ascii="Tahoma" w:eastAsia="Times New Roman" w:hAnsi="Tahoma" w:cs="Tahoma"/>
          <w:sz w:val="24"/>
          <w:szCs w:val="24"/>
        </w:rPr>
      </w:pPr>
    </w:p>
    <w:p w:rsidR="002E4C77" w:rsidRDefault="002E4C77" w:rsidP="0057456E">
      <w:pPr>
        <w:widowControl w:val="0"/>
        <w:autoSpaceDE w:val="0"/>
        <w:autoSpaceDN w:val="0"/>
        <w:spacing w:after="0" w:line="360" w:lineRule="auto"/>
        <w:ind w:left="708"/>
        <w:jc w:val="both"/>
        <w:rPr>
          <w:rFonts w:ascii="Tahoma" w:eastAsia="Times New Roman" w:hAnsi="Tahoma" w:cs="Tahoma"/>
          <w:sz w:val="24"/>
          <w:szCs w:val="24"/>
        </w:rPr>
      </w:pPr>
    </w:p>
    <w:p w:rsidR="002E4C77" w:rsidRDefault="002E4C77" w:rsidP="0057456E">
      <w:pPr>
        <w:widowControl w:val="0"/>
        <w:autoSpaceDE w:val="0"/>
        <w:autoSpaceDN w:val="0"/>
        <w:spacing w:after="0" w:line="360" w:lineRule="auto"/>
        <w:ind w:left="708"/>
        <w:jc w:val="both"/>
        <w:rPr>
          <w:rFonts w:ascii="Tahoma" w:eastAsia="Times New Roman" w:hAnsi="Tahoma" w:cs="Tahoma"/>
          <w:sz w:val="24"/>
          <w:szCs w:val="24"/>
        </w:rPr>
      </w:pPr>
    </w:p>
    <w:p w:rsidR="002E4C77" w:rsidRDefault="002E4C77" w:rsidP="0057456E">
      <w:pPr>
        <w:widowControl w:val="0"/>
        <w:autoSpaceDE w:val="0"/>
        <w:autoSpaceDN w:val="0"/>
        <w:spacing w:after="0" w:line="360" w:lineRule="auto"/>
        <w:ind w:left="708"/>
        <w:jc w:val="both"/>
        <w:rPr>
          <w:rFonts w:ascii="Tahoma" w:eastAsia="Times New Roman" w:hAnsi="Tahoma" w:cs="Tahoma"/>
          <w:sz w:val="24"/>
          <w:szCs w:val="24"/>
        </w:rPr>
      </w:pPr>
    </w:p>
    <w:p w:rsidR="00F0272E" w:rsidRPr="002462E6" w:rsidRDefault="00F0272E" w:rsidP="0057456E">
      <w:pPr>
        <w:widowControl w:val="0"/>
        <w:autoSpaceDE w:val="0"/>
        <w:autoSpaceDN w:val="0"/>
        <w:spacing w:after="0" w:line="360" w:lineRule="auto"/>
        <w:ind w:left="708"/>
        <w:jc w:val="both"/>
        <w:rPr>
          <w:rFonts w:ascii="Tahoma" w:eastAsia="Times New Roman" w:hAnsi="Tahoma" w:cs="Tahoma"/>
          <w:sz w:val="24"/>
          <w:szCs w:val="24"/>
        </w:rPr>
      </w:pPr>
    </w:p>
    <w:p w:rsidR="004074BC" w:rsidRPr="002462E6" w:rsidRDefault="004074BC" w:rsidP="0057456E">
      <w:pPr>
        <w:widowControl w:val="0"/>
        <w:autoSpaceDE w:val="0"/>
        <w:autoSpaceDN w:val="0"/>
        <w:spacing w:after="0" w:line="360" w:lineRule="auto"/>
        <w:ind w:left="708"/>
        <w:jc w:val="both"/>
        <w:rPr>
          <w:rFonts w:ascii="Tahoma" w:eastAsia="Times New Roman" w:hAnsi="Tahoma" w:cs="Tahoma"/>
          <w:sz w:val="24"/>
          <w:szCs w:val="24"/>
        </w:rPr>
      </w:pPr>
    </w:p>
    <w:p w:rsidR="004074BC" w:rsidRPr="002462E6" w:rsidRDefault="004074BC" w:rsidP="0057456E">
      <w:pPr>
        <w:widowControl w:val="0"/>
        <w:autoSpaceDE w:val="0"/>
        <w:autoSpaceDN w:val="0"/>
        <w:spacing w:after="0" w:line="360" w:lineRule="auto"/>
        <w:ind w:left="708"/>
        <w:jc w:val="both"/>
        <w:rPr>
          <w:rFonts w:ascii="Tahoma" w:eastAsia="Times New Roman" w:hAnsi="Tahoma" w:cs="Tahoma"/>
          <w:sz w:val="24"/>
          <w:szCs w:val="24"/>
        </w:rPr>
      </w:pPr>
    </w:p>
    <w:p w:rsidR="00C018D8" w:rsidRPr="002462E6" w:rsidRDefault="00C018D8" w:rsidP="0057456E">
      <w:pPr>
        <w:widowControl w:val="0"/>
        <w:autoSpaceDE w:val="0"/>
        <w:autoSpaceDN w:val="0"/>
        <w:spacing w:after="0" w:line="360" w:lineRule="auto"/>
        <w:ind w:left="708"/>
        <w:jc w:val="both"/>
        <w:rPr>
          <w:rFonts w:ascii="Tahoma" w:eastAsia="Times New Roman" w:hAnsi="Tahoma" w:cs="Tahoma"/>
          <w:sz w:val="24"/>
          <w:szCs w:val="24"/>
        </w:rPr>
      </w:pPr>
    </w:p>
    <w:p w:rsidR="00062602" w:rsidRPr="002462E6" w:rsidRDefault="00062602" w:rsidP="00062602">
      <w:pPr>
        <w:widowControl w:val="0"/>
        <w:autoSpaceDE w:val="0"/>
        <w:autoSpaceDN w:val="0"/>
        <w:spacing w:after="0" w:line="360" w:lineRule="auto"/>
        <w:ind w:left="708"/>
        <w:jc w:val="both"/>
        <w:rPr>
          <w:rFonts w:ascii="Tahoma" w:eastAsia="Times New Roman" w:hAnsi="Tahoma" w:cs="Tahoma"/>
          <w:sz w:val="36"/>
          <w:szCs w:val="36"/>
        </w:rPr>
      </w:pPr>
      <w:r w:rsidRPr="002462E6">
        <w:rPr>
          <w:rFonts w:ascii="Tahoma" w:eastAsia="Calibri Light" w:hAnsi="Tahoma" w:cs="Calibri Light"/>
          <w:b/>
          <w:color w:val="6E9400" w:themeColor="accent1" w:themeShade="BF"/>
          <w:sz w:val="32"/>
          <w:szCs w:val="32"/>
        </w:rPr>
        <w:t>« People dependent upon renewable natural resources have evolved ways of managing them properly. When they have failed to do so, the people, the resources, or both have disappeared »,</w:t>
      </w:r>
      <w:r w:rsidRPr="002462E6">
        <w:rPr>
          <w:rFonts w:ascii="Tahoma" w:eastAsia="Times New Roman" w:hAnsi="Tahoma" w:cs="Tahoma"/>
          <w:i/>
          <w:iCs/>
          <w:sz w:val="36"/>
          <w:szCs w:val="36"/>
        </w:rPr>
        <w:t xml:space="preserve"> </w:t>
      </w:r>
      <w:r w:rsidRPr="002462E6">
        <w:rPr>
          <w:rFonts w:ascii="Tahoma" w:eastAsia="Times New Roman" w:hAnsi="Tahoma" w:cs="Tahoma"/>
          <w:sz w:val="36"/>
          <w:szCs w:val="36"/>
        </w:rPr>
        <w:t>M.S. SWAMINATHAN</w:t>
      </w:r>
      <w:r w:rsidRPr="002462E6">
        <w:rPr>
          <w:rStyle w:val="Appelnotedebasdep"/>
          <w:rFonts w:ascii="Tahoma" w:eastAsia="Times New Roman" w:hAnsi="Tahoma" w:cs="Tahoma"/>
          <w:sz w:val="36"/>
          <w:szCs w:val="36"/>
        </w:rPr>
        <w:footnoteReference w:id="112"/>
      </w:r>
    </w:p>
    <w:p w:rsidR="00062602" w:rsidRPr="002462E6" w:rsidRDefault="00062602" w:rsidP="00062602">
      <w:pPr>
        <w:widowControl w:val="0"/>
        <w:autoSpaceDE w:val="0"/>
        <w:autoSpaceDN w:val="0"/>
        <w:spacing w:after="0" w:line="360" w:lineRule="auto"/>
        <w:ind w:left="708"/>
        <w:jc w:val="both"/>
        <w:rPr>
          <w:rFonts w:ascii="Tahoma" w:eastAsia="Times New Roman" w:hAnsi="Tahoma" w:cs="Tahoma"/>
          <w:sz w:val="24"/>
          <w:szCs w:val="24"/>
        </w:rPr>
      </w:pPr>
    </w:p>
    <w:p w:rsidR="00062602" w:rsidRPr="002462E6" w:rsidRDefault="00062602" w:rsidP="0057456E">
      <w:pPr>
        <w:widowControl w:val="0"/>
        <w:autoSpaceDE w:val="0"/>
        <w:autoSpaceDN w:val="0"/>
        <w:spacing w:after="0" w:line="360" w:lineRule="auto"/>
        <w:ind w:left="708"/>
        <w:jc w:val="both"/>
        <w:rPr>
          <w:rFonts w:ascii="Tahoma" w:eastAsia="Times New Roman" w:hAnsi="Tahoma" w:cs="Tahoma"/>
          <w:sz w:val="24"/>
          <w:szCs w:val="24"/>
        </w:rPr>
      </w:pPr>
    </w:p>
    <w:p w:rsidR="00062602" w:rsidRPr="002462E6" w:rsidRDefault="00062602" w:rsidP="0057456E">
      <w:pPr>
        <w:widowControl w:val="0"/>
        <w:autoSpaceDE w:val="0"/>
        <w:autoSpaceDN w:val="0"/>
        <w:spacing w:after="0" w:line="360" w:lineRule="auto"/>
        <w:ind w:left="708"/>
        <w:jc w:val="both"/>
        <w:rPr>
          <w:rFonts w:ascii="Tahoma" w:eastAsia="Times New Roman" w:hAnsi="Tahoma" w:cs="Tahoma"/>
          <w:sz w:val="24"/>
          <w:szCs w:val="24"/>
        </w:rPr>
      </w:pPr>
    </w:p>
    <w:p w:rsidR="00062602" w:rsidRPr="002462E6" w:rsidRDefault="00062602" w:rsidP="0057456E">
      <w:pPr>
        <w:widowControl w:val="0"/>
        <w:autoSpaceDE w:val="0"/>
        <w:autoSpaceDN w:val="0"/>
        <w:spacing w:after="0" w:line="360" w:lineRule="auto"/>
        <w:ind w:left="708"/>
        <w:jc w:val="both"/>
        <w:rPr>
          <w:rFonts w:ascii="Tahoma" w:eastAsia="Times New Roman" w:hAnsi="Tahoma" w:cs="Tahoma"/>
          <w:sz w:val="24"/>
          <w:szCs w:val="24"/>
        </w:rPr>
      </w:pPr>
    </w:p>
    <w:p w:rsidR="00062602" w:rsidRPr="002462E6" w:rsidRDefault="00062602" w:rsidP="0057456E">
      <w:pPr>
        <w:widowControl w:val="0"/>
        <w:autoSpaceDE w:val="0"/>
        <w:autoSpaceDN w:val="0"/>
        <w:spacing w:after="0" w:line="360" w:lineRule="auto"/>
        <w:ind w:left="708"/>
        <w:jc w:val="both"/>
        <w:rPr>
          <w:rFonts w:ascii="Tahoma" w:eastAsia="Times New Roman" w:hAnsi="Tahoma" w:cs="Tahoma"/>
          <w:sz w:val="24"/>
          <w:szCs w:val="24"/>
        </w:rPr>
      </w:pPr>
    </w:p>
    <w:p w:rsidR="00062602" w:rsidRPr="002462E6" w:rsidRDefault="00062602" w:rsidP="0057456E">
      <w:pPr>
        <w:widowControl w:val="0"/>
        <w:autoSpaceDE w:val="0"/>
        <w:autoSpaceDN w:val="0"/>
        <w:spacing w:after="0" w:line="360" w:lineRule="auto"/>
        <w:ind w:left="708"/>
        <w:jc w:val="both"/>
        <w:rPr>
          <w:rFonts w:ascii="Tahoma" w:eastAsia="Times New Roman" w:hAnsi="Tahoma" w:cs="Tahoma"/>
          <w:sz w:val="24"/>
          <w:szCs w:val="24"/>
        </w:rPr>
      </w:pPr>
    </w:p>
    <w:p w:rsidR="00EB21FD" w:rsidRPr="002462E6" w:rsidRDefault="00EB21FD">
      <w:pPr>
        <w:rPr>
          <w:rFonts w:ascii="Tahoma" w:eastAsia="Times New Roman" w:hAnsi="Tahoma" w:cs="Tahoma"/>
          <w:sz w:val="24"/>
          <w:szCs w:val="24"/>
        </w:rPr>
      </w:pPr>
      <w:r w:rsidRPr="002462E6">
        <w:rPr>
          <w:rFonts w:ascii="Tahoma" w:eastAsia="Times New Roman" w:hAnsi="Tahoma" w:cs="Tahoma"/>
          <w:sz w:val="24"/>
          <w:szCs w:val="24"/>
        </w:rPr>
        <w:br w:type="page"/>
      </w:r>
    </w:p>
    <w:p w:rsidR="00062602" w:rsidRPr="002462E6" w:rsidRDefault="00EB21FD" w:rsidP="0057456E">
      <w:pPr>
        <w:widowControl w:val="0"/>
        <w:autoSpaceDE w:val="0"/>
        <w:autoSpaceDN w:val="0"/>
        <w:spacing w:after="0" w:line="360" w:lineRule="auto"/>
        <w:ind w:left="708"/>
        <w:jc w:val="both"/>
        <w:rPr>
          <w:rFonts w:ascii="Tahoma" w:eastAsia="Times New Roman" w:hAnsi="Tahoma" w:cs="Tahoma"/>
          <w:sz w:val="24"/>
          <w:szCs w:val="24"/>
        </w:rPr>
      </w:pPr>
      <w:r w:rsidRPr="002462E6">
        <w:rPr>
          <w:rFonts w:ascii="Tahoma" w:eastAsia="Calibri" w:hAnsi="Tahoma" w:cs="Tahoma"/>
          <w:b/>
          <w:bCs/>
          <w:noProof/>
          <w:color w:val="00B050"/>
          <w:spacing w:val="5"/>
          <w:kern w:val="28"/>
          <w:sz w:val="32"/>
          <w:szCs w:val="32"/>
          <w:lang w:eastAsia="fr-FR"/>
        </w:rPr>
        <w:lastRenderedPageBreak/>
        <mc:AlternateContent>
          <mc:Choice Requires="wps">
            <w:drawing>
              <wp:anchor distT="0" distB="0" distL="114300" distR="114300" simplePos="0" relativeHeight="251757568" behindDoc="0" locked="0" layoutInCell="1" allowOverlap="1" wp14:anchorId="59446026" wp14:editId="2F298007">
                <wp:simplePos x="0" y="0"/>
                <wp:positionH relativeFrom="column">
                  <wp:posOffset>-105410</wp:posOffset>
                </wp:positionH>
                <wp:positionV relativeFrom="paragraph">
                  <wp:posOffset>-368300</wp:posOffset>
                </wp:positionV>
                <wp:extent cx="6593205" cy="9838690"/>
                <wp:effectExtent l="19050" t="19050" r="36195" b="29210"/>
                <wp:wrapNone/>
                <wp:docPr id="6" name="Rectangle 6"/>
                <wp:cNvGraphicFramePr/>
                <a:graphic xmlns:a="http://schemas.openxmlformats.org/drawingml/2006/main">
                  <a:graphicData uri="http://schemas.microsoft.com/office/word/2010/wordprocessingShape">
                    <wps:wsp>
                      <wps:cNvSpPr/>
                      <wps:spPr>
                        <a:xfrm>
                          <a:off x="0" y="0"/>
                          <a:ext cx="6593205" cy="9838690"/>
                        </a:xfrm>
                        <a:prstGeom prst="rect">
                          <a:avLst/>
                        </a:prstGeom>
                        <a:solidFill>
                          <a:sysClr val="window" lastClr="FFFFFF"/>
                        </a:solidFill>
                        <a:ln w="57150" cap="flat" cmpd="thinThick" algn="ctr">
                          <a:solidFill>
                            <a:sysClr val="windowText" lastClr="000000"/>
                          </a:solidFill>
                          <a:prstDash val="solid"/>
                          <a:miter lim="800000"/>
                        </a:ln>
                        <a:effectLst/>
                      </wps:spPr>
                      <wps:txbx>
                        <w:txbxContent>
                          <w:p w:rsidR="0083519B" w:rsidRPr="00EB21FD" w:rsidRDefault="0083519B" w:rsidP="00EB21FD">
                            <w:pPr>
                              <w:jc w:val="center"/>
                              <w:rPr>
                                <w:rFonts w:ascii="Tahoma" w:eastAsia="Calibri" w:hAnsi="Tahoma" w:cs="Times New Roman"/>
                                <w:b/>
                                <w:bCs/>
                                <w:iCs/>
                                <w:noProof/>
                                <w:sz w:val="48"/>
                                <w:szCs w:val="48"/>
                                <w:lang w:eastAsia="fr-FR"/>
                              </w:rPr>
                            </w:pPr>
                            <w:r w:rsidRPr="00EB21FD">
                              <w:rPr>
                                <w:rFonts w:ascii="Tahoma" w:eastAsia="Calibri" w:hAnsi="Tahoma" w:cs="Times New Roman"/>
                                <w:b/>
                                <w:bCs/>
                                <w:iCs/>
                                <w:noProof/>
                                <w:sz w:val="48"/>
                                <w:szCs w:val="48"/>
                                <w:lang w:eastAsia="fr-FR"/>
                              </w:rPr>
                              <w:t>PREMIERE PARTIE</w:t>
                            </w:r>
                          </w:p>
                          <w:p w:rsidR="0083519B" w:rsidRPr="00EB21FD" w:rsidRDefault="0083519B" w:rsidP="00EB21FD">
                            <w:pPr>
                              <w:rPr>
                                <w:rFonts w:ascii="Tahoma" w:eastAsia="Calibri" w:hAnsi="Tahoma" w:cs="Times New Roman"/>
                                <w:b/>
                                <w:bCs/>
                                <w:iCs/>
                                <w:noProof/>
                                <w:sz w:val="48"/>
                                <w:szCs w:val="48"/>
                                <w:lang w:eastAsia="fr-FR"/>
                              </w:rPr>
                            </w:pPr>
                          </w:p>
                          <w:p w:rsidR="0083519B" w:rsidRDefault="0083519B" w:rsidP="00EB21FD">
                            <w:pPr>
                              <w:jc w:val="center"/>
                              <w:rPr>
                                <w:rFonts w:ascii="Tahoma" w:eastAsia="Calibri" w:hAnsi="Tahoma" w:cs="Times New Roman"/>
                                <w:b/>
                                <w:bCs/>
                                <w:iCs/>
                                <w:noProof/>
                                <w:sz w:val="48"/>
                                <w:szCs w:val="48"/>
                                <w:lang w:eastAsia="fr-FR"/>
                              </w:rPr>
                            </w:pPr>
                            <w:r w:rsidRPr="00EB21FD">
                              <w:rPr>
                                <w:rFonts w:ascii="Tahoma" w:eastAsia="Calibri" w:hAnsi="Tahoma" w:cs="Times New Roman"/>
                                <w:b/>
                                <w:bCs/>
                                <w:iCs/>
                                <w:noProof/>
                                <w:sz w:val="48"/>
                                <w:szCs w:val="48"/>
                                <w:lang w:eastAsia="fr-FR"/>
                              </w:rPr>
                              <w:t>Trajectoire de la gestion des forêts au Maroc : dynamiques historiques et défis contemporains</w:t>
                            </w:r>
                          </w:p>
                          <w:p w:rsidR="0083519B" w:rsidRDefault="0083519B" w:rsidP="00EB21FD">
                            <w:pPr>
                              <w:jc w:val="center"/>
                              <w:rPr>
                                <w:rFonts w:ascii="Tahoma" w:eastAsia="Calibri" w:hAnsi="Tahoma" w:cs="Times New Roman"/>
                                <w:b/>
                                <w:bCs/>
                                <w:iCs/>
                                <w:noProof/>
                                <w:sz w:val="48"/>
                                <w:szCs w:val="48"/>
                                <w:lang w:eastAsia="fr-FR"/>
                              </w:rPr>
                            </w:pPr>
                          </w:p>
                          <w:p w:rsidR="0083519B" w:rsidRPr="004D5F61" w:rsidRDefault="0083519B" w:rsidP="004D5F61">
                            <w:pPr>
                              <w:pStyle w:val="TM1"/>
                              <w:rPr>
                                <w:rFonts w:eastAsia="Calibri" w:cs="Times New Roman"/>
                                <w:caps w:val="0"/>
                                <w:webHidden/>
                                <w:sz w:val="32"/>
                                <w:lang w:eastAsia="fr-FR"/>
                              </w:rPr>
                            </w:pPr>
                            <w:r>
                              <w:rPr>
                                <w:rFonts w:eastAsia="Calibri" w:cs="Times New Roman"/>
                                <w:sz w:val="32"/>
                                <w:lang w:eastAsia="fr-FR"/>
                              </w:rPr>
                              <w:t>CHAPITRE 1 :</w:t>
                            </w:r>
                            <w:r w:rsidRPr="005B1B5E">
                              <w:rPr>
                                <w:rStyle w:val="Lienhypertexte"/>
                                <w:color w:val="auto"/>
                                <w:u w:val="none"/>
                              </w:rPr>
                              <w:t xml:space="preserve"> </w:t>
                            </w:r>
                            <w:r w:rsidRPr="004D5F61">
                              <w:rPr>
                                <w:rFonts w:eastAsia="Calibri" w:cs="Times New Roman"/>
                                <w:caps w:val="0"/>
                                <w:sz w:val="32"/>
                                <w:lang w:eastAsia="fr-FR"/>
                              </w:rPr>
                              <w:t>De la gestion ancestrale à la gestion durable : tensions et convergences</w:t>
                            </w:r>
                            <w:r w:rsidRPr="004D5F61">
                              <w:rPr>
                                <w:rFonts w:eastAsia="Calibri" w:cs="Times New Roman"/>
                                <w:caps w:val="0"/>
                                <w:webHidden/>
                                <w:sz w:val="32"/>
                                <w:lang w:eastAsia="fr-FR"/>
                              </w:rPr>
                              <w:t xml:space="preserve"> </w:t>
                            </w:r>
                          </w:p>
                          <w:p w:rsidR="0083519B" w:rsidRPr="00EB21FD" w:rsidRDefault="0083519B" w:rsidP="00EB21FD">
                            <w:pPr>
                              <w:rPr>
                                <w:rFonts w:ascii="Tahoma" w:eastAsia="Calibri" w:hAnsi="Tahoma" w:cs="Times New Roman"/>
                                <w:b/>
                                <w:bCs/>
                                <w:iCs/>
                                <w:noProof/>
                                <w:sz w:val="32"/>
                                <w:szCs w:val="32"/>
                                <w:lang w:eastAsia="fr-FR"/>
                              </w:rPr>
                            </w:pPr>
                          </w:p>
                          <w:p w:rsidR="0083519B" w:rsidRPr="00EB21FD" w:rsidRDefault="0083519B" w:rsidP="004D5F61">
                            <w:pPr>
                              <w:rPr>
                                <w:rFonts w:ascii="Tahoma" w:eastAsia="Calibri" w:hAnsi="Tahoma" w:cs="Times New Roman"/>
                                <w:b/>
                                <w:bCs/>
                                <w:iCs/>
                                <w:noProof/>
                                <w:sz w:val="32"/>
                                <w:szCs w:val="32"/>
                                <w:lang w:eastAsia="fr-FR"/>
                              </w:rPr>
                            </w:pPr>
                            <w:r w:rsidRPr="00EB21FD">
                              <w:rPr>
                                <w:rFonts w:ascii="Tahoma" w:eastAsia="Calibri" w:hAnsi="Tahoma" w:cs="Times New Roman"/>
                                <w:b/>
                                <w:bCs/>
                                <w:iCs/>
                                <w:noProof/>
                                <w:sz w:val="32"/>
                                <w:szCs w:val="32"/>
                                <w:lang w:eastAsia="fr-FR"/>
                              </w:rPr>
                              <w:t xml:space="preserve">CHAPITRE 2 : </w:t>
                            </w:r>
                            <w:r w:rsidRPr="004D5F61">
                              <w:rPr>
                                <w:rFonts w:ascii="Tahoma" w:eastAsia="Calibri" w:hAnsi="Tahoma" w:cs="Times New Roman"/>
                                <w:b/>
                                <w:bCs/>
                                <w:iCs/>
                                <w:noProof/>
                                <w:sz w:val="32"/>
                                <w:szCs w:val="32"/>
                                <w:lang w:eastAsia="fr-FR"/>
                              </w:rPr>
                              <w:t>Écosystèmes forestiers marocains : Enjeux de protection juridique et dégradation anthropique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9446026" id="Rectangle 6" o:spid="_x0000_s1029" style="position:absolute;left:0;text-align:left;margin-left:-8.3pt;margin-top:-29pt;width:519.15pt;height:774.7pt;z-index:2517575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" fillcolor="window" strokecolor="windowText" strokeweight="4.5pt">
                <v:stroke linestyle="thinThick"/>
                <v:textbox>
                  <w:txbxContent>
                    <w:p w:rsidR="0083519B" w:rsidRPr="00EB21FD" w:rsidRDefault="0083519B" w:rsidP="00EB21FD">
                      <w:pPr>
                        <w:jc w:val="center"/>
                        <w:rPr>
                          <w:rFonts w:ascii="Tahoma" w:eastAsia="Calibri" w:hAnsi="Tahoma" w:cs="Times New Roman"/>
                          <w:b/>
                          <w:bCs/>
                          <w:iCs/>
                          <w:noProof/>
                          <w:sz w:val="48"/>
                          <w:szCs w:val="48"/>
                          <w:lang w:eastAsia="fr-FR"/>
                        </w:rPr>
                      </w:pPr>
                      <w:r w:rsidRPr="00EB21FD">
                        <w:rPr>
                          <w:rFonts w:ascii="Tahoma" w:eastAsia="Calibri" w:hAnsi="Tahoma" w:cs="Times New Roman"/>
                          <w:b/>
                          <w:bCs/>
                          <w:iCs/>
                          <w:noProof/>
                          <w:sz w:val="48"/>
                          <w:szCs w:val="48"/>
                          <w:lang w:eastAsia="fr-FR"/>
                        </w:rPr>
                        <w:t>PREMIERE PARTIE</w:t>
                      </w:r>
                    </w:p>
                    <w:p w:rsidR="0083519B" w:rsidRPr="00EB21FD" w:rsidRDefault="0083519B" w:rsidP="00EB21FD">
                      <w:pPr>
                        <w:rPr>
                          <w:rFonts w:ascii="Tahoma" w:eastAsia="Calibri" w:hAnsi="Tahoma" w:cs="Times New Roman"/>
                          <w:b/>
                          <w:bCs/>
                          <w:iCs/>
                          <w:noProof/>
                          <w:sz w:val="48"/>
                          <w:szCs w:val="48"/>
                          <w:lang w:eastAsia="fr-FR"/>
                        </w:rPr>
                      </w:pPr>
                    </w:p>
                    <w:p w:rsidR="0083519B" w:rsidRDefault="0083519B" w:rsidP="00EB21FD">
                      <w:pPr>
                        <w:jc w:val="center"/>
                        <w:rPr>
                          <w:rFonts w:ascii="Tahoma" w:eastAsia="Calibri" w:hAnsi="Tahoma" w:cs="Times New Roman"/>
                          <w:b/>
                          <w:bCs/>
                          <w:iCs/>
                          <w:noProof/>
                          <w:sz w:val="48"/>
                          <w:szCs w:val="48"/>
                          <w:lang w:eastAsia="fr-FR"/>
                        </w:rPr>
                      </w:pPr>
                      <w:r w:rsidRPr="00EB21FD">
                        <w:rPr>
                          <w:rFonts w:ascii="Tahoma" w:eastAsia="Calibri" w:hAnsi="Tahoma" w:cs="Times New Roman"/>
                          <w:b/>
                          <w:bCs/>
                          <w:iCs/>
                          <w:noProof/>
                          <w:sz w:val="48"/>
                          <w:szCs w:val="48"/>
                          <w:lang w:eastAsia="fr-FR"/>
                        </w:rPr>
                        <w:t>Trajectoire de la gestion des forêts au Maroc : dynamiques historiques et défis contemporains</w:t>
                      </w:r>
                    </w:p>
                    <w:p w:rsidR="0083519B" w:rsidRDefault="0083519B" w:rsidP="00EB21FD">
                      <w:pPr>
                        <w:jc w:val="center"/>
                        <w:rPr>
                          <w:rFonts w:ascii="Tahoma" w:eastAsia="Calibri" w:hAnsi="Tahoma" w:cs="Times New Roman"/>
                          <w:b/>
                          <w:bCs/>
                          <w:iCs/>
                          <w:noProof/>
                          <w:sz w:val="48"/>
                          <w:szCs w:val="48"/>
                          <w:lang w:eastAsia="fr-FR"/>
                        </w:rPr>
                      </w:pPr>
                    </w:p>
                    <w:p w:rsidR="0083519B" w:rsidRPr="004D5F61" w:rsidRDefault="0083519B" w:rsidP="004D5F61">
                      <w:pPr>
                        <w:pStyle w:val="TM1"/>
                        <w:rPr>
                          <w:rFonts w:eastAsia="Calibri" w:cs="Times New Roman"/>
                          <w:caps w:val="0"/>
                          <w:webHidden/>
                          <w:sz w:val="32"/>
                          <w:lang w:eastAsia="fr-FR"/>
                        </w:rPr>
                      </w:pPr>
                      <w:r>
                        <w:rPr>
                          <w:rFonts w:eastAsia="Calibri" w:cs="Times New Roman"/>
                          <w:sz w:val="32"/>
                          <w:lang w:eastAsia="fr-FR"/>
                        </w:rPr>
                        <w:t>CHAPITRE 1 :</w:t>
                      </w:r>
                      <w:r w:rsidRPr="005B1B5E">
                        <w:rPr>
                          <w:rStyle w:val="Lienhypertexte"/>
                          <w:color w:val="auto"/>
                          <w:u w:val="none"/>
                        </w:rPr>
                        <w:t xml:space="preserve"> </w:t>
                      </w:r>
                      <w:r w:rsidRPr="004D5F61">
                        <w:rPr>
                          <w:rFonts w:eastAsia="Calibri" w:cs="Times New Roman"/>
                          <w:caps w:val="0"/>
                          <w:sz w:val="32"/>
                          <w:lang w:eastAsia="fr-FR"/>
                        </w:rPr>
                        <w:t>De la gestion ancestrale à la gestion durable : tensions et convergences</w:t>
                      </w:r>
                      <w:r w:rsidRPr="004D5F61">
                        <w:rPr>
                          <w:rFonts w:eastAsia="Calibri" w:cs="Times New Roman"/>
                          <w:caps w:val="0"/>
                          <w:webHidden/>
                          <w:sz w:val="32"/>
                          <w:lang w:eastAsia="fr-FR"/>
                        </w:rPr>
                        <w:t xml:space="preserve"> </w:t>
                      </w:r>
                    </w:p>
                    <w:p w:rsidR="0083519B" w:rsidRPr="00EB21FD" w:rsidRDefault="0083519B" w:rsidP="00EB21FD">
                      <w:pPr>
                        <w:rPr>
                          <w:rFonts w:ascii="Tahoma" w:eastAsia="Calibri" w:hAnsi="Tahoma" w:cs="Times New Roman"/>
                          <w:b/>
                          <w:bCs/>
                          <w:iCs/>
                          <w:noProof/>
                          <w:sz w:val="32"/>
                          <w:szCs w:val="32"/>
                          <w:lang w:eastAsia="fr-FR"/>
                        </w:rPr>
                      </w:pPr>
                    </w:p>
                    <w:p w:rsidR="0083519B" w:rsidRPr="00EB21FD" w:rsidRDefault="0083519B" w:rsidP="004D5F61">
                      <w:pPr>
                        <w:rPr>
                          <w:rFonts w:ascii="Tahoma" w:eastAsia="Calibri" w:hAnsi="Tahoma" w:cs="Times New Roman"/>
                          <w:b/>
                          <w:bCs/>
                          <w:iCs/>
                          <w:noProof/>
                          <w:sz w:val="32"/>
                          <w:szCs w:val="32"/>
                          <w:lang w:eastAsia="fr-FR"/>
                        </w:rPr>
                      </w:pPr>
                      <w:r w:rsidRPr="00EB21FD">
                        <w:rPr>
                          <w:rFonts w:ascii="Tahoma" w:eastAsia="Calibri" w:hAnsi="Tahoma" w:cs="Times New Roman"/>
                          <w:b/>
                          <w:bCs/>
                          <w:iCs/>
                          <w:noProof/>
                          <w:sz w:val="32"/>
                          <w:szCs w:val="32"/>
                          <w:lang w:eastAsia="fr-FR"/>
                        </w:rPr>
                        <w:t xml:space="preserve">CHAPITRE 2 : </w:t>
                      </w:r>
                      <w:r w:rsidRPr="004D5F61">
                        <w:rPr>
                          <w:rFonts w:ascii="Tahoma" w:eastAsia="Calibri" w:hAnsi="Tahoma" w:cs="Times New Roman"/>
                          <w:b/>
                          <w:bCs/>
                          <w:iCs/>
                          <w:noProof/>
                          <w:sz w:val="32"/>
                          <w:szCs w:val="32"/>
                          <w:lang w:eastAsia="fr-FR"/>
                        </w:rPr>
                        <w:t>Écosystèmes forestiers marocains : Enjeux de protection juridique et dégradation anthropique</w:t>
                      </w:r>
                    </w:p>
                  </w:txbxContent>
                </v:textbox>
              </v:rect>
            </w:pict>
          </mc:Fallback>
        </mc:AlternateContent>
      </w:r>
    </w:p>
    <w:p w:rsidR="000A7532" w:rsidRPr="002462E6" w:rsidRDefault="000A7532" w:rsidP="00E92E20">
      <w:pPr>
        <w:widowControl w:val="0"/>
        <w:autoSpaceDE w:val="0"/>
        <w:autoSpaceDN w:val="0"/>
        <w:spacing w:after="0" w:line="360" w:lineRule="auto"/>
        <w:jc w:val="both"/>
        <w:rPr>
          <w:rFonts w:ascii="Tahoma" w:eastAsia="Times New Roman" w:hAnsi="Tahoma" w:cs="Tahoma"/>
          <w:sz w:val="24"/>
          <w:szCs w:val="24"/>
        </w:rPr>
      </w:pPr>
    </w:p>
    <w:p w:rsidR="00EC5E5B" w:rsidRPr="002462E6" w:rsidRDefault="00EC5E5B">
      <w:pPr>
        <w:rPr>
          <w:rFonts w:ascii="Tahoma" w:eastAsia="Calibri Light" w:hAnsi="Tahoma" w:cs="Calibri Light"/>
          <w:b/>
          <w:color w:val="00823B"/>
          <w:sz w:val="32"/>
          <w:szCs w:val="32"/>
        </w:rPr>
      </w:pPr>
      <w:bookmarkStart w:id="56" w:name="_Toc182058807"/>
      <w:bookmarkStart w:id="57" w:name="_Toc186533799"/>
      <w:bookmarkStart w:id="58" w:name="_Toc201570823"/>
      <w:bookmarkStart w:id="59" w:name="_Toc201570886"/>
      <w:bookmarkStart w:id="60" w:name="_Toc201655450"/>
      <w:bookmarkStart w:id="61" w:name="_Toc201655554"/>
      <w:bookmarkEnd w:id="2"/>
      <w:r w:rsidRPr="002462E6">
        <w:br w:type="page"/>
      </w:r>
    </w:p>
    <w:p w:rsidR="000A7532" w:rsidRPr="002462E6" w:rsidRDefault="00E92E20" w:rsidP="004A7654">
      <w:pPr>
        <w:pStyle w:val="Titre1"/>
      </w:pPr>
      <w:bookmarkStart w:id="62" w:name="_Toc203643005"/>
      <w:r w:rsidRPr="002462E6">
        <w:lastRenderedPageBreak/>
        <w:t xml:space="preserve">Première partie : </w:t>
      </w:r>
      <w:r w:rsidR="000A7532" w:rsidRPr="002462E6">
        <w:t xml:space="preserve">Trajectoire </w:t>
      </w:r>
      <w:bookmarkEnd w:id="56"/>
      <w:bookmarkEnd w:id="57"/>
      <w:r w:rsidR="000A7532" w:rsidRPr="002462E6">
        <w:t>de la gestion des forêts au Maroc : dynamiques historiques et défis contemporains</w:t>
      </w:r>
      <w:bookmarkEnd w:id="58"/>
      <w:bookmarkEnd w:id="59"/>
      <w:bookmarkEnd w:id="60"/>
      <w:bookmarkEnd w:id="61"/>
      <w:bookmarkEnd w:id="62"/>
    </w:p>
    <w:p w:rsidR="000A7532" w:rsidRPr="002462E6" w:rsidRDefault="000A7532" w:rsidP="000A7532">
      <w:pPr>
        <w:widowControl w:val="0"/>
        <w:autoSpaceDE w:val="0"/>
        <w:autoSpaceDN w:val="0"/>
        <w:spacing w:after="0" w:line="360" w:lineRule="auto"/>
        <w:jc w:val="both"/>
        <w:rPr>
          <w:rFonts w:ascii="Tahoma" w:eastAsia="Times New Roman" w:hAnsi="Tahoma" w:cs="Tahoma"/>
          <w:sz w:val="28"/>
          <w:szCs w:val="28"/>
        </w:rPr>
      </w:pPr>
      <w:r w:rsidRPr="002462E6">
        <w:rPr>
          <w:rFonts w:ascii="Tahoma" w:eastAsia="Times New Roman" w:hAnsi="Tahoma" w:cs="Tahoma"/>
          <w:sz w:val="28"/>
          <w:szCs w:val="28"/>
        </w:rPr>
        <w:t xml:space="preserve">   </w:t>
      </w:r>
    </w:p>
    <w:p w:rsidR="000A7532" w:rsidRPr="002462E6" w:rsidRDefault="000A7532" w:rsidP="000A7532">
      <w:pPr>
        <w:widowControl w:val="0"/>
        <w:autoSpaceDE w:val="0"/>
        <w:autoSpaceDN w:val="0"/>
        <w:spacing w:after="0" w:line="360" w:lineRule="auto"/>
        <w:jc w:val="both"/>
        <w:rPr>
          <w:rFonts w:ascii="Tahoma" w:eastAsia="Times New Roman" w:hAnsi="Tahoma" w:cs="Tahoma"/>
          <w:color w:val="000000"/>
          <w:sz w:val="24"/>
          <w:szCs w:val="24"/>
        </w:rPr>
      </w:pPr>
      <w:r w:rsidRPr="002462E6">
        <w:rPr>
          <w:rFonts w:ascii="Tahoma" w:eastAsia="Times New Roman" w:hAnsi="Tahoma" w:cs="Tahoma"/>
          <w:color w:val="000000"/>
          <w:sz w:val="24"/>
          <w:szCs w:val="24"/>
        </w:rPr>
        <w:t>La gestion des forêts au Maroc a connu une trajectoire complexe, marquée par des interactions dynamiques entre impératifs environnementaux, socio-économiques et culturels. Caractérisée par un modèle centralisé et descendant, hérité de l'administration coloniale</w:t>
      </w:r>
      <w:r w:rsidRPr="002462E6">
        <w:rPr>
          <w:rFonts w:ascii="Tahoma" w:eastAsia="Times New Roman" w:hAnsi="Tahoma" w:cs="Tahoma"/>
          <w:color w:val="000000"/>
          <w:sz w:val="24"/>
          <w:szCs w:val="24"/>
          <w:vertAlign w:val="superscript"/>
        </w:rPr>
        <w:footnoteReference w:id="113"/>
      </w:r>
      <w:r w:rsidRPr="002462E6">
        <w:rPr>
          <w:rFonts w:ascii="Tahoma" w:eastAsia="Times New Roman" w:hAnsi="Tahoma" w:cs="Tahoma"/>
          <w:color w:val="000000"/>
          <w:sz w:val="24"/>
          <w:szCs w:val="24"/>
        </w:rPr>
        <w:t>, cette gestion a conduit à une dégradation continue des écosystèmes forestiers, suscitant ainsi des interrogations quant à l'efficacité opérationnelle et à l'application concrète des politiques forestières.</w:t>
      </w:r>
    </w:p>
    <w:p w:rsidR="000A7532" w:rsidRPr="002462E6" w:rsidRDefault="000A7532" w:rsidP="000A7532">
      <w:pPr>
        <w:widowControl w:val="0"/>
        <w:autoSpaceDE w:val="0"/>
        <w:autoSpaceDN w:val="0"/>
        <w:spacing w:after="0" w:line="360" w:lineRule="auto"/>
        <w:jc w:val="both"/>
        <w:rPr>
          <w:rFonts w:ascii="Tahoma" w:eastAsia="Times New Roman" w:hAnsi="Tahoma" w:cs="Tahoma"/>
          <w:color w:val="000000"/>
          <w:sz w:val="24"/>
          <w:szCs w:val="24"/>
        </w:rPr>
      </w:pPr>
    </w:p>
    <w:p w:rsidR="000A7532" w:rsidRPr="002462E6" w:rsidRDefault="000A7532" w:rsidP="000A7532">
      <w:pPr>
        <w:widowControl w:val="0"/>
        <w:autoSpaceDE w:val="0"/>
        <w:autoSpaceDN w:val="0"/>
        <w:spacing w:after="0" w:line="360" w:lineRule="auto"/>
        <w:jc w:val="both"/>
        <w:rPr>
          <w:rFonts w:ascii="Tahoma" w:eastAsia="Times New Roman" w:hAnsi="Tahoma" w:cs="Tahoma"/>
          <w:sz w:val="24"/>
          <w:szCs w:val="24"/>
        </w:rPr>
      </w:pPr>
      <w:r w:rsidRPr="002462E6">
        <w:rPr>
          <w:rFonts w:ascii="Tahoma" w:eastAsia="Times New Roman" w:hAnsi="Tahoma" w:cs="Tahoma"/>
          <w:sz w:val="24"/>
          <w:szCs w:val="24"/>
        </w:rPr>
        <w:t>L’administration forestière estime que près de 17 000 hectares du couvert forestier sont dégradés chaque année</w:t>
      </w:r>
      <w:r w:rsidRPr="002462E6">
        <w:rPr>
          <w:rFonts w:ascii="Tahoma" w:eastAsia="Times New Roman" w:hAnsi="Tahoma" w:cs="Tahoma"/>
          <w:sz w:val="24"/>
          <w:szCs w:val="24"/>
          <w:vertAlign w:val="superscript"/>
        </w:rPr>
        <w:footnoteReference w:id="114"/>
      </w:r>
      <w:r w:rsidRPr="002462E6">
        <w:rPr>
          <w:rFonts w:ascii="Tahoma" w:eastAsia="Times New Roman" w:hAnsi="Tahoma" w:cs="Tahoma"/>
          <w:sz w:val="24"/>
          <w:szCs w:val="24"/>
        </w:rPr>
        <w:t>. De plus, le taux de réussite des opérations de reboisement atteint seulement 48 % après deux ans</w:t>
      </w:r>
      <w:r w:rsidRPr="002462E6">
        <w:rPr>
          <w:rFonts w:ascii="Tahoma" w:eastAsia="Times New Roman" w:hAnsi="Tahoma" w:cs="Tahoma"/>
          <w:sz w:val="24"/>
          <w:szCs w:val="24"/>
          <w:vertAlign w:val="superscript"/>
        </w:rPr>
        <w:footnoteReference w:id="115"/>
      </w:r>
      <w:r w:rsidRPr="002462E6">
        <w:rPr>
          <w:rFonts w:ascii="Tahoma" w:eastAsia="Times New Roman" w:hAnsi="Tahoma" w:cs="Tahoma"/>
          <w:sz w:val="24"/>
          <w:szCs w:val="24"/>
        </w:rPr>
        <w:t>. Cette dégradation des écosystèmes forestiers engendre des conséquences multidimensionnelles. Elle affecte, en premier lieu, les populations locales dont les moyens de subsistance sont intrinsèquement liés aux ressources forestières. De surcroît, elle compromet les services écosystémiques essentiels, tels que la régulation climatique, la qualité de l'eau, et la préservation de la biodiversité</w:t>
      </w:r>
      <w:r w:rsidRPr="002462E6">
        <w:rPr>
          <w:rFonts w:ascii="Tahoma" w:eastAsia="Times New Roman" w:hAnsi="Tahoma" w:cs="Tahoma"/>
          <w:sz w:val="24"/>
          <w:szCs w:val="24"/>
          <w:vertAlign w:val="superscript"/>
        </w:rPr>
        <w:footnoteReference w:id="116"/>
      </w:r>
      <w:r w:rsidRPr="002462E6">
        <w:rPr>
          <w:rFonts w:ascii="Tahoma" w:eastAsia="Times New Roman" w:hAnsi="Tahoma" w:cs="Tahoma"/>
          <w:sz w:val="24"/>
          <w:szCs w:val="24"/>
        </w:rPr>
        <w:t xml:space="preserve">. </w:t>
      </w:r>
    </w:p>
    <w:p w:rsidR="000A7532" w:rsidRPr="002462E6" w:rsidRDefault="000A7532" w:rsidP="00363BF1">
      <w:pPr>
        <w:widowControl w:val="0"/>
        <w:autoSpaceDE w:val="0"/>
        <w:autoSpaceDN w:val="0"/>
        <w:spacing w:after="0" w:line="360" w:lineRule="auto"/>
        <w:jc w:val="both"/>
        <w:rPr>
          <w:rFonts w:ascii="Tahoma" w:eastAsia="Times New Roman" w:hAnsi="Tahoma" w:cs="Tahoma"/>
          <w:sz w:val="24"/>
          <w:szCs w:val="24"/>
        </w:rPr>
      </w:pPr>
      <w:r w:rsidRPr="002462E6">
        <w:rPr>
          <w:rFonts w:ascii="Tahoma" w:eastAsia="Times New Roman" w:hAnsi="Tahoma" w:cs="Tahoma"/>
          <w:sz w:val="24"/>
          <w:szCs w:val="24"/>
        </w:rPr>
        <w:t>En réponse à ces défis, le Maroc a adopté une nouvelle stratégie, intitulée "Forêts du Maroc 2020-2030", qui vise à promouvoir une gestion dite durable et inclusive des ressources forestières</w:t>
      </w:r>
      <w:r w:rsidRPr="002462E6">
        <w:rPr>
          <w:rFonts w:ascii="Tahoma" w:eastAsia="Times New Roman" w:hAnsi="Tahoma" w:cs="Tahoma"/>
          <w:sz w:val="24"/>
          <w:szCs w:val="24"/>
          <w:vertAlign w:val="superscript"/>
        </w:rPr>
        <w:footnoteReference w:id="117"/>
      </w:r>
      <w:r w:rsidRPr="002462E6">
        <w:rPr>
          <w:rFonts w:ascii="Tahoma" w:eastAsia="Times New Roman" w:hAnsi="Tahoma" w:cs="Tahoma"/>
          <w:sz w:val="24"/>
          <w:szCs w:val="24"/>
        </w:rPr>
        <w:t>. Cette stratégie met l'accent sur l'intégration des populations locales dans les processus de gestion, favorisant ainsi un modèle participatif qui pourrait réconcilier les marocains avec leur patrimoine forestier (</w:t>
      </w:r>
      <w:r w:rsidRPr="002462E6">
        <w:rPr>
          <w:rFonts w:ascii="Tahoma" w:eastAsia="Times New Roman" w:hAnsi="Tahoma" w:cs="Tahoma"/>
          <w:b/>
          <w:bCs/>
          <w:sz w:val="24"/>
          <w:szCs w:val="24"/>
        </w:rPr>
        <w:t>Figure N°</w:t>
      </w:r>
      <w:r w:rsidR="00363BF1" w:rsidRPr="002462E6">
        <w:rPr>
          <w:rFonts w:ascii="Tahoma" w:eastAsia="Times New Roman" w:hAnsi="Tahoma" w:cs="Tahoma"/>
          <w:b/>
          <w:bCs/>
          <w:sz w:val="24"/>
          <w:szCs w:val="24"/>
        </w:rPr>
        <w:t>1</w:t>
      </w:r>
      <w:r w:rsidRPr="002462E6">
        <w:rPr>
          <w:rFonts w:ascii="Tahoma" w:eastAsia="Times New Roman" w:hAnsi="Tahoma" w:cs="Tahoma"/>
          <w:sz w:val="24"/>
          <w:szCs w:val="24"/>
        </w:rPr>
        <w:t>).</w:t>
      </w:r>
    </w:p>
    <w:p w:rsidR="000A7532" w:rsidRPr="002462E6" w:rsidRDefault="000A7532" w:rsidP="000A7532">
      <w:pPr>
        <w:widowControl w:val="0"/>
        <w:autoSpaceDE w:val="0"/>
        <w:autoSpaceDN w:val="0"/>
        <w:spacing w:after="0" w:line="240" w:lineRule="auto"/>
        <w:rPr>
          <w:rFonts w:ascii="Times New Roman" w:eastAsia="Times New Roman" w:hAnsi="Times New Roman" w:cs="Times New Roman"/>
          <w:sz w:val="24"/>
          <w:szCs w:val="24"/>
        </w:rPr>
      </w:pPr>
    </w:p>
    <w:p w:rsidR="000A7532" w:rsidRPr="002462E6" w:rsidRDefault="000A7532" w:rsidP="000A7532">
      <w:pPr>
        <w:widowControl w:val="0"/>
        <w:autoSpaceDE w:val="0"/>
        <w:autoSpaceDN w:val="0"/>
        <w:spacing w:after="0" w:line="240" w:lineRule="auto"/>
        <w:rPr>
          <w:rFonts w:ascii="Times New Roman" w:eastAsia="Times New Roman" w:hAnsi="Times New Roman" w:cs="Times New Roman"/>
          <w:sz w:val="24"/>
          <w:szCs w:val="24"/>
        </w:rPr>
      </w:pPr>
    </w:p>
    <w:p w:rsidR="00D41FAD" w:rsidRPr="002462E6" w:rsidRDefault="00D41FAD">
      <w:pPr>
        <w:rPr>
          <w:rFonts w:ascii="Tahoma" w:eastAsia="Times New Roman" w:hAnsi="Tahoma" w:cstheme="majorBidi"/>
          <w:b/>
          <w:iCs/>
          <w:color w:val="000000" w:themeColor="text1"/>
          <w:spacing w:val="15"/>
          <w:sz w:val="24"/>
          <w:szCs w:val="24"/>
        </w:rPr>
      </w:pPr>
      <w:bookmarkStart w:id="63" w:name="_Toc185696919"/>
      <w:r w:rsidRPr="002462E6">
        <w:rPr>
          <w:rFonts w:eastAsia="Times New Roman"/>
        </w:rPr>
        <w:br w:type="page"/>
      </w:r>
    </w:p>
    <w:p w:rsidR="00571B76" w:rsidRPr="002462E6" w:rsidRDefault="000A7532" w:rsidP="000D57A1">
      <w:pPr>
        <w:pStyle w:val="Sous-titre"/>
      </w:pPr>
      <w:bookmarkStart w:id="64" w:name="_Toc201571195"/>
      <w:bookmarkStart w:id="65" w:name="_Toc203642793"/>
      <w:r w:rsidRPr="002462E6">
        <w:lastRenderedPageBreak/>
        <w:t xml:space="preserve">Figure </w:t>
      </w:r>
      <w:r w:rsidR="00225ED1">
        <w:rPr>
          <w:noProof/>
        </w:rPr>
        <w:fldChar w:fldCharType="begin"/>
      </w:r>
      <w:r w:rsidR="00225ED1">
        <w:rPr>
          <w:noProof/>
        </w:rPr>
        <w:instrText xml:space="preserve"> SEQ Figure \* ARABIC </w:instrText>
      </w:r>
      <w:r w:rsidR="00225ED1">
        <w:rPr>
          <w:noProof/>
        </w:rPr>
        <w:fldChar w:fldCharType="separate"/>
      </w:r>
      <w:r w:rsidR="00124AFB">
        <w:rPr>
          <w:noProof/>
        </w:rPr>
        <w:t>1</w:t>
      </w:r>
      <w:r w:rsidR="00225ED1">
        <w:rPr>
          <w:noProof/>
        </w:rPr>
        <w:fldChar w:fldCharType="end"/>
      </w:r>
      <w:r w:rsidR="006F656C" w:rsidRPr="002462E6">
        <w:t> :</w:t>
      </w:r>
      <w:r w:rsidRPr="002462E6">
        <w:t xml:space="preserve"> Les cinq orientations de la stratégie des "Forêts du Maroc 2020-2030"</w:t>
      </w:r>
      <w:bookmarkEnd w:id="63"/>
      <w:bookmarkEnd w:id="64"/>
      <w:bookmarkEnd w:id="65"/>
    </w:p>
    <w:p w:rsidR="00571B76" w:rsidRPr="002462E6" w:rsidRDefault="00571B76" w:rsidP="00571B76"/>
    <w:p w:rsidR="000A7532" w:rsidRPr="002462E6" w:rsidRDefault="000A7532" w:rsidP="000A7532">
      <w:pPr>
        <w:widowControl w:val="0"/>
        <w:autoSpaceDE w:val="0"/>
        <w:autoSpaceDN w:val="0"/>
        <w:spacing w:after="0" w:line="240" w:lineRule="auto"/>
        <w:rPr>
          <w:rFonts w:ascii="Times New Roman" w:eastAsia="Times New Roman" w:hAnsi="Times New Roman" w:cs="Times New Roman"/>
          <w:sz w:val="24"/>
          <w:szCs w:val="24"/>
        </w:rPr>
      </w:pPr>
    </w:p>
    <w:p w:rsidR="000A7532" w:rsidRPr="002462E6" w:rsidRDefault="000A7532" w:rsidP="000A7532">
      <w:pPr>
        <w:widowControl w:val="0"/>
        <w:autoSpaceDE w:val="0"/>
        <w:autoSpaceDN w:val="0"/>
        <w:spacing w:after="0" w:line="240" w:lineRule="auto"/>
        <w:rPr>
          <w:rFonts w:ascii="Times New Roman" w:eastAsia="Times New Roman" w:hAnsi="Times New Roman" w:cs="Times New Roman"/>
          <w:sz w:val="24"/>
          <w:szCs w:val="24"/>
        </w:rPr>
      </w:pPr>
      <w:r w:rsidRPr="002462E6">
        <w:rPr>
          <w:rFonts w:ascii="Times New Roman" w:eastAsia="Times New Roman" w:hAnsi="Times New Roman" w:cs="Times New Roman"/>
          <w:noProof/>
          <w:sz w:val="24"/>
          <w:szCs w:val="24"/>
          <w:lang w:eastAsia="fr-FR"/>
        </w:rPr>
        <w:drawing>
          <wp:inline distT="0" distB="0" distL="0" distR="0" wp14:anchorId="6621476F" wp14:editId="25BE64B0">
            <wp:extent cx="6230888" cy="4845132"/>
            <wp:effectExtent l="0" t="0" r="0" b="0"/>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262622" cy="4869808"/>
                    </a:xfrm>
                    <a:prstGeom prst="rect">
                      <a:avLst/>
                    </a:prstGeom>
                    <a:noFill/>
                  </pic:spPr>
                </pic:pic>
              </a:graphicData>
            </a:graphic>
          </wp:inline>
        </w:drawing>
      </w:r>
    </w:p>
    <w:p w:rsidR="000A7532" w:rsidRPr="002462E6" w:rsidRDefault="000A7532" w:rsidP="000A7532">
      <w:pPr>
        <w:widowControl w:val="0"/>
        <w:autoSpaceDE w:val="0"/>
        <w:autoSpaceDN w:val="0"/>
        <w:spacing w:after="0" w:line="240" w:lineRule="auto"/>
        <w:jc w:val="center"/>
        <w:rPr>
          <w:rFonts w:ascii="Tahoma" w:eastAsia="Times New Roman" w:hAnsi="Tahoma" w:cs="Tahoma"/>
          <w:b/>
          <w:bCs/>
          <w:i/>
          <w:iCs/>
          <w:sz w:val="20"/>
          <w:szCs w:val="20"/>
        </w:rPr>
      </w:pPr>
    </w:p>
    <w:p w:rsidR="00571B76" w:rsidRPr="002462E6" w:rsidRDefault="00571B76" w:rsidP="000A7532">
      <w:pPr>
        <w:widowControl w:val="0"/>
        <w:autoSpaceDE w:val="0"/>
        <w:autoSpaceDN w:val="0"/>
        <w:spacing w:after="0" w:line="240" w:lineRule="auto"/>
        <w:jc w:val="center"/>
        <w:rPr>
          <w:rFonts w:ascii="Tahoma" w:eastAsia="Times New Roman" w:hAnsi="Tahoma" w:cs="Tahoma"/>
          <w:b/>
          <w:bCs/>
          <w:i/>
          <w:iCs/>
          <w:sz w:val="20"/>
          <w:szCs w:val="20"/>
        </w:rPr>
      </w:pPr>
    </w:p>
    <w:p w:rsidR="00A3061F" w:rsidRPr="002462E6" w:rsidRDefault="00A3061F" w:rsidP="000A7532">
      <w:pPr>
        <w:widowControl w:val="0"/>
        <w:autoSpaceDE w:val="0"/>
        <w:autoSpaceDN w:val="0"/>
        <w:spacing w:after="0" w:line="240" w:lineRule="auto"/>
        <w:jc w:val="center"/>
        <w:rPr>
          <w:rFonts w:ascii="Tahoma" w:eastAsia="Times New Roman" w:hAnsi="Tahoma" w:cs="Tahoma"/>
          <w:b/>
          <w:bCs/>
          <w:i/>
          <w:iCs/>
          <w:sz w:val="20"/>
          <w:szCs w:val="20"/>
        </w:rPr>
      </w:pPr>
    </w:p>
    <w:p w:rsidR="000A7532" w:rsidRPr="002462E6" w:rsidRDefault="000A7532" w:rsidP="000A7532">
      <w:pPr>
        <w:widowControl w:val="0"/>
        <w:autoSpaceDE w:val="0"/>
        <w:autoSpaceDN w:val="0"/>
        <w:spacing w:after="0" w:line="240" w:lineRule="auto"/>
        <w:jc w:val="center"/>
        <w:rPr>
          <w:rFonts w:ascii="Tahoma" w:eastAsia="Times New Roman" w:hAnsi="Tahoma" w:cs="Tahoma"/>
          <w:sz w:val="20"/>
          <w:szCs w:val="20"/>
        </w:rPr>
      </w:pPr>
      <w:r w:rsidRPr="002462E6">
        <w:rPr>
          <w:rFonts w:ascii="Tahoma" w:eastAsia="Times New Roman" w:hAnsi="Tahoma" w:cs="Tahoma"/>
          <w:b/>
          <w:bCs/>
          <w:i/>
          <w:iCs/>
          <w:sz w:val="20"/>
          <w:szCs w:val="20"/>
        </w:rPr>
        <w:t>Source :</w:t>
      </w:r>
      <w:r w:rsidRPr="002462E6">
        <w:rPr>
          <w:rFonts w:ascii="Tahoma" w:eastAsia="Times New Roman" w:hAnsi="Tahoma" w:cs="Tahoma"/>
          <w:sz w:val="20"/>
          <w:szCs w:val="20"/>
        </w:rPr>
        <w:t xml:space="preserve"> stratégie « Forêts du Maroc 2020-2030 »</w:t>
      </w:r>
    </w:p>
    <w:p w:rsidR="000A7532" w:rsidRPr="002462E6" w:rsidRDefault="000A7532" w:rsidP="000A7532">
      <w:pPr>
        <w:widowControl w:val="0"/>
        <w:autoSpaceDE w:val="0"/>
        <w:autoSpaceDN w:val="0"/>
        <w:spacing w:after="0" w:line="240" w:lineRule="auto"/>
        <w:rPr>
          <w:rFonts w:ascii="Times New Roman" w:eastAsia="Times New Roman" w:hAnsi="Times New Roman" w:cs="Times New Roman"/>
          <w:sz w:val="24"/>
          <w:szCs w:val="24"/>
        </w:rPr>
      </w:pPr>
    </w:p>
    <w:p w:rsidR="000A7532" w:rsidRPr="002462E6" w:rsidRDefault="000A7532" w:rsidP="000A7532">
      <w:pPr>
        <w:widowControl w:val="0"/>
        <w:autoSpaceDE w:val="0"/>
        <w:autoSpaceDN w:val="0"/>
        <w:spacing w:after="0" w:line="360" w:lineRule="auto"/>
        <w:jc w:val="both"/>
        <w:rPr>
          <w:rFonts w:ascii="Tahoma" w:eastAsia="Times New Roman" w:hAnsi="Tahoma" w:cs="Tahoma"/>
          <w:sz w:val="24"/>
          <w:szCs w:val="24"/>
        </w:rPr>
      </w:pPr>
    </w:p>
    <w:p w:rsidR="000A7532" w:rsidRPr="002462E6" w:rsidRDefault="000A7532" w:rsidP="000A7532">
      <w:pPr>
        <w:widowControl w:val="0"/>
        <w:autoSpaceDE w:val="0"/>
        <w:autoSpaceDN w:val="0"/>
        <w:spacing w:after="0" w:line="360" w:lineRule="auto"/>
        <w:jc w:val="both"/>
        <w:rPr>
          <w:rFonts w:ascii="Tahoma" w:eastAsia="Times New Roman" w:hAnsi="Tahoma" w:cs="Tahoma"/>
          <w:sz w:val="24"/>
          <w:szCs w:val="24"/>
        </w:rPr>
      </w:pPr>
      <w:r w:rsidRPr="002462E6">
        <w:rPr>
          <w:rFonts w:ascii="Tahoma" w:eastAsia="Times New Roman" w:hAnsi="Tahoma" w:cs="Tahoma"/>
          <w:sz w:val="24"/>
          <w:szCs w:val="24"/>
        </w:rPr>
        <w:t>Cette transition vers une gestion participative a pour objectif de faire face aux défis liés à la conservation des ressources forestières. Tandis qu’en réalité, les tensions soulevées entre les modèles traditionnels et les approches managériales modernes demeurent un enjeu central pour l'avenir des forêts marocaines</w:t>
      </w:r>
      <w:r w:rsidRPr="002462E6">
        <w:rPr>
          <w:rFonts w:ascii="Tahoma" w:eastAsia="Times New Roman" w:hAnsi="Tahoma" w:cs="Tahoma"/>
          <w:sz w:val="24"/>
          <w:szCs w:val="24"/>
          <w:vertAlign w:val="superscript"/>
        </w:rPr>
        <w:footnoteReference w:id="118"/>
      </w:r>
      <w:r w:rsidRPr="002462E6">
        <w:rPr>
          <w:rFonts w:ascii="Tahoma" w:eastAsia="Times New Roman" w:hAnsi="Tahoma" w:cs="Tahoma"/>
          <w:sz w:val="24"/>
          <w:szCs w:val="24"/>
        </w:rPr>
        <w:t>.</w:t>
      </w:r>
    </w:p>
    <w:p w:rsidR="000A7532" w:rsidRPr="002462E6" w:rsidRDefault="000A7532" w:rsidP="000A7532">
      <w:pPr>
        <w:widowControl w:val="0"/>
        <w:autoSpaceDE w:val="0"/>
        <w:autoSpaceDN w:val="0"/>
        <w:spacing w:after="0" w:line="360" w:lineRule="auto"/>
        <w:jc w:val="both"/>
        <w:rPr>
          <w:rFonts w:ascii="Tahoma" w:eastAsia="Times New Roman" w:hAnsi="Tahoma" w:cs="Tahoma"/>
          <w:sz w:val="24"/>
          <w:szCs w:val="24"/>
        </w:rPr>
      </w:pPr>
      <w:r w:rsidRPr="002462E6">
        <w:rPr>
          <w:rFonts w:ascii="Tahoma" w:eastAsia="Times New Roman" w:hAnsi="Tahoma" w:cs="Tahoma"/>
          <w:sz w:val="24"/>
          <w:szCs w:val="24"/>
        </w:rPr>
        <w:lastRenderedPageBreak/>
        <w:t>La première partie de cette thèse se propose d'analyser l'évolution de la gestion forestière au Maroc. En effet, le chapitre premier examine la transition entre les pratiques ancestrales, profondément enracinées dans la culture et les traditions locales, et les approches modernes axées sur la durabilité et la conservation des ressources. L'objectif est de mieux comprendre les dynamiques qui ont façonné la gestion forestière au Maroc.</w:t>
      </w:r>
    </w:p>
    <w:p w:rsidR="00571B76" w:rsidRPr="002462E6" w:rsidRDefault="00571B76" w:rsidP="000A7532">
      <w:pPr>
        <w:widowControl w:val="0"/>
        <w:autoSpaceDE w:val="0"/>
        <w:autoSpaceDN w:val="0"/>
        <w:spacing w:after="0" w:line="360" w:lineRule="auto"/>
        <w:jc w:val="both"/>
        <w:rPr>
          <w:rFonts w:ascii="Tahoma" w:eastAsia="Times New Roman" w:hAnsi="Tahoma" w:cs="Tahoma"/>
          <w:sz w:val="24"/>
          <w:szCs w:val="24"/>
        </w:rPr>
      </w:pPr>
    </w:p>
    <w:p w:rsidR="000A7532" w:rsidRPr="002462E6" w:rsidRDefault="000A7532" w:rsidP="000A7532">
      <w:pPr>
        <w:widowControl w:val="0"/>
        <w:autoSpaceDE w:val="0"/>
        <w:autoSpaceDN w:val="0"/>
        <w:spacing w:after="0" w:line="360" w:lineRule="auto"/>
        <w:jc w:val="both"/>
        <w:rPr>
          <w:rFonts w:ascii="Tahoma" w:eastAsia="Times New Roman" w:hAnsi="Tahoma" w:cs="Tahoma"/>
          <w:sz w:val="24"/>
          <w:szCs w:val="24"/>
        </w:rPr>
      </w:pPr>
      <w:r w:rsidRPr="002462E6">
        <w:rPr>
          <w:rFonts w:ascii="Tahoma" w:eastAsia="Times New Roman" w:hAnsi="Tahoma" w:cs="Tahoma"/>
          <w:sz w:val="24"/>
          <w:szCs w:val="24"/>
        </w:rPr>
        <w:t>Quant au deuxième chapitre, il se focalise sur la diversité des essences forestières du Maroc, leur répartition géographique, leur superficie et les multiples fonctions qu'elles remplissent. Il souligne le rôle fondamental des forêts marocaines sur les plans écologique, économique et social. De plus, ce chapitre traite du cadre juridique en vigueur qui régit la gestion des ressources forestières, en soulignant les lois et réglementations mises en place pour protéger ces écosystèmes fragiles. Enfin, il examine les processus et les causes de la dégradation des forêts marocaines, notamment les pressions anthropiques, le changement climatique et la gestion inadéquate des ressources.</w:t>
      </w:r>
    </w:p>
    <w:p w:rsidR="000A7532" w:rsidRPr="002462E6" w:rsidRDefault="000A7532" w:rsidP="000A7532">
      <w:pPr>
        <w:widowControl w:val="0"/>
        <w:autoSpaceDE w:val="0"/>
        <w:autoSpaceDN w:val="0"/>
        <w:spacing w:after="0" w:line="240" w:lineRule="auto"/>
        <w:rPr>
          <w:rFonts w:ascii="Times New Roman" w:eastAsia="Times New Roman" w:hAnsi="Times New Roman" w:cs="Times New Roman"/>
          <w:sz w:val="24"/>
          <w:szCs w:val="24"/>
        </w:rPr>
      </w:pPr>
      <w:bookmarkStart w:id="66" w:name="_Toc177835098"/>
    </w:p>
    <w:p w:rsidR="00E92E20" w:rsidRPr="002462E6" w:rsidRDefault="00E92E20">
      <w:pPr>
        <w:rPr>
          <w:rFonts w:ascii="Times New Roman" w:eastAsia="Times New Roman" w:hAnsi="Times New Roman" w:cs="Times New Roman"/>
          <w:b/>
          <w:bCs/>
          <w:sz w:val="28"/>
          <w:szCs w:val="28"/>
        </w:rPr>
      </w:pPr>
      <w:bookmarkStart w:id="67" w:name="_Toc182058808"/>
      <w:bookmarkStart w:id="68" w:name="_Toc186533800"/>
      <w:r w:rsidRPr="002462E6">
        <w:br w:type="page"/>
      </w:r>
    </w:p>
    <w:p w:rsidR="000A7532" w:rsidRPr="002462E6" w:rsidRDefault="000A7532" w:rsidP="00F65F16">
      <w:pPr>
        <w:pStyle w:val="Titre2"/>
      </w:pPr>
      <w:bookmarkStart w:id="69" w:name="_Toc201570824"/>
      <w:bookmarkStart w:id="70" w:name="_Toc201570887"/>
      <w:bookmarkStart w:id="71" w:name="_Toc201655451"/>
      <w:bookmarkStart w:id="72" w:name="_Toc203643006"/>
      <w:r w:rsidRPr="002462E6">
        <w:lastRenderedPageBreak/>
        <w:t xml:space="preserve">Chapitre I : </w:t>
      </w:r>
      <w:bookmarkEnd w:id="66"/>
      <w:bookmarkEnd w:id="67"/>
      <w:bookmarkEnd w:id="68"/>
      <w:r w:rsidR="00C1608C" w:rsidRPr="002462E6">
        <w:t>L</w:t>
      </w:r>
      <w:r w:rsidRPr="002462E6">
        <w:t>a gestion ancestrale à la gestion durable : tensions et convergences</w:t>
      </w:r>
      <w:bookmarkEnd w:id="69"/>
      <w:bookmarkEnd w:id="70"/>
      <w:bookmarkEnd w:id="71"/>
      <w:bookmarkEnd w:id="72"/>
    </w:p>
    <w:p w:rsidR="000A7532" w:rsidRPr="002462E6" w:rsidRDefault="000A7532" w:rsidP="00F65F16">
      <w:pPr>
        <w:pStyle w:val="Titre2"/>
      </w:pPr>
    </w:p>
    <w:p w:rsidR="000A7532" w:rsidRPr="002462E6" w:rsidRDefault="000A7532" w:rsidP="000A7532">
      <w:pPr>
        <w:widowControl w:val="0"/>
        <w:autoSpaceDE w:val="0"/>
        <w:autoSpaceDN w:val="0"/>
        <w:spacing w:before="286" w:after="0" w:line="360" w:lineRule="auto"/>
        <w:ind w:right="4"/>
        <w:jc w:val="both"/>
        <w:rPr>
          <w:rFonts w:ascii="Tahoma" w:eastAsia="Times New Roman" w:hAnsi="Tahoma" w:cs="Tahoma"/>
          <w:sz w:val="24"/>
          <w:szCs w:val="24"/>
        </w:rPr>
      </w:pPr>
      <w:r w:rsidRPr="002462E6">
        <w:rPr>
          <w:rFonts w:ascii="Tahoma" w:eastAsia="Times New Roman" w:hAnsi="Tahoma" w:cs="Tahoma"/>
          <w:sz w:val="24"/>
          <w:szCs w:val="24"/>
        </w:rPr>
        <w:t>L'analyse de la terminologie contemporaine relative à la gestion des ressources forestières au Maroc révèle une marginalisation du concept du capital social</w:t>
      </w:r>
      <w:r w:rsidRPr="002462E6">
        <w:rPr>
          <w:rFonts w:ascii="Tahoma" w:eastAsia="Times New Roman" w:hAnsi="Tahoma" w:cs="Tahoma"/>
          <w:sz w:val="24"/>
          <w:szCs w:val="24"/>
          <w:vertAlign w:val="superscript"/>
        </w:rPr>
        <w:footnoteReference w:id="119"/>
      </w:r>
      <w:r w:rsidRPr="002462E6">
        <w:rPr>
          <w:rFonts w:ascii="Tahoma" w:eastAsia="Times New Roman" w:hAnsi="Tahoma" w:cs="Tahoma"/>
          <w:sz w:val="24"/>
          <w:szCs w:val="24"/>
        </w:rPr>
        <w:t>. Cette discrétion sémantique pourrait masquer des mutations profondes qu’a connues la politique forestière marocaine.</w:t>
      </w:r>
    </w:p>
    <w:p w:rsidR="000A7532" w:rsidRPr="002462E6" w:rsidRDefault="000A7532" w:rsidP="000A7532">
      <w:pPr>
        <w:widowControl w:val="0"/>
        <w:autoSpaceDE w:val="0"/>
        <w:autoSpaceDN w:val="0"/>
        <w:spacing w:before="286" w:after="0" w:line="360" w:lineRule="auto"/>
        <w:ind w:right="4"/>
        <w:jc w:val="both"/>
        <w:rPr>
          <w:rFonts w:ascii="Tahoma" w:eastAsia="Times New Roman" w:hAnsi="Tahoma" w:cs="Tahoma"/>
          <w:sz w:val="24"/>
          <w:szCs w:val="24"/>
        </w:rPr>
      </w:pPr>
      <w:r w:rsidRPr="002462E6">
        <w:rPr>
          <w:rFonts w:ascii="Tahoma" w:eastAsia="Times New Roman" w:hAnsi="Tahoma" w:cs="Tahoma"/>
          <w:sz w:val="24"/>
          <w:szCs w:val="24"/>
        </w:rPr>
        <w:t>Il convient de souligner que le rapport</w:t>
      </w:r>
      <w:r w:rsidR="004A0390" w:rsidRPr="002462E6">
        <w:rPr>
          <w:rFonts w:ascii="Tahoma" w:eastAsia="Times New Roman" w:hAnsi="Tahoma" w:cs="Tahoma"/>
          <w:sz w:val="24"/>
          <w:szCs w:val="24"/>
        </w:rPr>
        <w:t xml:space="preserve"> « capital</w:t>
      </w:r>
      <w:r w:rsidRPr="002462E6">
        <w:rPr>
          <w:rFonts w:ascii="Tahoma" w:eastAsia="Times New Roman" w:hAnsi="Tahoma" w:cs="Tahoma"/>
          <w:sz w:val="24"/>
          <w:szCs w:val="24"/>
        </w:rPr>
        <w:t xml:space="preserve"> social/préservation de la </w:t>
      </w:r>
      <w:r w:rsidR="003D0205" w:rsidRPr="002462E6">
        <w:rPr>
          <w:rFonts w:ascii="Tahoma" w:eastAsia="Times New Roman" w:hAnsi="Tahoma" w:cs="Tahoma"/>
          <w:sz w:val="24"/>
          <w:szCs w:val="24"/>
        </w:rPr>
        <w:t>nature »</w:t>
      </w:r>
      <w:r w:rsidRPr="002462E6">
        <w:rPr>
          <w:rFonts w:ascii="Tahoma" w:eastAsia="Times New Roman" w:hAnsi="Tahoma" w:cs="Tahoma"/>
          <w:sz w:val="24"/>
          <w:szCs w:val="24"/>
        </w:rPr>
        <w:t xml:space="preserve"> a occupé une place centrale dans le débat international ces dernières années. Le concept du capital social repose sur l'importance des normes, des réseaux sociaux et du niveau de confiance au sein des communautés, considérés comme des éléments indispensables pour assurer une gestion efficace des ressources</w:t>
      </w:r>
      <w:r w:rsidRPr="002462E6">
        <w:rPr>
          <w:rFonts w:ascii="Tahoma" w:eastAsia="Times New Roman" w:hAnsi="Tahoma" w:cs="Tahoma"/>
          <w:sz w:val="24"/>
          <w:szCs w:val="24"/>
          <w:vertAlign w:val="superscript"/>
        </w:rPr>
        <w:footnoteReference w:id="120"/>
      </w:r>
      <w:r w:rsidRPr="002462E6">
        <w:rPr>
          <w:rFonts w:ascii="Tahoma" w:eastAsia="Times New Roman" w:hAnsi="Tahoma" w:cs="Tahoma"/>
          <w:sz w:val="24"/>
          <w:szCs w:val="24"/>
        </w:rPr>
        <w:t>.</w:t>
      </w:r>
    </w:p>
    <w:p w:rsidR="000A7532" w:rsidRPr="002462E6" w:rsidRDefault="000A7532" w:rsidP="000A7532">
      <w:pPr>
        <w:widowControl w:val="0"/>
        <w:autoSpaceDE w:val="0"/>
        <w:autoSpaceDN w:val="0"/>
        <w:spacing w:before="286" w:after="0" w:line="360" w:lineRule="auto"/>
        <w:ind w:right="4"/>
        <w:jc w:val="both"/>
        <w:rPr>
          <w:rFonts w:ascii="Tahoma" w:eastAsia="Times New Roman" w:hAnsi="Tahoma" w:cs="Tahoma"/>
          <w:sz w:val="24"/>
          <w:szCs w:val="24"/>
        </w:rPr>
      </w:pPr>
      <w:r w:rsidRPr="002462E6">
        <w:rPr>
          <w:rFonts w:ascii="Tahoma" w:eastAsia="Times New Roman" w:hAnsi="Tahoma" w:cs="Tahoma"/>
          <w:sz w:val="24"/>
          <w:szCs w:val="24"/>
        </w:rPr>
        <w:t>Des théoriciens</w:t>
      </w:r>
      <w:r w:rsidRPr="002462E6">
        <w:rPr>
          <w:rFonts w:ascii="Tahoma" w:eastAsia="Times New Roman" w:hAnsi="Tahoma" w:cs="Tahoma"/>
          <w:sz w:val="24"/>
          <w:szCs w:val="24"/>
          <w:vertAlign w:val="superscript"/>
        </w:rPr>
        <w:footnoteReference w:id="121"/>
      </w:r>
      <w:r w:rsidRPr="002462E6">
        <w:rPr>
          <w:rFonts w:ascii="Tahoma" w:eastAsia="Times New Roman" w:hAnsi="Tahoma" w:cs="Tahoma"/>
          <w:sz w:val="24"/>
          <w:szCs w:val="24"/>
        </w:rPr>
        <w:t xml:space="preserve"> ont démontré que le capital social, en tant qu'actif collectif, est fondamental pour une gestion efficace des ressources naturelles. Les résultats de ses travaux suggèrent qu'un groupe humain qui adopte collectivement des normes peut mieux gérer les ressources communes, telles que les forêts, en assurant leur préservation tout en répondant aux besoins économiques de la communauté</w:t>
      </w:r>
      <w:r w:rsidRPr="002462E6">
        <w:rPr>
          <w:rFonts w:ascii="Tahoma" w:eastAsia="Times New Roman" w:hAnsi="Tahoma" w:cs="Tahoma"/>
          <w:sz w:val="24"/>
          <w:szCs w:val="24"/>
          <w:vertAlign w:val="superscript"/>
        </w:rPr>
        <w:footnoteReference w:id="122"/>
      </w:r>
      <w:r w:rsidRPr="002462E6">
        <w:rPr>
          <w:rFonts w:ascii="Tahoma" w:eastAsia="Times New Roman" w:hAnsi="Tahoma" w:cs="Tahoma"/>
          <w:sz w:val="24"/>
          <w:szCs w:val="24"/>
        </w:rPr>
        <w:t>.</w:t>
      </w:r>
    </w:p>
    <w:p w:rsidR="0097345B" w:rsidRPr="00BB5E2E" w:rsidRDefault="000A7532" w:rsidP="00BB5E2E">
      <w:pPr>
        <w:widowControl w:val="0"/>
        <w:autoSpaceDE w:val="0"/>
        <w:autoSpaceDN w:val="0"/>
        <w:spacing w:before="286" w:after="0" w:line="360" w:lineRule="auto"/>
        <w:ind w:right="4"/>
        <w:jc w:val="both"/>
        <w:rPr>
          <w:rFonts w:ascii="Tahoma" w:eastAsia="Times New Roman" w:hAnsi="Tahoma" w:cs="Tahoma"/>
          <w:sz w:val="24"/>
          <w:szCs w:val="24"/>
        </w:rPr>
      </w:pPr>
      <w:r w:rsidRPr="002462E6">
        <w:rPr>
          <w:rFonts w:ascii="Tahoma" w:eastAsia="Times New Roman" w:hAnsi="Tahoma" w:cs="Tahoma"/>
          <w:sz w:val="24"/>
          <w:szCs w:val="24"/>
        </w:rPr>
        <w:t>Il est important de souligner que l'introduction du concept de capital social est attribuée à Pierre Bourdieu dans le cadre de ses travaux sur les structures sociales et les inégalités. Pour lui, le capital social représente « l’ensemble des ressources actuelles ou potentielles qui sont liées à la possession d’un réseau durable de relations plus ou moins institutionnalisées d’interconnaissance et d’inter-reconnaissance »</w:t>
      </w:r>
      <w:r w:rsidRPr="002462E6">
        <w:rPr>
          <w:rFonts w:ascii="Tahoma" w:eastAsia="Times New Roman" w:hAnsi="Tahoma" w:cs="Tahoma"/>
          <w:sz w:val="24"/>
          <w:szCs w:val="24"/>
          <w:vertAlign w:val="superscript"/>
        </w:rPr>
        <w:footnoteReference w:id="123"/>
      </w:r>
      <w:r w:rsidR="00BB5E2E">
        <w:rPr>
          <w:rFonts w:ascii="Tahoma" w:eastAsia="Times New Roman" w:hAnsi="Tahoma" w:cs="Tahoma"/>
          <w:sz w:val="24"/>
          <w:szCs w:val="24"/>
        </w:rPr>
        <w:t>.</w:t>
      </w:r>
    </w:p>
    <w:p w:rsidR="0097345B" w:rsidRPr="002462E6" w:rsidRDefault="000A7532" w:rsidP="00BB5E2E">
      <w:pPr>
        <w:spacing w:line="360" w:lineRule="auto"/>
        <w:jc w:val="both"/>
        <w:rPr>
          <w:rFonts w:ascii="Tahoma" w:eastAsia="Calibri" w:hAnsi="Tahoma" w:cs="Tahoma"/>
          <w:sz w:val="24"/>
          <w:szCs w:val="24"/>
        </w:rPr>
      </w:pPr>
      <w:r w:rsidRPr="002462E6">
        <w:rPr>
          <w:rFonts w:ascii="Tahoma" w:eastAsia="Calibri" w:hAnsi="Tahoma" w:cs="Tahoma"/>
          <w:sz w:val="24"/>
          <w:szCs w:val="24"/>
        </w:rPr>
        <w:lastRenderedPageBreak/>
        <w:t>Ce réseau, qu'il soit formel ou informel, est essentiel pour comprendre comment les individus peuvent mobiliser des ressources afin d'améliorer leur position sociale. La définition de Bourdieu indique que le capital social ne se limite pas à la quantité de relations, mais englobe également la qualité et la durabilité de ces relations. Il est important de souligner que le capital social est intrinsèquement lié à d'autres formes de capital, notamment le capital économique et le capital culturel</w:t>
      </w:r>
      <w:r w:rsidRPr="002462E6">
        <w:rPr>
          <w:rFonts w:ascii="Tahoma" w:eastAsia="Calibri" w:hAnsi="Tahoma" w:cs="Tahoma"/>
          <w:sz w:val="24"/>
          <w:szCs w:val="24"/>
          <w:vertAlign w:val="superscript"/>
        </w:rPr>
        <w:footnoteReference w:id="124"/>
      </w:r>
      <w:r w:rsidR="00BB5E2E">
        <w:rPr>
          <w:rFonts w:ascii="Tahoma" w:eastAsia="Calibri" w:hAnsi="Tahoma" w:cs="Tahoma"/>
          <w:sz w:val="24"/>
          <w:szCs w:val="24"/>
        </w:rPr>
        <w:t>.</w:t>
      </w:r>
    </w:p>
    <w:p w:rsidR="0097345B" w:rsidRPr="002462E6" w:rsidRDefault="000A7532" w:rsidP="001772B2">
      <w:pPr>
        <w:spacing w:line="360" w:lineRule="auto"/>
        <w:jc w:val="both"/>
        <w:rPr>
          <w:rFonts w:ascii="Tahoma" w:eastAsia="Calibri" w:hAnsi="Tahoma" w:cs="Tahoma"/>
          <w:sz w:val="24"/>
          <w:szCs w:val="24"/>
        </w:rPr>
      </w:pPr>
      <w:r w:rsidRPr="002462E6">
        <w:rPr>
          <w:rFonts w:ascii="Tahoma" w:eastAsia="Calibri" w:hAnsi="Tahoma" w:cs="Tahoma"/>
          <w:sz w:val="24"/>
          <w:szCs w:val="24"/>
        </w:rPr>
        <w:t>L'acception du capital social selon Bourdieu est essentielle pour comprendre les dynamiques sociales contemporaines. En mettant l'accent sur l'importance des réseaux relationnels dans l'accès aux ressources, le sociologue français offre une perspective critique sur les inégalités sociales et les mécanismes de pouvoir au sein des sociétés. Son analyse souligne non seulement le rôle du capital social en tant que ressource individuelle, mais aussi son impact sur la structure sociale globale</w:t>
      </w:r>
      <w:r w:rsidRPr="002462E6">
        <w:rPr>
          <w:rFonts w:ascii="Tahoma" w:eastAsia="Calibri" w:hAnsi="Tahoma" w:cs="Tahoma"/>
          <w:sz w:val="24"/>
          <w:szCs w:val="24"/>
          <w:vertAlign w:val="superscript"/>
        </w:rPr>
        <w:footnoteReference w:id="125"/>
      </w:r>
      <w:r w:rsidR="001772B2">
        <w:rPr>
          <w:rFonts w:ascii="Tahoma" w:eastAsia="Calibri" w:hAnsi="Tahoma" w:cs="Tahoma"/>
          <w:sz w:val="24"/>
          <w:szCs w:val="24"/>
        </w:rPr>
        <w:t>.</w:t>
      </w:r>
    </w:p>
    <w:p w:rsidR="0097345B" w:rsidRPr="002462E6" w:rsidRDefault="000A7532" w:rsidP="001772B2">
      <w:pPr>
        <w:widowControl w:val="0"/>
        <w:autoSpaceDE w:val="0"/>
        <w:autoSpaceDN w:val="0"/>
        <w:spacing w:after="0" w:line="360" w:lineRule="auto"/>
        <w:ind w:right="4"/>
        <w:jc w:val="both"/>
        <w:rPr>
          <w:rFonts w:ascii="Tahoma" w:eastAsia="Calibri" w:hAnsi="Tahoma" w:cs="Tahoma"/>
          <w:sz w:val="24"/>
          <w:szCs w:val="24"/>
        </w:rPr>
      </w:pPr>
      <w:r w:rsidRPr="002462E6">
        <w:rPr>
          <w:rFonts w:ascii="Tahoma" w:eastAsia="Calibri" w:hAnsi="Tahoma" w:cs="Tahoma"/>
          <w:sz w:val="24"/>
          <w:szCs w:val="24"/>
        </w:rPr>
        <w:t>Dans le contexte marocain, la Jemaâ</w:t>
      </w:r>
      <w:r w:rsidRPr="002462E6">
        <w:rPr>
          <w:rFonts w:ascii="Tahoma" w:eastAsia="Calibri" w:hAnsi="Tahoma" w:cs="Tahoma"/>
          <w:sz w:val="24"/>
          <w:szCs w:val="24"/>
          <w:vertAlign w:val="superscript"/>
        </w:rPr>
        <w:footnoteReference w:id="126"/>
      </w:r>
      <w:r w:rsidRPr="002462E6">
        <w:rPr>
          <w:rFonts w:ascii="Tahoma" w:eastAsia="Calibri" w:hAnsi="Tahoma" w:cs="Tahoma"/>
          <w:sz w:val="24"/>
          <w:szCs w:val="24"/>
        </w:rPr>
        <w:t xml:space="preserve"> est un terme arabe signifiant « assemblée » ou « réunion », désignant une institution sociopolitique traditionnelle répandue dans les zones rurales du Maroc. Elle constitue un forum où les membres de la communauté, généralement issus d'un village ou d'un ensemble de villages, se réunissent pour délibérer sur des questions d'intérêt collectif, telles que la gestion des ressources communautaires, incluant l'utilisation des terres, les systèmes d'irrigation et la gouvernance locale</w:t>
      </w:r>
      <w:r w:rsidRPr="002462E6">
        <w:rPr>
          <w:rFonts w:ascii="Tahoma" w:eastAsia="Calibri" w:hAnsi="Tahoma" w:cs="Tahoma"/>
          <w:sz w:val="24"/>
          <w:szCs w:val="24"/>
          <w:vertAlign w:val="superscript"/>
        </w:rPr>
        <w:footnoteReference w:id="127"/>
      </w:r>
      <w:r w:rsidR="001772B2">
        <w:rPr>
          <w:rFonts w:ascii="Tahoma" w:eastAsia="Calibri" w:hAnsi="Tahoma" w:cs="Tahoma"/>
          <w:sz w:val="24"/>
          <w:szCs w:val="24"/>
        </w:rPr>
        <w:t>.</w:t>
      </w:r>
    </w:p>
    <w:p w:rsidR="000A7532" w:rsidRPr="002462E6" w:rsidRDefault="000A7532" w:rsidP="000A7532">
      <w:pPr>
        <w:widowControl w:val="0"/>
        <w:autoSpaceDE w:val="0"/>
        <w:autoSpaceDN w:val="0"/>
        <w:spacing w:after="0" w:line="360" w:lineRule="auto"/>
        <w:ind w:right="4"/>
        <w:jc w:val="both"/>
        <w:rPr>
          <w:rFonts w:ascii="Tahoma" w:eastAsia="Calibri" w:hAnsi="Tahoma" w:cs="Tahoma"/>
          <w:sz w:val="24"/>
          <w:szCs w:val="24"/>
        </w:rPr>
      </w:pPr>
      <w:r w:rsidRPr="002462E6">
        <w:rPr>
          <w:rFonts w:ascii="Tahoma" w:eastAsia="Calibri" w:hAnsi="Tahoma" w:cs="Tahoma"/>
          <w:sz w:val="24"/>
          <w:szCs w:val="24"/>
        </w:rPr>
        <w:t>De ce fait, la Jemaâ représente une forme concrète de capital social, incarnant un symbole d'entraide et de coopération locale. Elle constitue un mode d'organisation collective susceptible de gérer efficacement les ressources naturelles</w:t>
      </w:r>
      <w:r w:rsidRPr="002462E6">
        <w:rPr>
          <w:rFonts w:ascii="Times New Roman" w:eastAsia="Calibri" w:hAnsi="Times New Roman" w:cs="Times New Roman"/>
          <w:sz w:val="24"/>
          <w:szCs w:val="24"/>
          <w:vertAlign w:val="superscript"/>
        </w:rPr>
        <w:footnoteReference w:id="128"/>
      </w:r>
      <w:r w:rsidRPr="002462E6">
        <w:rPr>
          <w:rFonts w:ascii="Tahoma" w:eastAsia="Calibri" w:hAnsi="Tahoma" w:cs="Tahoma"/>
          <w:sz w:val="24"/>
          <w:szCs w:val="24"/>
        </w:rPr>
        <w:t xml:space="preserve">. </w:t>
      </w:r>
    </w:p>
    <w:p w:rsidR="000A7532" w:rsidRPr="002462E6" w:rsidRDefault="000A7532" w:rsidP="000A7532">
      <w:pPr>
        <w:widowControl w:val="0"/>
        <w:autoSpaceDE w:val="0"/>
        <w:autoSpaceDN w:val="0"/>
        <w:spacing w:after="0" w:line="360" w:lineRule="auto"/>
        <w:ind w:right="4"/>
        <w:jc w:val="both"/>
        <w:rPr>
          <w:rFonts w:ascii="Tahoma" w:eastAsia="Times New Roman" w:hAnsi="Tahoma" w:cs="Tahoma"/>
          <w:sz w:val="24"/>
          <w:szCs w:val="24"/>
        </w:rPr>
      </w:pPr>
      <w:r w:rsidRPr="002462E6">
        <w:rPr>
          <w:rFonts w:ascii="Tahoma" w:eastAsia="Times New Roman" w:hAnsi="Tahoma" w:cs="Tahoma"/>
          <w:sz w:val="24"/>
          <w:szCs w:val="24"/>
        </w:rPr>
        <w:t>Les pratiques ancestrales, à l'instar de l'Agdal</w:t>
      </w:r>
      <w:r w:rsidRPr="002462E6">
        <w:rPr>
          <w:rFonts w:ascii="Tahoma" w:eastAsia="Times New Roman" w:hAnsi="Tahoma" w:cs="Tahoma"/>
          <w:sz w:val="24"/>
          <w:szCs w:val="24"/>
          <w:vertAlign w:val="superscript"/>
        </w:rPr>
        <w:footnoteReference w:id="129"/>
      </w:r>
      <w:r w:rsidRPr="002462E6">
        <w:rPr>
          <w:rFonts w:ascii="Tahoma" w:eastAsia="Times New Roman" w:hAnsi="Tahoma" w:cs="Tahoma"/>
          <w:sz w:val="24"/>
          <w:szCs w:val="24"/>
        </w:rPr>
        <w:t xml:space="preserve">, qui régulent l'accès aux ressources </w:t>
      </w:r>
      <w:r w:rsidRPr="002462E6">
        <w:rPr>
          <w:rFonts w:ascii="Tahoma" w:eastAsia="Times New Roman" w:hAnsi="Tahoma" w:cs="Tahoma"/>
          <w:sz w:val="24"/>
          <w:szCs w:val="24"/>
        </w:rPr>
        <w:lastRenderedPageBreak/>
        <w:t>naturelles contribuent ainsi à la conservation de la biodiversité d’une manière générale et à l'entretien des écosystèmes forestiers plus particulièrement.</w:t>
      </w:r>
    </w:p>
    <w:p w:rsidR="000A7532" w:rsidRPr="002462E6" w:rsidRDefault="000A7532" w:rsidP="000A7532">
      <w:pPr>
        <w:widowControl w:val="0"/>
        <w:autoSpaceDE w:val="0"/>
        <w:autoSpaceDN w:val="0"/>
        <w:spacing w:before="286" w:after="0" w:line="360" w:lineRule="auto"/>
        <w:ind w:right="4"/>
        <w:jc w:val="both"/>
        <w:rPr>
          <w:rFonts w:ascii="Tahoma" w:eastAsia="Times New Roman" w:hAnsi="Tahoma" w:cs="Tahoma"/>
          <w:sz w:val="24"/>
          <w:szCs w:val="24"/>
        </w:rPr>
      </w:pPr>
      <w:r w:rsidRPr="002462E6">
        <w:rPr>
          <w:rFonts w:ascii="Tahoma" w:eastAsia="Times New Roman" w:hAnsi="Tahoma" w:cs="Tahoma"/>
          <w:sz w:val="24"/>
          <w:szCs w:val="24"/>
        </w:rPr>
        <w:t>Ce système traditionnel de gestion, où les usagers sont impliqués dans les décisions relatives aux ressources forestières, mérite une analyse approfondie afin de comprendre sa pertinence et sa complémentarité potentielle par rapport aux stratégies modernes de gestion. L'étude de la Jemaâ pourrait ainsi éclairer les voies d'une gestion plus participative et efficace des ressources forestières au Maroc</w:t>
      </w:r>
      <w:r w:rsidRPr="002462E6">
        <w:rPr>
          <w:rFonts w:ascii="Tahoma" w:eastAsia="Times New Roman" w:hAnsi="Tahoma" w:cs="Tahoma"/>
          <w:sz w:val="24"/>
          <w:szCs w:val="24"/>
          <w:vertAlign w:val="superscript"/>
        </w:rPr>
        <w:footnoteReference w:id="130"/>
      </w:r>
      <w:r w:rsidRPr="002462E6">
        <w:rPr>
          <w:rFonts w:ascii="Tahoma" w:eastAsia="Times New Roman" w:hAnsi="Tahoma" w:cs="Tahoma"/>
          <w:sz w:val="24"/>
          <w:szCs w:val="24"/>
        </w:rPr>
        <w:t>.</w:t>
      </w:r>
    </w:p>
    <w:p w:rsidR="00F07613" w:rsidRPr="002462E6" w:rsidRDefault="00F07613" w:rsidP="000A7532">
      <w:pPr>
        <w:widowControl w:val="0"/>
        <w:autoSpaceDE w:val="0"/>
        <w:autoSpaceDN w:val="0"/>
        <w:spacing w:after="0" w:line="240" w:lineRule="auto"/>
        <w:jc w:val="both"/>
        <w:outlineLvl w:val="2"/>
        <w:rPr>
          <w:rFonts w:ascii="Calibri Light" w:eastAsia="Calibri Light" w:hAnsi="Calibri Light" w:cs="Calibri Light"/>
          <w:sz w:val="26"/>
          <w:szCs w:val="26"/>
        </w:rPr>
      </w:pPr>
      <w:bookmarkStart w:id="73" w:name="_Toc177835099"/>
    </w:p>
    <w:p w:rsidR="001772B2" w:rsidRPr="001772B2" w:rsidRDefault="00297403" w:rsidP="007A71CC">
      <w:pPr>
        <w:pStyle w:val="Titre3"/>
      </w:pPr>
      <w:bookmarkStart w:id="74" w:name="_Toc182058809"/>
      <w:bookmarkStart w:id="75" w:name="_Toc186533801"/>
      <w:r w:rsidRPr="002462E6">
        <w:rPr>
          <w:rFonts w:cs="Tahoma"/>
          <w:bCs/>
          <w:color w:val="00B0F0"/>
        </w:rPr>
        <w:br w:type="page"/>
      </w:r>
      <w:bookmarkStart w:id="76" w:name="_Toc201570825"/>
      <w:bookmarkStart w:id="77" w:name="_Toc201570888"/>
      <w:bookmarkStart w:id="78" w:name="_Toc201655452"/>
      <w:bookmarkStart w:id="79" w:name="_Toc203643007"/>
      <w:r w:rsidR="001772B2" w:rsidRPr="001772B2">
        <w:lastRenderedPageBreak/>
        <w:t>Première Section : Gestion des forêts marocaines entre héritage coutumier et enjeux modernes</w:t>
      </w:r>
      <w:bookmarkEnd w:id="76"/>
      <w:bookmarkEnd w:id="77"/>
      <w:bookmarkEnd w:id="78"/>
      <w:bookmarkEnd w:id="79"/>
    </w:p>
    <w:p w:rsidR="001772B2" w:rsidRPr="001772B2" w:rsidRDefault="001772B2" w:rsidP="001772B2">
      <w:pPr>
        <w:widowControl w:val="0"/>
        <w:autoSpaceDE w:val="0"/>
        <w:autoSpaceDN w:val="0"/>
        <w:spacing w:after="0" w:line="240" w:lineRule="auto"/>
        <w:jc w:val="both"/>
        <w:outlineLvl w:val="2"/>
        <w:rPr>
          <w:rFonts w:ascii="Calibri Light" w:eastAsia="Calibri Light" w:hAnsi="Calibri Light" w:cs="Calibri Light"/>
          <w:sz w:val="26"/>
          <w:szCs w:val="26"/>
        </w:rPr>
      </w:pPr>
      <w:r w:rsidRPr="001772B2">
        <w:rPr>
          <w:rFonts w:ascii="Calibri Light" w:eastAsia="Calibri Light" w:hAnsi="Calibri Light" w:cs="Calibri Light"/>
          <w:sz w:val="26"/>
          <w:szCs w:val="26"/>
        </w:rPr>
        <w:t xml:space="preserve"> </w:t>
      </w:r>
    </w:p>
    <w:p w:rsidR="001772B2" w:rsidRPr="001772B2" w:rsidRDefault="001772B2" w:rsidP="001772B2">
      <w:pPr>
        <w:widowControl w:val="0"/>
        <w:autoSpaceDE w:val="0"/>
        <w:autoSpaceDN w:val="0"/>
        <w:spacing w:after="0" w:line="360" w:lineRule="auto"/>
        <w:jc w:val="both"/>
        <w:rPr>
          <w:rFonts w:ascii="Tahoma" w:eastAsia="Times New Roman" w:hAnsi="Tahoma" w:cs="Tahoma"/>
          <w:sz w:val="24"/>
          <w:szCs w:val="24"/>
        </w:rPr>
      </w:pPr>
      <w:r w:rsidRPr="001772B2">
        <w:rPr>
          <w:rFonts w:ascii="Tahoma" w:eastAsia="Times New Roman" w:hAnsi="Tahoma" w:cs="Tahoma"/>
          <w:sz w:val="24"/>
          <w:szCs w:val="24"/>
        </w:rPr>
        <w:t>La Déclaration de principes relatifs aux forêts, adoptée lors de la Conférence de Rio en 1992 révèle que les principes 2(d), 5(a) et 12(d) soulignent le rôle fondamental des populations locales dans la gestion forestière. Ces principes incitent à l'intégration de ces populations dans les politiques forestières nationales, contribuant ainsi à l'élaboration de solutions face à la dégradation forestière, dont le rythme demeure préoccupant à l'échelle mondiale</w:t>
      </w:r>
      <w:r w:rsidRPr="001772B2">
        <w:rPr>
          <w:rFonts w:ascii="Tahoma" w:eastAsia="Times New Roman" w:hAnsi="Tahoma" w:cs="Tahoma"/>
          <w:sz w:val="24"/>
          <w:szCs w:val="24"/>
          <w:vertAlign w:val="superscript"/>
        </w:rPr>
        <w:footnoteReference w:id="131"/>
      </w:r>
      <w:r w:rsidRPr="001772B2">
        <w:rPr>
          <w:rFonts w:ascii="Tahoma" w:eastAsia="Times New Roman" w:hAnsi="Tahoma" w:cs="Tahoma"/>
          <w:sz w:val="24"/>
          <w:szCs w:val="24"/>
        </w:rPr>
        <w:t>.</w:t>
      </w:r>
    </w:p>
    <w:p w:rsidR="001772B2" w:rsidRPr="001772B2" w:rsidRDefault="001772B2" w:rsidP="001772B2">
      <w:pPr>
        <w:widowControl w:val="0"/>
        <w:autoSpaceDE w:val="0"/>
        <w:autoSpaceDN w:val="0"/>
        <w:spacing w:after="0" w:line="360" w:lineRule="auto"/>
        <w:jc w:val="both"/>
        <w:rPr>
          <w:rFonts w:ascii="Tahoma" w:eastAsia="Times New Roman" w:hAnsi="Tahoma" w:cs="Tahoma"/>
          <w:sz w:val="14"/>
          <w:szCs w:val="14"/>
        </w:rPr>
      </w:pPr>
    </w:p>
    <w:p w:rsidR="001772B2" w:rsidRPr="001772B2" w:rsidRDefault="001772B2" w:rsidP="001772B2">
      <w:pPr>
        <w:widowControl w:val="0"/>
        <w:autoSpaceDE w:val="0"/>
        <w:autoSpaceDN w:val="0"/>
        <w:spacing w:after="0" w:line="360" w:lineRule="auto"/>
        <w:ind w:right="4"/>
        <w:jc w:val="both"/>
        <w:rPr>
          <w:rFonts w:ascii="Tahoma" w:eastAsia="Times New Roman" w:hAnsi="Tahoma" w:cs="Tahoma"/>
          <w:sz w:val="24"/>
          <w:szCs w:val="24"/>
        </w:rPr>
      </w:pPr>
      <w:r w:rsidRPr="001772B2">
        <w:rPr>
          <w:rFonts w:ascii="Tahoma" w:eastAsia="Times New Roman" w:hAnsi="Tahoma" w:cs="Tahoma"/>
          <w:sz w:val="24"/>
          <w:szCs w:val="24"/>
        </w:rPr>
        <w:t>Au Maroc, l’histoire de la paysannerie témoigne d’une gestion collective profondément ancrée dans les pratiques locales relatives aux ressources agrosylvopastorales. En effet, les communautés humaines s’organisaient traditionnellement sous forme de tribus, et l’accès aux ressources communes était régi par des principes communautaires dérivés de règles coutumières (orf) et/ou de normes du droit islamique (chraa). Ce modèle de gestion participative favorisait un équilibre entre les besoins des individus et la préservation des ressources naturelles</w:t>
      </w:r>
      <w:r w:rsidRPr="001772B2">
        <w:rPr>
          <w:rFonts w:ascii="Tahoma" w:eastAsia="Times New Roman" w:hAnsi="Tahoma" w:cs="Tahoma"/>
          <w:sz w:val="24"/>
          <w:szCs w:val="24"/>
          <w:vertAlign w:val="superscript"/>
        </w:rPr>
        <w:footnoteReference w:id="132"/>
      </w:r>
      <w:r w:rsidRPr="001772B2">
        <w:rPr>
          <w:rFonts w:ascii="Tahoma" w:eastAsia="Times New Roman" w:hAnsi="Tahoma" w:cs="Tahoma"/>
          <w:sz w:val="24"/>
          <w:szCs w:val="24"/>
        </w:rPr>
        <w:t xml:space="preserve">. </w:t>
      </w:r>
    </w:p>
    <w:p w:rsidR="00297403" w:rsidRPr="001772B2" w:rsidRDefault="001772B2" w:rsidP="001772B2">
      <w:pPr>
        <w:widowControl w:val="0"/>
        <w:autoSpaceDE w:val="0"/>
        <w:autoSpaceDN w:val="0"/>
        <w:spacing w:after="0" w:line="360" w:lineRule="auto"/>
        <w:ind w:right="4"/>
        <w:jc w:val="both"/>
        <w:rPr>
          <w:rFonts w:ascii="Tahoma" w:eastAsia="Times New Roman" w:hAnsi="Tahoma" w:cs="Tahoma"/>
          <w:sz w:val="24"/>
          <w:szCs w:val="24"/>
        </w:rPr>
      </w:pPr>
      <w:r w:rsidRPr="001772B2">
        <w:rPr>
          <w:rFonts w:ascii="Tahoma" w:eastAsia="Times New Roman" w:hAnsi="Tahoma" w:cs="Tahoma"/>
          <w:sz w:val="24"/>
          <w:szCs w:val="24"/>
        </w:rPr>
        <w:t>Parmi les pratiques ancestrales en matière de gestion forestière, l’exemple de l’Agdal se distingue comme une illustration emblématique d'un système coutumier mis en place sous la tutelle de la Jemaâ. Ce système mérite une attention particulière en raison de son efficacité démontrée dans la gestion des ressources naturelles depuis des siècles. En effet, les systèmes traditionnels marocains ont toujours constitué un cadre de référence pour les populations rurales, régissant non seulement les pratiques agricoles et pastorales, mais également l’exploitation et la gestion soutenable des forêts</w:t>
      </w:r>
      <w:r w:rsidRPr="001772B2">
        <w:rPr>
          <w:rFonts w:ascii="Tahoma" w:eastAsia="Times New Roman" w:hAnsi="Tahoma" w:cs="Tahoma"/>
          <w:sz w:val="24"/>
          <w:szCs w:val="24"/>
          <w:vertAlign w:val="superscript"/>
        </w:rPr>
        <w:footnoteReference w:id="133"/>
      </w:r>
      <w:r w:rsidRPr="001772B2">
        <w:rPr>
          <w:rFonts w:ascii="Tahoma" w:eastAsia="Times New Roman" w:hAnsi="Tahoma" w:cs="Tahoma"/>
          <w:sz w:val="24"/>
          <w:szCs w:val="24"/>
        </w:rPr>
        <w:t>. Ces institutions, bien que souvent marginalisées par les modèles modernes de gestion, pourraient offrir des solutions innovantes pour relever les défis contemporains de la gestion durable des ressources forestières.</w:t>
      </w:r>
    </w:p>
    <w:p w:rsidR="000A7532" w:rsidRPr="002462E6" w:rsidRDefault="000A7532" w:rsidP="0037526F">
      <w:pPr>
        <w:pStyle w:val="Titre4"/>
        <w:rPr>
          <w:sz w:val="36"/>
          <w:szCs w:val="36"/>
        </w:rPr>
      </w:pPr>
      <w:bookmarkStart w:id="80" w:name="_Toc201570889"/>
      <w:bookmarkStart w:id="81" w:name="_Toc201655453"/>
      <w:bookmarkStart w:id="82" w:name="_Toc203643008"/>
      <w:bookmarkEnd w:id="73"/>
      <w:bookmarkEnd w:id="74"/>
      <w:bookmarkEnd w:id="75"/>
      <w:r w:rsidRPr="002462E6">
        <w:lastRenderedPageBreak/>
        <w:t xml:space="preserve">L’AGDAL : un patrimoine socio-écologique </w:t>
      </w:r>
      <w:r w:rsidR="0037526F" w:rsidRPr="002462E6">
        <w:t>et</w:t>
      </w:r>
      <w:r w:rsidRPr="002462E6">
        <w:t xml:space="preserve"> de soutenabilité environnementale et communautaire</w:t>
      </w:r>
      <w:bookmarkEnd w:id="80"/>
      <w:bookmarkEnd w:id="81"/>
      <w:bookmarkEnd w:id="82"/>
    </w:p>
    <w:p w:rsidR="000A7532" w:rsidRPr="002462E6" w:rsidRDefault="000A7532" w:rsidP="000A7532">
      <w:pPr>
        <w:widowControl w:val="0"/>
        <w:autoSpaceDE w:val="0"/>
        <w:autoSpaceDN w:val="0"/>
        <w:spacing w:after="0" w:line="240" w:lineRule="auto"/>
        <w:ind w:left="1380"/>
        <w:jc w:val="right"/>
        <w:outlineLvl w:val="3"/>
        <w:rPr>
          <w:rFonts w:ascii="Times New Roman" w:eastAsia="Times New Roman" w:hAnsi="Times New Roman" w:cs="Times New Roman"/>
          <w:b/>
          <w:bCs/>
          <w:color w:val="6F4F32" w:themeColor="accent5" w:themeShade="BF"/>
          <w:sz w:val="28"/>
          <w:szCs w:val="28"/>
        </w:rPr>
      </w:pPr>
    </w:p>
    <w:p w:rsidR="000A7532" w:rsidRPr="002462E6" w:rsidRDefault="000A7532" w:rsidP="000A7532">
      <w:pPr>
        <w:widowControl w:val="0"/>
        <w:autoSpaceDE w:val="0"/>
        <w:autoSpaceDN w:val="0"/>
        <w:spacing w:after="0" w:line="240" w:lineRule="auto"/>
        <w:rPr>
          <w:rFonts w:ascii="Calibri Light" w:eastAsia="Times New Roman" w:hAnsi="Times New Roman" w:cs="Times New Roman"/>
          <w:color w:val="00B050"/>
          <w:sz w:val="24"/>
          <w:szCs w:val="24"/>
        </w:rPr>
      </w:pPr>
    </w:p>
    <w:p w:rsidR="000A7532" w:rsidRPr="002462E6" w:rsidRDefault="000A7532" w:rsidP="001772B2">
      <w:pPr>
        <w:widowControl w:val="0"/>
        <w:autoSpaceDE w:val="0"/>
        <w:autoSpaceDN w:val="0"/>
        <w:spacing w:before="1" w:after="0" w:line="360" w:lineRule="auto"/>
        <w:ind w:right="4"/>
        <w:jc w:val="both"/>
        <w:rPr>
          <w:rFonts w:ascii="Tahoma" w:eastAsia="Times New Roman" w:hAnsi="Tahoma" w:cs="Tahoma"/>
          <w:sz w:val="24"/>
          <w:szCs w:val="24"/>
        </w:rPr>
      </w:pPr>
      <w:r w:rsidRPr="002462E6">
        <w:rPr>
          <w:rFonts w:ascii="Tahoma" w:eastAsia="Times New Roman" w:hAnsi="Tahoma" w:cs="Tahoma"/>
          <w:sz w:val="24"/>
          <w:szCs w:val="24"/>
        </w:rPr>
        <w:t>Ancienne pratique coutumière fortement ancrée dans les  aspects religieux et spirituels des populations locales au Maroc et plus particulièrement dans le haut Atlas, l’Agdal correspond à la mise en défens saisonnière d’un espace délimité en vue d’assurer le repos de la végétation, l’établissement de jeunes semis et la reconstitution des réserves des espèces végétales durant la période la période la plus critique de reprise de croissance</w:t>
      </w:r>
      <w:r w:rsidRPr="002462E6">
        <w:rPr>
          <w:rFonts w:ascii="Tahoma" w:eastAsia="Times New Roman" w:hAnsi="Tahoma" w:cs="Tahoma"/>
          <w:sz w:val="24"/>
          <w:szCs w:val="24"/>
          <w:vertAlign w:val="superscript"/>
        </w:rPr>
        <w:footnoteReference w:id="134"/>
      </w:r>
      <w:r w:rsidR="001772B2">
        <w:rPr>
          <w:rFonts w:ascii="Tahoma" w:eastAsia="Times New Roman" w:hAnsi="Tahoma" w:cs="Tahoma"/>
          <w:sz w:val="24"/>
          <w:szCs w:val="24"/>
        </w:rPr>
        <w:t>.</w:t>
      </w:r>
    </w:p>
    <w:p w:rsidR="00C90DDD" w:rsidRPr="002462E6" w:rsidRDefault="000A7532" w:rsidP="001772B2">
      <w:pPr>
        <w:widowControl w:val="0"/>
        <w:autoSpaceDE w:val="0"/>
        <w:autoSpaceDN w:val="0"/>
        <w:spacing w:before="1" w:after="0" w:line="360" w:lineRule="auto"/>
        <w:ind w:right="4"/>
        <w:jc w:val="both"/>
        <w:rPr>
          <w:rFonts w:ascii="Tahoma" w:eastAsia="Times New Roman" w:hAnsi="Tahoma" w:cs="Tahoma"/>
          <w:sz w:val="24"/>
          <w:szCs w:val="24"/>
        </w:rPr>
      </w:pPr>
      <w:r w:rsidRPr="002462E6">
        <w:rPr>
          <w:rFonts w:ascii="Tahoma" w:eastAsia="Times New Roman" w:hAnsi="Tahoma" w:cs="Tahoma"/>
          <w:sz w:val="24"/>
          <w:szCs w:val="24"/>
        </w:rPr>
        <w:t>L'Agdal pastoral contribue significativement à la conservation de la biodiversité grâce à la fermeture protectrice des zones fragiles. Une des caractéristiques essentielles de la gestion de l'Agdal réside dans l’alternance des périodes d'ouverture et de fermeture du territoire, déterminée en fonction du cycle biologique des plantes</w:t>
      </w:r>
      <w:r w:rsidRPr="002462E6">
        <w:rPr>
          <w:rFonts w:ascii="Times New Roman" w:eastAsia="Times New Roman" w:hAnsi="Times New Roman" w:cs="Times New Roman"/>
          <w:sz w:val="24"/>
          <w:szCs w:val="24"/>
        </w:rPr>
        <w:t xml:space="preserve"> </w:t>
      </w:r>
      <w:r w:rsidRPr="002462E6">
        <w:rPr>
          <w:rFonts w:ascii="Tahoma" w:eastAsia="Times New Roman" w:hAnsi="Tahoma" w:cs="Tahoma"/>
          <w:sz w:val="24"/>
          <w:szCs w:val="24"/>
        </w:rPr>
        <w:t>et des besoins écologiques des espaces concernés</w:t>
      </w:r>
      <w:r w:rsidRPr="002462E6">
        <w:rPr>
          <w:rFonts w:ascii="Tahoma" w:eastAsia="Times New Roman" w:hAnsi="Tahoma" w:cs="Tahoma"/>
          <w:sz w:val="24"/>
          <w:szCs w:val="24"/>
          <w:vertAlign w:val="superscript"/>
        </w:rPr>
        <w:footnoteReference w:id="135"/>
      </w:r>
      <w:r w:rsidR="001772B2">
        <w:rPr>
          <w:rFonts w:ascii="Tahoma" w:eastAsia="Times New Roman" w:hAnsi="Tahoma" w:cs="Tahoma"/>
          <w:sz w:val="24"/>
          <w:szCs w:val="24"/>
        </w:rPr>
        <w:t>.</w:t>
      </w:r>
    </w:p>
    <w:p w:rsidR="00F9180C" w:rsidRPr="002462E6" w:rsidRDefault="000A7532" w:rsidP="006B56DB">
      <w:pPr>
        <w:widowControl w:val="0"/>
        <w:autoSpaceDE w:val="0"/>
        <w:autoSpaceDN w:val="0"/>
        <w:spacing w:before="1" w:after="0" w:line="360" w:lineRule="auto"/>
        <w:ind w:right="4"/>
        <w:jc w:val="both"/>
        <w:rPr>
          <w:rFonts w:ascii="Tahoma" w:eastAsia="Times New Roman" w:hAnsi="Tahoma" w:cs="Tahoma"/>
          <w:sz w:val="24"/>
          <w:szCs w:val="24"/>
        </w:rPr>
      </w:pPr>
      <w:r w:rsidRPr="002462E6">
        <w:rPr>
          <w:rFonts w:ascii="Tahoma" w:eastAsia="Times New Roman" w:hAnsi="Tahoma" w:cs="Tahoma"/>
          <w:sz w:val="24"/>
          <w:szCs w:val="24"/>
        </w:rPr>
        <w:t>Par cette gestion cyclique, l'Agdal participe activement au maintien de l'équilibre écologique, agissant ainsi comme un mécanisme traditionnel de régulation des é</w:t>
      </w:r>
      <w:r w:rsidR="00547754">
        <w:rPr>
          <w:rFonts w:ascii="Tahoma" w:eastAsia="Times New Roman" w:hAnsi="Tahoma" w:cs="Tahoma"/>
          <w:sz w:val="24"/>
          <w:szCs w:val="24"/>
        </w:rPr>
        <w:t>cosystèmes (Berkes, 2008). Dans</w:t>
      </w:r>
      <w:r w:rsidRPr="002462E6">
        <w:rPr>
          <w:rFonts w:ascii="Tahoma" w:eastAsia="Times New Roman" w:hAnsi="Tahoma" w:cs="Tahoma"/>
          <w:sz w:val="24"/>
          <w:szCs w:val="24"/>
        </w:rPr>
        <w:t xml:space="preserve"> </w:t>
      </w:r>
      <w:r w:rsidR="00547754">
        <w:rPr>
          <w:rFonts w:ascii="Tahoma" w:eastAsia="Times New Roman" w:hAnsi="Tahoma" w:cs="Tahoma"/>
          <w:sz w:val="24"/>
          <w:szCs w:val="24"/>
        </w:rPr>
        <w:t>ce</w:t>
      </w:r>
      <w:r w:rsidR="00547754" w:rsidRPr="002462E6">
        <w:rPr>
          <w:rFonts w:ascii="Tahoma" w:eastAsia="Times New Roman" w:hAnsi="Tahoma" w:cs="Tahoma"/>
          <w:sz w:val="24"/>
          <w:szCs w:val="24"/>
        </w:rPr>
        <w:t xml:space="preserve"> sens</w:t>
      </w:r>
      <w:r w:rsidR="00547754">
        <w:rPr>
          <w:rFonts w:ascii="Tahoma" w:eastAsia="Times New Roman" w:hAnsi="Tahoma" w:cs="Tahoma"/>
          <w:sz w:val="24"/>
          <w:szCs w:val="24"/>
        </w:rPr>
        <w:t>,  seule</w:t>
      </w:r>
      <w:r w:rsidRPr="002462E6">
        <w:rPr>
          <w:rFonts w:ascii="Tahoma" w:eastAsia="Times New Roman" w:hAnsi="Tahoma" w:cs="Tahoma"/>
          <w:sz w:val="24"/>
          <w:szCs w:val="24"/>
        </w:rPr>
        <w:t xml:space="preserve"> la </w:t>
      </w:r>
      <w:r w:rsidRPr="002462E6">
        <w:rPr>
          <w:rFonts w:ascii="Tahoma" w:eastAsia="Times New Roman" w:hAnsi="Tahoma" w:cs="Tahoma"/>
          <w:i/>
          <w:iCs/>
          <w:sz w:val="24"/>
          <w:szCs w:val="24"/>
        </w:rPr>
        <w:t>Jemaâ</w:t>
      </w:r>
      <w:r w:rsidRPr="002462E6">
        <w:rPr>
          <w:rFonts w:ascii="Tahoma" w:eastAsia="Times New Roman" w:hAnsi="Tahoma" w:cs="Tahoma"/>
          <w:sz w:val="24"/>
          <w:szCs w:val="24"/>
        </w:rPr>
        <w:t xml:space="preserve"> qui décide des dates d’ouverture et de fermeture de l’Agdal et fixe un amas de règles d’usage. Par conséquent, les zones soumises au système de l’Agdal se distinguent singulièrement par la densité de la végétation. En effet, près de 20 % du besoin alimentaire des bovins, caprins et ovins est satisfait par les fourrages, au milieu de l'été lorsque les autres pâturages sont saturés</w:t>
      </w:r>
      <w:r w:rsidRPr="002462E6">
        <w:rPr>
          <w:rFonts w:ascii="Tahoma" w:eastAsia="Times New Roman" w:hAnsi="Tahoma" w:cs="Tahoma"/>
          <w:sz w:val="24"/>
          <w:szCs w:val="24"/>
          <w:vertAlign w:val="superscript"/>
        </w:rPr>
        <w:footnoteReference w:id="136"/>
      </w:r>
      <w:r w:rsidRPr="002462E6">
        <w:rPr>
          <w:rFonts w:ascii="Tahoma" w:eastAsia="Times New Roman" w:hAnsi="Tahoma" w:cs="Tahoma"/>
          <w:sz w:val="24"/>
          <w:szCs w:val="24"/>
        </w:rPr>
        <w:t>.</w:t>
      </w:r>
    </w:p>
    <w:p w:rsidR="001772B2" w:rsidRDefault="001772B2">
      <w:pPr>
        <w:rPr>
          <w:rFonts w:ascii="Tahoma" w:eastAsia="Times New Roman" w:hAnsi="Tahoma" w:cs="Tahoma"/>
          <w:sz w:val="24"/>
          <w:szCs w:val="24"/>
        </w:rPr>
      </w:pPr>
      <w:r>
        <w:rPr>
          <w:rFonts w:ascii="Tahoma" w:eastAsia="Times New Roman" w:hAnsi="Tahoma" w:cs="Tahoma"/>
          <w:sz w:val="24"/>
          <w:szCs w:val="24"/>
        </w:rPr>
        <w:br w:type="page"/>
      </w:r>
    </w:p>
    <w:p w:rsidR="000A7532" w:rsidRPr="002462E6" w:rsidRDefault="000A7532" w:rsidP="00BF1F48">
      <w:pPr>
        <w:pStyle w:val="Titre5"/>
      </w:pPr>
      <w:bookmarkStart w:id="83" w:name="_Toc182058811"/>
      <w:bookmarkStart w:id="84" w:name="_Toc186533803"/>
      <w:bookmarkStart w:id="85" w:name="_Toc201655454"/>
      <w:bookmarkStart w:id="86" w:name="_Toc203643009"/>
      <w:r w:rsidRPr="002462E6">
        <w:lastRenderedPageBreak/>
        <w:t xml:space="preserve">Rôle historique de la Jemaâ </w:t>
      </w:r>
      <w:bookmarkEnd w:id="83"/>
      <w:bookmarkEnd w:id="84"/>
      <w:r w:rsidRPr="002462E6">
        <w:t>dans la régulation des ressources</w:t>
      </w:r>
      <w:r w:rsidR="00C90DDD" w:rsidRPr="002462E6">
        <w:t xml:space="preserve"> </w:t>
      </w:r>
      <w:r w:rsidRPr="002462E6">
        <w:t>forestières</w:t>
      </w:r>
      <w:bookmarkEnd w:id="85"/>
      <w:bookmarkEnd w:id="86"/>
      <w:r w:rsidRPr="002462E6">
        <w:t xml:space="preserve"> </w:t>
      </w:r>
    </w:p>
    <w:p w:rsidR="000A7532" w:rsidRPr="002462E6" w:rsidRDefault="000A7532" w:rsidP="000A7532">
      <w:pPr>
        <w:widowControl w:val="0"/>
        <w:autoSpaceDE w:val="0"/>
        <w:autoSpaceDN w:val="0"/>
        <w:spacing w:before="77" w:after="0" w:line="360" w:lineRule="auto"/>
        <w:jc w:val="both"/>
        <w:rPr>
          <w:rFonts w:ascii="Tahoma" w:eastAsia="Times New Roman" w:hAnsi="Tahoma" w:cs="Tahoma"/>
          <w:sz w:val="24"/>
          <w:szCs w:val="24"/>
        </w:rPr>
      </w:pPr>
      <w:r w:rsidRPr="002462E6">
        <w:rPr>
          <w:rFonts w:ascii="Tahoma" w:eastAsia="Times New Roman" w:hAnsi="Tahoma" w:cs="Tahoma"/>
          <w:sz w:val="24"/>
          <w:szCs w:val="24"/>
        </w:rPr>
        <w:t xml:space="preserve"> L’histoire du Maroc révèle que, dans les sociétés rurales, le territoire ne se limite pas à un simple espace géographique ; il est un symbole d’appartenance à un groupe, un lien vivant avec les ancêtres et une prolongation de l’identité culturelle. Les pratiques sociales, telles que les célébrations et les rituels, renforcent ces liens et facilitent la transmission des valeurs à travers les générations. Le Douar, en tant que cadre social et culturel, incarne cette richesse de significations et constitue une unité de vie où les relations interpersonnelles sont particulièrement tissées</w:t>
      </w:r>
      <w:r w:rsidRPr="002462E6">
        <w:rPr>
          <w:rFonts w:ascii="Tahoma" w:eastAsia="Times New Roman" w:hAnsi="Tahoma" w:cs="Tahoma"/>
          <w:sz w:val="24"/>
          <w:szCs w:val="24"/>
          <w:vertAlign w:val="superscript"/>
        </w:rPr>
        <w:footnoteReference w:id="137"/>
      </w:r>
      <w:r w:rsidRPr="002462E6">
        <w:rPr>
          <w:rFonts w:ascii="Tahoma" w:eastAsia="Times New Roman" w:hAnsi="Tahoma" w:cs="Tahoma"/>
          <w:sz w:val="24"/>
          <w:szCs w:val="24"/>
        </w:rPr>
        <w:t xml:space="preserve">.  </w:t>
      </w:r>
    </w:p>
    <w:p w:rsidR="000A7532" w:rsidRPr="002462E6" w:rsidRDefault="000A7532" w:rsidP="000A7532">
      <w:pPr>
        <w:widowControl w:val="0"/>
        <w:autoSpaceDE w:val="0"/>
        <w:autoSpaceDN w:val="0"/>
        <w:spacing w:after="0" w:line="360" w:lineRule="auto"/>
        <w:jc w:val="both"/>
        <w:rPr>
          <w:rFonts w:ascii="Tahoma" w:eastAsia="Times New Roman" w:hAnsi="Tahoma" w:cs="Tahoma"/>
          <w:sz w:val="24"/>
          <w:szCs w:val="24"/>
        </w:rPr>
      </w:pPr>
      <w:r w:rsidRPr="002462E6">
        <w:rPr>
          <w:rFonts w:ascii="Tahoma" w:eastAsia="Times New Roman" w:hAnsi="Tahoma" w:cs="Tahoma"/>
          <w:sz w:val="24"/>
          <w:szCs w:val="24"/>
        </w:rPr>
        <w:t>Les familles, souvent élargies, vivent à proximité, ce qui favorise des liens de solidarité et d'entraide. Cette organisation familiale et communautaire confère au Douar une dynamique sociale propre, où les décisions majeures sont prises collectivement par la Jemaâ. Cette assemblée établit des règles de conduite et exerce une forme de justice coutumière, protégeant à la fois les personnes et les ressources locales. Ainsi, la Jemaâ jouissait d’un pouvoir juridique réel, agissant comme un tribunal local au service de la communauté</w:t>
      </w:r>
      <w:r w:rsidRPr="002462E6">
        <w:rPr>
          <w:rFonts w:ascii="Tahoma" w:eastAsia="Times New Roman" w:hAnsi="Tahoma" w:cs="Tahoma"/>
          <w:sz w:val="24"/>
          <w:szCs w:val="24"/>
          <w:vertAlign w:val="superscript"/>
        </w:rPr>
        <w:footnoteReference w:id="138"/>
      </w:r>
      <w:r w:rsidRPr="002462E6">
        <w:rPr>
          <w:rFonts w:ascii="Tahoma" w:eastAsia="Times New Roman" w:hAnsi="Tahoma" w:cs="Tahoma"/>
          <w:sz w:val="24"/>
          <w:szCs w:val="24"/>
        </w:rPr>
        <w:t xml:space="preserve">. </w:t>
      </w:r>
    </w:p>
    <w:p w:rsidR="000A7532" w:rsidRPr="002462E6" w:rsidRDefault="000A7532" w:rsidP="000A7532">
      <w:pPr>
        <w:widowControl w:val="0"/>
        <w:autoSpaceDE w:val="0"/>
        <w:autoSpaceDN w:val="0"/>
        <w:spacing w:before="77" w:after="0" w:line="360" w:lineRule="auto"/>
        <w:jc w:val="both"/>
        <w:rPr>
          <w:rFonts w:ascii="Tahoma" w:eastAsia="Times New Roman" w:hAnsi="Tahoma" w:cs="Tahoma"/>
          <w:sz w:val="24"/>
          <w:szCs w:val="24"/>
        </w:rPr>
      </w:pPr>
      <w:r w:rsidRPr="002462E6">
        <w:rPr>
          <w:rFonts w:ascii="Tahoma" w:eastAsia="Times New Roman" w:hAnsi="Tahoma" w:cs="Tahoma"/>
          <w:sz w:val="24"/>
          <w:szCs w:val="24"/>
        </w:rPr>
        <w:t xml:space="preserve">Conformément aux règles coutumières, la </w:t>
      </w:r>
      <w:r w:rsidRPr="002462E6">
        <w:rPr>
          <w:rFonts w:ascii="Tahoma" w:eastAsia="Times New Roman" w:hAnsi="Tahoma" w:cs="Tahoma"/>
          <w:i/>
          <w:iCs/>
          <w:sz w:val="24"/>
          <w:szCs w:val="24"/>
        </w:rPr>
        <w:t>Jemaâ</w:t>
      </w:r>
      <w:r w:rsidRPr="002462E6">
        <w:rPr>
          <w:rFonts w:ascii="Tahoma" w:eastAsia="Times New Roman" w:hAnsi="Tahoma" w:cs="Tahoma"/>
          <w:sz w:val="24"/>
          <w:szCs w:val="24"/>
        </w:rPr>
        <w:t xml:space="preserve"> jugeait collectivement les litiges et les conflits relatifs aux coups et blessures, meurtres, vols etc. Elle statuait également d’une manière collective sur les cas de violation des décisions relatives à l’intérêt commun (extraction de bois, pâturage, etc…). En cas de conflit entre deux parties, la </w:t>
      </w:r>
      <w:r w:rsidRPr="002462E6">
        <w:rPr>
          <w:rFonts w:ascii="Tahoma" w:eastAsia="Times New Roman" w:hAnsi="Tahoma" w:cs="Tahoma"/>
          <w:i/>
          <w:iCs/>
          <w:sz w:val="24"/>
          <w:szCs w:val="24"/>
        </w:rPr>
        <w:t>Jemaâ</w:t>
      </w:r>
      <w:r w:rsidRPr="002462E6">
        <w:rPr>
          <w:rFonts w:ascii="Tahoma" w:eastAsia="Times New Roman" w:hAnsi="Tahoma" w:cs="Tahoma"/>
          <w:sz w:val="24"/>
          <w:szCs w:val="24"/>
        </w:rPr>
        <w:t xml:space="preserve"> garantissait le droit de jugement et d’exécution. Les membres de la tribu peuvent prendre part aux délibérations, mais sans aucune autorisation d’intervention. Lorsque les formules habituelles prononcées, la parole est immédiatement cédée au plaignant, puis au défendeur</w:t>
      </w:r>
      <w:r w:rsidRPr="002462E6">
        <w:rPr>
          <w:rFonts w:ascii="Tahoma" w:eastAsia="Times New Roman" w:hAnsi="Tahoma" w:cs="Tahoma"/>
          <w:sz w:val="24"/>
          <w:szCs w:val="24"/>
          <w:vertAlign w:val="superscript"/>
        </w:rPr>
        <w:footnoteReference w:id="139"/>
      </w:r>
      <w:r w:rsidRPr="002462E6">
        <w:rPr>
          <w:rFonts w:ascii="Tahoma" w:eastAsia="Times New Roman" w:hAnsi="Tahoma" w:cs="Tahoma"/>
          <w:sz w:val="24"/>
          <w:szCs w:val="24"/>
        </w:rPr>
        <w:t xml:space="preserve">. Et quand la </w:t>
      </w:r>
      <w:r w:rsidRPr="002462E6">
        <w:rPr>
          <w:rFonts w:ascii="Tahoma" w:eastAsia="Times New Roman" w:hAnsi="Tahoma" w:cs="Tahoma"/>
          <w:i/>
          <w:iCs/>
          <w:sz w:val="24"/>
          <w:szCs w:val="24"/>
        </w:rPr>
        <w:t>Jemaâ</w:t>
      </w:r>
      <w:r w:rsidRPr="002462E6">
        <w:rPr>
          <w:rFonts w:ascii="Tahoma" w:eastAsia="Times New Roman" w:hAnsi="Tahoma" w:cs="Tahoma"/>
          <w:sz w:val="24"/>
          <w:szCs w:val="24"/>
        </w:rPr>
        <w:t xml:space="preserve"> est suffisamment éclairée, les témoins sont convoqués et auditionnés. Ensuite, les deux parties s’éloignaient pour que la </w:t>
      </w:r>
      <w:r w:rsidRPr="002462E6">
        <w:rPr>
          <w:rFonts w:ascii="Tahoma" w:eastAsia="Times New Roman" w:hAnsi="Tahoma" w:cs="Tahoma"/>
          <w:i/>
          <w:iCs/>
          <w:sz w:val="24"/>
          <w:szCs w:val="24"/>
        </w:rPr>
        <w:t>Jemaâ</w:t>
      </w:r>
      <w:r w:rsidRPr="002462E6">
        <w:rPr>
          <w:rFonts w:ascii="Tahoma" w:eastAsia="Times New Roman" w:hAnsi="Tahoma" w:cs="Tahoma"/>
          <w:sz w:val="24"/>
          <w:szCs w:val="24"/>
        </w:rPr>
        <w:t xml:space="preserve"> puisse entamer ses délibérations en toute liberté. Le jugement était immédiatement prononcé par le </w:t>
      </w:r>
      <w:r w:rsidRPr="002462E6">
        <w:rPr>
          <w:rFonts w:ascii="Tahoma" w:eastAsia="Times New Roman" w:hAnsi="Tahoma" w:cs="Tahoma"/>
          <w:sz w:val="24"/>
          <w:szCs w:val="24"/>
        </w:rPr>
        <w:lastRenderedPageBreak/>
        <w:t>notable qui a été nommé “</w:t>
      </w:r>
      <w:r w:rsidRPr="002462E6">
        <w:rPr>
          <w:rFonts w:ascii="Tahoma" w:eastAsia="Times New Roman" w:hAnsi="Tahoma" w:cs="Tahoma"/>
          <w:i/>
          <w:iCs/>
          <w:sz w:val="24"/>
          <w:szCs w:val="24"/>
        </w:rPr>
        <w:t>Anhacem</w:t>
      </w:r>
      <w:r w:rsidRPr="002462E6">
        <w:rPr>
          <w:rFonts w:ascii="Tahoma" w:eastAsia="Times New Roman" w:hAnsi="Tahoma" w:cs="Tahoma"/>
          <w:sz w:val="24"/>
          <w:szCs w:val="24"/>
        </w:rPr>
        <w:t>”. Les décisions importantes ont été toujours enregistrées par écrit. L’exécution du jugement a été confiée à une personne désignée l’</w:t>
      </w:r>
      <w:r w:rsidRPr="002462E6">
        <w:rPr>
          <w:rFonts w:ascii="Tahoma" w:eastAsia="Times New Roman" w:hAnsi="Tahoma" w:cs="Tahoma"/>
          <w:i/>
          <w:iCs/>
          <w:sz w:val="24"/>
          <w:szCs w:val="24"/>
        </w:rPr>
        <w:t>Ahmil</w:t>
      </w:r>
      <w:r w:rsidRPr="002462E6">
        <w:rPr>
          <w:rFonts w:ascii="Tahoma" w:eastAsia="Times New Roman" w:hAnsi="Tahoma" w:cs="Tahoma"/>
          <w:sz w:val="24"/>
          <w:szCs w:val="24"/>
        </w:rPr>
        <w:t xml:space="preserve">. En plus, les membres de la </w:t>
      </w:r>
      <w:r w:rsidRPr="002462E6">
        <w:rPr>
          <w:rFonts w:ascii="Tahoma" w:eastAsia="Times New Roman" w:hAnsi="Tahoma" w:cs="Tahoma"/>
          <w:i/>
          <w:iCs/>
          <w:sz w:val="24"/>
          <w:szCs w:val="24"/>
        </w:rPr>
        <w:t>Jemaâ</w:t>
      </w:r>
      <w:r w:rsidRPr="002462E6">
        <w:rPr>
          <w:rFonts w:ascii="Tahoma" w:eastAsia="Times New Roman" w:hAnsi="Tahoma" w:cs="Tahoma"/>
          <w:sz w:val="24"/>
          <w:szCs w:val="24"/>
        </w:rPr>
        <w:t xml:space="preserve"> exerçaient d’autres fonctions juridiques en tant que témoins par exemple dans certaines affaires privées telles que le mariage, le divorce, les ventes, les donations, les successions, les antichrèses, etc. De cet angle d’analyse, une question fondamentale s’impose, comment ces interactions sociales</w:t>
      </w:r>
      <w:r w:rsidRPr="002462E6">
        <w:rPr>
          <w:rFonts w:ascii="Tahoma" w:eastAsia="Times New Roman" w:hAnsi="Tahoma" w:cs="Tahoma"/>
          <w:spacing w:val="11"/>
          <w:sz w:val="24"/>
          <w:szCs w:val="24"/>
        </w:rPr>
        <w:t xml:space="preserve"> pourront-elles </w:t>
      </w:r>
      <w:r w:rsidRPr="002462E6">
        <w:rPr>
          <w:rFonts w:ascii="Tahoma" w:eastAsia="Times New Roman" w:hAnsi="Tahoma" w:cs="Tahoma"/>
          <w:sz w:val="24"/>
          <w:szCs w:val="24"/>
        </w:rPr>
        <w:t>contribuer</w:t>
      </w:r>
      <w:r w:rsidRPr="002462E6">
        <w:rPr>
          <w:rFonts w:ascii="Tahoma" w:eastAsia="Times New Roman" w:hAnsi="Tahoma" w:cs="Tahoma"/>
          <w:spacing w:val="11"/>
          <w:sz w:val="24"/>
          <w:szCs w:val="24"/>
        </w:rPr>
        <w:t xml:space="preserve"> </w:t>
      </w:r>
      <w:r w:rsidRPr="002462E6">
        <w:rPr>
          <w:rFonts w:ascii="Tahoma" w:eastAsia="Times New Roman" w:hAnsi="Tahoma" w:cs="Tahoma"/>
          <w:sz w:val="24"/>
          <w:szCs w:val="24"/>
        </w:rPr>
        <w:t>à</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la conservation</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des ressources locales ?</w:t>
      </w:r>
    </w:p>
    <w:p w:rsidR="000A7532" w:rsidRPr="002462E6" w:rsidRDefault="000A7532" w:rsidP="000A7532">
      <w:pPr>
        <w:widowControl w:val="0"/>
        <w:autoSpaceDE w:val="0"/>
        <w:autoSpaceDN w:val="0"/>
        <w:spacing w:before="139" w:after="0" w:line="360" w:lineRule="auto"/>
        <w:jc w:val="both"/>
        <w:rPr>
          <w:rFonts w:ascii="Tahoma" w:eastAsia="Times New Roman" w:hAnsi="Tahoma" w:cs="Tahoma"/>
          <w:sz w:val="24"/>
          <w:szCs w:val="24"/>
        </w:rPr>
      </w:pPr>
      <w:r w:rsidRPr="002462E6">
        <w:rPr>
          <w:rFonts w:ascii="Tahoma" w:eastAsia="Times New Roman" w:hAnsi="Tahoma" w:cs="Tahoma"/>
          <w:sz w:val="24"/>
          <w:szCs w:val="24"/>
        </w:rPr>
        <w:t>Au fil du temps, l’expérience a montré que le fait d’éprouver un sentiment d’appartenance vis-à-vis d’une communauté matérialisée par un territoire bien délimité, ne permet pas seulement de renforcer les liens sociaux entre les membres du groupe (solidarité, historique des groupes lignagers, importance des considérations locales). Mais, il permet d’amplifier même la volonté de la protéger et de préserver ses biens communs. A cet égard, le regroupement des individus dans le cadre des institutions sociales locales favorise la hausse du niveau du capital social</w:t>
      </w:r>
      <w:r w:rsidRPr="002462E6">
        <w:rPr>
          <w:rFonts w:ascii="Tahoma" w:eastAsia="Times New Roman" w:hAnsi="Tahoma" w:cs="Tahoma"/>
          <w:sz w:val="24"/>
          <w:szCs w:val="24"/>
          <w:vertAlign w:val="superscript"/>
        </w:rPr>
        <w:footnoteReference w:id="140"/>
      </w:r>
      <w:r w:rsidRPr="002462E6">
        <w:rPr>
          <w:rFonts w:ascii="Tahoma" w:eastAsia="Times New Roman" w:hAnsi="Tahoma" w:cs="Tahoma"/>
          <w:sz w:val="24"/>
          <w:szCs w:val="24"/>
        </w:rPr>
        <w:t xml:space="preserve">. En effet, la coopération et l’entraide concrètes constituent les principaux traits relatifs à la gestion collective des affaires locales des familles vivant en milieu rural qui sont réparties en </w:t>
      </w:r>
      <w:r w:rsidRPr="002462E6">
        <w:rPr>
          <w:rFonts w:ascii="Tahoma" w:eastAsia="Times New Roman" w:hAnsi="Tahoma" w:cs="Tahoma"/>
          <w:i/>
          <w:iCs/>
          <w:sz w:val="24"/>
          <w:szCs w:val="24"/>
        </w:rPr>
        <w:t>Douars</w:t>
      </w:r>
      <w:r w:rsidRPr="002462E6">
        <w:rPr>
          <w:rFonts w:ascii="Tahoma" w:eastAsia="Times New Roman" w:hAnsi="Tahoma" w:cs="Tahoma"/>
          <w:sz w:val="24"/>
          <w:szCs w:val="24"/>
        </w:rPr>
        <w:t xml:space="preserve">, et les </w:t>
      </w:r>
      <w:r w:rsidRPr="002462E6">
        <w:rPr>
          <w:rFonts w:ascii="Tahoma" w:eastAsia="Times New Roman" w:hAnsi="Tahoma" w:cs="Tahoma"/>
          <w:i/>
          <w:iCs/>
          <w:sz w:val="24"/>
          <w:szCs w:val="24"/>
        </w:rPr>
        <w:t>Douars</w:t>
      </w:r>
      <w:r w:rsidRPr="002462E6">
        <w:rPr>
          <w:rFonts w:ascii="Tahoma" w:eastAsia="Times New Roman" w:hAnsi="Tahoma" w:cs="Tahoma"/>
          <w:sz w:val="24"/>
          <w:szCs w:val="24"/>
        </w:rPr>
        <w:t xml:space="preserve"> à leur tour en fractions sous forme de tribus. </w:t>
      </w:r>
    </w:p>
    <w:p w:rsidR="000A7532" w:rsidRPr="002462E6" w:rsidRDefault="000A7532" w:rsidP="000A7532">
      <w:pPr>
        <w:widowControl w:val="0"/>
        <w:autoSpaceDE w:val="0"/>
        <w:autoSpaceDN w:val="0"/>
        <w:spacing w:before="139" w:after="0" w:line="360" w:lineRule="auto"/>
        <w:jc w:val="both"/>
        <w:rPr>
          <w:rFonts w:ascii="Tahoma" w:eastAsia="Times New Roman" w:hAnsi="Tahoma" w:cs="Tahoma"/>
          <w:sz w:val="24"/>
          <w:szCs w:val="24"/>
        </w:rPr>
      </w:pPr>
      <w:r w:rsidRPr="002462E6">
        <w:rPr>
          <w:rFonts w:ascii="Tahoma" w:eastAsia="Times New Roman" w:hAnsi="Tahoma" w:cs="Tahoma"/>
          <w:sz w:val="24"/>
          <w:szCs w:val="24"/>
        </w:rPr>
        <w:t xml:space="preserve">Chaque </w:t>
      </w:r>
      <w:r w:rsidRPr="002462E6">
        <w:rPr>
          <w:rFonts w:ascii="Tahoma" w:eastAsia="Times New Roman" w:hAnsi="Tahoma" w:cs="Tahoma"/>
          <w:i/>
          <w:iCs/>
          <w:sz w:val="24"/>
          <w:szCs w:val="24"/>
        </w:rPr>
        <w:t>Douar</w:t>
      </w:r>
      <w:r w:rsidRPr="002462E6">
        <w:rPr>
          <w:rFonts w:ascii="Tahoma" w:eastAsia="Times New Roman" w:hAnsi="Tahoma" w:cs="Tahoma"/>
          <w:sz w:val="24"/>
          <w:szCs w:val="24"/>
        </w:rPr>
        <w:t xml:space="preserve"> portait un nom bien précis dont la </w:t>
      </w:r>
      <w:r w:rsidRPr="002462E6">
        <w:rPr>
          <w:rFonts w:ascii="Tahoma" w:eastAsia="Times New Roman" w:hAnsi="Tahoma" w:cs="Tahoma"/>
          <w:i/>
          <w:iCs/>
          <w:sz w:val="24"/>
          <w:szCs w:val="24"/>
        </w:rPr>
        <w:t>Jemâa</w:t>
      </w:r>
      <w:r w:rsidRPr="002462E6">
        <w:rPr>
          <w:rFonts w:ascii="Tahoma" w:eastAsia="Times New Roman" w:hAnsi="Tahoma" w:cs="Tahoma"/>
          <w:sz w:val="24"/>
          <w:szCs w:val="24"/>
        </w:rPr>
        <w:t xml:space="preserve"> jouait un rôle crucial pour la défense de son identité historique et culturelle. Au surplus toutes les familles du </w:t>
      </w:r>
      <w:r w:rsidRPr="002462E6">
        <w:rPr>
          <w:rFonts w:ascii="Tahoma" w:eastAsia="Times New Roman" w:hAnsi="Tahoma" w:cs="Tahoma"/>
          <w:i/>
          <w:iCs/>
          <w:sz w:val="24"/>
          <w:szCs w:val="24"/>
        </w:rPr>
        <w:t>Douar</w:t>
      </w:r>
      <w:r w:rsidRPr="002462E6">
        <w:rPr>
          <w:rFonts w:ascii="Tahoma" w:eastAsia="Times New Roman" w:hAnsi="Tahoma" w:cs="Tahoma"/>
          <w:sz w:val="24"/>
          <w:szCs w:val="24"/>
        </w:rPr>
        <w:t xml:space="preserve"> appartenaient à une souche commune. Généralement, les noms des </w:t>
      </w:r>
      <w:r w:rsidRPr="002462E6">
        <w:rPr>
          <w:rFonts w:ascii="Tahoma" w:eastAsia="Times New Roman" w:hAnsi="Tahoma" w:cs="Tahoma"/>
          <w:i/>
          <w:iCs/>
          <w:sz w:val="24"/>
          <w:szCs w:val="24"/>
        </w:rPr>
        <w:t xml:space="preserve">douars </w:t>
      </w:r>
      <w:r w:rsidRPr="002462E6">
        <w:rPr>
          <w:rFonts w:ascii="Tahoma" w:eastAsia="Times New Roman" w:hAnsi="Tahoma" w:cs="Tahoma"/>
          <w:sz w:val="24"/>
          <w:szCs w:val="24"/>
        </w:rPr>
        <w:t xml:space="preserve">commencent par « </w:t>
      </w:r>
      <w:r w:rsidRPr="002462E6">
        <w:rPr>
          <w:rFonts w:ascii="Tahoma" w:eastAsia="Times New Roman" w:hAnsi="Tahoma" w:cs="Tahoma"/>
          <w:i/>
          <w:iCs/>
          <w:sz w:val="24"/>
          <w:szCs w:val="24"/>
        </w:rPr>
        <w:t xml:space="preserve">Ait </w:t>
      </w:r>
      <w:r w:rsidRPr="002462E6">
        <w:rPr>
          <w:rFonts w:ascii="Tahoma" w:eastAsia="Times New Roman" w:hAnsi="Tahoma" w:cs="Tahoma"/>
          <w:sz w:val="24"/>
          <w:szCs w:val="24"/>
        </w:rPr>
        <w:t xml:space="preserve">» pour les Amazighs et par « </w:t>
      </w:r>
      <w:r w:rsidRPr="002462E6">
        <w:rPr>
          <w:rFonts w:ascii="Tahoma" w:eastAsia="Times New Roman" w:hAnsi="Tahoma" w:cs="Tahoma"/>
          <w:i/>
          <w:iCs/>
          <w:sz w:val="24"/>
          <w:szCs w:val="24"/>
        </w:rPr>
        <w:t xml:space="preserve">Ouled </w:t>
      </w:r>
      <w:r w:rsidRPr="002462E6">
        <w:rPr>
          <w:rFonts w:ascii="Tahoma" w:eastAsia="Times New Roman" w:hAnsi="Tahoma" w:cs="Tahoma"/>
          <w:sz w:val="24"/>
          <w:szCs w:val="24"/>
        </w:rPr>
        <w:t>» pour les arabes et qui signifient les descendants. Pour le choix du territoire, les populations optaient souvent pour un espace composé principalement de pâturages, de terres cultivables, et de points d’eau</w:t>
      </w:r>
      <w:r w:rsidRPr="002462E6">
        <w:rPr>
          <w:rFonts w:ascii="Tahoma" w:eastAsia="Times New Roman" w:hAnsi="Tahoma" w:cs="Tahoma"/>
          <w:sz w:val="24"/>
          <w:szCs w:val="24"/>
          <w:vertAlign w:val="superscript"/>
        </w:rPr>
        <w:footnoteReference w:id="141"/>
      </w:r>
      <w:r w:rsidRPr="002462E6">
        <w:rPr>
          <w:rFonts w:ascii="Tahoma" w:eastAsia="Times New Roman" w:hAnsi="Tahoma" w:cs="Tahoma"/>
          <w:sz w:val="24"/>
          <w:szCs w:val="24"/>
        </w:rPr>
        <w:t xml:space="preserve">. </w:t>
      </w:r>
      <w:bookmarkStart w:id="87" w:name="_bookmark45"/>
      <w:bookmarkEnd w:id="87"/>
    </w:p>
    <w:p w:rsidR="000A7532" w:rsidRPr="002462E6" w:rsidRDefault="000A7532" w:rsidP="000A7532">
      <w:pPr>
        <w:widowControl w:val="0"/>
        <w:autoSpaceDE w:val="0"/>
        <w:autoSpaceDN w:val="0"/>
        <w:spacing w:before="160" w:after="0" w:line="360" w:lineRule="auto"/>
        <w:ind w:right="4"/>
        <w:jc w:val="both"/>
        <w:rPr>
          <w:rFonts w:ascii="Tahoma" w:eastAsia="Times New Roman" w:hAnsi="Tahoma" w:cs="Tahoma"/>
          <w:sz w:val="24"/>
          <w:szCs w:val="24"/>
        </w:rPr>
      </w:pPr>
      <w:r w:rsidRPr="002462E6">
        <w:rPr>
          <w:rFonts w:ascii="Tahoma" w:eastAsia="Times New Roman" w:hAnsi="Tahoma" w:cs="Tahoma"/>
          <w:sz w:val="24"/>
          <w:szCs w:val="24"/>
        </w:rPr>
        <w:t xml:space="preserve">Il importe de signaler que la littérature historique rend compte que les sociétés rurales marocaines octroyaient au </w:t>
      </w:r>
      <w:r w:rsidRPr="002462E6">
        <w:rPr>
          <w:rFonts w:ascii="Tahoma" w:eastAsia="Times New Roman" w:hAnsi="Tahoma" w:cs="Tahoma"/>
          <w:i/>
          <w:iCs/>
          <w:sz w:val="24"/>
          <w:szCs w:val="24"/>
        </w:rPr>
        <w:t>Douar</w:t>
      </w:r>
      <w:r w:rsidRPr="002462E6">
        <w:rPr>
          <w:rFonts w:ascii="Tahoma" w:eastAsia="Times New Roman" w:hAnsi="Tahoma" w:cs="Tahoma"/>
          <w:sz w:val="24"/>
          <w:szCs w:val="24"/>
        </w:rPr>
        <w:t xml:space="preserve"> des valeurs sociales et identitaires structurantes. En effet, il suffit juste</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de voir la manière avec laquelle les entités communautaires marocaines se sont bâties au fil des</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décennies.</w:t>
      </w:r>
      <w:r w:rsidRPr="002462E6">
        <w:rPr>
          <w:rFonts w:ascii="Tahoma" w:eastAsia="Times New Roman" w:hAnsi="Tahoma" w:cs="Tahoma"/>
          <w:spacing w:val="-5"/>
          <w:sz w:val="24"/>
          <w:szCs w:val="24"/>
        </w:rPr>
        <w:t xml:space="preserve"> </w:t>
      </w:r>
      <w:r w:rsidRPr="002462E6">
        <w:rPr>
          <w:rFonts w:ascii="Tahoma" w:eastAsia="Times New Roman" w:hAnsi="Tahoma" w:cs="Tahoma"/>
          <w:sz w:val="24"/>
          <w:szCs w:val="24"/>
        </w:rPr>
        <w:t>A partir</w:t>
      </w:r>
      <w:r w:rsidRPr="002462E6">
        <w:rPr>
          <w:rFonts w:ascii="Tahoma" w:eastAsia="Times New Roman" w:hAnsi="Tahoma" w:cs="Tahoma"/>
          <w:spacing w:val="-5"/>
          <w:sz w:val="24"/>
          <w:szCs w:val="24"/>
        </w:rPr>
        <w:t xml:space="preserve"> </w:t>
      </w:r>
      <w:r w:rsidRPr="002462E6">
        <w:rPr>
          <w:rFonts w:ascii="Tahoma" w:eastAsia="Times New Roman" w:hAnsi="Tahoma" w:cs="Tahoma"/>
          <w:sz w:val="24"/>
          <w:szCs w:val="24"/>
        </w:rPr>
        <w:t>d’agrégats</w:t>
      </w:r>
      <w:r w:rsidRPr="002462E6">
        <w:rPr>
          <w:rFonts w:ascii="Tahoma" w:eastAsia="Times New Roman" w:hAnsi="Tahoma" w:cs="Tahoma"/>
          <w:spacing w:val="-5"/>
          <w:sz w:val="24"/>
          <w:szCs w:val="24"/>
        </w:rPr>
        <w:t xml:space="preserve"> </w:t>
      </w:r>
      <w:r w:rsidRPr="002462E6">
        <w:rPr>
          <w:rFonts w:ascii="Tahoma" w:eastAsia="Times New Roman" w:hAnsi="Tahoma" w:cs="Tahoma"/>
          <w:sz w:val="24"/>
          <w:szCs w:val="24"/>
        </w:rPr>
        <w:t>hétérogènes</w:t>
      </w:r>
      <w:r w:rsidRPr="002462E6">
        <w:rPr>
          <w:rFonts w:ascii="Tahoma" w:eastAsia="Times New Roman" w:hAnsi="Tahoma" w:cs="Tahoma"/>
          <w:spacing w:val="-5"/>
          <w:sz w:val="24"/>
          <w:szCs w:val="24"/>
        </w:rPr>
        <w:t xml:space="preserve"> </w:t>
      </w:r>
      <w:r w:rsidRPr="002462E6">
        <w:rPr>
          <w:rFonts w:ascii="Tahoma" w:eastAsia="Times New Roman" w:hAnsi="Tahoma" w:cs="Tahoma"/>
          <w:sz w:val="24"/>
          <w:szCs w:val="24"/>
        </w:rPr>
        <w:t>(relevant</w:t>
      </w:r>
      <w:r w:rsidRPr="002462E6">
        <w:rPr>
          <w:rFonts w:ascii="Tahoma" w:eastAsia="Times New Roman" w:hAnsi="Tahoma" w:cs="Tahoma"/>
          <w:spacing w:val="-5"/>
          <w:sz w:val="24"/>
          <w:szCs w:val="24"/>
        </w:rPr>
        <w:t xml:space="preserve"> </w:t>
      </w:r>
      <w:r w:rsidRPr="002462E6">
        <w:rPr>
          <w:rFonts w:ascii="Tahoma" w:eastAsia="Times New Roman" w:hAnsi="Tahoma" w:cs="Tahoma"/>
          <w:sz w:val="24"/>
          <w:szCs w:val="24"/>
        </w:rPr>
        <w:lastRenderedPageBreak/>
        <w:t>des</w:t>
      </w:r>
      <w:r w:rsidRPr="002462E6">
        <w:rPr>
          <w:rFonts w:ascii="Tahoma" w:eastAsia="Times New Roman" w:hAnsi="Tahoma" w:cs="Tahoma"/>
          <w:spacing w:val="-5"/>
          <w:sz w:val="24"/>
          <w:szCs w:val="24"/>
        </w:rPr>
        <w:t xml:space="preserve"> </w:t>
      </w:r>
      <w:r w:rsidRPr="002462E6">
        <w:rPr>
          <w:rFonts w:ascii="Tahoma" w:eastAsia="Times New Roman" w:hAnsi="Tahoma" w:cs="Tahoma"/>
          <w:sz w:val="24"/>
          <w:szCs w:val="24"/>
        </w:rPr>
        <w:t>origines</w:t>
      </w:r>
      <w:r w:rsidRPr="002462E6">
        <w:rPr>
          <w:rFonts w:ascii="Tahoma" w:eastAsia="Times New Roman" w:hAnsi="Tahoma" w:cs="Tahoma"/>
          <w:spacing w:val="-4"/>
          <w:sz w:val="24"/>
          <w:szCs w:val="24"/>
        </w:rPr>
        <w:t xml:space="preserve"> </w:t>
      </w:r>
      <w:r w:rsidRPr="002462E6">
        <w:rPr>
          <w:rFonts w:ascii="Tahoma" w:eastAsia="Times New Roman" w:hAnsi="Tahoma" w:cs="Tahoma"/>
          <w:sz w:val="24"/>
          <w:szCs w:val="24"/>
        </w:rPr>
        <w:t>identitaires</w:t>
      </w:r>
      <w:r w:rsidRPr="002462E6">
        <w:rPr>
          <w:rFonts w:ascii="Tahoma" w:eastAsia="Times New Roman" w:hAnsi="Tahoma" w:cs="Tahoma"/>
          <w:spacing w:val="-5"/>
          <w:sz w:val="24"/>
          <w:szCs w:val="24"/>
        </w:rPr>
        <w:t xml:space="preserve"> </w:t>
      </w:r>
      <w:r w:rsidRPr="002462E6">
        <w:rPr>
          <w:rFonts w:ascii="Tahoma" w:eastAsia="Times New Roman" w:hAnsi="Tahoma" w:cs="Tahoma"/>
          <w:sz w:val="24"/>
          <w:szCs w:val="24"/>
        </w:rPr>
        <w:t>plurielles)</w:t>
      </w:r>
      <w:r w:rsidRPr="002462E6">
        <w:rPr>
          <w:rFonts w:ascii="Tahoma" w:eastAsia="Times New Roman" w:hAnsi="Tahoma" w:cs="Tahoma"/>
          <w:spacing w:val="-4"/>
          <w:sz w:val="24"/>
          <w:szCs w:val="24"/>
        </w:rPr>
        <w:t xml:space="preserve"> </w:t>
      </w:r>
      <w:r w:rsidRPr="002462E6">
        <w:rPr>
          <w:rFonts w:ascii="Tahoma" w:eastAsia="Times New Roman" w:hAnsi="Tahoma" w:cs="Tahoma"/>
          <w:sz w:val="24"/>
          <w:szCs w:val="24"/>
        </w:rPr>
        <w:t>se fondaient progressivement dans des territoires communs traduisant ainsi une ingénierie sociale</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exceptionnelle.</w:t>
      </w:r>
    </w:p>
    <w:p w:rsidR="000A7532" w:rsidRPr="002462E6" w:rsidRDefault="000A7532" w:rsidP="000A7532">
      <w:pPr>
        <w:widowControl w:val="0"/>
        <w:autoSpaceDE w:val="0"/>
        <w:autoSpaceDN w:val="0"/>
        <w:spacing w:before="160" w:after="0" w:line="360" w:lineRule="auto"/>
        <w:ind w:right="4"/>
        <w:jc w:val="both"/>
        <w:rPr>
          <w:rFonts w:ascii="Tahoma" w:eastAsia="Times New Roman" w:hAnsi="Tahoma" w:cs="Tahoma"/>
          <w:sz w:val="24"/>
          <w:szCs w:val="24"/>
        </w:rPr>
      </w:pPr>
      <w:r w:rsidRPr="002462E6">
        <w:rPr>
          <w:rFonts w:ascii="Tahoma" w:eastAsia="Times New Roman" w:hAnsi="Tahoma" w:cs="Tahoma"/>
          <w:sz w:val="24"/>
          <w:szCs w:val="24"/>
        </w:rPr>
        <w:t xml:space="preserve">Parmi les pratiques coutumières marocaines appropriées par la </w:t>
      </w:r>
      <w:r w:rsidRPr="002462E6">
        <w:rPr>
          <w:rFonts w:ascii="Tahoma" w:eastAsia="Times New Roman" w:hAnsi="Tahoma" w:cs="Tahoma"/>
          <w:i/>
          <w:iCs/>
          <w:sz w:val="24"/>
          <w:szCs w:val="24"/>
        </w:rPr>
        <w:t>Jemaâ</w:t>
      </w:r>
      <w:r w:rsidRPr="002462E6">
        <w:rPr>
          <w:rFonts w:ascii="Tahoma" w:eastAsia="Times New Roman" w:hAnsi="Tahoma" w:cs="Tahoma"/>
          <w:sz w:val="24"/>
          <w:szCs w:val="24"/>
        </w:rPr>
        <w:t xml:space="preserve">, l’exemple de la </w:t>
      </w:r>
      <w:r w:rsidRPr="002462E6">
        <w:rPr>
          <w:rFonts w:ascii="Tahoma" w:eastAsia="Times New Roman" w:hAnsi="Tahoma" w:cs="Tahoma"/>
          <w:i/>
          <w:iCs/>
          <w:sz w:val="24"/>
          <w:szCs w:val="24"/>
        </w:rPr>
        <w:t>Touiza</w:t>
      </w:r>
      <w:r w:rsidRPr="002462E6">
        <w:rPr>
          <w:rFonts w:ascii="Tahoma" w:eastAsia="Times New Roman" w:hAnsi="Tahoma" w:cs="Tahoma"/>
          <w:i/>
          <w:iCs/>
          <w:sz w:val="24"/>
          <w:szCs w:val="24"/>
          <w:vertAlign w:val="superscript"/>
        </w:rPr>
        <w:footnoteReference w:id="142"/>
      </w:r>
      <w:r w:rsidRPr="002462E6">
        <w:rPr>
          <w:rFonts w:ascii="Tahoma" w:eastAsia="Times New Roman" w:hAnsi="Tahoma" w:cs="Tahoma"/>
          <w:sz w:val="24"/>
          <w:szCs w:val="24"/>
        </w:rPr>
        <w:t xml:space="preserve">, demeure allégorique. Elle ne traduit pas seulement les valeurs de solidarité et d'altruisme, mais elle agit également comme un moteur de la cohésion sociale. La </w:t>
      </w:r>
      <w:r w:rsidRPr="002462E6">
        <w:rPr>
          <w:rFonts w:ascii="Tahoma" w:eastAsia="Times New Roman" w:hAnsi="Tahoma" w:cs="Tahoma"/>
          <w:i/>
          <w:iCs/>
          <w:sz w:val="24"/>
          <w:szCs w:val="24"/>
        </w:rPr>
        <w:t>Touiza</w:t>
      </w:r>
      <w:r w:rsidRPr="002462E6">
        <w:rPr>
          <w:rFonts w:ascii="Tahoma" w:eastAsia="Times New Roman" w:hAnsi="Tahoma" w:cs="Tahoma"/>
          <w:sz w:val="24"/>
          <w:szCs w:val="24"/>
        </w:rPr>
        <w:t xml:space="preserve"> traduit une forme de coopération collective où les membres de la communauté se rassemblent pour effectuer des travaux d'intérêt commun, tels que la construction de puits collectifs, de routes ou de centres communautaires afin d’améliorer l'accès aux ressources et aux services, contribuant ainsi au bien-être collectif.  Bref, l’intérêt de la communauté prime sur les intérêts individuels. La participation à une </w:t>
      </w:r>
      <w:r w:rsidRPr="002462E6">
        <w:rPr>
          <w:rFonts w:ascii="Tahoma" w:eastAsia="Times New Roman" w:hAnsi="Tahoma" w:cs="Tahoma"/>
          <w:i/>
          <w:iCs/>
          <w:sz w:val="24"/>
          <w:szCs w:val="24"/>
        </w:rPr>
        <w:t xml:space="preserve">Touiza </w:t>
      </w:r>
      <w:r w:rsidRPr="002462E6">
        <w:rPr>
          <w:rFonts w:ascii="Tahoma" w:eastAsia="Times New Roman" w:hAnsi="Tahoma" w:cs="Tahoma"/>
          <w:sz w:val="24"/>
          <w:szCs w:val="24"/>
        </w:rPr>
        <w:t>renforce le tissu social, permettant à chacun de se sentir concerné et responsable envers les autres et les ressources renforçant ainsi l'identité collective</w:t>
      </w:r>
      <w:r w:rsidRPr="002462E6">
        <w:rPr>
          <w:rFonts w:ascii="Tahoma" w:eastAsia="Times New Roman" w:hAnsi="Tahoma" w:cs="Tahoma"/>
          <w:sz w:val="24"/>
          <w:szCs w:val="24"/>
          <w:vertAlign w:val="superscript"/>
        </w:rPr>
        <w:footnoteReference w:id="143"/>
      </w:r>
      <w:r w:rsidRPr="002462E6">
        <w:rPr>
          <w:rFonts w:ascii="Tahoma" w:eastAsia="Times New Roman" w:hAnsi="Tahoma" w:cs="Tahoma"/>
          <w:sz w:val="24"/>
          <w:szCs w:val="24"/>
        </w:rPr>
        <w:t xml:space="preserve">. </w:t>
      </w:r>
    </w:p>
    <w:p w:rsidR="000A7532" w:rsidRPr="002462E6" w:rsidRDefault="000A7532" w:rsidP="000A7532">
      <w:pPr>
        <w:widowControl w:val="0"/>
        <w:autoSpaceDE w:val="0"/>
        <w:autoSpaceDN w:val="0"/>
        <w:spacing w:before="160" w:after="0" w:line="360" w:lineRule="auto"/>
        <w:ind w:right="4"/>
        <w:jc w:val="both"/>
        <w:rPr>
          <w:rFonts w:ascii="Tahoma" w:eastAsia="Times New Roman" w:hAnsi="Tahoma" w:cs="Tahoma"/>
          <w:sz w:val="24"/>
          <w:szCs w:val="24"/>
        </w:rPr>
      </w:pPr>
      <w:r w:rsidRPr="002462E6">
        <w:rPr>
          <w:rFonts w:ascii="Tahoma" w:eastAsia="Times New Roman" w:hAnsi="Tahoma" w:cs="Tahoma"/>
          <w:sz w:val="24"/>
          <w:szCs w:val="24"/>
        </w:rPr>
        <w:t xml:space="preserve">La </w:t>
      </w:r>
      <w:r w:rsidRPr="002462E6">
        <w:rPr>
          <w:rFonts w:ascii="Tahoma" w:eastAsia="Times New Roman" w:hAnsi="Tahoma" w:cs="Tahoma"/>
          <w:i/>
          <w:iCs/>
          <w:sz w:val="24"/>
          <w:szCs w:val="24"/>
        </w:rPr>
        <w:t>Touiza</w:t>
      </w:r>
      <w:r w:rsidRPr="002462E6">
        <w:rPr>
          <w:rFonts w:ascii="Tahoma" w:eastAsia="Times New Roman" w:hAnsi="Tahoma" w:cs="Tahoma"/>
          <w:sz w:val="24"/>
          <w:szCs w:val="24"/>
        </w:rPr>
        <w:t xml:space="preserve"> permet la transmission des valeurs culturelles et des savoir-faire locaux dont les plus âgés partagent leurs connaissances et leurs compétences avec les plus jeunes, tout en véhiculant les pratiques traditionnelles qui font partie intégrante de l'identité collective. Cette transmission est cruciale pour la pérennité de ces pratiques sociales et culturelles au sein du Douar.</w:t>
      </w:r>
    </w:p>
    <w:p w:rsidR="000A7532" w:rsidRPr="002462E6" w:rsidRDefault="000A7532" w:rsidP="000A7532">
      <w:pPr>
        <w:widowControl w:val="0"/>
        <w:autoSpaceDE w:val="0"/>
        <w:autoSpaceDN w:val="0"/>
        <w:spacing w:before="160" w:after="0" w:line="360" w:lineRule="auto"/>
        <w:ind w:right="4"/>
        <w:jc w:val="both"/>
        <w:rPr>
          <w:rFonts w:ascii="Tahoma" w:eastAsia="Times New Roman" w:hAnsi="Tahoma" w:cs="Tahoma"/>
          <w:sz w:val="24"/>
          <w:szCs w:val="24"/>
        </w:rPr>
      </w:pPr>
      <w:r w:rsidRPr="002462E6">
        <w:rPr>
          <w:rFonts w:ascii="Tahoma" w:eastAsia="Times New Roman" w:hAnsi="Tahoma" w:cs="Tahoma"/>
          <w:sz w:val="24"/>
          <w:szCs w:val="24"/>
        </w:rPr>
        <w:t>En somme, la connaissance et la</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reconnaissance des pratiques réelles de partage conduisent à considérer la communauté et la</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ressource</w:t>
      </w:r>
      <w:r w:rsidRPr="002462E6">
        <w:rPr>
          <w:rFonts w:ascii="Tahoma" w:eastAsia="Times New Roman" w:hAnsi="Tahoma" w:cs="Tahoma"/>
          <w:spacing w:val="-2"/>
          <w:sz w:val="24"/>
          <w:szCs w:val="24"/>
        </w:rPr>
        <w:t xml:space="preserve"> </w:t>
      </w:r>
      <w:r w:rsidRPr="002462E6">
        <w:rPr>
          <w:rFonts w:ascii="Tahoma" w:eastAsia="Times New Roman" w:hAnsi="Tahoma" w:cs="Tahoma"/>
          <w:sz w:val="24"/>
          <w:szCs w:val="24"/>
        </w:rPr>
        <w:t xml:space="preserve">qu’elle gère comme un commun. Dans ce sens, MIMOUNI (2003) expliquait que </w:t>
      </w:r>
      <w:r w:rsidRPr="002462E6">
        <w:rPr>
          <w:rFonts w:ascii="Tahoma" w:eastAsia="Times New Roman" w:hAnsi="Tahoma" w:cs="Tahoma"/>
          <w:i/>
          <w:sz w:val="24"/>
          <w:szCs w:val="24"/>
        </w:rPr>
        <w:t>« cette organisation par sa résilience semble</w:t>
      </w:r>
      <w:r w:rsidRPr="002462E6">
        <w:rPr>
          <w:rFonts w:ascii="Tahoma" w:eastAsia="Times New Roman" w:hAnsi="Tahoma" w:cs="Tahoma"/>
          <w:i/>
          <w:spacing w:val="1"/>
          <w:sz w:val="24"/>
          <w:szCs w:val="24"/>
        </w:rPr>
        <w:t xml:space="preserve"> </w:t>
      </w:r>
      <w:r w:rsidRPr="002462E6">
        <w:rPr>
          <w:rFonts w:ascii="Tahoma" w:eastAsia="Times New Roman" w:hAnsi="Tahoma" w:cs="Tahoma"/>
          <w:i/>
          <w:sz w:val="24"/>
          <w:szCs w:val="24"/>
        </w:rPr>
        <w:t>répondre à des besoins économiques bien sûr, mais aussi éthiques et relationnels très importants</w:t>
      </w:r>
      <w:r w:rsidRPr="002462E6">
        <w:rPr>
          <w:rFonts w:ascii="Tahoma" w:eastAsia="Times New Roman" w:hAnsi="Tahoma" w:cs="Tahoma"/>
          <w:i/>
          <w:spacing w:val="1"/>
          <w:sz w:val="24"/>
          <w:szCs w:val="24"/>
        </w:rPr>
        <w:t xml:space="preserve"> </w:t>
      </w:r>
      <w:r w:rsidRPr="002462E6">
        <w:rPr>
          <w:rFonts w:ascii="Tahoma" w:eastAsia="Times New Roman" w:hAnsi="Tahoma" w:cs="Tahoma"/>
          <w:i/>
          <w:sz w:val="24"/>
          <w:szCs w:val="24"/>
        </w:rPr>
        <w:t>qui</w:t>
      </w:r>
      <w:r w:rsidRPr="002462E6">
        <w:rPr>
          <w:rFonts w:ascii="Tahoma" w:eastAsia="Times New Roman" w:hAnsi="Tahoma" w:cs="Tahoma"/>
          <w:i/>
          <w:spacing w:val="-1"/>
          <w:sz w:val="24"/>
          <w:szCs w:val="24"/>
        </w:rPr>
        <w:t xml:space="preserve"> </w:t>
      </w:r>
      <w:r w:rsidRPr="002462E6">
        <w:rPr>
          <w:rFonts w:ascii="Tahoma" w:eastAsia="Times New Roman" w:hAnsi="Tahoma" w:cs="Tahoma"/>
          <w:i/>
          <w:sz w:val="24"/>
          <w:szCs w:val="24"/>
        </w:rPr>
        <w:t>maintiennent la cohésion et</w:t>
      </w:r>
      <w:r w:rsidRPr="002462E6">
        <w:rPr>
          <w:rFonts w:ascii="Tahoma" w:eastAsia="Times New Roman" w:hAnsi="Tahoma" w:cs="Tahoma"/>
          <w:i/>
          <w:spacing w:val="-1"/>
          <w:sz w:val="24"/>
          <w:szCs w:val="24"/>
        </w:rPr>
        <w:t xml:space="preserve"> </w:t>
      </w:r>
      <w:r w:rsidRPr="002462E6">
        <w:rPr>
          <w:rFonts w:ascii="Tahoma" w:eastAsia="Times New Roman" w:hAnsi="Tahoma" w:cs="Tahoma"/>
          <w:i/>
          <w:sz w:val="24"/>
          <w:szCs w:val="24"/>
        </w:rPr>
        <w:t>les</w:t>
      </w:r>
      <w:r w:rsidRPr="002462E6">
        <w:rPr>
          <w:rFonts w:ascii="Tahoma" w:eastAsia="Times New Roman" w:hAnsi="Tahoma" w:cs="Tahoma"/>
          <w:i/>
          <w:spacing w:val="-1"/>
          <w:sz w:val="24"/>
          <w:szCs w:val="24"/>
        </w:rPr>
        <w:t xml:space="preserve"> </w:t>
      </w:r>
      <w:r w:rsidRPr="002462E6">
        <w:rPr>
          <w:rFonts w:ascii="Tahoma" w:eastAsia="Times New Roman" w:hAnsi="Tahoma" w:cs="Tahoma"/>
          <w:i/>
          <w:sz w:val="24"/>
          <w:szCs w:val="24"/>
        </w:rPr>
        <w:t>liens entre</w:t>
      </w:r>
      <w:r w:rsidRPr="002462E6">
        <w:rPr>
          <w:rFonts w:ascii="Tahoma" w:eastAsia="Times New Roman" w:hAnsi="Tahoma" w:cs="Tahoma"/>
          <w:i/>
          <w:spacing w:val="-1"/>
          <w:sz w:val="24"/>
          <w:szCs w:val="24"/>
        </w:rPr>
        <w:t xml:space="preserve"> </w:t>
      </w:r>
      <w:r w:rsidRPr="002462E6">
        <w:rPr>
          <w:rFonts w:ascii="Tahoma" w:eastAsia="Times New Roman" w:hAnsi="Tahoma" w:cs="Tahoma"/>
          <w:i/>
          <w:sz w:val="24"/>
          <w:szCs w:val="24"/>
        </w:rPr>
        <w:t>les groupes et</w:t>
      </w:r>
      <w:r w:rsidRPr="002462E6">
        <w:rPr>
          <w:rFonts w:ascii="Tahoma" w:eastAsia="Times New Roman" w:hAnsi="Tahoma" w:cs="Tahoma"/>
          <w:i/>
          <w:spacing w:val="-1"/>
          <w:sz w:val="24"/>
          <w:szCs w:val="24"/>
        </w:rPr>
        <w:t xml:space="preserve"> </w:t>
      </w:r>
      <w:r w:rsidRPr="002462E6">
        <w:rPr>
          <w:rFonts w:ascii="Tahoma" w:eastAsia="Times New Roman" w:hAnsi="Tahoma" w:cs="Tahoma"/>
          <w:i/>
          <w:sz w:val="24"/>
          <w:szCs w:val="24"/>
        </w:rPr>
        <w:t>les</w:t>
      </w:r>
      <w:r w:rsidRPr="002462E6">
        <w:rPr>
          <w:rFonts w:ascii="Tahoma" w:eastAsia="Times New Roman" w:hAnsi="Tahoma" w:cs="Tahoma"/>
          <w:i/>
          <w:spacing w:val="-1"/>
          <w:sz w:val="24"/>
          <w:szCs w:val="24"/>
        </w:rPr>
        <w:t xml:space="preserve"> </w:t>
      </w:r>
      <w:r w:rsidRPr="002462E6">
        <w:rPr>
          <w:rFonts w:ascii="Tahoma" w:eastAsia="Times New Roman" w:hAnsi="Tahoma" w:cs="Tahoma"/>
          <w:i/>
          <w:sz w:val="24"/>
          <w:szCs w:val="24"/>
        </w:rPr>
        <w:t>individus</w:t>
      </w:r>
      <w:r w:rsidRPr="002462E6">
        <w:rPr>
          <w:rFonts w:ascii="Tahoma" w:eastAsia="Times New Roman" w:hAnsi="Tahoma" w:cs="Tahoma"/>
          <w:i/>
          <w:spacing w:val="-1"/>
          <w:sz w:val="24"/>
          <w:szCs w:val="24"/>
        </w:rPr>
        <w:t xml:space="preserve"> </w:t>
      </w:r>
      <w:r w:rsidRPr="002462E6">
        <w:rPr>
          <w:rFonts w:ascii="Tahoma" w:eastAsia="Times New Roman" w:hAnsi="Tahoma" w:cs="Tahoma"/>
          <w:i/>
          <w:sz w:val="24"/>
          <w:szCs w:val="24"/>
        </w:rPr>
        <w:t>»</w:t>
      </w:r>
      <w:r w:rsidRPr="002462E6">
        <w:rPr>
          <w:rFonts w:ascii="Tahoma" w:eastAsia="Times New Roman" w:hAnsi="Tahoma" w:cs="Tahoma"/>
          <w:i/>
          <w:sz w:val="24"/>
          <w:szCs w:val="24"/>
          <w:vertAlign w:val="superscript"/>
        </w:rPr>
        <w:footnoteReference w:id="144"/>
      </w:r>
      <w:r w:rsidRPr="002462E6">
        <w:rPr>
          <w:rFonts w:ascii="Tahoma" w:eastAsia="Times New Roman" w:hAnsi="Tahoma" w:cs="Tahoma"/>
          <w:i/>
          <w:sz w:val="24"/>
          <w:szCs w:val="24"/>
        </w:rPr>
        <w:t>.</w:t>
      </w:r>
    </w:p>
    <w:p w:rsidR="009D1D90" w:rsidRDefault="009D1D90">
      <w:pPr>
        <w:rPr>
          <w:rFonts w:ascii="Tahoma" w:eastAsia="Times New Roman" w:hAnsi="Tahoma" w:cs="Tahoma"/>
          <w:color w:val="353535"/>
          <w:sz w:val="24"/>
          <w:szCs w:val="24"/>
        </w:rPr>
      </w:pPr>
      <w:r>
        <w:rPr>
          <w:rFonts w:ascii="Tahoma" w:eastAsia="Times New Roman" w:hAnsi="Tahoma" w:cs="Tahoma"/>
          <w:color w:val="353535"/>
          <w:sz w:val="24"/>
          <w:szCs w:val="24"/>
        </w:rPr>
        <w:br w:type="page"/>
      </w:r>
    </w:p>
    <w:p w:rsidR="000A7532" w:rsidRPr="002462E6" w:rsidRDefault="000A7532" w:rsidP="000A7532">
      <w:pPr>
        <w:widowControl w:val="0"/>
        <w:autoSpaceDE w:val="0"/>
        <w:autoSpaceDN w:val="0"/>
        <w:spacing w:before="160" w:after="0" w:line="360" w:lineRule="auto"/>
        <w:ind w:right="4"/>
        <w:jc w:val="both"/>
        <w:rPr>
          <w:rFonts w:ascii="Tahoma" w:eastAsia="Times New Roman" w:hAnsi="Tahoma" w:cs="Tahoma"/>
          <w:sz w:val="24"/>
          <w:szCs w:val="24"/>
        </w:rPr>
      </w:pPr>
      <w:r w:rsidRPr="002462E6">
        <w:rPr>
          <w:rFonts w:ascii="Tahoma" w:eastAsia="Times New Roman" w:hAnsi="Tahoma" w:cs="Tahoma"/>
          <w:color w:val="353535"/>
          <w:sz w:val="24"/>
          <w:szCs w:val="24"/>
        </w:rPr>
        <w:lastRenderedPageBreak/>
        <w:t>Dans ce sens, l</w:t>
      </w:r>
      <w:r w:rsidRPr="002462E6">
        <w:rPr>
          <w:rFonts w:ascii="Tahoma" w:eastAsia="Times New Roman" w:hAnsi="Tahoma" w:cs="Tahoma"/>
          <w:sz w:val="24"/>
          <w:szCs w:val="24"/>
        </w:rPr>
        <w:t>e niveau élevé du capital social permet alors aux institutions sociales locales dont notamment la</w:t>
      </w:r>
      <w:r w:rsidRPr="002462E6">
        <w:rPr>
          <w:rFonts w:ascii="Tahoma" w:eastAsia="Times New Roman" w:hAnsi="Tahoma" w:cs="Tahoma"/>
          <w:spacing w:val="1"/>
          <w:sz w:val="24"/>
          <w:szCs w:val="24"/>
        </w:rPr>
        <w:t xml:space="preserve"> </w:t>
      </w:r>
      <w:r w:rsidRPr="002462E6">
        <w:rPr>
          <w:rFonts w:ascii="Tahoma" w:eastAsia="Times New Roman" w:hAnsi="Tahoma" w:cs="Tahoma"/>
          <w:i/>
          <w:iCs/>
          <w:sz w:val="24"/>
          <w:szCs w:val="24"/>
        </w:rPr>
        <w:t>Jemaâ</w:t>
      </w:r>
      <w:r w:rsidRPr="002462E6">
        <w:rPr>
          <w:rFonts w:ascii="Tahoma" w:eastAsia="Times New Roman" w:hAnsi="Tahoma" w:cs="Tahoma"/>
          <w:sz w:val="24"/>
          <w:szCs w:val="24"/>
        </w:rPr>
        <w:t xml:space="preserve"> d’être plus efficace dans l’atteinte de ses objectifs</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à travers la responsabilisation de</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l’ensemble de ses membres en raison de la proximité, de l’objectif commun, de l’appartenance au</w:t>
      </w:r>
      <w:r w:rsidRPr="002462E6">
        <w:rPr>
          <w:rFonts w:ascii="Tahoma" w:eastAsia="Times New Roman" w:hAnsi="Tahoma" w:cs="Tahoma"/>
          <w:spacing w:val="-57"/>
          <w:sz w:val="24"/>
          <w:szCs w:val="24"/>
        </w:rPr>
        <w:t xml:space="preserve"> </w:t>
      </w:r>
      <w:r w:rsidRPr="002462E6">
        <w:rPr>
          <w:rFonts w:ascii="Tahoma" w:eastAsia="Times New Roman" w:hAnsi="Tahoma" w:cs="Tahoma"/>
          <w:sz w:val="24"/>
          <w:szCs w:val="24"/>
        </w:rPr>
        <w:t>même</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groupe ethnique ou linguistique et des</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liens sanguins etc.</w:t>
      </w:r>
    </w:p>
    <w:p w:rsidR="000A7532" w:rsidRPr="002462E6" w:rsidRDefault="000A7532" w:rsidP="000A7532">
      <w:pPr>
        <w:widowControl w:val="0"/>
        <w:autoSpaceDE w:val="0"/>
        <w:autoSpaceDN w:val="0"/>
        <w:spacing w:before="161" w:after="0" w:line="360" w:lineRule="auto"/>
        <w:ind w:right="4"/>
        <w:jc w:val="both"/>
        <w:rPr>
          <w:rFonts w:ascii="Tahoma" w:eastAsia="Times New Roman" w:hAnsi="Tahoma" w:cs="Tahoma"/>
          <w:sz w:val="24"/>
          <w:szCs w:val="24"/>
        </w:rPr>
      </w:pPr>
      <w:r w:rsidRPr="002462E6">
        <w:rPr>
          <w:rFonts w:ascii="Tahoma" w:eastAsia="Times New Roman" w:hAnsi="Tahoma" w:cs="Tahoma"/>
          <w:sz w:val="24"/>
          <w:szCs w:val="24"/>
        </w:rPr>
        <w:t xml:space="preserve">En comparant, le mode de gestion des ressources naturelles adopté par la </w:t>
      </w:r>
      <w:r w:rsidRPr="002462E6">
        <w:rPr>
          <w:rFonts w:ascii="Tahoma" w:eastAsia="Times New Roman" w:hAnsi="Tahoma" w:cs="Tahoma"/>
          <w:i/>
          <w:sz w:val="24"/>
          <w:szCs w:val="24"/>
        </w:rPr>
        <w:t xml:space="preserve">Jemaâ à </w:t>
      </w:r>
      <w:r w:rsidRPr="002462E6">
        <w:rPr>
          <w:rFonts w:ascii="Tahoma" w:eastAsia="Times New Roman" w:hAnsi="Tahoma" w:cs="Tahoma"/>
          <w:sz w:val="24"/>
          <w:szCs w:val="24"/>
        </w:rPr>
        <w:t xml:space="preserve">l’administration publique, de grandes différences sont constatées. En effet, les décisions prises par la </w:t>
      </w:r>
      <w:r w:rsidRPr="002462E6">
        <w:rPr>
          <w:rFonts w:ascii="Tahoma" w:eastAsia="Times New Roman" w:hAnsi="Tahoma" w:cs="Tahoma"/>
          <w:i/>
          <w:sz w:val="24"/>
          <w:szCs w:val="24"/>
        </w:rPr>
        <w:t xml:space="preserve">Jemaâ  </w:t>
      </w:r>
      <w:r w:rsidRPr="002462E6">
        <w:rPr>
          <w:rFonts w:ascii="Tahoma" w:eastAsia="Times New Roman" w:hAnsi="Tahoma" w:cs="Tahoma"/>
          <w:sz w:val="24"/>
          <w:szCs w:val="24"/>
        </w:rPr>
        <w:t>se basaient sur la</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concertation et l’échange qui paraissent légitimes, efficaces et acceptées par tous les membres de</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la collectivité. A contrario, l’administration forestière moderne recours à l’application de textes juridiques, hérités du protectorat français dans la majorité des cas.</w:t>
      </w:r>
    </w:p>
    <w:p w:rsidR="000A7532" w:rsidRPr="002462E6" w:rsidRDefault="000A7532" w:rsidP="000A7532">
      <w:pPr>
        <w:widowControl w:val="0"/>
        <w:autoSpaceDE w:val="0"/>
        <w:autoSpaceDN w:val="0"/>
        <w:spacing w:before="161" w:after="0" w:line="360" w:lineRule="auto"/>
        <w:ind w:right="4"/>
        <w:jc w:val="both"/>
        <w:rPr>
          <w:rFonts w:ascii="Tahoma" w:eastAsia="Times New Roman" w:hAnsi="Tahoma" w:cs="Tahoma"/>
          <w:sz w:val="24"/>
          <w:szCs w:val="24"/>
        </w:rPr>
      </w:pPr>
      <w:r w:rsidRPr="002462E6">
        <w:rPr>
          <w:rFonts w:ascii="Tahoma" w:eastAsia="Times New Roman" w:hAnsi="Tahoma" w:cs="Tahoma"/>
          <w:sz w:val="24"/>
          <w:szCs w:val="24"/>
        </w:rPr>
        <w:t xml:space="preserve">En effet, le respect des décisions de la </w:t>
      </w:r>
      <w:r w:rsidRPr="002462E6">
        <w:rPr>
          <w:rFonts w:ascii="Tahoma" w:eastAsia="Times New Roman" w:hAnsi="Tahoma" w:cs="Tahoma"/>
          <w:i/>
          <w:iCs/>
          <w:sz w:val="24"/>
          <w:szCs w:val="24"/>
        </w:rPr>
        <w:t>Jemaâ</w:t>
      </w:r>
      <w:r w:rsidRPr="002462E6">
        <w:rPr>
          <w:rFonts w:ascii="Tahoma" w:eastAsia="Times New Roman" w:hAnsi="Tahoma" w:cs="Tahoma"/>
          <w:sz w:val="24"/>
          <w:szCs w:val="24"/>
        </w:rPr>
        <w:t xml:space="preserve"> relève d’une obligation religieuse indispensable pour l’appartenance à la collectivité. L’expérience a prouvé que les populations locales ont accordé leur confiance à la </w:t>
      </w:r>
      <w:r w:rsidRPr="002462E6">
        <w:rPr>
          <w:rFonts w:ascii="Tahoma" w:eastAsia="Times New Roman" w:hAnsi="Tahoma" w:cs="Tahoma"/>
          <w:i/>
          <w:iCs/>
          <w:sz w:val="24"/>
          <w:szCs w:val="24"/>
        </w:rPr>
        <w:t>Jemaâ</w:t>
      </w:r>
      <w:r w:rsidRPr="002462E6">
        <w:rPr>
          <w:rFonts w:ascii="Tahoma" w:eastAsia="Times New Roman" w:hAnsi="Tahoma" w:cs="Tahoma"/>
          <w:sz w:val="24"/>
          <w:szCs w:val="24"/>
        </w:rPr>
        <w:t xml:space="preserve"> du moment que les décisions sont prises directement par les concernés eux-mêmes contrairement aux lois étatiques imposées par l’administration forestière sans aucune coordination avec les populations locales. De même, les membres de la </w:t>
      </w:r>
      <w:r w:rsidRPr="002462E6">
        <w:rPr>
          <w:rFonts w:ascii="Tahoma" w:eastAsia="Times New Roman" w:hAnsi="Tahoma" w:cs="Tahoma"/>
          <w:i/>
          <w:sz w:val="24"/>
          <w:szCs w:val="24"/>
        </w:rPr>
        <w:t xml:space="preserve">Jemaâ </w:t>
      </w:r>
      <w:r w:rsidRPr="002462E6">
        <w:rPr>
          <w:rFonts w:ascii="Tahoma" w:eastAsia="Times New Roman" w:hAnsi="Tahoma" w:cs="Tahoma"/>
          <w:color w:val="1F2023"/>
          <w:sz w:val="24"/>
          <w:szCs w:val="24"/>
        </w:rPr>
        <w:t xml:space="preserve">tiraient </w:t>
      </w:r>
      <w:r w:rsidRPr="002462E6">
        <w:rPr>
          <w:rFonts w:ascii="Tahoma" w:eastAsia="Times New Roman" w:hAnsi="Tahoma" w:cs="Tahoma"/>
          <w:sz w:val="24"/>
          <w:szCs w:val="24"/>
        </w:rPr>
        <w:t>leurs qualités personnelles, des bonnes mœurs telles que le sérieux et la</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droiture,</w:t>
      </w:r>
      <w:r w:rsidRPr="002462E6">
        <w:rPr>
          <w:rFonts w:ascii="Tahoma" w:eastAsia="Times New Roman" w:hAnsi="Tahoma" w:cs="Tahoma"/>
          <w:spacing w:val="-6"/>
          <w:sz w:val="24"/>
          <w:szCs w:val="24"/>
        </w:rPr>
        <w:t xml:space="preserve"> </w:t>
      </w:r>
      <w:r w:rsidRPr="002462E6">
        <w:rPr>
          <w:rFonts w:ascii="Tahoma" w:eastAsia="Times New Roman" w:hAnsi="Tahoma" w:cs="Tahoma"/>
          <w:sz w:val="24"/>
          <w:szCs w:val="24"/>
        </w:rPr>
        <w:t>critères</w:t>
      </w:r>
      <w:r w:rsidRPr="002462E6">
        <w:rPr>
          <w:rFonts w:ascii="Tahoma" w:eastAsia="Times New Roman" w:hAnsi="Tahoma" w:cs="Tahoma"/>
          <w:spacing w:val="-7"/>
          <w:sz w:val="24"/>
          <w:szCs w:val="24"/>
        </w:rPr>
        <w:t xml:space="preserve"> </w:t>
      </w:r>
      <w:r w:rsidRPr="002462E6">
        <w:rPr>
          <w:rFonts w:ascii="Tahoma" w:eastAsia="Times New Roman" w:hAnsi="Tahoma" w:cs="Tahoma"/>
          <w:sz w:val="24"/>
          <w:szCs w:val="24"/>
        </w:rPr>
        <w:t>déterminants</w:t>
      </w:r>
      <w:r w:rsidRPr="002462E6">
        <w:rPr>
          <w:rFonts w:ascii="Tahoma" w:eastAsia="Times New Roman" w:hAnsi="Tahoma" w:cs="Tahoma"/>
          <w:spacing w:val="-7"/>
          <w:sz w:val="24"/>
          <w:szCs w:val="24"/>
        </w:rPr>
        <w:t xml:space="preserve"> </w:t>
      </w:r>
      <w:r w:rsidRPr="002462E6">
        <w:rPr>
          <w:rFonts w:ascii="Tahoma" w:eastAsia="Times New Roman" w:hAnsi="Tahoma" w:cs="Tahoma"/>
          <w:sz w:val="24"/>
          <w:szCs w:val="24"/>
        </w:rPr>
        <w:t>de</w:t>
      </w:r>
      <w:r w:rsidRPr="002462E6">
        <w:rPr>
          <w:rFonts w:ascii="Tahoma" w:eastAsia="Times New Roman" w:hAnsi="Tahoma" w:cs="Tahoma"/>
          <w:spacing w:val="-7"/>
          <w:sz w:val="24"/>
          <w:szCs w:val="24"/>
        </w:rPr>
        <w:t xml:space="preserve"> </w:t>
      </w:r>
      <w:r w:rsidRPr="002462E6">
        <w:rPr>
          <w:rFonts w:ascii="Tahoma" w:eastAsia="Times New Roman" w:hAnsi="Tahoma" w:cs="Tahoma"/>
          <w:sz w:val="24"/>
          <w:szCs w:val="24"/>
        </w:rPr>
        <w:t>leur</w:t>
      </w:r>
      <w:r w:rsidRPr="002462E6">
        <w:rPr>
          <w:rFonts w:ascii="Tahoma" w:eastAsia="Times New Roman" w:hAnsi="Tahoma" w:cs="Tahoma"/>
          <w:spacing w:val="-9"/>
          <w:sz w:val="24"/>
          <w:szCs w:val="24"/>
        </w:rPr>
        <w:t xml:space="preserve"> </w:t>
      </w:r>
      <w:r w:rsidRPr="002462E6">
        <w:rPr>
          <w:rFonts w:ascii="Tahoma" w:eastAsia="Times New Roman" w:hAnsi="Tahoma" w:cs="Tahoma"/>
          <w:sz w:val="24"/>
          <w:szCs w:val="24"/>
        </w:rPr>
        <w:t>sélection.</w:t>
      </w:r>
      <w:r w:rsidRPr="002462E6">
        <w:rPr>
          <w:rFonts w:ascii="Tahoma" w:eastAsia="Times New Roman" w:hAnsi="Tahoma" w:cs="Tahoma"/>
          <w:spacing w:val="-7"/>
          <w:sz w:val="24"/>
          <w:szCs w:val="24"/>
        </w:rPr>
        <w:t xml:space="preserve"> </w:t>
      </w:r>
      <w:r w:rsidRPr="002462E6">
        <w:rPr>
          <w:rFonts w:ascii="Tahoma" w:eastAsia="Times New Roman" w:hAnsi="Tahoma" w:cs="Tahoma"/>
          <w:sz w:val="24"/>
          <w:szCs w:val="24"/>
        </w:rPr>
        <w:t>L’ensemble</w:t>
      </w:r>
      <w:r w:rsidRPr="002462E6">
        <w:rPr>
          <w:rFonts w:ascii="Tahoma" w:eastAsia="Times New Roman" w:hAnsi="Tahoma" w:cs="Tahoma"/>
          <w:spacing w:val="-7"/>
          <w:sz w:val="24"/>
          <w:szCs w:val="24"/>
        </w:rPr>
        <w:t xml:space="preserve"> </w:t>
      </w:r>
      <w:r w:rsidRPr="002462E6">
        <w:rPr>
          <w:rFonts w:ascii="Tahoma" w:eastAsia="Times New Roman" w:hAnsi="Tahoma" w:cs="Tahoma"/>
          <w:sz w:val="24"/>
          <w:szCs w:val="24"/>
        </w:rPr>
        <w:t>de</w:t>
      </w:r>
      <w:r w:rsidRPr="002462E6">
        <w:rPr>
          <w:rFonts w:ascii="Tahoma" w:eastAsia="Times New Roman" w:hAnsi="Tahoma" w:cs="Tahoma"/>
          <w:spacing w:val="-7"/>
          <w:sz w:val="24"/>
          <w:szCs w:val="24"/>
        </w:rPr>
        <w:t xml:space="preserve"> </w:t>
      </w:r>
      <w:r w:rsidRPr="002462E6">
        <w:rPr>
          <w:rFonts w:ascii="Tahoma" w:eastAsia="Times New Roman" w:hAnsi="Tahoma" w:cs="Tahoma"/>
          <w:sz w:val="24"/>
          <w:szCs w:val="24"/>
        </w:rPr>
        <w:t>ces</w:t>
      </w:r>
      <w:r w:rsidRPr="002462E6">
        <w:rPr>
          <w:rFonts w:ascii="Tahoma" w:eastAsia="Times New Roman" w:hAnsi="Tahoma" w:cs="Tahoma"/>
          <w:spacing w:val="-5"/>
          <w:sz w:val="24"/>
          <w:szCs w:val="24"/>
        </w:rPr>
        <w:t xml:space="preserve"> </w:t>
      </w:r>
      <w:r w:rsidRPr="002462E6">
        <w:rPr>
          <w:rFonts w:ascii="Tahoma" w:eastAsia="Times New Roman" w:hAnsi="Tahoma" w:cs="Tahoma"/>
          <w:sz w:val="24"/>
          <w:szCs w:val="24"/>
        </w:rPr>
        <w:t>facteurs</w:t>
      </w:r>
      <w:r w:rsidRPr="002462E6">
        <w:rPr>
          <w:rFonts w:ascii="Tahoma" w:eastAsia="Times New Roman" w:hAnsi="Tahoma" w:cs="Tahoma"/>
          <w:spacing w:val="-7"/>
          <w:sz w:val="24"/>
          <w:szCs w:val="24"/>
        </w:rPr>
        <w:t xml:space="preserve"> </w:t>
      </w:r>
      <w:r w:rsidRPr="002462E6">
        <w:rPr>
          <w:rFonts w:ascii="Tahoma" w:eastAsia="Times New Roman" w:hAnsi="Tahoma" w:cs="Tahoma"/>
          <w:sz w:val="24"/>
          <w:szCs w:val="24"/>
        </w:rPr>
        <w:t>a</w:t>
      </w:r>
      <w:r w:rsidRPr="002462E6">
        <w:rPr>
          <w:rFonts w:ascii="Tahoma" w:eastAsia="Times New Roman" w:hAnsi="Tahoma" w:cs="Tahoma"/>
          <w:spacing w:val="-7"/>
          <w:sz w:val="24"/>
          <w:szCs w:val="24"/>
        </w:rPr>
        <w:t xml:space="preserve"> </w:t>
      </w:r>
      <w:r w:rsidRPr="002462E6">
        <w:rPr>
          <w:rFonts w:ascii="Tahoma" w:eastAsia="Times New Roman" w:hAnsi="Tahoma" w:cs="Tahoma"/>
          <w:sz w:val="24"/>
          <w:szCs w:val="24"/>
        </w:rPr>
        <w:t xml:space="preserve">permis à la </w:t>
      </w:r>
      <w:r w:rsidRPr="002462E6">
        <w:rPr>
          <w:rFonts w:ascii="Tahoma" w:eastAsia="Times New Roman" w:hAnsi="Tahoma" w:cs="Tahoma"/>
          <w:i/>
          <w:iCs/>
          <w:sz w:val="24"/>
          <w:szCs w:val="24"/>
        </w:rPr>
        <w:t>Jemaâ</w:t>
      </w:r>
      <w:r w:rsidRPr="002462E6">
        <w:rPr>
          <w:rFonts w:ascii="Tahoma" w:eastAsia="Times New Roman" w:hAnsi="Tahoma" w:cs="Tahoma"/>
          <w:sz w:val="24"/>
          <w:szCs w:val="24"/>
        </w:rPr>
        <w:t xml:space="preserve"> de gagner la confiance des</w:t>
      </w:r>
      <w:r w:rsidRPr="002462E6">
        <w:rPr>
          <w:rFonts w:ascii="Tahoma" w:eastAsia="Times New Roman" w:hAnsi="Tahoma" w:cs="Tahoma"/>
          <w:spacing w:val="-2"/>
          <w:sz w:val="24"/>
          <w:szCs w:val="24"/>
        </w:rPr>
        <w:t xml:space="preserve"> </w:t>
      </w:r>
      <w:r w:rsidRPr="002462E6">
        <w:rPr>
          <w:rFonts w:ascii="Tahoma" w:eastAsia="Times New Roman" w:hAnsi="Tahoma" w:cs="Tahoma"/>
          <w:sz w:val="24"/>
          <w:szCs w:val="24"/>
        </w:rPr>
        <w:t>membres de la</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tribu contrairement aux</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agents forestiers</w:t>
      </w:r>
      <w:r w:rsidRPr="002462E6">
        <w:rPr>
          <w:rFonts w:ascii="Tahoma" w:eastAsia="Times New Roman" w:hAnsi="Tahoma" w:cs="Tahoma"/>
          <w:sz w:val="24"/>
          <w:szCs w:val="24"/>
          <w:vertAlign w:val="superscript"/>
        </w:rPr>
        <w:footnoteReference w:id="145"/>
      </w:r>
      <w:r w:rsidRPr="002462E6">
        <w:rPr>
          <w:rFonts w:ascii="Tahoma" w:eastAsia="Times New Roman" w:hAnsi="Tahoma" w:cs="Tahoma"/>
          <w:sz w:val="24"/>
          <w:szCs w:val="24"/>
        </w:rPr>
        <w:t>.</w:t>
      </w:r>
    </w:p>
    <w:p w:rsidR="000A7532" w:rsidRPr="002462E6" w:rsidRDefault="000A7532" w:rsidP="000A7532">
      <w:pPr>
        <w:widowControl w:val="0"/>
        <w:autoSpaceDE w:val="0"/>
        <w:autoSpaceDN w:val="0"/>
        <w:spacing w:before="160" w:after="0" w:line="360" w:lineRule="auto"/>
        <w:ind w:right="4"/>
        <w:jc w:val="both"/>
        <w:rPr>
          <w:rFonts w:ascii="Tahoma" w:eastAsia="Times New Roman" w:hAnsi="Tahoma" w:cs="Tahoma"/>
          <w:sz w:val="24"/>
          <w:szCs w:val="24"/>
        </w:rPr>
      </w:pPr>
      <w:r w:rsidRPr="002462E6">
        <w:rPr>
          <w:rFonts w:ascii="Tahoma" w:eastAsia="Times New Roman" w:hAnsi="Tahoma" w:cs="Tahoma"/>
          <w:sz w:val="24"/>
          <w:szCs w:val="24"/>
        </w:rPr>
        <w:t>Depuis, la</w:t>
      </w:r>
      <w:r w:rsidRPr="002462E6">
        <w:rPr>
          <w:rFonts w:ascii="Tahoma" w:eastAsia="Times New Roman" w:hAnsi="Tahoma" w:cs="Tahoma"/>
          <w:spacing w:val="-6"/>
          <w:sz w:val="24"/>
          <w:szCs w:val="24"/>
        </w:rPr>
        <w:t xml:space="preserve"> </w:t>
      </w:r>
      <w:r w:rsidRPr="002462E6">
        <w:rPr>
          <w:rFonts w:ascii="Tahoma" w:eastAsia="Times New Roman" w:hAnsi="Tahoma" w:cs="Tahoma"/>
          <w:sz w:val="24"/>
          <w:szCs w:val="24"/>
        </w:rPr>
        <w:t>mise</w:t>
      </w:r>
      <w:r w:rsidRPr="002462E6">
        <w:rPr>
          <w:rFonts w:ascii="Tahoma" w:eastAsia="Times New Roman" w:hAnsi="Tahoma" w:cs="Tahoma"/>
          <w:spacing w:val="-5"/>
          <w:sz w:val="24"/>
          <w:szCs w:val="24"/>
        </w:rPr>
        <w:t xml:space="preserve"> </w:t>
      </w:r>
      <w:r w:rsidRPr="002462E6">
        <w:rPr>
          <w:rFonts w:ascii="Tahoma" w:eastAsia="Times New Roman" w:hAnsi="Tahoma" w:cs="Tahoma"/>
          <w:sz w:val="24"/>
          <w:szCs w:val="24"/>
        </w:rPr>
        <w:t>en</w:t>
      </w:r>
      <w:r w:rsidRPr="002462E6">
        <w:rPr>
          <w:rFonts w:ascii="Tahoma" w:eastAsia="Times New Roman" w:hAnsi="Tahoma" w:cs="Tahoma"/>
          <w:spacing w:val="-6"/>
          <w:sz w:val="24"/>
          <w:szCs w:val="24"/>
        </w:rPr>
        <w:t xml:space="preserve"> </w:t>
      </w:r>
      <w:r w:rsidRPr="002462E6">
        <w:rPr>
          <w:rFonts w:ascii="Tahoma" w:eastAsia="Times New Roman" w:hAnsi="Tahoma" w:cs="Tahoma"/>
          <w:sz w:val="24"/>
          <w:szCs w:val="24"/>
        </w:rPr>
        <w:t>place</w:t>
      </w:r>
      <w:r w:rsidRPr="002462E6">
        <w:rPr>
          <w:rFonts w:ascii="Tahoma" w:eastAsia="Times New Roman" w:hAnsi="Tahoma" w:cs="Tahoma"/>
          <w:spacing w:val="-7"/>
          <w:sz w:val="24"/>
          <w:szCs w:val="24"/>
        </w:rPr>
        <w:t xml:space="preserve"> </w:t>
      </w:r>
      <w:r w:rsidRPr="002462E6">
        <w:rPr>
          <w:rFonts w:ascii="Tahoma" w:eastAsia="Times New Roman" w:hAnsi="Tahoma" w:cs="Tahoma"/>
          <w:sz w:val="24"/>
          <w:szCs w:val="24"/>
        </w:rPr>
        <w:t>du</w:t>
      </w:r>
      <w:r w:rsidRPr="002462E6">
        <w:rPr>
          <w:rFonts w:ascii="Tahoma" w:eastAsia="Times New Roman" w:hAnsi="Tahoma" w:cs="Tahoma"/>
          <w:spacing w:val="-5"/>
          <w:sz w:val="24"/>
          <w:szCs w:val="24"/>
        </w:rPr>
        <w:t xml:space="preserve"> </w:t>
      </w:r>
      <w:r w:rsidRPr="002462E6">
        <w:rPr>
          <w:rFonts w:ascii="Tahoma" w:eastAsia="Times New Roman" w:hAnsi="Tahoma" w:cs="Tahoma"/>
          <w:sz w:val="24"/>
          <w:szCs w:val="24"/>
        </w:rPr>
        <w:t>service</w:t>
      </w:r>
      <w:r w:rsidRPr="002462E6">
        <w:rPr>
          <w:rFonts w:ascii="Tahoma" w:eastAsia="Times New Roman" w:hAnsi="Tahoma" w:cs="Tahoma"/>
          <w:spacing w:val="-6"/>
          <w:sz w:val="24"/>
          <w:szCs w:val="24"/>
        </w:rPr>
        <w:t xml:space="preserve"> </w:t>
      </w:r>
      <w:r w:rsidRPr="002462E6">
        <w:rPr>
          <w:rFonts w:ascii="Tahoma" w:eastAsia="Times New Roman" w:hAnsi="Tahoma" w:cs="Tahoma"/>
          <w:sz w:val="24"/>
          <w:szCs w:val="24"/>
        </w:rPr>
        <w:t>des</w:t>
      </w:r>
      <w:r w:rsidRPr="002462E6">
        <w:rPr>
          <w:rFonts w:ascii="Tahoma" w:eastAsia="Times New Roman" w:hAnsi="Tahoma" w:cs="Tahoma"/>
          <w:spacing w:val="-5"/>
          <w:sz w:val="24"/>
          <w:szCs w:val="24"/>
        </w:rPr>
        <w:t xml:space="preserve"> </w:t>
      </w:r>
      <w:r w:rsidRPr="002462E6">
        <w:rPr>
          <w:rFonts w:ascii="Tahoma" w:eastAsia="Times New Roman" w:hAnsi="Tahoma" w:cs="Tahoma"/>
          <w:sz w:val="24"/>
          <w:szCs w:val="24"/>
        </w:rPr>
        <w:t>Eaux</w:t>
      </w:r>
      <w:r w:rsidRPr="002462E6">
        <w:rPr>
          <w:rFonts w:ascii="Tahoma" w:eastAsia="Times New Roman" w:hAnsi="Tahoma" w:cs="Tahoma"/>
          <w:spacing w:val="-6"/>
          <w:sz w:val="24"/>
          <w:szCs w:val="24"/>
        </w:rPr>
        <w:t xml:space="preserve"> </w:t>
      </w:r>
      <w:r w:rsidRPr="002462E6">
        <w:rPr>
          <w:rFonts w:ascii="Tahoma" w:eastAsia="Times New Roman" w:hAnsi="Tahoma" w:cs="Tahoma"/>
          <w:sz w:val="24"/>
          <w:szCs w:val="24"/>
        </w:rPr>
        <w:t>et</w:t>
      </w:r>
      <w:r w:rsidRPr="002462E6">
        <w:rPr>
          <w:rFonts w:ascii="Tahoma" w:eastAsia="Times New Roman" w:hAnsi="Tahoma" w:cs="Tahoma"/>
          <w:spacing w:val="-5"/>
          <w:sz w:val="24"/>
          <w:szCs w:val="24"/>
        </w:rPr>
        <w:t xml:space="preserve"> </w:t>
      </w:r>
      <w:r w:rsidRPr="002462E6">
        <w:rPr>
          <w:rFonts w:ascii="Tahoma" w:eastAsia="Times New Roman" w:hAnsi="Tahoma" w:cs="Tahoma"/>
          <w:sz w:val="24"/>
          <w:szCs w:val="24"/>
        </w:rPr>
        <w:t>Forêts</w:t>
      </w:r>
      <w:r w:rsidRPr="002462E6">
        <w:rPr>
          <w:rFonts w:ascii="Tahoma" w:eastAsia="Times New Roman" w:hAnsi="Tahoma" w:cs="Tahoma"/>
          <w:spacing w:val="-7"/>
          <w:sz w:val="24"/>
          <w:szCs w:val="24"/>
        </w:rPr>
        <w:t xml:space="preserve"> </w:t>
      </w:r>
      <w:r w:rsidRPr="002462E6">
        <w:rPr>
          <w:rFonts w:ascii="Tahoma" w:eastAsia="Times New Roman" w:hAnsi="Tahoma" w:cs="Tahoma"/>
          <w:sz w:val="24"/>
          <w:szCs w:val="24"/>
        </w:rPr>
        <w:t>en</w:t>
      </w:r>
      <w:r w:rsidRPr="002462E6">
        <w:rPr>
          <w:rFonts w:ascii="Tahoma" w:eastAsia="Times New Roman" w:hAnsi="Tahoma" w:cs="Tahoma"/>
          <w:spacing w:val="-5"/>
          <w:sz w:val="24"/>
          <w:szCs w:val="24"/>
        </w:rPr>
        <w:t xml:space="preserve"> </w:t>
      </w:r>
      <w:r w:rsidRPr="002462E6">
        <w:rPr>
          <w:rFonts w:ascii="Tahoma" w:eastAsia="Times New Roman" w:hAnsi="Tahoma" w:cs="Tahoma"/>
          <w:sz w:val="24"/>
          <w:szCs w:val="24"/>
        </w:rPr>
        <w:t>mars</w:t>
      </w:r>
      <w:r w:rsidRPr="002462E6">
        <w:rPr>
          <w:rFonts w:ascii="Tahoma" w:eastAsia="Times New Roman" w:hAnsi="Tahoma" w:cs="Tahoma"/>
          <w:spacing w:val="-5"/>
          <w:sz w:val="24"/>
          <w:szCs w:val="24"/>
        </w:rPr>
        <w:t xml:space="preserve"> </w:t>
      </w:r>
      <w:r w:rsidRPr="002462E6">
        <w:rPr>
          <w:rFonts w:ascii="Tahoma" w:eastAsia="Times New Roman" w:hAnsi="Tahoma" w:cs="Tahoma"/>
          <w:sz w:val="24"/>
          <w:szCs w:val="24"/>
        </w:rPr>
        <w:t>1913</w:t>
      </w:r>
      <w:r w:rsidRPr="002462E6">
        <w:rPr>
          <w:rFonts w:ascii="Tahoma" w:eastAsia="Times New Roman" w:hAnsi="Tahoma" w:cs="Tahoma"/>
          <w:spacing w:val="-6"/>
          <w:sz w:val="24"/>
          <w:szCs w:val="24"/>
        </w:rPr>
        <w:t xml:space="preserve"> </w:t>
      </w:r>
      <w:r w:rsidRPr="002462E6">
        <w:rPr>
          <w:rFonts w:ascii="Tahoma" w:eastAsia="Times New Roman" w:hAnsi="Tahoma" w:cs="Tahoma"/>
          <w:sz w:val="24"/>
          <w:szCs w:val="24"/>
        </w:rPr>
        <w:t>par</w:t>
      </w:r>
      <w:r w:rsidRPr="002462E6">
        <w:rPr>
          <w:rFonts w:ascii="Tahoma" w:eastAsia="Times New Roman" w:hAnsi="Tahoma" w:cs="Tahoma"/>
          <w:spacing w:val="-6"/>
          <w:sz w:val="24"/>
          <w:szCs w:val="24"/>
        </w:rPr>
        <w:t xml:space="preserve"> </w:t>
      </w:r>
      <w:r w:rsidRPr="002462E6">
        <w:rPr>
          <w:rFonts w:ascii="Tahoma" w:eastAsia="Times New Roman" w:hAnsi="Tahoma" w:cs="Tahoma"/>
          <w:sz w:val="24"/>
          <w:szCs w:val="24"/>
        </w:rPr>
        <w:t>le</w:t>
      </w:r>
      <w:r w:rsidRPr="002462E6">
        <w:rPr>
          <w:rFonts w:ascii="Tahoma" w:eastAsia="Times New Roman" w:hAnsi="Tahoma" w:cs="Tahoma"/>
          <w:spacing w:val="-7"/>
          <w:sz w:val="24"/>
          <w:szCs w:val="24"/>
        </w:rPr>
        <w:t xml:space="preserve"> </w:t>
      </w:r>
      <w:r w:rsidRPr="002462E6">
        <w:rPr>
          <w:rFonts w:ascii="Tahoma" w:eastAsia="Times New Roman" w:hAnsi="Tahoma" w:cs="Tahoma"/>
          <w:sz w:val="24"/>
          <w:szCs w:val="24"/>
        </w:rPr>
        <w:t>protectorat</w:t>
      </w:r>
      <w:r w:rsidRPr="002462E6">
        <w:rPr>
          <w:rFonts w:ascii="Tahoma" w:eastAsia="Times New Roman" w:hAnsi="Tahoma" w:cs="Tahoma"/>
          <w:spacing w:val="-6"/>
          <w:sz w:val="24"/>
          <w:szCs w:val="24"/>
        </w:rPr>
        <w:t xml:space="preserve"> </w:t>
      </w:r>
      <w:r w:rsidRPr="002462E6">
        <w:rPr>
          <w:rFonts w:ascii="Tahoma" w:eastAsia="Times New Roman" w:hAnsi="Tahoma" w:cs="Tahoma"/>
          <w:sz w:val="24"/>
          <w:szCs w:val="24"/>
        </w:rPr>
        <w:t>et</w:t>
      </w:r>
      <w:r w:rsidRPr="002462E6">
        <w:rPr>
          <w:rFonts w:ascii="Tahoma" w:eastAsia="Times New Roman" w:hAnsi="Tahoma" w:cs="Tahoma"/>
          <w:spacing w:val="-5"/>
          <w:sz w:val="24"/>
          <w:szCs w:val="24"/>
        </w:rPr>
        <w:t xml:space="preserve"> </w:t>
      </w:r>
      <w:r w:rsidRPr="002462E6">
        <w:rPr>
          <w:rFonts w:ascii="Tahoma" w:eastAsia="Times New Roman" w:hAnsi="Tahoma" w:cs="Tahoma"/>
          <w:sz w:val="24"/>
          <w:szCs w:val="24"/>
        </w:rPr>
        <w:t>l’adoption des premiers textes de</w:t>
      </w:r>
      <w:r w:rsidRPr="002462E6">
        <w:rPr>
          <w:rFonts w:ascii="Tahoma" w:eastAsia="Times New Roman" w:hAnsi="Tahoma" w:cs="Tahoma"/>
          <w:spacing w:val="26"/>
          <w:sz w:val="24"/>
          <w:szCs w:val="24"/>
        </w:rPr>
        <w:t xml:space="preserve"> </w:t>
      </w:r>
      <w:r w:rsidRPr="002462E6">
        <w:rPr>
          <w:rFonts w:ascii="Tahoma" w:eastAsia="Times New Roman" w:hAnsi="Tahoma" w:cs="Tahoma"/>
          <w:sz w:val="24"/>
          <w:szCs w:val="24"/>
        </w:rPr>
        <w:t>lois</w:t>
      </w:r>
      <w:r w:rsidRPr="002462E6">
        <w:rPr>
          <w:rFonts w:ascii="Tahoma" w:eastAsia="Times New Roman" w:hAnsi="Tahoma" w:cs="Tahoma"/>
          <w:spacing w:val="26"/>
          <w:sz w:val="24"/>
          <w:szCs w:val="24"/>
        </w:rPr>
        <w:t xml:space="preserve"> </w:t>
      </w:r>
      <w:r w:rsidRPr="002462E6">
        <w:rPr>
          <w:rFonts w:ascii="Tahoma" w:eastAsia="Times New Roman" w:hAnsi="Tahoma" w:cs="Tahoma"/>
          <w:sz w:val="24"/>
          <w:szCs w:val="24"/>
        </w:rPr>
        <w:t>(notamment</w:t>
      </w:r>
      <w:r w:rsidRPr="002462E6">
        <w:rPr>
          <w:rFonts w:ascii="Tahoma" w:eastAsia="Times New Roman" w:hAnsi="Tahoma" w:cs="Tahoma"/>
          <w:spacing w:val="27"/>
          <w:sz w:val="24"/>
          <w:szCs w:val="24"/>
        </w:rPr>
        <w:t xml:space="preserve"> </w:t>
      </w:r>
      <w:r w:rsidRPr="002462E6">
        <w:rPr>
          <w:rFonts w:ascii="Tahoma" w:eastAsia="Times New Roman" w:hAnsi="Tahoma" w:cs="Tahoma"/>
          <w:sz w:val="24"/>
          <w:szCs w:val="24"/>
        </w:rPr>
        <w:t>les</w:t>
      </w:r>
      <w:r w:rsidRPr="002462E6">
        <w:rPr>
          <w:rFonts w:ascii="Tahoma" w:eastAsia="Times New Roman" w:hAnsi="Tahoma" w:cs="Tahoma"/>
          <w:spacing w:val="27"/>
          <w:sz w:val="24"/>
          <w:szCs w:val="24"/>
        </w:rPr>
        <w:t xml:space="preserve"> </w:t>
      </w:r>
      <w:r w:rsidRPr="002462E6">
        <w:rPr>
          <w:rFonts w:ascii="Tahoma" w:eastAsia="Times New Roman" w:hAnsi="Tahoma" w:cs="Tahoma"/>
          <w:sz w:val="24"/>
          <w:szCs w:val="24"/>
        </w:rPr>
        <w:t>dahirs</w:t>
      </w:r>
      <w:r w:rsidRPr="002462E6">
        <w:rPr>
          <w:rFonts w:ascii="Tahoma" w:eastAsia="Times New Roman" w:hAnsi="Tahoma" w:cs="Tahoma"/>
          <w:spacing w:val="26"/>
          <w:sz w:val="24"/>
          <w:szCs w:val="24"/>
        </w:rPr>
        <w:t xml:space="preserve"> </w:t>
      </w:r>
      <w:r w:rsidRPr="002462E6">
        <w:rPr>
          <w:rFonts w:ascii="Tahoma" w:eastAsia="Times New Roman" w:hAnsi="Tahoma" w:cs="Tahoma"/>
          <w:sz w:val="24"/>
          <w:szCs w:val="24"/>
        </w:rPr>
        <w:t>chérifiens</w:t>
      </w:r>
      <w:r w:rsidRPr="002462E6">
        <w:rPr>
          <w:rFonts w:ascii="Tahoma" w:eastAsia="Times New Roman" w:hAnsi="Tahoma" w:cs="Tahoma"/>
          <w:spacing w:val="26"/>
          <w:sz w:val="24"/>
          <w:szCs w:val="24"/>
        </w:rPr>
        <w:t xml:space="preserve"> </w:t>
      </w:r>
      <w:r w:rsidRPr="002462E6">
        <w:rPr>
          <w:rFonts w:ascii="Tahoma" w:eastAsia="Times New Roman" w:hAnsi="Tahoma" w:cs="Tahoma"/>
          <w:sz w:val="24"/>
          <w:szCs w:val="24"/>
        </w:rPr>
        <w:t>et</w:t>
      </w:r>
      <w:r w:rsidRPr="002462E6">
        <w:rPr>
          <w:rFonts w:ascii="Tahoma" w:eastAsia="Times New Roman" w:hAnsi="Tahoma" w:cs="Tahoma"/>
          <w:spacing w:val="26"/>
          <w:sz w:val="24"/>
          <w:szCs w:val="24"/>
        </w:rPr>
        <w:t xml:space="preserve"> </w:t>
      </w:r>
      <w:r w:rsidRPr="002462E6">
        <w:rPr>
          <w:rFonts w:ascii="Tahoma" w:eastAsia="Times New Roman" w:hAnsi="Tahoma" w:cs="Tahoma"/>
          <w:sz w:val="24"/>
          <w:szCs w:val="24"/>
        </w:rPr>
        <w:t>les</w:t>
      </w:r>
      <w:r w:rsidRPr="002462E6">
        <w:rPr>
          <w:rFonts w:ascii="Tahoma" w:eastAsia="Times New Roman" w:hAnsi="Tahoma" w:cs="Tahoma"/>
          <w:spacing w:val="26"/>
          <w:sz w:val="24"/>
          <w:szCs w:val="24"/>
        </w:rPr>
        <w:t xml:space="preserve"> </w:t>
      </w:r>
      <w:r w:rsidRPr="002462E6">
        <w:rPr>
          <w:rFonts w:ascii="Tahoma" w:eastAsia="Times New Roman" w:hAnsi="Tahoma" w:cs="Tahoma"/>
          <w:sz w:val="24"/>
          <w:szCs w:val="24"/>
        </w:rPr>
        <w:t>arrêtés</w:t>
      </w:r>
      <w:r w:rsidRPr="002462E6">
        <w:rPr>
          <w:rFonts w:ascii="Tahoma" w:eastAsia="Times New Roman" w:hAnsi="Tahoma" w:cs="Tahoma"/>
          <w:spacing w:val="26"/>
          <w:sz w:val="24"/>
          <w:szCs w:val="24"/>
        </w:rPr>
        <w:t xml:space="preserve"> </w:t>
      </w:r>
      <w:r w:rsidRPr="002462E6">
        <w:rPr>
          <w:rFonts w:ascii="Tahoma" w:eastAsia="Times New Roman" w:hAnsi="Tahoma" w:cs="Tahoma"/>
          <w:sz w:val="24"/>
          <w:szCs w:val="24"/>
        </w:rPr>
        <w:t xml:space="preserve">viziriels), les pouvoirs </w:t>
      </w:r>
      <w:r w:rsidRPr="002462E6">
        <w:rPr>
          <w:rFonts w:ascii="Tahoma" w:eastAsia="Times New Roman" w:hAnsi="Tahoma" w:cs="Tahoma"/>
          <w:spacing w:val="27"/>
          <w:sz w:val="24"/>
          <w:szCs w:val="24"/>
        </w:rPr>
        <w:t xml:space="preserve">de la </w:t>
      </w:r>
      <w:r w:rsidRPr="002462E6">
        <w:rPr>
          <w:rFonts w:ascii="Tahoma" w:eastAsia="Times New Roman" w:hAnsi="Tahoma" w:cs="Tahoma"/>
          <w:i/>
          <w:iCs/>
          <w:sz w:val="24"/>
          <w:szCs w:val="24"/>
        </w:rPr>
        <w:t xml:space="preserve">Jemaâ </w:t>
      </w:r>
      <w:r w:rsidRPr="002462E6">
        <w:rPr>
          <w:rFonts w:ascii="Tahoma" w:eastAsia="Times New Roman" w:hAnsi="Tahoma" w:cs="Tahoma"/>
          <w:sz w:val="24"/>
          <w:szCs w:val="24"/>
        </w:rPr>
        <w:t>ont été progressivement affaiblis.</w:t>
      </w:r>
      <w:r w:rsidRPr="002462E6">
        <w:rPr>
          <w:rFonts w:ascii="Tahoma" w:eastAsia="Times New Roman" w:hAnsi="Tahoma" w:cs="Tahoma"/>
          <w:spacing w:val="27"/>
          <w:sz w:val="24"/>
          <w:szCs w:val="24"/>
        </w:rPr>
        <w:t xml:space="preserve"> </w:t>
      </w:r>
      <w:r w:rsidRPr="002462E6">
        <w:rPr>
          <w:rFonts w:ascii="Tahoma" w:eastAsia="Times New Roman" w:hAnsi="Tahoma" w:cs="Tahoma"/>
          <w:sz w:val="24"/>
          <w:szCs w:val="24"/>
        </w:rPr>
        <w:t>Par conséquent, ses membres se trouvaient dans l’obligation de se</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soumettre à l’autorité des services publics de la foresterie et d’exécuter leurs décisions. Le service</w:t>
      </w:r>
      <w:r w:rsidRPr="002462E6">
        <w:rPr>
          <w:rFonts w:ascii="Tahoma" w:eastAsia="Times New Roman" w:hAnsi="Tahoma" w:cs="Tahoma"/>
          <w:spacing w:val="-57"/>
          <w:sz w:val="24"/>
          <w:szCs w:val="24"/>
        </w:rPr>
        <w:t xml:space="preserve"> </w:t>
      </w:r>
      <w:r w:rsidRPr="002462E6">
        <w:rPr>
          <w:rFonts w:ascii="Tahoma" w:eastAsia="Times New Roman" w:hAnsi="Tahoma" w:cs="Tahoma"/>
          <w:sz w:val="24"/>
          <w:szCs w:val="24"/>
        </w:rPr>
        <w:t>forestier imposait son monopole technique et par conséquent, la pratique de l’Agdal n’est plus</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soutenue. Par ailleurs, dans certaines collectivités, sous l’influence des autorités locales, L’</w:t>
      </w:r>
      <w:r w:rsidRPr="002462E6">
        <w:rPr>
          <w:rFonts w:ascii="Tahoma" w:eastAsia="Times New Roman" w:hAnsi="Tahoma" w:cs="Tahoma"/>
          <w:i/>
          <w:iCs/>
          <w:sz w:val="24"/>
          <w:szCs w:val="24"/>
        </w:rPr>
        <w:t>Amghar</w:t>
      </w:r>
      <w:r w:rsidRPr="002462E6">
        <w:rPr>
          <w:rFonts w:ascii="Tahoma" w:eastAsia="Times New Roman" w:hAnsi="Tahoma" w:cs="Tahoma"/>
          <w:sz w:val="24"/>
          <w:szCs w:val="24"/>
        </w:rPr>
        <w:t xml:space="preserve"> est devenu un Caïd (agent du </w:t>
      </w:r>
      <w:r w:rsidRPr="002462E6">
        <w:rPr>
          <w:rFonts w:ascii="Tahoma" w:eastAsia="Times New Roman" w:hAnsi="Tahoma" w:cs="Tahoma"/>
          <w:i/>
          <w:sz w:val="24"/>
          <w:szCs w:val="24"/>
        </w:rPr>
        <w:t>Makhzen</w:t>
      </w:r>
      <w:r w:rsidRPr="002462E6">
        <w:rPr>
          <w:rFonts w:ascii="Tahoma" w:eastAsia="Times New Roman" w:hAnsi="Tahoma" w:cs="Tahoma"/>
          <w:sz w:val="24"/>
          <w:szCs w:val="24"/>
        </w:rPr>
        <w:t xml:space="preserve">) vu sa bonne connaissance de la tribu.  Il </w:t>
      </w:r>
      <w:r w:rsidRPr="002462E6">
        <w:rPr>
          <w:rFonts w:ascii="Tahoma" w:eastAsia="Times New Roman" w:hAnsi="Tahoma" w:cs="Tahoma"/>
          <w:spacing w:val="-8"/>
          <w:sz w:val="24"/>
          <w:szCs w:val="24"/>
        </w:rPr>
        <w:t xml:space="preserve">assurait </w:t>
      </w:r>
      <w:r w:rsidRPr="002462E6">
        <w:rPr>
          <w:rFonts w:ascii="Tahoma" w:eastAsia="Times New Roman" w:hAnsi="Tahoma" w:cs="Tahoma"/>
          <w:sz w:val="24"/>
          <w:szCs w:val="24"/>
        </w:rPr>
        <w:lastRenderedPageBreak/>
        <w:t>l’administration</w:t>
      </w:r>
      <w:r w:rsidRPr="002462E6">
        <w:rPr>
          <w:rFonts w:ascii="Tahoma" w:eastAsia="Times New Roman" w:hAnsi="Tahoma" w:cs="Tahoma"/>
          <w:spacing w:val="-6"/>
          <w:sz w:val="24"/>
          <w:szCs w:val="24"/>
        </w:rPr>
        <w:t xml:space="preserve"> </w:t>
      </w:r>
      <w:r w:rsidRPr="002462E6">
        <w:rPr>
          <w:rFonts w:ascii="Tahoma" w:eastAsia="Times New Roman" w:hAnsi="Tahoma" w:cs="Tahoma"/>
          <w:sz w:val="24"/>
          <w:szCs w:val="24"/>
        </w:rPr>
        <w:t>du</w:t>
      </w:r>
      <w:r w:rsidRPr="002462E6">
        <w:rPr>
          <w:rFonts w:ascii="Tahoma" w:eastAsia="Times New Roman" w:hAnsi="Tahoma" w:cs="Tahoma"/>
          <w:spacing w:val="-58"/>
          <w:sz w:val="24"/>
          <w:szCs w:val="24"/>
        </w:rPr>
        <w:t xml:space="preserve"> </w:t>
      </w:r>
      <w:r w:rsidRPr="002462E6">
        <w:rPr>
          <w:rFonts w:ascii="Tahoma" w:eastAsia="Times New Roman" w:hAnsi="Tahoma" w:cs="Tahoma"/>
          <w:sz w:val="24"/>
          <w:szCs w:val="24"/>
        </w:rPr>
        <w:t>territoire sous le protectorat français dans le cadre de l’établissement de la</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nouvelle</w:t>
      </w:r>
      <w:r w:rsidRPr="002462E6">
        <w:rPr>
          <w:rFonts w:ascii="Tahoma" w:eastAsia="Times New Roman" w:hAnsi="Tahoma" w:cs="Tahoma"/>
          <w:spacing w:val="-8"/>
          <w:sz w:val="24"/>
          <w:szCs w:val="24"/>
        </w:rPr>
        <w:t xml:space="preserve"> </w:t>
      </w:r>
      <w:r w:rsidRPr="002462E6">
        <w:rPr>
          <w:rFonts w:ascii="Tahoma" w:eastAsia="Times New Roman" w:hAnsi="Tahoma" w:cs="Tahoma"/>
          <w:sz w:val="24"/>
          <w:szCs w:val="24"/>
        </w:rPr>
        <w:t>politique</w:t>
      </w:r>
      <w:r w:rsidRPr="002462E6">
        <w:rPr>
          <w:rFonts w:ascii="Tahoma" w:eastAsia="Times New Roman" w:hAnsi="Tahoma" w:cs="Tahoma"/>
          <w:spacing w:val="-7"/>
          <w:sz w:val="24"/>
          <w:szCs w:val="24"/>
        </w:rPr>
        <w:t xml:space="preserve"> </w:t>
      </w:r>
      <w:r w:rsidRPr="002462E6">
        <w:rPr>
          <w:rFonts w:ascii="Tahoma" w:eastAsia="Times New Roman" w:hAnsi="Tahoma" w:cs="Tahoma"/>
          <w:sz w:val="24"/>
          <w:szCs w:val="24"/>
        </w:rPr>
        <w:t>dite</w:t>
      </w:r>
      <w:r w:rsidRPr="002462E6">
        <w:rPr>
          <w:rFonts w:ascii="Tahoma" w:eastAsia="Times New Roman" w:hAnsi="Tahoma" w:cs="Tahoma"/>
          <w:spacing w:val="-7"/>
          <w:sz w:val="24"/>
          <w:szCs w:val="24"/>
        </w:rPr>
        <w:t xml:space="preserve"> </w:t>
      </w:r>
      <w:r w:rsidRPr="002462E6">
        <w:rPr>
          <w:rFonts w:ascii="Tahoma" w:eastAsia="Times New Roman" w:hAnsi="Tahoma" w:cs="Tahoma"/>
          <w:sz w:val="24"/>
          <w:szCs w:val="24"/>
        </w:rPr>
        <w:t>«</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politique</w:t>
      </w:r>
      <w:r w:rsidRPr="002462E6">
        <w:rPr>
          <w:rFonts w:ascii="Tahoma" w:eastAsia="Times New Roman" w:hAnsi="Tahoma" w:cs="Tahoma"/>
          <w:spacing w:val="-7"/>
          <w:sz w:val="24"/>
          <w:szCs w:val="24"/>
        </w:rPr>
        <w:t xml:space="preserve"> </w:t>
      </w:r>
      <w:r w:rsidRPr="002462E6">
        <w:rPr>
          <w:rFonts w:ascii="Tahoma" w:eastAsia="Times New Roman" w:hAnsi="Tahoma" w:cs="Tahoma"/>
          <w:sz w:val="24"/>
          <w:szCs w:val="24"/>
        </w:rPr>
        <w:t>des</w:t>
      </w:r>
      <w:r w:rsidRPr="002462E6">
        <w:rPr>
          <w:rFonts w:ascii="Tahoma" w:eastAsia="Times New Roman" w:hAnsi="Tahoma" w:cs="Tahoma"/>
          <w:spacing w:val="-8"/>
          <w:sz w:val="24"/>
          <w:szCs w:val="24"/>
        </w:rPr>
        <w:t xml:space="preserve"> </w:t>
      </w:r>
      <w:r w:rsidRPr="002462E6">
        <w:rPr>
          <w:rFonts w:ascii="Tahoma" w:eastAsia="Times New Roman" w:hAnsi="Tahoma" w:cs="Tahoma"/>
          <w:sz w:val="24"/>
          <w:szCs w:val="24"/>
        </w:rPr>
        <w:t>Caïds</w:t>
      </w:r>
      <w:r w:rsidRPr="002462E6">
        <w:rPr>
          <w:rFonts w:ascii="Tahoma" w:eastAsia="Times New Roman" w:hAnsi="Tahoma" w:cs="Tahoma"/>
          <w:spacing w:val="-6"/>
          <w:sz w:val="24"/>
          <w:szCs w:val="24"/>
        </w:rPr>
        <w:t xml:space="preserve"> </w:t>
      </w:r>
      <w:r w:rsidRPr="002462E6">
        <w:rPr>
          <w:rFonts w:ascii="Tahoma" w:eastAsia="Times New Roman" w:hAnsi="Tahoma" w:cs="Tahoma"/>
          <w:sz w:val="24"/>
          <w:szCs w:val="24"/>
        </w:rPr>
        <w:t>de</w:t>
      </w:r>
      <w:r w:rsidRPr="002462E6">
        <w:rPr>
          <w:rFonts w:ascii="Tahoma" w:eastAsia="Times New Roman" w:hAnsi="Tahoma" w:cs="Tahoma"/>
          <w:spacing w:val="-8"/>
          <w:sz w:val="24"/>
          <w:szCs w:val="24"/>
        </w:rPr>
        <w:t xml:space="preserve"> </w:t>
      </w:r>
      <w:r w:rsidRPr="002462E6">
        <w:rPr>
          <w:rFonts w:ascii="Tahoma" w:eastAsia="Times New Roman" w:hAnsi="Tahoma" w:cs="Tahoma"/>
          <w:sz w:val="24"/>
          <w:szCs w:val="24"/>
        </w:rPr>
        <w:t>tribus ».</w:t>
      </w:r>
    </w:p>
    <w:p w:rsidR="000A7532" w:rsidRPr="002462E6" w:rsidRDefault="000A7532" w:rsidP="000A7532">
      <w:pPr>
        <w:widowControl w:val="0"/>
        <w:autoSpaceDE w:val="0"/>
        <w:autoSpaceDN w:val="0"/>
        <w:spacing w:before="161" w:after="0" w:line="360" w:lineRule="auto"/>
        <w:ind w:right="4"/>
        <w:jc w:val="both"/>
        <w:rPr>
          <w:rFonts w:ascii="Tahoma" w:eastAsia="Times New Roman" w:hAnsi="Tahoma" w:cs="Tahoma"/>
          <w:sz w:val="24"/>
          <w:szCs w:val="24"/>
        </w:rPr>
      </w:pPr>
      <w:r w:rsidRPr="002462E6">
        <w:rPr>
          <w:rFonts w:ascii="Tahoma" w:eastAsia="Times New Roman" w:hAnsi="Tahoma" w:cs="Tahoma"/>
          <w:sz w:val="24"/>
          <w:szCs w:val="24"/>
        </w:rPr>
        <w:t xml:space="preserve">Le déclin de la </w:t>
      </w:r>
      <w:r w:rsidRPr="002462E6">
        <w:rPr>
          <w:rFonts w:ascii="Tahoma" w:eastAsia="Times New Roman" w:hAnsi="Tahoma" w:cs="Tahoma"/>
          <w:i/>
          <w:sz w:val="24"/>
          <w:szCs w:val="24"/>
        </w:rPr>
        <w:t xml:space="preserve">Jemaâ </w:t>
      </w:r>
      <w:r w:rsidRPr="002462E6">
        <w:rPr>
          <w:rFonts w:ascii="Tahoma" w:eastAsia="Times New Roman" w:hAnsi="Tahoma" w:cs="Tahoma"/>
          <w:sz w:val="24"/>
          <w:szCs w:val="24"/>
        </w:rPr>
        <w:t>a fait disparaître, d’une part, l’intérêt général des collectivités pour</w:t>
      </w:r>
      <w:r w:rsidRPr="002462E6">
        <w:rPr>
          <w:rFonts w:ascii="Tahoma" w:eastAsia="Times New Roman" w:hAnsi="Tahoma" w:cs="Tahoma"/>
          <w:spacing w:val="-57"/>
          <w:sz w:val="24"/>
          <w:szCs w:val="24"/>
        </w:rPr>
        <w:t xml:space="preserve"> </w:t>
      </w:r>
      <w:r w:rsidRPr="002462E6">
        <w:rPr>
          <w:rFonts w:ascii="Tahoma" w:eastAsia="Times New Roman" w:hAnsi="Tahoma" w:cs="Tahoma"/>
          <w:sz w:val="24"/>
          <w:szCs w:val="24"/>
        </w:rPr>
        <w:t>la conservation de leurs propres ressources naturelles notamment les forêts. D’autre</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part,</w:t>
      </w:r>
      <w:r w:rsidRPr="002462E6">
        <w:rPr>
          <w:rFonts w:ascii="Tahoma" w:eastAsia="Times New Roman" w:hAnsi="Tahoma" w:cs="Tahoma"/>
          <w:spacing w:val="-13"/>
          <w:sz w:val="24"/>
          <w:szCs w:val="24"/>
        </w:rPr>
        <w:t xml:space="preserve"> </w:t>
      </w:r>
      <w:r w:rsidRPr="002462E6">
        <w:rPr>
          <w:rFonts w:ascii="Tahoma" w:eastAsia="Times New Roman" w:hAnsi="Tahoma" w:cs="Tahoma"/>
          <w:sz w:val="24"/>
          <w:szCs w:val="24"/>
        </w:rPr>
        <w:t>les</w:t>
      </w:r>
      <w:r w:rsidRPr="002462E6">
        <w:rPr>
          <w:rFonts w:ascii="Tahoma" w:eastAsia="Times New Roman" w:hAnsi="Tahoma" w:cs="Tahoma"/>
          <w:spacing w:val="-13"/>
          <w:sz w:val="24"/>
          <w:szCs w:val="24"/>
        </w:rPr>
        <w:t xml:space="preserve"> </w:t>
      </w:r>
      <w:r w:rsidRPr="002462E6">
        <w:rPr>
          <w:rFonts w:ascii="Tahoma" w:eastAsia="Times New Roman" w:hAnsi="Tahoma" w:cs="Tahoma"/>
          <w:sz w:val="24"/>
          <w:szCs w:val="24"/>
        </w:rPr>
        <w:t>liens</w:t>
      </w:r>
      <w:r w:rsidRPr="002462E6">
        <w:rPr>
          <w:rFonts w:ascii="Tahoma" w:eastAsia="Times New Roman" w:hAnsi="Tahoma" w:cs="Tahoma"/>
          <w:spacing w:val="-12"/>
          <w:sz w:val="24"/>
          <w:szCs w:val="24"/>
        </w:rPr>
        <w:t xml:space="preserve"> </w:t>
      </w:r>
      <w:r w:rsidRPr="002462E6">
        <w:rPr>
          <w:rFonts w:ascii="Tahoma" w:eastAsia="Times New Roman" w:hAnsi="Tahoma" w:cs="Tahoma"/>
          <w:sz w:val="24"/>
          <w:szCs w:val="24"/>
        </w:rPr>
        <w:t>entre</w:t>
      </w:r>
      <w:r w:rsidRPr="002462E6">
        <w:rPr>
          <w:rFonts w:ascii="Tahoma" w:eastAsia="Times New Roman" w:hAnsi="Tahoma" w:cs="Tahoma"/>
          <w:spacing w:val="-12"/>
          <w:sz w:val="24"/>
          <w:szCs w:val="24"/>
        </w:rPr>
        <w:t xml:space="preserve"> </w:t>
      </w:r>
      <w:r w:rsidRPr="002462E6">
        <w:rPr>
          <w:rFonts w:ascii="Tahoma" w:eastAsia="Times New Roman" w:hAnsi="Tahoma" w:cs="Tahoma"/>
          <w:sz w:val="24"/>
          <w:szCs w:val="24"/>
        </w:rPr>
        <w:t>les</w:t>
      </w:r>
      <w:r w:rsidRPr="002462E6">
        <w:rPr>
          <w:rFonts w:ascii="Tahoma" w:eastAsia="Times New Roman" w:hAnsi="Tahoma" w:cs="Tahoma"/>
          <w:spacing w:val="-11"/>
          <w:sz w:val="24"/>
          <w:szCs w:val="24"/>
        </w:rPr>
        <w:t xml:space="preserve"> </w:t>
      </w:r>
      <w:r w:rsidRPr="002462E6">
        <w:rPr>
          <w:rFonts w:ascii="Tahoma" w:eastAsia="Times New Roman" w:hAnsi="Tahoma" w:cs="Tahoma"/>
          <w:sz w:val="24"/>
          <w:szCs w:val="24"/>
        </w:rPr>
        <w:t>membres</w:t>
      </w:r>
      <w:r w:rsidRPr="002462E6">
        <w:rPr>
          <w:rFonts w:ascii="Tahoma" w:eastAsia="Times New Roman" w:hAnsi="Tahoma" w:cs="Tahoma"/>
          <w:spacing w:val="-12"/>
          <w:sz w:val="24"/>
          <w:szCs w:val="24"/>
        </w:rPr>
        <w:t xml:space="preserve"> </w:t>
      </w:r>
      <w:r w:rsidRPr="002462E6">
        <w:rPr>
          <w:rFonts w:ascii="Tahoma" w:eastAsia="Times New Roman" w:hAnsi="Tahoma" w:cs="Tahoma"/>
          <w:sz w:val="24"/>
          <w:szCs w:val="24"/>
        </w:rPr>
        <w:t>de</w:t>
      </w:r>
      <w:r w:rsidRPr="002462E6">
        <w:rPr>
          <w:rFonts w:ascii="Tahoma" w:eastAsia="Times New Roman" w:hAnsi="Tahoma" w:cs="Tahoma"/>
          <w:spacing w:val="-12"/>
          <w:sz w:val="24"/>
          <w:szCs w:val="24"/>
        </w:rPr>
        <w:t xml:space="preserve"> </w:t>
      </w:r>
      <w:r w:rsidRPr="002462E6">
        <w:rPr>
          <w:rFonts w:ascii="Tahoma" w:eastAsia="Times New Roman" w:hAnsi="Tahoma" w:cs="Tahoma"/>
          <w:sz w:val="24"/>
          <w:szCs w:val="24"/>
        </w:rPr>
        <w:t>la</w:t>
      </w:r>
      <w:r w:rsidRPr="002462E6">
        <w:rPr>
          <w:rFonts w:ascii="Tahoma" w:eastAsia="Times New Roman" w:hAnsi="Tahoma" w:cs="Tahoma"/>
          <w:spacing w:val="-12"/>
          <w:sz w:val="24"/>
          <w:szCs w:val="24"/>
        </w:rPr>
        <w:t xml:space="preserve"> </w:t>
      </w:r>
      <w:r w:rsidRPr="002462E6">
        <w:rPr>
          <w:rFonts w:ascii="Tahoma" w:eastAsia="Times New Roman" w:hAnsi="Tahoma" w:cs="Tahoma"/>
          <w:sz w:val="24"/>
          <w:szCs w:val="24"/>
        </w:rPr>
        <w:t>tribu</w:t>
      </w:r>
      <w:r w:rsidRPr="002462E6">
        <w:rPr>
          <w:rFonts w:ascii="Tahoma" w:eastAsia="Times New Roman" w:hAnsi="Tahoma" w:cs="Tahoma"/>
          <w:spacing w:val="-13"/>
          <w:sz w:val="24"/>
          <w:szCs w:val="24"/>
        </w:rPr>
        <w:t xml:space="preserve"> </w:t>
      </w:r>
      <w:r w:rsidRPr="002462E6">
        <w:rPr>
          <w:rFonts w:ascii="Tahoma" w:eastAsia="Times New Roman" w:hAnsi="Tahoma" w:cs="Tahoma"/>
          <w:sz w:val="24"/>
          <w:szCs w:val="24"/>
        </w:rPr>
        <w:t>ainsi</w:t>
      </w:r>
      <w:r w:rsidRPr="002462E6">
        <w:rPr>
          <w:rFonts w:ascii="Tahoma" w:eastAsia="Times New Roman" w:hAnsi="Tahoma" w:cs="Tahoma"/>
          <w:spacing w:val="-12"/>
          <w:sz w:val="24"/>
          <w:szCs w:val="24"/>
        </w:rPr>
        <w:t xml:space="preserve"> </w:t>
      </w:r>
      <w:r w:rsidRPr="002462E6">
        <w:rPr>
          <w:rFonts w:ascii="Tahoma" w:eastAsia="Times New Roman" w:hAnsi="Tahoma" w:cs="Tahoma"/>
          <w:sz w:val="24"/>
          <w:szCs w:val="24"/>
        </w:rPr>
        <w:t>que</w:t>
      </w:r>
      <w:r w:rsidRPr="002462E6">
        <w:rPr>
          <w:rFonts w:ascii="Tahoma" w:eastAsia="Times New Roman" w:hAnsi="Tahoma" w:cs="Tahoma"/>
          <w:spacing w:val="-12"/>
          <w:sz w:val="24"/>
          <w:szCs w:val="24"/>
        </w:rPr>
        <w:t xml:space="preserve"> </w:t>
      </w:r>
      <w:r w:rsidRPr="002462E6">
        <w:rPr>
          <w:rFonts w:ascii="Tahoma" w:eastAsia="Times New Roman" w:hAnsi="Tahoma" w:cs="Tahoma"/>
          <w:sz w:val="24"/>
          <w:szCs w:val="24"/>
        </w:rPr>
        <w:t>le</w:t>
      </w:r>
      <w:r w:rsidRPr="002462E6">
        <w:rPr>
          <w:rFonts w:ascii="Tahoma" w:eastAsia="Times New Roman" w:hAnsi="Tahoma" w:cs="Tahoma"/>
          <w:spacing w:val="-12"/>
          <w:sz w:val="24"/>
          <w:szCs w:val="24"/>
        </w:rPr>
        <w:t xml:space="preserve"> </w:t>
      </w:r>
      <w:r w:rsidRPr="002462E6">
        <w:rPr>
          <w:rFonts w:ascii="Tahoma" w:eastAsia="Times New Roman" w:hAnsi="Tahoma" w:cs="Tahoma"/>
          <w:sz w:val="24"/>
          <w:szCs w:val="24"/>
        </w:rPr>
        <w:t>niveau</w:t>
      </w:r>
      <w:r w:rsidRPr="002462E6">
        <w:rPr>
          <w:rFonts w:ascii="Tahoma" w:eastAsia="Times New Roman" w:hAnsi="Tahoma" w:cs="Tahoma"/>
          <w:spacing w:val="-13"/>
          <w:sz w:val="24"/>
          <w:szCs w:val="24"/>
        </w:rPr>
        <w:t xml:space="preserve"> </w:t>
      </w:r>
      <w:r w:rsidRPr="002462E6">
        <w:rPr>
          <w:rFonts w:ascii="Tahoma" w:eastAsia="Times New Roman" w:hAnsi="Tahoma" w:cs="Tahoma"/>
          <w:sz w:val="24"/>
          <w:szCs w:val="24"/>
        </w:rPr>
        <w:t>du</w:t>
      </w:r>
      <w:r w:rsidRPr="002462E6">
        <w:rPr>
          <w:rFonts w:ascii="Tahoma" w:eastAsia="Times New Roman" w:hAnsi="Tahoma" w:cs="Tahoma"/>
          <w:spacing w:val="-12"/>
          <w:sz w:val="24"/>
          <w:szCs w:val="24"/>
        </w:rPr>
        <w:t xml:space="preserve"> </w:t>
      </w:r>
      <w:r w:rsidRPr="002462E6">
        <w:rPr>
          <w:rFonts w:ascii="Tahoma" w:eastAsia="Times New Roman" w:hAnsi="Tahoma" w:cs="Tahoma"/>
          <w:sz w:val="24"/>
          <w:szCs w:val="24"/>
        </w:rPr>
        <w:t>capital</w:t>
      </w:r>
      <w:r w:rsidRPr="002462E6">
        <w:rPr>
          <w:rFonts w:ascii="Tahoma" w:eastAsia="Times New Roman" w:hAnsi="Tahoma" w:cs="Tahoma"/>
          <w:spacing w:val="-13"/>
          <w:sz w:val="24"/>
          <w:szCs w:val="24"/>
        </w:rPr>
        <w:t xml:space="preserve"> </w:t>
      </w:r>
      <w:r w:rsidRPr="002462E6">
        <w:rPr>
          <w:rFonts w:ascii="Tahoma" w:eastAsia="Times New Roman" w:hAnsi="Tahoma" w:cs="Tahoma"/>
          <w:sz w:val="24"/>
          <w:szCs w:val="24"/>
        </w:rPr>
        <w:t>social</w:t>
      </w:r>
      <w:r w:rsidRPr="002462E6">
        <w:rPr>
          <w:rFonts w:ascii="Tahoma" w:eastAsia="Times New Roman" w:hAnsi="Tahoma" w:cs="Tahoma"/>
          <w:spacing w:val="-12"/>
          <w:sz w:val="24"/>
          <w:szCs w:val="24"/>
        </w:rPr>
        <w:t xml:space="preserve"> </w:t>
      </w:r>
      <w:r w:rsidRPr="002462E6">
        <w:rPr>
          <w:rFonts w:ascii="Tahoma" w:eastAsia="Times New Roman" w:hAnsi="Tahoma" w:cs="Tahoma"/>
          <w:sz w:val="24"/>
          <w:szCs w:val="24"/>
        </w:rPr>
        <w:t>ont</w:t>
      </w:r>
      <w:r w:rsidRPr="002462E6">
        <w:rPr>
          <w:rFonts w:ascii="Tahoma" w:eastAsia="Times New Roman" w:hAnsi="Tahoma" w:cs="Tahoma"/>
          <w:spacing w:val="-12"/>
          <w:sz w:val="24"/>
          <w:szCs w:val="24"/>
        </w:rPr>
        <w:t xml:space="preserve"> </w:t>
      </w:r>
      <w:r w:rsidRPr="002462E6">
        <w:rPr>
          <w:rFonts w:ascii="Tahoma" w:eastAsia="Times New Roman" w:hAnsi="Tahoma" w:cs="Tahoma"/>
          <w:sz w:val="24"/>
          <w:szCs w:val="24"/>
        </w:rPr>
        <w:t>progressivement diminué en l’absence d’une structure sociale assurant le rapprochement, l’encadrement et le</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dialogue</w:t>
      </w:r>
      <w:r w:rsidRPr="002462E6">
        <w:rPr>
          <w:rFonts w:ascii="Tahoma" w:eastAsia="Times New Roman" w:hAnsi="Tahoma" w:cs="Tahoma"/>
          <w:sz w:val="24"/>
          <w:szCs w:val="24"/>
          <w:vertAlign w:val="superscript"/>
        </w:rPr>
        <w:footnoteReference w:id="146"/>
      </w:r>
      <w:r w:rsidRPr="002462E6">
        <w:rPr>
          <w:rFonts w:ascii="Tahoma" w:eastAsia="Times New Roman" w:hAnsi="Tahoma" w:cs="Tahoma"/>
          <w:sz w:val="24"/>
          <w:szCs w:val="24"/>
        </w:rPr>
        <w:t>. Cette nouvelle tendance a favorisé l’installation d’une véritable tragédie (des communs)</w:t>
      </w:r>
      <w:r w:rsidRPr="002462E6">
        <w:rPr>
          <w:rFonts w:ascii="Tahoma" w:eastAsia="Times New Roman" w:hAnsi="Tahoma" w:cs="Tahoma"/>
          <w:spacing w:val="-57"/>
          <w:sz w:val="24"/>
          <w:szCs w:val="24"/>
        </w:rPr>
        <w:t xml:space="preserve"> </w:t>
      </w:r>
      <w:r w:rsidRPr="002462E6">
        <w:rPr>
          <w:rFonts w:ascii="Tahoma" w:eastAsia="Times New Roman" w:hAnsi="Tahoma" w:cs="Tahoma"/>
          <w:sz w:val="24"/>
          <w:szCs w:val="24"/>
        </w:rPr>
        <w:t>au sens de HARDIN dans la mesure où chaque individu a intérêt à exploiter et même à surexploiter</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ce qui n’appartient à personne. En effet, les populations mènent leurs activités pastorales et/ou</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sylvicoles</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suivant</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une</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logique</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de</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profit</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à</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court</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terme</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et</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dans le non-respect des principes coutumiers de leur communauté d’appartenance.</w:t>
      </w:r>
    </w:p>
    <w:p w:rsidR="000A7532" w:rsidRPr="002462E6" w:rsidRDefault="000A7532" w:rsidP="000A7532">
      <w:pPr>
        <w:widowControl w:val="0"/>
        <w:autoSpaceDE w:val="0"/>
        <w:autoSpaceDN w:val="0"/>
        <w:spacing w:before="160" w:after="0" w:line="360" w:lineRule="auto"/>
        <w:ind w:right="4"/>
        <w:jc w:val="both"/>
        <w:rPr>
          <w:rFonts w:ascii="Tahoma" w:eastAsia="Times New Roman" w:hAnsi="Tahoma" w:cs="Tahoma"/>
          <w:sz w:val="24"/>
          <w:szCs w:val="24"/>
        </w:rPr>
      </w:pPr>
      <w:r w:rsidRPr="002462E6">
        <w:rPr>
          <w:rFonts w:ascii="Tahoma" w:eastAsia="Times New Roman" w:hAnsi="Tahoma" w:cs="Tahoma"/>
          <w:sz w:val="24"/>
          <w:szCs w:val="24"/>
        </w:rPr>
        <w:t xml:space="preserve">En bref, la domanialité et l’affaiblissement du rôle de la </w:t>
      </w:r>
      <w:r w:rsidRPr="002462E6">
        <w:rPr>
          <w:rFonts w:ascii="Tahoma" w:eastAsia="Times New Roman" w:hAnsi="Tahoma" w:cs="Tahoma"/>
          <w:i/>
          <w:sz w:val="24"/>
          <w:szCs w:val="24"/>
        </w:rPr>
        <w:t xml:space="preserve">Jemaâ </w:t>
      </w:r>
      <w:r w:rsidRPr="002462E6">
        <w:rPr>
          <w:rFonts w:ascii="Tahoma" w:eastAsia="Times New Roman" w:hAnsi="Tahoma" w:cs="Tahoma"/>
          <w:sz w:val="24"/>
          <w:szCs w:val="24"/>
        </w:rPr>
        <w:t>ont cependant instauré graduellement</w:t>
      </w:r>
      <w:r w:rsidRPr="002462E6">
        <w:rPr>
          <w:rFonts w:ascii="Tahoma" w:eastAsia="Times New Roman" w:hAnsi="Tahoma" w:cs="Tahoma"/>
          <w:spacing w:val="-58"/>
          <w:sz w:val="24"/>
          <w:szCs w:val="24"/>
        </w:rPr>
        <w:t xml:space="preserve"> </w:t>
      </w:r>
      <w:r w:rsidRPr="002462E6">
        <w:rPr>
          <w:rFonts w:ascii="Tahoma" w:eastAsia="Times New Roman" w:hAnsi="Tahoma" w:cs="Tahoma"/>
          <w:sz w:val="24"/>
          <w:szCs w:val="24"/>
        </w:rPr>
        <w:t>des</w:t>
      </w:r>
      <w:r w:rsidRPr="002462E6">
        <w:rPr>
          <w:rFonts w:ascii="Tahoma" w:eastAsia="Times New Roman" w:hAnsi="Tahoma" w:cs="Tahoma"/>
          <w:spacing w:val="-13"/>
          <w:sz w:val="24"/>
          <w:szCs w:val="24"/>
        </w:rPr>
        <w:t xml:space="preserve"> </w:t>
      </w:r>
      <w:r w:rsidRPr="002462E6">
        <w:rPr>
          <w:rFonts w:ascii="Tahoma" w:eastAsia="Times New Roman" w:hAnsi="Tahoma" w:cs="Tahoma"/>
          <w:sz w:val="24"/>
          <w:szCs w:val="24"/>
        </w:rPr>
        <w:t>sentiments</w:t>
      </w:r>
      <w:r w:rsidRPr="002462E6">
        <w:rPr>
          <w:rFonts w:ascii="Tahoma" w:eastAsia="Times New Roman" w:hAnsi="Tahoma" w:cs="Tahoma"/>
          <w:spacing w:val="-12"/>
          <w:sz w:val="24"/>
          <w:szCs w:val="24"/>
        </w:rPr>
        <w:t xml:space="preserve"> </w:t>
      </w:r>
      <w:r w:rsidRPr="002462E6">
        <w:rPr>
          <w:rFonts w:ascii="Tahoma" w:eastAsia="Times New Roman" w:hAnsi="Tahoma" w:cs="Tahoma"/>
          <w:sz w:val="24"/>
          <w:szCs w:val="24"/>
        </w:rPr>
        <w:t>d’égoïsme</w:t>
      </w:r>
      <w:r w:rsidRPr="002462E6">
        <w:rPr>
          <w:rFonts w:ascii="Tahoma" w:eastAsia="Times New Roman" w:hAnsi="Tahoma" w:cs="Tahoma"/>
          <w:spacing w:val="-12"/>
          <w:sz w:val="24"/>
          <w:szCs w:val="24"/>
        </w:rPr>
        <w:t xml:space="preserve"> </w:t>
      </w:r>
      <w:r w:rsidRPr="002462E6">
        <w:rPr>
          <w:rFonts w:ascii="Tahoma" w:eastAsia="Times New Roman" w:hAnsi="Tahoma" w:cs="Tahoma"/>
          <w:sz w:val="24"/>
          <w:szCs w:val="24"/>
        </w:rPr>
        <w:t>et</w:t>
      </w:r>
      <w:r w:rsidRPr="002462E6">
        <w:rPr>
          <w:rFonts w:ascii="Tahoma" w:eastAsia="Times New Roman" w:hAnsi="Tahoma" w:cs="Tahoma"/>
          <w:spacing w:val="-11"/>
          <w:sz w:val="24"/>
          <w:szCs w:val="24"/>
        </w:rPr>
        <w:t xml:space="preserve"> </w:t>
      </w:r>
      <w:r w:rsidRPr="002462E6">
        <w:rPr>
          <w:rFonts w:ascii="Tahoma" w:eastAsia="Times New Roman" w:hAnsi="Tahoma" w:cs="Tahoma"/>
          <w:sz w:val="24"/>
          <w:szCs w:val="24"/>
        </w:rPr>
        <w:t>d’intérêt</w:t>
      </w:r>
      <w:r w:rsidRPr="002462E6">
        <w:rPr>
          <w:rFonts w:ascii="Tahoma" w:eastAsia="Times New Roman" w:hAnsi="Tahoma" w:cs="Tahoma"/>
          <w:spacing w:val="-13"/>
          <w:sz w:val="24"/>
          <w:szCs w:val="24"/>
        </w:rPr>
        <w:t xml:space="preserve"> </w:t>
      </w:r>
      <w:r w:rsidRPr="002462E6">
        <w:rPr>
          <w:rFonts w:ascii="Tahoma" w:eastAsia="Times New Roman" w:hAnsi="Tahoma" w:cs="Tahoma"/>
          <w:sz w:val="24"/>
          <w:szCs w:val="24"/>
        </w:rPr>
        <w:t>personnel,</w:t>
      </w:r>
      <w:r w:rsidRPr="002462E6">
        <w:rPr>
          <w:rFonts w:ascii="Tahoma" w:eastAsia="Times New Roman" w:hAnsi="Tahoma" w:cs="Tahoma"/>
          <w:spacing w:val="-12"/>
          <w:sz w:val="24"/>
          <w:szCs w:val="24"/>
        </w:rPr>
        <w:t xml:space="preserve"> </w:t>
      </w:r>
      <w:r w:rsidRPr="002462E6">
        <w:rPr>
          <w:rFonts w:ascii="Tahoma" w:eastAsia="Times New Roman" w:hAnsi="Tahoma" w:cs="Tahoma"/>
          <w:sz w:val="24"/>
          <w:szCs w:val="24"/>
        </w:rPr>
        <w:t>exacerbés</w:t>
      </w:r>
      <w:r w:rsidRPr="002462E6">
        <w:rPr>
          <w:rFonts w:ascii="Tahoma" w:eastAsia="Times New Roman" w:hAnsi="Tahoma" w:cs="Tahoma"/>
          <w:spacing w:val="-12"/>
          <w:sz w:val="24"/>
          <w:szCs w:val="24"/>
        </w:rPr>
        <w:t xml:space="preserve"> </w:t>
      </w:r>
      <w:r w:rsidRPr="002462E6">
        <w:rPr>
          <w:rFonts w:ascii="Tahoma" w:eastAsia="Times New Roman" w:hAnsi="Tahoma" w:cs="Tahoma"/>
          <w:sz w:val="24"/>
          <w:szCs w:val="24"/>
        </w:rPr>
        <w:t>par</w:t>
      </w:r>
      <w:r w:rsidRPr="002462E6">
        <w:rPr>
          <w:rFonts w:ascii="Tahoma" w:eastAsia="Times New Roman" w:hAnsi="Tahoma" w:cs="Tahoma"/>
          <w:spacing w:val="-13"/>
          <w:sz w:val="24"/>
          <w:szCs w:val="24"/>
        </w:rPr>
        <w:t xml:space="preserve"> </w:t>
      </w:r>
      <w:r w:rsidRPr="002462E6">
        <w:rPr>
          <w:rFonts w:ascii="Tahoma" w:eastAsia="Times New Roman" w:hAnsi="Tahoma" w:cs="Tahoma"/>
          <w:sz w:val="24"/>
          <w:szCs w:val="24"/>
        </w:rPr>
        <w:t>des</w:t>
      </w:r>
      <w:r w:rsidRPr="002462E6">
        <w:rPr>
          <w:rFonts w:ascii="Tahoma" w:eastAsia="Times New Roman" w:hAnsi="Tahoma" w:cs="Tahoma"/>
          <w:spacing w:val="-13"/>
          <w:sz w:val="24"/>
          <w:szCs w:val="24"/>
        </w:rPr>
        <w:t xml:space="preserve"> </w:t>
      </w:r>
      <w:r w:rsidRPr="002462E6">
        <w:rPr>
          <w:rFonts w:ascii="Tahoma" w:eastAsia="Times New Roman" w:hAnsi="Tahoma" w:cs="Tahoma"/>
          <w:sz w:val="24"/>
          <w:szCs w:val="24"/>
        </w:rPr>
        <w:t>logiques</w:t>
      </w:r>
      <w:r w:rsidRPr="002462E6">
        <w:rPr>
          <w:rFonts w:ascii="Tahoma" w:eastAsia="Times New Roman" w:hAnsi="Tahoma" w:cs="Tahoma"/>
          <w:spacing w:val="-11"/>
          <w:sz w:val="24"/>
          <w:szCs w:val="24"/>
        </w:rPr>
        <w:t xml:space="preserve"> </w:t>
      </w:r>
      <w:r w:rsidRPr="002462E6">
        <w:rPr>
          <w:rFonts w:ascii="Tahoma" w:eastAsia="Times New Roman" w:hAnsi="Tahoma" w:cs="Tahoma"/>
          <w:sz w:val="24"/>
          <w:szCs w:val="24"/>
        </w:rPr>
        <w:t>marchandes</w:t>
      </w:r>
      <w:r w:rsidRPr="002462E6">
        <w:rPr>
          <w:rFonts w:ascii="Tahoma" w:eastAsia="Times New Roman" w:hAnsi="Tahoma" w:cs="Tahoma"/>
          <w:spacing w:val="-12"/>
          <w:sz w:val="24"/>
          <w:szCs w:val="24"/>
        </w:rPr>
        <w:t xml:space="preserve"> </w:t>
      </w:r>
      <w:r w:rsidRPr="002462E6">
        <w:rPr>
          <w:rFonts w:ascii="Tahoma" w:eastAsia="Times New Roman" w:hAnsi="Tahoma" w:cs="Tahoma"/>
          <w:sz w:val="24"/>
          <w:szCs w:val="24"/>
        </w:rPr>
        <w:t>qui</w:t>
      </w:r>
      <w:r w:rsidRPr="002462E6">
        <w:rPr>
          <w:rFonts w:ascii="Tahoma" w:eastAsia="Times New Roman" w:hAnsi="Tahoma" w:cs="Tahoma"/>
          <w:spacing w:val="-12"/>
          <w:sz w:val="24"/>
          <w:szCs w:val="24"/>
        </w:rPr>
        <w:t xml:space="preserve"> </w:t>
      </w:r>
      <w:r w:rsidRPr="002462E6">
        <w:rPr>
          <w:rFonts w:ascii="Tahoma" w:eastAsia="Times New Roman" w:hAnsi="Tahoma" w:cs="Tahoma"/>
          <w:sz w:val="24"/>
          <w:szCs w:val="24"/>
        </w:rPr>
        <w:t>se</w:t>
      </w:r>
      <w:r w:rsidRPr="002462E6">
        <w:rPr>
          <w:rFonts w:ascii="Tahoma" w:eastAsia="Times New Roman" w:hAnsi="Tahoma" w:cs="Tahoma"/>
          <w:spacing w:val="-12"/>
          <w:sz w:val="24"/>
          <w:szCs w:val="24"/>
        </w:rPr>
        <w:t xml:space="preserve"> </w:t>
      </w:r>
      <w:r w:rsidRPr="002462E6">
        <w:rPr>
          <w:rFonts w:ascii="Tahoma" w:eastAsia="Times New Roman" w:hAnsi="Tahoma" w:cs="Tahoma"/>
          <w:sz w:val="24"/>
          <w:szCs w:val="24"/>
        </w:rPr>
        <w:t>sont</w:t>
      </w:r>
      <w:r w:rsidRPr="002462E6">
        <w:rPr>
          <w:rFonts w:ascii="Tahoma" w:eastAsia="Times New Roman" w:hAnsi="Tahoma" w:cs="Tahoma"/>
          <w:spacing w:val="-58"/>
          <w:sz w:val="24"/>
          <w:szCs w:val="24"/>
        </w:rPr>
        <w:t xml:space="preserve"> </w:t>
      </w:r>
      <w:r w:rsidRPr="002462E6">
        <w:rPr>
          <w:rFonts w:ascii="Tahoma" w:eastAsia="Times New Roman" w:hAnsi="Tahoma" w:cs="Tahoma"/>
          <w:sz w:val="24"/>
          <w:szCs w:val="24"/>
        </w:rPr>
        <w:t>installées provocant ainsi l’exclusion et le déclassement des pratiques de partage et de solidarité</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 xml:space="preserve">entre les ayants droit, tant pour les ressources naturelles qu’immatérielles. </w:t>
      </w:r>
    </w:p>
    <w:p w:rsidR="000A7532" w:rsidRPr="002462E6" w:rsidRDefault="000A7532" w:rsidP="000A7532">
      <w:pPr>
        <w:widowControl w:val="0"/>
        <w:autoSpaceDE w:val="0"/>
        <w:autoSpaceDN w:val="0"/>
        <w:spacing w:before="160" w:after="0" w:line="360" w:lineRule="auto"/>
        <w:ind w:right="4"/>
        <w:jc w:val="both"/>
        <w:rPr>
          <w:rFonts w:ascii="Tahoma" w:eastAsia="Times New Roman" w:hAnsi="Tahoma" w:cs="Tahoma"/>
          <w:sz w:val="24"/>
          <w:szCs w:val="24"/>
        </w:rPr>
      </w:pPr>
      <w:r w:rsidRPr="002462E6">
        <w:rPr>
          <w:rFonts w:ascii="Tahoma" w:eastAsia="Times New Roman" w:hAnsi="Tahoma" w:cs="Tahoma"/>
          <w:sz w:val="24"/>
          <w:szCs w:val="24"/>
        </w:rPr>
        <w:t>Cette transition a engendré l’éloignement des populations locales dans la prise de décision concernant l'utilisation des ressources naturelles, réduisant ainsi leur pouvoir et leur capacité d'action. Les ressources, qui étaient autrefois partagées et gérées collectivement, ont été peu à peu soustraites à la régulation communautaire, entraînant un sentiment de perte de contrôle.</w:t>
      </w:r>
    </w:p>
    <w:p w:rsidR="000A7532" w:rsidRPr="002462E6" w:rsidRDefault="000A7532" w:rsidP="000A7532">
      <w:pPr>
        <w:widowControl w:val="0"/>
        <w:autoSpaceDE w:val="0"/>
        <w:autoSpaceDN w:val="0"/>
        <w:spacing w:before="160" w:after="0" w:line="360" w:lineRule="auto"/>
        <w:ind w:right="4"/>
        <w:jc w:val="both"/>
        <w:rPr>
          <w:rFonts w:ascii="Tahoma" w:eastAsia="Times New Roman" w:hAnsi="Tahoma" w:cs="Tahoma"/>
          <w:sz w:val="24"/>
          <w:szCs w:val="24"/>
        </w:rPr>
      </w:pPr>
      <w:r w:rsidRPr="002462E6">
        <w:rPr>
          <w:rFonts w:ascii="Tahoma" w:eastAsia="Times New Roman" w:hAnsi="Tahoma" w:cs="Tahoma"/>
          <w:sz w:val="24"/>
          <w:szCs w:val="24"/>
        </w:rPr>
        <w:t xml:space="preserve">La </w:t>
      </w:r>
      <w:r w:rsidRPr="002462E6">
        <w:rPr>
          <w:rFonts w:ascii="Tahoma" w:eastAsia="Times New Roman" w:hAnsi="Tahoma" w:cs="Tahoma"/>
          <w:i/>
          <w:iCs/>
          <w:sz w:val="24"/>
          <w:szCs w:val="24"/>
        </w:rPr>
        <w:t>Jemaâ</w:t>
      </w:r>
      <w:r w:rsidRPr="002462E6">
        <w:rPr>
          <w:rFonts w:ascii="Tahoma" w:eastAsia="Times New Roman" w:hAnsi="Tahoma" w:cs="Tahoma"/>
          <w:sz w:val="24"/>
          <w:szCs w:val="24"/>
        </w:rPr>
        <w:t xml:space="preserve">, en tant qu'instance de gestion locale, jouait un rôle crucial dans la régulation des conflits et la gestion des ressources communes. Avec l'affaiblissement de cette institution, les mécanismes de solidarité et d’entraide qui prévalaient dans les communautés rurales ont commencé à se décomposer. Quant aux décisions administratives prises par les entités centralisées, elles ne tenaient pas compte souvent </w:t>
      </w:r>
      <w:r w:rsidRPr="002462E6">
        <w:rPr>
          <w:rFonts w:ascii="Tahoma" w:eastAsia="Times New Roman" w:hAnsi="Tahoma" w:cs="Tahoma"/>
          <w:sz w:val="24"/>
          <w:szCs w:val="24"/>
        </w:rPr>
        <w:lastRenderedPageBreak/>
        <w:t>des réalités locales, ce qui engendrait un sentiment d'aliénation parmi les membres de la communauté.</w:t>
      </w:r>
    </w:p>
    <w:p w:rsidR="000A7532" w:rsidRPr="002462E6" w:rsidRDefault="000A7532" w:rsidP="000A7532">
      <w:pPr>
        <w:widowControl w:val="0"/>
        <w:autoSpaceDE w:val="0"/>
        <w:autoSpaceDN w:val="0"/>
        <w:spacing w:before="160" w:after="0" w:line="360" w:lineRule="auto"/>
        <w:ind w:right="4"/>
        <w:jc w:val="both"/>
        <w:rPr>
          <w:rFonts w:ascii="Tahoma" w:eastAsia="Times New Roman" w:hAnsi="Tahoma" w:cs="Tahoma"/>
          <w:sz w:val="24"/>
          <w:szCs w:val="24"/>
        </w:rPr>
      </w:pPr>
      <w:r w:rsidRPr="002462E6">
        <w:rPr>
          <w:rFonts w:ascii="Tahoma" w:eastAsia="Times New Roman" w:hAnsi="Tahoma" w:cs="Tahoma"/>
          <w:sz w:val="24"/>
          <w:szCs w:val="24"/>
        </w:rPr>
        <w:t>Dans un tel contexte,</w:t>
      </w:r>
      <w:r w:rsidRPr="002462E6">
        <w:rPr>
          <w:rFonts w:ascii="Times New Roman" w:eastAsia="Times New Roman" w:hAnsi="Times New Roman" w:cs="Times New Roman"/>
          <w:sz w:val="24"/>
          <w:szCs w:val="24"/>
        </w:rPr>
        <w:t xml:space="preserve"> </w:t>
      </w:r>
      <w:r w:rsidRPr="002462E6">
        <w:rPr>
          <w:rFonts w:ascii="Tahoma" w:eastAsia="Times New Roman" w:hAnsi="Tahoma" w:cs="Tahoma"/>
          <w:sz w:val="24"/>
          <w:szCs w:val="24"/>
        </w:rPr>
        <w:t>les pratiques de partage autrefois courantes s'amenuisent, et les relations interpersonnelles se transforment en transactions basées sur des intérêts économiques.</w:t>
      </w:r>
      <w:r w:rsidRPr="002462E6">
        <w:rPr>
          <w:rFonts w:ascii="Times New Roman" w:eastAsia="Times New Roman" w:hAnsi="Times New Roman" w:cs="Times New Roman"/>
          <w:sz w:val="24"/>
          <w:szCs w:val="24"/>
        </w:rPr>
        <w:t xml:space="preserve"> </w:t>
      </w:r>
      <w:r w:rsidRPr="002462E6">
        <w:rPr>
          <w:rFonts w:ascii="Tahoma" w:eastAsia="Times New Roman" w:hAnsi="Tahoma" w:cs="Tahoma"/>
          <w:sz w:val="24"/>
          <w:szCs w:val="24"/>
        </w:rPr>
        <w:t>Sur le terrain, une accentuation de prélèvements en forêt est constatée par le détournement des droits d’usage à des fins commerciales à travers la pratique des troupeaux en association, la vente de bois de chauffage, etc</w:t>
      </w:r>
      <w:r w:rsidRPr="002462E6">
        <w:rPr>
          <w:rFonts w:ascii="Tahoma" w:eastAsia="Times New Roman" w:hAnsi="Tahoma" w:cs="Tahoma"/>
          <w:sz w:val="24"/>
          <w:szCs w:val="24"/>
          <w:vertAlign w:val="superscript"/>
        </w:rPr>
        <w:footnoteReference w:id="147"/>
      </w:r>
      <w:r w:rsidRPr="002462E6">
        <w:rPr>
          <w:rFonts w:ascii="Tahoma" w:eastAsia="Times New Roman" w:hAnsi="Tahoma" w:cs="Tahoma"/>
          <w:sz w:val="24"/>
          <w:szCs w:val="24"/>
        </w:rPr>
        <w:t xml:space="preserve">. </w:t>
      </w:r>
    </w:p>
    <w:p w:rsidR="000A7532" w:rsidRPr="002462E6" w:rsidRDefault="000A7532" w:rsidP="000A7532">
      <w:pPr>
        <w:widowControl w:val="0"/>
        <w:autoSpaceDE w:val="0"/>
        <w:autoSpaceDN w:val="0"/>
        <w:spacing w:before="160" w:after="0" w:line="360" w:lineRule="auto"/>
        <w:ind w:right="4"/>
        <w:jc w:val="both"/>
        <w:rPr>
          <w:rFonts w:ascii="Tahoma" w:eastAsia="Times New Roman" w:hAnsi="Tahoma" w:cs="Tahoma"/>
          <w:sz w:val="24"/>
          <w:szCs w:val="24"/>
        </w:rPr>
      </w:pPr>
      <w:r w:rsidRPr="002462E6">
        <w:rPr>
          <w:rFonts w:ascii="Tahoma" w:eastAsia="Times New Roman" w:hAnsi="Tahoma" w:cs="Tahoma"/>
          <w:sz w:val="24"/>
          <w:szCs w:val="24"/>
        </w:rPr>
        <w:t>Par ailleurs, des réseaux</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organisés</w:t>
      </w:r>
      <w:r w:rsidRPr="002462E6">
        <w:rPr>
          <w:rFonts w:ascii="Tahoma" w:eastAsia="Times New Roman" w:hAnsi="Tahoma" w:cs="Tahoma"/>
          <w:spacing w:val="-7"/>
          <w:sz w:val="24"/>
          <w:szCs w:val="24"/>
        </w:rPr>
        <w:t xml:space="preserve"> </w:t>
      </w:r>
      <w:r w:rsidRPr="002462E6">
        <w:rPr>
          <w:rFonts w:ascii="Tahoma" w:eastAsia="Times New Roman" w:hAnsi="Tahoma" w:cs="Tahoma"/>
          <w:sz w:val="24"/>
          <w:szCs w:val="24"/>
        </w:rPr>
        <w:t>de</w:t>
      </w:r>
      <w:r w:rsidRPr="002462E6">
        <w:rPr>
          <w:rFonts w:ascii="Tahoma" w:eastAsia="Times New Roman" w:hAnsi="Tahoma" w:cs="Tahoma"/>
          <w:spacing w:val="-8"/>
          <w:sz w:val="24"/>
          <w:szCs w:val="24"/>
        </w:rPr>
        <w:t xml:space="preserve"> </w:t>
      </w:r>
      <w:r w:rsidRPr="002462E6">
        <w:rPr>
          <w:rFonts w:ascii="Tahoma" w:eastAsia="Times New Roman" w:hAnsi="Tahoma" w:cs="Tahoma"/>
          <w:sz w:val="24"/>
          <w:szCs w:val="24"/>
        </w:rPr>
        <w:t>coupe</w:t>
      </w:r>
      <w:r w:rsidRPr="002462E6">
        <w:rPr>
          <w:rFonts w:ascii="Tahoma" w:eastAsia="Times New Roman" w:hAnsi="Tahoma" w:cs="Tahoma"/>
          <w:spacing w:val="-6"/>
          <w:sz w:val="24"/>
          <w:szCs w:val="24"/>
        </w:rPr>
        <w:t xml:space="preserve"> </w:t>
      </w:r>
      <w:r w:rsidRPr="002462E6">
        <w:rPr>
          <w:rFonts w:ascii="Tahoma" w:eastAsia="Times New Roman" w:hAnsi="Tahoma" w:cs="Tahoma"/>
          <w:sz w:val="24"/>
          <w:szCs w:val="24"/>
        </w:rPr>
        <w:t>et</w:t>
      </w:r>
      <w:r w:rsidRPr="002462E6">
        <w:rPr>
          <w:rFonts w:ascii="Tahoma" w:eastAsia="Times New Roman" w:hAnsi="Tahoma" w:cs="Tahoma"/>
          <w:spacing w:val="-7"/>
          <w:sz w:val="24"/>
          <w:szCs w:val="24"/>
        </w:rPr>
        <w:t xml:space="preserve"> </w:t>
      </w:r>
      <w:r w:rsidRPr="002462E6">
        <w:rPr>
          <w:rFonts w:ascii="Tahoma" w:eastAsia="Times New Roman" w:hAnsi="Tahoma" w:cs="Tahoma"/>
          <w:sz w:val="24"/>
          <w:szCs w:val="24"/>
        </w:rPr>
        <w:t>de</w:t>
      </w:r>
      <w:r w:rsidRPr="002462E6">
        <w:rPr>
          <w:rFonts w:ascii="Tahoma" w:eastAsia="Times New Roman" w:hAnsi="Tahoma" w:cs="Tahoma"/>
          <w:spacing w:val="-6"/>
          <w:sz w:val="24"/>
          <w:szCs w:val="24"/>
        </w:rPr>
        <w:t xml:space="preserve"> </w:t>
      </w:r>
      <w:r w:rsidRPr="002462E6">
        <w:rPr>
          <w:rFonts w:ascii="Tahoma" w:eastAsia="Times New Roman" w:hAnsi="Tahoma" w:cs="Tahoma"/>
          <w:sz w:val="24"/>
          <w:szCs w:val="24"/>
        </w:rPr>
        <w:t>commercialisation</w:t>
      </w:r>
      <w:r w:rsidRPr="002462E6">
        <w:rPr>
          <w:rFonts w:ascii="Tahoma" w:eastAsia="Times New Roman" w:hAnsi="Tahoma" w:cs="Tahoma"/>
          <w:spacing w:val="-7"/>
          <w:sz w:val="24"/>
          <w:szCs w:val="24"/>
        </w:rPr>
        <w:t xml:space="preserve"> </w:t>
      </w:r>
      <w:r w:rsidRPr="002462E6">
        <w:rPr>
          <w:rFonts w:ascii="Tahoma" w:eastAsia="Times New Roman" w:hAnsi="Tahoma" w:cs="Tahoma"/>
          <w:sz w:val="24"/>
          <w:szCs w:val="24"/>
        </w:rPr>
        <w:t>illicites</w:t>
      </w:r>
      <w:r w:rsidRPr="002462E6">
        <w:rPr>
          <w:rFonts w:ascii="Tahoma" w:eastAsia="Times New Roman" w:hAnsi="Tahoma" w:cs="Tahoma"/>
          <w:spacing w:val="-6"/>
          <w:sz w:val="24"/>
          <w:szCs w:val="24"/>
        </w:rPr>
        <w:t xml:space="preserve"> </w:t>
      </w:r>
      <w:r w:rsidRPr="002462E6">
        <w:rPr>
          <w:rFonts w:ascii="Tahoma" w:eastAsia="Times New Roman" w:hAnsi="Tahoma" w:cs="Tahoma"/>
          <w:sz w:val="24"/>
          <w:szCs w:val="24"/>
        </w:rPr>
        <w:t>se</w:t>
      </w:r>
      <w:r w:rsidRPr="002462E6">
        <w:rPr>
          <w:rFonts w:ascii="Tahoma" w:eastAsia="Times New Roman" w:hAnsi="Tahoma" w:cs="Tahoma"/>
          <w:spacing w:val="-7"/>
          <w:sz w:val="24"/>
          <w:szCs w:val="24"/>
        </w:rPr>
        <w:t xml:space="preserve"> </w:t>
      </w:r>
      <w:r w:rsidRPr="002462E6">
        <w:rPr>
          <w:rFonts w:ascii="Tahoma" w:eastAsia="Times New Roman" w:hAnsi="Tahoma" w:cs="Tahoma"/>
          <w:sz w:val="24"/>
          <w:szCs w:val="24"/>
        </w:rPr>
        <w:t>sont</w:t>
      </w:r>
      <w:r w:rsidRPr="002462E6">
        <w:rPr>
          <w:rFonts w:ascii="Tahoma" w:eastAsia="Times New Roman" w:hAnsi="Tahoma" w:cs="Tahoma"/>
          <w:spacing w:val="-6"/>
          <w:sz w:val="24"/>
          <w:szCs w:val="24"/>
        </w:rPr>
        <w:t xml:space="preserve"> </w:t>
      </w:r>
      <w:r w:rsidRPr="002462E6">
        <w:rPr>
          <w:rFonts w:ascii="Tahoma" w:eastAsia="Times New Roman" w:hAnsi="Tahoma" w:cs="Tahoma"/>
          <w:sz w:val="24"/>
          <w:szCs w:val="24"/>
        </w:rPr>
        <w:t>apparus</w:t>
      </w:r>
      <w:r w:rsidRPr="002462E6">
        <w:rPr>
          <w:rFonts w:ascii="Tahoma" w:eastAsia="Times New Roman" w:hAnsi="Tahoma" w:cs="Tahoma"/>
          <w:spacing w:val="-7"/>
          <w:sz w:val="24"/>
          <w:szCs w:val="24"/>
        </w:rPr>
        <w:t xml:space="preserve"> </w:t>
      </w:r>
      <w:r w:rsidRPr="002462E6">
        <w:rPr>
          <w:rFonts w:ascii="Tahoma" w:eastAsia="Times New Roman" w:hAnsi="Tahoma" w:cs="Tahoma"/>
          <w:sz w:val="24"/>
          <w:szCs w:val="24"/>
        </w:rPr>
        <w:t>et</w:t>
      </w:r>
      <w:r w:rsidRPr="002462E6">
        <w:rPr>
          <w:rFonts w:ascii="Tahoma" w:eastAsia="Times New Roman" w:hAnsi="Tahoma" w:cs="Tahoma"/>
          <w:spacing w:val="-7"/>
          <w:sz w:val="24"/>
          <w:szCs w:val="24"/>
        </w:rPr>
        <w:t xml:space="preserve"> </w:t>
      </w:r>
      <w:r w:rsidRPr="002462E6">
        <w:rPr>
          <w:rFonts w:ascii="Tahoma" w:eastAsia="Times New Roman" w:hAnsi="Tahoma" w:cs="Tahoma"/>
          <w:sz w:val="24"/>
          <w:szCs w:val="24"/>
        </w:rPr>
        <w:t>développés</w:t>
      </w:r>
      <w:r w:rsidRPr="002462E6">
        <w:rPr>
          <w:rFonts w:ascii="Tahoma" w:eastAsia="Times New Roman" w:hAnsi="Tahoma" w:cs="Tahoma"/>
          <w:spacing w:val="-7"/>
          <w:sz w:val="24"/>
          <w:szCs w:val="24"/>
        </w:rPr>
        <w:t xml:space="preserve"> </w:t>
      </w:r>
      <w:r w:rsidRPr="002462E6">
        <w:rPr>
          <w:rFonts w:ascii="Tahoma" w:eastAsia="Times New Roman" w:hAnsi="Tahoma" w:cs="Tahoma"/>
          <w:sz w:val="24"/>
          <w:szCs w:val="24"/>
        </w:rPr>
        <w:t>notamment</w:t>
      </w:r>
      <w:r w:rsidRPr="002462E6">
        <w:rPr>
          <w:rFonts w:ascii="Tahoma" w:eastAsia="Times New Roman" w:hAnsi="Tahoma" w:cs="Tahoma"/>
          <w:spacing w:val="-7"/>
          <w:sz w:val="24"/>
          <w:szCs w:val="24"/>
        </w:rPr>
        <w:t xml:space="preserve"> </w:t>
      </w:r>
      <w:r w:rsidRPr="002462E6">
        <w:rPr>
          <w:rFonts w:ascii="Tahoma" w:eastAsia="Times New Roman" w:hAnsi="Tahoma" w:cs="Tahoma"/>
          <w:sz w:val="24"/>
          <w:szCs w:val="24"/>
        </w:rPr>
        <w:t>dans</w:t>
      </w:r>
      <w:r w:rsidRPr="002462E6">
        <w:rPr>
          <w:rFonts w:ascii="Tahoma" w:eastAsia="Times New Roman" w:hAnsi="Tahoma" w:cs="Tahoma"/>
          <w:spacing w:val="-57"/>
          <w:sz w:val="24"/>
          <w:szCs w:val="24"/>
        </w:rPr>
        <w:t xml:space="preserve"> </w:t>
      </w:r>
      <w:r w:rsidRPr="002462E6">
        <w:rPr>
          <w:rFonts w:ascii="Tahoma" w:eastAsia="Times New Roman" w:hAnsi="Tahoma" w:cs="Tahoma"/>
          <w:sz w:val="24"/>
          <w:szCs w:val="24"/>
        </w:rPr>
        <w:t>les</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zones inaccessibles</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et/ou</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l’effectif des agents</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forestiers</w:t>
      </w:r>
      <w:r w:rsidRPr="002462E6">
        <w:rPr>
          <w:rFonts w:ascii="Tahoma" w:eastAsia="Times New Roman" w:hAnsi="Tahoma" w:cs="Tahoma"/>
          <w:spacing w:val="-2"/>
          <w:sz w:val="24"/>
          <w:szCs w:val="24"/>
        </w:rPr>
        <w:t xml:space="preserve"> </w:t>
      </w:r>
      <w:r w:rsidRPr="002462E6">
        <w:rPr>
          <w:rFonts w:ascii="Tahoma" w:eastAsia="Times New Roman" w:hAnsi="Tahoma" w:cs="Tahoma"/>
          <w:sz w:val="24"/>
          <w:szCs w:val="24"/>
        </w:rPr>
        <w:t>est</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insuffisant. En effet, l'absence de contrôle rigoureux, ces pratiques illégales se sont amplifiées en toute impunité mettant en péril non seulement les écosystèmes, mais aussi les moyens de subsistance des communautés qui en dépendent.</w:t>
      </w:r>
    </w:p>
    <w:p w:rsidR="000A7532" w:rsidRPr="002462E6" w:rsidRDefault="000A7532" w:rsidP="000A7532">
      <w:pPr>
        <w:widowControl w:val="0"/>
        <w:autoSpaceDE w:val="0"/>
        <w:autoSpaceDN w:val="0"/>
        <w:spacing w:before="160" w:after="0" w:line="360" w:lineRule="auto"/>
        <w:ind w:right="4"/>
        <w:jc w:val="both"/>
        <w:rPr>
          <w:rFonts w:ascii="Tahoma" w:eastAsia="Times New Roman" w:hAnsi="Tahoma" w:cs="Tahoma"/>
          <w:sz w:val="24"/>
          <w:szCs w:val="24"/>
        </w:rPr>
      </w:pPr>
      <w:r w:rsidRPr="002462E6">
        <w:rPr>
          <w:rFonts w:ascii="Tahoma" w:eastAsia="Times New Roman" w:hAnsi="Tahoma" w:cs="Tahoma"/>
          <w:sz w:val="24"/>
          <w:szCs w:val="24"/>
        </w:rPr>
        <w:t>La gestion forestière devient alors complexe et marquée par des tensions entre les techniciens forestiers et les populations locales. Ces</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techniciens</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forestiers</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recrutés</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par</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le service central, ne relèvent pas nécessairement de la tribu dont ils exercent. De ce fait, ils sont perçus comme des étrangers par la population locale.</w:t>
      </w:r>
      <w:r w:rsidRPr="002462E6">
        <w:rPr>
          <w:rFonts w:ascii="Times New Roman" w:eastAsia="Times New Roman" w:hAnsi="Times New Roman" w:cs="Times New Roman"/>
          <w:sz w:val="24"/>
          <w:szCs w:val="24"/>
        </w:rPr>
        <w:t xml:space="preserve"> </w:t>
      </w:r>
      <w:r w:rsidRPr="002462E6">
        <w:rPr>
          <w:rFonts w:ascii="Tahoma" w:eastAsia="Times New Roman" w:hAnsi="Tahoma" w:cs="Tahoma"/>
          <w:sz w:val="24"/>
          <w:szCs w:val="24"/>
        </w:rPr>
        <w:t>L'absence de relations sociales constructives avec les habitants locaux et l’application des normes et des règlements techniques au détriment des besoins et des pratiques traditionnelles des populations portait atteinte non seulement à l'image de l'administration forestière, mais elle entravait l’efficacité de la gestion des ressources forestières vu qu’elle manquait de l'adaptabilité indispensable aux réalités socio-économiques locales favorisant ainsi</w:t>
      </w:r>
      <w:r w:rsidRPr="002462E6">
        <w:rPr>
          <w:rFonts w:ascii="Tahoma" w:eastAsia="Times New Roman" w:hAnsi="Tahoma" w:cs="Tahoma"/>
          <w:spacing w:val="-7"/>
          <w:sz w:val="24"/>
          <w:szCs w:val="24"/>
        </w:rPr>
        <w:t xml:space="preserve"> l’apparition </w:t>
      </w:r>
      <w:r w:rsidRPr="002462E6">
        <w:rPr>
          <w:rFonts w:ascii="Tahoma" w:eastAsia="Times New Roman" w:hAnsi="Tahoma" w:cs="Tahoma"/>
          <w:sz w:val="24"/>
          <w:szCs w:val="24"/>
        </w:rPr>
        <w:t>d’une</w:t>
      </w:r>
      <w:r w:rsidRPr="002462E6">
        <w:rPr>
          <w:rFonts w:ascii="Tahoma" w:eastAsia="Times New Roman" w:hAnsi="Tahoma" w:cs="Tahoma"/>
          <w:spacing w:val="-8"/>
          <w:sz w:val="24"/>
          <w:szCs w:val="24"/>
        </w:rPr>
        <w:t xml:space="preserve"> </w:t>
      </w:r>
      <w:r w:rsidRPr="002462E6">
        <w:rPr>
          <w:rFonts w:ascii="Tahoma" w:eastAsia="Times New Roman" w:hAnsi="Tahoma" w:cs="Tahoma"/>
          <w:sz w:val="24"/>
          <w:szCs w:val="24"/>
        </w:rPr>
        <w:t>relation</w:t>
      </w:r>
      <w:r w:rsidRPr="002462E6">
        <w:rPr>
          <w:rFonts w:ascii="Tahoma" w:eastAsia="Times New Roman" w:hAnsi="Tahoma" w:cs="Tahoma"/>
          <w:spacing w:val="-7"/>
          <w:sz w:val="24"/>
          <w:szCs w:val="24"/>
        </w:rPr>
        <w:t xml:space="preserve"> </w:t>
      </w:r>
      <w:r w:rsidRPr="002462E6">
        <w:rPr>
          <w:rFonts w:ascii="Tahoma" w:eastAsia="Times New Roman" w:hAnsi="Tahoma" w:cs="Tahoma"/>
          <w:sz w:val="24"/>
          <w:szCs w:val="24"/>
        </w:rPr>
        <w:t>de</w:t>
      </w:r>
      <w:r w:rsidRPr="002462E6">
        <w:rPr>
          <w:rFonts w:ascii="Tahoma" w:eastAsia="Times New Roman" w:hAnsi="Tahoma" w:cs="Tahoma"/>
          <w:spacing w:val="-8"/>
          <w:sz w:val="24"/>
          <w:szCs w:val="24"/>
        </w:rPr>
        <w:t xml:space="preserve"> </w:t>
      </w:r>
      <w:r w:rsidRPr="002462E6">
        <w:rPr>
          <w:rFonts w:ascii="Tahoma" w:eastAsia="Times New Roman" w:hAnsi="Tahoma" w:cs="Tahoma"/>
          <w:sz w:val="24"/>
          <w:szCs w:val="24"/>
        </w:rPr>
        <w:t>type</w:t>
      </w:r>
      <w:r w:rsidRPr="002462E6">
        <w:rPr>
          <w:rFonts w:ascii="Tahoma" w:eastAsia="Times New Roman" w:hAnsi="Tahoma" w:cs="Tahoma"/>
          <w:spacing w:val="-7"/>
          <w:sz w:val="24"/>
          <w:szCs w:val="24"/>
        </w:rPr>
        <w:t xml:space="preserve"> </w:t>
      </w:r>
      <w:r w:rsidRPr="002462E6">
        <w:rPr>
          <w:rFonts w:ascii="Tahoma" w:eastAsia="Times New Roman" w:hAnsi="Tahoma" w:cs="Tahoma"/>
          <w:sz w:val="24"/>
          <w:szCs w:val="24"/>
        </w:rPr>
        <w:t>dominant/dominé</w:t>
      </w:r>
      <w:r w:rsidRPr="002462E6">
        <w:rPr>
          <w:rFonts w:ascii="Tahoma" w:eastAsia="Times New Roman" w:hAnsi="Tahoma" w:cs="Tahoma"/>
          <w:sz w:val="24"/>
          <w:szCs w:val="24"/>
          <w:vertAlign w:val="superscript"/>
        </w:rPr>
        <w:footnoteReference w:id="148"/>
      </w:r>
      <w:r w:rsidRPr="002462E6">
        <w:rPr>
          <w:rFonts w:ascii="Tahoma" w:eastAsia="Times New Roman" w:hAnsi="Tahoma" w:cs="Tahoma"/>
          <w:sz w:val="24"/>
          <w:szCs w:val="24"/>
        </w:rPr>
        <w:t>.</w:t>
      </w:r>
    </w:p>
    <w:p w:rsidR="000A7532" w:rsidRPr="002462E6" w:rsidRDefault="000A7532" w:rsidP="000A7532">
      <w:pPr>
        <w:widowControl w:val="0"/>
        <w:tabs>
          <w:tab w:val="left" w:pos="8080"/>
        </w:tabs>
        <w:autoSpaceDE w:val="0"/>
        <w:autoSpaceDN w:val="0"/>
        <w:spacing w:before="160" w:after="0" w:line="360" w:lineRule="auto"/>
        <w:ind w:right="4"/>
        <w:jc w:val="both"/>
        <w:rPr>
          <w:rFonts w:ascii="Tahoma" w:eastAsia="Times New Roman" w:hAnsi="Tahoma" w:cs="Tahoma"/>
          <w:sz w:val="24"/>
          <w:szCs w:val="24"/>
        </w:rPr>
      </w:pPr>
      <w:r w:rsidRPr="002462E6">
        <w:rPr>
          <w:rFonts w:ascii="Tahoma" w:eastAsia="Times New Roman" w:hAnsi="Tahoma" w:cs="Tahoma"/>
          <w:sz w:val="24"/>
          <w:szCs w:val="24"/>
        </w:rPr>
        <w:t>Dans cet ordre d’idées, le Dahir de 1917</w:t>
      </w:r>
      <w:r w:rsidRPr="002462E6">
        <w:rPr>
          <w:rFonts w:ascii="Tahoma" w:eastAsia="Times New Roman" w:hAnsi="Tahoma" w:cs="Tahoma"/>
          <w:sz w:val="24"/>
          <w:szCs w:val="24"/>
          <w:vertAlign w:val="superscript"/>
        </w:rPr>
        <w:footnoteReference w:id="149"/>
      </w:r>
      <w:r w:rsidRPr="002462E6">
        <w:rPr>
          <w:rFonts w:ascii="Tahoma" w:eastAsia="Times New Roman" w:hAnsi="Tahoma" w:cs="Tahoma"/>
          <w:sz w:val="24"/>
          <w:szCs w:val="24"/>
        </w:rPr>
        <w:t xml:space="preserve"> consolidait cette approche dans la mesure où une partie</w:t>
      </w:r>
      <w:r w:rsidRPr="002462E6">
        <w:rPr>
          <w:rFonts w:ascii="Tahoma" w:eastAsia="Times New Roman" w:hAnsi="Tahoma" w:cs="Tahoma"/>
          <w:spacing w:val="-9"/>
          <w:sz w:val="24"/>
          <w:szCs w:val="24"/>
        </w:rPr>
        <w:t xml:space="preserve"> </w:t>
      </w:r>
      <w:r w:rsidRPr="002462E6">
        <w:rPr>
          <w:rFonts w:ascii="Tahoma" w:eastAsia="Times New Roman" w:hAnsi="Tahoma" w:cs="Tahoma"/>
          <w:sz w:val="24"/>
          <w:szCs w:val="24"/>
        </w:rPr>
        <w:t>importante</w:t>
      </w:r>
      <w:r w:rsidRPr="002462E6">
        <w:rPr>
          <w:rFonts w:ascii="Tahoma" w:eastAsia="Times New Roman" w:hAnsi="Tahoma" w:cs="Tahoma"/>
          <w:spacing w:val="-7"/>
          <w:sz w:val="24"/>
          <w:szCs w:val="24"/>
        </w:rPr>
        <w:t xml:space="preserve"> </w:t>
      </w:r>
      <w:r w:rsidRPr="002462E6">
        <w:rPr>
          <w:rFonts w:ascii="Tahoma" w:eastAsia="Times New Roman" w:hAnsi="Tahoma" w:cs="Tahoma"/>
          <w:sz w:val="24"/>
          <w:szCs w:val="24"/>
        </w:rPr>
        <w:t>a</w:t>
      </w:r>
      <w:r w:rsidRPr="002462E6">
        <w:rPr>
          <w:rFonts w:ascii="Tahoma" w:eastAsia="Times New Roman" w:hAnsi="Tahoma" w:cs="Tahoma"/>
          <w:spacing w:val="-5"/>
          <w:sz w:val="24"/>
          <w:szCs w:val="24"/>
        </w:rPr>
        <w:t xml:space="preserve"> </w:t>
      </w:r>
      <w:r w:rsidRPr="002462E6">
        <w:rPr>
          <w:rFonts w:ascii="Tahoma" w:eastAsia="Times New Roman" w:hAnsi="Tahoma" w:cs="Tahoma"/>
          <w:sz w:val="24"/>
          <w:szCs w:val="24"/>
        </w:rPr>
        <w:t>été</w:t>
      </w:r>
      <w:r w:rsidRPr="002462E6">
        <w:rPr>
          <w:rFonts w:ascii="Tahoma" w:eastAsia="Times New Roman" w:hAnsi="Tahoma" w:cs="Tahoma"/>
          <w:spacing w:val="-4"/>
          <w:sz w:val="24"/>
          <w:szCs w:val="24"/>
        </w:rPr>
        <w:t xml:space="preserve"> </w:t>
      </w:r>
      <w:r w:rsidRPr="002462E6">
        <w:rPr>
          <w:rFonts w:ascii="Tahoma" w:eastAsia="Times New Roman" w:hAnsi="Tahoma" w:cs="Tahoma"/>
          <w:sz w:val="24"/>
          <w:szCs w:val="24"/>
        </w:rPr>
        <w:t>consacrée</w:t>
      </w:r>
      <w:r w:rsidRPr="002462E6">
        <w:rPr>
          <w:rFonts w:ascii="Tahoma" w:eastAsia="Times New Roman" w:hAnsi="Tahoma" w:cs="Tahoma"/>
          <w:spacing w:val="-3"/>
          <w:sz w:val="24"/>
          <w:szCs w:val="24"/>
        </w:rPr>
        <w:t xml:space="preserve"> </w:t>
      </w:r>
      <w:r w:rsidRPr="002462E6">
        <w:rPr>
          <w:rFonts w:ascii="Tahoma" w:eastAsia="Times New Roman" w:hAnsi="Tahoma" w:cs="Tahoma"/>
          <w:sz w:val="24"/>
          <w:szCs w:val="24"/>
        </w:rPr>
        <w:t>aux</w:t>
      </w:r>
      <w:r w:rsidRPr="002462E6">
        <w:rPr>
          <w:rFonts w:ascii="Tahoma" w:eastAsia="Times New Roman" w:hAnsi="Tahoma" w:cs="Tahoma"/>
          <w:spacing w:val="-5"/>
          <w:sz w:val="24"/>
          <w:szCs w:val="24"/>
        </w:rPr>
        <w:t xml:space="preserve"> </w:t>
      </w:r>
      <w:r w:rsidRPr="002462E6">
        <w:rPr>
          <w:rFonts w:ascii="Tahoma" w:eastAsia="Times New Roman" w:hAnsi="Tahoma" w:cs="Tahoma"/>
          <w:sz w:val="24"/>
          <w:szCs w:val="24"/>
        </w:rPr>
        <w:t>pénalités</w:t>
      </w:r>
      <w:r w:rsidRPr="002462E6">
        <w:rPr>
          <w:rFonts w:ascii="Tahoma" w:eastAsia="Times New Roman" w:hAnsi="Tahoma" w:cs="Tahoma"/>
          <w:spacing w:val="-4"/>
          <w:sz w:val="24"/>
          <w:szCs w:val="24"/>
        </w:rPr>
        <w:t xml:space="preserve"> </w:t>
      </w:r>
      <w:r w:rsidRPr="002462E6">
        <w:rPr>
          <w:rFonts w:ascii="Tahoma" w:eastAsia="Times New Roman" w:hAnsi="Tahoma" w:cs="Tahoma"/>
          <w:sz w:val="24"/>
          <w:szCs w:val="24"/>
        </w:rPr>
        <w:t>et</w:t>
      </w:r>
      <w:r w:rsidRPr="002462E6">
        <w:rPr>
          <w:rFonts w:ascii="Tahoma" w:eastAsia="Times New Roman" w:hAnsi="Tahoma" w:cs="Tahoma"/>
          <w:spacing w:val="-4"/>
          <w:sz w:val="24"/>
          <w:szCs w:val="24"/>
        </w:rPr>
        <w:t xml:space="preserve"> </w:t>
      </w:r>
      <w:r w:rsidRPr="002462E6">
        <w:rPr>
          <w:rFonts w:ascii="Tahoma" w:eastAsia="Times New Roman" w:hAnsi="Tahoma" w:cs="Tahoma"/>
          <w:sz w:val="24"/>
          <w:szCs w:val="24"/>
        </w:rPr>
        <w:t>aux</w:t>
      </w:r>
      <w:r w:rsidRPr="002462E6">
        <w:rPr>
          <w:rFonts w:ascii="Tahoma" w:eastAsia="Times New Roman" w:hAnsi="Tahoma" w:cs="Tahoma"/>
          <w:spacing w:val="-4"/>
          <w:sz w:val="24"/>
          <w:szCs w:val="24"/>
        </w:rPr>
        <w:t xml:space="preserve"> </w:t>
      </w:r>
      <w:r w:rsidRPr="002462E6">
        <w:rPr>
          <w:rFonts w:ascii="Tahoma" w:eastAsia="Times New Roman" w:hAnsi="Tahoma" w:cs="Tahoma"/>
          <w:sz w:val="24"/>
          <w:szCs w:val="24"/>
        </w:rPr>
        <w:t>sanctions</w:t>
      </w:r>
      <w:r w:rsidRPr="002462E6">
        <w:rPr>
          <w:rFonts w:ascii="Tahoma" w:eastAsia="Times New Roman" w:hAnsi="Tahoma" w:cs="Tahoma"/>
          <w:spacing w:val="-5"/>
          <w:sz w:val="24"/>
          <w:szCs w:val="24"/>
        </w:rPr>
        <w:t xml:space="preserve"> </w:t>
      </w:r>
      <w:r w:rsidRPr="002462E6">
        <w:rPr>
          <w:rFonts w:ascii="Tahoma" w:eastAsia="Times New Roman" w:hAnsi="Tahoma" w:cs="Tahoma"/>
          <w:sz w:val="24"/>
          <w:szCs w:val="24"/>
        </w:rPr>
        <w:t>en</w:t>
      </w:r>
      <w:r w:rsidRPr="002462E6">
        <w:rPr>
          <w:rFonts w:ascii="Tahoma" w:eastAsia="Times New Roman" w:hAnsi="Tahoma" w:cs="Tahoma"/>
          <w:spacing w:val="-5"/>
          <w:sz w:val="24"/>
          <w:szCs w:val="24"/>
        </w:rPr>
        <w:t xml:space="preserve"> </w:t>
      </w:r>
      <w:r w:rsidRPr="002462E6">
        <w:rPr>
          <w:rFonts w:ascii="Tahoma" w:eastAsia="Times New Roman" w:hAnsi="Tahoma" w:cs="Tahoma"/>
          <w:sz w:val="24"/>
          <w:szCs w:val="24"/>
        </w:rPr>
        <w:t>cas</w:t>
      </w:r>
      <w:r w:rsidRPr="002462E6">
        <w:rPr>
          <w:rFonts w:ascii="Tahoma" w:eastAsia="Times New Roman" w:hAnsi="Tahoma" w:cs="Tahoma"/>
          <w:spacing w:val="-5"/>
          <w:sz w:val="24"/>
          <w:szCs w:val="24"/>
        </w:rPr>
        <w:t xml:space="preserve"> </w:t>
      </w:r>
      <w:r w:rsidRPr="002462E6">
        <w:rPr>
          <w:rFonts w:ascii="Tahoma" w:eastAsia="Times New Roman" w:hAnsi="Tahoma" w:cs="Tahoma"/>
          <w:sz w:val="24"/>
          <w:szCs w:val="24"/>
        </w:rPr>
        <w:t>de</w:t>
      </w:r>
      <w:r w:rsidRPr="002462E6">
        <w:rPr>
          <w:rFonts w:ascii="Tahoma" w:eastAsia="Times New Roman" w:hAnsi="Tahoma" w:cs="Tahoma"/>
          <w:spacing w:val="-4"/>
          <w:sz w:val="24"/>
          <w:szCs w:val="24"/>
        </w:rPr>
        <w:t xml:space="preserve"> </w:t>
      </w:r>
      <w:r w:rsidRPr="002462E6">
        <w:rPr>
          <w:rFonts w:ascii="Tahoma" w:eastAsia="Times New Roman" w:hAnsi="Tahoma" w:cs="Tahoma"/>
          <w:sz w:val="24"/>
          <w:szCs w:val="24"/>
        </w:rPr>
        <w:t>délits,</w:t>
      </w:r>
      <w:r w:rsidRPr="002462E6">
        <w:rPr>
          <w:rFonts w:ascii="Tahoma" w:eastAsia="Times New Roman" w:hAnsi="Tahoma" w:cs="Tahoma"/>
          <w:spacing w:val="-6"/>
          <w:sz w:val="24"/>
          <w:szCs w:val="24"/>
        </w:rPr>
        <w:t xml:space="preserve"> </w:t>
      </w:r>
      <w:r w:rsidRPr="002462E6">
        <w:rPr>
          <w:rFonts w:ascii="Tahoma" w:eastAsia="Times New Roman" w:hAnsi="Tahoma" w:cs="Tahoma"/>
          <w:sz w:val="24"/>
          <w:szCs w:val="24"/>
        </w:rPr>
        <w:t>ceci</w:t>
      </w:r>
      <w:r w:rsidRPr="002462E6">
        <w:rPr>
          <w:rFonts w:ascii="Tahoma" w:eastAsia="Times New Roman" w:hAnsi="Tahoma" w:cs="Tahoma"/>
          <w:spacing w:val="-3"/>
          <w:sz w:val="24"/>
          <w:szCs w:val="24"/>
        </w:rPr>
        <w:t xml:space="preserve"> </w:t>
      </w:r>
      <w:r w:rsidRPr="002462E6">
        <w:rPr>
          <w:rFonts w:ascii="Tahoma" w:eastAsia="Times New Roman" w:hAnsi="Tahoma" w:cs="Tahoma"/>
          <w:sz w:val="24"/>
          <w:szCs w:val="24"/>
        </w:rPr>
        <w:t>confirme</w:t>
      </w:r>
      <w:r w:rsidRPr="002462E6">
        <w:rPr>
          <w:rFonts w:ascii="Tahoma" w:eastAsia="Times New Roman" w:hAnsi="Tahoma" w:cs="Tahoma"/>
          <w:spacing w:val="-5"/>
          <w:sz w:val="24"/>
          <w:szCs w:val="24"/>
        </w:rPr>
        <w:t xml:space="preserve"> </w:t>
      </w:r>
      <w:r w:rsidRPr="002462E6">
        <w:rPr>
          <w:rFonts w:ascii="Tahoma" w:eastAsia="Times New Roman" w:hAnsi="Tahoma" w:cs="Tahoma"/>
          <w:sz w:val="24"/>
          <w:szCs w:val="24"/>
        </w:rPr>
        <w:t xml:space="preserve">l’approche régalienne en matière de la gestion forestière. En effet, Le titre VI </w:t>
      </w:r>
      <w:r w:rsidRPr="002462E6">
        <w:rPr>
          <w:rFonts w:ascii="Tahoma" w:eastAsia="Times New Roman" w:hAnsi="Tahoma" w:cs="Tahoma"/>
          <w:sz w:val="24"/>
          <w:szCs w:val="24"/>
        </w:rPr>
        <w:lastRenderedPageBreak/>
        <w:t>de ce</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Dahir</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a</w:t>
      </w:r>
      <w:r w:rsidRPr="002462E6">
        <w:rPr>
          <w:rFonts w:ascii="Tahoma" w:eastAsia="Times New Roman" w:hAnsi="Tahoma" w:cs="Tahoma"/>
          <w:spacing w:val="-2"/>
          <w:sz w:val="24"/>
          <w:szCs w:val="24"/>
        </w:rPr>
        <w:t xml:space="preserve"> </w:t>
      </w:r>
      <w:r w:rsidRPr="002462E6">
        <w:rPr>
          <w:rFonts w:ascii="Tahoma" w:eastAsia="Times New Roman" w:hAnsi="Tahoma" w:cs="Tahoma"/>
          <w:sz w:val="24"/>
          <w:szCs w:val="24"/>
        </w:rPr>
        <w:t>été</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dédié</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à</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la police</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et</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conservation</w:t>
      </w:r>
      <w:r w:rsidRPr="002462E6">
        <w:rPr>
          <w:rFonts w:ascii="Tahoma" w:eastAsia="Times New Roman" w:hAnsi="Tahoma" w:cs="Tahoma"/>
          <w:spacing w:val="-2"/>
          <w:sz w:val="24"/>
          <w:szCs w:val="24"/>
        </w:rPr>
        <w:t xml:space="preserve"> </w:t>
      </w:r>
      <w:r w:rsidRPr="002462E6">
        <w:rPr>
          <w:rFonts w:ascii="Tahoma" w:eastAsia="Times New Roman" w:hAnsi="Tahoma" w:cs="Tahoma"/>
          <w:sz w:val="24"/>
          <w:szCs w:val="24"/>
        </w:rPr>
        <w:t>des</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forêts,</w:t>
      </w:r>
      <w:r w:rsidRPr="002462E6">
        <w:rPr>
          <w:rFonts w:ascii="Tahoma" w:eastAsia="Times New Roman" w:hAnsi="Tahoma" w:cs="Tahoma"/>
          <w:spacing w:val="-2"/>
          <w:sz w:val="24"/>
          <w:szCs w:val="24"/>
        </w:rPr>
        <w:t xml:space="preserve"> </w:t>
      </w:r>
      <w:r w:rsidRPr="002462E6">
        <w:rPr>
          <w:rFonts w:ascii="Tahoma" w:eastAsia="Times New Roman" w:hAnsi="Tahoma" w:cs="Tahoma"/>
          <w:sz w:val="24"/>
          <w:szCs w:val="24"/>
        </w:rPr>
        <w:t>le titre</w:t>
      </w:r>
      <w:r w:rsidRPr="002462E6">
        <w:rPr>
          <w:rFonts w:ascii="Tahoma" w:eastAsia="Times New Roman" w:hAnsi="Tahoma" w:cs="Tahoma"/>
          <w:spacing w:val="-2"/>
          <w:sz w:val="24"/>
          <w:szCs w:val="24"/>
        </w:rPr>
        <w:t xml:space="preserve"> </w:t>
      </w:r>
      <w:r w:rsidRPr="002462E6">
        <w:rPr>
          <w:rFonts w:ascii="Tahoma" w:eastAsia="Times New Roman" w:hAnsi="Tahoma" w:cs="Tahoma"/>
          <w:sz w:val="24"/>
          <w:szCs w:val="24"/>
        </w:rPr>
        <w:t>VII</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à</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la constatation</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des</w:t>
      </w:r>
      <w:r w:rsidRPr="002462E6">
        <w:rPr>
          <w:rFonts w:ascii="Tahoma" w:eastAsia="Times New Roman" w:hAnsi="Tahoma" w:cs="Tahoma"/>
          <w:spacing w:val="-2"/>
          <w:sz w:val="24"/>
          <w:szCs w:val="24"/>
        </w:rPr>
        <w:t xml:space="preserve"> </w:t>
      </w:r>
      <w:r w:rsidRPr="002462E6">
        <w:rPr>
          <w:rFonts w:ascii="Tahoma" w:eastAsia="Times New Roman" w:hAnsi="Tahoma" w:cs="Tahoma"/>
          <w:sz w:val="24"/>
          <w:szCs w:val="24"/>
        </w:rPr>
        <w:t>délits, et</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le</w:t>
      </w:r>
      <w:r w:rsidRPr="002462E6">
        <w:rPr>
          <w:rFonts w:ascii="Tahoma" w:eastAsia="Times New Roman" w:hAnsi="Tahoma" w:cs="Tahoma"/>
          <w:spacing w:val="-57"/>
          <w:sz w:val="24"/>
          <w:szCs w:val="24"/>
        </w:rPr>
        <w:t xml:space="preserve"> </w:t>
      </w:r>
      <w:r w:rsidRPr="002462E6">
        <w:rPr>
          <w:rFonts w:ascii="Tahoma" w:eastAsia="Times New Roman" w:hAnsi="Tahoma" w:cs="Tahoma"/>
          <w:sz w:val="24"/>
          <w:szCs w:val="24"/>
        </w:rPr>
        <w:t>titre</w:t>
      </w:r>
      <w:r w:rsidRPr="002462E6">
        <w:rPr>
          <w:rFonts w:ascii="Tahoma" w:eastAsia="Times New Roman" w:hAnsi="Tahoma" w:cs="Tahoma"/>
          <w:spacing w:val="-5"/>
          <w:sz w:val="24"/>
          <w:szCs w:val="24"/>
        </w:rPr>
        <w:t xml:space="preserve"> </w:t>
      </w:r>
      <w:r w:rsidRPr="002462E6">
        <w:rPr>
          <w:rFonts w:ascii="Tahoma" w:eastAsia="Times New Roman" w:hAnsi="Tahoma" w:cs="Tahoma"/>
          <w:sz w:val="24"/>
          <w:szCs w:val="24"/>
        </w:rPr>
        <w:t>VIII</w:t>
      </w:r>
      <w:r w:rsidRPr="002462E6">
        <w:rPr>
          <w:rFonts w:ascii="Tahoma" w:eastAsia="Times New Roman" w:hAnsi="Tahoma" w:cs="Tahoma"/>
          <w:spacing w:val="-4"/>
          <w:sz w:val="24"/>
          <w:szCs w:val="24"/>
        </w:rPr>
        <w:t xml:space="preserve"> </w:t>
      </w:r>
      <w:r w:rsidRPr="002462E6">
        <w:rPr>
          <w:rFonts w:ascii="Tahoma" w:eastAsia="Times New Roman" w:hAnsi="Tahoma" w:cs="Tahoma"/>
          <w:sz w:val="24"/>
          <w:szCs w:val="24"/>
        </w:rPr>
        <w:t>aux</w:t>
      </w:r>
      <w:r w:rsidRPr="002462E6">
        <w:rPr>
          <w:rFonts w:ascii="Tahoma" w:eastAsia="Times New Roman" w:hAnsi="Tahoma" w:cs="Tahoma"/>
          <w:spacing w:val="-5"/>
          <w:sz w:val="24"/>
          <w:szCs w:val="24"/>
        </w:rPr>
        <w:t xml:space="preserve"> </w:t>
      </w:r>
      <w:r w:rsidRPr="002462E6">
        <w:rPr>
          <w:rFonts w:ascii="Tahoma" w:eastAsia="Times New Roman" w:hAnsi="Tahoma" w:cs="Tahoma"/>
          <w:sz w:val="24"/>
          <w:szCs w:val="24"/>
        </w:rPr>
        <w:t>poursuites</w:t>
      </w:r>
      <w:r w:rsidRPr="002462E6">
        <w:rPr>
          <w:rFonts w:ascii="Tahoma" w:eastAsia="Times New Roman" w:hAnsi="Tahoma" w:cs="Tahoma"/>
          <w:spacing w:val="-5"/>
          <w:sz w:val="24"/>
          <w:szCs w:val="24"/>
        </w:rPr>
        <w:t xml:space="preserve"> </w:t>
      </w:r>
      <w:r w:rsidRPr="002462E6">
        <w:rPr>
          <w:rFonts w:ascii="Tahoma" w:eastAsia="Times New Roman" w:hAnsi="Tahoma" w:cs="Tahoma"/>
          <w:sz w:val="24"/>
          <w:szCs w:val="24"/>
        </w:rPr>
        <w:t>et</w:t>
      </w:r>
      <w:r w:rsidRPr="002462E6">
        <w:rPr>
          <w:rFonts w:ascii="Tahoma" w:eastAsia="Times New Roman" w:hAnsi="Tahoma" w:cs="Tahoma"/>
          <w:spacing w:val="-4"/>
          <w:sz w:val="24"/>
          <w:szCs w:val="24"/>
        </w:rPr>
        <w:t xml:space="preserve"> </w:t>
      </w:r>
      <w:r w:rsidRPr="002462E6">
        <w:rPr>
          <w:rFonts w:ascii="Tahoma" w:eastAsia="Times New Roman" w:hAnsi="Tahoma" w:cs="Tahoma"/>
          <w:sz w:val="24"/>
          <w:szCs w:val="24"/>
        </w:rPr>
        <w:t>réparations</w:t>
      </w:r>
      <w:r w:rsidRPr="002462E6">
        <w:rPr>
          <w:rFonts w:ascii="Tahoma" w:eastAsia="Times New Roman" w:hAnsi="Tahoma" w:cs="Tahoma"/>
          <w:spacing w:val="-5"/>
          <w:sz w:val="24"/>
          <w:szCs w:val="24"/>
        </w:rPr>
        <w:t xml:space="preserve"> </w:t>
      </w:r>
      <w:r w:rsidRPr="002462E6">
        <w:rPr>
          <w:rFonts w:ascii="Tahoma" w:eastAsia="Times New Roman" w:hAnsi="Tahoma" w:cs="Tahoma"/>
          <w:sz w:val="24"/>
          <w:szCs w:val="24"/>
        </w:rPr>
        <w:t>des</w:t>
      </w:r>
      <w:r w:rsidRPr="002462E6">
        <w:rPr>
          <w:rFonts w:ascii="Tahoma" w:eastAsia="Times New Roman" w:hAnsi="Tahoma" w:cs="Tahoma"/>
          <w:spacing w:val="-4"/>
          <w:sz w:val="24"/>
          <w:szCs w:val="24"/>
        </w:rPr>
        <w:t xml:space="preserve"> </w:t>
      </w:r>
      <w:r w:rsidRPr="002462E6">
        <w:rPr>
          <w:rFonts w:ascii="Tahoma" w:eastAsia="Times New Roman" w:hAnsi="Tahoma" w:cs="Tahoma"/>
          <w:sz w:val="24"/>
          <w:szCs w:val="24"/>
        </w:rPr>
        <w:t>délits.</w:t>
      </w:r>
      <w:r w:rsidRPr="002462E6">
        <w:rPr>
          <w:rFonts w:ascii="Tahoma" w:eastAsia="Times New Roman" w:hAnsi="Tahoma" w:cs="Tahoma"/>
          <w:spacing w:val="-5"/>
          <w:sz w:val="24"/>
          <w:szCs w:val="24"/>
        </w:rPr>
        <w:t xml:space="preserve"> </w:t>
      </w:r>
      <w:r w:rsidRPr="002462E6">
        <w:rPr>
          <w:rFonts w:ascii="Tahoma" w:eastAsia="Times New Roman" w:hAnsi="Tahoma" w:cs="Tahoma"/>
          <w:sz w:val="24"/>
          <w:szCs w:val="24"/>
        </w:rPr>
        <w:t>Or,</w:t>
      </w:r>
      <w:r w:rsidRPr="002462E6">
        <w:rPr>
          <w:rFonts w:ascii="Tahoma" w:eastAsia="Times New Roman" w:hAnsi="Tahoma" w:cs="Tahoma"/>
          <w:spacing w:val="-5"/>
          <w:sz w:val="24"/>
          <w:szCs w:val="24"/>
        </w:rPr>
        <w:t xml:space="preserve"> </w:t>
      </w:r>
      <w:r w:rsidRPr="002462E6">
        <w:rPr>
          <w:rFonts w:ascii="Tahoma" w:eastAsia="Times New Roman" w:hAnsi="Tahoma" w:cs="Tahoma"/>
          <w:sz w:val="24"/>
          <w:szCs w:val="24"/>
        </w:rPr>
        <w:t>aucun</w:t>
      </w:r>
      <w:r w:rsidRPr="002462E6">
        <w:rPr>
          <w:rFonts w:ascii="Tahoma" w:eastAsia="Times New Roman" w:hAnsi="Tahoma" w:cs="Tahoma"/>
          <w:spacing w:val="-5"/>
          <w:sz w:val="24"/>
          <w:szCs w:val="24"/>
        </w:rPr>
        <w:t xml:space="preserve"> </w:t>
      </w:r>
      <w:r w:rsidRPr="002462E6">
        <w:rPr>
          <w:rFonts w:ascii="Tahoma" w:eastAsia="Times New Roman" w:hAnsi="Tahoma" w:cs="Tahoma"/>
          <w:sz w:val="24"/>
          <w:szCs w:val="24"/>
        </w:rPr>
        <w:t>titre</w:t>
      </w:r>
      <w:r w:rsidRPr="002462E6">
        <w:rPr>
          <w:rFonts w:ascii="Tahoma" w:eastAsia="Times New Roman" w:hAnsi="Tahoma" w:cs="Tahoma"/>
          <w:spacing w:val="-4"/>
          <w:sz w:val="24"/>
          <w:szCs w:val="24"/>
        </w:rPr>
        <w:t xml:space="preserve"> </w:t>
      </w:r>
      <w:r w:rsidRPr="002462E6">
        <w:rPr>
          <w:rFonts w:ascii="Tahoma" w:eastAsia="Times New Roman" w:hAnsi="Tahoma" w:cs="Tahoma"/>
          <w:sz w:val="24"/>
          <w:szCs w:val="24"/>
        </w:rPr>
        <w:t>n’a</w:t>
      </w:r>
      <w:r w:rsidRPr="002462E6">
        <w:rPr>
          <w:rFonts w:ascii="Tahoma" w:eastAsia="Times New Roman" w:hAnsi="Tahoma" w:cs="Tahoma"/>
          <w:spacing w:val="-5"/>
          <w:sz w:val="24"/>
          <w:szCs w:val="24"/>
        </w:rPr>
        <w:t xml:space="preserve"> </w:t>
      </w:r>
      <w:r w:rsidRPr="002462E6">
        <w:rPr>
          <w:rFonts w:ascii="Tahoma" w:eastAsia="Times New Roman" w:hAnsi="Tahoma" w:cs="Tahoma"/>
          <w:sz w:val="24"/>
          <w:szCs w:val="24"/>
        </w:rPr>
        <w:t>envisagé</w:t>
      </w:r>
      <w:r w:rsidRPr="002462E6">
        <w:rPr>
          <w:rFonts w:ascii="Tahoma" w:eastAsia="Times New Roman" w:hAnsi="Tahoma" w:cs="Tahoma"/>
          <w:spacing w:val="-5"/>
          <w:sz w:val="24"/>
          <w:szCs w:val="24"/>
        </w:rPr>
        <w:t xml:space="preserve"> </w:t>
      </w:r>
      <w:r w:rsidRPr="002462E6">
        <w:rPr>
          <w:rFonts w:ascii="Tahoma" w:eastAsia="Times New Roman" w:hAnsi="Tahoma" w:cs="Tahoma"/>
          <w:sz w:val="24"/>
          <w:szCs w:val="24"/>
        </w:rPr>
        <w:t>la coordination entre les</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acteurs ou l’implication des populations locales dans le processus de gestion</w:t>
      </w:r>
      <w:r w:rsidRPr="002462E6">
        <w:rPr>
          <w:rFonts w:ascii="Tahoma" w:eastAsia="Times New Roman" w:hAnsi="Tahoma" w:cs="Tahoma"/>
          <w:sz w:val="24"/>
          <w:szCs w:val="24"/>
          <w:vertAlign w:val="superscript"/>
        </w:rPr>
        <w:footnoteReference w:id="150"/>
      </w:r>
      <w:r w:rsidRPr="002462E6">
        <w:rPr>
          <w:rFonts w:ascii="Tahoma" w:eastAsia="Times New Roman" w:hAnsi="Tahoma" w:cs="Tahoma"/>
          <w:sz w:val="24"/>
          <w:szCs w:val="24"/>
        </w:rPr>
        <w:t>.</w:t>
      </w:r>
    </w:p>
    <w:p w:rsidR="000A7532" w:rsidRPr="002462E6" w:rsidRDefault="000A7532" w:rsidP="000A7532">
      <w:pPr>
        <w:widowControl w:val="0"/>
        <w:autoSpaceDE w:val="0"/>
        <w:autoSpaceDN w:val="0"/>
        <w:spacing w:before="160" w:after="0" w:line="360" w:lineRule="auto"/>
        <w:ind w:right="4"/>
        <w:jc w:val="both"/>
        <w:rPr>
          <w:rFonts w:ascii="Tahoma" w:eastAsia="Times New Roman" w:hAnsi="Tahoma" w:cs="Tahoma"/>
          <w:sz w:val="24"/>
          <w:szCs w:val="24"/>
        </w:rPr>
      </w:pPr>
      <w:r w:rsidRPr="002462E6">
        <w:rPr>
          <w:rFonts w:ascii="Tahoma" w:eastAsia="Times New Roman" w:hAnsi="Tahoma" w:cs="Tahoma"/>
          <w:sz w:val="24"/>
          <w:szCs w:val="24"/>
        </w:rPr>
        <w:t xml:space="preserve">De ce qui précède, </w:t>
      </w:r>
      <w:r w:rsidRPr="002462E6">
        <w:rPr>
          <w:rFonts w:ascii="Tahoma" w:eastAsia="Times New Roman" w:hAnsi="Tahoma" w:cs="Tahoma"/>
          <w:spacing w:val="1"/>
          <w:sz w:val="24"/>
          <w:szCs w:val="24"/>
        </w:rPr>
        <w:t xml:space="preserve">le </w:t>
      </w:r>
      <w:r w:rsidRPr="002462E6">
        <w:rPr>
          <w:rFonts w:ascii="Tahoma" w:eastAsia="Times New Roman" w:hAnsi="Tahoma" w:cs="Tahoma"/>
          <w:sz w:val="24"/>
          <w:szCs w:val="24"/>
        </w:rPr>
        <w:t>déclin</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d’une</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part</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d’un</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grand</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nombre</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de</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pratiques</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traditionnelles</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sociales</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garantissant la protection des ressources forestières et d’autre part, la limitation des capacités</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techniques et financières de l’administration forestière, ont impacté foncièrement l’efficacité des</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actions étatiques en matière de gestion forestière. Il importe de signaler que malgré les efforts fournis</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jusqu’à la fin du 20</w:t>
      </w:r>
      <w:r w:rsidRPr="002462E6">
        <w:rPr>
          <w:rFonts w:ascii="Tahoma" w:eastAsia="Times New Roman" w:hAnsi="Tahoma" w:cs="Tahoma"/>
          <w:sz w:val="24"/>
          <w:szCs w:val="24"/>
          <w:vertAlign w:val="superscript"/>
        </w:rPr>
        <w:t>ème</w:t>
      </w:r>
      <w:r w:rsidRPr="002462E6">
        <w:rPr>
          <w:rFonts w:ascii="Tahoma" w:eastAsia="Times New Roman" w:hAnsi="Tahoma" w:cs="Tahoma"/>
          <w:sz w:val="24"/>
          <w:szCs w:val="24"/>
        </w:rPr>
        <w:t xml:space="preserve"> siècle par l’administration forestière « </w:t>
      </w:r>
      <w:r w:rsidRPr="002462E6">
        <w:rPr>
          <w:rFonts w:ascii="Tahoma" w:eastAsia="Times New Roman" w:hAnsi="Tahoma" w:cs="Tahoma"/>
          <w:i/>
          <w:sz w:val="24"/>
          <w:szCs w:val="24"/>
        </w:rPr>
        <w:t>… les taux d'encadrement moyen de la forêt restent faibles par</w:t>
      </w:r>
      <w:r w:rsidRPr="002462E6">
        <w:rPr>
          <w:rFonts w:ascii="Tahoma" w:eastAsia="Times New Roman" w:hAnsi="Tahoma" w:cs="Tahoma"/>
          <w:i/>
          <w:spacing w:val="1"/>
          <w:sz w:val="24"/>
          <w:szCs w:val="24"/>
        </w:rPr>
        <w:t xml:space="preserve"> </w:t>
      </w:r>
      <w:r w:rsidRPr="002462E6">
        <w:rPr>
          <w:rFonts w:ascii="Tahoma" w:eastAsia="Times New Roman" w:hAnsi="Tahoma" w:cs="Tahoma"/>
          <w:i/>
          <w:spacing w:val="-1"/>
          <w:sz w:val="24"/>
          <w:szCs w:val="24"/>
        </w:rPr>
        <w:t>rapport</w:t>
      </w:r>
      <w:r w:rsidRPr="002462E6">
        <w:rPr>
          <w:rFonts w:ascii="Tahoma" w:eastAsia="Times New Roman" w:hAnsi="Tahoma" w:cs="Tahoma"/>
          <w:i/>
          <w:spacing w:val="-14"/>
          <w:sz w:val="24"/>
          <w:szCs w:val="24"/>
        </w:rPr>
        <w:t xml:space="preserve"> </w:t>
      </w:r>
      <w:r w:rsidRPr="002462E6">
        <w:rPr>
          <w:rFonts w:ascii="Tahoma" w:eastAsia="Times New Roman" w:hAnsi="Tahoma" w:cs="Tahoma"/>
          <w:i/>
          <w:spacing w:val="-1"/>
          <w:sz w:val="24"/>
          <w:szCs w:val="24"/>
        </w:rPr>
        <w:t>aux</w:t>
      </w:r>
      <w:r w:rsidRPr="002462E6">
        <w:rPr>
          <w:rFonts w:ascii="Tahoma" w:eastAsia="Times New Roman" w:hAnsi="Tahoma" w:cs="Tahoma"/>
          <w:i/>
          <w:spacing w:val="-17"/>
          <w:sz w:val="24"/>
          <w:szCs w:val="24"/>
        </w:rPr>
        <w:t xml:space="preserve"> </w:t>
      </w:r>
      <w:r w:rsidRPr="002462E6">
        <w:rPr>
          <w:rFonts w:ascii="Tahoma" w:eastAsia="Times New Roman" w:hAnsi="Tahoma" w:cs="Tahoma"/>
          <w:i/>
          <w:spacing w:val="-1"/>
          <w:sz w:val="24"/>
          <w:szCs w:val="24"/>
        </w:rPr>
        <w:t>exigences</w:t>
      </w:r>
      <w:r w:rsidRPr="002462E6">
        <w:rPr>
          <w:rFonts w:ascii="Tahoma" w:eastAsia="Times New Roman" w:hAnsi="Tahoma" w:cs="Tahoma"/>
          <w:i/>
          <w:spacing w:val="-14"/>
          <w:sz w:val="24"/>
          <w:szCs w:val="24"/>
        </w:rPr>
        <w:t xml:space="preserve"> </w:t>
      </w:r>
      <w:r w:rsidRPr="002462E6">
        <w:rPr>
          <w:rFonts w:ascii="Tahoma" w:eastAsia="Times New Roman" w:hAnsi="Tahoma" w:cs="Tahoma"/>
          <w:i/>
          <w:sz w:val="24"/>
          <w:szCs w:val="24"/>
        </w:rPr>
        <w:t>d’une</w:t>
      </w:r>
      <w:r w:rsidRPr="002462E6">
        <w:rPr>
          <w:rFonts w:ascii="Tahoma" w:eastAsia="Times New Roman" w:hAnsi="Tahoma" w:cs="Tahoma"/>
          <w:i/>
          <w:spacing w:val="-14"/>
          <w:sz w:val="24"/>
          <w:szCs w:val="24"/>
        </w:rPr>
        <w:t xml:space="preserve"> </w:t>
      </w:r>
      <w:r w:rsidRPr="002462E6">
        <w:rPr>
          <w:rFonts w:ascii="Tahoma" w:eastAsia="Times New Roman" w:hAnsi="Tahoma" w:cs="Tahoma"/>
          <w:i/>
          <w:sz w:val="24"/>
          <w:szCs w:val="24"/>
        </w:rPr>
        <w:t>gestion</w:t>
      </w:r>
      <w:r w:rsidRPr="002462E6">
        <w:rPr>
          <w:rFonts w:ascii="Tahoma" w:eastAsia="Times New Roman" w:hAnsi="Tahoma" w:cs="Tahoma"/>
          <w:i/>
          <w:spacing w:val="-15"/>
          <w:sz w:val="24"/>
          <w:szCs w:val="24"/>
        </w:rPr>
        <w:t xml:space="preserve"> </w:t>
      </w:r>
      <w:r w:rsidRPr="002462E6">
        <w:rPr>
          <w:rFonts w:ascii="Tahoma" w:eastAsia="Times New Roman" w:hAnsi="Tahoma" w:cs="Tahoma"/>
          <w:i/>
          <w:sz w:val="24"/>
          <w:szCs w:val="24"/>
        </w:rPr>
        <w:t>rationnelle</w:t>
      </w:r>
      <w:r w:rsidRPr="002462E6">
        <w:rPr>
          <w:rFonts w:ascii="Tahoma" w:eastAsia="Times New Roman" w:hAnsi="Tahoma" w:cs="Tahoma"/>
          <w:i/>
          <w:spacing w:val="-16"/>
          <w:sz w:val="24"/>
          <w:szCs w:val="24"/>
        </w:rPr>
        <w:t xml:space="preserve"> </w:t>
      </w:r>
      <w:r w:rsidRPr="002462E6">
        <w:rPr>
          <w:rFonts w:ascii="Tahoma" w:eastAsia="Times New Roman" w:hAnsi="Tahoma" w:cs="Tahoma"/>
          <w:i/>
          <w:sz w:val="24"/>
          <w:szCs w:val="24"/>
        </w:rPr>
        <w:t>:</w:t>
      </w:r>
      <w:r w:rsidRPr="002462E6">
        <w:rPr>
          <w:rFonts w:ascii="Tahoma" w:eastAsia="Times New Roman" w:hAnsi="Tahoma" w:cs="Tahoma"/>
          <w:i/>
          <w:spacing w:val="-15"/>
          <w:sz w:val="24"/>
          <w:szCs w:val="24"/>
        </w:rPr>
        <w:t xml:space="preserve"> </w:t>
      </w:r>
      <w:r w:rsidRPr="002462E6">
        <w:rPr>
          <w:rFonts w:ascii="Tahoma" w:eastAsia="Times New Roman" w:hAnsi="Tahoma" w:cs="Tahoma"/>
          <w:i/>
          <w:sz w:val="24"/>
          <w:szCs w:val="24"/>
        </w:rPr>
        <w:t>un</w:t>
      </w:r>
      <w:r w:rsidRPr="002462E6">
        <w:rPr>
          <w:rFonts w:ascii="Tahoma" w:eastAsia="Times New Roman" w:hAnsi="Tahoma" w:cs="Tahoma"/>
          <w:i/>
          <w:spacing w:val="-15"/>
          <w:sz w:val="24"/>
          <w:szCs w:val="24"/>
        </w:rPr>
        <w:t xml:space="preserve"> </w:t>
      </w:r>
      <w:r w:rsidRPr="002462E6">
        <w:rPr>
          <w:rFonts w:ascii="Tahoma" w:eastAsia="Times New Roman" w:hAnsi="Tahoma" w:cs="Tahoma"/>
          <w:i/>
          <w:sz w:val="24"/>
          <w:szCs w:val="24"/>
        </w:rPr>
        <w:t>ingénieur</w:t>
      </w:r>
      <w:r w:rsidRPr="002462E6">
        <w:rPr>
          <w:rFonts w:ascii="Tahoma" w:eastAsia="Times New Roman" w:hAnsi="Tahoma" w:cs="Tahoma"/>
          <w:i/>
          <w:spacing w:val="-16"/>
          <w:sz w:val="24"/>
          <w:szCs w:val="24"/>
        </w:rPr>
        <w:t xml:space="preserve"> </w:t>
      </w:r>
      <w:r w:rsidRPr="002462E6">
        <w:rPr>
          <w:rFonts w:ascii="Tahoma" w:eastAsia="Times New Roman" w:hAnsi="Tahoma" w:cs="Tahoma"/>
          <w:i/>
          <w:sz w:val="24"/>
          <w:szCs w:val="24"/>
        </w:rPr>
        <w:t>pour</w:t>
      </w:r>
      <w:r w:rsidRPr="002462E6">
        <w:rPr>
          <w:rFonts w:ascii="Tahoma" w:eastAsia="Times New Roman" w:hAnsi="Tahoma" w:cs="Tahoma"/>
          <w:i/>
          <w:spacing w:val="-14"/>
          <w:sz w:val="24"/>
          <w:szCs w:val="24"/>
        </w:rPr>
        <w:t xml:space="preserve"> </w:t>
      </w:r>
      <w:r w:rsidRPr="002462E6">
        <w:rPr>
          <w:rFonts w:ascii="Tahoma" w:eastAsia="Times New Roman" w:hAnsi="Tahoma" w:cs="Tahoma"/>
          <w:i/>
          <w:sz w:val="24"/>
          <w:szCs w:val="24"/>
        </w:rPr>
        <w:t>31</w:t>
      </w:r>
      <w:r w:rsidRPr="002462E6">
        <w:rPr>
          <w:rFonts w:ascii="Tahoma" w:eastAsia="Times New Roman" w:hAnsi="Tahoma" w:cs="Tahoma"/>
          <w:i/>
          <w:spacing w:val="-15"/>
          <w:sz w:val="24"/>
          <w:szCs w:val="24"/>
        </w:rPr>
        <w:t xml:space="preserve"> </w:t>
      </w:r>
      <w:r w:rsidRPr="002462E6">
        <w:rPr>
          <w:rFonts w:ascii="Tahoma" w:eastAsia="Times New Roman" w:hAnsi="Tahoma" w:cs="Tahoma"/>
          <w:i/>
          <w:sz w:val="24"/>
          <w:szCs w:val="24"/>
        </w:rPr>
        <w:t>890</w:t>
      </w:r>
      <w:r w:rsidRPr="002462E6">
        <w:rPr>
          <w:rFonts w:ascii="Tahoma" w:eastAsia="Times New Roman" w:hAnsi="Tahoma" w:cs="Tahoma"/>
          <w:i/>
          <w:spacing w:val="-16"/>
          <w:sz w:val="24"/>
          <w:szCs w:val="24"/>
        </w:rPr>
        <w:t xml:space="preserve"> </w:t>
      </w:r>
      <w:r w:rsidRPr="002462E6">
        <w:rPr>
          <w:rFonts w:ascii="Tahoma" w:eastAsia="Times New Roman" w:hAnsi="Tahoma" w:cs="Tahoma"/>
          <w:i/>
          <w:sz w:val="24"/>
          <w:szCs w:val="24"/>
        </w:rPr>
        <w:t>hectares</w:t>
      </w:r>
      <w:r w:rsidRPr="002462E6">
        <w:rPr>
          <w:rFonts w:ascii="Tahoma" w:eastAsia="Times New Roman" w:hAnsi="Tahoma" w:cs="Tahoma"/>
          <w:i/>
          <w:spacing w:val="1"/>
          <w:sz w:val="24"/>
          <w:szCs w:val="24"/>
        </w:rPr>
        <w:t xml:space="preserve"> </w:t>
      </w:r>
      <w:r w:rsidRPr="002462E6">
        <w:rPr>
          <w:rFonts w:ascii="Tahoma" w:eastAsia="Times New Roman" w:hAnsi="Tahoma" w:cs="Tahoma"/>
          <w:i/>
          <w:sz w:val="24"/>
          <w:szCs w:val="24"/>
        </w:rPr>
        <w:t>;</w:t>
      </w:r>
      <w:r w:rsidRPr="002462E6">
        <w:rPr>
          <w:rFonts w:ascii="Tahoma" w:eastAsia="Times New Roman" w:hAnsi="Tahoma" w:cs="Tahoma"/>
          <w:i/>
          <w:spacing w:val="-16"/>
          <w:sz w:val="24"/>
          <w:szCs w:val="24"/>
        </w:rPr>
        <w:t xml:space="preserve"> </w:t>
      </w:r>
      <w:r w:rsidRPr="002462E6">
        <w:rPr>
          <w:rFonts w:ascii="Tahoma" w:eastAsia="Times New Roman" w:hAnsi="Tahoma" w:cs="Tahoma"/>
          <w:i/>
          <w:sz w:val="24"/>
          <w:szCs w:val="24"/>
        </w:rPr>
        <w:t>un</w:t>
      </w:r>
      <w:r w:rsidRPr="002462E6">
        <w:rPr>
          <w:rFonts w:ascii="Tahoma" w:eastAsia="Times New Roman" w:hAnsi="Tahoma" w:cs="Tahoma"/>
          <w:i/>
          <w:spacing w:val="-15"/>
          <w:sz w:val="24"/>
          <w:szCs w:val="24"/>
        </w:rPr>
        <w:t xml:space="preserve"> </w:t>
      </w:r>
      <w:r w:rsidRPr="002462E6">
        <w:rPr>
          <w:rFonts w:ascii="Tahoma" w:eastAsia="Times New Roman" w:hAnsi="Tahoma" w:cs="Tahoma"/>
          <w:i/>
          <w:sz w:val="24"/>
          <w:szCs w:val="24"/>
        </w:rPr>
        <w:t>technicien</w:t>
      </w:r>
      <w:r w:rsidRPr="002462E6">
        <w:rPr>
          <w:rFonts w:ascii="Tahoma" w:eastAsia="Times New Roman" w:hAnsi="Tahoma" w:cs="Tahoma"/>
          <w:i/>
          <w:spacing w:val="-57"/>
          <w:sz w:val="24"/>
          <w:szCs w:val="24"/>
        </w:rPr>
        <w:t xml:space="preserve"> </w:t>
      </w:r>
      <w:r w:rsidRPr="002462E6">
        <w:rPr>
          <w:rFonts w:ascii="Tahoma" w:eastAsia="Times New Roman" w:hAnsi="Tahoma" w:cs="Tahoma"/>
          <w:i/>
          <w:sz w:val="24"/>
          <w:szCs w:val="24"/>
        </w:rPr>
        <w:t>pour</w:t>
      </w:r>
      <w:r w:rsidRPr="002462E6">
        <w:rPr>
          <w:rFonts w:ascii="Tahoma" w:eastAsia="Times New Roman" w:hAnsi="Tahoma" w:cs="Tahoma"/>
          <w:i/>
          <w:spacing w:val="-12"/>
          <w:sz w:val="24"/>
          <w:szCs w:val="24"/>
        </w:rPr>
        <w:t xml:space="preserve"> </w:t>
      </w:r>
      <w:r w:rsidRPr="002462E6">
        <w:rPr>
          <w:rFonts w:ascii="Tahoma" w:eastAsia="Times New Roman" w:hAnsi="Tahoma" w:cs="Tahoma"/>
          <w:i/>
          <w:sz w:val="24"/>
          <w:szCs w:val="24"/>
        </w:rPr>
        <w:t>7</w:t>
      </w:r>
      <w:r w:rsidRPr="002462E6">
        <w:rPr>
          <w:rFonts w:ascii="Tahoma" w:eastAsia="Times New Roman" w:hAnsi="Tahoma" w:cs="Tahoma"/>
          <w:i/>
          <w:spacing w:val="-11"/>
          <w:sz w:val="24"/>
          <w:szCs w:val="24"/>
        </w:rPr>
        <w:t xml:space="preserve"> </w:t>
      </w:r>
      <w:r w:rsidRPr="002462E6">
        <w:rPr>
          <w:rFonts w:ascii="Tahoma" w:eastAsia="Times New Roman" w:hAnsi="Tahoma" w:cs="Tahoma"/>
          <w:i/>
          <w:sz w:val="24"/>
          <w:szCs w:val="24"/>
        </w:rPr>
        <w:t>340</w:t>
      </w:r>
      <w:r w:rsidRPr="002462E6">
        <w:rPr>
          <w:rFonts w:ascii="Tahoma" w:eastAsia="Times New Roman" w:hAnsi="Tahoma" w:cs="Tahoma"/>
          <w:i/>
          <w:spacing w:val="-12"/>
          <w:sz w:val="24"/>
          <w:szCs w:val="24"/>
        </w:rPr>
        <w:t xml:space="preserve"> </w:t>
      </w:r>
      <w:r w:rsidRPr="002462E6">
        <w:rPr>
          <w:rFonts w:ascii="Tahoma" w:eastAsia="Times New Roman" w:hAnsi="Tahoma" w:cs="Tahoma"/>
          <w:i/>
          <w:sz w:val="24"/>
          <w:szCs w:val="24"/>
        </w:rPr>
        <w:t>hectares</w:t>
      </w:r>
      <w:r w:rsidRPr="002462E6">
        <w:rPr>
          <w:rFonts w:ascii="Tahoma" w:eastAsia="Times New Roman" w:hAnsi="Tahoma" w:cs="Tahoma"/>
          <w:i/>
          <w:spacing w:val="-12"/>
          <w:sz w:val="24"/>
          <w:szCs w:val="24"/>
        </w:rPr>
        <w:t xml:space="preserve"> </w:t>
      </w:r>
      <w:r w:rsidRPr="002462E6">
        <w:rPr>
          <w:rFonts w:ascii="Tahoma" w:eastAsia="Times New Roman" w:hAnsi="Tahoma" w:cs="Tahoma"/>
          <w:i/>
          <w:sz w:val="24"/>
          <w:szCs w:val="24"/>
        </w:rPr>
        <w:t>et</w:t>
      </w:r>
      <w:r w:rsidRPr="002462E6">
        <w:rPr>
          <w:rFonts w:ascii="Tahoma" w:eastAsia="Times New Roman" w:hAnsi="Tahoma" w:cs="Tahoma"/>
          <w:i/>
          <w:spacing w:val="-13"/>
          <w:sz w:val="24"/>
          <w:szCs w:val="24"/>
        </w:rPr>
        <w:t xml:space="preserve"> </w:t>
      </w:r>
      <w:r w:rsidRPr="002462E6">
        <w:rPr>
          <w:rFonts w:ascii="Tahoma" w:eastAsia="Times New Roman" w:hAnsi="Tahoma" w:cs="Tahoma"/>
          <w:i/>
          <w:sz w:val="24"/>
          <w:szCs w:val="24"/>
        </w:rPr>
        <w:t>un</w:t>
      </w:r>
      <w:r w:rsidRPr="002462E6">
        <w:rPr>
          <w:rFonts w:ascii="Tahoma" w:eastAsia="Times New Roman" w:hAnsi="Tahoma" w:cs="Tahoma"/>
          <w:i/>
          <w:spacing w:val="-12"/>
          <w:sz w:val="24"/>
          <w:szCs w:val="24"/>
        </w:rPr>
        <w:t xml:space="preserve"> </w:t>
      </w:r>
      <w:r w:rsidRPr="002462E6">
        <w:rPr>
          <w:rFonts w:ascii="Tahoma" w:eastAsia="Times New Roman" w:hAnsi="Tahoma" w:cs="Tahoma"/>
          <w:i/>
          <w:sz w:val="24"/>
          <w:szCs w:val="24"/>
        </w:rPr>
        <w:t>cavalier</w:t>
      </w:r>
      <w:r w:rsidRPr="002462E6">
        <w:rPr>
          <w:rFonts w:ascii="Tahoma" w:eastAsia="Times New Roman" w:hAnsi="Tahoma" w:cs="Tahoma"/>
          <w:i/>
          <w:spacing w:val="-11"/>
          <w:sz w:val="24"/>
          <w:szCs w:val="24"/>
        </w:rPr>
        <w:t xml:space="preserve"> </w:t>
      </w:r>
      <w:r w:rsidRPr="002462E6">
        <w:rPr>
          <w:rFonts w:ascii="Tahoma" w:eastAsia="Times New Roman" w:hAnsi="Tahoma" w:cs="Tahoma"/>
          <w:i/>
          <w:sz w:val="24"/>
          <w:szCs w:val="24"/>
        </w:rPr>
        <w:t>pour</w:t>
      </w:r>
      <w:r w:rsidRPr="002462E6">
        <w:rPr>
          <w:rFonts w:ascii="Tahoma" w:eastAsia="Times New Roman" w:hAnsi="Tahoma" w:cs="Tahoma"/>
          <w:i/>
          <w:spacing w:val="-12"/>
          <w:sz w:val="24"/>
          <w:szCs w:val="24"/>
        </w:rPr>
        <w:t xml:space="preserve"> </w:t>
      </w:r>
      <w:r w:rsidRPr="002462E6">
        <w:rPr>
          <w:rFonts w:ascii="Tahoma" w:eastAsia="Times New Roman" w:hAnsi="Tahoma" w:cs="Tahoma"/>
          <w:i/>
          <w:sz w:val="24"/>
          <w:szCs w:val="24"/>
        </w:rPr>
        <w:t>10</w:t>
      </w:r>
      <w:r w:rsidRPr="002462E6">
        <w:rPr>
          <w:rFonts w:ascii="Tahoma" w:eastAsia="Times New Roman" w:hAnsi="Tahoma" w:cs="Tahoma"/>
          <w:i/>
          <w:spacing w:val="-11"/>
          <w:sz w:val="24"/>
          <w:szCs w:val="24"/>
        </w:rPr>
        <w:t xml:space="preserve"> </w:t>
      </w:r>
      <w:r w:rsidRPr="002462E6">
        <w:rPr>
          <w:rFonts w:ascii="Tahoma" w:eastAsia="Times New Roman" w:hAnsi="Tahoma" w:cs="Tahoma"/>
          <w:i/>
          <w:sz w:val="24"/>
          <w:szCs w:val="24"/>
        </w:rPr>
        <w:t>643</w:t>
      </w:r>
      <w:r w:rsidRPr="002462E6">
        <w:rPr>
          <w:rFonts w:ascii="Tahoma" w:eastAsia="Times New Roman" w:hAnsi="Tahoma" w:cs="Tahoma"/>
          <w:i/>
          <w:spacing w:val="-12"/>
          <w:sz w:val="24"/>
          <w:szCs w:val="24"/>
        </w:rPr>
        <w:t xml:space="preserve"> </w:t>
      </w:r>
      <w:r w:rsidRPr="002462E6">
        <w:rPr>
          <w:rFonts w:ascii="Tahoma" w:eastAsia="Times New Roman" w:hAnsi="Tahoma" w:cs="Tahoma"/>
          <w:i/>
          <w:sz w:val="24"/>
          <w:szCs w:val="24"/>
        </w:rPr>
        <w:t>hectares.</w:t>
      </w:r>
      <w:r w:rsidRPr="002462E6">
        <w:rPr>
          <w:rFonts w:ascii="Tahoma" w:eastAsia="Times New Roman" w:hAnsi="Tahoma" w:cs="Tahoma"/>
          <w:i/>
          <w:spacing w:val="-12"/>
          <w:sz w:val="24"/>
          <w:szCs w:val="24"/>
        </w:rPr>
        <w:t xml:space="preserve"> </w:t>
      </w:r>
      <w:r w:rsidRPr="002462E6">
        <w:rPr>
          <w:rFonts w:ascii="Tahoma" w:eastAsia="Times New Roman" w:hAnsi="Tahoma" w:cs="Tahoma"/>
          <w:i/>
          <w:sz w:val="24"/>
          <w:szCs w:val="24"/>
        </w:rPr>
        <w:t>Ces</w:t>
      </w:r>
      <w:r w:rsidRPr="002462E6">
        <w:rPr>
          <w:rFonts w:ascii="Tahoma" w:eastAsia="Times New Roman" w:hAnsi="Tahoma" w:cs="Tahoma"/>
          <w:i/>
          <w:spacing w:val="-12"/>
          <w:sz w:val="24"/>
          <w:szCs w:val="24"/>
        </w:rPr>
        <w:t xml:space="preserve"> </w:t>
      </w:r>
      <w:r w:rsidRPr="002462E6">
        <w:rPr>
          <w:rFonts w:ascii="Tahoma" w:eastAsia="Times New Roman" w:hAnsi="Tahoma" w:cs="Tahoma"/>
          <w:i/>
          <w:sz w:val="24"/>
          <w:szCs w:val="24"/>
        </w:rPr>
        <w:t>taux</w:t>
      </w:r>
      <w:r w:rsidRPr="002462E6">
        <w:rPr>
          <w:rFonts w:ascii="Tahoma" w:eastAsia="Times New Roman" w:hAnsi="Tahoma" w:cs="Tahoma"/>
          <w:i/>
          <w:spacing w:val="-11"/>
          <w:sz w:val="24"/>
          <w:szCs w:val="24"/>
        </w:rPr>
        <w:t xml:space="preserve"> </w:t>
      </w:r>
      <w:r w:rsidRPr="002462E6">
        <w:rPr>
          <w:rFonts w:ascii="Tahoma" w:eastAsia="Times New Roman" w:hAnsi="Tahoma" w:cs="Tahoma"/>
          <w:i/>
          <w:sz w:val="24"/>
          <w:szCs w:val="24"/>
        </w:rPr>
        <w:t>montrent</w:t>
      </w:r>
      <w:r w:rsidRPr="002462E6">
        <w:rPr>
          <w:rFonts w:ascii="Tahoma" w:eastAsia="Times New Roman" w:hAnsi="Tahoma" w:cs="Tahoma"/>
          <w:i/>
          <w:spacing w:val="-11"/>
          <w:sz w:val="24"/>
          <w:szCs w:val="24"/>
        </w:rPr>
        <w:t xml:space="preserve"> </w:t>
      </w:r>
      <w:r w:rsidRPr="002462E6">
        <w:rPr>
          <w:rFonts w:ascii="Tahoma" w:eastAsia="Times New Roman" w:hAnsi="Tahoma" w:cs="Tahoma"/>
          <w:i/>
          <w:sz w:val="24"/>
          <w:szCs w:val="24"/>
        </w:rPr>
        <w:t>que</w:t>
      </w:r>
      <w:r w:rsidRPr="002462E6">
        <w:rPr>
          <w:rFonts w:ascii="Tahoma" w:eastAsia="Times New Roman" w:hAnsi="Tahoma" w:cs="Tahoma"/>
          <w:i/>
          <w:spacing w:val="-12"/>
          <w:sz w:val="24"/>
          <w:szCs w:val="24"/>
        </w:rPr>
        <w:t xml:space="preserve"> </w:t>
      </w:r>
      <w:r w:rsidRPr="002462E6">
        <w:rPr>
          <w:rFonts w:ascii="Tahoma" w:eastAsia="Times New Roman" w:hAnsi="Tahoma" w:cs="Tahoma"/>
          <w:i/>
          <w:sz w:val="24"/>
          <w:szCs w:val="24"/>
        </w:rPr>
        <w:t>dans</w:t>
      </w:r>
      <w:r w:rsidRPr="002462E6">
        <w:rPr>
          <w:rFonts w:ascii="Tahoma" w:eastAsia="Times New Roman" w:hAnsi="Tahoma" w:cs="Tahoma"/>
          <w:i/>
          <w:spacing w:val="-12"/>
          <w:sz w:val="24"/>
          <w:szCs w:val="24"/>
        </w:rPr>
        <w:t xml:space="preserve"> </w:t>
      </w:r>
      <w:r w:rsidRPr="002462E6">
        <w:rPr>
          <w:rFonts w:ascii="Tahoma" w:eastAsia="Times New Roman" w:hAnsi="Tahoma" w:cs="Tahoma"/>
          <w:i/>
          <w:sz w:val="24"/>
          <w:szCs w:val="24"/>
        </w:rPr>
        <w:t>les conditions actuelles, l’encadrement</w:t>
      </w:r>
      <w:r w:rsidRPr="002462E6">
        <w:rPr>
          <w:rFonts w:ascii="Tahoma" w:eastAsia="Times New Roman" w:hAnsi="Tahoma" w:cs="Tahoma"/>
          <w:i/>
          <w:spacing w:val="-2"/>
          <w:sz w:val="24"/>
          <w:szCs w:val="24"/>
        </w:rPr>
        <w:t xml:space="preserve"> </w:t>
      </w:r>
      <w:r w:rsidRPr="002462E6">
        <w:rPr>
          <w:rFonts w:ascii="Tahoma" w:eastAsia="Times New Roman" w:hAnsi="Tahoma" w:cs="Tahoma"/>
          <w:i/>
          <w:sz w:val="24"/>
          <w:szCs w:val="24"/>
        </w:rPr>
        <w:t>sur</w:t>
      </w:r>
      <w:r w:rsidRPr="002462E6">
        <w:rPr>
          <w:rFonts w:ascii="Tahoma" w:eastAsia="Times New Roman" w:hAnsi="Tahoma" w:cs="Tahoma"/>
          <w:i/>
          <w:spacing w:val="-1"/>
          <w:sz w:val="24"/>
          <w:szCs w:val="24"/>
        </w:rPr>
        <w:t xml:space="preserve"> </w:t>
      </w:r>
      <w:r w:rsidRPr="002462E6">
        <w:rPr>
          <w:rFonts w:ascii="Tahoma" w:eastAsia="Times New Roman" w:hAnsi="Tahoma" w:cs="Tahoma"/>
          <w:i/>
          <w:sz w:val="24"/>
          <w:szCs w:val="24"/>
        </w:rPr>
        <w:t>le terrain fait défaut</w:t>
      </w:r>
      <w:r w:rsidRPr="002462E6">
        <w:rPr>
          <w:rFonts w:ascii="Tahoma" w:eastAsia="Times New Roman" w:hAnsi="Tahoma" w:cs="Tahoma"/>
          <w:i/>
          <w:spacing w:val="1"/>
          <w:sz w:val="24"/>
          <w:szCs w:val="24"/>
        </w:rPr>
        <w:t xml:space="preserve"> </w:t>
      </w:r>
      <w:r w:rsidRPr="002462E6">
        <w:rPr>
          <w:rFonts w:ascii="Tahoma" w:eastAsia="Times New Roman" w:hAnsi="Tahoma" w:cs="Tahoma"/>
          <w:sz w:val="24"/>
          <w:szCs w:val="24"/>
        </w:rPr>
        <w:t>»</w:t>
      </w:r>
      <w:r w:rsidRPr="002462E6">
        <w:rPr>
          <w:rFonts w:ascii="Tahoma" w:eastAsia="Times New Roman" w:hAnsi="Tahoma" w:cs="Tahoma"/>
          <w:sz w:val="24"/>
          <w:szCs w:val="24"/>
          <w:vertAlign w:val="superscript"/>
        </w:rPr>
        <w:footnoteReference w:id="151"/>
      </w:r>
      <w:r w:rsidRPr="002462E6">
        <w:rPr>
          <w:rFonts w:ascii="Tahoma" w:eastAsia="Times New Roman" w:hAnsi="Tahoma" w:cs="Tahoma"/>
          <w:sz w:val="24"/>
          <w:szCs w:val="24"/>
        </w:rPr>
        <w:t>.</w:t>
      </w:r>
    </w:p>
    <w:p w:rsidR="000A7532" w:rsidRPr="002462E6" w:rsidRDefault="000A7532" w:rsidP="000A7532">
      <w:pPr>
        <w:widowControl w:val="0"/>
        <w:autoSpaceDE w:val="0"/>
        <w:autoSpaceDN w:val="0"/>
        <w:spacing w:before="160" w:after="0" w:line="360" w:lineRule="auto"/>
        <w:ind w:right="4"/>
        <w:jc w:val="both"/>
        <w:rPr>
          <w:rFonts w:ascii="Tahoma" w:eastAsia="Times New Roman" w:hAnsi="Tahoma" w:cs="Tahoma"/>
          <w:sz w:val="24"/>
          <w:szCs w:val="24"/>
        </w:rPr>
      </w:pPr>
      <w:r w:rsidRPr="002462E6">
        <w:rPr>
          <w:rFonts w:ascii="Tahoma" w:eastAsia="Times New Roman" w:hAnsi="Tahoma" w:cs="Tahoma"/>
          <w:sz w:val="24"/>
          <w:szCs w:val="24"/>
        </w:rPr>
        <w:t>En somme, l’incapacité du service forestier à faire respecter les lois et à contrôler efficacement les droits d’usage, outre l’accroissement du sentiment d’égoïsme et la régression des normes et des valeurs sociales vis-à-vis de la protection des communs, ont accéléré les rythmes de déforestation.</w:t>
      </w:r>
    </w:p>
    <w:p w:rsidR="000A7532" w:rsidRPr="002462E6" w:rsidRDefault="000A7532" w:rsidP="000A7532">
      <w:pPr>
        <w:widowControl w:val="0"/>
        <w:autoSpaceDE w:val="0"/>
        <w:autoSpaceDN w:val="0"/>
        <w:spacing w:before="160" w:after="0" w:line="360" w:lineRule="auto"/>
        <w:ind w:right="4"/>
        <w:jc w:val="both"/>
        <w:rPr>
          <w:rFonts w:ascii="Tahoma" w:eastAsia="Times New Roman" w:hAnsi="Tahoma" w:cs="Tahoma"/>
          <w:sz w:val="24"/>
          <w:szCs w:val="24"/>
        </w:rPr>
      </w:pPr>
      <w:r w:rsidRPr="002462E6">
        <w:rPr>
          <w:rFonts w:ascii="Tahoma" w:eastAsia="Times New Roman" w:hAnsi="Tahoma" w:cs="Tahoma"/>
          <w:sz w:val="24"/>
          <w:szCs w:val="24"/>
        </w:rPr>
        <w:t>Face à ces problèmes, l'intervention de l’administration forestière en tant que garante légale de la conservation des forêts et de la biodiversité se montre largement insuffisante. Il fallait attendre le milieu des années 1970 du siècle dernier pour que la Maroc ait conscience que la gestion forestière purement étatique entrave la réalisation des objectifs escomptés et ne constitue pas une muraille forte contre le phénomène de dégradation d’origine anthropique. Cette conscientisation s’est matérialisée par la promulgation du Dahir de 1976</w:t>
      </w:r>
      <w:r w:rsidRPr="002462E6">
        <w:rPr>
          <w:rFonts w:ascii="Tahoma" w:eastAsia="Times New Roman" w:hAnsi="Tahoma" w:cs="Tahoma"/>
          <w:sz w:val="24"/>
          <w:szCs w:val="24"/>
          <w:vertAlign w:val="superscript"/>
        </w:rPr>
        <w:footnoteReference w:id="152"/>
      </w:r>
      <w:r w:rsidRPr="002462E6">
        <w:rPr>
          <w:rFonts w:ascii="Tahoma" w:eastAsia="Times New Roman" w:hAnsi="Tahoma" w:cs="Tahoma"/>
          <w:sz w:val="24"/>
          <w:szCs w:val="24"/>
        </w:rPr>
        <w:t xml:space="preserve">. Action qui parait marquer la rupture avec le système précédent fondé sur l’autorité excessive de l’État dans les territoires forestiers. Le nouveau texte juridique vise l’organisation de la participation des populations qui vivent au sein des communes </w:t>
      </w:r>
      <w:r w:rsidRPr="002462E6">
        <w:rPr>
          <w:rFonts w:ascii="Tahoma" w:eastAsia="Times New Roman" w:hAnsi="Tahoma" w:cs="Tahoma"/>
          <w:sz w:val="24"/>
          <w:szCs w:val="24"/>
        </w:rPr>
        <w:lastRenderedPageBreak/>
        <w:t>forestières et leur implication dans le processus afin d’assurer une gestion efficace ainsi qu’une exploitation optimale des ressources.  A cet égard, les nouveaux dispositifs participatifs marquent-ils le début d’un processus de réinvention des communs, sous l’instigation de l’État ?</w:t>
      </w:r>
    </w:p>
    <w:p w:rsidR="000A7532" w:rsidRPr="002462E6" w:rsidRDefault="000A7532" w:rsidP="000A7532">
      <w:pPr>
        <w:widowControl w:val="0"/>
        <w:autoSpaceDE w:val="0"/>
        <w:autoSpaceDN w:val="0"/>
        <w:spacing w:before="160" w:after="0" w:line="360" w:lineRule="auto"/>
        <w:ind w:right="4"/>
        <w:jc w:val="both"/>
        <w:rPr>
          <w:rFonts w:ascii="Tahoma" w:eastAsia="Times New Roman" w:hAnsi="Tahoma" w:cs="Tahoma"/>
          <w:sz w:val="24"/>
          <w:szCs w:val="24"/>
        </w:rPr>
      </w:pPr>
      <w:r w:rsidRPr="002462E6">
        <w:rPr>
          <w:rFonts w:ascii="Tahoma" w:eastAsia="Times New Roman" w:hAnsi="Tahoma" w:cs="Tahoma"/>
          <w:sz w:val="24"/>
          <w:szCs w:val="24"/>
        </w:rPr>
        <w:t xml:space="preserve">Dans ce contexte, il s’avère important d’étudier l’architecture institutionnelle, au niveau de l'Atlas marocain caractérisé par la coexistence d'un système moderne et d'une structure communautaire autonome particulièrement au niveau de la vallée des </w:t>
      </w:r>
      <w:r w:rsidRPr="002462E6">
        <w:rPr>
          <w:rFonts w:ascii="Tahoma" w:eastAsia="Times New Roman" w:hAnsi="Tahoma" w:cs="Tahoma"/>
          <w:i/>
          <w:iCs/>
          <w:sz w:val="24"/>
          <w:szCs w:val="24"/>
        </w:rPr>
        <w:t xml:space="preserve">Aït Bouguemez </w:t>
      </w:r>
      <w:r w:rsidRPr="002462E6">
        <w:rPr>
          <w:rFonts w:ascii="Tahoma" w:eastAsia="Times New Roman" w:hAnsi="Tahoma" w:cs="Tahoma"/>
          <w:sz w:val="24"/>
          <w:szCs w:val="24"/>
        </w:rPr>
        <w:t xml:space="preserve">où les communautés locales, malgré la présence grandissante de l'État, continuent de gérer les ressources forestières. </w:t>
      </w:r>
      <w:bookmarkStart w:id="88" w:name="_bookmark46"/>
      <w:bookmarkEnd w:id="88"/>
      <w:r w:rsidRPr="002462E6">
        <w:rPr>
          <w:rFonts w:ascii="Tahoma" w:eastAsia="Times New Roman" w:hAnsi="Tahoma" w:cs="Tahoma"/>
          <w:sz w:val="24"/>
          <w:szCs w:val="24"/>
        </w:rPr>
        <w:t>Ceci, soulève des questions cruciales concernant la manière dont les autorités peuvent harmoniser les stratégies de conservation avec les pratiques communautaires, afin de favoriser une collaboration mutuellement bénéfique.</w:t>
      </w:r>
    </w:p>
    <w:p w:rsidR="000A7532" w:rsidRPr="002462E6" w:rsidRDefault="000A7532" w:rsidP="000A7532">
      <w:pPr>
        <w:widowControl w:val="0"/>
        <w:autoSpaceDE w:val="0"/>
        <w:autoSpaceDN w:val="0"/>
        <w:spacing w:before="160" w:after="0" w:line="360" w:lineRule="auto"/>
        <w:ind w:right="4"/>
        <w:jc w:val="both"/>
        <w:rPr>
          <w:rFonts w:ascii="Tahoma" w:eastAsia="Times New Roman" w:hAnsi="Tahoma" w:cs="Tahoma"/>
          <w:sz w:val="24"/>
          <w:szCs w:val="24"/>
        </w:rPr>
      </w:pPr>
    </w:p>
    <w:p w:rsidR="000A7532" w:rsidRPr="002462E6" w:rsidRDefault="000A7532" w:rsidP="00BF1F48">
      <w:pPr>
        <w:pStyle w:val="Titre5"/>
      </w:pPr>
      <w:bookmarkStart w:id="89" w:name="_Toc201655455"/>
      <w:bookmarkStart w:id="90" w:name="_Toc203643010"/>
      <w:r w:rsidRPr="002462E6">
        <w:t>Gestion des forêts de la vallée des Ayt Bouguemmez : entre AGDAL traditionnel et politique publique</w:t>
      </w:r>
      <w:bookmarkEnd w:id="89"/>
      <w:bookmarkEnd w:id="90"/>
      <w:r w:rsidRPr="002462E6">
        <w:t xml:space="preserve"> </w:t>
      </w:r>
    </w:p>
    <w:p w:rsidR="000A7532" w:rsidRPr="002462E6" w:rsidRDefault="000A7532" w:rsidP="000A7532">
      <w:pPr>
        <w:widowControl w:val="0"/>
        <w:autoSpaceDE w:val="0"/>
        <w:autoSpaceDN w:val="0"/>
        <w:spacing w:before="1" w:after="0" w:line="360" w:lineRule="auto"/>
        <w:ind w:right="596"/>
        <w:jc w:val="both"/>
        <w:rPr>
          <w:rFonts w:ascii="Tahoma" w:eastAsia="Times New Roman" w:hAnsi="Tahoma" w:cs="Tahoma"/>
          <w:color w:val="00B050"/>
          <w:sz w:val="24"/>
          <w:szCs w:val="24"/>
        </w:rPr>
      </w:pPr>
    </w:p>
    <w:p w:rsidR="000A7532" w:rsidRPr="002462E6" w:rsidRDefault="000A7532" w:rsidP="00BF5B52">
      <w:pPr>
        <w:widowControl w:val="0"/>
        <w:autoSpaceDE w:val="0"/>
        <w:autoSpaceDN w:val="0"/>
        <w:spacing w:after="0" w:line="360" w:lineRule="auto"/>
        <w:jc w:val="both"/>
        <w:rPr>
          <w:rFonts w:ascii="Tahoma" w:eastAsia="Times New Roman" w:hAnsi="Tahoma" w:cs="Tahoma"/>
          <w:color w:val="000000"/>
          <w:sz w:val="24"/>
          <w:szCs w:val="24"/>
        </w:rPr>
      </w:pPr>
      <w:r w:rsidRPr="002462E6">
        <w:rPr>
          <w:rFonts w:ascii="Tahoma" w:eastAsia="Times New Roman" w:hAnsi="Tahoma" w:cs="Tahoma"/>
          <w:color w:val="000000"/>
          <w:sz w:val="24"/>
          <w:szCs w:val="24"/>
        </w:rPr>
        <w:t xml:space="preserve">La </w:t>
      </w:r>
      <w:bookmarkStart w:id="91" w:name="_Hlk182051054"/>
      <w:r w:rsidRPr="002462E6">
        <w:rPr>
          <w:rFonts w:ascii="Tahoma" w:eastAsia="Times New Roman" w:hAnsi="Tahoma" w:cs="Tahoma"/>
          <w:color w:val="000000"/>
          <w:sz w:val="24"/>
          <w:szCs w:val="24"/>
        </w:rPr>
        <w:t>région du Haut Atlas</w:t>
      </w:r>
      <w:bookmarkEnd w:id="91"/>
      <w:r w:rsidRPr="002462E6">
        <w:rPr>
          <w:rFonts w:ascii="Tahoma" w:eastAsia="Times New Roman" w:hAnsi="Tahoma" w:cs="Tahoma"/>
          <w:color w:val="000000"/>
          <w:sz w:val="24"/>
          <w:szCs w:val="24"/>
        </w:rPr>
        <w:t>, et plus spécialement la vallée d'</w:t>
      </w:r>
      <w:r w:rsidRPr="002462E6">
        <w:rPr>
          <w:rFonts w:ascii="Tahoma" w:eastAsia="Times New Roman" w:hAnsi="Tahoma" w:cs="Tahoma"/>
          <w:i/>
          <w:iCs/>
          <w:color w:val="000000"/>
          <w:sz w:val="24"/>
          <w:szCs w:val="24"/>
        </w:rPr>
        <w:t>Aït Bouguemez</w:t>
      </w:r>
      <w:r w:rsidRPr="002462E6">
        <w:rPr>
          <w:rFonts w:ascii="Tahoma" w:eastAsia="Times New Roman" w:hAnsi="Tahoma" w:cs="Tahoma"/>
          <w:i/>
          <w:iCs/>
          <w:color w:val="000000"/>
          <w:sz w:val="24"/>
          <w:szCs w:val="24"/>
          <w:vertAlign w:val="superscript"/>
        </w:rPr>
        <w:footnoteReference w:id="153"/>
      </w:r>
      <w:r w:rsidRPr="002462E6">
        <w:rPr>
          <w:rFonts w:ascii="Tahoma" w:eastAsia="Times New Roman" w:hAnsi="Tahoma" w:cs="Tahoma"/>
          <w:color w:val="000000"/>
          <w:sz w:val="24"/>
          <w:szCs w:val="24"/>
        </w:rPr>
        <w:t>, se distingue par la richesse de sa biodiversité.</w:t>
      </w:r>
      <w:r w:rsidRPr="002462E6">
        <w:rPr>
          <w:rFonts w:ascii="Times New Roman" w:eastAsia="Times New Roman" w:hAnsi="Times New Roman" w:cs="Times New Roman"/>
        </w:rPr>
        <w:t xml:space="preserve"> </w:t>
      </w:r>
      <w:r w:rsidRPr="002462E6">
        <w:rPr>
          <w:rFonts w:ascii="Tahoma" w:eastAsia="Times New Roman" w:hAnsi="Tahoma" w:cs="Tahoma"/>
          <w:color w:val="000000"/>
          <w:sz w:val="24"/>
          <w:szCs w:val="24"/>
        </w:rPr>
        <w:t>La valeur écologique de cet espace a été hautement appréciée par MEDAIL et QUEZEL (1997)</w:t>
      </w:r>
      <w:r w:rsidRPr="002462E6">
        <w:rPr>
          <w:rFonts w:ascii="Tahoma" w:eastAsia="Times New Roman" w:hAnsi="Tahoma" w:cs="Tahoma"/>
          <w:color w:val="000000"/>
          <w:sz w:val="24"/>
          <w:szCs w:val="24"/>
          <w:vertAlign w:val="superscript"/>
        </w:rPr>
        <w:footnoteReference w:id="154"/>
      </w:r>
      <w:r w:rsidRPr="002462E6">
        <w:rPr>
          <w:rFonts w:ascii="Tahoma" w:eastAsia="Times New Roman" w:hAnsi="Tahoma" w:cs="Tahoma"/>
          <w:color w:val="000000"/>
          <w:sz w:val="24"/>
          <w:szCs w:val="24"/>
        </w:rPr>
        <w:t>. Elle est caractérisée par un système de production agro-sylvo-pastoral, bien que ce système soit actuellement en pleine mutation. Cette transformation est notamment influencée par le développement du tourisme et l'adoption de cultures de rente</w:t>
      </w:r>
      <w:r w:rsidRPr="002462E6">
        <w:rPr>
          <w:rFonts w:ascii="Tahoma" w:eastAsia="Times New Roman" w:hAnsi="Tahoma" w:cs="Tahoma"/>
          <w:color w:val="000000"/>
          <w:sz w:val="24"/>
          <w:szCs w:val="24"/>
          <w:vertAlign w:val="superscript"/>
        </w:rPr>
        <w:footnoteReference w:id="155"/>
      </w:r>
      <w:r w:rsidRPr="002462E6">
        <w:rPr>
          <w:rFonts w:ascii="Tahoma" w:eastAsia="Times New Roman" w:hAnsi="Tahoma" w:cs="Tahoma"/>
          <w:color w:val="000000"/>
          <w:sz w:val="24"/>
          <w:szCs w:val="24"/>
        </w:rPr>
        <w:t>.</w:t>
      </w:r>
      <w:r w:rsidRPr="002462E6">
        <w:rPr>
          <w:rFonts w:ascii="Times New Roman" w:eastAsia="Times New Roman" w:hAnsi="Times New Roman" w:cs="Times New Roman"/>
        </w:rPr>
        <w:t xml:space="preserve"> </w:t>
      </w:r>
    </w:p>
    <w:p w:rsidR="000A7532" w:rsidRPr="002462E6" w:rsidRDefault="000A7532" w:rsidP="000A7532">
      <w:pPr>
        <w:widowControl w:val="0"/>
        <w:autoSpaceDE w:val="0"/>
        <w:autoSpaceDN w:val="0"/>
        <w:spacing w:after="0" w:line="360" w:lineRule="auto"/>
        <w:jc w:val="both"/>
        <w:rPr>
          <w:rFonts w:ascii="Tahoma" w:eastAsia="Times New Roman" w:hAnsi="Tahoma" w:cs="Tahoma"/>
          <w:color w:val="000000"/>
          <w:sz w:val="24"/>
          <w:szCs w:val="24"/>
        </w:rPr>
      </w:pPr>
      <w:r w:rsidRPr="002462E6">
        <w:rPr>
          <w:rFonts w:ascii="Tahoma" w:eastAsia="Times New Roman" w:hAnsi="Tahoma" w:cs="Tahoma"/>
          <w:color w:val="000000"/>
          <w:sz w:val="24"/>
          <w:szCs w:val="24"/>
        </w:rPr>
        <w:lastRenderedPageBreak/>
        <w:t>La vallée d'</w:t>
      </w:r>
      <w:r w:rsidRPr="002462E6">
        <w:rPr>
          <w:rFonts w:ascii="Tahoma" w:eastAsia="Times New Roman" w:hAnsi="Tahoma" w:cs="Tahoma"/>
          <w:i/>
          <w:iCs/>
          <w:color w:val="000000"/>
          <w:sz w:val="24"/>
          <w:szCs w:val="24"/>
        </w:rPr>
        <w:t xml:space="preserve">Aït Bouguemez </w:t>
      </w:r>
      <w:r w:rsidRPr="002462E6">
        <w:rPr>
          <w:rFonts w:ascii="Tahoma" w:eastAsia="Times New Roman" w:hAnsi="Tahoma" w:cs="Tahoma"/>
          <w:color w:val="000000"/>
          <w:sz w:val="24"/>
          <w:szCs w:val="24"/>
        </w:rPr>
        <w:t xml:space="preserve">abrite une population d'environ 15 000 habitants, répartis sur près de trente douars. Enserrée entre des chaînes de montagnes du haut Atlas, elle bénéficie d'un climat oroméditerranéen qui présente des amplitudes thermiques élevées. Cependant, sa pluviométrie annuelle et interannuelle est irrégulière, oscillant en moyenne entre 500 et 800 mm par an </w:t>
      </w:r>
      <w:r w:rsidRPr="002462E6">
        <w:rPr>
          <w:rFonts w:ascii="Tahoma" w:eastAsia="Times New Roman" w:hAnsi="Tahoma" w:cs="Tahoma"/>
          <w:b/>
          <w:bCs/>
          <w:sz w:val="24"/>
          <w:szCs w:val="24"/>
        </w:rPr>
        <w:t xml:space="preserve">(Carte </w:t>
      </w:r>
      <w:r w:rsidRPr="002462E6">
        <w:rPr>
          <w:rFonts w:ascii="Tahoma" w:eastAsia="Times New Roman" w:hAnsi="Tahoma" w:cs="Tahoma"/>
          <w:b/>
          <w:bCs/>
        </w:rPr>
        <w:t>N°</w:t>
      </w:r>
      <w:r w:rsidRPr="002462E6">
        <w:rPr>
          <w:rFonts w:ascii="Tahoma" w:eastAsia="Times New Roman" w:hAnsi="Tahoma" w:cs="Tahoma"/>
          <w:b/>
        </w:rPr>
        <w:t>2</w:t>
      </w:r>
      <w:r w:rsidRPr="002462E6">
        <w:rPr>
          <w:rFonts w:ascii="Tahoma" w:eastAsia="Times New Roman" w:hAnsi="Tahoma" w:cs="Tahoma"/>
          <w:sz w:val="24"/>
          <w:szCs w:val="24"/>
        </w:rPr>
        <w:t>).</w:t>
      </w:r>
    </w:p>
    <w:p w:rsidR="000A7532" w:rsidRPr="002462E6" w:rsidRDefault="000A7532" w:rsidP="00BF5B52">
      <w:pPr>
        <w:widowControl w:val="0"/>
        <w:autoSpaceDE w:val="0"/>
        <w:autoSpaceDN w:val="0"/>
        <w:spacing w:after="0" w:line="360" w:lineRule="auto"/>
        <w:jc w:val="both"/>
        <w:rPr>
          <w:rFonts w:ascii="Tahoma" w:eastAsia="Times New Roman" w:hAnsi="Tahoma" w:cs="Tahoma"/>
          <w:color w:val="000000"/>
          <w:sz w:val="24"/>
          <w:szCs w:val="24"/>
        </w:rPr>
      </w:pPr>
      <w:r w:rsidRPr="002462E6">
        <w:rPr>
          <w:rFonts w:ascii="Tahoma" w:eastAsia="Times New Roman" w:hAnsi="Tahoma" w:cs="Tahoma"/>
          <w:color w:val="000000"/>
          <w:sz w:val="24"/>
          <w:szCs w:val="24"/>
        </w:rPr>
        <w:t>Les activités productives des familles de la vallée se basent sur une utilisation complémentaire et intégrée des diverses ressources disponibles dans leur territoire. Cette intégration des activités agro-pastorales constitue un élément clé des stratégies familiales et communautaires, permettant de gérer les aléas climatiques, économiques et politiques</w:t>
      </w:r>
      <w:r w:rsidRPr="002462E6">
        <w:rPr>
          <w:rFonts w:ascii="Tahoma" w:eastAsia="Times New Roman" w:hAnsi="Tahoma" w:cs="Tahoma"/>
          <w:color w:val="000000"/>
          <w:sz w:val="24"/>
          <w:szCs w:val="24"/>
          <w:vertAlign w:val="superscript"/>
        </w:rPr>
        <w:footnoteReference w:id="156"/>
      </w:r>
      <w:r w:rsidRPr="002462E6">
        <w:rPr>
          <w:rFonts w:ascii="Tahoma" w:eastAsia="Times New Roman" w:hAnsi="Tahoma" w:cs="Tahoma"/>
          <w:color w:val="000000"/>
          <w:sz w:val="24"/>
          <w:szCs w:val="24"/>
        </w:rPr>
        <w:t xml:space="preserve">. </w:t>
      </w:r>
    </w:p>
    <w:p w:rsidR="000A7532" w:rsidRPr="002462E6" w:rsidRDefault="000A7532" w:rsidP="000A7532">
      <w:pPr>
        <w:widowControl w:val="0"/>
        <w:autoSpaceDE w:val="0"/>
        <w:autoSpaceDN w:val="0"/>
        <w:spacing w:after="0" w:line="360" w:lineRule="auto"/>
        <w:jc w:val="both"/>
        <w:rPr>
          <w:rFonts w:ascii="Tahoma" w:eastAsia="Times New Roman" w:hAnsi="Tahoma" w:cs="Tahoma"/>
          <w:color w:val="000000"/>
          <w:sz w:val="24"/>
          <w:szCs w:val="24"/>
        </w:rPr>
      </w:pPr>
      <w:r w:rsidRPr="002462E6">
        <w:rPr>
          <w:rFonts w:ascii="Tahoma" w:eastAsia="Times New Roman" w:hAnsi="Tahoma" w:cs="Tahoma"/>
          <w:color w:val="000000"/>
          <w:sz w:val="24"/>
          <w:szCs w:val="24"/>
        </w:rPr>
        <w:t>Depuis le milieu des années 1970, les massifs forestiers de cette région ont été entièrement délimités afin de garantir une gestion efficace de ces ressources. Le statut de forêt domaniale attribué à ces espaces forestiers les soumet à un régime spécifique, établi par l'administration des Eaux et Forêts. Ce cadre réglementaire implique une réglementation stricte sur l'exploitation et la préservation de la biodiversité forestière, dans le but de protéger ces écosystèmes.</w:t>
      </w:r>
    </w:p>
    <w:p w:rsidR="000A7532" w:rsidRPr="002462E6" w:rsidRDefault="000A7532" w:rsidP="00717ACB">
      <w:pPr>
        <w:widowControl w:val="0"/>
        <w:autoSpaceDE w:val="0"/>
        <w:autoSpaceDN w:val="0"/>
        <w:spacing w:after="0" w:line="360" w:lineRule="auto"/>
        <w:jc w:val="both"/>
        <w:rPr>
          <w:rFonts w:ascii="Tahoma" w:eastAsia="Times New Roman" w:hAnsi="Tahoma" w:cs="Tahoma"/>
          <w:color w:val="000000"/>
          <w:sz w:val="24"/>
          <w:szCs w:val="24"/>
        </w:rPr>
      </w:pPr>
      <w:r w:rsidRPr="002462E6">
        <w:rPr>
          <w:rFonts w:ascii="Tahoma" w:eastAsia="Times New Roman" w:hAnsi="Tahoma" w:cs="Tahoma"/>
          <w:color w:val="000000"/>
          <w:sz w:val="24"/>
          <w:szCs w:val="24"/>
        </w:rPr>
        <w:t xml:space="preserve">Ces massifs forestiers dépendent du triage forestier de </w:t>
      </w:r>
      <w:r w:rsidRPr="002462E6">
        <w:rPr>
          <w:rFonts w:ascii="Tahoma" w:eastAsia="Times New Roman" w:hAnsi="Tahoma" w:cs="Tahoma"/>
          <w:i/>
          <w:iCs/>
          <w:color w:val="000000"/>
          <w:sz w:val="24"/>
          <w:szCs w:val="24"/>
        </w:rPr>
        <w:t>Tabant</w:t>
      </w:r>
      <w:r w:rsidRPr="002462E6">
        <w:rPr>
          <w:rFonts w:ascii="Tahoma" w:eastAsia="Times New Roman" w:hAnsi="Tahoma" w:cs="Tahoma"/>
          <w:color w:val="000000"/>
          <w:sz w:val="24"/>
          <w:szCs w:val="24"/>
        </w:rPr>
        <w:t>, qui fait partie des dix unités de gestion attachées au Centre de Développement Forestier d'Azilal. Ce dernier joue un rôle crucial dans la supervision et l'application de politiques orientées vers la gestion durable des forêts. Les efforts fournis par l’administration forestière visent à préserver les ressources forestières tout en favorisant le développement durable des activités agro-sylvo-pastorales qui sont indispensables pour les communautés locales vivant au sein de la vallée.</w:t>
      </w:r>
    </w:p>
    <w:p w:rsidR="000A7532" w:rsidRPr="002462E6" w:rsidRDefault="000A7532" w:rsidP="000A7532">
      <w:pPr>
        <w:widowControl w:val="0"/>
        <w:autoSpaceDE w:val="0"/>
        <w:autoSpaceDN w:val="0"/>
        <w:spacing w:after="200" w:line="240" w:lineRule="auto"/>
        <w:jc w:val="center"/>
        <w:rPr>
          <w:rFonts w:ascii="Times New Roman" w:eastAsia="Times New Roman" w:hAnsi="Times New Roman" w:cs="Times New Roman"/>
          <w:i/>
          <w:iCs/>
          <w:color w:val="1F497D"/>
          <w:sz w:val="18"/>
          <w:szCs w:val="18"/>
        </w:rPr>
      </w:pPr>
    </w:p>
    <w:p w:rsidR="00C1608C" w:rsidRPr="002462E6" w:rsidRDefault="00C1608C" w:rsidP="000D57A1">
      <w:pPr>
        <w:pStyle w:val="Sous-titre"/>
      </w:pPr>
      <w:bookmarkStart w:id="92" w:name="_Toc185696912"/>
    </w:p>
    <w:p w:rsidR="000A7532" w:rsidRPr="002462E6" w:rsidRDefault="00C1608C" w:rsidP="000D57A1">
      <w:pPr>
        <w:pStyle w:val="Sous-titre"/>
      </w:pPr>
      <w:r w:rsidRPr="002462E6">
        <w:rPr>
          <w:noProof/>
          <w:lang w:eastAsia="fr-FR"/>
        </w:rPr>
        <w:lastRenderedPageBreak/>
        <mc:AlternateContent>
          <mc:Choice Requires="wpg">
            <w:drawing>
              <wp:anchor distT="0" distB="0" distL="114300" distR="114300" simplePos="0" relativeHeight="251664384" behindDoc="1" locked="0" layoutInCell="1" allowOverlap="1" wp14:anchorId="142974FA" wp14:editId="157967C6">
                <wp:simplePos x="0" y="0"/>
                <wp:positionH relativeFrom="column">
                  <wp:posOffset>127635</wp:posOffset>
                </wp:positionH>
                <wp:positionV relativeFrom="paragraph">
                  <wp:posOffset>483235</wp:posOffset>
                </wp:positionV>
                <wp:extent cx="6234430" cy="6555105"/>
                <wp:effectExtent l="0" t="0" r="0" b="0"/>
                <wp:wrapTight wrapText="bothSides">
                  <wp:wrapPolygon edited="0">
                    <wp:start x="0" y="0"/>
                    <wp:lineTo x="0" y="21531"/>
                    <wp:lineTo x="21120" y="21531"/>
                    <wp:lineTo x="21120" y="0"/>
                    <wp:lineTo x="0" y="0"/>
                  </wp:wrapPolygon>
                </wp:wrapTight>
                <wp:docPr id="1" name="Groupe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34430" cy="6555105"/>
                          <a:chOff x="0" y="136"/>
                          <a:chExt cx="6816" cy="6873"/>
                        </a:xfrm>
                      </wpg:grpSpPr>
                      <pic:pic xmlns:pic="http://schemas.openxmlformats.org/drawingml/2006/picture">
                        <pic:nvPicPr>
                          <pic:cNvPr id="956995671" name="Picture 3"/>
                          <pic:cNvPicPr>
                            <a:picLocks noChangeAspect="1" noChangeArrowheads="1"/>
                          </pic:cNvPicPr>
                        </pic:nvPicPr>
                        <pic:blipFill rotWithShape="1">
                          <a:blip r:embed="rId10">
                            <a:extLst>
                              <a:ext uri="{28A0092B-C50C-407E-A947-70E740481C1C}">
                                <a14:useLocalDpi xmlns:a14="http://schemas.microsoft.com/office/drawing/2010/main" val="0"/>
                              </a:ext>
                            </a:extLst>
                          </a:blip>
                          <a:srcRect/>
                          <a:stretch/>
                        </pic:blipFill>
                        <pic:spPr bwMode="auto">
                          <a:xfrm>
                            <a:off x="0" y="136"/>
                            <a:ext cx="6683" cy="687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1" name="Rectangle 11"/>
                        <wps:cNvSpPr>
                          <a:spLocks noChangeArrowheads="1"/>
                        </wps:cNvSpPr>
                        <wps:spPr bwMode="auto">
                          <a:xfrm>
                            <a:off x="0" y="4562"/>
                            <a:ext cx="6816" cy="11"/>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771A89B0" id="Groupe 1" o:spid="_x0000_s1026" style="position:absolute;margin-left:10.05pt;margin-top:38.05pt;width:490.9pt;height:516.15pt;z-index:-251652096;mso-width-relative:margin;mso-height-relative:margin" coordorigin=",136" coordsize="6816,687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1027" type="#_x0000_t75" style="position:absolute;top:136;width:6683;height:687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">
                  <v:imagedata r:id="rId11" o:title=""/>
                </v:shape>
                <v:rect id="Rectangle 11" o:spid="_x0000_s1028" style="position:absolute;top:4562;width:6816;height: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uOL+cMA&#10;AADbAAAADwAAAGRycy9kb3ducmV2LnhtbERPTWvCQBC9C/0PyxR6Mxulio3ZSC0UehHU9lBvY3ZM&#10;gtnZdHeraX+9Kwje5vE+J1/0phUncr6xrGCUpCCIS6sbrhR8fb4PZyB8QNbYWiYFf+RhUTwMcsy0&#10;PfOGTttQiRjCPkMFdQhdJqUvazLoE9sRR+5gncEQoaukdniO4aaV4zSdSoMNx4YaO3qrqTxuf42C&#10;5cts+bN+5tX/Zr+j3ff+OBm7VKmnx/51DiJQH+7im/tDx/kjuP4SD5DF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uOL+cMAAADbAAAADwAAAAAAAAAAAAAAAACYAgAAZHJzL2Rv&#10;d25yZXYueG1sUEsFBgAAAAAEAAQA9QAAAIgDAAAAAA==&#10;" fillcolor="black" stroked="f"/>
                <w10:wrap type="tight"/>
              </v:group>
            </w:pict>
          </mc:Fallback>
        </mc:AlternateContent>
      </w:r>
      <w:r w:rsidRPr="002462E6">
        <w:rPr>
          <w:noProof/>
          <w:lang w:eastAsia="fr-FR"/>
        </w:rPr>
        <mc:AlternateContent>
          <mc:Choice Requires="wps">
            <w:drawing>
              <wp:anchor distT="0" distB="0" distL="114300" distR="114300" simplePos="0" relativeHeight="251693056" behindDoc="0" locked="0" layoutInCell="1" allowOverlap="1" wp14:anchorId="6D8EDF4F" wp14:editId="1D19C560">
                <wp:simplePos x="0" y="0"/>
                <wp:positionH relativeFrom="column">
                  <wp:posOffset>-11430</wp:posOffset>
                </wp:positionH>
                <wp:positionV relativeFrom="paragraph">
                  <wp:posOffset>-152400</wp:posOffset>
                </wp:positionV>
                <wp:extent cx="5854065" cy="457200"/>
                <wp:effectExtent l="0" t="0" r="0" b="0"/>
                <wp:wrapTight wrapText="bothSides">
                  <wp:wrapPolygon edited="0">
                    <wp:start x="0" y="0"/>
                    <wp:lineTo x="0" y="20700"/>
                    <wp:lineTo x="21509" y="20700"/>
                    <wp:lineTo x="21509" y="0"/>
                    <wp:lineTo x="0" y="0"/>
                  </wp:wrapPolygon>
                </wp:wrapTight>
                <wp:docPr id="956995649" name="Zone de texte 956995649"/>
                <wp:cNvGraphicFramePr/>
                <a:graphic xmlns:a="http://schemas.openxmlformats.org/drawingml/2006/main">
                  <a:graphicData uri="http://schemas.microsoft.com/office/word/2010/wordprocessingShape">
                    <wps:wsp>
                      <wps:cNvSpPr txBox="1"/>
                      <wps:spPr>
                        <a:xfrm>
                          <a:off x="0" y="0"/>
                          <a:ext cx="5854065" cy="457200"/>
                        </a:xfrm>
                        <a:prstGeom prst="rect">
                          <a:avLst/>
                        </a:prstGeom>
                        <a:solidFill>
                          <a:prstClr val="white"/>
                        </a:solidFill>
                        <a:ln>
                          <a:noFill/>
                        </a:ln>
                        <a:effectLst/>
                      </wps:spPr>
                      <wps:txbx>
                        <w:txbxContent>
                          <w:p w:rsidR="0083519B" w:rsidRPr="005D1C8A" w:rsidRDefault="0083519B" w:rsidP="000D57A1">
                            <w:pPr>
                              <w:pStyle w:val="Sous-titre"/>
                            </w:pPr>
                            <w:bookmarkStart w:id="93" w:name="_Toc203642676"/>
                            <w:r>
                              <w:t xml:space="preserve">Carte </w:t>
                            </w:r>
                            <w:r w:rsidR="00225ED1">
                              <w:rPr>
                                <w:noProof/>
                              </w:rPr>
                              <w:fldChar w:fldCharType="begin"/>
                            </w:r>
                            <w:r w:rsidR="00225ED1">
                              <w:rPr>
                                <w:noProof/>
                              </w:rPr>
                              <w:instrText xml:space="preserve"> SEQ Carte \* ARABIC </w:instrText>
                            </w:r>
                            <w:r w:rsidR="00225ED1">
                              <w:rPr>
                                <w:noProof/>
                              </w:rPr>
                              <w:fldChar w:fldCharType="separate"/>
                            </w:r>
                            <w:r w:rsidR="00124AFB">
                              <w:rPr>
                                <w:noProof/>
                              </w:rPr>
                              <w:t>2</w:t>
                            </w:r>
                            <w:r w:rsidR="00225ED1">
                              <w:rPr>
                                <w:noProof/>
                              </w:rPr>
                              <w:fldChar w:fldCharType="end"/>
                            </w:r>
                            <w:r>
                              <w:t xml:space="preserve"> : </w:t>
                            </w:r>
                            <w:r w:rsidRPr="009317D8">
                              <w:t>Situation géographique et groupes socio-historiques de la vallée des Aït Bouguemez</w:t>
                            </w:r>
                            <w:bookmarkEnd w:id="93"/>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6D8EDF4F" id="Zone de texte 956995649" o:spid="_x0000_s1030" type="#_x0000_t202" style="position:absolute;left:0;text-align:left;margin-left:-.9pt;margin-top:-12pt;width:460.95pt;height:36pt;z-index:2516930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" stroked="f">
                <v:textbox inset="0,0,0,0">
                  <w:txbxContent>
                    <w:p w:rsidR="0083519B" w:rsidRPr="005D1C8A" w:rsidRDefault="0083519B" w:rsidP="000D57A1">
                      <w:pPr>
                        <w:pStyle w:val="Sous-titre"/>
                      </w:pPr>
                      <w:bookmarkStart w:id="96" w:name="_Toc203642676"/>
                      <w:r>
                        <w:t xml:space="preserve">Carte </w:t>
                      </w:r>
                      <w:r w:rsidR="00225ED1">
                        <w:rPr>
                          <w:noProof/>
                        </w:rPr>
                        <w:fldChar w:fldCharType="begin"/>
                      </w:r>
                      <w:r w:rsidR="00225ED1">
                        <w:rPr>
                          <w:noProof/>
                        </w:rPr>
                        <w:instrText xml:space="preserve"> SEQ Carte \* ARABIC </w:instrText>
                      </w:r>
                      <w:r w:rsidR="00225ED1">
                        <w:rPr>
                          <w:noProof/>
                        </w:rPr>
                        <w:fldChar w:fldCharType="separate"/>
                      </w:r>
                      <w:r w:rsidR="00124AFB">
                        <w:rPr>
                          <w:noProof/>
                        </w:rPr>
                        <w:t>2</w:t>
                      </w:r>
                      <w:r w:rsidR="00225ED1">
                        <w:rPr>
                          <w:noProof/>
                        </w:rPr>
                        <w:fldChar w:fldCharType="end"/>
                      </w:r>
                      <w:r>
                        <w:t xml:space="preserve"> : </w:t>
                      </w:r>
                      <w:r w:rsidRPr="009317D8">
                        <w:t>Situation géographique et groupes socio-historiques de la vallée des Aït Bouguemez</w:t>
                      </w:r>
                      <w:bookmarkEnd w:id="96"/>
                    </w:p>
                  </w:txbxContent>
                </v:textbox>
                <w10:wrap type="tight"/>
              </v:shape>
            </w:pict>
          </mc:Fallback>
        </mc:AlternateContent>
      </w:r>
      <w:bookmarkEnd w:id="92"/>
      <w:r w:rsidR="000A7532" w:rsidRPr="002462E6">
        <w:t xml:space="preserve">Source : </w:t>
      </w:r>
      <w:r w:rsidR="000A7532" w:rsidRPr="002462E6">
        <w:rPr>
          <w:w w:val="95"/>
        </w:rPr>
        <w:t>IRD, 2006</w:t>
      </w:r>
    </w:p>
    <w:p w:rsidR="000A7532" w:rsidRPr="002462E6" w:rsidRDefault="000A7532" w:rsidP="000D57A1">
      <w:pPr>
        <w:spacing w:line="360" w:lineRule="auto"/>
        <w:jc w:val="both"/>
        <w:rPr>
          <w:rFonts w:ascii="Tahoma" w:eastAsia="Times New Roman" w:hAnsi="Tahoma" w:cs="Tahoma"/>
        </w:rPr>
      </w:pPr>
      <w:r w:rsidRPr="002462E6">
        <w:rPr>
          <w:rFonts w:ascii="Tahoma" w:eastAsia="Times New Roman" w:hAnsi="Tahoma" w:cs="Tahoma"/>
        </w:rPr>
        <w:t xml:space="preserve">Par ailleurs, trois principaux étages bioclimatiques sont repérés tout au long du gradient d'altitude constituant des finages villageois, inter-villageois et inter- tribaux </w:t>
      </w:r>
      <w:r w:rsidRPr="002462E6">
        <w:rPr>
          <w:rFonts w:ascii="Tahoma" w:eastAsia="Times New Roman" w:hAnsi="Tahoma" w:cs="Tahoma"/>
          <w:b/>
          <w:bCs/>
        </w:rPr>
        <w:t xml:space="preserve">(Figure </w:t>
      </w:r>
      <w:r w:rsidRPr="002462E6">
        <w:rPr>
          <w:rFonts w:ascii="Tahoma" w:eastAsia="Times New Roman" w:hAnsi="Tahoma" w:cs="Tahoma"/>
          <w:b/>
          <w:sz w:val="24"/>
          <w:szCs w:val="24"/>
        </w:rPr>
        <w:t>N°</w:t>
      </w:r>
      <w:r w:rsidR="00C1608C" w:rsidRPr="002462E6">
        <w:rPr>
          <w:rFonts w:ascii="Tahoma" w:eastAsia="Times New Roman" w:hAnsi="Tahoma" w:cs="Tahoma"/>
          <w:b/>
          <w:bCs/>
        </w:rPr>
        <w:t>2</w:t>
      </w:r>
      <w:r w:rsidRPr="002462E6">
        <w:rPr>
          <w:rFonts w:ascii="Tahoma" w:eastAsia="Times New Roman" w:hAnsi="Tahoma" w:cs="Tahoma"/>
          <w:b/>
          <w:bCs/>
        </w:rPr>
        <w:t>).</w:t>
      </w:r>
    </w:p>
    <w:p w:rsidR="00C1608C" w:rsidRPr="002462E6" w:rsidRDefault="00C1608C" w:rsidP="000D57A1">
      <w:pPr>
        <w:pStyle w:val="Sous-titre"/>
      </w:pPr>
      <w:bookmarkStart w:id="94" w:name="_Toc185696920"/>
      <w:bookmarkStart w:id="95" w:name="_Toc201571196"/>
    </w:p>
    <w:p w:rsidR="00C1608C" w:rsidRPr="000D57A1" w:rsidRDefault="000A7532" w:rsidP="000D57A1">
      <w:pPr>
        <w:pStyle w:val="Sous-titre"/>
      </w:pPr>
      <w:bookmarkStart w:id="96" w:name="_Toc203642794"/>
      <w:r w:rsidRPr="002462E6">
        <w:lastRenderedPageBreak/>
        <w:t xml:space="preserve">Figure </w:t>
      </w:r>
      <w:r w:rsidR="00225ED1">
        <w:rPr>
          <w:noProof/>
        </w:rPr>
        <w:fldChar w:fldCharType="begin"/>
      </w:r>
      <w:r w:rsidR="00225ED1">
        <w:rPr>
          <w:noProof/>
        </w:rPr>
        <w:instrText xml:space="preserve"> SEQ Figure \* ARABIC </w:instrText>
      </w:r>
      <w:r w:rsidR="00225ED1">
        <w:rPr>
          <w:noProof/>
        </w:rPr>
        <w:fldChar w:fldCharType="separate"/>
      </w:r>
      <w:r w:rsidR="00124AFB">
        <w:rPr>
          <w:noProof/>
        </w:rPr>
        <w:t>2</w:t>
      </w:r>
      <w:r w:rsidR="00225ED1">
        <w:rPr>
          <w:noProof/>
        </w:rPr>
        <w:fldChar w:fldCharType="end"/>
      </w:r>
      <w:r w:rsidR="00EC5E5B" w:rsidRPr="002462E6">
        <w:t xml:space="preserve"> </w:t>
      </w:r>
      <w:r w:rsidR="006F656C" w:rsidRPr="002462E6">
        <w:t>:</w:t>
      </w:r>
      <w:r w:rsidRPr="002462E6">
        <w:t xml:space="preserve"> Verticalité et modes d'appropriation des ressources</w:t>
      </w:r>
      <w:bookmarkEnd w:id="94"/>
      <w:bookmarkEnd w:id="95"/>
      <w:bookmarkEnd w:id="96"/>
    </w:p>
    <w:p w:rsidR="00C1608C" w:rsidRPr="002462E6" w:rsidRDefault="000D57A1" w:rsidP="00C1608C">
      <w:pPr>
        <w:widowControl w:val="0"/>
        <w:autoSpaceDE w:val="0"/>
        <w:autoSpaceDN w:val="0"/>
        <w:spacing w:after="0" w:line="360" w:lineRule="auto"/>
        <w:ind w:right="187"/>
        <w:jc w:val="center"/>
        <w:rPr>
          <w:rFonts w:ascii="Tahoma" w:eastAsia="Times New Roman" w:hAnsi="Tahoma" w:cs="Tahoma"/>
          <w:b/>
          <w:bCs/>
          <w:sz w:val="6"/>
          <w:szCs w:val="6"/>
        </w:rPr>
      </w:pPr>
      <w:r w:rsidRPr="002462E6">
        <w:rPr>
          <w:noProof/>
          <w:lang w:eastAsia="fr-FR"/>
        </w:rPr>
        <w:drawing>
          <wp:anchor distT="0" distB="0" distL="114300" distR="114300" simplePos="0" relativeHeight="251663360" behindDoc="1" locked="0" layoutInCell="1" allowOverlap="1" wp14:anchorId="00B5A81B" wp14:editId="53FEB813">
            <wp:simplePos x="0" y="0"/>
            <wp:positionH relativeFrom="column">
              <wp:posOffset>-180340</wp:posOffset>
            </wp:positionH>
            <wp:positionV relativeFrom="paragraph">
              <wp:posOffset>47625</wp:posOffset>
            </wp:positionV>
            <wp:extent cx="6536690" cy="5991225"/>
            <wp:effectExtent l="0" t="0" r="0" b="9525"/>
            <wp:wrapTight wrapText="bothSides">
              <wp:wrapPolygon edited="0">
                <wp:start x="0" y="0"/>
                <wp:lineTo x="0" y="21566"/>
                <wp:lineTo x="21529" y="21566"/>
                <wp:lineTo x="21529" y="0"/>
                <wp:lineTo x="0" y="0"/>
              </wp:wrapPolygon>
            </wp:wrapTight>
            <wp:docPr id="10"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529663" name="Picture 36"/>
                    <pic:cNvPicPr>
                      <a:picLocks noChangeAspect="1" noChangeArrowheads="1"/>
                    </pic:cNvPicPr>
                  </pic:nvPicPr>
                  <pic:blipFill rotWithShape="1">
                    <a:blip r:embed="rId12">
                      <a:extLst>
                        <a:ext uri="{28A0092B-C50C-407E-A947-70E740481C1C}">
                          <a14:useLocalDpi xmlns:a14="http://schemas.microsoft.com/office/drawing/2010/main" val="0"/>
                        </a:ext>
                      </a:extLst>
                    </a:blip>
                    <a:srcRect l="1194" t="1221" b="2076"/>
                    <a:stretch/>
                  </pic:blipFill>
                  <pic:spPr bwMode="auto">
                    <a:xfrm>
                      <a:off x="0" y="0"/>
                      <a:ext cx="6536690" cy="599122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F9411C" w:rsidRPr="002462E6" w:rsidRDefault="000A7532" w:rsidP="00C1608C">
      <w:pPr>
        <w:widowControl w:val="0"/>
        <w:autoSpaceDE w:val="0"/>
        <w:autoSpaceDN w:val="0"/>
        <w:spacing w:before="181" w:after="0" w:line="360" w:lineRule="auto"/>
        <w:ind w:right="187"/>
        <w:jc w:val="center"/>
        <w:rPr>
          <w:rFonts w:ascii="Tahoma" w:eastAsia="Times New Roman" w:hAnsi="Tahoma" w:cs="Tahoma"/>
          <w:sz w:val="20"/>
          <w:szCs w:val="20"/>
        </w:rPr>
      </w:pPr>
      <w:r w:rsidRPr="002462E6">
        <w:rPr>
          <w:rFonts w:ascii="Tahoma" w:eastAsia="Times New Roman" w:hAnsi="Tahoma" w:cs="Tahoma"/>
          <w:b/>
          <w:bCs/>
          <w:sz w:val="20"/>
          <w:szCs w:val="20"/>
        </w:rPr>
        <w:t>Source :</w:t>
      </w:r>
      <w:r w:rsidRPr="002462E6">
        <w:rPr>
          <w:rFonts w:ascii="Tahoma" w:eastAsia="Times New Roman" w:hAnsi="Tahoma" w:cs="Tahoma"/>
          <w:sz w:val="20"/>
          <w:szCs w:val="20"/>
        </w:rPr>
        <w:t xml:space="preserve"> mémoire de Tirillini (2004)</w:t>
      </w:r>
    </w:p>
    <w:p w:rsidR="000A7532" w:rsidRPr="002462E6" w:rsidRDefault="000A7532" w:rsidP="000A7532">
      <w:pPr>
        <w:widowControl w:val="0"/>
        <w:autoSpaceDE w:val="0"/>
        <w:autoSpaceDN w:val="0"/>
        <w:spacing w:before="88" w:after="0" w:line="360" w:lineRule="auto"/>
        <w:ind w:right="4"/>
        <w:jc w:val="both"/>
        <w:rPr>
          <w:rFonts w:ascii="Tahoma" w:eastAsia="Times New Roman" w:hAnsi="Tahoma" w:cs="Tahoma"/>
          <w:sz w:val="24"/>
          <w:szCs w:val="24"/>
        </w:rPr>
      </w:pPr>
      <w:r w:rsidRPr="002462E6">
        <w:rPr>
          <w:rFonts w:ascii="Tahoma" w:eastAsia="Times New Roman" w:hAnsi="Tahoma" w:cs="Tahoma"/>
          <w:sz w:val="24"/>
          <w:szCs w:val="24"/>
        </w:rPr>
        <w:t>Comme le montre la figure, ci-dessus, l’étage cultivé est situé dans le fond de la vallée et inclut les terres irriguées de la plaine alluviale, ainsi que les cultures pluviales (terres bour) localisées sur les versants moins escarpés. Les conditions hydrologiques relativement favorables (réseau hydrographique dense, présence de plusieurs sources - résurgences karstiques de régime pluvio-nival) ont permis le développement progressif de l'agriculture irriguée dans la vallée.</w:t>
      </w:r>
      <w:r w:rsidRPr="002462E6">
        <w:rPr>
          <w:rFonts w:ascii="Tahoma" w:eastAsia="Times New Roman" w:hAnsi="Tahoma" w:cs="Tahoma"/>
          <w:spacing w:val="1"/>
          <w:sz w:val="24"/>
          <w:szCs w:val="24"/>
        </w:rPr>
        <w:t xml:space="preserve"> </w:t>
      </w:r>
    </w:p>
    <w:p w:rsidR="000A7532" w:rsidRPr="002462E6" w:rsidRDefault="000A7532" w:rsidP="000A7532">
      <w:pPr>
        <w:widowControl w:val="0"/>
        <w:autoSpaceDE w:val="0"/>
        <w:autoSpaceDN w:val="0"/>
        <w:spacing w:before="88" w:after="0" w:line="360" w:lineRule="auto"/>
        <w:ind w:right="190"/>
        <w:jc w:val="both"/>
        <w:rPr>
          <w:rFonts w:ascii="Tahoma" w:eastAsia="Times New Roman" w:hAnsi="Tahoma" w:cs="Tahoma"/>
          <w:sz w:val="24"/>
          <w:szCs w:val="24"/>
        </w:rPr>
      </w:pPr>
      <w:r w:rsidRPr="002462E6">
        <w:rPr>
          <w:rFonts w:ascii="Tahoma" w:eastAsia="Times New Roman" w:hAnsi="Tahoma" w:cs="Tahoma"/>
          <w:sz w:val="24"/>
          <w:szCs w:val="24"/>
        </w:rPr>
        <w:lastRenderedPageBreak/>
        <w:t>Au-delà des villages, les espaces forestiers sont régulièrement ouverts au pâturage tout au long de l'année et fournissent également du bois (pour le chauffage, la construction ou d'autres usages) ainsi que du fourrage foliaire. Enfin, les zones d'altitude sont consacrées aux parcours d'estive, utilisé par les troupeaux d'ovins et de caprins.</w:t>
      </w:r>
    </w:p>
    <w:p w:rsidR="000A7532" w:rsidRPr="002462E6" w:rsidRDefault="000A7532" w:rsidP="000A7532">
      <w:pPr>
        <w:widowControl w:val="0"/>
        <w:autoSpaceDE w:val="0"/>
        <w:autoSpaceDN w:val="0"/>
        <w:spacing w:before="88" w:after="0" w:line="360" w:lineRule="auto"/>
        <w:ind w:right="190"/>
        <w:jc w:val="both"/>
        <w:rPr>
          <w:rFonts w:ascii="Tahoma" w:eastAsia="Times New Roman" w:hAnsi="Tahoma" w:cs="Tahoma"/>
          <w:spacing w:val="-12"/>
          <w:sz w:val="24"/>
          <w:szCs w:val="24"/>
        </w:rPr>
      </w:pPr>
      <w:r w:rsidRPr="002462E6">
        <w:rPr>
          <w:rFonts w:ascii="Tahoma" w:eastAsia="Times New Roman" w:hAnsi="Tahoma" w:cs="Tahoma"/>
          <w:sz w:val="24"/>
          <w:szCs w:val="24"/>
        </w:rPr>
        <w:t xml:space="preserve">Il s’avère que la verticalité ne structure pas uniquement </w:t>
      </w:r>
      <w:r w:rsidRPr="002462E6">
        <w:rPr>
          <w:rFonts w:ascii="Tahoma" w:eastAsia="Times New Roman" w:hAnsi="Tahoma" w:cs="Tahoma"/>
          <w:w w:val="95"/>
          <w:sz w:val="24"/>
          <w:szCs w:val="24"/>
        </w:rPr>
        <w:t>les étagements de végétation, mais elle caractérise également les</w:t>
      </w:r>
      <w:r w:rsidRPr="002462E6">
        <w:rPr>
          <w:rFonts w:ascii="Tahoma" w:eastAsia="Times New Roman" w:hAnsi="Tahoma" w:cs="Tahoma"/>
          <w:spacing w:val="1"/>
          <w:w w:val="95"/>
          <w:sz w:val="24"/>
          <w:szCs w:val="24"/>
        </w:rPr>
        <w:t xml:space="preserve"> </w:t>
      </w:r>
      <w:r w:rsidRPr="002462E6">
        <w:rPr>
          <w:rFonts w:ascii="Tahoma" w:eastAsia="Times New Roman" w:hAnsi="Tahoma" w:cs="Tahoma"/>
          <w:spacing w:val="-1"/>
          <w:sz w:val="24"/>
          <w:szCs w:val="24"/>
        </w:rPr>
        <w:t>modalités</w:t>
      </w:r>
      <w:r w:rsidRPr="002462E6">
        <w:rPr>
          <w:rFonts w:ascii="Tahoma" w:eastAsia="Times New Roman" w:hAnsi="Tahoma" w:cs="Tahoma"/>
          <w:spacing w:val="-13"/>
          <w:sz w:val="24"/>
          <w:szCs w:val="24"/>
        </w:rPr>
        <w:t xml:space="preserve"> </w:t>
      </w:r>
      <w:r w:rsidRPr="002462E6">
        <w:rPr>
          <w:rFonts w:ascii="Tahoma" w:eastAsia="Times New Roman" w:hAnsi="Tahoma" w:cs="Tahoma"/>
          <w:spacing w:val="-1"/>
          <w:sz w:val="24"/>
          <w:szCs w:val="24"/>
        </w:rPr>
        <w:t>d'accès</w:t>
      </w:r>
      <w:r w:rsidRPr="002462E6">
        <w:rPr>
          <w:rFonts w:ascii="Tahoma" w:eastAsia="Times New Roman" w:hAnsi="Tahoma" w:cs="Tahoma"/>
          <w:spacing w:val="-12"/>
          <w:sz w:val="24"/>
          <w:szCs w:val="24"/>
        </w:rPr>
        <w:t xml:space="preserve"> </w:t>
      </w:r>
      <w:r w:rsidRPr="002462E6">
        <w:rPr>
          <w:rFonts w:ascii="Tahoma" w:eastAsia="Times New Roman" w:hAnsi="Tahoma" w:cs="Tahoma"/>
          <w:spacing w:val="-1"/>
          <w:sz w:val="24"/>
          <w:szCs w:val="24"/>
        </w:rPr>
        <w:t>et</w:t>
      </w:r>
      <w:r w:rsidRPr="002462E6">
        <w:rPr>
          <w:rFonts w:ascii="Tahoma" w:eastAsia="Times New Roman" w:hAnsi="Tahoma" w:cs="Tahoma"/>
          <w:spacing w:val="-13"/>
          <w:sz w:val="24"/>
          <w:szCs w:val="24"/>
        </w:rPr>
        <w:t xml:space="preserve"> </w:t>
      </w:r>
      <w:r w:rsidRPr="002462E6">
        <w:rPr>
          <w:rFonts w:ascii="Tahoma" w:eastAsia="Times New Roman" w:hAnsi="Tahoma" w:cs="Tahoma"/>
          <w:spacing w:val="-1"/>
          <w:sz w:val="24"/>
          <w:szCs w:val="24"/>
        </w:rPr>
        <w:t>d'exploitation</w:t>
      </w:r>
      <w:r w:rsidRPr="002462E6">
        <w:rPr>
          <w:rFonts w:ascii="Tahoma" w:eastAsia="Times New Roman" w:hAnsi="Tahoma" w:cs="Tahoma"/>
          <w:spacing w:val="-12"/>
          <w:sz w:val="24"/>
          <w:szCs w:val="24"/>
        </w:rPr>
        <w:t xml:space="preserve"> </w:t>
      </w:r>
      <w:r w:rsidRPr="002462E6">
        <w:rPr>
          <w:rFonts w:ascii="Tahoma" w:eastAsia="Times New Roman" w:hAnsi="Tahoma" w:cs="Tahoma"/>
          <w:spacing w:val="-1"/>
          <w:sz w:val="24"/>
          <w:szCs w:val="24"/>
        </w:rPr>
        <w:t>des</w:t>
      </w:r>
      <w:r w:rsidRPr="002462E6">
        <w:rPr>
          <w:rFonts w:ascii="Tahoma" w:eastAsia="Times New Roman" w:hAnsi="Tahoma" w:cs="Tahoma"/>
          <w:spacing w:val="-12"/>
          <w:sz w:val="24"/>
          <w:szCs w:val="24"/>
        </w:rPr>
        <w:t xml:space="preserve"> </w:t>
      </w:r>
      <w:r w:rsidRPr="002462E6">
        <w:rPr>
          <w:rFonts w:ascii="Tahoma" w:eastAsia="Times New Roman" w:hAnsi="Tahoma" w:cs="Tahoma"/>
          <w:spacing w:val="-1"/>
          <w:sz w:val="24"/>
          <w:szCs w:val="24"/>
        </w:rPr>
        <w:t>ressources.</w:t>
      </w:r>
      <w:r w:rsidRPr="002462E6">
        <w:rPr>
          <w:rFonts w:ascii="Tahoma" w:eastAsia="Times New Roman" w:hAnsi="Tahoma" w:cs="Tahoma"/>
          <w:spacing w:val="-12"/>
          <w:sz w:val="24"/>
          <w:szCs w:val="24"/>
        </w:rPr>
        <w:t xml:space="preserve"> </w:t>
      </w:r>
    </w:p>
    <w:p w:rsidR="000A7532" w:rsidRPr="002462E6" w:rsidRDefault="000A7532" w:rsidP="000A7532">
      <w:pPr>
        <w:widowControl w:val="0"/>
        <w:autoSpaceDE w:val="0"/>
        <w:autoSpaceDN w:val="0"/>
        <w:spacing w:after="0" w:line="360" w:lineRule="auto"/>
        <w:jc w:val="both"/>
        <w:rPr>
          <w:rFonts w:ascii="Tahoma" w:eastAsia="Times New Roman" w:hAnsi="Tahoma" w:cs="Tahoma"/>
          <w:spacing w:val="-5"/>
          <w:w w:val="95"/>
          <w:sz w:val="24"/>
          <w:szCs w:val="24"/>
        </w:rPr>
      </w:pPr>
      <w:r w:rsidRPr="002462E6">
        <w:rPr>
          <w:rFonts w:ascii="Tahoma" w:eastAsia="Times New Roman" w:hAnsi="Tahoma" w:cs="Tahoma"/>
          <w:spacing w:val="-5"/>
          <w:w w:val="95"/>
          <w:sz w:val="24"/>
          <w:szCs w:val="24"/>
        </w:rPr>
        <w:t xml:space="preserve">Ainsi, la manière dont les ressources sont accessibles varie en fonction de l'altitude et s'étend à des groupes sociaux de plus en plus larges. Dans le fond de la vallée, les terres irriguées et les terres </w:t>
      </w:r>
      <w:r w:rsidRPr="002462E6">
        <w:rPr>
          <w:rFonts w:ascii="Tahoma" w:eastAsia="Times New Roman" w:hAnsi="Tahoma" w:cs="Tahoma"/>
          <w:i/>
          <w:iCs/>
          <w:spacing w:val="-5"/>
          <w:w w:val="95"/>
          <w:sz w:val="24"/>
          <w:szCs w:val="24"/>
        </w:rPr>
        <w:t>bour</w:t>
      </w:r>
      <w:r w:rsidRPr="002462E6">
        <w:rPr>
          <w:rFonts w:ascii="Tahoma" w:eastAsia="Times New Roman" w:hAnsi="Tahoma" w:cs="Tahoma"/>
          <w:i/>
          <w:iCs/>
          <w:spacing w:val="-5"/>
          <w:w w:val="95"/>
          <w:sz w:val="24"/>
          <w:szCs w:val="24"/>
          <w:vertAlign w:val="superscript"/>
        </w:rPr>
        <w:footnoteReference w:id="157"/>
      </w:r>
      <w:r w:rsidRPr="002462E6">
        <w:rPr>
          <w:rFonts w:ascii="Tahoma" w:eastAsia="Times New Roman" w:hAnsi="Tahoma" w:cs="Tahoma"/>
          <w:i/>
          <w:iCs/>
          <w:spacing w:val="-5"/>
          <w:w w:val="95"/>
          <w:sz w:val="24"/>
          <w:szCs w:val="24"/>
        </w:rPr>
        <w:t xml:space="preserve"> </w:t>
      </w:r>
      <w:r w:rsidRPr="002462E6">
        <w:rPr>
          <w:rFonts w:ascii="Tahoma" w:eastAsia="Times New Roman" w:hAnsi="Tahoma" w:cs="Tahoma"/>
          <w:spacing w:val="-5"/>
          <w:w w:val="95"/>
          <w:sz w:val="24"/>
          <w:szCs w:val="24"/>
        </w:rPr>
        <w:t xml:space="preserve">sont privées, sous le statut </w:t>
      </w:r>
      <w:r w:rsidRPr="002462E6">
        <w:rPr>
          <w:rFonts w:ascii="Tahoma" w:eastAsia="Times New Roman" w:hAnsi="Tahoma" w:cs="Tahoma"/>
          <w:i/>
          <w:iCs/>
          <w:spacing w:val="-5"/>
          <w:w w:val="95"/>
          <w:sz w:val="24"/>
          <w:szCs w:val="24"/>
        </w:rPr>
        <w:t>Melk</w:t>
      </w:r>
      <w:r w:rsidRPr="002462E6">
        <w:rPr>
          <w:rFonts w:ascii="Tahoma" w:eastAsia="Times New Roman" w:hAnsi="Tahoma" w:cs="Tahoma"/>
          <w:i/>
          <w:iCs/>
          <w:spacing w:val="-5"/>
          <w:w w:val="95"/>
          <w:sz w:val="24"/>
          <w:szCs w:val="24"/>
          <w:vertAlign w:val="superscript"/>
        </w:rPr>
        <w:footnoteReference w:id="158"/>
      </w:r>
      <w:r w:rsidRPr="002462E6">
        <w:rPr>
          <w:rFonts w:ascii="Tahoma" w:eastAsia="Times New Roman" w:hAnsi="Tahoma" w:cs="Tahoma"/>
          <w:spacing w:val="-5"/>
          <w:w w:val="95"/>
          <w:sz w:val="24"/>
          <w:szCs w:val="24"/>
        </w:rPr>
        <w:t>, et gérées par les familles et les lignages</w:t>
      </w:r>
      <w:r w:rsidRPr="002462E6">
        <w:rPr>
          <w:rFonts w:ascii="Tahoma" w:eastAsia="Times New Roman" w:hAnsi="Tahoma" w:cs="Tahoma"/>
          <w:spacing w:val="-5"/>
          <w:w w:val="95"/>
          <w:sz w:val="24"/>
          <w:szCs w:val="24"/>
          <w:vertAlign w:val="superscript"/>
        </w:rPr>
        <w:footnoteReference w:id="159"/>
      </w:r>
      <w:r w:rsidRPr="002462E6">
        <w:rPr>
          <w:rFonts w:ascii="Tahoma" w:eastAsia="Times New Roman" w:hAnsi="Tahoma" w:cs="Tahoma"/>
          <w:spacing w:val="-5"/>
          <w:w w:val="95"/>
          <w:sz w:val="24"/>
          <w:szCs w:val="24"/>
        </w:rPr>
        <w:t>.</w:t>
      </w:r>
    </w:p>
    <w:p w:rsidR="000A7532" w:rsidRPr="002462E6" w:rsidRDefault="000A7532" w:rsidP="000A7532">
      <w:pPr>
        <w:widowControl w:val="0"/>
        <w:autoSpaceDE w:val="0"/>
        <w:autoSpaceDN w:val="0"/>
        <w:spacing w:after="0" w:line="360" w:lineRule="auto"/>
        <w:ind w:right="187"/>
        <w:jc w:val="both"/>
        <w:rPr>
          <w:rFonts w:ascii="Tahoma" w:eastAsia="Times New Roman" w:hAnsi="Tahoma" w:cs="Tahoma"/>
          <w:spacing w:val="-5"/>
          <w:w w:val="95"/>
          <w:sz w:val="24"/>
          <w:szCs w:val="24"/>
        </w:rPr>
      </w:pPr>
      <w:r w:rsidRPr="002462E6">
        <w:rPr>
          <w:rFonts w:ascii="Tahoma" w:eastAsia="Times New Roman" w:hAnsi="Tahoma" w:cs="Tahoma"/>
          <w:sz w:val="24"/>
          <w:szCs w:val="24"/>
        </w:rPr>
        <w:t>Au-dessus</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de</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l'étage</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cultivé,</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les</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massifs</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boisés</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qui</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 xml:space="preserve">appartiennent </w:t>
      </w:r>
      <w:r w:rsidRPr="002462E6">
        <w:rPr>
          <w:rFonts w:ascii="Tahoma" w:eastAsia="Times New Roman" w:hAnsi="Tahoma" w:cs="Tahoma"/>
          <w:spacing w:val="-5"/>
          <w:w w:val="95"/>
          <w:sz w:val="24"/>
          <w:szCs w:val="24"/>
        </w:rPr>
        <w:t>théoriquement au domaine forestier de l'État - sont le plus souvent appropriés et exploités collectivement</w:t>
      </w:r>
      <w:r w:rsidRPr="002462E6">
        <w:rPr>
          <w:rFonts w:ascii="Tahoma" w:eastAsia="Times New Roman" w:hAnsi="Tahoma" w:cs="Tahoma"/>
          <w:spacing w:val="-6"/>
          <w:w w:val="95"/>
          <w:sz w:val="24"/>
          <w:szCs w:val="24"/>
        </w:rPr>
        <w:t xml:space="preserve"> </w:t>
      </w:r>
      <w:r w:rsidRPr="002462E6">
        <w:rPr>
          <w:rFonts w:ascii="Tahoma" w:eastAsia="Times New Roman" w:hAnsi="Tahoma" w:cs="Tahoma"/>
          <w:w w:val="95"/>
          <w:sz w:val="24"/>
          <w:szCs w:val="24"/>
        </w:rPr>
        <w:t>au</w:t>
      </w:r>
      <w:r w:rsidRPr="002462E6">
        <w:rPr>
          <w:rFonts w:ascii="Tahoma" w:eastAsia="Times New Roman" w:hAnsi="Tahoma" w:cs="Tahoma"/>
          <w:spacing w:val="-5"/>
          <w:w w:val="95"/>
          <w:sz w:val="24"/>
          <w:szCs w:val="24"/>
        </w:rPr>
        <w:t xml:space="preserve"> </w:t>
      </w:r>
      <w:r w:rsidRPr="002462E6">
        <w:rPr>
          <w:rFonts w:ascii="Tahoma" w:eastAsia="Times New Roman" w:hAnsi="Tahoma" w:cs="Tahoma"/>
          <w:w w:val="95"/>
          <w:sz w:val="24"/>
          <w:szCs w:val="24"/>
        </w:rPr>
        <w:t>niveau</w:t>
      </w:r>
      <w:r w:rsidRPr="002462E6">
        <w:rPr>
          <w:rFonts w:ascii="Tahoma" w:eastAsia="Times New Roman" w:hAnsi="Tahoma" w:cs="Tahoma"/>
          <w:spacing w:val="-5"/>
          <w:w w:val="95"/>
          <w:sz w:val="24"/>
          <w:szCs w:val="24"/>
        </w:rPr>
        <w:t xml:space="preserve"> </w:t>
      </w:r>
      <w:r w:rsidRPr="002462E6">
        <w:rPr>
          <w:rFonts w:ascii="Tahoma" w:eastAsia="Times New Roman" w:hAnsi="Tahoma" w:cs="Tahoma"/>
          <w:w w:val="95"/>
          <w:sz w:val="24"/>
          <w:szCs w:val="24"/>
        </w:rPr>
        <w:t>du</w:t>
      </w:r>
      <w:r w:rsidRPr="002462E6">
        <w:rPr>
          <w:rFonts w:ascii="Tahoma" w:eastAsia="Times New Roman" w:hAnsi="Tahoma" w:cs="Tahoma"/>
          <w:spacing w:val="-6"/>
          <w:w w:val="95"/>
          <w:sz w:val="24"/>
          <w:szCs w:val="24"/>
        </w:rPr>
        <w:t xml:space="preserve"> </w:t>
      </w:r>
      <w:r w:rsidRPr="002462E6">
        <w:rPr>
          <w:rFonts w:ascii="Tahoma" w:eastAsia="Times New Roman" w:hAnsi="Tahoma" w:cs="Tahoma"/>
          <w:i/>
          <w:w w:val="95"/>
          <w:sz w:val="24"/>
          <w:szCs w:val="24"/>
        </w:rPr>
        <w:t>douar</w:t>
      </w:r>
      <w:r w:rsidRPr="002462E6">
        <w:rPr>
          <w:rFonts w:ascii="Tahoma" w:eastAsia="Times New Roman" w:hAnsi="Tahoma" w:cs="Tahoma"/>
          <w:w w:val="95"/>
          <w:sz w:val="24"/>
          <w:szCs w:val="24"/>
        </w:rPr>
        <w:t>.</w:t>
      </w:r>
      <w:r w:rsidRPr="002462E6">
        <w:rPr>
          <w:rFonts w:ascii="Tahoma" w:eastAsia="Times New Roman" w:hAnsi="Tahoma" w:cs="Tahoma"/>
          <w:spacing w:val="-5"/>
          <w:w w:val="95"/>
          <w:sz w:val="24"/>
          <w:szCs w:val="24"/>
        </w:rPr>
        <w:t xml:space="preserve"> </w:t>
      </w:r>
    </w:p>
    <w:p w:rsidR="000A7532" w:rsidRPr="002462E6" w:rsidRDefault="000A7532" w:rsidP="000A7532">
      <w:pPr>
        <w:widowControl w:val="0"/>
        <w:autoSpaceDE w:val="0"/>
        <w:autoSpaceDN w:val="0"/>
        <w:spacing w:after="0" w:line="360" w:lineRule="auto"/>
        <w:ind w:right="187"/>
        <w:jc w:val="both"/>
        <w:rPr>
          <w:rFonts w:ascii="Tahoma" w:eastAsia="Times New Roman" w:hAnsi="Tahoma" w:cs="Tahoma"/>
          <w:spacing w:val="-5"/>
          <w:w w:val="95"/>
          <w:sz w:val="24"/>
          <w:szCs w:val="24"/>
        </w:rPr>
      </w:pPr>
      <w:r w:rsidRPr="002462E6">
        <w:rPr>
          <w:rFonts w:ascii="Tahoma" w:eastAsia="Times New Roman" w:hAnsi="Tahoma" w:cs="Tahoma"/>
          <w:spacing w:val="-5"/>
          <w:w w:val="95"/>
          <w:sz w:val="24"/>
          <w:szCs w:val="24"/>
        </w:rPr>
        <w:t xml:space="preserve">Une partie des espaces forestiers villageois est protégée durant la majeure partie de l'année grâce à l'Agdal forestier, qui interdit la coupe, permettant ainsi de constituer des réserves de fourrage sur pied. En revanche, les espaces sylvopastoraux situés en dehors des </w:t>
      </w:r>
      <w:r w:rsidRPr="002462E6">
        <w:rPr>
          <w:rFonts w:ascii="Tahoma" w:eastAsia="Times New Roman" w:hAnsi="Tahoma" w:cs="Tahoma"/>
          <w:i/>
          <w:iCs/>
          <w:spacing w:val="-5"/>
          <w:w w:val="95"/>
          <w:sz w:val="24"/>
          <w:szCs w:val="24"/>
        </w:rPr>
        <w:t>Agdals</w:t>
      </w:r>
      <w:r w:rsidRPr="002462E6">
        <w:rPr>
          <w:rFonts w:ascii="Tahoma" w:eastAsia="Times New Roman" w:hAnsi="Tahoma" w:cs="Tahoma"/>
          <w:spacing w:val="-5"/>
          <w:w w:val="95"/>
          <w:sz w:val="24"/>
          <w:szCs w:val="24"/>
        </w:rPr>
        <w:t xml:space="preserve"> représentent des propriétés communes non régulées qui sont ouvertes aux prélèvements toute l'année, souvent au risque d'une forte dégradation.</w:t>
      </w:r>
    </w:p>
    <w:p w:rsidR="000A7532" w:rsidRPr="002462E6" w:rsidRDefault="000A7532" w:rsidP="000A7532">
      <w:pPr>
        <w:widowControl w:val="0"/>
        <w:autoSpaceDE w:val="0"/>
        <w:autoSpaceDN w:val="0"/>
        <w:spacing w:after="0" w:line="360" w:lineRule="auto"/>
        <w:jc w:val="both"/>
        <w:rPr>
          <w:rFonts w:ascii="Tahoma" w:eastAsia="Times New Roman" w:hAnsi="Tahoma" w:cs="Tahoma"/>
          <w:sz w:val="24"/>
          <w:szCs w:val="24"/>
        </w:rPr>
      </w:pPr>
      <w:r w:rsidRPr="002462E6">
        <w:rPr>
          <w:rFonts w:ascii="Tahoma" w:eastAsia="Times New Roman" w:hAnsi="Tahoma" w:cs="Tahoma"/>
          <w:sz w:val="24"/>
          <w:szCs w:val="24"/>
        </w:rPr>
        <w:t>Enfin, les parcours situés en haute altitude sont partagés avec les tribus transhumantes des versants nord et sud de l'Atlas. L'utilisation de ces parcours est régulée par des accords intertribaux, découpant l'espace pastoral en un domaine communal régulé (l’Agdal pastoral) et un domaine communal non régulé (hors Agdal).</w:t>
      </w:r>
    </w:p>
    <w:p w:rsidR="000A7532" w:rsidRPr="002462E6" w:rsidRDefault="000A7532" w:rsidP="000A7532">
      <w:pPr>
        <w:widowControl w:val="0"/>
        <w:autoSpaceDE w:val="0"/>
        <w:autoSpaceDN w:val="0"/>
        <w:spacing w:after="0" w:line="360" w:lineRule="auto"/>
        <w:jc w:val="both"/>
        <w:rPr>
          <w:rFonts w:ascii="Tahoma" w:eastAsia="Times New Roman" w:hAnsi="Tahoma" w:cs="Tahoma"/>
          <w:sz w:val="24"/>
          <w:szCs w:val="24"/>
        </w:rPr>
      </w:pPr>
      <w:r w:rsidRPr="002462E6">
        <w:rPr>
          <w:rFonts w:ascii="Tahoma" w:eastAsia="Times New Roman" w:hAnsi="Tahoma" w:cs="Tahoma"/>
          <w:sz w:val="24"/>
          <w:szCs w:val="24"/>
        </w:rPr>
        <w:t xml:space="preserve">Contrairement aux approches souvent adoptées dans les projets sectoriels de gestion des ressources naturelles (GRN), les ressources nécessaires telles que l'eau, les forêts et les pâturages d'altitude sont gérées de manière collective et intégrée par les institutions coutumières, à l'échelle villageoise pour l'eau et la forêt, et à l'échelle inter-villageoise pour les pâturages d'altitude. Le fonctionnement de ce système agro-sylvo-pastoral </w:t>
      </w:r>
      <w:r w:rsidRPr="002462E6">
        <w:rPr>
          <w:rFonts w:ascii="Tahoma" w:eastAsia="Times New Roman" w:hAnsi="Tahoma" w:cs="Tahoma"/>
          <w:sz w:val="24"/>
          <w:szCs w:val="24"/>
        </w:rPr>
        <w:lastRenderedPageBreak/>
        <w:t>repose sur un accès suffisant pour chaque groupe social aux différentes ressources. Ainsi, un village contrôlant une ressource spécifique l'utilise pour négocier avec ses voisins l'accès à d'autres ressources qu'il ne possède pas, établissant ainsi des accords de réciprocité.</w:t>
      </w:r>
    </w:p>
    <w:p w:rsidR="000A7532" w:rsidRPr="002462E6" w:rsidRDefault="000A7532" w:rsidP="000A7532">
      <w:pPr>
        <w:widowControl w:val="0"/>
        <w:autoSpaceDE w:val="0"/>
        <w:autoSpaceDN w:val="0"/>
        <w:spacing w:after="0" w:line="360" w:lineRule="auto"/>
        <w:jc w:val="both"/>
        <w:rPr>
          <w:rFonts w:ascii="Tahoma" w:eastAsia="Times New Roman" w:hAnsi="Tahoma" w:cs="Tahoma"/>
          <w:sz w:val="24"/>
          <w:szCs w:val="24"/>
        </w:rPr>
      </w:pPr>
      <w:r w:rsidRPr="002462E6">
        <w:rPr>
          <w:rFonts w:ascii="Tahoma" w:eastAsia="Times New Roman" w:hAnsi="Tahoma" w:cs="Tahoma"/>
          <w:sz w:val="24"/>
          <w:szCs w:val="24"/>
        </w:rPr>
        <w:t>Le mode de gestion basé sur l'Agdal reflète des réponses collectives des communautés rurales d'</w:t>
      </w:r>
      <w:r w:rsidRPr="002462E6">
        <w:rPr>
          <w:rFonts w:ascii="Tahoma" w:eastAsia="Times New Roman" w:hAnsi="Tahoma" w:cs="Tahoma"/>
          <w:i/>
          <w:iCs/>
          <w:sz w:val="24"/>
          <w:szCs w:val="24"/>
        </w:rPr>
        <w:t>Aït Bouguemez</w:t>
      </w:r>
      <w:r w:rsidRPr="002462E6">
        <w:rPr>
          <w:rFonts w:ascii="Tahoma" w:eastAsia="Times New Roman" w:hAnsi="Tahoma" w:cs="Tahoma"/>
          <w:sz w:val="24"/>
          <w:szCs w:val="24"/>
        </w:rPr>
        <w:t>, qui s'adaptent aux contraintes environnementales et aux aléas climatiques</w:t>
      </w:r>
      <w:r w:rsidRPr="002462E6">
        <w:rPr>
          <w:rFonts w:ascii="Tahoma" w:eastAsia="Times New Roman" w:hAnsi="Tahoma" w:cs="Tahoma"/>
          <w:sz w:val="24"/>
          <w:szCs w:val="24"/>
          <w:vertAlign w:val="superscript"/>
        </w:rPr>
        <w:footnoteReference w:id="160"/>
      </w:r>
      <w:r w:rsidRPr="002462E6">
        <w:rPr>
          <w:rFonts w:ascii="Tahoma" w:eastAsia="Times New Roman" w:hAnsi="Tahoma" w:cs="Tahoma"/>
          <w:sz w:val="24"/>
          <w:szCs w:val="24"/>
        </w:rPr>
        <w:t>. (HERZENNI, 1993). Dans le Haut Atlas, l'</w:t>
      </w:r>
      <w:r w:rsidRPr="002462E6">
        <w:rPr>
          <w:rFonts w:ascii="Tahoma" w:eastAsia="Times New Roman" w:hAnsi="Tahoma" w:cs="Tahoma"/>
          <w:i/>
          <w:iCs/>
          <w:sz w:val="24"/>
          <w:szCs w:val="24"/>
        </w:rPr>
        <w:t>Agdal</w:t>
      </w:r>
      <w:r w:rsidRPr="002462E6">
        <w:rPr>
          <w:rFonts w:ascii="Tahoma" w:eastAsia="Times New Roman" w:hAnsi="Tahoma" w:cs="Tahoma"/>
          <w:sz w:val="24"/>
          <w:szCs w:val="24"/>
        </w:rPr>
        <w:t xml:space="preserve"> désigne un mode d'appropriation et de gestion de la terre, un statut dans le droit coutumier, concept central au sein des sociétés rurales et de la culture amazighe. </w:t>
      </w:r>
    </w:p>
    <w:p w:rsidR="000A7532" w:rsidRPr="002462E6" w:rsidRDefault="000A7532" w:rsidP="000A7532">
      <w:pPr>
        <w:widowControl w:val="0"/>
        <w:autoSpaceDE w:val="0"/>
        <w:autoSpaceDN w:val="0"/>
        <w:spacing w:after="0" w:line="360" w:lineRule="auto"/>
        <w:jc w:val="both"/>
        <w:rPr>
          <w:rFonts w:ascii="Tahoma" w:eastAsia="Times New Roman" w:hAnsi="Tahoma" w:cs="Tahoma"/>
          <w:sz w:val="24"/>
          <w:szCs w:val="24"/>
        </w:rPr>
      </w:pPr>
      <w:r w:rsidRPr="002462E6">
        <w:rPr>
          <w:rFonts w:ascii="Tahoma" w:eastAsia="Times New Roman" w:hAnsi="Tahoma" w:cs="Tahoma"/>
          <w:sz w:val="24"/>
          <w:szCs w:val="24"/>
        </w:rPr>
        <w:t>Pour résumer, quatre éléments principaux entourent la question de l’</w:t>
      </w:r>
      <w:r w:rsidRPr="002462E6">
        <w:rPr>
          <w:rFonts w:ascii="Tahoma" w:eastAsia="Times New Roman" w:hAnsi="Tahoma" w:cs="Tahoma"/>
          <w:i/>
          <w:iCs/>
          <w:sz w:val="24"/>
          <w:szCs w:val="24"/>
        </w:rPr>
        <w:t>Agdal</w:t>
      </w:r>
      <w:r w:rsidRPr="002462E6">
        <w:rPr>
          <w:rFonts w:ascii="Tahoma" w:eastAsia="Times New Roman" w:hAnsi="Tahoma" w:cs="Tahoma"/>
          <w:sz w:val="24"/>
          <w:szCs w:val="24"/>
        </w:rPr>
        <w:t> : un territoire bien délimité, souvent matérialisé sur le terrain par des repères topographiques tels que de simples tas de pierres (</w:t>
      </w:r>
      <w:r w:rsidRPr="002462E6">
        <w:rPr>
          <w:rFonts w:ascii="Tahoma" w:eastAsia="Times New Roman" w:hAnsi="Tahoma" w:cs="Tahoma"/>
          <w:i/>
          <w:iCs/>
          <w:sz w:val="24"/>
          <w:szCs w:val="24"/>
        </w:rPr>
        <w:t>kerkour</w:t>
      </w:r>
      <w:r w:rsidRPr="002462E6">
        <w:rPr>
          <w:rFonts w:ascii="Tahoma" w:eastAsia="Times New Roman" w:hAnsi="Tahoma" w:cs="Tahoma"/>
          <w:sz w:val="24"/>
          <w:szCs w:val="24"/>
        </w:rPr>
        <w:t>). Ce territoire renferme un ensemble varié de ressources, dont certaines sont privilégiées et soumises à une régulation sociale.</w:t>
      </w:r>
    </w:p>
    <w:p w:rsidR="000A7532" w:rsidRPr="002462E6" w:rsidRDefault="000A7532" w:rsidP="000A7532">
      <w:pPr>
        <w:widowControl w:val="0"/>
        <w:autoSpaceDE w:val="0"/>
        <w:autoSpaceDN w:val="0"/>
        <w:spacing w:after="0" w:line="360" w:lineRule="auto"/>
        <w:jc w:val="both"/>
        <w:rPr>
          <w:rFonts w:ascii="Tahoma" w:eastAsia="Times New Roman" w:hAnsi="Tahoma" w:cs="Tahoma"/>
          <w:sz w:val="24"/>
          <w:szCs w:val="24"/>
        </w:rPr>
      </w:pPr>
      <w:r w:rsidRPr="002462E6">
        <w:rPr>
          <w:rFonts w:ascii="Tahoma" w:eastAsia="Times New Roman" w:hAnsi="Tahoma" w:cs="Tahoma"/>
          <w:sz w:val="24"/>
          <w:szCs w:val="24"/>
        </w:rPr>
        <w:t>La régulation de l'accès aux ressources de l'</w:t>
      </w:r>
      <w:r w:rsidRPr="002462E6">
        <w:rPr>
          <w:rFonts w:ascii="Tahoma" w:eastAsia="Times New Roman" w:hAnsi="Tahoma" w:cs="Tahoma"/>
          <w:i/>
          <w:iCs/>
          <w:sz w:val="24"/>
          <w:szCs w:val="24"/>
        </w:rPr>
        <w:t>Agdal</w:t>
      </w:r>
      <w:r w:rsidRPr="002462E6">
        <w:rPr>
          <w:rFonts w:ascii="Tahoma" w:eastAsia="Times New Roman" w:hAnsi="Tahoma" w:cs="Tahoma"/>
          <w:sz w:val="24"/>
          <w:szCs w:val="24"/>
        </w:rPr>
        <w:t xml:space="preserve"> est gérée par des institutions locales. L’</w:t>
      </w:r>
      <w:r w:rsidRPr="002462E6">
        <w:rPr>
          <w:rFonts w:ascii="Tahoma" w:eastAsia="Times New Roman" w:hAnsi="Tahoma" w:cs="Tahoma"/>
          <w:i/>
          <w:iCs/>
          <w:sz w:val="24"/>
          <w:szCs w:val="24"/>
        </w:rPr>
        <w:t>Agdal</w:t>
      </w:r>
      <w:r w:rsidRPr="002462E6">
        <w:rPr>
          <w:rFonts w:ascii="Tahoma" w:eastAsia="Times New Roman" w:hAnsi="Tahoma" w:cs="Tahoma"/>
          <w:sz w:val="24"/>
          <w:szCs w:val="24"/>
        </w:rPr>
        <w:t xml:space="preserve"> de la communauté (</w:t>
      </w:r>
      <w:r w:rsidRPr="002462E6">
        <w:rPr>
          <w:rFonts w:ascii="Tahoma" w:eastAsia="Times New Roman" w:hAnsi="Tahoma" w:cs="Tahoma"/>
          <w:i/>
          <w:iCs/>
          <w:sz w:val="24"/>
          <w:szCs w:val="24"/>
        </w:rPr>
        <w:t>Taqbilt</w:t>
      </w:r>
      <w:r w:rsidRPr="002462E6">
        <w:rPr>
          <w:rFonts w:ascii="Tahoma" w:eastAsia="Times New Roman" w:hAnsi="Tahoma" w:cs="Tahoma"/>
          <w:sz w:val="24"/>
          <w:szCs w:val="24"/>
        </w:rPr>
        <w:t>) est administré à plusieurs niveaux : village, tribu ou fraction tribale. L'assemblée coutumière (</w:t>
      </w:r>
      <w:r w:rsidRPr="002462E6">
        <w:rPr>
          <w:rFonts w:ascii="Tahoma" w:eastAsia="Times New Roman" w:hAnsi="Tahoma" w:cs="Tahoma"/>
          <w:i/>
          <w:iCs/>
          <w:sz w:val="24"/>
          <w:szCs w:val="24"/>
        </w:rPr>
        <w:t>Jemâa</w:t>
      </w:r>
      <w:r w:rsidRPr="002462E6">
        <w:rPr>
          <w:rFonts w:ascii="Tahoma" w:eastAsia="Times New Roman" w:hAnsi="Tahoma" w:cs="Tahoma"/>
          <w:sz w:val="24"/>
          <w:szCs w:val="24"/>
        </w:rPr>
        <w:t xml:space="preserve">) joue un rôle central dans la gestion et la prise de décision. Certains </w:t>
      </w:r>
      <w:r w:rsidRPr="002462E6">
        <w:rPr>
          <w:rFonts w:ascii="Tahoma" w:eastAsia="Times New Roman" w:hAnsi="Tahoma" w:cs="Tahoma"/>
          <w:i/>
          <w:iCs/>
          <w:sz w:val="24"/>
          <w:szCs w:val="24"/>
        </w:rPr>
        <w:t>Agdals</w:t>
      </w:r>
      <w:r w:rsidRPr="002462E6">
        <w:rPr>
          <w:rFonts w:ascii="Tahoma" w:eastAsia="Times New Roman" w:hAnsi="Tahoma" w:cs="Tahoma"/>
          <w:sz w:val="24"/>
          <w:szCs w:val="24"/>
        </w:rPr>
        <w:t xml:space="preserve"> sont gérés au niveau villageois, tandis que d'autres relèvent de structures sociales plus étendues, comme des </w:t>
      </w:r>
      <w:r w:rsidRPr="002462E6">
        <w:rPr>
          <w:rFonts w:ascii="Tahoma" w:eastAsia="Times New Roman" w:hAnsi="Tahoma" w:cs="Tahoma"/>
          <w:i/>
          <w:iCs/>
          <w:sz w:val="24"/>
          <w:szCs w:val="24"/>
        </w:rPr>
        <w:t>Agdals</w:t>
      </w:r>
      <w:r w:rsidRPr="002462E6">
        <w:rPr>
          <w:rFonts w:ascii="Tahoma" w:eastAsia="Times New Roman" w:hAnsi="Tahoma" w:cs="Tahoma"/>
          <w:sz w:val="24"/>
          <w:szCs w:val="24"/>
        </w:rPr>
        <w:t xml:space="preserve"> pastoraux gérés par plusieurs villages ou fractions tribales</w:t>
      </w:r>
      <w:r w:rsidRPr="002462E6">
        <w:rPr>
          <w:rFonts w:ascii="Tahoma" w:eastAsia="Times New Roman" w:hAnsi="Tahoma" w:cs="Tahoma"/>
          <w:sz w:val="24"/>
          <w:szCs w:val="24"/>
          <w:vertAlign w:val="superscript"/>
        </w:rPr>
        <w:footnoteReference w:id="161"/>
      </w:r>
      <w:r w:rsidRPr="002462E6">
        <w:rPr>
          <w:rFonts w:ascii="Tahoma" w:eastAsia="Times New Roman" w:hAnsi="Tahoma" w:cs="Tahoma"/>
          <w:sz w:val="24"/>
          <w:szCs w:val="24"/>
        </w:rPr>
        <w:t>.</w:t>
      </w:r>
    </w:p>
    <w:p w:rsidR="000A7532" w:rsidRPr="002462E6" w:rsidRDefault="000A7532" w:rsidP="000A7532">
      <w:pPr>
        <w:widowControl w:val="0"/>
        <w:autoSpaceDE w:val="0"/>
        <w:autoSpaceDN w:val="0"/>
        <w:spacing w:after="0" w:line="360" w:lineRule="auto"/>
        <w:jc w:val="both"/>
        <w:rPr>
          <w:rFonts w:ascii="Tahoma" w:eastAsia="Times New Roman" w:hAnsi="Tahoma" w:cs="Tahoma"/>
          <w:sz w:val="24"/>
          <w:szCs w:val="24"/>
        </w:rPr>
      </w:pPr>
      <w:r w:rsidRPr="002462E6">
        <w:rPr>
          <w:rFonts w:ascii="Tahoma" w:eastAsia="Times New Roman" w:hAnsi="Tahoma" w:cs="Tahoma"/>
          <w:sz w:val="24"/>
          <w:szCs w:val="24"/>
        </w:rPr>
        <w:t>Les institutions locales établissent un ensemble de règles concernant l'accès et l'utilisation des ressources disponibles dans l'</w:t>
      </w:r>
      <w:r w:rsidRPr="002462E6">
        <w:rPr>
          <w:rFonts w:ascii="Tahoma" w:eastAsia="Times New Roman" w:hAnsi="Tahoma" w:cs="Tahoma"/>
          <w:i/>
          <w:iCs/>
          <w:sz w:val="24"/>
          <w:szCs w:val="24"/>
        </w:rPr>
        <w:t>Agdal</w:t>
      </w:r>
      <w:r w:rsidRPr="002462E6">
        <w:rPr>
          <w:rFonts w:ascii="Tahoma" w:eastAsia="Times New Roman" w:hAnsi="Tahoma" w:cs="Tahoma"/>
          <w:sz w:val="24"/>
          <w:szCs w:val="24"/>
        </w:rPr>
        <w:t>. L'usage de ces ressources est réservé à des ayants droit clairement identifiés. Les règles d'exploitation varient et sont souvent très spécifiques, englobant des droits, des quotas, des taxes, etc. Une constante est la mise en défense des ressources, souvent de manière temporaire, entraînant des périodes alternées d'ouvertures (usages autorisés) et de fermetures (usages interdits) du territoire. Un système de contrôle local, accompagné de sanctions, veille au respect de ces règles collectives.</w:t>
      </w:r>
    </w:p>
    <w:p w:rsidR="000A7532" w:rsidRPr="002462E6" w:rsidRDefault="000A7532" w:rsidP="000A7532">
      <w:pPr>
        <w:widowControl w:val="0"/>
        <w:autoSpaceDE w:val="0"/>
        <w:autoSpaceDN w:val="0"/>
        <w:spacing w:after="0" w:line="360" w:lineRule="auto"/>
        <w:jc w:val="both"/>
        <w:rPr>
          <w:rFonts w:ascii="Tahoma" w:eastAsia="Times New Roman" w:hAnsi="Tahoma" w:cs="Tahoma"/>
          <w:sz w:val="24"/>
          <w:szCs w:val="24"/>
        </w:rPr>
      </w:pPr>
      <w:r w:rsidRPr="002462E6">
        <w:rPr>
          <w:rFonts w:ascii="Tahoma" w:eastAsia="Times New Roman" w:hAnsi="Tahoma" w:cs="Tahoma"/>
          <w:sz w:val="24"/>
          <w:szCs w:val="24"/>
        </w:rPr>
        <w:lastRenderedPageBreak/>
        <w:t>En plus, suivant des croyances et des représentations spécifiques, l’</w:t>
      </w:r>
      <w:r w:rsidRPr="002462E6">
        <w:rPr>
          <w:rFonts w:ascii="Tahoma" w:eastAsia="Times New Roman" w:hAnsi="Tahoma" w:cs="Tahoma"/>
          <w:i/>
          <w:iCs/>
          <w:sz w:val="24"/>
          <w:szCs w:val="24"/>
        </w:rPr>
        <w:t>Agdal</w:t>
      </w:r>
      <w:r w:rsidRPr="002462E6">
        <w:rPr>
          <w:rFonts w:ascii="Tahoma" w:eastAsia="Times New Roman" w:hAnsi="Tahoma" w:cs="Tahoma"/>
          <w:sz w:val="24"/>
          <w:szCs w:val="24"/>
        </w:rPr>
        <w:t xml:space="preserve"> invoque des images de prairies verdoyantes, de prolifération de vie, d'abondance de l'eau et de l'herbe. Bref, Deux idées fondamentales émanent du terme </w:t>
      </w:r>
      <w:r w:rsidRPr="002462E6">
        <w:rPr>
          <w:rFonts w:ascii="Tahoma" w:eastAsia="Times New Roman" w:hAnsi="Tahoma" w:cs="Tahoma"/>
          <w:i/>
          <w:iCs/>
          <w:sz w:val="24"/>
          <w:szCs w:val="24"/>
        </w:rPr>
        <w:t>Agdal</w:t>
      </w:r>
      <w:r w:rsidRPr="002462E6">
        <w:rPr>
          <w:rFonts w:ascii="Tahoma" w:eastAsia="Times New Roman" w:hAnsi="Tahoma" w:cs="Tahoma"/>
          <w:sz w:val="24"/>
          <w:szCs w:val="24"/>
        </w:rPr>
        <w:t xml:space="preserve"> : l’abondance de la végétation et la protection des ressources dans un espace clos bien préservé</w:t>
      </w:r>
      <w:r w:rsidRPr="002462E6">
        <w:rPr>
          <w:rFonts w:ascii="Tahoma" w:eastAsia="Times New Roman" w:hAnsi="Tahoma" w:cs="Tahoma"/>
          <w:sz w:val="24"/>
          <w:szCs w:val="24"/>
          <w:vertAlign w:val="superscript"/>
        </w:rPr>
        <w:footnoteReference w:id="162"/>
      </w:r>
      <w:r w:rsidRPr="002462E6">
        <w:rPr>
          <w:rFonts w:ascii="Tahoma" w:eastAsia="Times New Roman" w:hAnsi="Tahoma" w:cs="Tahoma"/>
          <w:sz w:val="24"/>
          <w:szCs w:val="24"/>
        </w:rPr>
        <w:t>.</w:t>
      </w:r>
    </w:p>
    <w:p w:rsidR="000A7532" w:rsidRDefault="000A7532" w:rsidP="000A7532">
      <w:pPr>
        <w:widowControl w:val="0"/>
        <w:autoSpaceDE w:val="0"/>
        <w:autoSpaceDN w:val="0"/>
        <w:spacing w:after="0" w:line="360" w:lineRule="auto"/>
        <w:jc w:val="both"/>
        <w:rPr>
          <w:rFonts w:ascii="Tahoma" w:eastAsia="Times New Roman" w:hAnsi="Tahoma" w:cs="Tahoma"/>
          <w:sz w:val="24"/>
          <w:szCs w:val="24"/>
        </w:rPr>
      </w:pPr>
      <w:r w:rsidRPr="002462E6">
        <w:rPr>
          <w:rFonts w:ascii="Tahoma" w:eastAsia="Times New Roman" w:hAnsi="Tahoma" w:cs="Tahoma"/>
          <w:sz w:val="24"/>
          <w:szCs w:val="24"/>
        </w:rPr>
        <w:t xml:space="preserve">Dans la vallée des </w:t>
      </w:r>
      <w:r w:rsidRPr="002462E6">
        <w:rPr>
          <w:rFonts w:ascii="Tahoma" w:eastAsia="Times New Roman" w:hAnsi="Tahoma" w:cs="Tahoma"/>
          <w:i/>
          <w:iCs/>
          <w:sz w:val="24"/>
          <w:szCs w:val="24"/>
        </w:rPr>
        <w:t>Aït Bouguemez</w:t>
      </w:r>
      <w:r w:rsidRPr="002462E6">
        <w:rPr>
          <w:rFonts w:ascii="Tahoma" w:eastAsia="Times New Roman" w:hAnsi="Tahoma" w:cs="Tahoma"/>
          <w:sz w:val="24"/>
          <w:szCs w:val="24"/>
        </w:rPr>
        <w:t>, deux types principaux d’</w:t>
      </w:r>
      <w:r w:rsidRPr="002462E6">
        <w:rPr>
          <w:rFonts w:ascii="Tahoma" w:eastAsia="Times New Roman" w:hAnsi="Tahoma" w:cs="Tahoma"/>
          <w:i/>
          <w:iCs/>
          <w:sz w:val="24"/>
          <w:szCs w:val="24"/>
        </w:rPr>
        <w:t>Agdals</w:t>
      </w:r>
      <w:r w:rsidRPr="002462E6">
        <w:rPr>
          <w:rFonts w:ascii="Tahoma" w:eastAsia="Times New Roman" w:hAnsi="Tahoma" w:cs="Tahoma"/>
          <w:sz w:val="24"/>
          <w:szCs w:val="24"/>
        </w:rPr>
        <w:t xml:space="preserve"> peuvent être observés : pastoraux et forestiers. Les </w:t>
      </w:r>
      <w:r w:rsidRPr="002462E6">
        <w:rPr>
          <w:rFonts w:ascii="Tahoma" w:eastAsia="Times New Roman" w:hAnsi="Tahoma" w:cs="Tahoma"/>
          <w:i/>
          <w:iCs/>
          <w:sz w:val="24"/>
          <w:szCs w:val="24"/>
        </w:rPr>
        <w:t>Agdals</w:t>
      </w:r>
      <w:r w:rsidRPr="002462E6">
        <w:rPr>
          <w:rFonts w:ascii="Tahoma" w:eastAsia="Times New Roman" w:hAnsi="Tahoma" w:cs="Tahoma"/>
          <w:sz w:val="24"/>
          <w:szCs w:val="24"/>
        </w:rPr>
        <w:t xml:space="preserve"> pastoraux (</w:t>
      </w:r>
      <w:r w:rsidRPr="002462E6">
        <w:rPr>
          <w:rFonts w:ascii="Tahoma" w:eastAsia="Times New Roman" w:hAnsi="Tahoma" w:cs="Tahoma"/>
          <w:i/>
          <w:iCs/>
          <w:sz w:val="24"/>
          <w:szCs w:val="24"/>
        </w:rPr>
        <w:t>agdal-ntuga</w:t>
      </w:r>
      <w:r w:rsidRPr="002462E6">
        <w:rPr>
          <w:rFonts w:ascii="Tahoma" w:eastAsia="Times New Roman" w:hAnsi="Tahoma" w:cs="Tahoma"/>
          <w:sz w:val="24"/>
          <w:szCs w:val="24"/>
        </w:rPr>
        <w:t>) sont des espaces de pâturage soumis à des mises en défens, en général en relation avec la pratique de la transhumance estivale. L'accès des troupeaux est régulé par des périodes alternées d'ouverture (en été) et de fermeture (au printemps, pouvant aller d'un à cinq mois), permettant ainsi la régénération de la végétation herbacée. Un gardien est désigné et rémunéré pour surveiller le pâturage en défens avant l’arrivée des éleveurs lors de la transhumance. Des droits spécifiques sont également attribués pour la collecte de fumier, ainsi que pour la construction et l'occupation des bergeries d'estive, dont la répartition spatiale reflète en partie celle des villages de la vallée.</w:t>
      </w:r>
    </w:p>
    <w:p w:rsidR="00F64A19" w:rsidRPr="00F64A19" w:rsidRDefault="00F64A19" w:rsidP="000A7532">
      <w:pPr>
        <w:widowControl w:val="0"/>
        <w:autoSpaceDE w:val="0"/>
        <w:autoSpaceDN w:val="0"/>
        <w:spacing w:after="0" w:line="360" w:lineRule="auto"/>
        <w:jc w:val="both"/>
        <w:rPr>
          <w:rFonts w:ascii="Tahoma" w:eastAsia="Times New Roman" w:hAnsi="Tahoma" w:cs="Tahoma"/>
          <w:sz w:val="12"/>
          <w:szCs w:val="12"/>
        </w:rPr>
      </w:pPr>
    </w:p>
    <w:p w:rsidR="000A7532" w:rsidRPr="002462E6" w:rsidRDefault="000A7532" w:rsidP="000A7532">
      <w:pPr>
        <w:widowControl w:val="0"/>
        <w:autoSpaceDE w:val="0"/>
        <w:autoSpaceDN w:val="0"/>
        <w:spacing w:after="0" w:line="360" w:lineRule="auto"/>
        <w:ind w:right="4"/>
        <w:jc w:val="both"/>
        <w:rPr>
          <w:rFonts w:ascii="Tahoma" w:eastAsia="Times New Roman" w:hAnsi="Tahoma" w:cs="Tahoma"/>
          <w:sz w:val="24"/>
          <w:szCs w:val="24"/>
        </w:rPr>
      </w:pPr>
      <w:r w:rsidRPr="002462E6">
        <w:rPr>
          <w:rFonts w:ascii="Tahoma" w:eastAsia="Times New Roman" w:hAnsi="Tahoma" w:cs="Tahoma"/>
          <w:sz w:val="24"/>
          <w:szCs w:val="24"/>
        </w:rPr>
        <w:t xml:space="preserve">Les </w:t>
      </w:r>
      <w:r w:rsidRPr="002462E6">
        <w:rPr>
          <w:rFonts w:ascii="Tahoma" w:eastAsia="Times New Roman" w:hAnsi="Tahoma" w:cs="Tahoma"/>
          <w:i/>
          <w:iCs/>
          <w:sz w:val="24"/>
          <w:szCs w:val="24"/>
        </w:rPr>
        <w:t>Agdals</w:t>
      </w:r>
      <w:r w:rsidRPr="002462E6">
        <w:rPr>
          <w:rFonts w:ascii="Tahoma" w:eastAsia="Times New Roman" w:hAnsi="Tahoma" w:cs="Tahoma"/>
          <w:sz w:val="24"/>
          <w:szCs w:val="24"/>
        </w:rPr>
        <w:t xml:space="preserve"> forestiers, également appelés </w:t>
      </w:r>
      <w:r w:rsidRPr="002462E6">
        <w:rPr>
          <w:rFonts w:ascii="Tahoma" w:eastAsia="Times New Roman" w:hAnsi="Tahoma" w:cs="Tahoma"/>
          <w:i/>
          <w:iCs/>
          <w:sz w:val="24"/>
          <w:szCs w:val="24"/>
        </w:rPr>
        <w:t>Agdal-nikchoud</w:t>
      </w:r>
      <w:r w:rsidRPr="002462E6">
        <w:rPr>
          <w:rFonts w:ascii="Tahoma" w:eastAsia="Times New Roman" w:hAnsi="Tahoma" w:cs="Tahoma"/>
          <w:sz w:val="24"/>
          <w:szCs w:val="24"/>
        </w:rPr>
        <w:t>, désignent des zones boisées soumises à des mises en défens temporaires concernant l’exploitation du bois et des fourrages. Ces espaces sont accessibles au pâturage tout au long de l'année et sont administrés par le village, qui compte généralement entre 50 et 100 foyers, par l'intermédiaire d'une assemblée villageoise.</w:t>
      </w:r>
    </w:p>
    <w:p w:rsidR="000A7532" w:rsidRPr="002462E6" w:rsidRDefault="000A7532" w:rsidP="000A7532">
      <w:pPr>
        <w:widowControl w:val="0"/>
        <w:autoSpaceDE w:val="0"/>
        <w:autoSpaceDN w:val="0"/>
        <w:spacing w:before="88" w:after="0" w:line="360" w:lineRule="auto"/>
        <w:ind w:right="4"/>
        <w:jc w:val="both"/>
        <w:rPr>
          <w:rFonts w:ascii="Tahoma" w:eastAsia="Times New Roman" w:hAnsi="Tahoma" w:cs="Tahoma"/>
          <w:sz w:val="24"/>
          <w:szCs w:val="24"/>
        </w:rPr>
      </w:pPr>
      <w:r w:rsidRPr="002462E6">
        <w:rPr>
          <w:rFonts w:ascii="Tahoma" w:eastAsia="Times New Roman" w:hAnsi="Tahoma" w:cs="Tahoma"/>
          <w:sz w:val="24"/>
          <w:szCs w:val="24"/>
        </w:rPr>
        <w:t xml:space="preserve">Dans un </w:t>
      </w:r>
      <w:r w:rsidRPr="002462E6">
        <w:rPr>
          <w:rFonts w:ascii="Tahoma" w:eastAsia="Times New Roman" w:hAnsi="Tahoma" w:cs="Tahoma"/>
          <w:i/>
          <w:iCs/>
          <w:sz w:val="24"/>
          <w:szCs w:val="24"/>
        </w:rPr>
        <w:t>Agdal</w:t>
      </w:r>
      <w:r w:rsidRPr="002462E6">
        <w:rPr>
          <w:rFonts w:ascii="Tahoma" w:eastAsia="Times New Roman" w:hAnsi="Tahoma" w:cs="Tahoma"/>
          <w:sz w:val="24"/>
          <w:szCs w:val="24"/>
        </w:rPr>
        <w:t xml:space="preserve"> forestier, la coupe de bois et de fourrage foliaire est interdite pendant la majeure partie de l'année, à l'exception du combustible destiné à la mosquée. La </w:t>
      </w:r>
      <w:r w:rsidRPr="002462E6">
        <w:rPr>
          <w:rFonts w:ascii="Tahoma" w:eastAsia="Times New Roman" w:hAnsi="Tahoma" w:cs="Tahoma"/>
          <w:i/>
          <w:iCs/>
          <w:sz w:val="24"/>
          <w:szCs w:val="24"/>
        </w:rPr>
        <w:t>Jemâa</w:t>
      </w:r>
      <w:r w:rsidRPr="002462E6">
        <w:rPr>
          <w:rFonts w:ascii="Tahoma" w:eastAsia="Times New Roman" w:hAnsi="Tahoma" w:cs="Tahoma"/>
          <w:sz w:val="24"/>
          <w:szCs w:val="24"/>
        </w:rPr>
        <w:t xml:space="preserve"> (assemblée) du village décide de l’ouverture des </w:t>
      </w:r>
      <w:r w:rsidRPr="002462E6">
        <w:rPr>
          <w:rFonts w:ascii="Tahoma" w:eastAsia="Times New Roman" w:hAnsi="Tahoma" w:cs="Tahoma"/>
          <w:i/>
          <w:iCs/>
          <w:sz w:val="24"/>
          <w:szCs w:val="24"/>
        </w:rPr>
        <w:t>Agdals</w:t>
      </w:r>
      <w:r w:rsidRPr="002462E6">
        <w:rPr>
          <w:rFonts w:ascii="Tahoma" w:eastAsia="Times New Roman" w:hAnsi="Tahoma" w:cs="Tahoma"/>
          <w:sz w:val="24"/>
          <w:szCs w:val="24"/>
        </w:rPr>
        <w:t xml:space="preserve"> pendant l’hiver, période durant laquelle la neige empêche les habitants et leurs troupeaux de se déplacer.</w:t>
      </w:r>
    </w:p>
    <w:p w:rsidR="000A7532" w:rsidRPr="002462E6" w:rsidRDefault="000A7532" w:rsidP="000A7532">
      <w:pPr>
        <w:widowControl w:val="0"/>
        <w:autoSpaceDE w:val="0"/>
        <w:autoSpaceDN w:val="0"/>
        <w:spacing w:before="88" w:after="0" w:line="360" w:lineRule="auto"/>
        <w:ind w:right="4"/>
        <w:jc w:val="both"/>
        <w:rPr>
          <w:rFonts w:ascii="Tahoma" w:eastAsia="Times New Roman" w:hAnsi="Tahoma" w:cs="Tahoma"/>
          <w:sz w:val="24"/>
          <w:szCs w:val="24"/>
        </w:rPr>
      </w:pPr>
      <w:r w:rsidRPr="002462E6">
        <w:rPr>
          <w:rFonts w:ascii="Tahoma" w:eastAsia="Times New Roman" w:hAnsi="Tahoma" w:cs="Tahoma"/>
          <w:sz w:val="24"/>
          <w:szCs w:val="24"/>
        </w:rPr>
        <w:t xml:space="preserve">Chaque famille du village peut alors s'approvisionner en fourrage foliaire sur le territoire. La durée d'ouverture est limitée à quelques jours ou à quelques semaines par an, selon les conditions climatiques. L'approvisionnement en fourrage foliaire (chêne vert et genévriers), ressource indispensable pour nourrir le bétail en période de neige, est ici la </w:t>
      </w:r>
      <w:r w:rsidRPr="002462E6">
        <w:rPr>
          <w:rFonts w:ascii="Tahoma" w:eastAsia="Times New Roman" w:hAnsi="Tahoma" w:cs="Tahoma"/>
          <w:sz w:val="24"/>
          <w:szCs w:val="24"/>
        </w:rPr>
        <w:lastRenderedPageBreak/>
        <w:t>principale ressource protégée. D'autres produits (perches de construction) peuvent être prélevés dans l'</w:t>
      </w:r>
      <w:r w:rsidRPr="002462E6">
        <w:rPr>
          <w:rFonts w:ascii="Tahoma" w:eastAsia="Times New Roman" w:hAnsi="Tahoma" w:cs="Tahoma"/>
          <w:i/>
          <w:iCs/>
          <w:sz w:val="24"/>
          <w:szCs w:val="24"/>
        </w:rPr>
        <w:t>Agdal</w:t>
      </w:r>
      <w:r w:rsidRPr="002462E6">
        <w:rPr>
          <w:rFonts w:ascii="Tahoma" w:eastAsia="Times New Roman" w:hAnsi="Tahoma" w:cs="Tahoma"/>
          <w:sz w:val="24"/>
          <w:szCs w:val="24"/>
        </w:rPr>
        <w:t xml:space="preserve"> après accord de la </w:t>
      </w:r>
      <w:r w:rsidRPr="002462E6">
        <w:rPr>
          <w:rFonts w:ascii="Tahoma" w:eastAsia="Times New Roman" w:hAnsi="Tahoma" w:cs="Tahoma"/>
          <w:i/>
          <w:iCs/>
          <w:sz w:val="24"/>
          <w:szCs w:val="24"/>
        </w:rPr>
        <w:t>Jemâa</w:t>
      </w:r>
      <w:r w:rsidRPr="002462E6">
        <w:rPr>
          <w:rFonts w:ascii="Tahoma" w:eastAsia="Times New Roman" w:hAnsi="Tahoma" w:cs="Tahoma"/>
          <w:sz w:val="24"/>
          <w:szCs w:val="24"/>
        </w:rPr>
        <w:t xml:space="preserve"> qui en détermine les modalités d'exploitation</w:t>
      </w:r>
      <w:r w:rsidRPr="002462E6">
        <w:rPr>
          <w:rFonts w:ascii="Tahoma" w:eastAsia="Times New Roman" w:hAnsi="Tahoma" w:cs="Tahoma"/>
          <w:sz w:val="24"/>
          <w:szCs w:val="24"/>
          <w:vertAlign w:val="superscript"/>
        </w:rPr>
        <w:footnoteReference w:id="163"/>
      </w:r>
      <w:r w:rsidRPr="002462E6">
        <w:rPr>
          <w:rFonts w:ascii="Tahoma" w:eastAsia="Times New Roman" w:hAnsi="Tahoma" w:cs="Tahoma"/>
          <w:sz w:val="24"/>
          <w:szCs w:val="24"/>
        </w:rPr>
        <w:t>.</w:t>
      </w:r>
    </w:p>
    <w:p w:rsidR="000A7532" w:rsidRPr="002462E6" w:rsidRDefault="000A7532" w:rsidP="000A7532">
      <w:pPr>
        <w:widowControl w:val="0"/>
        <w:autoSpaceDE w:val="0"/>
        <w:autoSpaceDN w:val="0"/>
        <w:spacing w:before="88" w:after="0" w:line="360" w:lineRule="auto"/>
        <w:ind w:right="186"/>
        <w:jc w:val="both"/>
        <w:rPr>
          <w:rFonts w:ascii="Tahoma" w:eastAsia="Times New Roman" w:hAnsi="Tahoma" w:cs="Tahoma"/>
          <w:sz w:val="24"/>
          <w:szCs w:val="24"/>
        </w:rPr>
      </w:pPr>
      <w:r w:rsidRPr="002462E6">
        <w:rPr>
          <w:rFonts w:ascii="Tahoma" w:eastAsia="Times New Roman" w:hAnsi="Tahoma" w:cs="Tahoma"/>
          <w:sz w:val="24"/>
          <w:szCs w:val="24"/>
        </w:rPr>
        <w:t>En plus de la mise en défens (ouverture hivernale réduite), le prélèvement se conforme à diverses règles selon les villages, telles que des quotas de prélèvement, une sélection des espèces et une rotation des coupes, etc.</w:t>
      </w:r>
    </w:p>
    <w:p w:rsidR="000A7532" w:rsidRPr="002462E6" w:rsidRDefault="000A7532" w:rsidP="000A7532">
      <w:pPr>
        <w:widowControl w:val="0"/>
        <w:autoSpaceDE w:val="0"/>
        <w:autoSpaceDN w:val="0"/>
        <w:spacing w:before="88" w:after="0" w:line="360" w:lineRule="auto"/>
        <w:ind w:right="186"/>
        <w:jc w:val="both"/>
        <w:rPr>
          <w:rFonts w:ascii="Tahoma" w:eastAsia="Times New Roman" w:hAnsi="Tahoma" w:cs="Tahoma"/>
          <w:sz w:val="24"/>
          <w:szCs w:val="24"/>
        </w:rPr>
      </w:pPr>
      <w:r w:rsidRPr="002462E6">
        <w:rPr>
          <w:rFonts w:ascii="Tahoma" w:eastAsia="Times New Roman" w:hAnsi="Tahoma" w:cs="Tahoma"/>
          <w:sz w:val="24"/>
          <w:szCs w:val="24"/>
        </w:rPr>
        <w:t>À l'intérieur de l'</w:t>
      </w:r>
      <w:r w:rsidRPr="002462E6">
        <w:rPr>
          <w:rFonts w:ascii="Tahoma" w:eastAsia="Times New Roman" w:hAnsi="Tahoma" w:cs="Tahoma"/>
          <w:i/>
          <w:iCs/>
          <w:sz w:val="24"/>
          <w:szCs w:val="24"/>
        </w:rPr>
        <w:t>Agdal</w:t>
      </w:r>
      <w:r w:rsidRPr="002462E6">
        <w:rPr>
          <w:rFonts w:ascii="Tahoma" w:eastAsia="Times New Roman" w:hAnsi="Tahoma" w:cs="Tahoma"/>
          <w:sz w:val="24"/>
          <w:szCs w:val="24"/>
        </w:rPr>
        <w:t xml:space="preserve">, des droits permanents de mise en culture peuvent être délivrés par la </w:t>
      </w:r>
      <w:r w:rsidRPr="002462E6">
        <w:rPr>
          <w:rFonts w:ascii="Tahoma" w:eastAsia="Times New Roman" w:hAnsi="Tahoma" w:cs="Tahoma"/>
          <w:i/>
          <w:iCs/>
          <w:sz w:val="24"/>
          <w:szCs w:val="24"/>
        </w:rPr>
        <w:t>Jemâa</w:t>
      </w:r>
      <w:r w:rsidRPr="002462E6">
        <w:rPr>
          <w:rFonts w:ascii="Tahoma" w:eastAsia="Times New Roman" w:hAnsi="Tahoma" w:cs="Tahoma"/>
          <w:sz w:val="24"/>
          <w:szCs w:val="24"/>
        </w:rPr>
        <w:t xml:space="preserve"> à des familles du village. Ces droits s'accompagnent d'un certain nombre de contraintes pour les cultivateurs. Comme pour l'</w:t>
      </w:r>
      <w:r w:rsidRPr="002462E6">
        <w:rPr>
          <w:rFonts w:ascii="Tahoma" w:eastAsia="Times New Roman" w:hAnsi="Tahoma" w:cs="Tahoma"/>
          <w:i/>
          <w:iCs/>
          <w:sz w:val="24"/>
          <w:szCs w:val="24"/>
        </w:rPr>
        <w:t>Agdal</w:t>
      </w:r>
      <w:r w:rsidRPr="002462E6">
        <w:rPr>
          <w:rFonts w:ascii="Tahoma" w:eastAsia="Times New Roman" w:hAnsi="Tahoma" w:cs="Tahoma"/>
          <w:sz w:val="24"/>
          <w:szCs w:val="24"/>
        </w:rPr>
        <w:t xml:space="preserve"> pastoral, des responsables et des gardiens sont parfois désignés au sein des villages pour sanctionner les personnes qui ne respectent pas les règles collectives. </w:t>
      </w:r>
    </w:p>
    <w:p w:rsidR="000A7532" w:rsidRDefault="000A7532" w:rsidP="000A7532">
      <w:pPr>
        <w:widowControl w:val="0"/>
        <w:autoSpaceDE w:val="0"/>
        <w:autoSpaceDN w:val="0"/>
        <w:spacing w:after="0" w:line="360" w:lineRule="auto"/>
        <w:ind w:right="189"/>
        <w:jc w:val="both"/>
        <w:rPr>
          <w:rFonts w:ascii="Tahoma" w:eastAsia="Times New Roman" w:hAnsi="Tahoma" w:cs="Tahoma"/>
          <w:sz w:val="24"/>
          <w:szCs w:val="24"/>
        </w:rPr>
      </w:pPr>
      <w:r w:rsidRPr="002462E6">
        <w:rPr>
          <w:rFonts w:ascii="Tahoma" w:eastAsia="Times New Roman" w:hAnsi="Tahoma" w:cs="Tahoma"/>
          <w:sz w:val="24"/>
          <w:szCs w:val="24"/>
        </w:rPr>
        <w:t>Toutefois, ces pratiques d'</w:t>
      </w:r>
      <w:r w:rsidRPr="002462E6">
        <w:rPr>
          <w:rFonts w:ascii="Tahoma" w:eastAsia="Times New Roman" w:hAnsi="Tahoma" w:cs="Tahoma"/>
          <w:i/>
          <w:iCs/>
          <w:sz w:val="24"/>
          <w:szCs w:val="24"/>
        </w:rPr>
        <w:t>Agdal</w:t>
      </w:r>
      <w:r w:rsidRPr="002462E6">
        <w:rPr>
          <w:rFonts w:ascii="Tahoma" w:eastAsia="Times New Roman" w:hAnsi="Tahoma" w:cs="Tahoma"/>
          <w:sz w:val="24"/>
          <w:szCs w:val="24"/>
        </w:rPr>
        <w:t xml:space="preserve"> et ces savoirs locaux ne sont pas pris en considération par l'administration des Eaux et Forêts. Les acteurs locaux sont considérés comme de simples usagers du domaine forestier, et non comme des partenaires ou des gestionnaires</w:t>
      </w:r>
      <w:r w:rsidRPr="002462E6">
        <w:rPr>
          <w:rFonts w:ascii="Tahoma" w:eastAsia="Times New Roman" w:hAnsi="Tahoma" w:cs="Tahoma"/>
          <w:sz w:val="24"/>
          <w:szCs w:val="24"/>
          <w:vertAlign w:val="superscript"/>
        </w:rPr>
        <w:footnoteReference w:id="164"/>
      </w:r>
      <w:r w:rsidRPr="002462E6">
        <w:rPr>
          <w:rFonts w:ascii="Tahoma" w:eastAsia="Times New Roman" w:hAnsi="Tahoma" w:cs="Tahoma"/>
          <w:sz w:val="24"/>
          <w:szCs w:val="24"/>
        </w:rPr>
        <w:t>.</w:t>
      </w:r>
    </w:p>
    <w:p w:rsidR="00437F55" w:rsidRPr="00437F55" w:rsidRDefault="00437F55" w:rsidP="000A7532">
      <w:pPr>
        <w:widowControl w:val="0"/>
        <w:autoSpaceDE w:val="0"/>
        <w:autoSpaceDN w:val="0"/>
        <w:spacing w:after="0" w:line="360" w:lineRule="auto"/>
        <w:ind w:right="189"/>
        <w:jc w:val="both"/>
        <w:rPr>
          <w:rFonts w:ascii="Tahoma" w:eastAsia="Times New Roman" w:hAnsi="Tahoma" w:cs="Tahoma"/>
          <w:sz w:val="14"/>
          <w:szCs w:val="14"/>
        </w:rPr>
      </w:pPr>
    </w:p>
    <w:p w:rsidR="000A7532" w:rsidRPr="002462E6" w:rsidRDefault="000A7532" w:rsidP="000A7532">
      <w:pPr>
        <w:widowControl w:val="0"/>
        <w:autoSpaceDE w:val="0"/>
        <w:autoSpaceDN w:val="0"/>
        <w:spacing w:after="0" w:line="360" w:lineRule="auto"/>
        <w:ind w:right="189"/>
        <w:jc w:val="both"/>
        <w:rPr>
          <w:rFonts w:ascii="Tahoma" w:eastAsia="Times New Roman" w:hAnsi="Tahoma" w:cs="Tahoma"/>
          <w:sz w:val="24"/>
          <w:szCs w:val="24"/>
        </w:rPr>
      </w:pPr>
      <w:r w:rsidRPr="002462E6">
        <w:rPr>
          <w:rFonts w:ascii="Tahoma" w:eastAsia="Times New Roman" w:hAnsi="Tahoma" w:cs="Tahoma"/>
          <w:sz w:val="24"/>
          <w:szCs w:val="24"/>
        </w:rPr>
        <w:t xml:space="preserve">Garante de la conservation à long terme des forêts, de la protection des sols et des régimes hydrologiques, l'administration a pour mission de préserver les espaces boisés de l'action "prédatrice" des populations riveraines, de promouvoir une gestion rationnelle au nom de l'intérêt national. Le service forestier, qui a acquis une importante expérience technique, reste le "noyau dur" de l'appareil d'État dans ce domaine. Il continue souvent à privilégier une gestion administrée au détriment de l'implication et de la responsabilisation des usagers et des communautés. </w:t>
      </w:r>
    </w:p>
    <w:p w:rsidR="000A7532" w:rsidRPr="002462E6" w:rsidRDefault="000A7532" w:rsidP="000A7532">
      <w:pPr>
        <w:widowControl w:val="0"/>
        <w:autoSpaceDE w:val="0"/>
        <w:autoSpaceDN w:val="0"/>
        <w:spacing w:after="0" w:line="360" w:lineRule="auto"/>
        <w:ind w:right="189"/>
        <w:jc w:val="both"/>
        <w:rPr>
          <w:rFonts w:ascii="Tahoma" w:eastAsia="Times New Roman" w:hAnsi="Tahoma" w:cs="Tahoma"/>
          <w:sz w:val="24"/>
          <w:szCs w:val="24"/>
        </w:rPr>
      </w:pPr>
      <w:r w:rsidRPr="002462E6">
        <w:rPr>
          <w:rFonts w:ascii="Tahoma" w:eastAsia="Times New Roman" w:hAnsi="Tahoma" w:cs="Tahoma"/>
          <w:sz w:val="24"/>
          <w:szCs w:val="24"/>
        </w:rPr>
        <w:t xml:space="preserve">Sur un même territoire forestier coexistent donc deux types d’enjeux, deux logiques de gestion et deux modes d'appropriation de l'espace et de ses ressources. </w:t>
      </w:r>
    </w:p>
    <w:p w:rsidR="000A7532" w:rsidRPr="002462E6" w:rsidRDefault="000A7532" w:rsidP="000A7532">
      <w:pPr>
        <w:widowControl w:val="0"/>
        <w:autoSpaceDE w:val="0"/>
        <w:autoSpaceDN w:val="0"/>
        <w:spacing w:after="0" w:line="360" w:lineRule="auto"/>
        <w:ind w:right="189"/>
        <w:jc w:val="both"/>
        <w:rPr>
          <w:rFonts w:ascii="Tahoma" w:eastAsia="Times New Roman" w:hAnsi="Tahoma" w:cs="Tahoma"/>
          <w:sz w:val="24"/>
          <w:szCs w:val="24"/>
        </w:rPr>
      </w:pPr>
      <w:r w:rsidRPr="002462E6">
        <w:rPr>
          <w:rFonts w:ascii="Tahoma" w:eastAsia="Times New Roman" w:hAnsi="Tahoma" w:cs="Tahoma"/>
          <w:sz w:val="24"/>
          <w:szCs w:val="24"/>
        </w:rPr>
        <w:t xml:space="preserve">Pour mieux comprendre dans quelle mesure l'un de ces systèmes de gestion peut être </w:t>
      </w:r>
      <w:r w:rsidRPr="002462E6">
        <w:rPr>
          <w:rFonts w:ascii="Tahoma" w:eastAsia="Times New Roman" w:hAnsi="Tahoma" w:cs="Tahoma"/>
          <w:sz w:val="24"/>
          <w:szCs w:val="24"/>
        </w:rPr>
        <w:lastRenderedPageBreak/>
        <w:t>pris en compte par l'autre, il est crucial d'éclaircir les relations qui les unissent.</w:t>
      </w:r>
    </w:p>
    <w:p w:rsidR="000A7532" w:rsidRPr="002462E6" w:rsidRDefault="000A7532" w:rsidP="000A7532">
      <w:pPr>
        <w:spacing w:line="360" w:lineRule="auto"/>
        <w:jc w:val="both"/>
        <w:rPr>
          <w:rFonts w:ascii="Tahoma" w:eastAsia="Calibri" w:hAnsi="Tahoma" w:cs="Tahoma"/>
          <w:sz w:val="24"/>
          <w:szCs w:val="24"/>
        </w:rPr>
      </w:pPr>
      <w:r w:rsidRPr="002462E6">
        <w:rPr>
          <w:rFonts w:ascii="Tahoma" w:eastAsia="Calibri" w:hAnsi="Tahoma" w:cs="Tahoma"/>
          <w:sz w:val="24"/>
          <w:szCs w:val="24"/>
        </w:rPr>
        <w:t>Il parait que la gestion via l’</w:t>
      </w:r>
      <w:r w:rsidRPr="002462E6">
        <w:rPr>
          <w:rFonts w:ascii="Tahoma" w:eastAsia="Calibri" w:hAnsi="Tahoma" w:cs="Tahoma"/>
          <w:i/>
          <w:iCs/>
          <w:sz w:val="24"/>
          <w:szCs w:val="24"/>
        </w:rPr>
        <w:t>Agdal</w:t>
      </w:r>
      <w:r w:rsidRPr="002462E6">
        <w:rPr>
          <w:rFonts w:ascii="Tahoma" w:eastAsia="Calibri" w:hAnsi="Tahoma" w:cs="Tahoma"/>
          <w:sz w:val="24"/>
          <w:szCs w:val="24"/>
        </w:rPr>
        <w:t xml:space="preserve"> semble souffrir d’une forme de « schizophrénie », où la régulation demeure informelle. Cette situation est accompagnée d'une reconnaissance officieuse de ces pratiques, bien que certains forestiers apprécient cette idée en soulignant qu'une utilisation rationnelle du territoire par l'agdal est bénéfique.</w:t>
      </w:r>
    </w:p>
    <w:p w:rsidR="000A7532" w:rsidRPr="002462E6" w:rsidRDefault="000A7532" w:rsidP="000A7532">
      <w:pPr>
        <w:spacing w:line="360" w:lineRule="auto"/>
        <w:jc w:val="both"/>
        <w:rPr>
          <w:rFonts w:ascii="Tahoma" w:eastAsia="Calibri" w:hAnsi="Tahoma" w:cs="Tahoma"/>
          <w:sz w:val="24"/>
          <w:szCs w:val="24"/>
        </w:rPr>
      </w:pPr>
      <w:r w:rsidRPr="002462E6">
        <w:rPr>
          <w:rFonts w:ascii="Tahoma" w:eastAsia="Calibri" w:hAnsi="Tahoma" w:cs="Tahoma"/>
          <w:sz w:val="24"/>
          <w:szCs w:val="24"/>
        </w:rPr>
        <w:t>Deux discours, difficilement conciliables, semblent se manifester au sein de l'administration actuelle. Le premier justifie l’existence des services forestiers par l'incapacité des populations rurales à gérer correctement leurs ressources, une perspective ancrée dans l’histoire du corps des Eaux et Forêts au Maroc. Le second reconnaît, avec plus ou moins d'intensité, la capacité de ces mêmes populations à réguler leurs prélèvements, allant jusqu'à promouvoir les concepts de cogestion ou de gestion participative. Lorsque ces deux discours sont employés alternativement par un même interlocuteur selon les situations compliquant ainsi tout changement concret en matière de gestion. Dans ce sens, certains</w:t>
      </w:r>
      <w:r w:rsidRPr="002462E6">
        <w:rPr>
          <w:rFonts w:ascii="Tahoma" w:eastAsia="Times New Roman" w:hAnsi="Tahoma" w:cs="Tahoma"/>
          <w:spacing w:val="-13"/>
          <w:sz w:val="24"/>
          <w:szCs w:val="24"/>
        </w:rPr>
        <w:t xml:space="preserve"> </w:t>
      </w:r>
      <w:r w:rsidRPr="002462E6">
        <w:rPr>
          <w:rFonts w:ascii="Tahoma" w:eastAsia="Times New Roman" w:hAnsi="Tahoma" w:cs="Tahoma"/>
          <w:sz w:val="24"/>
          <w:szCs w:val="24"/>
        </w:rPr>
        <w:t>responsables</w:t>
      </w:r>
      <w:r w:rsidRPr="002462E6">
        <w:rPr>
          <w:rFonts w:ascii="Tahoma" w:eastAsia="Times New Roman" w:hAnsi="Tahoma" w:cs="Tahoma"/>
          <w:spacing w:val="-14"/>
          <w:sz w:val="24"/>
          <w:szCs w:val="24"/>
        </w:rPr>
        <w:t xml:space="preserve"> </w:t>
      </w:r>
      <w:r w:rsidRPr="002462E6">
        <w:rPr>
          <w:rFonts w:ascii="Tahoma" w:eastAsia="Times New Roman" w:hAnsi="Tahoma" w:cs="Tahoma"/>
          <w:sz w:val="24"/>
          <w:szCs w:val="24"/>
        </w:rPr>
        <w:t>locaux</w:t>
      </w:r>
      <w:r w:rsidRPr="002462E6">
        <w:rPr>
          <w:rFonts w:ascii="Tahoma" w:eastAsia="Times New Roman" w:hAnsi="Tahoma" w:cs="Tahoma"/>
          <w:spacing w:val="-13"/>
          <w:sz w:val="24"/>
          <w:szCs w:val="24"/>
        </w:rPr>
        <w:t xml:space="preserve"> </w:t>
      </w:r>
      <w:r w:rsidRPr="002462E6">
        <w:rPr>
          <w:rFonts w:ascii="Tahoma" w:eastAsia="Times New Roman" w:hAnsi="Tahoma" w:cs="Tahoma"/>
          <w:sz w:val="24"/>
          <w:szCs w:val="24"/>
        </w:rPr>
        <w:t>confirmant un</w:t>
      </w:r>
      <w:r w:rsidRPr="002462E6">
        <w:rPr>
          <w:rFonts w:ascii="Tahoma" w:eastAsia="Times New Roman" w:hAnsi="Tahoma" w:cs="Tahoma"/>
          <w:spacing w:val="-15"/>
          <w:sz w:val="24"/>
          <w:szCs w:val="24"/>
        </w:rPr>
        <w:t xml:space="preserve"> </w:t>
      </w:r>
      <w:r w:rsidRPr="002462E6">
        <w:rPr>
          <w:rFonts w:ascii="Tahoma" w:eastAsia="Times New Roman" w:hAnsi="Tahoma" w:cs="Tahoma"/>
          <w:sz w:val="24"/>
          <w:szCs w:val="24"/>
        </w:rPr>
        <w:t>jour</w:t>
      </w:r>
      <w:r w:rsidRPr="002462E6">
        <w:rPr>
          <w:rFonts w:ascii="Tahoma" w:eastAsia="Times New Roman" w:hAnsi="Tahoma" w:cs="Tahoma"/>
          <w:spacing w:val="-13"/>
          <w:sz w:val="24"/>
          <w:szCs w:val="24"/>
        </w:rPr>
        <w:t xml:space="preserve"> </w:t>
      </w:r>
      <w:r w:rsidRPr="002462E6">
        <w:rPr>
          <w:rFonts w:ascii="Tahoma" w:eastAsia="Times New Roman" w:hAnsi="Tahoma" w:cs="Tahoma"/>
          <w:sz w:val="24"/>
          <w:szCs w:val="24"/>
        </w:rPr>
        <w:t>que</w:t>
      </w:r>
      <w:r w:rsidRPr="002462E6">
        <w:rPr>
          <w:rFonts w:ascii="Tahoma" w:eastAsia="Times New Roman" w:hAnsi="Tahoma" w:cs="Tahoma"/>
          <w:spacing w:val="-13"/>
          <w:sz w:val="24"/>
          <w:szCs w:val="24"/>
        </w:rPr>
        <w:t xml:space="preserve"> </w:t>
      </w:r>
      <w:r w:rsidRPr="002462E6">
        <w:rPr>
          <w:rFonts w:ascii="Tahoma" w:eastAsia="Times New Roman" w:hAnsi="Tahoma" w:cs="Tahoma"/>
          <w:sz w:val="24"/>
          <w:szCs w:val="24"/>
        </w:rPr>
        <w:t>«</w:t>
      </w:r>
      <w:r w:rsidRPr="002462E6">
        <w:rPr>
          <w:rFonts w:ascii="Tahoma" w:eastAsia="Times New Roman" w:hAnsi="Tahoma" w:cs="Tahoma"/>
          <w:spacing w:val="-12"/>
          <w:sz w:val="24"/>
          <w:szCs w:val="24"/>
        </w:rPr>
        <w:t xml:space="preserve"> </w:t>
      </w:r>
      <w:r w:rsidRPr="002462E6">
        <w:rPr>
          <w:rFonts w:ascii="Tahoma" w:eastAsia="Times New Roman" w:hAnsi="Tahoma" w:cs="Tahoma"/>
          <w:i/>
          <w:sz w:val="24"/>
          <w:szCs w:val="24"/>
        </w:rPr>
        <w:t>en</w:t>
      </w:r>
      <w:r w:rsidRPr="002462E6">
        <w:rPr>
          <w:rFonts w:ascii="Tahoma" w:eastAsia="Times New Roman" w:hAnsi="Tahoma" w:cs="Tahoma"/>
          <w:i/>
          <w:spacing w:val="-13"/>
          <w:sz w:val="24"/>
          <w:szCs w:val="24"/>
        </w:rPr>
        <w:t xml:space="preserve"> </w:t>
      </w:r>
      <w:r w:rsidRPr="002462E6">
        <w:rPr>
          <w:rFonts w:ascii="Tahoma" w:eastAsia="Times New Roman" w:hAnsi="Tahoma" w:cs="Tahoma"/>
          <w:i/>
          <w:sz w:val="24"/>
          <w:szCs w:val="24"/>
        </w:rPr>
        <w:t>matière</w:t>
      </w:r>
      <w:r w:rsidRPr="002462E6">
        <w:rPr>
          <w:rFonts w:ascii="Tahoma" w:eastAsia="Times New Roman" w:hAnsi="Tahoma" w:cs="Tahoma"/>
          <w:i/>
          <w:spacing w:val="-13"/>
          <w:sz w:val="24"/>
          <w:szCs w:val="24"/>
        </w:rPr>
        <w:t xml:space="preserve"> </w:t>
      </w:r>
      <w:r w:rsidRPr="002462E6">
        <w:rPr>
          <w:rFonts w:ascii="Tahoma" w:eastAsia="Times New Roman" w:hAnsi="Tahoma" w:cs="Tahoma"/>
          <w:i/>
          <w:sz w:val="24"/>
          <w:szCs w:val="24"/>
        </w:rPr>
        <w:t>d'Agdal,</w:t>
      </w:r>
      <w:r w:rsidRPr="002462E6">
        <w:rPr>
          <w:rFonts w:ascii="Tahoma" w:eastAsia="Times New Roman" w:hAnsi="Tahoma" w:cs="Tahoma"/>
          <w:i/>
          <w:spacing w:val="-57"/>
          <w:sz w:val="24"/>
          <w:szCs w:val="24"/>
        </w:rPr>
        <w:t xml:space="preserve"> </w:t>
      </w:r>
      <w:r w:rsidRPr="002462E6">
        <w:rPr>
          <w:rFonts w:ascii="Tahoma" w:eastAsia="Times New Roman" w:hAnsi="Tahoma" w:cs="Tahoma"/>
          <w:i/>
          <w:sz w:val="24"/>
          <w:szCs w:val="24"/>
        </w:rPr>
        <w:t xml:space="preserve">les forestiers entendent mais n'écoutent pas ; il n'y a pas d'adhésion des forestiers à ce concept </w:t>
      </w:r>
      <w:r w:rsidRPr="002462E6">
        <w:rPr>
          <w:rFonts w:ascii="Tahoma" w:eastAsia="Times New Roman" w:hAnsi="Tahoma" w:cs="Tahoma"/>
          <w:sz w:val="24"/>
          <w:szCs w:val="24"/>
        </w:rPr>
        <w:t>»,</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 xml:space="preserve">vu que « </w:t>
      </w:r>
      <w:r w:rsidRPr="002462E6">
        <w:rPr>
          <w:rFonts w:ascii="Tahoma" w:eastAsia="Times New Roman" w:hAnsi="Tahoma" w:cs="Tahoma"/>
          <w:i/>
          <w:sz w:val="24"/>
          <w:szCs w:val="24"/>
        </w:rPr>
        <w:t>les forestiers doivent se mettre au service des populations locales</w:t>
      </w:r>
      <w:r w:rsidRPr="002462E6">
        <w:rPr>
          <w:rFonts w:ascii="Tahoma" w:eastAsia="Times New Roman" w:hAnsi="Tahoma" w:cs="Tahoma"/>
          <w:sz w:val="24"/>
          <w:szCs w:val="24"/>
        </w:rPr>
        <w:t xml:space="preserve"> », ou bien cet agent</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technique</w:t>
      </w:r>
      <w:r w:rsidRPr="002462E6">
        <w:rPr>
          <w:rFonts w:ascii="Tahoma" w:eastAsia="Times New Roman" w:hAnsi="Tahoma" w:cs="Tahoma"/>
          <w:spacing w:val="-13"/>
          <w:sz w:val="24"/>
          <w:szCs w:val="24"/>
        </w:rPr>
        <w:t xml:space="preserve"> </w:t>
      </w:r>
      <w:r w:rsidRPr="002462E6">
        <w:rPr>
          <w:rFonts w:ascii="Tahoma" w:eastAsia="Times New Roman" w:hAnsi="Tahoma" w:cs="Tahoma"/>
          <w:sz w:val="24"/>
          <w:szCs w:val="24"/>
        </w:rPr>
        <w:t>expliquant</w:t>
      </w:r>
      <w:r w:rsidRPr="002462E6">
        <w:rPr>
          <w:rFonts w:ascii="Tahoma" w:eastAsia="Times New Roman" w:hAnsi="Tahoma" w:cs="Tahoma"/>
          <w:spacing w:val="-12"/>
          <w:sz w:val="24"/>
          <w:szCs w:val="24"/>
        </w:rPr>
        <w:t xml:space="preserve"> </w:t>
      </w:r>
      <w:r w:rsidRPr="002462E6">
        <w:rPr>
          <w:rFonts w:ascii="Tahoma" w:eastAsia="Times New Roman" w:hAnsi="Tahoma" w:cs="Tahoma"/>
          <w:sz w:val="24"/>
          <w:szCs w:val="24"/>
        </w:rPr>
        <w:t>que</w:t>
      </w:r>
      <w:r w:rsidRPr="002462E6">
        <w:rPr>
          <w:rFonts w:ascii="Tahoma" w:eastAsia="Times New Roman" w:hAnsi="Tahoma" w:cs="Tahoma"/>
          <w:spacing w:val="-12"/>
          <w:sz w:val="24"/>
          <w:szCs w:val="24"/>
        </w:rPr>
        <w:t xml:space="preserve"> </w:t>
      </w:r>
      <w:r w:rsidRPr="002462E6">
        <w:rPr>
          <w:rFonts w:ascii="Tahoma" w:eastAsia="Times New Roman" w:hAnsi="Tahoma" w:cs="Tahoma"/>
          <w:sz w:val="24"/>
          <w:szCs w:val="24"/>
        </w:rPr>
        <w:t>« c’est nous [les</w:t>
      </w:r>
      <w:r w:rsidRPr="002462E6">
        <w:rPr>
          <w:rFonts w:ascii="Tahoma" w:eastAsia="Times New Roman" w:hAnsi="Tahoma" w:cs="Tahoma"/>
          <w:spacing w:val="-57"/>
          <w:sz w:val="24"/>
          <w:szCs w:val="24"/>
        </w:rPr>
        <w:t xml:space="preserve"> </w:t>
      </w:r>
      <w:r w:rsidRPr="002462E6">
        <w:rPr>
          <w:rFonts w:ascii="Tahoma" w:eastAsia="Times New Roman" w:hAnsi="Tahoma" w:cs="Tahoma"/>
          <w:sz w:val="24"/>
          <w:szCs w:val="24"/>
        </w:rPr>
        <w:t>forestiers]</w:t>
      </w:r>
      <w:r w:rsidRPr="002462E6">
        <w:rPr>
          <w:rFonts w:ascii="Tahoma" w:eastAsia="Times New Roman" w:hAnsi="Tahoma" w:cs="Tahoma"/>
          <w:spacing w:val="-7"/>
          <w:sz w:val="24"/>
          <w:szCs w:val="24"/>
        </w:rPr>
        <w:t xml:space="preserve"> </w:t>
      </w:r>
      <w:r w:rsidRPr="002462E6">
        <w:rPr>
          <w:rFonts w:ascii="Tahoma" w:eastAsia="Times New Roman" w:hAnsi="Tahoma" w:cs="Tahoma"/>
          <w:sz w:val="24"/>
          <w:szCs w:val="24"/>
        </w:rPr>
        <w:t>qui</w:t>
      </w:r>
      <w:r w:rsidRPr="002462E6">
        <w:rPr>
          <w:rFonts w:ascii="Tahoma" w:eastAsia="Times New Roman" w:hAnsi="Tahoma" w:cs="Tahoma"/>
          <w:spacing w:val="-6"/>
          <w:sz w:val="24"/>
          <w:szCs w:val="24"/>
        </w:rPr>
        <w:t xml:space="preserve"> </w:t>
      </w:r>
      <w:r w:rsidRPr="002462E6">
        <w:rPr>
          <w:rFonts w:ascii="Tahoma" w:eastAsia="Times New Roman" w:hAnsi="Tahoma" w:cs="Tahoma"/>
          <w:sz w:val="24"/>
          <w:szCs w:val="24"/>
        </w:rPr>
        <w:t>savons</w:t>
      </w:r>
      <w:r w:rsidRPr="002462E6">
        <w:rPr>
          <w:rFonts w:ascii="Tahoma" w:eastAsia="Times New Roman" w:hAnsi="Tahoma" w:cs="Tahoma"/>
          <w:spacing w:val="-5"/>
          <w:sz w:val="24"/>
          <w:szCs w:val="24"/>
        </w:rPr>
        <w:t xml:space="preserve"> </w:t>
      </w:r>
      <w:r w:rsidRPr="002462E6">
        <w:rPr>
          <w:rFonts w:ascii="Tahoma" w:eastAsia="Times New Roman" w:hAnsi="Tahoma" w:cs="Tahoma"/>
          <w:sz w:val="24"/>
          <w:szCs w:val="24"/>
        </w:rPr>
        <w:t>ce</w:t>
      </w:r>
      <w:r w:rsidRPr="002462E6">
        <w:rPr>
          <w:rFonts w:ascii="Tahoma" w:eastAsia="Times New Roman" w:hAnsi="Tahoma" w:cs="Tahoma"/>
          <w:spacing w:val="-7"/>
          <w:sz w:val="24"/>
          <w:szCs w:val="24"/>
        </w:rPr>
        <w:t xml:space="preserve"> </w:t>
      </w:r>
      <w:r w:rsidRPr="002462E6">
        <w:rPr>
          <w:rFonts w:ascii="Tahoma" w:eastAsia="Times New Roman" w:hAnsi="Tahoma" w:cs="Tahoma"/>
          <w:sz w:val="24"/>
          <w:szCs w:val="24"/>
        </w:rPr>
        <w:t>qui</w:t>
      </w:r>
      <w:r w:rsidRPr="002462E6">
        <w:rPr>
          <w:rFonts w:ascii="Tahoma" w:eastAsia="Times New Roman" w:hAnsi="Tahoma" w:cs="Tahoma"/>
          <w:spacing w:val="-5"/>
          <w:sz w:val="24"/>
          <w:szCs w:val="24"/>
        </w:rPr>
        <w:t xml:space="preserve"> </w:t>
      </w:r>
      <w:r w:rsidRPr="002462E6">
        <w:rPr>
          <w:rFonts w:ascii="Tahoma" w:eastAsia="Times New Roman" w:hAnsi="Tahoma" w:cs="Tahoma"/>
          <w:sz w:val="24"/>
          <w:szCs w:val="24"/>
        </w:rPr>
        <w:t>est</w:t>
      </w:r>
      <w:r w:rsidRPr="002462E6">
        <w:rPr>
          <w:rFonts w:ascii="Tahoma" w:eastAsia="Times New Roman" w:hAnsi="Tahoma" w:cs="Tahoma"/>
          <w:spacing w:val="-6"/>
          <w:sz w:val="24"/>
          <w:szCs w:val="24"/>
        </w:rPr>
        <w:t xml:space="preserve"> </w:t>
      </w:r>
      <w:r w:rsidRPr="002462E6">
        <w:rPr>
          <w:rFonts w:ascii="Tahoma" w:eastAsia="Times New Roman" w:hAnsi="Tahoma" w:cs="Tahoma"/>
          <w:sz w:val="24"/>
          <w:szCs w:val="24"/>
        </w:rPr>
        <w:t>bon</w:t>
      </w:r>
      <w:r w:rsidRPr="002462E6">
        <w:rPr>
          <w:rFonts w:ascii="Tahoma" w:eastAsia="Times New Roman" w:hAnsi="Tahoma" w:cs="Tahoma"/>
          <w:spacing w:val="-5"/>
          <w:sz w:val="24"/>
          <w:szCs w:val="24"/>
        </w:rPr>
        <w:t xml:space="preserve"> </w:t>
      </w:r>
      <w:r w:rsidRPr="002462E6">
        <w:rPr>
          <w:rFonts w:ascii="Tahoma" w:eastAsia="Times New Roman" w:hAnsi="Tahoma" w:cs="Tahoma"/>
          <w:sz w:val="24"/>
          <w:szCs w:val="24"/>
        </w:rPr>
        <w:t>pour</w:t>
      </w:r>
      <w:r w:rsidRPr="002462E6">
        <w:rPr>
          <w:rFonts w:ascii="Tahoma" w:eastAsia="Times New Roman" w:hAnsi="Tahoma" w:cs="Tahoma"/>
          <w:spacing w:val="-6"/>
          <w:sz w:val="24"/>
          <w:szCs w:val="24"/>
        </w:rPr>
        <w:t xml:space="preserve"> </w:t>
      </w:r>
      <w:r w:rsidRPr="002462E6">
        <w:rPr>
          <w:rFonts w:ascii="Tahoma" w:eastAsia="Times New Roman" w:hAnsi="Tahoma" w:cs="Tahoma"/>
          <w:sz w:val="24"/>
          <w:szCs w:val="24"/>
        </w:rPr>
        <w:t>eux</w:t>
      </w:r>
      <w:r w:rsidRPr="002462E6">
        <w:rPr>
          <w:rFonts w:ascii="Tahoma" w:eastAsia="Times New Roman" w:hAnsi="Tahoma" w:cs="Tahoma"/>
          <w:spacing w:val="-5"/>
          <w:sz w:val="24"/>
          <w:szCs w:val="24"/>
        </w:rPr>
        <w:t xml:space="preserve"> </w:t>
      </w:r>
      <w:r w:rsidRPr="002462E6">
        <w:rPr>
          <w:rFonts w:ascii="Tahoma" w:eastAsia="Times New Roman" w:hAnsi="Tahoma" w:cs="Tahoma"/>
          <w:sz w:val="24"/>
          <w:szCs w:val="24"/>
        </w:rPr>
        <w:t>à</w:t>
      </w:r>
      <w:r w:rsidRPr="002462E6">
        <w:rPr>
          <w:rFonts w:ascii="Tahoma" w:eastAsia="Times New Roman" w:hAnsi="Tahoma" w:cs="Tahoma"/>
          <w:spacing w:val="-6"/>
          <w:sz w:val="24"/>
          <w:szCs w:val="24"/>
        </w:rPr>
        <w:t xml:space="preserve"> </w:t>
      </w:r>
      <w:r w:rsidRPr="002462E6">
        <w:rPr>
          <w:rFonts w:ascii="Tahoma" w:eastAsia="Times New Roman" w:hAnsi="Tahoma" w:cs="Tahoma"/>
          <w:sz w:val="24"/>
          <w:szCs w:val="24"/>
        </w:rPr>
        <w:t>long</w:t>
      </w:r>
      <w:r w:rsidRPr="002462E6">
        <w:rPr>
          <w:rFonts w:ascii="Tahoma" w:eastAsia="Times New Roman" w:hAnsi="Tahoma" w:cs="Tahoma"/>
          <w:spacing w:val="-6"/>
          <w:sz w:val="24"/>
          <w:szCs w:val="24"/>
        </w:rPr>
        <w:t xml:space="preserve"> </w:t>
      </w:r>
      <w:r w:rsidRPr="002462E6">
        <w:rPr>
          <w:rFonts w:ascii="Tahoma" w:eastAsia="Times New Roman" w:hAnsi="Tahoma" w:cs="Tahoma"/>
          <w:sz w:val="24"/>
          <w:szCs w:val="24"/>
        </w:rPr>
        <w:t>terme.</w:t>
      </w:r>
      <w:r w:rsidRPr="002462E6">
        <w:rPr>
          <w:rFonts w:ascii="Tahoma" w:eastAsia="Times New Roman" w:hAnsi="Tahoma" w:cs="Tahoma"/>
          <w:spacing w:val="-5"/>
          <w:sz w:val="24"/>
          <w:szCs w:val="24"/>
        </w:rPr>
        <w:t xml:space="preserve"> </w:t>
      </w:r>
      <w:r w:rsidRPr="002462E6">
        <w:rPr>
          <w:rFonts w:ascii="Tahoma" w:eastAsia="Times New Roman" w:hAnsi="Tahoma" w:cs="Tahoma"/>
          <w:sz w:val="24"/>
          <w:szCs w:val="24"/>
        </w:rPr>
        <w:t>Il</w:t>
      </w:r>
      <w:r w:rsidRPr="002462E6">
        <w:rPr>
          <w:rFonts w:ascii="Tahoma" w:eastAsia="Times New Roman" w:hAnsi="Tahoma" w:cs="Tahoma"/>
          <w:spacing w:val="-7"/>
          <w:sz w:val="24"/>
          <w:szCs w:val="24"/>
        </w:rPr>
        <w:t xml:space="preserve"> </w:t>
      </w:r>
      <w:r w:rsidRPr="002462E6">
        <w:rPr>
          <w:rFonts w:ascii="Tahoma" w:eastAsia="Times New Roman" w:hAnsi="Tahoma" w:cs="Tahoma"/>
          <w:sz w:val="24"/>
          <w:szCs w:val="24"/>
        </w:rPr>
        <w:t>faut</w:t>
      </w:r>
      <w:r w:rsidRPr="002462E6">
        <w:rPr>
          <w:rFonts w:ascii="Tahoma" w:eastAsia="Times New Roman" w:hAnsi="Tahoma" w:cs="Tahoma"/>
          <w:spacing w:val="-5"/>
          <w:sz w:val="24"/>
          <w:szCs w:val="24"/>
        </w:rPr>
        <w:t xml:space="preserve"> </w:t>
      </w:r>
      <w:r w:rsidRPr="002462E6">
        <w:rPr>
          <w:rFonts w:ascii="Tahoma" w:eastAsia="Times New Roman" w:hAnsi="Tahoma" w:cs="Tahoma"/>
          <w:sz w:val="24"/>
          <w:szCs w:val="24"/>
        </w:rPr>
        <w:t>protéger</w:t>
      </w:r>
      <w:r w:rsidRPr="002462E6">
        <w:rPr>
          <w:rFonts w:ascii="Tahoma" w:eastAsia="Times New Roman" w:hAnsi="Tahoma" w:cs="Tahoma"/>
          <w:spacing w:val="-7"/>
          <w:sz w:val="24"/>
          <w:szCs w:val="24"/>
        </w:rPr>
        <w:t xml:space="preserve"> </w:t>
      </w:r>
      <w:r w:rsidRPr="002462E6">
        <w:rPr>
          <w:rFonts w:ascii="Tahoma" w:eastAsia="Times New Roman" w:hAnsi="Tahoma" w:cs="Tahoma"/>
          <w:sz w:val="24"/>
          <w:szCs w:val="24"/>
        </w:rPr>
        <w:t>ce</w:t>
      </w:r>
      <w:r w:rsidRPr="002462E6">
        <w:rPr>
          <w:rFonts w:ascii="Tahoma" w:eastAsia="Times New Roman" w:hAnsi="Tahoma" w:cs="Tahoma"/>
          <w:spacing w:val="-5"/>
          <w:sz w:val="24"/>
          <w:szCs w:val="24"/>
        </w:rPr>
        <w:t xml:space="preserve"> </w:t>
      </w:r>
      <w:r w:rsidRPr="002462E6">
        <w:rPr>
          <w:rFonts w:ascii="Tahoma" w:eastAsia="Times New Roman" w:hAnsi="Tahoma" w:cs="Tahoma"/>
          <w:sz w:val="24"/>
          <w:szCs w:val="24"/>
        </w:rPr>
        <w:t>patrimoine</w:t>
      </w:r>
      <w:r w:rsidRPr="002462E6">
        <w:rPr>
          <w:rFonts w:ascii="Tahoma" w:eastAsia="Times New Roman" w:hAnsi="Tahoma" w:cs="Tahoma"/>
          <w:spacing w:val="-6"/>
          <w:sz w:val="24"/>
          <w:szCs w:val="24"/>
        </w:rPr>
        <w:t xml:space="preserve"> </w:t>
      </w:r>
      <w:r w:rsidRPr="002462E6">
        <w:rPr>
          <w:rFonts w:ascii="Tahoma" w:eastAsia="Times New Roman" w:hAnsi="Tahoma" w:cs="Tahoma"/>
          <w:sz w:val="24"/>
          <w:szCs w:val="24"/>
        </w:rPr>
        <w:t>et</w:t>
      </w:r>
      <w:r w:rsidRPr="002462E6">
        <w:rPr>
          <w:rFonts w:ascii="Tahoma" w:eastAsia="Times New Roman" w:hAnsi="Tahoma" w:cs="Tahoma"/>
          <w:spacing w:val="-5"/>
          <w:sz w:val="24"/>
          <w:szCs w:val="24"/>
        </w:rPr>
        <w:t xml:space="preserve"> </w:t>
      </w:r>
      <w:r w:rsidRPr="002462E6">
        <w:rPr>
          <w:rFonts w:ascii="Tahoma" w:eastAsia="Times New Roman" w:hAnsi="Tahoma" w:cs="Tahoma"/>
          <w:sz w:val="24"/>
          <w:szCs w:val="24"/>
        </w:rPr>
        <w:t>utiliser</w:t>
      </w:r>
      <w:r w:rsidRPr="002462E6">
        <w:rPr>
          <w:rFonts w:ascii="Tahoma" w:eastAsia="Times New Roman" w:hAnsi="Tahoma" w:cs="Tahoma"/>
          <w:spacing w:val="-58"/>
          <w:sz w:val="24"/>
          <w:szCs w:val="24"/>
        </w:rPr>
        <w:t xml:space="preserve"> </w:t>
      </w:r>
      <w:r w:rsidRPr="002462E6">
        <w:rPr>
          <w:rFonts w:ascii="Tahoma" w:eastAsia="Times New Roman" w:hAnsi="Tahoma" w:cs="Tahoma"/>
          <w:sz w:val="24"/>
          <w:szCs w:val="24"/>
        </w:rPr>
        <w:t>la force s'il le faut ». Ainsi, comme l’a observé Auclair</w:t>
      </w:r>
      <w:r w:rsidRPr="002462E6">
        <w:rPr>
          <w:rFonts w:ascii="Tahoma" w:eastAsia="Times New Roman" w:hAnsi="Tahoma" w:cs="Tahoma"/>
          <w:sz w:val="24"/>
          <w:szCs w:val="24"/>
          <w:vertAlign w:val="superscript"/>
        </w:rPr>
        <w:footnoteReference w:id="165"/>
      </w:r>
      <w:r w:rsidRPr="002462E6">
        <w:rPr>
          <w:rFonts w:ascii="Tahoma" w:eastAsia="Times New Roman" w:hAnsi="Tahoma" w:cs="Tahoma"/>
          <w:sz w:val="24"/>
          <w:szCs w:val="24"/>
        </w:rPr>
        <w:t xml:space="preserve"> le modèle d’intervention directif, qui accorde à l’administration un monopole sur la rationalité des questions forestières, reste profondément enraciné tant dans les structures administratives que dans les mentalités des acteurs impliqués.</w:t>
      </w:r>
    </w:p>
    <w:p w:rsidR="000A7532" w:rsidRPr="002462E6" w:rsidRDefault="000A7532" w:rsidP="000A7532">
      <w:pPr>
        <w:spacing w:line="360" w:lineRule="auto"/>
        <w:jc w:val="both"/>
        <w:rPr>
          <w:rFonts w:ascii="Tahoma" w:eastAsia="Times New Roman" w:hAnsi="Tahoma" w:cs="Tahoma"/>
          <w:iCs/>
          <w:sz w:val="24"/>
        </w:rPr>
      </w:pPr>
      <w:r w:rsidRPr="002462E6">
        <w:rPr>
          <w:rFonts w:ascii="Tahoma" w:eastAsia="Times New Roman" w:hAnsi="Tahoma" w:cs="Tahoma"/>
          <w:iCs/>
          <w:sz w:val="24"/>
        </w:rPr>
        <w:t xml:space="preserve">Par ailleurs, il est important de souligner l'absence d'un cadre législatif qui permettrait une reconnaissance concrète des pratiques locales et garantit une gestion véritablement participative. D'une part, les forestiers sont exhortés à modifier leur comportement envers les populations locales, en devenant des agents de développement et en cherchant à instaurer une cogestion. Dans un contexte où la législation repose sur une approche </w:t>
      </w:r>
      <w:r w:rsidRPr="002462E6">
        <w:rPr>
          <w:rFonts w:ascii="Tahoma" w:eastAsia="Times New Roman" w:hAnsi="Tahoma" w:cs="Tahoma"/>
          <w:iCs/>
          <w:sz w:val="24"/>
        </w:rPr>
        <w:lastRenderedPageBreak/>
        <w:t xml:space="preserve">répressive à l'égard des populations locales, comment pourrait-on envisager un passage vers une gestion qui reconnaisse certaines pratiques traditionnelles et accepter un partage de responsabilités concernant les espaces forestiers ? </w:t>
      </w:r>
    </w:p>
    <w:p w:rsidR="000A7532" w:rsidRPr="002462E6" w:rsidRDefault="000A7532" w:rsidP="000A7532">
      <w:pPr>
        <w:spacing w:line="360" w:lineRule="auto"/>
        <w:jc w:val="both"/>
        <w:rPr>
          <w:rFonts w:ascii="Tahoma" w:eastAsia="Times New Roman" w:hAnsi="Tahoma" w:cs="Tahoma"/>
          <w:sz w:val="24"/>
          <w:szCs w:val="24"/>
        </w:rPr>
      </w:pPr>
      <w:r w:rsidRPr="002462E6">
        <w:rPr>
          <w:rFonts w:ascii="Tahoma" w:eastAsia="Times New Roman" w:hAnsi="Tahoma" w:cs="Tahoma"/>
          <w:sz w:val="24"/>
          <w:szCs w:val="24"/>
        </w:rPr>
        <w:t>Ce système informel constitue un obstacle à l'évolution de la relation entre le forestier et l'usager. Les types d'arrangements observés dans la vallée des Ayt Bouguemmez sont relativement simples et demeurent constants. Ces arrangements peuvent être perçus comme une transaction négociée, où l'usager paie une forme de commission au forestier pour qu'il « ferme les yeux » sur des prélèvements effectués illégalement par les paysans. Selon la législation forestière, les riverains ne sont autorisés qu'à ramasser du bois mort au sol et à faire paître leurs troupeaux familiaux, excluant les caprins. Il va sans dire que dans un système agro-sylvo-pastoral, les populations se retrouvent souvent en situation d’infraction, entraînant ainsi une multiplication des négociations et des arrangements. En pratique, seuls la coupe de bois de feu et la coupe de bois d'œuvre en forêt font l'objet d'arrangements quasi systématiques, tandis que le pâturage caprin n'étant dans les faits jamais reconnu comme une infraction. Dans le cadre de la coupe de bois d'œuvre, qui est généralement réalisée de manière individuelle, les prélèvements nécessitent une demande préalable de la part de la personne concernée à l'assemblée villageoise. Si celle-ci donne son accord, il appartient alors à l'assemblée de négocier avec le forestier les conditions de cette « infraction », car il s'agit essentiellement de coupes sur pied, souvent sur des arbres vivants. Cependant, cette pratique tend à disparaître, de plus en plus de personnes choisissant de traiter directement avec le forestier, contournant ainsi le contrôle exercé par le village, comme l’illustre le cas du village d'</w:t>
      </w:r>
      <w:r w:rsidRPr="002462E6">
        <w:rPr>
          <w:rFonts w:ascii="Tahoma" w:eastAsia="Times New Roman" w:hAnsi="Tahoma" w:cs="Tahoma"/>
          <w:i/>
          <w:iCs/>
          <w:sz w:val="24"/>
          <w:szCs w:val="24"/>
        </w:rPr>
        <w:t>Ayt Imi</w:t>
      </w:r>
      <w:r w:rsidRPr="002462E6">
        <w:rPr>
          <w:rFonts w:ascii="Tahoma" w:eastAsia="Times New Roman" w:hAnsi="Tahoma" w:cs="Tahoma"/>
          <w:i/>
          <w:iCs/>
          <w:sz w:val="24"/>
          <w:szCs w:val="24"/>
          <w:vertAlign w:val="superscript"/>
        </w:rPr>
        <w:footnoteReference w:id="166"/>
      </w:r>
      <w:r w:rsidRPr="002462E6">
        <w:rPr>
          <w:rFonts w:ascii="Tahoma" w:eastAsia="Times New Roman" w:hAnsi="Tahoma" w:cs="Tahoma"/>
          <w:sz w:val="24"/>
          <w:szCs w:val="24"/>
        </w:rPr>
        <w:t>.</w:t>
      </w:r>
    </w:p>
    <w:p w:rsidR="000A7532" w:rsidRPr="002462E6" w:rsidRDefault="000A7532" w:rsidP="000A7532">
      <w:pPr>
        <w:spacing w:line="360" w:lineRule="auto"/>
        <w:jc w:val="both"/>
        <w:rPr>
          <w:rFonts w:ascii="Tahoma" w:eastAsia="Times New Roman" w:hAnsi="Tahoma" w:cs="Tahoma"/>
          <w:sz w:val="24"/>
          <w:szCs w:val="24"/>
        </w:rPr>
      </w:pPr>
      <w:r w:rsidRPr="002462E6">
        <w:rPr>
          <w:rFonts w:ascii="Tahoma" w:eastAsia="Times New Roman" w:hAnsi="Tahoma" w:cs="Tahoma"/>
          <w:sz w:val="24"/>
          <w:szCs w:val="24"/>
        </w:rPr>
        <w:t xml:space="preserve">Pour ce qui est du bois de feu où l'utilisation s'intensifie pendant la saison hivernale pour le chauffage des foyers, la situation est plus subtile. Dans presque tous les villages de la partie haute de la vallée, il existe une pratique relativement codifiée qui régule les négociations entre les villageois et les forestiers. Lorsque le besoin de bois de chauffage se fait sentir, une ou deux personnes désignées par le village se rendent chez le forestier pour négocier le montant à payer en échange de la possibilité de prélever une quantité </w:t>
      </w:r>
      <w:r w:rsidRPr="002462E6">
        <w:rPr>
          <w:rFonts w:ascii="Tahoma" w:eastAsia="Times New Roman" w:hAnsi="Tahoma" w:cs="Tahoma"/>
          <w:sz w:val="24"/>
          <w:szCs w:val="24"/>
        </w:rPr>
        <w:lastRenderedPageBreak/>
        <w:t>« raisonnable » de bois de chauffage, ce montant étant également soumis à discussion et évalué en jours de coupe. En général, ce montant est collecté dans le village sous forme de « cotisation » où chaque famille contribue selon ses capacités</w:t>
      </w:r>
      <w:r w:rsidRPr="002462E6">
        <w:rPr>
          <w:rFonts w:ascii="Tahoma" w:eastAsia="Times New Roman" w:hAnsi="Tahoma" w:cs="Tahoma"/>
          <w:sz w:val="24"/>
          <w:szCs w:val="24"/>
          <w:vertAlign w:val="superscript"/>
        </w:rPr>
        <w:footnoteReference w:id="167"/>
      </w:r>
      <w:r w:rsidRPr="002462E6">
        <w:rPr>
          <w:rFonts w:ascii="Tahoma" w:eastAsia="Times New Roman" w:hAnsi="Tahoma" w:cs="Tahoma"/>
          <w:sz w:val="24"/>
          <w:szCs w:val="24"/>
        </w:rPr>
        <w:t>.</w:t>
      </w:r>
    </w:p>
    <w:p w:rsidR="000A7532" w:rsidRPr="002462E6" w:rsidRDefault="000A7532" w:rsidP="000A7532">
      <w:pPr>
        <w:spacing w:line="360" w:lineRule="auto"/>
        <w:jc w:val="both"/>
        <w:rPr>
          <w:rFonts w:ascii="Tahoma" w:eastAsia="Times New Roman" w:hAnsi="Tahoma" w:cs="Tahoma"/>
          <w:iCs/>
          <w:sz w:val="24"/>
          <w:szCs w:val="24"/>
        </w:rPr>
      </w:pPr>
      <w:r w:rsidRPr="002462E6">
        <w:rPr>
          <w:rFonts w:ascii="Tahoma" w:eastAsia="Times New Roman" w:hAnsi="Tahoma" w:cs="Tahoma"/>
          <w:sz w:val="24"/>
          <w:szCs w:val="24"/>
        </w:rPr>
        <w:t>Outre les prélèvements locaux, des transactions pour du bois de feu et du bois d'œuvre avec la vallée voisine d'</w:t>
      </w:r>
      <w:r w:rsidRPr="002462E6">
        <w:rPr>
          <w:rFonts w:ascii="Tahoma" w:eastAsia="Times New Roman" w:hAnsi="Tahoma" w:cs="Tahoma"/>
          <w:i/>
          <w:iCs/>
          <w:sz w:val="24"/>
          <w:szCs w:val="24"/>
        </w:rPr>
        <w:t>Ayt Abbas</w:t>
      </w:r>
      <w:r w:rsidRPr="002462E6">
        <w:rPr>
          <w:rFonts w:ascii="Tahoma" w:eastAsia="Times New Roman" w:hAnsi="Tahoma" w:cs="Tahoma"/>
          <w:sz w:val="24"/>
          <w:szCs w:val="24"/>
        </w:rPr>
        <w:t>, qui a complètement évincé les forestiers de son économie largement basée sur la filière bois, sont également effectuées. Ces transactions sont soumises à des schémas plutôt « codifiés » et sont souvent ponctionnées par les agents de l'administration.</w:t>
      </w:r>
    </w:p>
    <w:p w:rsidR="000A7532" w:rsidRPr="002462E6" w:rsidRDefault="000A7532" w:rsidP="000A7532">
      <w:pPr>
        <w:widowControl w:val="0"/>
        <w:autoSpaceDE w:val="0"/>
        <w:autoSpaceDN w:val="0"/>
        <w:spacing w:before="160" w:after="0" w:line="360" w:lineRule="auto"/>
        <w:ind w:right="4"/>
        <w:jc w:val="both"/>
        <w:rPr>
          <w:rFonts w:ascii="Tahoma" w:eastAsia="Times New Roman" w:hAnsi="Tahoma" w:cs="Tahoma"/>
          <w:sz w:val="24"/>
          <w:szCs w:val="24"/>
        </w:rPr>
      </w:pPr>
      <w:r w:rsidRPr="002462E6">
        <w:rPr>
          <w:rFonts w:ascii="Tahoma" w:eastAsia="Times New Roman" w:hAnsi="Tahoma" w:cs="Tahoma"/>
          <w:sz w:val="24"/>
          <w:szCs w:val="24"/>
        </w:rPr>
        <w:t>Plusieurs éléments méritent d’être soulignés concernant ces pratiques d'arrangements et de corruption. Premièrement, les sommes ainsi générées sont loin d'être négligeables au regard des salaires locaux, y compris ceux des agents de l'administration forestière. De plus, la régulation proposée par les agents des Eaux et Forêts n'a pas beaucoup modifié la pression qui s'exerce réellement sur les populations, qui continuent parfois d'exercer un autocontrôle, en particulier pour la coupe de bois d'œuvre, avant de faire appel au forestier</w:t>
      </w:r>
      <w:r w:rsidRPr="002462E6">
        <w:rPr>
          <w:rFonts w:ascii="Tahoma" w:eastAsia="Times New Roman" w:hAnsi="Tahoma" w:cs="Tahoma"/>
          <w:sz w:val="24"/>
          <w:szCs w:val="24"/>
          <w:vertAlign w:val="superscript"/>
        </w:rPr>
        <w:footnoteReference w:id="168"/>
      </w:r>
      <w:r w:rsidRPr="002462E6">
        <w:rPr>
          <w:rFonts w:ascii="Tahoma" w:eastAsia="Times New Roman" w:hAnsi="Tahoma" w:cs="Tahoma"/>
          <w:sz w:val="24"/>
          <w:szCs w:val="24"/>
        </w:rPr>
        <w:t>.</w:t>
      </w:r>
    </w:p>
    <w:p w:rsidR="000A7532" w:rsidRPr="002462E6" w:rsidRDefault="000A7532" w:rsidP="000A7532">
      <w:pPr>
        <w:widowControl w:val="0"/>
        <w:autoSpaceDE w:val="0"/>
        <w:autoSpaceDN w:val="0"/>
        <w:spacing w:before="160" w:after="0" w:line="360" w:lineRule="auto"/>
        <w:ind w:right="4"/>
        <w:jc w:val="both"/>
        <w:rPr>
          <w:rFonts w:ascii="Tahoma" w:eastAsia="Times New Roman" w:hAnsi="Tahoma" w:cs="Tahoma"/>
          <w:sz w:val="24"/>
          <w:szCs w:val="24"/>
        </w:rPr>
      </w:pPr>
      <w:r w:rsidRPr="002462E6">
        <w:rPr>
          <w:rFonts w:ascii="Tahoma" w:eastAsia="Times New Roman" w:hAnsi="Tahoma" w:cs="Tahoma"/>
          <w:sz w:val="24"/>
          <w:szCs w:val="24"/>
        </w:rPr>
        <w:t xml:space="preserve">Ces types d'arrangements, qui font partie intégrante des relations entre la population locale et les forestiers ont façonné chez les paysans une image des forestiers qui complique la mise en place d’un dialogue constructif. Le système de corruption observé s'avère en fait réguler la majorité des relations entre les forestiers et les usagers. </w:t>
      </w:r>
    </w:p>
    <w:p w:rsidR="000A7532" w:rsidRPr="002462E6" w:rsidRDefault="000A7532" w:rsidP="000A7532">
      <w:pPr>
        <w:widowControl w:val="0"/>
        <w:autoSpaceDE w:val="0"/>
        <w:autoSpaceDN w:val="0"/>
        <w:spacing w:before="160" w:after="0" w:line="360" w:lineRule="auto"/>
        <w:ind w:right="4"/>
        <w:jc w:val="both"/>
        <w:rPr>
          <w:rFonts w:ascii="Tahoma" w:eastAsia="Times New Roman" w:hAnsi="Tahoma" w:cs="Tahoma"/>
          <w:sz w:val="24"/>
          <w:szCs w:val="24"/>
        </w:rPr>
      </w:pPr>
      <w:bookmarkStart w:id="97" w:name="_Toc177835101"/>
      <w:r w:rsidRPr="002462E6">
        <w:rPr>
          <w:rFonts w:ascii="Tahoma" w:eastAsia="Times New Roman" w:hAnsi="Tahoma" w:cs="Tahoma"/>
          <w:sz w:val="24"/>
          <w:szCs w:val="24"/>
        </w:rPr>
        <w:t xml:space="preserve">En conclusion, l'analyse des pratiques d'arrangements et de corruption au sein de l'administration forestière marocaine révèle un système complexe et profondément enraciné. Ce système transcende les simples considérations financières et influe de manière significative sur les relations interpersonnelles ainsi que sur la gestion des ressources forestières. En effet, l'écart persistant entre les discours novateurs de l'administration et la réalité des pratiques sur le terrain, exacerbé par l'absence d'un cadre </w:t>
      </w:r>
      <w:r w:rsidRPr="002462E6">
        <w:rPr>
          <w:rFonts w:ascii="Tahoma" w:eastAsia="Times New Roman" w:hAnsi="Tahoma" w:cs="Tahoma"/>
          <w:sz w:val="24"/>
          <w:szCs w:val="24"/>
        </w:rPr>
        <w:lastRenderedPageBreak/>
        <w:t>législatif adapté, met en lumière un défi majeur pour la gestion soutenable des forêts du Haut Atlas.</w:t>
      </w:r>
    </w:p>
    <w:p w:rsidR="000A7532" w:rsidRPr="002462E6" w:rsidRDefault="000A7532" w:rsidP="000A7532">
      <w:pPr>
        <w:widowControl w:val="0"/>
        <w:autoSpaceDE w:val="0"/>
        <w:autoSpaceDN w:val="0"/>
        <w:spacing w:before="160" w:after="0" w:line="360" w:lineRule="auto"/>
        <w:ind w:right="4"/>
        <w:jc w:val="both"/>
        <w:rPr>
          <w:rFonts w:ascii="Tahoma" w:eastAsia="Times New Roman" w:hAnsi="Tahoma" w:cs="Tahoma"/>
          <w:sz w:val="24"/>
          <w:szCs w:val="24"/>
        </w:rPr>
      </w:pPr>
      <w:r w:rsidRPr="002462E6">
        <w:rPr>
          <w:rFonts w:ascii="Tahoma" w:eastAsia="Times New Roman" w:hAnsi="Tahoma" w:cs="Tahoma"/>
          <w:sz w:val="24"/>
          <w:szCs w:val="24"/>
        </w:rPr>
        <w:t>Dans ce contexte, bien que l'administration forestière marocaine affiche une volonté d'intégrer des préoccupations socio-économiques et environnementales dans ses interventions, la réalité révèle une incapacité à reconnaître et intégrer les systèmes de gestion coutumière. Cette lacune, combinée à des arrangements informels et souvent conflictuels entre forestiers et usagers, entrave la mise en place d'un dialogue constructif et d'une participation effective des communautés locales. Comme le soulignent Ostrom (1990) et Agrawal (2005), la gestion soutenable des ressources communes nécessite une reconnaissance et une intégration des savoirs et pratiques locaux.</w:t>
      </w:r>
      <w:bookmarkEnd w:id="97"/>
    </w:p>
    <w:p w:rsidR="000A7532" w:rsidRPr="002462E6" w:rsidRDefault="000A7532" w:rsidP="000A7532">
      <w:pPr>
        <w:widowControl w:val="0"/>
        <w:autoSpaceDE w:val="0"/>
        <w:autoSpaceDN w:val="0"/>
        <w:spacing w:before="160" w:after="0" w:line="360" w:lineRule="auto"/>
        <w:ind w:right="4"/>
        <w:jc w:val="both"/>
        <w:rPr>
          <w:rFonts w:ascii="Tahoma" w:eastAsia="Times New Roman" w:hAnsi="Tahoma" w:cs="Tahoma"/>
          <w:sz w:val="24"/>
          <w:szCs w:val="24"/>
        </w:rPr>
      </w:pPr>
      <w:r w:rsidRPr="002462E6">
        <w:rPr>
          <w:rFonts w:ascii="Tahoma" w:eastAsia="Times New Roman" w:hAnsi="Tahoma" w:cs="Tahoma"/>
          <w:sz w:val="24"/>
          <w:szCs w:val="24"/>
        </w:rPr>
        <w:t>Il importe de préciser que depuis le milieu des années 1990, la politique forestière marocaine a connu une prolifération de plans d'action, de programmes nationaux et de projets de développement, soutenus par l’aide publique au développement. Cette période est considérée comme le signe d’une évolution de la politique forestière marocaine au tournant des années 2000</w:t>
      </w:r>
      <w:r w:rsidRPr="002462E6">
        <w:rPr>
          <w:rFonts w:ascii="Tahoma" w:eastAsia="Times New Roman" w:hAnsi="Tahoma" w:cs="Tahoma"/>
          <w:sz w:val="24"/>
          <w:szCs w:val="24"/>
          <w:vertAlign w:val="superscript"/>
        </w:rPr>
        <w:footnoteReference w:id="169"/>
      </w:r>
      <w:r w:rsidRPr="002462E6">
        <w:rPr>
          <w:rFonts w:ascii="Tahoma" w:eastAsia="Times New Roman" w:hAnsi="Tahoma" w:cs="Tahoma"/>
          <w:sz w:val="24"/>
          <w:szCs w:val="24"/>
        </w:rPr>
        <w:t>. (e.g. GENIN et BENCHEKROUN, 2007).</w:t>
      </w:r>
    </w:p>
    <w:p w:rsidR="000A7532" w:rsidRPr="002462E6" w:rsidRDefault="000A7532" w:rsidP="000A7532">
      <w:pPr>
        <w:widowControl w:val="0"/>
        <w:autoSpaceDE w:val="0"/>
        <w:autoSpaceDN w:val="0"/>
        <w:spacing w:before="163" w:after="0" w:line="360" w:lineRule="auto"/>
        <w:ind w:right="4"/>
        <w:jc w:val="both"/>
        <w:rPr>
          <w:rFonts w:ascii="Tahoma" w:eastAsia="Times New Roman" w:hAnsi="Tahoma" w:cs="Tahoma"/>
          <w:sz w:val="24"/>
          <w:szCs w:val="24"/>
        </w:rPr>
      </w:pPr>
      <w:r w:rsidRPr="002462E6">
        <w:rPr>
          <w:rFonts w:ascii="Tahoma" w:eastAsia="Times New Roman" w:hAnsi="Tahoma" w:cs="Tahoma"/>
          <w:sz w:val="24"/>
          <w:szCs w:val="24"/>
        </w:rPr>
        <w:t>En réponse aux engagements internationaux tels que l'Agenda 21, l'administration forestière a pris en charge des questions clés comme la biodiversité et les aires protégées (AEFCS, 1996), le reboisement, la désertification (MADREF, 2001), l’aménagement des bassins versants (MCEF, 1998), le développement forestier (MCEF, 1999). En somme, les javelots de la politique forestière moderne commencent à émerger de manière progressive</w:t>
      </w:r>
      <w:r w:rsidRPr="002462E6">
        <w:rPr>
          <w:rFonts w:ascii="Tahoma" w:eastAsia="Times New Roman" w:hAnsi="Tahoma" w:cs="Tahoma"/>
          <w:sz w:val="24"/>
          <w:szCs w:val="24"/>
          <w:vertAlign w:val="superscript"/>
        </w:rPr>
        <w:footnoteReference w:id="170"/>
      </w:r>
      <w:r w:rsidRPr="002462E6">
        <w:rPr>
          <w:rFonts w:ascii="Tahoma" w:eastAsia="Times New Roman" w:hAnsi="Tahoma" w:cs="Tahoma"/>
          <w:sz w:val="24"/>
          <w:szCs w:val="24"/>
        </w:rPr>
        <w:t>.</w:t>
      </w:r>
      <w:r w:rsidRPr="002462E6">
        <w:rPr>
          <w:rFonts w:ascii="Times New Roman" w:eastAsia="Times New Roman" w:hAnsi="Times New Roman" w:cs="Times New Roman"/>
          <w:sz w:val="24"/>
          <w:szCs w:val="24"/>
        </w:rPr>
        <w:t xml:space="preserve"> </w:t>
      </w:r>
    </w:p>
    <w:p w:rsidR="006F656C" w:rsidRDefault="000A7532" w:rsidP="00C262D2">
      <w:pPr>
        <w:widowControl w:val="0"/>
        <w:autoSpaceDE w:val="0"/>
        <w:autoSpaceDN w:val="0"/>
        <w:spacing w:before="163" w:after="0" w:line="360" w:lineRule="auto"/>
        <w:ind w:right="4"/>
        <w:jc w:val="both"/>
        <w:rPr>
          <w:rFonts w:ascii="Tahoma" w:eastAsia="Times New Roman" w:hAnsi="Tahoma" w:cs="Tahoma"/>
          <w:sz w:val="24"/>
          <w:szCs w:val="24"/>
        </w:rPr>
      </w:pPr>
      <w:r w:rsidRPr="002462E6">
        <w:rPr>
          <w:rFonts w:ascii="Tahoma" w:eastAsia="Times New Roman" w:hAnsi="Tahoma" w:cs="Tahoma"/>
          <w:sz w:val="24"/>
          <w:szCs w:val="24"/>
        </w:rPr>
        <w:t xml:space="preserve">Par ailleurs, il parait que l’évolution constatée dans le secteur forestier est intrinsèquement liée aux enjeux de l’aménagement du territoire, encadré par des instruments de planification comme le Schéma National d’Aménagement du Territoire (SNAT) et les Schémas Régionaux d'Aménagement du Territoire (SRAT), ainsi que des schémas sectoriels. L'efficacité des projets de développement et la prise en compte des </w:t>
      </w:r>
      <w:r w:rsidRPr="002462E6">
        <w:rPr>
          <w:rFonts w:ascii="Tahoma" w:eastAsia="Times New Roman" w:hAnsi="Tahoma" w:cs="Tahoma"/>
          <w:sz w:val="24"/>
          <w:szCs w:val="24"/>
        </w:rPr>
        <w:lastRenderedPageBreak/>
        <w:t>liens entre l'économie forestière et les populations locales par l'administration forestière dem</w:t>
      </w:r>
      <w:r w:rsidR="00C262D2">
        <w:rPr>
          <w:rFonts w:ascii="Tahoma" w:eastAsia="Times New Roman" w:hAnsi="Tahoma" w:cs="Tahoma"/>
          <w:sz w:val="24"/>
          <w:szCs w:val="24"/>
        </w:rPr>
        <w:t>eurent des questions centrales.</w:t>
      </w:r>
    </w:p>
    <w:p w:rsidR="00C262D2" w:rsidRPr="00C262D2" w:rsidRDefault="00C262D2" w:rsidP="00C262D2">
      <w:pPr>
        <w:widowControl w:val="0"/>
        <w:autoSpaceDE w:val="0"/>
        <w:autoSpaceDN w:val="0"/>
        <w:spacing w:before="163" w:after="0" w:line="360" w:lineRule="auto"/>
        <w:ind w:right="4"/>
        <w:jc w:val="both"/>
        <w:rPr>
          <w:rFonts w:ascii="Tahoma" w:eastAsia="Times New Roman" w:hAnsi="Tahoma" w:cs="Tahoma"/>
          <w:sz w:val="2"/>
          <w:szCs w:val="2"/>
        </w:rPr>
      </w:pPr>
    </w:p>
    <w:p w:rsidR="000A7532" w:rsidRPr="002462E6" w:rsidRDefault="001410FD" w:rsidP="007E399B">
      <w:pPr>
        <w:pStyle w:val="Titre4"/>
      </w:pPr>
      <w:bookmarkStart w:id="98" w:name="_Toc201570890"/>
      <w:bookmarkStart w:id="99" w:name="_Toc201655456"/>
      <w:r w:rsidRPr="002462E6">
        <w:t xml:space="preserve"> </w:t>
      </w:r>
      <w:bookmarkStart w:id="100" w:name="_Toc203643011"/>
      <w:r w:rsidR="000C1CA7" w:rsidRPr="002462E6">
        <w:t>N</w:t>
      </w:r>
      <w:r w:rsidR="000A7532" w:rsidRPr="002462E6">
        <w:t>ouveau cadre stratégique pour l'action publique Forestière</w:t>
      </w:r>
      <w:bookmarkEnd w:id="98"/>
      <w:bookmarkEnd w:id="99"/>
      <w:bookmarkEnd w:id="100"/>
    </w:p>
    <w:p w:rsidR="007A7265" w:rsidRPr="006B3F9A" w:rsidRDefault="007A7265" w:rsidP="007E399B">
      <w:pPr>
        <w:pStyle w:val="Titre4"/>
        <w:numPr>
          <w:ilvl w:val="0"/>
          <w:numId w:val="0"/>
        </w:numPr>
        <w:rPr>
          <w:sz w:val="2"/>
          <w:szCs w:val="2"/>
        </w:rPr>
      </w:pPr>
    </w:p>
    <w:p w:rsidR="000A7532" w:rsidRPr="002462E6" w:rsidRDefault="000A7532" w:rsidP="000A7532">
      <w:pPr>
        <w:widowControl w:val="0"/>
        <w:autoSpaceDE w:val="0"/>
        <w:autoSpaceDN w:val="0"/>
        <w:spacing w:before="161" w:after="0" w:line="360" w:lineRule="auto"/>
        <w:ind w:right="4"/>
        <w:jc w:val="both"/>
        <w:rPr>
          <w:rFonts w:ascii="Tahoma" w:eastAsia="Times New Roman" w:hAnsi="Tahoma" w:cs="Tahoma"/>
          <w:sz w:val="24"/>
          <w:szCs w:val="24"/>
        </w:rPr>
      </w:pPr>
      <w:r w:rsidRPr="002462E6">
        <w:rPr>
          <w:rFonts w:ascii="Tahoma" w:eastAsia="Times New Roman" w:hAnsi="Tahoma" w:cs="Tahoma"/>
          <w:sz w:val="24"/>
          <w:szCs w:val="24"/>
        </w:rPr>
        <w:t>L’administration forestière semble s’inscrire dans la mouvance de la majorité des organisations internationales qui prônent de la gestion durable, décentralisée et participative comme le nouveau sésame de leurs actions de gestion. Dans cette optique, il est important d'analyser certains dispositifs nationaux consacrés à la planification stratégique et à la programmation opérationnelle, tels que le Programme Forestier National (PFN), les plans décennaux, ainsi que la stratégie récente intitulée "Forêts du Maroc 2020-2030"</w:t>
      </w:r>
      <w:r w:rsidRPr="002462E6">
        <w:rPr>
          <w:rFonts w:ascii="Tahoma" w:eastAsia="Times New Roman" w:hAnsi="Tahoma" w:cs="Tahoma"/>
          <w:sz w:val="24"/>
          <w:szCs w:val="24"/>
          <w:vertAlign w:val="superscript"/>
        </w:rPr>
        <w:footnoteReference w:id="171"/>
      </w:r>
      <w:r w:rsidRPr="002462E6">
        <w:rPr>
          <w:rFonts w:ascii="Tahoma" w:eastAsia="Times New Roman" w:hAnsi="Tahoma" w:cs="Tahoma"/>
          <w:sz w:val="24"/>
          <w:szCs w:val="24"/>
        </w:rPr>
        <w:t xml:space="preserve">. </w:t>
      </w:r>
    </w:p>
    <w:p w:rsidR="006F656C" w:rsidRPr="006B3F9A" w:rsidRDefault="006F656C" w:rsidP="000A7532">
      <w:pPr>
        <w:widowControl w:val="0"/>
        <w:autoSpaceDE w:val="0"/>
        <w:autoSpaceDN w:val="0"/>
        <w:spacing w:before="161" w:after="0" w:line="360" w:lineRule="auto"/>
        <w:ind w:right="4"/>
        <w:jc w:val="both"/>
        <w:rPr>
          <w:rFonts w:ascii="Tahoma" w:eastAsia="Times New Roman" w:hAnsi="Tahoma" w:cs="Tahoma"/>
          <w:sz w:val="2"/>
          <w:szCs w:val="2"/>
        </w:rPr>
      </w:pPr>
    </w:p>
    <w:p w:rsidR="00705790" w:rsidRPr="002462E6" w:rsidRDefault="004F5A84" w:rsidP="00D051D7">
      <w:pPr>
        <w:pStyle w:val="Titre5"/>
        <w:numPr>
          <w:ilvl w:val="0"/>
          <w:numId w:val="79"/>
        </w:numPr>
      </w:pPr>
      <w:bookmarkStart w:id="101" w:name="_Toc186533806"/>
      <w:bookmarkStart w:id="102" w:name="_Toc201655457"/>
      <w:bookmarkStart w:id="103" w:name="_Toc203643012"/>
      <w:r w:rsidRPr="002462E6">
        <w:t>P</w:t>
      </w:r>
      <w:r w:rsidR="000A7532" w:rsidRPr="002462E6">
        <w:t>rogramme Forestier National : outil stratégique de l’action publique</w:t>
      </w:r>
      <w:bookmarkEnd w:id="101"/>
      <w:bookmarkEnd w:id="102"/>
      <w:bookmarkEnd w:id="103"/>
    </w:p>
    <w:p w:rsidR="000A7532" w:rsidRPr="002462E6" w:rsidRDefault="000A7532" w:rsidP="00705790">
      <w:pPr>
        <w:widowControl w:val="0"/>
        <w:autoSpaceDE w:val="0"/>
        <w:autoSpaceDN w:val="0"/>
        <w:spacing w:after="0" w:line="360" w:lineRule="auto"/>
        <w:jc w:val="both"/>
        <w:rPr>
          <w:rFonts w:ascii="Tahoma" w:eastAsia="Times New Roman" w:hAnsi="Tahoma" w:cs="Tahoma"/>
          <w:sz w:val="24"/>
          <w:szCs w:val="24"/>
        </w:rPr>
      </w:pPr>
      <w:r w:rsidRPr="002462E6">
        <w:rPr>
          <w:rFonts w:ascii="Times New Roman" w:eastAsia="Times New Roman" w:hAnsi="Times New Roman" w:cs="Times New Roman"/>
          <w:sz w:val="24"/>
          <w:szCs w:val="24"/>
        </w:rPr>
        <w:t xml:space="preserve"> </w:t>
      </w:r>
      <w:r w:rsidRPr="002462E6">
        <w:rPr>
          <w:rFonts w:ascii="Tahoma" w:eastAsia="Times New Roman" w:hAnsi="Tahoma" w:cs="Tahoma"/>
          <w:sz w:val="24"/>
          <w:szCs w:val="24"/>
        </w:rPr>
        <w:t>Au cours dernières décennies, la communauté internationale a accordé un intérêt particulier à la région méditerranéenne en raison des bienfaits sociaux, économiques et environnementaux que procurent ses espaces boisés ainsi que les effets néfastes de leur dégradation et de destruction</w:t>
      </w:r>
      <w:r w:rsidRPr="002462E6">
        <w:rPr>
          <w:rFonts w:ascii="Tahoma" w:eastAsia="Times New Roman" w:hAnsi="Tahoma" w:cs="Tahoma"/>
          <w:sz w:val="24"/>
          <w:szCs w:val="24"/>
          <w:vertAlign w:val="superscript"/>
        </w:rPr>
        <w:footnoteReference w:id="172"/>
      </w:r>
      <w:r w:rsidRPr="002462E6">
        <w:rPr>
          <w:rFonts w:ascii="Tahoma" w:eastAsia="Times New Roman" w:hAnsi="Tahoma" w:cs="Tahoma"/>
          <w:sz w:val="24"/>
          <w:szCs w:val="24"/>
        </w:rPr>
        <w:t xml:space="preserve">. </w:t>
      </w:r>
    </w:p>
    <w:p w:rsidR="000A7532" w:rsidRPr="002462E6" w:rsidRDefault="000A7532" w:rsidP="00705790">
      <w:pPr>
        <w:widowControl w:val="0"/>
        <w:autoSpaceDE w:val="0"/>
        <w:autoSpaceDN w:val="0"/>
        <w:spacing w:before="161" w:after="0" w:line="360" w:lineRule="auto"/>
        <w:ind w:right="145"/>
        <w:jc w:val="both"/>
        <w:rPr>
          <w:rFonts w:ascii="Tahoma" w:eastAsia="Times New Roman" w:hAnsi="Tahoma" w:cs="Tahoma"/>
          <w:sz w:val="24"/>
          <w:szCs w:val="24"/>
        </w:rPr>
      </w:pPr>
      <w:r w:rsidRPr="002462E6">
        <w:rPr>
          <w:rFonts w:ascii="Tahoma" w:eastAsia="Times New Roman" w:hAnsi="Tahoma" w:cs="Tahoma"/>
          <w:sz w:val="24"/>
          <w:szCs w:val="24"/>
        </w:rPr>
        <w:t>Dans ce cadre, la Conférence des Nations Unies pour l’environnement et le développement (CNUED, Rio, Juin 1992)</w:t>
      </w:r>
      <w:r w:rsidRPr="002462E6">
        <w:rPr>
          <w:rFonts w:ascii="Tahoma" w:eastAsia="Times New Roman" w:hAnsi="Tahoma" w:cs="Tahoma"/>
          <w:sz w:val="24"/>
          <w:szCs w:val="24"/>
          <w:vertAlign w:val="superscript"/>
        </w:rPr>
        <w:footnoteReference w:id="173"/>
      </w:r>
      <w:r w:rsidRPr="002462E6">
        <w:rPr>
          <w:rFonts w:ascii="Tahoma" w:eastAsia="Times New Roman" w:hAnsi="Tahoma" w:cs="Tahoma"/>
          <w:sz w:val="24"/>
          <w:szCs w:val="24"/>
        </w:rPr>
        <w:t xml:space="preserve"> a lancé un appel à tous les pays, afin d’établir et mettre en œuvre des programmes d’actions forestiers nationaux et/ou des plans pour l’aménagement, la conservation et le développement de leurs forêts</w:t>
      </w:r>
      <w:r w:rsidRPr="002462E6">
        <w:rPr>
          <w:rFonts w:ascii="Tahoma" w:eastAsia="Times New Roman" w:hAnsi="Tahoma" w:cs="Tahoma"/>
          <w:sz w:val="24"/>
          <w:szCs w:val="24"/>
          <w:vertAlign w:val="superscript"/>
        </w:rPr>
        <w:footnoteReference w:id="174"/>
      </w:r>
      <w:r w:rsidRPr="002462E6">
        <w:rPr>
          <w:rFonts w:ascii="Tahoma" w:eastAsia="Times New Roman" w:hAnsi="Tahoma" w:cs="Tahoma"/>
          <w:sz w:val="24"/>
          <w:szCs w:val="24"/>
        </w:rPr>
        <w:t xml:space="preserve">. Dans </w:t>
      </w:r>
      <w:r w:rsidRPr="002462E6">
        <w:rPr>
          <w:rFonts w:ascii="Tahoma" w:eastAsia="Times New Roman" w:hAnsi="Tahoma" w:cs="Tahoma"/>
          <w:sz w:val="24"/>
          <w:szCs w:val="24"/>
        </w:rPr>
        <w:lastRenderedPageBreak/>
        <w:t xml:space="preserve">un tel contexte, les pays méditerranéens ont approuvé lors de la tenue de la session de Silva Mediterranea en mars 1992 au Portugal, le concept d’un Programme d’Action Forestier Méditerranéen (PAF-MED). Ce programme a été élaboré en tant que cadre conceptuel pour aider les pays concernés dans la révision et la mise en œuvre de leur politique forestière. En effet, le Département des Eaux et Forêts a élaboré, au cours de ces dernières années, une série d’études stratégiques d’appui à la planification forestière tels que, l’Inventaire Forestier National (février 1996) ; le Plan Directeur de Reboisement (1997) ; le Plan National d’Aménagement des Bassins Versants (décembre 1996) ; l’Etude Nationale sur la Biodiversité (1995) ; les études d’aménagement des forêts et parcours. Ces travaux ont été synthétisés pour élaborer le Programme Forestier National (PFN). </w:t>
      </w:r>
    </w:p>
    <w:p w:rsidR="000A7532" w:rsidRPr="002462E6" w:rsidRDefault="000A7532" w:rsidP="000A7532">
      <w:pPr>
        <w:widowControl w:val="0"/>
        <w:autoSpaceDE w:val="0"/>
        <w:autoSpaceDN w:val="0"/>
        <w:spacing w:before="161" w:after="0" w:line="360" w:lineRule="auto"/>
        <w:ind w:right="145"/>
        <w:jc w:val="both"/>
        <w:rPr>
          <w:rFonts w:ascii="Tahoma" w:eastAsia="Times New Roman" w:hAnsi="Tahoma" w:cs="Tahoma"/>
          <w:sz w:val="24"/>
          <w:szCs w:val="24"/>
        </w:rPr>
      </w:pPr>
      <w:r w:rsidRPr="002462E6">
        <w:rPr>
          <w:rFonts w:ascii="Tahoma" w:eastAsia="Times New Roman" w:hAnsi="Tahoma" w:cs="Tahoma"/>
          <w:sz w:val="24"/>
          <w:szCs w:val="24"/>
        </w:rPr>
        <w:t>Par le biais du PFN, la politique forestière nationale vise la conservation et la mise en valeur durable des écosystèmes forestiers. Pour atteindre cet objectif, des données de différentes natures : physique, démographique, les groupes sociaux, les cadres législatifs et institutionnels ont été intégrées dans une stratégie dite globale reposant sur trois axes principaux : la gestion patrimoniale des forêts, le développement des zones péri-forestières et l'établissement de partenariats</w:t>
      </w:r>
      <w:r w:rsidRPr="002462E6">
        <w:rPr>
          <w:rFonts w:ascii="Tahoma" w:eastAsia="Times New Roman" w:hAnsi="Tahoma" w:cs="Tahoma"/>
          <w:sz w:val="24"/>
          <w:szCs w:val="24"/>
          <w:vertAlign w:val="superscript"/>
        </w:rPr>
        <w:footnoteReference w:id="175"/>
      </w:r>
      <w:r w:rsidRPr="002462E6">
        <w:rPr>
          <w:rFonts w:ascii="Tahoma" w:eastAsia="Times New Roman" w:hAnsi="Tahoma" w:cs="Tahoma"/>
          <w:sz w:val="24"/>
          <w:szCs w:val="24"/>
        </w:rPr>
        <w:t>.</w:t>
      </w:r>
    </w:p>
    <w:p w:rsidR="000A7532" w:rsidRPr="002462E6" w:rsidRDefault="000A7532" w:rsidP="000A7532">
      <w:pPr>
        <w:widowControl w:val="0"/>
        <w:tabs>
          <w:tab w:val="left" w:pos="8222"/>
        </w:tabs>
        <w:autoSpaceDE w:val="0"/>
        <w:autoSpaceDN w:val="0"/>
        <w:spacing w:before="161" w:after="0" w:line="360" w:lineRule="auto"/>
        <w:ind w:right="-138"/>
        <w:jc w:val="both"/>
        <w:rPr>
          <w:rFonts w:ascii="Tahoma" w:eastAsia="Times New Roman" w:hAnsi="Tahoma" w:cs="Tahoma"/>
          <w:sz w:val="24"/>
          <w:szCs w:val="24"/>
        </w:rPr>
      </w:pPr>
      <w:r w:rsidRPr="002462E6">
        <w:rPr>
          <w:rFonts w:ascii="Tahoma" w:eastAsia="Times New Roman" w:hAnsi="Tahoma" w:cs="Tahoma"/>
          <w:sz w:val="24"/>
          <w:szCs w:val="24"/>
        </w:rPr>
        <w:t>Le Programme Forestier National (PFN) se fixe comme objectifs à long terme la protection des ressources en eau et des sols, le développement socio-économique des populations rurales, la protection de la biodiversité et de l'environnement, la production de bois destinée à l'industrie et à l'artisanat, et la fourniture de services divers</w:t>
      </w:r>
      <w:r w:rsidRPr="002462E6">
        <w:rPr>
          <w:rFonts w:ascii="Tahoma" w:eastAsia="Times New Roman" w:hAnsi="Tahoma" w:cs="Tahoma"/>
          <w:sz w:val="24"/>
          <w:szCs w:val="24"/>
          <w:vertAlign w:val="superscript"/>
        </w:rPr>
        <w:footnoteReference w:id="176"/>
      </w:r>
      <w:r w:rsidRPr="002462E6">
        <w:rPr>
          <w:rFonts w:ascii="Tahoma" w:eastAsia="Times New Roman" w:hAnsi="Tahoma" w:cs="Tahoma"/>
          <w:sz w:val="24"/>
          <w:szCs w:val="24"/>
        </w:rPr>
        <w:t xml:space="preserve">. Il s'appuie sur trois approches stratégiques qui se présentent comme suit : </w:t>
      </w:r>
    </w:p>
    <w:p w:rsidR="000A7532" w:rsidRPr="002462E6" w:rsidRDefault="000A7532" w:rsidP="00D051D7">
      <w:pPr>
        <w:widowControl w:val="0"/>
        <w:numPr>
          <w:ilvl w:val="0"/>
          <w:numId w:val="6"/>
        </w:numPr>
        <w:tabs>
          <w:tab w:val="left" w:pos="8222"/>
        </w:tabs>
        <w:autoSpaceDE w:val="0"/>
        <w:autoSpaceDN w:val="0"/>
        <w:spacing w:before="161" w:after="0" w:line="360" w:lineRule="auto"/>
        <w:ind w:right="-138"/>
        <w:jc w:val="both"/>
        <w:rPr>
          <w:rFonts w:ascii="Tahoma" w:eastAsia="Times New Roman" w:hAnsi="Tahoma" w:cs="Tahoma"/>
          <w:sz w:val="24"/>
          <w:szCs w:val="24"/>
        </w:rPr>
      </w:pPr>
      <w:r w:rsidRPr="002462E6">
        <w:rPr>
          <w:rFonts w:ascii="Tahoma" w:eastAsia="Times New Roman" w:hAnsi="Tahoma" w:cs="Tahoma"/>
          <w:sz w:val="24"/>
          <w:szCs w:val="24"/>
        </w:rPr>
        <w:t>Une approche patrimoniale qui encourage l'implication et la responsabilité de tous les acteurs dans l'aménagement du territoire ;</w:t>
      </w:r>
    </w:p>
    <w:p w:rsidR="000A7532" w:rsidRPr="002462E6" w:rsidRDefault="000A7532" w:rsidP="00D051D7">
      <w:pPr>
        <w:widowControl w:val="0"/>
        <w:numPr>
          <w:ilvl w:val="0"/>
          <w:numId w:val="6"/>
        </w:numPr>
        <w:tabs>
          <w:tab w:val="left" w:pos="8222"/>
        </w:tabs>
        <w:autoSpaceDE w:val="0"/>
        <w:autoSpaceDN w:val="0"/>
        <w:spacing w:before="161" w:after="0" w:line="360" w:lineRule="auto"/>
        <w:ind w:right="-138"/>
        <w:jc w:val="both"/>
        <w:rPr>
          <w:rFonts w:ascii="Tahoma" w:eastAsia="Times New Roman" w:hAnsi="Tahoma" w:cs="Tahoma"/>
          <w:sz w:val="24"/>
          <w:szCs w:val="24"/>
        </w:rPr>
      </w:pPr>
      <w:r w:rsidRPr="002462E6">
        <w:rPr>
          <w:rFonts w:ascii="Tahoma" w:eastAsia="Times New Roman" w:hAnsi="Tahoma" w:cs="Tahoma"/>
          <w:sz w:val="24"/>
          <w:szCs w:val="24"/>
        </w:rPr>
        <w:t>Une approche territoriale qui promeut l'intégration des actions dans un cadre de développement local dynamique ;</w:t>
      </w:r>
    </w:p>
    <w:p w:rsidR="000A7532" w:rsidRPr="002462E6" w:rsidRDefault="000A7532" w:rsidP="00D051D7">
      <w:pPr>
        <w:widowControl w:val="0"/>
        <w:numPr>
          <w:ilvl w:val="0"/>
          <w:numId w:val="6"/>
        </w:numPr>
        <w:tabs>
          <w:tab w:val="left" w:pos="8222"/>
        </w:tabs>
        <w:autoSpaceDE w:val="0"/>
        <w:autoSpaceDN w:val="0"/>
        <w:spacing w:before="161" w:after="0" w:line="360" w:lineRule="auto"/>
        <w:ind w:right="-138"/>
        <w:jc w:val="both"/>
        <w:rPr>
          <w:rFonts w:ascii="Tahoma" w:eastAsia="Times New Roman" w:hAnsi="Tahoma" w:cs="Tahoma"/>
          <w:sz w:val="24"/>
          <w:szCs w:val="24"/>
        </w:rPr>
      </w:pPr>
      <w:r w:rsidRPr="002462E6">
        <w:rPr>
          <w:rFonts w:ascii="Tahoma" w:eastAsia="Times New Roman" w:hAnsi="Tahoma" w:cs="Tahoma"/>
          <w:sz w:val="24"/>
          <w:szCs w:val="24"/>
        </w:rPr>
        <w:t xml:space="preserve">Une approche participative et partenariale qui favorise l'adhésion des usagers, des </w:t>
      </w:r>
      <w:r w:rsidRPr="002462E6">
        <w:rPr>
          <w:rFonts w:ascii="Tahoma" w:eastAsia="Times New Roman" w:hAnsi="Tahoma" w:cs="Tahoma"/>
          <w:sz w:val="24"/>
          <w:szCs w:val="24"/>
        </w:rPr>
        <w:lastRenderedPageBreak/>
        <w:t>collectivités locales et du secteur privé au processus d'aménagement et au développement durable des forêts.</w:t>
      </w:r>
    </w:p>
    <w:p w:rsidR="000A7532" w:rsidRPr="002462E6" w:rsidRDefault="000A7532" w:rsidP="000A7532">
      <w:pPr>
        <w:widowControl w:val="0"/>
        <w:tabs>
          <w:tab w:val="left" w:pos="8222"/>
        </w:tabs>
        <w:autoSpaceDE w:val="0"/>
        <w:autoSpaceDN w:val="0"/>
        <w:spacing w:before="161" w:after="0" w:line="360" w:lineRule="auto"/>
        <w:ind w:right="-138"/>
        <w:rPr>
          <w:rFonts w:ascii="Tahoma" w:eastAsia="Times New Roman" w:hAnsi="Tahoma" w:cs="Tahoma"/>
          <w:sz w:val="24"/>
          <w:szCs w:val="24"/>
        </w:rPr>
      </w:pPr>
      <w:r w:rsidRPr="002462E6">
        <w:rPr>
          <w:rFonts w:ascii="Tahoma" w:eastAsia="Times New Roman" w:hAnsi="Tahoma" w:cs="Tahoma"/>
          <w:sz w:val="24"/>
          <w:szCs w:val="24"/>
        </w:rPr>
        <w:t xml:space="preserve">Les programmes prioritaires du changement envisagés concernent les aspects suivants : </w:t>
      </w:r>
    </w:p>
    <w:p w:rsidR="000A7532" w:rsidRPr="002462E6" w:rsidRDefault="000A7532" w:rsidP="00D051D7">
      <w:pPr>
        <w:widowControl w:val="0"/>
        <w:numPr>
          <w:ilvl w:val="0"/>
          <w:numId w:val="11"/>
        </w:numPr>
        <w:tabs>
          <w:tab w:val="left" w:pos="8222"/>
        </w:tabs>
        <w:autoSpaceDE w:val="0"/>
        <w:autoSpaceDN w:val="0"/>
        <w:spacing w:before="161" w:after="0" w:line="360" w:lineRule="auto"/>
        <w:ind w:right="-138"/>
        <w:rPr>
          <w:rFonts w:ascii="Tahoma" w:eastAsia="Times New Roman" w:hAnsi="Tahoma" w:cs="Tahoma"/>
          <w:b/>
          <w:bCs/>
          <w:sz w:val="24"/>
          <w:szCs w:val="24"/>
        </w:rPr>
      </w:pPr>
      <w:r w:rsidRPr="002462E6">
        <w:rPr>
          <w:rFonts w:ascii="Tahoma" w:eastAsia="Times New Roman" w:hAnsi="Tahoma" w:cs="Tahoma"/>
          <w:b/>
          <w:bCs/>
          <w:sz w:val="24"/>
          <w:szCs w:val="24"/>
        </w:rPr>
        <w:t xml:space="preserve">Agir sur l’environnement du secteur forestier </w:t>
      </w:r>
    </w:p>
    <w:p w:rsidR="005813F8" w:rsidRPr="002462E6" w:rsidRDefault="000A7532" w:rsidP="005813F8">
      <w:pPr>
        <w:widowControl w:val="0"/>
        <w:tabs>
          <w:tab w:val="left" w:pos="8222"/>
        </w:tabs>
        <w:autoSpaceDE w:val="0"/>
        <w:autoSpaceDN w:val="0"/>
        <w:spacing w:before="161" w:after="0" w:line="360" w:lineRule="auto"/>
        <w:ind w:right="-138"/>
        <w:jc w:val="both"/>
        <w:rPr>
          <w:rFonts w:ascii="Tahoma" w:eastAsia="Times New Roman" w:hAnsi="Tahoma" w:cs="Tahoma"/>
          <w:sz w:val="24"/>
          <w:szCs w:val="24"/>
        </w:rPr>
      </w:pPr>
      <w:r w:rsidRPr="002462E6">
        <w:rPr>
          <w:rFonts w:ascii="Tahoma" w:eastAsia="Times New Roman" w:hAnsi="Tahoma" w:cs="Tahoma"/>
          <w:sz w:val="24"/>
          <w:szCs w:val="24"/>
        </w:rPr>
        <w:t>La dégradation des espaces forestiers au Maroc est largement influencée par des facteurs externes, qui résultent principalement des pratiques des populations rurales dépendant souvent de la forêt pour assurer leur subsistance. Ce qui se traduit par un prélèvement excessif de bois de feu et un parcours au-delà de la capacité de régénération des forêts. De plus, la gestion de l’eau, principalement orientée vers les plaines agricoles et les zones urbaines, perturbe les équilibres naturels, notamment en amont des barrages. Pour faire face à la dégradation des forêts, diverses considérations nécessitant des interventions ciblées sur les causes sous-jacentes à savoir</w:t>
      </w:r>
      <w:r w:rsidRPr="002462E6">
        <w:rPr>
          <w:rFonts w:ascii="Tahoma" w:eastAsia="Times New Roman" w:hAnsi="Tahoma" w:cs="Tahoma"/>
          <w:sz w:val="24"/>
          <w:szCs w:val="24"/>
          <w:vertAlign w:val="superscript"/>
        </w:rPr>
        <w:footnoteReference w:id="177"/>
      </w:r>
      <w:r w:rsidR="005813F8" w:rsidRPr="002462E6">
        <w:rPr>
          <w:rFonts w:ascii="Tahoma" w:eastAsia="Times New Roman" w:hAnsi="Tahoma" w:cs="Tahoma"/>
          <w:sz w:val="24"/>
          <w:szCs w:val="24"/>
        </w:rPr>
        <w:t xml:space="preserve"> </w:t>
      </w:r>
    </w:p>
    <w:p w:rsidR="000A7532" w:rsidRPr="002462E6" w:rsidRDefault="000A7532" w:rsidP="000A7532">
      <w:pPr>
        <w:widowControl w:val="0"/>
        <w:tabs>
          <w:tab w:val="left" w:pos="709"/>
          <w:tab w:val="left" w:pos="1276"/>
        </w:tabs>
        <w:autoSpaceDE w:val="0"/>
        <w:autoSpaceDN w:val="0"/>
        <w:spacing w:before="161" w:after="0" w:line="360" w:lineRule="auto"/>
        <w:ind w:right="-138"/>
        <w:jc w:val="both"/>
        <w:rPr>
          <w:rFonts w:ascii="Tahoma" w:eastAsia="Times New Roman" w:hAnsi="Tahoma" w:cs="Tahoma"/>
          <w:sz w:val="24"/>
          <w:szCs w:val="24"/>
        </w:rPr>
      </w:pPr>
      <w:r w:rsidRPr="002462E6">
        <w:rPr>
          <w:rFonts w:ascii="Tahoma" w:eastAsia="Times New Roman" w:hAnsi="Tahoma" w:cs="Tahoma"/>
          <w:sz w:val="24"/>
          <w:szCs w:val="24"/>
        </w:rPr>
        <w:t>-</w:t>
      </w:r>
      <w:r w:rsidRPr="002462E6">
        <w:rPr>
          <w:rFonts w:ascii="Tahoma" w:eastAsia="Times New Roman" w:hAnsi="Tahoma" w:cs="Tahoma"/>
          <w:sz w:val="24"/>
          <w:szCs w:val="24"/>
        </w:rPr>
        <w:tab/>
        <w:t>Une politique rurale et de montagne : Cette initiative vise à améliorer les conditions de vie des populations dans les zones montagneuses, en développant des projets intégrés dans les espaces forestiers. Une collaboration avec les communautés locales est essentielle pour favoriser des dynamiques d'auto-développement ;</w:t>
      </w:r>
    </w:p>
    <w:p w:rsidR="000A7532" w:rsidRPr="002462E6" w:rsidRDefault="000A7532" w:rsidP="000A7532">
      <w:pPr>
        <w:widowControl w:val="0"/>
        <w:autoSpaceDE w:val="0"/>
        <w:autoSpaceDN w:val="0"/>
        <w:spacing w:before="161" w:after="0" w:line="360" w:lineRule="auto"/>
        <w:jc w:val="both"/>
        <w:rPr>
          <w:rFonts w:ascii="Tahoma" w:eastAsia="Times New Roman" w:hAnsi="Tahoma" w:cs="Tahoma"/>
          <w:sz w:val="24"/>
          <w:szCs w:val="24"/>
        </w:rPr>
      </w:pPr>
      <w:r w:rsidRPr="002462E6">
        <w:rPr>
          <w:rFonts w:ascii="Tahoma" w:eastAsia="Times New Roman" w:hAnsi="Tahoma" w:cs="Tahoma"/>
          <w:sz w:val="24"/>
          <w:szCs w:val="24"/>
        </w:rPr>
        <w:t>-</w:t>
      </w:r>
      <w:r w:rsidRPr="002462E6">
        <w:rPr>
          <w:rFonts w:ascii="Tahoma" w:eastAsia="Times New Roman" w:hAnsi="Tahoma" w:cs="Tahoma"/>
          <w:sz w:val="24"/>
          <w:szCs w:val="24"/>
        </w:rPr>
        <w:tab/>
        <w:t>Une Politique énergétique : Pour atténuer la consommation excessive de bois de feu, il est nécessaire de promouvoir des alternatives énergétiques, appuyées par des incitations fiscales et des efforts de sensibilisation ;</w:t>
      </w:r>
    </w:p>
    <w:p w:rsidR="000A7532" w:rsidRPr="002462E6" w:rsidRDefault="000A7532" w:rsidP="000A7532">
      <w:pPr>
        <w:widowControl w:val="0"/>
        <w:autoSpaceDE w:val="0"/>
        <w:autoSpaceDN w:val="0"/>
        <w:spacing w:before="161" w:after="0" w:line="360" w:lineRule="auto"/>
        <w:jc w:val="both"/>
        <w:rPr>
          <w:rFonts w:ascii="Tahoma" w:eastAsia="Times New Roman" w:hAnsi="Tahoma" w:cs="Tahoma"/>
          <w:sz w:val="24"/>
          <w:szCs w:val="24"/>
        </w:rPr>
      </w:pPr>
      <w:r w:rsidRPr="002462E6">
        <w:rPr>
          <w:rFonts w:ascii="Tahoma" w:eastAsia="Times New Roman" w:hAnsi="Tahoma" w:cs="Tahoma"/>
          <w:sz w:val="24"/>
          <w:szCs w:val="24"/>
        </w:rPr>
        <w:t>-</w:t>
      </w:r>
      <w:r w:rsidRPr="002462E6">
        <w:rPr>
          <w:rFonts w:ascii="Tahoma" w:eastAsia="Times New Roman" w:hAnsi="Tahoma" w:cs="Tahoma"/>
          <w:sz w:val="24"/>
          <w:szCs w:val="24"/>
        </w:rPr>
        <w:tab/>
        <w:t>Une politique sylvopastorale : Une approche durable des systèmes sylvopastoraux doit engager tous les éleveurs et nécessite la formation de groupements autonomes qui gèrent leurs ressources avec l’assistance technique des départements concernés ;</w:t>
      </w:r>
    </w:p>
    <w:p w:rsidR="000A7532" w:rsidRPr="002462E6" w:rsidRDefault="000A7532" w:rsidP="000A7532">
      <w:pPr>
        <w:widowControl w:val="0"/>
        <w:autoSpaceDE w:val="0"/>
        <w:autoSpaceDN w:val="0"/>
        <w:spacing w:before="161" w:after="0" w:line="360" w:lineRule="auto"/>
        <w:jc w:val="both"/>
        <w:rPr>
          <w:rFonts w:ascii="Tahoma" w:eastAsia="Times New Roman" w:hAnsi="Tahoma" w:cs="Tahoma"/>
          <w:sz w:val="24"/>
          <w:szCs w:val="24"/>
        </w:rPr>
      </w:pPr>
      <w:r w:rsidRPr="002462E6">
        <w:rPr>
          <w:rFonts w:ascii="Tahoma" w:eastAsia="Times New Roman" w:hAnsi="Tahoma" w:cs="Tahoma"/>
          <w:sz w:val="24"/>
          <w:szCs w:val="24"/>
        </w:rPr>
        <w:t>-</w:t>
      </w:r>
      <w:r w:rsidRPr="002462E6">
        <w:rPr>
          <w:rFonts w:ascii="Tahoma" w:eastAsia="Times New Roman" w:hAnsi="Tahoma" w:cs="Tahoma"/>
          <w:sz w:val="24"/>
          <w:szCs w:val="24"/>
        </w:rPr>
        <w:tab/>
        <w:t>Une Politique de l’eau : L’aménagement antiérosif des bassins versants, notamment dans le Rif et le Moyen-Atlas, est crucial pour préserver les ressources hydriques. Ceci implique une coordination entre divers services de l'État pour assurer la mise en œuvre des projets avec concertation de toutes les parties prenantes</w:t>
      </w:r>
      <w:r w:rsidRPr="002462E6">
        <w:rPr>
          <w:rFonts w:ascii="Tahoma" w:eastAsia="Times New Roman" w:hAnsi="Tahoma" w:cs="Tahoma"/>
          <w:sz w:val="24"/>
          <w:szCs w:val="24"/>
          <w:vertAlign w:val="superscript"/>
        </w:rPr>
        <w:footnoteReference w:id="178"/>
      </w:r>
      <w:r w:rsidRPr="002462E6">
        <w:rPr>
          <w:rFonts w:ascii="Tahoma" w:eastAsia="Times New Roman" w:hAnsi="Tahoma" w:cs="Tahoma"/>
          <w:sz w:val="24"/>
          <w:szCs w:val="24"/>
        </w:rPr>
        <w:t>.</w:t>
      </w:r>
    </w:p>
    <w:p w:rsidR="000A7532" w:rsidRPr="002462E6" w:rsidRDefault="000A7532" w:rsidP="000A7532">
      <w:pPr>
        <w:widowControl w:val="0"/>
        <w:autoSpaceDE w:val="0"/>
        <w:autoSpaceDN w:val="0"/>
        <w:spacing w:before="161" w:after="0" w:line="360" w:lineRule="auto"/>
        <w:jc w:val="both"/>
        <w:rPr>
          <w:rFonts w:ascii="Tahoma" w:eastAsia="Times New Roman" w:hAnsi="Tahoma" w:cs="Tahoma"/>
          <w:sz w:val="24"/>
          <w:szCs w:val="24"/>
        </w:rPr>
      </w:pPr>
      <w:r w:rsidRPr="002462E6">
        <w:rPr>
          <w:rFonts w:ascii="Tahoma" w:eastAsia="Times New Roman" w:hAnsi="Tahoma" w:cs="Tahoma"/>
          <w:sz w:val="24"/>
          <w:szCs w:val="24"/>
        </w:rPr>
        <w:lastRenderedPageBreak/>
        <w:t>En somme, ces stratégies doivent être intégrées pour contrer la dégradation forestière tout en soutenant le développement des populations rurales.</w:t>
      </w:r>
    </w:p>
    <w:p w:rsidR="000A7532" w:rsidRPr="002462E6" w:rsidRDefault="000A7532" w:rsidP="00D051D7">
      <w:pPr>
        <w:widowControl w:val="0"/>
        <w:numPr>
          <w:ilvl w:val="0"/>
          <w:numId w:val="11"/>
        </w:numPr>
        <w:autoSpaceDE w:val="0"/>
        <w:autoSpaceDN w:val="0"/>
        <w:spacing w:before="161" w:after="0" w:line="360" w:lineRule="auto"/>
        <w:rPr>
          <w:rFonts w:ascii="Tahoma" w:eastAsia="Times New Roman" w:hAnsi="Tahoma" w:cs="Tahoma"/>
          <w:b/>
          <w:bCs/>
          <w:sz w:val="24"/>
          <w:szCs w:val="24"/>
        </w:rPr>
      </w:pPr>
      <w:r w:rsidRPr="002462E6">
        <w:rPr>
          <w:rFonts w:ascii="Tahoma" w:eastAsia="Times New Roman" w:hAnsi="Tahoma" w:cs="Tahoma"/>
          <w:b/>
          <w:bCs/>
          <w:sz w:val="24"/>
          <w:szCs w:val="24"/>
        </w:rPr>
        <w:t xml:space="preserve">Agir sur les moyens humains du secteur forestier </w:t>
      </w:r>
    </w:p>
    <w:p w:rsidR="000A7532" w:rsidRPr="002462E6" w:rsidRDefault="000A7532" w:rsidP="000A7532">
      <w:pPr>
        <w:widowControl w:val="0"/>
        <w:autoSpaceDE w:val="0"/>
        <w:autoSpaceDN w:val="0"/>
        <w:spacing w:before="161" w:after="0" w:line="360" w:lineRule="auto"/>
        <w:jc w:val="both"/>
        <w:rPr>
          <w:rFonts w:ascii="Tahoma" w:eastAsia="Times New Roman" w:hAnsi="Tahoma" w:cs="Tahoma"/>
          <w:sz w:val="24"/>
          <w:szCs w:val="24"/>
        </w:rPr>
      </w:pPr>
      <w:r w:rsidRPr="002462E6">
        <w:rPr>
          <w:rFonts w:ascii="Tahoma" w:eastAsia="Times New Roman" w:hAnsi="Tahoma" w:cs="Tahoma"/>
          <w:sz w:val="24"/>
          <w:szCs w:val="24"/>
        </w:rPr>
        <w:t>Pour améliorer le secteur forestier, les compétences des forestiers locaux devraient être constamment être actualisées et complétées par des connaissances en animation, en sociologie et en économie</w:t>
      </w:r>
      <w:r w:rsidRPr="002462E6">
        <w:rPr>
          <w:rFonts w:ascii="Tahoma" w:eastAsia="Times New Roman" w:hAnsi="Tahoma" w:cs="Tahoma"/>
          <w:sz w:val="28"/>
          <w:szCs w:val="28"/>
        </w:rPr>
        <w:t xml:space="preserve"> </w:t>
      </w:r>
      <w:r w:rsidRPr="002462E6">
        <w:rPr>
          <w:rFonts w:ascii="Tahoma" w:eastAsia="Times New Roman" w:hAnsi="Tahoma" w:cs="Tahoma"/>
          <w:sz w:val="24"/>
          <w:szCs w:val="24"/>
        </w:rPr>
        <w:t xml:space="preserve">rurale. </w:t>
      </w:r>
    </w:p>
    <w:p w:rsidR="000A7532" w:rsidRPr="002462E6" w:rsidRDefault="000A7532" w:rsidP="000A7532">
      <w:pPr>
        <w:widowControl w:val="0"/>
        <w:autoSpaceDE w:val="0"/>
        <w:autoSpaceDN w:val="0"/>
        <w:spacing w:before="161" w:after="0" w:line="360" w:lineRule="auto"/>
        <w:jc w:val="both"/>
        <w:rPr>
          <w:rFonts w:ascii="Tahoma" w:eastAsia="Times New Roman" w:hAnsi="Tahoma" w:cs="Tahoma"/>
          <w:sz w:val="24"/>
          <w:szCs w:val="24"/>
        </w:rPr>
      </w:pPr>
      <w:r w:rsidRPr="002462E6">
        <w:rPr>
          <w:rFonts w:ascii="Tahoma" w:eastAsia="Times New Roman" w:hAnsi="Tahoma" w:cs="Tahoma"/>
          <w:sz w:val="24"/>
          <w:szCs w:val="24"/>
        </w:rPr>
        <w:t>Pour concrétiser cette politique, un plan national complété par des plans régionaux de formation continue sera mis en œuvre. Ceci comprendra l’adaptation des programmes de formation initiale ainsi qu’une diversification des compétences. En outre, des initiatives de motivation et une gestion proactive des carrières des employés seront indispensables pour réussir cette transformation.</w:t>
      </w:r>
    </w:p>
    <w:p w:rsidR="00FF7634" w:rsidRDefault="000A7532" w:rsidP="00FF7634">
      <w:pPr>
        <w:widowControl w:val="0"/>
        <w:autoSpaceDE w:val="0"/>
        <w:autoSpaceDN w:val="0"/>
        <w:spacing w:before="161" w:after="0" w:line="360" w:lineRule="auto"/>
        <w:jc w:val="both"/>
        <w:rPr>
          <w:rFonts w:ascii="Tahoma" w:eastAsia="Times New Roman" w:hAnsi="Tahoma" w:cs="Tahoma"/>
          <w:sz w:val="24"/>
          <w:szCs w:val="24"/>
        </w:rPr>
      </w:pPr>
      <w:r w:rsidRPr="002462E6">
        <w:rPr>
          <w:rFonts w:ascii="Tahoma" w:eastAsia="Times New Roman" w:hAnsi="Tahoma" w:cs="Tahoma"/>
          <w:sz w:val="24"/>
          <w:szCs w:val="24"/>
        </w:rPr>
        <w:t>En parallèle, une politique de communication interne et externe devra être mise en place. Les changements concernant la stratégie et les pratiques du secteur forestier nécessitent l’adhésion des parties prenantes, qui doivent être des actrices du changement. Ainsi, des politiques de communication efficaces devront être conçues pour favoriser une meilleure compréhension et engagement vis-à-vis des nouve</w:t>
      </w:r>
      <w:r w:rsidR="00FF7634">
        <w:rPr>
          <w:rFonts w:ascii="Tahoma" w:eastAsia="Times New Roman" w:hAnsi="Tahoma" w:cs="Tahoma"/>
          <w:sz w:val="24"/>
          <w:szCs w:val="24"/>
        </w:rPr>
        <w:t>lles directives et initiatives.</w:t>
      </w:r>
    </w:p>
    <w:p w:rsidR="00FF7634" w:rsidRPr="00FF7634" w:rsidRDefault="00FF7634" w:rsidP="00FF7634">
      <w:pPr>
        <w:widowControl w:val="0"/>
        <w:autoSpaceDE w:val="0"/>
        <w:autoSpaceDN w:val="0"/>
        <w:spacing w:before="161" w:after="0" w:line="360" w:lineRule="auto"/>
        <w:jc w:val="both"/>
        <w:rPr>
          <w:rFonts w:ascii="Tahoma" w:eastAsia="Times New Roman" w:hAnsi="Tahoma" w:cs="Tahoma"/>
          <w:sz w:val="10"/>
          <w:szCs w:val="10"/>
        </w:rPr>
      </w:pPr>
    </w:p>
    <w:p w:rsidR="000A7532" w:rsidRPr="002462E6" w:rsidRDefault="000A7532" w:rsidP="00D051D7">
      <w:pPr>
        <w:widowControl w:val="0"/>
        <w:numPr>
          <w:ilvl w:val="0"/>
          <w:numId w:val="11"/>
        </w:numPr>
        <w:autoSpaceDE w:val="0"/>
        <w:autoSpaceDN w:val="0"/>
        <w:spacing w:before="161" w:after="0" w:line="360" w:lineRule="auto"/>
        <w:ind w:right="818"/>
        <w:rPr>
          <w:rFonts w:ascii="Tahoma" w:eastAsia="Times New Roman" w:hAnsi="Tahoma" w:cs="Tahoma"/>
          <w:b/>
          <w:bCs/>
          <w:sz w:val="24"/>
          <w:szCs w:val="24"/>
        </w:rPr>
      </w:pPr>
      <w:r w:rsidRPr="002462E6">
        <w:rPr>
          <w:rFonts w:ascii="Tahoma" w:eastAsia="Times New Roman" w:hAnsi="Tahoma" w:cs="Tahoma"/>
          <w:b/>
          <w:bCs/>
          <w:sz w:val="24"/>
          <w:szCs w:val="24"/>
        </w:rPr>
        <w:t xml:space="preserve">Agir sur les processus de décision  </w:t>
      </w:r>
    </w:p>
    <w:p w:rsidR="000A7532" w:rsidRPr="002462E6" w:rsidRDefault="000A7532" w:rsidP="000A7532">
      <w:pPr>
        <w:widowControl w:val="0"/>
        <w:autoSpaceDE w:val="0"/>
        <w:autoSpaceDN w:val="0"/>
        <w:spacing w:before="161" w:after="0" w:line="360" w:lineRule="auto"/>
        <w:jc w:val="both"/>
        <w:rPr>
          <w:rFonts w:ascii="Tahoma" w:eastAsia="Times New Roman" w:hAnsi="Tahoma" w:cs="Tahoma"/>
          <w:sz w:val="24"/>
          <w:szCs w:val="24"/>
        </w:rPr>
      </w:pPr>
      <w:r w:rsidRPr="002462E6">
        <w:rPr>
          <w:rFonts w:ascii="Tahoma" w:eastAsia="Times New Roman" w:hAnsi="Tahoma" w:cs="Tahoma"/>
          <w:sz w:val="24"/>
          <w:szCs w:val="24"/>
        </w:rPr>
        <w:t>Afin d’améliorer les processus décisionnels dans le secteur forestier, plusieurs approches sont retenues :</w:t>
      </w:r>
    </w:p>
    <w:p w:rsidR="000A7532" w:rsidRPr="002462E6" w:rsidRDefault="000A7532" w:rsidP="000A7532">
      <w:pPr>
        <w:widowControl w:val="0"/>
        <w:autoSpaceDE w:val="0"/>
        <w:autoSpaceDN w:val="0"/>
        <w:spacing w:before="161" w:after="0" w:line="360" w:lineRule="auto"/>
        <w:jc w:val="both"/>
        <w:rPr>
          <w:rFonts w:ascii="Tahoma" w:eastAsia="Times New Roman" w:hAnsi="Tahoma" w:cs="Tahoma"/>
          <w:sz w:val="24"/>
          <w:szCs w:val="24"/>
        </w:rPr>
      </w:pPr>
      <w:r w:rsidRPr="002462E6">
        <w:rPr>
          <w:rFonts w:ascii="Tahoma" w:eastAsia="Times New Roman" w:hAnsi="Tahoma" w:cs="Tahoma"/>
          <w:b/>
          <w:bCs/>
          <w:sz w:val="24"/>
          <w:szCs w:val="24"/>
        </w:rPr>
        <w:t>La déconcentration</w:t>
      </w:r>
      <w:r w:rsidRPr="002462E6">
        <w:rPr>
          <w:rFonts w:ascii="Tahoma" w:eastAsia="Times New Roman" w:hAnsi="Tahoma" w:cs="Tahoma"/>
          <w:sz w:val="24"/>
          <w:szCs w:val="24"/>
        </w:rPr>
        <w:t xml:space="preserve"> : Cette stratégie vise à accroître la réactivité des forestiers face aux besoins locaux des populations. Elle prépare également le transfert progressif de responsabilités en matière de politique forestière et de gestion des forêts vers les populations, les collectivités locales et les acteurs privés. Bien que l’orientation de la politique forestière demeure nationalement centralisée, sa mise en œuvre deviendra progressivement plus déconcentrée.</w:t>
      </w:r>
    </w:p>
    <w:p w:rsidR="000A7532" w:rsidRPr="002462E6" w:rsidRDefault="000A7532" w:rsidP="000A7532">
      <w:pPr>
        <w:widowControl w:val="0"/>
        <w:autoSpaceDE w:val="0"/>
        <w:autoSpaceDN w:val="0"/>
        <w:spacing w:before="161" w:after="0" w:line="360" w:lineRule="auto"/>
        <w:jc w:val="both"/>
        <w:rPr>
          <w:rFonts w:ascii="Tahoma" w:eastAsia="Times New Roman" w:hAnsi="Tahoma" w:cs="Tahoma"/>
          <w:sz w:val="24"/>
          <w:szCs w:val="24"/>
        </w:rPr>
      </w:pPr>
      <w:r w:rsidRPr="002462E6">
        <w:rPr>
          <w:rFonts w:ascii="Tahoma" w:eastAsia="Times New Roman" w:hAnsi="Tahoma" w:cs="Tahoma"/>
          <w:b/>
          <w:bCs/>
          <w:sz w:val="24"/>
          <w:szCs w:val="24"/>
        </w:rPr>
        <w:t>La décentralisation</w:t>
      </w:r>
      <w:r w:rsidRPr="002462E6">
        <w:rPr>
          <w:rFonts w:ascii="Tahoma" w:eastAsia="Times New Roman" w:hAnsi="Tahoma" w:cs="Tahoma"/>
          <w:sz w:val="24"/>
          <w:szCs w:val="24"/>
        </w:rPr>
        <w:t xml:space="preserve"> : La décentralisation des décisions relatives à la gestion des espaces forestiers s’effectuera selon le rythme de mise en place des institutions décentralisées du Royaume. Ceci permettra un transfert progressif et significatif des </w:t>
      </w:r>
      <w:r w:rsidRPr="002462E6">
        <w:rPr>
          <w:rFonts w:ascii="Tahoma" w:eastAsia="Times New Roman" w:hAnsi="Tahoma" w:cs="Tahoma"/>
          <w:sz w:val="24"/>
          <w:szCs w:val="24"/>
        </w:rPr>
        <w:lastRenderedPageBreak/>
        <w:t>pouvoirs décisionnels vers les collectivités locales, les populations et les ONG.</w:t>
      </w:r>
    </w:p>
    <w:p w:rsidR="000A7532" w:rsidRPr="002462E6" w:rsidRDefault="000A7532" w:rsidP="000A7532">
      <w:pPr>
        <w:widowControl w:val="0"/>
        <w:autoSpaceDE w:val="0"/>
        <w:autoSpaceDN w:val="0"/>
        <w:spacing w:before="161" w:after="0" w:line="360" w:lineRule="auto"/>
        <w:jc w:val="both"/>
        <w:rPr>
          <w:rFonts w:ascii="Tahoma" w:eastAsia="Times New Roman" w:hAnsi="Tahoma" w:cs="Tahoma"/>
          <w:sz w:val="24"/>
          <w:szCs w:val="24"/>
        </w:rPr>
      </w:pPr>
      <w:r w:rsidRPr="002462E6">
        <w:rPr>
          <w:rFonts w:ascii="Tahoma" w:eastAsia="Times New Roman" w:hAnsi="Tahoma" w:cs="Tahoma"/>
          <w:b/>
          <w:bCs/>
          <w:sz w:val="24"/>
          <w:szCs w:val="24"/>
        </w:rPr>
        <w:t>L’interministérialité :</w:t>
      </w:r>
      <w:r w:rsidRPr="002462E6">
        <w:rPr>
          <w:rFonts w:ascii="Tahoma" w:eastAsia="Times New Roman" w:hAnsi="Tahoma" w:cs="Tahoma"/>
          <w:sz w:val="24"/>
          <w:szCs w:val="24"/>
        </w:rPr>
        <w:t xml:space="preserve"> L'évolution des processus décisionnels doit également inclure la coordination entre plusieurs départements, tels que l'Agriculture, l'Intérieur, l'Environnement, le Tourisme et l'Artisanat. Ces départements doivent être intégrés dans le processus décisionnel et cofinancer les projets de développement intégrés. Pour favoriser cette collaboration, le Conseil National des Forêts sera réformé pour devenir un véritable organe de décision interministériel, soutenant ainsi la nouvelle stratégie forestière</w:t>
      </w:r>
      <w:r w:rsidRPr="002462E6">
        <w:rPr>
          <w:rFonts w:ascii="Tahoma" w:eastAsia="Times New Roman" w:hAnsi="Tahoma" w:cs="Tahoma"/>
          <w:sz w:val="24"/>
          <w:szCs w:val="24"/>
          <w:vertAlign w:val="superscript"/>
        </w:rPr>
        <w:footnoteReference w:id="179"/>
      </w:r>
      <w:r w:rsidRPr="002462E6">
        <w:rPr>
          <w:rFonts w:ascii="Tahoma" w:eastAsia="Times New Roman" w:hAnsi="Tahoma" w:cs="Tahoma"/>
          <w:sz w:val="24"/>
          <w:szCs w:val="24"/>
        </w:rPr>
        <w:t>.</w:t>
      </w:r>
    </w:p>
    <w:p w:rsidR="000A7532" w:rsidRPr="002462E6" w:rsidRDefault="000A7532" w:rsidP="00D051D7">
      <w:pPr>
        <w:widowControl w:val="0"/>
        <w:numPr>
          <w:ilvl w:val="0"/>
          <w:numId w:val="12"/>
        </w:numPr>
        <w:autoSpaceDE w:val="0"/>
        <w:autoSpaceDN w:val="0"/>
        <w:spacing w:before="161" w:after="0" w:line="360" w:lineRule="auto"/>
        <w:rPr>
          <w:rFonts w:ascii="Tahoma" w:eastAsia="Times New Roman" w:hAnsi="Tahoma" w:cs="Tahoma"/>
          <w:b/>
          <w:bCs/>
          <w:sz w:val="24"/>
          <w:szCs w:val="24"/>
        </w:rPr>
      </w:pPr>
      <w:r w:rsidRPr="002462E6">
        <w:rPr>
          <w:rFonts w:ascii="Tahoma" w:eastAsia="Times New Roman" w:hAnsi="Tahoma" w:cs="Tahoma"/>
          <w:b/>
          <w:bCs/>
          <w:sz w:val="24"/>
          <w:szCs w:val="24"/>
        </w:rPr>
        <w:t xml:space="preserve">Agir sur les structures et les moyens </w:t>
      </w:r>
    </w:p>
    <w:p w:rsidR="000A7532" w:rsidRPr="002462E6" w:rsidRDefault="000A7532" w:rsidP="000A7532">
      <w:pPr>
        <w:widowControl w:val="0"/>
        <w:autoSpaceDE w:val="0"/>
        <w:autoSpaceDN w:val="0"/>
        <w:spacing w:before="161" w:after="0" w:line="360" w:lineRule="auto"/>
        <w:jc w:val="both"/>
        <w:rPr>
          <w:rFonts w:ascii="Tahoma" w:eastAsia="Times New Roman" w:hAnsi="Tahoma" w:cs="Tahoma"/>
          <w:sz w:val="24"/>
          <w:szCs w:val="24"/>
        </w:rPr>
      </w:pPr>
      <w:r w:rsidRPr="002462E6">
        <w:rPr>
          <w:rFonts w:ascii="Tahoma" w:eastAsia="Times New Roman" w:hAnsi="Tahoma" w:cs="Tahoma"/>
          <w:sz w:val="24"/>
          <w:szCs w:val="24"/>
        </w:rPr>
        <w:t>Dans le cadre de l'optimisation des structures et des moyens du secteur forestier, plusieurs actions clés sont envisagées :</w:t>
      </w:r>
    </w:p>
    <w:p w:rsidR="000A7532" w:rsidRPr="002462E6" w:rsidRDefault="000A7532" w:rsidP="00D051D7">
      <w:pPr>
        <w:pStyle w:val="Paragraphedeliste"/>
        <w:numPr>
          <w:ilvl w:val="0"/>
          <w:numId w:val="73"/>
        </w:numPr>
        <w:spacing w:before="161" w:line="360" w:lineRule="auto"/>
        <w:ind w:left="1134" w:hanging="141"/>
        <w:rPr>
          <w:rFonts w:ascii="Tahoma" w:hAnsi="Tahoma" w:cs="Tahoma"/>
          <w:sz w:val="24"/>
          <w:szCs w:val="24"/>
        </w:rPr>
      </w:pPr>
      <w:r w:rsidRPr="002462E6">
        <w:rPr>
          <w:rFonts w:ascii="Tahoma" w:hAnsi="Tahoma" w:cs="Tahoma"/>
          <w:b/>
          <w:bCs/>
          <w:sz w:val="24"/>
          <w:szCs w:val="24"/>
        </w:rPr>
        <w:t>Des moyens financiers maîtrisés et contractualisés</w:t>
      </w:r>
      <w:r w:rsidRPr="002462E6">
        <w:rPr>
          <w:rFonts w:ascii="Tahoma" w:hAnsi="Tahoma" w:cs="Tahoma"/>
          <w:sz w:val="24"/>
          <w:szCs w:val="24"/>
        </w:rPr>
        <w:t xml:space="preserve"> </w:t>
      </w:r>
    </w:p>
    <w:p w:rsidR="005A7215" w:rsidRPr="002462E6" w:rsidRDefault="000A7532" w:rsidP="00FF7634">
      <w:pPr>
        <w:widowControl w:val="0"/>
        <w:autoSpaceDE w:val="0"/>
        <w:autoSpaceDN w:val="0"/>
        <w:spacing w:before="161" w:after="0" w:line="360" w:lineRule="auto"/>
        <w:jc w:val="both"/>
        <w:rPr>
          <w:rFonts w:ascii="Tahoma" w:eastAsia="Times New Roman" w:hAnsi="Tahoma" w:cs="Tahoma"/>
          <w:sz w:val="24"/>
          <w:szCs w:val="24"/>
        </w:rPr>
      </w:pPr>
      <w:r w:rsidRPr="002462E6">
        <w:rPr>
          <w:rFonts w:ascii="Tahoma" w:eastAsia="Times New Roman" w:hAnsi="Tahoma" w:cs="Tahoma"/>
          <w:sz w:val="24"/>
          <w:szCs w:val="24"/>
        </w:rPr>
        <w:t>Bien que les budgets du Département des forêts ne soient pas considérablement accrus, leur gestion sera optimisée selon des priorités définies. Des financements nationaux et internationaux seront mobilisés pour soutenir la mise en œuvre de diverses politiques, notamment la politique rurale et de montagne, la politique énergétique, la politique des parcours et la politique de gest</w:t>
      </w:r>
      <w:r w:rsidR="00FF7634">
        <w:rPr>
          <w:rFonts w:ascii="Tahoma" w:eastAsia="Times New Roman" w:hAnsi="Tahoma" w:cs="Tahoma"/>
          <w:sz w:val="24"/>
          <w:szCs w:val="24"/>
        </w:rPr>
        <w:t>ion de la diversité biologique.</w:t>
      </w:r>
    </w:p>
    <w:p w:rsidR="000A7532" w:rsidRPr="002462E6" w:rsidRDefault="000A7532" w:rsidP="00D051D7">
      <w:pPr>
        <w:pStyle w:val="Paragraphedeliste"/>
        <w:numPr>
          <w:ilvl w:val="0"/>
          <w:numId w:val="73"/>
        </w:numPr>
        <w:spacing w:before="161" w:line="360" w:lineRule="auto"/>
        <w:ind w:left="993" w:hanging="284"/>
        <w:rPr>
          <w:rFonts w:ascii="Tahoma" w:hAnsi="Tahoma" w:cs="Tahoma"/>
          <w:b/>
          <w:bCs/>
          <w:sz w:val="24"/>
          <w:szCs w:val="24"/>
        </w:rPr>
      </w:pPr>
      <w:r w:rsidRPr="002462E6">
        <w:rPr>
          <w:rFonts w:ascii="Tahoma" w:hAnsi="Tahoma" w:cs="Tahoma"/>
          <w:b/>
          <w:bCs/>
          <w:sz w:val="24"/>
          <w:szCs w:val="24"/>
        </w:rPr>
        <w:t xml:space="preserve">Adaptation des structures de gestion </w:t>
      </w:r>
    </w:p>
    <w:p w:rsidR="000A7532" w:rsidRPr="002462E6" w:rsidRDefault="000A7532" w:rsidP="000A7532">
      <w:pPr>
        <w:widowControl w:val="0"/>
        <w:autoSpaceDE w:val="0"/>
        <w:autoSpaceDN w:val="0"/>
        <w:spacing w:before="161" w:after="0" w:line="360" w:lineRule="auto"/>
        <w:jc w:val="both"/>
        <w:rPr>
          <w:rFonts w:ascii="Tahoma" w:eastAsia="Times New Roman" w:hAnsi="Tahoma" w:cs="Tahoma"/>
          <w:sz w:val="24"/>
          <w:szCs w:val="24"/>
        </w:rPr>
      </w:pPr>
      <w:r w:rsidRPr="002462E6">
        <w:rPr>
          <w:rFonts w:ascii="Tahoma" w:eastAsia="Times New Roman" w:hAnsi="Tahoma" w:cs="Tahoma"/>
          <w:sz w:val="24"/>
          <w:szCs w:val="24"/>
        </w:rPr>
        <w:t xml:space="preserve"> Dans une première phase, la déconcentration des services des Eaux et Forêts sera renforcée, tant au niveau régional qu’au niveau local, visant à accroître l’autonomie de gestion des agences chargées des projets. Celles-ci disposeront de moyens contractuels pour confier des tâches opérationnelles à des opérateurs privés. Une seconde phase impliquera une réforme structurelle pour redéfinir les rôles des divers acteurs impliqués dans la gestion forestière, permettant aux communes et aux régions de développer des outils de gestion adaptés.</w:t>
      </w:r>
    </w:p>
    <w:p w:rsidR="00A46190" w:rsidRPr="00FF7634" w:rsidRDefault="00A46190" w:rsidP="000A7532">
      <w:pPr>
        <w:widowControl w:val="0"/>
        <w:autoSpaceDE w:val="0"/>
        <w:autoSpaceDN w:val="0"/>
        <w:spacing w:before="161" w:after="0" w:line="360" w:lineRule="auto"/>
        <w:jc w:val="both"/>
        <w:rPr>
          <w:rFonts w:ascii="Tahoma" w:eastAsia="Times New Roman" w:hAnsi="Tahoma" w:cs="Tahoma"/>
          <w:sz w:val="10"/>
          <w:szCs w:val="10"/>
        </w:rPr>
      </w:pPr>
    </w:p>
    <w:p w:rsidR="000A7532" w:rsidRPr="002462E6" w:rsidRDefault="000A7532" w:rsidP="00D051D7">
      <w:pPr>
        <w:widowControl w:val="0"/>
        <w:numPr>
          <w:ilvl w:val="0"/>
          <w:numId w:val="13"/>
        </w:numPr>
        <w:autoSpaceDE w:val="0"/>
        <w:autoSpaceDN w:val="0"/>
        <w:spacing w:before="161" w:after="0" w:line="360" w:lineRule="auto"/>
        <w:jc w:val="both"/>
        <w:rPr>
          <w:rFonts w:ascii="Tahoma" w:eastAsia="Times New Roman" w:hAnsi="Tahoma" w:cs="Tahoma"/>
          <w:b/>
          <w:bCs/>
          <w:sz w:val="24"/>
          <w:szCs w:val="24"/>
        </w:rPr>
      </w:pPr>
      <w:r w:rsidRPr="002462E6">
        <w:rPr>
          <w:rFonts w:ascii="Tahoma" w:eastAsia="Times New Roman" w:hAnsi="Tahoma" w:cs="Tahoma"/>
          <w:b/>
          <w:bCs/>
          <w:sz w:val="24"/>
          <w:szCs w:val="24"/>
        </w:rPr>
        <w:t xml:space="preserve">Spécialisation des espaces forestiers  </w:t>
      </w:r>
    </w:p>
    <w:p w:rsidR="000A7532" w:rsidRPr="002462E6" w:rsidRDefault="000A7532" w:rsidP="000A7532">
      <w:pPr>
        <w:widowControl w:val="0"/>
        <w:autoSpaceDE w:val="0"/>
        <w:autoSpaceDN w:val="0"/>
        <w:spacing w:before="161" w:after="0" w:line="360" w:lineRule="auto"/>
        <w:jc w:val="both"/>
        <w:rPr>
          <w:rFonts w:ascii="Tahoma" w:eastAsia="Times New Roman" w:hAnsi="Tahoma" w:cs="Tahoma"/>
          <w:sz w:val="24"/>
          <w:szCs w:val="24"/>
        </w:rPr>
      </w:pPr>
      <w:r w:rsidRPr="002462E6">
        <w:rPr>
          <w:rFonts w:ascii="Tahoma" w:eastAsia="Times New Roman" w:hAnsi="Tahoma" w:cs="Tahoma"/>
          <w:sz w:val="24"/>
          <w:szCs w:val="24"/>
        </w:rPr>
        <w:lastRenderedPageBreak/>
        <w:t xml:space="preserve">La spécialisation des espaces forestiers vise à maintenir leur multifonctionnalité tout en les orientant vers des vocations dominantes spécifiques, adaptées aux besoins locaux. Les principaux thèmes de spécialisation comprennent la protection des ressources en eau ; le développement économique local ; la production de bois ; la préservation de la biodiversité et du paysage et les activités de détente et de loisirs. Par ailleurs, les objectifs de cette spécialisation se présent comme suit : </w:t>
      </w:r>
    </w:p>
    <w:p w:rsidR="000A7532" w:rsidRPr="002462E6" w:rsidRDefault="005A7215" w:rsidP="005A7215">
      <w:pPr>
        <w:widowControl w:val="0"/>
        <w:autoSpaceDE w:val="0"/>
        <w:autoSpaceDN w:val="0"/>
        <w:spacing w:before="161" w:after="0" w:line="360" w:lineRule="auto"/>
        <w:ind w:left="1080"/>
        <w:jc w:val="both"/>
        <w:rPr>
          <w:rFonts w:ascii="Tahoma" w:eastAsia="Times New Roman" w:hAnsi="Tahoma" w:cs="Tahoma"/>
          <w:sz w:val="24"/>
          <w:szCs w:val="24"/>
        </w:rPr>
      </w:pPr>
      <w:r w:rsidRPr="002462E6">
        <w:rPr>
          <w:rFonts w:ascii="Tahoma" w:eastAsia="Times New Roman" w:hAnsi="Tahoma" w:cs="Tahoma"/>
          <w:sz w:val="24"/>
          <w:szCs w:val="24"/>
        </w:rPr>
        <w:t xml:space="preserve">- </w:t>
      </w:r>
      <w:r w:rsidR="000A7532" w:rsidRPr="002462E6">
        <w:rPr>
          <w:rFonts w:ascii="Tahoma" w:eastAsia="Times New Roman" w:hAnsi="Tahoma" w:cs="Tahoma"/>
          <w:sz w:val="24"/>
          <w:szCs w:val="24"/>
        </w:rPr>
        <w:t>Concentration et optimisation des efforts par le ciblage des priorités claires et les ressources peuvent être allouées de manière plus efficace ;</w:t>
      </w:r>
    </w:p>
    <w:p w:rsidR="000A7532" w:rsidRPr="002462E6" w:rsidRDefault="005A7215" w:rsidP="005A7215">
      <w:pPr>
        <w:widowControl w:val="0"/>
        <w:autoSpaceDE w:val="0"/>
        <w:autoSpaceDN w:val="0"/>
        <w:spacing w:before="161" w:after="0" w:line="360" w:lineRule="auto"/>
        <w:ind w:left="1080"/>
        <w:jc w:val="both"/>
        <w:rPr>
          <w:rFonts w:ascii="Tahoma" w:eastAsia="Times New Roman" w:hAnsi="Tahoma" w:cs="Tahoma"/>
          <w:sz w:val="24"/>
          <w:szCs w:val="24"/>
        </w:rPr>
      </w:pPr>
      <w:r w:rsidRPr="002462E6">
        <w:rPr>
          <w:rFonts w:ascii="Tahoma" w:eastAsia="Times New Roman" w:hAnsi="Tahoma" w:cs="Tahoma"/>
          <w:sz w:val="24"/>
          <w:szCs w:val="24"/>
        </w:rPr>
        <w:t xml:space="preserve">- </w:t>
      </w:r>
      <w:r w:rsidR="000A7532" w:rsidRPr="002462E6">
        <w:rPr>
          <w:rFonts w:ascii="Tahoma" w:eastAsia="Times New Roman" w:hAnsi="Tahoma" w:cs="Tahoma"/>
          <w:sz w:val="24"/>
          <w:szCs w:val="24"/>
        </w:rPr>
        <w:t>Maîtrise des coûts : Cette approche permet de mieux évaluer et contrôler les dépenses liées à la gestion forestière ;</w:t>
      </w:r>
    </w:p>
    <w:p w:rsidR="000A7532" w:rsidRPr="002462E6" w:rsidRDefault="005A7215" w:rsidP="005A7215">
      <w:pPr>
        <w:widowControl w:val="0"/>
        <w:autoSpaceDE w:val="0"/>
        <w:autoSpaceDN w:val="0"/>
        <w:spacing w:before="161" w:after="0" w:line="360" w:lineRule="auto"/>
        <w:ind w:left="1080"/>
        <w:jc w:val="both"/>
        <w:rPr>
          <w:rFonts w:ascii="Tahoma" w:eastAsia="Times New Roman" w:hAnsi="Tahoma" w:cs="Tahoma"/>
          <w:sz w:val="24"/>
          <w:szCs w:val="24"/>
        </w:rPr>
      </w:pPr>
      <w:r w:rsidRPr="002462E6">
        <w:rPr>
          <w:rFonts w:ascii="Tahoma" w:eastAsia="Times New Roman" w:hAnsi="Tahoma" w:cs="Tahoma"/>
          <w:sz w:val="24"/>
          <w:szCs w:val="24"/>
        </w:rPr>
        <w:t xml:space="preserve">- </w:t>
      </w:r>
      <w:r w:rsidR="000A7532" w:rsidRPr="002462E6">
        <w:rPr>
          <w:rFonts w:ascii="Tahoma" w:eastAsia="Times New Roman" w:hAnsi="Tahoma" w:cs="Tahoma"/>
          <w:sz w:val="24"/>
          <w:szCs w:val="24"/>
        </w:rPr>
        <w:t>Évaluation des résultats : Une spécialisation bien définie facilite la mesure des impacts des actions entreprises, contribuant ainsi à des ajustements et à des améliorations continues</w:t>
      </w:r>
      <w:r w:rsidR="000A7532" w:rsidRPr="002462E6">
        <w:rPr>
          <w:rFonts w:ascii="Tahoma" w:eastAsia="Times New Roman" w:hAnsi="Tahoma" w:cs="Tahoma"/>
          <w:sz w:val="24"/>
          <w:szCs w:val="24"/>
          <w:vertAlign w:val="superscript"/>
        </w:rPr>
        <w:footnoteReference w:id="180"/>
      </w:r>
      <w:r w:rsidR="000A7532" w:rsidRPr="002462E6">
        <w:rPr>
          <w:rFonts w:ascii="Tahoma" w:eastAsia="Times New Roman" w:hAnsi="Tahoma" w:cs="Tahoma"/>
          <w:sz w:val="24"/>
          <w:szCs w:val="24"/>
        </w:rPr>
        <w:t>.</w:t>
      </w:r>
    </w:p>
    <w:p w:rsidR="00A46190" w:rsidRPr="002462E6" w:rsidRDefault="000A7532" w:rsidP="00060CE3">
      <w:pPr>
        <w:widowControl w:val="0"/>
        <w:autoSpaceDE w:val="0"/>
        <w:autoSpaceDN w:val="0"/>
        <w:spacing w:before="161" w:after="0" w:line="360" w:lineRule="auto"/>
        <w:jc w:val="both"/>
        <w:rPr>
          <w:rFonts w:ascii="Tahoma" w:eastAsia="Times New Roman" w:hAnsi="Tahoma" w:cs="Tahoma"/>
          <w:sz w:val="24"/>
          <w:szCs w:val="24"/>
        </w:rPr>
      </w:pPr>
      <w:r w:rsidRPr="002462E6">
        <w:rPr>
          <w:rFonts w:ascii="Tahoma" w:eastAsia="Times New Roman" w:hAnsi="Tahoma" w:cs="Tahoma"/>
          <w:sz w:val="24"/>
          <w:szCs w:val="24"/>
        </w:rPr>
        <w:t xml:space="preserve">En somme, cette stratégie de spécialisation vise à renforcer l’efficacité et la durabilité de la gestion des espaces forestiers </w:t>
      </w:r>
      <w:r w:rsidR="00060CE3">
        <w:rPr>
          <w:rFonts w:ascii="Tahoma" w:eastAsia="Times New Roman" w:hAnsi="Tahoma" w:cs="Tahoma"/>
          <w:sz w:val="24"/>
          <w:szCs w:val="24"/>
        </w:rPr>
        <w:t>en fonction des besoins locaux.</w:t>
      </w:r>
    </w:p>
    <w:p w:rsidR="000A7532" w:rsidRPr="002462E6" w:rsidRDefault="000A7532" w:rsidP="00D051D7">
      <w:pPr>
        <w:pStyle w:val="Paragraphedeliste"/>
        <w:numPr>
          <w:ilvl w:val="0"/>
          <w:numId w:val="13"/>
        </w:numPr>
        <w:spacing w:before="161" w:line="360" w:lineRule="auto"/>
        <w:rPr>
          <w:rFonts w:ascii="Tahoma" w:hAnsi="Tahoma" w:cs="Tahoma"/>
          <w:b/>
          <w:bCs/>
        </w:rPr>
      </w:pPr>
      <w:r w:rsidRPr="002462E6">
        <w:rPr>
          <w:rFonts w:ascii="Tahoma" w:hAnsi="Tahoma" w:cs="Tahoma"/>
          <w:b/>
          <w:bCs/>
          <w:sz w:val="24"/>
          <w:szCs w:val="24"/>
        </w:rPr>
        <w:t xml:space="preserve">Réforme législative et fiscale </w:t>
      </w:r>
    </w:p>
    <w:p w:rsidR="000A7532" w:rsidRPr="002462E6" w:rsidRDefault="000A7532" w:rsidP="000A7532">
      <w:pPr>
        <w:widowControl w:val="0"/>
        <w:autoSpaceDE w:val="0"/>
        <w:autoSpaceDN w:val="0"/>
        <w:spacing w:before="161" w:after="0" w:line="360" w:lineRule="auto"/>
        <w:jc w:val="both"/>
        <w:rPr>
          <w:rFonts w:ascii="Tahoma" w:eastAsia="Times New Roman" w:hAnsi="Tahoma" w:cs="Tahoma"/>
          <w:sz w:val="24"/>
          <w:szCs w:val="24"/>
        </w:rPr>
      </w:pPr>
      <w:r w:rsidRPr="002462E6">
        <w:rPr>
          <w:rFonts w:ascii="Tahoma" w:eastAsia="Times New Roman" w:hAnsi="Tahoma" w:cs="Tahoma"/>
          <w:sz w:val="24"/>
          <w:szCs w:val="24"/>
        </w:rPr>
        <w:t>Une transformation de la législation et de la fiscalité forestière s’avère nécessaire. Cette réforme mettra l’accent sur les dynamiques contractuelles avec les populations locales, la décentralisation, la spécialisation, et le développement social et économique.</w:t>
      </w:r>
    </w:p>
    <w:p w:rsidR="000A7532" w:rsidRPr="002462E6" w:rsidRDefault="000A7532" w:rsidP="000A7532">
      <w:pPr>
        <w:widowControl w:val="0"/>
        <w:autoSpaceDE w:val="0"/>
        <w:autoSpaceDN w:val="0"/>
        <w:spacing w:before="161" w:after="0" w:line="360" w:lineRule="auto"/>
        <w:jc w:val="both"/>
        <w:rPr>
          <w:rFonts w:ascii="Tahoma" w:eastAsia="Times New Roman" w:hAnsi="Tahoma" w:cs="Tahoma"/>
          <w:sz w:val="24"/>
          <w:szCs w:val="24"/>
        </w:rPr>
      </w:pPr>
      <w:r w:rsidRPr="002462E6">
        <w:rPr>
          <w:rFonts w:ascii="Tahoma" w:eastAsia="Times New Roman" w:hAnsi="Tahoma" w:cs="Tahoma"/>
          <w:sz w:val="24"/>
          <w:szCs w:val="24"/>
        </w:rPr>
        <w:t>Ces mesures visent à renforcer l'efficience des interventions dans le secteur forestier au Maroc.</w:t>
      </w:r>
    </w:p>
    <w:p w:rsidR="000A7532" w:rsidRPr="002462E6" w:rsidRDefault="000A7532" w:rsidP="000A7532">
      <w:pPr>
        <w:widowControl w:val="0"/>
        <w:autoSpaceDE w:val="0"/>
        <w:autoSpaceDN w:val="0"/>
        <w:spacing w:before="161" w:after="0" w:line="360" w:lineRule="auto"/>
        <w:jc w:val="both"/>
        <w:rPr>
          <w:rFonts w:ascii="Tahoma" w:eastAsia="Times New Roman" w:hAnsi="Tahoma" w:cs="Tahoma"/>
          <w:sz w:val="24"/>
          <w:szCs w:val="24"/>
        </w:rPr>
      </w:pPr>
      <w:r w:rsidRPr="002462E6">
        <w:rPr>
          <w:rFonts w:ascii="Tahoma" w:eastAsia="Times New Roman" w:hAnsi="Tahoma" w:cs="Tahoma"/>
          <w:sz w:val="24"/>
          <w:szCs w:val="24"/>
        </w:rPr>
        <w:t xml:space="preserve">En conclusion, la mise en œuvre du Programme Forestier National (PFN) a rencontré plusieurs obstacles majeurs, notamment la difficulté d'adapter la législation forestière actuelle aux principes de l'approche participative. De plus, il existe des lacunes au niveau du système institutionnel pour l'implication des ONG dans le secteur forestier, ainsi qu'une absence d'un code d'investissement spécifique et d'un système de financement adapté </w:t>
      </w:r>
      <w:r w:rsidRPr="002462E6">
        <w:rPr>
          <w:rFonts w:ascii="Tahoma" w:eastAsia="Times New Roman" w:hAnsi="Tahoma" w:cs="Tahoma"/>
          <w:sz w:val="24"/>
          <w:szCs w:val="24"/>
        </w:rPr>
        <w:lastRenderedPageBreak/>
        <w:t xml:space="preserve">aux particularités du secteur. En plus, le savoir-faire local lié aux ressources forestières est souvent sous-valorisé. Une insuffisance est également constatée par rapport au système d'information, ce qui limite la sensibilisation des différents acteurs sur les potentialités des ressources forestières nationales, tant ligneuses que non ligneuses, ainsi que leur valorisation. </w:t>
      </w:r>
    </w:p>
    <w:p w:rsidR="000A7532" w:rsidRPr="002462E6" w:rsidRDefault="000A7532" w:rsidP="00A46190">
      <w:pPr>
        <w:widowControl w:val="0"/>
        <w:autoSpaceDE w:val="0"/>
        <w:autoSpaceDN w:val="0"/>
        <w:spacing w:before="161" w:after="0" w:line="360" w:lineRule="auto"/>
        <w:ind w:right="145"/>
        <w:jc w:val="both"/>
        <w:rPr>
          <w:rFonts w:ascii="Tahoma" w:eastAsia="Times New Roman" w:hAnsi="Tahoma" w:cs="Tahoma"/>
          <w:sz w:val="24"/>
          <w:szCs w:val="24"/>
        </w:rPr>
      </w:pPr>
      <w:r w:rsidRPr="002462E6">
        <w:rPr>
          <w:rFonts w:ascii="Tahoma" w:eastAsia="Times New Roman" w:hAnsi="Tahoma" w:cs="Tahoma"/>
          <w:sz w:val="24"/>
          <w:szCs w:val="24"/>
        </w:rPr>
        <w:t>Enfin, l'absence d'un plan de vulgarisation forestière destiné aux usagers de la forêt constitue une entrave supplémentaire pour assurer une gestion adéquate des ressources forestières</w:t>
      </w:r>
      <w:r w:rsidRPr="002462E6">
        <w:rPr>
          <w:rFonts w:ascii="Tahoma" w:eastAsia="Times New Roman" w:hAnsi="Tahoma" w:cs="Tahoma"/>
          <w:sz w:val="24"/>
          <w:szCs w:val="24"/>
          <w:vertAlign w:val="superscript"/>
        </w:rPr>
        <w:footnoteReference w:id="181"/>
      </w:r>
      <w:r w:rsidR="00A46190" w:rsidRPr="002462E6">
        <w:rPr>
          <w:rFonts w:ascii="Tahoma" w:eastAsia="Times New Roman" w:hAnsi="Tahoma" w:cs="Tahoma"/>
          <w:sz w:val="24"/>
          <w:szCs w:val="24"/>
        </w:rPr>
        <w:t>.</w:t>
      </w:r>
    </w:p>
    <w:p w:rsidR="000A7532" w:rsidRPr="002462E6" w:rsidRDefault="00AD2998" w:rsidP="00BF1F48">
      <w:pPr>
        <w:pStyle w:val="Titre5"/>
      </w:pPr>
      <w:bookmarkStart w:id="104" w:name="_Toc186533807"/>
      <w:bookmarkStart w:id="105" w:name="_Toc201655458"/>
      <w:bookmarkStart w:id="106" w:name="_Toc203643013"/>
      <w:r w:rsidRPr="002462E6">
        <w:t>P</w:t>
      </w:r>
      <w:r w:rsidR="000A7532" w:rsidRPr="002462E6">
        <w:t>rogrammation décennale à la nouvelle stratégie « Forêts du Maroc 2020-2030 »</w:t>
      </w:r>
      <w:bookmarkEnd w:id="104"/>
      <w:bookmarkEnd w:id="105"/>
      <w:bookmarkEnd w:id="106"/>
    </w:p>
    <w:p w:rsidR="000A7532" w:rsidRPr="002462E6" w:rsidRDefault="000A7532" w:rsidP="000A7532">
      <w:pPr>
        <w:widowControl w:val="0"/>
        <w:autoSpaceDE w:val="0"/>
        <w:autoSpaceDN w:val="0"/>
        <w:spacing w:before="161" w:after="0" w:line="360" w:lineRule="auto"/>
        <w:ind w:right="145"/>
        <w:jc w:val="both"/>
        <w:rPr>
          <w:rFonts w:ascii="Tahoma" w:eastAsia="Times New Roman" w:hAnsi="Tahoma" w:cs="Tahoma"/>
          <w:sz w:val="24"/>
          <w:szCs w:val="24"/>
        </w:rPr>
      </w:pPr>
      <w:r w:rsidRPr="002462E6">
        <w:rPr>
          <w:rFonts w:ascii="Tahoma" w:eastAsia="Times New Roman" w:hAnsi="Tahoma" w:cs="Tahoma"/>
          <w:sz w:val="24"/>
          <w:szCs w:val="24"/>
        </w:rPr>
        <w:t xml:space="preserve">Le secteur forestier au Maroc est soumis à des défis multiples, allant des enjeux environnementaux aux besoins croissants de durabilité des ressources naturelles. Pour y faire face, la Programmation Décennale (2005-2014/2015-2024) se positionne comme une réponse stratégique visant à adapter la gestion des forêts aux défis contemporains, en promouvant une utilisation durable des ressources forestières et en renforçant la résilience des écosystèmes face au changement climatique. </w:t>
      </w:r>
    </w:p>
    <w:p w:rsidR="006271ED" w:rsidRPr="002462E6" w:rsidRDefault="000A7532" w:rsidP="00A46190">
      <w:pPr>
        <w:widowControl w:val="0"/>
        <w:autoSpaceDE w:val="0"/>
        <w:autoSpaceDN w:val="0"/>
        <w:spacing w:before="161" w:after="0" w:line="360" w:lineRule="auto"/>
        <w:ind w:right="145"/>
        <w:jc w:val="both"/>
        <w:rPr>
          <w:rFonts w:ascii="Tahoma" w:eastAsia="Times New Roman" w:hAnsi="Tahoma" w:cs="Tahoma"/>
          <w:sz w:val="24"/>
          <w:szCs w:val="24"/>
        </w:rPr>
      </w:pPr>
      <w:r w:rsidRPr="002462E6">
        <w:rPr>
          <w:rFonts w:ascii="Tahoma" w:eastAsia="Times New Roman" w:hAnsi="Tahoma" w:cs="Tahoma"/>
          <w:sz w:val="24"/>
          <w:szCs w:val="24"/>
        </w:rPr>
        <w:t>Ces initiatives illustrent l'engagement du Maroc en faveur d'une politique forestière dite intégrative et durable, visant à sauvegarder la biodiversité nationale tout en prenant en compte les besoins socio-économiques des communautés locales</w:t>
      </w:r>
    </w:p>
    <w:p w:rsidR="000A7532" w:rsidRPr="002462E6" w:rsidRDefault="00AB3C41" w:rsidP="00D051D7">
      <w:pPr>
        <w:pStyle w:val="Paragraphedeliste"/>
        <w:numPr>
          <w:ilvl w:val="0"/>
          <w:numId w:val="13"/>
        </w:numPr>
        <w:spacing w:before="161" w:line="360" w:lineRule="auto"/>
        <w:ind w:right="145"/>
        <w:rPr>
          <w:rFonts w:ascii="Tahoma" w:hAnsi="Tahoma" w:cs="Tahoma"/>
          <w:sz w:val="24"/>
          <w:szCs w:val="24"/>
        </w:rPr>
      </w:pPr>
      <w:r w:rsidRPr="002462E6">
        <w:rPr>
          <w:rFonts w:ascii="Tahoma" w:hAnsi="Tahoma" w:cs="Tahoma"/>
          <w:b/>
          <w:bCs/>
          <w:sz w:val="24"/>
          <w:szCs w:val="24"/>
        </w:rPr>
        <w:t xml:space="preserve"> Le</w:t>
      </w:r>
      <w:r w:rsidR="000A7532" w:rsidRPr="002462E6">
        <w:rPr>
          <w:rFonts w:ascii="Tahoma" w:hAnsi="Tahoma" w:cs="Tahoma"/>
          <w:b/>
          <w:bCs/>
          <w:sz w:val="24"/>
          <w:szCs w:val="24"/>
        </w:rPr>
        <w:t xml:space="preserve"> </w:t>
      </w:r>
      <w:r w:rsidR="006271ED" w:rsidRPr="002462E6">
        <w:rPr>
          <w:rFonts w:ascii="Tahoma" w:hAnsi="Tahoma" w:cs="Tahoma"/>
          <w:b/>
          <w:bCs/>
          <w:sz w:val="24"/>
          <w:szCs w:val="24"/>
        </w:rPr>
        <w:t xml:space="preserve"> </w:t>
      </w:r>
      <w:r w:rsidR="000A7532" w:rsidRPr="002462E6">
        <w:rPr>
          <w:rFonts w:ascii="Tahoma" w:hAnsi="Tahoma" w:cs="Tahoma"/>
          <w:b/>
          <w:bCs/>
          <w:sz w:val="24"/>
          <w:szCs w:val="24"/>
        </w:rPr>
        <w:t>Programme Décennal 2005-2014 : vision et conception</w:t>
      </w:r>
    </w:p>
    <w:p w:rsidR="000A7532" w:rsidRPr="002462E6" w:rsidRDefault="000A7532" w:rsidP="000A7532">
      <w:pPr>
        <w:widowControl w:val="0"/>
        <w:autoSpaceDE w:val="0"/>
        <w:autoSpaceDN w:val="0"/>
        <w:spacing w:before="161" w:after="0" w:line="360" w:lineRule="auto"/>
        <w:ind w:right="4"/>
        <w:jc w:val="both"/>
        <w:rPr>
          <w:rFonts w:ascii="Tahoma" w:eastAsia="Times New Roman" w:hAnsi="Tahoma" w:cs="Tahoma"/>
          <w:sz w:val="24"/>
          <w:szCs w:val="24"/>
        </w:rPr>
      </w:pPr>
      <w:r w:rsidRPr="002462E6">
        <w:rPr>
          <w:rFonts w:ascii="Tahoma" w:eastAsia="Times New Roman" w:hAnsi="Tahoma" w:cs="Tahoma"/>
          <w:sz w:val="24"/>
          <w:szCs w:val="24"/>
        </w:rPr>
        <w:t xml:space="preserve">Le Programme Décennal 2005-2014 a été établi pour répondre aux enjeux environnementaux cruciaux et aux besoins croissants en matière de durabilité des ressources naturelles. Il constitue une coupure par rapport à la démarche de programmation budgétaire annuelle. </w:t>
      </w:r>
    </w:p>
    <w:p w:rsidR="000A7532" w:rsidRPr="002462E6" w:rsidRDefault="000A7532" w:rsidP="00CD63E9">
      <w:pPr>
        <w:widowControl w:val="0"/>
        <w:autoSpaceDE w:val="0"/>
        <w:autoSpaceDN w:val="0"/>
        <w:spacing w:before="161" w:after="0" w:line="360" w:lineRule="auto"/>
        <w:ind w:right="4"/>
        <w:jc w:val="both"/>
        <w:rPr>
          <w:rFonts w:ascii="Tahoma" w:eastAsia="Times New Roman" w:hAnsi="Tahoma" w:cs="Tahoma"/>
          <w:b/>
          <w:bCs/>
          <w:sz w:val="24"/>
          <w:szCs w:val="24"/>
        </w:rPr>
      </w:pPr>
      <w:r w:rsidRPr="002462E6">
        <w:rPr>
          <w:rFonts w:ascii="Tahoma" w:eastAsia="Times New Roman" w:hAnsi="Tahoma" w:cs="Tahoma"/>
          <w:sz w:val="24"/>
          <w:szCs w:val="24"/>
        </w:rPr>
        <w:t xml:space="preserve">Ce programme vise à établir un cadre stratégique reposant sur trois piliers et dix axes stratégiques, dans le but est de promouvoir une gestion intégrée des ressources forestières. Il aborde les menaces de la déforestation en favorisant un développement en </w:t>
      </w:r>
      <w:r w:rsidRPr="002462E6">
        <w:rPr>
          <w:rFonts w:ascii="Tahoma" w:eastAsia="Times New Roman" w:hAnsi="Tahoma" w:cs="Tahoma"/>
          <w:sz w:val="24"/>
          <w:szCs w:val="24"/>
        </w:rPr>
        <w:lastRenderedPageBreak/>
        <w:t>adéquation avec la conservation de l'environnement</w:t>
      </w:r>
      <w:r w:rsidRPr="002462E6">
        <w:rPr>
          <w:rFonts w:ascii="Tahoma" w:eastAsia="Times New Roman" w:hAnsi="Tahoma" w:cs="Tahoma"/>
          <w:sz w:val="24"/>
          <w:szCs w:val="24"/>
          <w:vertAlign w:val="superscript"/>
        </w:rPr>
        <w:footnoteReference w:id="182"/>
      </w:r>
      <w:r w:rsidRPr="002462E6">
        <w:rPr>
          <w:rFonts w:ascii="Tahoma" w:eastAsia="Times New Roman" w:hAnsi="Tahoma" w:cs="Tahoma"/>
          <w:sz w:val="24"/>
          <w:szCs w:val="24"/>
        </w:rPr>
        <w:t xml:space="preserve"> </w:t>
      </w:r>
      <w:r w:rsidRPr="002462E6">
        <w:rPr>
          <w:rFonts w:ascii="Tahoma" w:eastAsia="Times New Roman" w:hAnsi="Tahoma" w:cs="Tahoma"/>
          <w:b/>
          <w:bCs/>
          <w:sz w:val="24"/>
          <w:szCs w:val="24"/>
        </w:rPr>
        <w:t xml:space="preserve">(Figure </w:t>
      </w:r>
      <w:r w:rsidRPr="002462E6">
        <w:rPr>
          <w:rFonts w:ascii="Tahoma" w:eastAsia="Times New Roman" w:hAnsi="Tahoma" w:cs="Tahoma"/>
          <w:b/>
          <w:bCs/>
          <w:color w:val="000000"/>
          <w:sz w:val="24"/>
          <w:szCs w:val="24"/>
        </w:rPr>
        <w:t>N°</w:t>
      </w:r>
      <w:r w:rsidR="00CD63E9" w:rsidRPr="002462E6">
        <w:rPr>
          <w:rFonts w:ascii="Tahoma" w:eastAsia="Times New Roman" w:hAnsi="Tahoma" w:cs="Tahoma"/>
          <w:b/>
          <w:bCs/>
          <w:color w:val="000000"/>
          <w:sz w:val="24"/>
          <w:szCs w:val="24"/>
        </w:rPr>
        <w:t> 3</w:t>
      </w:r>
      <w:r w:rsidRPr="002462E6">
        <w:rPr>
          <w:rFonts w:ascii="Tahoma" w:eastAsia="Times New Roman" w:hAnsi="Tahoma" w:cs="Tahoma"/>
          <w:b/>
          <w:bCs/>
          <w:sz w:val="24"/>
          <w:szCs w:val="24"/>
        </w:rPr>
        <w:t>).</w:t>
      </w:r>
    </w:p>
    <w:p w:rsidR="000A7532" w:rsidRPr="002462E6" w:rsidRDefault="000A7532" w:rsidP="000A7532">
      <w:pPr>
        <w:widowControl w:val="0"/>
        <w:autoSpaceDE w:val="0"/>
        <w:autoSpaceDN w:val="0"/>
        <w:spacing w:after="0" w:line="240" w:lineRule="auto"/>
        <w:rPr>
          <w:rFonts w:ascii="Times New Roman" w:eastAsia="Times New Roman" w:hAnsi="Times New Roman" w:cs="Times New Roman"/>
        </w:rPr>
      </w:pPr>
    </w:p>
    <w:p w:rsidR="00A46190" w:rsidRPr="002462E6" w:rsidRDefault="000A7532" w:rsidP="000D57A1">
      <w:pPr>
        <w:pStyle w:val="Sous-titre"/>
      </w:pPr>
      <w:bookmarkStart w:id="107" w:name="_Toc185696921"/>
      <w:bookmarkStart w:id="108" w:name="_Toc201571197"/>
      <w:bookmarkStart w:id="109" w:name="_Toc203642795"/>
      <w:r w:rsidRPr="002462E6">
        <w:t xml:space="preserve">Figure </w:t>
      </w:r>
      <w:r w:rsidR="00225ED1">
        <w:rPr>
          <w:noProof/>
        </w:rPr>
        <w:fldChar w:fldCharType="begin"/>
      </w:r>
      <w:r w:rsidR="00225ED1">
        <w:rPr>
          <w:noProof/>
        </w:rPr>
        <w:instrText xml:space="preserve"> SEQ Figure \* ARABIC </w:instrText>
      </w:r>
      <w:r w:rsidR="00225ED1">
        <w:rPr>
          <w:noProof/>
        </w:rPr>
        <w:fldChar w:fldCharType="separate"/>
      </w:r>
      <w:r w:rsidR="00124AFB">
        <w:rPr>
          <w:noProof/>
        </w:rPr>
        <w:t>3</w:t>
      </w:r>
      <w:r w:rsidR="00225ED1">
        <w:rPr>
          <w:noProof/>
        </w:rPr>
        <w:fldChar w:fldCharType="end"/>
      </w:r>
      <w:r w:rsidR="00246834" w:rsidRPr="002462E6">
        <w:t> </w:t>
      </w:r>
      <w:r w:rsidR="00BE04B0" w:rsidRPr="002462E6">
        <w:t>: Piliers</w:t>
      </w:r>
      <w:r w:rsidRPr="002462E6">
        <w:t xml:space="preserve"> et axes stratégiques du programme décennal 2005-2014</w:t>
      </w:r>
      <w:bookmarkEnd w:id="107"/>
      <w:bookmarkEnd w:id="108"/>
      <w:bookmarkEnd w:id="109"/>
    </w:p>
    <w:p w:rsidR="00CD63E9" w:rsidRPr="002462E6" w:rsidRDefault="000A7532" w:rsidP="006271ED">
      <w:pPr>
        <w:widowControl w:val="0"/>
        <w:autoSpaceDE w:val="0"/>
        <w:autoSpaceDN w:val="0"/>
        <w:spacing w:before="161" w:after="0" w:line="360" w:lineRule="auto"/>
        <w:ind w:right="4"/>
        <w:jc w:val="center"/>
        <w:rPr>
          <w:rFonts w:ascii="Tahoma" w:eastAsia="Times New Roman" w:hAnsi="Tahoma" w:cs="Tahoma"/>
          <w:b/>
          <w:bCs/>
          <w:sz w:val="20"/>
          <w:szCs w:val="20"/>
        </w:rPr>
      </w:pPr>
      <w:r w:rsidRPr="002462E6">
        <w:rPr>
          <w:rFonts w:ascii="Tahoma" w:eastAsia="Times New Roman" w:hAnsi="Tahoma" w:cs="Tahoma"/>
          <w:noProof/>
          <w:sz w:val="24"/>
          <w:szCs w:val="24"/>
          <w:lang w:eastAsia="fr-FR"/>
        </w:rPr>
        <w:drawing>
          <wp:inline distT="0" distB="0" distL="0" distR="0" wp14:anchorId="6DE88771" wp14:editId="0CA0FDDA">
            <wp:extent cx="6115792" cy="5332021"/>
            <wp:effectExtent l="0" t="0" r="0" b="2540"/>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r="5945" b="4348"/>
                    <a:stretch/>
                  </pic:blipFill>
                  <pic:spPr bwMode="auto">
                    <a:xfrm>
                      <a:off x="0" y="0"/>
                      <a:ext cx="6175215" cy="5383829"/>
                    </a:xfrm>
                    <a:prstGeom prst="rect">
                      <a:avLst/>
                    </a:prstGeom>
                    <a:ln>
                      <a:noFill/>
                    </a:ln>
                    <a:extLst>
                      <a:ext uri="{53640926-AAD7-44D8-BBD7-CCE9431645EC}">
                        <a14:shadowObscured xmlns:a14="http://schemas.microsoft.com/office/drawing/2010/main"/>
                      </a:ext>
                    </a:extLst>
                  </pic:spPr>
                </pic:pic>
              </a:graphicData>
            </a:graphic>
          </wp:inline>
        </w:drawing>
      </w:r>
    </w:p>
    <w:p w:rsidR="000A7532" w:rsidRPr="002462E6" w:rsidRDefault="000A7532" w:rsidP="006E7BAF">
      <w:pPr>
        <w:widowControl w:val="0"/>
        <w:autoSpaceDE w:val="0"/>
        <w:autoSpaceDN w:val="0"/>
        <w:spacing w:before="161" w:after="0" w:line="360" w:lineRule="auto"/>
        <w:ind w:right="4"/>
        <w:jc w:val="center"/>
        <w:rPr>
          <w:rFonts w:ascii="Tahoma" w:eastAsia="Times New Roman" w:hAnsi="Tahoma" w:cs="Tahoma"/>
          <w:sz w:val="20"/>
          <w:szCs w:val="20"/>
        </w:rPr>
      </w:pPr>
      <w:r w:rsidRPr="002462E6">
        <w:rPr>
          <w:rFonts w:ascii="Tahoma" w:eastAsia="Times New Roman" w:hAnsi="Tahoma" w:cs="Tahoma"/>
          <w:b/>
          <w:bCs/>
          <w:i/>
          <w:iCs/>
          <w:sz w:val="20"/>
          <w:szCs w:val="20"/>
        </w:rPr>
        <w:t> </w:t>
      </w:r>
      <w:r w:rsidR="006E7BAF" w:rsidRPr="002462E6">
        <w:rPr>
          <w:rFonts w:ascii="Tahoma" w:eastAsia="Times New Roman" w:hAnsi="Tahoma" w:cs="Tahoma"/>
          <w:b/>
          <w:bCs/>
          <w:sz w:val="20"/>
          <w:szCs w:val="20"/>
        </w:rPr>
        <w:t>Source</w:t>
      </w:r>
      <w:r w:rsidR="006E7BAF" w:rsidRPr="002462E6">
        <w:rPr>
          <w:rFonts w:ascii="Tahoma" w:eastAsia="Times New Roman" w:hAnsi="Tahoma" w:cs="Tahoma"/>
          <w:b/>
          <w:bCs/>
          <w:i/>
          <w:iCs/>
          <w:sz w:val="20"/>
          <w:szCs w:val="20"/>
        </w:rPr>
        <w:t> </w:t>
      </w:r>
      <w:r w:rsidR="006E7BAF" w:rsidRPr="002462E6">
        <w:rPr>
          <w:rFonts w:ascii="Tahoma" w:eastAsia="Times New Roman" w:hAnsi="Tahoma" w:cs="Tahoma"/>
          <w:sz w:val="20"/>
          <w:szCs w:val="20"/>
        </w:rPr>
        <w:t>: Etude ‘’</w:t>
      </w:r>
      <w:r w:rsidR="006E7BAF" w:rsidRPr="002462E6">
        <w:rPr>
          <w:rFonts w:ascii="Times New Roman" w:eastAsia="Times New Roman" w:hAnsi="Times New Roman" w:cs="Times New Roman"/>
          <w:i/>
          <w:iCs/>
          <w:sz w:val="24"/>
          <w:szCs w:val="24"/>
        </w:rPr>
        <w:t>Politique forestière au Maroc : évolution et perspectives’’</w:t>
      </w:r>
    </w:p>
    <w:p w:rsidR="004F5A84" w:rsidRPr="002462E6" w:rsidRDefault="004F5A84" w:rsidP="006271ED">
      <w:pPr>
        <w:widowControl w:val="0"/>
        <w:autoSpaceDE w:val="0"/>
        <w:autoSpaceDN w:val="0"/>
        <w:spacing w:before="161" w:after="0" w:line="360" w:lineRule="auto"/>
        <w:ind w:right="4"/>
        <w:jc w:val="center"/>
        <w:rPr>
          <w:rFonts w:ascii="Tahoma" w:eastAsia="Times New Roman" w:hAnsi="Tahoma" w:cs="Tahoma"/>
          <w:sz w:val="24"/>
          <w:szCs w:val="24"/>
        </w:rPr>
      </w:pPr>
    </w:p>
    <w:p w:rsidR="00A46190" w:rsidRPr="002462E6" w:rsidRDefault="000A7532" w:rsidP="00A46190">
      <w:pPr>
        <w:widowControl w:val="0"/>
        <w:autoSpaceDE w:val="0"/>
        <w:autoSpaceDN w:val="0"/>
        <w:spacing w:before="161" w:after="0" w:line="360" w:lineRule="auto"/>
        <w:ind w:right="4"/>
        <w:jc w:val="both"/>
        <w:rPr>
          <w:rFonts w:ascii="Tahoma" w:eastAsia="Times New Roman" w:hAnsi="Tahoma" w:cs="Tahoma"/>
          <w:sz w:val="24"/>
          <w:szCs w:val="24"/>
        </w:rPr>
      </w:pPr>
      <w:r w:rsidRPr="002462E6">
        <w:rPr>
          <w:rFonts w:ascii="Tahoma" w:eastAsia="Times New Roman" w:hAnsi="Tahoma" w:cs="Tahoma"/>
          <w:sz w:val="24"/>
          <w:szCs w:val="24"/>
        </w:rPr>
        <w:t>Les objectifs globaux du Programme Décennal 2005-2014 sont articulés autour de quatre axes principaux</w:t>
      </w:r>
      <w:r w:rsidRPr="002462E6">
        <w:rPr>
          <w:rFonts w:ascii="Tahoma" w:eastAsia="Times New Roman" w:hAnsi="Tahoma" w:cs="Tahoma"/>
          <w:sz w:val="24"/>
          <w:szCs w:val="24"/>
          <w:vertAlign w:val="superscript"/>
        </w:rPr>
        <w:footnoteReference w:id="183"/>
      </w:r>
      <w:r w:rsidRPr="002462E6">
        <w:rPr>
          <w:rFonts w:ascii="Tahoma" w:eastAsia="Times New Roman" w:hAnsi="Tahoma" w:cs="Tahoma"/>
          <w:sz w:val="24"/>
          <w:szCs w:val="24"/>
        </w:rPr>
        <w:t xml:space="preserve"> :</w:t>
      </w:r>
    </w:p>
    <w:p w:rsidR="00A46190" w:rsidRPr="002462E6" w:rsidRDefault="000A7532" w:rsidP="00A46190">
      <w:pPr>
        <w:widowControl w:val="0"/>
        <w:autoSpaceDE w:val="0"/>
        <w:autoSpaceDN w:val="0"/>
        <w:spacing w:before="161" w:after="0" w:line="360" w:lineRule="auto"/>
        <w:ind w:right="4"/>
        <w:jc w:val="both"/>
        <w:rPr>
          <w:rFonts w:ascii="Tahoma" w:eastAsia="Times New Roman" w:hAnsi="Tahoma" w:cs="Tahoma"/>
          <w:sz w:val="24"/>
          <w:szCs w:val="24"/>
        </w:rPr>
      </w:pPr>
      <w:r w:rsidRPr="002462E6">
        <w:rPr>
          <w:rFonts w:ascii="Tahoma" w:eastAsia="Times New Roman" w:hAnsi="Tahoma" w:cs="Tahoma"/>
          <w:sz w:val="24"/>
          <w:szCs w:val="24"/>
        </w:rPr>
        <w:lastRenderedPageBreak/>
        <w:t>Sécurisation fo</w:t>
      </w:r>
      <w:r w:rsidR="004F5A84" w:rsidRPr="002462E6">
        <w:rPr>
          <w:rFonts w:ascii="Tahoma" w:eastAsia="Times New Roman" w:hAnsi="Tahoma" w:cs="Tahoma"/>
          <w:sz w:val="24"/>
          <w:szCs w:val="24"/>
        </w:rPr>
        <w:t>ncière et protection des forêts</w:t>
      </w:r>
      <w:r w:rsidRPr="002462E6">
        <w:rPr>
          <w:rFonts w:ascii="Tahoma" w:eastAsia="Times New Roman" w:hAnsi="Tahoma" w:cs="Tahoma"/>
          <w:sz w:val="24"/>
          <w:szCs w:val="24"/>
        </w:rPr>
        <w:t>: La sécurisation des droits fonciers constitue pour l’administration publique un préalable incontournable au développement du secteur. Elle vise à établir un cadre légal clair qui protège les droits des communautés locales et garantit un accès équitable à la ressource forestière. Des actions concrètes telles que des études topographiques et des contrats avec les parties prenantes ont été mises en œuvre pour faciliter ce processus.</w:t>
      </w:r>
    </w:p>
    <w:p w:rsidR="000A7532" w:rsidRPr="002462E6" w:rsidRDefault="000A7532" w:rsidP="004F5A84">
      <w:pPr>
        <w:widowControl w:val="0"/>
        <w:autoSpaceDE w:val="0"/>
        <w:autoSpaceDN w:val="0"/>
        <w:spacing w:before="161" w:after="0" w:line="360" w:lineRule="auto"/>
        <w:ind w:right="4"/>
        <w:jc w:val="both"/>
        <w:rPr>
          <w:rFonts w:ascii="Tahoma" w:eastAsia="Times New Roman" w:hAnsi="Tahoma" w:cs="Tahoma"/>
          <w:b/>
          <w:bCs/>
          <w:sz w:val="24"/>
          <w:szCs w:val="24"/>
        </w:rPr>
      </w:pPr>
      <w:r w:rsidRPr="002462E6">
        <w:rPr>
          <w:rFonts w:ascii="Tahoma" w:eastAsia="Times New Roman" w:hAnsi="Tahoma" w:cs="Tahoma"/>
          <w:sz w:val="24"/>
          <w:szCs w:val="24"/>
        </w:rPr>
        <w:t xml:space="preserve">Lutte contre les incendies : Ce volet vise à instaurer des mécanismes de prévention et de lutte contre les incendies de forêt, s’inscrivant dans les efforts d’adaptation aux effets du changement climatique </w:t>
      </w:r>
      <w:r w:rsidRPr="002462E6">
        <w:rPr>
          <w:rFonts w:ascii="Tahoma" w:eastAsia="Times New Roman" w:hAnsi="Tahoma" w:cs="Tahoma"/>
          <w:b/>
          <w:bCs/>
          <w:sz w:val="24"/>
          <w:szCs w:val="24"/>
        </w:rPr>
        <w:t>(Figure </w:t>
      </w:r>
      <w:r w:rsidRPr="002462E6">
        <w:rPr>
          <w:rFonts w:ascii="Tahoma" w:eastAsia="Times New Roman" w:hAnsi="Tahoma" w:cs="Tahoma"/>
          <w:b/>
          <w:bCs/>
          <w:color w:val="000000"/>
          <w:sz w:val="24"/>
          <w:szCs w:val="24"/>
        </w:rPr>
        <w:t>N°</w:t>
      </w:r>
      <w:r w:rsidR="004F5A84" w:rsidRPr="002462E6">
        <w:rPr>
          <w:rFonts w:ascii="Tahoma" w:eastAsia="Times New Roman" w:hAnsi="Tahoma" w:cs="Tahoma"/>
          <w:b/>
          <w:bCs/>
          <w:color w:val="000000"/>
          <w:sz w:val="24"/>
          <w:szCs w:val="24"/>
        </w:rPr>
        <w:t>4</w:t>
      </w:r>
      <w:r w:rsidRPr="002462E6">
        <w:rPr>
          <w:rFonts w:ascii="Tahoma" w:eastAsia="Times New Roman" w:hAnsi="Tahoma" w:cs="Tahoma"/>
          <w:b/>
          <w:bCs/>
          <w:sz w:val="24"/>
          <w:szCs w:val="24"/>
        </w:rPr>
        <w:t xml:space="preserve">). </w:t>
      </w:r>
    </w:p>
    <w:p w:rsidR="00A46190" w:rsidRPr="002462E6" w:rsidRDefault="00A46190" w:rsidP="000A7532">
      <w:pPr>
        <w:widowControl w:val="0"/>
        <w:autoSpaceDE w:val="0"/>
        <w:autoSpaceDN w:val="0"/>
        <w:spacing w:before="161" w:after="0" w:line="360" w:lineRule="auto"/>
        <w:ind w:right="4"/>
        <w:jc w:val="both"/>
        <w:rPr>
          <w:rFonts w:ascii="Tahoma" w:eastAsia="Times New Roman" w:hAnsi="Tahoma" w:cs="Tahoma"/>
          <w:sz w:val="2"/>
          <w:szCs w:val="2"/>
        </w:rPr>
      </w:pPr>
    </w:p>
    <w:p w:rsidR="000A7532" w:rsidRPr="002462E6" w:rsidRDefault="000A7532" w:rsidP="000A7532">
      <w:pPr>
        <w:widowControl w:val="0"/>
        <w:autoSpaceDE w:val="0"/>
        <w:autoSpaceDN w:val="0"/>
        <w:spacing w:before="161" w:after="0" w:line="360" w:lineRule="auto"/>
        <w:ind w:right="4"/>
        <w:jc w:val="both"/>
        <w:rPr>
          <w:rFonts w:ascii="Tahoma" w:eastAsia="Times New Roman" w:hAnsi="Tahoma" w:cs="Tahoma"/>
          <w:sz w:val="24"/>
          <w:szCs w:val="24"/>
        </w:rPr>
      </w:pPr>
      <w:r w:rsidRPr="002462E6">
        <w:rPr>
          <w:rFonts w:ascii="Tahoma" w:eastAsia="Times New Roman" w:hAnsi="Tahoma" w:cs="Tahoma"/>
          <w:sz w:val="24"/>
          <w:szCs w:val="24"/>
        </w:rPr>
        <w:t>Des initiatives de reboisement et des programmes de gestion durable des forêts sont mis en œuvre pour limiter la perte de surface forestière, tout en intégrant des pratiques de conservation.</w:t>
      </w:r>
    </w:p>
    <w:p w:rsidR="00FF7634" w:rsidRDefault="00FF7634">
      <w:pPr>
        <w:rPr>
          <w:rFonts w:ascii="Tahoma" w:eastAsia="Times New Roman" w:hAnsi="Tahoma" w:cs="Tahoma"/>
          <w:sz w:val="24"/>
          <w:szCs w:val="24"/>
        </w:rPr>
      </w:pPr>
      <w:r>
        <w:rPr>
          <w:rFonts w:ascii="Tahoma" w:eastAsia="Times New Roman" w:hAnsi="Tahoma" w:cs="Tahoma"/>
          <w:sz w:val="24"/>
          <w:szCs w:val="24"/>
        </w:rPr>
        <w:br w:type="page"/>
      </w:r>
    </w:p>
    <w:p w:rsidR="0073088F" w:rsidRPr="002462E6" w:rsidRDefault="0073088F" w:rsidP="00E9372C">
      <w:pPr>
        <w:rPr>
          <w:rFonts w:ascii="Tahoma" w:eastAsia="Times New Roman" w:hAnsi="Tahoma" w:cs="Tahoma"/>
          <w:sz w:val="24"/>
          <w:szCs w:val="24"/>
        </w:rPr>
      </w:pPr>
    </w:p>
    <w:bookmarkStart w:id="110" w:name="_Toc185696922"/>
    <w:bookmarkStart w:id="111" w:name="_Toc201571198"/>
    <w:bookmarkStart w:id="112" w:name="_Toc203642796"/>
    <w:p w:rsidR="000A7532" w:rsidRPr="002462E6" w:rsidRDefault="008F4C09" w:rsidP="000D57A1">
      <w:pPr>
        <w:pStyle w:val="Sous-titre"/>
      </w:pPr>
      <w:r w:rsidRPr="002462E6">
        <w:rPr>
          <w:noProof/>
          <w:lang w:eastAsia="fr-FR"/>
        </w:rPr>
        <mc:AlternateContent>
          <mc:Choice Requires="wps">
            <w:drawing>
              <wp:anchor distT="0" distB="0" distL="114300" distR="114300" simplePos="0" relativeHeight="251706368" behindDoc="0" locked="0" layoutInCell="1" allowOverlap="1" wp14:anchorId="17375B28" wp14:editId="41B0C188">
                <wp:simplePos x="0" y="0"/>
                <wp:positionH relativeFrom="column">
                  <wp:posOffset>-143510</wp:posOffset>
                </wp:positionH>
                <wp:positionV relativeFrom="paragraph">
                  <wp:posOffset>-2197735</wp:posOffset>
                </wp:positionV>
                <wp:extent cx="704850" cy="723900"/>
                <wp:effectExtent l="0" t="0" r="19050" b="19050"/>
                <wp:wrapNone/>
                <wp:docPr id="956995673" name="Rectangle 956995673"/>
                <wp:cNvGraphicFramePr/>
                <a:graphic xmlns:a="http://schemas.openxmlformats.org/drawingml/2006/main">
                  <a:graphicData uri="http://schemas.microsoft.com/office/word/2010/wordprocessingShape">
                    <wps:wsp>
                      <wps:cNvSpPr/>
                      <wps:spPr>
                        <a:xfrm>
                          <a:off x="0" y="0"/>
                          <a:ext cx="704850" cy="723900"/>
                        </a:xfrm>
                        <a:prstGeom prst="rect">
                          <a:avLst/>
                        </a:prstGeom>
                        <a:solidFill>
                          <a:schemeClr val="bg1"/>
                        </a:solidFill>
                        <a:ln>
                          <a:solidFill>
                            <a:schemeClr val="bg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B1DE2F8" id="Rectangle 956995673" o:spid="_x0000_s1026" style="position:absolute;margin-left:-11.3pt;margin-top:-173.05pt;width:55.5pt;height:57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" fillcolor="white [3212]" strokecolor="white [3212]" strokeweight="1pt"/>
            </w:pict>
          </mc:Fallback>
        </mc:AlternateContent>
      </w:r>
      <w:r w:rsidR="000A7532" w:rsidRPr="002462E6">
        <w:t xml:space="preserve">Figure </w:t>
      </w:r>
      <w:r w:rsidR="00225ED1">
        <w:rPr>
          <w:noProof/>
        </w:rPr>
        <w:fldChar w:fldCharType="begin"/>
      </w:r>
      <w:r w:rsidR="00225ED1">
        <w:rPr>
          <w:noProof/>
        </w:rPr>
        <w:instrText xml:space="preserve"> SEQ Figure \* ARABIC </w:instrText>
      </w:r>
      <w:r w:rsidR="00225ED1">
        <w:rPr>
          <w:noProof/>
        </w:rPr>
        <w:fldChar w:fldCharType="separate"/>
      </w:r>
      <w:r w:rsidR="00124AFB">
        <w:rPr>
          <w:noProof/>
        </w:rPr>
        <w:t>4</w:t>
      </w:r>
      <w:r w:rsidR="00225ED1">
        <w:rPr>
          <w:noProof/>
        </w:rPr>
        <w:fldChar w:fldCharType="end"/>
      </w:r>
      <w:r w:rsidR="00246834" w:rsidRPr="002462E6">
        <w:t> :</w:t>
      </w:r>
      <w:r w:rsidR="000A7532" w:rsidRPr="002462E6">
        <w:t xml:space="preserve"> Stratégie de prévention et de lutte contre les incendies de forêts</w:t>
      </w:r>
      <w:bookmarkEnd w:id="110"/>
      <w:bookmarkEnd w:id="111"/>
      <w:bookmarkEnd w:id="112"/>
    </w:p>
    <w:p w:rsidR="006271ED" w:rsidRPr="002462E6" w:rsidRDefault="003307F9" w:rsidP="008F4C09">
      <w:pPr>
        <w:widowControl w:val="0"/>
        <w:autoSpaceDE w:val="0"/>
        <w:autoSpaceDN w:val="0"/>
        <w:spacing w:before="161" w:after="0" w:line="360" w:lineRule="auto"/>
        <w:ind w:left="720" w:right="818"/>
        <w:jc w:val="center"/>
        <w:rPr>
          <w:rFonts w:ascii="Tahoma" w:eastAsia="Times New Roman" w:hAnsi="Tahoma" w:cs="Tahoma"/>
          <w:sz w:val="24"/>
          <w:szCs w:val="24"/>
        </w:rPr>
      </w:pPr>
      <w:r w:rsidRPr="002462E6">
        <w:rPr>
          <w:rFonts w:ascii="Tahoma" w:eastAsia="Times New Roman" w:hAnsi="Tahoma" w:cs="Tahoma"/>
          <w:noProof/>
          <w:sz w:val="24"/>
          <w:szCs w:val="24"/>
          <w:lang w:eastAsia="fr-FR"/>
        </w:rPr>
        <mc:AlternateContent>
          <mc:Choice Requires="wps">
            <w:drawing>
              <wp:anchor distT="0" distB="0" distL="114300" distR="114300" simplePos="0" relativeHeight="251764736" behindDoc="0" locked="0" layoutInCell="1" allowOverlap="1" wp14:anchorId="34FD5A7E" wp14:editId="768576AD">
                <wp:simplePos x="0" y="0"/>
                <wp:positionH relativeFrom="column">
                  <wp:posOffset>-145242</wp:posOffset>
                </wp:positionH>
                <wp:positionV relativeFrom="paragraph">
                  <wp:posOffset>975946</wp:posOffset>
                </wp:positionV>
                <wp:extent cx="1235034" cy="985651"/>
                <wp:effectExtent l="0" t="0" r="3810" b="5080"/>
                <wp:wrapNone/>
                <wp:docPr id="956995674"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35034" cy="985651"/>
                        </a:xfrm>
                        <a:prstGeom prst="rect">
                          <a:avLst/>
                        </a:prstGeom>
                        <a:solidFill>
                          <a:srgbClr val="FFFFFF"/>
                        </a:solidFill>
                        <a:ln w="9525">
                          <a:noFill/>
                          <a:miter lim="800000"/>
                          <a:headEnd/>
                          <a:tailEnd/>
                        </a:ln>
                      </wps:spPr>
                      <wps:txbx>
                        <w:txbxContent>
                          <w:p w:rsidR="0083519B" w:rsidRDefault="0083519B" w:rsidP="003307F9"/>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4FD5A7E" id="Zone de texte 2" o:spid="_x0000_s1031" type="#_x0000_t202" style="position:absolute;left:0;text-align:left;margin-left:-11.45pt;margin-top:76.85pt;width:97.25pt;height:77.6pt;z-index:251764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" stroked="f">
                <v:textbox>
                  <w:txbxContent>
                    <w:p w:rsidR="0083519B" w:rsidRDefault="0083519B" w:rsidP="003307F9"/>
                  </w:txbxContent>
                </v:textbox>
              </v:shape>
            </w:pict>
          </mc:Fallback>
        </mc:AlternateContent>
      </w:r>
      <w:r w:rsidR="00E9372C" w:rsidRPr="002462E6">
        <w:rPr>
          <w:rFonts w:ascii="Tahoma" w:eastAsia="Times New Roman" w:hAnsi="Tahoma" w:cs="Tahoma"/>
          <w:noProof/>
          <w:sz w:val="24"/>
          <w:szCs w:val="24"/>
          <w:lang w:eastAsia="fr-FR"/>
        </w:rPr>
        <w:drawing>
          <wp:inline distT="0" distB="0" distL="0" distR="0" wp14:anchorId="7926C20E" wp14:editId="5EEF92FD">
            <wp:extent cx="5795158" cy="3586348"/>
            <wp:effectExtent l="0" t="0" r="0" b="0"/>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r="7908"/>
                    <a:stretch/>
                  </pic:blipFill>
                  <pic:spPr bwMode="auto">
                    <a:xfrm>
                      <a:off x="0" y="0"/>
                      <a:ext cx="5837213" cy="3612374"/>
                    </a:xfrm>
                    <a:prstGeom prst="rect">
                      <a:avLst/>
                    </a:prstGeom>
                    <a:ln>
                      <a:noFill/>
                    </a:ln>
                    <a:extLst>
                      <a:ext uri="{53640926-AAD7-44D8-BBD7-CCE9431645EC}">
                        <a14:shadowObscured xmlns:a14="http://schemas.microsoft.com/office/drawing/2010/main"/>
                      </a:ext>
                    </a:extLst>
                  </pic:spPr>
                </pic:pic>
              </a:graphicData>
            </a:graphic>
          </wp:inline>
        </w:drawing>
      </w:r>
    </w:p>
    <w:p w:rsidR="000A7532" w:rsidRPr="002462E6" w:rsidRDefault="000A7532" w:rsidP="000A7532">
      <w:pPr>
        <w:widowControl w:val="0"/>
        <w:autoSpaceDE w:val="0"/>
        <w:autoSpaceDN w:val="0"/>
        <w:spacing w:before="161" w:after="0" w:line="360" w:lineRule="auto"/>
        <w:ind w:right="4"/>
        <w:jc w:val="center"/>
        <w:rPr>
          <w:rFonts w:ascii="Tahoma" w:eastAsia="Times New Roman" w:hAnsi="Tahoma" w:cs="Tahoma"/>
          <w:sz w:val="20"/>
          <w:szCs w:val="20"/>
          <w:vertAlign w:val="superscript"/>
        </w:rPr>
      </w:pPr>
      <w:r w:rsidRPr="002462E6">
        <w:rPr>
          <w:rFonts w:ascii="Tahoma" w:eastAsia="Times New Roman" w:hAnsi="Tahoma" w:cs="Tahoma"/>
          <w:b/>
          <w:bCs/>
          <w:sz w:val="20"/>
          <w:szCs w:val="20"/>
        </w:rPr>
        <w:t>Source</w:t>
      </w:r>
      <w:r w:rsidRPr="002462E6">
        <w:rPr>
          <w:rFonts w:ascii="Tahoma" w:eastAsia="Times New Roman" w:hAnsi="Tahoma" w:cs="Tahoma"/>
          <w:b/>
          <w:bCs/>
          <w:i/>
          <w:iCs/>
          <w:sz w:val="20"/>
          <w:szCs w:val="20"/>
        </w:rPr>
        <w:t> </w:t>
      </w:r>
      <w:r w:rsidRPr="002462E6">
        <w:rPr>
          <w:rFonts w:ascii="Tahoma" w:eastAsia="Times New Roman" w:hAnsi="Tahoma" w:cs="Tahoma"/>
          <w:sz w:val="20"/>
          <w:szCs w:val="20"/>
        </w:rPr>
        <w:t>: Etude ‘’</w:t>
      </w:r>
      <w:r w:rsidRPr="002462E6">
        <w:rPr>
          <w:rFonts w:ascii="Times New Roman" w:eastAsia="Times New Roman" w:hAnsi="Times New Roman" w:cs="Times New Roman"/>
          <w:i/>
          <w:iCs/>
          <w:sz w:val="24"/>
          <w:szCs w:val="24"/>
        </w:rPr>
        <w:t>Politique forestière au Maroc : évolution et perspectives’’</w:t>
      </w:r>
      <w:r w:rsidRPr="002462E6">
        <w:rPr>
          <w:rFonts w:ascii="Tahoma" w:eastAsia="Times New Roman" w:hAnsi="Tahoma" w:cs="Tahoma"/>
          <w:sz w:val="20"/>
          <w:szCs w:val="20"/>
          <w:vertAlign w:val="superscript"/>
        </w:rPr>
        <w:t xml:space="preserve"> </w:t>
      </w:r>
      <w:r w:rsidRPr="002462E6">
        <w:rPr>
          <w:rFonts w:ascii="Tahoma" w:eastAsia="Times New Roman" w:hAnsi="Tahoma" w:cs="Tahoma"/>
          <w:sz w:val="20"/>
          <w:szCs w:val="20"/>
          <w:vertAlign w:val="superscript"/>
        </w:rPr>
        <w:footnoteReference w:id="184"/>
      </w:r>
    </w:p>
    <w:p w:rsidR="00946C44" w:rsidRPr="008262EA" w:rsidRDefault="00946C44" w:rsidP="008262EA">
      <w:pPr>
        <w:widowControl w:val="0"/>
        <w:autoSpaceDE w:val="0"/>
        <w:autoSpaceDN w:val="0"/>
        <w:spacing w:after="0" w:line="360" w:lineRule="auto"/>
        <w:ind w:right="4"/>
        <w:jc w:val="center"/>
        <w:rPr>
          <w:rFonts w:ascii="Tahoma" w:eastAsia="Times New Roman" w:hAnsi="Tahoma" w:cs="Tahoma"/>
          <w:sz w:val="18"/>
          <w:szCs w:val="18"/>
        </w:rPr>
      </w:pPr>
    </w:p>
    <w:p w:rsidR="000A7532" w:rsidRPr="002462E6" w:rsidRDefault="000A7532" w:rsidP="000A7532">
      <w:pPr>
        <w:widowControl w:val="0"/>
        <w:autoSpaceDE w:val="0"/>
        <w:autoSpaceDN w:val="0"/>
        <w:spacing w:before="161" w:after="0" w:line="360" w:lineRule="auto"/>
        <w:ind w:right="4"/>
        <w:jc w:val="both"/>
        <w:rPr>
          <w:rFonts w:ascii="Tahoma" w:eastAsia="Times New Roman" w:hAnsi="Tahoma" w:cs="Tahoma"/>
          <w:sz w:val="24"/>
          <w:szCs w:val="24"/>
        </w:rPr>
      </w:pPr>
      <w:r w:rsidRPr="002462E6">
        <w:rPr>
          <w:rFonts w:ascii="Tahoma" w:eastAsia="Times New Roman" w:hAnsi="Tahoma" w:cs="Tahoma"/>
          <w:sz w:val="24"/>
          <w:szCs w:val="24"/>
        </w:rPr>
        <w:t>Réhabilitation des écosystèmes : Ce programme inclut la restauration des écosystèmes forestiers dégradés, avec un focus   sur la reforestation et la gestion raisonnée des sols afin de lutter contre l’érosion. Ces efforts visent à restaurer les milieux naturels et à renforcer la biodiversité.</w:t>
      </w:r>
    </w:p>
    <w:p w:rsidR="000A7532" w:rsidRPr="002462E6" w:rsidRDefault="000A7532" w:rsidP="000A7532">
      <w:pPr>
        <w:widowControl w:val="0"/>
        <w:autoSpaceDE w:val="0"/>
        <w:autoSpaceDN w:val="0"/>
        <w:spacing w:before="161" w:after="0" w:line="360" w:lineRule="auto"/>
        <w:ind w:right="4"/>
        <w:jc w:val="both"/>
        <w:rPr>
          <w:rFonts w:ascii="Tahoma" w:eastAsia="Times New Roman" w:hAnsi="Tahoma" w:cs="Tahoma"/>
          <w:sz w:val="24"/>
          <w:szCs w:val="24"/>
        </w:rPr>
      </w:pPr>
      <w:r w:rsidRPr="002462E6">
        <w:rPr>
          <w:rFonts w:ascii="Tahoma" w:eastAsia="Times New Roman" w:hAnsi="Tahoma" w:cs="Tahoma"/>
          <w:sz w:val="24"/>
          <w:szCs w:val="24"/>
        </w:rPr>
        <w:t xml:space="preserve">Promotion du développement durable : Le programme intègre les préoccupations environnementales dans les stratégies de développement économique. Il vise à encourager des pratiques agroforestières durables qui favorisent l’intégration des forêts dans les systèmes de vie locaux. Cette démarche consiste à organiser les usagers avec leur engagement dans la préservation et la valorisation des ressources forestières ligneuses et non ligneuses à travers la mobilisation des partenaires à l’échelle locale, régionale, nationale et internationale et en la mise à niveau des entreprises nationales </w:t>
      </w:r>
      <w:r w:rsidRPr="002462E6">
        <w:rPr>
          <w:rFonts w:ascii="Tahoma" w:eastAsia="Times New Roman" w:hAnsi="Tahoma" w:cs="Tahoma"/>
          <w:sz w:val="24"/>
          <w:szCs w:val="24"/>
        </w:rPr>
        <w:lastRenderedPageBreak/>
        <w:t>investies dans l’exécution des actions forestières.</w:t>
      </w:r>
    </w:p>
    <w:p w:rsidR="000A7532" w:rsidRPr="002462E6" w:rsidRDefault="000A7532" w:rsidP="000A7532">
      <w:pPr>
        <w:widowControl w:val="0"/>
        <w:autoSpaceDE w:val="0"/>
        <w:autoSpaceDN w:val="0"/>
        <w:spacing w:before="161" w:after="0" w:line="360" w:lineRule="auto"/>
        <w:ind w:right="818"/>
        <w:jc w:val="both"/>
        <w:rPr>
          <w:rFonts w:ascii="Tahoma" w:eastAsia="Times New Roman" w:hAnsi="Tahoma" w:cs="Tahoma"/>
          <w:sz w:val="24"/>
          <w:szCs w:val="24"/>
        </w:rPr>
      </w:pPr>
      <w:r w:rsidRPr="002462E6">
        <w:rPr>
          <w:rFonts w:ascii="Tahoma" w:eastAsia="Times New Roman" w:hAnsi="Tahoma" w:cs="Tahoma"/>
          <w:sz w:val="24"/>
          <w:szCs w:val="24"/>
        </w:rPr>
        <w:t>Par ailleurs, le Programme Décennal repose sur des approches stratégiques</w:t>
      </w:r>
      <w:r w:rsidRPr="002462E6">
        <w:rPr>
          <w:rFonts w:ascii="Tahoma" w:eastAsia="Times New Roman" w:hAnsi="Tahoma" w:cs="Tahoma"/>
          <w:sz w:val="24"/>
          <w:szCs w:val="24"/>
          <w:vertAlign w:val="superscript"/>
        </w:rPr>
        <w:footnoteReference w:id="185"/>
      </w:r>
      <w:r w:rsidRPr="002462E6">
        <w:rPr>
          <w:rFonts w:ascii="Tahoma" w:eastAsia="Times New Roman" w:hAnsi="Tahoma" w:cs="Tahoma"/>
          <w:sz w:val="24"/>
          <w:szCs w:val="24"/>
        </w:rPr>
        <w:t xml:space="preserve"> :</w:t>
      </w:r>
    </w:p>
    <w:p w:rsidR="000A7532" w:rsidRPr="002462E6" w:rsidRDefault="000A7532" w:rsidP="00D051D7">
      <w:pPr>
        <w:widowControl w:val="0"/>
        <w:numPr>
          <w:ilvl w:val="0"/>
          <w:numId w:val="28"/>
        </w:numPr>
        <w:autoSpaceDE w:val="0"/>
        <w:autoSpaceDN w:val="0"/>
        <w:spacing w:before="161" w:after="0" w:line="360" w:lineRule="auto"/>
        <w:ind w:right="4"/>
        <w:jc w:val="both"/>
        <w:rPr>
          <w:rFonts w:ascii="Tahoma" w:eastAsia="Times New Roman" w:hAnsi="Tahoma" w:cs="Tahoma"/>
          <w:sz w:val="24"/>
          <w:szCs w:val="24"/>
        </w:rPr>
      </w:pPr>
      <w:r w:rsidRPr="002462E6">
        <w:rPr>
          <w:rFonts w:ascii="Tahoma" w:eastAsia="Times New Roman" w:hAnsi="Tahoma" w:cs="Tahoma"/>
          <w:b/>
          <w:bCs/>
          <w:sz w:val="24"/>
          <w:szCs w:val="24"/>
        </w:rPr>
        <w:t>Planification intégrée :</w:t>
      </w:r>
      <w:r w:rsidRPr="002462E6">
        <w:rPr>
          <w:rFonts w:ascii="Tahoma" w:eastAsia="Times New Roman" w:hAnsi="Tahoma" w:cs="Tahoma"/>
          <w:sz w:val="24"/>
          <w:szCs w:val="24"/>
        </w:rPr>
        <w:t xml:space="preserve"> La mise en œuvre du programme se fait selon une approche intégrée qui prend en compte les différentes dimensions sociales, économiques et écologiques. C’est essentiel pour aborder les défis liés à la gestion des forêts de manière globale, en favorisant la synergie entre les divers acteurs impliqués. </w:t>
      </w:r>
    </w:p>
    <w:p w:rsidR="000A7532" w:rsidRPr="002462E6" w:rsidRDefault="000A7532" w:rsidP="00D051D7">
      <w:pPr>
        <w:widowControl w:val="0"/>
        <w:numPr>
          <w:ilvl w:val="0"/>
          <w:numId w:val="28"/>
        </w:numPr>
        <w:autoSpaceDE w:val="0"/>
        <w:autoSpaceDN w:val="0"/>
        <w:spacing w:before="161" w:after="0" w:line="360" w:lineRule="auto"/>
        <w:ind w:right="4"/>
        <w:jc w:val="both"/>
        <w:rPr>
          <w:rFonts w:ascii="Tahoma" w:eastAsia="Times New Roman" w:hAnsi="Tahoma" w:cs="Tahoma"/>
          <w:sz w:val="24"/>
          <w:szCs w:val="24"/>
        </w:rPr>
      </w:pPr>
      <w:r w:rsidRPr="002462E6">
        <w:rPr>
          <w:rFonts w:ascii="Tahoma" w:eastAsia="Times New Roman" w:hAnsi="Tahoma" w:cs="Tahoma"/>
          <w:b/>
          <w:bCs/>
          <w:sz w:val="24"/>
          <w:szCs w:val="24"/>
        </w:rPr>
        <w:t>Partenariats et collaboration :</w:t>
      </w:r>
      <w:r w:rsidRPr="002462E6">
        <w:rPr>
          <w:rFonts w:ascii="Tahoma" w:eastAsia="Times New Roman" w:hAnsi="Tahoma" w:cs="Tahoma"/>
          <w:sz w:val="24"/>
          <w:szCs w:val="24"/>
        </w:rPr>
        <w:t xml:space="preserve"> Le programme favorise la collaboration entre les différents acteurs concernés, qu’il s’agisse de communautés locales, d’ONG ou d’institutions gouvernementales. Cette démarche participative garantit que les actions entreprises répondent aux réalités du terrain et sont pertinentes pour les populations locales, renforçant ainsi leur engagement envers la conservation des forêts ;</w:t>
      </w:r>
    </w:p>
    <w:p w:rsidR="000A7532" w:rsidRPr="002462E6" w:rsidRDefault="000A7532" w:rsidP="00D051D7">
      <w:pPr>
        <w:widowControl w:val="0"/>
        <w:numPr>
          <w:ilvl w:val="0"/>
          <w:numId w:val="28"/>
        </w:numPr>
        <w:autoSpaceDE w:val="0"/>
        <w:autoSpaceDN w:val="0"/>
        <w:spacing w:before="161" w:after="0" w:line="360" w:lineRule="auto"/>
        <w:ind w:right="4"/>
        <w:jc w:val="both"/>
        <w:rPr>
          <w:rFonts w:ascii="Tahoma" w:eastAsia="Times New Roman" w:hAnsi="Tahoma" w:cs="Tahoma"/>
          <w:sz w:val="24"/>
          <w:szCs w:val="24"/>
        </w:rPr>
      </w:pPr>
      <w:r w:rsidRPr="002462E6">
        <w:rPr>
          <w:rFonts w:ascii="Tahoma" w:eastAsia="Times New Roman" w:hAnsi="Tahoma" w:cs="Tahoma"/>
          <w:b/>
          <w:bCs/>
          <w:sz w:val="24"/>
          <w:szCs w:val="24"/>
        </w:rPr>
        <w:t>Mise en œuvre par étapes :</w:t>
      </w:r>
      <w:r w:rsidRPr="002462E6">
        <w:rPr>
          <w:rFonts w:ascii="Tahoma" w:eastAsia="Times New Roman" w:hAnsi="Tahoma" w:cs="Tahoma"/>
          <w:sz w:val="24"/>
          <w:szCs w:val="24"/>
        </w:rPr>
        <w:t xml:space="preserve"> Le Programme est décliné en programmes triennaux qui permettent une flexibilité d'adaptation en fonction des évolutions contextuelles et des priorités émergentes. Ceci assure une meilleure gestion des ressources et un ajustement constant aux besoins des populations et de l'environnement.</w:t>
      </w:r>
    </w:p>
    <w:p w:rsidR="000A7532" w:rsidRPr="002462E6" w:rsidRDefault="000A7532" w:rsidP="000A7532">
      <w:pPr>
        <w:widowControl w:val="0"/>
        <w:autoSpaceDE w:val="0"/>
        <w:autoSpaceDN w:val="0"/>
        <w:spacing w:before="161" w:after="0" w:line="360" w:lineRule="auto"/>
        <w:ind w:right="4"/>
        <w:jc w:val="both"/>
        <w:rPr>
          <w:rFonts w:ascii="Tahoma" w:eastAsia="Times New Roman" w:hAnsi="Tahoma" w:cs="Tahoma"/>
          <w:sz w:val="24"/>
          <w:szCs w:val="24"/>
        </w:rPr>
      </w:pPr>
      <w:r w:rsidRPr="002462E6">
        <w:rPr>
          <w:rFonts w:ascii="Tahoma" w:eastAsia="Times New Roman" w:hAnsi="Tahoma" w:cs="Tahoma"/>
          <w:sz w:val="24"/>
          <w:szCs w:val="24"/>
        </w:rPr>
        <w:t>La mise en place de mécanismes de suivi et d’évaluation pour garantir l’efficacité du programme :</w:t>
      </w:r>
    </w:p>
    <w:p w:rsidR="000A7532" w:rsidRPr="002462E6" w:rsidRDefault="000A7532" w:rsidP="00D051D7">
      <w:pPr>
        <w:widowControl w:val="0"/>
        <w:numPr>
          <w:ilvl w:val="0"/>
          <w:numId w:val="29"/>
        </w:numPr>
        <w:autoSpaceDE w:val="0"/>
        <w:autoSpaceDN w:val="0"/>
        <w:spacing w:before="161" w:after="0" w:line="360" w:lineRule="auto"/>
        <w:ind w:right="4"/>
        <w:jc w:val="both"/>
        <w:rPr>
          <w:rFonts w:ascii="Tahoma" w:eastAsia="Times New Roman" w:hAnsi="Tahoma" w:cs="Tahoma"/>
          <w:sz w:val="24"/>
          <w:szCs w:val="24"/>
        </w:rPr>
      </w:pPr>
      <w:r w:rsidRPr="002462E6">
        <w:rPr>
          <w:rFonts w:ascii="Tahoma" w:eastAsia="Times New Roman" w:hAnsi="Tahoma" w:cs="Tahoma"/>
          <w:b/>
          <w:bCs/>
          <w:sz w:val="24"/>
          <w:szCs w:val="24"/>
        </w:rPr>
        <w:t>Indicateurs de performance :</w:t>
      </w:r>
      <w:r w:rsidRPr="002462E6">
        <w:rPr>
          <w:rFonts w:ascii="Tahoma" w:eastAsia="Times New Roman" w:hAnsi="Tahoma" w:cs="Tahoma"/>
          <w:sz w:val="24"/>
          <w:szCs w:val="24"/>
        </w:rPr>
        <w:t xml:space="preserve"> Le programme prévoit l’établissement d’indicateurs spécifiques permettant de mesurer les progrès réalisés dans la mise en œuvre des actions. Ces indicateurs sont essentiels pour ajuster les stratégies si nécessaires et s’assurer que les objectifs fixés sont atteints ;</w:t>
      </w:r>
    </w:p>
    <w:p w:rsidR="000A7532" w:rsidRPr="002462E6" w:rsidRDefault="000A7532" w:rsidP="00D051D7">
      <w:pPr>
        <w:widowControl w:val="0"/>
        <w:numPr>
          <w:ilvl w:val="0"/>
          <w:numId w:val="29"/>
        </w:numPr>
        <w:autoSpaceDE w:val="0"/>
        <w:autoSpaceDN w:val="0"/>
        <w:spacing w:before="161" w:after="0" w:line="360" w:lineRule="auto"/>
        <w:ind w:right="4"/>
        <w:jc w:val="both"/>
        <w:rPr>
          <w:rFonts w:ascii="Tahoma" w:eastAsia="Times New Roman" w:hAnsi="Tahoma" w:cs="Tahoma"/>
          <w:sz w:val="24"/>
          <w:szCs w:val="24"/>
        </w:rPr>
      </w:pPr>
      <w:r w:rsidRPr="002462E6">
        <w:rPr>
          <w:rFonts w:ascii="Tahoma" w:eastAsia="Times New Roman" w:hAnsi="Tahoma" w:cs="Tahoma"/>
          <w:b/>
          <w:bCs/>
          <w:sz w:val="24"/>
          <w:szCs w:val="24"/>
        </w:rPr>
        <w:t>Transparence et communication :</w:t>
      </w:r>
      <w:r w:rsidRPr="002462E6">
        <w:rPr>
          <w:rFonts w:ascii="Tahoma" w:eastAsia="Times New Roman" w:hAnsi="Tahoma" w:cs="Tahoma"/>
          <w:sz w:val="24"/>
          <w:szCs w:val="24"/>
        </w:rPr>
        <w:t xml:space="preserve"> La transparence dans la gestion des ressources et les résultats obtenus est primordiale. Les mécanismes de retour d'expérience et les rapports d'activités garantiront une responsabilité accrue des </w:t>
      </w:r>
      <w:r w:rsidRPr="002462E6">
        <w:rPr>
          <w:rFonts w:ascii="Tahoma" w:eastAsia="Times New Roman" w:hAnsi="Tahoma" w:cs="Tahoma"/>
          <w:sz w:val="24"/>
          <w:szCs w:val="24"/>
        </w:rPr>
        <w:lastRenderedPageBreak/>
        <w:t>acteurs à tous les niveaux.</w:t>
      </w:r>
    </w:p>
    <w:p w:rsidR="000A7532" w:rsidRPr="002462E6" w:rsidRDefault="000A7532" w:rsidP="000A7532">
      <w:pPr>
        <w:widowControl w:val="0"/>
        <w:autoSpaceDE w:val="0"/>
        <w:autoSpaceDN w:val="0"/>
        <w:spacing w:before="161" w:after="0" w:line="360" w:lineRule="auto"/>
        <w:ind w:right="4"/>
        <w:jc w:val="both"/>
        <w:rPr>
          <w:rFonts w:ascii="Tahoma" w:eastAsia="Times New Roman" w:hAnsi="Tahoma" w:cs="Tahoma"/>
          <w:sz w:val="24"/>
          <w:szCs w:val="24"/>
        </w:rPr>
      </w:pPr>
      <w:r w:rsidRPr="002462E6">
        <w:rPr>
          <w:rFonts w:ascii="Tahoma" w:eastAsia="Times New Roman" w:hAnsi="Tahoma" w:cs="Tahoma"/>
          <w:sz w:val="24"/>
          <w:szCs w:val="24"/>
        </w:rPr>
        <w:t xml:space="preserve">En définitive, l’administration forestière a estimé que le Programme décennal 2005-2014 a été conçu pour opérationnaliser les orientations de la politique forestière issus des recommandations du Colloque national sur les forêts (Ifrane 1996) et consolidées dans le PFN. Par ailleurs, elle a considéré que le programme était une occasion pour faire le bilan des efforts menés dans le domaine des coopératives forestières et de proposer une nouvelle démarche permettant d’améliorer l’efficacité de leur action. </w:t>
      </w:r>
    </w:p>
    <w:p w:rsidR="000A7532" w:rsidRDefault="000A7532" w:rsidP="006B3F9A">
      <w:pPr>
        <w:widowControl w:val="0"/>
        <w:tabs>
          <w:tab w:val="left" w:pos="8222"/>
        </w:tabs>
        <w:autoSpaceDE w:val="0"/>
        <w:autoSpaceDN w:val="0"/>
        <w:spacing w:before="161" w:after="0" w:line="360" w:lineRule="auto"/>
        <w:ind w:right="4"/>
        <w:jc w:val="both"/>
        <w:rPr>
          <w:rFonts w:ascii="Tahoma" w:eastAsia="Times New Roman" w:hAnsi="Tahoma" w:cs="Tahoma"/>
          <w:sz w:val="24"/>
          <w:szCs w:val="24"/>
        </w:rPr>
      </w:pPr>
      <w:r w:rsidRPr="002462E6">
        <w:rPr>
          <w:rFonts w:ascii="Tahoma" w:eastAsia="Times New Roman" w:hAnsi="Tahoma" w:cs="Tahoma"/>
          <w:sz w:val="24"/>
          <w:szCs w:val="24"/>
        </w:rPr>
        <w:t xml:space="preserve">En parallèle, l'adoption d'une approche managériale basée sur les quatre cultures (projets, responsabilisation, contractualisation, reddition des comptes) a marqué un tournant par rapport aux pratiques de gestion traditionnelles, favorisant ainsi l'émergence d'une nouvelle génération de gestionnaires à la fois stratégiques et opérationnels. Toutefois, malgré les avancées réalisées dans le cadre de ce programme, certaines stratégies n’ont pu être concrétisées, dont la stratégie bois-énergie </w:t>
      </w:r>
      <w:r w:rsidR="006B3F9A">
        <w:rPr>
          <w:rFonts w:ascii="Tahoma" w:eastAsia="Times New Roman" w:hAnsi="Tahoma" w:cs="Tahoma"/>
          <w:sz w:val="24"/>
          <w:szCs w:val="24"/>
        </w:rPr>
        <w:t>et la stratégie sylvopastorale.</w:t>
      </w:r>
    </w:p>
    <w:p w:rsidR="006B3F9A" w:rsidRPr="006B3F9A" w:rsidRDefault="006B3F9A" w:rsidP="006B3F9A">
      <w:pPr>
        <w:widowControl w:val="0"/>
        <w:tabs>
          <w:tab w:val="left" w:pos="8222"/>
        </w:tabs>
        <w:autoSpaceDE w:val="0"/>
        <w:autoSpaceDN w:val="0"/>
        <w:spacing w:before="161" w:after="0" w:line="360" w:lineRule="auto"/>
        <w:ind w:right="4"/>
        <w:jc w:val="both"/>
        <w:rPr>
          <w:rFonts w:ascii="Tahoma" w:eastAsia="Times New Roman" w:hAnsi="Tahoma" w:cs="Tahoma"/>
          <w:sz w:val="2"/>
          <w:szCs w:val="2"/>
        </w:rPr>
      </w:pPr>
    </w:p>
    <w:p w:rsidR="000A7532" w:rsidRPr="002462E6" w:rsidRDefault="000A7532" w:rsidP="00D051D7">
      <w:pPr>
        <w:widowControl w:val="0"/>
        <w:numPr>
          <w:ilvl w:val="0"/>
          <w:numId w:val="14"/>
        </w:numPr>
        <w:tabs>
          <w:tab w:val="left" w:pos="8222"/>
        </w:tabs>
        <w:autoSpaceDE w:val="0"/>
        <w:autoSpaceDN w:val="0"/>
        <w:spacing w:after="0" w:line="240" w:lineRule="auto"/>
        <w:ind w:left="1418" w:right="-138" w:hanging="568"/>
        <w:jc w:val="both"/>
        <w:rPr>
          <w:rFonts w:ascii="Tahoma" w:eastAsia="Times New Roman" w:hAnsi="Tahoma" w:cs="Tahoma"/>
          <w:b/>
          <w:bCs/>
          <w:sz w:val="24"/>
          <w:szCs w:val="24"/>
        </w:rPr>
      </w:pPr>
      <w:r w:rsidRPr="002462E6">
        <w:rPr>
          <w:rFonts w:ascii="Tahoma" w:eastAsia="Times New Roman" w:hAnsi="Tahoma" w:cs="Tahoma"/>
          <w:b/>
          <w:bCs/>
          <w:sz w:val="24"/>
          <w:szCs w:val="24"/>
        </w:rPr>
        <w:t>Le Programme Décennal 2015-2024 : vision et conception</w:t>
      </w:r>
    </w:p>
    <w:p w:rsidR="000A7532" w:rsidRPr="006B3F9A" w:rsidRDefault="000A7532" w:rsidP="000A7532">
      <w:pPr>
        <w:widowControl w:val="0"/>
        <w:tabs>
          <w:tab w:val="left" w:pos="8222"/>
        </w:tabs>
        <w:autoSpaceDE w:val="0"/>
        <w:autoSpaceDN w:val="0"/>
        <w:spacing w:after="0" w:line="240" w:lineRule="auto"/>
        <w:ind w:left="142" w:right="-138"/>
        <w:jc w:val="both"/>
        <w:rPr>
          <w:rFonts w:ascii="Tahoma" w:eastAsia="Times New Roman" w:hAnsi="Tahoma" w:cs="Tahoma"/>
          <w:b/>
          <w:bCs/>
          <w:sz w:val="2"/>
          <w:szCs w:val="2"/>
        </w:rPr>
      </w:pPr>
    </w:p>
    <w:p w:rsidR="000A7532" w:rsidRPr="002462E6" w:rsidRDefault="000A7532" w:rsidP="000A7532">
      <w:pPr>
        <w:widowControl w:val="0"/>
        <w:tabs>
          <w:tab w:val="left" w:pos="8222"/>
        </w:tabs>
        <w:autoSpaceDE w:val="0"/>
        <w:autoSpaceDN w:val="0"/>
        <w:spacing w:before="161" w:after="0" w:line="360" w:lineRule="auto"/>
        <w:jc w:val="both"/>
        <w:rPr>
          <w:rFonts w:ascii="Tahoma" w:eastAsia="Times New Roman" w:hAnsi="Tahoma" w:cs="Tahoma"/>
          <w:sz w:val="24"/>
          <w:szCs w:val="24"/>
        </w:rPr>
      </w:pPr>
      <w:r w:rsidRPr="002462E6">
        <w:rPr>
          <w:rFonts w:ascii="Tahoma" w:eastAsia="Times New Roman" w:hAnsi="Tahoma" w:cs="Tahoma"/>
          <w:sz w:val="24"/>
          <w:szCs w:val="24"/>
        </w:rPr>
        <w:t>Le Plan décennal 2015-2024 est conçu dans un contexte de défis environnementaux croissants et d'une demande accrue pour la gestion durable des ressources forestières</w:t>
      </w:r>
      <w:r w:rsidRPr="002462E6">
        <w:rPr>
          <w:rFonts w:ascii="Tahoma" w:eastAsia="Times New Roman" w:hAnsi="Tahoma" w:cs="Tahoma"/>
          <w:sz w:val="24"/>
          <w:szCs w:val="24"/>
          <w:vertAlign w:val="superscript"/>
        </w:rPr>
        <w:footnoteReference w:id="186"/>
      </w:r>
      <w:r w:rsidRPr="002462E6">
        <w:rPr>
          <w:rFonts w:ascii="Tahoma" w:eastAsia="Times New Roman" w:hAnsi="Tahoma" w:cs="Tahoma"/>
          <w:sz w:val="24"/>
          <w:szCs w:val="24"/>
        </w:rPr>
        <w:t xml:space="preserve">. </w:t>
      </w:r>
    </w:p>
    <w:p w:rsidR="000A7532" w:rsidRPr="002462E6" w:rsidRDefault="000A7532" w:rsidP="000A7532">
      <w:pPr>
        <w:widowControl w:val="0"/>
        <w:tabs>
          <w:tab w:val="left" w:pos="8222"/>
        </w:tabs>
        <w:autoSpaceDE w:val="0"/>
        <w:autoSpaceDN w:val="0"/>
        <w:spacing w:before="161" w:after="0" w:line="360" w:lineRule="auto"/>
        <w:jc w:val="both"/>
        <w:rPr>
          <w:rFonts w:ascii="Tahoma" w:eastAsia="Times New Roman" w:hAnsi="Tahoma" w:cs="Tahoma"/>
          <w:sz w:val="24"/>
          <w:szCs w:val="24"/>
        </w:rPr>
      </w:pPr>
      <w:r w:rsidRPr="002462E6">
        <w:rPr>
          <w:rFonts w:ascii="Tahoma" w:eastAsia="Times New Roman" w:hAnsi="Tahoma" w:cs="Tahoma"/>
          <w:sz w:val="24"/>
          <w:szCs w:val="24"/>
        </w:rPr>
        <w:t>Ce plan vise à instaurer une approche intégrée et opérationnelle pour la gestion des forêts, tout en tenant compte des réalités socio-économiques des territoires concernés.</w:t>
      </w:r>
    </w:p>
    <w:p w:rsidR="000A7532" w:rsidRPr="002462E6" w:rsidRDefault="000A7532" w:rsidP="000A7532">
      <w:pPr>
        <w:widowControl w:val="0"/>
        <w:tabs>
          <w:tab w:val="left" w:pos="8222"/>
        </w:tabs>
        <w:autoSpaceDE w:val="0"/>
        <w:autoSpaceDN w:val="0"/>
        <w:spacing w:before="161" w:after="0" w:line="360" w:lineRule="auto"/>
        <w:jc w:val="both"/>
        <w:rPr>
          <w:rFonts w:ascii="Tahoma" w:eastAsia="Times New Roman" w:hAnsi="Tahoma" w:cs="Tahoma"/>
          <w:sz w:val="24"/>
          <w:szCs w:val="24"/>
        </w:rPr>
      </w:pPr>
      <w:r w:rsidRPr="002462E6">
        <w:rPr>
          <w:rFonts w:ascii="Tahoma" w:eastAsia="Times New Roman" w:hAnsi="Tahoma" w:cs="Tahoma"/>
          <w:sz w:val="24"/>
          <w:szCs w:val="24"/>
        </w:rPr>
        <w:t>La vision du plan se concentre sur la conservation, la valorisation et l'amélioration durable des ressources forestières marocaines. Elle aspire à ériger la forêt non seulement en un simple espace de production, mais comme un acteur clé dans le développement durable local et national. Ceci nécessite de mener des actions concrètes afin de restaurer les écosystèmes dégradés et d'implémenter des stratégies de résilience face aux impacts du changement climatique</w:t>
      </w:r>
      <w:r w:rsidRPr="002462E6">
        <w:rPr>
          <w:rFonts w:ascii="Tahoma" w:eastAsia="Times New Roman" w:hAnsi="Tahoma" w:cs="Tahoma"/>
          <w:sz w:val="24"/>
          <w:szCs w:val="24"/>
          <w:vertAlign w:val="superscript"/>
        </w:rPr>
        <w:footnoteReference w:id="187"/>
      </w:r>
      <w:r w:rsidRPr="002462E6">
        <w:rPr>
          <w:rFonts w:ascii="Tahoma" w:eastAsia="Times New Roman" w:hAnsi="Tahoma" w:cs="Tahoma"/>
          <w:sz w:val="24"/>
          <w:szCs w:val="24"/>
        </w:rPr>
        <w:t>.</w:t>
      </w:r>
    </w:p>
    <w:p w:rsidR="000A7532" w:rsidRPr="002462E6" w:rsidRDefault="000A7532" w:rsidP="000A7532">
      <w:pPr>
        <w:widowControl w:val="0"/>
        <w:tabs>
          <w:tab w:val="left" w:pos="8222"/>
        </w:tabs>
        <w:autoSpaceDE w:val="0"/>
        <w:autoSpaceDN w:val="0"/>
        <w:spacing w:before="161" w:after="0" w:line="360" w:lineRule="auto"/>
        <w:jc w:val="both"/>
        <w:rPr>
          <w:rFonts w:ascii="Tahoma" w:eastAsia="Times New Roman" w:hAnsi="Tahoma" w:cs="Tahoma"/>
          <w:sz w:val="24"/>
          <w:szCs w:val="24"/>
        </w:rPr>
      </w:pPr>
      <w:r w:rsidRPr="002462E6">
        <w:rPr>
          <w:rFonts w:ascii="Tahoma" w:eastAsia="Times New Roman" w:hAnsi="Tahoma" w:cs="Tahoma"/>
          <w:sz w:val="24"/>
          <w:szCs w:val="24"/>
        </w:rPr>
        <w:lastRenderedPageBreak/>
        <w:t>Les bases de conception du plan s'articulent autour d'une évaluation systématique des besoins et des priorités des écosystèmes forestiers. Ce cadre de référence prend en compte les enjeux suivants</w:t>
      </w:r>
      <w:r w:rsidRPr="002462E6">
        <w:rPr>
          <w:rFonts w:ascii="Tahoma" w:eastAsia="Times New Roman" w:hAnsi="Tahoma" w:cs="Tahoma"/>
          <w:sz w:val="24"/>
          <w:szCs w:val="24"/>
          <w:vertAlign w:val="superscript"/>
        </w:rPr>
        <w:footnoteReference w:id="188"/>
      </w:r>
      <w:r w:rsidRPr="002462E6">
        <w:rPr>
          <w:rFonts w:ascii="Tahoma" w:eastAsia="Times New Roman" w:hAnsi="Tahoma" w:cs="Tahoma"/>
          <w:sz w:val="24"/>
          <w:szCs w:val="24"/>
        </w:rPr>
        <w:t xml:space="preserve"> :</w:t>
      </w:r>
    </w:p>
    <w:p w:rsidR="000A7532" w:rsidRPr="002462E6" w:rsidRDefault="000A7532" w:rsidP="00D051D7">
      <w:pPr>
        <w:widowControl w:val="0"/>
        <w:numPr>
          <w:ilvl w:val="0"/>
          <w:numId w:val="30"/>
        </w:numPr>
        <w:tabs>
          <w:tab w:val="left" w:pos="8222"/>
        </w:tabs>
        <w:autoSpaceDE w:val="0"/>
        <w:autoSpaceDN w:val="0"/>
        <w:spacing w:before="161" w:after="0" w:line="360" w:lineRule="auto"/>
        <w:jc w:val="both"/>
        <w:rPr>
          <w:rFonts w:ascii="Tahoma" w:eastAsia="Times New Roman" w:hAnsi="Tahoma" w:cs="Tahoma"/>
          <w:sz w:val="24"/>
          <w:szCs w:val="24"/>
        </w:rPr>
      </w:pPr>
      <w:r w:rsidRPr="002462E6">
        <w:rPr>
          <w:rFonts w:ascii="Tahoma" w:eastAsia="Times New Roman" w:hAnsi="Tahoma" w:cs="Tahoma"/>
          <w:b/>
          <w:bCs/>
          <w:sz w:val="24"/>
          <w:szCs w:val="24"/>
        </w:rPr>
        <w:t>Régénération et sauvegarde des écosystèmes :</w:t>
      </w:r>
      <w:r w:rsidRPr="002462E6">
        <w:rPr>
          <w:rFonts w:ascii="Tahoma" w:eastAsia="Times New Roman" w:hAnsi="Tahoma" w:cs="Tahoma"/>
          <w:sz w:val="24"/>
          <w:szCs w:val="24"/>
        </w:rPr>
        <w:t xml:space="preserve"> L'accent est mis sur la régénération des ressources forestières tout en développant des initiatives de gestion durable qui répondent aux besoins des communautés locales ;</w:t>
      </w:r>
    </w:p>
    <w:p w:rsidR="000A7532" w:rsidRPr="002462E6" w:rsidRDefault="000A7532" w:rsidP="00D051D7">
      <w:pPr>
        <w:widowControl w:val="0"/>
        <w:numPr>
          <w:ilvl w:val="0"/>
          <w:numId w:val="30"/>
        </w:numPr>
        <w:tabs>
          <w:tab w:val="left" w:pos="8222"/>
        </w:tabs>
        <w:autoSpaceDE w:val="0"/>
        <w:autoSpaceDN w:val="0"/>
        <w:spacing w:before="161" w:after="0" w:line="360" w:lineRule="auto"/>
        <w:jc w:val="both"/>
        <w:rPr>
          <w:rFonts w:ascii="Tahoma" w:eastAsia="Times New Roman" w:hAnsi="Tahoma" w:cs="Tahoma"/>
          <w:sz w:val="24"/>
          <w:szCs w:val="24"/>
        </w:rPr>
      </w:pPr>
      <w:r w:rsidRPr="002462E6">
        <w:rPr>
          <w:rFonts w:ascii="Tahoma" w:eastAsia="Times New Roman" w:hAnsi="Tahoma" w:cs="Tahoma"/>
          <w:b/>
          <w:bCs/>
          <w:sz w:val="24"/>
          <w:szCs w:val="24"/>
        </w:rPr>
        <w:t>Participation communautaire :</w:t>
      </w:r>
      <w:r w:rsidRPr="002462E6">
        <w:rPr>
          <w:rFonts w:ascii="Tahoma" w:eastAsia="Times New Roman" w:hAnsi="Tahoma" w:cs="Tahoma"/>
          <w:sz w:val="24"/>
          <w:szCs w:val="24"/>
        </w:rPr>
        <w:t xml:space="preserve"> Le plan préconise l'implication directe des populations rurales dans la prise de décisions concernant l'exploitation et la gestion des ressources forestières ;</w:t>
      </w:r>
    </w:p>
    <w:p w:rsidR="000A7532" w:rsidRDefault="000A7532" w:rsidP="008262EA">
      <w:pPr>
        <w:widowControl w:val="0"/>
        <w:numPr>
          <w:ilvl w:val="0"/>
          <w:numId w:val="30"/>
        </w:numPr>
        <w:tabs>
          <w:tab w:val="left" w:pos="8222"/>
        </w:tabs>
        <w:autoSpaceDE w:val="0"/>
        <w:autoSpaceDN w:val="0"/>
        <w:spacing w:before="161" w:line="360" w:lineRule="auto"/>
        <w:jc w:val="both"/>
        <w:rPr>
          <w:rFonts w:ascii="Tahoma" w:eastAsia="Times New Roman" w:hAnsi="Tahoma" w:cs="Tahoma"/>
          <w:sz w:val="24"/>
          <w:szCs w:val="24"/>
        </w:rPr>
      </w:pPr>
      <w:r w:rsidRPr="002462E6">
        <w:rPr>
          <w:rFonts w:ascii="Tahoma" w:eastAsia="Times New Roman" w:hAnsi="Tahoma" w:cs="Tahoma"/>
          <w:b/>
          <w:bCs/>
          <w:sz w:val="24"/>
          <w:szCs w:val="24"/>
        </w:rPr>
        <w:t>Adaptation au contexte national et international :</w:t>
      </w:r>
      <w:r w:rsidRPr="002462E6">
        <w:rPr>
          <w:rFonts w:ascii="Tahoma" w:eastAsia="Times New Roman" w:hAnsi="Tahoma" w:cs="Tahoma"/>
          <w:sz w:val="24"/>
          <w:szCs w:val="24"/>
        </w:rPr>
        <w:t xml:space="preserve"> Les actions doivent s'aligner avec les engagements internationaux du Maroc, notamment ceux relatifs à la lutte contre les changements climatiques et à la conservation de la biodiversité.</w:t>
      </w:r>
    </w:p>
    <w:p w:rsidR="008262EA" w:rsidRPr="002462E6" w:rsidRDefault="008262EA" w:rsidP="008262EA">
      <w:pPr>
        <w:widowControl w:val="0"/>
        <w:tabs>
          <w:tab w:val="left" w:pos="8222"/>
        </w:tabs>
        <w:autoSpaceDE w:val="0"/>
        <w:autoSpaceDN w:val="0"/>
        <w:spacing w:before="161" w:line="360" w:lineRule="auto"/>
        <w:ind w:left="720"/>
        <w:jc w:val="both"/>
        <w:rPr>
          <w:rFonts w:ascii="Tahoma" w:eastAsia="Times New Roman" w:hAnsi="Tahoma" w:cs="Tahoma"/>
          <w:sz w:val="24"/>
          <w:szCs w:val="24"/>
        </w:rPr>
      </w:pPr>
    </w:p>
    <w:p w:rsidR="000A7532" w:rsidRPr="002462E6" w:rsidRDefault="000A7532" w:rsidP="000A7532">
      <w:pPr>
        <w:widowControl w:val="0"/>
        <w:tabs>
          <w:tab w:val="left" w:pos="8222"/>
        </w:tabs>
        <w:autoSpaceDE w:val="0"/>
        <w:autoSpaceDN w:val="0"/>
        <w:spacing w:before="161" w:after="0" w:line="360" w:lineRule="auto"/>
        <w:jc w:val="both"/>
        <w:rPr>
          <w:rFonts w:ascii="Tahoma" w:eastAsia="Times New Roman" w:hAnsi="Tahoma" w:cs="Tahoma"/>
          <w:sz w:val="24"/>
          <w:szCs w:val="24"/>
        </w:rPr>
      </w:pPr>
      <w:r w:rsidRPr="002462E6">
        <w:rPr>
          <w:rFonts w:ascii="Tahoma" w:eastAsia="Times New Roman" w:hAnsi="Tahoma" w:cs="Tahoma"/>
          <w:sz w:val="24"/>
          <w:szCs w:val="24"/>
        </w:rPr>
        <w:t>Le plan s'articule autour de plusieurs axes stratégiques, notamment :</w:t>
      </w:r>
    </w:p>
    <w:p w:rsidR="000A7532" w:rsidRPr="002462E6" w:rsidRDefault="000A7532" w:rsidP="008262EA">
      <w:pPr>
        <w:widowControl w:val="0"/>
        <w:numPr>
          <w:ilvl w:val="0"/>
          <w:numId w:val="31"/>
        </w:numPr>
        <w:tabs>
          <w:tab w:val="left" w:pos="8222"/>
        </w:tabs>
        <w:autoSpaceDE w:val="0"/>
        <w:autoSpaceDN w:val="0"/>
        <w:spacing w:before="161" w:line="360" w:lineRule="auto"/>
        <w:jc w:val="both"/>
        <w:rPr>
          <w:rFonts w:ascii="Tahoma" w:eastAsia="Times New Roman" w:hAnsi="Tahoma" w:cs="Tahoma"/>
          <w:sz w:val="24"/>
          <w:szCs w:val="24"/>
        </w:rPr>
      </w:pPr>
      <w:r w:rsidRPr="002462E6">
        <w:rPr>
          <w:rFonts w:ascii="Tahoma" w:eastAsia="Times New Roman" w:hAnsi="Tahoma" w:cs="Tahoma"/>
          <w:b/>
          <w:bCs/>
          <w:sz w:val="24"/>
          <w:szCs w:val="24"/>
        </w:rPr>
        <w:t>Lutte contre la déforestation et les incendies de forêt :</w:t>
      </w:r>
      <w:r w:rsidRPr="002462E6">
        <w:rPr>
          <w:rFonts w:ascii="Tahoma" w:eastAsia="Times New Roman" w:hAnsi="Tahoma" w:cs="Tahoma"/>
          <w:sz w:val="24"/>
          <w:szCs w:val="24"/>
        </w:rPr>
        <w:t xml:space="preserve"> Ce premier axe vise à renforcer la résilience des forêts par l'instauration de mesures de prévention et de lutte contre les incendies ;</w:t>
      </w:r>
    </w:p>
    <w:p w:rsidR="000A7532" w:rsidRPr="002462E6" w:rsidRDefault="000A7532" w:rsidP="008262EA">
      <w:pPr>
        <w:widowControl w:val="0"/>
        <w:numPr>
          <w:ilvl w:val="0"/>
          <w:numId w:val="31"/>
        </w:numPr>
        <w:tabs>
          <w:tab w:val="left" w:pos="8222"/>
        </w:tabs>
        <w:autoSpaceDE w:val="0"/>
        <w:autoSpaceDN w:val="0"/>
        <w:spacing w:before="161" w:line="360" w:lineRule="auto"/>
        <w:jc w:val="both"/>
        <w:rPr>
          <w:rFonts w:ascii="Tahoma" w:eastAsia="Times New Roman" w:hAnsi="Tahoma" w:cs="Tahoma"/>
          <w:sz w:val="24"/>
          <w:szCs w:val="24"/>
        </w:rPr>
      </w:pPr>
      <w:r w:rsidRPr="002462E6">
        <w:rPr>
          <w:rFonts w:ascii="Tahoma" w:eastAsia="Times New Roman" w:hAnsi="Tahoma" w:cs="Tahoma"/>
          <w:b/>
          <w:bCs/>
          <w:sz w:val="24"/>
          <w:szCs w:val="24"/>
        </w:rPr>
        <w:t>Réhabilitation des écosystèmes forestiers :</w:t>
      </w:r>
      <w:r w:rsidRPr="002462E6">
        <w:rPr>
          <w:rFonts w:ascii="Tahoma" w:eastAsia="Times New Roman" w:hAnsi="Tahoma" w:cs="Tahoma"/>
          <w:sz w:val="24"/>
          <w:szCs w:val="24"/>
        </w:rPr>
        <w:t xml:space="preserve"> Les enjeux de restauration des milieux naturels doivent primer dans la seconde phase des interventions, incluant la reforestation et la conservation des sols et des eaux ;</w:t>
      </w:r>
    </w:p>
    <w:p w:rsidR="000A7532" w:rsidRPr="002462E6" w:rsidRDefault="000A7532" w:rsidP="008262EA">
      <w:pPr>
        <w:widowControl w:val="0"/>
        <w:numPr>
          <w:ilvl w:val="0"/>
          <w:numId w:val="31"/>
        </w:numPr>
        <w:tabs>
          <w:tab w:val="left" w:pos="8222"/>
        </w:tabs>
        <w:autoSpaceDE w:val="0"/>
        <w:autoSpaceDN w:val="0"/>
        <w:spacing w:before="161" w:line="360" w:lineRule="auto"/>
        <w:jc w:val="both"/>
        <w:rPr>
          <w:rFonts w:ascii="Tahoma" w:eastAsia="Times New Roman" w:hAnsi="Tahoma" w:cs="Tahoma"/>
          <w:sz w:val="24"/>
          <w:szCs w:val="24"/>
        </w:rPr>
      </w:pPr>
      <w:r w:rsidRPr="002462E6">
        <w:rPr>
          <w:rFonts w:ascii="Tahoma" w:eastAsia="Times New Roman" w:hAnsi="Tahoma" w:cs="Tahoma"/>
          <w:b/>
          <w:bCs/>
          <w:sz w:val="24"/>
          <w:szCs w:val="24"/>
        </w:rPr>
        <w:t>Soutien à l'économie locale et valorisation des produits forestiers :</w:t>
      </w:r>
      <w:r w:rsidRPr="002462E6">
        <w:rPr>
          <w:rFonts w:ascii="Tahoma" w:eastAsia="Times New Roman" w:hAnsi="Tahoma" w:cs="Tahoma"/>
          <w:sz w:val="24"/>
          <w:szCs w:val="24"/>
        </w:rPr>
        <w:t xml:space="preserve"> Le développement de modèles économiques durables reliant les forêts aux communautés rurales est fondamental. Ceci inclut la valorisation de produits non ligneux et la promotion de pratiques sylvo-pastorales.</w:t>
      </w:r>
    </w:p>
    <w:p w:rsidR="008262EA" w:rsidRDefault="008262EA">
      <w:pPr>
        <w:rPr>
          <w:rFonts w:ascii="Tahoma" w:eastAsia="Times New Roman" w:hAnsi="Tahoma" w:cs="Tahoma"/>
          <w:sz w:val="24"/>
          <w:szCs w:val="24"/>
        </w:rPr>
      </w:pPr>
      <w:r>
        <w:rPr>
          <w:rFonts w:ascii="Tahoma" w:eastAsia="Times New Roman" w:hAnsi="Tahoma" w:cs="Tahoma"/>
          <w:sz w:val="24"/>
          <w:szCs w:val="24"/>
        </w:rPr>
        <w:br w:type="page"/>
      </w:r>
    </w:p>
    <w:p w:rsidR="000A7532" w:rsidRPr="002462E6" w:rsidRDefault="000A7532" w:rsidP="008262EA">
      <w:pPr>
        <w:widowControl w:val="0"/>
        <w:tabs>
          <w:tab w:val="left" w:pos="8222"/>
        </w:tabs>
        <w:autoSpaceDE w:val="0"/>
        <w:autoSpaceDN w:val="0"/>
        <w:spacing w:before="161" w:line="360" w:lineRule="auto"/>
        <w:jc w:val="both"/>
        <w:rPr>
          <w:rFonts w:ascii="Tahoma" w:eastAsia="Times New Roman" w:hAnsi="Tahoma" w:cs="Tahoma"/>
          <w:sz w:val="24"/>
          <w:szCs w:val="24"/>
        </w:rPr>
      </w:pPr>
      <w:r w:rsidRPr="002462E6">
        <w:rPr>
          <w:rFonts w:ascii="Tahoma" w:eastAsia="Times New Roman" w:hAnsi="Tahoma" w:cs="Tahoma"/>
          <w:sz w:val="24"/>
          <w:szCs w:val="24"/>
        </w:rPr>
        <w:lastRenderedPageBreak/>
        <w:t>En somme, le Plan décennal 2015-2024 se fixe pour but le renforcement des acquis de la décennie précédente tout en ajustant ses approches en vue de surmonter les défis et les contraintes identifiés. La réussite de sa mise en œuvre repose en grande partie sur l'implication active des principaux acteurs concernés, notamment l'État, le gouvernement, les populations locales et les organisations internationales.</w:t>
      </w:r>
    </w:p>
    <w:p w:rsidR="000A7532" w:rsidRPr="002462E6" w:rsidRDefault="000A7532" w:rsidP="00D051D7">
      <w:pPr>
        <w:widowControl w:val="0"/>
        <w:numPr>
          <w:ilvl w:val="0"/>
          <w:numId w:val="14"/>
        </w:numPr>
        <w:tabs>
          <w:tab w:val="left" w:pos="8222"/>
        </w:tabs>
        <w:autoSpaceDE w:val="0"/>
        <w:autoSpaceDN w:val="0"/>
        <w:spacing w:before="161" w:after="0" w:line="360" w:lineRule="auto"/>
        <w:ind w:left="1134"/>
        <w:jc w:val="both"/>
        <w:rPr>
          <w:rFonts w:ascii="Tahoma" w:eastAsia="Times New Roman" w:hAnsi="Tahoma" w:cs="Tahoma"/>
          <w:b/>
          <w:bCs/>
          <w:sz w:val="24"/>
          <w:szCs w:val="24"/>
        </w:rPr>
      </w:pPr>
      <w:r w:rsidRPr="002462E6">
        <w:rPr>
          <w:rFonts w:ascii="Tahoma" w:eastAsia="Times New Roman" w:hAnsi="Tahoma" w:cs="Tahoma"/>
          <w:b/>
          <w:bCs/>
          <w:sz w:val="24"/>
          <w:szCs w:val="24"/>
        </w:rPr>
        <w:t>Nouvelle stratégie forestière « Forêts du Maroc 2020-2030 » </w:t>
      </w:r>
    </w:p>
    <w:p w:rsidR="000A7532" w:rsidRDefault="000A7532" w:rsidP="005613F6">
      <w:pPr>
        <w:widowControl w:val="0"/>
        <w:tabs>
          <w:tab w:val="left" w:pos="8222"/>
        </w:tabs>
        <w:autoSpaceDE w:val="0"/>
        <w:autoSpaceDN w:val="0"/>
        <w:spacing w:before="161" w:after="0" w:line="360" w:lineRule="auto"/>
        <w:jc w:val="both"/>
        <w:rPr>
          <w:rFonts w:ascii="Tahoma" w:eastAsia="Times New Roman" w:hAnsi="Tahoma" w:cs="Tahoma"/>
          <w:sz w:val="24"/>
          <w:szCs w:val="24"/>
        </w:rPr>
      </w:pPr>
      <w:r w:rsidRPr="002462E6">
        <w:rPr>
          <w:rFonts w:ascii="Tahoma" w:eastAsia="Times New Roman" w:hAnsi="Tahoma" w:cs="Tahoma"/>
          <w:sz w:val="24"/>
          <w:szCs w:val="24"/>
        </w:rPr>
        <w:t xml:space="preserve">Engagé dans une dynamique de développement durable, le Maroc adopte sa nouvelle stratégie forestière « Forêts du Maroc 2020-2030 », lancée par le souverain en février 2020. Celle-ci, met l'accent sur l'implication des populations locales dans la gestion des forêts </w:t>
      </w:r>
      <w:r w:rsidRPr="002462E6">
        <w:rPr>
          <w:rFonts w:ascii="Tahoma" w:eastAsia="Times New Roman" w:hAnsi="Tahoma" w:cs="Tahoma"/>
          <w:b/>
          <w:bCs/>
          <w:sz w:val="24"/>
          <w:szCs w:val="24"/>
        </w:rPr>
        <w:t xml:space="preserve">(Figure </w:t>
      </w:r>
      <w:r w:rsidRPr="002462E6">
        <w:rPr>
          <w:rFonts w:ascii="Tahoma" w:eastAsia="Times New Roman" w:hAnsi="Tahoma" w:cs="Tahoma"/>
          <w:b/>
          <w:bCs/>
          <w:color w:val="000000"/>
          <w:sz w:val="24"/>
          <w:szCs w:val="24"/>
        </w:rPr>
        <w:t>N°</w:t>
      </w:r>
      <w:r w:rsidR="005613F6" w:rsidRPr="002462E6">
        <w:rPr>
          <w:rFonts w:ascii="Tahoma" w:eastAsia="Times New Roman" w:hAnsi="Tahoma" w:cs="Tahoma"/>
          <w:b/>
          <w:bCs/>
          <w:color w:val="000000"/>
          <w:sz w:val="24"/>
          <w:szCs w:val="24"/>
        </w:rPr>
        <w:t>5</w:t>
      </w:r>
      <w:r w:rsidRPr="002462E6">
        <w:rPr>
          <w:rFonts w:ascii="Tahoma" w:eastAsia="Times New Roman" w:hAnsi="Tahoma" w:cs="Tahoma"/>
          <w:b/>
          <w:bCs/>
          <w:sz w:val="24"/>
          <w:szCs w:val="24"/>
        </w:rPr>
        <w:t>).</w:t>
      </w:r>
      <w:r w:rsidRPr="002462E6">
        <w:rPr>
          <w:rFonts w:ascii="Tahoma" w:eastAsia="Times New Roman" w:hAnsi="Tahoma" w:cs="Tahoma"/>
          <w:sz w:val="24"/>
          <w:szCs w:val="24"/>
        </w:rPr>
        <w:t xml:space="preserve"> Selon l’Agence Nationale des Eaux et Forêts (ANEF), des mesures appropriées ont été mises en place afin de favoriser une réconciliation entre le citoyen marocain et son espace forestier. Ces initiatives s'inscrivent dans une démarche visant à moderniser et à renforcer la compétitivité du secteur forestier. À cet effet, la valorisation des ressources forestières constitue un levier essentiel pour la mise en œuvre d’un nouveau modèle de gestion inclusif, durable et créateur de richesse</w:t>
      </w:r>
      <w:r w:rsidRPr="002462E6">
        <w:rPr>
          <w:rFonts w:ascii="Tahoma" w:eastAsia="Times New Roman" w:hAnsi="Tahoma" w:cs="Tahoma"/>
          <w:sz w:val="24"/>
          <w:szCs w:val="24"/>
          <w:vertAlign w:val="superscript"/>
        </w:rPr>
        <w:footnoteReference w:id="189"/>
      </w:r>
      <w:r w:rsidRPr="002462E6">
        <w:rPr>
          <w:rFonts w:ascii="Tahoma" w:eastAsia="Times New Roman" w:hAnsi="Tahoma" w:cs="Tahoma"/>
          <w:sz w:val="24"/>
          <w:szCs w:val="24"/>
        </w:rPr>
        <w:t>.</w:t>
      </w:r>
    </w:p>
    <w:p w:rsidR="00FF7634" w:rsidRPr="002462E6" w:rsidRDefault="00FF7634" w:rsidP="00FF7634">
      <w:pPr>
        <w:rPr>
          <w:rFonts w:ascii="Tahoma" w:eastAsia="Times New Roman" w:hAnsi="Tahoma" w:cs="Tahoma"/>
          <w:sz w:val="24"/>
          <w:szCs w:val="24"/>
        </w:rPr>
      </w:pPr>
      <w:r>
        <w:rPr>
          <w:rFonts w:ascii="Tahoma" w:eastAsia="Times New Roman" w:hAnsi="Tahoma" w:cs="Tahoma"/>
          <w:sz w:val="24"/>
          <w:szCs w:val="24"/>
        </w:rPr>
        <w:br w:type="page"/>
      </w:r>
    </w:p>
    <w:p w:rsidR="000A7532" w:rsidRPr="002462E6" w:rsidRDefault="000A7532" w:rsidP="000D57A1">
      <w:pPr>
        <w:pStyle w:val="Sous-titre"/>
      </w:pPr>
      <w:bookmarkStart w:id="113" w:name="_Toc185696923"/>
      <w:bookmarkStart w:id="114" w:name="_Toc201571199"/>
      <w:bookmarkStart w:id="115" w:name="_Toc203642797"/>
      <w:r w:rsidRPr="002462E6">
        <w:lastRenderedPageBreak/>
        <w:t xml:space="preserve">Figure </w:t>
      </w:r>
      <w:r w:rsidR="00225ED1">
        <w:rPr>
          <w:noProof/>
        </w:rPr>
        <w:fldChar w:fldCharType="begin"/>
      </w:r>
      <w:r w:rsidR="00225ED1">
        <w:rPr>
          <w:noProof/>
        </w:rPr>
        <w:instrText xml:space="preserve"> SEQ Figure \* ARABIC </w:instrText>
      </w:r>
      <w:r w:rsidR="00225ED1">
        <w:rPr>
          <w:noProof/>
        </w:rPr>
        <w:fldChar w:fldCharType="separate"/>
      </w:r>
      <w:r w:rsidR="00124AFB">
        <w:rPr>
          <w:noProof/>
        </w:rPr>
        <w:t>5</w:t>
      </w:r>
      <w:r w:rsidR="00225ED1">
        <w:rPr>
          <w:noProof/>
        </w:rPr>
        <w:fldChar w:fldCharType="end"/>
      </w:r>
      <w:r w:rsidR="00246834" w:rsidRPr="002462E6">
        <w:t> :</w:t>
      </w:r>
      <w:r w:rsidRPr="002462E6">
        <w:t xml:space="preserve"> Axes majeurs de la nouvelle stratégie « Forêts du Maroc 2020-2030 »</w:t>
      </w:r>
      <w:bookmarkEnd w:id="113"/>
      <w:bookmarkEnd w:id="114"/>
      <w:bookmarkEnd w:id="115"/>
    </w:p>
    <w:p w:rsidR="000A7532" w:rsidRPr="002462E6" w:rsidRDefault="000A7532" w:rsidP="000A7532">
      <w:pPr>
        <w:widowControl w:val="0"/>
        <w:autoSpaceDE w:val="0"/>
        <w:autoSpaceDN w:val="0"/>
        <w:spacing w:before="161" w:after="0" w:line="360" w:lineRule="auto"/>
        <w:ind w:right="4"/>
        <w:jc w:val="center"/>
        <w:rPr>
          <w:rFonts w:ascii="Tahoma" w:eastAsia="Times New Roman" w:hAnsi="Tahoma" w:cs="Tahoma"/>
          <w:sz w:val="24"/>
          <w:szCs w:val="24"/>
        </w:rPr>
      </w:pPr>
      <w:r w:rsidRPr="002462E6">
        <w:rPr>
          <w:rFonts w:ascii="Tahoma" w:eastAsia="Times New Roman" w:hAnsi="Tahoma" w:cs="Tahoma"/>
          <w:noProof/>
          <w:sz w:val="24"/>
          <w:szCs w:val="24"/>
          <w:lang w:eastAsia="fr-FR"/>
        </w:rPr>
        <w:drawing>
          <wp:inline distT="0" distB="0" distL="0" distR="0" wp14:anchorId="27E6D026" wp14:editId="5CCC0C48">
            <wp:extent cx="5676406" cy="3194462"/>
            <wp:effectExtent l="0" t="0" r="635" b="6350"/>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BEBA8EAE-BF5A-486C-A8C5-ECC9F3942E4B}">
                          <a14:imgProps xmlns:a14="http://schemas.microsoft.com/office/drawing/2010/main">
                            <a14:imgLayer r:embed="rId16">
                              <a14:imgEffect>
                                <a14:sharpenSoften amount="50000"/>
                              </a14:imgEffect>
                              <a14:imgEffect>
                                <a14:saturation sat="200000"/>
                              </a14:imgEffect>
                            </a14:imgLayer>
                          </a14:imgProps>
                        </a:ext>
                        <a:ext uri="{28A0092B-C50C-407E-A947-70E740481C1C}">
                          <a14:useLocalDpi xmlns:a14="http://schemas.microsoft.com/office/drawing/2010/main" val="0"/>
                        </a:ext>
                      </a:extLst>
                    </a:blip>
                    <a:srcRect/>
                    <a:stretch>
                      <a:fillRect/>
                    </a:stretch>
                  </pic:blipFill>
                  <pic:spPr bwMode="auto">
                    <a:xfrm>
                      <a:off x="0" y="0"/>
                      <a:ext cx="5680099" cy="3196540"/>
                    </a:xfrm>
                    <a:prstGeom prst="rect">
                      <a:avLst/>
                    </a:prstGeom>
                    <a:noFill/>
                  </pic:spPr>
                </pic:pic>
              </a:graphicData>
            </a:graphic>
          </wp:inline>
        </w:drawing>
      </w:r>
    </w:p>
    <w:p w:rsidR="000A7532" w:rsidRPr="002462E6" w:rsidRDefault="000A7532" w:rsidP="000A7532">
      <w:pPr>
        <w:widowControl w:val="0"/>
        <w:autoSpaceDE w:val="0"/>
        <w:autoSpaceDN w:val="0"/>
        <w:spacing w:before="161" w:after="0" w:line="360" w:lineRule="auto"/>
        <w:ind w:right="4"/>
        <w:jc w:val="center"/>
        <w:rPr>
          <w:rFonts w:ascii="Tahoma" w:eastAsia="Times New Roman" w:hAnsi="Tahoma" w:cs="Tahoma"/>
          <w:sz w:val="20"/>
          <w:szCs w:val="20"/>
        </w:rPr>
      </w:pPr>
      <w:r w:rsidRPr="002462E6">
        <w:rPr>
          <w:rFonts w:ascii="Tahoma" w:eastAsia="Times New Roman" w:hAnsi="Tahoma" w:cs="Tahoma"/>
          <w:b/>
          <w:bCs/>
          <w:sz w:val="20"/>
          <w:szCs w:val="20"/>
        </w:rPr>
        <w:t>Source</w:t>
      </w:r>
      <w:r w:rsidRPr="002462E6">
        <w:rPr>
          <w:rFonts w:ascii="Tahoma" w:eastAsia="Times New Roman" w:hAnsi="Tahoma" w:cs="Tahoma"/>
          <w:b/>
          <w:bCs/>
          <w:i/>
          <w:iCs/>
          <w:sz w:val="20"/>
          <w:szCs w:val="20"/>
        </w:rPr>
        <w:t xml:space="preserve"> :</w:t>
      </w:r>
      <w:r w:rsidRPr="002462E6">
        <w:rPr>
          <w:rFonts w:ascii="Tahoma" w:eastAsia="Times New Roman" w:hAnsi="Tahoma" w:cs="Tahoma"/>
          <w:sz w:val="20"/>
          <w:szCs w:val="20"/>
        </w:rPr>
        <w:t xml:space="preserve"> stratégie « Forêts du Maroc 2020-2030 »</w:t>
      </w:r>
    </w:p>
    <w:p w:rsidR="00946C44" w:rsidRPr="002462E6" w:rsidRDefault="000A7532" w:rsidP="00FF7634">
      <w:pPr>
        <w:widowControl w:val="0"/>
        <w:autoSpaceDE w:val="0"/>
        <w:autoSpaceDN w:val="0"/>
        <w:spacing w:before="161" w:after="0" w:line="360" w:lineRule="auto"/>
        <w:ind w:right="4"/>
        <w:jc w:val="both"/>
        <w:rPr>
          <w:rFonts w:ascii="Tahoma" w:eastAsia="Times New Roman" w:hAnsi="Tahoma" w:cs="Tahoma"/>
          <w:sz w:val="24"/>
          <w:szCs w:val="24"/>
        </w:rPr>
      </w:pPr>
      <w:r w:rsidRPr="002462E6">
        <w:rPr>
          <w:rFonts w:ascii="Tahoma" w:eastAsia="Times New Roman" w:hAnsi="Tahoma" w:cs="Tahoma"/>
          <w:sz w:val="24"/>
          <w:szCs w:val="24"/>
        </w:rPr>
        <w:t>Depuis son lancement il y a cinq ans, divers chantiers ont été ouverts en vue de mettre en œuvre les axes majeurs pour gérer ’’durablement’’ le patrimoine forestier. Selon l’administration forestière, il s’agit notamment de réinventer et structurer l’approche participative, de différencier et développer les espaces forestiers selon leur vocation, d’investir dans la modernisation des différentes professions forestières et de procéder à une refo</w:t>
      </w:r>
      <w:r w:rsidR="00FF7634">
        <w:rPr>
          <w:rFonts w:ascii="Tahoma" w:eastAsia="Times New Roman" w:hAnsi="Tahoma" w:cs="Tahoma"/>
          <w:sz w:val="24"/>
          <w:szCs w:val="24"/>
        </w:rPr>
        <w:t>nte institutionnelle et légale.</w:t>
      </w:r>
    </w:p>
    <w:p w:rsidR="00946C44" w:rsidRPr="002462E6" w:rsidRDefault="000A7532" w:rsidP="00B7322E">
      <w:pPr>
        <w:widowControl w:val="0"/>
        <w:autoSpaceDE w:val="0"/>
        <w:autoSpaceDN w:val="0"/>
        <w:spacing w:before="161" w:after="0" w:line="360" w:lineRule="auto"/>
        <w:ind w:right="4"/>
        <w:jc w:val="both"/>
        <w:rPr>
          <w:rFonts w:ascii="Tahoma" w:eastAsia="Times New Roman" w:hAnsi="Tahoma" w:cs="Tahoma"/>
          <w:sz w:val="24"/>
          <w:szCs w:val="24"/>
        </w:rPr>
      </w:pPr>
      <w:r w:rsidRPr="002462E6">
        <w:rPr>
          <w:rFonts w:ascii="Tahoma" w:eastAsia="Times New Roman" w:hAnsi="Tahoma" w:cs="Tahoma"/>
          <w:sz w:val="24"/>
          <w:szCs w:val="24"/>
        </w:rPr>
        <w:t>Dans le cadre de la stratégie "Forêts du Maroc 2020-2030", l'Agence a développé une composante spécifique consacrée à la filière bois-énergie. Cette initiative vise à optimiser la gestion de cette ressource en vue d’établir « un équilibre optimal » entre les différentes sources d'approvisionnement et les usages variés, tout en considérant les impératifs de durabilité des écosystèmes forestiers. Elle vise à renforcer l'approvisionnement en bois-énergie en mettant en place des programmes de reboisement. Ces programmes prévoient une augmentation progressive des surfaces replantées pour atteindre l’objectif de 100 000 hectares d'ici 2030</w:t>
      </w:r>
      <w:r w:rsidRPr="002462E6">
        <w:rPr>
          <w:rFonts w:ascii="Tahoma" w:eastAsia="Times New Roman" w:hAnsi="Tahoma" w:cs="Tahoma"/>
          <w:sz w:val="24"/>
          <w:szCs w:val="24"/>
          <w:vertAlign w:val="superscript"/>
        </w:rPr>
        <w:footnoteReference w:id="190"/>
      </w:r>
      <w:r w:rsidR="00B7322E">
        <w:rPr>
          <w:rFonts w:ascii="Tahoma" w:eastAsia="Times New Roman" w:hAnsi="Tahoma" w:cs="Tahoma"/>
          <w:sz w:val="24"/>
          <w:szCs w:val="24"/>
        </w:rPr>
        <w:t>.</w:t>
      </w:r>
    </w:p>
    <w:p w:rsidR="00946C44" w:rsidRPr="002462E6" w:rsidRDefault="000A7532" w:rsidP="00B7322E">
      <w:pPr>
        <w:widowControl w:val="0"/>
        <w:autoSpaceDE w:val="0"/>
        <w:autoSpaceDN w:val="0"/>
        <w:spacing w:before="161" w:after="0" w:line="360" w:lineRule="auto"/>
        <w:ind w:right="4"/>
        <w:jc w:val="both"/>
        <w:rPr>
          <w:rFonts w:ascii="Tahoma" w:eastAsia="Times New Roman" w:hAnsi="Tahoma" w:cs="Tahoma"/>
          <w:sz w:val="24"/>
          <w:szCs w:val="24"/>
        </w:rPr>
      </w:pPr>
      <w:r w:rsidRPr="002462E6">
        <w:rPr>
          <w:rFonts w:ascii="Tahoma" w:eastAsia="Times New Roman" w:hAnsi="Tahoma" w:cs="Tahoma"/>
          <w:sz w:val="24"/>
          <w:szCs w:val="24"/>
        </w:rPr>
        <w:lastRenderedPageBreak/>
        <w:t xml:space="preserve">Des innovations techniques sont mises en œuvre pour assurer l'efficacité des programmes de reboisement. Par exemple, des méthodes de plantation économes en eau sont adoptées, et des technologies comme les drones sont utilisées pour surveiller et prévenir les incendies. De plus, l'intégration de la tourbe dans les pépinières en vue d'améliorer la qualité des plants, ce qui devrait augmenter le taux de réussite </w:t>
      </w:r>
      <w:r w:rsidR="00B7322E">
        <w:rPr>
          <w:rFonts w:ascii="Tahoma" w:eastAsia="Times New Roman" w:hAnsi="Tahoma" w:cs="Tahoma"/>
          <w:sz w:val="24"/>
          <w:szCs w:val="24"/>
        </w:rPr>
        <w:t>des initiatives de reboisement.</w:t>
      </w:r>
    </w:p>
    <w:p w:rsidR="000A7532" w:rsidRPr="002462E6" w:rsidRDefault="000A7532" w:rsidP="000A7532">
      <w:pPr>
        <w:widowControl w:val="0"/>
        <w:autoSpaceDE w:val="0"/>
        <w:autoSpaceDN w:val="0"/>
        <w:spacing w:before="161" w:after="0" w:line="360" w:lineRule="auto"/>
        <w:ind w:right="4"/>
        <w:jc w:val="both"/>
        <w:rPr>
          <w:rFonts w:ascii="Tahoma" w:eastAsia="Times New Roman" w:hAnsi="Tahoma" w:cs="Tahoma"/>
          <w:sz w:val="24"/>
          <w:szCs w:val="24"/>
        </w:rPr>
      </w:pPr>
      <w:r w:rsidRPr="002462E6">
        <w:rPr>
          <w:rFonts w:ascii="Tahoma" w:eastAsia="Times New Roman" w:hAnsi="Tahoma" w:cs="Tahoma"/>
          <w:sz w:val="24"/>
          <w:szCs w:val="24"/>
        </w:rPr>
        <w:t xml:space="preserve">Cette stratégie vise également à promouvoir des alternatives au bois-énergie en encourageant l'utilisation de technologies améliorées et de sources d'énergie alternatives. Elle ambitionne notamment de vulgariser l'emploi de fours améliorés présentant une haute efficacité énergétique. Dans ce cadre, l'ANEF annonce la distribution annuellement d’environ 10 000 fours </w:t>
      </w:r>
      <w:r w:rsidR="0073088F" w:rsidRPr="002462E6">
        <w:rPr>
          <w:rFonts w:ascii="Tahoma" w:eastAsia="Times New Roman" w:hAnsi="Tahoma" w:cs="Tahoma"/>
          <w:sz w:val="24"/>
          <w:szCs w:val="24"/>
        </w:rPr>
        <w:t>multi-usagers</w:t>
      </w:r>
      <w:r w:rsidRPr="002462E6">
        <w:rPr>
          <w:rFonts w:ascii="Tahoma" w:eastAsia="Times New Roman" w:hAnsi="Tahoma" w:cs="Tahoma"/>
          <w:sz w:val="24"/>
          <w:szCs w:val="24"/>
        </w:rPr>
        <w:t xml:space="preserve"> et économes en bois, au bénéfice des usagers des forêts dans les zones identifiées comme prioritaires.</w:t>
      </w:r>
    </w:p>
    <w:p w:rsidR="00946C44" w:rsidRPr="002462E6" w:rsidRDefault="000A7532" w:rsidP="00B7322E">
      <w:pPr>
        <w:widowControl w:val="0"/>
        <w:autoSpaceDE w:val="0"/>
        <w:autoSpaceDN w:val="0"/>
        <w:spacing w:before="161" w:after="0" w:line="360" w:lineRule="auto"/>
        <w:ind w:right="-138"/>
        <w:jc w:val="both"/>
        <w:rPr>
          <w:rFonts w:ascii="Tahoma" w:eastAsia="Times New Roman" w:hAnsi="Tahoma" w:cs="Tahoma"/>
          <w:sz w:val="24"/>
          <w:szCs w:val="24"/>
        </w:rPr>
      </w:pPr>
      <w:r w:rsidRPr="002462E6">
        <w:rPr>
          <w:rFonts w:ascii="Tahoma" w:eastAsia="Times New Roman" w:hAnsi="Tahoma" w:cs="Tahoma"/>
          <w:sz w:val="24"/>
          <w:szCs w:val="24"/>
        </w:rPr>
        <w:t>Pour l’utilisation du bois en tant que matière première industrielle, la stratégie “Forêts du Maroc 2020-2030” prévoit le développement d’une “dynamique productive” par un partenariat public-privé à travers des concessions forestières. Ce partenariat concerne 100.000 hectares (ha) d’eucalyptus pour développer la filière industrielle biomasse énergie et 20.000 ha de pins sur la côte Atlantique pour produire à terme 140.000 m3 de bois afin de diminuer les importations</w:t>
      </w:r>
      <w:r w:rsidRPr="002462E6">
        <w:rPr>
          <w:rFonts w:ascii="Tahoma" w:eastAsia="Times New Roman" w:hAnsi="Tahoma" w:cs="Tahoma"/>
          <w:sz w:val="24"/>
          <w:szCs w:val="24"/>
          <w:vertAlign w:val="superscript"/>
        </w:rPr>
        <w:footnoteReference w:id="191"/>
      </w:r>
      <w:r w:rsidR="00B7322E">
        <w:rPr>
          <w:rFonts w:ascii="Tahoma" w:eastAsia="Times New Roman" w:hAnsi="Tahoma" w:cs="Tahoma"/>
          <w:sz w:val="24"/>
          <w:szCs w:val="24"/>
        </w:rPr>
        <w:t>.</w:t>
      </w:r>
    </w:p>
    <w:p w:rsidR="000A7532" w:rsidRPr="002462E6" w:rsidRDefault="000A7532" w:rsidP="000A7532">
      <w:pPr>
        <w:widowControl w:val="0"/>
        <w:autoSpaceDE w:val="0"/>
        <w:autoSpaceDN w:val="0"/>
        <w:spacing w:before="161" w:after="0" w:line="360" w:lineRule="auto"/>
        <w:ind w:right="-138"/>
        <w:jc w:val="both"/>
        <w:rPr>
          <w:rFonts w:ascii="Tahoma" w:eastAsia="Times New Roman" w:hAnsi="Tahoma" w:cs="Tahoma"/>
          <w:sz w:val="24"/>
          <w:szCs w:val="24"/>
        </w:rPr>
      </w:pPr>
      <w:r w:rsidRPr="002462E6">
        <w:rPr>
          <w:rFonts w:ascii="Tahoma" w:eastAsia="Times New Roman" w:hAnsi="Tahoma" w:cs="Tahoma"/>
          <w:sz w:val="24"/>
          <w:szCs w:val="24"/>
        </w:rPr>
        <w:t>Concernant le financement durable du déploiement de la stratégie, l'ANEF précise qu'il repose sur deux sources : d'une part, des ressources internes générées par les recettes propres, et d'autre part, des financements à obtenir de l'État ainsi que des bailleurs de fonds internationaux. L’ANEF a pu mobiliser un montant total de 455 millions d'euros sur la période 2021-2028, ce qui représente 80 % des financements supplémentaires nécessaires d’ici à 2030.</w:t>
      </w:r>
    </w:p>
    <w:p w:rsidR="000A7532" w:rsidRPr="002462E6" w:rsidRDefault="000A7532" w:rsidP="00B7322E">
      <w:pPr>
        <w:widowControl w:val="0"/>
        <w:autoSpaceDE w:val="0"/>
        <w:autoSpaceDN w:val="0"/>
        <w:spacing w:before="161" w:after="0" w:line="360" w:lineRule="auto"/>
        <w:ind w:right="-138"/>
        <w:jc w:val="both"/>
        <w:rPr>
          <w:rFonts w:ascii="Tahoma" w:eastAsia="Times New Roman" w:hAnsi="Tahoma" w:cs="Tahoma"/>
          <w:sz w:val="24"/>
          <w:szCs w:val="24"/>
        </w:rPr>
      </w:pPr>
      <w:r w:rsidRPr="002462E6">
        <w:rPr>
          <w:rFonts w:ascii="Tahoma" w:eastAsia="Times New Roman" w:hAnsi="Tahoma" w:cs="Tahoma"/>
          <w:sz w:val="24"/>
          <w:szCs w:val="24"/>
        </w:rPr>
        <w:t xml:space="preserve">Dans le cadre de la coopération internationale, le secteur des Eaux et Forêts bénéficie actuellement du soutien d'une dizaine de partenaires techniques et financiers, tels que l'Union européenne, l'Agence française de développement, la Banque européenne </w:t>
      </w:r>
      <w:r w:rsidRPr="002462E6">
        <w:rPr>
          <w:rFonts w:ascii="Tahoma" w:eastAsia="Times New Roman" w:hAnsi="Tahoma" w:cs="Tahoma"/>
          <w:sz w:val="24"/>
          <w:szCs w:val="24"/>
        </w:rPr>
        <w:lastRenderedPageBreak/>
        <w:t>d'investissement, la Banque mondiale, l'Agence allemande de coopération internationale, la Banque allemande de développement, le Fonds français pour l'environnement mondial, les Affaires mondiales Canada et l’Organisation des Nations Unies pour l</w:t>
      </w:r>
      <w:r w:rsidR="00B7322E">
        <w:rPr>
          <w:rFonts w:ascii="Tahoma" w:eastAsia="Times New Roman" w:hAnsi="Tahoma" w:cs="Tahoma"/>
          <w:sz w:val="24"/>
          <w:szCs w:val="24"/>
        </w:rPr>
        <w:t xml:space="preserve">’Alimentation et l’Agriculture. </w:t>
      </w:r>
      <w:r w:rsidRPr="002462E6">
        <w:rPr>
          <w:rFonts w:ascii="Tahoma" w:eastAsia="Times New Roman" w:hAnsi="Tahoma" w:cs="Tahoma"/>
          <w:sz w:val="24"/>
          <w:szCs w:val="24"/>
        </w:rPr>
        <w:t>Selon l'ANEF, la formulation de programmes de coopération</w:t>
      </w:r>
      <w:r w:rsidRPr="002462E6">
        <w:rPr>
          <w:rFonts w:ascii="Times New Roman" w:eastAsia="Times New Roman" w:hAnsi="Times New Roman" w:cs="Times New Roman"/>
        </w:rPr>
        <w:t xml:space="preserve"> </w:t>
      </w:r>
      <w:r w:rsidRPr="002462E6">
        <w:rPr>
          <w:rFonts w:ascii="Tahoma" w:eastAsia="Times New Roman" w:hAnsi="Tahoma" w:cs="Tahoma"/>
          <w:sz w:val="24"/>
          <w:szCs w:val="24"/>
        </w:rPr>
        <w:t xml:space="preserve">est en phase finale avec la Banque africaine de développement et le Service forestier coréen. </w:t>
      </w:r>
    </w:p>
    <w:p w:rsidR="00946C44" w:rsidRPr="00B7322E" w:rsidRDefault="000A7532" w:rsidP="00B7322E">
      <w:pPr>
        <w:widowControl w:val="0"/>
        <w:autoSpaceDE w:val="0"/>
        <w:autoSpaceDN w:val="0"/>
        <w:spacing w:before="161" w:after="0" w:line="360" w:lineRule="auto"/>
        <w:ind w:right="4"/>
        <w:jc w:val="both"/>
        <w:rPr>
          <w:rFonts w:ascii="Tahoma" w:eastAsia="Times New Roman" w:hAnsi="Tahoma" w:cs="Tahoma"/>
          <w:sz w:val="24"/>
          <w:szCs w:val="24"/>
        </w:rPr>
      </w:pPr>
      <w:r w:rsidRPr="002462E6">
        <w:rPr>
          <w:rFonts w:ascii="Tahoma" w:eastAsia="Times New Roman" w:hAnsi="Tahoma" w:cs="Tahoma"/>
          <w:sz w:val="24"/>
          <w:szCs w:val="24"/>
        </w:rPr>
        <w:t>Concernant la solidarité africaine, l'ANEF souligne que la coopération en gestion forestière avec les pays africains est considérée comme une priorité stratégique. De plus, depuis 2019, le Maroc, par l'intermédiaire de l'ANEF, préside le Groupe africain des négociateurs au sein de la Convention des Nations Unies sur la lutte contre la désertification et plaide activement pour que les priorités régionales soient prises en compte, tout en renforçant la mise en œuvre des programmes de lutte contre la désertification à travers le continent africain</w:t>
      </w:r>
      <w:r w:rsidR="00B7322E">
        <w:rPr>
          <w:rFonts w:ascii="Tahoma" w:eastAsia="Times New Roman" w:hAnsi="Tahoma" w:cs="Tahoma"/>
          <w:sz w:val="24"/>
          <w:szCs w:val="24"/>
        </w:rPr>
        <w:t xml:space="preserve">. </w:t>
      </w:r>
    </w:p>
    <w:p w:rsidR="000A7532" w:rsidRPr="002462E6" w:rsidRDefault="000A7532" w:rsidP="000A7532">
      <w:pPr>
        <w:widowControl w:val="0"/>
        <w:autoSpaceDE w:val="0"/>
        <w:autoSpaceDN w:val="0"/>
        <w:spacing w:before="161" w:after="0" w:line="360" w:lineRule="auto"/>
        <w:ind w:right="4"/>
        <w:jc w:val="both"/>
        <w:rPr>
          <w:rFonts w:ascii="Tahoma" w:eastAsia="Times New Roman" w:hAnsi="Tahoma" w:cs="Tahoma"/>
          <w:sz w:val="24"/>
          <w:szCs w:val="24"/>
        </w:rPr>
      </w:pPr>
      <w:r w:rsidRPr="002462E6">
        <w:rPr>
          <w:rFonts w:ascii="Tahoma" w:eastAsia="Times New Roman" w:hAnsi="Tahoma" w:cs="Tahoma"/>
          <w:sz w:val="24"/>
          <w:szCs w:val="24"/>
        </w:rPr>
        <w:t>Dans le cadre de cette coopération, le Maroc s'engage à renforcer les capacités d'un groupe de cadres techniques provenant de plusieurs pays africains, en abordant divers aspects de la gestion des ressources forestières. L’ANEF, en collaboration avec la Banque africaine de développement, finalise également un programme de soutien visant à promouvoir un développement inclusif et durable dans les zones forestières.</w:t>
      </w:r>
    </w:p>
    <w:p w:rsidR="000A7532" w:rsidRPr="002462E6" w:rsidRDefault="000A7532" w:rsidP="000A7532">
      <w:pPr>
        <w:widowControl w:val="0"/>
        <w:autoSpaceDE w:val="0"/>
        <w:autoSpaceDN w:val="0"/>
        <w:spacing w:before="161" w:after="0" w:line="360" w:lineRule="auto"/>
        <w:ind w:right="4"/>
        <w:jc w:val="both"/>
        <w:rPr>
          <w:rFonts w:ascii="Tahoma" w:eastAsia="Times New Roman" w:hAnsi="Tahoma" w:cs="Tahoma"/>
          <w:sz w:val="24"/>
          <w:szCs w:val="24"/>
        </w:rPr>
      </w:pPr>
      <w:r w:rsidRPr="002462E6">
        <w:rPr>
          <w:rFonts w:ascii="Tahoma" w:eastAsia="Times New Roman" w:hAnsi="Tahoma" w:cs="Tahoma"/>
          <w:sz w:val="24"/>
          <w:szCs w:val="24"/>
        </w:rPr>
        <w:t>Ce programme comprend une composante dédiée à l’intensification de la coopération Sud-Sud axée sur l'Afrique, qui repose sur trois principales modalités : l'organisation de sessions de renforcement des capacités, la promotion des échanges techniques, et le développement conjoint de projets pilotes en lien avec la gestion durable des forêts</w:t>
      </w:r>
      <w:r w:rsidRPr="002462E6">
        <w:rPr>
          <w:rFonts w:ascii="Tahoma" w:eastAsia="Times New Roman" w:hAnsi="Tahoma" w:cs="Tahoma"/>
          <w:sz w:val="24"/>
          <w:szCs w:val="24"/>
          <w:vertAlign w:val="superscript"/>
        </w:rPr>
        <w:footnoteReference w:id="192"/>
      </w:r>
      <w:r w:rsidRPr="002462E6">
        <w:rPr>
          <w:rFonts w:ascii="Tahoma" w:eastAsia="Times New Roman" w:hAnsi="Tahoma" w:cs="Tahoma"/>
          <w:sz w:val="24"/>
          <w:szCs w:val="24"/>
        </w:rPr>
        <w:t>.</w:t>
      </w:r>
    </w:p>
    <w:p w:rsidR="000A7532" w:rsidRPr="002462E6" w:rsidRDefault="000A7532" w:rsidP="000A7532">
      <w:pPr>
        <w:widowControl w:val="0"/>
        <w:autoSpaceDE w:val="0"/>
        <w:autoSpaceDN w:val="0"/>
        <w:spacing w:before="161" w:after="0" w:line="360" w:lineRule="auto"/>
        <w:ind w:right="4"/>
        <w:jc w:val="both"/>
        <w:rPr>
          <w:rFonts w:ascii="Tahoma" w:eastAsia="Times New Roman" w:hAnsi="Tahoma" w:cs="Tahoma"/>
          <w:sz w:val="24"/>
          <w:szCs w:val="24"/>
        </w:rPr>
      </w:pPr>
      <w:r w:rsidRPr="002462E6">
        <w:rPr>
          <w:rFonts w:ascii="Tahoma" w:eastAsia="Times New Roman" w:hAnsi="Tahoma" w:cs="Tahoma"/>
          <w:sz w:val="24"/>
          <w:szCs w:val="24"/>
        </w:rPr>
        <w:t>Ces initiatives illustrent l'engagement du Maroc en faveur de la gestion durable de ses forêts, afin de répondre aux besoins actuels tout en préservant les ressources pour les générations futures.</w:t>
      </w:r>
    </w:p>
    <w:p w:rsidR="004118F7" w:rsidRPr="00400B37" w:rsidRDefault="004118F7" w:rsidP="00A76D5B">
      <w:pPr>
        <w:widowControl w:val="0"/>
        <w:autoSpaceDE w:val="0"/>
        <w:autoSpaceDN w:val="0"/>
        <w:spacing w:after="0" w:line="360" w:lineRule="auto"/>
        <w:jc w:val="both"/>
        <w:rPr>
          <w:rFonts w:ascii="Tahoma" w:eastAsia="Times New Roman" w:hAnsi="Tahoma" w:cs="Tahoma"/>
          <w:sz w:val="18"/>
          <w:szCs w:val="18"/>
        </w:rPr>
      </w:pPr>
    </w:p>
    <w:p w:rsidR="000A7532" w:rsidRPr="002462E6" w:rsidRDefault="00B7322E" w:rsidP="00A76D5B">
      <w:pPr>
        <w:widowControl w:val="0"/>
        <w:autoSpaceDE w:val="0"/>
        <w:autoSpaceDN w:val="0"/>
        <w:spacing w:after="0" w:line="360" w:lineRule="auto"/>
        <w:jc w:val="both"/>
        <w:rPr>
          <w:rFonts w:ascii="Tahoma" w:eastAsia="Times New Roman" w:hAnsi="Tahoma" w:cs="Tahoma"/>
          <w:sz w:val="24"/>
          <w:szCs w:val="24"/>
        </w:rPr>
      </w:pPr>
      <w:r>
        <w:rPr>
          <w:rFonts w:ascii="Tahoma" w:eastAsia="Times New Roman" w:hAnsi="Tahoma" w:cs="Tahoma"/>
          <w:sz w:val="24"/>
          <w:szCs w:val="24"/>
        </w:rPr>
        <w:t>En définitive</w:t>
      </w:r>
      <w:r w:rsidR="004118F7" w:rsidRPr="002462E6">
        <w:rPr>
          <w:rFonts w:ascii="Tahoma" w:eastAsia="Times New Roman" w:hAnsi="Tahoma" w:cs="Tahoma"/>
          <w:sz w:val="24"/>
          <w:szCs w:val="24"/>
        </w:rPr>
        <w:t xml:space="preserve">, </w:t>
      </w:r>
      <w:r w:rsidR="00400B37">
        <w:rPr>
          <w:rFonts w:ascii="Tahoma" w:eastAsia="Times New Roman" w:hAnsi="Tahoma" w:cs="Tahoma"/>
          <w:sz w:val="24"/>
          <w:szCs w:val="24"/>
        </w:rPr>
        <w:t>l</w:t>
      </w:r>
      <w:r w:rsidR="000A7532" w:rsidRPr="002462E6">
        <w:rPr>
          <w:rFonts w:ascii="Tahoma" w:eastAsia="Times New Roman" w:hAnsi="Tahoma" w:cs="Tahoma"/>
          <w:sz w:val="24"/>
          <w:szCs w:val="24"/>
        </w:rPr>
        <w:t xml:space="preserve">a gestion des forêts marocaines, telle qu’elle s’est déployée au fil des siècles, illustre une tension constante entre les systèmes de gestion coutumiers et les approches institutionnelles modernes. À travers l’étude de l’AGDAL, il apparaît que les </w:t>
      </w:r>
      <w:r w:rsidR="000A7532" w:rsidRPr="002462E6">
        <w:rPr>
          <w:rFonts w:ascii="Tahoma" w:eastAsia="Times New Roman" w:hAnsi="Tahoma" w:cs="Tahoma"/>
          <w:sz w:val="24"/>
          <w:szCs w:val="24"/>
        </w:rPr>
        <w:lastRenderedPageBreak/>
        <w:t>pratiques ancestrales, incarnées notamment par le rôle de la Jemaâ dans la régulation des ressources forestières, ont longtemps permis une gestion équilibrée des écosystèmes. Le système AGDAL, comme patrimoine socio-écologique, a non seulement permis de préserver la biodiversité, mais a également intégré des dimensions sociales et culturelles profondément ancrées dans les pratiques collectives des communautés locales. Cependant, cette gestion traditionnelle, bien que pertinente et efficace dans son contexte, s’est vue confrontée aux mutations sociales, économiques et politiques induites par la modernité. L’exemple de la vallée des Ayt Bouguemmez illustre cette cohabitation entre l’AGDAL traditionnel et l’action publique moderne. Si la gestion coutumière a su perdurer en partie grâce à son adaptabilité et sa flexibilité, elle se heurte néanmoins aux défis de la gestion forestière moderne, marquée par une approche souvent technocratique et centralisée. La tentation de réduire les systèmes de gestion traditionnels à des vestiges du passé, et de les intégrer sans nuances dans les politiques publiques contemporaines, soulève des questions sur la pertinence d’une telle intégration et sur les risques de marginalisation des savoirs locaux.</w:t>
      </w:r>
    </w:p>
    <w:p w:rsidR="00946C44" w:rsidRPr="002462E6" w:rsidRDefault="00946C44" w:rsidP="00A76D5B">
      <w:pPr>
        <w:widowControl w:val="0"/>
        <w:autoSpaceDE w:val="0"/>
        <w:autoSpaceDN w:val="0"/>
        <w:spacing w:after="0" w:line="360" w:lineRule="auto"/>
        <w:jc w:val="both"/>
        <w:rPr>
          <w:rFonts w:ascii="Tahoma" w:eastAsia="Times New Roman" w:hAnsi="Tahoma" w:cs="Tahoma"/>
          <w:sz w:val="24"/>
          <w:szCs w:val="24"/>
        </w:rPr>
      </w:pPr>
    </w:p>
    <w:p w:rsidR="007A7265" w:rsidRPr="002462E6" w:rsidRDefault="000A7532" w:rsidP="00FF2B5B">
      <w:pPr>
        <w:widowControl w:val="0"/>
        <w:autoSpaceDE w:val="0"/>
        <w:autoSpaceDN w:val="0"/>
        <w:spacing w:after="0" w:line="360" w:lineRule="auto"/>
        <w:jc w:val="both"/>
        <w:rPr>
          <w:rFonts w:ascii="Tahoma" w:eastAsia="Times New Roman" w:hAnsi="Tahoma" w:cs="Tahoma"/>
        </w:rPr>
      </w:pPr>
      <w:r w:rsidRPr="002462E6">
        <w:rPr>
          <w:rFonts w:ascii="Tahoma" w:eastAsia="Times New Roman" w:hAnsi="Tahoma" w:cs="Tahoma"/>
          <w:sz w:val="24"/>
          <w:szCs w:val="24"/>
        </w:rPr>
        <w:t xml:space="preserve">Le tournant vers les nouvelles pratiques managériales publiques, à travers des instruments tels que le Programme Forestier National, témoigne d’une volonté d’adopter une approche plus globale et stratégique face aux enjeux environnementaux. Toutefois, malgré les avancées indéniables du cadre institutionnel moderne, il demeure des interrogations sur l'efficacité de ces nouvelles stratégies. </w:t>
      </w:r>
      <w:bookmarkStart w:id="116" w:name="_Toc177835102"/>
      <w:bookmarkStart w:id="117" w:name="_Toc186533808"/>
      <w:bookmarkStart w:id="118" w:name="_Toc201570827"/>
      <w:bookmarkStart w:id="119" w:name="_Toc201570892"/>
      <w:bookmarkStart w:id="120" w:name="_Toc201655460"/>
    </w:p>
    <w:p w:rsidR="000A7532" w:rsidRPr="002462E6" w:rsidRDefault="000A7532" w:rsidP="007A71CC">
      <w:pPr>
        <w:pStyle w:val="Titre3"/>
      </w:pPr>
      <w:bookmarkStart w:id="121" w:name="_Toc203643014"/>
      <w:r w:rsidRPr="002462E6">
        <w:t>Deuxième section : Evolution de l’administration forestière et formation des ingénieurs forestiers</w:t>
      </w:r>
      <w:bookmarkEnd w:id="116"/>
      <w:bookmarkEnd w:id="117"/>
      <w:bookmarkEnd w:id="118"/>
      <w:bookmarkEnd w:id="119"/>
      <w:bookmarkEnd w:id="120"/>
      <w:bookmarkEnd w:id="121"/>
      <w:r w:rsidRPr="002462E6">
        <w:t xml:space="preserve"> </w:t>
      </w:r>
    </w:p>
    <w:p w:rsidR="000A7532" w:rsidRPr="002462E6" w:rsidRDefault="000A7532" w:rsidP="000A7532">
      <w:pPr>
        <w:widowControl w:val="0"/>
        <w:autoSpaceDE w:val="0"/>
        <w:autoSpaceDN w:val="0"/>
        <w:spacing w:after="0" w:line="240" w:lineRule="auto"/>
        <w:ind w:left="777"/>
        <w:jc w:val="both"/>
        <w:outlineLvl w:val="2"/>
        <w:rPr>
          <w:rFonts w:ascii="Calibri Light" w:eastAsia="Calibri Light" w:hAnsi="Calibri Light" w:cs="Calibri Light"/>
          <w:sz w:val="26"/>
          <w:szCs w:val="26"/>
        </w:rPr>
      </w:pPr>
    </w:p>
    <w:p w:rsidR="000A7532" w:rsidRPr="002462E6" w:rsidRDefault="000A7532" w:rsidP="000A7532">
      <w:pPr>
        <w:widowControl w:val="0"/>
        <w:autoSpaceDE w:val="0"/>
        <w:autoSpaceDN w:val="0"/>
        <w:spacing w:before="77" w:after="0" w:line="360" w:lineRule="auto"/>
        <w:ind w:right="4"/>
        <w:jc w:val="both"/>
        <w:rPr>
          <w:rFonts w:ascii="Tahoma" w:eastAsia="Times New Roman" w:hAnsi="Tahoma" w:cs="Tahoma"/>
          <w:spacing w:val="-1"/>
          <w:sz w:val="24"/>
          <w:szCs w:val="24"/>
        </w:rPr>
      </w:pPr>
      <w:r w:rsidRPr="002462E6">
        <w:rPr>
          <w:rFonts w:ascii="Tahoma" w:eastAsia="Times New Roman" w:hAnsi="Tahoma" w:cs="Tahoma"/>
          <w:spacing w:val="-1"/>
          <w:sz w:val="24"/>
          <w:szCs w:val="24"/>
        </w:rPr>
        <w:t>L’administration forestière au Maroc a été instituée en 1913, sous la direction de Paul Louis Boudy, premier responsable du service forestier</w:t>
      </w:r>
      <w:r w:rsidRPr="002462E6">
        <w:rPr>
          <w:rFonts w:ascii="Tahoma" w:eastAsia="Times New Roman" w:hAnsi="Tahoma" w:cs="Tahoma"/>
          <w:spacing w:val="-1"/>
          <w:sz w:val="24"/>
          <w:szCs w:val="24"/>
          <w:vertAlign w:val="superscript"/>
        </w:rPr>
        <w:footnoteReference w:id="193"/>
      </w:r>
      <w:r w:rsidRPr="002462E6">
        <w:rPr>
          <w:rFonts w:ascii="Tahoma" w:eastAsia="Times New Roman" w:hAnsi="Tahoma" w:cs="Tahoma"/>
          <w:spacing w:val="-1"/>
          <w:sz w:val="24"/>
          <w:szCs w:val="24"/>
        </w:rPr>
        <w:t xml:space="preserve">. Diplômé de l’École forestière de Nancy, Boudy avait auparavant exercé en Algérie, où il avait acquis une expertise en gestion des ressources naturelles. Cette expérience a fortement influencé son approche et ses </w:t>
      </w:r>
      <w:r w:rsidRPr="002462E6">
        <w:rPr>
          <w:rFonts w:ascii="Tahoma" w:eastAsia="Times New Roman" w:hAnsi="Tahoma" w:cs="Tahoma"/>
          <w:spacing w:val="-1"/>
          <w:sz w:val="24"/>
          <w:szCs w:val="24"/>
        </w:rPr>
        <w:lastRenderedPageBreak/>
        <w:t>orientations en matière de gestion forestière au Maroc</w:t>
      </w:r>
      <w:r w:rsidRPr="002462E6">
        <w:rPr>
          <w:rFonts w:ascii="Tahoma" w:eastAsia="Times New Roman" w:hAnsi="Tahoma" w:cs="Tahoma"/>
          <w:spacing w:val="-1"/>
          <w:sz w:val="24"/>
          <w:szCs w:val="24"/>
          <w:vertAlign w:val="superscript"/>
        </w:rPr>
        <w:footnoteReference w:id="194"/>
      </w:r>
      <w:r w:rsidRPr="002462E6">
        <w:rPr>
          <w:rFonts w:ascii="Tahoma" w:eastAsia="Times New Roman" w:hAnsi="Tahoma" w:cs="Tahoma"/>
          <w:spacing w:val="-1"/>
          <w:sz w:val="24"/>
          <w:szCs w:val="24"/>
        </w:rPr>
        <w:t>.</w:t>
      </w:r>
    </w:p>
    <w:p w:rsidR="000A7532" w:rsidRPr="002462E6" w:rsidRDefault="000A7532" w:rsidP="00400B37">
      <w:pPr>
        <w:widowControl w:val="0"/>
        <w:autoSpaceDE w:val="0"/>
        <w:autoSpaceDN w:val="0"/>
        <w:spacing w:before="77" w:after="0" w:line="360" w:lineRule="auto"/>
        <w:ind w:right="4"/>
        <w:jc w:val="both"/>
        <w:rPr>
          <w:rFonts w:ascii="Tahoma" w:eastAsia="Times New Roman" w:hAnsi="Tahoma" w:cs="Tahoma"/>
          <w:spacing w:val="-1"/>
          <w:sz w:val="24"/>
          <w:szCs w:val="24"/>
        </w:rPr>
      </w:pPr>
      <w:r w:rsidRPr="002462E6">
        <w:rPr>
          <w:rFonts w:ascii="Tahoma" w:eastAsia="Times New Roman" w:hAnsi="Tahoma" w:cs="Tahoma"/>
          <w:spacing w:val="-1"/>
          <w:sz w:val="24"/>
          <w:szCs w:val="24"/>
        </w:rPr>
        <w:t xml:space="preserve">Sous la direction de Paul Louis Boudy, la gestion forestière au Maroc </w:t>
      </w:r>
      <w:r w:rsidR="00400B37">
        <w:rPr>
          <w:rFonts w:ascii="Tahoma" w:eastAsia="Times New Roman" w:hAnsi="Tahoma" w:cs="Tahoma"/>
          <w:spacing w:val="-1"/>
          <w:sz w:val="24"/>
          <w:szCs w:val="24"/>
        </w:rPr>
        <w:t>parait s’articuler</w:t>
      </w:r>
      <w:r w:rsidRPr="002462E6">
        <w:rPr>
          <w:rFonts w:ascii="Tahoma" w:eastAsia="Times New Roman" w:hAnsi="Tahoma" w:cs="Tahoma"/>
          <w:spacing w:val="-1"/>
          <w:sz w:val="24"/>
          <w:szCs w:val="24"/>
        </w:rPr>
        <w:t xml:space="preserve"> autour de deux axes majeurs : d’une part, la valorisation et l’exploitation du domaine boisé, et d’autre part, l’aménagement et la préservation de la pérennité des forêts</w:t>
      </w:r>
      <w:r w:rsidRPr="002462E6">
        <w:rPr>
          <w:rFonts w:ascii="Tahoma" w:eastAsia="Times New Roman" w:hAnsi="Tahoma" w:cs="Tahoma"/>
          <w:spacing w:val="-1"/>
          <w:sz w:val="24"/>
          <w:szCs w:val="24"/>
          <w:vertAlign w:val="superscript"/>
        </w:rPr>
        <w:footnoteReference w:id="195"/>
      </w:r>
      <w:r w:rsidRPr="002462E6">
        <w:rPr>
          <w:rFonts w:ascii="Tahoma" w:eastAsia="Times New Roman" w:hAnsi="Tahoma" w:cs="Tahoma"/>
          <w:spacing w:val="-1"/>
          <w:sz w:val="24"/>
          <w:szCs w:val="24"/>
        </w:rPr>
        <w:t>.</w:t>
      </w:r>
    </w:p>
    <w:p w:rsidR="0082753E" w:rsidRPr="002462E6" w:rsidRDefault="000A7532" w:rsidP="009D0024">
      <w:pPr>
        <w:widowControl w:val="0"/>
        <w:autoSpaceDE w:val="0"/>
        <w:autoSpaceDN w:val="0"/>
        <w:spacing w:before="77" w:after="0" w:line="360" w:lineRule="auto"/>
        <w:ind w:right="4"/>
        <w:jc w:val="both"/>
        <w:rPr>
          <w:rFonts w:ascii="Tahoma" w:eastAsia="Times New Roman" w:hAnsi="Tahoma" w:cs="Tahoma"/>
          <w:spacing w:val="-1"/>
          <w:sz w:val="24"/>
          <w:szCs w:val="24"/>
        </w:rPr>
      </w:pPr>
      <w:r w:rsidRPr="002462E6">
        <w:rPr>
          <w:rFonts w:ascii="Tahoma" w:eastAsia="Times New Roman" w:hAnsi="Tahoma" w:cs="Tahoma"/>
          <w:spacing w:val="-1"/>
          <w:sz w:val="24"/>
          <w:szCs w:val="24"/>
        </w:rPr>
        <w:t>Au fil des décennies, l'évolution institutionnelle du service forestier marocain s’est influencée par des changements à la fois nationaux et internationaux. En ce qui concerne les domaines relatifs à l’environnement, le développement rural et zone de montagne, le développement humain, l'aménagement du territoire et le développement durable</w:t>
      </w:r>
      <w:r w:rsidRPr="002462E6">
        <w:rPr>
          <w:rFonts w:ascii="Tahoma" w:eastAsia="Times New Roman" w:hAnsi="Tahoma" w:cs="Tahoma"/>
          <w:spacing w:val="-1"/>
          <w:sz w:val="24"/>
          <w:szCs w:val="24"/>
          <w:vertAlign w:val="superscript"/>
        </w:rPr>
        <w:footnoteReference w:id="196"/>
      </w:r>
      <w:r w:rsidRPr="002462E6">
        <w:rPr>
          <w:rFonts w:ascii="Tahoma" w:eastAsia="Times New Roman" w:hAnsi="Tahoma" w:cs="Tahoma"/>
          <w:spacing w:val="-1"/>
          <w:sz w:val="24"/>
          <w:szCs w:val="24"/>
        </w:rPr>
        <w:t>.</w:t>
      </w:r>
      <w:bookmarkStart w:id="122" w:name="_bookmark55"/>
      <w:bookmarkStart w:id="123" w:name="_Toc177835103"/>
      <w:bookmarkStart w:id="124" w:name="_Toc186533809"/>
      <w:bookmarkEnd w:id="122"/>
    </w:p>
    <w:p w:rsidR="000A7532" w:rsidRPr="002462E6" w:rsidRDefault="000A7532" w:rsidP="00D051D7">
      <w:pPr>
        <w:pStyle w:val="Titre4"/>
        <w:numPr>
          <w:ilvl w:val="0"/>
          <w:numId w:val="60"/>
        </w:numPr>
      </w:pPr>
      <w:bookmarkStart w:id="125" w:name="_Toc201570893"/>
      <w:bookmarkStart w:id="126" w:name="_Toc201655461"/>
      <w:r w:rsidRPr="002462E6">
        <w:t xml:space="preserve"> </w:t>
      </w:r>
      <w:bookmarkStart w:id="127" w:name="_Toc203643015"/>
      <w:r w:rsidRPr="002462E6">
        <w:t>Evolution</w:t>
      </w:r>
      <w:r w:rsidRPr="002462E6">
        <w:rPr>
          <w:spacing w:val="-2"/>
        </w:rPr>
        <w:t xml:space="preserve"> </w:t>
      </w:r>
      <w:r w:rsidRPr="002462E6">
        <w:t>historique</w:t>
      </w:r>
      <w:r w:rsidR="0073088F" w:rsidRPr="002462E6">
        <w:rPr>
          <w:spacing w:val="-1"/>
        </w:rPr>
        <w:t xml:space="preserve"> </w:t>
      </w:r>
      <w:r w:rsidRPr="002462E6">
        <w:t>institutionnelle</w:t>
      </w:r>
      <w:r w:rsidRPr="002462E6">
        <w:rPr>
          <w:spacing w:val="-1"/>
        </w:rPr>
        <w:t xml:space="preserve"> </w:t>
      </w:r>
      <w:r w:rsidRPr="002462E6">
        <w:t>de</w:t>
      </w:r>
      <w:r w:rsidRPr="002462E6">
        <w:rPr>
          <w:spacing w:val="-1"/>
        </w:rPr>
        <w:t xml:space="preserve"> </w:t>
      </w:r>
      <w:r w:rsidR="0073088F" w:rsidRPr="002462E6">
        <w:rPr>
          <w:spacing w:val="-1"/>
        </w:rPr>
        <w:t xml:space="preserve">    </w:t>
      </w:r>
      <w:r w:rsidRPr="002462E6">
        <w:t>l’administration</w:t>
      </w:r>
      <w:r w:rsidRPr="002462E6">
        <w:rPr>
          <w:spacing w:val="-2"/>
        </w:rPr>
        <w:t xml:space="preserve"> </w:t>
      </w:r>
      <w:bookmarkEnd w:id="123"/>
      <w:r w:rsidRPr="002462E6">
        <w:t>forestière</w:t>
      </w:r>
      <w:bookmarkEnd w:id="124"/>
      <w:bookmarkEnd w:id="125"/>
      <w:bookmarkEnd w:id="126"/>
      <w:bookmarkEnd w:id="127"/>
      <w:r w:rsidR="003B30D7" w:rsidRPr="002462E6">
        <w:t xml:space="preserve"> </w:t>
      </w:r>
    </w:p>
    <w:p w:rsidR="000A7532" w:rsidRPr="002462E6" w:rsidRDefault="000A7532" w:rsidP="000A7532">
      <w:pPr>
        <w:widowControl w:val="0"/>
        <w:autoSpaceDE w:val="0"/>
        <w:autoSpaceDN w:val="0"/>
        <w:spacing w:after="0" w:line="240" w:lineRule="auto"/>
        <w:rPr>
          <w:rFonts w:ascii="Times New Roman" w:eastAsia="Times New Roman" w:hAnsi="Times New Roman" w:cs="Times New Roman"/>
          <w:sz w:val="24"/>
          <w:szCs w:val="24"/>
        </w:rPr>
      </w:pPr>
    </w:p>
    <w:p w:rsidR="000A7532" w:rsidRPr="002462E6" w:rsidRDefault="000A7532" w:rsidP="000A7532">
      <w:pPr>
        <w:widowControl w:val="0"/>
        <w:autoSpaceDE w:val="0"/>
        <w:autoSpaceDN w:val="0"/>
        <w:spacing w:before="77" w:after="0" w:line="360" w:lineRule="auto"/>
        <w:ind w:right="4"/>
        <w:jc w:val="both"/>
        <w:rPr>
          <w:rFonts w:ascii="Times New Roman" w:eastAsia="Times New Roman" w:hAnsi="Times New Roman" w:cs="Times New Roman"/>
          <w:sz w:val="24"/>
          <w:szCs w:val="24"/>
        </w:rPr>
      </w:pPr>
      <w:r w:rsidRPr="002462E6">
        <w:rPr>
          <w:rFonts w:ascii="Tahoma" w:eastAsia="Times New Roman" w:hAnsi="Tahoma" w:cs="Tahoma"/>
          <w:spacing w:val="-1"/>
          <w:sz w:val="24"/>
          <w:szCs w:val="24"/>
        </w:rPr>
        <w:t>L'évolution de l'administration forestière au Maroc s’est articulée autour de plusieurs étapes clés, chacune caractérisée par des changements institutionnels significatifs et des ajustements visant à répondre aux besoins spécifiques du secteur forestier, d’avant et d’après indépendance du pays.</w:t>
      </w:r>
      <w:r w:rsidRPr="002462E6">
        <w:rPr>
          <w:rFonts w:ascii="Times New Roman" w:eastAsia="Times New Roman" w:hAnsi="Times New Roman" w:cs="Times New Roman"/>
          <w:sz w:val="24"/>
          <w:szCs w:val="24"/>
        </w:rPr>
        <w:t xml:space="preserve"> </w:t>
      </w:r>
    </w:p>
    <w:p w:rsidR="000A7532" w:rsidRPr="005D2B7C" w:rsidRDefault="005613F6" w:rsidP="005D2B7C">
      <w:pPr>
        <w:pStyle w:val="Titre5"/>
        <w:numPr>
          <w:ilvl w:val="0"/>
          <w:numId w:val="80"/>
        </w:numPr>
      </w:pPr>
      <w:bookmarkStart w:id="128" w:name="_Toc201655462"/>
      <w:bookmarkStart w:id="129" w:name="_Toc203643016"/>
      <w:r w:rsidRPr="002462E6">
        <w:t>P</w:t>
      </w:r>
      <w:r w:rsidR="000A7532" w:rsidRPr="002462E6">
        <w:t>ériode coloniale et la mise en place du service forestier (1913-1949)</w:t>
      </w:r>
      <w:bookmarkEnd w:id="128"/>
      <w:bookmarkEnd w:id="129"/>
      <w:r w:rsidR="005D2B7C">
        <w:t xml:space="preserve"> </w:t>
      </w:r>
    </w:p>
    <w:p w:rsidR="000A7532" w:rsidRPr="002462E6" w:rsidRDefault="000A7532" w:rsidP="000A7532">
      <w:pPr>
        <w:widowControl w:val="0"/>
        <w:autoSpaceDE w:val="0"/>
        <w:autoSpaceDN w:val="0"/>
        <w:spacing w:after="0" w:line="360" w:lineRule="auto"/>
        <w:rPr>
          <w:rFonts w:ascii="Tahoma" w:eastAsia="Times New Roman" w:hAnsi="Tahoma" w:cs="Tahoma"/>
          <w:sz w:val="24"/>
          <w:szCs w:val="24"/>
          <w:shd w:val="clear" w:color="auto" w:fill="FFFFFF"/>
        </w:rPr>
      </w:pPr>
      <w:r w:rsidRPr="002462E6">
        <w:rPr>
          <w:rFonts w:ascii="Tahoma" w:eastAsia="Times New Roman" w:hAnsi="Tahoma" w:cs="Tahoma"/>
          <w:spacing w:val="-1"/>
          <w:sz w:val="24"/>
          <w:szCs w:val="24"/>
        </w:rPr>
        <w:t>Cette époque marquait le début de l'organisation du service forestier au Maroc. En effet, des structures administratives et des cadres législatifs ont été mis en place. Cette</w:t>
      </w:r>
      <w:r w:rsidRPr="002462E6">
        <w:rPr>
          <w:rFonts w:ascii="Tahoma" w:eastAsia="Times New Roman" w:hAnsi="Tahoma" w:cs="Tahoma"/>
          <w:sz w:val="24"/>
          <w:szCs w:val="24"/>
          <w:shd w:val="clear" w:color="auto" w:fill="FFFFFF"/>
        </w:rPr>
        <w:t xml:space="preserve"> phase a permis de préciser les rôles et les responsabilités, en vue de faciliter l'organisation et la gestion des ressources forestières du pays.</w:t>
      </w:r>
    </w:p>
    <w:p w:rsidR="000A7532" w:rsidRPr="002462E6" w:rsidRDefault="000A7532" w:rsidP="000A7532">
      <w:pPr>
        <w:widowControl w:val="0"/>
        <w:autoSpaceDE w:val="0"/>
        <w:autoSpaceDN w:val="0"/>
        <w:spacing w:after="0" w:line="240" w:lineRule="auto"/>
        <w:rPr>
          <w:rFonts w:ascii="Times New Roman" w:eastAsia="Times New Roman" w:hAnsi="Times New Roman" w:cs="Times New Roman"/>
          <w:sz w:val="24"/>
          <w:szCs w:val="24"/>
        </w:rPr>
      </w:pPr>
    </w:p>
    <w:p w:rsidR="000A7532" w:rsidRPr="002462E6" w:rsidRDefault="000A7532" w:rsidP="008D3838">
      <w:pPr>
        <w:pStyle w:val="Titre6"/>
      </w:pPr>
      <w:bookmarkStart w:id="130" w:name="_bookmark56"/>
      <w:bookmarkStart w:id="131" w:name="_Toc201655463"/>
      <w:bookmarkStart w:id="132" w:name="_Toc203643017"/>
      <w:bookmarkEnd w:id="130"/>
      <w:r w:rsidRPr="002462E6">
        <w:t>Période de 1913-1949 : différentes étapes pour l’organisation du service forestier</w:t>
      </w:r>
      <w:bookmarkEnd w:id="131"/>
      <w:bookmarkEnd w:id="132"/>
      <w:r w:rsidRPr="002462E6">
        <w:t xml:space="preserve"> </w:t>
      </w:r>
    </w:p>
    <w:p w:rsidR="000A7532" w:rsidRPr="002462E6" w:rsidRDefault="000A7532" w:rsidP="000A7532">
      <w:pPr>
        <w:widowControl w:val="0"/>
        <w:tabs>
          <w:tab w:val="left" w:pos="1380"/>
        </w:tabs>
        <w:autoSpaceDE w:val="0"/>
        <w:autoSpaceDN w:val="0"/>
        <w:spacing w:before="138" w:after="0" w:line="360" w:lineRule="auto"/>
        <w:ind w:right="4"/>
        <w:jc w:val="both"/>
        <w:rPr>
          <w:rFonts w:ascii="Tahoma" w:eastAsia="Times New Roman" w:hAnsi="Tahoma" w:cs="Tahoma"/>
          <w:spacing w:val="-1"/>
          <w:sz w:val="24"/>
          <w:szCs w:val="24"/>
        </w:rPr>
      </w:pPr>
      <w:r w:rsidRPr="002462E6">
        <w:rPr>
          <w:rFonts w:ascii="Tahoma" w:eastAsia="Times New Roman" w:hAnsi="Tahoma" w:cs="Tahoma"/>
          <w:spacing w:val="-1"/>
          <w:sz w:val="24"/>
          <w:szCs w:val="24"/>
        </w:rPr>
        <w:t>Le service forestier, instauré le 1</w:t>
      </w:r>
      <w:r w:rsidRPr="002462E6">
        <w:rPr>
          <w:rFonts w:ascii="Tahoma" w:eastAsia="Times New Roman" w:hAnsi="Tahoma" w:cs="Tahoma"/>
          <w:spacing w:val="-1"/>
          <w:sz w:val="24"/>
          <w:szCs w:val="24"/>
          <w:vertAlign w:val="superscript"/>
        </w:rPr>
        <w:t>er</w:t>
      </w:r>
      <w:r w:rsidRPr="002462E6">
        <w:rPr>
          <w:rFonts w:ascii="Tahoma" w:eastAsia="Times New Roman" w:hAnsi="Tahoma" w:cs="Tahoma"/>
          <w:spacing w:val="-1"/>
          <w:sz w:val="24"/>
          <w:szCs w:val="24"/>
        </w:rPr>
        <w:t xml:space="preserve"> mars 1913, a été progressivement développé jusqu'en 1949, date à laquelle son organisation centrale et locale a été complètement achevée. En </w:t>
      </w:r>
      <w:r w:rsidRPr="002462E6">
        <w:rPr>
          <w:rFonts w:ascii="Tahoma" w:eastAsia="Times New Roman" w:hAnsi="Tahoma" w:cs="Tahoma"/>
          <w:spacing w:val="-1"/>
          <w:sz w:val="24"/>
          <w:szCs w:val="24"/>
        </w:rPr>
        <w:lastRenderedPageBreak/>
        <w:t>1940, une réforme régionale majeure a été engagée pour adapter l'organisation du Service Forestier au nouveau découpage des régions. Ainsi, depuis le 1er janvier 1941, l'administration forestière a été structurée en plusieurs niveaux hiérarchiques : trois conservations régionales (Centre, Nord et Sud), des inspections provinciales et des circonscriptions locales, elles-mêmes divisées en brigades forestières, qui sont à leur tour subdivisées en postes forestiers</w:t>
      </w:r>
      <w:r w:rsidRPr="002462E6">
        <w:rPr>
          <w:rFonts w:ascii="Tahoma" w:eastAsia="Times New Roman" w:hAnsi="Tahoma" w:cs="Tahoma"/>
          <w:spacing w:val="-1"/>
          <w:sz w:val="24"/>
          <w:szCs w:val="24"/>
          <w:vertAlign w:val="superscript"/>
        </w:rPr>
        <w:footnoteReference w:id="197"/>
      </w:r>
      <w:r w:rsidRPr="002462E6">
        <w:rPr>
          <w:rFonts w:ascii="Tahoma" w:eastAsia="Times New Roman" w:hAnsi="Tahoma" w:cs="Tahoma"/>
          <w:spacing w:val="-1"/>
          <w:sz w:val="24"/>
          <w:szCs w:val="24"/>
        </w:rPr>
        <w:t>.</w:t>
      </w:r>
    </w:p>
    <w:p w:rsidR="000A7532" w:rsidRPr="002462E6" w:rsidRDefault="000A7532" w:rsidP="000A7532">
      <w:pPr>
        <w:widowControl w:val="0"/>
        <w:tabs>
          <w:tab w:val="left" w:pos="1380"/>
        </w:tabs>
        <w:autoSpaceDE w:val="0"/>
        <w:autoSpaceDN w:val="0"/>
        <w:spacing w:before="138" w:after="0" w:line="360" w:lineRule="auto"/>
        <w:ind w:right="4"/>
        <w:jc w:val="both"/>
        <w:rPr>
          <w:rFonts w:ascii="Tahoma" w:eastAsia="Times New Roman" w:hAnsi="Tahoma" w:cs="Tahoma"/>
          <w:spacing w:val="-1"/>
          <w:sz w:val="24"/>
          <w:szCs w:val="24"/>
        </w:rPr>
      </w:pPr>
      <w:r w:rsidRPr="002462E6">
        <w:rPr>
          <w:rFonts w:ascii="Tahoma" w:eastAsia="Times New Roman" w:hAnsi="Tahoma" w:cs="Tahoma"/>
          <w:spacing w:val="-1"/>
          <w:sz w:val="24"/>
          <w:szCs w:val="24"/>
        </w:rPr>
        <w:t>Pour renforcer ses capacités techniques et financières et en réponse à l'importance et à la complexité de ses missions, l'administration forestière a mis en place trois dispositifs clés</w:t>
      </w:r>
      <w:r w:rsidRPr="002462E6">
        <w:rPr>
          <w:rFonts w:ascii="Tahoma" w:eastAsia="Times New Roman" w:hAnsi="Tahoma" w:cs="Tahoma"/>
          <w:spacing w:val="-1"/>
          <w:sz w:val="24"/>
          <w:szCs w:val="24"/>
          <w:vertAlign w:val="superscript"/>
        </w:rPr>
        <w:footnoteReference w:id="198"/>
      </w:r>
      <w:r w:rsidRPr="002462E6">
        <w:rPr>
          <w:rFonts w:ascii="Tahoma" w:eastAsia="Times New Roman" w:hAnsi="Tahoma" w:cs="Tahoma"/>
          <w:spacing w:val="-1"/>
          <w:sz w:val="24"/>
          <w:szCs w:val="24"/>
        </w:rPr>
        <w:t xml:space="preserve"> :</w:t>
      </w:r>
    </w:p>
    <w:p w:rsidR="000A7532" w:rsidRPr="002462E6" w:rsidRDefault="000A7532" w:rsidP="00D051D7">
      <w:pPr>
        <w:widowControl w:val="0"/>
        <w:numPr>
          <w:ilvl w:val="0"/>
          <w:numId w:val="5"/>
        </w:numPr>
        <w:tabs>
          <w:tab w:val="left" w:pos="1380"/>
        </w:tabs>
        <w:autoSpaceDE w:val="0"/>
        <w:autoSpaceDN w:val="0"/>
        <w:spacing w:before="138" w:after="0" w:line="360" w:lineRule="auto"/>
        <w:ind w:right="4"/>
        <w:jc w:val="both"/>
        <w:rPr>
          <w:rFonts w:ascii="Tahoma" w:eastAsia="Times New Roman" w:hAnsi="Tahoma" w:cs="Tahoma"/>
          <w:sz w:val="24"/>
        </w:rPr>
      </w:pPr>
      <w:r w:rsidRPr="002462E6">
        <w:rPr>
          <w:rFonts w:ascii="Tahoma" w:eastAsia="Times New Roman" w:hAnsi="Tahoma" w:cs="Tahoma"/>
          <w:sz w:val="24"/>
        </w:rPr>
        <w:t>La Station de Recherches et d’Expérimentation Forestières, établie en 1926, chargée de mener des études ainsi que des recherches théoriques, expérimentales et pratiques concernant les forêts marocaines ;</w:t>
      </w:r>
    </w:p>
    <w:p w:rsidR="000A7532" w:rsidRPr="002462E6" w:rsidRDefault="000A7532" w:rsidP="00D051D7">
      <w:pPr>
        <w:widowControl w:val="0"/>
        <w:numPr>
          <w:ilvl w:val="0"/>
          <w:numId w:val="5"/>
        </w:numPr>
        <w:tabs>
          <w:tab w:val="left" w:pos="1380"/>
        </w:tabs>
        <w:autoSpaceDE w:val="0"/>
        <w:autoSpaceDN w:val="0"/>
        <w:spacing w:before="138" w:after="0" w:line="360" w:lineRule="auto"/>
        <w:ind w:right="4"/>
        <w:jc w:val="both"/>
        <w:rPr>
          <w:rFonts w:ascii="Tahoma" w:eastAsia="Times New Roman" w:hAnsi="Tahoma" w:cs="Tahoma"/>
          <w:sz w:val="24"/>
        </w:rPr>
      </w:pPr>
      <w:r w:rsidRPr="002462E6">
        <w:rPr>
          <w:rFonts w:ascii="Tahoma" w:eastAsia="Times New Roman" w:hAnsi="Tahoma" w:cs="Tahoma"/>
          <w:sz w:val="24"/>
        </w:rPr>
        <w:t>L’École Royale Forestière, créée en 1948 ;</w:t>
      </w:r>
    </w:p>
    <w:p w:rsidR="000A7532" w:rsidRDefault="000A7532" w:rsidP="00D051D7">
      <w:pPr>
        <w:widowControl w:val="0"/>
        <w:numPr>
          <w:ilvl w:val="0"/>
          <w:numId w:val="5"/>
        </w:numPr>
        <w:tabs>
          <w:tab w:val="left" w:pos="1380"/>
        </w:tabs>
        <w:autoSpaceDE w:val="0"/>
        <w:autoSpaceDN w:val="0"/>
        <w:spacing w:before="138" w:after="0" w:line="360" w:lineRule="auto"/>
        <w:ind w:right="4"/>
        <w:jc w:val="both"/>
        <w:rPr>
          <w:rFonts w:ascii="Tahoma" w:eastAsia="Times New Roman" w:hAnsi="Tahoma" w:cs="Tahoma"/>
          <w:sz w:val="24"/>
        </w:rPr>
      </w:pPr>
      <w:r w:rsidRPr="002462E6">
        <w:rPr>
          <w:rFonts w:ascii="Tahoma" w:eastAsia="Times New Roman" w:hAnsi="Tahoma" w:cs="Tahoma"/>
          <w:sz w:val="24"/>
        </w:rPr>
        <w:t>Le Fonds National Forestier (FNF), établi en 1949.</w:t>
      </w:r>
    </w:p>
    <w:p w:rsidR="002062B1" w:rsidRPr="002062B1" w:rsidRDefault="002062B1" w:rsidP="002062B1">
      <w:pPr>
        <w:widowControl w:val="0"/>
        <w:tabs>
          <w:tab w:val="left" w:pos="1380"/>
        </w:tabs>
        <w:autoSpaceDE w:val="0"/>
        <w:autoSpaceDN w:val="0"/>
        <w:spacing w:before="138" w:after="0" w:line="360" w:lineRule="auto"/>
        <w:ind w:left="360" w:right="4"/>
        <w:jc w:val="both"/>
        <w:rPr>
          <w:rFonts w:ascii="Tahoma" w:eastAsia="Times New Roman" w:hAnsi="Tahoma" w:cs="Tahoma"/>
          <w:sz w:val="16"/>
          <w:szCs w:val="14"/>
        </w:rPr>
      </w:pPr>
    </w:p>
    <w:p w:rsidR="000A7532" w:rsidRPr="002462E6" w:rsidRDefault="000A7532" w:rsidP="00BF1F48">
      <w:pPr>
        <w:pStyle w:val="Titre5"/>
      </w:pPr>
      <w:bookmarkStart w:id="133" w:name="_Toc201655464"/>
      <w:bookmarkStart w:id="134" w:name="_Toc203643018"/>
      <w:r w:rsidRPr="002462E6">
        <w:t>La consolidation du régime forestier après l’indépendance</w:t>
      </w:r>
      <w:bookmarkEnd w:id="133"/>
      <w:bookmarkEnd w:id="134"/>
    </w:p>
    <w:p w:rsidR="000A7532" w:rsidRPr="002462E6" w:rsidRDefault="000A7532" w:rsidP="000A7532">
      <w:pPr>
        <w:widowControl w:val="0"/>
        <w:autoSpaceDE w:val="0"/>
        <w:autoSpaceDN w:val="0"/>
        <w:spacing w:after="0" w:line="240" w:lineRule="auto"/>
        <w:ind w:left="360"/>
        <w:outlineLvl w:val="4"/>
        <w:rPr>
          <w:rFonts w:ascii="Times New Roman" w:eastAsia="Times New Roman" w:hAnsi="Times New Roman" w:cs="Times New Roman"/>
          <w:b/>
          <w:bCs/>
          <w:i/>
          <w:iCs/>
          <w:sz w:val="24"/>
          <w:szCs w:val="24"/>
        </w:rPr>
      </w:pPr>
    </w:p>
    <w:p w:rsidR="000A7532" w:rsidRPr="002462E6" w:rsidRDefault="000A7532" w:rsidP="000A7532">
      <w:pPr>
        <w:widowControl w:val="0"/>
        <w:autoSpaceDE w:val="0"/>
        <w:autoSpaceDN w:val="0"/>
        <w:spacing w:after="0" w:line="360" w:lineRule="auto"/>
        <w:ind w:right="6"/>
        <w:jc w:val="both"/>
        <w:rPr>
          <w:rFonts w:ascii="Tahoma" w:eastAsia="Times New Roman" w:hAnsi="Tahoma" w:cs="Tahoma"/>
          <w:spacing w:val="-1"/>
          <w:sz w:val="24"/>
          <w:szCs w:val="24"/>
        </w:rPr>
      </w:pPr>
      <w:r w:rsidRPr="002462E6">
        <w:rPr>
          <w:rFonts w:ascii="Tahoma" w:eastAsia="Times New Roman" w:hAnsi="Tahoma" w:cs="Tahoma"/>
          <w:sz w:val="24"/>
        </w:rPr>
        <w:t>Cette phase semble importante vu qu</w:t>
      </w:r>
      <w:r w:rsidR="005D2B7C">
        <w:rPr>
          <w:rFonts w:ascii="Tahoma" w:eastAsia="Times New Roman" w:hAnsi="Tahoma" w:cs="Tahoma"/>
          <w:sz w:val="24"/>
        </w:rPr>
        <w:t>’elle visait</w:t>
      </w:r>
      <w:r w:rsidRPr="002462E6">
        <w:rPr>
          <w:rFonts w:ascii="Tahoma" w:eastAsia="Times New Roman" w:hAnsi="Tahoma" w:cs="Tahoma"/>
          <w:sz w:val="24"/>
        </w:rPr>
        <w:t xml:space="preserve"> </w:t>
      </w:r>
      <w:r w:rsidRPr="002462E6">
        <w:rPr>
          <w:rFonts w:ascii="Tahoma" w:eastAsia="Times New Roman" w:hAnsi="Tahoma" w:cs="Tahoma"/>
          <w:spacing w:val="-1"/>
          <w:sz w:val="24"/>
          <w:szCs w:val="24"/>
        </w:rPr>
        <w:t>le renforcement du régime forestier. Elle a été marquée par des réformes destinées à structurer le service forestier et à consolider son cadre réglementaire. L'intégration des services sous l'égide du Ministère de l'Agriculture a joué un rôle déterminant, en alignant les efforts de gestion des ressources forestières aux objectifs agricoles et environnementaux du pays.</w:t>
      </w:r>
    </w:p>
    <w:p w:rsidR="000A7532" w:rsidRPr="002462E6" w:rsidRDefault="000A7532" w:rsidP="005D2B7C">
      <w:pPr>
        <w:widowControl w:val="0"/>
        <w:autoSpaceDE w:val="0"/>
        <w:autoSpaceDN w:val="0"/>
        <w:spacing w:after="0" w:line="360" w:lineRule="auto"/>
        <w:ind w:right="6"/>
        <w:jc w:val="both"/>
        <w:rPr>
          <w:rFonts w:ascii="Tahoma" w:eastAsia="Times New Roman" w:hAnsi="Tahoma" w:cs="Tahoma"/>
          <w:spacing w:val="-1"/>
          <w:sz w:val="24"/>
          <w:szCs w:val="24"/>
        </w:rPr>
      </w:pPr>
      <w:r w:rsidRPr="002462E6">
        <w:rPr>
          <w:rFonts w:ascii="Tahoma" w:eastAsia="Times New Roman" w:hAnsi="Tahoma" w:cs="Tahoma"/>
          <w:spacing w:val="-1"/>
          <w:sz w:val="24"/>
          <w:szCs w:val="24"/>
        </w:rPr>
        <w:t xml:space="preserve">Cette phase de restructuration du service forestier a engendré des changements tant organisationnels que fonctionnels en vue d'améliorer l’efficacité et la réactivité des services impliqués dans la gestion des forêts. </w:t>
      </w:r>
    </w:p>
    <w:p w:rsidR="000A7532" w:rsidRPr="002462E6" w:rsidRDefault="000A7532" w:rsidP="000A7532">
      <w:pPr>
        <w:widowControl w:val="0"/>
        <w:autoSpaceDE w:val="0"/>
        <w:autoSpaceDN w:val="0"/>
        <w:spacing w:after="0" w:line="360" w:lineRule="auto"/>
        <w:ind w:right="4"/>
        <w:jc w:val="both"/>
        <w:rPr>
          <w:rFonts w:ascii="Tahoma" w:eastAsia="Times New Roman" w:hAnsi="Tahoma" w:cs="Tahoma"/>
          <w:spacing w:val="-1"/>
          <w:sz w:val="24"/>
          <w:szCs w:val="24"/>
        </w:rPr>
      </w:pPr>
      <w:r w:rsidRPr="002462E6">
        <w:rPr>
          <w:rFonts w:ascii="Tahoma" w:eastAsia="Times New Roman" w:hAnsi="Tahoma" w:cs="Tahoma"/>
          <w:spacing w:val="-1"/>
          <w:sz w:val="24"/>
          <w:szCs w:val="24"/>
        </w:rPr>
        <w:t xml:space="preserve">En réponse aux défis contemporains, le Maroc a adopté récemment de nouvelles </w:t>
      </w:r>
      <w:r w:rsidRPr="002462E6">
        <w:rPr>
          <w:rFonts w:ascii="Tahoma" w:eastAsia="Times New Roman" w:hAnsi="Tahoma" w:cs="Tahoma"/>
          <w:spacing w:val="-1"/>
          <w:sz w:val="24"/>
          <w:szCs w:val="24"/>
        </w:rPr>
        <w:lastRenderedPageBreak/>
        <w:t xml:space="preserve">orientations stratégiques à travers la mise en œuvre de la Stratégie « Forêts du Maroc 2020-2030 ». Cette stratégie semble être destinée non seulement à préserver et valoriser les écosystèmes forestiers, mais également à répondre aux enjeux pressants liés au changement climatique et au développement durable. </w:t>
      </w:r>
    </w:p>
    <w:p w:rsidR="000A7532" w:rsidRPr="002462E6" w:rsidRDefault="000A7532" w:rsidP="000A7532">
      <w:pPr>
        <w:widowControl w:val="0"/>
        <w:autoSpaceDE w:val="0"/>
        <w:autoSpaceDN w:val="0"/>
        <w:spacing w:after="0" w:line="240" w:lineRule="auto"/>
        <w:rPr>
          <w:rFonts w:ascii="Times New Roman" w:eastAsia="Times New Roman" w:hAnsi="Times New Roman" w:cs="Times New Roman"/>
          <w:sz w:val="24"/>
          <w:szCs w:val="24"/>
        </w:rPr>
      </w:pPr>
    </w:p>
    <w:p w:rsidR="00946C44" w:rsidRDefault="000A7532" w:rsidP="008D3838">
      <w:pPr>
        <w:pStyle w:val="Titre6"/>
        <w:numPr>
          <w:ilvl w:val="0"/>
          <w:numId w:val="81"/>
        </w:numPr>
      </w:pPr>
      <w:bookmarkStart w:id="135" w:name="_bookmark57"/>
      <w:bookmarkStart w:id="136" w:name="_Toc201655465"/>
      <w:bookmarkStart w:id="137" w:name="_Toc203643019"/>
      <w:bookmarkEnd w:id="135"/>
      <w:r w:rsidRPr="002462E6">
        <w:t>Période de 1956-1974 : phase de consolidation du régime forestier et mise en place des structures administratives</w:t>
      </w:r>
      <w:bookmarkEnd w:id="136"/>
      <w:bookmarkEnd w:id="137"/>
    </w:p>
    <w:p w:rsidR="002062B1" w:rsidRPr="002062B1" w:rsidRDefault="002062B1" w:rsidP="002062B1">
      <w:pPr>
        <w:rPr>
          <w:lang w:eastAsia="fr-FR"/>
        </w:rPr>
      </w:pPr>
    </w:p>
    <w:p w:rsidR="000A7532" w:rsidRPr="002462E6" w:rsidRDefault="000A7532" w:rsidP="000A7532">
      <w:pPr>
        <w:widowControl w:val="0"/>
        <w:autoSpaceDE w:val="0"/>
        <w:autoSpaceDN w:val="0"/>
        <w:spacing w:before="164" w:after="0" w:line="360" w:lineRule="auto"/>
        <w:ind w:right="4"/>
        <w:jc w:val="both"/>
        <w:rPr>
          <w:rFonts w:ascii="Tahoma" w:eastAsia="Times New Roman" w:hAnsi="Tahoma" w:cs="Tahoma"/>
          <w:color w:val="232333"/>
          <w:sz w:val="24"/>
          <w:szCs w:val="24"/>
        </w:rPr>
      </w:pPr>
      <w:r w:rsidRPr="002462E6">
        <w:rPr>
          <w:rFonts w:ascii="Tahoma" w:eastAsia="Times New Roman" w:hAnsi="Tahoma" w:cs="Tahoma"/>
          <w:color w:val="232333"/>
          <w:sz w:val="24"/>
          <w:szCs w:val="24"/>
        </w:rPr>
        <w:t>Cette période se caractérisait par une politique proactive de mobilisation des ressources en eau (notamment à travers la construction de barrages), ainsi que par l'exploitation des ressources minières et énergétiques, et la mise en œuvre de grands projets tels que le projet DERRO pour le développement rural du Rif Occidental et le projet de Sebou. Le service forestier a joué un rôle considérable dans ces initiatives, notamment en luttant contre l’érosion pour protéger les barrages et les infrastructures, en contribuant à la conservation des sols pour l’agriculture, en favorisant la plantation d’arbres fruitiers, et en stabilisant les dunes maritimes dans des régions qui constituent actuellement un potentiel touristique du pays, etc.</w:t>
      </w:r>
    </w:p>
    <w:p w:rsidR="000A7532" w:rsidRPr="002462E6" w:rsidRDefault="000A7532" w:rsidP="000A7532">
      <w:pPr>
        <w:widowControl w:val="0"/>
        <w:autoSpaceDE w:val="0"/>
        <w:autoSpaceDN w:val="0"/>
        <w:spacing w:before="164" w:after="0" w:line="360" w:lineRule="auto"/>
        <w:ind w:right="4"/>
        <w:jc w:val="both"/>
        <w:rPr>
          <w:rFonts w:ascii="Tahoma" w:eastAsia="Times New Roman" w:hAnsi="Tahoma" w:cs="Tahoma"/>
          <w:color w:val="232333"/>
          <w:sz w:val="24"/>
          <w:szCs w:val="24"/>
        </w:rPr>
      </w:pPr>
      <w:r w:rsidRPr="002462E6">
        <w:rPr>
          <w:rFonts w:ascii="Tahoma" w:eastAsia="Times New Roman" w:hAnsi="Tahoma" w:cs="Tahoma"/>
          <w:color w:val="232333"/>
          <w:sz w:val="24"/>
          <w:szCs w:val="24"/>
        </w:rPr>
        <w:t>Ensuite, le service forestier a été élevé au rang d’« Administration des Eaux et Forêts de la Conservation des Sols (AEFCS) », avec huit circonscriptions régionales en remplacement des anciennes conservations (Tétouan, Oujda, Fès, Meknès, Rabat, Casablanca, Marrakech, Agadir). Ce nouveau découpage territorial s'accordait avec les régions économiques. Les circonscriptions, en tant que structures plus légères, avaient pour mission la coordination, la synthèse, le suivi et le soutien des activités. Elles supervisaient des arrondissements ou subdivisions au niveau provincial, qui étaient à leur tour divisés en districts et en triages. Cette restructuration a supprimé le niveau des inspections, tout en renforçant les niveaux opérationnels sur le terrain, adaptés aux exigences des travaux et projets en cours, en réponse aux plans de développement économique et social du pays initiés</w:t>
      </w:r>
      <w:r w:rsidRPr="002462E6">
        <w:rPr>
          <w:rFonts w:ascii="Tahoma" w:eastAsia="Times New Roman" w:hAnsi="Tahoma" w:cs="Tahoma"/>
          <w:sz w:val="24"/>
          <w:szCs w:val="24"/>
        </w:rPr>
        <w:t xml:space="preserve"> </w:t>
      </w:r>
      <w:r w:rsidRPr="002462E6">
        <w:rPr>
          <w:rFonts w:ascii="Tahoma" w:eastAsia="Times New Roman" w:hAnsi="Tahoma" w:cs="Tahoma"/>
          <w:color w:val="232333"/>
          <w:sz w:val="24"/>
          <w:szCs w:val="24"/>
        </w:rPr>
        <w:t>depuis 1956</w:t>
      </w:r>
      <w:r w:rsidRPr="002462E6">
        <w:rPr>
          <w:rFonts w:ascii="Tahoma" w:eastAsia="Times New Roman" w:hAnsi="Tahoma" w:cs="Tahoma"/>
          <w:color w:val="232333"/>
          <w:sz w:val="24"/>
          <w:szCs w:val="24"/>
          <w:vertAlign w:val="superscript"/>
        </w:rPr>
        <w:footnoteReference w:id="199"/>
      </w:r>
      <w:r w:rsidRPr="002462E6">
        <w:rPr>
          <w:rFonts w:ascii="Tahoma" w:eastAsia="Times New Roman" w:hAnsi="Tahoma" w:cs="Tahoma"/>
          <w:color w:val="232333"/>
          <w:sz w:val="24"/>
          <w:szCs w:val="24"/>
        </w:rPr>
        <w:t xml:space="preserve">. Il convient de mentionner qu'avant </w:t>
      </w:r>
      <w:r w:rsidRPr="002462E6">
        <w:rPr>
          <w:rFonts w:ascii="Tahoma" w:eastAsia="Times New Roman" w:hAnsi="Tahoma" w:cs="Tahoma"/>
          <w:color w:val="232333"/>
          <w:sz w:val="24"/>
          <w:szCs w:val="24"/>
        </w:rPr>
        <w:lastRenderedPageBreak/>
        <w:t>1970, le nombre d'ingénieurs au sein de l'administration forestière était limité (25 ingénieurs d'État, dont 15 marocains, et 15 ingénieurs de travaux, dont 12 marocains), ce qui a nécessité la création de l’École Nationale Forestière d'Ingénieurs (ENFI) en 1968 (détail figure dans la section suivante).</w:t>
      </w:r>
    </w:p>
    <w:p w:rsidR="000A7532" w:rsidRPr="002462E6" w:rsidRDefault="000A7532" w:rsidP="000A7532">
      <w:pPr>
        <w:widowControl w:val="0"/>
        <w:autoSpaceDE w:val="0"/>
        <w:autoSpaceDN w:val="0"/>
        <w:spacing w:before="164" w:after="0" w:line="360" w:lineRule="auto"/>
        <w:ind w:right="4"/>
        <w:jc w:val="both"/>
        <w:rPr>
          <w:rFonts w:ascii="Tahoma" w:eastAsia="Times New Roman" w:hAnsi="Tahoma" w:cs="Tahoma"/>
          <w:color w:val="232333"/>
          <w:sz w:val="24"/>
          <w:szCs w:val="24"/>
        </w:rPr>
      </w:pPr>
      <w:r w:rsidRPr="002462E6">
        <w:rPr>
          <w:rFonts w:ascii="Tahoma" w:eastAsia="Times New Roman" w:hAnsi="Tahoma" w:cs="Tahoma"/>
          <w:color w:val="232333"/>
          <w:sz w:val="24"/>
          <w:szCs w:val="24"/>
        </w:rPr>
        <w:t>Durant cette période, plusieurs textes de loi ont été adoptés pour compléter le Code Forestier, parmi lesquels le Dahir du 30 juillet 1957, qui étendait certaines dispositions de la législation forestière à la zone Nord, et le Dahir du 25 juillet 1969, relatif à la Défense et à la Restauration des Sols, ainsi que celui portant sur la création de périmètres d’amélioration sylvopastorale etc.</w:t>
      </w:r>
    </w:p>
    <w:p w:rsidR="000A7532" w:rsidRPr="002462E6" w:rsidRDefault="000A7532" w:rsidP="000A7532">
      <w:pPr>
        <w:widowControl w:val="0"/>
        <w:autoSpaceDE w:val="0"/>
        <w:autoSpaceDN w:val="0"/>
        <w:spacing w:before="164" w:after="0" w:line="360" w:lineRule="auto"/>
        <w:ind w:right="4"/>
        <w:jc w:val="both"/>
        <w:rPr>
          <w:rFonts w:ascii="Tahoma" w:eastAsia="Times New Roman" w:hAnsi="Tahoma" w:cs="Tahoma"/>
          <w:color w:val="232333"/>
          <w:sz w:val="24"/>
          <w:szCs w:val="24"/>
        </w:rPr>
      </w:pPr>
      <w:r w:rsidRPr="002462E6">
        <w:rPr>
          <w:rFonts w:ascii="Tahoma" w:eastAsia="Times New Roman" w:hAnsi="Tahoma" w:cs="Tahoma"/>
          <w:color w:val="232333"/>
          <w:sz w:val="24"/>
          <w:szCs w:val="24"/>
        </w:rPr>
        <w:t>Par ailleurs, cette période se caractérisait également par l’élaboration et la mise en œuvre du Plan National de Reboisement (PNR -1970), l’adoption du programme annuel de 22.000 ha et la diffusion du « Guide pratique du reboiseur » destiné aux ingénieurs et techniciens.</w:t>
      </w:r>
    </w:p>
    <w:p w:rsidR="000A7532" w:rsidRPr="002462E6" w:rsidRDefault="000A7532" w:rsidP="000A7532">
      <w:pPr>
        <w:widowControl w:val="0"/>
        <w:autoSpaceDE w:val="0"/>
        <w:autoSpaceDN w:val="0"/>
        <w:spacing w:before="164" w:after="0" w:line="360" w:lineRule="auto"/>
        <w:ind w:right="4"/>
        <w:jc w:val="both"/>
        <w:rPr>
          <w:rFonts w:ascii="Tahoma" w:eastAsia="Times New Roman" w:hAnsi="Tahoma" w:cs="Tahoma"/>
          <w:color w:val="232333"/>
          <w:sz w:val="24"/>
          <w:szCs w:val="24"/>
        </w:rPr>
      </w:pPr>
      <w:r w:rsidRPr="002462E6">
        <w:rPr>
          <w:rFonts w:ascii="Tahoma" w:eastAsia="Times New Roman" w:hAnsi="Tahoma" w:cs="Tahoma"/>
          <w:color w:val="232333"/>
          <w:sz w:val="24"/>
          <w:szCs w:val="24"/>
        </w:rPr>
        <w:t>Par ailleurs, une réforme majeure du secteur forestier a eu lieu en 1972, entraînant la création d'un « Office National des Forêts » avec la nomination d'un directeur. Néanmoins, cette restructuration institutionnelle n'a pas été mise en œuvre pour des raisons qui demeurent floues.</w:t>
      </w:r>
    </w:p>
    <w:p w:rsidR="000A7532" w:rsidRPr="002462E6" w:rsidRDefault="000A7532" w:rsidP="000A7532">
      <w:pPr>
        <w:widowControl w:val="0"/>
        <w:autoSpaceDE w:val="0"/>
        <w:autoSpaceDN w:val="0"/>
        <w:spacing w:after="0" w:line="240" w:lineRule="auto"/>
        <w:rPr>
          <w:rFonts w:ascii="Times New Roman" w:eastAsia="Times New Roman" w:hAnsi="Times New Roman" w:cs="Times New Roman"/>
          <w:sz w:val="24"/>
          <w:szCs w:val="24"/>
        </w:rPr>
      </w:pPr>
    </w:p>
    <w:p w:rsidR="000A7532" w:rsidRDefault="000A7532" w:rsidP="008D3838">
      <w:pPr>
        <w:pStyle w:val="Titre6"/>
      </w:pPr>
      <w:bookmarkStart w:id="138" w:name="_bookmark58"/>
      <w:bookmarkStart w:id="139" w:name="_Toc186533812"/>
      <w:bookmarkStart w:id="140" w:name="_Toc201655466"/>
      <w:bookmarkStart w:id="141" w:name="_Toc203643020"/>
      <w:bookmarkEnd w:id="138"/>
      <w:r w:rsidRPr="002462E6">
        <w:t xml:space="preserve">Période de </w:t>
      </w:r>
      <w:bookmarkEnd w:id="139"/>
      <w:r w:rsidRPr="002462E6">
        <w:t>1975-1994 : réorganisation et intégration des services forestiers au sein du Ministère de l’Agriculture</w:t>
      </w:r>
      <w:bookmarkEnd w:id="140"/>
      <w:bookmarkEnd w:id="141"/>
      <w:r w:rsidR="00B166EE">
        <w:t xml:space="preserve"> </w:t>
      </w:r>
    </w:p>
    <w:p w:rsidR="002062B1" w:rsidRPr="002062B1" w:rsidRDefault="002062B1" w:rsidP="002062B1">
      <w:pPr>
        <w:rPr>
          <w:lang w:eastAsia="fr-FR"/>
        </w:rPr>
      </w:pPr>
    </w:p>
    <w:p w:rsidR="000A7532" w:rsidRPr="002462E6" w:rsidRDefault="000A7532" w:rsidP="00E869A7">
      <w:pPr>
        <w:widowControl w:val="0"/>
        <w:autoSpaceDE w:val="0"/>
        <w:autoSpaceDN w:val="0"/>
        <w:spacing w:before="164" w:after="0" w:line="360" w:lineRule="auto"/>
        <w:ind w:right="4"/>
        <w:jc w:val="both"/>
        <w:rPr>
          <w:rFonts w:ascii="Tahoma" w:eastAsia="Times New Roman" w:hAnsi="Tahoma" w:cs="Tahoma"/>
          <w:color w:val="232333"/>
          <w:sz w:val="24"/>
          <w:szCs w:val="24"/>
        </w:rPr>
      </w:pPr>
      <w:r w:rsidRPr="002462E6">
        <w:rPr>
          <w:rFonts w:ascii="Tahoma" w:eastAsia="Times New Roman" w:hAnsi="Tahoma" w:cs="Tahoma"/>
          <w:color w:val="232333"/>
          <w:sz w:val="24"/>
          <w:szCs w:val="24"/>
        </w:rPr>
        <w:t>Au cours de cette période, les Directions Provinciales de l’Agriculture (DPA) ont été créées en 1975, regroupant tous les services extérieurs du Ministère de l'Agriculture et de la Réforme Agraire (MARA) pour s'adapter aux exigences des projets de développement intégré de cette époque. L'Administration des Eaux et Forêts de la Conservation des Sols (AEFCS) a perdu son statut d'administration et est devenue la « Direction des Eaux et Forêts de la Conservation des Sols (DEFCS) », qui se composait de plusieurs divisions et services tels que l’aménagement, le contentieux, le matériel, la chasse, la pêche, le reboisement et la conservation des sols. En ce qui concerne, le service administratif et la Station de Recherche Forestière, ils étaient rattachés directement au directeur.</w:t>
      </w:r>
    </w:p>
    <w:p w:rsidR="000A7532" w:rsidRPr="002462E6" w:rsidRDefault="000A7532" w:rsidP="000A7532">
      <w:pPr>
        <w:widowControl w:val="0"/>
        <w:autoSpaceDE w:val="0"/>
        <w:autoSpaceDN w:val="0"/>
        <w:spacing w:before="164" w:after="0" w:line="360" w:lineRule="auto"/>
        <w:ind w:right="4"/>
        <w:jc w:val="both"/>
        <w:rPr>
          <w:rFonts w:ascii="Tahoma" w:eastAsia="Times New Roman" w:hAnsi="Tahoma" w:cs="Tahoma"/>
          <w:color w:val="232333"/>
          <w:sz w:val="24"/>
          <w:szCs w:val="24"/>
        </w:rPr>
      </w:pPr>
      <w:r w:rsidRPr="002462E6">
        <w:rPr>
          <w:rFonts w:ascii="Tahoma" w:eastAsia="Times New Roman" w:hAnsi="Tahoma" w:cs="Tahoma"/>
          <w:color w:val="232333"/>
          <w:sz w:val="24"/>
          <w:szCs w:val="24"/>
        </w:rPr>
        <w:lastRenderedPageBreak/>
        <w:t>Au niveau des services extérieurs, les circonscriptions ont été remplacées par des services provinciaux des eaux et forêts, sous l’autorité des DPA, tout comme les arrondissements et subdivisions dont les territoires coïncidaient avec ceux des provinces. En revanche, les structures infra-provinciales (subdivisions, districts, triages) sont restées inchangées.</w:t>
      </w:r>
    </w:p>
    <w:p w:rsidR="000A7532" w:rsidRPr="002462E6" w:rsidRDefault="000A7532" w:rsidP="000A7532">
      <w:pPr>
        <w:widowControl w:val="0"/>
        <w:autoSpaceDE w:val="0"/>
        <w:autoSpaceDN w:val="0"/>
        <w:spacing w:before="164" w:after="0" w:line="360" w:lineRule="auto"/>
        <w:ind w:right="4"/>
        <w:jc w:val="both"/>
        <w:rPr>
          <w:rFonts w:ascii="Tahoma" w:eastAsia="Times New Roman" w:hAnsi="Tahoma" w:cs="Tahoma"/>
          <w:color w:val="232333"/>
          <w:sz w:val="24"/>
          <w:szCs w:val="24"/>
        </w:rPr>
      </w:pPr>
      <w:r w:rsidRPr="002462E6">
        <w:rPr>
          <w:rFonts w:ascii="Tahoma" w:eastAsia="Times New Roman" w:hAnsi="Tahoma" w:cs="Tahoma"/>
          <w:color w:val="232333"/>
          <w:sz w:val="24"/>
          <w:szCs w:val="24"/>
        </w:rPr>
        <w:t>Le rôle de la DEFCS se limitait à définir les orientations politiques du secteur, à déléguer le budget aux DPA et à suivre les réalisations des programmes via l'exécution du budget.</w:t>
      </w:r>
    </w:p>
    <w:p w:rsidR="000A7532" w:rsidRPr="002462E6" w:rsidRDefault="000A7532" w:rsidP="000A7532">
      <w:pPr>
        <w:widowControl w:val="0"/>
        <w:autoSpaceDE w:val="0"/>
        <w:autoSpaceDN w:val="0"/>
        <w:spacing w:after="0" w:line="360" w:lineRule="auto"/>
        <w:ind w:right="4"/>
        <w:jc w:val="both"/>
        <w:rPr>
          <w:rFonts w:ascii="Tahoma" w:eastAsia="Times New Roman" w:hAnsi="Tahoma" w:cs="Tahoma"/>
          <w:color w:val="232333"/>
          <w:sz w:val="24"/>
          <w:szCs w:val="24"/>
        </w:rPr>
      </w:pPr>
      <w:r w:rsidRPr="002462E6">
        <w:rPr>
          <w:rFonts w:ascii="Tahoma" w:eastAsia="Times New Roman" w:hAnsi="Tahoma" w:cs="Tahoma"/>
          <w:color w:val="232333"/>
          <w:sz w:val="24"/>
          <w:szCs w:val="24"/>
        </w:rPr>
        <w:t>Plusieurs événements ont marqué cette période telle que la promulgation du « Dahir de 1976 relatif à l’organisation de la participation des populations au développement de l’économie forestière », qui a créé les bases de la coordination et du renforcement de l’action concertée entre l’État et les usagers pour le développement, la conservation et l'extension du patrimoine forestier. Ce Dahir semble également instituer une approche participative (pouvoirs de délibération aux conseils communaux en matière forestière et le versement des recettes forestières aux communes concernées)</w:t>
      </w:r>
      <w:r w:rsidRPr="002462E6">
        <w:rPr>
          <w:rFonts w:ascii="Tahoma" w:eastAsia="Times New Roman" w:hAnsi="Tahoma" w:cs="Tahoma"/>
          <w:color w:val="232333"/>
          <w:sz w:val="24"/>
          <w:szCs w:val="24"/>
          <w:vertAlign w:val="superscript"/>
        </w:rPr>
        <w:footnoteReference w:id="200"/>
      </w:r>
      <w:r w:rsidRPr="002462E6">
        <w:rPr>
          <w:rFonts w:ascii="Tahoma" w:eastAsia="Times New Roman" w:hAnsi="Tahoma" w:cs="Tahoma"/>
          <w:color w:val="232333"/>
          <w:sz w:val="24"/>
          <w:szCs w:val="24"/>
        </w:rPr>
        <w:t>.</w:t>
      </w:r>
    </w:p>
    <w:p w:rsidR="000A7532" w:rsidRPr="002462E6" w:rsidRDefault="000A7532" w:rsidP="001F4363">
      <w:pPr>
        <w:widowControl w:val="0"/>
        <w:autoSpaceDE w:val="0"/>
        <w:autoSpaceDN w:val="0"/>
        <w:spacing w:after="0" w:line="360" w:lineRule="auto"/>
        <w:ind w:right="4"/>
        <w:jc w:val="both"/>
        <w:rPr>
          <w:rFonts w:ascii="Tahoma" w:eastAsia="Times New Roman" w:hAnsi="Tahoma" w:cs="Tahoma"/>
          <w:color w:val="232333"/>
          <w:sz w:val="24"/>
          <w:szCs w:val="24"/>
        </w:rPr>
      </w:pPr>
      <w:r w:rsidRPr="002462E6">
        <w:rPr>
          <w:rFonts w:ascii="Tahoma" w:eastAsia="Times New Roman" w:hAnsi="Tahoma" w:cs="Tahoma"/>
          <w:color w:val="232333"/>
          <w:sz w:val="24"/>
          <w:szCs w:val="24"/>
        </w:rPr>
        <w:t>Cependant, cette période a été marquée également par une déstabilisation et une crise profonde, en particulier au sein des services extérieurs. Le manque d'organisation et de gestion a été largement critiqué vu que l'administration forestière est restée sans titulaire pendant une période prolongée. En effet, les propositions de réorganisation administrative, telles que le Rapport sur la situation actuelle du domaine forestier et ses perspectives d’avenir (Colloque National de l’Agriculture de Marrakech, avril 1988), le Mémorandum sur la question forestière au Maroc (janvier 1986) et le Projet forestier phase II soutien de la Banque Mondiale (1988-1993), qui soulignaient la nécessité de renforcer le secte</w:t>
      </w:r>
      <w:r w:rsidR="001F4363">
        <w:rPr>
          <w:rFonts w:ascii="Tahoma" w:eastAsia="Times New Roman" w:hAnsi="Tahoma" w:cs="Tahoma"/>
          <w:color w:val="232333"/>
          <w:sz w:val="24"/>
          <w:szCs w:val="24"/>
        </w:rPr>
        <w:t>ur forestier, n'ont pas abouti.</w:t>
      </w:r>
    </w:p>
    <w:p w:rsidR="00957347" w:rsidRPr="002462E6" w:rsidRDefault="000A7532" w:rsidP="00875727">
      <w:pPr>
        <w:widowControl w:val="0"/>
        <w:autoSpaceDE w:val="0"/>
        <w:autoSpaceDN w:val="0"/>
        <w:spacing w:after="0" w:line="360" w:lineRule="auto"/>
        <w:ind w:right="4"/>
        <w:jc w:val="both"/>
        <w:rPr>
          <w:rFonts w:ascii="Tahoma" w:eastAsia="Times New Roman" w:hAnsi="Tahoma" w:cs="Tahoma"/>
          <w:color w:val="232333"/>
          <w:sz w:val="24"/>
          <w:szCs w:val="24"/>
        </w:rPr>
      </w:pPr>
      <w:r w:rsidRPr="002462E6">
        <w:rPr>
          <w:rFonts w:ascii="Tahoma" w:eastAsia="Times New Roman" w:hAnsi="Tahoma" w:cs="Tahoma"/>
          <w:color w:val="232333"/>
          <w:sz w:val="24"/>
          <w:szCs w:val="24"/>
        </w:rPr>
        <w:t xml:space="preserve">En 1994, la direction centrale a récupéré son ancien statut d’Administration des Eaux et Forêts et de la Conservation des Sols (AEFCS) dans le cadre de la régionalisation de la gestion forestière, entraînant ainsi la création de deux nouvelles directions : la Direction du Développement Forestier (DDF) et la Direction de la Conservation des Ressources Forestières (DCRF). Au total, neuf Directions régionales représentaient l'administration centrale étaient réparties en fonction des régions écologiques et forestières tout en </w:t>
      </w:r>
      <w:r w:rsidRPr="002462E6">
        <w:rPr>
          <w:rFonts w:ascii="Tahoma" w:eastAsia="Times New Roman" w:hAnsi="Tahoma" w:cs="Tahoma"/>
          <w:color w:val="232333"/>
          <w:sz w:val="24"/>
          <w:szCs w:val="24"/>
        </w:rPr>
        <w:lastRenderedPageBreak/>
        <w:t xml:space="preserve">respectant les limites administratives. Ces directions étaient organisées à l'échelle provinciale et locale au sein de services forestiers et de Centres de </w:t>
      </w:r>
      <w:r w:rsidR="00875727">
        <w:rPr>
          <w:rFonts w:ascii="Tahoma" w:eastAsia="Times New Roman" w:hAnsi="Tahoma" w:cs="Tahoma"/>
          <w:color w:val="232333"/>
          <w:sz w:val="24"/>
          <w:szCs w:val="24"/>
        </w:rPr>
        <w:t xml:space="preserve">Développement Forestier (CDF). </w:t>
      </w:r>
    </w:p>
    <w:p w:rsidR="000A7532" w:rsidRPr="002462E6" w:rsidRDefault="000A7532" w:rsidP="001F4363">
      <w:pPr>
        <w:widowControl w:val="0"/>
        <w:autoSpaceDE w:val="0"/>
        <w:autoSpaceDN w:val="0"/>
        <w:spacing w:after="0" w:line="360" w:lineRule="auto"/>
        <w:ind w:right="4"/>
        <w:jc w:val="both"/>
        <w:rPr>
          <w:rFonts w:ascii="Tahoma" w:eastAsia="Times New Roman" w:hAnsi="Tahoma" w:cs="Tahoma"/>
          <w:color w:val="232333"/>
          <w:sz w:val="24"/>
          <w:szCs w:val="24"/>
        </w:rPr>
      </w:pPr>
      <w:r w:rsidRPr="002462E6">
        <w:rPr>
          <w:rFonts w:ascii="Tahoma" w:eastAsia="Times New Roman" w:hAnsi="Tahoma" w:cs="Tahoma"/>
          <w:color w:val="232333"/>
          <w:sz w:val="24"/>
          <w:szCs w:val="24"/>
        </w:rPr>
        <w:t>Cette nouvelle organisation visait à aligner, d’une part, l’administration forestière sur les évolutions en matière de décentralisation, déconcentration et régionalisation et de renforcer d’autre part la présence sur le terrain non seulement en termes de contrôle, mais aussi pour l’amélioration de la qualité technique des interventions et le maintien d’un dialogue avec les populations rurales</w:t>
      </w:r>
      <w:r w:rsidRPr="002462E6">
        <w:rPr>
          <w:rFonts w:ascii="Tahoma" w:eastAsia="Times New Roman" w:hAnsi="Tahoma" w:cs="Tahoma"/>
          <w:color w:val="232333"/>
          <w:sz w:val="24"/>
          <w:szCs w:val="24"/>
          <w:vertAlign w:val="superscript"/>
        </w:rPr>
        <w:footnoteReference w:id="201"/>
      </w:r>
      <w:r w:rsidRPr="002462E6">
        <w:rPr>
          <w:rFonts w:ascii="Tahoma" w:eastAsia="Times New Roman" w:hAnsi="Tahoma" w:cs="Tahoma"/>
          <w:color w:val="232333"/>
          <w:sz w:val="24"/>
          <w:szCs w:val="24"/>
        </w:rPr>
        <w:t>. Il convient de noter que les changements gouvernementaux de 1998 ont créé, pour la première fois dans l’histoire de la forêt marocaine, un Ministère délégué chargé des Eaux et Forêts (MCEF) rattaché au Ministère de l’Agriculture, du Développement Rural et de la Pêche Maritime (MADRPM), ce qui témoigne de l’importance de la gestion des écosystèmes fo</w:t>
      </w:r>
      <w:r w:rsidR="001F4363">
        <w:rPr>
          <w:rFonts w:ascii="Tahoma" w:eastAsia="Times New Roman" w:hAnsi="Tahoma" w:cs="Tahoma"/>
          <w:color w:val="232333"/>
          <w:sz w:val="24"/>
          <w:szCs w:val="24"/>
        </w:rPr>
        <w:t xml:space="preserve">restiers durant cette période. </w:t>
      </w:r>
    </w:p>
    <w:p w:rsidR="00946C44" w:rsidRPr="002462E6" w:rsidRDefault="000A7532" w:rsidP="001F4363">
      <w:pPr>
        <w:widowControl w:val="0"/>
        <w:autoSpaceDE w:val="0"/>
        <w:autoSpaceDN w:val="0"/>
        <w:spacing w:after="0" w:line="360" w:lineRule="auto"/>
        <w:ind w:right="4"/>
        <w:jc w:val="both"/>
        <w:rPr>
          <w:rFonts w:ascii="Tahoma" w:eastAsia="Times New Roman" w:hAnsi="Tahoma" w:cs="Tahoma"/>
          <w:color w:val="232333"/>
          <w:sz w:val="24"/>
          <w:szCs w:val="24"/>
        </w:rPr>
      </w:pPr>
      <w:r w:rsidRPr="002462E6">
        <w:rPr>
          <w:rFonts w:ascii="Tahoma" w:eastAsia="Times New Roman" w:hAnsi="Tahoma" w:cs="Tahoma"/>
          <w:color w:val="232333"/>
          <w:sz w:val="24"/>
          <w:szCs w:val="24"/>
        </w:rPr>
        <w:t>Par ailleurs, l'organisation administrative régionale a été révisée conformément au nouveau cadre juridique (loi 47-96 sur la région), entraînant des changements dans la structure et la composition des Directions Régionales des Eaux et Forêts (DREF). Cette révision visait à transférer des pouvoirs aux niveaux déconcentrés, à réajuster les territoires en fonction des potentiels de chaque région pour une planification intégrée, à établir une administration de proximité qui favorise la proximité entre l'administration et les usagers, et à répartir les ressources nationales de manière à réd</w:t>
      </w:r>
      <w:r w:rsidR="001F4363">
        <w:rPr>
          <w:rFonts w:ascii="Tahoma" w:eastAsia="Times New Roman" w:hAnsi="Tahoma" w:cs="Tahoma"/>
          <w:color w:val="232333"/>
          <w:sz w:val="24"/>
          <w:szCs w:val="24"/>
        </w:rPr>
        <w:t>uire les disparités régionales.</w:t>
      </w:r>
    </w:p>
    <w:p w:rsidR="000A7532" w:rsidRPr="002462E6" w:rsidRDefault="000A7532" w:rsidP="000A7532">
      <w:pPr>
        <w:widowControl w:val="0"/>
        <w:autoSpaceDE w:val="0"/>
        <w:autoSpaceDN w:val="0"/>
        <w:spacing w:after="0" w:line="360" w:lineRule="auto"/>
        <w:ind w:right="4"/>
        <w:jc w:val="both"/>
        <w:rPr>
          <w:rFonts w:ascii="Tahoma" w:eastAsia="Times New Roman" w:hAnsi="Tahoma" w:cs="Tahoma"/>
          <w:sz w:val="24"/>
          <w:szCs w:val="24"/>
        </w:rPr>
      </w:pPr>
      <w:r w:rsidRPr="002462E6">
        <w:rPr>
          <w:rFonts w:ascii="Tahoma" w:eastAsia="Times New Roman" w:hAnsi="Tahoma" w:cs="Tahoma"/>
          <w:sz w:val="24"/>
          <w:szCs w:val="24"/>
        </w:rPr>
        <w:t>Durant cette époque, le Haut-Commissariat aux Eaux et Forêts et à la Lutte Contre la Désertification (HCEFLCD) a été créé et comptait dix directions régionales. À l'échelle locale, cinquante services et cinquante-deux Centres de Développement Forestier (CDF) étaient mis en place pour gérer les espaces forestiers des différentes provinces</w:t>
      </w:r>
      <w:r w:rsidRPr="002462E6">
        <w:rPr>
          <w:rFonts w:ascii="Tahoma" w:eastAsia="Times New Roman" w:hAnsi="Tahoma" w:cs="Tahoma"/>
          <w:sz w:val="24"/>
          <w:szCs w:val="24"/>
          <w:vertAlign w:val="superscript"/>
        </w:rPr>
        <w:footnoteReference w:id="202"/>
      </w:r>
      <w:r w:rsidRPr="002462E6">
        <w:rPr>
          <w:rFonts w:ascii="Tahoma" w:eastAsia="Times New Roman" w:hAnsi="Tahoma" w:cs="Tahoma"/>
          <w:sz w:val="24"/>
          <w:szCs w:val="24"/>
        </w:rPr>
        <w:t xml:space="preserve">. Bien que cette structure vise à renforcer la gestion sur le terrain et à répondre à des problèmes spécifiques, le développement des ressources humaines et financières n'a pas progressé au même rythme, engendrant ainsi un déséquilibre au niveau de l'encadrement. Parmi </w:t>
      </w:r>
      <w:r w:rsidRPr="002462E6">
        <w:rPr>
          <w:rFonts w:ascii="Tahoma" w:eastAsia="Times New Roman" w:hAnsi="Tahoma" w:cs="Tahoma"/>
          <w:sz w:val="24"/>
          <w:szCs w:val="24"/>
        </w:rPr>
        <w:lastRenderedPageBreak/>
        <w:t>les 5 145 collaborateurs, seulement 48 % représentaient le personnel technique.</w:t>
      </w:r>
    </w:p>
    <w:p w:rsidR="00D32637" w:rsidRPr="002462E6" w:rsidRDefault="00D32637" w:rsidP="000D57A1">
      <w:pPr>
        <w:pStyle w:val="Sous-titre"/>
      </w:pPr>
      <w:bookmarkStart w:id="142" w:name="_Toc185696905"/>
      <w:bookmarkStart w:id="143" w:name="_Toc201571274"/>
    </w:p>
    <w:p w:rsidR="00D32637" w:rsidRPr="002462E6" w:rsidRDefault="000A7532" w:rsidP="000D57A1">
      <w:pPr>
        <w:pStyle w:val="Sous-titre"/>
      </w:pPr>
      <w:bookmarkStart w:id="144" w:name="_Toc203642500"/>
      <w:r w:rsidRPr="002462E6">
        <w:t xml:space="preserve">Tableau </w:t>
      </w:r>
      <w:r w:rsidR="00225ED1">
        <w:rPr>
          <w:noProof/>
        </w:rPr>
        <w:fldChar w:fldCharType="begin"/>
      </w:r>
      <w:r w:rsidR="00225ED1">
        <w:rPr>
          <w:noProof/>
        </w:rPr>
        <w:instrText xml:space="preserve"> SEQ Tableau \* ARABIC </w:instrText>
      </w:r>
      <w:r w:rsidR="00225ED1">
        <w:rPr>
          <w:noProof/>
        </w:rPr>
        <w:fldChar w:fldCharType="separate"/>
      </w:r>
      <w:r w:rsidR="00124AFB">
        <w:rPr>
          <w:noProof/>
        </w:rPr>
        <w:t>1</w:t>
      </w:r>
      <w:r w:rsidR="00225ED1">
        <w:rPr>
          <w:noProof/>
        </w:rPr>
        <w:fldChar w:fldCharType="end"/>
      </w:r>
      <w:r w:rsidR="00EC5E5B" w:rsidRPr="002462E6">
        <w:t xml:space="preserve"> </w:t>
      </w:r>
      <w:r w:rsidR="00246834" w:rsidRPr="002462E6">
        <w:t>:</w:t>
      </w:r>
      <w:r w:rsidRPr="002462E6">
        <w:t xml:space="preserve"> Ressources humaines du HCEFLCD</w:t>
      </w:r>
      <w:bookmarkEnd w:id="142"/>
      <w:bookmarkEnd w:id="143"/>
      <w:bookmarkEnd w:id="144"/>
    </w:p>
    <w:tbl>
      <w:tblPr>
        <w:tblStyle w:val="TableauListe3-Accentuation31"/>
        <w:tblW w:w="9381" w:type="dxa"/>
        <w:tblLayout w:type="fixed"/>
        <w:tblLook w:val="01E0" w:firstRow="1" w:lastRow="1" w:firstColumn="1" w:lastColumn="1" w:noHBand="0" w:noVBand="0"/>
      </w:tblPr>
      <w:tblGrid>
        <w:gridCol w:w="2835"/>
        <w:gridCol w:w="1985"/>
        <w:gridCol w:w="1829"/>
        <w:gridCol w:w="1006"/>
        <w:gridCol w:w="1726"/>
      </w:tblGrid>
      <w:tr w:rsidR="00D32637" w:rsidRPr="002462E6" w:rsidTr="001410FD">
        <w:trPr>
          <w:cnfStyle w:val="100000000000" w:firstRow="1" w:lastRow="0" w:firstColumn="0" w:lastColumn="0" w:oddVBand="0" w:evenVBand="0" w:oddHBand="0" w:evenHBand="0" w:firstRowFirstColumn="0" w:firstRowLastColumn="0" w:lastRowFirstColumn="0" w:lastRowLastColumn="0"/>
          <w:trHeight w:val="378"/>
        </w:trPr>
        <w:tc>
          <w:tcPr>
            <w:cnfStyle w:val="001000000100" w:firstRow="0" w:lastRow="0" w:firstColumn="1" w:lastColumn="0" w:oddVBand="0" w:evenVBand="0" w:oddHBand="0" w:evenHBand="0" w:firstRowFirstColumn="1" w:firstRowLastColumn="0" w:lastRowFirstColumn="0" w:lastRowLastColumn="0"/>
            <w:tcW w:w="2835" w:type="dxa"/>
            <w:vMerge w:val="restart"/>
            <w:tcBorders>
              <w:top w:val="single" w:sz="4" w:space="0" w:color="auto"/>
              <w:left w:val="single" w:sz="4" w:space="0" w:color="auto"/>
              <w:bottom w:val="single" w:sz="4" w:space="0" w:color="auto"/>
              <w:right w:val="single" w:sz="4" w:space="0" w:color="auto"/>
            </w:tcBorders>
            <w:vAlign w:val="center"/>
          </w:tcPr>
          <w:p w:rsidR="00D32637" w:rsidRPr="002462E6" w:rsidRDefault="00D32637" w:rsidP="001410FD">
            <w:pPr>
              <w:rPr>
                <w:rFonts w:ascii="Tahoma" w:hAnsi="Tahoma" w:cs="Tahoma"/>
                <w:b w:val="0"/>
              </w:rPr>
            </w:pPr>
          </w:p>
          <w:p w:rsidR="00D32637" w:rsidRPr="002462E6" w:rsidRDefault="00D32637" w:rsidP="001410FD">
            <w:pPr>
              <w:rPr>
                <w:rFonts w:ascii="Tahoma" w:hAnsi="Tahoma" w:cs="Tahoma"/>
                <w:b w:val="0"/>
              </w:rPr>
            </w:pPr>
            <w:r w:rsidRPr="002462E6">
              <w:rPr>
                <w:rFonts w:ascii="Tahoma" w:hAnsi="Tahoma" w:cs="Tahoma"/>
              </w:rPr>
              <w:t>Catégorie</w:t>
            </w:r>
          </w:p>
        </w:tc>
        <w:tc>
          <w:tcPr>
            <w:cnfStyle w:val="000010000000" w:firstRow="0" w:lastRow="0" w:firstColumn="0" w:lastColumn="0" w:oddVBand="1" w:evenVBand="0" w:oddHBand="0" w:evenHBand="0" w:firstRowFirstColumn="0" w:firstRowLastColumn="0" w:lastRowFirstColumn="0" w:lastRowLastColumn="0"/>
            <w:tcW w:w="3814" w:type="dxa"/>
            <w:gridSpan w:val="2"/>
            <w:tcBorders>
              <w:top w:val="single" w:sz="4" w:space="0" w:color="auto"/>
              <w:left w:val="single" w:sz="4" w:space="0" w:color="auto"/>
              <w:bottom w:val="single" w:sz="4" w:space="0" w:color="auto"/>
              <w:right w:val="single" w:sz="4" w:space="0" w:color="auto"/>
            </w:tcBorders>
            <w:vAlign w:val="center"/>
            <w:hideMark/>
          </w:tcPr>
          <w:p w:rsidR="00D32637" w:rsidRPr="002462E6" w:rsidRDefault="00D32637" w:rsidP="001410FD">
            <w:pPr>
              <w:jc w:val="center"/>
              <w:rPr>
                <w:rFonts w:ascii="Tahoma" w:hAnsi="Tahoma" w:cs="Tahoma"/>
                <w:b w:val="0"/>
              </w:rPr>
            </w:pPr>
            <w:r w:rsidRPr="002462E6">
              <w:rPr>
                <w:rFonts w:ascii="Tahoma" w:hAnsi="Tahoma" w:cs="Tahoma"/>
              </w:rPr>
              <w:t>Effectifs</w:t>
            </w:r>
          </w:p>
        </w:tc>
        <w:tc>
          <w:tcPr>
            <w:tcW w:w="1006" w:type="dxa"/>
            <w:vMerge w:val="restart"/>
            <w:tcBorders>
              <w:top w:val="single" w:sz="4" w:space="0" w:color="auto"/>
              <w:left w:val="single" w:sz="4" w:space="0" w:color="auto"/>
              <w:bottom w:val="single" w:sz="4" w:space="0" w:color="auto"/>
              <w:right w:val="single" w:sz="4" w:space="0" w:color="auto"/>
            </w:tcBorders>
            <w:vAlign w:val="center"/>
          </w:tcPr>
          <w:p w:rsidR="00D32637" w:rsidRPr="002462E6" w:rsidRDefault="00D32637" w:rsidP="001410FD">
            <w:pPr>
              <w:cnfStyle w:val="100000000000" w:firstRow="1" w:lastRow="0" w:firstColumn="0" w:lastColumn="0" w:oddVBand="0" w:evenVBand="0" w:oddHBand="0" w:evenHBand="0" w:firstRowFirstColumn="0" w:firstRowLastColumn="0" w:lastRowFirstColumn="0" w:lastRowLastColumn="0"/>
              <w:rPr>
                <w:rFonts w:ascii="Tahoma" w:hAnsi="Tahoma" w:cs="Tahoma"/>
                <w:b w:val="0"/>
              </w:rPr>
            </w:pPr>
          </w:p>
          <w:p w:rsidR="00D32637" w:rsidRPr="002462E6" w:rsidRDefault="00D32637" w:rsidP="001410FD">
            <w:pPr>
              <w:cnfStyle w:val="100000000000" w:firstRow="1" w:lastRow="0" w:firstColumn="0" w:lastColumn="0" w:oddVBand="0" w:evenVBand="0" w:oddHBand="0" w:evenHBand="0" w:firstRowFirstColumn="0" w:firstRowLastColumn="0" w:lastRowFirstColumn="0" w:lastRowLastColumn="0"/>
              <w:rPr>
                <w:rFonts w:ascii="Tahoma" w:hAnsi="Tahoma" w:cs="Tahoma"/>
                <w:b w:val="0"/>
              </w:rPr>
            </w:pPr>
            <w:r w:rsidRPr="002462E6">
              <w:rPr>
                <w:rFonts w:ascii="Tahoma" w:hAnsi="Tahoma" w:cs="Tahoma"/>
              </w:rPr>
              <w:t>Total</w:t>
            </w:r>
          </w:p>
        </w:tc>
        <w:tc>
          <w:tcPr>
            <w:cnfStyle w:val="000100001000" w:firstRow="0" w:lastRow="0" w:firstColumn="0" w:lastColumn="1" w:oddVBand="0" w:evenVBand="0" w:oddHBand="0" w:evenHBand="0" w:firstRowFirstColumn="0" w:firstRowLastColumn="1" w:lastRowFirstColumn="0" w:lastRowLastColumn="0"/>
            <w:tcW w:w="1726" w:type="dxa"/>
            <w:vMerge w:val="restart"/>
            <w:tcBorders>
              <w:top w:val="single" w:sz="4" w:space="0" w:color="auto"/>
              <w:left w:val="single" w:sz="4" w:space="0" w:color="auto"/>
              <w:bottom w:val="single" w:sz="4" w:space="0" w:color="auto"/>
              <w:right w:val="single" w:sz="4" w:space="0" w:color="auto"/>
            </w:tcBorders>
            <w:vAlign w:val="center"/>
          </w:tcPr>
          <w:p w:rsidR="00D32637" w:rsidRPr="002462E6" w:rsidRDefault="00D32637" w:rsidP="001410FD">
            <w:pPr>
              <w:rPr>
                <w:rFonts w:ascii="Tahoma" w:hAnsi="Tahoma" w:cs="Tahoma"/>
                <w:b w:val="0"/>
              </w:rPr>
            </w:pPr>
          </w:p>
          <w:p w:rsidR="00D32637" w:rsidRPr="002462E6" w:rsidRDefault="00D32637" w:rsidP="001410FD">
            <w:pPr>
              <w:rPr>
                <w:rFonts w:ascii="Tahoma" w:hAnsi="Tahoma" w:cs="Tahoma"/>
                <w:b w:val="0"/>
              </w:rPr>
            </w:pPr>
            <w:r w:rsidRPr="002462E6">
              <w:rPr>
                <w:rFonts w:ascii="Tahoma" w:hAnsi="Tahoma" w:cs="Tahoma"/>
              </w:rPr>
              <w:t>Pourcentage</w:t>
            </w:r>
          </w:p>
        </w:tc>
      </w:tr>
      <w:tr w:rsidR="00D32637" w:rsidRPr="002462E6" w:rsidTr="001F088B">
        <w:trPr>
          <w:cnfStyle w:val="000000100000" w:firstRow="0" w:lastRow="0" w:firstColumn="0" w:lastColumn="0" w:oddVBand="0" w:evenVBand="0" w:oddHBand="1" w:evenHBand="0" w:firstRowFirstColumn="0" w:firstRowLastColumn="0" w:lastRowFirstColumn="0" w:lastRowLastColumn="0"/>
          <w:trHeight w:val="759"/>
        </w:trPr>
        <w:tc>
          <w:tcPr>
            <w:cnfStyle w:val="001000000000" w:firstRow="0" w:lastRow="0" w:firstColumn="1" w:lastColumn="0" w:oddVBand="0" w:evenVBand="0" w:oddHBand="0" w:evenHBand="0" w:firstRowFirstColumn="0" w:firstRowLastColumn="0" w:lastRowFirstColumn="0" w:lastRowLastColumn="0"/>
            <w:tcW w:w="2835" w:type="dxa"/>
            <w:vMerge/>
            <w:tcBorders>
              <w:top w:val="single" w:sz="4" w:space="0" w:color="auto"/>
              <w:left w:val="single" w:sz="4" w:space="0" w:color="auto"/>
              <w:bottom w:val="single" w:sz="4" w:space="0" w:color="auto"/>
              <w:right w:val="single" w:sz="4" w:space="0" w:color="auto"/>
            </w:tcBorders>
            <w:hideMark/>
          </w:tcPr>
          <w:p w:rsidR="00D32637" w:rsidRPr="002462E6" w:rsidRDefault="00D32637" w:rsidP="001410FD">
            <w:pPr>
              <w:jc w:val="center"/>
              <w:rPr>
                <w:rFonts w:ascii="Tahoma" w:hAnsi="Tahoma" w:cs="Tahoma"/>
                <w:b w:val="0"/>
              </w:rPr>
            </w:pPr>
          </w:p>
        </w:tc>
        <w:tc>
          <w:tcPr>
            <w:cnfStyle w:val="000010000000" w:firstRow="0" w:lastRow="0" w:firstColumn="0" w:lastColumn="0" w:oddVBand="1" w:evenVBand="0" w:oddHBand="0" w:evenHBand="0" w:firstRowFirstColumn="0" w:firstRowLastColumn="0" w:lastRowFirstColumn="0" w:lastRowLastColumn="0"/>
            <w:tcW w:w="1985" w:type="dxa"/>
            <w:tcBorders>
              <w:top w:val="single" w:sz="4" w:space="0" w:color="auto"/>
              <w:left w:val="single" w:sz="4" w:space="0" w:color="auto"/>
              <w:bottom w:val="single" w:sz="4" w:space="0" w:color="auto"/>
            </w:tcBorders>
            <w:hideMark/>
          </w:tcPr>
          <w:p w:rsidR="00D32637" w:rsidRPr="002462E6" w:rsidRDefault="00D32637" w:rsidP="001410FD">
            <w:pPr>
              <w:jc w:val="center"/>
              <w:rPr>
                <w:rFonts w:ascii="Tahoma" w:hAnsi="Tahoma" w:cs="Tahoma"/>
              </w:rPr>
            </w:pPr>
            <w:r w:rsidRPr="002462E6">
              <w:rPr>
                <w:rFonts w:ascii="Tahoma" w:hAnsi="Tahoma" w:cs="Tahoma"/>
              </w:rPr>
              <w:t>Services</w:t>
            </w:r>
          </w:p>
          <w:p w:rsidR="00D32637" w:rsidRPr="002462E6" w:rsidRDefault="00D32637" w:rsidP="001410FD">
            <w:pPr>
              <w:jc w:val="center"/>
              <w:rPr>
                <w:rFonts w:ascii="Tahoma" w:hAnsi="Tahoma" w:cs="Tahoma"/>
              </w:rPr>
            </w:pPr>
            <w:r w:rsidRPr="002462E6">
              <w:rPr>
                <w:rFonts w:ascii="Tahoma" w:hAnsi="Tahoma" w:cs="Tahoma"/>
              </w:rPr>
              <w:t>centraux</w:t>
            </w:r>
          </w:p>
        </w:tc>
        <w:tc>
          <w:tcPr>
            <w:tcW w:w="1829" w:type="dxa"/>
            <w:tcBorders>
              <w:top w:val="single" w:sz="4" w:space="0" w:color="auto"/>
              <w:bottom w:val="single" w:sz="4" w:space="0" w:color="auto"/>
              <w:right w:val="single" w:sz="4" w:space="0" w:color="auto"/>
            </w:tcBorders>
            <w:hideMark/>
          </w:tcPr>
          <w:p w:rsidR="00D32637" w:rsidRPr="002462E6" w:rsidRDefault="00D32637" w:rsidP="001410FD">
            <w:pPr>
              <w:jc w:val="center"/>
              <w:cnfStyle w:val="000000100000" w:firstRow="0" w:lastRow="0" w:firstColumn="0" w:lastColumn="0" w:oddVBand="0" w:evenVBand="0" w:oddHBand="1" w:evenHBand="0" w:firstRowFirstColumn="0" w:firstRowLastColumn="0" w:lastRowFirstColumn="0" w:lastRowLastColumn="0"/>
              <w:rPr>
                <w:rFonts w:ascii="Tahoma" w:hAnsi="Tahoma" w:cs="Tahoma"/>
              </w:rPr>
            </w:pPr>
            <w:r w:rsidRPr="002462E6">
              <w:rPr>
                <w:rFonts w:ascii="Tahoma" w:hAnsi="Tahoma" w:cs="Tahoma"/>
              </w:rPr>
              <w:t>Services</w:t>
            </w:r>
          </w:p>
          <w:p w:rsidR="00D32637" w:rsidRPr="002462E6" w:rsidRDefault="00D32637" w:rsidP="001410FD">
            <w:pPr>
              <w:jc w:val="center"/>
              <w:cnfStyle w:val="000000100000" w:firstRow="0" w:lastRow="0" w:firstColumn="0" w:lastColumn="0" w:oddVBand="0" w:evenVBand="0" w:oddHBand="1" w:evenHBand="0" w:firstRowFirstColumn="0" w:firstRowLastColumn="0" w:lastRowFirstColumn="0" w:lastRowLastColumn="0"/>
              <w:rPr>
                <w:rFonts w:ascii="Tahoma" w:hAnsi="Tahoma" w:cs="Tahoma"/>
              </w:rPr>
            </w:pPr>
            <w:r w:rsidRPr="002462E6">
              <w:rPr>
                <w:rFonts w:ascii="Tahoma" w:hAnsi="Tahoma" w:cs="Tahoma"/>
              </w:rPr>
              <w:t>extérieurs</w:t>
            </w:r>
          </w:p>
        </w:tc>
        <w:tc>
          <w:tcPr>
            <w:cnfStyle w:val="000010000000" w:firstRow="0" w:lastRow="0" w:firstColumn="0" w:lastColumn="0" w:oddVBand="1" w:evenVBand="0" w:oddHBand="0" w:evenHBand="0" w:firstRowFirstColumn="0" w:firstRowLastColumn="0" w:lastRowFirstColumn="0" w:lastRowLastColumn="0"/>
            <w:tcW w:w="1006" w:type="dxa"/>
            <w:vMerge/>
            <w:tcBorders>
              <w:top w:val="single" w:sz="4" w:space="0" w:color="auto"/>
              <w:left w:val="single" w:sz="4" w:space="0" w:color="auto"/>
              <w:bottom w:val="single" w:sz="4" w:space="0" w:color="auto"/>
              <w:right w:val="single" w:sz="4" w:space="0" w:color="auto"/>
            </w:tcBorders>
            <w:hideMark/>
          </w:tcPr>
          <w:p w:rsidR="00D32637" w:rsidRPr="002462E6" w:rsidRDefault="00D32637" w:rsidP="001410FD">
            <w:pPr>
              <w:jc w:val="center"/>
              <w:rPr>
                <w:rFonts w:ascii="Tahoma" w:hAnsi="Tahoma" w:cs="Tahoma"/>
                <w:b/>
              </w:rPr>
            </w:pPr>
          </w:p>
        </w:tc>
        <w:tc>
          <w:tcPr>
            <w:cnfStyle w:val="000100000000" w:firstRow="0" w:lastRow="0" w:firstColumn="0" w:lastColumn="1" w:oddVBand="0" w:evenVBand="0" w:oddHBand="0" w:evenHBand="0" w:firstRowFirstColumn="0" w:firstRowLastColumn="0" w:lastRowFirstColumn="0" w:lastRowLastColumn="0"/>
            <w:tcW w:w="1726" w:type="dxa"/>
            <w:vMerge/>
            <w:tcBorders>
              <w:top w:val="single" w:sz="4" w:space="0" w:color="auto"/>
              <w:left w:val="single" w:sz="4" w:space="0" w:color="auto"/>
              <w:bottom w:val="single" w:sz="4" w:space="0" w:color="auto"/>
              <w:right w:val="single" w:sz="4" w:space="0" w:color="auto"/>
            </w:tcBorders>
            <w:hideMark/>
          </w:tcPr>
          <w:p w:rsidR="00D32637" w:rsidRPr="002462E6" w:rsidRDefault="00D32637" w:rsidP="001410FD">
            <w:pPr>
              <w:jc w:val="center"/>
              <w:rPr>
                <w:rFonts w:ascii="Tahoma" w:hAnsi="Tahoma" w:cs="Tahoma"/>
                <w:b w:val="0"/>
              </w:rPr>
            </w:pPr>
          </w:p>
        </w:tc>
      </w:tr>
      <w:tr w:rsidR="00D32637" w:rsidRPr="002462E6" w:rsidTr="001F088B">
        <w:trPr>
          <w:trHeight w:val="498"/>
        </w:trPr>
        <w:tc>
          <w:tcPr>
            <w:cnfStyle w:val="001000000000" w:firstRow="0" w:lastRow="0" w:firstColumn="1" w:lastColumn="0" w:oddVBand="0" w:evenVBand="0" w:oddHBand="0" w:evenHBand="0" w:firstRowFirstColumn="0" w:firstRowLastColumn="0" w:lastRowFirstColumn="0" w:lastRowLastColumn="0"/>
            <w:tcW w:w="2835" w:type="dxa"/>
            <w:tcBorders>
              <w:top w:val="single" w:sz="4" w:space="0" w:color="auto"/>
            </w:tcBorders>
            <w:vAlign w:val="center"/>
            <w:hideMark/>
          </w:tcPr>
          <w:p w:rsidR="00D32637" w:rsidRPr="002462E6" w:rsidRDefault="00D32637" w:rsidP="002062B1">
            <w:pPr>
              <w:spacing w:before="240"/>
              <w:rPr>
                <w:rFonts w:ascii="Tahoma" w:hAnsi="Tahoma" w:cs="Tahoma"/>
                <w:b w:val="0"/>
              </w:rPr>
            </w:pPr>
            <w:r w:rsidRPr="002462E6">
              <w:rPr>
                <w:rFonts w:ascii="Tahoma" w:hAnsi="Tahoma" w:cs="Tahoma"/>
              </w:rPr>
              <w:t>Cadres techniques</w:t>
            </w:r>
          </w:p>
        </w:tc>
        <w:tc>
          <w:tcPr>
            <w:cnfStyle w:val="000010000000" w:firstRow="0" w:lastRow="0" w:firstColumn="0" w:lastColumn="0" w:oddVBand="1" w:evenVBand="0" w:oddHBand="0" w:evenHBand="0" w:firstRowFirstColumn="0" w:firstRowLastColumn="0" w:lastRowFirstColumn="0" w:lastRowLastColumn="0"/>
            <w:tcW w:w="1985" w:type="dxa"/>
            <w:tcBorders>
              <w:top w:val="single" w:sz="4" w:space="0" w:color="auto"/>
            </w:tcBorders>
            <w:vAlign w:val="center"/>
            <w:hideMark/>
          </w:tcPr>
          <w:p w:rsidR="00D32637" w:rsidRPr="002462E6" w:rsidRDefault="00D32637" w:rsidP="002062B1">
            <w:pPr>
              <w:spacing w:before="240"/>
              <w:jc w:val="center"/>
              <w:rPr>
                <w:rFonts w:ascii="Tahoma" w:hAnsi="Tahoma" w:cs="Tahoma"/>
              </w:rPr>
            </w:pPr>
            <w:r w:rsidRPr="002462E6">
              <w:rPr>
                <w:rFonts w:ascii="Tahoma" w:hAnsi="Tahoma" w:cs="Tahoma"/>
              </w:rPr>
              <w:t>247</w:t>
            </w:r>
          </w:p>
        </w:tc>
        <w:tc>
          <w:tcPr>
            <w:tcW w:w="1829" w:type="dxa"/>
            <w:tcBorders>
              <w:top w:val="single" w:sz="4" w:space="0" w:color="auto"/>
            </w:tcBorders>
            <w:vAlign w:val="center"/>
            <w:hideMark/>
          </w:tcPr>
          <w:p w:rsidR="00D32637" w:rsidRPr="002462E6" w:rsidRDefault="00D32637" w:rsidP="002062B1">
            <w:pPr>
              <w:spacing w:before="240"/>
              <w:jc w:val="center"/>
              <w:cnfStyle w:val="000000000000" w:firstRow="0" w:lastRow="0" w:firstColumn="0" w:lastColumn="0" w:oddVBand="0" w:evenVBand="0" w:oddHBand="0" w:evenHBand="0" w:firstRowFirstColumn="0" w:firstRowLastColumn="0" w:lastRowFirstColumn="0" w:lastRowLastColumn="0"/>
              <w:rPr>
                <w:rFonts w:ascii="Tahoma" w:hAnsi="Tahoma" w:cs="Tahoma"/>
              </w:rPr>
            </w:pPr>
            <w:r w:rsidRPr="002462E6">
              <w:rPr>
                <w:rFonts w:ascii="Tahoma" w:hAnsi="Tahoma" w:cs="Tahoma"/>
              </w:rPr>
              <w:t>2227</w:t>
            </w:r>
          </w:p>
        </w:tc>
        <w:tc>
          <w:tcPr>
            <w:cnfStyle w:val="000010000000" w:firstRow="0" w:lastRow="0" w:firstColumn="0" w:lastColumn="0" w:oddVBand="1" w:evenVBand="0" w:oddHBand="0" w:evenHBand="0" w:firstRowFirstColumn="0" w:firstRowLastColumn="0" w:lastRowFirstColumn="0" w:lastRowLastColumn="0"/>
            <w:tcW w:w="1006" w:type="dxa"/>
            <w:tcBorders>
              <w:top w:val="single" w:sz="4" w:space="0" w:color="auto"/>
            </w:tcBorders>
            <w:vAlign w:val="center"/>
            <w:hideMark/>
          </w:tcPr>
          <w:p w:rsidR="00D32637" w:rsidRPr="002462E6" w:rsidRDefault="00D32637" w:rsidP="002062B1">
            <w:pPr>
              <w:spacing w:before="240"/>
              <w:jc w:val="center"/>
              <w:rPr>
                <w:rFonts w:ascii="Tahoma" w:hAnsi="Tahoma" w:cs="Tahoma"/>
              </w:rPr>
            </w:pPr>
            <w:r w:rsidRPr="002462E6">
              <w:rPr>
                <w:rFonts w:ascii="Tahoma" w:hAnsi="Tahoma" w:cs="Tahoma"/>
              </w:rPr>
              <w:t>2474</w:t>
            </w:r>
          </w:p>
        </w:tc>
        <w:tc>
          <w:tcPr>
            <w:cnfStyle w:val="000100000000" w:firstRow="0" w:lastRow="0" w:firstColumn="0" w:lastColumn="1" w:oddVBand="0" w:evenVBand="0" w:oddHBand="0" w:evenHBand="0" w:firstRowFirstColumn="0" w:firstRowLastColumn="0" w:lastRowFirstColumn="0" w:lastRowLastColumn="0"/>
            <w:tcW w:w="1726" w:type="dxa"/>
            <w:tcBorders>
              <w:top w:val="single" w:sz="4" w:space="0" w:color="auto"/>
            </w:tcBorders>
            <w:vAlign w:val="center"/>
            <w:hideMark/>
          </w:tcPr>
          <w:p w:rsidR="00D32637" w:rsidRPr="002462E6" w:rsidRDefault="00D32637" w:rsidP="002062B1">
            <w:pPr>
              <w:spacing w:before="240"/>
              <w:jc w:val="center"/>
              <w:rPr>
                <w:rFonts w:ascii="Tahoma" w:hAnsi="Tahoma" w:cs="Tahoma"/>
              </w:rPr>
            </w:pPr>
            <w:r w:rsidRPr="002462E6">
              <w:rPr>
                <w:rFonts w:ascii="Tahoma" w:hAnsi="Tahoma" w:cs="Tahoma"/>
              </w:rPr>
              <w:t>48</w:t>
            </w:r>
          </w:p>
        </w:tc>
      </w:tr>
      <w:tr w:rsidR="00D32637" w:rsidRPr="002462E6" w:rsidTr="001410FD">
        <w:trPr>
          <w:cnfStyle w:val="000000100000" w:firstRow="0" w:lastRow="0" w:firstColumn="0" w:lastColumn="0" w:oddVBand="0" w:evenVBand="0" w:oddHBand="1" w:evenHBand="0" w:firstRowFirstColumn="0" w:firstRowLastColumn="0" w:lastRowFirstColumn="0" w:lastRowLastColumn="0"/>
          <w:trHeight w:val="500"/>
        </w:trPr>
        <w:tc>
          <w:tcPr>
            <w:cnfStyle w:val="001000000000" w:firstRow="0" w:lastRow="0" w:firstColumn="1" w:lastColumn="0" w:oddVBand="0" w:evenVBand="0" w:oddHBand="0" w:evenHBand="0" w:firstRowFirstColumn="0" w:firstRowLastColumn="0" w:lastRowFirstColumn="0" w:lastRowLastColumn="0"/>
            <w:tcW w:w="2835" w:type="dxa"/>
            <w:vAlign w:val="center"/>
            <w:hideMark/>
          </w:tcPr>
          <w:p w:rsidR="00D32637" w:rsidRPr="002462E6" w:rsidRDefault="00D32637" w:rsidP="002062B1">
            <w:pPr>
              <w:numPr>
                <w:ilvl w:val="0"/>
                <w:numId w:val="52"/>
              </w:numPr>
              <w:spacing w:before="240"/>
              <w:rPr>
                <w:rFonts w:ascii="Tahoma" w:hAnsi="Tahoma" w:cs="Tahoma"/>
              </w:rPr>
            </w:pPr>
            <w:r w:rsidRPr="002462E6">
              <w:rPr>
                <w:rFonts w:ascii="Tahoma" w:hAnsi="Tahoma" w:cs="Tahoma"/>
              </w:rPr>
              <w:t>Ingénieurs</w:t>
            </w:r>
          </w:p>
        </w:tc>
        <w:tc>
          <w:tcPr>
            <w:cnfStyle w:val="000010000000" w:firstRow="0" w:lastRow="0" w:firstColumn="0" w:lastColumn="0" w:oddVBand="1" w:evenVBand="0" w:oddHBand="0" w:evenHBand="0" w:firstRowFirstColumn="0" w:firstRowLastColumn="0" w:lastRowFirstColumn="0" w:lastRowLastColumn="0"/>
            <w:tcW w:w="1985" w:type="dxa"/>
            <w:vAlign w:val="center"/>
            <w:hideMark/>
          </w:tcPr>
          <w:p w:rsidR="00D32637" w:rsidRPr="002462E6" w:rsidRDefault="00D32637" w:rsidP="002062B1">
            <w:pPr>
              <w:spacing w:before="240"/>
              <w:jc w:val="center"/>
              <w:rPr>
                <w:rFonts w:ascii="Tahoma" w:hAnsi="Tahoma" w:cs="Tahoma"/>
              </w:rPr>
            </w:pPr>
            <w:r w:rsidRPr="002462E6">
              <w:rPr>
                <w:rFonts w:ascii="Tahoma" w:hAnsi="Tahoma" w:cs="Tahoma"/>
              </w:rPr>
              <w:t>112</w:t>
            </w:r>
          </w:p>
        </w:tc>
        <w:tc>
          <w:tcPr>
            <w:tcW w:w="1829" w:type="dxa"/>
            <w:vAlign w:val="center"/>
            <w:hideMark/>
          </w:tcPr>
          <w:p w:rsidR="00D32637" w:rsidRPr="002462E6" w:rsidRDefault="00D32637" w:rsidP="002062B1">
            <w:pPr>
              <w:spacing w:before="240"/>
              <w:jc w:val="center"/>
              <w:cnfStyle w:val="000000100000" w:firstRow="0" w:lastRow="0" w:firstColumn="0" w:lastColumn="0" w:oddVBand="0" w:evenVBand="0" w:oddHBand="1" w:evenHBand="0" w:firstRowFirstColumn="0" w:firstRowLastColumn="0" w:lastRowFirstColumn="0" w:lastRowLastColumn="0"/>
              <w:rPr>
                <w:rFonts w:ascii="Tahoma" w:hAnsi="Tahoma" w:cs="Tahoma"/>
              </w:rPr>
            </w:pPr>
            <w:r w:rsidRPr="002462E6">
              <w:rPr>
                <w:rFonts w:ascii="Tahoma" w:hAnsi="Tahoma" w:cs="Tahoma"/>
              </w:rPr>
              <w:t>267</w:t>
            </w:r>
          </w:p>
        </w:tc>
        <w:tc>
          <w:tcPr>
            <w:cnfStyle w:val="000010000000" w:firstRow="0" w:lastRow="0" w:firstColumn="0" w:lastColumn="0" w:oddVBand="1" w:evenVBand="0" w:oddHBand="0" w:evenHBand="0" w:firstRowFirstColumn="0" w:firstRowLastColumn="0" w:lastRowFirstColumn="0" w:lastRowLastColumn="0"/>
            <w:tcW w:w="1006" w:type="dxa"/>
            <w:vAlign w:val="center"/>
            <w:hideMark/>
          </w:tcPr>
          <w:p w:rsidR="00D32637" w:rsidRPr="002462E6" w:rsidRDefault="00D32637" w:rsidP="002062B1">
            <w:pPr>
              <w:spacing w:before="240"/>
              <w:jc w:val="center"/>
              <w:rPr>
                <w:rFonts w:ascii="Tahoma" w:hAnsi="Tahoma" w:cs="Tahoma"/>
              </w:rPr>
            </w:pPr>
            <w:r w:rsidRPr="002462E6">
              <w:rPr>
                <w:rFonts w:ascii="Tahoma" w:hAnsi="Tahoma" w:cs="Tahoma"/>
              </w:rPr>
              <w:t>379</w:t>
            </w:r>
          </w:p>
        </w:tc>
        <w:tc>
          <w:tcPr>
            <w:cnfStyle w:val="000100000000" w:firstRow="0" w:lastRow="0" w:firstColumn="0" w:lastColumn="1" w:oddVBand="0" w:evenVBand="0" w:oddHBand="0" w:evenHBand="0" w:firstRowFirstColumn="0" w:firstRowLastColumn="0" w:lastRowFirstColumn="0" w:lastRowLastColumn="0"/>
            <w:tcW w:w="1726" w:type="dxa"/>
            <w:vAlign w:val="center"/>
            <w:hideMark/>
          </w:tcPr>
          <w:p w:rsidR="00D32637" w:rsidRPr="002462E6" w:rsidRDefault="00D32637" w:rsidP="002062B1">
            <w:pPr>
              <w:spacing w:before="240"/>
              <w:jc w:val="center"/>
              <w:rPr>
                <w:rFonts w:ascii="Tahoma" w:hAnsi="Tahoma" w:cs="Tahoma"/>
              </w:rPr>
            </w:pPr>
            <w:r w:rsidRPr="002462E6">
              <w:rPr>
                <w:rFonts w:ascii="Tahoma" w:hAnsi="Tahoma" w:cs="Tahoma"/>
              </w:rPr>
              <w:t>7</w:t>
            </w:r>
          </w:p>
        </w:tc>
      </w:tr>
      <w:tr w:rsidR="00D32637" w:rsidRPr="002462E6" w:rsidTr="001410FD">
        <w:trPr>
          <w:trHeight w:val="500"/>
        </w:trPr>
        <w:tc>
          <w:tcPr>
            <w:cnfStyle w:val="001000000000" w:firstRow="0" w:lastRow="0" w:firstColumn="1" w:lastColumn="0" w:oddVBand="0" w:evenVBand="0" w:oddHBand="0" w:evenHBand="0" w:firstRowFirstColumn="0" w:firstRowLastColumn="0" w:lastRowFirstColumn="0" w:lastRowLastColumn="0"/>
            <w:tcW w:w="2835" w:type="dxa"/>
            <w:vAlign w:val="center"/>
            <w:hideMark/>
          </w:tcPr>
          <w:p w:rsidR="00D32637" w:rsidRPr="002462E6" w:rsidRDefault="00D32637" w:rsidP="002062B1">
            <w:pPr>
              <w:numPr>
                <w:ilvl w:val="0"/>
                <w:numId w:val="53"/>
              </w:numPr>
              <w:spacing w:before="240"/>
              <w:rPr>
                <w:rFonts w:ascii="Tahoma" w:hAnsi="Tahoma" w:cs="Tahoma"/>
              </w:rPr>
            </w:pPr>
            <w:r w:rsidRPr="002462E6">
              <w:rPr>
                <w:rFonts w:ascii="Tahoma" w:hAnsi="Tahoma" w:cs="Tahoma"/>
              </w:rPr>
              <w:t>Techniciens</w:t>
            </w:r>
          </w:p>
        </w:tc>
        <w:tc>
          <w:tcPr>
            <w:cnfStyle w:val="000010000000" w:firstRow="0" w:lastRow="0" w:firstColumn="0" w:lastColumn="0" w:oddVBand="1" w:evenVBand="0" w:oddHBand="0" w:evenHBand="0" w:firstRowFirstColumn="0" w:firstRowLastColumn="0" w:lastRowFirstColumn="0" w:lastRowLastColumn="0"/>
            <w:tcW w:w="1985" w:type="dxa"/>
            <w:vAlign w:val="center"/>
            <w:hideMark/>
          </w:tcPr>
          <w:p w:rsidR="00D32637" w:rsidRPr="002462E6" w:rsidRDefault="00D32637" w:rsidP="002062B1">
            <w:pPr>
              <w:spacing w:before="240"/>
              <w:jc w:val="center"/>
              <w:rPr>
                <w:rFonts w:ascii="Tahoma" w:hAnsi="Tahoma" w:cs="Tahoma"/>
              </w:rPr>
            </w:pPr>
            <w:r w:rsidRPr="002462E6">
              <w:rPr>
                <w:rFonts w:ascii="Tahoma" w:hAnsi="Tahoma" w:cs="Tahoma"/>
              </w:rPr>
              <w:t>74</w:t>
            </w:r>
          </w:p>
        </w:tc>
        <w:tc>
          <w:tcPr>
            <w:tcW w:w="1829" w:type="dxa"/>
            <w:vAlign w:val="center"/>
            <w:hideMark/>
          </w:tcPr>
          <w:p w:rsidR="00D32637" w:rsidRPr="002462E6" w:rsidRDefault="00D32637" w:rsidP="002062B1">
            <w:pPr>
              <w:spacing w:before="240"/>
              <w:jc w:val="center"/>
              <w:cnfStyle w:val="000000000000" w:firstRow="0" w:lastRow="0" w:firstColumn="0" w:lastColumn="0" w:oddVBand="0" w:evenVBand="0" w:oddHBand="0" w:evenHBand="0" w:firstRowFirstColumn="0" w:firstRowLastColumn="0" w:lastRowFirstColumn="0" w:lastRowLastColumn="0"/>
              <w:rPr>
                <w:rFonts w:ascii="Tahoma" w:hAnsi="Tahoma" w:cs="Tahoma"/>
              </w:rPr>
            </w:pPr>
            <w:r w:rsidRPr="002462E6">
              <w:rPr>
                <w:rFonts w:ascii="Tahoma" w:hAnsi="Tahoma" w:cs="Tahoma"/>
              </w:rPr>
              <w:t>1160</w:t>
            </w:r>
          </w:p>
        </w:tc>
        <w:tc>
          <w:tcPr>
            <w:cnfStyle w:val="000010000000" w:firstRow="0" w:lastRow="0" w:firstColumn="0" w:lastColumn="0" w:oddVBand="1" w:evenVBand="0" w:oddHBand="0" w:evenHBand="0" w:firstRowFirstColumn="0" w:firstRowLastColumn="0" w:lastRowFirstColumn="0" w:lastRowLastColumn="0"/>
            <w:tcW w:w="1006" w:type="dxa"/>
            <w:vAlign w:val="center"/>
            <w:hideMark/>
          </w:tcPr>
          <w:p w:rsidR="00D32637" w:rsidRPr="002462E6" w:rsidRDefault="00D32637" w:rsidP="002062B1">
            <w:pPr>
              <w:spacing w:before="240"/>
              <w:jc w:val="center"/>
              <w:rPr>
                <w:rFonts w:ascii="Tahoma" w:hAnsi="Tahoma" w:cs="Tahoma"/>
              </w:rPr>
            </w:pPr>
            <w:r w:rsidRPr="002462E6">
              <w:rPr>
                <w:rFonts w:ascii="Tahoma" w:hAnsi="Tahoma" w:cs="Tahoma"/>
              </w:rPr>
              <w:t>1234</w:t>
            </w:r>
          </w:p>
        </w:tc>
        <w:tc>
          <w:tcPr>
            <w:cnfStyle w:val="000100000000" w:firstRow="0" w:lastRow="0" w:firstColumn="0" w:lastColumn="1" w:oddVBand="0" w:evenVBand="0" w:oddHBand="0" w:evenHBand="0" w:firstRowFirstColumn="0" w:firstRowLastColumn="0" w:lastRowFirstColumn="0" w:lastRowLastColumn="0"/>
            <w:tcW w:w="1726" w:type="dxa"/>
            <w:vAlign w:val="center"/>
            <w:hideMark/>
          </w:tcPr>
          <w:p w:rsidR="00D32637" w:rsidRPr="002462E6" w:rsidRDefault="00D32637" w:rsidP="002062B1">
            <w:pPr>
              <w:spacing w:before="240"/>
              <w:jc w:val="center"/>
              <w:rPr>
                <w:rFonts w:ascii="Tahoma" w:hAnsi="Tahoma" w:cs="Tahoma"/>
              </w:rPr>
            </w:pPr>
            <w:r w:rsidRPr="002462E6">
              <w:rPr>
                <w:rFonts w:ascii="Tahoma" w:hAnsi="Tahoma" w:cs="Tahoma"/>
              </w:rPr>
              <w:t>24</w:t>
            </w:r>
          </w:p>
        </w:tc>
      </w:tr>
      <w:tr w:rsidR="00D32637" w:rsidRPr="002462E6" w:rsidTr="001410FD">
        <w:trPr>
          <w:cnfStyle w:val="000000100000" w:firstRow="0" w:lastRow="0" w:firstColumn="0" w:lastColumn="0" w:oddVBand="0" w:evenVBand="0" w:oddHBand="1" w:evenHBand="0" w:firstRowFirstColumn="0" w:firstRowLastColumn="0" w:lastRowFirstColumn="0" w:lastRowLastColumn="0"/>
          <w:trHeight w:val="498"/>
        </w:trPr>
        <w:tc>
          <w:tcPr>
            <w:cnfStyle w:val="001000000000" w:firstRow="0" w:lastRow="0" w:firstColumn="1" w:lastColumn="0" w:oddVBand="0" w:evenVBand="0" w:oddHBand="0" w:evenHBand="0" w:firstRowFirstColumn="0" w:firstRowLastColumn="0" w:lastRowFirstColumn="0" w:lastRowLastColumn="0"/>
            <w:tcW w:w="2835" w:type="dxa"/>
            <w:vAlign w:val="center"/>
            <w:hideMark/>
          </w:tcPr>
          <w:p w:rsidR="00D32637" w:rsidRPr="002462E6" w:rsidRDefault="00D32637" w:rsidP="002062B1">
            <w:pPr>
              <w:numPr>
                <w:ilvl w:val="0"/>
                <w:numId w:val="54"/>
              </w:numPr>
              <w:spacing w:before="240"/>
              <w:rPr>
                <w:rFonts w:ascii="Tahoma" w:hAnsi="Tahoma" w:cs="Tahoma"/>
              </w:rPr>
            </w:pPr>
            <w:r w:rsidRPr="002462E6">
              <w:rPr>
                <w:rFonts w:ascii="Tahoma" w:hAnsi="Tahoma" w:cs="Tahoma"/>
              </w:rPr>
              <w:t>Cavaliers</w:t>
            </w:r>
          </w:p>
        </w:tc>
        <w:tc>
          <w:tcPr>
            <w:cnfStyle w:val="000010000000" w:firstRow="0" w:lastRow="0" w:firstColumn="0" w:lastColumn="0" w:oddVBand="1" w:evenVBand="0" w:oddHBand="0" w:evenHBand="0" w:firstRowFirstColumn="0" w:firstRowLastColumn="0" w:lastRowFirstColumn="0" w:lastRowLastColumn="0"/>
            <w:tcW w:w="1985" w:type="dxa"/>
            <w:vAlign w:val="center"/>
            <w:hideMark/>
          </w:tcPr>
          <w:p w:rsidR="00D32637" w:rsidRPr="002462E6" w:rsidRDefault="00D32637" w:rsidP="002062B1">
            <w:pPr>
              <w:spacing w:before="240"/>
              <w:jc w:val="center"/>
              <w:rPr>
                <w:rFonts w:ascii="Tahoma" w:hAnsi="Tahoma" w:cs="Tahoma"/>
              </w:rPr>
            </w:pPr>
            <w:r w:rsidRPr="002462E6">
              <w:rPr>
                <w:rFonts w:ascii="Tahoma" w:hAnsi="Tahoma" w:cs="Tahoma"/>
              </w:rPr>
              <w:t>61</w:t>
            </w:r>
          </w:p>
        </w:tc>
        <w:tc>
          <w:tcPr>
            <w:tcW w:w="1829" w:type="dxa"/>
            <w:vAlign w:val="center"/>
            <w:hideMark/>
          </w:tcPr>
          <w:p w:rsidR="00D32637" w:rsidRPr="002462E6" w:rsidRDefault="00D32637" w:rsidP="002062B1">
            <w:pPr>
              <w:spacing w:before="240"/>
              <w:jc w:val="center"/>
              <w:cnfStyle w:val="000000100000" w:firstRow="0" w:lastRow="0" w:firstColumn="0" w:lastColumn="0" w:oddVBand="0" w:evenVBand="0" w:oddHBand="1" w:evenHBand="0" w:firstRowFirstColumn="0" w:firstRowLastColumn="0" w:lastRowFirstColumn="0" w:lastRowLastColumn="0"/>
              <w:rPr>
                <w:rFonts w:ascii="Tahoma" w:hAnsi="Tahoma" w:cs="Tahoma"/>
              </w:rPr>
            </w:pPr>
            <w:r w:rsidRPr="002462E6">
              <w:rPr>
                <w:rFonts w:ascii="Tahoma" w:hAnsi="Tahoma" w:cs="Tahoma"/>
              </w:rPr>
              <w:t>800</w:t>
            </w:r>
          </w:p>
        </w:tc>
        <w:tc>
          <w:tcPr>
            <w:cnfStyle w:val="000010000000" w:firstRow="0" w:lastRow="0" w:firstColumn="0" w:lastColumn="0" w:oddVBand="1" w:evenVBand="0" w:oddHBand="0" w:evenHBand="0" w:firstRowFirstColumn="0" w:firstRowLastColumn="0" w:lastRowFirstColumn="0" w:lastRowLastColumn="0"/>
            <w:tcW w:w="1006" w:type="dxa"/>
            <w:vAlign w:val="center"/>
            <w:hideMark/>
          </w:tcPr>
          <w:p w:rsidR="00D32637" w:rsidRPr="002462E6" w:rsidRDefault="00D32637" w:rsidP="002062B1">
            <w:pPr>
              <w:spacing w:before="240"/>
              <w:jc w:val="center"/>
              <w:rPr>
                <w:rFonts w:ascii="Tahoma" w:hAnsi="Tahoma" w:cs="Tahoma"/>
              </w:rPr>
            </w:pPr>
            <w:r w:rsidRPr="002462E6">
              <w:rPr>
                <w:rFonts w:ascii="Tahoma" w:hAnsi="Tahoma" w:cs="Tahoma"/>
              </w:rPr>
              <w:t>861</w:t>
            </w:r>
          </w:p>
        </w:tc>
        <w:tc>
          <w:tcPr>
            <w:cnfStyle w:val="000100000000" w:firstRow="0" w:lastRow="0" w:firstColumn="0" w:lastColumn="1" w:oddVBand="0" w:evenVBand="0" w:oddHBand="0" w:evenHBand="0" w:firstRowFirstColumn="0" w:firstRowLastColumn="0" w:lastRowFirstColumn="0" w:lastRowLastColumn="0"/>
            <w:tcW w:w="1726" w:type="dxa"/>
            <w:vAlign w:val="center"/>
            <w:hideMark/>
          </w:tcPr>
          <w:p w:rsidR="00D32637" w:rsidRPr="002462E6" w:rsidRDefault="00D32637" w:rsidP="002062B1">
            <w:pPr>
              <w:spacing w:before="240"/>
              <w:jc w:val="center"/>
              <w:rPr>
                <w:rFonts w:ascii="Tahoma" w:hAnsi="Tahoma" w:cs="Tahoma"/>
              </w:rPr>
            </w:pPr>
            <w:r w:rsidRPr="002462E6">
              <w:rPr>
                <w:rFonts w:ascii="Tahoma" w:hAnsi="Tahoma" w:cs="Tahoma"/>
              </w:rPr>
              <w:t>17</w:t>
            </w:r>
          </w:p>
        </w:tc>
      </w:tr>
      <w:tr w:rsidR="00D32637" w:rsidRPr="002462E6" w:rsidTr="001410FD">
        <w:trPr>
          <w:trHeight w:val="500"/>
        </w:trPr>
        <w:tc>
          <w:tcPr>
            <w:cnfStyle w:val="001000000000" w:firstRow="0" w:lastRow="0" w:firstColumn="1" w:lastColumn="0" w:oddVBand="0" w:evenVBand="0" w:oddHBand="0" w:evenHBand="0" w:firstRowFirstColumn="0" w:firstRowLastColumn="0" w:lastRowFirstColumn="0" w:lastRowLastColumn="0"/>
            <w:tcW w:w="2835" w:type="dxa"/>
            <w:vAlign w:val="center"/>
            <w:hideMark/>
          </w:tcPr>
          <w:p w:rsidR="00D32637" w:rsidRPr="002462E6" w:rsidRDefault="00D32637" w:rsidP="002062B1">
            <w:pPr>
              <w:spacing w:before="240"/>
              <w:rPr>
                <w:rFonts w:ascii="Tahoma" w:hAnsi="Tahoma" w:cs="Tahoma"/>
                <w:b w:val="0"/>
              </w:rPr>
            </w:pPr>
            <w:r w:rsidRPr="002462E6">
              <w:rPr>
                <w:rFonts w:ascii="Tahoma" w:hAnsi="Tahoma" w:cs="Tahoma"/>
              </w:rPr>
              <w:t>Cadres administratifs</w:t>
            </w:r>
          </w:p>
        </w:tc>
        <w:tc>
          <w:tcPr>
            <w:cnfStyle w:val="000010000000" w:firstRow="0" w:lastRow="0" w:firstColumn="0" w:lastColumn="0" w:oddVBand="1" w:evenVBand="0" w:oddHBand="0" w:evenHBand="0" w:firstRowFirstColumn="0" w:firstRowLastColumn="0" w:lastRowFirstColumn="0" w:lastRowLastColumn="0"/>
            <w:tcW w:w="1985" w:type="dxa"/>
            <w:vAlign w:val="center"/>
            <w:hideMark/>
          </w:tcPr>
          <w:p w:rsidR="00D32637" w:rsidRPr="002462E6" w:rsidRDefault="00D32637" w:rsidP="002062B1">
            <w:pPr>
              <w:spacing w:before="240"/>
              <w:jc w:val="center"/>
              <w:rPr>
                <w:rFonts w:ascii="Tahoma" w:hAnsi="Tahoma" w:cs="Tahoma"/>
              </w:rPr>
            </w:pPr>
            <w:r w:rsidRPr="002462E6">
              <w:rPr>
                <w:rFonts w:ascii="Tahoma" w:hAnsi="Tahoma" w:cs="Tahoma"/>
              </w:rPr>
              <w:t>443</w:t>
            </w:r>
          </w:p>
        </w:tc>
        <w:tc>
          <w:tcPr>
            <w:tcW w:w="1829" w:type="dxa"/>
            <w:vAlign w:val="center"/>
            <w:hideMark/>
          </w:tcPr>
          <w:p w:rsidR="00D32637" w:rsidRPr="002462E6" w:rsidRDefault="00D32637" w:rsidP="002062B1">
            <w:pPr>
              <w:spacing w:before="240"/>
              <w:jc w:val="center"/>
              <w:cnfStyle w:val="000000000000" w:firstRow="0" w:lastRow="0" w:firstColumn="0" w:lastColumn="0" w:oddVBand="0" w:evenVBand="0" w:oddHBand="0" w:evenHBand="0" w:firstRowFirstColumn="0" w:firstRowLastColumn="0" w:lastRowFirstColumn="0" w:lastRowLastColumn="0"/>
              <w:rPr>
                <w:rFonts w:ascii="Tahoma" w:hAnsi="Tahoma" w:cs="Tahoma"/>
              </w:rPr>
            </w:pPr>
            <w:r w:rsidRPr="002462E6">
              <w:rPr>
                <w:rFonts w:ascii="Tahoma" w:hAnsi="Tahoma" w:cs="Tahoma"/>
              </w:rPr>
              <w:t>2298</w:t>
            </w:r>
          </w:p>
        </w:tc>
        <w:tc>
          <w:tcPr>
            <w:cnfStyle w:val="000010000000" w:firstRow="0" w:lastRow="0" w:firstColumn="0" w:lastColumn="0" w:oddVBand="1" w:evenVBand="0" w:oddHBand="0" w:evenHBand="0" w:firstRowFirstColumn="0" w:firstRowLastColumn="0" w:lastRowFirstColumn="0" w:lastRowLastColumn="0"/>
            <w:tcW w:w="1006" w:type="dxa"/>
            <w:vAlign w:val="center"/>
            <w:hideMark/>
          </w:tcPr>
          <w:p w:rsidR="00D32637" w:rsidRPr="002462E6" w:rsidRDefault="00D32637" w:rsidP="002062B1">
            <w:pPr>
              <w:spacing w:before="240"/>
              <w:jc w:val="center"/>
              <w:rPr>
                <w:rFonts w:ascii="Tahoma" w:hAnsi="Tahoma" w:cs="Tahoma"/>
              </w:rPr>
            </w:pPr>
            <w:r w:rsidRPr="002462E6">
              <w:rPr>
                <w:rFonts w:ascii="Tahoma" w:hAnsi="Tahoma" w:cs="Tahoma"/>
              </w:rPr>
              <w:t>2671</w:t>
            </w:r>
          </w:p>
        </w:tc>
        <w:tc>
          <w:tcPr>
            <w:cnfStyle w:val="000100000000" w:firstRow="0" w:lastRow="0" w:firstColumn="0" w:lastColumn="1" w:oddVBand="0" w:evenVBand="0" w:oddHBand="0" w:evenHBand="0" w:firstRowFirstColumn="0" w:firstRowLastColumn="0" w:lastRowFirstColumn="0" w:lastRowLastColumn="0"/>
            <w:tcW w:w="1726" w:type="dxa"/>
            <w:vAlign w:val="center"/>
            <w:hideMark/>
          </w:tcPr>
          <w:p w:rsidR="00D32637" w:rsidRPr="002462E6" w:rsidRDefault="00D32637" w:rsidP="002062B1">
            <w:pPr>
              <w:spacing w:before="240"/>
              <w:jc w:val="center"/>
              <w:rPr>
                <w:rFonts w:ascii="Tahoma" w:hAnsi="Tahoma" w:cs="Tahoma"/>
              </w:rPr>
            </w:pPr>
            <w:r w:rsidRPr="002462E6">
              <w:rPr>
                <w:rFonts w:ascii="Tahoma" w:hAnsi="Tahoma" w:cs="Tahoma"/>
              </w:rPr>
              <w:t>52</w:t>
            </w:r>
          </w:p>
        </w:tc>
      </w:tr>
      <w:tr w:rsidR="00D32637" w:rsidRPr="002462E6" w:rsidTr="001410FD">
        <w:trPr>
          <w:cnfStyle w:val="000000100000" w:firstRow="0" w:lastRow="0" w:firstColumn="0" w:lastColumn="0" w:oddVBand="0" w:evenVBand="0" w:oddHBand="1" w:evenHBand="0" w:firstRowFirstColumn="0" w:firstRowLastColumn="0" w:lastRowFirstColumn="0" w:lastRowLastColumn="0"/>
          <w:trHeight w:val="498"/>
        </w:trPr>
        <w:tc>
          <w:tcPr>
            <w:cnfStyle w:val="001000000000" w:firstRow="0" w:lastRow="0" w:firstColumn="1" w:lastColumn="0" w:oddVBand="0" w:evenVBand="0" w:oddHBand="0" w:evenHBand="0" w:firstRowFirstColumn="0" w:firstRowLastColumn="0" w:lastRowFirstColumn="0" w:lastRowLastColumn="0"/>
            <w:tcW w:w="2835" w:type="dxa"/>
            <w:vAlign w:val="center"/>
            <w:hideMark/>
          </w:tcPr>
          <w:p w:rsidR="00D32637" w:rsidRPr="002462E6" w:rsidRDefault="00D32637" w:rsidP="002062B1">
            <w:pPr>
              <w:numPr>
                <w:ilvl w:val="0"/>
                <w:numId w:val="55"/>
              </w:numPr>
              <w:spacing w:before="240"/>
              <w:rPr>
                <w:rFonts w:ascii="Tahoma" w:hAnsi="Tahoma" w:cs="Tahoma"/>
              </w:rPr>
            </w:pPr>
            <w:r w:rsidRPr="002462E6">
              <w:rPr>
                <w:rFonts w:ascii="Tahoma" w:hAnsi="Tahoma" w:cs="Tahoma"/>
              </w:rPr>
              <w:t>Cadres supérieurs</w:t>
            </w:r>
          </w:p>
        </w:tc>
        <w:tc>
          <w:tcPr>
            <w:cnfStyle w:val="000010000000" w:firstRow="0" w:lastRow="0" w:firstColumn="0" w:lastColumn="0" w:oddVBand="1" w:evenVBand="0" w:oddHBand="0" w:evenHBand="0" w:firstRowFirstColumn="0" w:firstRowLastColumn="0" w:lastRowFirstColumn="0" w:lastRowLastColumn="0"/>
            <w:tcW w:w="1985" w:type="dxa"/>
            <w:vAlign w:val="center"/>
            <w:hideMark/>
          </w:tcPr>
          <w:p w:rsidR="00D32637" w:rsidRPr="002462E6" w:rsidRDefault="00D32637" w:rsidP="002062B1">
            <w:pPr>
              <w:spacing w:before="240"/>
              <w:jc w:val="center"/>
              <w:rPr>
                <w:rFonts w:ascii="Tahoma" w:hAnsi="Tahoma" w:cs="Tahoma"/>
              </w:rPr>
            </w:pPr>
            <w:r w:rsidRPr="002462E6">
              <w:rPr>
                <w:rFonts w:ascii="Tahoma" w:hAnsi="Tahoma" w:cs="Tahoma"/>
              </w:rPr>
              <w:t>17</w:t>
            </w:r>
          </w:p>
        </w:tc>
        <w:tc>
          <w:tcPr>
            <w:tcW w:w="1829" w:type="dxa"/>
            <w:vAlign w:val="center"/>
            <w:hideMark/>
          </w:tcPr>
          <w:p w:rsidR="00D32637" w:rsidRPr="002462E6" w:rsidRDefault="00D32637" w:rsidP="002062B1">
            <w:pPr>
              <w:spacing w:before="240"/>
              <w:jc w:val="center"/>
              <w:cnfStyle w:val="000000100000" w:firstRow="0" w:lastRow="0" w:firstColumn="0" w:lastColumn="0" w:oddVBand="0" w:evenVBand="0" w:oddHBand="1" w:evenHBand="0" w:firstRowFirstColumn="0" w:firstRowLastColumn="0" w:lastRowFirstColumn="0" w:lastRowLastColumn="0"/>
              <w:rPr>
                <w:rFonts w:ascii="Tahoma" w:hAnsi="Tahoma" w:cs="Tahoma"/>
              </w:rPr>
            </w:pPr>
            <w:r w:rsidRPr="002462E6">
              <w:rPr>
                <w:rFonts w:ascii="Tahoma" w:hAnsi="Tahoma" w:cs="Tahoma"/>
              </w:rPr>
              <w:t>14</w:t>
            </w:r>
          </w:p>
        </w:tc>
        <w:tc>
          <w:tcPr>
            <w:cnfStyle w:val="000010000000" w:firstRow="0" w:lastRow="0" w:firstColumn="0" w:lastColumn="0" w:oddVBand="1" w:evenVBand="0" w:oddHBand="0" w:evenHBand="0" w:firstRowFirstColumn="0" w:firstRowLastColumn="0" w:lastRowFirstColumn="0" w:lastRowLastColumn="0"/>
            <w:tcW w:w="1006" w:type="dxa"/>
            <w:vAlign w:val="center"/>
            <w:hideMark/>
          </w:tcPr>
          <w:p w:rsidR="00D32637" w:rsidRPr="002462E6" w:rsidRDefault="00D32637" w:rsidP="002062B1">
            <w:pPr>
              <w:spacing w:before="240"/>
              <w:jc w:val="center"/>
              <w:rPr>
                <w:rFonts w:ascii="Tahoma" w:hAnsi="Tahoma" w:cs="Tahoma"/>
              </w:rPr>
            </w:pPr>
            <w:r w:rsidRPr="002462E6">
              <w:rPr>
                <w:rFonts w:ascii="Tahoma" w:hAnsi="Tahoma" w:cs="Tahoma"/>
              </w:rPr>
              <w:t>31</w:t>
            </w:r>
          </w:p>
        </w:tc>
        <w:tc>
          <w:tcPr>
            <w:cnfStyle w:val="000100000000" w:firstRow="0" w:lastRow="0" w:firstColumn="0" w:lastColumn="1" w:oddVBand="0" w:evenVBand="0" w:oddHBand="0" w:evenHBand="0" w:firstRowFirstColumn="0" w:firstRowLastColumn="0" w:lastRowFirstColumn="0" w:lastRowLastColumn="0"/>
            <w:tcW w:w="1726" w:type="dxa"/>
            <w:vAlign w:val="center"/>
            <w:hideMark/>
          </w:tcPr>
          <w:p w:rsidR="00D32637" w:rsidRPr="002462E6" w:rsidRDefault="00D32637" w:rsidP="002062B1">
            <w:pPr>
              <w:spacing w:before="240"/>
              <w:jc w:val="center"/>
              <w:rPr>
                <w:rFonts w:ascii="Tahoma" w:hAnsi="Tahoma" w:cs="Tahoma"/>
              </w:rPr>
            </w:pPr>
            <w:r w:rsidRPr="002462E6">
              <w:rPr>
                <w:rFonts w:ascii="Tahoma" w:hAnsi="Tahoma" w:cs="Tahoma"/>
              </w:rPr>
              <w:t>0,6</w:t>
            </w:r>
          </w:p>
        </w:tc>
      </w:tr>
      <w:tr w:rsidR="00D32637" w:rsidRPr="002462E6" w:rsidTr="001410FD">
        <w:trPr>
          <w:trHeight w:val="500"/>
        </w:trPr>
        <w:tc>
          <w:tcPr>
            <w:cnfStyle w:val="001000000000" w:firstRow="0" w:lastRow="0" w:firstColumn="1" w:lastColumn="0" w:oddVBand="0" w:evenVBand="0" w:oddHBand="0" w:evenHBand="0" w:firstRowFirstColumn="0" w:firstRowLastColumn="0" w:lastRowFirstColumn="0" w:lastRowLastColumn="0"/>
            <w:tcW w:w="2835" w:type="dxa"/>
            <w:vAlign w:val="center"/>
            <w:hideMark/>
          </w:tcPr>
          <w:p w:rsidR="00D32637" w:rsidRPr="002462E6" w:rsidRDefault="00D32637" w:rsidP="002062B1">
            <w:pPr>
              <w:numPr>
                <w:ilvl w:val="0"/>
                <w:numId w:val="56"/>
              </w:numPr>
              <w:spacing w:before="240"/>
              <w:rPr>
                <w:rFonts w:ascii="Tahoma" w:hAnsi="Tahoma" w:cs="Tahoma"/>
              </w:rPr>
            </w:pPr>
            <w:r w:rsidRPr="002462E6">
              <w:rPr>
                <w:rFonts w:ascii="Tahoma" w:hAnsi="Tahoma" w:cs="Tahoma"/>
              </w:rPr>
              <w:t>Cadres moyens</w:t>
            </w:r>
          </w:p>
        </w:tc>
        <w:tc>
          <w:tcPr>
            <w:cnfStyle w:val="000010000000" w:firstRow="0" w:lastRow="0" w:firstColumn="0" w:lastColumn="0" w:oddVBand="1" w:evenVBand="0" w:oddHBand="0" w:evenHBand="0" w:firstRowFirstColumn="0" w:firstRowLastColumn="0" w:lastRowFirstColumn="0" w:lastRowLastColumn="0"/>
            <w:tcW w:w="1985" w:type="dxa"/>
            <w:vAlign w:val="center"/>
            <w:hideMark/>
          </w:tcPr>
          <w:p w:rsidR="00D32637" w:rsidRPr="002462E6" w:rsidRDefault="00D32637" w:rsidP="002062B1">
            <w:pPr>
              <w:spacing w:before="240"/>
              <w:jc w:val="center"/>
              <w:rPr>
                <w:rFonts w:ascii="Tahoma" w:hAnsi="Tahoma" w:cs="Tahoma"/>
              </w:rPr>
            </w:pPr>
            <w:r w:rsidRPr="002462E6">
              <w:rPr>
                <w:rFonts w:ascii="Tahoma" w:hAnsi="Tahoma" w:cs="Tahoma"/>
              </w:rPr>
              <w:t>73</w:t>
            </w:r>
          </w:p>
        </w:tc>
        <w:tc>
          <w:tcPr>
            <w:tcW w:w="1829" w:type="dxa"/>
            <w:vAlign w:val="center"/>
            <w:hideMark/>
          </w:tcPr>
          <w:p w:rsidR="00D32637" w:rsidRPr="002462E6" w:rsidRDefault="00D32637" w:rsidP="002062B1">
            <w:pPr>
              <w:spacing w:before="240"/>
              <w:jc w:val="center"/>
              <w:cnfStyle w:val="000000000000" w:firstRow="0" w:lastRow="0" w:firstColumn="0" w:lastColumn="0" w:oddVBand="0" w:evenVBand="0" w:oddHBand="0" w:evenHBand="0" w:firstRowFirstColumn="0" w:firstRowLastColumn="0" w:lastRowFirstColumn="0" w:lastRowLastColumn="0"/>
              <w:rPr>
                <w:rFonts w:ascii="Tahoma" w:hAnsi="Tahoma" w:cs="Tahoma"/>
              </w:rPr>
            </w:pPr>
            <w:r w:rsidRPr="002462E6">
              <w:rPr>
                <w:rFonts w:ascii="Tahoma" w:hAnsi="Tahoma" w:cs="Tahoma"/>
              </w:rPr>
              <w:t>328</w:t>
            </w:r>
          </w:p>
        </w:tc>
        <w:tc>
          <w:tcPr>
            <w:cnfStyle w:val="000010000000" w:firstRow="0" w:lastRow="0" w:firstColumn="0" w:lastColumn="0" w:oddVBand="1" w:evenVBand="0" w:oddHBand="0" w:evenHBand="0" w:firstRowFirstColumn="0" w:firstRowLastColumn="0" w:lastRowFirstColumn="0" w:lastRowLastColumn="0"/>
            <w:tcW w:w="1006" w:type="dxa"/>
            <w:vAlign w:val="center"/>
            <w:hideMark/>
          </w:tcPr>
          <w:p w:rsidR="00D32637" w:rsidRPr="002462E6" w:rsidRDefault="00D32637" w:rsidP="002062B1">
            <w:pPr>
              <w:spacing w:before="240"/>
              <w:jc w:val="center"/>
              <w:rPr>
                <w:rFonts w:ascii="Tahoma" w:hAnsi="Tahoma" w:cs="Tahoma"/>
              </w:rPr>
            </w:pPr>
            <w:r w:rsidRPr="002462E6">
              <w:rPr>
                <w:rFonts w:ascii="Tahoma" w:hAnsi="Tahoma" w:cs="Tahoma"/>
              </w:rPr>
              <w:t>401</w:t>
            </w:r>
          </w:p>
        </w:tc>
        <w:tc>
          <w:tcPr>
            <w:cnfStyle w:val="000100000000" w:firstRow="0" w:lastRow="0" w:firstColumn="0" w:lastColumn="1" w:oddVBand="0" w:evenVBand="0" w:oddHBand="0" w:evenHBand="0" w:firstRowFirstColumn="0" w:firstRowLastColumn="0" w:lastRowFirstColumn="0" w:lastRowLastColumn="0"/>
            <w:tcW w:w="1726" w:type="dxa"/>
            <w:vAlign w:val="center"/>
            <w:hideMark/>
          </w:tcPr>
          <w:p w:rsidR="00D32637" w:rsidRPr="002462E6" w:rsidRDefault="00D32637" w:rsidP="002062B1">
            <w:pPr>
              <w:spacing w:before="240"/>
              <w:jc w:val="center"/>
              <w:rPr>
                <w:rFonts w:ascii="Tahoma" w:hAnsi="Tahoma" w:cs="Tahoma"/>
              </w:rPr>
            </w:pPr>
            <w:r w:rsidRPr="002462E6">
              <w:rPr>
                <w:rFonts w:ascii="Tahoma" w:hAnsi="Tahoma" w:cs="Tahoma"/>
              </w:rPr>
              <w:t>28</w:t>
            </w:r>
          </w:p>
        </w:tc>
      </w:tr>
      <w:tr w:rsidR="00D32637" w:rsidRPr="002462E6" w:rsidTr="001410FD">
        <w:trPr>
          <w:cnfStyle w:val="000000100000" w:firstRow="0" w:lastRow="0" w:firstColumn="0" w:lastColumn="0" w:oddVBand="0" w:evenVBand="0" w:oddHBand="1" w:evenHBand="0" w:firstRowFirstColumn="0" w:firstRowLastColumn="0" w:lastRowFirstColumn="0" w:lastRowLastColumn="0"/>
          <w:trHeight w:val="498"/>
        </w:trPr>
        <w:tc>
          <w:tcPr>
            <w:cnfStyle w:val="001000000000" w:firstRow="0" w:lastRow="0" w:firstColumn="1" w:lastColumn="0" w:oddVBand="0" w:evenVBand="0" w:oddHBand="0" w:evenHBand="0" w:firstRowFirstColumn="0" w:firstRowLastColumn="0" w:lastRowFirstColumn="0" w:lastRowLastColumn="0"/>
            <w:tcW w:w="2835" w:type="dxa"/>
            <w:vAlign w:val="center"/>
            <w:hideMark/>
          </w:tcPr>
          <w:p w:rsidR="00D32637" w:rsidRPr="002462E6" w:rsidRDefault="00D32637" w:rsidP="002062B1">
            <w:pPr>
              <w:numPr>
                <w:ilvl w:val="0"/>
                <w:numId w:val="57"/>
              </w:numPr>
              <w:spacing w:before="240"/>
              <w:rPr>
                <w:rFonts w:ascii="Tahoma" w:hAnsi="Tahoma" w:cs="Tahoma"/>
              </w:rPr>
            </w:pPr>
            <w:r w:rsidRPr="002462E6">
              <w:rPr>
                <w:rFonts w:ascii="Tahoma" w:hAnsi="Tahoma" w:cs="Tahoma"/>
              </w:rPr>
              <w:t>Agents subalternes</w:t>
            </w:r>
          </w:p>
        </w:tc>
        <w:tc>
          <w:tcPr>
            <w:cnfStyle w:val="000010000000" w:firstRow="0" w:lastRow="0" w:firstColumn="0" w:lastColumn="0" w:oddVBand="1" w:evenVBand="0" w:oddHBand="0" w:evenHBand="0" w:firstRowFirstColumn="0" w:firstRowLastColumn="0" w:lastRowFirstColumn="0" w:lastRowLastColumn="0"/>
            <w:tcW w:w="1985" w:type="dxa"/>
            <w:vAlign w:val="center"/>
            <w:hideMark/>
          </w:tcPr>
          <w:p w:rsidR="00D32637" w:rsidRPr="002462E6" w:rsidRDefault="00D32637" w:rsidP="002062B1">
            <w:pPr>
              <w:spacing w:before="240"/>
              <w:jc w:val="center"/>
              <w:rPr>
                <w:rFonts w:ascii="Tahoma" w:hAnsi="Tahoma" w:cs="Tahoma"/>
              </w:rPr>
            </w:pPr>
            <w:r w:rsidRPr="002462E6">
              <w:rPr>
                <w:rFonts w:ascii="Tahoma" w:hAnsi="Tahoma" w:cs="Tahoma"/>
              </w:rPr>
              <w:t>353</w:t>
            </w:r>
          </w:p>
        </w:tc>
        <w:tc>
          <w:tcPr>
            <w:tcW w:w="1829" w:type="dxa"/>
            <w:vAlign w:val="center"/>
            <w:hideMark/>
          </w:tcPr>
          <w:p w:rsidR="00D32637" w:rsidRPr="002462E6" w:rsidRDefault="00D32637" w:rsidP="002062B1">
            <w:pPr>
              <w:spacing w:before="240"/>
              <w:jc w:val="center"/>
              <w:cnfStyle w:val="000000100000" w:firstRow="0" w:lastRow="0" w:firstColumn="0" w:lastColumn="0" w:oddVBand="0" w:evenVBand="0" w:oddHBand="1" w:evenHBand="0" w:firstRowFirstColumn="0" w:firstRowLastColumn="0" w:lastRowFirstColumn="0" w:lastRowLastColumn="0"/>
              <w:rPr>
                <w:rFonts w:ascii="Tahoma" w:hAnsi="Tahoma" w:cs="Tahoma"/>
              </w:rPr>
            </w:pPr>
            <w:r w:rsidRPr="002462E6">
              <w:rPr>
                <w:rFonts w:ascii="Tahoma" w:hAnsi="Tahoma" w:cs="Tahoma"/>
              </w:rPr>
              <w:t>1886</w:t>
            </w:r>
          </w:p>
        </w:tc>
        <w:tc>
          <w:tcPr>
            <w:cnfStyle w:val="000010000000" w:firstRow="0" w:lastRow="0" w:firstColumn="0" w:lastColumn="0" w:oddVBand="1" w:evenVBand="0" w:oddHBand="0" w:evenHBand="0" w:firstRowFirstColumn="0" w:firstRowLastColumn="0" w:lastRowFirstColumn="0" w:lastRowLastColumn="0"/>
            <w:tcW w:w="1006" w:type="dxa"/>
            <w:vAlign w:val="center"/>
            <w:hideMark/>
          </w:tcPr>
          <w:p w:rsidR="00D32637" w:rsidRPr="002462E6" w:rsidRDefault="00D32637" w:rsidP="002062B1">
            <w:pPr>
              <w:spacing w:before="240"/>
              <w:jc w:val="center"/>
              <w:rPr>
                <w:rFonts w:ascii="Tahoma" w:hAnsi="Tahoma" w:cs="Tahoma"/>
              </w:rPr>
            </w:pPr>
            <w:r w:rsidRPr="002462E6">
              <w:rPr>
                <w:rFonts w:ascii="Tahoma" w:hAnsi="Tahoma" w:cs="Tahoma"/>
              </w:rPr>
              <w:t>2239</w:t>
            </w:r>
          </w:p>
        </w:tc>
        <w:tc>
          <w:tcPr>
            <w:cnfStyle w:val="000100000000" w:firstRow="0" w:lastRow="0" w:firstColumn="0" w:lastColumn="1" w:oddVBand="0" w:evenVBand="0" w:oddHBand="0" w:evenHBand="0" w:firstRowFirstColumn="0" w:firstRowLastColumn="0" w:lastRowFirstColumn="0" w:lastRowLastColumn="0"/>
            <w:tcW w:w="1726" w:type="dxa"/>
            <w:vAlign w:val="center"/>
            <w:hideMark/>
          </w:tcPr>
          <w:p w:rsidR="00D32637" w:rsidRPr="002462E6" w:rsidRDefault="00D32637" w:rsidP="002062B1">
            <w:pPr>
              <w:spacing w:before="240"/>
              <w:jc w:val="center"/>
              <w:rPr>
                <w:rFonts w:ascii="Tahoma" w:hAnsi="Tahoma" w:cs="Tahoma"/>
              </w:rPr>
            </w:pPr>
            <w:r w:rsidRPr="002462E6">
              <w:rPr>
                <w:rFonts w:ascii="Tahoma" w:hAnsi="Tahoma" w:cs="Tahoma"/>
              </w:rPr>
              <w:t>43</w:t>
            </w:r>
          </w:p>
        </w:tc>
      </w:tr>
      <w:tr w:rsidR="00D32637" w:rsidRPr="002462E6" w:rsidTr="001410FD">
        <w:trPr>
          <w:cnfStyle w:val="010000000000" w:firstRow="0" w:lastRow="1" w:firstColumn="0" w:lastColumn="0" w:oddVBand="0" w:evenVBand="0" w:oddHBand="0" w:evenHBand="0" w:firstRowFirstColumn="0" w:firstRowLastColumn="0" w:lastRowFirstColumn="0" w:lastRowLastColumn="0"/>
          <w:trHeight w:val="500"/>
        </w:trPr>
        <w:tc>
          <w:tcPr>
            <w:cnfStyle w:val="001000000001" w:firstRow="0" w:lastRow="0" w:firstColumn="1" w:lastColumn="0" w:oddVBand="0" w:evenVBand="0" w:oddHBand="0" w:evenHBand="0" w:firstRowFirstColumn="0" w:firstRowLastColumn="0" w:lastRowFirstColumn="1" w:lastRowLastColumn="0"/>
            <w:tcW w:w="2835" w:type="dxa"/>
            <w:vAlign w:val="center"/>
            <w:hideMark/>
          </w:tcPr>
          <w:p w:rsidR="00D32637" w:rsidRPr="002462E6" w:rsidRDefault="00D32637" w:rsidP="001410FD">
            <w:pPr>
              <w:rPr>
                <w:rFonts w:ascii="Tahoma" w:hAnsi="Tahoma" w:cs="Tahoma"/>
                <w:b w:val="0"/>
              </w:rPr>
            </w:pPr>
            <w:r w:rsidRPr="002462E6">
              <w:rPr>
                <w:rFonts w:ascii="Tahoma" w:hAnsi="Tahoma" w:cs="Tahoma"/>
              </w:rPr>
              <w:t>Total général</w:t>
            </w:r>
          </w:p>
        </w:tc>
        <w:tc>
          <w:tcPr>
            <w:cnfStyle w:val="000010000000" w:firstRow="0" w:lastRow="0" w:firstColumn="0" w:lastColumn="0" w:oddVBand="1" w:evenVBand="0" w:oddHBand="0" w:evenHBand="0" w:firstRowFirstColumn="0" w:firstRowLastColumn="0" w:lastRowFirstColumn="0" w:lastRowLastColumn="0"/>
            <w:tcW w:w="1985" w:type="dxa"/>
            <w:vAlign w:val="center"/>
            <w:hideMark/>
          </w:tcPr>
          <w:p w:rsidR="00D32637" w:rsidRPr="002462E6" w:rsidRDefault="00D32637" w:rsidP="001410FD">
            <w:pPr>
              <w:jc w:val="center"/>
              <w:rPr>
                <w:rFonts w:ascii="Tahoma" w:hAnsi="Tahoma" w:cs="Tahoma"/>
                <w:b w:val="0"/>
              </w:rPr>
            </w:pPr>
            <w:r w:rsidRPr="002462E6">
              <w:rPr>
                <w:rFonts w:ascii="Tahoma" w:hAnsi="Tahoma" w:cs="Tahoma"/>
              </w:rPr>
              <w:t>610</w:t>
            </w:r>
          </w:p>
        </w:tc>
        <w:tc>
          <w:tcPr>
            <w:tcW w:w="1829" w:type="dxa"/>
            <w:vAlign w:val="center"/>
            <w:hideMark/>
          </w:tcPr>
          <w:p w:rsidR="00D32637" w:rsidRPr="002462E6" w:rsidRDefault="00D32637" w:rsidP="001410FD">
            <w:pPr>
              <w:jc w:val="center"/>
              <w:cnfStyle w:val="010000000000" w:firstRow="0" w:lastRow="1" w:firstColumn="0" w:lastColumn="0" w:oddVBand="0" w:evenVBand="0" w:oddHBand="0" w:evenHBand="0" w:firstRowFirstColumn="0" w:firstRowLastColumn="0" w:lastRowFirstColumn="0" w:lastRowLastColumn="0"/>
              <w:rPr>
                <w:rFonts w:ascii="Tahoma" w:hAnsi="Tahoma" w:cs="Tahoma"/>
                <w:b w:val="0"/>
              </w:rPr>
            </w:pPr>
            <w:r w:rsidRPr="002462E6">
              <w:rPr>
                <w:rFonts w:ascii="Tahoma" w:hAnsi="Tahoma" w:cs="Tahoma"/>
              </w:rPr>
              <w:t>4455</w:t>
            </w:r>
          </w:p>
        </w:tc>
        <w:tc>
          <w:tcPr>
            <w:cnfStyle w:val="000010000000" w:firstRow="0" w:lastRow="0" w:firstColumn="0" w:lastColumn="0" w:oddVBand="1" w:evenVBand="0" w:oddHBand="0" w:evenHBand="0" w:firstRowFirstColumn="0" w:firstRowLastColumn="0" w:lastRowFirstColumn="0" w:lastRowLastColumn="0"/>
            <w:tcW w:w="1006" w:type="dxa"/>
            <w:vAlign w:val="center"/>
            <w:hideMark/>
          </w:tcPr>
          <w:p w:rsidR="00D32637" w:rsidRPr="002462E6" w:rsidRDefault="00D32637" w:rsidP="001410FD">
            <w:pPr>
              <w:jc w:val="center"/>
              <w:rPr>
                <w:rFonts w:ascii="Tahoma" w:hAnsi="Tahoma" w:cs="Tahoma"/>
                <w:b w:val="0"/>
              </w:rPr>
            </w:pPr>
            <w:r w:rsidRPr="002462E6">
              <w:rPr>
                <w:rFonts w:ascii="Tahoma" w:hAnsi="Tahoma" w:cs="Tahoma"/>
              </w:rPr>
              <w:t>5145</w:t>
            </w:r>
          </w:p>
        </w:tc>
        <w:tc>
          <w:tcPr>
            <w:cnfStyle w:val="000100000010" w:firstRow="0" w:lastRow="0" w:firstColumn="0" w:lastColumn="1" w:oddVBand="0" w:evenVBand="0" w:oddHBand="0" w:evenHBand="0" w:firstRowFirstColumn="0" w:firstRowLastColumn="0" w:lastRowFirstColumn="0" w:lastRowLastColumn="1"/>
            <w:tcW w:w="1726" w:type="dxa"/>
            <w:vAlign w:val="center"/>
            <w:hideMark/>
          </w:tcPr>
          <w:p w:rsidR="00D32637" w:rsidRPr="002462E6" w:rsidRDefault="00D32637" w:rsidP="001410FD">
            <w:pPr>
              <w:jc w:val="center"/>
              <w:rPr>
                <w:rFonts w:ascii="Tahoma" w:hAnsi="Tahoma" w:cs="Tahoma"/>
                <w:b w:val="0"/>
              </w:rPr>
            </w:pPr>
            <w:r w:rsidRPr="002462E6">
              <w:rPr>
                <w:rFonts w:ascii="Tahoma" w:hAnsi="Tahoma" w:cs="Tahoma"/>
              </w:rPr>
              <w:t>100</w:t>
            </w:r>
          </w:p>
        </w:tc>
      </w:tr>
    </w:tbl>
    <w:p w:rsidR="000A7532" w:rsidRPr="002462E6" w:rsidRDefault="000A7532" w:rsidP="000A7532">
      <w:pPr>
        <w:widowControl w:val="0"/>
        <w:autoSpaceDE w:val="0"/>
        <w:autoSpaceDN w:val="0"/>
        <w:spacing w:after="0" w:line="360" w:lineRule="auto"/>
        <w:ind w:right="4"/>
        <w:jc w:val="both"/>
        <w:rPr>
          <w:rFonts w:ascii="Tahoma" w:eastAsia="Times New Roman" w:hAnsi="Tahoma" w:cs="Tahoma"/>
          <w:color w:val="232333"/>
          <w:sz w:val="24"/>
          <w:szCs w:val="24"/>
        </w:rPr>
      </w:pPr>
    </w:p>
    <w:p w:rsidR="000A7532" w:rsidRPr="002462E6" w:rsidRDefault="000A7532" w:rsidP="000A7532">
      <w:pPr>
        <w:widowControl w:val="0"/>
        <w:autoSpaceDE w:val="0"/>
        <w:autoSpaceDN w:val="0"/>
        <w:spacing w:after="0" w:line="360" w:lineRule="auto"/>
        <w:ind w:right="4"/>
        <w:jc w:val="center"/>
        <w:rPr>
          <w:rFonts w:ascii="Tahoma" w:eastAsia="Times New Roman" w:hAnsi="Tahoma" w:cs="Tahoma"/>
          <w:b/>
          <w:bCs/>
          <w:color w:val="232333"/>
          <w:sz w:val="20"/>
          <w:szCs w:val="20"/>
        </w:rPr>
      </w:pPr>
      <w:r w:rsidRPr="002462E6">
        <w:rPr>
          <w:rFonts w:ascii="Tahoma" w:eastAsia="Times New Roman" w:hAnsi="Tahoma" w:cs="Tahoma"/>
          <w:b/>
          <w:bCs/>
          <w:color w:val="232333"/>
          <w:sz w:val="20"/>
          <w:szCs w:val="20"/>
        </w:rPr>
        <w:t xml:space="preserve">Sources : </w:t>
      </w:r>
      <w:r w:rsidRPr="002462E6">
        <w:rPr>
          <w:rFonts w:ascii="Tahoma" w:eastAsia="Times New Roman" w:hAnsi="Tahoma" w:cs="Tahoma"/>
          <w:b/>
          <w:bCs/>
          <w:color w:val="232333"/>
          <w:sz w:val="20"/>
          <w:szCs w:val="20"/>
          <w:vertAlign w:val="superscript"/>
        </w:rPr>
        <w:footnoteReference w:id="203"/>
      </w:r>
    </w:p>
    <w:p w:rsidR="00D32637" w:rsidRPr="002462E6" w:rsidRDefault="00D32637" w:rsidP="000A7532">
      <w:pPr>
        <w:widowControl w:val="0"/>
        <w:autoSpaceDE w:val="0"/>
        <w:autoSpaceDN w:val="0"/>
        <w:spacing w:after="0" w:line="360" w:lineRule="auto"/>
        <w:ind w:right="4"/>
        <w:jc w:val="both"/>
        <w:rPr>
          <w:rFonts w:ascii="Tahoma" w:eastAsia="Times New Roman" w:hAnsi="Tahoma" w:cs="Tahoma"/>
          <w:color w:val="232333"/>
          <w:sz w:val="24"/>
          <w:szCs w:val="24"/>
        </w:rPr>
      </w:pPr>
    </w:p>
    <w:p w:rsidR="000A7532" w:rsidRPr="002462E6" w:rsidRDefault="000A7532" w:rsidP="000A7532">
      <w:pPr>
        <w:widowControl w:val="0"/>
        <w:autoSpaceDE w:val="0"/>
        <w:autoSpaceDN w:val="0"/>
        <w:spacing w:after="0" w:line="360" w:lineRule="auto"/>
        <w:ind w:right="4"/>
        <w:jc w:val="both"/>
        <w:rPr>
          <w:rFonts w:ascii="Tahoma" w:eastAsia="Times New Roman" w:hAnsi="Tahoma" w:cs="Tahoma"/>
          <w:color w:val="232333"/>
          <w:sz w:val="24"/>
          <w:szCs w:val="24"/>
        </w:rPr>
      </w:pPr>
      <w:r w:rsidRPr="002462E6">
        <w:rPr>
          <w:rFonts w:ascii="Tahoma" w:eastAsia="Times New Roman" w:hAnsi="Tahoma" w:cs="Tahoma"/>
          <w:color w:val="232333"/>
          <w:sz w:val="24"/>
          <w:szCs w:val="24"/>
        </w:rPr>
        <w:t>Le tableau en haut met en évidence un faible taux d'encadrement moyen par rapport aux exigences d'une gestion efficace de la forêt. En effet, avec des ratios de 31 890 hectares par ingénieur, 7 340 hectares par technicien, et 10 643 hectares par cavalier, l’action publique demeure inefficace.</w:t>
      </w:r>
    </w:p>
    <w:p w:rsidR="000A7532" w:rsidRPr="002462E6" w:rsidRDefault="000A7532" w:rsidP="000A7532">
      <w:pPr>
        <w:widowControl w:val="0"/>
        <w:autoSpaceDE w:val="0"/>
        <w:autoSpaceDN w:val="0"/>
        <w:spacing w:after="0" w:line="360" w:lineRule="auto"/>
        <w:ind w:right="4"/>
        <w:jc w:val="both"/>
        <w:rPr>
          <w:rFonts w:ascii="Tahoma" w:eastAsia="Times New Roman" w:hAnsi="Tahoma" w:cs="Tahoma"/>
          <w:color w:val="232333"/>
          <w:sz w:val="24"/>
          <w:szCs w:val="24"/>
        </w:rPr>
      </w:pPr>
      <w:r w:rsidRPr="002462E6">
        <w:rPr>
          <w:rFonts w:ascii="Tahoma" w:eastAsia="Times New Roman" w:hAnsi="Tahoma" w:cs="Tahoma"/>
          <w:color w:val="232333"/>
          <w:sz w:val="24"/>
          <w:szCs w:val="24"/>
        </w:rPr>
        <w:t>La décision de créer le HCEFLCD en septembre 2003 témoigne de la sollicitude royale. Cette nouvelle institution a été chargée de mettre en œuvre un programme dit ambitieux visant à assurer la conservation des ressources forestières, améliorer la gestion du secteur, et limiter le processus de désertification.</w:t>
      </w:r>
    </w:p>
    <w:p w:rsidR="000A7532" w:rsidRPr="002462E6" w:rsidRDefault="000A7532" w:rsidP="000A7532">
      <w:pPr>
        <w:widowControl w:val="0"/>
        <w:autoSpaceDE w:val="0"/>
        <w:autoSpaceDN w:val="0"/>
        <w:spacing w:after="0" w:line="360" w:lineRule="auto"/>
        <w:ind w:right="4"/>
        <w:jc w:val="both"/>
        <w:rPr>
          <w:rFonts w:ascii="Tahoma" w:eastAsia="Times New Roman" w:hAnsi="Tahoma" w:cs="Tahoma"/>
          <w:color w:val="232333"/>
          <w:sz w:val="24"/>
          <w:szCs w:val="24"/>
        </w:rPr>
      </w:pPr>
      <w:r w:rsidRPr="002462E6">
        <w:rPr>
          <w:rFonts w:ascii="Tahoma" w:eastAsia="Times New Roman" w:hAnsi="Tahoma" w:cs="Tahoma"/>
          <w:color w:val="232333"/>
          <w:sz w:val="24"/>
          <w:szCs w:val="24"/>
        </w:rPr>
        <w:lastRenderedPageBreak/>
        <w:t>Cette approche se caractérise par l’importance accordée à la permanence et à la continuité d’une politique visant un développement durable. La création du HCEFLCD s’inscrit en outre, dans le cadre de la concrétisation et de l’accélération de la cadence de réalisation des plans stratégiques élaborés durant les dernières années, afin de les mettre en cohérence avec le calendrier arrêté (le Programme Forestier National et le Plan d’action national de lutte contre la désertification...). Elle conforte aussi les enseignements tirés d’une série d’expériences dites innovantes dans la préparation, les    montages institutionnels et financiers, les approches de mise en œuvre et de partenariat dans le cadre de l’exécution de certains projets d’aménagements de bassins versants et d’aires protégées, d’aménagements sylvo-pastoraux et de développement intégré des zones forestières et péri-forestières. Dans les domaines d’intervention du HCEFLCD, la mise en œuvre des options stratégiques requiert une nouvelle gouvernance</w:t>
      </w:r>
      <w:r w:rsidRPr="002462E6">
        <w:rPr>
          <w:rFonts w:ascii="Tahoma" w:eastAsia="Times New Roman" w:hAnsi="Tahoma" w:cs="Tahoma"/>
          <w:color w:val="232333"/>
          <w:sz w:val="24"/>
          <w:szCs w:val="24"/>
          <w:vertAlign w:val="superscript"/>
        </w:rPr>
        <w:footnoteReference w:id="204"/>
      </w:r>
      <w:r w:rsidRPr="002462E6">
        <w:rPr>
          <w:rFonts w:ascii="Tahoma" w:eastAsia="Times New Roman" w:hAnsi="Tahoma" w:cs="Tahoma"/>
          <w:color w:val="232333"/>
          <w:sz w:val="24"/>
          <w:szCs w:val="24"/>
        </w:rPr>
        <w:t>.</w:t>
      </w:r>
    </w:p>
    <w:p w:rsidR="000A7532" w:rsidRPr="002462E6" w:rsidRDefault="000A7532" w:rsidP="000A7532">
      <w:pPr>
        <w:widowControl w:val="0"/>
        <w:autoSpaceDE w:val="0"/>
        <w:autoSpaceDN w:val="0"/>
        <w:spacing w:after="0" w:line="360" w:lineRule="auto"/>
        <w:ind w:right="4"/>
        <w:jc w:val="both"/>
        <w:rPr>
          <w:rFonts w:ascii="Tahoma" w:eastAsia="Times New Roman" w:hAnsi="Tahoma" w:cs="Tahoma"/>
          <w:color w:val="232333"/>
          <w:sz w:val="24"/>
          <w:szCs w:val="24"/>
        </w:rPr>
      </w:pPr>
      <w:r w:rsidRPr="002462E6">
        <w:rPr>
          <w:rFonts w:ascii="Tahoma" w:eastAsia="Times New Roman" w:hAnsi="Tahoma" w:cs="Tahoma"/>
          <w:color w:val="232333"/>
          <w:sz w:val="24"/>
          <w:szCs w:val="24"/>
        </w:rPr>
        <w:t>Il s’agit de promouvoir des processus innovants de prise de décision qui permettent une gestion patrimoniale des ressources naturelles, la territorialisation et l’intégration des programmes et actions sectorielles, la participation des populations et des collectivités locales, du secteur privé et des organisations non gouvernementales. Les domaines d’intervention de cette nouvelle institution sont structurés en blocs de missions, puis déclinés en schéma d’organisation des services centraux qui comprend, outre le Secrétariat général et L’Inspection Générale, cinq Directions : la direction du domaine forestier et du contentieux, la direction de la lutte contre la désertification et la protection de la nature, la direction de développement forestier, la direction de la planification de la programmation et de la coopération et la direction des ressources humaines.</w:t>
      </w:r>
    </w:p>
    <w:p w:rsidR="007A7265" w:rsidRDefault="000A7532" w:rsidP="002676C3">
      <w:pPr>
        <w:widowControl w:val="0"/>
        <w:autoSpaceDE w:val="0"/>
        <w:autoSpaceDN w:val="0"/>
        <w:spacing w:after="0" w:line="360" w:lineRule="auto"/>
        <w:ind w:right="4"/>
        <w:jc w:val="both"/>
        <w:rPr>
          <w:rFonts w:ascii="Tahoma" w:eastAsia="Times New Roman" w:hAnsi="Tahoma" w:cs="Tahoma"/>
          <w:color w:val="232333"/>
          <w:sz w:val="24"/>
          <w:szCs w:val="24"/>
        </w:rPr>
      </w:pPr>
      <w:r w:rsidRPr="002462E6">
        <w:rPr>
          <w:rFonts w:ascii="Tahoma" w:eastAsia="Times New Roman" w:hAnsi="Tahoma" w:cs="Tahoma"/>
          <w:color w:val="232333"/>
          <w:sz w:val="24"/>
          <w:szCs w:val="24"/>
        </w:rPr>
        <w:t xml:space="preserve">Le Haut-Commissariat aux Eaux et Forêts et à la Lutte Contre la Désertification (HCEFLCD) avait pour principales attributions de gérer le domaine forestier de l’État ainsi que les autres biens sous régime forestier. Il était responsable de la surveillance et du contrôle de l’application des lois et règlements en vigueur. De plus, le HCEFLCD élaborait et mettait en œuvre la politique gouvernementale concernant la conservation et le développement durable des ressources forestières, des ressources alfatières, sylvo-pastorales, cynégétiques, piscicoles et des aires protégées. Il coordonnait également </w:t>
      </w:r>
      <w:r w:rsidRPr="002462E6">
        <w:rPr>
          <w:rFonts w:ascii="Tahoma" w:eastAsia="Times New Roman" w:hAnsi="Tahoma" w:cs="Tahoma"/>
          <w:color w:val="232333"/>
          <w:sz w:val="24"/>
          <w:szCs w:val="24"/>
        </w:rPr>
        <w:lastRenderedPageBreak/>
        <w:t>l'établissement de mécanismes institutionnels pour la préparation, l'exécution, le suivi et l'évaluation des politiques gouvernementales en matière de lutte contre la désertification et participait à l’élaboration et à la mise en œuvre de la politique du Gouvernement en matière de développement rural</w:t>
      </w:r>
      <w:r w:rsidRPr="002462E6">
        <w:rPr>
          <w:rFonts w:ascii="Tahoma" w:eastAsia="Times New Roman" w:hAnsi="Tahoma" w:cs="Tahoma"/>
          <w:color w:val="232333"/>
          <w:sz w:val="24"/>
          <w:szCs w:val="24"/>
          <w:vertAlign w:val="superscript"/>
        </w:rPr>
        <w:footnoteReference w:id="205"/>
      </w:r>
      <w:r w:rsidRPr="002462E6">
        <w:rPr>
          <w:rFonts w:ascii="Tahoma" w:eastAsia="Times New Roman" w:hAnsi="Tahoma" w:cs="Tahoma"/>
          <w:color w:val="232333"/>
          <w:sz w:val="24"/>
          <w:szCs w:val="24"/>
        </w:rPr>
        <w:t>.</w:t>
      </w:r>
      <w:bookmarkStart w:id="145" w:name="_bookmark59"/>
      <w:bookmarkStart w:id="146" w:name="_Toc186533813"/>
      <w:bookmarkStart w:id="147" w:name="_Toc201655467"/>
      <w:bookmarkEnd w:id="145"/>
    </w:p>
    <w:p w:rsidR="00875727" w:rsidRPr="00875727" w:rsidRDefault="00875727" w:rsidP="002676C3">
      <w:pPr>
        <w:widowControl w:val="0"/>
        <w:autoSpaceDE w:val="0"/>
        <w:autoSpaceDN w:val="0"/>
        <w:spacing w:after="0" w:line="360" w:lineRule="auto"/>
        <w:ind w:right="4"/>
        <w:jc w:val="both"/>
        <w:rPr>
          <w:rFonts w:ascii="Tahoma" w:eastAsia="Times New Roman" w:hAnsi="Tahoma" w:cs="Tahoma"/>
          <w:color w:val="232333"/>
          <w:sz w:val="4"/>
          <w:szCs w:val="4"/>
        </w:rPr>
      </w:pPr>
    </w:p>
    <w:p w:rsidR="002676C3" w:rsidRPr="00875727" w:rsidRDefault="002676C3" w:rsidP="002676C3">
      <w:pPr>
        <w:widowControl w:val="0"/>
        <w:autoSpaceDE w:val="0"/>
        <w:autoSpaceDN w:val="0"/>
        <w:spacing w:after="0" w:line="360" w:lineRule="auto"/>
        <w:ind w:right="4"/>
        <w:jc w:val="both"/>
        <w:rPr>
          <w:rFonts w:ascii="Tahoma" w:eastAsia="Times New Roman" w:hAnsi="Tahoma" w:cs="Tahoma"/>
          <w:color w:val="232333"/>
          <w:sz w:val="2"/>
          <w:szCs w:val="2"/>
        </w:rPr>
      </w:pPr>
    </w:p>
    <w:p w:rsidR="000A7532" w:rsidRPr="002462E6" w:rsidRDefault="000A7532" w:rsidP="008D3838">
      <w:pPr>
        <w:pStyle w:val="Titre6"/>
      </w:pPr>
      <w:bookmarkStart w:id="148" w:name="_Toc203643021"/>
      <w:r w:rsidRPr="002462E6">
        <w:t>Période de</w:t>
      </w:r>
      <w:bookmarkEnd w:id="146"/>
      <w:r w:rsidRPr="002462E6">
        <w:t xml:space="preserve"> 1994-1998 : réformes et restructuration du service forestier</w:t>
      </w:r>
      <w:bookmarkEnd w:id="147"/>
      <w:bookmarkEnd w:id="148"/>
      <w:r w:rsidRPr="002462E6">
        <w:t xml:space="preserve"> </w:t>
      </w:r>
    </w:p>
    <w:p w:rsidR="000A7532" w:rsidRPr="002462E6" w:rsidRDefault="000A7532" w:rsidP="000A7532">
      <w:pPr>
        <w:widowControl w:val="0"/>
        <w:autoSpaceDE w:val="0"/>
        <w:autoSpaceDN w:val="0"/>
        <w:spacing w:after="0" w:line="240" w:lineRule="auto"/>
        <w:ind w:left="995"/>
        <w:jc w:val="right"/>
        <w:outlineLvl w:val="4"/>
        <w:rPr>
          <w:rFonts w:ascii="Times New Roman" w:eastAsia="Times New Roman" w:hAnsi="Times New Roman" w:cs="Times New Roman"/>
          <w:b/>
          <w:bCs/>
          <w:i/>
          <w:iCs/>
          <w:sz w:val="24"/>
          <w:szCs w:val="24"/>
        </w:rPr>
      </w:pPr>
    </w:p>
    <w:p w:rsidR="000A7532" w:rsidRPr="002462E6" w:rsidRDefault="000A7532" w:rsidP="000A7532">
      <w:pPr>
        <w:widowControl w:val="0"/>
        <w:autoSpaceDE w:val="0"/>
        <w:autoSpaceDN w:val="0"/>
        <w:spacing w:before="1" w:after="0" w:line="360" w:lineRule="auto"/>
        <w:ind w:right="4"/>
        <w:jc w:val="both"/>
        <w:rPr>
          <w:rFonts w:ascii="Tahoma" w:eastAsia="Times New Roman" w:hAnsi="Tahoma" w:cs="Tahoma"/>
          <w:color w:val="232333"/>
          <w:sz w:val="24"/>
          <w:szCs w:val="24"/>
        </w:rPr>
      </w:pPr>
      <w:r w:rsidRPr="002462E6">
        <w:rPr>
          <w:rFonts w:ascii="Tahoma" w:eastAsia="Times New Roman" w:hAnsi="Tahoma" w:cs="Tahoma"/>
          <w:color w:val="232333"/>
          <w:sz w:val="24"/>
          <w:szCs w:val="24"/>
        </w:rPr>
        <w:t>Cette période a été marquée par plusieurs événements significatifs, notamment, le Sommet de Rio en 1992 et les processus qui l'on suivi, ont permis l'émergence d'une nouvelle vision de la foresterie en termes de gestion, de conservation et d'exploitation écologiquement viable. De même la construction de processus de développement durable est au centre des préoccupations des pouvoirs publics et de la société marocaine. La restructuration et le renforcement de l'administration forestière, en réponse aux enjeux posés par la gestion durable des ressources naturelles et la lutte contre la désertification.</w:t>
      </w:r>
    </w:p>
    <w:p w:rsidR="000A7532" w:rsidRPr="002462E6" w:rsidRDefault="000A7532" w:rsidP="000A7532">
      <w:pPr>
        <w:widowControl w:val="0"/>
        <w:autoSpaceDE w:val="0"/>
        <w:autoSpaceDN w:val="0"/>
        <w:spacing w:after="0" w:line="240" w:lineRule="auto"/>
        <w:rPr>
          <w:rFonts w:ascii="Times New Roman" w:eastAsia="Times New Roman" w:hAnsi="Times New Roman" w:cs="Times New Roman"/>
          <w:sz w:val="24"/>
          <w:szCs w:val="24"/>
        </w:rPr>
      </w:pPr>
    </w:p>
    <w:p w:rsidR="000A7532" w:rsidRPr="002462E6" w:rsidRDefault="000A7532" w:rsidP="000A7532">
      <w:pPr>
        <w:widowControl w:val="0"/>
        <w:autoSpaceDE w:val="0"/>
        <w:autoSpaceDN w:val="0"/>
        <w:spacing w:before="1" w:after="0" w:line="360" w:lineRule="auto"/>
        <w:ind w:right="4"/>
        <w:jc w:val="both"/>
        <w:rPr>
          <w:rFonts w:ascii="Tahoma" w:eastAsia="Times New Roman" w:hAnsi="Tahoma" w:cs="Tahoma"/>
          <w:color w:val="232333"/>
          <w:sz w:val="24"/>
          <w:szCs w:val="24"/>
        </w:rPr>
      </w:pPr>
      <w:r w:rsidRPr="002462E6">
        <w:rPr>
          <w:rFonts w:ascii="Tahoma" w:eastAsia="Times New Roman" w:hAnsi="Tahoma" w:cs="Tahoma"/>
          <w:color w:val="232333"/>
          <w:sz w:val="24"/>
          <w:szCs w:val="24"/>
        </w:rPr>
        <w:t>La sortie des services forestiers extérieurs des Directions Provinciales de l’Agriculture (DPA) et leur remplacement au niveau local par une nouvelle entité portant le nom des « Centres de Développement Forestier (CDF) », qui ont pour mission d'intégrer et de concilier les fonctions de police forestière et de développement tout en favorisant la concertation, l’approche participative et l’appui technique aux populations.</w:t>
      </w:r>
    </w:p>
    <w:p w:rsidR="000A7532" w:rsidRPr="002462E6" w:rsidRDefault="000A7532" w:rsidP="000A7532">
      <w:pPr>
        <w:widowControl w:val="0"/>
        <w:autoSpaceDE w:val="0"/>
        <w:autoSpaceDN w:val="0"/>
        <w:spacing w:after="0" w:line="240" w:lineRule="auto"/>
        <w:rPr>
          <w:rFonts w:ascii="Times New Roman" w:eastAsia="Times New Roman" w:hAnsi="Times New Roman" w:cs="Times New Roman"/>
          <w:sz w:val="24"/>
          <w:szCs w:val="24"/>
        </w:rPr>
      </w:pPr>
    </w:p>
    <w:p w:rsidR="000A7532" w:rsidRPr="002462E6" w:rsidRDefault="000A7532" w:rsidP="000A7532">
      <w:pPr>
        <w:widowControl w:val="0"/>
        <w:autoSpaceDE w:val="0"/>
        <w:autoSpaceDN w:val="0"/>
        <w:spacing w:before="1" w:after="0" w:line="360" w:lineRule="auto"/>
        <w:ind w:right="4"/>
        <w:jc w:val="both"/>
        <w:rPr>
          <w:rFonts w:ascii="Tahoma" w:eastAsia="Times New Roman" w:hAnsi="Tahoma" w:cs="Tahoma"/>
          <w:color w:val="232333"/>
          <w:sz w:val="24"/>
          <w:szCs w:val="24"/>
        </w:rPr>
      </w:pPr>
      <w:r w:rsidRPr="002462E6">
        <w:rPr>
          <w:rFonts w:ascii="Tahoma" w:eastAsia="Times New Roman" w:hAnsi="Tahoma" w:cs="Tahoma"/>
          <w:color w:val="232333"/>
          <w:sz w:val="24"/>
          <w:szCs w:val="24"/>
        </w:rPr>
        <w:t>Au cours de cette période, des réalisations significatives ont été réalisées, marquées par l'élaboration d'une série de réflexions et d'études visant à soutenir la planification stratégique. Parmi ces initiatives figurent le Plan d'Aménagement des Bassins Versants (PABV) de 1995, l'étude nationale sur les aires protégées dans la même année, l'Inventaire Forestier National (IFN) de 1996, et le Plan de Développement Régional (PDR) également de 1996. De plus, le colloque national sur les forêts s'est tenu à Ifrane en 1996, contribuant à enrichir le débat sur la gestion forestière.</w:t>
      </w:r>
    </w:p>
    <w:p w:rsidR="000A7532" w:rsidRPr="002462E6" w:rsidRDefault="000A7532" w:rsidP="000A7532">
      <w:pPr>
        <w:widowControl w:val="0"/>
        <w:autoSpaceDE w:val="0"/>
        <w:autoSpaceDN w:val="0"/>
        <w:spacing w:before="1" w:after="0" w:line="360" w:lineRule="auto"/>
        <w:ind w:right="4"/>
        <w:jc w:val="both"/>
        <w:rPr>
          <w:rFonts w:ascii="Tahoma" w:eastAsia="Times New Roman" w:hAnsi="Tahoma" w:cs="Tahoma"/>
          <w:color w:val="232333"/>
          <w:sz w:val="24"/>
          <w:szCs w:val="24"/>
        </w:rPr>
      </w:pPr>
      <w:r w:rsidRPr="002462E6">
        <w:rPr>
          <w:rFonts w:ascii="Tahoma" w:eastAsia="Times New Roman" w:hAnsi="Tahoma" w:cs="Tahoma"/>
          <w:color w:val="232333"/>
          <w:sz w:val="24"/>
          <w:szCs w:val="24"/>
        </w:rPr>
        <w:t xml:space="preserve">La mise en œuvre de plusieurs expériences novatrices a également été une composante clé de cette démarche, portant sur la préparation, les montages institutionnels et financiers, ainsi que sur les approches d'exécution et de partenariat avec les communautés locales et les ONG. Ces projets comprennent l'aménagement de bassins </w:t>
      </w:r>
      <w:r w:rsidRPr="002462E6">
        <w:rPr>
          <w:rFonts w:ascii="Tahoma" w:eastAsia="Times New Roman" w:hAnsi="Tahoma" w:cs="Tahoma"/>
          <w:color w:val="232333"/>
          <w:sz w:val="24"/>
          <w:szCs w:val="24"/>
        </w:rPr>
        <w:lastRenderedPageBreak/>
        <w:t>versants à Sidi Driss, O. Lakhdar et O. Msoun, la création d'aires protégées telles que Sous Massa, Toubkal et Tazzeka, ainsi que le développement intégré de zones forestières et péri-forestières à Chefchaouen et Ifrane.</w:t>
      </w:r>
    </w:p>
    <w:p w:rsidR="000A7532" w:rsidRPr="00875727" w:rsidRDefault="000A7532" w:rsidP="00875727">
      <w:pPr>
        <w:widowControl w:val="0"/>
        <w:autoSpaceDE w:val="0"/>
        <w:autoSpaceDN w:val="0"/>
        <w:spacing w:before="1" w:after="0" w:line="360" w:lineRule="auto"/>
        <w:ind w:right="4"/>
        <w:jc w:val="both"/>
        <w:rPr>
          <w:rFonts w:ascii="Tahoma" w:eastAsia="Times New Roman" w:hAnsi="Tahoma" w:cs="Tahoma"/>
          <w:color w:val="232333"/>
          <w:sz w:val="24"/>
          <w:szCs w:val="24"/>
        </w:rPr>
      </w:pPr>
      <w:r w:rsidRPr="002462E6">
        <w:rPr>
          <w:rFonts w:ascii="Tahoma" w:eastAsia="Times New Roman" w:hAnsi="Tahoma" w:cs="Tahoma"/>
          <w:color w:val="232333"/>
          <w:sz w:val="24"/>
          <w:szCs w:val="24"/>
        </w:rPr>
        <w:t>De plus, le Plan Forestier National (PFN) a été élaboré comme un cadre stratégique et un outil de planification pour le développement durable du secteur forestier, av</w:t>
      </w:r>
      <w:r w:rsidR="00875727">
        <w:rPr>
          <w:rFonts w:ascii="Tahoma" w:eastAsia="Times New Roman" w:hAnsi="Tahoma" w:cs="Tahoma"/>
          <w:color w:val="232333"/>
          <w:sz w:val="24"/>
          <w:szCs w:val="24"/>
        </w:rPr>
        <w:t>ec une vision à l'horizon 2020.</w:t>
      </w:r>
    </w:p>
    <w:p w:rsidR="000A7532" w:rsidRPr="00875727" w:rsidRDefault="000A7532" w:rsidP="00875727">
      <w:pPr>
        <w:widowControl w:val="0"/>
        <w:autoSpaceDE w:val="0"/>
        <w:autoSpaceDN w:val="0"/>
        <w:spacing w:after="0" w:line="240" w:lineRule="auto"/>
        <w:jc w:val="center"/>
        <w:rPr>
          <w:rFonts w:ascii="Times New Roman" w:eastAsia="Times New Roman" w:hAnsi="Times New Roman" w:cs="Times New Roman"/>
          <w:sz w:val="14"/>
          <w:szCs w:val="14"/>
        </w:rPr>
      </w:pPr>
    </w:p>
    <w:p w:rsidR="000A7532" w:rsidRPr="002462E6" w:rsidRDefault="000A7532" w:rsidP="008D3838">
      <w:pPr>
        <w:pStyle w:val="Titre6"/>
      </w:pPr>
      <w:bookmarkStart w:id="149" w:name="_bookmark60"/>
      <w:bookmarkStart w:id="150" w:name="_Toc186533814"/>
      <w:bookmarkStart w:id="151" w:name="_Toc201655468"/>
      <w:bookmarkStart w:id="152" w:name="_Toc203643022"/>
      <w:bookmarkEnd w:id="149"/>
      <w:r w:rsidRPr="002462E6">
        <w:t xml:space="preserve">Période de </w:t>
      </w:r>
      <w:bookmarkEnd w:id="150"/>
      <w:r w:rsidRPr="002462E6">
        <w:t>1998-2003 : consolidation institutionnelle et adaptation des structures</w:t>
      </w:r>
      <w:bookmarkEnd w:id="151"/>
      <w:bookmarkEnd w:id="152"/>
      <w:r w:rsidRPr="002462E6">
        <w:t xml:space="preserve"> </w:t>
      </w:r>
    </w:p>
    <w:p w:rsidR="000A7532" w:rsidRPr="002462E6" w:rsidRDefault="000A7532" w:rsidP="000A7532">
      <w:pPr>
        <w:widowControl w:val="0"/>
        <w:autoSpaceDE w:val="0"/>
        <w:autoSpaceDN w:val="0"/>
        <w:spacing w:after="0" w:line="240" w:lineRule="auto"/>
        <w:rPr>
          <w:rFonts w:ascii="Times New Roman" w:eastAsia="Times New Roman" w:hAnsi="Times New Roman" w:cs="Times New Roman"/>
          <w:sz w:val="24"/>
          <w:szCs w:val="24"/>
        </w:rPr>
      </w:pPr>
    </w:p>
    <w:p w:rsidR="000A7532" w:rsidRPr="002462E6" w:rsidRDefault="000A7532" w:rsidP="000A7532">
      <w:pPr>
        <w:widowControl w:val="0"/>
        <w:autoSpaceDE w:val="0"/>
        <w:autoSpaceDN w:val="0"/>
        <w:spacing w:before="1" w:after="0" w:line="360" w:lineRule="auto"/>
        <w:ind w:right="4"/>
        <w:jc w:val="both"/>
        <w:rPr>
          <w:rFonts w:ascii="Tahoma" w:eastAsia="Times New Roman" w:hAnsi="Tahoma" w:cs="Tahoma"/>
          <w:color w:val="232333"/>
          <w:sz w:val="24"/>
          <w:szCs w:val="24"/>
        </w:rPr>
      </w:pPr>
      <w:r w:rsidRPr="002462E6">
        <w:rPr>
          <w:rFonts w:ascii="Tahoma" w:eastAsia="Times New Roman" w:hAnsi="Tahoma" w:cs="Tahoma"/>
          <w:color w:val="232333"/>
          <w:sz w:val="24"/>
          <w:szCs w:val="24"/>
        </w:rPr>
        <w:t>En 1998, pour la première fois dans l'histoire du Maroc, un Ministère délégué chargé des Eaux et Forêts (MCF), auprès du Ministère de l’Agriculture a été créé. L'organisation de ce nouveau ministère reste similaire à celle de 1994, mais elle comprend désormais un cabinet du ministre, un secrétariat général, une inspection générale, ainsi qu'une direction des ressources humaines et des affaires administratives (DRHAA)</w:t>
      </w:r>
      <w:r w:rsidRPr="002462E6">
        <w:rPr>
          <w:rFonts w:ascii="Tahoma" w:eastAsia="Times New Roman" w:hAnsi="Tahoma" w:cs="Tahoma"/>
          <w:color w:val="232333"/>
          <w:sz w:val="24"/>
          <w:szCs w:val="24"/>
          <w:vertAlign w:val="superscript"/>
        </w:rPr>
        <w:footnoteReference w:id="206"/>
      </w:r>
      <w:r w:rsidRPr="002462E6">
        <w:rPr>
          <w:rFonts w:ascii="Tahoma" w:eastAsia="Times New Roman" w:hAnsi="Tahoma" w:cs="Tahoma"/>
          <w:color w:val="232333"/>
          <w:sz w:val="24"/>
          <w:szCs w:val="24"/>
        </w:rPr>
        <w:t>. De plus, deux divisions horizontales ont été rajoutées et rattachées au secrétariat général : la division de recherches et expérimentations forestières et la division du budget, de la programmation et de la coopération. Cette période a été caractérisée par l'initiation de grands projets, notamment la validation du Programme Forestier National par le Comité National des Forêts, qui a eu lieu le 21 juin 1999, suivie de son approbation par le Conseil du Gouvernement. C'est également une période où, pour la première fois dans l'histoire de l'administration forestière, une direction des ressources humaines a été créée, dotée de fonctions opérationnelles. En outre, des efforts considérables ont été déployés pour élaborer et mettre en œuvre un plan national de formation, ainsi que des plans de formation régionaux. Ce processus a inclus la définition et la normalisation des postes fonctionnels, ainsi que l'initiation et l'établissement d'une fondation dédiée aux œuvres sociales.</w:t>
      </w:r>
    </w:p>
    <w:p w:rsidR="009D1D90" w:rsidRDefault="000A7532" w:rsidP="00875727">
      <w:pPr>
        <w:widowControl w:val="0"/>
        <w:autoSpaceDE w:val="0"/>
        <w:autoSpaceDN w:val="0"/>
        <w:spacing w:before="138" w:after="0" w:line="360" w:lineRule="auto"/>
        <w:ind w:right="4"/>
        <w:jc w:val="both"/>
        <w:rPr>
          <w:rFonts w:ascii="Tahoma" w:eastAsia="Times New Roman" w:hAnsi="Tahoma" w:cs="Tahoma"/>
          <w:color w:val="232333"/>
          <w:sz w:val="24"/>
          <w:szCs w:val="24"/>
        </w:rPr>
      </w:pPr>
      <w:r w:rsidRPr="002462E6">
        <w:rPr>
          <w:rFonts w:ascii="Tahoma" w:eastAsia="Times New Roman" w:hAnsi="Tahoma" w:cs="Tahoma"/>
          <w:color w:val="232333"/>
          <w:sz w:val="24"/>
          <w:szCs w:val="24"/>
        </w:rPr>
        <w:t xml:space="preserve">Malgré les actions entreprises par le MCEF pour mettre en œuvre les nouvelles orientations de la politique forestière et renforcer les institutions, ces initiatives sont restées en deçà des ambitions initiales. Ceci a été particulièrement exacerbé par le fait </w:t>
      </w:r>
      <w:r w:rsidRPr="002462E6">
        <w:rPr>
          <w:rFonts w:ascii="Tahoma" w:eastAsia="Times New Roman" w:hAnsi="Tahoma" w:cs="Tahoma"/>
          <w:color w:val="232333"/>
          <w:sz w:val="24"/>
          <w:szCs w:val="24"/>
        </w:rPr>
        <w:lastRenderedPageBreak/>
        <w:t>que le département a connu deux titulaires en très peu de temps.</w:t>
      </w:r>
    </w:p>
    <w:p w:rsidR="00875727" w:rsidRPr="00875727" w:rsidRDefault="00875727" w:rsidP="00875727">
      <w:pPr>
        <w:widowControl w:val="0"/>
        <w:autoSpaceDE w:val="0"/>
        <w:autoSpaceDN w:val="0"/>
        <w:spacing w:before="138" w:after="0" w:line="360" w:lineRule="auto"/>
        <w:ind w:right="4"/>
        <w:jc w:val="both"/>
        <w:rPr>
          <w:rFonts w:ascii="Tahoma" w:eastAsia="Times New Roman" w:hAnsi="Tahoma" w:cs="Tahoma"/>
          <w:color w:val="232333"/>
          <w:sz w:val="2"/>
          <w:szCs w:val="2"/>
        </w:rPr>
      </w:pPr>
    </w:p>
    <w:p w:rsidR="000A7532" w:rsidRDefault="000A7532" w:rsidP="008D3838">
      <w:pPr>
        <w:pStyle w:val="Titre6"/>
      </w:pPr>
      <w:bookmarkStart w:id="153" w:name="_bookmark61"/>
      <w:bookmarkStart w:id="154" w:name="_Toc201655469"/>
      <w:bookmarkStart w:id="155" w:name="_Toc203643023"/>
      <w:bookmarkEnd w:id="153"/>
      <w:r w:rsidRPr="002462E6">
        <w:t>Période de 2003-2016 : refonte institutionnelle et gouvernance du secteur forestier</w:t>
      </w:r>
      <w:bookmarkEnd w:id="154"/>
      <w:bookmarkEnd w:id="155"/>
    </w:p>
    <w:p w:rsidR="00875727" w:rsidRPr="00875727" w:rsidRDefault="00875727" w:rsidP="00875727">
      <w:pPr>
        <w:rPr>
          <w:sz w:val="12"/>
          <w:szCs w:val="12"/>
          <w:lang w:eastAsia="fr-FR"/>
        </w:rPr>
      </w:pPr>
    </w:p>
    <w:p w:rsidR="000A7532" w:rsidRPr="002462E6" w:rsidRDefault="000A7532" w:rsidP="000A7532">
      <w:pPr>
        <w:widowControl w:val="0"/>
        <w:autoSpaceDE w:val="0"/>
        <w:autoSpaceDN w:val="0"/>
        <w:spacing w:before="1" w:after="0" w:line="360" w:lineRule="auto"/>
        <w:ind w:right="4"/>
        <w:jc w:val="both"/>
        <w:rPr>
          <w:rFonts w:ascii="Tahoma" w:eastAsia="Times New Roman" w:hAnsi="Tahoma" w:cs="Tahoma"/>
          <w:color w:val="232333"/>
          <w:sz w:val="24"/>
          <w:szCs w:val="24"/>
        </w:rPr>
      </w:pPr>
      <w:r w:rsidRPr="002462E6">
        <w:rPr>
          <w:rFonts w:ascii="Tahoma" w:eastAsia="Times New Roman" w:hAnsi="Tahoma" w:cs="Tahoma"/>
          <w:color w:val="232333"/>
          <w:sz w:val="24"/>
          <w:szCs w:val="24"/>
        </w:rPr>
        <w:t>Le Haut-Commissariat aux Eaux et Forêts et à la Lutte Contre la Désertification (HCEFLCD) a été créé dans le cadre d'un programme gouvernemental visant à mettre en œuvre un programme ambitieux de redressement, pour assurer la conservation des ressources forestières, améliorer la gestion du secteur et sa promotion, et à œuvrer spécialement à la limitation du processus de désertification</w:t>
      </w:r>
      <w:r w:rsidRPr="002462E6">
        <w:rPr>
          <w:rFonts w:ascii="Tahoma" w:eastAsia="Times New Roman" w:hAnsi="Tahoma" w:cs="Tahoma"/>
          <w:color w:val="232333"/>
          <w:sz w:val="24"/>
          <w:szCs w:val="24"/>
          <w:vertAlign w:val="superscript"/>
        </w:rPr>
        <w:footnoteReference w:id="207"/>
      </w:r>
      <w:r w:rsidRPr="002462E6">
        <w:rPr>
          <w:rFonts w:ascii="Tahoma" w:eastAsia="Times New Roman" w:hAnsi="Tahoma" w:cs="Tahoma"/>
          <w:color w:val="232333"/>
          <w:sz w:val="24"/>
          <w:szCs w:val="24"/>
        </w:rPr>
        <w:t>.</w:t>
      </w:r>
    </w:p>
    <w:p w:rsidR="000A7532" w:rsidRPr="002462E6" w:rsidRDefault="000A7532" w:rsidP="000A7532">
      <w:pPr>
        <w:widowControl w:val="0"/>
        <w:autoSpaceDE w:val="0"/>
        <w:autoSpaceDN w:val="0"/>
        <w:spacing w:after="0" w:line="360" w:lineRule="auto"/>
        <w:ind w:right="4"/>
        <w:jc w:val="both"/>
        <w:rPr>
          <w:rFonts w:ascii="Tahoma" w:eastAsia="Times New Roman" w:hAnsi="Tahoma" w:cs="Tahoma"/>
          <w:color w:val="232333"/>
          <w:sz w:val="24"/>
          <w:szCs w:val="24"/>
        </w:rPr>
      </w:pPr>
      <w:r w:rsidRPr="002462E6">
        <w:rPr>
          <w:rFonts w:ascii="Tahoma" w:eastAsia="Times New Roman" w:hAnsi="Tahoma" w:cs="Tahoma"/>
          <w:color w:val="232333"/>
          <w:sz w:val="24"/>
          <w:szCs w:val="24"/>
        </w:rPr>
        <w:t>Les interventions du Haut-Commissariat aux Eaux et Forêts et à la Lutte Contre la Désertification (HCEFLCD) sont organisées en blocs de missions, avec une structure de services centraux comprenant, en plus du Secrétariat général et de l'Inspection Générale, cinq directions : la Direction du Domaine forestier et du contentieux, DLCDPN, DDF, DLCDPN et la DRH.</w:t>
      </w:r>
    </w:p>
    <w:p w:rsidR="000A7532" w:rsidRPr="002462E6" w:rsidRDefault="000A7532" w:rsidP="000A7532">
      <w:pPr>
        <w:widowControl w:val="0"/>
        <w:autoSpaceDE w:val="0"/>
        <w:autoSpaceDN w:val="0"/>
        <w:spacing w:after="0" w:line="240" w:lineRule="auto"/>
        <w:rPr>
          <w:rFonts w:ascii="Times New Roman" w:eastAsia="Times New Roman" w:hAnsi="Times New Roman" w:cs="Times New Roman"/>
          <w:sz w:val="24"/>
          <w:szCs w:val="24"/>
        </w:rPr>
      </w:pPr>
    </w:p>
    <w:p w:rsidR="000A7532" w:rsidRPr="002462E6" w:rsidRDefault="000A7532" w:rsidP="000A7532">
      <w:pPr>
        <w:widowControl w:val="0"/>
        <w:autoSpaceDE w:val="0"/>
        <w:autoSpaceDN w:val="0"/>
        <w:spacing w:after="0" w:line="360" w:lineRule="auto"/>
        <w:ind w:right="4"/>
        <w:jc w:val="both"/>
        <w:rPr>
          <w:rFonts w:ascii="Tahoma" w:eastAsia="Times New Roman" w:hAnsi="Tahoma" w:cs="Tahoma"/>
          <w:color w:val="232333"/>
          <w:sz w:val="24"/>
          <w:szCs w:val="24"/>
        </w:rPr>
      </w:pPr>
      <w:r w:rsidRPr="002462E6">
        <w:rPr>
          <w:rFonts w:ascii="Tahoma" w:eastAsia="Times New Roman" w:hAnsi="Tahoma" w:cs="Tahoma"/>
          <w:color w:val="232333"/>
          <w:sz w:val="24"/>
          <w:szCs w:val="24"/>
        </w:rPr>
        <w:t>Cette période a été marquée par plusieurs faits significatifs parmi lesquels la mise en œuvre de plans territoriaux de développement, opérationnalisant les schémas et les études stratégiques sous sectorielles.  Parallèlement, une mobilisation de partenariats institutionnels a eu lieu à travers des programmes et des plans décennaux (2005-2014 et 2015-2024), intégrant des programmes triennaux glissants. Il convient de noter qu'une nouvelle approche managériale a été adoptée, centrée sur quatre cultures fondamentales : le Projet, la Responsabilisation, la Contractualisation et la Reddition des comptes.  Outre, la mise en place d’une nouvelle approche managériale qui s’est focalisée sur quatre cultures fondamentales : le Projet, la Responsabilisation, la Contractualisation et la Reddition des comptes. En plus, le renforcement de la mise en œuvre du PDCI et la mise en œuvre de la stratégie nationale des FUP ont été préconisés</w:t>
      </w:r>
      <w:r w:rsidRPr="002462E6">
        <w:rPr>
          <w:rFonts w:ascii="Tahoma" w:eastAsia="Times New Roman" w:hAnsi="Tahoma" w:cs="Tahoma"/>
          <w:color w:val="232333"/>
          <w:sz w:val="24"/>
          <w:szCs w:val="24"/>
          <w:vertAlign w:val="superscript"/>
        </w:rPr>
        <w:footnoteReference w:id="208"/>
      </w:r>
      <w:r w:rsidRPr="002462E6">
        <w:rPr>
          <w:rFonts w:ascii="Tahoma" w:eastAsia="Times New Roman" w:hAnsi="Tahoma" w:cs="Tahoma"/>
          <w:color w:val="232333"/>
          <w:sz w:val="24"/>
          <w:szCs w:val="24"/>
        </w:rPr>
        <w:t>.</w:t>
      </w:r>
    </w:p>
    <w:p w:rsidR="000A7532" w:rsidRPr="002462E6" w:rsidRDefault="000A7532" w:rsidP="000A7532">
      <w:pPr>
        <w:widowControl w:val="0"/>
        <w:autoSpaceDE w:val="0"/>
        <w:autoSpaceDN w:val="0"/>
        <w:spacing w:after="0" w:line="360" w:lineRule="auto"/>
        <w:ind w:right="4"/>
        <w:jc w:val="both"/>
        <w:rPr>
          <w:rFonts w:ascii="Tahoma" w:eastAsia="Times New Roman" w:hAnsi="Tahoma" w:cs="Tahoma"/>
          <w:color w:val="232333"/>
          <w:sz w:val="24"/>
          <w:szCs w:val="24"/>
        </w:rPr>
      </w:pPr>
      <w:r w:rsidRPr="002462E6">
        <w:rPr>
          <w:rFonts w:ascii="Tahoma" w:eastAsia="Times New Roman" w:hAnsi="Tahoma" w:cs="Tahoma"/>
          <w:color w:val="232333"/>
          <w:sz w:val="24"/>
          <w:szCs w:val="24"/>
        </w:rPr>
        <w:lastRenderedPageBreak/>
        <w:t xml:space="preserve">Ce processus a impliqué également le réexamen et la réorientation des coopératives forestières, ainsi que la création et le soutien d'associations sylvopastorales bénéficiant d'indemnités pour la mise en défens. </w:t>
      </w:r>
    </w:p>
    <w:p w:rsidR="000A7532" w:rsidRPr="002462E6" w:rsidRDefault="000A7532" w:rsidP="000A7532">
      <w:pPr>
        <w:widowControl w:val="0"/>
        <w:autoSpaceDE w:val="0"/>
        <w:autoSpaceDN w:val="0"/>
        <w:spacing w:after="0" w:line="360" w:lineRule="auto"/>
        <w:ind w:right="4"/>
        <w:jc w:val="both"/>
        <w:rPr>
          <w:rFonts w:ascii="Tahoma" w:eastAsia="Times New Roman" w:hAnsi="Tahoma" w:cs="Tahoma"/>
          <w:color w:val="232333"/>
          <w:sz w:val="24"/>
          <w:szCs w:val="24"/>
        </w:rPr>
      </w:pPr>
      <w:r w:rsidRPr="002462E6">
        <w:rPr>
          <w:rFonts w:ascii="Tahoma" w:eastAsia="Times New Roman" w:hAnsi="Tahoma" w:cs="Tahoma"/>
          <w:color w:val="232333"/>
          <w:sz w:val="24"/>
          <w:szCs w:val="24"/>
        </w:rPr>
        <w:t>De surcroît, le développement de la coopération régionale et internationale a été favorisé, avec des partenaires tels que l'UE, la Suisse, les États-Unis, le Japon, la Corée du Sud, et le Costa Rica, ainsi que la forte participation aux forums et organisations onusiennes axées sur les forêts et la lutte contre la désertification.</w:t>
      </w:r>
    </w:p>
    <w:p w:rsidR="000A7532" w:rsidRPr="002462E6" w:rsidRDefault="000A7532" w:rsidP="008D3838">
      <w:pPr>
        <w:pStyle w:val="Titre6"/>
        <w:numPr>
          <w:ilvl w:val="0"/>
          <w:numId w:val="0"/>
        </w:numPr>
      </w:pPr>
    </w:p>
    <w:p w:rsidR="000A7532" w:rsidRDefault="000A7532" w:rsidP="008D3838">
      <w:pPr>
        <w:pStyle w:val="Titre6"/>
      </w:pPr>
      <w:bookmarkStart w:id="156" w:name="_bookmark62"/>
      <w:bookmarkStart w:id="157" w:name="_Toc186533815"/>
      <w:bookmarkStart w:id="158" w:name="_Toc201655470"/>
      <w:bookmarkStart w:id="159" w:name="_Toc203643024"/>
      <w:bookmarkEnd w:id="156"/>
      <w:r w:rsidRPr="002462E6">
        <w:t xml:space="preserve">Depuis 2017 à ce jour : </w:t>
      </w:r>
      <w:bookmarkEnd w:id="157"/>
      <w:r w:rsidRPr="002462E6">
        <w:t>nouvelles orientations stratégiques et refonte institutionnelle</w:t>
      </w:r>
      <w:bookmarkEnd w:id="158"/>
      <w:bookmarkEnd w:id="159"/>
      <w:r w:rsidR="005E58D4">
        <w:t xml:space="preserve"> </w:t>
      </w:r>
    </w:p>
    <w:p w:rsidR="000A7532" w:rsidRPr="002462E6" w:rsidRDefault="000A7532" w:rsidP="000A7532">
      <w:pPr>
        <w:widowControl w:val="0"/>
        <w:autoSpaceDE w:val="0"/>
        <w:autoSpaceDN w:val="0"/>
        <w:spacing w:after="0" w:line="360" w:lineRule="auto"/>
        <w:ind w:right="4"/>
        <w:jc w:val="both"/>
        <w:rPr>
          <w:rFonts w:ascii="Tahoma" w:eastAsia="Times New Roman" w:hAnsi="Tahoma" w:cs="Tahoma"/>
          <w:sz w:val="24"/>
          <w:szCs w:val="24"/>
        </w:rPr>
      </w:pPr>
      <w:r w:rsidRPr="002462E6">
        <w:rPr>
          <w:rFonts w:ascii="Tahoma" w:eastAsia="Times New Roman" w:hAnsi="Tahoma" w:cs="Tahoma"/>
          <w:color w:val="232333"/>
          <w:sz w:val="24"/>
          <w:szCs w:val="24"/>
        </w:rPr>
        <w:t>Le Département des Eaux et Forêts a gardé les mêmes structures centrales et décentralisées du</w:t>
      </w:r>
      <w:r w:rsidRPr="002462E6">
        <w:rPr>
          <w:rFonts w:ascii="Tahoma" w:eastAsia="Times New Roman" w:hAnsi="Tahoma" w:cs="Tahoma"/>
          <w:color w:val="232333"/>
          <w:spacing w:val="1"/>
          <w:sz w:val="24"/>
          <w:szCs w:val="24"/>
        </w:rPr>
        <w:t xml:space="preserve"> </w:t>
      </w:r>
      <w:r w:rsidRPr="002462E6">
        <w:rPr>
          <w:rFonts w:ascii="Tahoma" w:eastAsia="Times New Roman" w:hAnsi="Tahoma" w:cs="Tahoma"/>
          <w:color w:val="232333"/>
          <w:sz w:val="24"/>
          <w:szCs w:val="24"/>
        </w:rPr>
        <w:t>HCEFLCD</w:t>
      </w:r>
      <w:r w:rsidRPr="002462E6">
        <w:rPr>
          <w:rFonts w:ascii="Tahoma" w:eastAsia="Times New Roman" w:hAnsi="Tahoma" w:cs="Tahoma"/>
          <w:color w:val="232333"/>
          <w:spacing w:val="-1"/>
          <w:sz w:val="24"/>
          <w:szCs w:val="24"/>
        </w:rPr>
        <w:t xml:space="preserve"> </w:t>
      </w:r>
      <w:r w:rsidRPr="002462E6">
        <w:rPr>
          <w:rFonts w:ascii="Tahoma" w:eastAsia="Times New Roman" w:hAnsi="Tahoma" w:cs="Tahoma"/>
          <w:color w:val="232333"/>
          <w:sz w:val="24"/>
          <w:szCs w:val="24"/>
        </w:rPr>
        <w:t>et a poursuit la mise en œuvre</w:t>
      </w:r>
      <w:r w:rsidRPr="002462E6">
        <w:rPr>
          <w:rFonts w:ascii="Tahoma" w:eastAsia="Times New Roman" w:hAnsi="Tahoma" w:cs="Tahoma"/>
          <w:color w:val="232333"/>
          <w:spacing w:val="-2"/>
          <w:sz w:val="24"/>
          <w:szCs w:val="24"/>
        </w:rPr>
        <w:t xml:space="preserve"> </w:t>
      </w:r>
      <w:r w:rsidRPr="002462E6">
        <w:rPr>
          <w:rFonts w:ascii="Tahoma" w:eastAsia="Times New Roman" w:hAnsi="Tahoma" w:cs="Tahoma"/>
          <w:color w:val="232333"/>
          <w:sz w:val="24"/>
          <w:szCs w:val="24"/>
        </w:rPr>
        <w:t>du plan décennal</w:t>
      </w:r>
      <w:r w:rsidRPr="002462E6">
        <w:rPr>
          <w:rFonts w:ascii="Tahoma" w:eastAsia="Times New Roman" w:hAnsi="Tahoma" w:cs="Tahoma"/>
          <w:color w:val="232333"/>
          <w:spacing w:val="-1"/>
          <w:sz w:val="24"/>
          <w:szCs w:val="24"/>
        </w:rPr>
        <w:t xml:space="preserve"> </w:t>
      </w:r>
      <w:r w:rsidRPr="002462E6">
        <w:rPr>
          <w:rFonts w:ascii="Tahoma" w:eastAsia="Times New Roman" w:hAnsi="Tahoma" w:cs="Tahoma"/>
          <w:color w:val="232333"/>
          <w:sz w:val="24"/>
          <w:szCs w:val="24"/>
        </w:rPr>
        <w:t>2015-2024.</w:t>
      </w:r>
    </w:p>
    <w:p w:rsidR="000A7532" w:rsidRPr="002462E6" w:rsidRDefault="000A7532" w:rsidP="000A7532">
      <w:pPr>
        <w:widowControl w:val="0"/>
        <w:autoSpaceDE w:val="0"/>
        <w:autoSpaceDN w:val="0"/>
        <w:spacing w:before="1" w:after="0" w:line="360" w:lineRule="auto"/>
        <w:ind w:right="4"/>
        <w:jc w:val="both"/>
        <w:rPr>
          <w:rFonts w:ascii="Tahoma" w:eastAsia="Times New Roman" w:hAnsi="Tahoma" w:cs="Tahoma"/>
          <w:sz w:val="24"/>
          <w:szCs w:val="24"/>
        </w:rPr>
      </w:pPr>
      <w:r w:rsidRPr="002462E6">
        <w:rPr>
          <w:rFonts w:ascii="Tahoma" w:eastAsia="Times New Roman" w:hAnsi="Tahoma" w:cs="Tahoma"/>
          <w:color w:val="232333"/>
          <w:sz w:val="24"/>
          <w:szCs w:val="24"/>
        </w:rPr>
        <w:t>A</w:t>
      </w:r>
      <w:r w:rsidRPr="002462E6">
        <w:rPr>
          <w:rFonts w:ascii="Tahoma" w:eastAsia="Times New Roman" w:hAnsi="Tahoma" w:cs="Tahoma"/>
          <w:color w:val="232333"/>
          <w:spacing w:val="-4"/>
          <w:sz w:val="24"/>
          <w:szCs w:val="24"/>
        </w:rPr>
        <w:t xml:space="preserve"> </w:t>
      </w:r>
      <w:r w:rsidRPr="002462E6">
        <w:rPr>
          <w:rFonts w:ascii="Tahoma" w:eastAsia="Times New Roman" w:hAnsi="Tahoma" w:cs="Tahoma"/>
          <w:color w:val="232333"/>
          <w:sz w:val="24"/>
          <w:szCs w:val="24"/>
        </w:rPr>
        <w:t>l’instar</w:t>
      </w:r>
      <w:r w:rsidRPr="002462E6">
        <w:rPr>
          <w:rFonts w:ascii="Tahoma" w:eastAsia="Times New Roman" w:hAnsi="Tahoma" w:cs="Tahoma"/>
          <w:color w:val="232333"/>
          <w:spacing w:val="-5"/>
          <w:sz w:val="24"/>
          <w:szCs w:val="24"/>
        </w:rPr>
        <w:t xml:space="preserve"> </w:t>
      </w:r>
      <w:r w:rsidRPr="002462E6">
        <w:rPr>
          <w:rFonts w:ascii="Tahoma" w:eastAsia="Times New Roman" w:hAnsi="Tahoma" w:cs="Tahoma"/>
          <w:color w:val="232333"/>
          <w:sz w:val="24"/>
          <w:szCs w:val="24"/>
        </w:rPr>
        <w:t>du</w:t>
      </w:r>
      <w:r w:rsidRPr="002462E6">
        <w:rPr>
          <w:rFonts w:ascii="Tahoma" w:eastAsia="Times New Roman" w:hAnsi="Tahoma" w:cs="Tahoma"/>
          <w:color w:val="232333"/>
          <w:spacing w:val="-3"/>
          <w:sz w:val="24"/>
          <w:szCs w:val="24"/>
        </w:rPr>
        <w:t xml:space="preserve"> </w:t>
      </w:r>
      <w:r w:rsidRPr="002462E6">
        <w:rPr>
          <w:rFonts w:ascii="Tahoma" w:eastAsia="Times New Roman" w:hAnsi="Tahoma" w:cs="Tahoma"/>
          <w:color w:val="232333"/>
          <w:sz w:val="24"/>
          <w:szCs w:val="24"/>
        </w:rPr>
        <w:t>Plan</w:t>
      </w:r>
      <w:r w:rsidRPr="002462E6">
        <w:rPr>
          <w:rFonts w:ascii="Tahoma" w:eastAsia="Times New Roman" w:hAnsi="Tahoma" w:cs="Tahoma"/>
          <w:color w:val="232333"/>
          <w:spacing w:val="-4"/>
          <w:sz w:val="24"/>
          <w:szCs w:val="24"/>
        </w:rPr>
        <w:t xml:space="preserve"> </w:t>
      </w:r>
      <w:r w:rsidRPr="002462E6">
        <w:rPr>
          <w:rFonts w:ascii="Tahoma" w:eastAsia="Times New Roman" w:hAnsi="Tahoma" w:cs="Tahoma"/>
          <w:color w:val="232333"/>
          <w:sz w:val="24"/>
          <w:szCs w:val="24"/>
        </w:rPr>
        <w:t>Maroc</w:t>
      </w:r>
      <w:r w:rsidRPr="002462E6">
        <w:rPr>
          <w:rFonts w:ascii="Tahoma" w:eastAsia="Times New Roman" w:hAnsi="Tahoma" w:cs="Tahoma"/>
          <w:color w:val="232333"/>
          <w:spacing w:val="-5"/>
          <w:sz w:val="24"/>
          <w:szCs w:val="24"/>
        </w:rPr>
        <w:t xml:space="preserve"> </w:t>
      </w:r>
      <w:r w:rsidRPr="002462E6">
        <w:rPr>
          <w:rFonts w:ascii="Tahoma" w:eastAsia="Times New Roman" w:hAnsi="Tahoma" w:cs="Tahoma"/>
          <w:color w:val="232333"/>
          <w:sz w:val="24"/>
          <w:szCs w:val="24"/>
        </w:rPr>
        <w:t>vert</w:t>
      </w:r>
      <w:r w:rsidRPr="002462E6">
        <w:rPr>
          <w:rFonts w:ascii="Tahoma" w:eastAsia="Times New Roman" w:hAnsi="Tahoma" w:cs="Tahoma"/>
          <w:color w:val="232333"/>
          <w:spacing w:val="-4"/>
          <w:sz w:val="24"/>
          <w:szCs w:val="24"/>
        </w:rPr>
        <w:t xml:space="preserve"> </w:t>
      </w:r>
      <w:r w:rsidRPr="002462E6">
        <w:rPr>
          <w:rFonts w:ascii="Tahoma" w:eastAsia="Times New Roman" w:hAnsi="Tahoma" w:cs="Tahoma"/>
          <w:color w:val="232333"/>
          <w:sz w:val="24"/>
          <w:szCs w:val="24"/>
        </w:rPr>
        <w:t>(Agriculture)</w:t>
      </w:r>
      <w:r w:rsidRPr="002462E6">
        <w:rPr>
          <w:rFonts w:ascii="Tahoma" w:eastAsia="Times New Roman" w:hAnsi="Tahoma" w:cs="Tahoma"/>
          <w:color w:val="232333"/>
          <w:spacing w:val="-4"/>
          <w:sz w:val="24"/>
          <w:szCs w:val="24"/>
        </w:rPr>
        <w:t xml:space="preserve"> </w:t>
      </w:r>
      <w:r w:rsidRPr="002462E6">
        <w:rPr>
          <w:rFonts w:ascii="Tahoma" w:eastAsia="Times New Roman" w:hAnsi="Tahoma" w:cs="Tahoma"/>
          <w:color w:val="232333"/>
          <w:sz w:val="24"/>
          <w:szCs w:val="24"/>
        </w:rPr>
        <w:t>et</w:t>
      </w:r>
      <w:r w:rsidRPr="002462E6">
        <w:rPr>
          <w:rFonts w:ascii="Tahoma" w:eastAsia="Times New Roman" w:hAnsi="Tahoma" w:cs="Tahoma"/>
          <w:color w:val="232333"/>
          <w:spacing w:val="-4"/>
          <w:sz w:val="24"/>
          <w:szCs w:val="24"/>
        </w:rPr>
        <w:t xml:space="preserve"> </w:t>
      </w:r>
      <w:r w:rsidRPr="002462E6">
        <w:rPr>
          <w:rFonts w:ascii="Tahoma" w:eastAsia="Times New Roman" w:hAnsi="Tahoma" w:cs="Tahoma"/>
          <w:color w:val="232333"/>
          <w:sz w:val="24"/>
          <w:szCs w:val="24"/>
        </w:rPr>
        <w:t>du</w:t>
      </w:r>
      <w:r w:rsidRPr="002462E6">
        <w:rPr>
          <w:rFonts w:ascii="Tahoma" w:eastAsia="Times New Roman" w:hAnsi="Tahoma" w:cs="Tahoma"/>
          <w:color w:val="232333"/>
          <w:spacing w:val="-3"/>
          <w:sz w:val="24"/>
          <w:szCs w:val="24"/>
        </w:rPr>
        <w:t xml:space="preserve"> </w:t>
      </w:r>
      <w:r w:rsidRPr="002462E6">
        <w:rPr>
          <w:rFonts w:ascii="Tahoma" w:eastAsia="Times New Roman" w:hAnsi="Tahoma" w:cs="Tahoma"/>
          <w:i/>
          <w:iCs/>
          <w:color w:val="232333"/>
          <w:sz w:val="24"/>
          <w:szCs w:val="24"/>
        </w:rPr>
        <w:t>plan</w:t>
      </w:r>
      <w:r w:rsidRPr="002462E6">
        <w:rPr>
          <w:rFonts w:ascii="Tahoma" w:eastAsia="Times New Roman" w:hAnsi="Tahoma" w:cs="Tahoma"/>
          <w:i/>
          <w:iCs/>
          <w:color w:val="232333"/>
          <w:spacing w:val="-4"/>
          <w:sz w:val="24"/>
          <w:szCs w:val="24"/>
        </w:rPr>
        <w:t xml:space="preserve"> </w:t>
      </w:r>
      <w:r w:rsidRPr="002462E6">
        <w:rPr>
          <w:rFonts w:ascii="Tahoma" w:eastAsia="Times New Roman" w:hAnsi="Tahoma" w:cs="Tahoma"/>
          <w:i/>
          <w:iCs/>
          <w:color w:val="232333"/>
          <w:sz w:val="24"/>
          <w:szCs w:val="24"/>
        </w:rPr>
        <w:t>Halieutis</w:t>
      </w:r>
      <w:r w:rsidRPr="002462E6">
        <w:rPr>
          <w:rFonts w:ascii="Tahoma" w:eastAsia="Times New Roman" w:hAnsi="Tahoma" w:cs="Tahoma"/>
          <w:color w:val="232333"/>
          <w:spacing w:val="-4"/>
          <w:sz w:val="24"/>
          <w:szCs w:val="24"/>
        </w:rPr>
        <w:t xml:space="preserve"> </w:t>
      </w:r>
      <w:r w:rsidRPr="002462E6">
        <w:rPr>
          <w:rFonts w:ascii="Tahoma" w:eastAsia="Times New Roman" w:hAnsi="Tahoma" w:cs="Tahoma"/>
          <w:color w:val="232333"/>
          <w:sz w:val="24"/>
          <w:szCs w:val="24"/>
        </w:rPr>
        <w:t>(Pêche</w:t>
      </w:r>
      <w:r w:rsidRPr="002462E6">
        <w:rPr>
          <w:rFonts w:ascii="Tahoma" w:eastAsia="Times New Roman" w:hAnsi="Tahoma" w:cs="Tahoma"/>
          <w:color w:val="232333"/>
          <w:spacing w:val="-4"/>
          <w:sz w:val="24"/>
          <w:szCs w:val="24"/>
        </w:rPr>
        <w:t xml:space="preserve"> </w:t>
      </w:r>
      <w:r w:rsidRPr="002462E6">
        <w:rPr>
          <w:rFonts w:ascii="Tahoma" w:eastAsia="Times New Roman" w:hAnsi="Tahoma" w:cs="Tahoma"/>
          <w:color w:val="232333"/>
          <w:sz w:val="24"/>
          <w:szCs w:val="24"/>
        </w:rPr>
        <w:t>maritime),</w:t>
      </w:r>
      <w:r w:rsidRPr="002462E6">
        <w:rPr>
          <w:rFonts w:ascii="Tahoma" w:eastAsia="Times New Roman" w:hAnsi="Tahoma" w:cs="Tahoma"/>
          <w:color w:val="232333"/>
          <w:spacing w:val="1"/>
          <w:sz w:val="24"/>
          <w:szCs w:val="24"/>
        </w:rPr>
        <w:t xml:space="preserve"> </w:t>
      </w:r>
      <w:r w:rsidRPr="002462E6">
        <w:rPr>
          <w:rFonts w:ascii="Tahoma" w:eastAsia="Times New Roman" w:hAnsi="Tahoma" w:cs="Tahoma"/>
          <w:color w:val="232333"/>
          <w:sz w:val="24"/>
          <w:szCs w:val="24"/>
        </w:rPr>
        <w:t>une</w:t>
      </w:r>
      <w:r w:rsidRPr="002462E6">
        <w:rPr>
          <w:rFonts w:ascii="Tahoma" w:eastAsia="Times New Roman" w:hAnsi="Tahoma" w:cs="Tahoma"/>
          <w:color w:val="232333"/>
          <w:spacing w:val="-4"/>
          <w:sz w:val="24"/>
          <w:szCs w:val="24"/>
        </w:rPr>
        <w:t xml:space="preserve"> </w:t>
      </w:r>
      <w:r w:rsidRPr="002462E6">
        <w:rPr>
          <w:rFonts w:ascii="Tahoma" w:eastAsia="Times New Roman" w:hAnsi="Tahoma" w:cs="Tahoma"/>
          <w:color w:val="232333"/>
          <w:sz w:val="24"/>
          <w:szCs w:val="24"/>
        </w:rPr>
        <w:t>stratégie</w:t>
      </w:r>
      <w:r w:rsidRPr="002462E6">
        <w:rPr>
          <w:rFonts w:ascii="Tahoma" w:eastAsia="Times New Roman" w:hAnsi="Tahoma" w:cs="Tahoma"/>
          <w:color w:val="232333"/>
          <w:spacing w:val="-4"/>
          <w:sz w:val="24"/>
          <w:szCs w:val="24"/>
        </w:rPr>
        <w:t xml:space="preserve"> </w:t>
      </w:r>
      <w:r w:rsidRPr="002462E6">
        <w:rPr>
          <w:rFonts w:ascii="Tahoma" w:eastAsia="Times New Roman" w:hAnsi="Tahoma" w:cs="Tahoma"/>
          <w:color w:val="232333"/>
          <w:sz w:val="24"/>
          <w:szCs w:val="24"/>
        </w:rPr>
        <w:t>du</w:t>
      </w:r>
      <w:r w:rsidRPr="002462E6">
        <w:rPr>
          <w:rFonts w:ascii="Tahoma" w:eastAsia="Times New Roman" w:hAnsi="Tahoma" w:cs="Tahoma"/>
          <w:color w:val="232333"/>
          <w:spacing w:val="-57"/>
          <w:sz w:val="24"/>
          <w:szCs w:val="24"/>
        </w:rPr>
        <w:t xml:space="preserve"> </w:t>
      </w:r>
      <w:r w:rsidRPr="002462E6">
        <w:rPr>
          <w:rFonts w:ascii="Tahoma" w:eastAsia="Times New Roman" w:hAnsi="Tahoma" w:cs="Tahoma"/>
          <w:color w:val="232333"/>
          <w:sz w:val="24"/>
          <w:szCs w:val="24"/>
        </w:rPr>
        <w:t xml:space="preserve">secteur a été élaborée et nommée </w:t>
      </w:r>
      <w:r w:rsidRPr="002462E6">
        <w:rPr>
          <w:rFonts w:ascii="Tahoma" w:eastAsia="Times New Roman" w:hAnsi="Tahoma" w:cs="Tahoma"/>
          <w:color w:val="232333"/>
          <w:sz w:val="24"/>
          <w:szCs w:val="24"/>
          <w:vertAlign w:val="superscript"/>
        </w:rPr>
        <w:t>«</w:t>
      </w:r>
      <w:r w:rsidRPr="002462E6">
        <w:rPr>
          <w:rFonts w:ascii="Tahoma" w:eastAsia="Times New Roman" w:hAnsi="Tahoma" w:cs="Tahoma"/>
          <w:color w:val="232333"/>
          <w:sz w:val="24"/>
          <w:szCs w:val="24"/>
        </w:rPr>
        <w:t xml:space="preserve"> Stratégie Forêts du Maroc 2020-2030 </w:t>
      </w:r>
      <w:r w:rsidRPr="002462E6">
        <w:rPr>
          <w:rFonts w:ascii="Tahoma" w:eastAsia="Times New Roman" w:hAnsi="Tahoma" w:cs="Tahoma"/>
          <w:color w:val="232333"/>
          <w:sz w:val="24"/>
          <w:szCs w:val="24"/>
          <w:vertAlign w:val="superscript"/>
        </w:rPr>
        <w:t>»</w:t>
      </w:r>
      <w:r w:rsidRPr="002462E6">
        <w:rPr>
          <w:rFonts w:ascii="Tahoma" w:eastAsia="Times New Roman" w:hAnsi="Tahoma" w:cs="Tahoma"/>
          <w:color w:val="232333"/>
          <w:sz w:val="24"/>
          <w:szCs w:val="24"/>
        </w:rPr>
        <w:t>, présentée devant le</w:t>
      </w:r>
      <w:r w:rsidRPr="002462E6">
        <w:rPr>
          <w:rFonts w:ascii="Tahoma" w:eastAsia="Times New Roman" w:hAnsi="Tahoma" w:cs="Tahoma"/>
          <w:color w:val="232333"/>
          <w:spacing w:val="1"/>
          <w:sz w:val="24"/>
          <w:szCs w:val="24"/>
        </w:rPr>
        <w:t xml:space="preserve"> </w:t>
      </w:r>
      <w:r w:rsidRPr="002462E6">
        <w:rPr>
          <w:rFonts w:ascii="Tahoma" w:eastAsia="Times New Roman" w:hAnsi="Tahoma" w:cs="Tahoma"/>
          <w:color w:val="232333"/>
          <w:sz w:val="24"/>
          <w:szCs w:val="24"/>
        </w:rPr>
        <w:t>souverain, le 13 février 2020, basée sur une refonte intentionnelle par Décret n° 2-21-705 du 30</w:t>
      </w:r>
      <w:r w:rsidRPr="002462E6">
        <w:rPr>
          <w:rFonts w:ascii="Tahoma" w:eastAsia="Times New Roman" w:hAnsi="Tahoma" w:cs="Tahoma"/>
          <w:color w:val="232333"/>
          <w:spacing w:val="1"/>
          <w:sz w:val="24"/>
          <w:szCs w:val="24"/>
        </w:rPr>
        <w:t xml:space="preserve"> </w:t>
      </w:r>
      <w:r w:rsidRPr="002462E6">
        <w:rPr>
          <w:rFonts w:ascii="Tahoma" w:eastAsia="Times New Roman" w:hAnsi="Tahoma" w:cs="Tahoma"/>
          <w:color w:val="232333"/>
          <w:sz w:val="24"/>
          <w:szCs w:val="24"/>
        </w:rPr>
        <w:t>moharrem</w:t>
      </w:r>
      <w:r w:rsidRPr="002462E6">
        <w:rPr>
          <w:rFonts w:ascii="Tahoma" w:eastAsia="Times New Roman" w:hAnsi="Tahoma" w:cs="Tahoma"/>
          <w:color w:val="232333"/>
          <w:spacing w:val="-12"/>
          <w:sz w:val="24"/>
          <w:szCs w:val="24"/>
        </w:rPr>
        <w:t xml:space="preserve"> </w:t>
      </w:r>
      <w:r w:rsidRPr="002462E6">
        <w:rPr>
          <w:rFonts w:ascii="Tahoma" w:eastAsia="Times New Roman" w:hAnsi="Tahoma" w:cs="Tahoma"/>
          <w:color w:val="232333"/>
          <w:sz w:val="24"/>
          <w:szCs w:val="24"/>
        </w:rPr>
        <w:t>1443</w:t>
      </w:r>
      <w:r w:rsidRPr="002462E6">
        <w:rPr>
          <w:rFonts w:ascii="Tahoma" w:eastAsia="Times New Roman" w:hAnsi="Tahoma" w:cs="Tahoma"/>
          <w:color w:val="232333"/>
          <w:spacing w:val="-10"/>
          <w:sz w:val="24"/>
          <w:szCs w:val="24"/>
        </w:rPr>
        <w:t xml:space="preserve"> </w:t>
      </w:r>
      <w:r w:rsidRPr="002462E6">
        <w:rPr>
          <w:rFonts w:ascii="Tahoma" w:eastAsia="Times New Roman" w:hAnsi="Tahoma" w:cs="Tahoma"/>
          <w:color w:val="232333"/>
          <w:sz w:val="24"/>
          <w:szCs w:val="24"/>
        </w:rPr>
        <w:t>(8</w:t>
      </w:r>
      <w:r w:rsidRPr="002462E6">
        <w:rPr>
          <w:rFonts w:ascii="Tahoma" w:eastAsia="Times New Roman" w:hAnsi="Tahoma" w:cs="Tahoma"/>
          <w:color w:val="232333"/>
          <w:spacing w:val="-9"/>
          <w:sz w:val="24"/>
          <w:szCs w:val="24"/>
        </w:rPr>
        <w:t xml:space="preserve"> </w:t>
      </w:r>
      <w:r w:rsidRPr="002462E6">
        <w:rPr>
          <w:rFonts w:ascii="Tahoma" w:eastAsia="Times New Roman" w:hAnsi="Tahoma" w:cs="Tahoma"/>
          <w:color w:val="232333"/>
          <w:sz w:val="24"/>
          <w:szCs w:val="24"/>
        </w:rPr>
        <w:t>septembre</w:t>
      </w:r>
      <w:r w:rsidRPr="002462E6">
        <w:rPr>
          <w:rFonts w:ascii="Tahoma" w:eastAsia="Times New Roman" w:hAnsi="Tahoma" w:cs="Tahoma"/>
          <w:color w:val="232333"/>
          <w:spacing w:val="-9"/>
          <w:sz w:val="24"/>
          <w:szCs w:val="24"/>
        </w:rPr>
        <w:t xml:space="preserve"> </w:t>
      </w:r>
      <w:r w:rsidRPr="002462E6">
        <w:rPr>
          <w:rFonts w:ascii="Tahoma" w:eastAsia="Times New Roman" w:hAnsi="Tahoma" w:cs="Tahoma"/>
          <w:color w:val="232333"/>
          <w:sz w:val="24"/>
          <w:szCs w:val="24"/>
        </w:rPr>
        <w:t>2021)</w:t>
      </w:r>
      <w:r w:rsidRPr="002462E6">
        <w:rPr>
          <w:rFonts w:ascii="Tahoma" w:eastAsia="Times New Roman" w:hAnsi="Tahoma" w:cs="Tahoma"/>
          <w:color w:val="232333"/>
          <w:spacing w:val="-11"/>
          <w:sz w:val="24"/>
          <w:szCs w:val="24"/>
        </w:rPr>
        <w:t xml:space="preserve"> </w:t>
      </w:r>
      <w:r w:rsidRPr="002462E6">
        <w:rPr>
          <w:rFonts w:ascii="Tahoma" w:eastAsia="Times New Roman" w:hAnsi="Tahoma" w:cs="Tahoma"/>
          <w:color w:val="232333"/>
          <w:sz w:val="24"/>
          <w:szCs w:val="24"/>
        </w:rPr>
        <w:t>pris</w:t>
      </w:r>
      <w:r w:rsidRPr="002462E6">
        <w:rPr>
          <w:rFonts w:ascii="Tahoma" w:eastAsia="Times New Roman" w:hAnsi="Tahoma" w:cs="Tahoma"/>
          <w:color w:val="232333"/>
          <w:spacing w:val="-10"/>
          <w:sz w:val="24"/>
          <w:szCs w:val="24"/>
        </w:rPr>
        <w:t xml:space="preserve"> </w:t>
      </w:r>
      <w:r w:rsidRPr="002462E6">
        <w:rPr>
          <w:rFonts w:ascii="Tahoma" w:eastAsia="Times New Roman" w:hAnsi="Tahoma" w:cs="Tahoma"/>
          <w:color w:val="232333"/>
          <w:sz w:val="24"/>
          <w:szCs w:val="24"/>
        </w:rPr>
        <w:t>pour</w:t>
      </w:r>
      <w:r w:rsidRPr="002462E6">
        <w:rPr>
          <w:rFonts w:ascii="Tahoma" w:eastAsia="Times New Roman" w:hAnsi="Tahoma" w:cs="Tahoma"/>
          <w:color w:val="232333"/>
          <w:spacing w:val="-10"/>
          <w:sz w:val="24"/>
          <w:szCs w:val="24"/>
        </w:rPr>
        <w:t xml:space="preserve"> </w:t>
      </w:r>
      <w:r w:rsidRPr="002462E6">
        <w:rPr>
          <w:rFonts w:ascii="Tahoma" w:eastAsia="Times New Roman" w:hAnsi="Tahoma" w:cs="Tahoma"/>
          <w:color w:val="232333"/>
          <w:sz w:val="24"/>
          <w:szCs w:val="24"/>
        </w:rPr>
        <w:t>l’application</w:t>
      </w:r>
      <w:r w:rsidRPr="002462E6">
        <w:rPr>
          <w:rFonts w:ascii="Tahoma" w:eastAsia="Times New Roman" w:hAnsi="Tahoma" w:cs="Tahoma"/>
          <w:color w:val="232333"/>
          <w:spacing w:val="-10"/>
          <w:sz w:val="24"/>
          <w:szCs w:val="24"/>
        </w:rPr>
        <w:t xml:space="preserve"> </w:t>
      </w:r>
      <w:r w:rsidRPr="002462E6">
        <w:rPr>
          <w:rFonts w:ascii="Tahoma" w:eastAsia="Times New Roman" w:hAnsi="Tahoma" w:cs="Tahoma"/>
          <w:color w:val="232333"/>
          <w:sz w:val="24"/>
          <w:szCs w:val="24"/>
        </w:rPr>
        <w:t>de</w:t>
      </w:r>
      <w:r w:rsidRPr="002462E6">
        <w:rPr>
          <w:rFonts w:ascii="Tahoma" w:eastAsia="Times New Roman" w:hAnsi="Tahoma" w:cs="Tahoma"/>
          <w:color w:val="232333"/>
          <w:spacing w:val="-10"/>
          <w:sz w:val="24"/>
          <w:szCs w:val="24"/>
        </w:rPr>
        <w:t xml:space="preserve"> </w:t>
      </w:r>
      <w:r w:rsidRPr="002462E6">
        <w:rPr>
          <w:rFonts w:ascii="Tahoma" w:eastAsia="Times New Roman" w:hAnsi="Tahoma" w:cs="Tahoma"/>
          <w:color w:val="232333"/>
          <w:sz w:val="24"/>
          <w:szCs w:val="24"/>
        </w:rPr>
        <w:t>certaines</w:t>
      </w:r>
      <w:r w:rsidRPr="002462E6">
        <w:rPr>
          <w:rFonts w:ascii="Tahoma" w:eastAsia="Times New Roman" w:hAnsi="Tahoma" w:cs="Tahoma"/>
          <w:color w:val="232333"/>
          <w:spacing w:val="-9"/>
          <w:sz w:val="24"/>
          <w:szCs w:val="24"/>
        </w:rPr>
        <w:t xml:space="preserve"> </w:t>
      </w:r>
      <w:r w:rsidRPr="002462E6">
        <w:rPr>
          <w:rFonts w:ascii="Tahoma" w:eastAsia="Times New Roman" w:hAnsi="Tahoma" w:cs="Tahoma"/>
          <w:color w:val="232333"/>
          <w:sz w:val="24"/>
          <w:szCs w:val="24"/>
        </w:rPr>
        <w:t>dispositions</w:t>
      </w:r>
      <w:r w:rsidRPr="002462E6">
        <w:rPr>
          <w:rFonts w:ascii="Tahoma" w:eastAsia="Times New Roman" w:hAnsi="Tahoma" w:cs="Tahoma"/>
          <w:color w:val="232333"/>
          <w:spacing w:val="-11"/>
          <w:sz w:val="24"/>
          <w:szCs w:val="24"/>
        </w:rPr>
        <w:t xml:space="preserve"> </w:t>
      </w:r>
      <w:r w:rsidRPr="002462E6">
        <w:rPr>
          <w:rFonts w:ascii="Tahoma" w:eastAsia="Times New Roman" w:hAnsi="Tahoma" w:cs="Tahoma"/>
          <w:color w:val="232333"/>
          <w:sz w:val="24"/>
          <w:szCs w:val="24"/>
        </w:rPr>
        <w:t>de</w:t>
      </w:r>
      <w:r w:rsidRPr="002462E6">
        <w:rPr>
          <w:rFonts w:ascii="Tahoma" w:eastAsia="Times New Roman" w:hAnsi="Tahoma" w:cs="Tahoma"/>
          <w:color w:val="232333"/>
          <w:spacing w:val="-10"/>
          <w:sz w:val="24"/>
          <w:szCs w:val="24"/>
        </w:rPr>
        <w:t xml:space="preserve"> </w:t>
      </w:r>
      <w:r w:rsidRPr="002462E6">
        <w:rPr>
          <w:rFonts w:ascii="Tahoma" w:eastAsia="Times New Roman" w:hAnsi="Tahoma" w:cs="Tahoma"/>
          <w:color w:val="232333"/>
          <w:sz w:val="24"/>
          <w:szCs w:val="24"/>
        </w:rPr>
        <w:t>la</w:t>
      </w:r>
      <w:r w:rsidRPr="002462E6">
        <w:rPr>
          <w:rFonts w:ascii="Tahoma" w:eastAsia="Times New Roman" w:hAnsi="Tahoma" w:cs="Tahoma"/>
          <w:color w:val="232333"/>
          <w:spacing w:val="-12"/>
          <w:sz w:val="24"/>
          <w:szCs w:val="24"/>
        </w:rPr>
        <w:t xml:space="preserve"> </w:t>
      </w:r>
      <w:r w:rsidRPr="002462E6">
        <w:rPr>
          <w:rFonts w:ascii="Tahoma" w:eastAsia="Times New Roman" w:hAnsi="Tahoma" w:cs="Tahoma"/>
          <w:color w:val="232333"/>
          <w:sz w:val="24"/>
          <w:szCs w:val="24"/>
        </w:rPr>
        <w:t>loi</w:t>
      </w:r>
      <w:r w:rsidRPr="002462E6">
        <w:rPr>
          <w:rFonts w:ascii="Tahoma" w:eastAsia="Times New Roman" w:hAnsi="Tahoma" w:cs="Tahoma"/>
          <w:color w:val="232333"/>
          <w:spacing w:val="-10"/>
          <w:sz w:val="24"/>
          <w:szCs w:val="24"/>
        </w:rPr>
        <w:t xml:space="preserve"> </w:t>
      </w:r>
      <w:r w:rsidRPr="002462E6">
        <w:rPr>
          <w:rFonts w:ascii="Tahoma" w:eastAsia="Times New Roman" w:hAnsi="Tahoma" w:cs="Tahoma"/>
          <w:color w:val="232333"/>
          <w:sz w:val="24"/>
          <w:szCs w:val="24"/>
        </w:rPr>
        <w:t>n°</w:t>
      </w:r>
      <w:r w:rsidRPr="002462E6">
        <w:rPr>
          <w:rFonts w:ascii="Tahoma" w:eastAsia="Times New Roman" w:hAnsi="Tahoma" w:cs="Tahoma"/>
          <w:color w:val="232333"/>
          <w:spacing w:val="-10"/>
          <w:sz w:val="24"/>
          <w:szCs w:val="24"/>
        </w:rPr>
        <w:t xml:space="preserve"> </w:t>
      </w:r>
      <w:r w:rsidRPr="002462E6">
        <w:rPr>
          <w:rFonts w:ascii="Tahoma" w:eastAsia="Times New Roman" w:hAnsi="Tahoma" w:cs="Tahoma"/>
          <w:color w:val="232333"/>
          <w:sz w:val="24"/>
          <w:szCs w:val="24"/>
        </w:rPr>
        <w:t>52-</w:t>
      </w:r>
      <w:r w:rsidRPr="002462E6">
        <w:rPr>
          <w:rFonts w:ascii="Tahoma" w:eastAsia="Times New Roman" w:hAnsi="Tahoma" w:cs="Tahoma"/>
          <w:color w:val="232333"/>
          <w:spacing w:val="-58"/>
          <w:sz w:val="24"/>
          <w:szCs w:val="24"/>
        </w:rPr>
        <w:t xml:space="preserve"> </w:t>
      </w:r>
      <w:r w:rsidRPr="002462E6">
        <w:rPr>
          <w:rFonts w:ascii="Tahoma" w:eastAsia="Times New Roman" w:hAnsi="Tahoma" w:cs="Tahoma"/>
          <w:color w:val="232333"/>
          <w:spacing w:val="-1"/>
          <w:sz w:val="24"/>
          <w:szCs w:val="24"/>
        </w:rPr>
        <w:t>20</w:t>
      </w:r>
      <w:r w:rsidRPr="002462E6">
        <w:rPr>
          <w:rFonts w:ascii="Tahoma" w:eastAsia="Times New Roman" w:hAnsi="Tahoma" w:cs="Tahoma"/>
          <w:color w:val="232333"/>
          <w:spacing w:val="-15"/>
          <w:sz w:val="24"/>
          <w:szCs w:val="24"/>
        </w:rPr>
        <w:t xml:space="preserve"> </w:t>
      </w:r>
      <w:r w:rsidRPr="002462E6">
        <w:rPr>
          <w:rFonts w:ascii="Tahoma" w:eastAsia="Times New Roman" w:hAnsi="Tahoma" w:cs="Tahoma"/>
          <w:color w:val="232333"/>
          <w:spacing w:val="-1"/>
          <w:sz w:val="24"/>
          <w:szCs w:val="24"/>
        </w:rPr>
        <w:t>portant</w:t>
      </w:r>
      <w:r w:rsidRPr="002462E6">
        <w:rPr>
          <w:rFonts w:ascii="Tahoma" w:eastAsia="Times New Roman" w:hAnsi="Tahoma" w:cs="Tahoma"/>
          <w:color w:val="232333"/>
          <w:spacing w:val="-14"/>
          <w:sz w:val="24"/>
          <w:szCs w:val="24"/>
        </w:rPr>
        <w:t xml:space="preserve"> </w:t>
      </w:r>
      <w:r w:rsidRPr="002462E6">
        <w:rPr>
          <w:rFonts w:ascii="Tahoma" w:eastAsia="Times New Roman" w:hAnsi="Tahoma" w:cs="Tahoma"/>
          <w:color w:val="232333"/>
          <w:spacing w:val="-1"/>
          <w:sz w:val="24"/>
          <w:szCs w:val="24"/>
        </w:rPr>
        <w:t>création</w:t>
      </w:r>
      <w:r w:rsidRPr="002462E6">
        <w:rPr>
          <w:rFonts w:ascii="Tahoma" w:eastAsia="Times New Roman" w:hAnsi="Tahoma" w:cs="Tahoma"/>
          <w:color w:val="232333"/>
          <w:spacing w:val="-14"/>
          <w:sz w:val="24"/>
          <w:szCs w:val="24"/>
        </w:rPr>
        <w:t xml:space="preserve"> </w:t>
      </w:r>
      <w:r w:rsidRPr="002462E6">
        <w:rPr>
          <w:rFonts w:ascii="Tahoma" w:eastAsia="Times New Roman" w:hAnsi="Tahoma" w:cs="Tahoma"/>
          <w:color w:val="232333"/>
          <w:spacing w:val="-1"/>
          <w:sz w:val="24"/>
          <w:szCs w:val="24"/>
        </w:rPr>
        <w:t>de</w:t>
      </w:r>
      <w:r w:rsidRPr="002462E6">
        <w:rPr>
          <w:rFonts w:ascii="Tahoma" w:eastAsia="Times New Roman" w:hAnsi="Tahoma" w:cs="Tahoma"/>
          <w:color w:val="232333"/>
          <w:spacing w:val="-15"/>
          <w:sz w:val="24"/>
          <w:szCs w:val="24"/>
        </w:rPr>
        <w:t xml:space="preserve"> </w:t>
      </w:r>
      <w:r w:rsidRPr="002462E6">
        <w:rPr>
          <w:rFonts w:ascii="Tahoma" w:eastAsia="Times New Roman" w:hAnsi="Tahoma" w:cs="Tahoma"/>
          <w:color w:val="232333"/>
          <w:spacing w:val="-1"/>
          <w:sz w:val="24"/>
          <w:szCs w:val="24"/>
        </w:rPr>
        <w:t>l’Agence</w:t>
      </w:r>
      <w:r w:rsidRPr="002462E6">
        <w:rPr>
          <w:rFonts w:ascii="Tahoma" w:eastAsia="Times New Roman" w:hAnsi="Tahoma" w:cs="Tahoma"/>
          <w:color w:val="232333"/>
          <w:spacing w:val="-13"/>
          <w:sz w:val="24"/>
          <w:szCs w:val="24"/>
        </w:rPr>
        <w:t xml:space="preserve"> </w:t>
      </w:r>
      <w:r w:rsidRPr="002462E6">
        <w:rPr>
          <w:rFonts w:ascii="Tahoma" w:eastAsia="Times New Roman" w:hAnsi="Tahoma" w:cs="Tahoma"/>
          <w:color w:val="232333"/>
          <w:spacing w:val="-1"/>
          <w:sz w:val="24"/>
          <w:szCs w:val="24"/>
        </w:rPr>
        <w:t>Nationale</w:t>
      </w:r>
      <w:r w:rsidRPr="002462E6">
        <w:rPr>
          <w:rFonts w:ascii="Tahoma" w:eastAsia="Times New Roman" w:hAnsi="Tahoma" w:cs="Tahoma"/>
          <w:color w:val="232333"/>
          <w:spacing w:val="-14"/>
          <w:sz w:val="24"/>
          <w:szCs w:val="24"/>
        </w:rPr>
        <w:t xml:space="preserve"> </w:t>
      </w:r>
      <w:r w:rsidRPr="002462E6">
        <w:rPr>
          <w:rFonts w:ascii="Tahoma" w:eastAsia="Times New Roman" w:hAnsi="Tahoma" w:cs="Tahoma"/>
          <w:color w:val="232333"/>
          <w:sz w:val="24"/>
          <w:szCs w:val="24"/>
        </w:rPr>
        <w:t>des</w:t>
      </w:r>
      <w:r w:rsidRPr="002462E6">
        <w:rPr>
          <w:rFonts w:ascii="Tahoma" w:eastAsia="Times New Roman" w:hAnsi="Tahoma" w:cs="Tahoma"/>
          <w:color w:val="232333"/>
          <w:spacing w:val="-13"/>
          <w:sz w:val="24"/>
          <w:szCs w:val="24"/>
        </w:rPr>
        <w:t xml:space="preserve"> </w:t>
      </w:r>
      <w:r w:rsidRPr="002462E6">
        <w:rPr>
          <w:rFonts w:ascii="Tahoma" w:eastAsia="Times New Roman" w:hAnsi="Tahoma" w:cs="Tahoma"/>
          <w:color w:val="232333"/>
          <w:sz w:val="24"/>
          <w:szCs w:val="24"/>
        </w:rPr>
        <w:t>Eaux</w:t>
      </w:r>
      <w:r w:rsidRPr="002462E6">
        <w:rPr>
          <w:rFonts w:ascii="Tahoma" w:eastAsia="Times New Roman" w:hAnsi="Tahoma" w:cs="Tahoma"/>
          <w:color w:val="232333"/>
          <w:spacing w:val="-15"/>
          <w:sz w:val="24"/>
          <w:szCs w:val="24"/>
        </w:rPr>
        <w:t xml:space="preserve"> </w:t>
      </w:r>
      <w:r w:rsidRPr="002462E6">
        <w:rPr>
          <w:rFonts w:ascii="Tahoma" w:eastAsia="Times New Roman" w:hAnsi="Tahoma" w:cs="Tahoma"/>
          <w:color w:val="232333"/>
          <w:sz w:val="24"/>
          <w:szCs w:val="24"/>
        </w:rPr>
        <w:t>et</w:t>
      </w:r>
      <w:r w:rsidRPr="002462E6">
        <w:rPr>
          <w:rFonts w:ascii="Tahoma" w:eastAsia="Times New Roman" w:hAnsi="Tahoma" w:cs="Tahoma"/>
          <w:color w:val="232333"/>
          <w:spacing w:val="-14"/>
          <w:sz w:val="24"/>
          <w:szCs w:val="24"/>
        </w:rPr>
        <w:t xml:space="preserve"> </w:t>
      </w:r>
      <w:r w:rsidRPr="002462E6">
        <w:rPr>
          <w:rFonts w:ascii="Tahoma" w:eastAsia="Times New Roman" w:hAnsi="Tahoma" w:cs="Tahoma"/>
          <w:color w:val="232333"/>
          <w:sz w:val="24"/>
          <w:szCs w:val="24"/>
        </w:rPr>
        <w:t>Forêts.</w:t>
      </w:r>
      <w:r w:rsidRPr="002462E6">
        <w:rPr>
          <w:rFonts w:ascii="Tahoma" w:eastAsia="Times New Roman" w:hAnsi="Tahoma" w:cs="Tahoma"/>
          <w:color w:val="232333"/>
          <w:spacing w:val="-15"/>
          <w:sz w:val="24"/>
          <w:szCs w:val="24"/>
        </w:rPr>
        <w:t xml:space="preserve"> </w:t>
      </w:r>
      <w:r w:rsidRPr="002462E6">
        <w:rPr>
          <w:rFonts w:ascii="Tahoma" w:eastAsia="Times New Roman" w:hAnsi="Tahoma" w:cs="Tahoma"/>
          <w:color w:val="232333"/>
          <w:sz w:val="24"/>
          <w:szCs w:val="24"/>
        </w:rPr>
        <w:t>Cette</w:t>
      </w:r>
      <w:r w:rsidRPr="002462E6">
        <w:rPr>
          <w:rFonts w:ascii="Tahoma" w:eastAsia="Times New Roman" w:hAnsi="Tahoma" w:cs="Tahoma"/>
          <w:color w:val="232333"/>
          <w:spacing w:val="-14"/>
          <w:sz w:val="24"/>
          <w:szCs w:val="24"/>
        </w:rPr>
        <w:t xml:space="preserve"> </w:t>
      </w:r>
      <w:r w:rsidRPr="002462E6">
        <w:rPr>
          <w:rFonts w:ascii="Tahoma" w:eastAsia="Times New Roman" w:hAnsi="Tahoma" w:cs="Tahoma"/>
          <w:color w:val="232333"/>
          <w:sz w:val="24"/>
          <w:szCs w:val="24"/>
        </w:rPr>
        <w:t>refonte</w:t>
      </w:r>
      <w:r w:rsidRPr="002462E6">
        <w:rPr>
          <w:rFonts w:ascii="Tahoma" w:eastAsia="Times New Roman" w:hAnsi="Tahoma" w:cs="Tahoma"/>
          <w:color w:val="232333"/>
          <w:spacing w:val="-13"/>
          <w:sz w:val="24"/>
          <w:szCs w:val="24"/>
        </w:rPr>
        <w:t xml:space="preserve"> </w:t>
      </w:r>
      <w:r w:rsidRPr="002462E6">
        <w:rPr>
          <w:rFonts w:ascii="Tahoma" w:eastAsia="Times New Roman" w:hAnsi="Tahoma" w:cs="Tahoma"/>
          <w:color w:val="232333"/>
          <w:sz w:val="24"/>
          <w:szCs w:val="24"/>
        </w:rPr>
        <w:t>institutionnelle</w:t>
      </w:r>
      <w:r w:rsidRPr="002462E6">
        <w:rPr>
          <w:rFonts w:ascii="Tahoma" w:eastAsia="Times New Roman" w:hAnsi="Tahoma" w:cs="Tahoma"/>
          <w:color w:val="232333"/>
          <w:spacing w:val="-15"/>
          <w:sz w:val="24"/>
          <w:szCs w:val="24"/>
        </w:rPr>
        <w:t xml:space="preserve"> </w:t>
      </w:r>
      <w:r w:rsidRPr="002462E6">
        <w:rPr>
          <w:rFonts w:ascii="Tahoma" w:eastAsia="Times New Roman" w:hAnsi="Tahoma" w:cs="Tahoma"/>
          <w:color w:val="232333"/>
          <w:sz w:val="24"/>
          <w:szCs w:val="24"/>
        </w:rPr>
        <w:t>s’appuie</w:t>
      </w:r>
      <w:r w:rsidRPr="002462E6">
        <w:rPr>
          <w:rFonts w:ascii="Tahoma" w:eastAsia="Times New Roman" w:hAnsi="Tahoma" w:cs="Tahoma"/>
          <w:color w:val="232333"/>
          <w:spacing w:val="-58"/>
          <w:sz w:val="24"/>
          <w:szCs w:val="24"/>
        </w:rPr>
        <w:t xml:space="preserve"> </w:t>
      </w:r>
      <w:r w:rsidRPr="002462E6">
        <w:rPr>
          <w:rFonts w:ascii="Tahoma" w:eastAsia="Times New Roman" w:hAnsi="Tahoma" w:cs="Tahoma"/>
          <w:color w:val="232333"/>
          <w:sz w:val="24"/>
          <w:szCs w:val="24"/>
        </w:rPr>
        <w:t>sur un cadre légal approprié et vise la formation des ressources humaines en fonction des besoins</w:t>
      </w:r>
      <w:r w:rsidRPr="002462E6">
        <w:rPr>
          <w:rFonts w:ascii="Tahoma" w:eastAsia="Times New Roman" w:hAnsi="Tahoma" w:cs="Tahoma"/>
          <w:color w:val="232333"/>
          <w:spacing w:val="1"/>
          <w:sz w:val="24"/>
          <w:szCs w:val="24"/>
        </w:rPr>
        <w:t xml:space="preserve"> </w:t>
      </w:r>
      <w:r w:rsidRPr="002462E6">
        <w:rPr>
          <w:rFonts w:ascii="Tahoma" w:eastAsia="Times New Roman" w:hAnsi="Tahoma" w:cs="Tahoma"/>
          <w:color w:val="232333"/>
          <w:sz w:val="24"/>
          <w:szCs w:val="24"/>
        </w:rPr>
        <w:t>spécifiques</w:t>
      </w:r>
      <w:r w:rsidRPr="002462E6">
        <w:rPr>
          <w:rFonts w:ascii="Tahoma" w:eastAsia="Times New Roman" w:hAnsi="Tahoma" w:cs="Tahoma"/>
          <w:color w:val="232333"/>
          <w:spacing w:val="-2"/>
          <w:sz w:val="24"/>
          <w:szCs w:val="24"/>
        </w:rPr>
        <w:t xml:space="preserve"> </w:t>
      </w:r>
      <w:r w:rsidRPr="002462E6">
        <w:rPr>
          <w:rFonts w:ascii="Tahoma" w:eastAsia="Times New Roman" w:hAnsi="Tahoma" w:cs="Tahoma"/>
          <w:color w:val="232333"/>
          <w:sz w:val="24"/>
          <w:szCs w:val="24"/>
        </w:rPr>
        <w:t>de chaque métier en établissant</w:t>
      </w:r>
      <w:r w:rsidRPr="002462E6">
        <w:rPr>
          <w:rFonts w:ascii="Tahoma" w:eastAsia="Times New Roman" w:hAnsi="Tahoma" w:cs="Tahoma"/>
          <w:color w:val="232333"/>
          <w:spacing w:val="1"/>
          <w:sz w:val="24"/>
          <w:szCs w:val="24"/>
        </w:rPr>
        <w:t xml:space="preserve"> </w:t>
      </w:r>
      <w:r w:rsidRPr="002462E6">
        <w:rPr>
          <w:rFonts w:ascii="Tahoma" w:eastAsia="Times New Roman" w:hAnsi="Tahoma" w:cs="Tahoma"/>
          <w:color w:val="232333"/>
          <w:sz w:val="24"/>
          <w:szCs w:val="24"/>
        </w:rPr>
        <w:t>un pôle de Formation et</w:t>
      </w:r>
      <w:r w:rsidRPr="002462E6">
        <w:rPr>
          <w:rFonts w:ascii="Tahoma" w:eastAsia="Times New Roman" w:hAnsi="Tahoma" w:cs="Tahoma"/>
          <w:color w:val="232333"/>
          <w:spacing w:val="-1"/>
          <w:sz w:val="24"/>
          <w:szCs w:val="24"/>
        </w:rPr>
        <w:t xml:space="preserve"> </w:t>
      </w:r>
      <w:r w:rsidRPr="002462E6">
        <w:rPr>
          <w:rFonts w:ascii="Tahoma" w:eastAsia="Times New Roman" w:hAnsi="Tahoma" w:cs="Tahoma"/>
          <w:color w:val="232333"/>
          <w:sz w:val="24"/>
          <w:szCs w:val="24"/>
        </w:rPr>
        <w:t>Recherche.</w:t>
      </w:r>
    </w:p>
    <w:p w:rsidR="000A7532" w:rsidRPr="002462E6" w:rsidRDefault="000A7532" w:rsidP="008553E3">
      <w:pPr>
        <w:widowControl w:val="0"/>
        <w:autoSpaceDE w:val="0"/>
        <w:autoSpaceDN w:val="0"/>
        <w:spacing w:after="0" w:line="360" w:lineRule="auto"/>
        <w:ind w:right="4"/>
        <w:jc w:val="both"/>
        <w:rPr>
          <w:rFonts w:ascii="Tahoma" w:eastAsia="Times New Roman" w:hAnsi="Tahoma" w:cs="Tahoma"/>
          <w:sz w:val="24"/>
          <w:szCs w:val="24"/>
        </w:rPr>
      </w:pPr>
      <w:r w:rsidRPr="002462E6">
        <w:rPr>
          <w:rFonts w:ascii="Tahoma" w:eastAsia="Times New Roman" w:hAnsi="Tahoma" w:cs="Tahoma"/>
          <w:color w:val="232333"/>
          <w:sz w:val="24"/>
          <w:szCs w:val="24"/>
        </w:rPr>
        <w:t>Sur</w:t>
      </w:r>
      <w:r w:rsidRPr="002462E6">
        <w:rPr>
          <w:rFonts w:ascii="Tahoma" w:eastAsia="Times New Roman" w:hAnsi="Tahoma" w:cs="Tahoma"/>
          <w:color w:val="232333"/>
          <w:spacing w:val="-6"/>
          <w:sz w:val="24"/>
          <w:szCs w:val="24"/>
        </w:rPr>
        <w:t xml:space="preserve"> </w:t>
      </w:r>
      <w:r w:rsidRPr="002462E6">
        <w:rPr>
          <w:rFonts w:ascii="Tahoma" w:eastAsia="Times New Roman" w:hAnsi="Tahoma" w:cs="Tahoma"/>
          <w:color w:val="232333"/>
          <w:sz w:val="24"/>
          <w:szCs w:val="24"/>
        </w:rPr>
        <w:t>le</w:t>
      </w:r>
      <w:r w:rsidRPr="002462E6">
        <w:rPr>
          <w:rFonts w:ascii="Tahoma" w:eastAsia="Times New Roman" w:hAnsi="Tahoma" w:cs="Tahoma"/>
          <w:color w:val="232333"/>
          <w:spacing w:val="-6"/>
          <w:sz w:val="24"/>
          <w:szCs w:val="24"/>
        </w:rPr>
        <w:t xml:space="preserve"> </w:t>
      </w:r>
      <w:r w:rsidRPr="002462E6">
        <w:rPr>
          <w:rFonts w:ascii="Tahoma" w:eastAsia="Times New Roman" w:hAnsi="Tahoma" w:cs="Tahoma"/>
          <w:color w:val="232333"/>
          <w:sz w:val="24"/>
          <w:szCs w:val="24"/>
        </w:rPr>
        <w:t>plan</w:t>
      </w:r>
      <w:r w:rsidRPr="002462E6">
        <w:rPr>
          <w:rFonts w:ascii="Tahoma" w:eastAsia="Times New Roman" w:hAnsi="Tahoma" w:cs="Tahoma"/>
          <w:color w:val="232333"/>
          <w:spacing w:val="-7"/>
          <w:sz w:val="24"/>
          <w:szCs w:val="24"/>
        </w:rPr>
        <w:t xml:space="preserve"> </w:t>
      </w:r>
      <w:r w:rsidRPr="002462E6">
        <w:rPr>
          <w:rFonts w:ascii="Tahoma" w:eastAsia="Times New Roman" w:hAnsi="Tahoma" w:cs="Tahoma"/>
          <w:color w:val="232333"/>
          <w:sz w:val="24"/>
          <w:szCs w:val="24"/>
        </w:rPr>
        <w:t>juridique,</w:t>
      </w:r>
      <w:r w:rsidRPr="002462E6">
        <w:rPr>
          <w:rFonts w:ascii="Tahoma" w:eastAsia="Times New Roman" w:hAnsi="Tahoma" w:cs="Tahoma"/>
          <w:color w:val="232333"/>
          <w:spacing w:val="-5"/>
          <w:sz w:val="24"/>
          <w:szCs w:val="24"/>
        </w:rPr>
        <w:t xml:space="preserve"> </w:t>
      </w:r>
      <w:r w:rsidRPr="002462E6">
        <w:rPr>
          <w:rFonts w:ascii="Tahoma" w:eastAsia="Times New Roman" w:hAnsi="Tahoma" w:cs="Tahoma"/>
          <w:color w:val="232333"/>
          <w:sz w:val="24"/>
          <w:szCs w:val="24"/>
        </w:rPr>
        <w:t>l’Agence</w:t>
      </w:r>
      <w:r w:rsidRPr="002462E6">
        <w:rPr>
          <w:rFonts w:ascii="Tahoma" w:eastAsia="Times New Roman" w:hAnsi="Tahoma" w:cs="Tahoma"/>
          <w:color w:val="232333"/>
          <w:spacing w:val="-6"/>
          <w:sz w:val="24"/>
          <w:szCs w:val="24"/>
        </w:rPr>
        <w:t xml:space="preserve"> </w:t>
      </w:r>
      <w:r w:rsidRPr="002462E6">
        <w:rPr>
          <w:rFonts w:ascii="Tahoma" w:eastAsia="Times New Roman" w:hAnsi="Tahoma" w:cs="Tahoma"/>
          <w:color w:val="232333"/>
          <w:sz w:val="24"/>
          <w:szCs w:val="24"/>
        </w:rPr>
        <w:t>Nationale</w:t>
      </w:r>
      <w:r w:rsidRPr="002462E6">
        <w:rPr>
          <w:rFonts w:ascii="Tahoma" w:eastAsia="Times New Roman" w:hAnsi="Tahoma" w:cs="Tahoma"/>
          <w:color w:val="232333"/>
          <w:spacing w:val="-6"/>
          <w:sz w:val="24"/>
          <w:szCs w:val="24"/>
        </w:rPr>
        <w:t xml:space="preserve"> </w:t>
      </w:r>
      <w:r w:rsidRPr="002462E6">
        <w:rPr>
          <w:rFonts w:ascii="Tahoma" w:eastAsia="Times New Roman" w:hAnsi="Tahoma" w:cs="Tahoma"/>
          <w:color w:val="232333"/>
          <w:sz w:val="24"/>
          <w:szCs w:val="24"/>
        </w:rPr>
        <w:t>des</w:t>
      </w:r>
      <w:r w:rsidRPr="002462E6">
        <w:rPr>
          <w:rFonts w:ascii="Tahoma" w:eastAsia="Times New Roman" w:hAnsi="Tahoma" w:cs="Tahoma"/>
          <w:color w:val="232333"/>
          <w:spacing w:val="-6"/>
          <w:sz w:val="24"/>
          <w:szCs w:val="24"/>
        </w:rPr>
        <w:t xml:space="preserve"> </w:t>
      </w:r>
      <w:r w:rsidRPr="002462E6">
        <w:rPr>
          <w:rFonts w:ascii="Tahoma" w:eastAsia="Times New Roman" w:hAnsi="Tahoma" w:cs="Tahoma"/>
          <w:color w:val="232333"/>
          <w:sz w:val="24"/>
          <w:szCs w:val="24"/>
        </w:rPr>
        <w:t>Eaux</w:t>
      </w:r>
      <w:r w:rsidRPr="002462E6">
        <w:rPr>
          <w:rFonts w:ascii="Tahoma" w:eastAsia="Times New Roman" w:hAnsi="Tahoma" w:cs="Tahoma"/>
          <w:color w:val="232333"/>
          <w:spacing w:val="-5"/>
          <w:sz w:val="24"/>
          <w:szCs w:val="24"/>
        </w:rPr>
        <w:t xml:space="preserve"> </w:t>
      </w:r>
      <w:r w:rsidRPr="002462E6">
        <w:rPr>
          <w:rFonts w:ascii="Tahoma" w:eastAsia="Times New Roman" w:hAnsi="Tahoma" w:cs="Tahoma"/>
          <w:color w:val="232333"/>
          <w:sz w:val="24"/>
          <w:szCs w:val="24"/>
        </w:rPr>
        <w:t>et</w:t>
      </w:r>
      <w:r w:rsidRPr="002462E6">
        <w:rPr>
          <w:rFonts w:ascii="Tahoma" w:eastAsia="Times New Roman" w:hAnsi="Tahoma" w:cs="Tahoma"/>
          <w:color w:val="232333"/>
          <w:spacing w:val="-5"/>
          <w:sz w:val="24"/>
          <w:szCs w:val="24"/>
        </w:rPr>
        <w:t xml:space="preserve"> </w:t>
      </w:r>
      <w:r w:rsidRPr="002462E6">
        <w:rPr>
          <w:rFonts w:ascii="Tahoma" w:eastAsia="Times New Roman" w:hAnsi="Tahoma" w:cs="Tahoma"/>
          <w:color w:val="232333"/>
          <w:sz w:val="24"/>
          <w:szCs w:val="24"/>
        </w:rPr>
        <w:t>Forêts</w:t>
      </w:r>
      <w:r w:rsidRPr="002462E6">
        <w:rPr>
          <w:rFonts w:ascii="Tahoma" w:eastAsia="Times New Roman" w:hAnsi="Tahoma" w:cs="Tahoma"/>
          <w:color w:val="232333"/>
          <w:spacing w:val="-8"/>
          <w:sz w:val="24"/>
          <w:szCs w:val="24"/>
        </w:rPr>
        <w:t xml:space="preserve"> </w:t>
      </w:r>
      <w:r w:rsidRPr="002462E6">
        <w:rPr>
          <w:rFonts w:ascii="Tahoma" w:eastAsia="Times New Roman" w:hAnsi="Tahoma" w:cs="Tahoma"/>
          <w:color w:val="232333"/>
          <w:sz w:val="24"/>
          <w:szCs w:val="24"/>
        </w:rPr>
        <w:t>est</w:t>
      </w:r>
      <w:r w:rsidRPr="002462E6">
        <w:rPr>
          <w:rFonts w:ascii="Tahoma" w:eastAsia="Times New Roman" w:hAnsi="Tahoma" w:cs="Tahoma"/>
          <w:color w:val="232333"/>
          <w:spacing w:val="-5"/>
          <w:sz w:val="24"/>
          <w:szCs w:val="24"/>
        </w:rPr>
        <w:t xml:space="preserve"> </w:t>
      </w:r>
      <w:r w:rsidRPr="002462E6">
        <w:rPr>
          <w:rFonts w:ascii="Tahoma" w:eastAsia="Times New Roman" w:hAnsi="Tahoma" w:cs="Tahoma"/>
          <w:color w:val="232333"/>
          <w:sz w:val="24"/>
          <w:szCs w:val="24"/>
        </w:rPr>
        <w:t>un</w:t>
      </w:r>
      <w:r w:rsidRPr="002462E6">
        <w:rPr>
          <w:rFonts w:ascii="Tahoma" w:eastAsia="Times New Roman" w:hAnsi="Tahoma" w:cs="Tahoma"/>
          <w:color w:val="232333"/>
          <w:spacing w:val="-6"/>
          <w:sz w:val="24"/>
          <w:szCs w:val="24"/>
        </w:rPr>
        <w:t xml:space="preserve"> </w:t>
      </w:r>
      <w:r w:rsidRPr="002462E6">
        <w:rPr>
          <w:rFonts w:ascii="Tahoma" w:eastAsia="Times New Roman" w:hAnsi="Tahoma" w:cs="Tahoma"/>
          <w:color w:val="232333"/>
          <w:sz w:val="24"/>
          <w:szCs w:val="24"/>
        </w:rPr>
        <w:t>établissement</w:t>
      </w:r>
      <w:r w:rsidRPr="002462E6">
        <w:rPr>
          <w:rFonts w:ascii="Tahoma" w:eastAsia="Times New Roman" w:hAnsi="Tahoma" w:cs="Tahoma"/>
          <w:color w:val="232333"/>
          <w:spacing w:val="-5"/>
          <w:sz w:val="24"/>
          <w:szCs w:val="24"/>
        </w:rPr>
        <w:t xml:space="preserve"> </w:t>
      </w:r>
      <w:r w:rsidRPr="002462E6">
        <w:rPr>
          <w:rFonts w:ascii="Tahoma" w:eastAsia="Times New Roman" w:hAnsi="Tahoma" w:cs="Tahoma"/>
          <w:color w:val="232333"/>
          <w:sz w:val="24"/>
          <w:szCs w:val="24"/>
        </w:rPr>
        <w:t>public,</w:t>
      </w:r>
      <w:r w:rsidRPr="002462E6">
        <w:rPr>
          <w:rFonts w:ascii="Tahoma" w:eastAsia="Times New Roman" w:hAnsi="Tahoma" w:cs="Tahoma"/>
          <w:color w:val="232333"/>
          <w:spacing w:val="-6"/>
          <w:sz w:val="24"/>
          <w:szCs w:val="24"/>
        </w:rPr>
        <w:t xml:space="preserve"> </w:t>
      </w:r>
      <w:r w:rsidRPr="002462E6">
        <w:rPr>
          <w:rFonts w:ascii="Tahoma" w:eastAsia="Times New Roman" w:hAnsi="Tahoma" w:cs="Tahoma"/>
          <w:color w:val="232333"/>
          <w:sz w:val="24"/>
          <w:szCs w:val="24"/>
        </w:rPr>
        <w:t>doté</w:t>
      </w:r>
      <w:r w:rsidRPr="002462E6">
        <w:rPr>
          <w:rFonts w:ascii="Tahoma" w:eastAsia="Times New Roman" w:hAnsi="Tahoma" w:cs="Tahoma"/>
          <w:color w:val="232333"/>
          <w:spacing w:val="-6"/>
          <w:sz w:val="24"/>
          <w:szCs w:val="24"/>
        </w:rPr>
        <w:t xml:space="preserve"> </w:t>
      </w:r>
      <w:r w:rsidRPr="002462E6">
        <w:rPr>
          <w:rFonts w:ascii="Tahoma" w:eastAsia="Times New Roman" w:hAnsi="Tahoma" w:cs="Tahoma"/>
          <w:color w:val="232333"/>
          <w:sz w:val="24"/>
          <w:szCs w:val="24"/>
        </w:rPr>
        <w:t>d’un</w:t>
      </w:r>
      <w:r w:rsidRPr="002462E6">
        <w:rPr>
          <w:rFonts w:ascii="Tahoma" w:eastAsia="Times New Roman" w:hAnsi="Tahoma" w:cs="Tahoma"/>
          <w:color w:val="232333"/>
          <w:spacing w:val="-57"/>
          <w:sz w:val="24"/>
          <w:szCs w:val="24"/>
        </w:rPr>
        <w:t xml:space="preserve"> </w:t>
      </w:r>
      <w:r w:rsidRPr="002462E6">
        <w:rPr>
          <w:rFonts w:ascii="Tahoma" w:eastAsia="Times New Roman" w:hAnsi="Tahoma" w:cs="Tahoma"/>
          <w:color w:val="232333"/>
          <w:sz w:val="24"/>
          <w:szCs w:val="24"/>
        </w:rPr>
        <w:t xml:space="preserve">conseil d’administration et d’un directeur général </w:t>
      </w:r>
      <w:r w:rsidRPr="002462E6">
        <w:rPr>
          <w:rFonts w:ascii="Tahoma" w:eastAsia="Times New Roman" w:hAnsi="Tahoma" w:cs="Tahoma"/>
          <w:b/>
          <w:bCs/>
          <w:color w:val="232333"/>
          <w:sz w:val="24"/>
          <w:szCs w:val="24"/>
        </w:rPr>
        <w:t xml:space="preserve">(Figure </w:t>
      </w:r>
      <w:r w:rsidRPr="002462E6">
        <w:rPr>
          <w:rFonts w:ascii="Tahoma" w:eastAsia="Times New Roman" w:hAnsi="Tahoma" w:cs="Tahoma"/>
          <w:b/>
          <w:bCs/>
          <w:color w:val="000000"/>
          <w:sz w:val="24"/>
          <w:szCs w:val="24"/>
        </w:rPr>
        <w:t>N°</w:t>
      </w:r>
      <w:r w:rsidR="008553E3" w:rsidRPr="002462E6">
        <w:rPr>
          <w:rFonts w:ascii="Tahoma" w:eastAsia="Times New Roman" w:hAnsi="Tahoma" w:cs="Tahoma"/>
          <w:b/>
          <w:bCs/>
          <w:color w:val="000000"/>
          <w:sz w:val="24"/>
          <w:szCs w:val="24"/>
        </w:rPr>
        <w:t>6</w:t>
      </w:r>
      <w:r w:rsidRPr="002462E6">
        <w:rPr>
          <w:rFonts w:ascii="Tahoma" w:eastAsia="Times New Roman" w:hAnsi="Tahoma" w:cs="Tahoma"/>
          <w:b/>
          <w:bCs/>
          <w:color w:val="232333"/>
          <w:sz w:val="24"/>
          <w:szCs w:val="24"/>
        </w:rPr>
        <w:t>).</w:t>
      </w:r>
      <w:r w:rsidRPr="002462E6">
        <w:rPr>
          <w:rFonts w:ascii="Tahoma" w:eastAsia="Times New Roman" w:hAnsi="Tahoma" w:cs="Tahoma"/>
          <w:color w:val="232333"/>
          <w:sz w:val="24"/>
          <w:szCs w:val="24"/>
        </w:rPr>
        <w:t xml:space="preserve"> Elle prend en charge la mise en œuvre des</w:t>
      </w:r>
      <w:r w:rsidRPr="002462E6">
        <w:rPr>
          <w:rFonts w:ascii="Tahoma" w:eastAsia="Times New Roman" w:hAnsi="Tahoma" w:cs="Tahoma"/>
          <w:color w:val="232333"/>
          <w:spacing w:val="1"/>
          <w:sz w:val="24"/>
          <w:szCs w:val="24"/>
        </w:rPr>
        <w:t xml:space="preserve"> </w:t>
      </w:r>
      <w:r w:rsidRPr="002462E6">
        <w:rPr>
          <w:rFonts w:ascii="Tahoma" w:eastAsia="Times New Roman" w:hAnsi="Tahoma" w:cs="Tahoma"/>
          <w:color w:val="232333"/>
          <w:sz w:val="24"/>
          <w:szCs w:val="24"/>
        </w:rPr>
        <w:t>orientations</w:t>
      </w:r>
      <w:r w:rsidRPr="002462E6">
        <w:rPr>
          <w:rFonts w:ascii="Tahoma" w:eastAsia="Times New Roman" w:hAnsi="Tahoma" w:cs="Tahoma"/>
          <w:color w:val="232333"/>
          <w:spacing w:val="1"/>
          <w:sz w:val="24"/>
          <w:szCs w:val="24"/>
        </w:rPr>
        <w:t xml:space="preserve"> </w:t>
      </w:r>
      <w:r w:rsidRPr="002462E6">
        <w:rPr>
          <w:rFonts w:ascii="Tahoma" w:eastAsia="Times New Roman" w:hAnsi="Tahoma" w:cs="Tahoma"/>
          <w:color w:val="232333"/>
          <w:sz w:val="24"/>
          <w:szCs w:val="24"/>
        </w:rPr>
        <w:t>stratégiques</w:t>
      </w:r>
      <w:r w:rsidRPr="002462E6">
        <w:rPr>
          <w:rFonts w:ascii="Tahoma" w:eastAsia="Times New Roman" w:hAnsi="Tahoma" w:cs="Tahoma"/>
          <w:color w:val="232333"/>
          <w:spacing w:val="1"/>
          <w:sz w:val="24"/>
          <w:szCs w:val="24"/>
        </w:rPr>
        <w:t xml:space="preserve"> </w:t>
      </w:r>
      <w:r w:rsidRPr="002462E6">
        <w:rPr>
          <w:rFonts w:ascii="Tahoma" w:eastAsia="Times New Roman" w:hAnsi="Tahoma" w:cs="Tahoma"/>
          <w:color w:val="232333"/>
          <w:sz w:val="24"/>
          <w:szCs w:val="24"/>
        </w:rPr>
        <w:t>de</w:t>
      </w:r>
      <w:r w:rsidRPr="002462E6">
        <w:rPr>
          <w:rFonts w:ascii="Tahoma" w:eastAsia="Times New Roman" w:hAnsi="Tahoma" w:cs="Tahoma"/>
          <w:color w:val="232333"/>
          <w:spacing w:val="1"/>
          <w:sz w:val="24"/>
          <w:szCs w:val="24"/>
        </w:rPr>
        <w:t xml:space="preserve"> </w:t>
      </w:r>
      <w:r w:rsidRPr="002462E6">
        <w:rPr>
          <w:rFonts w:ascii="Tahoma" w:eastAsia="Times New Roman" w:hAnsi="Tahoma" w:cs="Tahoma"/>
          <w:color w:val="232333"/>
          <w:sz w:val="24"/>
          <w:szCs w:val="24"/>
        </w:rPr>
        <w:t>la</w:t>
      </w:r>
      <w:r w:rsidRPr="002462E6">
        <w:rPr>
          <w:rFonts w:ascii="Tahoma" w:eastAsia="Times New Roman" w:hAnsi="Tahoma" w:cs="Tahoma"/>
          <w:color w:val="232333"/>
          <w:spacing w:val="1"/>
          <w:sz w:val="24"/>
          <w:szCs w:val="24"/>
        </w:rPr>
        <w:t xml:space="preserve"> </w:t>
      </w:r>
      <w:r w:rsidRPr="002462E6">
        <w:rPr>
          <w:rFonts w:ascii="Tahoma" w:eastAsia="Times New Roman" w:hAnsi="Tahoma" w:cs="Tahoma"/>
          <w:color w:val="232333"/>
          <w:sz w:val="24"/>
          <w:szCs w:val="24"/>
        </w:rPr>
        <w:t>politique</w:t>
      </w:r>
      <w:r w:rsidRPr="002462E6">
        <w:rPr>
          <w:rFonts w:ascii="Tahoma" w:eastAsia="Times New Roman" w:hAnsi="Tahoma" w:cs="Tahoma"/>
          <w:color w:val="232333"/>
          <w:spacing w:val="1"/>
          <w:sz w:val="24"/>
          <w:szCs w:val="24"/>
        </w:rPr>
        <w:t xml:space="preserve"> </w:t>
      </w:r>
      <w:r w:rsidRPr="002462E6">
        <w:rPr>
          <w:rFonts w:ascii="Tahoma" w:eastAsia="Times New Roman" w:hAnsi="Tahoma" w:cs="Tahoma"/>
          <w:color w:val="232333"/>
          <w:sz w:val="24"/>
          <w:szCs w:val="24"/>
        </w:rPr>
        <w:t>de</w:t>
      </w:r>
      <w:r w:rsidRPr="002462E6">
        <w:rPr>
          <w:rFonts w:ascii="Tahoma" w:eastAsia="Times New Roman" w:hAnsi="Tahoma" w:cs="Tahoma"/>
          <w:color w:val="232333"/>
          <w:spacing w:val="1"/>
          <w:sz w:val="24"/>
          <w:szCs w:val="24"/>
        </w:rPr>
        <w:t xml:space="preserve"> </w:t>
      </w:r>
      <w:r w:rsidRPr="002462E6">
        <w:rPr>
          <w:rFonts w:ascii="Tahoma" w:eastAsia="Times New Roman" w:hAnsi="Tahoma" w:cs="Tahoma"/>
          <w:color w:val="232333"/>
          <w:sz w:val="24"/>
          <w:szCs w:val="24"/>
        </w:rPr>
        <w:t>l’Etat</w:t>
      </w:r>
      <w:r w:rsidRPr="002462E6">
        <w:rPr>
          <w:rFonts w:ascii="Tahoma" w:eastAsia="Times New Roman" w:hAnsi="Tahoma" w:cs="Tahoma"/>
          <w:color w:val="232333"/>
          <w:spacing w:val="1"/>
          <w:sz w:val="24"/>
          <w:szCs w:val="24"/>
        </w:rPr>
        <w:t xml:space="preserve"> </w:t>
      </w:r>
      <w:r w:rsidRPr="002462E6">
        <w:rPr>
          <w:rFonts w:ascii="Tahoma" w:eastAsia="Times New Roman" w:hAnsi="Tahoma" w:cs="Tahoma"/>
          <w:color w:val="232333"/>
          <w:sz w:val="24"/>
          <w:szCs w:val="24"/>
        </w:rPr>
        <w:t>dans</w:t>
      </w:r>
      <w:r w:rsidRPr="002462E6">
        <w:rPr>
          <w:rFonts w:ascii="Tahoma" w:eastAsia="Times New Roman" w:hAnsi="Tahoma" w:cs="Tahoma"/>
          <w:color w:val="232333"/>
          <w:spacing w:val="1"/>
          <w:sz w:val="24"/>
          <w:szCs w:val="24"/>
        </w:rPr>
        <w:t xml:space="preserve"> </w:t>
      </w:r>
      <w:r w:rsidRPr="002462E6">
        <w:rPr>
          <w:rFonts w:ascii="Tahoma" w:eastAsia="Times New Roman" w:hAnsi="Tahoma" w:cs="Tahoma"/>
          <w:color w:val="232333"/>
          <w:sz w:val="24"/>
          <w:szCs w:val="24"/>
        </w:rPr>
        <w:t>les</w:t>
      </w:r>
      <w:r w:rsidRPr="002462E6">
        <w:rPr>
          <w:rFonts w:ascii="Tahoma" w:eastAsia="Times New Roman" w:hAnsi="Tahoma" w:cs="Tahoma"/>
          <w:color w:val="232333"/>
          <w:spacing w:val="1"/>
          <w:sz w:val="24"/>
          <w:szCs w:val="24"/>
        </w:rPr>
        <w:t xml:space="preserve"> </w:t>
      </w:r>
      <w:r w:rsidRPr="002462E6">
        <w:rPr>
          <w:rFonts w:ascii="Tahoma" w:eastAsia="Times New Roman" w:hAnsi="Tahoma" w:cs="Tahoma"/>
          <w:color w:val="232333"/>
          <w:sz w:val="24"/>
          <w:szCs w:val="24"/>
        </w:rPr>
        <w:t>domaines</w:t>
      </w:r>
      <w:r w:rsidRPr="002462E6">
        <w:rPr>
          <w:rFonts w:ascii="Tahoma" w:eastAsia="Times New Roman" w:hAnsi="Tahoma" w:cs="Tahoma"/>
          <w:color w:val="232333"/>
          <w:spacing w:val="1"/>
          <w:sz w:val="24"/>
          <w:szCs w:val="24"/>
        </w:rPr>
        <w:t xml:space="preserve"> </w:t>
      </w:r>
      <w:r w:rsidRPr="002462E6">
        <w:rPr>
          <w:rFonts w:ascii="Tahoma" w:eastAsia="Times New Roman" w:hAnsi="Tahoma" w:cs="Tahoma"/>
          <w:color w:val="232333"/>
          <w:sz w:val="24"/>
          <w:szCs w:val="24"/>
        </w:rPr>
        <w:t>de</w:t>
      </w:r>
      <w:r w:rsidRPr="002462E6">
        <w:rPr>
          <w:rFonts w:ascii="Tahoma" w:eastAsia="Times New Roman" w:hAnsi="Tahoma" w:cs="Tahoma"/>
          <w:color w:val="232333"/>
          <w:spacing w:val="1"/>
          <w:sz w:val="24"/>
          <w:szCs w:val="24"/>
        </w:rPr>
        <w:t xml:space="preserve"> </w:t>
      </w:r>
      <w:r w:rsidRPr="002462E6">
        <w:rPr>
          <w:rFonts w:ascii="Tahoma" w:eastAsia="Times New Roman" w:hAnsi="Tahoma" w:cs="Tahoma"/>
          <w:color w:val="232333"/>
          <w:sz w:val="24"/>
          <w:szCs w:val="24"/>
        </w:rPr>
        <w:t>protection,</w:t>
      </w:r>
      <w:r w:rsidRPr="002462E6">
        <w:rPr>
          <w:rFonts w:ascii="Tahoma" w:eastAsia="Times New Roman" w:hAnsi="Tahoma" w:cs="Tahoma"/>
          <w:color w:val="232333"/>
          <w:spacing w:val="1"/>
          <w:sz w:val="24"/>
          <w:szCs w:val="24"/>
        </w:rPr>
        <w:t xml:space="preserve"> </w:t>
      </w:r>
      <w:r w:rsidRPr="002462E6">
        <w:rPr>
          <w:rFonts w:ascii="Tahoma" w:eastAsia="Times New Roman" w:hAnsi="Tahoma" w:cs="Tahoma"/>
          <w:color w:val="232333"/>
          <w:sz w:val="24"/>
          <w:szCs w:val="24"/>
        </w:rPr>
        <w:t>de</w:t>
      </w:r>
      <w:r w:rsidRPr="002462E6">
        <w:rPr>
          <w:rFonts w:ascii="Tahoma" w:eastAsia="Times New Roman" w:hAnsi="Tahoma" w:cs="Tahoma"/>
          <w:color w:val="232333"/>
          <w:spacing w:val="1"/>
          <w:sz w:val="24"/>
          <w:szCs w:val="24"/>
        </w:rPr>
        <w:t xml:space="preserve"> </w:t>
      </w:r>
      <w:r w:rsidRPr="002462E6">
        <w:rPr>
          <w:rFonts w:ascii="Tahoma" w:eastAsia="Times New Roman" w:hAnsi="Tahoma" w:cs="Tahoma"/>
          <w:color w:val="232333"/>
          <w:sz w:val="24"/>
          <w:szCs w:val="24"/>
        </w:rPr>
        <w:t>la</w:t>
      </w:r>
      <w:r w:rsidRPr="002462E6">
        <w:rPr>
          <w:rFonts w:ascii="Tahoma" w:eastAsia="Times New Roman" w:hAnsi="Tahoma" w:cs="Tahoma"/>
          <w:color w:val="232333"/>
          <w:spacing w:val="1"/>
          <w:sz w:val="24"/>
          <w:szCs w:val="24"/>
        </w:rPr>
        <w:t xml:space="preserve"> </w:t>
      </w:r>
      <w:r w:rsidRPr="002462E6">
        <w:rPr>
          <w:rFonts w:ascii="Tahoma" w:eastAsia="Times New Roman" w:hAnsi="Tahoma" w:cs="Tahoma"/>
          <w:color w:val="232333"/>
          <w:sz w:val="24"/>
          <w:szCs w:val="24"/>
        </w:rPr>
        <w:t>conservation, de la mise en valeur, du développement durable du patrimoine national forestier et</w:t>
      </w:r>
      <w:r w:rsidRPr="002462E6">
        <w:rPr>
          <w:rFonts w:ascii="Tahoma" w:eastAsia="Times New Roman" w:hAnsi="Tahoma" w:cs="Tahoma"/>
          <w:color w:val="232333"/>
          <w:spacing w:val="1"/>
          <w:sz w:val="24"/>
          <w:szCs w:val="24"/>
        </w:rPr>
        <w:t xml:space="preserve"> </w:t>
      </w:r>
      <w:r w:rsidRPr="002462E6">
        <w:rPr>
          <w:rFonts w:ascii="Tahoma" w:eastAsia="Times New Roman" w:hAnsi="Tahoma" w:cs="Tahoma"/>
          <w:color w:val="232333"/>
          <w:sz w:val="24"/>
          <w:szCs w:val="24"/>
        </w:rPr>
        <w:t>de</w:t>
      </w:r>
      <w:r w:rsidRPr="002462E6">
        <w:rPr>
          <w:rFonts w:ascii="Tahoma" w:eastAsia="Times New Roman" w:hAnsi="Tahoma" w:cs="Tahoma"/>
          <w:color w:val="232333"/>
          <w:spacing w:val="-1"/>
          <w:sz w:val="24"/>
          <w:szCs w:val="24"/>
        </w:rPr>
        <w:t xml:space="preserve"> </w:t>
      </w:r>
      <w:r w:rsidRPr="002462E6">
        <w:rPr>
          <w:rFonts w:ascii="Tahoma" w:eastAsia="Times New Roman" w:hAnsi="Tahoma" w:cs="Tahoma"/>
          <w:color w:val="232333"/>
          <w:sz w:val="24"/>
          <w:szCs w:val="24"/>
        </w:rPr>
        <w:t>ses ressources.</w:t>
      </w:r>
    </w:p>
    <w:p w:rsidR="005E58D4" w:rsidRDefault="000A7532" w:rsidP="005E58D4">
      <w:pPr>
        <w:widowControl w:val="0"/>
        <w:autoSpaceDE w:val="0"/>
        <w:autoSpaceDN w:val="0"/>
        <w:spacing w:after="0" w:line="360" w:lineRule="auto"/>
        <w:ind w:right="4"/>
        <w:jc w:val="both"/>
        <w:rPr>
          <w:rFonts w:ascii="Tahoma" w:eastAsia="Times New Roman" w:hAnsi="Tahoma" w:cs="Tahoma"/>
          <w:color w:val="232333"/>
          <w:sz w:val="24"/>
          <w:szCs w:val="24"/>
        </w:rPr>
      </w:pPr>
      <w:r w:rsidRPr="002462E6">
        <w:rPr>
          <w:rFonts w:ascii="Tahoma" w:eastAsia="Times New Roman" w:hAnsi="Tahoma" w:cs="Tahoma"/>
          <w:color w:val="232333"/>
          <w:sz w:val="24"/>
          <w:szCs w:val="24"/>
        </w:rPr>
        <w:t>Cette nouvelle orientation semble s’inspirer d’un benchmark international au niveau de plusieurs</w:t>
      </w:r>
      <w:r w:rsidRPr="002462E6">
        <w:rPr>
          <w:rFonts w:ascii="Tahoma" w:eastAsia="Times New Roman" w:hAnsi="Tahoma" w:cs="Tahoma"/>
          <w:color w:val="232333"/>
          <w:spacing w:val="1"/>
          <w:sz w:val="24"/>
          <w:szCs w:val="24"/>
        </w:rPr>
        <w:t xml:space="preserve"> </w:t>
      </w:r>
      <w:r w:rsidRPr="002462E6">
        <w:rPr>
          <w:rFonts w:ascii="Tahoma" w:eastAsia="Times New Roman" w:hAnsi="Tahoma" w:cs="Tahoma"/>
          <w:color w:val="232333"/>
          <w:sz w:val="24"/>
          <w:szCs w:val="24"/>
        </w:rPr>
        <w:t>pays</w:t>
      </w:r>
      <w:r w:rsidRPr="002462E6">
        <w:rPr>
          <w:rFonts w:ascii="Tahoma" w:eastAsia="Times New Roman" w:hAnsi="Tahoma" w:cs="Tahoma"/>
          <w:color w:val="232333"/>
          <w:spacing w:val="-5"/>
          <w:sz w:val="24"/>
          <w:szCs w:val="24"/>
        </w:rPr>
        <w:t xml:space="preserve"> </w:t>
      </w:r>
      <w:r w:rsidRPr="002462E6">
        <w:rPr>
          <w:rFonts w:ascii="Tahoma" w:eastAsia="Times New Roman" w:hAnsi="Tahoma" w:cs="Tahoma"/>
          <w:color w:val="232333"/>
          <w:sz w:val="24"/>
          <w:szCs w:val="24"/>
        </w:rPr>
        <w:t>ayant</w:t>
      </w:r>
      <w:r w:rsidRPr="002462E6">
        <w:rPr>
          <w:rFonts w:ascii="Tahoma" w:eastAsia="Times New Roman" w:hAnsi="Tahoma" w:cs="Tahoma"/>
          <w:color w:val="232333"/>
          <w:spacing w:val="-4"/>
          <w:sz w:val="24"/>
          <w:szCs w:val="24"/>
        </w:rPr>
        <w:t xml:space="preserve"> </w:t>
      </w:r>
      <w:r w:rsidRPr="002462E6">
        <w:rPr>
          <w:rFonts w:ascii="Tahoma" w:eastAsia="Times New Roman" w:hAnsi="Tahoma" w:cs="Tahoma"/>
          <w:color w:val="232333"/>
          <w:sz w:val="24"/>
          <w:szCs w:val="24"/>
        </w:rPr>
        <w:t>adopté</w:t>
      </w:r>
      <w:r w:rsidRPr="002462E6">
        <w:rPr>
          <w:rFonts w:ascii="Tahoma" w:eastAsia="Times New Roman" w:hAnsi="Tahoma" w:cs="Tahoma"/>
          <w:color w:val="232333"/>
          <w:spacing w:val="-3"/>
          <w:sz w:val="24"/>
          <w:szCs w:val="24"/>
        </w:rPr>
        <w:t xml:space="preserve"> </w:t>
      </w:r>
      <w:r w:rsidRPr="002462E6">
        <w:rPr>
          <w:rFonts w:ascii="Tahoma" w:eastAsia="Times New Roman" w:hAnsi="Tahoma" w:cs="Tahoma"/>
          <w:color w:val="232333"/>
          <w:sz w:val="24"/>
          <w:szCs w:val="24"/>
        </w:rPr>
        <w:t>une</w:t>
      </w:r>
      <w:r w:rsidRPr="002462E6">
        <w:rPr>
          <w:rFonts w:ascii="Tahoma" w:eastAsia="Times New Roman" w:hAnsi="Tahoma" w:cs="Tahoma"/>
          <w:color w:val="232333"/>
          <w:spacing w:val="-5"/>
          <w:sz w:val="24"/>
          <w:szCs w:val="24"/>
        </w:rPr>
        <w:t xml:space="preserve"> </w:t>
      </w:r>
      <w:r w:rsidRPr="002462E6">
        <w:rPr>
          <w:rFonts w:ascii="Tahoma" w:eastAsia="Times New Roman" w:hAnsi="Tahoma" w:cs="Tahoma"/>
          <w:color w:val="232333"/>
          <w:sz w:val="24"/>
          <w:szCs w:val="24"/>
        </w:rPr>
        <w:t>gestion</w:t>
      </w:r>
      <w:r w:rsidRPr="002462E6">
        <w:rPr>
          <w:rFonts w:ascii="Tahoma" w:eastAsia="Times New Roman" w:hAnsi="Tahoma" w:cs="Tahoma"/>
          <w:color w:val="232333"/>
          <w:spacing w:val="-4"/>
          <w:sz w:val="24"/>
          <w:szCs w:val="24"/>
        </w:rPr>
        <w:t xml:space="preserve"> </w:t>
      </w:r>
      <w:r w:rsidRPr="002462E6">
        <w:rPr>
          <w:rFonts w:ascii="Tahoma" w:eastAsia="Times New Roman" w:hAnsi="Tahoma" w:cs="Tahoma"/>
          <w:color w:val="232333"/>
          <w:sz w:val="24"/>
          <w:szCs w:val="24"/>
        </w:rPr>
        <w:t>forestière</w:t>
      </w:r>
      <w:r w:rsidRPr="002462E6">
        <w:rPr>
          <w:rFonts w:ascii="Tahoma" w:eastAsia="Times New Roman" w:hAnsi="Tahoma" w:cs="Tahoma"/>
          <w:color w:val="232333"/>
          <w:spacing w:val="-5"/>
          <w:sz w:val="24"/>
          <w:szCs w:val="24"/>
        </w:rPr>
        <w:t xml:space="preserve"> </w:t>
      </w:r>
      <w:r w:rsidRPr="002462E6">
        <w:rPr>
          <w:rFonts w:ascii="Tahoma" w:eastAsia="Times New Roman" w:hAnsi="Tahoma" w:cs="Tahoma"/>
          <w:color w:val="232333"/>
          <w:sz w:val="24"/>
          <w:szCs w:val="24"/>
        </w:rPr>
        <w:t>moderne</w:t>
      </w:r>
      <w:r w:rsidRPr="002462E6">
        <w:rPr>
          <w:rFonts w:ascii="Tahoma" w:eastAsia="Times New Roman" w:hAnsi="Tahoma" w:cs="Tahoma"/>
          <w:color w:val="232333"/>
          <w:spacing w:val="-5"/>
          <w:sz w:val="24"/>
          <w:szCs w:val="24"/>
        </w:rPr>
        <w:t xml:space="preserve"> </w:t>
      </w:r>
      <w:r w:rsidRPr="002462E6">
        <w:rPr>
          <w:rFonts w:ascii="Tahoma" w:eastAsia="Times New Roman" w:hAnsi="Tahoma" w:cs="Tahoma"/>
          <w:color w:val="232333"/>
          <w:sz w:val="24"/>
          <w:szCs w:val="24"/>
        </w:rPr>
        <w:t>et</w:t>
      </w:r>
      <w:r w:rsidRPr="002462E6">
        <w:rPr>
          <w:rFonts w:ascii="Tahoma" w:eastAsia="Times New Roman" w:hAnsi="Tahoma" w:cs="Tahoma"/>
          <w:color w:val="232333"/>
          <w:spacing w:val="-3"/>
          <w:sz w:val="24"/>
          <w:szCs w:val="24"/>
        </w:rPr>
        <w:t xml:space="preserve"> </w:t>
      </w:r>
      <w:r w:rsidRPr="002462E6">
        <w:rPr>
          <w:rFonts w:ascii="Tahoma" w:eastAsia="Times New Roman" w:hAnsi="Tahoma" w:cs="Tahoma"/>
          <w:color w:val="232333"/>
          <w:sz w:val="24"/>
          <w:szCs w:val="24"/>
        </w:rPr>
        <w:t>dynamique.</w:t>
      </w:r>
      <w:r w:rsidRPr="002462E6">
        <w:rPr>
          <w:rFonts w:ascii="Tahoma" w:eastAsia="Times New Roman" w:hAnsi="Tahoma" w:cs="Tahoma"/>
          <w:color w:val="232333"/>
          <w:spacing w:val="-4"/>
          <w:sz w:val="24"/>
          <w:szCs w:val="24"/>
        </w:rPr>
        <w:t xml:space="preserve"> </w:t>
      </w:r>
      <w:r w:rsidRPr="002462E6">
        <w:rPr>
          <w:rFonts w:ascii="Tahoma" w:eastAsia="Times New Roman" w:hAnsi="Tahoma" w:cs="Tahoma"/>
          <w:color w:val="232333"/>
          <w:sz w:val="24"/>
          <w:szCs w:val="24"/>
        </w:rPr>
        <w:t>De</w:t>
      </w:r>
      <w:r w:rsidRPr="002462E6">
        <w:rPr>
          <w:rFonts w:ascii="Tahoma" w:eastAsia="Times New Roman" w:hAnsi="Tahoma" w:cs="Tahoma"/>
          <w:color w:val="232333"/>
          <w:spacing w:val="-4"/>
          <w:sz w:val="24"/>
          <w:szCs w:val="24"/>
        </w:rPr>
        <w:t xml:space="preserve"> </w:t>
      </w:r>
      <w:r w:rsidRPr="002462E6">
        <w:rPr>
          <w:rFonts w:ascii="Tahoma" w:eastAsia="Times New Roman" w:hAnsi="Tahoma" w:cs="Tahoma"/>
          <w:color w:val="232333"/>
          <w:sz w:val="24"/>
          <w:szCs w:val="24"/>
        </w:rPr>
        <w:t>ce</w:t>
      </w:r>
      <w:r w:rsidRPr="002462E6">
        <w:rPr>
          <w:rFonts w:ascii="Tahoma" w:eastAsia="Times New Roman" w:hAnsi="Tahoma" w:cs="Tahoma"/>
          <w:color w:val="232333"/>
          <w:spacing w:val="-5"/>
          <w:sz w:val="24"/>
          <w:szCs w:val="24"/>
        </w:rPr>
        <w:t xml:space="preserve"> </w:t>
      </w:r>
      <w:r w:rsidRPr="002462E6">
        <w:rPr>
          <w:rFonts w:ascii="Tahoma" w:eastAsia="Times New Roman" w:hAnsi="Tahoma" w:cs="Tahoma"/>
          <w:color w:val="232333"/>
          <w:sz w:val="24"/>
          <w:szCs w:val="24"/>
        </w:rPr>
        <w:t>fait,</w:t>
      </w:r>
      <w:r w:rsidRPr="002462E6">
        <w:rPr>
          <w:rFonts w:ascii="Tahoma" w:eastAsia="Times New Roman" w:hAnsi="Tahoma" w:cs="Tahoma"/>
          <w:color w:val="232333"/>
          <w:spacing w:val="-5"/>
          <w:sz w:val="24"/>
          <w:szCs w:val="24"/>
        </w:rPr>
        <w:t xml:space="preserve"> </w:t>
      </w:r>
      <w:r w:rsidRPr="002462E6">
        <w:rPr>
          <w:rFonts w:ascii="Tahoma" w:eastAsia="Times New Roman" w:hAnsi="Tahoma" w:cs="Tahoma"/>
          <w:color w:val="232333"/>
          <w:sz w:val="24"/>
          <w:szCs w:val="24"/>
        </w:rPr>
        <w:t>la</w:t>
      </w:r>
      <w:r w:rsidRPr="002462E6">
        <w:rPr>
          <w:rFonts w:ascii="Tahoma" w:eastAsia="Times New Roman" w:hAnsi="Tahoma" w:cs="Tahoma"/>
          <w:color w:val="232333"/>
          <w:spacing w:val="-1"/>
          <w:sz w:val="24"/>
          <w:szCs w:val="24"/>
        </w:rPr>
        <w:t xml:space="preserve"> </w:t>
      </w:r>
      <w:r w:rsidRPr="002462E6">
        <w:rPr>
          <w:rFonts w:ascii="Tahoma" w:eastAsia="Times New Roman" w:hAnsi="Tahoma" w:cs="Tahoma"/>
          <w:color w:val="232333"/>
          <w:sz w:val="24"/>
          <w:szCs w:val="24"/>
          <w:vertAlign w:val="superscript"/>
        </w:rPr>
        <w:t>«</w:t>
      </w:r>
      <w:r w:rsidRPr="002462E6">
        <w:rPr>
          <w:rFonts w:ascii="Tahoma" w:eastAsia="Times New Roman" w:hAnsi="Tahoma" w:cs="Tahoma"/>
          <w:color w:val="232333"/>
          <w:spacing w:val="-3"/>
          <w:sz w:val="24"/>
          <w:szCs w:val="24"/>
        </w:rPr>
        <w:t xml:space="preserve"> </w:t>
      </w:r>
      <w:r w:rsidRPr="002462E6">
        <w:rPr>
          <w:rFonts w:ascii="Tahoma" w:eastAsia="Times New Roman" w:hAnsi="Tahoma" w:cs="Tahoma"/>
          <w:color w:val="232333"/>
          <w:sz w:val="24"/>
          <w:szCs w:val="24"/>
        </w:rPr>
        <w:t>Stratégie</w:t>
      </w:r>
      <w:r w:rsidRPr="002462E6">
        <w:rPr>
          <w:rFonts w:ascii="Tahoma" w:eastAsia="Times New Roman" w:hAnsi="Tahoma" w:cs="Tahoma"/>
          <w:color w:val="232333"/>
          <w:spacing w:val="-4"/>
          <w:sz w:val="24"/>
          <w:szCs w:val="24"/>
        </w:rPr>
        <w:t xml:space="preserve"> </w:t>
      </w:r>
      <w:r w:rsidRPr="002462E6">
        <w:rPr>
          <w:rFonts w:ascii="Tahoma" w:eastAsia="Times New Roman" w:hAnsi="Tahoma" w:cs="Tahoma"/>
          <w:color w:val="232333"/>
          <w:sz w:val="24"/>
          <w:szCs w:val="24"/>
        </w:rPr>
        <w:t>Forêts</w:t>
      </w:r>
      <w:r w:rsidRPr="002462E6">
        <w:rPr>
          <w:rFonts w:ascii="Tahoma" w:eastAsia="Times New Roman" w:hAnsi="Tahoma" w:cs="Tahoma"/>
          <w:color w:val="232333"/>
          <w:spacing w:val="-5"/>
          <w:sz w:val="24"/>
          <w:szCs w:val="24"/>
        </w:rPr>
        <w:t xml:space="preserve"> </w:t>
      </w:r>
      <w:r w:rsidRPr="002462E6">
        <w:rPr>
          <w:rFonts w:ascii="Tahoma" w:eastAsia="Times New Roman" w:hAnsi="Tahoma" w:cs="Tahoma"/>
          <w:color w:val="232333"/>
          <w:sz w:val="24"/>
          <w:szCs w:val="24"/>
        </w:rPr>
        <w:t>du</w:t>
      </w:r>
      <w:r w:rsidRPr="002462E6">
        <w:rPr>
          <w:rFonts w:ascii="Tahoma" w:eastAsia="Times New Roman" w:hAnsi="Tahoma" w:cs="Tahoma"/>
          <w:color w:val="232333"/>
          <w:spacing w:val="-58"/>
          <w:sz w:val="24"/>
          <w:szCs w:val="24"/>
        </w:rPr>
        <w:t xml:space="preserve"> </w:t>
      </w:r>
      <w:r w:rsidRPr="002462E6">
        <w:rPr>
          <w:rFonts w:ascii="Tahoma" w:eastAsia="Times New Roman" w:hAnsi="Tahoma" w:cs="Tahoma"/>
          <w:color w:val="232333"/>
          <w:spacing w:val="-1"/>
          <w:sz w:val="24"/>
          <w:szCs w:val="24"/>
        </w:rPr>
        <w:t xml:space="preserve">Maroc 2020-2030 </w:t>
      </w:r>
      <w:r w:rsidRPr="002462E6">
        <w:rPr>
          <w:rFonts w:ascii="Tahoma" w:eastAsia="Times New Roman" w:hAnsi="Tahoma" w:cs="Tahoma"/>
          <w:color w:val="232333"/>
          <w:sz w:val="24"/>
          <w:szCs w:val="24"/>
          <w:vertAlign w:val="superscript"/>
        </w:rPr>
        <w:t>»</w:t>
      </w:r>
      <w:r w:rsidRPr="002462E6">
        <w:rPr>
          <w:rFonts w:ascii="Tahoma" w:eastAsia="Times New Roman" w:hAnsi="Tahoma" w:cs="Tahoma"/>
          <w:color w:val="232333"/>
          <w:sz w:val="24"/>
          <w:szCs w:val="24"/>
        </w:rPr>
        <w:t xml:space="preserve"> a pour objectif de faire des forêts, un espace de</w:t>
      </w:r>
      <w:r w:rsidRPr="002462E6">
        <w:rPr>
          <w:rFonts w:ascii="Times New Roman" w:eastAsia="Times New Roman" w:hAnsi="Times New Roman" w:cs="Times New Roman"/>
          <w:color w:val="232333"/>
          <w:sz w:val="24"/>
          <w:szCs w:val="24"/>
        </w:rPr>
        <w:t xml:space="preserve"> </w:t>
      </w:r>
      <w:r w:rsidRPr="002462E6">
        <w:rPr>
          <w:rFonts w:ascii="Tahoma" w:eastAsia="Times New Roman" w:hAnsi="Tahoma" w:cs="Tahoma"/>
          <w:color w:val="232333"/>
          <w:sz w:val="24"/>
          <w:szCs w:val="24"/>
        </w:rPr>
        <w:t>développement, d’assurer une</w:t>
      </w:r>
      <w:r w:rsidRPr="002462E6">
        <w:rPr>
          <w:rFonts w:ascii="Tahoma" w:eastAsia="Times New Roman" w:hAnsi="Tahoma" w:cs="Tahoma"/>
          <w:color w:val="232333"/>
          <w:spacing w:val="-57"/>
          <w:sz w:val="24"/>
          <w:szCs w:val="24"/>
        </w:rPr>
        <w:t xml:space="preserve"> </w:t>
      </w:r>
      <w:r w:rsidRPr="002462E6">
        <w:rPr>
          <w:rFonts w:ascii="Tahoma" w:eastAsia="Times New Roman" w:hAnsi="Tahoma" w:cs="Tahoma"/>
          <w:color w:val="232333"/>
          <w:sz w:val="24"/>
          <w:szCs w:val="24"/>
        </w:rPr>
        <w:t xml:space="preserve">gestion durable des ressources forestières, d’adopter une </w:t>
      </w:r>
      <w:r w:rsidRPr="002462E6">
        <w:rPr>
          <w:rFonts w:ascii="Tahoma" w:eastAsia="Times New Roman" w:hAnsi="Tahoma" w:cs="Tahoma"/>
          <w:color w:val="232333"/>
          <w:sz w:val="24"/>
          <w:szCs w:val="24"/>
        </w:rPr>
        <w:lastRenderedPageBreak/>
        <w:t>approche participative associant les</w:t>
      </w:r>
      <w:r w:rsidRPr="002462E6">
        <w:rPr>
          <w:rFonts w:ascii="Tahoma" w:eastAsia="Times New Roman" w:hAnsi="Tahoma" w:cs="Tahoma"/>
          <w:color w:val="232333"/>
          <w:spacing w:val="1"/>
          <w:sz w:val="24"/>
          <w:szCs w:val="24"/>
        </w:rPr>
        <w:t xml:space="preserve"> </w:t>
      </w:r>
      <w:r w:rsidRPr="002462E6">
        <w:rPr>
          <w:rFonts w:ascii="Tahoma" w:eastAsia="Times New Roman" w:hAnsi="Tahoma" w:cs="Tahoma"/>
          <w:color w:val="232333"/>
          <w:sz w:val="24"/>
          <w:szCs w:val="24"/>
        </w:rPr>
        <w:t>usagers,</w:t>
      </w:r>
      <w:r w:rsidRPr="002462E6">
        <w:rPr>
          <w:rFonts w:ascii="Tahoma" w:eastAsia="Times New Roman" w:hAnsi="Tahoma" w:cs="Tahoma"/>
          <w:color w:val="232333"/>
          <w:spacing w:val="-1"/>
          <w:sz w:val="24"/>
          <w:szCs w:val="24"/>
        </w:rPr>
        <w:t xml:space="preserve"> </w:t>
      </w:r>
      <w:r w:rsidRPr="002462E6">
        <w:rPr>
          <w:rFonts w:ascii="Tahoma" w:eastAsia="Times New Roman" w:hAnsi="Tahoma" w:cs="Tahoma"/>
          <w:color w:val="232333"/>
          <w:sz w:val="24"/>
          <w:szCs w:val="24"/>
        </w:rPr>
        <w:t>de</w:t>
      </w:r>
      <w:r w:rsidRPr="002462E6">
        <w:rPr>
          <w:rFonts w:ascii="Tahoma" w:eastAsia="Times New Roman" w:hAnsi="Tahoma" w:cs="Tahoma"/>
          <w:color w:val="232333"/>
          <w:spacing w:val="-1"/>
          <w:sz w:val="24"/>
          <w:szCs w:val="24"/>
        </w:rPr>
        <w:t xml:space="preserve"> </w:t>
      </w:r>
      <w:r w:rsidRPr="002462E6">
        <w:rPr>
          <w:rFonts w:ascii="Tahoma" w:eastAsia="Times New Roman" w:hAnsi="Tahoma" w:cs="Tahoma"/>
          <w:color w:val="232333"/>
          <w:sz w:val="24"/>
          <w:szCs w:val="24"/>
        </w:rPr>
        <w:t>renforcer les</w:t>
      </w:r>
      <w:r w:rsidRPr="002462E6">
        <w:rPr>
          <w:rFonts w:ascii="Tahoma" w:eastAsia="Times New Roman" w:hAnsi="Tahoma" w:cs="Tahoma"/>
          <w:color w:val="232333"/>
          <w:spacing w:val="-3"/>
          <w:sz w:val="24"/>
          <w:szCs w:val="24"/>
        </w:rPr>
        <w:t xml:space="preserve"> </w:t>
      </w:r>
      <w:r w:rsidRPr="002462E6">
        <w:rPr>
          <w:rFonts w:ascii="Tahoma" w:eastAsia="Times New Roman" w:hAnsi="Tahoma" w:cs="Tahoma"/>
          <w:color w:val="232333"/>
          <w:sz w:val="24"/>
          <w:szCs w:val="24"/>
        </w:rPr>
        <w:t>capacités de</w:t>
      </w:r>
      <w:r w:rsidRPr="002462E6">
        <w:rPr>
          <w:rFonts w:ascii="Tahoma" w:eastAsia="Times New Roman" w:hAnsi="Tahoma" w:cs="Tahoma"/>
          <w:color w:val="232333"/>
          <w:spacing w:val="-1"/>
          <w:sz w:val="24"/>
          <w:szCs w:val="24"/>
        </w:rPr>
        <w:t xml:space="preserve"> </w:t>
      </w:r>
      <w:r w:rsidRPr="002462E6">
        <w:rPr>
          <w:rFonts w:ascii="Tahoma" w:eastAsia="Times New Roman" w:hAnsi="Tahoma" w:cs="Tahoma"/>
          <w:color w:val="232333"/>
          <w:sz w:val="24"/>
          <w:szCs w:val="24"/>
        </w:rPr>
        <w:t>production</w:t>
      </w:r>
      <w:r w:rsidRPr="002462E6">
        <w:rPr>
          <w:rFonts w:ascii="Tahoma" w:eastAsia="Times New Roman" w:hAnsi="Tahoma" w:cs="Tahoma"/>
          <w:color w:val="232333"/>
          <w:spacing w:val="-1"/>
          <w:sz w:val="24"/>
          <w:szCs w:val="24"/>
        </w:rPr>
        <w:t xml:space="preserve"> </w:t>
      </w:r>
      <w:r w:rsidRPr="002462E6">
        <w:rPr>
          <w:rFonts w:ascii="Tahoma" w:eastAsia="Times New Roman" w:hAnsi="Tahoma" w:cs="Tahoma"/>
          <w:color w:val="232333"/>
          <w:sz w:val="24"/>
          <w:szCs w:val="24"/>
        </w:rPr>
        <w:t>des forêts et</w:t>
      </w:r>
      <w:r w:rsidRPr="002462E6">
        <w:rPr>
          <w:rFonts w:ascii="Tahoma" w:eastAsia="Times New Roman" w:hAnsi="Tahoma" w:cs="Tahoma"/>
          <w:color w:val="232333"/>
          <w:spacing w:val="-1"/>
          <w:sz w:val="24"/>
          <w:szCs w:val="24"/>
        </w:rPr>
        <w:t xml:space="preserve"> </w:t>
      </w:r>
      <w:r w:rsidRPr="002462E6">
        <w:rPr>
          <w:rFonts w:ascii="Tahoma" w:eastAsia="Times New Roman" w:hAnsi="Tahoma" w:cs="Tahoma"/>
          <w:color w:val="232333"/>
          <w:sz w:val="24"/>
          <w:szCs w:val="24"/>
        </w:rPr>
        <w:t>de préserver</w:t>
      </w:r>
      <w:r w:rsidRPr="002462E6">
        <w:rPr>
          <w:rFonts w:ascii="Tahoma" w:eastAsia="Times New Roman" w:hAnsi="Tahoma" w:cs="Tahoma"/>
          <w:color w:val="232333"/>
          <w:spacing w:val="-1"/>
          <w:sz w:val="24"/>
          <w:szCs w:val="24"/>
        </w:rPr>
        <w:t xml:space="preserve"> </w:t>
      </w:r>
      <w:r w:rsidRPr="002462E6">
        <w:rPr>
          <w:rFonts w:ascii="Tahoma" w:eastAsia="Times New Roman" w:hAnsi="Tahoma" w:cs="Tahoma"/>
          <w:color w:val="232333"/>
          <w:sz w:val="24"/>
          <w:szCs w:val="24"/>
        </w:rPr>
        <w:t>la biodiversité</w:t>
      </w:r>
      <w:r w:rsidRPr="002462E6">
        <w:rPr>
          <w:rFonts w:ascii="Tahoma" w:eastAsia="Times New Roman" w:hAnsi="Tahoma" w:cs="Tahoma"/>
          <w:color w:val="232333"/>
          <w:sz w:val="24"/>
          <w:szCs w:val="24"/>
          <w:vertAlign w:val="superscript"/>
        </w:rPr>
        <w:footnoteReference w:id="209"/>
      </w:r>
      <w:r w:rsidR="00E73E86" w:rsidRPr="002462E6">
        <w:rPr>
          <w:rFonts w:ascii="Tahoma" w:eastAsia="Times New Roman" w:hAnsi="Tahoma" w:cs="Tahoma"/>
          <w:color w:val="232333"/>
          <w:sz w:val="24"/>
          <w:szCs w:val="24"/>
        </w:rPr>
        <w:t>.</w:t>
      </w:r>
    </w:p>
    <w:p w:rsidR="005E58D4" w:rsidRPr="005E58D4" w:rsidRDefault="005E58D4" w:rsidP="005E58D4">
      <w:pPr>
        <w:widowControl w:val="0"/>
        <w:autoSpaceDE w:val="0"/>
        <w:autoSpaceDN w:val="0"/>
        <w:spacing w:after="0" w:line="360" w:lineRule="auto"/>
        <w:ind w:right="4"/>
        <w:jc w:val="both"/>
        <w:rPr>
          <w:rFonts w:ascii="Tahoma" w:eastAsia="Times New Roman" w:hAnsi="Tahoma" w:cs="Tahoma"/>
          <w:color w:val="232333"/>
          <w:sz w:val="12"/>
          <w:szCs w:val="12"/>
        </w:rPr>
      </w:pPr>
    </w:p>
    <w:p w:rsidR="000A7532" w:rsidRPr="002462E6" w:rsidRDefault="00C72C2A" w:rsidP="000D57A1">
      <w:pPr>
        <w:pStyle w:val="Sous-titre"/>
        <w:rPr>
          <w:color w:val="232333"/>
        </w:rPr>
      </w:pPr>
      <w:bookmarkStart w:id="160" w:name="_Toc185696924"/>
      <w:bookmarkStart w:id="161" w:name="_Toc201571200"/>
      <w:bookmarkStart w:id="162" w:name="_Toc203642798"/>
      <w:r w:rsidRPr="002462E6">
        <w:rPr>
          <w:noProof/>
          <w:lang w:eastAsia="fr-FR"/>
        </w:rPr>
        <w:drawing>
          <wp:anchor distT="0" distB="0" distL="114300" distR="114300" simplePos="0" relativeHeight="251666432" behindDoc="1" locked="0" layoutInCell="1" allowOverlap="1" wp14:anchorId="49A4AD38" wp14:editId="4D960CB1">
            <wp:simplePos x="0" y="0"/>
            <wp:positionH relativeFrom="column">
              <wp:posOffset>-148590</wp:posOffset>
            </wp:positionH>
            <wp:positionV relativeFrom="paragraph">
              <wp:posOffset>303530</wp:posOffset>
            </wp:positionV>
            <wp:extent cx="6069330" cy="4145915"/>
            <wp:effectExtent l="0" t="0" r="7620" b="6985"/>
            <wp:wrapTight wrapText="bothSides">
              <wp:wrapPolygon edited="0">
                <wp:start x="0" y="0"/>
                <wp:lineTo x="0" y="21537"/>
                <wp:lineTo x="21559" y="21537"/>
                <wp:lineTo x="21559" y="0"/>
                <wp:lineTo x="0" y="0"/>
              </wp:wrapPolygon>
            </wp:wrapTight>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extLst>
                        <a:ext uri="{BEBA8EAE-BF5A-486C-A8C5-ECC9F3942E4B}">
                          <a14:imgProps xmlns:a14="http://schemas.microsoft.com/office/drawing/2010/main">
                            <a14:imgLayer r:embed="rId18">
                              <a14:imgEffect>
                                <a14:saturation sat="200000"/>
                              </a14:imgEffect>
                            </a14:imgLayer>
                          </a14:imgProps>
                        </a:ext>
                        <a:ext uri="{28A0092B-C50C-407E-A947-70E740481C1C}">
                          <a14:useLocalDpi xmlns:a14="http://schemas.microsoft.com/office/drawing/2010/main" val="0"/>
                        </a:ext>
                      </a:extLst>
                    </a:blip>
                    <a:srcRect l="9467" t="3901" r="5998" b="8784"/>
                    <a:stretch/>
                  </pic:blipFill>
                  <pic:spPr bwMode="auto">
                    <a:xfrm>
                      <a:off x="0" y="0"/>
                      <a:ext cx="6069330" cy="414591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A7532" w:rsidRPr="002462E6">
        <w:t xml:space="preserve">Figure </w:t>
      </w:r>
      <w:r w:rsidR="00225ED1">
        <w:rPr>
          <w:noProof/>
        </w:rPr>
        <w:fldChar w:fldCharType="begin"/>
      </w:r>
      <w:r w:rsidR="00225ED1">
        <w:rPr>
          <w:noProof/>
        </w:rPr>
        <w:instrText xml:space="preserve"> SEQ Figure \* ARABIC </w:instrText>
      </w:r>
      <w:r w:rsidR="00225ED1">
        <w:rPr>
          <w:noProof/>
        </w:rPr>
        <w:fldChar w:fldCharType="separate"/>
      </w:r>
      <w:r w:rsidR="00124AFB">
        <w:rPr>
          <w:noProof/>
        </w:rPr>
        <w:t>6</w:t>
      </w:r>
      <w:r w:rsidR="00225ED1">
        <w:rPr>
          <w:noProof/>
        </w:rPr>
        <w:fldChar w:fldCharType="end"/>
      </w:r>
      <w:r w:rsidR="00246834" w:rsidRPr="002462E6">
        <w:t> :</w:t>
      </w:r>
      <w:r w:rsidR="000A7532" w:rsidRPr="002462E6">
        <w:t xml:space="preserve"> Organigramme administratif de l'ANEF</w:t>
      </w:r>
      <w:bookmarkEnd w:id="160"/>
      <w:bookmarkEnd w:id="161"/>
      <w:bookmarkEnd w:id="162"/>
    </w:p>
    <w:p w:rsidR="009D1D90" w:rsidRDefault="009D1D90" w:rsidP="009D1D90">
      <w:pPr>
        <w:widowControl w:val="0"/>
        <w:autoSpaceDE w:val="0"/>
        <w:autoSpaceDN w:val="0"/>
        <w:spacing w:after="0" w:line="360" w:lineRule="auto"/>
        <w:ind w:left="2832" w:right="4" w:firstLine="708"/>
        <w:rPr>
          <w:rFonts w:ascii="Tahoma" w:eastAsia="Times New Roman" w:hAnsi="Tahoma" w:cs="Tahoma"/>
          <w:color w:val="232333"/>
          <w:sz w:val="20"/>
          <w:szCs w:val="20"/>
        </w:rPr>
      </w:pPr>
      <w:r w:rsidRPr="002462E6">
        <w:rPr>
          <w:rFonts w:ascii="Tahoma" w:eastAsia="Times New Roman" w:hAnsi="Tahoma" w:cs="Tahoma"/>
          <w:b/>
          <w:bCs/>
          <w:color w:val="232333"/>
          <w:sz w:val="20"/>
          <w:szCs w:val="20"/>
        </w:rPr>
        <w:t>Source :</w:t>
      </w:r>
      <w:r w:rsidRPr="002462E6">
        <w:rPr>
          <w:rFonts w:ascii="Tahoma" w:eastAsia="Times New Roman" w:hAnsi="Tahoma" w:cs="Tahoma"/>
          <w:color w:val="232333"/>
          <w:sz w:val="20"/>
          <w:szCs w:val="20"/>
        </w:rPr>
        <w:t xml:space="preserve"> ANEF 2024</w:t>
      </w:r>
      <w:r w:rsidRPr="002462E6">
        <w:rPr>
          <w:rFonts w:ascii="Tahoma" w:eastAsia="Times New Roman" w:hAnsi="Tahoma" w:cs="Tahoma"/>
          <w:color w:val="232333"/>
          <w:sz w:val="20"/>
          <w:szCs w:val="20"/>
          <w:vertAlign w:val="superscript"/>
        </w:rPr>
        <w:footnoteReference w:id="210"/>
      </w:r>
    </w:p>
    <w:p w:rsidR="005E58D4" w:rsidRPr="002462E6" w:rsidRDefault="005E58D4" w:rsidP="009D1D90">
      <w:pPr>
        <w:widowControl w:val="0"/>
        <w:autoSpaceDE w:val="0"/>
        <w:autoSpaceDN w:val="0"/>
        <w:spacing w:after="0" w:line="360" w:lineRule="auto"/>
        <w:ind w:left="2832" w:right="4" w:firstLine="708"/>
        <w:rPr>
          <w:rFonts w:ascii="Tahoma" w:eastAsia="Times New Roman" w:hAnsi="Tahoma" w:cs="Tahoma"/>
          <w:color w:val="232333"/>
          <w:sz w:val="20"/>
          <w:szCs w:val="20"/>
        </w:rPr>
      </w:pPr>
    </w:p>
    <w:p w:rsidR="000A7532" w:rsidRPr="002462E6" w:rsidRDefault="000A7532" w:rsidP="000A7532">
      <w:pPr>
        <w:widowControl w:val="0"/>
        <w:autoSpaceDE w:val="0"/>
        <w:autoSpaceDN w:val="0"/>
        <w:spacing w:after="0" w:line="360" w:lineRule="auto"/>
        <w:ind w:right="4"/>
        <w:jc w:val="both"/>
        <w:rPr>
          <w:rFonts w:ascii="Tahoma" w:eastAsia="Times New Roman" w:hAnsi="Tahoma" w:cs="Tahoma"/>
          <w:color w:val="232333"/>
          <w:sz w:val="24"/>
          <w:szCs w:val="24"/>
        </w:rPr>
      </w:pPr>
      <w:r w:rsidRPr="002462E6">
        <w:rPr>
          <w:rFonts w:ascii="Tahoma" w:eastAsia="Times New Roman" w:hAnsi="Tahoma" w:cs="Tahoma"/>
          <w:color w:val="232333"/>
          <w:sz w:val="24"/>
          <w:szCs w:val="24"/>
        </w:rPr>
        <w:t xml:space="preserve">De ce qui précède, il parait que chaque phase a apporté son lot de réformes institutionnelles et d'initiatives pour faire face aux enjeux spécifiques de l'époque, traduisant la volonté de préserver et de valoriser les richesses forestières du pays. </w:t>
      </w:r>
    </w:p>
    <w:p w:rsidR="000A7532" w:rsidRPr="002462E6" w:rsidRDefault="000A7532" w:rsidP="000A7532">
      <w:pPr>
        <w:widowControl w:val="0"/>
        <w:autoSpaceDE w:val="0"/>
        <w:autoSpaceDN w:val="0"/>
        <w:spacing w:after="0" w:line="240" w:lineRule="auto"/>
        <w:ind w:right="4"/>
        <w:rPr>
          <w:rFonts w:ascii="Tahoma" w:eastAsia="Times New Roman" w:hAnsi="Tahoma" w:cs="Tahoma"/>
          <w:sz w:val="26"/>
          <w:szCs w:val="24"/>
        </w:rPr>
      </w:pPr>
    </w:p>
    <w:p w:rsidR="000A7532" w:rsidRPr="002462E6" w:rsidRDefault="000A7532" w:rsidP="00CC1EAA">
      <w:pPr>
        <w:widowControl w:val="0"/>
        <w:autoSpaceDE w:val="0"/>
        <w:autoSpaceDN w:val="0"/>
        <w:spacing w:before="1" w:after="0" w:line="360" w:lineRule="auto"/>
        <w:ind w:right="4"/>
        <w:jc w:val="both"/>
        <w:rPr>
          <w:rFonts w:ascii="Tahoma" w:eastAsia="Times New Roman" w:hAnsi="Tahoma" w:cs="Tahoma"/>
          <w:sz w:val="24"/>
          <w:szCs w:val="24"/>
        </w:rPr>
      </w:pPr>
      <w:r w:rsidRPr="002462E6">
        <w:rPr>
          <w:rFonts w:ascii="Tahoma" w:eastAsia="Times New Roman" w:hAnsi="Tahoma" w:cs="Tahoma"/>
          <w:sz w:val="24"/>
          <w:szCs w:val="24"/>
        </w:rPr>
        <w:t>Après avoir abordé l'aspect institutionnel du secteur forestier, il est crucial de s’interroger sur la manière dont les ressources humaines</w:t>
      </w:r>
      <w:r w:rsidR="00CC1EAA">
        <w:rPr>
          <w:rFonts w:ascii="Tahoma" w:eastAsia="Times New Roman" w:hAnsi="Tahoma" w:cs="Tahoma"/>
          <w:sz w:val="24"/>
          <w:szCs w:val="24"/>
        </w:rPr>
        <w:t xml:space="preserve"> ont accompagné cette évolution.</w:t>
      </w:r>
    </w:p>
    <w:p w:rsidR="000A7532" w:rsidRPr="002462E6" w:rsidRDefault="000A7532" w:rsidP="000A7532">
      <w:pPr>
        <w:widowControl w:val="0"/>
        <w:autoSpaceDE w:val="0"/>
        <w:autoSpaceDN w:val="0"/>
        <w:spacing w:after="0" w:line="240" w:lineRule="auto"/>
        <w:rPr>
          <w:rFonts w:ascii="Times New Roman" w:eastAsia="Times New Roman" w:hAnsi="Times New Roman" w:cs="Times New Roman"/>
          <w:sz w:val="24"/>
          <w:szCs w:val="24"/>
        </w:rPr>
      </w:pPr>
    </w:p>
    <w:p w:rsidR="000A7532" w:rsidRPr="002462E6" w:rsidRDefault="002676C3" w:rsidP="007E399B">
      <w:pPr>
        <w:pStyle w:val="Titre4"/>
      </w:pPr>
      <w:bookmarkStart w:id="163" w:name="_bookmark63"/>
      <w:bookmarkStart w:id="164" w:name="_Toc177835104"/>
      <w:bookmarkStart w:id="165" w:name="_Toc186533816"/>
      <w:bookmarkStart w:id="166" w:name="_Toc201570894"/>
      <w:bookmarkStart w:id="167" w:name="_Toc201655471"/>
      <w:bookmarkEnd w:id="163"/>
      <w:r w:rsidRPr="002462E6">
        <w:t xml:space="preserve"> </w:t>
      </w:r>
      <w:r w:rsidR="000A7532" w:rsidRPr="002462E6">
        <w:rPr>
          <w:spacing w:val="-2"/>
        </w:rPr>
        <w:t xml:space="preserve"> </w:t>
      </w:r>
      <w:bookmarkStart w:id="168" w:name="_Toc203643025"/>
      <w:r w:rsidR="000A7532" w:rsidRPr="002462E6">
        <w:t>Evolution</w:t>
      </w:r>
      <w:r w:rsidR="000A7532" w:rsidRPr="002462E6">
        <w:rPr>
          <w:spacing w:val="-3"/>
        </w:rPr>
        <w:t xml:space="preserve"> </w:t>
      </w:r>
      <w:r w:rsidR="000A7532" w:rsidRPr="002462E6">
        <w:t>des</w:t>
      </w:r>
      <w:r w:rsidR="000A7532" w:rsidRPr="002462E6">
        <w:rPr>
          <w:spacing w:val="-2"/>
        </w:rPr>
        <w:t xml:space="preserve"> </w:t>
      </w:r>
      <w:r w:rsidR="000A7532" w:rsidRPr="002462E6">
        <w:t>ressources</w:t>
      </w:r>
      <w:r w:rsidR="000A7532" w:rsidRPr="002462E6">
        <w:rPr>
          <w:spacing w:val="-3"/>
        </w:rPr>
        <w:t xml:space="preserve"> </w:t>
      </w:r>
      <w:r w:rsidR="000A7532" w:rsidRPr="002462E6">
        <w:t>humaines</w:t>
      </w:r>
      <w:r w:rsidR="000A7532" w:rsidRPr="002462E6">
        <w:rPr>
          <w:spacing w:val="-2"/>
        </w:rPr>
        <w:t xml:space="preserve"> </w:t>
      </w:r>
      <w:r w:rsidR="000A7532" w:rsidRPr="002462E6">
        <w:t>et</w:t>
      </w:r>
      <w:r w:rsidR="000A7532" w:rsidRPr="002462E6">
        <w:rPr>
          <w:spacing w:val="-3"/>
        </w:rPr>
        <w:t xml:space="preserve"> </w:t>
      </w:r>
      <w:r w:rsidR="000A7532" w:rsidRPr="002462E6">
        <w:t>création</w:t>
      </w:r>
      <w:r w:rsidR="000A7532" w:rsidRPr="002462E6">
        <w:rPr>
          <w:spacing w:val="-3"/>
        </w:rPr>
        <w:t xml:space="preserve"> </w:t>
      </w:r>
      <w:r w:rsidR="000A7532" w:rsidRPr="002462E6">
        <w:t>de</w:t>
      </w:r>
      <w:r w:rsidR="000A7532" w:rsidRPr="002462E6">
        <w:rPr>
          <w:spacing w:val="-2"/>
        </w:rPr>
        <w:t xml:space="preserve"> </w:t>
      </w:r>
      <w:r w:rsidR="000A7532" w:rsidRPr="002462E6">
        <w:t>l’ENFI</w:t>
      </w:r>
      <w:bookmarkEnd w:id="164"/>
      <w:bookmarkEnd w:id="165"/>
      <w:bookmarkEnd w:id="166"/>
      <w:bookmarkEnd w:id="167"/>
      <w:bookmarkEnd w:id="168"/>
      <w:r w:rsidR="000A7532" w:rsidRPr="002462E6">
        <w:t xml:space="preserve"> </w:t>
      </w:r>
    </w:p>
    <w:p w:rsidR="000A7532" w:rsidRPr="002462E6" w:rsidRDefault="000A7532" w:rsidP="000A7532">
      <w:pPr>
        <w:widowControl w:val="0"/>
        <w:autoSpaceDE w:val="0"/>
        <w:autoSpaceDN w:val="0"/>
        <w:spacing w:after="0" w:line="240" w:lineRule="auto"/>
        <w:ind w:left="995"/>
        <w:jc w:val="right"/>
        <w:outlineLvl w:val="4"/>
        <w:rPr>
          <w:rFonts w:ascii="Times New Roman" w:eastAsia="Times New Roman" w:hAnsi="Times New Roman" w:cs="Times New Roman"/>
          <w:b/>
          <w:bCs/>
          <w:i/>
          <w:iCs/>
          <w:sz w:val="24"/>
          <w:szCs w:val="24"/>
        </w:rPr>
      </w:pPr>
    </w:p>
    <w:p w:rsidR="000A7532" w:rsidRPr="002462E6" w:rsidRDefault="000A7532" w:rsidP="000A7532">
      <w:pPr>
        <w:widowControl w:val="0"/>
        <w:autoSpaceDE w:val="0"/>
        <w:autoSpaceDN w:val="0"/>
        <w:spacing w:after="0" w:line="360" w:lineRule="auto"/>
        <w:jc w:val="both"/>
        <w:rPr>
          <w:rFonts w:ascii="Tahoma" w:eastAsia="Times New Roman" w:hAnsi="Tahoma" w:cs="Tahoma"/>
          <w:sz w:val="24"/>
          <w:szCs w:val="24"/>
        </w:rPr>
      </w:pPr>
      <w:r w:rsidRPr="002462E6">
        <w:rPr>
          <w:rFonts w:ascii="Tahoma" w:eastAsia="Times New Roman" w:hAnsi="Tahoma" w:cs="Tahoma"/>
          <w:sz w:val="24"/>
          <w:szCs w:val="24"/>
        </w:rPr>
        <w:t>Les ressources matérielles constituent un élément fondamental pour le bon fonctionnement de toute institution, quelle que soit sa taille ou son domaine d’activité. Néanmoins, ce sont les ressources humaines qui jouent un rôle central dans la performance organisationnelle, influençant de manière décisive la réussite ou l’échec dans l’atteinte des objectifs stratégiques. Comme l’affirmait Jean Bodin au XVIe siècle : « Il n'est de richesse que d'hommes. » Cette assertion demeure particulièrement pertinente dans le contexte actuel, où l’expérience montre qu’une organisation disposant d’un personnel compétent et qualifié, associé à une gestion optimisée visant à attribuer chaque fonction aux individus les plus aptes, peut prospérer, même en présence de ressources matérielles limitées</w:t>
      </w:r>
      <w:r w:rsidRPr="002462E6">
        <w:rPr>
          <w:rFonts w:ascii="Tahoma" w:eastAsia="Times New Roman" w:hAnsi="Tahoma" w:cs="Tahoma"/>
          <w:sz w:val="24"/>
          <w:szCs w:val="24"/>
          <w:vertAlign w:val="superscript"/>
        </w:rPr>
        <w:footnoteReference w:id="211"/>
      </w:r>
      <w:r w:rsidRPr="002462E6">
        <w:rPr>
          <w:rFonts w:ascii="Tahoma" w:eastAsia="Times New Roman" w:hAnsi="Tahoma" w:cs="Tahoma"/>
          <w:sz w:val="24"/>
          <w:szCs w:val="24"/>
        </w:rPr>
        <w:t>.</w:t>
      </w:r>
    </w:p>
    <w:p w:rsidR="00BC004F" w:rsidRPr="002462E6" w:rsidRDefault="000A7532" w:rsidP="007A7265">
      <w:pPr>
        <w:widowControl w:val="0"/>
        <w:autoSpaceDE w:val="0"/>
        <w:autoSpaceDN w:val="0"/>
        <w:spacing w:before="160" w:after="0" w:line="360" w:lineRule="auto"/>
        <w:ind w:right="4"/>
        <w:jc w:val="both"/>
        <w:rPr>
          <w:rFonts w:ascii="Tahoma" w:eastAsia="Times New Roman" w:hAnsi="Tahoma" w:cs="Tahoma"/>
          <w:sz w:val="24"/>
          <w:szCs w:val="24"/>
        </w:rPr>
      </w:pPr>
      <w:r w:rsidRPr="002462E6">
        <w:rPr>
          <w:rFonts w:ascii="Tahoma" w:eastAsia="Times New Roman" w:hAnsi="Tahoma" w:cs="Tahoma"/>
          <w:sz w:val="24"/>
          <w:szCs w:val="24"/>
        </w:rPr>
        <w:t>Dans cette perspective, il convient d’examiner le cas spécifique des ressources humaines du service forestier marocain, fondé en 1913. Dans quelle mesure les pratiques de certains gestionnaires forestiers influencent-elles la dégradation des forêts au Maroc ? Une analyse approfondie de cette question permettrait d’éclairer les liens entre gouvernance forestière, exploitation des ressources et durabilité environnementale.</w:t>
      </w:r>
    </w:p>
    <w:p w:rsidR="00BA6530" w:rsidRDefault="00BA6530">
      <w:pPr>
        <w:rPr>
          <w:rFonts w:ascii="Tahoma" w:eastAsia="Times New Roman" w:hAnsi="Tahoma" w:cs="Times New Roman"/>
          <w:b/>
          <w:bCs/>
          <w:iCs/>
          <w:sz w:val="24"/>
          <w:szCs w:val="24"/>
          <w:lang w:eastAsia="fr-FR"/>
        </w:rPr>
      </w:pPr>
      <w:bookmarkStart w:id="169" w:name="_Toc201655472"/>
      <w:bookmarkStart w:id="170" w:name="_Toc186533817"/>
      <w:r>
        <w:br w:type="page"/>
      </w:r>
    </w:p>
    <w:p w:rsidR="000A7532" w:rsidRPr="002462E6" w:rsidRDefault="008553E3" w:rsidP="00D051D7">
      <w:pPr>
        <w:pStyle w:val="Titre5"/>
        <w:numPr>
          <w:ilvl w:val="0"/>
          <w:numId w:val="82"/>
        </w:numPr>
      </w:pPr>
      <w:bookmarkStart w:id="171" w:name="_Toc203643026"/>
      <w:r w:rsidRPr="002462E6">
        <w:lastRenderedPageBreak/>
        <w:t>E</w:t>
      </w:r>
      <w:r w:rsidR="000A7532" w:rsidRPr="002462E6">
        <w:t>volution des ressources humaines au sein du département des Eaux et Forêts</w:t>
      </w:r>
      <w:bookmarkEnd w:id="169"/>
      <w:bookmarkEnd w:id="171"/>
      <w:r w:rsidR="000A7532" w:rsidRPr="002462E6">
        <w:t xml:space="preserve"> </w:t>
      </w:r>
      <w:bookmarkEnd w:id="170"/>
    </w:p>
    <w:p w:rsidR="000A7532" w:rsidRPr="002462E6" w:rsidRDefault="000A7532" w:rsidP="000A7532">
      <w:pPr>
        <w:widowControl w:val="0"/>
        <w:tabs>
          <w:tab w:val="left" w:pos="1653"/>
        </w:tabs>
        <w:autoSpaceDE w:val="0"/>
        <w:autoSpaceDN w:val="0"/>
        <w:spacing w:before="139" w:after="0" w:line="360" w:lineRule="auto"/>
        <w:ind w:right="4"/>
        <w:jc w:val="both"/>
        <w:rPr>
          <w:rFonts w:ascii="Tahoma" w:eastAsia="Times New Roman" w:hAnsi="Tahoma" w:cs="Tahoma"/>
          <w:sz w:val="24"/>
        </w:rPr>
      </w:pPr>
      <w:r w:rsidRPr="002462E6">
        <w:rPr>
          <w:rFonts w:ascii="Tahoma" w:eastAsia="Times New Roman" w:hAnsi="Tahoma" w:cs="Tahoma"/>
          <w:sz w:val="24"/>
        </w:rPr>
        <w:t>L'évolution historique de la gestion des ressources humaines au sein du département des Eaux et Forêts a suivi plusieurs étapes clés. Au début de l'année 1914, le service forestier comptait uniquement trois Officiers des Eaux et Forêts (P. BOUDY, directeur du service ; DE BEAUCOUDREY ; et Mouilleron), accompagnés de vingt techniciens (brigadiers et gardes forestiers) ainsi que de vingt cavaliers, tous de nationalité marocaine. Les vingt- trois autres forestiers étaient des français, venus d'Algérie</w:t>
      </w:r>
      <w:r w:rsidRPr="002462E6">
        <w:rPr>
          <w:rFonts w:ascii="Tahoma" w:eastAsia="Times New Roman" w:hAnsi="Tahoma" w:cs="Tahoma"/>
          <w:sz w:val="24"/>
          <w:vertAlign w:val="superscript"/>
        </w:rPr>
        <w:footnoteReference w:id="212"/>
      </w:r>
      <w:r w:rsidRPr="002462E6">
        <w:rPr>
          <w:rFonts w:ascii="Tahoma" w:eastAsia="Times New Roman" w:hAnsi="Tahoma" w:cs="Tahoma"/>
          <w:sz w:val="24"/>
        </w:rPr>
        <w:t>.</w:t>
      </w:r>
    </w:p>
    <w:p w:rsidR="000A7532" w:rsidRPr="002462E6" w:rsidRDefault="000A7532" w:rsidP="000A7532">
      <w:pPr>
        <w:widowControl w:val="0"/>
        <w:tabs>
          <w:tab w:val="left" w:pos="1653"/>
        </w:tabs>
        <w:autoSpaceDE w:val="0"/>
        <w:autoSpaceDN w:val="0"/>
        <w:spacing w:before="139" w:after="0" w:line="360" w:lineRule="auto"/>
        <w:ind w:right="4"/>
        <w:jc w:val="both"/>
        <w:rPr>
          <w:rFonts w:ascii="Tahoma" w:eastAsia="Times New Roman" w:hAnsi="Tahoma" w:cs="Tahoma"/>
          <w:sz w:val="24"/>
        </w:rPr>
      </w:pPr>
      <w:r w:rsidRPr="002462E6">
        <w:rPr>
          <w:rFonts w:ascii="Times New Roman" w:eastAsia="Times New Roman" w:hAnsi="Times New Roman" w:cs="Times New Roman"/>
        </w:rPr>
        <w:t xml:space="preserve"> </w:t>
      </w:r>
      <w:r w:rsidRPr="002462E6">
        <w:rPr>
          <w:rFonts w:ascii="Tahoma" w:eastAsia="Times New Roman" w:hAnsi="Tahoma" w:cs="Tahoma"/>
          <w:sz w:val="24"/>
        </w:rPr>
        <w:t>En 1926, le service forestier avait progressé pour inclure 23 Officiers et 157 brigadiers et gardes forestiers. Cette croissance témoigne d’une volonté d'élargir les capacités opérationnelles du personnel forestier.</w:t>
      </w:r>
    </w:p>
    <w:p w:rsidR="000A7532" w:rsidRPr="002462E6" w:rsidRDefault="000A7532" w:rsidP="000A7532">
      <w:pPr>
        <w:widowControl w:val="0"/>
        <w:tabs>
          <w:tab w:val="left" w:pos="1653"/>
        </w:tabs>
        <w:autoSpaceDE w:val="0"/>
        <w:autoSpaceDN w:val="0"/>
        <w:spacing w:before="139" w:after="0" w:line="360" w:lineRule="auto"/>
        <w:ind w:right="4"/>
        <w:jc w:val="both"/>
        <w:rPr>
          <w:rFonts w:ascii="Tahoma" w:eastAsia="Times New Roman" w:hAnsi="Tahoma" w:cs="Tahoma"/>
          <w:sz w:val="24"/>
        </w:rPr>
      </w:pPr>
      <w:r w:rsidRPr="002462E6">
        <w:rPr>
          <w:rFonts w:ascii="Tahoma" w:eastAsia="Times New Roman" w:hAnsi="Tahoma" w:cs="Tahoma"/>
          <w:sz w:val="24"/>
        </w:rPr>
        <w:t>Par la suite, la composition du Service forestier s'est enrichie en 1931, comprenant 23 Officiers et 230 préposés forestiers.  Les années qui ont suivi, notamment en 1941, ont enregistré également une augmentation du nombre des ressources, atteignant ainsi 30 Officiers et 325 préposés forestiers. Il convient de noter que tout le personnel forestier à cette époque était d'origine française, à l'exception des cavaliers, qui étaient tous des marocains.</w:t>
      </w:r>
    </w:p>
    <w:p w:rsidR="000A7532" w:rsidRPr="002462E6" w:rsidRDefault="000A7532" w:rsidP="000A7532">
      <w:pPr>
        <w:widowControl w:val="0"/>
        <w:tabs>
          <w:tab w:val="left" w:pos="1653"/>
        </w:tabs>
        <w:autoSpaceDE w:val="0"/>
        <w:autoSpaceDN w:val="0"/>
        <w:spacing w:before="139" w:after="0" w:line="360" w:lineRule="auto"/>
        <w:ind w:right="4"/>
        <w:jc w:val="both"/>
        <w:rPr>
          <w:rFonts w:ascii="Tahoma" w:eastAsia="Times New Roman" w:hAnsi="Tahoma" w:cs="Tahoma"/>
          <w:sz w:val="24"/>
        </w:rPr>
      </w:pPr>
      <w:r w:rsidRPr="002462E6">
        <w:rPr>
          <w:rFonts w:ascii="Tahoma" w:eastAsia="Times New Roman" w:hAnsi="Tahoma" w:cs="Tahoma"/>
          <w:sz w:val="24"/>
        </w:rPr>
        <w:t xml:space="preserve">En septembre 1970, une montée en puissance s'est manifestée par la croissance continue en effectifs, atteignant 40 Officiers et 710 préposés (comprenant 123 chefs de district ou agents de fonction, et 587 agents techniques) (BOUGRINE, 1984). Parmi ce personnel technique, seulement 21 ingénieurs ou équivalents (2,8 %) étaient des étrangers, incluant 16 Français, 2 Yougoslaves, 1 Belge, 1 Tunisien et 1 Syrien. De plus, en 1972, une hausse significative du nombre de techniciens a été constatée, portant ainsi l’effectif à 109 ingénieurs et 913 préposés (156 adjoints techniques et 757 agents techniques). </w:t>
      </w:r>
    </w:p>
    <w:p w:rsidR="000A7532" w:rsidRPr="002462E6" w:rsidRDefault="000A7532" w:rsidP="000A7532">
      <w:pPr>
        <w:widowControl w:val="0"/>
        <w:tabs>
          <w:tab w:val="left" w:pos="1653"/>
        </w:tabs>
        <w:autoSpaceDE w:val="0"/>
        <w:autoSpaceDN w:val="0"/>
        <w:spacing w:before="139" w:after="0" w:line="360" w:lineRule="auto"/>
        <w:ind w:right="4"/>
        <w:jc w:val="both"/>
        <w:rPr>
          <w:rFonts w:ascii="Tahoma" w:eastAsia="Times New Roman" w:hAnsi="Tahoma" w:cs="Tahoma"/>
          <w:sz w:val="24"/>
        </w:rPr>
      </w:pPr>
      <w:r w:rsidRPr="002462E6">
        <w:rPr>
          <w:rFonts w:ascii="Tahoma" w:eastAsia="Times New Roman" w:hAnsi="Tahoma" w:cs="Tahoma"/>
          <w:sz w:val="24"/>
        </w:rPr>
        <w:t xml:space="preserve">En 1980, cette tendance haussière s'est poursuivie avec un effectif technique renforcé, comprenant 226 ingénieurs et 1 008 préposés (avec 268 chefs de district ou agents de fonction et 740 agents techniques). Ainsi, l'évolution des ressources humaines dans le département des Eaux et Forêts témoigne d'une dynamique de croissance et de </w:t>
      </w:r>
      <w:r w:rsidRPr="002462E6">
        <w:rPr>
          <w:rFonts w:ascii="Tahoma" w:eastAsia="Times New Roman" w:hAnsi="Tahoma" w:cs="Tahoma"/>
          <w:sz w:val="24"/>
        </w:rPr>
        <w:lastRenderedPageBreak/>
        <w:t>développement constant au fil des décennies</w:t>
      </w:r>
      <w:r w:rsidRPr="002462E6">
        <w:rPr>
          <w:rFonts w:ascii="Tahoma" w:eastAsia="Times New Roman" w:hAnsi="Tahoma" w:cs="Tahoma"/>
          <w:sz w:val="24"/>
          <w:vertAlign w:val="superscript"/>
        </w:rPr>
        <w:footnoteReference w:id="213"/>
      </w:r>
      <w:r w:rsidRPr="002462E6">
        <w:rPr>
          <w:rFonts w:ascii="Tahoma" w:eastAsia="Times New Roman" w:hAnsi="Tahoma" w:cs="Tahoma"/>
          <w:sz w:val="24"/>
        </w:rPr>
        <w:t>.</w:t>
      </w:r>
    </w:p>
    <w:p w:rsidR="000A7532" w:rsidRPr="002462E6" w:rsidRDefault="000A7532" w:rsidP="000A7532">
      <w:pPr>
        <w:widowControl w:val="0"/>
        <w:autoSpaceDE w:val="0"/>
        <w:autoSpaceDN w:val="0"/>
        <w:spacing w:before="161" w:after="0" w:line="360" w:lineRule="auto"/>
        <w:ind w:right="4"/>
        <w:jc w:val="both"/>
        <w:rPr>
          <w:rFonts w:ascii="Tahoma" w:eastAsia="Times New Roman" w:hAnsi="Tahoma" w:cs="Tahoma"/>
          <w:sz w:val="24"/>
          <w:szCs w:val="24"/>
        </w:rPr>
      </w:pPr>
      <w:r w:rsidRPr="002462E6">
        <w:rPr>
          <w:rFonts w:ascii="Tahoma" w:eastAsia="Times New Roman" w:hAnsi="Tahoma" w:cs="Tahoma"/>
          <w:sz w:val="24"/>
          <w:szCs w:val="24"/>
        </w:rPr>
        <w:t>Il est important de souligner que j</w:t>
      </w:r>
      <w:r w:rsidRPr="002462E6">
        <w:rPr>
          <w:rFonts w:ascii="Tahoma" w:eastAsia="Times New Roman" w:hAnsi="Tahoma" w:cs="Tahoma"/>
          <w:color w:val="212121"/>
          <w:sz w:val="24"/>
          <w:szCs w:val="24"/>
        </w:rPr>
        <w:t>usqu’à la fin des années 1960, uniquement les agents et adjoints</w:t>
      </w:r>
      <w:r w:rsidRPr="002462E6">
        <w:rPr>
          <w:rFonts w:ascii="Tahoma" w:eastAsia="Times New Roman" w:hAnsi="Tahoma" w:cs="Tahoma"/>
          <w:color w:val="212121"/>
          <w:spacing w:val="-57"/>
          <w:sz w:val="24"/>
          <w:szCs w:val="24"/>
        </w:rPr>
        <w:t xml:space="preserve"> </w:t>
      </w:r>
      <w:r w:rsidRPr="002462E6">
        <w:rPr>
          <w:rFonts w:ascii="Tahoma" w:eastAsia="Times New Roman" w:hAnsi="Tahoma" w:cs="Tahoma"/>
          <w:color w:val="212121"/>
          <w:sz w:val="24"/>
          <w:szCs w:val="24"/>
        </w:rPr>
        <w:t xml:space="preserve">techniques </w:t>
      </w:r>
      <w:r w:rsidRPr="002462E6">
        <w:rPr>
          <w:rFonts w:ascii="Tahoma" w:eastAsia="Times New Roman" w:hAnsi="Tahoma" w:cs="Tahoma"/>
          <w:color w:val="212121"/>
          <w:spacing w:val="-1"/>
          <w:sz w:val="24"/>
          <w:szCs w:val="24"/>
        </w:rPr>
        <w:t>étaient</w:t>
      </w:r>
      <w:r w:rsidRPr="002462E6">
        <w:rPr>
          <w:rFonts w:ascii="Tahoma" w:eastAsia="Times New Roman" w:hAnsi="Tahoma" w:cs="Tahoma"/>
          <w:color w:val="212121"/>
          <w:sz w:val="24"/>
          <w:szCs w:val="24"/>
        </w:rPr>
        <w:t xml:space="preserve"> formés</w:t>
      </w:r>
      <w:r w:rsidRPr="002462E6">
        <w:rPr>
          <w:rFonts w:ascii="Tahoma" w:eastAsia="Times New Roman" w:hAnsi="Tahoma" w:cs="Tahoma"/>
          <w:color w:val="212121"/>
          <w:spacing w:val="-1"/>
          <w:sz w:val="24"/>
          <w:szCs w:val="24"/>
        </w:rPr>
        <w:t xml:space="preserve"> </w:t>
      </w:r>
      <w:r w:rsidRPr="002462E6">
        <w:rPr>
          <w:rFonts w:ascii="Tahoma" w:eastAsia="Times New Roman" w:hAnsi="Tahoma" w:cs="Tahoma"/>
          <w:color w:val="212121"/>
          <w:sz w:val="24"/>
          <w:szCs w:val="24"/>
        </w:rPr>
        <w:t>au Maroc</w:t>
      </w:r>
      <w:r w:rsidRPr="002462E6">
        <w:rPr>
          <w:rFonts w:ascii="Tahoma" w:eastAsia="Times New Roman" w:hAnsi="Tahoma" w:cs="Tahoma"/>
          <w:color w:val="212121"/>
          <w:spacing w:val="-1"/>
          <w:sz w:val="24"/>
          <w:szCs w:val="24"/>
        </w:rPr>
        <w:t xml:space="preserve"> </w:t>
      </w:r>
      <w:r w:rsidRPr="002462E6">
        <w:rPr>
          <w:rFonts w:ascii="Tahoma" w:eastAsia="Times New Roman" w:hAnsi="Tahoma" w:cs="Tahoma"/>
          <w:color w:val="212121"/>
          <w:sz w:val="24"/>
          <w:szCs w:val="24"/>
        </w:rPr>
        <w:t>à l’ITREF pour gérer les</w:t>
      </w:r>
      <w:r w:rsidRPr="002462E6">
        <w:rPr>
          <w:rFonts w:ascii="Tahoma" w:eastAsia="Times New Roman" w:hAnsi="Tahoma" w:cs="Tahoma"/>
          <w:color w:val="212121"/>
          <w:spacing w:val="-2"/>
          <w:sz w:val="24"/>
          <w:szCs w:val="24"/>
        </w:rPr>
        <w:t xml:space="preserve"> </w:t>
      </w:r>
      <w:r w:rsidRPr="002462E6">
        <w:rPr>
          <w:rFonts w:ascii="Tahoma" w:eastAsia="Times New Roman" w:hAnsi="Tahoma" w:cs="Tahoma"/>
          <w:color w:val="212121"/>
          <w:sz w:val="24"/>
          <w:szCs w:val="24"/>
        </w:rPr>
        <w:t>unités</w:t>
      </w:r>
      <w:r w:rsidRPr="002462E6">
        <w:rPr>
          <w:rFonts w:ascii="Tahoma" w:eastAsia="Times New Roman" w:hAnsi="Tahoma" w:cs="Tahoma"/>
          <w:color w:val="212121"/>
          <w:spacing w:val="-1"/>
          <w:sz w:val="24"/>
          <w:szCs w:val="24"/>
        </w:rPr>
        <w:t xml:space="preserve"> </w:t>
      </w:r>
      <w:r w:rsidRPr="002462E6">
        <w:rPr>
          <w:rFonts w:ascii="Tahoma" w:eastAsia="Times New Roman" w:hAnsi="Tahoma" w:cs="Tahoma"/>
          <w:color w:val="212121"/>
          <w:sz w:val="24"/>
          <w:szCs w:val="24"/>
        </w:rPr>
        <w:t>forestières.</w:t>
      </w:r>
      <w:r w:rsidRPr="002462E6">
        <w:rPr>
          <w:rFonts w:ascii="Tahoma" w:eastAsia="Times New Roman" w:hAnsi="Tahoma" w:cs="Tahoma"/>
          <w:sz w:val="24"/>
          <w:szCs w:val="24"/>
        </w:rPr>
        <w:t xml:space="preserve"> </w:t>
      </w:r>
      <w:r w:rsidRPr="002462E6">
        <w:rPr>
          <w:rFonts w:ascii="Tahoma" w:eastAsia="Times New Roman" w:hAnsi="Tahoma" w:cs="Tahoma"/>
          <w:color w:val="212121"/>
          <w:sz w:val="24"/>
          <w:szCs w:val="24"/>
        </w:rPr>
        <w:t>Quant</w:t>
      </w:r>
      <w:r w:rsidRPr="002462E6">
        <w:rPr>
          <w:rFonts w:ascii="Tahoma" w:eastAsia="Times New Roman" w:hAnsi="Tahoma" w:cs="Tahoma"/>
          <w:color w:val="212121"/>
          <w:spacing w:val="57"/>
          <w:sz w:val="24"/>
          <w:szCs w:val="24"/>
        </w:rPr>
        <w:t xml:space="preserve"> </w:t>
      </w:r>
      <w:r w:rsidRPr="002462E6">
        <w:rPr>
          <w:rFonts w:ascii="Tahoma" w:eastAsia="Times New Roman" w:hAnsi="Tahoma" w:cs="Tahoma"/>
          <w:color w:val="212121"/>
          <w:sz w:val="24"/>
          <w:szCs w:val="24"/>
        </w:rPr>
        <w:t>aux</w:t>
      </w:r>
      <w:r w:rsidRPr="002462E6">
        <w:rPr>
          <w:rFonts w:ascii="Tahoma" w:eastAsia="Times New Roman" w:hAnsi="Tahoma" w:cs="Tahoma"/>
          <w:color w:val="212121"/>
          <w:spacing w:val="57"/>
          <w:sz w:val="24"/>
          <w:szCs w:val="24"/>
        </w:rPr>
        <w:t xml:space="preserve"> </w:t>
      </w:r>
      <w:r w:rsidRPr="002462E6">
        <w:rPr>
          <w:rFonts w:ascii="Tahoma" w:eastAsia="Times New Roman" w:hAnsi="Tahoma" w:cs="Tahoma"/>
          <w:color w:val="212121"/>
          <w:sz w:val="24"/>
          <w:szCs w:val="24"/>
        </w:rPr>
        <w:t>cadres</w:t>
      </w:r>
      <w:r w:rsidRPr="002462E6">
        <w:rPr>
          <w:rFonts w:ascii="Tahoma" w:eastAsia="Times New Roman" w:hAnsi="Tahoma" w:cs="Tahoma"/>
          <w:color w:val="212121"/>
          <w:spacing w:val="58"/>
          <w:sz w:val="24"/>
          <w:szCs w:val="24"/>
        </w:rPr>
        <w:t xml:space="preserve"> </w:t>
      </w:r>
      <w:r w:rsidRPr="002462E6">
        <w:rPr>
          <w:rFonts w:ascii="Tahoma" w:eastAsia="Times New Roman" w:hAnsi="Tahoma" w:cs="Tahoma"/>
          <w:color w:val="212121"/>
          <w:sz w:val="24"/>
          <w:szCs w:val="24"/>
        </w:rPr>
        <w:t>ingénieurs,</w:t>
      </w:r>
      <w:r w:rsidRPr="002462E6">
        <w:rPr>
          <w:rFonts w:ascii="Tahoma" w:eastAsia="Times New Roman" w:hAnsi="Tahoma" w:cs="Tahoma"/>
          <w:color w:val="212121"/>
          <w:spacing w:val="58"/>
          <w:sz w:val="24"/>
          <w:szCs w:val="24"/>
        </w:rPr>
        <w:t xml:space="preserve"> </w:t>
      </w:r>
      <w:r w:rsidRPr="002462E6">
        <w:rPr>
          <w:rFonts w:ascii="Tahoma" w:eastAsia="Times New Roman" w:hAnsi="Tahoma" w:cs="Tahoma"/>
          <w:color w:val="212121"/>
          <w:sz w:val="24"/>
          <w:szCs w:val="24"/>
        </w:rPr>
        <w:t>ils</w:t>
      </w:r>
      <w:r w:rsidRPr="002462E6">
        <w:rPr>
          <w:rFonts w:ascii="Tahoma" w:eastAsia="Times New Roman" w:hAnsi="Tahoma" w:cs="Tahoma"/>
          <w:color w:val="212121"/>
          <w:spacing w:val="57"/>
          <w:sz w:val="24"/>
          <w:szCs w:val="24"/>
        </w:rPr>
        <w:t xml:space="preserve"> </w:t>
      </w:r>
      <w:r w:rsidRPr="002462E6">
        <w:rPr>
          <w:rFonts w:ascii="Tahoma" w:eastAsia="Times New Roman" w:hAnsi="Tahoma" w:cs="Tahoma"/>
          <w:color w:val="212121"/>
          <w:sz w:val="24"/>
          <w:szCs w:val="24"/>
        </w:rPr>
        <w:t>étaient</w:t>
      </w:r>
      <w:r w:rsidRPr="002462E6">
        <w:rPr>
          <w:rFonts w:ascii="Tahoma" w:eastAsia="Times New Roman" w:hAnsi="Tahoma" w:cs="Tahoma"/>
          <w:color w:val="212121"/>
          <w:spacing w:val="58"/>
          <w:sz w:val="24"/>
          <w:szCs w:val="24"/>
        </w:rPr>
        <w:t xml:space="preserve"> </w:t>
      </w:r>
      <w:r w:rsidRPr="002462E6">
        <w:rPr>
          <w:rFonts w:ascii="Tahoma" w:eastAsia="Times New Roman" w:hAnsi="Tahoma" w:cs="Tahoma"/>
          <w:color w:val="212121"/>
          <w:sz w:val="24"/>
          <w:szCs w:val="24"/>
        </w:rPr>
        <w:t>formés</w:t>
      </w:r>
      <w:r w:rsidRPr="002462E6">
        <w:rPr>
          <w:rFonts w:ascii="Tahoma" w:eastAsia="Times New Roman" w:hAnsi="Tahoma" w:cs="Tahoma"/>
          <w:color w:val="212121"/>
          <w:spacing w:val="57"/>
          <w:sz w:val="24"/>
          <w:szCs w:val="24"/>
        </w:rPr>
        <w:t xml:space="preserve"> </w:t>
      </w:r>
      <w:r w:rsidRPr="002462E6">
        <w:rPr>
          <w:rFonts w:ascii="Tahoma" w:eastAsia="Times New Roman" w:hAnsi="Tahoma" w:cs="Tahoma"/>
          <w:color w:val="212121"/>
          <w:sz w:val="24"/>
          <w:szCs w:val="24"/>
        </w:rPr>
        <w:t>principalement</w:t>
      </w:r>
      <w:r w:rsidRPr="002462E6">
        <w:rPr>
          <w:rFonts w:ascii="Tahoma" w:eastAsia="Times New Roman" w:hAnsi="Tahoma" w:cs="Tahoma"/>
          <w:color w:val="212121"/>
          <w:spacing w:val="59"/>
          <w:sz w:val="24"/>
          <w:szCs w:val="24"/>
        </w:rPr>
        <w:t xml:space="preserve"> </w:t>
      </w:r>
      <w:r w:rsidRPr="002462E6">
        <w:rPr>
          <w:rFonts w:ascii="Tahoma" w:eastAsia="Times New Roman" w:hAnsi="Tahoma" w:cs="Tahoma"/>
          <w:color w:val="212121"/>
          <w:sz w:val="24"/>
          <w:szCs w:val="24"/>
        </w:rPr>
        <w:t>à</w:t>
      </w:r>
      <w:r w:rsidRPr="002462E6">
        <w:rPr>
          <w:rFonts w:ascii="Tahoma" w:eastAsia="Times New Roman" w:hAnsi="Tahoma" w:cs="Tahoma"/>
          <w:color w:val="212121"/>
          <w:spacing w:val="57"/>
          <w:sz w:val="24"/>
          <w:szCs w:val="24"/>
        </w:rPr>
        <w:t xml:space="preserve"> </w:t>
      </w:r>
      <w:r w:rsidRPr="002462E6">
        <w:rPr>
          <w:rFonts w:ascii="Tahoma" w:eastAsia="Times New Roman" w:hAnsi="Tahoma" w:cs="Tahoma"/>
          <w:color w:val="212121"/>
          <w:sz w:val="24"/>
          <w:szCs w:val="24"/>
        </w:rPr>
        <w:t>l’étranger</w:t>
      </w:r>
      <w:r w:rsidRPr="002462E6">
        <w:rPr>
          <w:rFonts w:ascii="Tahoma" w:eastAsia="Times New Roman" w:hAnsi="Tahoma" w:cs="Tahoma"/>
          <w:color w:val="212121"/>
          <w:spacing w:val="58"/>
          <w:sz w:val="24"/>
          <w:szCs w:val="24"/>
        </w:rPr>
        <w:t xml:space="preserve"> </w:t>
      </w:r>
      <w:r w:rsidRPr="002462E6">
        <w:rPr>
          <w:rFonts w:ascii="Tahoma" w:eastAsia="Times New Roman" w:hAnsi="Tahoma" w:cs="Tahoma"/>
          <w:color w:val="212121"/>
          <w:sz w:val="24"/>
          <w:szCs w:val="24"/>
        </w:rPr>
        <w:t>dans</w:t>
      </w:r>
      <w:r w:rsidRPr="002462E6">
        <w:rPr>
          <w:rFonts w:ascii="Tahoma" w:eastAsia="Times New Roman" w:hAnsi="Tahoma" w:cs="Tahoma"/>
          <w:color w:val="212121"/>
          <w:spacing w:val="56"/>
          <w:sz w:val="24"/>
          <w:szCs w:val="24"/>
        </w:rPr>
        <w:t xml:space="preserve"> </w:t>
      </w:r>
      <w:r w:rsidRPr="002462E6">
        <w:rPr>
          <w:rFonts w:ascii="Tahoma" w:eastAsia="Times New Roman" w:hAnsi="Tahoma" w:cs="Tahoma"/>
          <w:color w:val="212121"/>
          <w:sz w:val="24"/>
          <w:szCs w:val="24"/>
        </w:rPr>
        <w:t>des</w:t>
      </w:r>
      <w:r w:rsidRPr="002462E6">
        <w:rPr>
          <w:rFonts w:ascii="Tahoma" w:eastAsia="Times New Roman" w:hAnsi="Tahoma" w:cs="Tahoma"/>
          <w:color w:val="212121"/>
          <w:spacing w:val="59"/>
          <w:sz w:val="24"/>
          <w:szCs w:val="24"/>
        </w:rPr>
        <w:t xml:space="preserve"> </w:t>
      </w:r>
      <w:r w:rsidRPr="002462E6">
        <w:rPr>
          <w:rFonts w:ascii="Tahoma" w:eastAsia="Times New Roman" w:hAnsi="Tahoma" w:cs="Tahoma"/>
          <w:color w:val="212121"/>
          <w:sz w:val="24"/>
          <w:szCs w:val="24"/>
        </w:rPr>
        <w:t>écoles françaises.</w:t>
      </w:r>
    </w:p>
    <w:p w:rsidR="002676C3" w:rsidRDefault="000A7532" w:rsidP="009D1D90">
      <w:pPr>
        <w:widowControl w:val="0"/>
        <w:autoSpaceDE w:val="0"/>
        <w:autoSpaceDN w:val="0"/>
        <w:spacing w:after="0" w:line="360" w:lineRule="auto"/>
        <w:ind w:right="4"/>
        <w:jc w:val="both"/>
        <w:rPr>
          <w:rFonts w:ascii="Tahoma" w:eastAsia="Times New Roman" w:hAnsi="Tahoma" w:cs="Tahoma"/>
          <w:color w:val="212121"/>
          <w:sz w:val="24"/>
          <w:szCs w:val="24"/>
        </w:rPr>
      </w:pPr>
      <w:r w:rsidRPr="002462E6">
        <w:rPr>
          <w:rFonts w:ascii="Tahoma" w:eastAsia="Times New Roman" w:hAnsi="Tahoma" w:cs="Tahoma"/>
          <w:color w:val="212121"/>
          <w:sz w:val="24"/>
          <w:szCs w:val="24"/>
        </w:rPr>
        <w:t>Confrontés à une pénurie de cadres techniques spécialisés, les responsables des administrations forestières du Maroc, de l’Algérie et de la Tunisie ont pris la décision, lors de la première Semaine forestière du Maghreb tenue à Tunis en 1967, d’approuver le principe de la formation de leurs propres cadres supérieurs forestiers au sein de la région maghrébine. C’est dans cette perspective que l’École Nationale Forestière d’Ingénieurs (ENFI) a été créée au Maroc, répondant ainsi à un besoin crucial en matière de formation et de renforcement des compétences dans le domaine forestier</w:t>
      </w:r>
      <w:r w:rsidRPr="002462E6">
        <w:rPr>
          <w:rFonts w:ascii="Tahoma" w:eastAsia="Times New Roman" w:hAnsi="Tahoma" w:cs="Tahoma"/>
          <w:color w:val="212121"/>
          <w:sz w:val="24"/>
          <w:szCs w:val="24"/>
          <w:vertAlign w:val="superscript"/>
        </w:rPr>
        <w:footnoteReference w:id="214"/>
      </w:r>
      <w:r w:rsidR="002676C3" w:rsidRPr="002462E6">
        <w:rPr>
          <w:rFonts w:ascii="Tahoma" w:eastAsia="Times New Roman" w:hAnsi="Tahoma" w:cs="Tahoma"/>
          <w:color w:val="212121"/>
          <w:sz w:val="24"/>
          <w:szCs w:val="24"/>
        </w:rPr>
        <w:t>.</w:t>
      </w:r>
    </w:p>
    <w:p w:rsidR="009D1D90" w:rsidRPr="002462E6" w:rsidRDefault="009D1D90" w:rsidP="009D1D90">
      <w:pPr>
        <w:widowControl w:val="0"/>
        <w:autoSpaceDE w:val="0"/>
        <w:autoSpaceDN w:val="0"/>
        <w:spacing w:after="0" w:line="360" w:lineRule="auto"/>
        <w:ind w:right="4"/>
        <w:jc w:val="both"/>
        <w:rPr>
          <w:rFonts w:ascii="Tahoma" w:eastAsia="Times New Roman" w:hAnsi="Tahoma" w:cs="Tahoma"/>
          <w:color w:val="212121"/>
          <w:sz w:val="24"/>
          <w:szCs w:val="24"/>
        </w:rPr>
      </w:pPr>
    </w:p>
    <w:p w:rsidR="000A7532" w:rsidRPr="002462E6" w:rsidRDefault="000A7532" w:rsidP="000D57A1">
      <w:pPr>
        <w:pStyle w:val="Sous-titre"/>
        <w:rPr>
          <w:rFonts w:ascii="Calibri" w:hAnsi="Calibri"/>
        </w:rPr>
      </w:pPr>
      <w:bookmarkStart w:id="172" w:name="_Toc185696906"/>
      <w:bookmarkStart w:id="173" w:name="_Toc201571275"/>
      <w:bookmarkStart w:id="174" w:name="_Toc203642501"/>
      <w:r w:rsidRPr="002462E6">
        <w:t xml:space="preserve">Tableau </w:t>
      </w:r>
      <w:r w:rsidR="00225ED1">
        <w:rPr>
          <w:noProof/>
        </w:rPr>
        <w:fldChar w:fldCharType="begin"/>
      </w:r>
      <w:r w:rsidR="00225ED1">
        <w:rPr>
          <w:noProof/>
        </w:rPr>
        <w:instrText xml:space="preserve"> SEQ Tableau \* ARABIC </w:instrText>
      </w:r>
      <w:r w:rsidR="00225ED1">
        <w:rPr>
          <w:noProof/>
        </w:rPr>
        <w:fldChar w:fldCharType="separate"/>
      </w:r>
      <w:r w:rsidR="00124AFB">
        <w:rPr>
          <w:noProof/>
        </w:rPr>
        <w:t>2</w:t>
      </w:r>
      <w:r w:rsidR="00225ED1">
        <w:rPr>
          <w:noProof/>
        </w:rPr>
        <w:fldChar w:fldCharType="end"/>
      </w:r>
      <w:r w:rsidR="00246834" w:rsidRPr="002462E6">
        <w:t> :</w:t>
      </w:r>
      <w:r w:rsidRPr="002462E6">
        <w:t xml:space="preserve"> Evolution du personnel technique du service forestier des Eaux et Forêts entre 1914 et 1980</w:t>
      </w:r>
      <w:bookmarkEnd w:id="172"/>
      <w:bookmarkEnd w:id="173"/>
      <w:bookmarkEnd w:id="174"/>
    </w:p>
    <w:tbl>
      <w:tblPr>
        <w:tblStyle w:val="ListTable3Accent31"/>
        <w:tblpPr w:leftFromText="141" w:rightFromText="141" w:vertAnchor="text" w:horzAnchor="margin" w:tblpY="106"/>
        <w:tblW w:w="10031" w:type="dxa"/>
        <w:tblLayout w:type="fixed"/>
        <w:tblLook w:val="01E0" w:firstRow="1" w:lastRow="1" w:firstColumn="1" w:lastColumn="1" w:noHBand="0" w:noVBand="0"/>
      </w:tblPr>
      <w:tblGrid>
        <w:gridCol w:w="3119"/>
        <w:gridCol w:w="851"/>
        <w:gridCol w:w="851"/>
        <w:gridCol w:w="1134"/>
        <w:gridCol w:w="851"/>
        <w:gridCol w:w="1099"/>
        <w:gridCol w:w="992"/>
        <w:gridCol w:w="1134"/>
      </w:tblGrid>
      <w:tr w:rsidR="000355E5" w:rsidRPr="002462E6" w:rsidTr="009D1D90">
        <w:trPr>
          <w:cnfStyle w:val="100000000000" w:firstRow="1" w:lastRow="0" w:firstColumn="0" w:lastColumn="0" w:oddVBand="0" w:evenVBand="0" w:oddHBand="0" w:evenHBand="0" w:firstRowFirstColumn="0" w:firstRowLastColumn="0" w:lastRowFirstColumn="0" w:lastRowLastColumn="0"/>
          <w:trHeight w:val="481"/>
        </w:trPr>
        <w:tc>
          <w:tcPr>
            <w:cnfStyle w:val="001000000100" w:firstRow="0" w:lastRow="0" w:firstColumn="1" w:lastColumn="0" w:oddVBand="0" w:evenVBand="0" w:oddHBand="0" w:evenHBand="0" w:firstRowFirstColumn="1" w:firstRowLastColumn="0" w:lastRowFirstColumn="0" w:lastRowLastColumn="0"/>
            <w:tcW w:w="3119" w:type="dxa"/>
            <w:tcBorders>
              <w:top w:val="single" w:sz="4" w:space="0" w:color="auto"/>
              <w:left w:val="single" w:sz="4" w:space="0" w:color="auto"/>
              <w:bottom w:val="single" w:sz="4" w:space="0" w:color="auto"/>
              <w:right w:val="single" w:sz="4" w:space="0" w:color="auto"/>
            </w:tcBorders>
          </w:tcPr>
          <w:p w:rsidR="000A7532" w:rsidRPr="002462E6" w:rsidRDefault="000A7532" w:rsidP="000A7532">
            <w:pPr>
              <w:spacing w:before="30"/>
              <w:ind w:left="10" w:right="4"/>
              <w:rPr>
                <w:rFonts w:ascii="Tahoma" w:eastAsia="Arial MT" w:hAnsi="Tahoma" w:cs="Tahoma"/>
                <w:sz w:val="20"/>
                <w:szCs w:val="20"/>
              </w:rPr>
            </w:pPr>
            <w:r w:rsidRPr="002462E6">
              <w:rPr>
                <w:rFonts w:ascii="Tahoma" w:eastAsia="Arial MT" w:hAnsi="Tahoma" w:cs="Tahoma"/>
                <w:sz w:val="20"/>
                <w:szCs w:val="20"/>
              </w:rPr>
              <w:t>Catégories</w:t>
            </w:r>
            <w:r w:rsidRPr="002462E6">
              <w:rPr>
                <w:rFonts w:ascii="Tahoma" w:eastAsia="Arial MT" w:hAnsi="Tahoma" w:cs="Tahoma"/>
                <w:spacing w:val="-7"/>
                <w:sz w:val="20"/>
                <w:szCs w:val="20"/>
              </w:rPr>
              <w:t xml:space="preserve"> </w:t>
            </w:r>
            <w:r w:rsidRPr="002462E6">
              <w:rPr>
                <w:rFonts w:ascii="Tahoma" w:eastAsia="Arial MT" w:hAnsi="Tahoma" w:cs="Tahoma"/>
                <w:sz w:val="20"/>
                <w:szCs w:val="20"/>
              </w:rPr>
              <w:t>de</w:t>
            </w:r>
            <w:r w:rsidRPr="002462E6">
              <w:rPr>
                <w:rFonts w:ascii="Tahoma" w:eastAsia="Arial MT" w:hAnsi="Tahoma" w:cs="Tahoma"/>
                <w:spacing w:val="-5"/>
                <w:sz w:val="20"/>
                <w:szCs w:val="20"/>
              </w:rPr>
              <w:t xml:space="preserve"> </w:t>
            </w:r>
            <w:r w:rsidRPr="002462E6">
              <w:rPr>
                <w:rFonts w:ascii="Tahoma" w:eastAsia="Arial MT" w:hAnsi="Tahoma" w:cs="Tahoma"/>
                <w:sz w:val="20"/>
                <w:szCs w:val="20"/>
              </w:rPr>
              <w:t>personnel</w:t>
            </w:r>
          </w:p>
        </w:tc>
        <w:tc>
          <w:tcPr>
            <w:cnfStyle w:val="000010000000" w:firstRow="0" w:lastRow="0" w:firstColumn="0" w:lastColumn="0" w:oddVBand="1" w:evenVBand="0" w:oddHBand="0" w:evenHBand="0" w:firstRowFirstColumn="0" w:firstRowLastColumn="0" w:lastRowFirstColumn="0" w:lastRowLastColumn="0"/>
            <w:tcW w:w="851" w:type="dxa"/>
            <w:tcBorders>
              <w:top w:val="single" w:sz="4" w:space="0" w:color="auto"/>
              <w:left w:val="single" w:sz="4" w:space="0" w:color="auto"/>
              <w:bottom w:val="single" w:sz="4" w:space="0" w:color="auto"/>
              <w:right w:val="single" w:sz="4" w:space="0" w:color="auto"/>
            </w:tcBorders>
          </w:tcPr>
          <w:p w:rsidR="000A7532" w:rsidRPr="002462E6" w:rsidRDefault="000A7532" w:rsidP="000A7532">
            <w:pPr>
              <w:spacing w:before="30"/>
              <w:ind w:left="62" w:right="4"/>
              <w:rPr>
                <w:rFonts w:ascii="Tahoma" w:eastAsia="Arial MT" w:hAnsi="Tahoma" w:cs="Tahoma"/>
                <w:sz w:val="20"/>
                <w:szCs w:val="20"/>
              </w:rPr>
            </w:pPr>
            <w:r w:rsidRPr="002462E6">
              <w:rPr>
                <w:rFonts w:ascii="Tahoma" w:eastAsia="Arial MT" w:hAnsi="Tahoma" w:cs="Tahoma"/>
                <w:sz w:val="20"/>
                <w:szCs w:val="20"/>
              </w:rPr>
              <w:t>1914</w:t>
            </w:r>
          </w:p>
        </w:tc>
        <w:tc>
          <w:tcPr>
            <w:tcW w:w="851" w:type="dxa"/>
            <w:tcBorders>
              <w:top w:val="single" w:sz="4" w:space="0" w:color="auto"/>
              <w:left w:val="single" w:sz="4" w:space="0" w:color="auto"/>
              <w:bottom w:val="single" w:sz="4" w:space="0" w:color="auto"/>
              <w:right w:val="single" w:sz="4" w:space="0" w:color="auto"/>
            </w:tcBorders>
          </w:tcPr>
          <w:p w:rsidR="000A7532" w:rsidRPr="002462E6" w:rsidRDefault="000A7532" w:rsidP="000A7532">
            <w:pPr>
              <w:spacing w:before="30"/>
              <w:ind w:left="87" w:right="4"/>
              <w:cnfStyle w:val="100000000000" w:firstRow="1" w:lastRow="0" w:firstColumn="0" w:lastColumn="0" w:oddVBand="0" w:evenVBand="0" w:oddHBand="0" w:evenHBand="0" w:firstRowFirstColumn="0" w:firstRowLastColumn="0" w:lastRowFirstColumn="0" w:lastRowLastColumn="0"/>
              <w:rPr>
                <w:rFonts w:ascii="Tahoma" w:eastAsia="Arial MT" w:hAnsi="Tahoma" w:cs="Tahoma"/>
                <w:sz w:val="20"/>
                <w:szCs w:val="20"/>
              </w:rPr>
            </w:pPr>
            <w:r w:rsidRPr="002462E6">
              <w:rPr>
                <w:rFonts w:ascii="Tahoma" w:eastAsia="Arial MT" w:hAnsi="Tahoma" w:cs="Tahoma"/>
                <w:sz w:val="20"/>
                <w:szCs w:val="20"/>
              </w:rPr>
              <w:t>1926</w:t>
            </w:r>
          </w:p>
        </w:tc>
        <w:tc>
          <w:tcPr>
            <w:cnfStyle w:val="000010000000" w:firstRow="0" w:lastRow="0" w:firstColumn="0" w:lastColumn="0" w:oddVBand="1" w:evenVBand="0" w:oddHBand="0" w:evenHBand="0" w:firstRowFirstColumn="0" w:firstRowLastColumn="0" w:lastRowFirstColumn="0" w:lastRowLastColumn="0"/>
            <w:tcW w:w="1134" w:type="dxa"/>
            <w:tcBorders>
              <w:top w:val="single" w:sz="4" w:space="0" w:color="auto"/>
              <w:left w:val="single" w:sz="4" w:space="0" w:color="auto"/>
              <w:bottom w:val="single" w:sz="4" w:space="0" w:color="auto"/>
              <w:right w:val="single" w:sz="4" w:space="0" w:color="auto"/>
            </w:tcBorders>
          </w:tcPr>
          <w:p w:rsidR="000A7532" w:rsidRPr="002462E6" w:rsidRDefault="000A7532" w:rsidP="000A7532">
            <w:pPr>
              <w:spacing w:before="30"/>
              <w:ind w:left="315" w:right="4"/>
              <w:rPr>
                <w:rFonts w:ascii="Tahoma" w:eastAsia="Arial MT" w:hAnsi="Tahoma" w:cs="Tahoma"/>
                <w:sz w:val="20"/>
                <w:szCs w:val="20"/>
              </w:rPr>
            </w:pPr>
            <w:r w:rsidRPr="002462E6">
              <w:rPr>
                <w:rFonts w:ascii="Tahoma" w:eastAsia="Arial MT" w:hAnsi="Tahoma" w:cs="Tahoma"/>
                <w:sz w:val="20"/>
                <w:szCs w:val="20"/>
              </w:rPr>
              <w:t>1931</w:t>
            </w:r>
          </w:p>
        </w:tc>
        <w:tc>
          <w:tcPr>
            <w:tcW w:w="851" w:type="dxa"/>
            <w:tcBorders>
              <w:top w:val="single" w:sz="4" w:space="0" w:color="auto"/>
              <w:left w:val="single" w:sz="4" w:space="0" w:color="auto"/>
              <w:bottom w:val="single" w:sz="4" w:space="0" w:color="auto"/>
              <w:right w:val="single" w:sz="4" w:space="0" w:color="auto"/>
            </w:tcBorders>
          </w:tcPr>
          <w:p w:rsidR="000A7532" w:rsidRPr="002462E6" w:rsidRDefault="000A7532" w:rsidP="000A7532">
            <w:pPr>
              <w:spacing w:before="30"/>
              <w:ind w:left="93" w:right="4"/>
              <w:cnfStyle w:val="100000000000" w:firstRow="1" w:lastRow="0" w:firstColumn="0" w:lastColumn="0" w:oddVBand="0" w:evenVBand="0" w:oddHBand="0" w:evenHBand="0" w:firstRowFirstColumn="0" w:firstRowLastColumn="0" w:lastRowFirstColumn="0" w:lastRowLastColumn="0"/>
              <w:rPr>
                <w:rFonts w:ascii="Tahoma" w:eastAsia="Arial MT" w:hAnsi="Tahoma" w:cs="Tahoma"/>
                <w:sz w:val="20"/>
                <w:szCs w:val="20"/>
              </w:rPr>
            </w:pPr>
            <w:r w:rsidRPr="002462E6">
              <w:rPr>
                <w:rFonts w:ascii="Tahoma" w:eastAsia="Arial MT" w:hAnsi="Tahoma" w:cs="Tahoma"/>
                <w:sz w:val="20"/>
                <w:szCs w:val="20"/>
              </w:rPr>
              <w:t>1941</w:t>
            </w:r>
          </w:p>
        </w:tc>
        <w:tc>
          <w:tcPr>
            <w:cnfStyle w:val="000010000000" w:firstRow="0" w:lastRow="0" w:firstColumn="0" w:lastColumn="0" w:oddVBand="1" w:evenVBand="0" w:oddHBand="0" w:evenHBand="0" w:firstRowFirstColumn="0" w:firstRowLastColumn="0" w:lastRowFirstColumn="0" w:lastRowLastColumn="0"/>
            <w:tcW w:w="1099" w:type="dxa"/>
            <w:tcBorders>
              <w:top w:val="single" w:sz="4" w:space="0" w:color="auto"/>
              <w:left w:val="single" w:sz="4" w:space="0" w:color="auto"/>
              <w:bottom w:val="single" w:sz="4" w:space="0" w:color="auto"/>
              <w:right w:val="single" w:sz="4" w:space="0" w:color="auto"/>
            </w:tcBorders>
          </w:tcPr>
          <w:p w:rsidR="000A7532" w:rsidRPr="002462E6" w:rsidRDefault="000A7532" w:rsidP="000A7532">
            <w:pPr>
              <w:spacing w:before="30"/>
              <w:ind w:left="175" w:right="4"/>
              <w:rPr>
                <w:rFonts w:ascii="Tahoma" w:eastAsia="Arial MT" w:hAnsi="Tahoma" w:cs="Tahoma"/>
                <w:sz w:val="20"/>
                <w:szCs w:val="20"/>
              </w:rPr>
            </w:pPr>
            <w:r w:rsidRPr="002462E6">
              <w:rPr>
                <w:rFonts w:ascii="Tahoma" w:eastAsia="Arial MT" w:hAnsi="Tahoma" w:cs="Tahoma"/>
                <w:sz w:val="20"/>
                <w:szCs w:val="20"/>
              </w:rPr>
              <w:t>1970</w:t>
            </w:r>
          </w:p>
        </w:tc>
        <w:tc>
          <w:tcPr>
            <w:tcW w:w="992" w:type="dxa"/>
            <w:tcBorders>
              <w:top w:val="single" w:sz="4" w:space="0" w:color="auto"/>
              <w:left w:val="single" w:sz="4" w:space="0" w:color="auto"/>
              <w:bottom w:val="single" w:sz="4" w:space="0" w:color="auto"/>
              <w:right w:val="single" w:sz="4" w:space="0" w:color="auto"/>
            </w:tcBorders>
          </w:tcPr>
          <w:p w:rsidR="000A7532" w:rsidRPr="002462E6" w:rsidRDefault="000A7532" w:rsidP="000A7532">
            <w:pPr>
              <w:spacing w:before="30"/>
              <w:ind w:right="4"/>
              <w:jc w:val="right"/>
              <w:cnfStyle w:val="100000000000" w:firstRow="1" w:lastRow="0" w:firstColumn="0" w:lastColumn="0" w:oddVBand="0" w:evenVBand="0" w:oddHBand="0" w:evenHBand="0" w:firstRowFirstColumn="0" w:firstRowLastColumn="0" w:lastRowFirstColumn="0" w:lastRowLastColumn="0"/>
              <w:rPr>
                <w:rFonts w:ascii="Tahoma" w:eastAsia="Arial MT" w:hAnsi="Tahoma" w:cs="Tahoma"/>
                <w:sz w:val="20"/>
                <w:szCs w:val="20"/>
              </w:rPr>
            </w:pPr>
            <w:r w:rsidRPr="002462E6">
              <w:rPr>
                <w:rFonts w:ascii="Tahoma" w:eastAsia="Arial MT" w:hAnsi="Tahoma" w:cs="Tahoma"/>
                <w:sz w:val="20"/>
                <w:szCs w:val="20"/>
              </w:rPr>
              <w:t>1972</w:t>
            </w:r>
          </w:p>
        </w:tc>
        <w:tc>
          <w:tcPr>
            <w:cnfStyle w:val="000100001000" w:firstRow="0" w:lastRow="0" w:firstColumn="0" w:lastColumn="1" w:oddVBand="0" w:evenVBand="0" w:oddHBand="0" w:evenHBand="0" w:firstRowFirstColumn="0" w:firstRowLastColumn="1" w:lastRowFirstColumn="0" w:lastRowLastColumn="0"/>
            <w:tcW w:w="1134" w:type="dxa"/>
            <w:tcBorders>
              <w:top w:val="single" w:sz="4" w:space="0" w:color="auto"/>
              <w:left w:val="single" w:sz="4" w:space="0" w:color="auto"/>
              <w:bottom w:val="single" w:sz="4" w:space="0" w:color="auto"/>
              <w:right w:val="single" w:sz="4" w:space="0" w:color="auto"/>
            </w:tcBorders>
          </w:tcPr>
          <w:p w:rsidR="000A7532" w:rsidRPr="002462E6" w:rsidRDefault="000A7532" w:rsidP="000A7532">
            <w:pPr>
              <w:spacing w:before="30"/>
              <w:ind w:left="89" w:right="4"/>
              <w:rPr>
                <w:rFonts w:ascii="Tahoma" w:eastAsia="Arial MT" w:hAnsi="Tahoma" w:cs="Tahoma"/>
                <w:sz w:val="20"/>
                <w:szCs w:val="20"/>
              </w:rPr>
            </w:pPr>
            <w:r w:rsidRPr="002462E6">
              <w:rPr>
                <w:rFonts w:ascii="Tahoma" w:eastAsia="Arial MT" w:hAnsi="Tahoma" w:cs="Tahoma"/>
                <w:sz w:val="20"/>
                <w:szCs w:val="20"/>
              </w:rPr>
              <w:t>1980</w:t>
            </w:r>
          </w:p>
        </w:tc>
      </w:tr>
      <w:tr w:rsidR="000355E5" w:rsidRPr="002462E6" w:rsidTr="009D1D90">
        <w:trPr>
          <w:cnfStyle w:val="000000100000" w:firstRow="0" w:lastRow="0" w:firstColumn="0" w:lastColumn="0" w:oddVBand="0" w:evenVBand="0" w:oddHBand="1" w:evenHBand="0" w:firstRowFirstColumn="0" w:firstRowLastColumn="0" w:lastRowFirstColumn="0" w:lastRowLastColumn="0"/>
          <w:trHeight w:val="632"/>
        </w:trPr>
        <w:tc>
          <w:tcPr>
            <w:cnfStyle w:val="001000000000" w:firstRow="0" w:lastRow="0" w:firstColumn="1" w:lastColumn="0" w:oddVBand="0" w:evenVBand="0" w:oddHBand="0" w:evenHBand="0" w:firstRowFirstColumn="0" w:firstRowLastColumn="0" w:lastRowFirstColumn="0" w:lastRowLastColumn="0"/>
            <w:tcW w:w="3119" w:type="dxa"/>
            <w:tcBorders>
              <w:top w:val="single" w:sz="4" w:space="0" w:color="auto"/>
              <w:right w:val="single" w:sz="4" w:space="0" w:color="auto"/>
            </w:tcBorders>
            <w:vAlign w:val="center"/>
          </w:tcPr>
          <w:p w:rsidR="000A7532" w:rsidRPr="002462E6" w:rsidRDefault="000A7532" w:rsidP="002676C3">
            <w:pPr>
              <w:spacing w:before="30"/>
              <w:ind w:left="79" w:right="4"/>
              <w:rPr>
                <w:rFonts w:ascii="Tahoma" w:eastAsia="Arial MT" w:hAnsi="Tahoma" w:cs="Tahoma"/>
                <w:sz w:val="20"/>
                <w:szCs w:val="20"/>
              </w:rPr>
            </w:pPr>
            <w:r w:rsidRPr="002462E6">
              <w:rPr>
                <w:rFonts w:ascii="Tahoma" w:eastAsia="Arial MT" w:hAnsi="Tahoma" w:cs="Tahoma"/>
                <w:sz w:val="20"/>
                <w:szCs w:val="20"/>
              </w:rPr>
              <w:t>Ingénieurs</w:t>
            </w:r>
          </w:p>
          <w:p w:rsidR="000A7532" w:rsidRPr="002462E6" w:rsidRDefault="000A7532" w:rsidP="002676C3">
            <w:pPr>
              <w:spacing w:before="181"/>
              <w:ind w:left="79" w:right="4"/>
              <w:rPr>
                <w:rFonts w:ascii="Tahoma" w:eastAsia="Arial MT" w:hAnsi="Tahoma" w:cs="Tahoma"/>
                <w:sz w:val="20"/>
                <w:szCs w:val="20"/>
              </w:rPr>
            </w:pPr>
            <w:r w:rsidRPr="002462E6">
              <w:rPr>
                <w:rFonts w:ascii="Tahoma" w:eastAsia="Arial MT" w:hAnsi="Tahoma" w:cs="Tahoma"/>
                <w:sz w:val="20"/>
                <w:szCs w:val="20"/>
              </w:rPr>
              <w:t>(Officier</w:t>
            </w:r>
            <w:r w:rsidRPr="002462E6">
              <w:rPr>
                <w:rFonts w:ascii="Tahoma" w:eastAsia="Arial MT" w:hAnsi="Tahoma" w:cs="Tahoma"/>
                <w:spacing w:val="-4"/>
                <w:sz w:val="20"/>
                <w:szCs w:val="20"/>
              </w:rPr>
              <w:t xml:space="preserve"> </w:t>
            </w:r>
            <w:r w:rsidRPr="002462E6">
              <w:rPr>
                <w:rFonts w:ascii="Tahoma" w:eastAsia="Arial MT" w:hAnsi="Tahoma" w:cs="Tahoma"/>
                <w:sz w:val="20"/>
                <w:szCs w:val="20"/>
              </w:rPr>
              <w:t>des</w:t>
            </w:r>
            <w:r w:rsidRPr="002462E6">
              <w:rPr>
                <w:rFonts w:ascii="Tahoma" w:eastAsia="Arial MT" w:hAnsi="Tahoma" w:cs="Tahoma"/>
                <w:spacing w:val="-3"/>
                <w:sz w:val="20"/>
                <w:szCs w:val="20"/>
              </w:rPr>
              <w:t xml:space="preserve"> </w:t>
            </w:r>
            <w:r w:rsidRPr="002462E6">
              <w:rPr>
                <w:rFonts w:ascii="Tahoma" w:eastAsia="Arial MT" w:hAnsi="Tahoma" w:cs="Tahoma"/>
                <w:sz w:val="20"/>
                <w:szCs w:val="20"/>
              </w:rPr>
              <w:t>Eaux</w:t>
            </w:r>
            <w:r w:rsidRPr="002462E6">
              <w:rPr>
                <w:rFonts w:ascii="Tahoma" w:eastAsia="Arial MT" w:hAnsi="Tahoma" w:cs="Tahoma"/>
                <w:spacing w:val="-4"/>
                <w:sz w:val="20"/>
                <w:szCs w:val="20"/>
              </w:rPr>
              <w:t xml:space="preserve"> </w:t>
            </w:r>
            <w:r w:rsidRPr="002462E6">
              <w:rPr>
                <w:rFonts w:ascii="Tahoma" w:eastAsia="Arial MT" w:hAnsi="Tahoma" w:cs="Tahoma"/>
                <w:sz w:val="20"/>
                <w:szCs w:val="20"/>
              </w:rPr>
              <w:t>et</w:t>
            </w:r>
            <w:r w:rsidRPr="002462E6">
              <w:rPr>
                <w:rFonts w:ascii="Tahoma" w:eastAsia="Arial MT" w:hAnsi="Tahoma" w:cs="Tahoma"/>
                <w:spacing w:val="-5"/>
                <w:sz w:val="20"/>
                <w:szCs w:val="20"/>
              </w:rPr>
              <w:t xml:space="preserve"> </w:t>
            </w:r>
            <w:r w:rsidRPr="002462E6">
              <w:rPr>
                <w:rFonts w:ascii="Tahoma" w:eastAsia="Arial MT" w:hAnsi="Tahoma" w:cs="Tahoma"/>
                <w:sz w:val="20"/>
                <w:szCs w:val="20"/>
              </w:rPr>
              <w:t>Forêts)</w:t>
            </w:r>
          </w:p>
        </w:tc>
        <w:tc>
          <w:tcPr>
            <w:cnfStyle w:val="000010000000" w:firstRow="0" w:lastRow="0" w:firstColumn="0" w:lastColumn="0" w:oddVBand="1" w:evenVBand="0" w:oddHBand="0" w:evenHBand="0" w:firstRowFirstColumn="0" w:firstRowLastColumn="0" w:lastRowFirstColumn="0" w:lastRowLastColumn="0"/>
            <w:tcW w:w="851" w:type="dxa"/>
            <w:tcBorders>
              <w:top w:val="single" w:sz="4" w:space="0" w:color="auto"/>
              <w:left w:val="single" w:sz="4" w:space="0" w:color="auto"/>
              <w:bottom w:val="single" w:sz="4" w:space="0" w:color="auto"/>
              <w:right w:val="single" w:sz="4" w:space="0" w:color="auto"/>
            </w:tcBorders>
            <w:vAlign w:val="center"/>
          </w:tcPr>
          <w:p w:rsidR="000A7532" w:rsidRPr="002462E6" w:rsidRDefault="000A7532" w:rsidP="009D1D90">
            <w:pPr>
              <w:ind w:right="4"/>
              <w:jc w:val="center"/>
              <w:rPr>
                <w:rFonts w:ascii="Tahoma" w:eastAsia="Arial MT" w:hAnsi="Tahoma" w:cs="Tahoma"/>
                <w:i/>
                <w:sz w:val="20"/>
                <w:szCs w:val="20"/>
              </w:rPr>
            </w:pPr>
          </w:p>
          <w:p w:rsidR="000A7532" w:rsidRPr="002462E6" w:rsidRDefault="000A7532" w:rsidP="009D1D90">
            <w:pPr>
              <w:ind w:left="19" w:right="4"/>
              <w:jc w:val="center"/>
              <w:rPr>
                <w:rFonts w:ascii="Tahoma" w:eastAsia="Arial MT" w:hAnsi="Tahoma" w:cs="Tahoma"/>
                <w:sz w:val="20"/>
                <w:szCs w:val="20"/>
              </w:rPr>
            </w:pPr>
            <w:r w:rsidRPr="002462E6">
              <w:rPr>
                <w:rFonts w:ascii="Tahoma" w:eastAsia="Arial MT" w:hAnsi="Tahoma" w:cs="Tahoma"/>
                <w:w w:val="98"/>
                <w:sz w:val="20"/>
                <w:szCs w:val="20"/>
              </w:rPr>
              <w:t>3</w:t>
            </w:r>
          </w:p>
        </w:tc>
        <w:tc>
          <w:tcPr>
            <w:tcW w:w="851" w:type="dxa"/>
            <w:tcBorders>
              <w:top w:val="single" w:sz="4" w:space="0" w:color="auto"/>
              <w:left w:val="single" w:sz="4" w:space="0" w:color="auto"/>
              <w:bottom w:val="single" w:sz="4" w:space="0" w:color="auto"/>
              <w:right w:val="single" w:sz="4" w:space="0" w:color="auto"/>
            </w:tcBorders>
            <w:vAlign w:val="center"/>
          </w:tcPr>
          <w:p w:rsidR="000A7532" w:rsidRPr="002462E6" w:rsidRDefault="000A7532" w:rsidP="009D1D90">
            <w:pPr>
              <w:ind w:right="4"/>
              <w:jc w:val="center"/>
              <w:cnfStyle w:val="000000100000" w:firstRow="0" w:lastRow="0" w:firstColumn="0" w:lastColumn="0" w:oddVBand="0" w:evenVBand="0" w:oddHBand="1" w:evenHBand="0" w:firstRowFirstColumn="0" w:firstRowLastColumn="0" w:lastRowFirstColumn="0" w:lastRowLastColumn="0"/>
              <w:rPr>
                <w:rFonts w:ascii="Tahoma" w:eastAsia="Arial MT" w:hAnsi="Tahoma" w:cs="Tahoma"/>
                <w:i/>
                <w:sz w:val="20"/>
                <w:szCs w:val="20"/>
              </w:rPr>
            </w:pPr>
          </w:p>
          <w:p w:rsidR="000A7532" w:rsidRPr="002462E6" w:rsidRDefault="000A7532" w:rsidP="009D1D90">
            <w:pPr>
              <w:ind w:left="291" w:right="4"/>
              <w:jc w:val="center"/>
              <w:cnfStyle w:val="000000100000" w:firstRow="0" w:lastRow="0" w:firstColumn="0" w:lastColumn="0" w:oddVBand="0" w:evenVBand="0" w:oddHBand="1" w:evenHBand="0" w:firstRowFirstColumn="0" w:firstRowLastColumn="0" w:lastRowFirstColumn="0" w:lastRowLastColumn="0"/>
              <w:rPr>
                <w:rFonts w:ascii="Tahoma" w:eastAsia="Arial MT" w:hAnsi="Tahoma" w:cs="Tahoma"/>
                <w:sz w:val="20"/>
                <w:szCs w:val="20"/>
              </w:rPr>
            </w:pPr>
            <w:r w:rsidRPr="002462E6">
              <w:rPr>
                <w:rFonts w:ascii="Tahoma" w:eastAsia="Arial MT" w:hAnsi="Tahoma" w:cs="Tahoma"/>
                <w:sz w:val="20"/>
                <w:szCs w:val="20"/>
              </w:rPr>
              <w:t>23</w:t>
            </w:r>
          </w:p>
        </w:tc>
        <w:tc>
          <w:tcPr>
            <w:cnfStyle w:val="000010000000" w:firstRow="0" w:lastRow="0" w:firstColumn="0" w:lastColumn="0" w:oddVBand="1" w:evenVBand="0" w:oddHBand="0" w:evenHBand="0" w:firstRowFirstColumn="0" w:firstRowLastColumn="0" w:lastRowFirstColumn="0" w:lastRowLastColumn="0"/>
            <w:tcW w:w="1134" w:type="dxa"/>
            <w:tcBorders>
              <w:top w:val="single" w:sz="4" w:space="0" w:color="auto"/>
              <w:left w:val="single" w:sz="4" w:space="0" w:color="auto"/>
              <w:bottom w:val="single" w:sz="4" w:space="0" w:color="auto"/>
              <w:right w:val="single" w:sz="4" w:space="0" w:color="auto"/>
            </w:tcBorders>
            <w:vAlign w:val="center"/>
          </w:tcPr>
          <w:p w:rsidR="000A7532" w:rsidRPr="002462E6" w:rsidRDefault="000A7532" w:rsidP="009D1D90">
            <w:pPr>
              <w:ind w:right="4"/>
              <w:jc w:val="center"/>
              <w:rPr>
                <w:rFonts w:ascii="Tahoma" w:eastAsia="Arial MT" w:hAnsi="Tahoma" w:cs="Tahoma"/>
                <w:i/>
                <w:sz w:val="20"/>
                <w:szCs w:val="20"/>
              </w:rPr>
            </w:pPr>
          </w:p>
          <w:p w:rsidR="000A7532" w:rsidRPr="002462E6" w:rsidRDefault="000A7532" w:rsidP="009D1D90">
            <w:pPr>
              <w:ind w:left="310" w:right="4"/>
              <w:jc w:val="center"/>
              <w:rPr>
                <w:rFonts w:ascii="Tahoma" w:eastAsia="Arial MT" w:hAnsi="Tahoma" w:cs="Tahoma"/>
                <w:sz w:val="20"/>
                <w:szCs w:val="20"/>
              </w:rPr>
            </w:pPr>
            <w:r w:rsidRPr="002462E6">
              <w:rPr>
                <w:rFonts w:ascii="Tahoma" w:eastAsia="Arial MT" w:hAnsi="Tahoma" w:cs="Tahoma"/>
                <w:sz w:val="20"/>
                <w:szCs w:val="20"/>
              </w:rPr>
              <w:t>23</w:t>
            </w:r>
          </w:p>
        </w:tc>
        <w:tc>
          <w:tcPr>
            <w:tcW w:w="851" w:type="dxa"/>
            <w:tcBorders>
              <w:top w:val="single" w:sz="4" w:space="0" w:color="auto"/>
              <w:left w:val="single" w:sz="4" w:space="0" w:color="auto"/>
              <w:bottom w:val="single" w:sz="4" w:space="0" w:color="auto"/>
              <w:right w:val="single" w:sz="4" w:space="0" w:color="auto"/>
            </w:tcBorders>
            <w:vAlign w:val="center"/>
          </w:tcPr>
          <w:p w:rsidR="000A7532" w:rsidRPr="002462E6" w:rsidRDefault="000A7532" w:rsidP="009D1D90">
            <w:pPr>
              <w:ind w:right="4"/>
              <w:jc w:val="center"/>
              <w:cnfStyle w:val="000000100000" w:firstRow="0" w:lastRow="0" w:firstColumn="0" w:lastColumn="0" w:oddVBand="0" w:evenVBand="0" w:oddHBand="1" w:evenHBand="0" w:firstRowFirstColumn="0" w:firstRowLastColumn="0" w:lastRowFirstColumn="0" w:lastRowLastColumn="0"/>
              <w:rPr>
                <w:rFonts w:ascii="Tahoma" w:eastAsia="Arial MT" w:hAnsi="Tahoma" w:cs="Tahoma"/>
                <w:i/>
                <w:sz w:val="20"/>
                <w:szCs w:val="20"/>
              </w:rPr>
            </w:pPr>
          </w:p>
          <w:p w:rsidR="000A7532" w:rsidRPr="002462E6" w:rsidRDefault="000A7532" w:rsidP="009D1D90">
            <w:pPr>
              <w:ind w:left="90" w:right="4"/>
              <w:jc w:val="center"/>
              <w:cnfStyle w:val="000000100000" w:firstRow="0" w:lastRow="0" w:firstColumn="0" w:lastColumn="0" w:oddVBand="0" w:evenVBand="0" w:oddHBand="1" w:evenHBand="0" w:firstRowFirstColumn="0" w:firstRowLastColumn="0" w:lastRowFirstColumn="0" w:lastRowLastColumn="0"/>
              <w:rPr>
                <w:rFonts w:ascii="Tahoma" w:eastAsia="Arial MT" w:hAnsi="Tahoma" w:cs="Tahoma"/>
                <w:sz w:val="20"/>
                <w:szCs w:val="20"/>
              </w:rPr>
            </w:pPr>
            <w:r w:rsidRPr="002462E6">
              <w:rPr>
                <w:rFonts w:ascii="Tahoma" w:eastAsia="Arial MT" w:hAnsi="Tahoma" w:cs="Tahoma"/>
                <w:sz w:val="20"/>
                <w:szCs w:val="20"/>
              </w:rPr>
              <w:t>30</w:t>
            </w:r>
          </w:p>
        </w:tc>
        <w:tc>
          <w:tcPr>
            <w:cnfStyle w:val="000010000000" w:firstRow="0" w:lastRow="0" w:firstColumn="0" w:lastColumn="0" w:oddVBand="1" w:evenVBand="0" w:oddHBand="0" w:evenHBand="0" w:firstRowFirstColumn="0" w:firstRowLastColumn="0" w:lastRowFirstColumn="0" w:lastRowLastColumn="0"/>
            <w:tcW w:w="1099" w:type="dxa"/>
            <w:tcBorders>
              <w:top w:val="single" w:sz="4" w:space="0" w:color="auto"/>
              <w:left w:val="single" w:sz="4" w:space="0" w:color="auto"/>
              <w:bottom w:val="single" w:sz="4" w:space="0" w:color="auto"/>
              <w:right w:val="single" w:sz="4" w:space="0" w:color="auto"/>
            </w:tcBorders>
            <w:vAlign w:val="center"/>
          </w:tcPr>
          <w:p w:rsidR="000A7532" w:rsidRPr="002462E6" w:rsidRDefault="000A7532" w:rsidP="009D1D90">
            <w:pPr>
              <w:ind w:right="4"/>
              <w:jc w:val="center"/>
              <w:rPr>
                <w:rFonts w:ascii="Tahoma" w:eastAsia="Arial MT" w:hAnsi="Tahoma" w:cs="Tahoma"/>
                <w:i/>
                <w:sz w:val="20"/>
                <w:szCs w:val="20"/>
              </w:rPr>
            </w:pPr>
          </w:p>
          <w:p w:rsidR="000A7532" w:rsidRPr="002462E6" w:rsidRDefault="000A7532" w:rsidP="009D1D90">
            <w:pPr>
              <w:ind w:left="171" w:right="4"/>
              <w:jc w:val="center"/>
              <w:rPr>
                <w:rFonts w:ascii="Tahoma" w:eastAsia="Arial MT" w:hAnsi="Tahoma" w:cs="Tahoma"/>
                <w:sz w:val="20"/>
                <w:szCs w:val="20"/>
              </w:rPr>
            </w:pPr>
            <w:r w:rsidRPr="002462E6">
              <w:rPr>
                <w:rFonts w:ascii="Tahoma" w:eastAsia="Arial MT" w:hAnsi="Tahoma" w:cs="Tahoma"/>
                <w:sz w:val="20"/>
                <w:szCs w:val="20"/>
              </w:rPr>
              <w:t>40</w:t>
            </w:r>
          </w:p>
        </w:tc>
        <w:tc>
          <w:tcPr>
            <w:tcW w:w="992" w:type="dxa"/>
            <w:tcBorders>
              <w:top w:val="single" w:sz="4" w:space="0" w:color="auto"/>
              <w:left w:val="single" w:sz="4" w:space="0" w:color="auto"/>
              <w:bottom w:val="single" w:sz="4" w:space="0" w:color="auto"/>
              <w:right w:val="single" w:sz="4" w:space="0" w:color="auto"/>
            </w:tcBorders>
            <w:vAlign w:val="center"/>
          </w:tcPr>
          <w:p w:rsidR="000A7532" w:rsidRPr="002462E6" w:rsidRDefault="000A7532" w:rsidP="009D1D90">
            <w:pPr>
              <w:ind w:right="4"/>
              <w:jc w:val="center"/>
              <w:cnfStyle w:val="000000100000" w:firstRow="0" w:lastRow="0" w:firstColumn="0" w:lastColumn="0" w:oddVBand="0" w:evenVBand="0" w:oddHBand="1" w:evenHBand="0" w:firstRowFirstColumn="0" w:firstRowLastColumn="0" w:lastRowFirstColumn="0" w:lastRowLastColumn="0"/>
              <w:rPr>
                <w:rFonts w:ascii="Tahoma" w:eastAsia="Arial MT" w:hAnsi="Tahoma" w:cs="Tahoma"/>
                <w:i/>
                <w:sz w:val="20"/>
                <w:szCs w:val="20"/>
              </w:rPr>
            </w:pPr>
          </w:p>
          <w:p w:rsidR="000A7532" w:rsidRPr="002462E6" w:rsidRDefault="000A7532" w:rsidP="009D1D90">
            <w:pPr>
              <w:ind w:right="4"/>
              <w:jc w:val="center"/>
              <w:cnfStyle w:val="000000100000" w:firstRow="0" w:lastRow="0" w:firstColumn="0" w:lastColumn="0" w:oddVBand="0" w:evenVBand="0" w:oddHBand="1" w:evenHBand="0" w:firstRowFirstColumn="0" w:firstRowLastColumn="0" w:lastRowFirstColumn="0" w:lastRowLastColumn="0"/>
              <w:rPr>
                <w:rFonts w:ascii="Tahoma" w:eastAsia="Arial MT" w:hAnsi="Tahoma" w:cs="Tahoma"/>
                <w:sz w:val="20"/>
                <w:szCs w:val="20"/>
              </w:rPr>
            </w:pPr>
            <w:r w:rsidRPr="002462E6">
              <w:rPr>
                <w:rFonts w:ascii="Tahoma" w:eastAsia="Arial MT" w:hAnsi="Tahoma" w:cs="Tahoma"/>
                <w:sz w:val="20"/>
                <w:szCs w:val="20"/>
              </w:rPr>
              <w:t>109</w:t>
            </w:r>
          </w:p>
        </w:tc>
        <w:tc>
          <w:tcPr>
            <w:cnfStyle w:val="000100000000" w:firstRow="0" w:lastRow="0" w:firstColumn="0" w:lastColumn="1" w:oddVBand="0" w:evenVBand="0" w:oddHBand="0" w:evenHBand="0" w:firstRowFirstColumn="0" w:firstRowLastColumn="0" w:lastRowFirstColumn="0" w:lastRowLastColumn="0"/>
            <w:tcW w:w="1134" w:type="dxa"/>
            <w:tcBorders>
              <w:top w:val="single" w:sz="4" w:space="0" w:color="auto"/>
              <w:left w:val="single" w:sz="4" w:space="0" w:color="auto"/>
              <w:bottom w:val="single" w:sz="4" w:space="0" w:color="auto"/>
              <w:right w:val="single" w:sz="4" w:space="0" w:color="auto"/>
            </w:tcBorders>
            <w:vAlign w:val="center"/>
          </w:tcPr>
          <w:p w:rsidR="000A7532" w:rsidRPr="002462E6" w:rsidRDefault="000A7532" w:rsidP="009D1D90">
            <w:pPr>
              <w:ind w:right="4"/>
              <w:jc w:val="center"/>
              <w:rPr>
                <w:rFonts w:ascii="Tahoma" w:eastAsia="Arial MT" w:hAnsi="Tahoma" w:cs="Tahoma"/>
                <w:i/>
                <w:sz w:val="20"/>
                <w:szCs w:val="20"/>
              </w:rPr>
            </w:pPr>
          </w:p>
          <w:p w:rsidR="000A7532" w:rsidRPr="002462E6" w:rsidRDefault="000A7532" w:rsidP="009D1D90">
            <w:pPr>
              <w:ind w:left="90" w:right="4"/>
              <w:jc w:val="center"/>
              <w:rPr>
                <w:rFonts w:ascii="Tahoma" w:eastAsia="Arial MT" w:hAnsi="Tahoma" w:cs="Tahoma"/>
                <w:sz w:val="20"/>
                <w:szCs w:val="20"/>
              </w:rPr>
            </w:pPr>
            <w:r w:rsidRPr="002462E6">
              <w:rPr>
                <w:rFonts w:ascii="Tahoma" w:eastAsia="Arial MT" w:hAnsi="Tahoma" w:cs="Tahoma"/>
                <w:sz w:val="20"/>
                <w:szCs w:val="20"/>
              </w:rPr>
              <w:t>226</w:t>
            </w:r>
          </w:p>
        </w:tc>
      </w:tr>
      <w:tr w:rsidR="000355E5" w:rsidRPr="002462E6" w:rsidTr="009D1D90">
        <w:trPr>
          <w:trHeight w:val="690"/>
        </w:trPr>
        <w:tc>
          <w:tcPr>
            <w:cnfStyle w:val="001000000000" w:firstRow="0" w:lastRow="0" w:firstColumn="1" w:lastColumn="0" w:oddVBand="0" w:evenVBand="0" w:oddHBand="0" w:evenHBand="0" w:firstRowFirstColumn="0" w:firstRowLastColumn="0" w:lastRowFirstColumn="0" w:lastRowLastColumn="0"/>
            <w:tcW w:w="3119" w:type="dxa"/>
            <w:tcBorders>
              <w:right w:val="single" w:sz="4" w:space="0" w:color="auto"/>
            </w:tcBorders>
            <w:vAlign w:val="center"/>
          </w:tcPr>
          <w:p w:rsidR="000A7532" w:rsidRPr="002462E6" w:rsidRDefault="000A7532" w:rsidP="002676C3">
            <w:pPr>
              <w:spacing w:before="29"/>
              <w:ind w:left="79" w:right="4"/>
              <w:rPr>
                <w:rFonts w:ascii="Tahoma" w:eastAsia="Arial MT" w:hAnsi="Tahoma" w:cs="Tahoma"/>
                <w:sz w:val="20"/>
                <w:szCs w:val="20"/>
              </w:rPr>
            </w:pPr>
            <w:r w:rsidRPr="002462E6">
              <w:rPr>
                <w:rFonts w:ascii="Tahoma" w:eastAsia="Arial MT" w:hAnsi="Tahoma" w:cs="Tahoma"/>
                <w:sz w:val="20"/>
                <w:szCs w:val="20"/>
              </w:rPr>
              <w:t>Adjoints techniques</w:t>
            </w:r>
            <w:r w:rsidRPr="002462E6">
              <w:rPr>
                <w:rFonts w:ascii="Tahoma" w:eastAsia="Arial MT" w:hAnsi="Tahoma" w:cs="Tahoma"/>
                <w:spacing w:val="1"/>
                <w:sz w:val="20"/>
                <w:szCs w:val="20"/>
              </w:rPr>
              <w:t xml:space="preserve"> </w:t>
            </w:r>
            <w:r w:rsidRPr="002462E6">
              <w:rPr>
                <w:rFonts w:ascii="Tahoma" w:eastAsia="Arial MT" w:hAnsi="Tahoma" w:cs="Tahoma"/>
                <w:sz w:val="20"/>
                <w:szCs w:val="20"/>
              </w:rPr>
              <w:t>(Brigadiers</w:t>
            </w:r>
            <w:r w:rsidRPr="002462E6">
              <w:rPr>
                <w:rFonts w:ascii="Tahoma" w:eastAsia="Arial MT" w:hAnsi="Tahoma" w:cs="Tahoma"/>
                <w:spacing w:val="-13"/>
                <w:sz w:val="20"/>
                <w:szCs w:val="20"/>
              </w:rPr>
              <w:t xml:space="preserve"> </w:t>
            </w:r>
            <w:r w:rsidRPr="002462E6">
              <w:rPr>
                <w:rFonts w:ascii="Tahoma" w:eastAsia="Arial MT" w:hAnsi="Tahoma" w:cs="Tahoma"/>
                <w:sz w:val="20"/>
                <w:szCs w:val="20"/>
              </w:rPr>
              <w:t>forestiers)</w:t>
            </w:r>
          </w:p>
        </w:tc>
        <w:tc>
          <w:tcPr>
            <w:cnfStyle w:val="000010000000" w:firstRow="0" w:lastRow="0" w:firstColumn="0" w:lastColumn="0" w:oddVBand="1" w:evenVBand="0" w:oddHBand="0" w:evenHBand="0" w:firstRowFirstColumn="0" w:firstRowLastColumn="0" w:lastRowFirstColumn="0" w:lastRowLastColumn="0"/>
            <w:tcW w:w="851" w:type="dxa"/>
            <w:tcBorders>
              <w:top w:val="single" w:sz="4" w:space="0" w:color="auto"/>
              <w:left w:val="single" w:sz="4" w:space="0" w:color="auto"/>
              <w:bottom w:val="single" w:sz="4" w:space="0" w:color="auto"/>
              <w:right w:val="single" w:sz="4" w:space="0" w:color="auto"/>
            </w:tcBorders>
            <w:vAlign w:val="center"/>
          </w:tcPr>
          <w:p w:rsidR="000A7532" w:rsidRPr="002462E6" w:rsidRDefault="000A7532" w:rsidP="009D1D90">
            <w:pPr>
              <w:spacing w:before="6"/>
              <w:ind w:right="4"/>
              <w:jc w:val="center"/>
              <w:rPr>
                <w:rFonts w:ascii="Tahoma" w:eastAsia="Arial MT" w:hAnsi="Tahoma" w:cs="Tahoma"/>
                <w:i/>
                <w:sz w:val="29"/>
                <w:szCs w:val="20"/>
              </w:rPr>
            </w:pPr>
          </w:p>
          <w:p w:rsidR="000A7532" w:rsidRPr="002462E6" w:rsidRDefault="000A7532" w:rsidP="009D1D90">
            <w:pPr>
              <w:ind w:left="55" w:right="4"/>
              <w:jc w:val="center"/>
              <w:rPr>
                <w:rFonts w:ascii="Tahoma" w:eastAsia="Arial MT" w:hAnsi="Tahoma" w:cs="Tahoma"/>
                <w:sz w:val="20"/>
                <w:szCs w:val="20"/>
              </w:rPr>
            </w:pPr>
            <w:r w:rsidRPr="002462E6">
              <w:rPr>
                <w:rFonts w:ascii="Tahoma" w:eastAsia="Arial MT" w:hAnsi="Tahoma" w:cs="Tahoma"/>
                <w:sz w:val="20"/>
                <w:szCs w:val="20"/>
              </w:rPr>
              <w:t>n.i.</w:t>
            </w:r>
          </w:p>
        </w:tc>
        <w:tc>
          <w:tcPr>
            <w:tcW w:w="851" w:type="dxa"/>
            <w:tcBorders>
              <w:top w:val="single" w:sz="4" w:space="0" w:color="auto"/>
              <w:left w:val="single" w:sz="4" w:space="0" w:color="auto"/>
              <w:bottom w:val="single" w:sz="4" w:space="0" w:color="auto"/>
              <w:right w:val="single" w:sz="4" w:space="0" w:color="auto"/>
            </w:tcBorders>
            <w:vAlign w:val="center"/>
          </w:tcPr>
          <w:p w:rsidR="000A7532" w:rsidRPr="002462E6" w:rsidRDefault="000A7532" w:rsidP="009D1D90">
            <w:pPr>
              <w:spacing w:before="6"/>
              <w:ind w:right="4"/>
              <w:jc w:val="center"/>
              <w:cnfStyle w:val="000000000000" w:firstRow="0" w:lastRow="0" w:firstColumn="0" w:lastColumn="0" w:oddVBand="0" w:evenVBand="0" w:oddHBand="0" w:evenHBand="0" w:firstRowFirstColumn="0" w:firstRowLastColumn="0" w:lastRowFirstColumn="0" w:lastRowLastColumn="0"/>
              <w:rPr>
                <w:rFonts w:ascii="Tahoma" w:eastAsia="Arial MT" w:hAnsi="Tahoma" w:cs="Tahoma"/>
                <w:i/>
                <w:sz w:val="29"/>
                <w:szCs w:val="20"/>
              </w:rPr>
            </w:pPr>
          </w:p>
          <w:p w:rsidR="000A7532" w:rsidRPr="002462E6" w:rsidRDefault="000A7532" w:rsidP="009D1D90">
            <w:pPr>
              <w:ind w:left="174" w:right="4"/>
              <w:jc w:val="center"/>
              <w:cnfStyle w:val="000000000000" w:firstRow="0" w:lastRow="0" w:firstColumn="0" w:lastColumn="0" w:oddVBand="0" w:evenVBand="0" w:oddHBand="0" w:evenHBand="0" w:firstRowFirstColumn="0" w:firstRowLastColumn="0" w:lastRowFirstColumn="0" w:lastRowLastColumn="0"/>
              <w:rPr>
                <w:rFonts w:ascii="Tahoma" w:eastAsia="Arial MT" w:hAnsi="Tahoma" w:cs="Tahoma"/>
                <w:sz w:val="20"/>
                <w:szCs w:val="20"/>
              </w:rPr>
            </w:pPr>
            <w:r w:rsidRPr="002462E6">
              <w:rPr>
                <w:rFonts w:ascii="Tahoma" w:eastAsia="Arial MT" w:hAnsi="Tahoma" w:cs="Tahoma"/>
                <w:sz w:val="20"/>
                <w:szCs w:val="20"/>
              </w:rPr>
              <w:t>n.i.</w:t>
            </w:r>
          </w:p>
        </w:tc>
        <w:tc>
          <w:tcPr>
            <w:cnfStyle w:val="000010000000" w:firstRow="0" w:lastRow="0" w:firstColumn="0" w:lastColumn="0" w:oddVBand="1" w:evenVBand="0" w:oddHBand="0" w:evenHBand="0" w:firstRowFirstColumn="0" w:firstRowLastColumn="0" w:lastRowFirstColumn="0" w:lastRowLastColumn="0"/>
            <w:tcW w:w="1134" w:type="dxa"/>
            <w:tcBorders>
              <w:top w:val="single" w:sz="4" w:space="0" w:color="auto"/>
              <w:left w:val="single" w:sz="4" w:space="0" w:color="auto"/>
              <w:bottom w:val="single" w:sz="4" w:space="0" w:color="auto"/>
              <w:right w:val="single" w:sz="4" w:space="0" w:color="auto"/>
            </w:tcBorders>
            <w:vAlign w:val="center"/>
          </w:tcPr>
          <w:p w:rsidR="000A7532" w:rsidRPr="002462E6" w:rsidRDefault="000A7532" w:rsidP="009D1D90">
            <w:pPr>
              <w:spacing w:before="6"/>
              <w:ind w:right="4"/>
              <w:jc w:val="center"/>
              <w:rPr>
                <w:rFonts w:ascii="Tahoma" w:eastAsia="Arial MT" w:hAnsi="Tahoma" w:cs="Tahoma"/>
                <w:i/>
                <w:sz w:val="29"/>
                <w:szCs w:val="20"/>
              </w:rPr>
            </w:pPr>
          </w:p>
          <w:p w:rsidR="000A7532" w:rsidRPr="002462E6" w:rsidRDefault="000A7532" w:rsidP="009D1D90">
            <w:pPr>
              <w:ind w:left="309" w:right="4"/>
              <w:jc w:val="center"/>
              <w:rPr>
                <w:rFonts w:ascii="Tahoma" w:eastAsia="Arial MT" w:hAnsi="Tahoma" w:cs="Tahoma"/>
                <w:sz w:val="20"/>
                <w:szCs w:val="20"/>
              </w:rPr>
            </w:pPr>
            <w:r w:rsidRPr="002462E6">
              <w:rPr>
                <w:rFonts w:ascii="Tahoma" w:eastAsia="Arial MT" w:hAnsi="Tahoma" w:cs="Tahoma"/>
                <w:sz w:val="20"/>
                <w:szCs w:val="20"/>
              </w:rPr>
              <w:t>n.i.</w:t>
            </w:r>
          </w:p>
        </w:tc>
        <w:tc>
          <w:tcPr>
            <w:tcW w:w="851" w:type="dxa"/>
            <w:tcBorders>
              <w:top w:val="single" w:sz="4" w:space="0" w:color="auto"/>
              <w:left w:val="single" w:sz="4" w:space="0" w:color="auto"/>
              <w:bottom w:val="single" w:sz="4" w:space="0" w:color="auto"/>
              <w:right w:val="single" w:sz="4" w:space="0" w:color="auto"/>
            </w:tcBorders>
            <w:vAlign w:val="center"/>
          </w:tcPr>
          <w:p w:rsidR="000A7532" w:rsidRPr="002462E6" w:rsidRDefault="000A7532" w:rsidP="009D1D90">
            <w:pPr>
              <w:spacing w:before="6"/>
              <w:ind w:right="4"/>
              <w:jc w:val="center"/>
              <w:cnfStyle w:val="000000000000" w:firstRow="0" w:lastRow="0" w:firstColumn="0" w:lastColumn="0" w:oddVBand="0" w:evenVBand="0" w:oddHBand="0" w:evenHBand="0" w:firstRowFirstColumn="0" w:firstRowLastColumn="0" w:lastRowFirstColumn="0" w:lastRowLastColumn="0"/>
              <w:rPr>
                <w:rFonts w:ascii="Tahoma" w:eastAsia="Arial MT" w:hAnsi="Tahoma" w:cs="Tahoma"/>
                <w:i/>
                <w:sz w:val="29"/>
                <w:szCs w:val="20"/>
              </w:rPr>
            </w:pPr>
          </w:p>
          <w:p w:rsidR="000A7532" w:rsidRPr="002462E6" w:rsidRDefault="000A7532" w:rsidP="009D1D90">
            <w:pPr>
              <w:ind w:left="90" w:right="4"/>
              <w:jc w:val="center"/>
              <w:cnfStyle w:val="000000000000" w:firstRow="0" w:lastRow="0" w:firstColumn="0" w:lastColumn="0" w:oddVBand="0" w:evenVBand="0" w:oddHBand="0" w:evenHBand="0" w:firstRowFirstColumn="0" w:firstRowLastColumn="0" w:lastRowFirstColumn="0" w:lastRowLastColumn="0"/>
              <w:rPr>
                <w:rFonts w:ascii="Tahoma" w:eastAsia="Arial MT" w:hAnsi="Tahoma" w:cs="Tahoma"/>
                <w:sz w:val="20"/>
                <w:szCs w:val="20"/>
              </w:rPr>
            </w:pPr>
            <w:r w:rsidRPr="002462E6">
              <w:rPr>
                <w:rFonts w:ascii="Tahoma" w:eastAsia="Arial MT" w:hAnsi="Tahoma" w:cs="Tahoma"/>
                <w:sz w:val="20"/>
                <w:szCs w:val="20"/>
              </w:rPr>
              <w:t>55</w:t>
            </w:r>
          </w:p>
        </w:tc>
        <w:tc>
          <w:tcPr>
            <w:cnfStyle w:val="000010000000" w:firstRow="0" w:lastRow="0" w:firstColumn="0" w:lastColumn="0" w:oddVBand="1" w:evenVBand="0" w:oddHBand="0" w:evenHBand="0" w:firstRowFirstColumn="0" w:firstRowLastColumn="0" w:lastRowFirstColumn="0" w:lastRowLastColumn="0"/>
            <w:tcW w:w="1099" w:type="dxa"/>
            <w:tcBorders>
              <w:top w:val="single" w:sz="4" w:space="0" w:color="auto"/>
              <w:left w:val="single" w:sz="4" w:space="0" w:color="auto"/>
              <w:bottom w:val="single" w:sz="4" w:space="0" w:color="auto"/>
              <w:right w:val="single" w:sz="4" w:space="0" w:color="auto"/>
            </w:tcBorders>
            <w:vAlign w:val="center"/>
          </w:tcPr>
          <w:p w:rsidR="000A7532" w:rsidRPr="002462E6" w:rsidRDefault="000A7532" w:rsidP="009D1D90">
            <w:pPr>
              <w:ind w:right="4"/>
              <w:jc w:val="center"/>
              <w:rPr>
                <w:rFonts w:ascii="Tahoma" w:eastAsia="Arial MT" w:hAnsi="Tahoma" w:cs="Tahoma"/>
                <w:i/>
                <w:sz w:val="20"/>
                <w:szCs w:val="20"/>
              </w:rPr>
            </w:pPr>
          </w:p>
          <w:p w:rsidR="000A7532" w:rsidRPr="002462E6" w:rsidRDefault="000A7532" w:rsidP="009D1D90">
            <w:pPr>
              <w:ind w:left="172" w:right="4"/>
              <w:jc w:val="center"/>
              <w:rPr>
                <w:rFonts w:ascii="Tahoma" w:eastAsia="Arial MT" w:hAnsi="Tahoma" w:cs="Tahoma"/>
                <w:sz w:val="20"/>
                <w:szCs w:val="20"/>
              </w:rPr>
            </w:pPr>
            <w:r w:rsidRPr="002462E6">
              <w:rPr>
                <w:rFonts w:ascii="Tahoma" w:eastAsia="Arial MT" w:hAnsi="Tahoma" w:cs="Tahoma"/>
                <w:sz w:val="20"/>
                <w:szCs w:val="20"/>
              </w:rPr>
              <w:t>100</w:t>
            </w:r>
          </w:p>
        </w:tc>
        <w:tc>
          <w:tcPr>
            <w:tcW w:w="992" w:type="dxa"/>
            <w:tcBorders>
              <w:top w:val="single" w:sz="4" w:space="0" w:color="auto"/>
              <w:left w:val="single" w:sz="4" w:space="0" w:color="auto"/>
              <w:bottom w:val="single" w:sz="4" w:space="0" w:color="auto"/>
              <w:right w:val="single" w:sz="4" w:space="0" w:color="auto"/>
            </w:tcBorders>
            <w:vAlign w:val="center"/>
          </w:tcPr>
          <w:p w:rsidR="000A7532" w:rsidRPr="002462E6" w:rsidRDefault="000A7532" w:rsidP="009D1D90">
            <w:pPr>
              <w:spacing w:before="6"/>
              <w:ind w:right="4"/>
              <w:jc w:val="center"/>
              <w:cnfStyle w:val="000000000000" w:firstRow="0" w:lastRow="0" w:firstColumn="0" w:lastColumn="0" w:oddVBand="0" w:evenVBand="0" w:oddHBand="0" w:evenHBand="0" w:firstRowFirstColumn="0" w:firstRowLastColumn="0" w:lastRowFirstColumn="0" w:lastRowLastColumn="0"/>
              <w:rPr>
                <w:rFonts w:ascii="Tahoma" w:eastAsia="Arial MT" w:hAnsi="Tahoma" w:cs="Tahoma"/>
                <w:i/>
                <w:sz w:val="29"/>
                <w:szCs w:val="20"/>
              </w:rPr>
            </w:pPr>
          </w:p>
          <w:p w:rsidR="000A7532" w:rsidRPr="002462E6" w:rsidRDefault="000A7532" w:rsidP="009D1D90">
            <w:pPr>
              <w:ind w:right="4"/>
              <w:jc w:val="center"/>
              <w:cnfStyle w:val="000000000000" w:firstRow="0" w:lastRow="0" w:firstColumn="0" w:lastColumn="0" w:oddVBand="0" w:evenVBand="0" w:oddHBand="0" w:evenHBand="0" w:firstRowFirstColumn="0" w:firstRowLastColumn="0" w:lastRowFirstColumn="0" w:lastRowLastColumn="0"/>
              <w:rPr>
                <w:rFonts w:ascii="Tahoma" w:eastAsia="Arial MT" w:hAnsi="Tahoma" w:cs="Tahoma"/>
                <w:sz w:val="20"/>
                <w:szCs w:val="20"/>
              </w:rPr>
            </w:pPr>
            <w:r w:rsidRPr="002462E6">
              <w:rPr>
                <w:rFonts w:ascii="Tahoma" w:eastAsia="Arial MT" w:hAnsi="Tahoma" w:cs="Tahoma"/>
                <w:sz w:val="20"/>
                <w:szCs w:val="20"/>
              </w:rPr>
              <w:t>156</w:t>
            </w:r>
          </w:p>
        </w:tc>
        <w:tc>
          <w:tcPr>
            <w:cnfStyle w:val="000100000000" w:firstRow="0" w:lastRow="0" w:firstColumn="0" w:lastColumn="1" w:oddVBand="0" w:evenVBand="0" w:oddHBand="0" w:evenHBand="0" w:firstRowFirstColumn="0" w:firstRowLastColumn="0" w:lastRowFirstColumn="0" w:lastRowLastColumn="0"/>
            <w:tcW w:w="1134" w:type="dxa"/>
            <w:tcBorders>
              <w:top w:val="single" w:sz="4" w:space="0" w:color="auto"/>
              <w:left w:val="single" w:sz="4" w:space="0" w:color="auto"/>
              <w:bottom w:val="single" w:sz="4" w:space="0" w:color="auto"/>
              <w:right w:val="single" w:sz="4" w:space="0" w:color="auto"/>
            </w:tcBorders>
            <w:vAlign w:val="center"/>
          </w:tcPr>
          <w:p w:rsidR="000A7532" w:rsidRPr="002462E6" w:rsidRDefault="000A7532" w:rsidP="009D1D90">
            <w:pPr>
              <w:ind w:right="4"/>
              <w:jc w:val="center"/>
              <w:rPr>
                <w:rFonts w:ascii="Tahoma" w:eastAsia="Arial MT" w:hAnsi="Tahoma" w:cs="Tahoma"/>
                <w:i/>
                <w:sz w:val="20"/>
                <w:szCs w:val="20"/>
              </w:rPr>
            </w:pPr>
          </w:p>
          <w:p w:rsidR="000A7532" w:rsidRPr="002462E6" w:rsidRDefault="000A7532" w:rsidP="009D1D90">
            <w:pPr>
              <w:ind w:left="90" w:right="4"/>
              <w:jc w:val="center"/>
              <w:rPr>
                <w:rFonts w:ascii="Tahoma" w:eastAsia="Arial MT" w:hAnsi="Tahoma" w:cs="Tahoma"/>
                <w:sz w:val="20"/>
                <w:szCs w:val="20"/>
              </w:rPr>
            </w:pPr>
            <w:r w:rsidRPr="002462E6">
              <w:rPr>
                <w:rFonts w:ascii="Tahoma" w:eastAsia="Arial MT" w:hAnsi="Tahoma" w:cs="Tahoma"/>
                <w:sz w:val="20"/>
                <w:szCs w:val="20"/>
              </w:rPr>
              <w:t>268</w:t>
            </w:r>
          </w:p>
        </w:tc>
      </w:tr>
      <w:tr w:rsidR="000355E5" w:rsidRPr="002462E6" w:rsidTr="009D1D90">
        <w:trPr>
          <w:cnfStyle w:val="000000100000" w:firstRow="0" w:lastRow="0" w:firstColumn="0" w:lastColumn="0" w:oddVBand="0" w:evenVBand="0" w:oddHBand="1" w:evenHBand="0" w:firstRowFirstColumn="0" w:firstRowLastColumn="0" w:lastRowFirstColumn="0" w:lastRowLastColumn="0"/>
          <w:trHeight w:val="614"/>
        </w:trPr>
        <w:tc>
          <w:tcPr>
            <w:cnfStyle w:val="001000000000" w:firstRow="0" w:lastRow="0" w:firstColumn="1" w:lastColumn="0" w:oddVBand="0" w:evenVBand="0" w:oddHBand="0" w:evenHBand="0" w:firstRowFirstColumn="0" w:firstRowLastColumn="0" w:lastRowFirstColumn="0" w:lastRowLastColumn="0"/>
            <w:tcW w:w="3119" w:type="dxa"/>
            <w:tcBorders>
              <w:right w:val="single" w:sz="4" w:space="0" w:color="auto"/>
            </w:tcBorders>
            <w:vAlign w:val="center"/>
          </w:tcPr>
          <w:p w:rsidR="000A7532" w:rsidRPr="002462E6" w:rsidRDefault="000A7532" w:rsidP="002676C3">
            <w:pPr>
              <w:spacing w:before="30"/>
              <w:ind w:left="79" w:right="4"/>
              <w:rPr>
                <w:rFonts w:ascii="Tahoma" w:eastAsia="Arial MT" w:hAnsi="Tahoma" w:cs="Tahoma"/>
                <w:sz w:val="20"/>
                <w:szCs w:val="20"/>
              </w:rPr>
            </w:pPr>
            <w:r w:rsidRPr="002462E6">
              <w:rPr>
                <w:rFonts w:ascii="Tahoma" w:eastAsia="Arial MT" w:hAnsi="Tahoma" w:cs="Tahoma"/>
                <w:sz w:val="20"/>
                <w:szCs w:val="20"/>
              </w:rPr>
              <w:t>Agents techniques</w:t>
            </w:r>
            <w:r w:rsidRPr="002462E6">
              <w:rPr>
                <w:rFonts w:ascii="Tahoma" w:eastAsia="Arial MT" w:hAnsi="Tahoma" w:cs="Tahoma"/>
                <w:spacing w:val="-47"/>
                <w:sz w:val="20"/>
                <w:szCs w:val="20"/>
              </w:rPr>
              <w:t xml:space="preserve"> </w:t>
            </w:r>
            <w:r w:rsidRPr="002462E6">
              <w:rPr>
                <w:rFonts w:ascii="Tahoma" w:eastAsia="Arial MT" w:hAnsi="Tahoma" w:cs="Tahoma"/>
                <w:spacing w:val="-1"/>
                <w:sz w:val="20"/>
                <w:szCs w:val="20"/>
              </w:rPr>
              <w:t>(Gardes</w:t>
            </w:r>
            <w:r w:rsidRPr="002462E6">
              <w:rPr>
                <w:rFonts w:ascii="Tahoma" w:eastAsia="Arial MT" w:hAnsi="Tahoma" w:cs="Tahoma"/>
                <w:spacing w:val="-11"/>
                <w:sz w:val="20"/>
                <w:szCs w:val="20"/>
              </w:rPr>
              <w:t xml:space="preserve"> </w:t>
            </w:r>
            <w:r w:rsidRPr="002462E6">
              <w:rPr>
                <w:rFonts w:ascii="Tahoma" w:eastAsia="Arial MT" w:hAnsi="Tahoma" w:cs="Tahoma"/>
                <w:sz w:val="20"/>
                <w:szCs w:val="20"/>
              </w:rPr>
              <w:t>forestiers)</w:t>
            </w:r>
          </w:p>
        </w:tc>
        <w:tc>
          <w:tcPr>
            <w:cnfStyle w:val="000010000000" w:firstRow="0" w:lastRow="0" w:firstColumn="0" w:lastColumn="0" w:oddVBand="1" w:evenVBand="0" w:oddHBand="0" w:evenHBand="0" w:firstRowFirstColumn="0" w:firstRowLastColumn="0" w:lastRowFirstColumn="0" w:lastRowLastColumn="0"/>
            <w:tcW w:w="851" w:type="dxa"/>
            <w:tcBorders>
              <w:top w:val="single" w:sz="4" w:space="0" w:color="auto"/>
              <w:left w:val="single" w:sz="4" w:space="0" w:color="auto"/>
              <w:bottom w:val="single" w:sz="4" w:space="0" w:color="auto"/>
              <w:right w:val="single" w:sz="4" w:space="0" w:color="auto"/>
            </w:tcBorders>
            <w:vAlign w:val="center"/>
          </w:tcPr>
          <w:p w:rsidR="000A7532" w:rsidRPr="002462E6" w:rsidRDefault="000A7532" w:rsidP="009D1D90">
            <w:pPr>
              <w:ind w:right="4"/>
              <w:jc w:val="center"/>
              <w:rPr>
                <w:rFonts w:ascii="Tahoma" w:eastAsia="Arial MT" w:hAnsi="Tahoma" w:cs="Tahoma"/>
                <w:i/>
                <w:sz w:val="20"/>
                <w:szCs w:val="20"/>
              </w:rPr>
            </w:pPr>
          </w:p>
          <w:p w:rsidR="000A7532" w:rsidRPr="002462E6" w:rsidRDefault="000A7532" w:rsidP="009D1D90">
            <w:pPr>
              <w:ind w:left="55" w:right="4"/>
              <w:jc w:val="center"/>
              <w:rPr>
                <w:rFonts w:ascii="Tahoma" w:eastAsia="Arial MT" w:hAnsi="Tahoma" w:cs="Tahoma"/>
                <w:sz w:val="20"/>
                <w:szCs w:val="20"/>
              </w:rPr>
            </w:pPr>
            <w:r w:rsidRPr="002462E6">
              <w:rPr>
                <w:rFonts w:ascii="Tahoma" w:eastAsia="Arial MT" w:hAnsi="Tahoma" w:cs="Tahoma"/>
                <w:sz w:val="20"/>
                <w:szCs w:val="20"/>
              </w:rPr>
              <w:t>n.i.</w:t>
            </w:r>
          </w:p>
        </w:tc>
        <w:tc>
          <w:tcPr>
            <w:tcW w:w="851" w:type="dxa"/>
            <w:tcBorders>
              <w:top w:val="single" w:sz="4" w:space="0" w:color="auto"/>
              <w:left w:val="single" w:sz="4" w:space="0" w:color="auto"/>
              <w:bottom w:val="single" w:sz="4" w:space="0" w:color="auto"/>
              <w:right w:val="single" w:sz="4" w:space="0" w:color="auto"/>
            </w:tcBorders>
            <w:vAlign w:val="center"/>
          </w:tcPr>
          <w:p w:rsidR="000A7532" w:rsidRPr="002462E6" w:rsidRDefault="000A7532" w:rsidP="009D1D90">
            <w:pPr>
              <w:ind w:right="4"/>
              <w:jc w:val="center"/>
              <w:cnfStyle w:val="000000100000" w:firstRow="0" w:lastRow="0" w:firstColumn="0" w:lastColumn="0" w:oddVBand="0" w:evenVBand="0" w:oddHBand="1" w:evenHBand="0" w:firstRowFirstColumn="0" w:firstRowLastColumn="0" w:lastRowFirstColumn="0" w:lastRowLastColumn="0"/>
              <w:rPr>
                <w:rFonts w:ascii="Tahoma" w:eastAsia="Arial MT" w:hAnsi="Tahoma" w:cs="Tahoma"/>
                <w:i/>
                <w:sz w:val="20"/>
                <w:szCs w:val="20"/>
              </w:rPr>
            </w:pPr>
          </w:p>
          <w:p w:rsidR="000A7532" w:rsidRPr="002462E6" w:rsidRDefault="000A7532" w:rsidP="009D1D90">
            <w:pPr>
              <w:ind w:left="174" w:right="4"/>
              <w:jc w:val="center"/>
              <w:cnfStyle w:val="000000100000" w:firstRow="0" w:lastRow="0" w:firstColumn="0" w:lastColumn="0" w:oddVBand="0" w:evenVBand="0" w:oddHBand="1" w:evenHBand="0" w:firstRowFirstColumn="0" w:firstRowLastColumn="0" w:lastRowFirstColumn="0" w:lastRowLastColumn="0"/>
              <w:rPr>
                <w:rFonts w:ascii="Tahoma" w:eastAsia="Arial MT" w:hAnsi="Tahoma" w:cs="Tahoma"/>
                <w:sz w:val="20"/>
                <w:szCs w:val="20"/>
              </w:rPr>
            </w:pPr>
            <w:r w:rsidRPr="002462E6">
              <w:rPr>
                <w:rFonts w:ascii="Tahoma" w:eastAsia="Arial MT" w:hAnsi="Tahoma" w:cs="Tahoma"/>
                <w:sz w:val="20"/>
                <w:szCs w:val="20"/>
              </w:rPr>
              <w:t>n.i.</w:t>
            </w:r>
          </w:p>
        </w:tc>
        <w:tc>
          <w:tcPr>
            <w:cnfStyle w:val="000010000000" w:firstRow="0" w:lastRow="0" w:firstColumn="0" w:lastColumn="0" w:oddVBand="1" w:evenVBand="0" w:oddHBand="0" w:evenHBand="0" w:firstRowFirstColumn="0" w:firstRowLastColumn="0" w:lastRowFirstColumn="0" w:lastRowLastColumn="0"/>
            <w:tcW w:w="1134" w:type="dxa"/>
            <w:tcBorders>
              <w:top w:val="single" w:sz="4" w:space="0" w:color="auto"/>
              <w:left w:val="single" w:sz="4" w:space="0" w:color="auto"/>
              <w:bottom w:val="single" w:sz="4" w:space="0" w:color="auto"/>
              <w:right w:val="single" w:sz="4" w:space="0" w:color="auto"/>
            </w:tcBorders>
            <w:vAlign w:val="center"/>
          </w:tcPr>
          <w:p w:rsidR="000A7532" w:rsidRPr="002462E6" w:rsidRDefault="000A7532" w:rsidP="009D1D90">
            <w:pPr>
              <w:ind w:right="4"/>
              <w:jc w:val="center"/>
              <w:rPr>
                <w:rFonts w:ascii="Tahoma" w:eastAsia="Arial MT" w:hAnsi="Tahoma" w:cs="Tahoma"/>
                <w:i/>
                <w:sz w:val="20"/>
                <w:szCs w:val="20"/>
              </w:rPr>
            </w:pPr>
          </w:p>
          <w:p w:rsidR="000A7532" w:rsidRPr="002462E6" w:rsidRDefault="000A7532" w:rsidP="009D1D90">
            <w:pPr>
              <w:ind w:left="308" w:right="4"/>
              <w:jc w:val="center"/>
              <w:rPr>
                <w:rFonts w:ascii="Tahoma" w:eastAsia="Arial MT" w:hAnsi="Tahoma" w:cs="Tahoma"/>
                <w:sz w:val="20"/>
                <w:szCs w:val="20"/>
              </w:rPr>
            </w:pPr>
            <w:r w:rsidRPr="002462E6">
              <w:rPr>
                <w:rFonts w:ascii="Tahoma" w:eastAsia="Arial MT" w:hAnsi="Tahoma" w:cs="Tahoma"/>
                <w:sz w:val="20"/>
                <w:szCs w:val="20"/>
              </w:rPr>
              <w:t>n.i.</w:t>
            </w:r>
          </w:p>
        </w:tc>
        <w:tc>
          <w:tcPr>
            <w:tcW w:w="851" w:type="dxa"/>
            <w:tcBorders>
              <w:top w:val="single" w:sz="4" w:space="0" w:color="auto"/>
              <w:left w:val="single" w:sz="4" w:space="0" w:color="auto"/>
              <w:bottom w:val="single" w:sz="4" w:space="0" w:color="auto"/>
              <w:right w:val="single" w:sz="4" w:space="0" w:color="auto"/>
            </w:tcBorders>
            <w:vAlign w:val="center"/>
          </w:tcPr>
          <w:p w:rsidR="000A7532" w:rsidRPr="002462E6" w:rsidRDefault="000A7532" w:rsidP="009D1D90">
            <w:pPr>
              <w:ind w:right="4"/>
              <w:jc w:val="center"/>
              <w:cnfStyle w:val="000000100000" w:firstRow="0" w:lastRow="0" w:firstColumn="0" w:lastColumn="0" w:oddVBand="0" w:evenVBand="0" w:oddHBand="1" w:evenHBand="0" w:firstRowFirstColumn="0" w:firstRowLastColumn="0" w:lastRowFirstColumn="0" w:lastRowLastColumn="0"/>
              <w:rPr>
                <w:rFonts w:ascii="Tahoma" w:eastAsia="Arial MT" w:hAnsi="Tahoma" w:cs="Tahoma"/>
                <w:i/>
                <w:sz w:val="20"/>
                <w:szCs w:val="20"/>
              </w:rPr>
            </w:pPr>
          </w:p>
          <w:p w:rsidR="000A7532" w:rsidRPr="002462E6" w:rsidRDefault="000A7532" w:rsidP="009D1D90">
            <w:pPr>
              <w:ind w:left="90" w:right="4"/>
              <w:jc w:val="center"/>
              <w:cnfStyle w:val="000000100000" w:firstRow="0" w:lastRow="0" w:firstColumn="0" w:lastColumn="0" w:oddVBand="0" w:evenVBand="0" w:oddHBand="1" w:evenHBand="0" w:firstRowFirstColumn="0" w:firstRowLastColumn="0" w:lastRowFirstColumn="0" w:lastRowLastColumn="0"/>
              <w:rPr>
                <w:rFonts w:ascii="Tahoma" w:eastAsia="Arial MT" w:hAnsi="Tahoma" w:cs="Tahoma"/>
                <w:sz w:val="20"/>
                <w:szCs w:val="20"/>
              </w:rPr>
            </w:pPr>
            <w:r w:rsidRPr="002462E6">
              <w:rPr>
                <w:rFonts w:ascii="Tahoma" w:eastAsia="Arial MT" w:hAnsi="Tahoma" w:cs="Tahoma"/>
                <w:sz w:val="20"/>
                <w:szCs w:val="20"/>
              </w:rPr>
              <w:t>270</w:t>
            </w:r>
          </w:p>
        </w:tc>
        <w:tc>
          <w:tcPr>
            <w:cnfStyle w:val="000010000000" w:firstRow="0" w:lastRow="0" w:firstColumn="0" w:lastColumn="0" w:oddVBand="1" w:evenVBand="0" w:oddHBand="0" w:evenHBand="0" w:firstRowFirstColumn="0" w:firstRowLastColumn="0" w:lastRowFirstColumn="0" w:lastRowLastColumn="0"/>
            <w:tcW w:w="1099" w:type="dxa"/>
            <w:tcBorders>
              <w:top w:val="single" w:sz="4" w:space="0" w:color="auto"/>
              <w:left w:val="single" w:sz="4" w:space="0" w:color="auto"/>
              <w:bottom w:val="single" w:sz="4" w:space="0" w:color="auto"/>
              <w:right w:val="single" w:sz="4" w:space="0" w:color="auto"/>
            </w:tcBorders>
            <w:vAlign w:val="center"/>
          </w:tcPr>
          <w:p w:rsidR="000A7532" w:rsidRPr="002462E6" w:rsidRDefault="000A7532" w:rsidP="009D1D90">
            <w:pPr>
              <w:ind w:right="4"/>
              <w:jc w:val="center"/>
              <w:rPr>
                <w:rFonts w:ascii="Tahoma" w:eastAsia="Arial MT" w:hAnsi="Tahoma" w:cs="Tahoma"/>
                <w:i/>
                <w:sz w:val="20"/>
                <w:szCs w:val="20"/>
              </w:rPr>
            </w:pPr>
          </w:p>
          <w:p w:rsidR="000A7532" w:rsidRPr="002462E6" w:rsidRDefault="000A7532" w:rsidP="009D1D90">
            <w:pPr>
              <w:ind w:left="171" w:right="4"/>
              <w:jc w:val="center"/>
              <w:rPr>
                <w:rFonts w:ascii="Tahoma" w:eastAsia="Arial MT" w:hAnsi="Tahoma" w:cs="Tahoma"/>
                <w:sz w:val="20"/>
                <w:szCs w:val="20"/>
              </w:rPr>
            </w:pPr>
            <w:r w:rsidRPr="002462E6">
              <w:rPr>
                <w:rFonts w:ascii="Tahoma" w:eastAsia="Arial MT" w:hAnsi="Tahoma" w:cs="Tahoma"/>
                <w:sz w:val="20"/>
                <w:szCs w:val="20"/>
              </w:rPr>
              <w:t>610</w:t>
            </w:r>
          </w:p>
        </w:tc>
        <w:tc>
          <w:tcPr>
            <w:tcW w:w="992" w:type="dxa"/>
            <w:tcBorders>
              <w:top w:val="single" w:sz="4" w:space="0" w:color="auto"/>
              <w:left w:val="single" w:sz="4" w:space="0" w:color="auto"/>
              <w:bottom w:val="single" w:sz="4" w:space="0" w:color="auto"/>
              <w:right w:val="single" w:sz="4" w:space="0" w:color="auto"/>
            </w:tcBorders>
            <w:vAlign w:val="center"/>
          </w:tcPr>
          <w:p w:rsidR="000A7532" w:rsidRPr="002462E6" w:rsidRDefault="000A7532" w:rsidP="009D1D90">
            <w:pPr>
              <w:ind w:right="4"/>
              <w:jc w:val="center"/>
              <w:cnfStyle w:val="000000100000" w:firstRow="0" w:lastRow="0" w:firstColumn="0" w:lastColumn="0" w:oddVBand="0" w:evenVBand="0" w:oddHBand="1" w:evenHBand="0" w:firstRowFirstColumn="0" w:firstRowLastColumn="0" w:lastRowFirstColumn="0" w:lastRowLastColumn="0"/>
              <w:rPr>
                <w:rFonts w:ascii="Tahoma" w:eastAsia="Arial MT" w:hAnsi="Tahoma" w:cs="Tahoma"/>
                <w:i/>
                <w:sz w:val="20"/>
                <w:szCs w:val="20"/>
              </w:rPr>
            </w:pPr>
          </w:p>
          <w:p w:rsidR="000A7532" w:rsidRPr="002462E6" w:rsidRDefault="000A7532" w:rsidP="009D1D90">
            <w:pPr>
              <w:ind w:right="4"/>
              <w:jc w:val="center"/>
              <w:cnfStyle w:val="000000100000" w:firstRow="0" w:lastRow="0" w:firstColumn="0" w:lastColumn="0" w:oddVBand="0" w:evenVBand="0" w:oddHBand="1" w:evenHBand="0" w:firstRowFirstColumn="0" w:firstRowLastColumn="0" w:lastRowFirstColumn="0" w:lastRowLastColumn="0"/>
              <w:rPr>
                <w:rFonts w:ascii="Tahoma" w:eastAsia="Arial MT" w:hAnsi="Tahoma" w:cs="Tahoma"/>
                <w:sz w:val="20"/>
                <w:szCs w:val="20"/>
              </w:rPr>
            </w:pPr>
            <w:r w:rsidRPr="002462E6">
              <w:rPr>
                <w:rFonts w:ascii="Tahoma" w:eastAsia="Arial MT" w:hAnsi="Tahoma" w:cs="Tahoma"/>
                <w:sz w:val="20"/>
                <w:szCs w:val="20"/>
              </w:rPr>
              <w:t>757</w:t>
            </w:r>
          </w:p>
        </w:tc>
        <w:tc>
          <w:tcPr>
            <w:cnfStyle w:val="000100000000" w:firstRow="0" w:lastRow="0" w:firstColumn="0" w:lastColumn="1" w:oddVBand="0" w:evenVBand="0" w:oddHBand="0" w:evenHBand="0" w:firstRowFirstColumn="0" w:firstRowLastColumn="0" w:lastRowFirstColumn="0" w:lastRowLastColumn="0"/>
            <w:tcW w:w="1134" w:type="dxa"/>
            <w:tcBorders>
              <w:top w:val="single" w:sz="4" w:space="0" w:color="auto"/>
              <w:left w:val="single" w:sz="4" w:space="0" w:color="auto"/>
              <w:bottom w:val="single" w:sz="4" w:space="0" w:color="auto"/>
              <w:right w:val="single" w:sz="4" w:space="0" w:color="auto"/>
            </w:tcBorders>
            <w:vAlign w:val="center"/>
          </w:tcPr>
          <w:p w:rsidR="000A7532" w:rsidRPr="002462E6" w:rsidRDefault="000A7532" w:rsidP="009D1D90">
            <w:pPr>
              <w:ind w:right="4"/>
              <w:jc w:val="center"/>
              <w:rPr>
                <w:rFonts w:ascii="Tahoma" w:eastAsia="Arial MT" w:hAnsi="Tahoma" w:cs="Tahoma"/>
                <w:i/>
                <w:sz w:val="20"/>
                <w:szCs w:val="20"/>
              </w:rPr>
            </w:pPr>
          </w:p>
          <w:p w:rsidR="000A7532" w:rsidRPr="002462E6" w:rsidRDefault="000A7532" w:rsidP="009D1D90">
            <w:pPr>
              <w:ind w:left="90" w:right="4"/>
              <w:jc w:val="center"/>
              <w:rPr>
                <w:rFonts w:ascii="Tahoma" w:eastAsia="Arial MT" w:hAnsi="Tahoma" w:cs="Tahoma"/>
                <w:sz w:val="20"/>
                <w:szCs w:val="20"/>
              </w:rPr>
            </w:pPr>
            <w:r w:rsidRPr="002462E6">
              <w:rPr>
                <w:rFonts w:ascii="Tahoma" w:eastAsia="Arial MT" w:hAnsi="Tahoma" w:cs="Tahoma"/>
                <w:sz w:val="20"/>
                <w:szCs w:val="20"/>
              </w:rPr>
              <w:t>740</w:t>
            </w:r>
          </w:p>
        </w:tc>
      </w:tr>
      <w:tr w:rsidR="000355E5" w:rsidRPr="002462E6" w:rsidTr="009D1D90">
        <w:trPr>
          <w:trHeight w:val="755"/>
        </w:trPr>
        <w:tc>
          <w:tcPr>
            <w:cnfStyle w:val="001000000000" w:firstRow="0" w:lastRow="0" w:firstColumn="1" w:lastColumn="0" w:oddVBand="0" w:evenVBand="0" w:oddHBand="0" w:evenHBand="0" w:firstRowFirstColumn="0" w:firstRowLastColumn="0" w:lastRowFirstColumn="0" w:lastRowLastColumn="0"/>
            <w:tcW w:w="3119" w:type="dxa"/>
            <w:tcBorders>
              <w:right w:val="single" w:sz="4" w:space="0" w:color="auto"/>
            </w:tcBorders>
            <w:vAlign w:val="center"/>
          </w:tcPr>
          <w:p w:rsidR="000A7532" w:rsidRPr="002462E6" w:rsidRDefault="000A7532" w:rsidP="002676C3">
            <w:pPr>
              <w:spacing w:before="29"/>
              <w:ind w:left="79" w:right="4"/>
              <w:rPr>
                <w:rFonts w:ascii="Tahoma" w:eastAsia="Arial MT" w:hAnsi="Tahoma" w:cs="Tahoma"/>
                <w:sz w:val="20"/>
                <w:szCs w:val="20"/>
              </w:rPr>
            </w:pPr>
            <w:r w:rsidRPr="002462E6">
              <w:rPr>
                <w:rFonts w:ascii="Tahoma" w:eastAsia="Arial MT" w:hAnsi="Tahoma" w:cs="Tahoma"/>
                <w:sz w:val="20"/>
                <w:szCs w:val="20"/>
              </w:rPr>
              <w:t>Nombre totale de préposés</w:t>
            </w:r>
            <w:r w:rsidRPr="002462E6">
              <w:rPr>
                <w:rFonts w:ascii="Tahoma" w:eastAsia="Arial MT" w:hAnsi="Tahoma" w:cs="Tahoma"/>
                <w:spacing w:val="1"/>
                <w:sz w:val="20"/>
                <w:szCs w:val="20"/>
              </w:rPr>
              <w:t xml:space="preserve"> </w:t>
            </w:r>
            <w:r w:rsidRPr="002462E6">
              <w:rPr>
                <w:rFonts w:ascii="Tahoma" w:eastAsia="Arial MT" w:hAnsi="Tahoma" w:cs="Tahoma"/>
                <w:sz w:val="20"/>
                <w:szCs w:val="20"/>
              </w:rPr>
              <w:t>(Brigadiers</w:t>
            </w:r>
            <w:r w:rsidRPr="002462E6">
              <w:rPr>
                <w:rFonts w:ascii="Tahoma" w:eastAsia="Arial MT" w:hAnsi="Tahoma" w:cs="Tahoma"/>
                <w:spacing w:val="-10"/>
                <w:sz w:val="20"/>
                <w:szCs w:val="20"/>
              </w:rPr>
              <w:t xml:space="preserve"> </w:t>
            </w:r>
            <w:r w:rsidRPr="002462E6">
              <w:rPr>
                <w:rFonts w:ascii="Tahoma" w:eastAsia="Arial MT" w:hAnsi="Tahoma" w:cs="Tahoma"/>
                <w:sz w:val="20"/>
                <w:szCs w:val="20"/>
              </w:rPr>
              <w:t>+</w:t>
            </w:r>
            <w:r w:rsidRPr="002462E6">
              <w:rPr>
                <w:rFonts w:ascii="Tahoma" w:eastAsia="Arial MT" w:hAnsi="Tahoma" w:cs="Tahoma"/>
                <w:spacing w:val="-8"/>
                <w:sz w:val="20"/>
                <w:szCs w:val="20"/>
              </w:rPr>
              <w:t xml:space="preserve"> </w:t>
            </w:r>
            <w:r w:rsidRPr="002462E6">
              <w:rPr>
                <w:rFonts w:ascii="Tahoma" w:eastAsia="Arial MT" w:hAnsi="Tahoma" w:cs="Tahoma"/>
                <w:sz w:val="20"/>
                <w:szCs w:val="20"/>
              </w:rPr>
              <w:t>Gardes</w:t>
            </w:r>
            <w:r w:rsidRPr="002462E6">
              <w:rPr>
                <w:rFonts w:ascii="Tahoma" w:eastAsia="Arial MT" w:hAnsi="Tahoma" w:cs="Tahoma"/>
                <w:spacing w:val="-11"/>
                <w:sz w:val="20"/>
                <w:szCs w:val="20"/>
              </w:rPr>
              <w:t xml:space="preserve"> </w:t>
            </w:r>
            <w:r w:rsidRPr="002462E6">
              <w:rPr>
                <w:rFonts w:ascii="Tahoma" w:eastAsia="Arial MT" w:hAnsi="Tahoma" w:cs="Tahoma"/>
                <w:sz w:val="20"/>
                <w:szCs w:val="20"/>
              </w:rPr>
              <w:t>forestiers)</w:t>
            </w:r>
          </w:p>
        </w:tc>
        <w:tc>
          <w:tcPr>
            <w:cnfStyle w:val="000010000000" w:firstRow="0" w:lastRow="0" w:firstColumn="0" w:lastColumn="0" w:oddVBand="1" w:evenVBand="0" w:oddHBand="0" w:evenHBand="0" w:firstRowFirstColumn="0" w:firstRowLastColumn="0" w:lastRowFirstColumn="0" w:lastRowLastColumn="0"/>
            <w:tcW w:w="851" w:type="dxa"/>
            <w:tcBorders>
              <w:top w:val="single" w:sz="4" w:space="0" w:color="auto"/>
              <w:left w:val="single" w:sz="4" w:space="0" w:color="auto"/>
              <w:bottom w:val="single" w:sz="4" w:space="0" w:color="auto"/>
              <w:right w:val="single" w:sz="4" w:space="0" w:color="auto"/>
            </w:tcBorders>
            <w:vAlign w:val="center"/>
          </w:tcPr>
          <w:p w:rsidR="000A7532" w:rsidRPr="002462E6" w:rsidRDefault="000A7532" w:rsidP="009D1D90">
            <w:pPr>
              <w:ind w:right="4"/>
              <w:jc w:val="center"/>
              <w:rPr>
                <w:rFonts w:ascii="Tahoma" w:eastAsia="Arial MT" w:hAnsi="Tahoma" w:cs="Tahoma"/>
                <w:i/>
                <w:sz w:val="20"/>
                <w:szCs w:val="20"/>
              </w:rPr>
            </w:pPr>
          </w:p>
          <w:p w:rsidR="000A7532" w:rsidRPr="002462E6" w:rsidRDefault="000A7532" w:rsidP="009D1D90">
            <w:pPr>
              <w:ind w:left="54" w:right="4"/>
              <w:jc w:val="center"/>
              <w:rPr>
                <w:rFonts w:ascii="Tahoma" w:eastAsia="Arial MT" w:hAnsi="Tahoma" w:cs="Tahoma"/>
                <w:sz w:val="20"/>
                <w:szCs w:val="20"/>
              </w:rPr>
            </w:pPr>
            <w:r w:rsidRPr="002462E6">
              <w:rPr>
                <w:rFonts w:ascii="Tahoma" w:eastAsia="Arial MT" w:hAnsi="Tahoma" w:cs="Tahoma"/>
                <w:sz w:val="20"/>
                <w:szCs w:val="20"/>
              </w:rPr>
              <w:t>20</w:t>
            </w:r>
          </w:p>
        </w:tc>
        <w:tc>
          <w:tcPr>
            <w:tcW w:w="851" w:type="dxa"/>
            <w:tcBorders>
              <w:top w:val="single" w:sz="4" w:space="0" w:color="auto"/>
              <w:left w:val="single" w:sz="4" w:space="0" w:color="auto"/>
              <w:bottom w:val="single" w:sz="4" w:space="0" w:color="auto"/>
              <w:right w:val="single" w:sz="4" w:space="0" w:color="auto"/>
            </w:tcBorders>
            <w:vAlign w:val="center"/>
          </w:tcPr>
          <w:p w:rsidR="000A7532" w:rsidRPr="002462E6" w:rsidRDefault="000A7532" w:rsidP="009D1D90">
            <w:pPr>
              <w:spacing w:before="5"/>
              <w:ind w:right="4"/>
              <w:jc w:val="center"/>
              <w:cnfStyle w:val="000000000000" w:firstRow="0" w:lastRow="0" w:firstColumn="0" w:lastColumn="0" w:oddVBand="0" w:evenVBand="0" w:oddHBand="0" w:evenHBand="0" w:firstRowFirstColumn="0" w:firstRowLastColumn="0" w:lastRowFirstColumn="0" w:lastRowLastColumn="0"/>
              <w:rPr>
                <w:rFonts w:ascii="Tahoma" w:eastAsia="Arial MT" w:hAnsi="Tahoma" w:cs="Tahoma"/>
                <w:i/>
                <w:sz w:val="29"/>
                <w:szCs w:val="20"/>
              </w:rPr>
            </w:pPr>
          </w:p>
          <w:p w:rsidR="000A7532" w:rsidRPr="002462E6" w:rsidRDefault="000A7532" w:rsidP="009D1D90">
            <w:pPr>
              <w:ind w:left="140" w:right="4"/>
              <w:jc w:val="center"/>
              <w:cnfStyle w:val="000000000000" w:firstRow="0" w:lastRow="0" w:firstColumn="0" w:lastColumn="0" w:oddVBand="0" w:evenVBand="0" w:oddHBand="0" w:evenHBand="0" w:firstRowFirstColumn="0" w:firstRowLastColumn="0" w:lastRowFirstColumn="0" w:lastRowLastColumn="0"/>
              <w:rPr>
                <w:rFonts w:ascii="Tahoma" w:eastAsia="Arial MT" w:hAnsi="Tahoma" w:cs="Tahoma"/>
                <w:sz w:val="20"/>
                <w:szCs w:val="20"/>
              </w:rPr>
            </w:pPr>
            <w:r w:rsidRPr="002462E6">
              <w:rPr>
                <w:rFonts w:ascii="Tahoma" w:eastAsia="Arial MT" w:hAnsi="Tahoma" w:cs="Tahoma"/>
                <w:sz w:val="20"/>
                <w:szCs w:val="20"/>
              </w:rPr>
              <w:t>157</w:t>
            </w:r>
          </w:p>
        </w:tc>
        <w:tc>
          <w:tcPr>
            <w:cnfStyle w:val="000010000000" w:firstRow="0" w:lastRow="0" w:firstColumn="0" w:lastColumn="0" w:oddVBand="1" w:evenVBand="0" w:oddHBand="0" w:evenHBand="0" w:firstRowFirstColumn="0" w:firstRowLastColumn="0" w:lastRowFirstColumn="0" w:lastRowLastColumn="0"/>
            <w:tcW w:w="1134" w:type="dxa"/>
            <w:tcBorders>
              <w:top w:val="single" w:sz="4" w:space="0" w:color="auto"/>
              <w:left w:val="single" w:sz="4" w:space="0" w:color="auto"/>
              <w:bottom w:val="single" w:sz="4" w:space="0" w:color="auto"/>
              <w:right w:val="single" w:sz="4" w:space="0" w:color="auto"/>
            </w:tcBorders>
            <w:vAlign w:val="center"/>
          </w:tcPr>
          <w:p w:rsidR="000A7532" w:rsidRPr="002462E6" w:rsidRDefault="000A7532" w:rsidP="009D1D90">
            <w:pPr>
              <w:spacing w:before="5"/>
              <w:ind w:right="4"/>
              <w:jc w:val="center"/>
              <w:rPr>
                <w:rFonts w:ascii="Tahoma" w:eastAsia="Arial MT" w:hAnsi="Tahoma" w:cs="Tahoma"/>
                <w:i/>
                <w:sz w:val="29"/>
                <w:szCs w:val="20"/>
              </w:rPr>
            </w:pPr>
          </w:p>
          <w:p w:rsidR="000A7532" w:rsidRPr="002462E6" w:rsidRDefault="000A7532" w:rsidP="009D1D90">
            <w:pPr>
              <w:ind w:left="310" w:right="4"/>
              <w:jc w:val="center"/>
              <w:rPr>
                <w:rFonts w:ascii="Tahoma" w:eastAsia="Arial MT" w:hAnsi="Tahoma" w:cs="Tahoma"/>
                <w:sz w:val="20"/>
                <w:szCs w:val="20"/>
              </w:rPr>
            </w:pPr>
            <w:r w:rsidRPr="002462E6">
              <w:rPr>
                <w:rFonts w:ascii="Tahoma" w:eastAsia="Arial MT" w:hAnsi="Tahoma" w:cs="Tahoma"/>
                <w:sz w:val="20"/>
                <w:szCs w:val="20"/>
              </w:rPr>
              <w:t>230</w:t>
            </w:r>
          </w:p>
        </w:tc>
        <w:tc>
          <w:tcPr>
            <w:tcW w:w="851" w:type="dxa"/>
            <w:tcBorders>
              <w:top w:val="single" w:sz="4" w:space="0" w:color="auto"/>
              <w:left w:val="single" w:sz="4" w:space="0" w:color="auto"/>
              <w:bottom w:val="single" w:sz="4" w:space="0" w:color="auto"/>
              <w:right w:val="single" w:sz="4" w:space="0" w:color="auto"/>
            </w:tcBorders>
            <w:vAlign w:val="center"/>
          </w:tcPr>
          <w:p w:rsidR="000A7532" w:rsidRPr="002462E6" w:rsidRDefault="000A7532" w:rsidP="009D1D90">
            <w:pPr>
              <w:spacing w:before="5"/>
              <w:ind w:right="4"/>
              <w:jc w:val="center"/>
              <w:cnfStyle w:val="000000000000" w:firstRow="0" w:lastRow="0" w:firstColumn="0" w:lastColumn="0" w:oddVBand="0" w:evenVBand="0" w:oddHBand="0" w:evenHBand="0" w:firstRowFirstColumn="0" w:firstRowLastColumn="0" w:lastRowFirstColumn="0" w:lastRowLastColumn="0"/>
              <w:rPr>
                <w:rFonts w:ascii="Tahoma" w:eastAsia="Arial MT" w:hAnsi="Tahoma" w:cs="Tahoma"/>
                <w:i/>
                <w:sz w:val="29"/>
                <w:szCs w:val="20"/>
              </w:rPr>
            </w:pPr>
          </w:p>
          <w:p w:rsidR="000A7532" w:rsidRPr="002462E6" w:rsidRDefault="000A7532" w:rsidP="009D1D90">
            <w:pPr>
              <w:ind w:left="90" w:right="4"/>
              <w:jc w:val="center"/>
              <w:cnfStyle w:val="000000000000" w:firstRow="0" w:lastRow="0" w:firstColumn="0" w:lastColumn="0" w:oddVBand="0" w:evenVBand="0" w:oddHBand="0" w:evenHBand="0" w:firstRowFirstColumn="0" w:firstRowLastColumn="0" w:lastRowFirstColumn="0" w:lastRowLastColumn="0"/>
              <w:rPr>
                <w:rFonts w:ascii="Tahoma" w:eastAsia="Arial MT" w:hAnsi="Tahoma" w:cs="Tahoma"/>
                <w:sz w:val="20"/>
                <w:szCs w:val="20"/>
              </w:rPr>
            </w:pPr>
            <w:r w:rsidRPr="002462E6">
              <w:rPr>
                <w:rFonts w:ascii="Tahoma" w:eastAsia="Arial MT" w:hAnsi="Tahoma" w:cs="Tahoma"/>
                <w:sz w:val="20"/>
                <w:szCs w:val="20"/>
              </w:rPr>
              <w:t>325</w:t>
            </w:r>
          </w:p>
        </w:tc>
        <w:tc>
          <w:tcPr>
            <w:cnfStyle w:val="000010000000" w:firstRow="0" w:lastRow="0" w:firstColumn="0" w:lastColumn="0" w:oddVBand="1" w:evenVBand="0" w:oddHBand="0" w:evenHBand="0" w:firstRowFirstColumn="0" w:firstRowLastColumn="0" w:lastRowFirstColumn="0" w:lastRowLastColumn="0"/>
            <w:tcW w:w="1099" w:type="dxa"/>
            <w:tcBorders>
              <w:top w:val="single" w:sz="4" w:space="0" w:color="auto"/>
              <w:left w:val="single" w:sz="4" w:space="0" w:color="auto"/>
              <w:bottom w:val="single" w:sz="4" w:space="0" w:color="auto"/>
              <w:right w:val="single" w:sz="4" w:space="0" w:color="auto"/>
            </w:tcBorders>
            <w:vAlign w:val="center"/>
          </w:tcPr>
          <w:p w:rsidR="000A7532" w:rsidRPr="002462E6" w:rsidRDefault="000A7532" w:rsidP="009D1D90">
            <w:pPr>
              <w:spacing w:before="5"/>
              <w:ind w:right="4"/>
              <w:jc w:val="center"/>
              <w:rPr>
                <w:rFonts w:ascii="Tahoma" w:eastAsia="Arial MT" w:hAnsi="Tahoma" w:cs="Tahoma"/>
                <w:i/>
                <w:sz w:val="29"/>
                <w:szCs w:val="20"/>
              </w:rPr>
            </w:pPr>
          </w:p>
          <w:p w:rsidR="000A7532" w:rsidRPr="002462E6" w:rsidRDefault="000A7532" w:rsidP="009D1D90">
            <w:pPr>
              <w:ind w:left="171" w:right="4"/>
              <w:jc w:val="center"/>
              <w:rPr>
                <w:rFonts w:ascii="Tahoma" w:eastAsia="Arial MT" w:hAnsi="Tahoma" w:cs="Tahoma"/>
                <w:sz w:val="20"/>
                <w:szCs w:val="20"/>
              </w:rPr>
            </w:pPr>
            <w:r w:rsidRPr="002462E6">
              <w:rPr>
                <w:rFonts w:ascii="Tahoma" w:eastAsia="Arial MT" w:hAnsi="Tahoma" w:cs="Tahoma"/>
                <w:sz w:val="20"/>
                <w:szCs w:val="20"/>
              </w:rPr>
              <w:t>710</w:t>
            </w:r>
          </w:p>
        </w:tc>
        <w:tc>
          <w:tcPr>
            <w:tcW w:w="992" w:type="dxa"/>
            <w:tcBorders>
              <w:top w:val="single" w:sz="4" w:space="0" w:color="auto"/>
              <w:left w:val="single" w:sz="4" w:space="0" w:color="auto"/>
              <w:bottom w:val="single" w:sz="4" w:space="0" w:color="auto"/>
              <w:right w:val="single" w:sz="4" w:space="0" w:color="auto"/>
            </w:tcBorders>
            <w:vAlign w:val="center"/>
          </w:tcPr>
          <w:p w:rsidR="000A7532" w:rsidRPr="002462E6" w:rsidRDefault="000A7532" w:rsidP="009D1D90">
            <w:pPr>
              <w:spacing w:before="5"/>
              <w:ind w:right="4"/>
              <w:jc w:val="center"/>
              <w:cnfStyle w:val="000000000000" w:firstRow="0" w:lastRow="0" w:firstColumn="0" w:lastColumn="0" w:oddVBand="0" w:evenVBand="0" w:oddHBand="0" w:evenHBand="0" w:firstRowFirstColumn="0" w:firstRowLastColumn="0" w:lastRowFirstColumn="0" w:lastRowLastColumn="0"/>
              <w:rPr>
                <w:rFonts w:ascii="Tahoma" w:eastAsia="Arial MT" w:hAnsi="Tahoma" w:cs="Tahoma"/>
                <w:i/>
                <w:sz w:val="29"/>
                <w:szCs w:val="20"/>
              </w:rPr>
            </w:pPr>
          </w:p>
          <w:p w:rsidR="000A7532" w:rsidRPr="002462E6" w:rsidRDefault="000A7532" w:rsidP="009D1D90">
            <w:pPr>
              <w:ind w:right="4"/>
              <w:jc w:val="center"/>
              <w:cnfStyle w:val="000000000000" w:firstRow="0" w:lastRow="0" w:firstColumn="0" w:lastColumn="0" w:oddVBand="0" w:evenVBand="0" w:oddHBand="0" w:evenHBand="0" w:firstRowFirstColumn="0" w:firstRowLastColumn="0" w:lastRowFirstColumn="0" w:lastRowLastColumn="0"/>
              <w:rPr>
                <w:rFonts w:ascii="Tahoma" w:eastAsia="Arial MT" w:hAnsi="Tahoma" w:cs="Tahoma"/>
                <w:sz w:val="20"/>
                <w:szCs w:val="20"/>
              </w:rPr>
            </w:pPr>
            <w:r w:rsidRPr="002462E6">
              <w:rPr>
                <w:rFonts w:ascii="Tahoma" w:eastAsia="Arial MT" w:hAnsi="Tahoma" w:cs="Tahoma"/>
                <w:sz w:val="20"/>
                <w:szCs w:val="20"/>
              </w:rPr>
              <w:t>913</w:t>
            </w:r>
          </w:p>
        </w:tc>
        <w:tc>
          <w:tcPr>
            <w:cnfStyle w:val="000100000000" w:firstRow="0" w:lastRow="0" w:firstColumn="0" w:lastColumn="1" w:oddVBand="0" w:evenVBand="0" w:oddHBand="0" w:evenHBand="0" w:firstRowFirstColumn="0" w:firstRowLastColumn="0" w:lastRowFirstColumn="0" w:lastRowLastColumn="0"/>
            <w:tcW w:w="1134" w:type="dxa"/>
            <w:tcBorders>
              <w:top w:val="single" w:sz="4" w:space="0" w:color="auto"/>
              <w:left w:val="single" w:sz="4" w:space="0" w:color="auto"/>
              <w:bottom w:val="single" w:sz="4" w:space="0" w:color="auto"/>
              <w:right w:val="single" w:sz="4" w:space="0" w:color="auto"/>
            </w:tcBorders>
            <w:vAlign w:val="center"/>
          </w:tcPr>
          <w:p w:rsidR="000A7532" w:rsidRPr="002462E6" w:rsidRDefault="000A7532" w:rsidP="009D1D90">
            <w:pPr>
              <w:ind w:right="4"/>
              <w:jc w:val="center"/>
              <w:rPr>
                <w:rFonts w:ascii="Tahoma" w:eastAsia="Arial MT" w:hAnsi="Tahoma" w:cs="Tahoma"/>
                <w:i/>
                <w:sz w:val="20"/>
                <w:szCs w:val="20"/>
              </w:rPr>
            </w:pPr>
          </w:p>
          <w:p w:rsidR="000A7532" w:rsidRPr="002462E6" w:rsidRDefault="000A7532" w:rsidP="009D1D90">
            <w:pPr>
              <w:ind w:left="90" w:right="4"/>
              <w:jc w:val="center"/>
              <w:rPr>
                <w:rFonts w:ascii="Tahoma" w:eastAsia="Arial MT" w:hAnsi="Tahoma" w:cs="Tahoma"/>
                <w:sz w:val="20"/>
                <w:szCs w:val="20"/>
              </w:rPr>
            </w:pPr>
            <w:r w:rsidRPr="002462E6">
              <w:rPr>
                <w:rFonts w:ascii="Tahoma" w:eastAsia="Arial MT" w:hAnsi="Tahoma" w:cs="Tahoma"/>
                <w:sz w:val="20"/>
                <w:szCs w:val="20"/>
              </w:rPr>
              <w:t>1</w:t>
            </w:r>
            <w:r w:rsidRPr="002462E6">
              <w:rPr>
                <w:rFonts w:ascii="Tahoma" w:eastAsia="Arial MT" w:hAnsi="Tahoma" w:cs="Tahoma"/>
                <w:spacing w:val="-3"/>
                <w:sz w:val="20"/>
                <w:szCs w:val="20"/>
              </w:rPr>
              <w:t xml:space="preserve"> </w:t>
            </w:r>
            <w:r w:rsidRPr="002462E6">
              <w:rPr>
                <w:rFonts w:ascii="Tahoma" w:eastAsia="Arial MT" w:hAnsi="Tahoma" w:cs="Tahoma"/>
                <w:sz w:val="20"/>
                <w:szCs w:val="20"/>
              </w:rPr>
              <w:t>008</w:t>
            </w:r>
          </w:p>
        </w:tc>
      </w:tr>
      <w:tr w:rsidR="000355E5" w:rsidRPr="002462E6" w:rsidTr="009D1D90">
        <w:trPr>
          <w:cnfStyle w:val="000000100000" w:firstRow="0" w:lastRow="0" w:firstColumn="0" w:lastColumn="0" w:oddVBand="0" w:evenVBand="0" w:oddHBand="1" w:evenHBand="0" w:firstRowFirstColumn="0" w:firstRowLastColumn="0" w:lastRowFirstColumn="0" w:lastRowLastColumn="0"/>
          <w:trHeight w:val="480"/>
        </w:trPr>
        <w:tc>
          <w:tcPr>
            <w:cnfStyle w:val="001000000000" w:firstRow="0" w:lastRow="0" w:firstColumn="1" w:lastColumn="0" w:oddVBand="0" w:evenVBand="0" w:oddHBand="0" w:evenHBand="0" w:firstRowFirstColumn="0" w:firstRowLastColumn="0" w:lastRowFirstColumn="0" w:lastRowLastColumn="0"/>
            <w:tcW w:w="3119" w:type="dxa"/>
            <w:tcBorders>
              <w:right w:val="single" w:sz="4" w:space="0" w:color="auto"/>
            </w:tcBorders>
            <w:vAlign w:val="center"/>
          </w:tcPr>
          <w:p w:rsidR="000A7532" w:rsidRPr="002462E6" w:rsidRDefault="000A7532" w:rsidP="002676C3">
            <w:pPr>
              <w:spacing w:before="30"/>
              <w:ind w:left="79" w:right="4"/>
              <w:rPr>
                <w:rFonts w:ascii="Tahoma" w:eastAsia="Arial MT" w:hAnsi="Tahoma" w:cs="Tahoma"/>
                <w:sz w:val="20"/>
                <w:szCs w:val="20"/>
              </w:rPr>
            </w:pPr>
            <w:r w:rsidRPr="002462E6">
              <w:rPr>
                <w:rFonts w:ascii="Tahoma" w:eastAsia="Arial MT" w:hAnsi="Tahoma" w:cs="Tahoma"/>
                <w:sz w:val="20"/>
                <w:szCs w:val="20"/>
              </w:rPr>
              <w:t>Cavaliers</w:t>
            </w:r>
            <w:r w:rsidRPr="002462E6">
              <w:rPr>
                <w:rFonts w:ascii="Tahoma" w:eastAsia="Arial MT" w:hAnsi="Tahoma" w:cs="Tahoma"/>
                <w:spacing w:val="-4"/>
                <w:sz w:val="20"/>
                <w:szCs w:val="20"/>
              </w:rPr>
              <w:t xml:space="preserve"> </w:t>
            </w:r>
            <w:r w:rsidRPr="002462E6">
              <w:rPr>
                <w:rFonts w:ascii="Tahoma" w:eastAsia="Arial MT" w:hAnsi="Tahoma" w:cs="Tahoma"/>
                <w:sz w:val="20"/>
                <w:szCs w:val="20"/>
              </w:rPr>
              <w:t>des</w:t>
            </w:r>
            <w:r w:rsidRPr="002462E6">
              <w:rPr>
                <w:rFonts w:ascii="Tahoma" w:eastAsia="Arial MT" w:hAnsi="Tahoma" w:cs="Tahoma"/>
                <w:spacing w:val="-3"/>
                <w:sz w:val="20"/>
                <w:szCs w:val="20"/>
              </w:rPr>
              <w:t xml:space="preserve"> </w:t>
            </w:r>
            <w:r w:rsidRPr="002462E6">
              <w:rPr>
                <w:rFonts w:ascii="Tahoma" w:eastAsia="Arial MT" w:hAnsi="Tahoma" w:cs="Tahoma"/>
                <w:sz w:val="20"/>
                <w:szCs w:val="20"/>
              </w:rPr>
              <w:t>Eaux</w:t>
            </w:r>
            <w:r w:rsidRPr="002462E6">
              <w:rPr>
                <w:rFonts w:ascii="Tahoma" w:eastAsia="Arial MT" w:hAnsi="Tahoma" w:cs="Tahoma"/>
                <w:spacing w:val="-3"/>
                <w:sz w:val="20"/>
                <w:szCs w:val="20"/>
              </w:rPr>
              <w:t xml:space="preserve"> </w:t>
            </w:r>
            <w:r w:rsidRPr="002462E6">
              <w:rPr>
                <w:rFonts w:ascii="Tahoma" w:eastAsia="Arial MT" w:hAnsi="Tahoma" w:cs="Tahoma"/>
                <w:sz w:val="20"/>
                <w:szCs w:val="20"/>
              </w:rPr>
              <w:t>et</w:t>
            </w:r>
            <w:r w:rsidRPr="002462E6">
              <w:rPr>
                <w:rFonts w:ascii="Tahoma" w:eastAsia="Arial MT" w:hAnsi="Tahoma" w:cs="Tahoma"/>
                <w:spacing w:val="-3"/>
                <w:sz w:val="20"/>
                <w:szCs w:val="20"/>
              </w:rPr>
              <w:t xml:space="preserve"> </w:t>
            </w:r>
            <w:r w:rsidRPr="002462E6">
              <w:rPr>
                <w:rFonts w:ascii="Tahoma" w:eastAsia="Arial MT" w:hAnsi="Tahoma" w:cs="Tahoma"/>
                <w:sz w:val="20"/>
                <w:szCs w:val="20"/>
              </w:rPr>
              <w:t>Forêts</w:t>
            </w:r>
          </w:p>
        </w:tc>
        <w:tc>
          <w:tcPr>
            <w:cnfStyle w:val="000010000000" w:firstRow="0" w:lastRow="0" w:firstColumn="0" w:lastColumn="0" w:oddVBand="1" w:evenVBand="0" w:oddHBand="0" w:evenHBand="0" w:firstRowFirstColumn="0" w:firstRowLastColumn="0" w:lastRowFirstColumn="0" w:lastRowLastColumn="0"/>
            <w:tcW w:w="851" w:type="dxa"/>
            <w:tcBorders>
              <w:top w:val="single" w:sz="4" w:space="0" w:color="auto"/>
              <w:left w:val="single" w:sz="4" w:space="0" w:color="auto"/>
              <w:bottom w:val="single" w:sz="4" w:space="0" w:color="auto"/>
              <w:right w:val="single" w:sz="4" w:space="0" w:color="auto"/>
            </w:tcBorders>
            <w:vAlign w:val="center"/>
          </w:tcPr>
          <w:p w:rsidR="000A7532" w:rsidRPr="002462E6" w:rsidRDefault="000A7532" w:rsidP="009D1D90">
            <w:pPr>
              <w:spacing w:before="30"/>
              <w:ind w:left="56" w:right="4"/>
              <w:jc w:val="center"/>
              <w:rPr>
                <w:rFonts w:ascii="Tahoma" w:eastAsia="Arial MT" w:hAnsi="Tahoma" w:cs="Tahoma"/>
                <w:sz w:val="20"/>
                <w:szCs w:val="20"/>
              </w:rPr>
            </w:pPr>
            <w:r w:rsidRPr="002462E6">
              <w:rPr>
                <w:rFonts w:ascii="Tahoma" w:eastAsia="Arial MT" w:hAnsi="Tahoma" w:cs="Tahoma"/>
                <w:sz w:val="20"/>
                <w:szCs w:val="20"/>
              </w:rPr>
              <w:t>20</w:t>
            </w:r>
          </w:p>
        </w:tc>
        <w:tc>
          <w:tcPr>
            <w:tcW w:w="851" w:type="dxa"/>
            <w:tcBorders>
              <w:top w:val="single" w:sz="4" w:space="0" w:color="auto"/>
              <w:left w:val="single" w:sz="4" w:space="0" w:color="auto"/>
              <w:bottom w:val="single" w:sz="4" w:space="0" w:color="auto"/>
              <w:right w:val="single" w:sz="4" w:space="0" w:color="auto"/>
            </w:tcBorders>
            <w:vAlign w:val="center"/>
          </w:tcPr>
          <w:p w:rsidR="000A7532" w:rsidRPr="002462E6" w:rsidRDefault="000A7532" w:rsidP="009D1D90">
            <w:pPr>
              <w:spacing w:before="30"/>
              <w:ind w:left="140" w:right="4"/>
              <w:jc w:val="center"/>
              <w:cnfStyle w:val="000000100000" w:firstRow="0" w:lastRow="0" w:firstColumn="0" w:lastColumn="0" w:oddVBand="0" w:evenVBand="0" w:oddHBand="1" w:evenHBand="0" w:firstRowFirstColumn="0" w:firstRowLastColumn="0" w:lastRowFirstColumn="0" w:lastRowLastColumn="0"/>
              <w:rPr>
                <w:rFonts w:ascii="Tahoma" w:eastAsia="Arial MT" w:hAnsi="Tahoma" w:cs="Tahoma"/>
                <w:sz w:val="20"/>
                <w:szCs w:val="20"/>
              </w:rPr>
            </w:pPr>
            <w:r w:rsidRPr="002462E6">
              <w:rPr>
                <w:rFonts w:ascii="Tahoma" w:eastAsia="Arial MT" w:hAnsi="Tahoma" w:cs="Tahoma"/>
                <w:sz w:val="20"/>
                <w:szCs w:val="20"/>
              </w:rPr>
              <w:t>220</w:t>
            </w:r>
          </w:p>
        </w:tc>
        <w:tc>
          <w:tcPr>
            <w:cnfStyle w:val="000010000000" w:firstRow="0" w:lastRow="0" w:firstColumn="0" w:lastColumn="0" w:oddVBand="1" w:evenVBand="0" w:oddHBand="0" w:evenHBand="0" w:firstRowFirstColumn="0" w:firstRowLastColumn="0" w:lastRowFirstColumn="0" w:lastRowLastColumn="0"/>
            <w:tcW w:w="1134" w:type="dxa"/>
            <w:tcBorders>
              <w:top w:val="single" w:sz="4" w:space="0" w:color="auto"/>
              <w:left w:val="single" w:sz="4" w:space="0" w:color="auto"/>
              <w:bottom w:val="single" w:sz="4" w:space="0" w:color="auto"/>
              <w:right w:val="single" w:sz="4" w:space="0" w:color="auto"/>
            </w:tcBorders>
            <w:vAlign w:val="center"/>
          </w:tcPr>
          <w:p w:rsidR="000A7532" w:rsidRPr="002462E6" w:rsidRDefault="000A7532" w:rsidP="009D1D90">
            <w:pPr>
              <w:spacing w:before="30"/>
              <w:ind w:left="308" w:right="4"/>
              <w:jc w:val="center"/>
              <w:rPr>
                <w:rFonts w:ascii="Tahoma" w:eastAsia="Arial MT" w:hAnsi="Tahoma" w:cs="Tahoma"/>
                <w:sz w:val="20"/>
                <w:szCs w:val="20"/>
              </w:rPr>
            </w:pPr>
            <w:r w:rsidRPr="002462E6">
              <w:rPr>
                <w:rFonts w:ascii="Tahoma" w:eastAsia="Arial MT" w:hAnsi="Tahoma" w:cs="Tahoma"/>
                <w:sz w:val="20"/>
                <w:szCs w:val="20"/>
              </w:rPr>
              <w:t>136</w:t>
            </w:r>
          </w:p>
        </w:tc>
        <w:tc>
          <w:tcPr>
            <w:tcW w:w="851" w:type="dxa"/>
            <w:tcBorders>
              <w:top w:val="single" w:sz="4" w:space="0" w:color="auto"/>
              <w:left w:val="single" w:sz="4" w:space="0" w:color="auto"/>
              <w:bottom w:val="single" w:sz="4" w:space="0" w:color="auto"/>
              <w:right w:val="single" w:sz="4" w:space="0" w:color="auto"/>
            </w:tcBorders>
            <w:vAlign w:val="center"/>
          </w:tcPr>
          <w:p w:rsidR="000A7532" w:rsidRPr="002462E6" w:rsidRDefault="000A7532" w:rsidP="009D1D90">
            <w:pPr>
              <w:spacing w:before="30"/>
              <w:ind w:left="87" w:right="4"/>
              <w:jc w:val="center"/>
              <w:cnfStyle w:val="000000100000" w:firstRow="0" w:lastRow="0" w:firstColumn="0" w:lastColumn="0" w:oddVBand="0" w:evenVBand="0" w:oddHBand="1" w:evenHBand="0" w:firstRowFirstColumn="0" w:firstRowLastColumn="0" w:lastRowFirstColumn="0" w:lastRowLastColumn="0"/>
              <w:rPr>
                <w:rFonts w:ascii="Tahoma" w:eastAsia="Arial MT" w:hAnsi="Tahoma" w:cs="Tahoma"/>
                <w:sz w:val="20"/>
                <w:szCs w:val="20"/>
              </w:rPr>
            </w:pPr>
            <w:r w:rsidRPr="002462E6">
              <w:rPr>
                <w:rFonts w:ascii="Tahoma" w:eastAsia="Arial MT" w:hAnsi="Tahoma" w:cs="Tahoma"/>
                <w:sz w:val="20"/>
                <w:szCs w:val="20"/>
              </w:rPr>
              <w:t>349</w:t>
            </w:r>
          </w:p>
        </w:tc>
        <w:tc>
          <w:tcPr>
            <w:cnfStyle w:val="000010000000" w:firstRow="0" w:lastRow="0" w:firstColumn="0" w:lastColumn="0" w:oddVBand="1" w:evenVBand="0" w:oddHBand="0" w:evenHBand="0" w:firstRowFirstColumn="0" w:firstRowLastColumn="0" w:lastRowFirstColumn="0" w:lastRowLastColumn="0"/>
            <w:tcW w:w="1099" w:type="dxa"/>
            <w:tcBorders>
              <w:top w:val="single" w:sz="4" w:space="0" w:color="auto"/>
              <w:left w:val="single" w:sz="4" w:space="0" w:color="auto"/>
              <w:bottom w:val="single" w:sz="4" w:space="0" w:color="auto"/>
              <w:right w:val="single" w:sz="4" w:space="0" w:color="auto"/>
            </w:tcBorders>
            <w:vAlign w:val="center"/>
          </w:tcPr>
          <w:p w:rsidR="000A7532" w:rsidRPr="002462E6" w:rsidRDefault="000A7532" w:rsidP="009D1D90">
            <w:pPr>
              <w:spacing w:before="30"/>
              <w:ind w:left="171" w:right="4"/>
              <w:jc w:val="center"/>
              <w:rPr>
                <w:rFonts w:ascii="Tahoma" w:eastAsia="Arial MT" w:hAnsi="Tahoma" w:cs="Tahoma"/>
                <w:sz w:val="20"/>
                <w:szCs w:val="20"/>
              </w:rPr>
            </w:pPr>
            <w:r w:rsidRPr="002462E6">
              <w:rPr>
                <w:rFonts w:ascii="Tahoma" w:eastAsia="Arial MT" w:hAnsi="Tahoma" w:cs="Tahoma"/>
                <w:sz w:val="20"/>
                <w:szCs w:val="20"/>
              </w:rPr>
              <w:t>n.i.</w:t>
            </w:r>
          </w:p>
        </w:tc>
        <w:tc>
          <w:tcPr>
            <w:tcW w:w="992" w:type="dxa"/>
            <w:tcBorders>
              <w:top w:val="single" w:sz="4" w:space="0" w:color="auto"/>
              <w:left w:val="single" w:sz="4" w:space="0" w:color="auto"/>
              <w:bottom w:val="single" w:sz="4" w:space="0" w:color="auto"/>
              <w:right w:val="single" w:sz="4" w:space="0" w:color="auto"/>
            </w:tcBorders>
            <w:vAlign w:val="center"/>
          </w:tcPr>
          <w:p w:rsidR="000A7532" w:rsidRPr="002462E6" w:rsidRDefault="000A7532" w:rsidP="009D1D90">
            <w:pPr>
              <w:spacing w:before="30"/>
              <w:ind w:right="4"/>
              <w:jc w:val="center"/>
              <w:cnfStyle w:val="000000100000" w:firstRow="0" w:lastRow="0" w:firstColumn="0" w:lastColumn="0" w:oddVBand="0" w:evenVBand="0" w:oddHBand="1" w:evenHBand="0" w:firstRowFirstColumn="0" w:firstRowLastColumn="0" w:lastRowFirstColumn="0" w:lastRowLastColumn="0"/>
              <w:rPr>
                <w:rFonts w:ascii="Tahoma" w:eastAsia="Arial MT" w:hAnsi="Tahoma" w:cs="Tahoma"/>
                <w:sz w:val="20"/>
                <w:szCs w:val="20"/>
              </w:rPr>
            </w:pPr>
            <w:r w:rsidRPr="002462E6">
              <w:rPr>
                <w:rFonts w:ascii="Tahoma" w:eastAsia="Arial MT" w:hAnsi="Tahoma" w:cs="Tahoma"/>
                <w:sz w:val="20"/>
                <w:szCs w:val="20"/>
              </w:rPr>
              <w:t>392</w:t>
            </w:r>
          </w:p>
        </w:tc>
        <w:tc>
          <w:tcPr>
            <w:cnfStyle w:val="000100000000" w:firstRow="0" w:lastRow="0" w:firstColumn="0" w:lastColumn="1" w:oddVBand="0" w:evenVBand="0" w:oddHBand="0" w:evenHBand="0" w:firstRowFirstColumn="0" w:firstRowLastColumn="0" w:lastRowFirstColumn="0" w:lastRowLastColumn="0"/>
            <w:tcW w:w="1134" w:type="dxa"/>
            <w:tcBorders>
              <w:top w:val="single" w:sz="4" w:space="0" w:color="auto"/>
              <w:left w:val="single" w:sz="4" w:space="0" w:color="auto"/>
              <w:bottom w:val="single" w:sz="4" w:space="0" w:color="auto"/>
              <w:right w:val="single" w:sz="4" w:space="0" w:color="auto"/>
            </w:tcBorders>
            <w:vAlign w:val="center"/>
          </w:tcPr>
          <w:p w:rsidR="000A7532" w:rsidRPr="002462E6" w:rsidRDefault="000A7532" w:rsidP="009D1D90">
            <w:pPr>
              <w:spacing w:before="30"/>
              <w:ind w:left="90" w:right="4"/>
              <w:jc w:val="center"/>
              <w:rPr>
                <w:rFonts w:ascii="Tahoma" w:eastAsia="Arial MT" w:hAnsi="Tahoma" w:cs="Tahoma"/>
                <w:sz w:val="20"/>
                <w:szCs w:val="20"/>
              </w:rPr>
            </w:pPr>
            <w:r w:rsidRPr="002462E6">
              <w:rPr>
                <w:rFonts w:ascii="Tahoma" w:eastAsia="Arial MT" w:hAnsi="Tahoma" w:cs="Tahoma"/>
                <w:sz w:val="20"/>
                <w:szCs w:val="20"/>
              </w:rPr>
              <w:t>n.i.</w:t>
            </w:r>
          </w:p>
        </w:tc>
      </w:tr>
      <w:tr w:rsidR="000355E5" w:rsidRPr="002462E6" w:rsidTr="009D1D90">
        <w:trPr>
          <w:cnfStyle w:val="010000000000" w:firstRow="0" w:lastRow="1" w:firstColumn="0" w:lastColumn="0" w:oddVBand="0" w:evenVBand="0" w:oddHBand="0" w:evenHBand="0" w:firstRowFirstColumn="0" w:firstRowLastColumn="0" w:lastRowFirstColumn="0" w:lastRowLastColumn="0"/>
          <w:trHeight w:val="480"/>
        </w:trPr>
        <w:tc>
          <w:tcPr>
            <w:cnfStyle w:val="001000000001" w:firstRow="0" w:lastRow="0" w:firstColumn="1" w:lastColumn="0" w:oddVBand="0" w:evenVBand="0" w:oddHBand="0" w:evenHBand="0" w:firstRowFirstColumn="0" w:firstRowLastColumn="0" w:lastRowFirstColumn="1" w:lastRowLastColumn="0"/>
            <w:tcW w:w="3119" w:type="dxa"/>
            <w:tcBorders>
              <w:right w:val="single" w:sz="4" w:space="0" w:color="auto"/>
            </w:tcBorders>
            <w:vAlign w:val="center"/>
          </w:tcPr>
          <w:p w:rsidR="000A7532" w:rsidRPr="002462E6" w:rsidRDefault="000A7532" w:rsidP="002676C3">
            <w:pPr>
              <w:spacing w:before="29"/>
              <w:ind w:left="10" w:right="4"/>
              <w:rPr>
                <w:rFonts w:ascii="Tahoma" w:eastAsia="Arial MT" w:hAnsi="Tahoma" w:cs="Tahoma"/>
                <w:sz w:val="20"/>
                <w:szCs w:val="20"/>
              </w:rPr>
            </w:pPr>
            <w:r w:rsidRPr="002462E6">
              <w:rPr>
                <w:rFonts w:ascii="Tahoma" w:eastAsia="Arial MT" w:hAnsi="Tahoma" w:cs="Tahoma"/>
                <w:sz w:val="20"/>
                <w:szCs w:val="20"/>
              </w:rPr>
              <w:t>TOTAL</w:t>
            </w:r>
          </w:p>
        </w:tc>
        <w:tc>
          <w:tcPr>
            <w:cnfStyle w:val="000010000000" w:firstRow="0" w:lastRow="0" w:firstColumn="0" w:lastColumn="0" w:oddVBand="1" w:evenVBand="0" w:oddHBand="0" w:evenHBand="0" w:firstRowFirstColumn="0" w:firstRowLastColumn="0" w:lastRowFirstColumn="0" w:lastRowLastColumn="0"/>
            <w:tcW w:w="851" w:type="dxa"/>
            <w:tcBorders>
              <w:top w:val="single" w:sz="4" w:space="0" w:color="auto"/>
              <w:left w:val="single" w:sz="4" w:space="0" w:color="auto"/>
              <w:bottom w:val="single" w:sz="4" w:space="0" w:color="auto"/>
              <w:right w:val="single" w:sz="4" w:space="0" w:color="auto"/>
            </w:tcBorders>
            <w:vAlign w:val="center"/>
          </w:tcPr>
          <w:p w:rsidR="000A7532" w:rsidRPr="002462E6" w:rsidRDefault="000A7532" w:rsidP="009D1D90">
            <w:pPr>
              <w:spacing w:before="29"/>
              <w:ind w:left="56" w:right="4"/>
              <w:jc w:val="center"/>
              <w:rPr>
                <w:rFonts w:ascii="Tahoma" w:eastAsia="Arial MT" w:hAnsi="Tahoma" w:cs="Tahoma"/>
                <w:sz w:val="20"/>
                <w:szCs w:val="20"/>
              </w:rPr>
            </w:pPr>
            <w:r w:rsidRPr="002462E6">
              <w:rPr>
                <w:rFonts w:ascii="Tahoma" w:eastAsia="Arial MT" w:hAnsi="Tahoma" w:cs="Tahoma"/>
                <w:sz w:val="20"/>
                <w:szCs w:val="20"/>
              </w:rPr>
              <w:t>43</w:t>
            </w:r>
          </w:p>
        </w:tc>
        <w:tc>
          <w:tcPr>
            <w:tcW w:w="851" w:type="dxa"/>
            <w:tcBorders>
              <w:top w:val="single" w:sz="4" w:space="0" w:color="auto"/>
              <w:left w:val="single" w:sz="4" w:space="0" w:color="auto"/>
              <w:bottom w:val="single" w:sz="4" w:space="0" w:color="auto"/>
              <w:right w:val="single" w:sz="4" w:space="0" w:color="auto"/>
            </w:tcBorders>
            <w:vAlign w:val="center"/>
          </w:tcPr>
          <w:p w:rsidR="000A7532" w:rsidRPr="002462E6" w:rsidRDefault="000A7532" w:rsidP="009D1D90">
            <w:pPr>
              <w:spacing w:before="29"/>
              <w:ind w:left="141" w:right="4"/>
              <w:jc w:val="center"/>
              <w:cnfStyle w:val="010000000000" w:firstRow="0" w:lastRow="1" w:firstColumn="0" w:lastColumn="0" w:oddVBand="0" w:evenVBand="0" w:oddHBand="0" w:evenHBand="0" w:firstRowFirstColumn="0" w:firstRowLastColumn="0" w:lastRowFirstColumn="0" w:lastRowLastColumn="0"/>
              <w:rPr>
                <w:rFonts w:ascii="Tahoma" w:eastAsia="Arial MT" w:hAnsi="Tahoma" w:cs="Tahoma"/>
                <w:sz w:val="20"/>
                <w:szCs w:val="20"/>
              </w:rPr>
            </w:pPr>
            <w:r w:rsidRPr="002462E6">
              <w:rPr>
                <w:rFonts w:ascii="Tahoma" w:eastAsia="Arial MT" w:hAnsi="Tahoma" w:cs="Tahoma"/>
                <w:sz w:val="20"/>
                <w:szCs w:val="20"/>
              </w:rPr>
              <w:t>400</w:t>
            </w:r>
          </w:p>
        </w:tc>
        <w:tc>
          <w:tcPr>
            <w:cnfStyle w:val="000010000000" w:firstRow="0" w:lastRow="0" w:firstColumn="0" w:lastColumn="0" w:oddVBand="1" w:evenVBand="0" w:oddHBand="0" w:evenHBand="0" w:firstRowFirstColumn="0" w:firstRowLastColumn="0" w:lastRowFirstColumn="0" w:lastRowLastColumn="0"/>
            <w:tcW w:w="1134" w:type="dxa"/>
            <w:tcBorders>
              <w:top w:val="single" w:sz="4" w:space="0" w:color="auto"/>
              <w:left w:val="single" w:sz="4" w:space="0" w:color="auto"/>
              <w:bottom w:val="single" w:sz="4" w:space="0" w:color="auto"/>
              <w:right w:val="single" w:sz="4" w:space="0" w:color="auto"/>
            </w:tcBorders>
            <w:vAlign w:val="center"/>
          </w:tcPr>
          <w:p w:rsidR="000A7532" w:rsidRPr="002462E6" w:rsidRDefault="000A7532" w:rsidP="009D1D90">
            <w:pPr>
              <w:spacing w:before="29"/>
              <w:ind w:left="313" w:right="4"/>
              <w:jc w:val="center"/>
              <w:rPr>
                <w:rFonts w:ascii="Tahoma" w:eastAsia="Arial MT" w:hAnsi="Tahoma" w:cs="Tahoma"/>
                <w:sz w:val="20"/>
                <w:szCs w:val="20"/>
              </w:rPr>
            </w:pPr>
            <w:r w:rsidRPr="002462E6">
              <w:rPr>
                <w:rFonts w:ascii="Tahoma" w:eastAsia="Arial MT" w:hAnsi="Tahoma" w:cs="Tahoma"/>
                <w:sz w:val="20"/>
                <w:szCs w:val="20"/>
              </w:rPr>
              <w:t>389</w:t>
            </w:r>
          </w:p>
        </w:tc>
        <w:tc>
          <w:tcPr>
            <w:tcW w:w="851" w:type="dxa"/>
            <w:tcBorders>
              <w:top w:val="single" w:sz="4" w:space="0" w:color="auto"/>
              <w:left w:val="single" w:sz="4" w:space="0" w:color="auto"/>
              <w:bottom w:val="single" w:sz="4" w:space="0" w:color="auto"/>
              <w:right w:val="single" w:sz="4" w:space="0" w:color="auto"/>
            </w:tcBorders>
            <w:vAlign w:val="center"/>
          </w:tcPr>
          <w:p w:rsidR="000A7532" w:rsidRPr="002462E6" w:rsidRDefault="000A7532" w:rsidP="009D1D90">
            <w:pPr>
              <w:spacing w:before="29"/>
              <w:ind w:left="92" w:right="4"/>
              <w:jc w:val="center"/>
              <w:cnfStyle w:val="010000000000" w:firstRow="0" w:lastRow="1" w:firstColumn="0" w:lastColumn="0" w:oddVBand="0" w:evenVBand="0" w:oddHBand="0" w:evenHBand="0" w:firstRowFirstColumn="0" w:firstRowLastColumn="0" w:lastRowFirstColumn="0" w:lastRowLastColumn="0"/>
              <w:rPr>
                <w:rFonts w:ascii="Tahoma" w:eastAsia="Arial MT" w:hAnsi="Tahoma" w:cs="Tahoma"/>
                <w:sz w:val="20"/>
                <w:szCs w:val="20"/>
              </w:rPr>
            </w:pPr>
            <w:r w:rsidRPr="002462E6">
              <w:rPr>
                <w:rFonts w:ascii="Tahoma" w:eastAsia="Arial MT" w:hAnsi="Tahoma" w:cs="Tahoma"/>
                <w:sz w:val="20"/>
                <w:szCs w:val="20"/>
              </w:rPr>
              <w:t>704</w:t>
            </w:r>
          </w:p>
        </w:tc>
        <w:tc>
          <w:tcPr>
            <w:cnfStyle w:val="000010000000" w:firstRow="0" w:lastRow="0" w:firstColumn="0" w:lastColumn="0" w:oddVBand="1" w:evenVBand="0" w:oddHBand="0" w:evenHBand="0" w:firstRowFirstColumn="0" w:firstRowLastColumn="0" w:lastRowFirstColumn="0" w:lastRowLastColumn="0"/>
            <w:tcW w:w="1099" w:type="dxa"/>
            <w:tcBorders>
              <w:top w:val="single" w:sz="4" w:space="0" w:color="auto"/>
              <w:left w:val="single" w:sz="4" w:space="0" w:color="auto"/>
              <w:bottom w:val="single" w:sz="4" w:space="0" w:color="auto"/>
              <w:right w:val="single" w:sz="4" w:space="0" w:color="auto"/>
            </w:tcBorders>
            <w:vAlign w:val="center"/>
          </w:tcPr>
          <w:p w:rsidR="000A7532" w:rsidRPr="002462E6" w:rsidRDefault="000A7532" w:rsidP="009D1D90">
            <w:pPr>
              <w:spacing w:before="29"/>
              <w:ind w:left="176" w:right="4"/>
              <w:jc w:val="center"/>
              <w:rPr>
                <w:rFonts w:ascii="Tahoma" w:eastAsia="Arial MT" w:hAnsi="Tahoma" w:cs="Tahoma"/>
                <w:sz w:val="20"/>
                <w:szCs w:val="20"/>
              </w:rPr>
            </w:pPr>
            <w:r w:rsidRPr="002462E6">
              <w:rPr>
                <w:rFonts w:ascii="Tahoma" w:eastAsia="Arial MT" w:hAnsi="Tahoma" w:cs="Tahoma"/>
                <w:sz w:val="20"/>
                <w:szCs w:val="20"/>
              </w:rPr>
              <w:t>750</w:t>
            </w:r>
            <w:r w:rsidRPr="002462E6">
              <w:rPr>
                <w:rFonts w:ascii="Tahoma" w:eastAsia="Arial MT" w:hAnsi="Tahoma" w:cs="Tahoma"/>
                <w:spacing w:val="-3"/>
                <w:sz w:val="20"/>
                <w:szCs w:val="20"/>
              </w:rPr>
              <w:t xml:space="preserve"> </w:t>
            </w:r>
            <w:r w:rsidRPr="002462E6">
              <w:rPr>
                <w:rFonts w:ascii="Tahoma" w:eastAsia="Arial MT" w:hAnsi="Tahoma" w:cs="Tahoma"/>
                <w:sz w:val="20"/>
                <w:szCs w:val="20"/>
              </w:rPr>
              <w:t>+</w:t>
            </w:r>
          </w:p>
        </w:tc>
        <w:tc>
          <w:tcPr>
            <w:tcW w:w="992" w:type="dxa"/>
            <w:tcBorders>
              <w:top w:val="single" w:sz="4" w:space="0" w:color="auto"/>
              <w:left w:val="single" w:sz="4" w:space="0" w:color="auto"/>
              <w:bottom w:val="single" w:sz="4" w:space="0" w:color="auto"/>
              <w:right w:val="single" w:sz="4" w:space="0" w:color="auto"/>
            </w:tcBorders>
            <w:vAlign w:val="center"/>
          </w:tcPr>
          <w:p w:rsidR="000A7532" w:rsidRPr="002462E6" w:rsidRDefault="000A7532" w:rsidP="009D1D90">
            <w:pPr>
              <w:spacing w:before="29"/>
              <w:ind w:right="4"/>
              <w:jc w:val="center"/>
              <w:cnfStyle w:val="010000000000" w:firstRow="0" w:lastRow="1" w:firstColumn="0" w:lastColumn="0" w:oddVBand="0" w:evenVBand="0" w:oddHBand="0" w:evenHBand="0" w:firstRowFirstColumn="0" w:firstRowLastColumn="0" w:lastRowFirstColumn="0" w:lastRowLastColumn="0"/>
              <w:rPr>
                <w:rFonts w:ascii="Tahoma" w:eastAsia="Arial MT" w:hAnsi="Tahoma" w:cs="Tahoma"/>
                <w:sz w:val="20"/>
                <w:szCs w:val="20"/>
              </w:rPr>
            </w:pPr>
            <w:r w:rsidRPr="002462E6">
              <w:rPr>
                <w:rFonts w:ascii="Tahoma" w:eastAsia="Arial MT" w:hAnsi="Tahoma" w:cs="Tahoma"/>
                <w:sz w:val="20"/>
                <w:szCs w:val="20"/>
              </w:rPr>
              <w:t>1</w:t>
            </w:r>
            <w:r w:rsidRPr="002462E6">
              <w:rPr>
                <w:rFonts w:ascii="Tahoma" w:eastAsia="Arial MT" w:hAnsi="Tahoma" w:cs="Tahoma"/>
                <w:spacing w:val="-3"/>
                <w:sz w:val="20"/>
                <w:szCs w:val="20"/>
              </w:rPr>
              <w:t xml:space="preserve"> </w:t>
            </w:r>
            <w:r w:rsidRPr="002462E6">
              <w:rPr>
                <w:rFonts w:ascii="Tahoma" w:eastAsia="Arial MT" w:hAnsi="Tahoma" w:cs="Tahoma"/>
                <w:sz w:val="20"/>
                <w:szCs w:val="20"/>
              </w:rPr>
              <w:t>414</w:t>
            </w:r>
          </w:p>
        </w:tc>
        <w:tc>
          <w:tcPr>
            <w:cnfStyle w:val="000100000010" w:firstRow="0" w:lastRow="0" w:firstColumn="0" w:lastColumn="1" w:oddVBand="0" w:evenVBand="0" w:oddHBand="0" w:evenHBand="0" w:firstRowFirstColumn="0" w:firstRowLastColumn="0" w:lastRowFirstColumn="0" w:lastRowLastColumn="1"/>
            <w:tcW w:w="1134" w:type="dxa"/>
            <w:tcBorders>
              <w:top w:val="single" w:sz="4" w:space="0" w:color="auto"/>
              <w:left w:val="single" w:sz="4" w:space="0" w:color="auto"/>
              <w:bottom w:val="single" w:sz="4" w:space="0" w:color="auto"/>
              <w:right w:val="single" w:sz="4" w:space="0" w:color="auto"/>
            </w:tcBorders>
            <w:vAlign w:val="center"/>
          </w:tcPr>
          <w:p w:rsidR="000A7532" w:rsidRPr="002462E6" w:rsidRDefault="000A7532" w:rsidP="009D1D90">
            <w:pPr>
              <w:spacing w:before="29"/>
              <w:ind w:left="93" w:right="4"/>
              <w:jc w:val="center"/>
              <w:rPr>
                <w:rFonts w:ascii="Tahoma" w:eastAsia="Arial MT" w:hAnsi="Tahoma" w:cs="Tahoma"/>
                <w:sz w:val="20"/>
                <w:szCs w:val="20"/>
              </w:rPr>
            </w:pPr>
            <w:r w:rsidRPr="002462E6">
              <w:rPr>
                <w:rFonts w:ascii="Tahoma" w:eastAsia="Arial MT" w:hAnsi="Tahoma" w:cs="Tahoma"/>
                <w:sz w:val="20"/>
                <w:szCs w:val="20"/>
              </w:rPr>
              <w:t>1</w:t>
            </w:r>
            <w:r w:rsidRPr="002462E6">
              <w:rPr>
                <w:rFonts w:ascii="Tahoma" w:eastAsia="Arial MT" w:hAnsi="Tahoma" w:cs="Tahoma"/>
                <w:spacing w:val="-3"/>
                <w:sz w:val="20"/>
                <w:szCs w:val="20"/>
              </w:rPr>
              <w:t xml:space="preserve"> </w:t>
            </w:r>
            <w:r w:rsidRPr="002462E6">
              <w:rPr>
                <w:rFonts w:ascii="Tahoma" w:eastAsia="Arial MT" w:hAnsi="Tahoma" w:cs="Tahoma"/>
                <w:sz w:val="20"/>
                <w:szCs w:val="20"/>
              </w:rPr>
              <w:t>234</w:t>
            </w:r>
            <w:r w:rsidRPr="002462E6">
              <w:rPr>
                <w:rFonts w:ascii="Tahoma" w:eastAsia="Arial MT" w:hAnsi="Tahoma" w:cs="Tahoma"/>
                <w:spacing w:val="-2"/>
                <w:sz w:val="20"/>
                <w:szCs w:val="20"/>
              </w:rPr>
              <w:t xml:space="preserve"> </w:t>
            </w:r>
            <w:r w:rsidRPr="002462E6">
              <w:rPr>
                <w:rFonts w:ascii="Tahoma" w:eastAsia="Arial MT" w:hAnsi="Tahoma" w:cs="Tahoma"/>
                <w:sz w:val="20"/>
                <w:szCs w:val="20"/>
              </w:rPr>
              <w:t>+</w:t>
            </w:r>
          </w:p>
        </w:tc>
      </w:tr>
    </w:tbl>
    <w:p w:rsidR="000A7532" w:rsidRPr="002462E6" w:rsidRDefault="000A7532" w:rsidP="000A7532">
      <w:pPr>
        <w:widowControl w:val="0"/>
        <w:autoSpaceDE w:val="0"/>
        <w:autoSpaceDN w:val="0"/>
        <w:spacing w:before="5" w:after="0" w:line="240" w:lineRule="auto"/>
        <w:ind w:right="4"/>
        <w:rPr>
          <w:rFonts w:ascii="Calibri" w:eastAsia="Times New Roman" w:hAnsi="Times New Roman" w:cs="Times New Roman"/>
          <w:i/>
          <w:sz w:val="16"/>
          <w:szCs w:val="24"/>
        </w:rPr>
      </w:pPr>
    </w:p>
    <w:p w:rsidR="000A7532" w:rsidRPr="002462E6" w:rsidRDefault="000A7532" w:rsidP="00D051D7">
      <w:pPr>
        <w:widowControl w:val="0"/>
        <w:numPr>
          <w:ilvl w:val="1"/>
          <w:numId w:val="4"/>
        </w:numPr>
        <w:tabs>
          <w:tab w:val="left" w:pos="1710"/>
        </w:tabs>
        <w:autoSpaceDE w:val="0"/>
        <w:autoSpaceDN w:val="0"/>
        <w:spacing w:after="0" w:line="393" w:lineRule="auto"/>
        <w:ind w:right="4" w:hanging="1749"/>
        <w:jc w:val="both"/>
        <w:rPr>
          <w:rFonts w:ascii="Times New Roman" w:eastAsia="Times New Roman" w:hAnsi="Times New Roman" w:cs="Times New Roman"/>
          <w:sz w:val="20"/>
        </w:rPr>
      </w:pPr>
      <w:r w:rsidRPr="002462E6">
        <w:rPr>
          <w:rFonts w:ascii="Times New Roman" w:eastAsia="Times New Roman" w:hAnsi="Times New Roman" w:cs="Times New Roman"/>
          <w:sz w:val="20"/>
        </w:rPr>
        <w:t>N'est</w:t>
      </w:r>
      <w:r w:rsidRPr="002462E6">
        <w:rPr>
          <w:rFonts w:ascii="Times New Roman" w:eastAsia="Times New Roman" w:hAnsi="Times New Roman" w:cs="Times New Roman"/>
          <w:spacing w:val="6"/>
          <w:sz w:val="20"/>
        </w:rPr>
        <w:t xml:space="preserve"> </w:t>
      </w:r>
      <w:r w:rsidRPr="002462E6">
        <w:rPr>
          <w:rFonts w:ascii="Times New Roman" w:eastAsia="Times New Roman" w:hAnsi="Times New Roman" w:cs="Times New Roman"/>
          <w:sz w:val="20"/>
        </w:rPr>
        <w:t>pas</w:t>
      </w:r>
      <w:r w:rsidRPr="002462E6">
        <w:rPr>
          <w:rFonts w:ascii="Times New Roman" w:eastAsia="Times New Roman" w:hAnsi="Times New Roman" w:cs="Times New Roman"/>
          <w:spacing w:val="7"/>
          <w:sz w:val="20"/>
        </w:rPr>
        <w:t xml:space="preserve"> </w:t>
      </w:r>
      <w:r w:rsidRPr="002462E6">
        <w:rPr>
          <w:rFonts w:ascii="Times New Roman" w:eastAsia="Times New Roman" w:hAnsi="Times New Roman" w:cs="Times New Roman"/>
          <w:sz w:val="20"/>
        </w:rPr>
        <w:t>compris</w:t>
      </w:r>
      <w:r w:rsidRPr="002462E6">
        <w:rPr>
          <w:rFonts w:ascii="Times New Roman" w:eastAsia="Times New Roman" w:hAnsi="Times New Roman" w:cs="Times New Roman"/>
          <w:spacing w:val="6"/>
          <w:sz w:val="20"/>
        </w:rPr>
        <w:t xml:space="preserve"> </w:t>
      </w:r>
      <w:r w:rsidRPr="002462E6">
        <w:rPr>
          <w:rFonts w:ascii="Times New Roman" w:eastAsia="Times New Roman" w:hAnsi="Times New Roman" w:cs="Times New Roman"/>
          <w:sz w:val="20"/>
        </w:rPr>
        <w:t>dans</w:t>
      </w:r>
      <w:r w:rsidRPr="002462E6">
        <w:rPr>
          <w:rFonts w:ascii="Times New Roman" w:eastAsia="Times New Roman" w:hAnsi="Times New Roman" w:cs="Times New Roman"/>
          <w:spacing w:val="6"/>
          <w:sz w:val="20"/>
        </w:rPr>
        <w:t xml:space="preserve"> </w:t>
      </w:r>
      <w:r w:rsidRPr="002462E6">
        <w:rPr>
          <w:rFonts w:ascii="Times New Roman" w:eastAsia="Times New Roman" w:hAnsi="Times New Roman" w:cs="Times New Roman"/>
          <w:sz w:val="20"/>
        </w:rPr>
        <w:t>ces</w:t>
      </w:r>
      <w:r w:rsidRPr="002462E6">
        <w:rPr>
          <w:rFonts w:ascii="Times New Roman" w:eastAsia="Times New Roman" w:hAnsi="Times New Roman" w:cs="Times New Roman"/>
          <w:spacing w:val="5"/>
          <w:sz w:val="20"/>
        </w:rPr>
        <w:t xml:space="preserve"> </w:t>
      </w:r>
      <w:r w:rsidRPr="002462E6">
        <w:rPr>
          <w:rFonts w:ascii="Times New Roman" w:eastAsia="Times New Roman" w:hAnsi="Times New Roman" w:cs="Times New Roman"/>
          <w:sz w:val="20"/>
        </w:rPr>
        <w:t>effectifs,</w:t>
      </w:r>
      <w:r w:rsidRPr="002462E6">
        <w:rPr>
          <w:rFonts w:ascii="Times New Roman" w:eastAsia="Times New Roman" w:hAnsi="Times New Roman" w:cs="Times New Roman"/>
          <w:spacing w:val="8"/>
          <w:sz w:val="20"/>
        </w:rPr>
        <w:t xml:space="preserve"> </w:t>
      </w:r>
      <w:r w:rsidRPr="002462E6">
        <w:rPr>
          <w:rFonts w:ascii="Times New Roman" w:eastAsia="Times New Roman" w:hAnsi="Times New Roman" w:cs="Times New Roman"/>
          <w:sz w:val="20"/>
        </w:rPr>
        <w:t>le</w:t>
      </w:r>
      <w:r w:rsidRPr="002462E6">
        <w:rPr>
          <w:rFonts w:ascii="Times New Roman" w:eastAsia="Times New Roman" w:hAnsi="Times New Roman" w:cs="Times New Roman"/>
          <w:spacing w:val="5"/>
          <w:sz w:val="20"/>
        </w:rPr>
        <w:t xml:space="preserve"> </w:t>
      </w:r>
      <w:r w:rsidRPr="002462E6">
        <w:rPr>
          <w:rFonts w:ascii="Times New Roman" w:eastAsia="Times New Roman" w:hAnsi="Times New Roman" w:cs="Times New Roman"/>
          <w:sz w:val="20"/>
        </w:rPr>
        <w:t>personnel</w:t>
      </w:r>
      <w:r w:rsidRPr="002462E6">
        <w:rPr>
          <w:rFonts w:ascii="Times New Roman" w:eastAsia="Times New Roman" w:hAnsi="Times New Roman" w:cs="Times New Roman"/>
          <w:spacing w:val="6"/>
          <w:sz w:val="20"/>
        </w:rPr>
        <w:t xml:space="preserve"> </w:t>
      </w:r>
      <w:r w:rsidRPr="002462E6">
        <w:rPr>
          <w:rFonts w:ascii="Times New Roman" w:eastAsia="Times New Roman" w:hAnsi="Times New Roman" w:cs="Times New Roman"/>
          <w:sz w:val="20"/>
        </w:rPr>
        <w:t>forestier</w:t>
      </w:r>
      <w:r w:rsidRPr="002462E6">
        <w:rPr>
          <w:rFonts w:ascii="Times New Roman" w:eastAsia="Times New Roman" w:hAnsi="Times New Roman" w:cs="Times New Roman"/>
          <w:spacing w:val="8"/>
          <w:sz w:val="20"/>
        </w:rPr>
        <w:t xml:space="preserve"> </w:t>
      </w:r>
      <w:r w:rsidRPr="002462E6">
        <w:rPr>
          <w:rFonts w:ascii="Times New Roman" w:eastAsia="Times New Roman" w:hAnsi="Times New Roman" w:cs="Times New Roman"/>
          <w:sz w:val="20"/>
        </w:rPr>
        <w:t>espagnol</w:t>
      </w:r>
      <w:r w:rsidRPr="002462E6">
        <w:rPr>
          <w:rFonts w:ascii="Times New Roman" w:eastAsia="Times New Roman" w:hAnsi="Times New Roman" w:cs="Times New Roman"/>
          <w:spacing w:val="5"/>
          <w:sz w:val="20"/>
        </w:rPr>
        <w:t xml:space="preserve"> </w:t>
      </w:r>
      <w:r w:rsidRPr="002462E6">
        <w:rPr>
          <w:rFonts w:ascii="Times New Roman" w:eastAsia="Times New Roman" w:hAnsi="Times New Roman" w:cs="Times New Roman"/>
          <w:sz w:val="20"/>
        </w:rPr>
        <w:t>qui</w:t>
      </w:r>
      <w:r w:rsidRPr="002462E6">
        <w:rPr>
          <w:rFonts w:ascii="Times New Roman" w:eastAsia="Times New Roman" w:hAnsi="Times New Roman" w:cs="Times New Roman"/>
          <w:spacing w:val="6"/>
          <w:sz w:val="20"/>
        </w:rPr>
        <w:t xml:space="preserve"> </w:t>
      </w:r>
      <w:r w:rsidRPr="002462E6">
        <w:rPr>
          <w:rFonts w:ascii="Times New Roman" w:eastAsia="Times New Roman" w:hAnsi="Times New Roman" w:cs="Times New Roman"/>
          <w:sz w:val="20"/>
        </w:rPr>
        <w:t>était</w:t>
      </w:r>
      <w:r w:rsidRPr="002462E6">
        <w:rPr>
          <w:rFonts w:ascii="Times New Roman" w:eastAsia="Times New Roman" w:hAnsi="Times New Roman" w:cs="Times New Roman"/>
          <w:spacing w:val="6"/>
          <w:sz w:val="20"/>
        </w:rPr>
        <w:t xml:space="preserve"> </w:t>
      </w:r>
      <w:r w:rsidRPr="002462E6">
        <w:rPr>
          <w:rFonts w:ascii="Times New Roman" w:eastAsia="Times New Roman" w:hAnsi="Times New Roman" w:cs="Times New Roman"/>
          <w:sz w:val="20"/>
        </w:rPr>
        <w:t>en</w:t>
      </w:r>
      <w:r w:rsidRPr="002462E6">
        <w:rPr>
          <w:rFonts w:ascii="Times New Roman" w:eastAsia="Times New Roman" w:hAnsi="Times New Roman" w:cs="Times New Roman"/>
          <w:spacing w:val="8"/>
          <w:sz w:val="20"/>
        </w:rPr>
        <w:t xml:space="preserve"> </w:t>
      </w:r>
      <w:r w:rsidRPr="002462E6">
        <w:rPr>
          <w:rFonts w:ascii="Times New Roman" w:eastAsia="Times New Roman" w:hAnsi="Times New Roman" w:cs="Times New Roman"/>
          <w:sz w:val="20"/>
        </w:rPr>
        <w:t>fonction</w:t>
      </w:r>
      <w:r w:rsidRPr="002462E6">
        <w:rPr>
          <w:rFonts w:ascii="Times New Roman" w:eastAsia="Times New Roman" w:hAnsi="Times New Roman" w:cs="Times New Roman"/>
          <w:spacing w:val="5"/>
          <w:sz w:val="20"/>
        </w:rPr>
        <w:t xml:space="preserve"> </w:t>
      </w:r>
      <w:r w:rsidRPr="002462E6">
        <w:rPr>
          <w:rFonts w:ascii="Times New Roman" w:eastAsia="Times New Roman" w:hAnsi="Times New Roman" w:cs="Times New Roman"/>
          <w:sz w:val="20"/>
        </w:rPr>
        <w:t>dans</w:t>
      </w:r>
      <w:r w:rsidRPr="002462E6">
        <w:rPr>
          <w:rFonts w:ascii="Times New Roman" w:eastAsia="Times New Roman" w:hAnsi="Times New Roman" w:cs="Times New Roman"/>
          <w:spacing w:val="-47"/>
          <w:sz w:val="20"/>
        </w:rPr>
        <w:t xml:space="preserve"> </w:t>
      </w:r>
      <w:r w:rsidRPr="002462E6">
        <w:rPr>
          <w:rFonts w:ascii="Times New Roman" w:eastAsia="Times New Roman" w:hAnsi="Times New Roman" w:cs="Times New Roman"/>
          <w:sz w:val="20"/>
        </w:rPr>
        <w:t>l'ex</w:t>
      </w:r>
      <w:r w:rsidRPr="002462E6">
        <w:rPr>
          <w:rFonts w:ascii="Times New Roman" w:eastAsia="Times New Roman" w:hAnsi="Times New Roman" w:cs="Times New Roman"/>
          <w:spacing w:val="9"/>
          <w:sz w:val="20"/>
        </w:rPr>
        <w:t xml:space="preserve"> </w:t>
      </w:r>
      <w:r w:rsidRPr="002462E6">
        <w:rPr>
          <w:rFonts w:ascii="Times New Roman" w:eastAsia="Times New Roman" w:hAnsi="Times New Roman" w:cs="Times New Roman"/>
          <w:sz w:val="20"/>
        </w:rPr>
        <w:t>zone</w:t>
      </w:r>
      <w:r w:rsidRPr="002462E6">
        <w:rPr>
          <w:rFonts w:ascii="Times New Roman" w:eastAsia="Times New Roman" w:hAnsi="Times New Roman" w:cs="Times New Roman"/>
          <w:spacing w:val="5"/>
          <w:sz w:val="20"/>
        </w:rPr>
        <w:t xml:space="preserve"> </w:t>
      </w:r>
      <w:r w:rsidRPr="002462E6">
        <w:rPr>
          <w:rFonts w:ascii="Times New Roman" w:eastAsia="Times New Roman" w:hAnsi="Times New Roman" w:cs="Times New Roman"/>
          <w:sz w:val="20"/>
        </w:rPr>
        <w:t>nord</w:t>
      </w:r>
      <w:r w:rsidRPr="002462E6">
        <w:rPr>
          <w:rFonts w:ascii="Times New Roman" w:eastAsia="Times New Roman" w:hAnsi="Times New Roman" w:cs="Times New Roman"/>
          <w:spacing w:val="7"/>
          <w:sz w:val="20"/>
        </w:rPr>
        <w:t xml:space="preserve"> </w:t>
      </w:r>
      <w:r w:rsidRPr="002462E6">
        <w:rPr>
          <w:rFonts w:ascii="Times New Roman" w:eastAsia="Times New Roman" w:hAnsi="Times New Roman" w:cs="Times New Roman"/>
          <w:sz w:val="20"/>
        </w:rPr>
        <w:t>du</w:t>
      </w:r>
      <w:r w:rsidRPr="002462E6">
        <w:rPr>
          <w:rFonts w:ascii="Times New Roman" w:eastAsia="Times New Roman" w:hAnsi="Times New Roman" w:cs="Times New Roman"/>
          <w:spacing w:val="8"/>
          <w:sz w:val="20"/>
        </w:rPr>
        <w:t xml:space="preserve"> </w:t>
      </w:r>
      <w:r w:rsidRPr="002462E6">
        <w:rPr>
          <w:rFonts w:ascii="Times New Roman" w:eastAsia="Times New Roman" w:hAnsi="Times New Roman" w:cs="Times New Roman"/>
          <w:sz w:val="20"/>
        </w:rPr>
        <w:t>Maroc, sous</w:t>
      </w:r>
      <w:r w:rsidRPr="002462E6">
        <w:rPr>
          <w:rFonts w:ascii="Times New Roman" w:eastAsia="Times New Roman" w:hAnsi="Times New Roman" w:cs="Times New Roman"/>
          <w:spacing w:val="-2"/>
          <w:sz w:val="20"/>
        </w:rPr>
        <w:t xml:space="preserve"> </w:t>
      </w:r>
      <w:r w:rsidRPr="002462E6">
        <w:rPr>
          <w:rFonts w:ascii="Times New Roman" w:eastAsia="Times New Roman" w:hAnsi="Times New Roman" w:cs="Times New Roman"/>
          <w:sz w:val="20"/>
        </w:rPr>
        <w:t>le</w:t>
      </w:r>
      <w:r w:rsidRPr="002462E6">
        <w:rPr>
          <w:rFonts w:ascii="Times New Roman" w:eastAsia="Times New Roman" w:hAnsi="Times New Roman" w:cs="Times New Roman"/>
          <w:spacing w:val="-3"/>
          <w:sz w:val="20"/>
        </w:rPr>
        <w:t xml:space="preserve"> </w:t>
      </w:r>
      <w:r w:rsidRPr="002462E6">
        <w:rPr>
          <w:rFonts w:ascii="Times New Roman" w:eastAsia="Times New Roman" w:hAnsi="Times New Roman" w:cs="Times New Roman"/>
          <w:sz w:val="20"/>
        </w:rPr>
        <w:t>protectorat</w:t>
      </w:r>
      <w:r w:rsidRPr="002462E6">
        <w:rPr>
          <w:rFonts w:ascii="Times New Roman" w:eastAsia="Times New Roman" w:hAnsi="Times New Roman" w:cs="Times New Roman"/>
          <w:spacing w:val="-3"/>
          <w:sz w:val="20"/>
        </w:rPr>
        <w:t xml:space="preserve"> </w:t>
      </w:r>
      <w:r w:rsidRPr="002462E6">
        <w:rPr>
          <w:rFonts w:ascii="Times New Roman" w:eastAsia="Times New Roman" w:hAnsi="Times New Roman" w:cs="Times New Roman"/>
          <w:sz w:val="20"/>
        </w:rPr>
        <w:t>espagnol.</w:t>
      </w:r>
      <w:r w:rsidR="00303125" w:rsidRPr="002462E6">
        <w:rPr>
          <w:rFonts w:ascii="Times New Roman" w:eastAsia="Times New Roman" w:hAnsi="Times New Roman" w:cs="Times New Roman"/>
          <w:sz w:val="20"/>
        </w:rPr>
        <w:t xml:space="preserve"> </w:t>
      </w:r>
      <w:r w:rsidRPr="002462E6">
        <w:rPr>
          <w:rFonts w:ascii="Times New Roman" w:eastAsia="Times New Roman" w:hAnsi="Times New Roman" w:cs="Times New Roman"/>
          <w:sz w:val="20"/>
        </w:rPr>
        <w:t>n.i.</w:t>
      </w:r>
      <w:r w:rsidRPr="002462E6">
        <w:rPr>
          <w:rFonts w:ascii="Times New Roman" w:eastAsia="Times New Roman" w:hAnsi="Times New Roman" w:cs="Times New Roman"/>
          <w:spacing w:val="-3"/>
          <w:sz w:val="20"/>
        </w:rPr>
        <w:t xml:space="preserve"> </w:t>
      </w:r>
      <w:r w:rsidRPr="002462E6">
        <w:rPr>
          <w:rFonts w:ascii="Times New Roman" w:eastAsia="Times New Roman" w:hAnsi="Times New Roman" w:cs="Times New Roman"/>
          <w:sz w:val="20"/>
        </w:rPr>
        <w:t>=</w:t>
      </w:r>
      <w:r w:rsidRPr="002462E6">
        <w:rPr>
          <w:rFonts w:ascii="Times New Roman" w:eastAsia="Times New Roman" w:hAnsi="Times New Roman" w:cs="Times New Roman"/>
          <w:spacing w:val="43"/>
          <w:sz w:val="20"/>
        </w:rPr>
        <w:t xml:space="preserve"> </w:t>
      </w:r>
      <w:r w:rsidRPr="002462E6">
        <w:rPr>
          <w:rFonts w:ascii="Times New Roman" w:eastAsia="Times New Roman" w:hAnsi="Times New Roman" w:cs="Times New Roman"/>
          <w:sz w:val="20"/>
        </w:rPr>
        <w:t>non</w:t>
      </w:r>
      <w:r w:rsidRPr="002462E6">
        <w:rPr>
          <w:rFonts w:ascii="Times New Roman" w:eastAsia="Times New Roman" w:hAnsi="Times New Roman" w:cs="Times New Roman"/>
          <w:spacing w:val="1"/>
          <w:sz w:val="20"/>
        </w:rPr>
        <w:t xml:space="preserve"> </w:t>
      </w:r>
      <w:r w:rsidRPr="002462E6">
        <w:rPr>
          <w:rFonts w:ascii="Times New Roman" w:eastAsia="Times New Roman" w:hAnsi="Times New Roman" w:cs="Times New Roman"/>
          <w:sz w:val="20"/>
        </w:rPr>
        <w:t>identifié.</w:t>
      </w:r>
    </w:p>
    <w:p w:rsidR="000A7532" w:rsidRPr="002462E6" w:rsidRDefault="000A7532" w:rsidP="003B30D7">
      <w:pPr>
        <w:spacing w:line="360" w:lineRule="auto"/>
        <w:jc w:val="both"/>
        <w:rPr>
          <w:rFonts w:ascii="Tahoma" w:eastAsia="Times New Roman" w:hAnsi="Tahoma" w:cs="Tahoma"/>
          <w:sz w:val="24"/>
          <w:szCs w:val="24"/>
        </w:rPr>
      </w:pPr>
      <w:r w:rsidRPr="002462E6">
        <w:rPr>
          <w:rFonts w:ascii="Tahoma" w:eastAsia="Times New Roman" w:hAnsi="Tahoma" w:cs="Tahoma"/>
          <w:sz w:val="24"/>
          <w:szCs w:val="24"/>
        </w:rPr>
        <w:lastRenderedPageBreak/>
        <w:t>Les données du tableau, ci-dessus, révèlent une augmentation significative du nombre d’officiers des Eaux et Forêts (ingénieurs) entre 1914 et 1980, passant de 3 à 226, soit une multiplication par plus de 75. De même, l’effectif des préposés (brigadiers et gardes forestiers) a connu une hausse notable, évoluant de 230 en 1931 à 1 008 en 1980, ce qui représente une multiplication par plus de quatre.</w:t>
      </w:r>
    </w:p>
    <w:p w:rsidR="000A7532" w:rsidRPr="002462E6" w:rsidRDefault="000A7532" w:rsidP="000A7532">
      <w:pPr>
        <w:widowControl w:val="0"/>
        <w:autoSpaceDE w:val="0"/>
        <w:autoSpaceDN w:val="0"/>
        <w:spacing w:before="160" w:after="0" w:line="360" w:lineRule="auto"/>
        <w:ind w:right="4"/>
        <w:jc w:val="both"/>
        <w:rPr>
          <w:rFonts w:ascii="Tahoma" w:eastAsia="Times New Roman" w:hAnsi="Tahoma" w:cs="Tahoma"/>
          <w:color w:val="212121"/>
          <w:sz w:val="24"/>
          <w:szCs w:val="24"/>
        </w:rPr>
      </w:pPr>
      <w:r w:rsidRPr="002462E6">
        <w:rPr>
          <w:rFonts w:ascii="Tahoma" w:eastAsia="Times New Roman" w:hAnsi="Tahoma" w:cs="Tahoma"/>
          <w:color w:val="212121"/>
          <w:sz w:val="24"/>
          <w:szCs w:val="24"/>
        </w:rPr>
        <w:t>La création de l’École Royale Forestière (ERF) à Salé en 1948, suivie de sa rénovation et inauguration en 1960 par le souverain Mohammed V sous le nom d’Institut Technique Royal des Eaux et Forêts (ITREF) a joué un rôle déterminant dans le développement des compétences au sein du corps technique forestier marocain.</w:t>
      </w:r>
    </w:p>
    <w:p w:rsidR="000A7532" w:rsidRPr="002462E6" w:rsidRDefault="000A7532" w:rsidP="000A7532">
      <w:pPr>
        <w:widowControl w:val="0"/>
        <w:autoSpaceDE w:val="0"/>
        <w:autoSpaceDN w:val="0"/>
        <w:spacing w:after="0" w:line="360" w:lineRule="auto"/>
        <w:ind w:right="4"/>
        <w:jc w:val="both"/>
        <w:rPr>
          <w:rFonts w:ascii="Tahoma" w:eastAsia="Times New Roman" w:hAnsi="Tahoma" w:cs="Tahoma"/>
          <w:color w:val="212121"/>
          <w:sz w:val="24"/>
          <w:szCs w:val="24"/>
        </w:rPr>
      </w:pPr>
      <w:r w:rsidRPr="002462E6">
        <w:rPr>
          <w:rFonts w:ascii="Tahoma" w:eastAsia="Times New Roman" w:hAnsi="Tahoma" w:cs="Tahoma"/>
          <w:color w:val="212121"/>
          <w:sz w:val="24"/>
          <w:szCs w:val="24"/>
        </w:rPr>
        <w:t>Cette institution a été conçue au début pour former des techniciens capables de devenir des agents de maîtrise, et par conséquent, de travailler en étroite collaboration avec les ingénieurs forestiers.</w:t>
      </w:r>
      <w:r w:rsidRPr="002462E6">
        <w:rPr>
          <w:rFonts w:ascii="Times New Roman" w:eastAsia="Times New Roman" w:hAnsi="Times New Roman" w:cs="Times New Roman"/>
        </w:rPr>
        <w:t xml:space="preserve"> </w:t>
      </w:r>
      <w:r w:rsidRPr="002462E6">
        <w:rPr>
          <w:rFonts w:ascii="Tahoma" w:eastAsia="Times New Roman" w:hAnsi="Tahoma" w:cs="Tahoma"/>
          <w:color w:val="212121"/>
          <w:sz w:val="24"/>
          <w:szCs w:val="24"/>
        </w:rPr>
        <w:t>Ces techniciens formés à l’ERF sont chargés d’accomplir diverses missions essentielles, parmi lesquelles figurent la surveillance et la police forestière, la réalisation de travaux techniques, l’animation, la vulgarisation, ainsi que l'exécution de certaines fonctions administratives</w:t>
      </w:r>
      <w:r w:rsidRPr="002462E6">
        <w:rPr>
          <w:rFonts w:ascii="Tahoma" w:eastAsia="Times New Roman" w:hAnsi="Tahoma" w:cs="Tahoma"/>
          <w:color w:val="212121"/>
          <w:sz w:val="24"/>
          <w:szCs w:val="24"/>
          <w:vertAlign w:val="superscript"/>
        </w:rPr>
        <w:footnoteReference w:id="215"/>
      </w:r>
      <w:r w:rsidRPr="002462E6">
        <w:rPr>
          <w:rFonts w:ascii="Tahoma" w:eastAsia="Times New Roman" w:hAnsi="Tahoma" w:cs="Tahoma"/>
          <w:color w:val="212121"/>
          <w:sz w:val="24"/>
          <w:szCs w:val="24"/>
        </w:rPr>
        <w:t>.</w:t>
      </w:r>
    </w:p>
    <w:p w:rsidR="000A7532" w:rsidRPr="002462E6" w:rsidRDefault="000A7532" w:rsidP="008553E3">
      <w:pPr>
        <w:widowControl w:val="0"/>
        <w:autoSpaceDE w:val="0"/>
        <w:autoSpaceDN w:val="0"/>
        <w:spacing w:after="0" w:line="360" w:lineRule="auto"/>
        <w:ind w:right="4"/>
        <w:jc w:val="both"/>
        <w:rPr>
          <w:rFonts w:ascii="Tahoma" w:eastAsia="Times New Roman" w:hAnsi="Tahoma" w:cs="Tahoma"/>
          <w:color w:val="212121"/>
          <w:sz w:val="24"/>
          <w:szCs w:val="24"/>
        </w:rPr>
      </w:pPr>
      <w:r w:rsidRPr="002462E6">
        <w:rPr>
          <w:rFonts w:ascii="Tahoma" w:eastAsia="Times New Roman" w:hAnsi="Tahoma" w:cs="Tahoma"/>
          <w:color w:val="212121"/>
          <w:sz w:val="24"/>
          <w:szCs w:val="24"/>
        </w:rPr>
        <w:t xml:space="preserve">Malgré ces avancées significatives, le nombre insuffisant de personnel technique reste une préoccupation majeure. Cette situation constitue une limite considérable pour un département dont la mission est orientée vers des activités techniques </w:t>
      </w:r>
      <w:r w:rsidRPr="002462E6">
        <w:rPr>
          <w:rFonts w:ascii="Tahoma" w:eastAsia="Times New Roman" w:hAnsi="Tahoma" w:cs="Tahoma"/>
          <w:b/>
          <w:bCs/>
          <w:color w:val="212121"/>
          <w:sz w:val="24"/>
          <w:szCs w:val="24"/>
        </w:rPr>
        <w:t>(Tableau</w:t>
      </w:r>
      <w:r w:rsidRPr="002462E6">
        <w:rPr>
          <w:rFonts w:ascii="Tahoma" w:eastAsia="Times New Roman" w:hAnsi="Tahoma" w:cs="Tahoma"/>
          <w:b/>
          <w:bCs/>
          <w:color w:val="000000"/>
        </w:rPr>
        <w:t xml:space="preserve"> N°</w:t>
      </w:r>
      <w:r w:rsidR="008553E3" w:rsidRPr="002462E6">
        <w:rPr>
          <w:rFonts w:ascii="Tahoma" w:eastAsia="Times New Roman" w:hAnsi="Tahoma" w:cs="Tahoma"/>
          <w:b/>
          <w:bCs/>
          <w:color w:val="212121"/>
          <w:sz w:val="24"/>
          <w:szCs w:val="24"/>
        </w:rPr>
        <w:t>4</w:t>
      </w:r>
      <w:r w:rsidRPr="002462E6">
        <w:rPr>
          <w:rFonts w:ascii="Tahoma" w:eastAsia="Times New Roman" w:hAnsi="Tahoma" w:cs="Tahoma"/>
          <w:b/>
          <w:bCs/>
          <w:color w:val="212121"/>
          <w:sz w:val="24"/>
          <w:szCs w:val="24"/>
        </w:rPr>
        <w:t>).</w:t>
      </w:r>
      <w:r w:rsidRPr="002462E6">
        <w:rPr>
          <w:rFonts w:ascii="Tahoma" w:eastAsia="Times New Roman" w:hAnsi="Tahoma" w:cs="Tahoma"/>
          <w:color w:val="212121"/>
          <w:sz w:val="24"/>
          <w:szCs w:val="24"/>
        </w:rPr>
        <w:t xml:space="preserve"> Le manque en ressources humaines qualifiées limite en effet l'impact des politiques de gestion forestière, notamment dans un contexte où la dégradation des forêts devient de plus en plus préoccupante.</w:t>
      </w:r>
    </w:p>
    <w:p w:rsidR="000A7532" w:rsidRPr="002462E6" w:rsidRDefault="000A7532" w:rsidP="000A7532">
      <w:pPr>
        <w:widowControl w:val="0"/>
        <w:autoSpaceDE w:val="0"/>
        <w:autoSpaceDN w:val="0"/>
        <w:spacing w:after="0" w:line="360" w:lineRule="auto"/>
        <w:ind w:right="4"/>
        <w:jc w:val="both"/>
        <w:rPr>
          <w:rFonts w:ascii="Tahoma" w:eastAsia="Times New Roman" w:hAnsi="Tahoma" w:cs="Tahoma"/>
          <w:color w:val="212121"/>
          <w:sz w:val="24"/>
          <w:szCs w:val="24"/>
        </w:rPr>
      </w:pPr>
      <w:r w:rsidRPr="002462E6">
        <w:rPr>
          <w:rFonts w:ascii="Tahoma" w:eastAsia="Times New Roman" w:hAnsi="Tahoma" w:cs="Tahoma"/>
          <w:color w:val="212121"/>
          <w:sz w:val="24"/>
          <w:szCs w:val="24"/>
        </w:rPr>
        <w:t>Malgré ces avancées significatives, l’insuffisance du personnel technique demeure une contrainte majeure. Cette situation constitue une limite considérable pour un département dont la mission est orientée vers des activités techniques (Tableau n°2). Le déficit en ressources humaines qualifiées impacte en effet les politiques de gestion forestière, notamment dans un contexte marqué par une dégradation croissante des écosystèmes forestiers.</w:t>
      </w:r>
    </w:p>
    <w:p w:rsidR="000A7532" w:rsidRPr="002462E6" w:rsidRDefault="00BC004F" w:rsidP="007A7265">
      <w:pPr>
        <w:rPr>
          <w:rFonts w:ascii="Tahoma" w:eastAsia="Times New Roman" w:hAnsi="Tahoma" w:cs="Tahoma"/>
          <w:color w:val="212121"/>
          <w:sz w:val="24"/>
          <w:szCs w:val="24"/>
        </w:rPr>
      </w:pPr>
      <w:r w:rsidRPr="002462E6">
        <w:rPr>
          <w:rFonts w:ascii="Tahoma" w:eastAsia="Times New Roman" w:hAnsi="Tahoma" w:cs="Tahoma"/>
          <w:color w:val="212121"/>
          <w:sz w:val="24"/>
          <w:szCs w:val="24"/>
        </w:rPr>
        <w:lastRenderedPageBreak/>
        <w:br w:type="page"/>
      </w:r>
    </w:p>
    <w:p w:rsidR="000A7532" w:rsidRPr="002462E6" w:rsidRDefault="000A7532" w:rsidP="000D57A1">
      <w:pPr>
        <w:pStyle w:val="Sous-titre"/>
        <w:rPr>
          <w:rFonts w:ascii="Calibri" w:hAnsi="Calibri"/>
        </w:rPr>
      </w:pPr>
      <w:bookmarkStart w:id="175" w:name="_Toc185696907"/>
      <w:bookmarkStart w:id="176" w:name="_Toc201571276"/>
      <w:bookmarkStart w:id="177" w:name="_Toc203642502"/>
      <w:r w:rsidRPr="002462E6">
        <w:lastRenderedPageBreak/>
        <w:t xml:space="preserve">Tableau </w:t>
      </w:r>
      <w:r w:rsidR="00225ED1">
        <w:rPr>
          <w:noProof/>
        </w:rPr>
        <w:fldChar w:fldCharType="begin"/>
      </w:r>
      <w:r w:rsidR="00225ED1">
        <w:rPr>
          <w:noProof/>
        </w:rPr>
        <w:instrText xml:space="preserve"> SEQ Tableau \* ARABIC </w:instrText>
      </w:r>
      <w:r w:rsidR="00225ED1">
        <w:rPr>
          <w:noProof/>
        </w:rPr>
        <w:fldChar w:fldCharType="separate"/>
      </w:r>
      <w:r w:rsidR="00124AFB">
        <w:rPr>
          <w:noProof/>
        </w:rPr>
        <w:t>3</w:t>
      </w:r>
      <w:r w:rsidR="00225ED1">
        <w:rPr>
          <w:noProof/>
        </w:rPr>
        <w:fldChar w:fldCharType="end"/>
      </w:r>
      <w:r w:rsidR="00246834" w:rsidRPr="002462E6">
        <w:t> :</w:t>
      </w:r>
      <w:r w:rsidRPr="002462E6">
        <w:t xml:space="preserve"> Nombre du personnel technique et administratif du département des Eaux et Forêts en l'année 2001</w:t>
      </w:r>
      <w:bookmarkEnd w:id="175"/>
      <w:bookmarkEnd w:id="176"/>
      <w:bookmarkEnd w:id="177"/>
    </w:p>
    <w:p w:rsidR="000A7532" w:rsidRPr="002462E6" w:rsidRDefault="000A7532" w:rsidP="000A7532">
      <w:pPr>
        <w:widowControl w:val="0"/>
        <w:autoSpaceDE w:val="0"/>
        <w:autoSpaceDN w:val="0"/>
        <w:spacing w:before="6" w:after="0" w:line="240" w:lineRule="auto"/>
        <w:ind w:right="4"/>
        <w:rPr>
          <w:rFonts w:ascii="Calibri" w:eastAsia="Times New Roman" w:hAnsi="Times New Roman" w:cs="Times New Roman"/>
          <w:i/>
          <w:sz w:val="16"/>
          <w:szCs w:val="24"/>
        </w:rPr>
      </w:pPr>
    </w:p>
    <w:tbl>
      <w:tblPr>
        <w:tblStyle w:val="ListTable3Accent31"/>
        <w:tblW w:w="8831" w:type="dxa"/>
        <w:tblInd w:w="528" w:type="dxa"/>
        <w:tblLayout w:type="fixed"/>
        <w:tblLook w:val="01E0" w:firstRow="1" w:lastRow="1" w:firstColumn="1" w:lastColumn="1" w:noHBand="0" w:noVBand="0"/>
      </w:tblPr>
      <w:tblGrid>
        <w:gridCol w:w="1668"/>
        <w:gridCol w:w="1011"/>
        <w:gridCol w:w="973"/>
        <w:gridCol w:w="1422"/>
        <w:gridCol w:w="20"/>
        <w:gridCol w:w="1251"/>
        <w:gridCol w:w="1411"/>
        <w:gridCol w:w="1075"/>
      </w:tblGrid>
      <w:tr w:rsidR="000A7532" w:rsidRPr="002462E6" w:rsidTr="002676C3">
        <w:trPr>
          <w:cnfStyle w:val="100000000000" w:firstRow="1" w:lastRow="0" w:firstColumn="0" w:lastColumn="0" w:oddVBand="0" w:evenVBand="0" w:oddHBand="0" w:evenHBand="0" w:firstRowFirstColumn="0" w:firstRowLastColumn="0" w:lastRowFirstColumn="0" w:lastRowLastColumn="0"/>
          <w:trHeight w:val="525"/>
        </w:trPr>
        <w:tc>
          <w:tcPr>
            <w:cnfStyle w:val="001000000100" w:firstRow="0" w:lastRow="0" w:firstColumn="1" w:lastColumn="0" w:oddVBand="0" w:evenVBand="0" w:oddHBand="0" w:evenHBand="0" w:firstRowFirstColumn="1" w:firstRowLastColumn="0" w:lastRowFirstColumn="0" w:lastRowLastColumn="0"/>
            <w:tcW w:w="1668" w:type="dxa"/>
          </w:tcPr>
          <w:p w:rsidR="000A7532" w:rsidRPr="002462E6" w:rsidRDefault="000A7532" w:rsidP="000A7532">
            <w:pPr>
              <w:ind w:right="4"/>
              <w:rPr>
                <w:rFonts w:ascii="Tahoma" w:eastAsia="Arial MT" w:hAnsi="Tahoma" w:cs="Tahoma"/>
              </w:rPr>
            </w:pPr>
          </w:p>
        </w:tc>
        <w:tc>
          <w:tcPr>
            <w:cnfStyle w:val="000010000000" w:firstRow="0" w:lastRow="0" w:firstColumn="0" w:lastColumn="0" w:oddVBand="1" w:evenVBand="0" w:oddHBand="0" w:evenHBand="0" w:firstRowFirstColumn="0" w:firstRowLastColumn="0" w:lastRowFirstColumn="0" w:lastRowLastColumn="0"/>
            <w:tcW w:w="4677" w:type="dxa"/>
            <w:gridSpan w:val="5"/>
          </w:tcPr>
          <w:p w:rsidR="000A7532" w:rsidRPr="002462E6" w:rsidRDefault="000A7532" w:rsidP="000A7532">
            <w:pPr>
              <w:spacing w:line="271" w:lineRule="exact"/>
              <w:ind w:left="1608" w:right="4"/>
              <w:rPr>
                <w:rFonts w:ascii="Tahoma" w:eastAsia="Arial MT" w:hAnsi="Tahoma" w:cs="Tahoma"/>
                <w:sz w:val="24"/>
              </w:rPr>
            </w:pPr>
            <w:r w:rsidRPr="002462E6">
              <w:rPr>
                <w:rFonts w:ascii="Tahoma" w:eastAsia="Arial MT" w:hAnsi="Tahoma" w:cs="Tahoma"/>
                <w:sz w:val="24"/>
              </w:rPr>
              <w:t>Lieu</w:t>
            </w:r>
            <w:r w:rsidRPr="002462E6">
              <w:rPr>
                <w:rFonts w:ascii="Tahoma" w:eastAsia="Arial MT" w:hAnsi="Tahoma" w:cs="Tahoma"/>
                <w:spacing w:val="-3"/>
                <w:sz w:val="24"/>
              </w:rPr>
              <w:t xml:space="preserve"> </w:t>
            </w:r>
            <w:r w:rsidRPr="002462E6">
              <w:rPr>
                <w:rFonts w:ascii="Tahoma" w:eastAsia="Arial MT" w:hAnsi="Tahoma" w:cs="Tahoma"/>
                <w:sz w:val="24"/>
              </w:rPr>
              <w:t>de</w:t>
            </w:r>
            <w:r w:rsidRPr="002462E6">
              <w:rPr>
                <w:rFonts w:ascii="Tahoma" w:eastAsia="Arial MT" w:hAnsi="Tahoma" w:cs="Tahoma"/>
                <w:spacing w:val="-3"/>
                <w:sz w:val="24"/>
              </w:rPr>
              <w:t xml:space="preserve"> </w:t>
            </w:r>
            <w:r w:rsidRPr="002462E6">
              <w:rPr>
                <w:rFonts w:ascii="Tahoma" w:eastAsia="Arial MT" w:hAnsi="Tahoma" w:cs="Tahoma"/>
                <w:sz w:val="24"/>
              </w:rPr>
              <w:t>travail</w:t>
            </w:r>
            <w:r w:rsidRPr="002462E6">
              <w:rPr>
                <w:rFonts w:ascii="Tahoma" w:eastAsia="Arial MT" w:hAnsi="Tahoma" w:cs="Tahoma"/>
                <w:spacing w:val="-2"/>
                <w:sz w:val="24"/>
              </w:rPr>
              <w:t xml:space="preserve"> </w:t>
            </w:r>
            <w:r w:rsidRPr="002462E6">
              <w:rPr>
                <w:rFonts w:ascii="Tahoma" w:eastAsia="Arial MT" w:hAnsi="Tahoma" w:cs="Tahoma"/>
                <w:sz w:val="24"/>
              </w:rPr>
              <w:t>du</w:t>
            </w:r>
            <w:r w:rsidRPr="002462E6">
              <w:rPr>
                <w:rFonts w:ascii="Tahoma" w:eastAsia="Arial MT" w:hAnsi="Tahoma" w:cs="Tahoma"/>
                <w:spacing w:val="-3"/>
                <w:sz w:val="24"/>
              </w:rPr>
              <w:t xml:space="preserve"> </w:t>
            </w:r>
            <w:r w:rsidRPr="002462E6">
              <w:rPr>
                <w:rFonts w:ascii="Tahoma" w:eastAsia="Arial MT" w:hAnsi="Tahoma" w:cs="Tahoma"/>
                <w:sz w:val="24"/>
              </w:rPr>
              <w:t>personnel</w:t>
            </w:r>
          </w:p>
        </w:tc>
        <w:tc>
          <w:tcPr>
            <w:cnfStyle w:val="000100001000" w:firstRow="0" w:lastRow="0" w:firstColumn="0" w:lastColumn="1" w:oddVBand="0" w:evenVBand="0" w:oddHBand="0" w:evenHBand="0" w:firstRowFirstColumn="0" w:firstRowLastColumn="1" w:lastRowFirstColumn="0" w:lastRowLastColumn="0"/>
            <w:tcW w:w="2486" w:type="dxa"/>
            <w:gridSpan w:val="2"/>
            <w:vMerge w:val="restart"/>
          </w:tcPr>
          <w:p w:rsidR="000A7532" w:rsidRPr="002462E6" w:rsidRDefault="000A7532" w:rsidP="000A7532">
            <w:pPr>
              <w:spacing w:before="11"/>
              <w:ind w:right="4"/>
              <w:rPr>
                <w:rFonts w:ascii="Tahoma" w:eastAsia="Arial MT" w:hAnsi="Tahoma" w:cs="Tahoma"/>
                <w:sz w:val="37"/>
              </w:rPr>
            </w:pPr>
          </w:p>
          <w:p w:rsidR="000A7532" w:rsidRPr="002462E6" w:rsidRDefault="000A7532" w:rsidP="000A7532">
            <w:pPr>
              <w:ind w:left="121" w:right="4"/>
              <w:rPr>
                <w:rFonts w:ascii="Tahoma" w:eastAsia="Arial MT" w:hAnsi="Tahoma" w:cs="Tahoma"/>
                <w:sz w:val="24"/>
              </w:rPr>
            </w:pPr>
            <w:r w:rsidRPr="002462E6">
              <w:rPr>
                <w:rFonts w:ascii="Tahoma" w:eastAsia="Arial MT" w:hAnsi="Tahoma" w:cs="Tahoma"/>
                <w:sz w:val="24"/>
              </w:rPr>
              <w:t>TOTAL</w:t>
            </w:r>
          </w:p>
          <w:p w:rsidR="000A7532" w:rsidRPr="002462E6" w:rsidRDefault="000A7532" w:rsidP="000A7532">
            <w:pPr>
              <w:ind w:right="4"/>
              <w:rPr>
                <w:rFonts w:ascii="Tahoma" w:eastAsia="Arial MT" w:hAnsi="Tahoma" w:cs="Tahoma"/>
                <w:sz w:val="26"/>
              </w:rPr>
            </w:pPr>
          </w:p>
          <w:p w:rsidR="000A7532" w:rsidRPr="002462E6" w:rsidRDefault="000A7532" w:rsidP="000A7532">
            <w:pPr>
              <w:spacing w:before="5"/>
              <w:ind w:right="4"/>
              <w:rPr>
                <w:rFonts w:ascii="Tahoma" w:eastAsia="Arial MT" w:hAnsi="Tahoma" w:cs="Tahoma"/>
                <w:sz w:val="26"/>
              </w:rPr>
            </w:pPr>
          </w:p>
          <w:p w:rsidR="000A7532" w:rsidRPr="002462E6" w:rsidRDefault="000A7532" w:rsidP="000A7532">
            <w:pPr>
              <w:ind w:left="123" w:right="4"/>
              <w:rPr>
                <w:rFonts w:ascii="Tahoma" w:eastAsia="Arial MT" w:hAnsi="Tahoma" w:cs="Tahoma"/>
                <w:sz w:val="24"/>
              </w:rPr>
            </w:pPr>
            <w:r w:rsidRPr="002462E6">
              <w:rPr>
                <w:rFonts w:ascii="Tahoma" w:eastAsia="Arial MT" w:hAnsi="Tahoma" w:cs="Tahoma"/>
                <w:sz w:val="24"/>
              </w:rPr>
              <w:t>en pourcentage</w:t>
            </w:r>
          </w:p>
        </w:tc>
      </w:tr>
      <w:tr w:rsidR="000A7532" w:rsidRPr="002462E6" w:rsidTr="002676C3">
        <w:trPr>
          <w:cnfStyle w:val="000000100000" w:firstRow="0" w:lastRow="0" w:firstColumn="0" w:lastColumn="0" w:oddVBand="0" w:evenVBand="0" w:oddHBand="1" w:evenHBand="0" w:firstRowFirstColumn="0" w:firstRowLastColumn="0" w:lastRowFirstColumn="0" w:lastRowLastColumn="0"/>
          <w:trHeight w:val="1575"/>
        </w:trPr>
        <w:tc>
          <w:tcPr>
            <w:cnfStyle w:val="001000000000" w:firstRow="0" w:lastRow="0" w:firstColumn="1" w:lastColumn="0" w:oddVBand="0" w:evenVBand="0" w:oddHBand="0" w:evenHBand="0" w:firstRowFirstColumn="0" w:firstRowLastColumn="0" w:lastRowFirstColumn="0" w:lastRowLastColumn="0"/>
            <w:tcW w:w="1668" w:type="dxa"/>
            <w:vMerge w:val="restart"/>
          </w:tcPr>
          <w:p w:rsidR="000A7532" w:rsidRPr="002462E6" w:rsidRDefault="000A7532" w:rsidP="00A66616">
            <w:pPr>
              <w:ind w:left="79" w:right="4"/>
              <w:rPr>
                <w:rFonts w:ascii="Tahoma" w:eastAsia="Arial MT" w:hAnsi="Tahoma" w:cs="Tahoma"/>
                <w:sz w:val="24"/>
              </w:rPr>
            </w:pPr>
            <w:r w:rsidRPr="002462E6">
              <w:rPr>
                <w:rFonts w:ascii="Tahoma" w:eastAsia="Arial MT" w:hAnsi="Tahoma" w:cs="Tahoma"/>
                <w:sz w:val="24"/>
              </w:rPr>
              <w:t>Catégorie du</w:t>
            </w:r>
            <w:r w:rsidRPr="002462E6">
              <w:rPr>
                <w:rFonts w:ascii="Tahoma" w:eastAsia="Arial MT" w:hAnsi="Tahoma" w:cs="Tahoma"/>
                <w:spacing w:val="-58"/>
                <w:sz w:val="24"/>
              </w:rPr>
              <w:t xml:space="preserve"> </w:t>
            </w:r>
            <w:r w:rsidRPr="002462E6">
              <w:rPr>
                <w:rFonts w:ascii="Tahoma" w:eastAsia="Arial MT" w:hAnsi="Tahoma" w:cs="Tahoma"/>
                <w:sz w:val="24"/>
              </w:rPr>
              <w:t>personnel</w:t>
            </w:r>
          </w:p>
        </w:tc>
        <w:tc>
          <w:tcPr>
            <w:cnfStyle w:val="000010000000" w:firstRow="0" w:lastRow="0" w:firstColumn="0" w:lastColumn="0" w:oddVBand="1" w:evenVBand="0" w:oddHBand="0" w:evenHBand="0" w:firstRowFirstColumn="0" w:firstRowLastColumn="0" w:lastRowFirstColumn="0" w:lastRowLastColumn="0"/>
            <w:tcW w:w="1984" w:type="dxa"/>
            <w:gridSpan w:val="2"/>
          </w:tcPr>
          <w:p w:rsidR="000A7532" w:rsidRPr="002462E6" w:rsidRDefault="000A7532" w:rsidP="00A66616">
            <w:pPr>
              <w:spacing w:line="252" w:lineRule="exact"/>
              <w:ind w:left="164" w:right="4"/>
              <w:jc w:val="center"/>
              <w:rPr>
                <w:rFonts w:ascii="Tahoma" w:eastAsia="Arial MT" w:hAnsi="Tahoma" w:cs="Tahoma"/>
                <w:sz w:val="24"/>
              </w:rPr>
            </w:pPr>
            <w:r w:rsidRPr="002462E6">
              <w:rPr>
                <w:rFonts w:ascii="Tahoma" w:eastAsia="Arial MT" w:hAnsi="Tahoma" w:cs="Tahoma"/>
                <w:sz w:val="24"/>
              </w:rPr>
              <w:t>Services</w:t>
            </w:r>
            <w:r w:rsidRPr="002462E6">
              <w:rPr>
                <w:rFonts w:ascii="Tahoma" w:eastAsia="Arial MT" w:hAnsi="Tahoma" w:cs="Tahoma"/>
                <w:spacing w:val="-3"/>
                <w:sz w:val="24"/>
              </w:rPr>
              <w:t xml:space="preserve"> </w:t>
            </w:r>
            <w:r w:rsidRPr="002462E6">
              <w:rPr>
                <w:rFonts w:ascii="Tahoma" w:eastAsia="Arial MT" w:hAnsi="Tahoma" w:cs="Tahoma"/>
                <w:sz w:val="24"/>
              </w:rPr>
              <w:t>centraux</w:t>
            </w:r>
          </w:p>
          <w:p w:rsidR="000A7532" w:rsidRPr="002462E6" w:rsidRDefault="000A7532" w:rsidP="00A66616">
            <w:pPr>
              <w:ind w:right="4"/>
              <w:jc w:val="center"/>
              <w:rPr>
                <w:rFonts w:ascii="Tahoma" w:eastAsia="Arial MT" w:hAnsi="Tahoma" w:cs="Tahoma"/>
                <w:sz w:val="26"/>
              </w:rPr>
            </w:pPr>
          </w:p>
          <w:p w:rsidR="000A7532" w:rsidRPr="002462E6" w:rsidRDefault="000A7532" w:rsidP="00A66616">
            <w:pPr>
              <w:spacing w:before="4"/>
              <w:ind w:right="4"/>
              <w:jc w:val="center"/>
              <w:rPr>
                <w:rFonts w:ascii="Tahoma" w:eastAsia="Arial MT" w:hAnsi="Tahoma" w:cs="Tahoma"/>
                <w:sz w:val="24"/>
              </w:rPr>
            </w:pPr>
          </w:p>
          <w:p w:rsidR="000A7532" w:rsidRPr="002462E6" w:rsidRDefault="000A7532" w:rsidP="00A66616">
            <w:pPr>
              <w:ind w:left="164" w:right="4"/>
              <w:jc w:val="center"/>
              <w:rPr>
                <w:rFonts w:ascii="Tahoma" w:eastAsia="Arial MT" w:hAnsi="Tahoma" w:cs="Tahoma"/>
                <w:sz w:val="24"/>
              </w:rPr>
            </w:pPr>
            <w:r w:rsidRPr="002462E6">
              <w:rPr>
                <w:rFonts w:ascii="Tahoma" w:eastAsia="Arial MT" w:hAnsi="Tahoma" w:cs="Tahoma"/>
                <w:sz w:val="24"/>
              </w:rPr>
              <w:t>Rabat</w:t>
            </w:r>
          </w:p>
        </w:tc>
        <w:tc>
          <w:tcPr>
            <w:tcW w:w="1422" w:type="dxa"/>
          </w:tcPr>
          <w:p w:rsidR="000A7532" w:rsidRPr="002462E6" w:rsidRDefault="000A7532" w:rsidP="00303125">
            <w:pPr>
              <w:spacing w:line="218" w:lineRule="auto"/>
              <w:ind w:right="4"/>
              <w:cnfStyle w:val="000000100000" w:firstRow="0" w:lastRow="0" w:firstColumn="0" w:lastColumn="0" w:oddVBand="0" w:evenVBand="0" w:oddHBand="1" w:evenHBand="0" w:firstRowFirstColumn="0" w:firstRowLastColumn="0" w:lastRowFirstColumn="0" w:lastRowLastColumn="0"/>
              <w:rPr>
                <w:rFonts w:ascii="Tahoma" w:eastAsia="Arial MT" w:hAnsi="Tahoma" w:cs="Tahoma"/>
                <w:sz w:val="24"/>
              </w:rPr>
            </w:pPr>
            <w:r w:rsidRPr="002462E6">
              <w:rPr>
                <w:rFonts w:ascii="Tahoma" w:eastAsia="Arial MT" w:hAnsi="Tahoma" w:cs="Tahoma"/>
                <w:sz w:val="24"/>
              </w:rPr>
              <w:t>Services</w:t>
            </w:r>
            <w:r w:rsidRPr="002462E6">
              <w:rPr>
                <w:rFonts w:ascii="Tahoma" w:eastAsia="Arial MT" w:hAnsi="Tahoma" w:cs="Tahoma"/>
                <w:spacing w:val="1"/>
                <w:sz w:val="24"/>
              </w:rPr>
              <w:t xml:space="preserve"> </w:t>
            </w:r>
            <w:r w:rsidRPr="002462E6">
              <w:rPr>
                <w:rFonts w:ascii="Tahoma" w:eastAsia="Arial MT" w:hAnsi="Tahoma" w:cs="Tahoma"/>
                <w:sz w:val="24"/>
              </w:rPr>
              <w:t>extérieurs</w:t>
            </w:r>
          </w:p>
          <w:p w:rsidR="000A7532" w:rsidRPr="002462E6" w:rsidRDefault="000A7532" w:rsidP="00303125">
            <w:pPr>
              <w:spacing w:before="3"/>
              <w:ind w:right="4"/>
              <w:cnfStyle w:val="000000100000" w:firstRow="0" w:lastRow="0" w:firstColumn="0" w:lastColumn="0" w:oddVBand="0" w:evenVBand="0" w:oddHBand="1" w:evenHBand="0" w:firstRowFirstColumn="0" w:firstRowLastColumn="0" w:lastRowFirstColumn="0" w:lastRowLastColumn="0"/>
              <w:rPr>
                <w:rFonts w:ascii="Tahoma" w:eastAsia="Arial MT" w:hAnsi="Tahoma" w:cs="Tahoma"/>
                <w:sz w:val="24"/>
              </w:rPr>
            </w:pPr>
          </w:p>
          <w:p w:rsidR="000A7532" w:rsidRPr="002462E6" w:rsidRDefault="000A7532" w:rsidP="00303125">
            <w:pPr>
              <w:ind w:right="4"/>
              <w:cnfStyle w:val="000000100000" w:firstRow="0" w:lastRow="0" w:firstColumn="0" w:lastColumn="0" w:oddVBand="0" w:evenVBand="0" w:oddHBand="1" w:evenHBand="0" w:firstRowFirstColumn="0" w:firstRowLastColumn="0" w:lastRowFirstColumn="0" w:lastRowLastColumn="0"/>
              <w:rPr>
                <w:rFonts w:ascii="Tahoma" w:eastAsia="Arial MT" w:hAnsi="Tahoma" w:cs="Tahoma"/>
                <w:sz w:val="24"/>
              </w:rPr>
            </w:pPr>
            <w:r w:rsidRPr="002462E6">
              <w:rPr>
                <w:rFonts w:ascii="Tahoma" w:eastAsia="Arial MT" w:hAnsi="Tahoma" w:cs="Tahoma"/>
                <w:sz w:val="24"/>
              </w:rPr>
              <w:t>(Régions)</w:t>
            </w:r>
          </w:p>
        </w:tc>
        <w:tc>
          <w:tcPr>
            <w:cnfStyle w:val="000010000000" w:firstRow="0" w:lastRow="0" w:firstColumn="0" w:lastColumn="0" w:oddVBand="1" w:evenVBand="0" w:oddHBand="0" w:evenHBand="0" w:firstRowFirstColumn="0" w:firstRowLastColumn="0" w:lastRowFirstColumn="0" w:lastRowLastColumn="0"/>
            <w:tcW w:w="1271" w:type="dxa"/>
            <w:gridSpan w:val="2"/>
          </w:tcPr>
          <w:p w:rsidR="000A7532" w:rsidRPr="002462E6" w:rsidRDefault="000A7532" w:rsidP="00A66616">
            <w:pPr>
              <w:spacing w:line="271" w:lineRule="exact"/>
              <w:ind w:left="12" w:right="4"/>
              <w:jc w:val="center"/>
              <w:rPr>
                <w:rFonts w:ascii="Tahoma" w:eastAsia="Arial MT" w:hAnsi="Tahoma" w:cs="Tahoma"/>
                <w:sz w:val="24"/>
              </w:rPr>
            </w:pPr>
            <w:r w:rsidRPr="002462E6">
              <w:rPr>
                <w:rFonts w:ascii="Tahoma" w:eastAsia="Arial MT" w:hAnsi="Tahoma" w:cs="Tahoma"/>
                <w:sz w:val="24"/>
              </w:rPr>
              <w:t>TOTAL</w:t>
            </w:r>
          </w:p>
        </w:tc>
        <w:tc>
          <w:tcPr>
            <w:cnfStyle w:val="000100000000" w:firstRow="0" w:lastRow="0" w:firstColumn="0" w:lastColumn="1" w:oddVBand="0" w:evenVBand="0" w:oddHBand="0" w:evenHBand="0" w:firstRowFirstColumn="0" w:firstRowLastColumn="0" w:lastRowFirstColumn="0" w:lastRowLastColumn="0"/>
            <w:tcW w:w="2486" w:type="dxa"/>
            <w:gridSpan w:val="2"/>
            <w:vMerge/>
          </w:tcPr>
          <w:p w:rsidR="000A7532" w:rsidRPr="002462E6" w:rsidRDefault="000A7532" w:rsidP="00A66616">
            <w:pPr>
              <w:ind w:right="4"/>
              <w:jc w:val="center"/>
              <w:rPr>
                <w:rFonts w:ascii="Tahoma" w:hAnsi="Tahoma" w:cs="Tahoma"/>
                <w:sz w:val="2"/>
                <w:szCs w:val="2"/>
              </w:rPr>
            </w:pPr>
          </w:p>
        </w:tc>
      </w:tr>
      <w:tr w:rsidR="000A7532" w:rsidRPr="002462E6" w:rsidTr="002676C3">
        <w:trPr>
          <w:trHeight w:val="457"/>
        </w:trPr>
        <w:tc>
          <w:tcPr>
            <w:cnfStyle w:val="001000000000" w:firstRow="0" w:lastRow="0" w:firstColumn="1" w:lastColumn="0" w:oddVBand="0" w:evenVBand="0" w:oddHBand="0" w:evenHBand="0" w:firstRowFirstColumn="0" w:firstRowLastColumn="0" w:lastRowFirstColumn="0" w:lastRowLastColumn="0"/>
            <w:tcW w:w="1668" w:type="dxa"/>
            <w:vMerge/>
          </w:tcPr>
          <w:p w:rsidR="000A7532" w:rsidRPr="002462E6" w:rsidRDefault="000A7532" w:rsidP="00A66616">
            <w:pPr>
              <w:ind w:right="4"/>
              <w:rPr>
                <w:rFonts w:ascii="Tahoma" w:hAnsi="Tahoma" w:cs="Tahoma"/>
                <w:sz w:val="2"/>
                <w:szCs w:val="2"/>
              </w:rPr>
            </w:pPr>
          </w:p>
        </w:tc>
        <w:tc>
          <w:tcPr>
            <w:cnfStyle w:val="000010000000" w:firstRow="0" w:lastRow="0" w:firstColumn="0" w:lastColumn="0" w:oddVBand="1" w:evenVBand="0" w:oddHBand="0" w:evenHBand="0" w:firstRowFirstColumn="0" w:firstRowLastColumn="0" w:lastRowFirstColumn="0" w:lastRowLastColumn="0"/>
            <w:tcW w:w="1011" w:type="dxa"/>
          </w:tcPr>
          <w:p w:rsidR="000A7532" w:rsidRPr="002462E6" w:rsidRDefault="000A7532" w:rsidP="00303125">
            <w:pPr>
              <w:spacing w:line="253" w:lineRule="exact"/>
              <w:ind w:right="4"/>
              <w:rPr>
                <w:rFonts w:ascii="Tahoma" w:eastAsia="Arial MT" w:hAnsi="Tahoma" w:cs="Tahoma"/>
                <w:sz w:val="24"/>
              </w:rPr>
            </w:pPr>
            <w:r w:rsidRPr="002462E6">
              <w:rPr>
                <w:rFonts w:ascii="Tahoma" w:eastAsia="Arial MT" w:hAnsi="Tahoma" w:cs="Tahoma"/>
                <w:sz w:val="24"/>
              </w:rPr>
              <w:t>Effectif</w:t>
            </w:r>
          </w:p>
        </w:tc>
        <w:tc>
          <w:tcPr>
            <w:tcW w:w="973" w:type="dxa"/>
          </w:tcPr>
          <w:p w:rsidR="000A7532" w:rsidRPr="002462E6" w:rsidRDefault="000A7532" w:rsidP="00A66616">
            <w:pPr>
              <w:spacing w:line="253" w:lineRule="exact"/>
              <w:ind w:left="21" w:right="4"/>
              <w:jc w:val="center"/>
              <w:cnfStyle w:val="000000000000" w:firstRow="0" w:lastRow="0" w:firstColumn="0" w:lastColumn="0" w:oddVBand="0" w:evenVBand="0" w:oddHBand="0" w:evenHBand="0" w:firstRowFirstColumn="0" w:firstRowLastColumn="0" w:lastRowFirstColumn="0" w:lastRowLastColumn="0"/>
              <w:rPr>
                <w:rFonts w:ascii="Tahoma" w:eastAsia="Arial MT" w:hAnsi="Tahoma" w:cs="Tahoma"/>
                <w:sz w:val="24"/>
              </w:rPr>
            </w:pPr>
            <w:r w:rsidRPr="002462E6">
              <w:rPr>
                <w:rFonts w:ascii="Tahoma" w:eastAsia="Arial MT" w:hAnsi="Tahoma" w:cs="Tahoma"/>
                <w:w w:val="98"/>
                <w:sz w:val="24"/>
              </w:rPr>
              <w:t>%</w:t>
            </w:r>
          </w:p>
        </w:tc>
        <w:tc>
          <w:tcPr>
            <w:cnfStyle w:val="000010000000" w:firstRow="0" w:lastRow="0" w:firstColumn="0" w:lastColumn="0" w:oddVBand="1" w:evenVBand="0" w:oddHBand="0" w:evenHBand="0" w:firstRowFirstColumn="0" w:firstRowLastColumn="0" w:lastRowFirstColumn="0" w:lastRowLastColumn="0"/>
            <w:tcW w:w="1422" w:type="dxa"/>
          </w:tcPr>
          <w:p w:rsidR="000A7532" w:rsidRPr="002462E6" w:rsidRDefault="000A7532" w:rsidP="00A66616">
            <w:pPr>
              <w:spacing w:line="253" w:lineRule="exact"/>
              <w:ind w:left="212" w:right="4"/>
              <w:jc w:val="center"/>
              <w:rPr>
                <w:rFonts w:ascii="Tahoma" w:eastAsia="Arial MT" w:hAnsi="Tahoma" w:cs="Tahoma"/>
                <w:sz w:val="24"/>
              </w:rPr>
            </w:pPr>
            <w:r w:rsidRPr="002462E6">
              <w:rPr>
                <w:rFonts w:ascii="Tahoma" w:eastAsia="Arial MT" w:hAnsi="Tahoma" w:cs="Tahoma"/>
                <w:sz w:val="24"/>
              </w:rPr>
              <w:t>Effectif</w:t>
            </w:r>
          </w:p>
        </w:tc>
        <w:tc>
          <w:tcPr>
            <w:tcW w:w="1271" w:type="dxa"/>
            <w:gridSpan w:val="2"/>
          </w:tcPr>
          <w:p w:rsidR="000A7532" w:rsidRPr="002462E6" w:rsidRDefault="000A7532" w:rsidP="00A66616">
            <w:pPr>
              <w:spacing w:line="253" w:lineRule="exact"/>
              <w:ind w:left="200" w:right="4"/>
              <w:jc w:val="center"/>
              <w:cnfStyle w:val="000000000000" w:firstRow="0" w:lastRow="0" w:firstColumn="0" w:lastColumn="0" w:oddVBand="0" w:evenVBand="0" w:oddHBand="0" w:evenHBand="0" w:firstRowFirstColumn="0" w:firstRowLastColumn="0" w:lastRowFirstColumn="0" w:lastRowLastColumn="0"/>
              <w:rPr>
                <w:rFonts w:ascii="Tahoma" w:eastAsia="Arial MT" w:hAnsi="Tahoma" w:cs="Tahoma"/>
                <w:sz w:val="24"/>
              </w:rPr>
            </w:pPr>
            <w:r w:rsidRPr="002462E6">
              <w:rPr>
                <w:rFonts w:ascii="Tahoma" w:eastAsia="Arial MT" w:hAnsi="Tahoma" w:cs="Tahoma"/>
                <w:sz w:val="24"/>
              </w:rPr>
              <w:t>Effectif</w:t>
            </w:r>
          </w:p>
        </w:tc>
        <w:tc>
          <w:tcPr>
            <w:cnfStyle w:val="000010000000" w:firstRow="0" w:lastRow="0" w:firstColumn="0" w:lastColumn="0" w:oddVBand="1" w:evenVBand="0" w:oddHBand="0" w:evenHBand="0" w:firstRowFirstColumn="0" w:firstRowLastColumn="0" w:lastRowFirstColumn="0" w:lastRowLastColumn="0"/>
            <w:tcW w:w="1411" w:type="dxa"/>
          </w:tcPr>
          <w:p w:rsidR="000A7532" w:rsidRPr="002462E6" w:rsidRDefault="000A7532" w:rsidP="00A66616">
            <w:pPr>
              <w:spacing w:line="253" w:lineRule="exact"/>
              <w:ind w:left="22" w:right="4"/>
              <w:jc w:val="center"/>
              <w:rPr>
                <w:rFonts w:ascii="Tahoma" w:eastAsia="Arial MT" w:hAnsi="Tahoma" w:cs="Tahoma"/>
                <w:sz w:val="24"/>
              </w:rPr>
            </w:pPr>
            <w:r w:rsidRPr="002462E6">
              <w:rPr>
                <w:rFonts w:ascii="Tahoma" w:eastAsia="Arial MT" w:hAnsi="Tahoma" w:cs="Tahoma"/>
                <w:w w:val="98"/>
                <w:sz w:val="24"/>
              </w:rPr>
              <w:t>%</w:t>
            </w:r>
          </w:p>
        </w:tc>
        <w:tc>
          <w:tcPr>
            <w:cnfStyle w:val="000100000000" w:firstRow="0" w:lastRow="0" w:firstColumn="0" w:lastColumn="1" w:oddVBand="0" w:evenVBand="0" w:oddHBand="0" w:evenHBand="0" w:firstRowFirstColumn="0" w:firstRowLastColumn="0" w:lastRowFirstColumn="0" w:lastRowLastColumn="0"/>
            <w:tcW w:w="1075" w:type="dxa"/>
          </w:tcPr>
          <w:p w:rsidR="000A7532" w:rsidRPr="002462E6" w:rsidRDefault="000A7532" w:rsidP="00A66616">
            <w:pPr>
              <w:ind w:right="4"/>
              <w:jc w:val="center"/>
              <w:rPr>
                <w:rFonts w:ascii="Tahoma" w:eastAsia="Arial MT" w:hAnsi="Tahoma" w:cs="Tahoma"/>
              </w:rPr>
            </w:pPr>
          </w:p>
        </w:tc>
      </w:tr>
      <w:tr w:rsidR="000A7532" w:rsidRPr="002462E6" w:rsidTr="002676C3">
        <w:trPr>
          <w:cnfStyle w:val="000000100000" w:firstRow="0" w:lastRow="0" w:firstColumn="0" w:lastColumn="0" w:oddVBand="0" w:evenVBand="0" w:oddHBand="1" w:evenHBand="0" w:firstRowFirstColumn="0" w:firstRowLastColumn="0" w:lastRowFirstColumn="0" w:lastRowLastColumn="0"/>
          <w:trHeight w:val="705"/>
        </w:trPr>
        <w:tc>
          <w:tcPr>
            <w:cnfStyle w:val="001000000000" w:firstRow="0" w:lastRow="0" w:firstColumn="1" w:lastColumn="0" w:oddVBand="0" w:evenVBand="0" w:oddHBand="0" w:evenHBand="0" w:firstRowFirstColumn="0" w:firstRowLastColumn="0" w:lastRowFirstColumn="0" w:lastRowLastColumn="0"/>
            <w:tcW w:w="1668" w:type="dxa"/>
          </w:tcPr>
          <w:p w:rsidR="000A7532" w:rsidRPr="002462E6" w:rsidRDefault="000A7532" w:rsidP="00A66616">
            <w:pPr>
              <w:spacing w:line="274" w:lineRule="exact"/>
              <w:ind w:left="79" w:right="4"/>
              <w:rPr>
                <w:rFonts w:ascii="Tahoma" w:eastAsia="Arial MT" w:hAnsi="Tahoma" w:cs="Tahoma"/>
                <w:sz w:val="24"/>
              </w:rPr>
            </w:pPr>
            <w:r w:rsidRPr="002462E6">
              <w:rPr>
                <w:rFonts w:ascii="Tahoma" w:eastAsia="Arial MT" w:hAnsi="Tahoma" w:cs="Tahoma"/>
                <w:sz w:val="24"/>
              </w:rPr>
              <w:t>Ingénieurs</w:t>
            </w:r>
          </w:p>
        </w:tc>
        <w:tc>
          <w:tcPr>
            <w:cnfStyle w:val="000010000000" w:firstRow="0" w:lastRow="0" w:firstColumn="0" w:lastColumn="0" w:oddVBand="1" w:evenVBand="0" w:oddHBand="0" w:evenHBand="0" w:firstRowFirstColumn="0" w:firstRowLastColumn="0" w:lastRowFirstColumn="0" w:lastRowLastColumn="0"/>
            <w:tcW w:w="1011" w:type="dxa"/>
          </w:tcPr>
          <w:p w:rsidR="000A7532" w:rsidRPr="002462E6" w:rsidRDefault="000A7532" w:rsidP="00A66616">
            <w:pPr>
              <w:spacing w:before="23"/>
              <w:ind w:left="165" w:right="4"/>
              <w:jc w:val="center"/>
              <w:rPr>
                <w:rFonts w:ascii="Tahoma" w:eastAsia="Arial MT" w:hAnsi="Tahoma" w:cs="Tahoma"/>
                <w:b/>
                <w:sz w:val="24"/>
              </w:rPr>
            </w:pPr>
            <w:r w:rsidRPr="002462E6">
              <w:rPr>
                <w:rFonts w:ascii="Tahoma" w:eastAsia="Arial MT" w:hAnsi="Tahoma" w:cs="Tahoma"/>
                <w:b/>
                <w:sz w:val="24"/>
              </w:rPr>
              <w:t>112</w:t>
            </w:r>
          </w:p>
        </w:tc>
        <w:tc>
          <w:tcPr>
            <w:tcW w:w="973" w:type="dxa"/>
          </w:tcPr>
          <w:p w:rsidR="000A7532" w:rsidRPr="002462E6" w:rsidRDefault="000A7532" w:rsidP="00A66616">
            <w:pPr>
              <w:spacing w:before="23"/>
              <w:ind w:left="266" w:right="4"/>
              <w:jc w:val="center"/>
              <w:cnfStyle w:val="000000100000" w:firstRow="0" w:lastRow="0" w:firstColumn="0" w:lastColumn="0" w:oddVBand="0" w:evenVBand="0" w:oddHBand="1" w:evenHBand="0" w:firstRowFirstColumn="0" w:firstRowLastColumn="0" w:lastRowFirstColumn="0" w:lastRowLastColumn="0"/>
              <w:rPr>
                <w:rFonts w:ascii="Tahoma" w:eastAsia="Arial MT" w:hAnsi="Tahoma" w:cs="Tahoma"/>
                <w:b/>
                <w:sz w:val="24"/>
              </w:rPr>
            </w:pPr>
            <w:r w:rsidRPr="002462E6">
              <w:rPr>
                <w:rFonts w:ascii="Tahoma" w:eastAsia="Arial MT" w:hAnsi="Tahoma" w:cs="Tahoma"/>
                <w:b/>
                <w:sz w:val="24"/>
              </w:rPr>
              <w:t>29,6</w:t>
            </w:r>
          </w:p>
        </w:tc>
        <w:tc>
          <w:tcPr>
            <w:cnfStyle w:val="000010000000" w:firstRow="0" w:lastRow="0" w:firstColumn="0" w:lastColumn="0" w:oddVBand="1" w:evenVBand="0" w:oddHBand="0" w:evenHBand="0" w:firstRowFirstColumn="0" w:firstRowLastColumn="0" w:lastRowFirstColumn="0" w:lastRowLastColumn="0"/>
            <w:tcW w:w="1422" w:type="dxa"/>
          </w:tcPr>
          <w:p w:rsidR="000A7532" w:rsidRPr="002462E6" w:rsidRDefault="000A7532" w:rsidP="00A66616">
            <w:pPr>
              <w:spacing w:before="23"/>
              <w:ind w:left="211" w:right="4"/>
              <w:jc w:val="center"/>
              <w:rPr>
                <w:rFonts w:ascii="Tahoma" w:eastAsia="Arial MT" w:hAnsi="Tahoma" w:cs="Tahoma"/>
                <w:b/>
                <w:sz w:val="24"/>
              </w:rPr>
            </w:pPr>
            <w:r w:rsidRPr="002462E6">
              <w:rPr>
                <w:rFonts w:ascii="Tahoma" w:eastAsia="Arial MT" w:hAnsi="Tahoma" w:cs="Tahoma"/>
                <w:b/>
                <w:sz w:val="24"/>
              </w:rPr>
              <w:t>267</w:t>
            </w:r>
          </w:p>
        </w:tc>
        <w:tc>
          <w:tcPr>
            <w:tcW w:w="1271" w:type="dxa"/>
            <w:gridSpan w:val="2"/>
          </w:tcPr>
          <w:p w:rsidR="000A7532" w:rsidRPr="002462E6" w:rsidRDefault="000A7532" w:rsidP="00A66616">
            <w:pPr>
              <w:spacing w:before="23"/>
              <w:ind w:left="195" w:right="4"/>
              <w:jc w:val="center"/>
              <w:cnfStyle w:val="000000100000" w:firstRow="0" w:lastRow="0" w:firstColumn="0" w:lastColumn="0" w:oddVBand="0" w:evenVBand="0" w:oddHBand="1" w:evenHBand="0" w:firstRowFirstColumn="0" w:firstRowLastColumn="0" w:lastRowFirstColumn="0" w:lastRowLastColumn="0"/>
              <w:rPr>
                <w:rFonts w:ascii="Tahoma" w:eastAsia="Arial MT" w:hAnsi="Tahoma" w:cs="Tahoma"/>
                <w:b/>
                <w:sz w:val="24"/>
              </w:rPr>
            </w:pPr>
            <w:r w:rsidRPr="002462E6">
              <w:rPr>
                <w:rFonts w:ascii="Tahoma" w:eastAsia="Arial MT" w:hAnsi="Tahoma" w:cs="Tahoma"/>
                <w:b/>
                <w:sz w:val="24"/>
              </w:rPr>
              <w:t>379</w:t>
            </w:r>
          </w:p>
        </w:tc>
        <w:tc>
          <w:tcPr>
            <w:cnfStyle w:val="000010000000" w:firstRow="0" w:lastRow="0" w:firstColumn="0" w:lastColumn="0" w:oddVBand="1" w:evenVBand="0" w:oddHBand="0" w:evenHBand="0" w:firstRowFirstColumn="0" w:firstRowLastColumn="0" w:lastRowFirstColumn="0" w:lastRowLastColumn="0"/>
            <w:tcW w:w="1411" w:type="dxa"/>
          </w:tcPr>
          <w:p w:rsidR="000A7532" w:rsidRPr="002462E6" w:rsidRDefault="000A7532" w:rsidP="00A66616">
            <w:pPr>
              <w:spacing w:before="23"/>
              <w:ind w:left="208" w:right="4"/>
              <w:jc w:val="center"/>
              <w:rPr>
                <w:rFonts w:ascii="Tahoma" w:eastAsia="Arial MT" w:hAnsi="Tahoma" w:cs="Tahoma"/>
                <w:b/>
                <w:sz w:val="24"/>
              </w:rPr>
            </w:pPr>
            <w:r w:rsidRPr="002462E6">
              <w:rPr>
                <w:rFonts w:ascii="Tahoma" w:eastAsia="Arial MT" w:hAnsi="Tahoma" w:cs="Tahoma"/>
                <w:b/>
                <w:sz w:val="24"/>
              </w:rPr>
              <w:t>100</w:t>
            </w:r>
          </w:p>
        </w:tc>
        <w:tc>
          <w:tcPr>
            <w:cnfStyle w:val="000100000000" w:firstRow="0" w:lastRow="0" w:firstColumn="0" w:lastColumn="1" w:oddVBand="0" w:evenVBand="0" w:oddHBand="0" w:evenHBand="0" w:firstRowFirstColumn="0" w:firstRowLastColumn="0" w:lastRowFirstColumn="0" w:lastRowLastColumn="0"/>
            <w:tcW w:w="1075" w:type="dxa"/>
          </w:tcPr>
          <w:p w:rsidR="000A7532" w:rsidRPr="002462E6" w:rsidRDefault="000A7532" w:rsidP="00A66616">
            <w:pPr>
              <w:spacing w:line="274" w:lineRule="exact"/>
              <w:ind w:left="120" w:right="4"/>
              <w:jc w:val="center"/>
              <w:rPr>
                <w:rFonts w:ascii="Tahoma" w:eastAsia="Arial MT" w:hAnsi="Tahoma" w:cs="Tahoma"/>
                <w:sz w:val="24"/>
              </w:rPr>
            </w:pPr>
            <w:r w:rsidRPr="002462E6">
              <w:rPr>
                <w:rFonts w:ascii="Tahoma" w:eastAsia="Arial MT" w:hAnsi="Tahoma" w:cs="Tahoma"/>
                <w:sz w:val="24"/>
              </w:rPr>
              <w:t>7,3</w:t>
            </w:r>
          </w:p>
        </w:tc>
      </w:tr>
      <w:tr w:rsidR="000A7532" w:rsidRPr="002462E6" w:rsidTr="002676C3">
        <w:trPr>
          <w:trHeight w:val="771"/>
        </w:trPr>
        <w:tc>
          <w:tcPr>
            <w:cnfStyle w:val="001000000000" w:firstRow="0" w:lastRow="0" w:firstColumn="1" w:lastColumn="0" w:oddVBand="0" w:evenVBand="0" w:oddHBand="0" w:evenHBand="0" w:firstRowFirstColumn="0" w:firstRowLastColumn="0" w:lastRowFirstColumn="0" w:lastRowLastColumn="0"/>
            <w:tcW w:w="1668" w:type="dxa"/>
          </w:tcPr>
          <w:p w:rsidR="000A7532" w:rsidRPr="002462E6" w:rsidRDefault="000A7532" w:rsidP="00A66616">
            <w:pPr>
              <w:spacing w:line="271" w:lineRule="exact"/>
              <w:ind w:left="79" w:right="4"/>
              <w:rPr>
                <w:rFonts w:ascii="Tahoma" w:eastAsia="Arial MT" w:hAnsi="Tahoma" w:cs="Tahoma"/>
                <w:sz w:val="24"/>
              </w:rPr>
            </w:pPr>
            <w:r w:rsidRPr="002462E6">
              <w:rPr>
                <w:rFonts w:ascii="Tahoma" w:eastAsia="Arial MT" w:hAnsi="Tahoma" w:cs="Tahoma"/>
                <w:sz w:val="24"/>
              </w:rPr>
              <w:t>Préposés</w:t>
            </w:r>
          </w:p>
        </w:tc>
        <w:tc>
          <w:tcPr>
            <w:cnfStyle w:val="000010000000" w:firstRow="0" w:lastRow="0" w:firstColumn="0" w:lastColumn="0" w:oddVBand="1" w:evenVBand="0" w:oddHBand="0" w:evenHBand="0" w:firstRowFirstColumn="0" w:firstRowLastColumn="0" w:lastRowFirstColumn="0" w:lastRowLastColumn="0"/>
            <w:tcW w:w="1011" w:type="dxa"/>
          </w:tcPr>
          <w:p w:rsidR="000A7532" w:rsidRPr="002462E6" w:rsidRDefault="000A7532" w:rsidP="00A66616">
            <w:pPr>
              <w:spacing w:before="19"/>
              <w:ind w:left="165" w:right="4"/>
              <w:jc w:val="center"/>
              <w:rPr>
                <w:rFonts w:ascii="Tahoma" w:eastAsia="Arial MT" w:hAnsi="Tahoma" w:cs="Tahoma"/>
                <w:sz w:val="24"/>
              </w:rPr>
            </w:pPr>
            <w:r w:rsidRPr="002462E6">
              <w:rPr>
                <w:rFonts w:ascii="Tahoma" w:eastAsia="Arial MT" w:hAnsi="Tahoma" w:cs="Tahoma"/>
                <w:sz w:val="24"/>
              </w:rPr>
              <w:t>74</w:t>
            </w:r>
          </w:p>
        </w:tc>
        <w:tc>
          <w:tcPr>
            <w:tcW w:w="973" w:type="dxa"/>
          </w:tcPr>
          <w:p w:rsidR="000A7532" w:rsidRPr="002462E6" w:rsidRDefault="000A7532" w:rsidP="00A66616">
            <w:pPr>
              <w:spacing w:before="20"/>
              <w:ind w:left="266" w:right="4"/>
              <w:jc w:val="center"/>
              <w:cnfStyle w:val="000000000000" w:firstRow="0" w:lastRow="0" w:firstColumn="0" w:lastColumn="0" w:oddVBand="0" w:evenVBand="0" w:oddHBand="0" w:evenHBand="0" w:firstRowFirstColumn="0" w:firstRowLastColumn="0" w:lastRowFirstColumn="0" w:lastRowLastColumn="0"/>
              <w:rPr>
                <w:rFonts w:ascii="Tahoma" w:eastAsia="Arial MT" w:hAnsi="Tahoma" w:cs="Tahoma"/>
                <w:sz w:val="24"/>
              </w:rPr>
            </w:pPr>
            <w:r w:rsidRPr="002462E6">
              <w:rPr>
                <w:rFonts w:ascii="Tahoma" w:eastAsia="Arial MT" w:hAnsi="Tahoma" w:cs="Tahoma"/>
                <w:sz w:val="24"/>
              </w:rPr>
              <w:t>6,0</w:t>
            </w:r>
          </w:p>
        </w:tc>
        <w:tc>
          <w:tcPr>
            <w:cnfStyle w:val="000010000000" w:firstRow="0" w:lastRow="0" w:firstColumn="0" w:lastColumn="0" w:oddVBand="1" w:evenVBand="0" w:oddHBand="0" w:evenHBand="0" w:firstRowFirstColumn="0" w:firstRowLastColumn="0" w:lastRowFirstColumn="0" w:lastRowLastColumn="0"/>
            <w:tcW w:w="1442" w:type="dxa"/>
            <w:gridSpan w:val="2"/>
          </w:tcPr>
          <w:p w:rsidR="000A7532" w:rsidRPr="002462E6" w:rsidRDefault="000A7532" w:rsidP="00A66616">
            <w:pPr>
              <w:spacing w:before="19"/>
              <w:ind w:left="209" w:right="4"/>
              <w:jc w:val="center"/>
              <w:rPr>
                <w:rFonts w:ascii="Tahoma" w:eastAsia="Arial MT" w:hAnsi="Tahoma" w:cs="Tahoma"/>
                <w:sz w:val="24"/>
              </w:rPr>
            </w:pPr>
            <w:r w:rsidRPr="002462E6">
              <w:rPr>
                <w:rFonts w:ascii="Tahoma" w:eastAsia="Arial MT" w:hAnsi="Tahoma" w:cs="Tahoma"/>
                <w:sz w:val="24"/>
              </w:rPr>
              <w:t>1</w:t>
            </w:r>
            <w:r w:rsidRPr="002462E6">
              <w:rPr>
                <w:rFonts w:ascii="Tahoma" w:eastAsia="Arial MT" w:hAnsi="Tahoma" w:cs="Tahoma"/>
                <w:spacing w:val="-2"/>
                <w:sz w:val="24"/>
              </w:rPr>
              <w:t xml:space="preserve"> </w:t>
            </w:r>
            <w:r w:rsidRPr="002462E6">
              <w:rPr>
                <w:rFonts w:ascii="Tahoma" w:eastAsia="Arial MT" w:hAnsi="Tahoma" w:cs="Tahoma"/>
                <w:sz w:val="24"/>
              </w:rPr>
              <w:t>160</w:t>
            </w:r>
          </w:p>
        </w:tc>
        <w:tc>
          <w:tcPr>
            <w:tcW w:w="1251" w:type="dxa"/>
          </w:tcPr>
          <w:p w:rsidR="000A7532" w:rsidRPr="002462E6" w:rsidRDefault="000A7532" w:rsidP="00A66616">
            <w:pPr>
              <w:spacing w:before="19"/>
              <w:ind w:left="176" w:right="4"/>
              <w:jc w:val="center"/>
              <w:cnfStyle w:val="000000000000" w:firstRow="0" w:lastRow="0" w:firstColumn="0" w:lastColumn="0" w:oddVBand="0" w:evenVBand="0" w:oddHBand="0" w:evenHBand="0" w:firstRowFirstColumn="0" w:firstRowLastColumn="0" w:lastRowFirstColumn="0" w:lastRowLastColumn="0"/>
              <w:rPr>
                <w:rFonts w:ascii="Tahoma" w:eastAsia="Arial MT" w:hAnsi="Tahoma" w:cs="Tahoma"/>
                <w:sz w:val="24"/>
              </w:rPr>
            </w:pPr>
            <w:r w:rsidRPr="002462E6">
              <w:rPr>
                <w:rFonts w:ascii="Tahoma" w:eastAsia="Arial MT" w:hAnsi="Tahoma" w:cs="Tahoma"/>
                <w:sz w:val="24"/>
              </w:rPr>
              <w:t>1</w:t>
            </w:r>
            <w:r w:rsidRPr="002462E6">
              <w:rPr>
                <w:rFonts w:ascii="Tahoma" w:eastAsia="Arial MT" w:hAnsi="Tahoma" w:cs="Tahoma"/>
                <w:spacing w:val="-2"/>
                <w:sz w:val="24"/>
              </w:rPr>
              <w:t xml:space="preserve"> </w:t>
            </w:r>
            <w:r w:rsidRPr="002462E6">
              <w:rPr>
                <w:rFonts w:ascii="Tahoma" w:eastAsia="Arial MT" w:hAnsi="Tahoma" w:cs="Tahoma"/>
                <w:sz w:val="24"/>
              </w:rPr>
              <w:t>234</w:t>
            </w:r>
          </w:p>
        </w:tc>
        <w:tc>
          <w:tcPr>
            <w:cnfStyle w:val="000010000000" w:firstRow="0" w:lastRow="0" w:firstColumn="0" w:lastColumn="0" w:oddVBand="1" w:evenVBand="0" w:oddHBand="0" w:evenHBand="0" w:firstRowFirstColumn="0" w:firstRowLastColumn="0" w:lastRowFirstColumn="0" w:lastRowLastColumn="0"/>
            <w:tcW w:w="1411" w:type="dxa"/>
          </w:tcPr>
          <w:p w:rsidR="000A7532" w:rsidRPr="002462E6" w:rsidRDefault="000A7532" w:rsidP="00A66616">
            <w:pPr>
              <w:spacing w:before="20"/>
              <w:ind w:left="211" w:right="4"/>
              <w:jc w:val="center"/>
              <w:rPr>
                <w:rFonts w:ascii="Tahoma" w:eastAsia="Arial MT" w:hAnsi="Tahoma" w:cs="Tahoma"/>
                <w:sz w:val="24"/>
              </w:rPr>
            </w:pPr>
            <w:r w:rsidRPr="002462E6">
              <w:rPr>
                <w:rFonts w:ascii="Tahoma" w:eastAsia="Arial MT" w:hAnsi="Tahoma" w:cs="Tahoma"/>
                <w:sz w:val="24"/>
              </w:rPr>
              <w:t>100</w:t>
            </w:r>
          </w:p>
        </w:tc>
        <w:tc>
          <w:tcPr>
            <w:cnfStyle w:val="000100000000" w:firstRow="0" w:lastRow="0" w:firstColumn="0" w:lastColumn="1" w:oddVBand="0" w:evenVBand="0" w:oddHBand="0" w:evenHBand="0" w:firstRowFirstColumn="0" w:firstRowLastColumn="0" w:lastRowFirstColumn="0" w:lastRowLastColumn="0"/>
            <w:tcW w:w="1075" w:type="dxa"/>
          </w:tcPr>
          <w:p w:rsidR="000A7532" w:rsidRPr="002462E6" w:rsidRDefault="000A7532" w:rsidP="00A66616">
            <w:pPr>
              <w:spacing w:line="273" w:lineRule="exact"/>
              <w:ind w:left="122" w:right="4"/>
              <w:jc w:val="center"/>
              <w:rPr>
                <w:rFonts w:ascii="Tahoma" w:eastAsia="Arial MT" w:hAnsi="Tahoma" w:cs="Tahoma"/>
                <w:sz w:val="24"/>
              </w:rPr>
            </w:pPr>
            <w:r w:rsidRPr="002462E6">
              <w:rPr>
                <w:rFonts w:ascii="Tahoma" w:eastAsia="Arial MT" w:hAnsi="Tahoma" w:cs="Tahoma"/>
                <w:sz w:val="24"/>
              </w:rPr>
              <w:t>23,7</w:t>
            </w:r>
          </w:p>
        </w:tc>
      </w:tr>
      <w:tr w:rsidR="000A7532" w:rsidRPr="002462E6" w:rsidTr="002676C3">
        <w:trPr>
          <w:cnfStyle w:val="000000100000" w:firstRow="0" w:lastRow="0" w:firstColumn="0" w:lastColumn="0" w:oddVBand="0" w:evenVBand="0" w:oddHBand="1" w:evenHBand="0" w:firstRowFirstColumn="0" w:firstRowLastColumn="0" w:lastRowFirstColumn="0" w:lastRowLastColumn="0"/>
          <w:trHeight w:val="677"/>
        </w:trPr>
        <w:tc>
          <w:tcPr>
            <w:cnfStyle w:val="001000000000" w:firstRow="0" w:lastRow="0" w:firstColumn="1" w:lastColumn="0" w:oddVBand="0" w:evenVBand="0" w:oddHBand="0" w:evenHBand="0" w:firstRowFirstColumn="0" w:firstRowLastColumn="0" w:lastRowFirstColumn="0" w:lastRowLastColumn="0"/>
            <w:tcW w:w="1668" w:type="dxa"/>
          </w:tcPr>
          <w:p w:rsidR="000A7532" w:rsidRPr="002462E6" w:rsidRDefault="000A7532" w:rsidP="00A66616">
            <w:pPr>
              <w:spacing w:line="271" w:lineRule="exact"/>
              <w:ind w:left="79" w:right="4"/>
              <w:rPr>
                <w:rFonts w:ascii="Tahoma" w:eastAsia="Arial MT" w:hAnsi="Tahoma" w:cs="Tahoma"/>
                <w:sz w:val="24"/>
              </w:rPr>
            </w:pPr>
            <w:r w:rsidRPr="002462E6">
              <w:rPr>
                <w:rFonts w:ascii="Tahoma" w:eastAsia="Arial MT" w:hAnsi="Tahoma" w:cs="Tahoma"/>
                <w:sz w:val="24"/>
              </w:rPr>
              <w:t>Cavaliers</w:t>
            </w:r>
          </w:p>
        </w:tc>
        <w:tc>
          <w:tcPr>
            <w:cnfStyle w:val="000010000000" w:firstRow="0" w:lastRow="0" w:firstColumn="0" w:lastColumn="0" w:oddVBand="1" w:evenVBand="0" w:oddHBand="0" w:evenHBand="0" w:firstRowFirstColumn="0" w:firstRowLastColumn="0" w:lastRowFirstColumn="0" w:lastRowLastColumn="0"/>
            <w:tcW w:w="1011" w:type="dxa"/>
          </w:tcPr>
          <w:p w:rsidR="000A7532" w:rsidRPr="002462E6" w:rsidRDefault="000A7532" w:rsidP="00A66616">
            <w:pPr>
              <w:spacing w:before="19"/>
              <w:ind w:left="165" w:right="4"/>
              <w:jc w:val="center"/>
              <w:rPr>
                <w:rFonts w:ascii="Tahoma" w:eastAsia="Arial MT" w:hAnsi="Tahoma" w:cs="Tahoma"/>
                <w:sz w:val="24"/>
              </w:rPr>
            </w:pPr>
            <w:r w:rsidRPr="002462E6">
              <w:rPr>
                <w:rFonts w:ascii="Tahoma" w:eastAsia="Arial MT" w:hAnsi="Tahoma" w:cs="Tahoma"/>
                <w:sz w:val="24"/>
              </w:rPr>
              <w:t>61</w:t>
            </w:r>
          </w:p>
        </w:tc>
        <w:tc>
          <w:tcPr>
            <w:tcW w:w="973" w:type="dxa"/>
          </w:tcPr>
          <w:p w:rsidR="000A7532" w:rsidRPr="002462E6" w:rsidRDefault="000A7532" w:rsidP="00A66616">
            <w:pPr>
              <w:spacing w:before="21"/>
              <w:ind w:left="266" w:right="4"/>
              <w:jc w:val="center"/>
              <w:cnfStyle w:val="000000100000" w:firstRow="0" w:lastRow="0" w:firstColumn="0" w:lastColumn="0" w:oddVBand="0" w:evenVBand="0" w:oddHBand="1" w:evenHBand="0" w:firstRowFirstColumn="0" w:firstRowLastColumn="0" w:lastRowFirstColumn="0" w:lastRowLastColumn="0"/>
              <w:rPr>
                <w:rFonts w:ascii="Tahoma" w:eastAsia="Arial MT" w:hAnsi="Tahoma" w:cs="Tahoma"/>
                <w:sz w:val="24"/>
              </w:rPr>
            </w:pPr>
            <w:r w:rsidRPr="002462E6">
              <w:rPr>
                <w:rFonts w:ascii="Tahoma" w:eastAsia="Arial MT" w:hAnsi="Tahoma" w:cs="Tahoma"/>
                <w:sz w:val="24"/>
              </w:rPr>
              <w:t>7,1</w:t>
            </w:r>
          </w:p>
        </w:tc>
        <w:tc>
          <w:tcPr>
            <w:cnfStyle w:val="000010000000" w:firstRow="0" w:lastRow="0" w:firstColumn="0" w:lastColumn="0" w:oddVBand="1" w:evenVBand="0" w:oddHBand="0" w:evenHBand="0" w:firstRowFirstColumn="0" w:firstRowLastColumn="0" w:lastRowFirstColumn="0" w:lastRowLastColumn="0"/>
            <w:tcW w:w="1442" w:type="dxa"/>
            <w:gridSpan w:val="2"/>
          </w:tcPr>
          <w:p w:rsidR="000A7532" w:rsidRPr="002462E6" w:rsidRDefault="000A7532" w:rsidP="00A66616">
            <w:pPr>
              <w:spacing w:before="19"/>
              <w:ind w:left="210" w:right="4"/>
              <w:jc w:val="center"/>
              <w:rPr>
                <w:rFonts w:ascii="Tahoma" w:eastAsia="Arial MT" w:hAnsi="Tahoma" w:cs="Tahoma"/>
                <w:sz w:val="24"/>
              </w:rPr>
            </w:pPr>
            <w:r w:rsidRPr="002462E6">
              <w:rPr>
                <w:rFonts w:ascii="Tahoma" w:eastAsia="Arial MT" w:hAnsi="Tahoma" w:cs="Tahoma"/>
                <w:sz w:val="24"/>
              </w:rPr>
              <w:t>800</w:t>
            </w:r>
          </w:p>
        </w:tc>
        <w:tc>
          <w:tcPr>
            <w:tcW w:w="1251" w:type="dxa"/>
          </w:tcPr>
          <w:p w:rsidR="000A7532" w:rsidRPr="002462E6" w:rsidRDefault="000A7532" w:rsidP="00A66616">
            <w:pPr>
              <w:spacing w:before="19"/>
              <w:ind w:left="175" w:right="4"/>
              <w:jc w:val="center"/>
              <w:cnfStyle w:val="000000100000" w:firstRow="0" w:lastRow="0" w:firstColumn="0" w:lastColumn="0" w:oddVBand="0" w:evenVBand="0" w:oddHBand="1" w:evenHBand="0" w:firstRowFirstColumn="0" w:firstRowLastColumn="0" w:lastRowFirstColumn="0" w:lastRowLastColumn="0"/>
              <w:rPr>
                <w:rFonts w:ascii="Tahoma" w:eastAsia="Arial MT" w:hAnsi="Tahoma" w:cs="Tahoma"/>
                <w:sz w:val="24"/>
              </w:rPr>
            </w:pPr>
            <w:r w:rsidRPr="002462E6">
              <w:rPr>
                <w:rFonts w:ascii="Tahoma" w:eastAsia="Arial MT" w:hAnsi="Tahoma" w:cs="Tahoma"/>
                <w:sz w:val="24"/>
              </w:rPr>
              <w:t>861</w:t>
            </w:r>
          </w:p>
        </w:tc>
        <w:tc>
          <w:tcPr>
            <w:cnfStyle w:val="000010000000" w:firstRow="0" w:lastRow="0" w:firstColumn="0" w:lastColumn="0" w:oddVBand="1" w:evenVBand="0" w:oddHBand="0" w:evenHBand="0" w:firstRowFirstColumn="0" w:firstRowLastColumn="0" w:lastRowFirstColumn="0" w:lastRowLastColumn="0"/>
            <w:tcW w:w="1411" w:type="dxa"/>
          </w:tcPr>
          <w:p w:rsidR="000A7532" w:rsidRPr="002462E6" w:rsidRDefault="000A7532" w:rsidP="00A66616">
            <w:pPr>
              <w:spacing w:before="21"/>
              <w:ind w:left="209" w:right="4"/>
              <w:jc w:val="center"/>
              <w:rPr>
                <w:rFonts w:ascii="Tahoma" w:eastAsia="Arial MT" w:hAnsi="Tahoma" w:cs="Tahoma"/>
                <w:sz w:val="24"/>
              </w:rPr>
            </w:pPr>
            <w:r w:rsidRPr="002462E6">
              <w:rPr>
                <w:rFonts w:ascii="Tahoma" w:eastAsia="Arial MT" w:hAnsi="Tahoma" w:cs="Tahoma"/>
                <w:sz w:val="24"/>
              </w:rPr>
              <w:t>100</w:t>
            </w:r>
          </w:p>
        </w:tc>
        <w:tc>
          <w:tcPr>
            <w:cnfStyle w:val="000100000000" w:firstRow="0" w:lastRow="0" w:firstColumn="0" w:lastColumn="1" w:oddVBand="0" w:evenVBand="0" w:oddHBand="0" w:evenHBand="0" w:firstRowFirstColumn="0" w:firstRowLastColumn="0" w:lastRowFirstColumn="0" w:lastRowLastColumn="0"/>
            <w:tcW w:w="1075" w:type="dxa"/>
          </w:tcPr>
          <w:p w:rsidR="000A7532" w:rsidRPr="002462E6" w:rsidRDefault="000A7532" w:rsidP="00A66616">
            <w:pPr>
              <w:spacing w:line="273" w:lineRule="exact"/>
              <w:ind w:left="122" w:right="4"/>
              <w:jc w:val="center"/>
              <w:rPr>
                <w:rFonts w:ascii="Tahoma" w:eastAsia="Arial MT" w:hAnsi="Tahoma" w:cs="Tahoma"/>
                <w:sz w:val="24"/>
              </w:rPr>
            </w:pPr>
            <w:r w:rsidRPr="002462E6">
              <w:rPr>
                <w:rFonts w:ascii="Tahoma" w:eastAsia="Arial MT" w:hAnsi="Tahoma" w:cs="Tahoma"/>
                <w:sz w:val="24"/>
              </w:rPr>
              <w:t>16,5</w:t>
            </w:r>
          </w:p>
        </w:tc>
      </w:tr>
      <w:tr w:rsidR="000A7532" w:rsidRPr="002462E6" w:rsidTr="002676C3">
        <w:trPr>
          <w:trHeight w:val="1053"/>
        </w:trPr>
        <w:tc>
          <w:tcPr>
            <w:cnfStyle w:val="001000000000" w:firstRow="0" w:lastRow="0" w:firstColumn="1" w:lastColumn="0" w:oddVBand="0" w:evenVBand="0" w:oddHBand="0" w:evenHBand="0" w:firstRowFirstColumn="0" w:firstRowLastColumn="0" w:lastRowFirstColumn="0" w:lastRowLastColumn="0"/>
            <w:tcW w:w="1668" w:type="dxa"/>
          </w:tcPr>
          <w:p w:rsidR="000A7532" w:rsidRPr="002462E6" w:rsidRDefault="000A7532" w:rsidP="00A66616">
            <w:pPr>
              <w:spacing w:before="21"/>
              <w:ind w:left="79" w:right="4"/>
              <w:rPr>
                <w:rFonts w:ascii="Tahoma" w:eastAsia="Arial MT" w:hAnsi="Tahoma" w:cs="Tahoma"/>
                <w:sz w:val="24"/>
              </w:rPr>
            </w:pPr>
            <w:r w:rsidRPr="002462E6">
              <w:rPr>
                <w:rFonts w:ascii="Tahoma" w:eastAsia="Arial MT" w:hAnsi="Tahoma" w:cs="Tahoma"/>
                <w:sz w:val="24"/>
              </w:rPr>
              <w:t>Total</w:t>
            </w:r>
            <w:r w:rsidRPr="002462E6">
              <w:rPr>
                <w:rFonts w:ascii="Tahoma" w:eastAsia="Arial MT" w:hAnsi="Tahoma" w:cs="Tahoma"/>
                <w:spacing w:val="1"/>
                <w:sz w:val="24"/>
              </w:rPr>
              <w:t xml:space="preserve"> </w:t>
            </w:r>
            <w:r w:rsidRPr="002462E6">
              <w:rPr>
                <w:rFonts w:ascii="Tahoma" w:eastAsia="Arial MT" w:hAnsi="Tahoma" w:cs="Tahoma"/>
                <w:sz w:val="24"/>
              </w:rPr>
              <w:t>Personnel</w:t>
            </w:r>
            <w:r w:rsidRPr="002462E6">
              <w:rPr>
                <w:rFonts w:ascii="Tahoma" w:eastAsia="Arial MT" w:hAnsi="Tahoma" w:cs="Tahoma"/>
                <w:spacing w:val="-58"/>
                <w:sz w:val="24"/>
              </w:rPr>
              <w:t xml:space="preserve"> </w:t>
            </w:r>
            <w:r w:rsidRPr="002462E6">
              <w:rPr>
                <w:rFonts w:ascii="Tahoma" w:eastAsia="Arial MT" w:hAnsi="Tahoma" w:cs="Tahoma"/>
                <w:sz w:val="24"/>
              </w:rPr>
              <w:t>technique</w:t>
            </w:r>
          </w:p>
        </w:tc>
        <w:tc>
          <w:tcPr>
            <w:cnfStyle w:val="000010000000" w:firstRow="0" w:lastRow="0" w:firstColumn="0" w:lastColumn="0" w:oddVBand="1" w:evenVBand="0" w:oddHBand="0" w:evenHBand="0" w:firstRowFirstColumn="0" w:firstRowLastColumn="0" w:lastRowFirstColumn="0" w:lastRowLastColumn="0"/>
            <w:tcW w:w="1011" w:type="dxa"/>
          </w:tcPr>
          <w:p w:rsidR="000A7532" w:rsidRPr="002462E6" w:rsidRDefault="000A7532" w:rsidP="00A66616">
            <w:pPr>
              <w:spacing w:before="23"/>
              <w:ind w:left="165" w:right="4"/>
              <w:jc w:val="center"/>
              <w:rPr>
                <w:rFonts w:ascii="Tahoma" w:eastAsia="Arial MT" w:hAnsi="Tahoma" w:cs="Tahoma"/>
                <w:b/>
                <w:sz w:val="24"/>
              </w:rPr>
            </w:pPr>
            <w:r w:rsidRPr="002462E6">
              <w:rPr>
                <w:rFonts w:ascii="Tahoma" w:eastAsia="Arial MT" w:hAnsi="Tahoma" w:cs="Tahoma"/>
                <w:b/>
                <w:sz w:val="24"/>
              </w:rPr>
              <w:t>247</w:t>
            </w:r>
          </w:p>
        </w:tc>
        <w:tc>
          <w:tcPr>
            <w:tcW w:w="973" w:type="dxa"/>
          </w:tcPr>
          <w:p w:rsidR="000A7532" w:rsidRPr="002462E6" w:rsidRDefault="000A7532" w:rsidP="00303125">
            <w:pPr>
              <w:spacing w:before="23"/>
              <w:ind w:right="4"/>
              <w:cnfStyle w:val="000000000000" w:firstRow="0" w:lastRow="0" w:firstColumn="0" w:lastColumn="0" w:oddVBand="0" w:evenVBand="0" w:oddHBand="0" w:evenHBand="0" w:firstRowFirstColumn="0" w:firstRowLastColumn="0" w:lastRowFirstColumn="0" w:lastRowLastColumn="0"/>
              <w:rPr>
                <w:rFonts w:ascii="Tahoma" w:eastAsia="Arial MT" w:hAnsi="Tahoma" w:cs="Tahoma"/>
                <w:b/>
                <w:sz w:val="24"/>
              </w:rPr>
            </w:pPr>
            <w:r w:rsidRPr="002462E6">
              <w:rPr>
                <w:rFonts w:ascii="Tahoma" w:eastAsia="Arial MT" w:hAnsi="Tahoma" w:cs="Tahoma"/>
                <w:b/>
                <w:sz w:val="24"/>
              </w:rPr>
              <w:t>10,0</w:t>
            </w:r>
          </w:p>
        </w:tc>
        <w:tc>
          <w:tcPr>
            <w:cnfStyle w:val="000010000000" w:firstRow="0" w:lastRow="0" w:firstColumn="0" w:lastColumn="0" w:oddVBand="1" w:evenVBand="0" w:oddHBand="0" w:evenHBand="0" w:firstRowFirstColumn="0" w:firstRowLastColumn="0" w:lastRowFirstColumn="0" w:lastRowLastColumn="0"/>
            <w:tcW w:w="1442" w:type="dxa"/>
            <w:gridSpan w:val="2"/>
          </w:tcPr>
          <w:p w:rsidR="000A7532" w:rsidRPr="002462E6" w:rsidRDefault="000A7532" w:rsidP="00A66616">
            <w:pPr>
              <w:spacing w:before="23"/>
              <w:ind w:left="209" w:right="4"/>
              <w:jc w:val="center"/>
              <w:rPr>
                <w:rFonts w:ascii="Tahoma" w:eastAsia="Arial MT" w:hAnsi="Tahoma" w:cs="Tahoma"/>
                <w:b/>
                <w:sz w:val="24"/>
              </w:rPr>
            </w:pPr>
            <w:r w:rsidRPr="002462E6">
              <w:rPr>
                <w:rFonts w:ascii="Tahoma" w:eastAsia="Arial MT" w:hAnsi="Tahoma" w:cs="Tahoma"/>
                <w:b/>
                <w:sz w:val="24"/>
              </w:rPr>
              <w:t>2</w:t>
            </w:r>
            <w:r w:rsidRPr="002462E6">
              <w:rPr>
                <w:rFonts w:ascii="Tahoma" w:eastAsia="Arial MT" w:hAnsi="Tahoma" w:cs="Tahoma"/>
                <w:b/>
                <w:spacing w:val="-2"/>
                <w:sz w:val="24"/>
              </w:rPr>
              <w:t xml:space="preserve"> </w:t>
            </w:r>
            <w:r w:rsidRPr="002462E6">
              <w:rPr>
                <w:rFonts w:ascii="Tahoma" w:eastAsia="Arial MT" w:hAnsi="Tahoma" w:cs="Tahoma"/>
                <w:b/>
                <w:sz w:val="24"/>
              </w:rPr>
              <w:t>227</w:t>
            </w:r>
          </w:p>
        </w:tc>
        <w:tc>
          <w:tcPr>
            <w:tcW w:w="1251" w:type="dxa"/>
          </w:tcPr>
          <w:p w:rsidR="000A7532" w:rsidRPr="002462E6" w:rsidRDefault="000A7532" w:rsidP="00A66616">
            <w:pPr>
              <w:spacing w:before="23"/>
              <w:ind w:left="176" w:right="4"/>
              <w:jc w:val="center"/>
              <w:cnfStyle w:val="000000000000" w:firstRow="0" w:lastRow="0" w:firstColumn="0" w:lastColumn="0" w:oddVBand="0" w:evenVBand="0" w:oddHBand="0" w:evenHBand="0" w:firstRowFirstColumn="0" w:firstRowLastColumn="0" w:lastRowFirstColumn="0" w:lastRowLastColumn="0"/>
              <w:rPr>
                <w:rFonts w:ascii="Tahoma" w:eastAsia="Arial MT" w:hAnsi="Tahoma" w:cs="Tahoma"/>
                <w:b/>
                <w:sz w:val="24"/>
              </w:rPr>
            </w:pPr>
            <w:r w:rsidRPr="002462E6">
              <w:rPr>
                <w:rFonts w:ascii="Tahoma" w:eastAsia="Arial MT" w:hAnsi="Tahoma" w:cs="Tahoma"/>
                <w:b/>
                <w:sz w:val="24"/>
              </w:rPr>
              <w:t>2</w:t>
            </w:r>
            <w:r w:rsidRPr="002462E6">
              <w:rPr>
                <w:rFonts w:ascii="Tahoma" w:eastAsia="Arial MT" w:hAnsi="Tahoma" w:cs="Tahoma"/>
                <w:b/>
                <w:spacing w:val="-2"/>
                <w:sz w:val="24"/>
              </w:rPr>
              <w:t xml:space="preserve"> </w:t>
            </w:r>
            <w:r w:rsidRPr="002462E6">
              <w:rPr>
                <w:rFonts w:ascii="Tahoma" w:eastAsia="Arial MT" w:hAnsi="Tahoma" w:cs="Tahoma"/>
                <w:b/>
                <w:sz w:val="24"/>
              </w:rPr>
              <w:t>474</w:t>
            </w:r>
          </w:p>
        </w:tc>
        <w:tc>
          <w:tcPr>
            <w:cnfStyle w:val="000010000000" w:firstRow="0" w:lastRow="0" w:firstColumn="0" w:lastColumn="0" w:oddVBand="1" w:evenVBand="0" w:oddHBand="0" w:evenHBand="0" w:firstRowFirstColumn="0" w:firstRowLastColumn="0" w:lastRowFirstColumn="0" w:lastRowLastColumn="0"/>
            <w:tcW w:w="1411" w:type="dxa"/>
          </w:tcPr>
          <w:p w:rsidR="000A7532" w:rsidRPr="002462E6" w:rsidRDefault="000A7532" w:rsidP="00A66616">
            <w:pPr>
              <w:spacing w:before="23"/>
              <w:ind w:left="211" w:right="4"/>
              <w:jc w:val="center"/>
              <w:rPr>
                <w:rFonts w:ascii="Tahoma" w:eastAsia="Arial MT" w:hAnsi="Tahoma" w:cs="Tahoma"/>
                <w:b/>
                <w:sz w:val="24"/>
              </w:rPr>
            </w:pPr>
            <w:r w:rsidRPr="002462E6">
              <w:rPr>
                <w:rFonts w:ascii="Tahoma" w:eastAsia="Arial MT" w:hAnsi="Tahoma" w:cs="Tahoma"/>
                <w:b/>
                <w:sz w:val="24"/>
              </w:rPr>
              <w:t>100</w:t>
            </w:r>
          </w:p>
        </w:tc>
        <w:tc>
          <w:tcPr>
            <w:cnfStyle w:val="000100000000" w:firstRow="0" w:lastRow="0" w:firstColumn="0" w:lastColumn="1" w:oddVBand="0" w:evenVBand="0" w:oddHBand="0" w:evenHBand="0" w:firstRowFirstColumn="0" w:firstRowLastColumn="0" w:lastRowFirstColumn="0" w:lastRowLastColumn="0"/>
            <w:tcW w:w="1075" w:type="dxa"/>
          </w:tcPr>
          <w:p w:rsidR="000A7532" w:rsidRPr="002462E6" w:rsidRDefault="000A7532" w:rsidP="00A66616">
            <w:pPr>
              <w:spacing w:line="274" w:lineRule="exact"/>
              <w:ind w:left="122" w:right="4"/>
              <w:jc w:val="center"/>
              <w:rPr>
                <w:rFonts w:ascii="Tahoma" w:eastAsia="Arial MT" w:hAnsi="Tahoma" w:cs="Tahoma"/>
                <w:sz w:val="24"/>
              </w:rPr>
            </w:pPr>
            <w:r w:rsidRPr="002462E6">
              <w:rPr>
                <w:rFonts w:ascii="Tahoma" w:eastAsia="Arial MT" w:hAnsi="Tahoma" w:cs="Tahoma"/>
                <w:sz w:val="24"/>
              </w:rPr>
              <w:t>47,4</w:t>
            </w:r>
          </w:p>
        </w:tc>
      </w:tr>
      <w:tr w:rsidR="000A7532" w:rsidRPr="002462E6" w:rsidTr="002676C3">
        <w:trPr>
          <w:cnfStyle w:val="000000100000" w:firstRow="0" w:lastRow="0" w:firstColumn="0" w:lastColumn="0" w:oddVBand="0" w:evenVBand="0" w:oddHBand="1" w:evenHBand="0" w:firstRowFirstColumn="0" w:firstRowLastColumn="0" w:lastRowFirstColumn="0" w:lastRowLastColumn="0"/>
          <w:trHeight w:val="805"/>
        </w:trPr>
        <w:tc>
          <w:tcPr>
            <w:cnfStyle w:val="001000000000" w:firstRow="0" w:lastRow="0" w:firstColumn="1" w:lastColumn="0" w:oddVBand="0" w:evenVBand="0" w:oddHBand="0" w:evenHBand="0" w:firstRowFirstColumn="0" w:firstRowLastColumn="0" w:lastRowFirstColumn="0" w:lastRowLastColumn="0"/>
            <w:tcW w:w="1668" w:type="dxa"/>
          </w:tcPr>
          <w:p w:rsidR="000A7532" w:rsidRPr="002462E6" w:rsidRDefault="000A7532" w:rsidP="00303125">
            <w:pPr>
              <w:spacing w:line="237" w:lineRule="auto"/>
              <w:ind w:right="4"/>
              <w:rPr>
                <w:rFonts w:ascii="Tahoma" w:eastAsia="Arial MT" w:hAnsi="Tahoma" w:cs="Tahoma"/>
                <w:sz w:val="24"/>
              </w:rPr>
            </w:pPr>
            <w:r w:rsidRPr="002462E6">
              <w:rPr>
                <w:rFonts w:ascii="Tahoma" w:eastAsia="Arial MT" w:hAnsi="Tahoma" w:cs="Tahoma"/>
                <w:szCs w:val="20"/>
              </w:rPr>
              <w:t>Personnel</w:t>
            </w:r>
            <w:r w:rsidRPr="002462E6">
              <w:rPr>
                <w:rFonts w:ascii="Tahoma" w:eastAsia="Arial MT" w:hAnsi="Tahoma" w:cs="Tahoma"/>
                <w:spacing w:val="1"/>
                <w:szCs w:val="20"/>
              </w:rPr>
              <w:t xml:space="preserve"> </w:t>
            </w:r>
            <w:r w:rsidRPr="002462E6">
              <w:rPr>
                <w:rFonts w:ascii="Tahoma" w:eastAsia="Arial MT" w:hAnsi="Tahoma" w:cs="Tahoma"/>
                <w:szCs w:val="20"/>
              </w:rPr>
              <w:t>administratif</w:t>
            </w:r>
          </w:p>
        </w:tc>
        <w:tc>
          <w:tcPr>
            <w:cnfStyle w:val="000010000000" w:firstRow="0" w:lastRow="0" w:firstColumn="0" w:lastColumn="0" w:oddVBand="1" w:evenVBand="0" w:oddHBand="0" w:evenHBand="0" w:firstRowFirstColumn="0" w:firstRowLastColumn="0" w:lastRowFirstColumn="0" w:lastRowLastColumn="0"/>
            <w:tcW w:w="1011" w:type="dxa"/>
          </w:tcPr>
          <w:p w:rsidR="000A7532" w:rsidRPr="002462E6" w:rsidRDefault="000A7532" w:rsidP="00A66616">
            <w:pPr>
              <w:spacing w:before="20"/>
              <w:ind w:left="165" w:right="4"/>
              <w:jc w:val="center"/>
              <w:rPr>
                <w:rFonts w:ascii="Tahoma" w:eastAsia="Arial MT" w:hAnsi="Tahoma" w:cs="Tahoma"/>
                <w:sz w:val="24"/>
              </w:rPr>
            </w:pPr>
            <w:r w:rsidRPr="002462E6">
              <w:rPr>
                <w:rFonts w:ascii="Tahoma" w:eastAsia="Arial MT" w:hAnsi="Tahoma" w:cs="Tahoma"/>
                <w:sz w:val="24"/>
              </w:rPr>
              <w:t>443</w:t>
            </w:r>
          </w:p>
        </w:tc>
        <w:tc>
          <w:tcPr>
            <w:tcW w:w="973" w:type="dxa"/>
          </w:tcPr>
          <w:p w:rsidR="000A7532" w:rsidRPr="002462E6" w:rsidRDefault="000A7532" w:rsidP="00A66616">
            <w:pPr>
              <w:spacing w:before="21"/>
              <w:ind w:left="266" w:right="4"/>
              <w:jc w:val="center"/>
              <w:cnfStyle w:val="000000100000" w:firstRow="0" w:lastRow="0" w:firstColumn="0" w:lastColumn="0" w:oddVBand="0" w:evenVBand="0" w:oddHBand="1" w:evenHBand="0" w:firstRowFirstColumn="0" w:firstRowLastColumn="0" w:lastRowFirstColumn="0" w:lastRowLastColumn="0"/>
              <w:rPr>
                <w:rFonts w:ascii="Tahoma" w:eastAsia="Arial MT" w:hAnsi="Tahoma" w:cs="Tahoma"/>
                <w:sz w:val="24"/>
              </w:rPr>
            </w:pPr>
            <w:r w:rsidRPr="002462E6">
              <w:rPr>
                <w:rFonts w:ascii="Tahoma" w:eastAsia="Arial MT" w:hAnsi="Tahoma" w:cs="Tahoma"/>
                <w:sz w:val="24"/>
              </w:rPr>
              <w:t>16,2</w:t>
            </w:r>
          </w:p>
        </w:tc>
        <w:tc>
          <w:tcPr>
            <w:cnfStyle w:val="000010000000" w:firstRow="0" w:lastRow="0" w:firstColumn="0" w:lastColumn="0" w:oddVBand="1" w:evenVBand="0" w:oddHBand="0" w:evenHBand="0" w:firstRowFirstColumn="0" w:firstRowLastColumn="0" w:lastRowFirstColumn="0" w:lastRowLastColumn="0"/>
            <w:tcW w:w="1442" w:type="dxa"/>
            <w:gridSpan w:val="2"/>
          </w:tcPr>
          <w:p w:rsidR="000A7532" w:rsidRPr="002462E6" w:rsidRDefault="000A7532" w:rsidP="00A66616">
            <w:pPr>
              <w:spacing w:before="20"/>
              <w:ind w:left="209" w:right="4"/>
              <w:jc w:val="center"/>
              <w:rPr>
                <w:rFonts w:ascii="Tahoma" w:eastAsia="Arial MT" w:hAnsi="Tahoma" w:cs="Tahoma"/>
                <w:sz w:val="24"/>
              </w:rPr>
            </w:pPr>
            <w:r w:rsidRPr="002462E6">
              <w:rPr>
                <w:rFonts w:ascii="Tahoma" w:eastAsia="Arial MT" w:hAnsi="Tahoma" w:cs="Tahoma"/>
                <w:sz w:val="24"/>
              </w:rPr>
              <w:t>2</w:t>
            </w:r>
            <w:r w:rsidRPr="002462E6">
              <w:rPr>
                <w:rFonts w:ascii="Tahoma" w:eastAsia="Arial MT" w:hAnsi="Tahoma" w:cs="Tahoma"/>
                <w:spacing w:val="-2"/>
                <w:sz w:val="24"/>
              </w:rPr>
              <w:t xml:space="preserve"> </w:t>
            </w:r>
            <w:r w:rsidRPr="002462E6">
              <w:rPr>
                <w:rFonts w:ascii="Tahoma" w:eastAsia="Arial MT" w:hAnsi="Tahoma" w:cs="Tahoma"/>
                <w:sz w:val="24"/>
              </w:rPr>
              <w:t>298</w:t>
            </w:r>
          </w:p>
        </w:tc>
        <w:tc>
          <w:tcPr>
            <w:tcW w:w="1251" w:type="dxa"/>
          </w:tcPr>
          <w:p w:rsidR="000A7532" w:rsidRPr="002462E6" w:rsidRDefault="000A7532" w:rsidP="00A66616">
            <w:pPr>
              <w:spacing w:before="20"/>
              <w:ind w:left="176" w:right="4"/>
              <w:jc w:val="center"/>
              <w:cnfStyle w:val="000000100000" w:firstRow="0" w:lastRow="0" w:firstColumn="0" w:lastColumn="0" w:oddVBand="0" w:evenVBand="0" w:oddHBand="1" w:evenHBand="0" w:firstRowFirstColumn="0" w:firstRowLastColumn="0" w:lastRowFirstColumn="0" w:lastRowLastColumn="0"/>
              <w:rPr>
                <w:rFonts w:ascii="Tahoma" w:eastAsia="Arial MT" w:hAnsi="Tahoma" w:cs="Tahoma"/>
                <w:sz w:val="24"/>
              </w:rPr>
            </w:pPr>
            <w:r w:rsidRPr="002462E6">
              <w:rPr>
                <w:rFonts w:ascii="Tahoma" w:eastAsia="Arial MT" w:hAnsi="Tahoma" w:cs="Tahoma"/>
                <w:sz w:val="24"/>
              </w:rPr>
              <w:t>2</w:t>
            </w:r>
            <w:r w:rsidRPr="002462E6">
              <w:rPr>
                <w:rFonts w:ascii="Tahoma" w:eastAsia="Arial MT" w:hAnsi="Tahoma" w:cs="Tahoma"/>
                <w:spacing w:val="-2"/>
                <w:sz w:val="24"/>
              </w:rPr>
              <w:t xml:space="preserve"> </w:t>
            </w:r>
            <w:r w:rsidRPr="002462E6">
              <w:rPr>
                <w:rFonts w:ascii="Tahoma" w:eastAsia="Arial MT" w:hAnsi="Tahoma" w:cs="Tahoma"/>
                <w:sz w:val="24"/>
              </w:rPr>
              <w:t>741</w:t>
            </w:r>
          </w:p>
        </w:tc>
        <w:tc>
          <w:tcPr>
            <w:cnfStyle w:val="000010000000" w:firstRow="0" w:lastRow="0" w:firstColumn="0" w:lastColumn="0" w:oddVBand="1" w:evenVBand="0" w:oddHBand="0" w:evenHBand="0" w:firstRowFirstColumn="0" w:firstRowLastColumn="0" w:lastRowFirstColumn="0" w:lastRowLastColumn="0"/>
            <w:tcW w:w="1411" w:type="dxa"/>
          </w:tcPr>
          <w:p w:rsidR="000A7532" w:rsidRPr="002462E6" w:rsidRDefault="000A7532" w:rsidP="00A66616">
            <w:pPr>
              <w:spacing w:before="21"/>
              <w:ind w:left="209" w:right="4"/>
              <w:jc w:val="center"/>
              <w:rPr>
                <w:rFonts w:ascii="Tahoma" w:eastAsia="Arial MT" w:hAnsi="Tahoma" w:cs="Tahoma"/>
                <w:sz w:val="24"/>
              </w:rPr>
            </w:pPr>
            <w:r w:rsidRPr="002462E6">
              <w:rPr>
                <w:rFonts w:ascii="Tahoma" w:eastAsia="Arial MT" w:hAnsi="Tahoma" w:cs="Tahoma"/>
                <w:sz w:val="24"/>
              </w:rPr>
              <w:t>100</w:t>
            </w:r>
          </w:p>
        </w:tc>
        <w:tc>
          <w:tcPr>
            <w:cnfStyle w:val="000100000000" w:firstRow="0" w:lastRow="0" w:firstColumn="0" w:lastColumn="1" w:oddVBand="0" w:evenVBand="0" w:oddHBand="0" w:evenHBand="0" w:firstRowFirstColumn="0" w:firstRowLastColumn="0" w:lastRowFirstColumn="0" w:lastRowLastColumn="0"/>
            <w:tcW w:w="1075" w:type="dxa"/>
          </w:tcPr>
          <w:p w:rsidR="000A7532" w:rsidRPr="002462E6" w:rsidRDefault="000A7532" w:rsidP="00A66616">
            <w:pPr>
              <w:spacing w:line="271" w:lineRule="exact"/>
              <w:ind w:left="122" w:right="4"/>
              <w:jc w:val="center"/>
              <w:rPr>
                <w:rFonts w:ascii="Tahoma" w:eastAsia="Arial MT" w:hAnsi="Tahoma" w:cs="Tahoma"/>
                <w:sz w:val="24"/>
              </w:rPr>
            </w:pPr>
            <w:r w:rsidRPr="002462E6">
              <w:rPr>
                <w:rFonts w:ascii="Tahoma" w:eastAsia="Arial MT" w:hAnsi="Tahoma" w:cs="Tahoma"/>
                <w:sz w:val="24"/>
              </w:rPr>
              <w:t>52,6</w:t>
            </w:r>
          </w:p>
        </w:tc>
      </w:tr>
      <w:tr w:rsidR="000355E5" w:rsidRPr="002462E6" w:rsidTr="002676C3">
        <w:trPr>
          <w:cnfStyle w:val="010000000000" w:firstRow="0" w:lastRow="1" w:firstColumn="0" w:lastColumn="0" w:oddVBand="0" w:evenVBand="0" w:oddHBand="0" w:evenHBand="0" w:firstRowFirstColumn="0" w:firstRowLastColumn="0" w:lastRowFirstColumn="0" w:lastRowLastColumn="0"/>
          <w:trHeight w:val="715"/>
        </w:trPr>
        <w:tc>
          <w:tcPr>
            <w:cnfStyle w:val="001000000001" w:firstRow="0" w:lastRow="0" w:firstColumn="1" w:lastColumn="0" w:oddVBand="0" w:evenVBand="0" w:oddHBand="0" w:evenHBand="0" w:firstRowFirstColumn="0" w:firstRowLastColumn="0" w:lastRowFirstColumn="1" w:lastRowLastColumn="0"/>
            <w:tcW w:w="1668" w:type="dxa"/>
          </w:tcPr>
          <w:p w:rsidR="00A66616" w:rsidRPr="002462E6" w:rsidRDefault="00A66616" w:rsidP="00A66616">
            <w:pPr>
              <w:ind w:right="4"/>
              <w:rPr>
                <w:rFonts w:ascii="Tahoma" w:eastAsia="Arial MT" w:hAnsi="Tahoma" w:cs="Tahoma"/>
                <w:sz w:val="24"/>
              </w:rPr>
            </w:pPr>
          </w:p>
          <w:p w:rsidR="000A7532" w:rsidRPr="002462E6" w:rsidRDefault="000A7532" w:rsidP="00A66616">
            <w:pPr>
              <w:ind w:right="4"/>
              <w:rPr>
                <w:rFonts w:ascii="Tahoma" w:eastAsia="Arial MT" w:hAnsi="Tahoma" w:cs="Tahoma"/>
                <w:sz w:val="24"/>
              </w:rPr>
            </w:pPr>
            <w:r w:rsidRPr="002462E6">
              <w:rPr>
                <w:rFonts w:ascii="Tahoma" w:eastAsia="Arial MT" w:hAnsi="Tahoma" w:cs="Tahoma"/>
                <w:sz w:val="24"/>
              </w:rPr>
              <w:t>TOTAL</w:t>
            </w:r>
          </w:p>
        </w:tc>
        <w:tc>
          <w:tcPr>
            <w:cnfStyle w:val="000010000000" w:firstRow="0" w:lastRow="0" w:firstColumn="0" w:lastColumn="0" w:oddVBand="1" w:evenVBand="0" w:oddHBand="0" w:evenHBand="0" w:firstRowFirstColumn="0" w:firstRowLastColumn="0" w:lastRowFirstColumn="0" w:lastRowLastColumn="0"/>
            <w:tcW w:w="1011" w:type="dxa"/>
          </w:tcPr>
          <w:p w:rsidR="00A66616" w:rsidRPr="002462E6" w:rsidRDefault="00A66616" w:rsidP="00A66616">
            <w:pPr>
              <w:spacing w:before="22"/>
              <w:ind w:left="165" w:right="4"/>
              <w:jc w:val="center"/>
              <w:rPr>
                <w:rFonts w:ascii="Tahoma" w:eastAsia="Arial MT" w:hAnsi="Tahoma" w:cs="Tahoma"/>
                <w:sz w:val="24"/>
              </w:rPr>
            </w:pPr>
          </w:p>
          <w:p w:rsidR="000A7532" w:rsidRPr="002462E6" w:rsidRDefault="000A7532" w:rsidP="00A66616">
            <w:pPr>
              <w:spacing w:before="22"/>
              <w:ind w:left="165" w:right="4"/>
              <w:jc w:val="center"/>
              <w:rPr>
                <w:rFonts w:ascii="Tahoma" w:eastAsia="Arial MT" w:hAnsi="Tahoma" w:cs="Tahoma"/>
                <w:sz w:val="24"/>
              </w:rPr>
            </w:pPr>
            <w:r w:rsidRPr="002462E6">
              <w:rPr>
                <w:rFonts w:ascii="Tahoma" w:eastAsia="Arial MT" w:hAnsi="Tahoma" w:cs="Tahoma"/>
                <w:sz w:val="24"/>
              </w:rPr>
              <w:t>690</w:t>
            </w:r>
          </w:p>
        </w:tc>
        <w:tc>
          <w:tcPr>
            <w:tcW w:w="973" w:type="dxa"/>
          </w:tcPr>
          <w:p w:rsidR="00A66616" w:rsidRPr="002462E6" w:rsidRDefault="00A66616" w:rsidP="00A66616">
            <w:pPr>
              <w:spacing w:before="22"/>
              <w:ind w:right="4"/>
              <w:cnfStyle w:val="010000000000" w:firstRow="0" w:lastRow="1" w:firstColumn="0" w:lastColumn="0" w:oddVBand="0" w:evenVBand="0" w:oddHBand="0" w:evenHBand="0" w:firstRowFirstColumn="0" w:firstRowLastColumn="0" w:lastRowFirstColumn="0" w:lastRowLastColumn="0"/>
              <w:rPr>
                <w:rFonts w:ascii="Tahoma" w:eastAsia="Arial MT" w:hAnsi="Tahoma" w:cs="Tahoma"/>
                <w:sz w:val="24"/>
              </w:rPr>
            </w:pPr>
          </w:p>
          <w:p w:rsidR="000A7532" w:rsidRPr="002462E6" w:rsidRDefault="000A7532" w:rsidP="00A66616">
            <w:pPr>
              <w:spacing w:before="22"/>
              <w:ind w:right="4"/>
              <w:cnfStyle w:val="010000000000" w:firstRow="0" w:lastRow="1" w:firstColumn="0" w:lastColumn="0" w:oddVBand="0" w:evenVBand="0" w:oddHBand="0" w:evenHBand="0" w:firstRowFirstColumn="0" w:firstRowLastColumn="0" w:lastRowFirstColumn="0" w:lastRowLastColumn="0"/>
              <w:rPr>
                <w:rFonts w:ascii="Tahoma" w:eastAsia="Arial MT" w:hAnsi="Tahoma" w:cs="Tahoma"/>
                <w:sz w:val="24"/>
              </w:rPr>
            </w:pPr>
            <w:r w:rsidRPr="002462E6">
              <w:rPr>
                <w:rFonts w:ascii="Tahoma" w:eastAsia="Arial MT" w:hAnsi="Tahoma" w:cs="Tahoma"/>
                <w:sz w:val="24"/>
              </w:rPr>
              <w:t>13,2</w:t>
            </w:r>
          </w:p>
        </w:tc>
        <w:tc>
          <w:tcPr>
            <w:cnfStyle w:val="000010000000" w:firstRow="0" w:lastRow="0" w:firstColumn="0" w:lastColumn="0" w:oddVBand="1" w:evenVBand="0" w:oddHBand="0" w:evenHBand="0" w:firstRowFirstColumn="0" w:firstRowLastColumn="0" w:lastRowFirstColumn="0" w:lastRowLastColumn="0"/>
            <w:tcW w:w="1442" w:type="dxa"/>
            <w:gridSpan w:val="2"/>
          </w:tcPr>
          <w:p w:rsidR="00A66616" w:rsidRPr="002462E6" w:rsidRDefault="00A66616" w:rsidP="00A66616">
            <w:pPr>
              <w:spacing w:before="22"/>
              <w:ind w:left="209" w:right="4"/>
              <w:jc w:val="center"/>
              <w:rPr>
                <w:rFonts w:ascii="Tahoma" w:eastAsia="Arial MT" w:hAnsi="Tahoma" w:cs="Tahoma"/>
                <w:sz w:val="24"/>
              </w:rPr>
            </w:pPr>
          </w:p>
          <w:p w:rsidR="000A7532" w:rsidRPr="002462E6" w:rsidRDefault="000A7532" w:rsidP="00A66616">
            <w:pPr>
              <w:spacing w:before="22"/>
              <w:ind w:left="209" w:right="4"/>
              <w:jc w:val="center"/>
              <w:rPr>
                <w:rFonts w:ascii="Tahoma" w:eastAsia="Arial MT" w:hAnsi="Tahoma" w:cs="Tahoma"/>
                <w:sz w:val="24"/>
              </w:rPr>
            </w:pPr>
            <w:r w:rsidRPr="002462E6">
              <w:rPr>
                <w:rFonts w:ascii="Tahoma" w:eastAsia="Arial MT" w:hAnsi="Tahoma" w:cs="Tahoma"/>
                <w:sz w:val="24"/>
              </w:rPr>
              <w:t>4</w:t>
            </w:r>
            <w:r w:rsidR="00A66616" w:rsidRPr="002462E6">
              <w:rPr>
                <w:rFonts w:ascii="Tahoma" w:eastAsia="Arial MT" w:hAnsi="Tahoma" w:cs="Tahoma"/>
                <w:spacing w:val="-2"/>
                <w:sz w:val="24"/>
              </w:rPr>
              <w:t> </w:t>
            </w:r>
            <w:r w:rsidRPr="002462E6">
              <w:rPr>
                <w:rFonts w:ascii="Tahoma" w:eastAsia="Arial MT" w:hAnsi="Tahoma" w:cs="Tahoma"/>
                <w:sz w:val="24"/>
              </w:rPr>
              <w:t>525</w:t>
            </w:r>
          </w:p>
        </w:tc>
        <w:tc>
          <w:tcPr>
            <w:tcW w:w="1251" w:type="dxa"/>
          </w:tcPr>
          <w:p w:rsidR="00A66616" w:rsidRPr="002462E6" w:rsidRDefault="00A66616" w:rsidP="00A66616">
            <w:pPr>
              <w:spacing w:before="22"/>
              <w:ind w:left="176" w:right="4"/>
              <w:jc w:val="center"/>
              <w:cnfStyle w:val="010000000000" w:firstRow="0" w:lastRow="1" w:firstColumn="0" w:lastColumn="0" w:oddVBand="0" w:evenVBand="0" w:oddHBand="0" w:evenHBand="0" w:firstRowFirstColumn="0" w:firstRowLastColumn="0" w:lastRowFirstColumn="0" w:lastRowLastColumn="0"/>
              <w:rPr>
                <w:rFonts w:ascii="Tahoma" w:eastAsia="Arial MT" w:hAnsi="Tahoma" w:cs="Tahoma"/>
                <w:sz w:val="24"/>
              </w:rPr>
            </w:pPr>
          </w:p>
          <w:p w:rsidR="000A7532" w:rsidRPr="002462E6" w:rsidRDefault="000A7532" w:rsidP="00A66616">
            <w:pPr>
              <w:spacing w:before="22"/>
              <w:ind w:left="176" w:right="4"/>
              <w:jc w:val="center"/>
              <w:cnfStyle w:val="010000000000" w:firstRow="0" w:lastRow="1" w:firstColumn="0" w:lastColumn="0" w:oddVBand="0" w:evenVBand="0" w:oddHBand="0" w:evenHBand="0" w:firstRowFirstColumn="0" w:firstRowLastColumn="0" w:lastRowFirstColumn="0" w:lastRowLastColumn="0"/>
              <w:rPr>
                <w:rFonts w:ascii="Tahoma" w:eastAsia="Arial MT" w:hAnsi="Tahoma" w:cs="Tahoma"/>
                <w:sz w:val="24"/>
              </w:rPr>
            </w:pPr>
            <w:r w:rsidRPr="002462E6">
              <w:rPr>
                <w:rFonts w:ascii="Tahoma" w:eastAsia="Arial MT" w:hAnsi="Tahoma" w:cs="Tahoma"/>
                <w:sz w:val="24"/>
              </w:rPr>
              <w:t>5</w:t>
            </w:r>
            <w:r w:rsidR="00A66616" w:rsidRPr="002462E6">
              <w:rPr>
                <w:rFonts w:ascii="Tahoma" w:eastAsia="Arial MT" w:hAnsi="Tahoma" w:cs="Tahoma"/>
                <w:spacing w:val="-2"/>
                <w:sz w:val="24"/>
              </w:rPr>
              <w:t> </w:t>
            </w:r>
            <w:r w:rsidRPr="002462E6">
              <w:rPr>
                <w:rFonts w:ascii="Tahoma" w:eastAsia="Arial MT" w:hAnsi="Tahoma" w:cs="Tahoma"/>
                <w:sz w:val="24"/>
              </w:rPr>
              <w:t>215</w:t>
            </w:r>
          </w:p>
        </w:tc>
        <w:tc>
          <w:tcPr>
            <w:cnfStyle w:val="000010000000" w:firstRow="0" w:lastRow="0" w:firstColumn="0" w:lastColumn="0" w:oddVBand="1" w:evenVBand="0" w:oddHBand="0" w:evenHBand="0" w:firstRowFirstColumn="0" w:firstRowLastColumn="0" w:lastRowFirstColumn="0" w:lastRowLastColumn="0"/>
            <w:tcW w:w="1411" w:type="dxa"/>
          </w:tcPr>
          <w:p w:rsidR="00A66616" w:rsidRPr="002462E6" w:rsidRDefault="00A66616" w:rsidP="00A66616">
            <w:pPr>
              <w:spacing w:before="22"/>
              <w:ind w:left="209" w:right="4"/>
              <w:jc w:val="center"/>
              <w:rPr>
                <w:rFonts w:ascii="Tahoma" w:eastAsia="Arial MT" w:hAnsi="Tahoma" w:cs="Tahoma"/>
                <w:sz w:val="24"/>
              </w:rPr>
            </w:pPr>
          </w:p>
          <w:p w:rsidR="000A7532" w:rsidRPr="002462E6" w:rsidRDefault="000A7532" w:rsidP="00A66616">
            <w:pPr>
              <w:spacing w:before="22"/>
              <w:ind w:left="209" w:right="4"/>
              <w:jc w:val="center"/>
              <w:rPr>
                <w:rFonts w:ascii="Tahoma" w:eastAsia="Arial MT" w:hAnsi="Tahoma" w:cs="Tahoma"/>
                <w:sz w:val="24"/>
              </w:rPr>
            </w:pPr>
            <w:r w:rsidRPr="002462E6">
              <w:rPr>
                <w:rFonts w:ascii="Tahoma" w:eastAsia="Arial MT" w:hAnsi="Tahoma" w:cs="Tahoma"/>
                <w:sz w:val="24"/>
              </w:rPr>
              <w:t>100</w:t>
            </w:r>
          </w:p>
        </w:tc>
        <w:tc>
          <w:tcPr>
            <w:cnfStyle w:val="000100000010" w:firstRow="0" w:lastRow="0" w:firstColumn="0" w:lastColumn="1" w:oddVBand="0" w:evenVBand="0" w:oddHBand="0" w:evenHBand="0" w:firstRowFirstColumn="0" w:firstRowLastColumn="0" w:lastRowFirstColumn="0" w:lastRowLastColumn="1"/>
            <w:tcW w:w="1075" w:type="dxa"/>
          </w:tcPr>
          <w:p w:rsidR="00A66616" w:rsidRPr="002462E6" w:rsidRDefault="00A66616" w:rsidP="00A66616">
            <w:pPr>
              <w:ind w:left="122" w:right="4"/>
              <w:jc w:val="center"/>
              <w:rPr>
                <w:rFonts w:ascii="Tahoma" w:eastAsia="Arial MT" w:hAnsi="Tahoma" w:cs="Tahoma"/>
                <w:sz w:val="24"/>
              </w:rPr>
            </w:pPr>
          </w:p>
          <w:p w:rsidR="000A7532" w:rsidRPr="002462E6" w:rsidRDefault="000A7532" w:rsidP="00A66616">
            <w:pPr>
              <w:ind w:left="122" w:right="4"/>
              <w:jc w:val="center"/>
              <w:rPr>
                <w:rFonts w:ascii="Tahoma" w:eastAsia="Arial MT" w:hAnsi="Tahoma" w:cs="Tahoma"/>
                <w:sz w:val="24"/>
              </w:rPr>
            </w:pPr>
            <w:r w:rsidRPr="002462E6">
              <w:rPr>
                <w:rFonts w:ascii="Tahoma" w:eastAsia="Arial MT" w:hAnsi="Tahoma" w:cs="Tahoma"/>
                <w:sz w:val="24"/>
              </w:rPr>
              <w:t>100,0</w:t>
            </w:r>
          </w:p>
        </w:tc>
      </w:tr>
    </w:tbl>
    <w:p w:rsidR="000A7532" w:rsidRPr="002462E6" w:rsidRDefault="000A7532" w:rsidP="000A7532">
      <w:pPr>
        <w:widowControl w:val="0"/>
        <w:autoSpaceDE w:val="0"/>
        <w:autoSpaceDN w:val="0"/>
        <w:spacing w:before="3" w:after="0" w:line="240" w:lineRule="auto"/>
        <w:ind w:right="4"/>
        <w:rPr>
          <w:rFonts w:ascii="Times New Roman" w:eastAsia="Times New Roman" w:hAnsi="Times New Roman" w:cs="Times New Roman"/>
          <w:sz w:val="25"/>
          <w:szCs w:val="24"/>
        </w:rPr>
      </w:pPr>
    </w:p>
    <w:p w:rsidR="000A7532" w:rsidRPr="002462E6" w:rsidRDefault="000A7532" w:rsidP="000A7532">
      <w:pPr>
        <w:widowControl w:val="0"/>
        <w:autoSpaceDE w:val="0"/>
        <w:autoSpaceDN w:val="0"/>
        <w:spacing w:before="93" w:after="0" w:line="240" w:lineRule="auto"/>
        <w:ind w:left="4219" w:right="4"/>
        <w:rPr>
          <w:rFonts w:ascii="Times New Roman" w:eastAsia="Times New Roman" w:hAnsi="Times New Roman" w:cs="Times New Roman"/>
          <w:sz w:val="20"/>
        </w:rPr>
      </w:pPr>
      <w:r w:rsidRPr="002462E6">
        <w:rPr>
          <w:rFonts w:ascii="Tahoma" w:eastAsia="Times New Roman" w:hAnsi="Tahoma" w:cs="Tahoma"/>
          <w:b/>
          <w:sz w:val="20"/>
        </w:rPr>
        <w:t>Source</w:t>
      </w:r>
      <w:r w:rsidRPr="002462E6">
        <w:rPr>
          <w:rFonts w:ascii="Times New Roman" w:eastAsia="Times New Roman" w:hAnsi="Times New Roman" w:cs="Times New Roman"/>
          <w:b/>
          <w:i/>
          <w:iCs/>
          <w:spacing w:val="-2"/>
          <w:sz w:val="20"/>
        </w:rPr>
        <w:t xml:space="preserve"> </w:t>
      </w:r>
      <w:r w:rsidRPr="002462E6">
        <w:rPr>
          <w:rFonts w:ascii="Times New Roman" w:eastAsia="Times New Roman" w:hAnsi="Times New Roman" w:cs="Times New Roman"/>
          <w:b/>
          <w:i/>
          <w:iCs/>
          <w:sz w:val="20"/>
        </w:rPr>
        <w:t>:</w:t>
      </w:r>
      <w:r w:rsidRPr="002462E6">
        <w:rPr>
          <w:rFonts w:ascii="Times New Roman" w:eastAsia="Times New Roman" w:hAnsi="Times New Roman" w:cs="Times New Roman"/>
          <w:b/>
          <w:spacing w:val="-6"/>
          <w:sz w:val="20"/>
        </w:rPr>
        <w:t xml:space="preserve"> </w:t>
      </w:r>
      <w:r w:rsidRPr="002462E6">
        <w:rPr>
          <w:rFonts w:ascii="Times New Roman" w:eastAsia="Times New Roman" w:hAnsi="Times New Roman" w:cs="Times New Roman"/>
          <w:sz w:val="20"/>
        </w:rPr>
        <w:t>ALENFI,</w:t>
      </w:r>
      <w:r w:rsidRPr="002462E6">
        <w:rPr>
          <w:rFonts w:ascii="Times New Roman" w:eastAsia="Times New Roman" w:hAnsi="Times New Roman" w:cs="Times New Roman"/>
          <w:spacing w:val="-3"/>
          <w:sz w:val="20"/>
        </w:rPr>
        <w:t xml:space="preserve"> </w:t>
      </w:r>
      <w:r w:rsidRPr="002462E6">
        <w:rPr>
          <w:rFonts w:ascii="Times New Roman" w:eastAsia="Times New Roman" w:hAnsi="Times New Roman" w:cs="Times New Roman"/>
          <w:sz w:val="20"/>
        </w:rPr>
        <w:t>2004</w:t>
      </w:r>
    </w:p>
    <w:p w:rsidR="000A7532" w:rsidRPr="002462E6" w:rsidRDefault="000A7532" w:rsidP="000A7532">
      <w:pPr>
        <w:widowControl w:val="0"/>
        <w:autoSpaceDE w:val="0"/>
        <w:autoSpaceDN w:val="0"/>
        <w:spacing w:after="0" w:line="360" w:lineRule="auto"/>
        <w:ind w:right="4"/>
        <w:jc w:val="both"/>
        <w:rPr>
          <w:rFonts w:ascii="Tahoma" w:eastAsia="Times New Roman" w:hAnsi="Tahoma" w:cs="Tahoma"/>
          <w:sz w:val="24"/>
          <w:szCs w:val="24"/>
        </w:rPr>
      </w:pPr>
    </w:p>
    <w:p w:rsidR="000A7532" w:rsidRPr="002462E6" w:rsidRDefault="000A7532" w:rsidP="000A7532">
      <w:pPr>
        <w:widowControl w:val="0"/>
        <w:autoSpaceDE w:val="0"/>
        <w:autoSpaceDN w:val="0"/>
        <w:spacing w:after="0" w:line="360" w:lineRule="auto"/>
        <w:ind w:right="4"/>
        <w:jc w:val="both"/>
        <w:rPr>
          <w:rFonts w:ascii="Tahoma" w:eastAsia="Times New Roman" w:hAnsi="Tahoma" w:cs="Tahoma"/>
          <w:sz w:val="24"/>
          <w:szCs w:val="24"/>
        </w:rPr>
      </w:pPr>
      <w:r w:rsidRPr="002462E6">
        <w:rPr>
          <w:rFonts w:ascii="Tahoma" w:eastAsia="Times New Roman" w:hAnsi="Tahoma" w:cs="Tahoma"/>
          <w:sz w:val="24"/>
          <w:szCs w:val="24"/>
        </w:rPr>
        <w:t>Les données du tableau ci-dessus, présentent la situation des effectifs du personnel technique et administratif du département des Eaux et Forêts pour l'année 2001. Il indique que le personnel technique représente 47,4% de l'effectif global, tandis que le personnel administratif en constitue 52,6%. L'effectif global s'élève à 5 215 personnes, réparties entre les services centraux et les services extérieurs.</w:t>
      </w:r>
    </w:p>
    <w:p w:rsidR="000A7532" w:rsidRPr="002462E6" w:rsidRDefault="000A7532" w:rsidP="000A7532">
      <w:pPr>
        <w:widowControl w:val="0"/>
        <w:autoSpaceDE w:val="0"/>
        <w:autoSpaceDN w:val="0"/>
        <w:spacing w:after="0" w:line="360" w:lineRule="auto"/>
        <w:ind w:right="4"/>
        <w:jc w:val="both"/>
        <w:rPr>
          <w:rFonts w:ascii="Tahoma" w:eastAsia="Times New Roman" w:hAnsi="Tahoma" w:cs="Tahoma"/>
          <w:sz w:val="24"/>
          <w:szCs w:val="24"/>
        </w:rPr>
      </w:pPr>
      <w:r w:rsidRPr="002462E6">
        <w:rPr>
          <w:rFonts w:ascii="Tahoma" w:eastAsia="Times New Roman" w:hAnsi="Tahoma" w:cs="Tahoma"/>
          <w:sz w:val="24"/>
          <w:szCs w:val="24"/>
        </w:rPr>
        <w:t>Cette situation semble déséquilibrée, d'autant plus qu'il s'agit d'un département à vocation technique, où le taux d'ingénieurs ne s'élève qu'à 7 % de l'effectif total.</w:t>
      </w:r>
    </w:p>
    <w:p w:rsidR="000A7532" w:rsidRPr="002462E6" w:rsidRDefault="000A7532" w:rsidP="000A7532">
      <w:pPr>
        <w:widowControl w:val="0"/>
        <w:autoSpaceDE w:val="0"/>
        <w:autoSpaceDN w:val="0"/>
        <w:spacing w:before="160" w:after="0" w:line="360" w:lineRule="auto"/>
        <w:ind w:right="4"/>
        <w:jc w:val="both"/>
        <w:rPr>
          <w:rFonts w:ascii="Tahoma" w:eastAsia="Times New Roman" w:hAnsi="Tahoma" w:cs="Tahoma"/>
          <w:sz w:val="24"/>
          <w:szCs w:val="24"/>
        </w:rPr>
      </w:pPr>
      <w:r w:rsidRPr="002462E6">
        <w:rPr>
          <w:rFonts w:ascii="Tahoma" w:eastAsia="Times New Roman" w:hAnsi="Tahoma" w:cs="Tahoma"/>
          <w:sz w:val="24"/>
          <w:szCs w:val="24"/>
        </w:rPr>
        <w:t xml:space="preserve">Dans ce contexte, en considération les 5 759 000 hectares de forêts marocaines, qui englobent les forêts naturelles, les forêts artificielles et les maquis d'essences </w:t>
      </w:r>
      <w:r w:rsidRPr="002462E6">
        <w:rPr>
          <w:rFonts w:ascii="Tahoma" w:eastAsia="Times New Roman" w:hAnsi="Tahoma" w:cs="Tahoma"/>
          <w:sz w:val="24"/>
          <w:szCs w:val="24"/>
        </w:rPr>
        <w:lastRenderedPageBreak/>
        <w:t>secondaires, le taux d'encadrement de la gestion technique des forêts marocaines se présente alors de la manière suivante :</w:t>
      </w:r>
    </w:p>
    <w:p w:rsidR="000A7532" w:rsidRPr="002462E6" w:rsidRDefault="000A7532" w:rsidP="00BA6530">
      <w:pPr>
        <w:widowControl w:val="0"/>
        <w:numPr>
          <w:ilvl w:val="0"/>
          <w:numId w:val="3"/>
        </w:numPr>
        <w:tabs>
          <w:tab w:val="left" w:pos="2192"/>
          <w:tab w:val="left" w:pos="2193"/>
        </w:tabs>
        <w:autoSpaceDE w:val="0"/>
        <w:autoSpaceDN w:val="0"/>
        <w:spacing w:after="0" w:line="360" w:lineRule="auto"/>
        <w:ind w:right="4" w:hanging="361"/>
        <w:jc w:val="both"/>
        <w:rPr>
          <w:rFonts w:ascii="Tahoma" w:eastAsia="Times New Roman" w:hAnsi="Tahoma" w:cs="Tahoma"/>
          <w:sz w:val="24"/>
          <w:szCs w:val="24"/>
        </w:rPr>
      </w:pPr>
      <w:r w:rsidRPr="002462E6">
        <w:rPr>
          <w:rFonts w:ascii="Tahoma" w:eastAsia="Times New Roman" w:hAnsi="Tahoma" w:cs="Tahoma"/>
          <w:sz w:val="24"/>
          <w:szCs w:val="24"/>
        </w:rPr>
        <w:t>1 Ingénieur des Eaux et Forêts pour 15200 ha ;</w:t>
      </w:r>
    </w:p>
    <w:p w:rsidR="000A7532" w:rsidRPr="002462E6" w:rsidRDefault="000A7532" w:rsidP="00BA6530">
      <w:pPr>
        <w:widowControl w:val="0"/>
        <w:numPr>
          <w:ilvl w:val="0"/>
          <w:numId w:val="3"/>
        </w:numPr>
        <w:tabs>
          <w:tab w:val="left" w:pos="2192"/>
          <w:tab w:val="left" w:pos="2193"/>
        </w:tabs>
        <w:autoSpaceDE w:val="0"/>
        <w:autoSpaceDN w:val="0"/>
        <w:spacing w:after="0" w:line="360" w:lineRule="auto"/>
        <w:ind w:right="4" w:hanging="361"/>
        <w:jc w:val="both"/>
        <w:rPr>
          <w:rFonts w:ascii="Tahoma" w:eastAsia="Times New Roman" w:hAnsi="Tahoma" w:cs="Tahoma"/>
          <w:sz w:val="24"/>
          <w:szCs w:val="24"/>
        </w:rPr>
      </w:pPr>
      <w:r w:rsidRPr="002462E6">
        <w:rPr>
          <w:rFonts w:ascii="Tahoma" w:eastAsia="Times New Roman" w:hAnsi="Tahoma" w:cs="Tahoma"/>
          <w:sz w:val="24"/>
          <w:szCs w:val="24"/>
        </w:rPr>
        <w:t>1 Préposé des Eaux et Forêts pour 4700 ha ;</w:t>
      </w:r>
    </w:p>
    <w:p w:rsidR="000A7532" w:rsidRPr="002462E6" w:rsidRDefault="000A7532" w:rsidP="00BA6530">
      <w:pPr>
        <w:widowControl w:val="0"/>
        <w:numPr>
          <w:ilvl w:val="0"/>
          <w:numId w:val="3"/>
        </w:numPr>
        <w:tabs>
          <w:tab w:val="left" w:pos="2192"/>
          <w:tab w:val="left" w:pos="2193"/>
        </w:tabs>
        <w:autoSpaceDE w:val="0"/>
        <w:autoSpaceDN w:val="0"/>
        <w:spacing w:after="0" w:line="360" w:lineRule="auto"/>
        <w:ind w:right="4" w:hanging="361"/>
        <w:jc w:val="both"/>
        <w:rPr>
          <w:rFonts w:ascii="Tahoma" w:eastAsia="Times New Roman" w:hAnsi="Tahoma" w:cs="Tahoma"/>
          <w:sz w:val="24"/>
          <w:szCs w:val="24"/>
        </w:rPr>
      </w:pPr>
      <w:r w:rsidRPr="002462E6">
        <w:rPr>
          <w:rFonts w:ascii="Tahoma" w:eastAsia="Times New Roman" w:hAnsi="Tahoma" w:cs="Tahoma"/>
          <w:sz w:val="24"/>
          <w:szCs w:val="24"/>
        </w:rPr>
        <w:t>1 Cavalier des Eaux et Forêts pour 6 700 ha.</w:t>
      </w:r>
    </w:p>
    <w:p w:rsidR="000A7532" w:rsidRPr="002462E6" w:rsidRDefault="000A7532" w:rsidP="000A7532">
      <w:pPr>
        <w:widowControl w:val="0"/>
        <w:autoSpaceDE w:val="0"/>
        <w:autoSpaceDN w:val="0"/>
        <w:spacing w:before="180" w:after="0" w:line="360" w:lineRule="auto"/>
        <w:ind w:right="4"/>
        <w:jc w:val="both"/>
        <w:rPr>
          <w:rFonts w:ascii="Tahoma" w:eastAsia="Times New Roman" w:hAnsi="Tahoma" w:cs="Tahoma"/>
          <w:sz w:val="24"/>
          <w:szCs w:val="24"/>
        </w:rPr>
      </w:pPr>
      <w:r w:rsidRPr="002462E6">
        <w:rPr>
          <w:rFonts w:ascii="Tahoma" w:eastAsia="Times New Roman" w:hAnsi="Tahoma" w:cs="Tahoma"/>
          <w:sz w:val="24"/>
          <w:szCs w:val="24"/>
        </w:rPr>
        <w:t>Ces ratios paraissent faibles, surtout en ce qui concerne le nombre d'ingénieurs. En effet, une gestion technique efficace et un encadrement adéquat des forêts devraient viser un ratio d'un ingénieur des Eaux et Forêts pour chaque 5 000 hectare de forêt, une norme que l'on retrouve en Suisse, en Allemagne et dans d'autres pays européens. Pour atteindre cet objectif d'encadrement intensif des forêts marocaines, il serait nécessaire de disposer d'un total de 1 152 ingénieurs des Eaux et Forêts, ce qui représente plus de trois fois l'effectif en question</w:t>
      </w:r>
      <w:r w:rsidRPr="002462E6">
        <w:rPr>
          <w:rFonts w:ascii="Tahoma" w:eastAsia="Times New Roman" w:hAnsi="Tahoma" w:cs="Tahoma"/>
          <w:sz w:val="24"/>
          <w:szCs w:val="24"/>
          <w:vertAlign w:val="superscript"/>
        </w:rPr>
        <w:footnoteReference w:id="216"/>
      </w:r>
      <w:r w:rsidRPr="002462E6">
        <w:rPr>
          <w:rFonts w:ascii="Tahoma" w:eastAsia="Times New Roman" w:hAnsi="Tahoma" w:cs="Tahoma"/>
          <w:sz w:val="24"/>
          <w:szCs w:val="24"/>
        </w:rPr>
        <w:t>.</w:t>
      </w:r>
    </w:p>
    <w:p w:rsidR="000A7532" w:rsidRPr="002462E6" w:rsidRDefault="000A7532" w:rsidP="000A7532">
      <w:pPr>
        <w:widowControl w:val="0"/>
        <w:autoSpaceDE w:val="0"/>
        <w:autoSpaceDN w:val="0"/>
        <w:spacing w:before="160" w:after="0" w:line="360" w:lineRule="auto"/>
        <w:ind w:right="4"/>
        <w:jc w:val="both"/>
        <w:rPr>
          <w:rFonts w:ascii="Tahoma" w:eastAsia="Times New Roman" w:hAnsi="Tahoma" w:cs="Tahoma"/>
          <w:sz w:val="24"/>
          <w:szCs w:val="24"/>
        </w:rPr>
      </w:pPr>
      <w:r w:rsidRPr="002462E6">
        <w:rPr>
          <w:rFonts w:ascii="Tahoma" w:eastAsia="Times New Roman" w:hAnsi="Tahoma" w:cs="Tahoma"/>
          <w:sz w:val="24"/>
          <w:szCs w:val="24"/>
        </w:rPr>
        <w:t xml:space="preserve">Avant d'atteindre un taux de gestion technique intensif, il est d'abord nécessaire de viser un taux de gestion/encadrement technique moyennement intensif, établi à un ingénieur pour chaque 10 000 hectare de forêt. Que ce soit pour une gestion technique rationnelle intensive ou moyennement intensive, le nombre d'ingénieurs requis doit également prendre en compte une affectation objective et optimale aux différents postes de responsabilité. </w:t>
      </w:r>
    </w:p>
    <w:p w:rsidR="000A7532" w:rsidRPr="002462E6" w:rsidRDefault="000A7532" w:rsidP="000A7532">
      <w:pPr>
        <w:widowControl w:val="0"/>
        <w:autoSpaceDE w:val="0"/>
        <w:autoSpaceDN w:val="0"/>
        <w:spacing w:before="160" w:after="0" w:line="360" w:lineRule="auto"/>
        <w:ind w:right="4"/>
        <w:jc w:val="both"/>
        <w:rPr>
          <w:rFonts w:ascii="Tahoma" w:eastAsia="Times New Roman" w:hAnsi="Tahoma" w:cs="Tahoma"/>
          <w:sz w:val="24"/>
          <w:szCs w:val="24"/>
        </w:rPr>
      </w:pPr>
      <w:r w:rsidRPr="002462E6">
        <w:rPr>
          <w:rFonts w:ascii="Tahoma" w:eastAsia="Times New Roman" w:hAnsi="Tahoma" w:cs="Tahoma"/>
          <w:sz w:val="24"/>
          <w:szCs w:val="24"/>
        </w:rPr>
        <w:t xml:space="preserve">Jusqu’à l’année 2023, le département des Eaux et forêts a connu une réduction en termes de recrutement et d’encadrement de gardes forestiers, ce qui compromet la gestion et la prévention des risques de dégradation des espaces forestiers marocains. Cette situation semble gravement affecter la surveillance et l'entretien des forêts et démontre l’incapacité actuelle des services forestiers à répondre aux défis environnementaux et socio-économiques des forêts. </w:t>
      </w:r>
    </w:p>
    <w:p w:rsidR="000A7532" w:rsidRPr="002462E6" w:rsidRDefault="000A7532" w:rsidP="000A7532">
      <w:pPr>
        <w:widowControl w:val="0"/>
        <w:autoSpaceDE w:val="0"/>
        <w:autoSpaceDN w:val="0"/>
        <w:spacing w:before="160" w:after="0" w:line="360" w:lineRule="auto"/>
        <w:ind w:right="4"/>
        <w:jc w:val="both"/>
        <w:rPr>
          <w:rFonts w:ascii="Tahoma" w:eastAsia="Times New Roman" w:hAnsi="Tahoma" w:cs="Tahoma"/>
          <w:sz w:val="24"/>
          <w:szCs w:val="24"/>
        </w:rPr>
      </w:pPr>
      <w:r w:rsidRPr="002462E6">
        <w:rPr>
          <w:rFonts w:ascii="Tahoma" w:eastAsia="Times New Roman" w:hAnsi="Tahoma" w:cs="Tahoma"/>
          <w:sz w:val="24"/>
          <w:szCs w:val="24"/>
        </w:rPr>
        <w:t xml:space="preserve">Il est opportun d’expliquer à ce niveau que cette diminution en termes des cadres forestiers est due à la tendance de désengagement de ce département suite à la récente réorganisation institutionnelle et son abstention à compenser les départs enregistrés des </w:t>
      </w:r>
      <w:r w:rsidRPr="002462E6">
        <w:rPr>
          <w:rFonts w:ascii="Tahoma" w:eastAsia="Times New Roman" w:hAnsi="Tahoma" w:cs="Tahoma"/>
          <w:sz w:val="24"/>
          <w:szCs w:val="24"/>
        </w:rPr>
        <w:lastRenderedPageBreak/>
        <w:t>cadres techniques. En conséquence, la protection des forêts est compromise, laissant place à une exploitation illégale et à des dégradations drastiques. L'absence de personnel suffisant pour surveiller les forêts contribue également à la montée des conflits entre agents forestiers et usagers.</w:t>
      </w:r>
    </w:p>
    <w:p w:rsidR="000A7532" w:rsidRPr="002462E6" w:rsidRDefault="000A7532" w:rsidP="000A7532">
      <w:pPr>
        <w:widowControl w:val="0"/>
        <w:autoSpaceDE w:val="0"/>
        <w:autoSpaceDN w:val="0"/>
        <w:spacing w:before="160" w:after="0" w:line="360" w:lineRule="auto"/>
        <w:ind w:right="4"/>
        <w:jc w:val="both"/>
        <w:rPr>
          <w:rFonts w:ascii="Tahoma" w:eastAsia="Times New Roman" w:hAnsi="Tahoma" w:cs="Tahoma"/>
          <w:sz w:val="24"/>
          <w:szCs w:val="24"/>
        </w:rPr>
      </w:pPr>
      <w:r w:rsidRPr="002462E6">
        <w:rPr>
          <w:rFonts w:ascii="Tahoma" w:eastAsia="Times New Roman" w:hAnsi="Tahoma" w:cs="Tahoma"/>
          <w:sz w:val="24"/>
          <w:szCs w:val="24"/>
        </w:rPr>
        <w:t>Selon les statistiques de l’ANEF de 2024</w:t>
      </w:r>
      <w:r w:rsidRPr="002462E6">
        <w:rPr>
          <w:rFonts w:ascii="Tahoma" w:eastAsia="Times New Roman" w:hAnsi="Tahoma" w:cs="Tahoma"/>
          <w:sz w:val="24"/>
          <w:szCs w:val="24"/>
          <w:vertAlign w:val="superscript"/>
        </w:rPr>
        <w:footnoteReference w:id="217"/>
      </w:r>
      <w:r w:rsidRPr="002462E6">
        <w:rPr>
          <w:rFonts w:ascii="Tahoma" w:eastAsia="Times New Roman" w:hAnsi="Tahoma" w:cs="Tahoma"/>
          <w:sz w:val="24"/>
          <w:szCs w:val="24"/>
        </w:rPr>
        <w:t xml:space="preserve">, plus de 601 collaborateurs (cadres administratifs et techniques) sont impliqués dans la gestion du domaine forestier de la région de Rabat-Salé-Kénitra, un nombre qui semble insuffisant par rapport à la superficie à gérer et aux besoins et spécificités de cette région. </w:t>
      </w:r>
    </w:p>
    <w:p w:rsidR="000A7532" w:rsidRPr="002462E6" w:rsidRDefault="000A7532" w:rsidP="000A7532">
      <w:pPr>
        <w:widowControl w:val="0"/>
        <w:autoSpaceDE w:val="0"/>
        <w:autoSpaceDN w:val="0"/>
        <w:spacing w:before="160" w:after="0" w:line="360" w:lineRule="auto"/>
        <w:ind w:right="4"/>
        <w:jc w:val="both"/>
        <w:rPr>
          <w:rFonts w:ascii="Tahoma" w:eastAsia="Times New Roman" w:hAnsi="Tahoma" w:cs="Tahoma"/>
          <w:sz w:val="24"/>
          <w:szCs w:val="24"/>
        </w:rPr>
      </w:pPr>
      <w:r w:rsidRPr="002462E6">
        <w:rPr>
          <w:rFonts w:ascii="Tahoma" w:eastAsia="Times New Roman" w:hAnsi="Tahoma" w:cs="Tahoma"/>
          <w:sz w:val="24"/>
          <w:szCs w:val="24"/>
        </w:rPr>
        <w:t>La nouvelle stratégie ambitionne l’amélioration de la gestion forestière par une transformation des ressources humaines comme priorité stratégique et la distinction des métiers des agents forestiers, en se basant sur trois missions centrales : technique, de surveillance et d’animation. Cette distinction des métiers censée coïncider avec la nouvelle réorganisation institutionnelle en vue de renforcer la gouvernance de ce secteur. Néanmoins, ce changement espéré devrait être acheminé par des réponses proactives et ponctuelles pour pallier aux dysfonctionnements gestionnaires accumulés.</w:t>
      </w:r>
    </w:p>
    <w:p w:rsidR="000A7532" w:rsidRPr="002462E6" w:rsidRDefault="000A7532" w:rsidP="000A7532">
      <w:pPr>
        <w:widowControl w:val="0"/>
        <w:autoSpaceDE w:val="0"/>
        <w:autoSpaceDN w:val="0"/>
        <w:spacing w:before="160" w:after="0" w:line="360" w:lineRule="auto"/>
        <w:ind w:right="4"/>
        <w:jc w:val="both"/>
        <w:rPr>
          <w:rFonts w:ascii="Tahoma" w:eastAsia="Times New Roman" w:hAnsi="Tahoma" w:cs="Tahoma"/>
          <w:sz w:val="24"/>
          <w:szCs w:val="24"/>
        </w:rPr>
      </w:pPr>
      <w:r w:rsidRPr="002462E6">
        <w:rPr>
          <w:rFonts w:ascii="Tahoma" w:eastAsia="Times New Roman" w:hAnsi="Tahoma" w:cs="Tahoma"/>
          <w:sz w:val="24"/>
          <w:szCs w:val="24"/>
        </w:rPr>
        <w:t>Généralement, la gestion inadéquate des ressources humaines techniques peut mener à une baisse de la qualité et du rendement du service public. Les administrations publiques, souvent perçues comme rigides et archaïques, doivent répondre à des attentes croissantes de la part des citoyens pour des services adaptés et efficaces. Un manque de personnel qualifié peut entraîner des retards dans la prestation des services et une incapacité à innover, ce qui nuit à l'image et à la légitimité du secteur public.</w:t>
      </w:r>
    </w:p>
    <w:p w:rsidR="000A7532" w:rsidRPr="002462E6" w:rsidRDefault="000A7532" w:rsidP="000A7532">
      <w:pPr>
        <w:widowControl w:val="0"/>
        <w:autoSpaceDE w:val="0"/>
        <w:autoSpaceDN w:val="0"/>
        <w:spacing w:before="160" w:after="0" w:line="360" w:lineRule="auto"/>
        <w:ind w:right="4"/>
        <w:jc w:val="both"/>
        <w:rPr>
          <w:rFonts w:ascii="Tahoma" w:eastAsia="Times New Roman" w:hAnsi="Tahoma" w:cs="Tahoma"/>
          <w:sz w:val="24"/>
          <w:szCs w:val="24"/>
        </w:rPr>
      </w:pPr>
      <w:r w:rsidRPr="002462E6">
        <w:rPr>
          <w:rFonts w:ascii="Tahoma" w:eastAsia="Times New Roman" w:hAnsi="Tahoma" w:cs="Tahoma"/>
          <w:sz w:val="24"/>
          <w:szCs w:val="24"/>
        </w:rPr>
        <w:t xml:space="preserve">Toutefois, en l’absence de ressources humaines techniques suffisantes l'efficacité et la qualité des services offerts par les administrations enregistrent des défaillances organisationnelles significatives. Cette relation de cause à effet impacte l'efficacité opérationnelle et même la performance économique du service public. Le sous-effectif en termes de capital humain techniquement qualifié explique en quelque sorte l’épuisement professionnel voire même l’absentéisme des agents forestiers qui peut être la résultante d’une pression accrue, d’où la faible performance organisationnelle de la </w:t>
      </w:r>
      <w:r w:rsidRPr="002462E6">
        <w:rPr>
          <w:rFonts w:ascii="Tahoma" w:eastAsia="Times New Roman" w:hAnsi="Tahoma" w:cs="Tahoma"/>
          <w:sz w:val="24"/>
          <w:szCs w:val="24"/>
        </w:rPr>
        <w:lastRenderedPageBreak/>
        <w:t xml:space="preserve">gestion forestière. </w:t>
      </w:r>
    </w:p>
    <w:p w:rsidR="000A7532" w:rsidRPr="002462E6" w:rsidRDefault="000A7532" w:rsidP="000A7532">
      <w:pPr>
        <w:widowControl w:val="0"/>
        <w:autoSpaceDE w:val="0"/>
        <w:autoSpaceDN w:val="0"/>
        <w:spacing w:before="160" w:after="0" w:line="360" w:lineRule="auto"/>
        <w:ind w:right="4"/>
        <w:jc w:val="both"/>
        <w:rPr>
          <w:rFonts w:ascii="Tahoma" w:eastAsia="Times New Roman" w:hAnsi="Tahoma" w:cs="Tahoma"/>
          <w:sz w:val="24"/>
          <w:szCs w:val="24"/>
        </w:rPr>
      </w:pPr>
      <w:r w:rsidRPr="002462E6">
        <w:rPr>
          <w:rFonts w:ascii="Tahoma" w:eastAsia="Times New Roman" w:hAnsi="Tahoma" w:cs="Tahoma"/>
          <w:sz w:val="24"/>
          <w:szCs w:val="24"/>
        </w:rPr>
        <w:t xml:space="preserve">Les administrations publiques doivent souvent faire face à des changements rapides dans les besoins et les attentes des citoyens. L'insuffisance en ressources humaines techniques limite leur capacité à s'adapter efficacement à ces évolutions. </w:t>
      </w:r>
    </w:p>
    <w:p w:rsidR="000A7532" w:rsidRPr="002462E6" w:rsidRDefault="000A7532" w:rsidP="000A7532">
      <w:pPr>
        <w:widowControl w:val="0"/>
        <w:autoSpaceDE w:val="0"/>
        <w:autoSpaceDN w:val="0"/>
        <w:spacing w:before="160" w:after="0" w:line="360" w:lineRule="auto"/>
        <w:ind w:right="4"/>
        <w:jc w:val="both"/>
        <w:rPr>
          <w:rFonts w:ascii="Tahoma" w:eastAsia="Times New Roman" w:hAnsi="Tahoma" w:cs="Tahoma"/>
          <w:sz w:val="24"/>
          <w:szCs w:val="24"/>
        </w:rPr>
      </w:pPr>
      <w:r w:rsidRPr="002462E6">
        <w:rPr>
          <w:rFonts w:ascii="Tahoma" w:eastAsia="Times New Roman" w:hAnsi="Tahoma" w:cs="Tahoma"/>
          <w:sz w:val="24"/>
          <w:szCs w:val="24"/>
        </w:rPr>
        <w:t>Il parait important de s’interroger sur le rôle joué par l'ENFI pour relever les défis. D’où l’intérêt d’analyser son impact en vue de comprendre les fondements des actions mises en place et comment elles ont pu façonner le paysage actuel.</w:t>
      </w:r>
    </w:p>
    <w:p w:rsidR="000A7532" w:rsidRPr="002462E6" w:rsidRDefault="000A7532" w:rsidP="000A7532">
      <w:pPr>
        <w:widowControl w:val="0"/>
        <w:autoSpaceDE w:val="0"/>
        <w:autoSpaceDN w:val="0"/>
        <w:spacing w:after="0" w:line="240" w:lineRule="auto"/>
        <w:jc w:val="center"/>
        <w:rPr>
          <w:rFonts w:ascii="Times New Roman" w:eastAsia="Times New Roman" w:hAnsi="Times New Roman" w:cs="Times New Roman"/>
          <w:b/>
          <w:bCs/>
          <w:i/>
          <w:iCs/>
        </w:rPr>
      </w:pPr>
    </w:p>
    <w:p w:rsidR="000A7532" w:rsidRPr="002462E6" w:rsidRDefault="000A7532" w:rsidP="000A7532">
      <w:pPr>
        <w:widowControl w:val="0"/>
        <w:autoSpaceDE w:val="0"/>
        <w:autoSpaceDN w:val="0"/>
        <w:spacing w:after="0" w:line="240" w:lineRule="auto"/>
        <w:rPr>
          <w:rFonts w:ascii="Times New Roman" w:eastAsia="Times New Roman" w:hAnsi="Times New Roman" w:cs="Times New Roman"/>
        </w:rPr>
      </w:pPr>
    </w:p>
    <w:p w:rsidR="000A7532" w:rsidRPr="002462E6" w:rsidRDefault="000A7532" w:rsidP="00BF1F48">
      <w:pPr>
        <w:pStyle w:val="Titre5"/>
        <w:rPr>
          <w:sz w:val="28"/>
        </w:rPr>
      </w:pPr>
      <w:bookmarkStart w:id="178" w:name="_bookmark65"/>
      <w:bookmarkStart w:id="179" w:name="_Toc201655473"/>
      <w:bookmarkStart w:id="180" w:name="_Toc203643027"/>
      <w:bookmarkEnd w:id="178"/>
      <w:r w:rsidRPr="002462E6">
        <w:t>Création de l'ENFI : vers une professionnalisation du secteur forestier</w:t>
      </w:r>
      <w:bookmarkEnd w:id="179"/>
      <w:bookmarkEnd w:id="180"/>
      <w:r w:rsidRPr="002462E6">
        <w:t xml:space="preserve"> </w:t>
      </w:r>
    </w:p>
    <w:p w:rsidR="000A7532" w:rsidRPr="002462E6" w:rsidRDefault="000A7532" w:rsidP="000A7532">
      <w:pPr>
        <w:widowControl w:val="0"/>
        <w:autoSpaceDE w:val="0"/>
        <w:autoSpaceDN w:val="0"/>
        <w:spacing w:after="0" w:line="240" w:lineRule="auto"/>
        <w:ind w:left="995"/>
        <w:outlineLvl w:val="4"/>
        <w:rPr>
          <w:rFonts w:ascii="Times New Roman" w:eastAsia="Times New Roman" w:hAnsi="Times New Roman" w:cs="Times New Roman"/>
          <w:b/>
          <w:bCs/>
          <w:i/>
          <w:iCs/>
          <w:sz w:val="24"/>
          <w:szCs w:val="24"/>
        </w:rPr>
      </w:pPr>
    </w:p>
    <w:p w:rsidR="000A7532" w:rsidRPr="002462E6" w:rsidRDefault="000A7532" w:rsidP="000A7532">
      <w:pPr>
        <w:widowControl w:val="0"/>
        <w:autoSpaceDE w:val="0"/>
        <w:autoSpaceDN w:val="0"/>
        <w:spacing w:after="0" w:line="360" w:lineRule="auto"/>
        <w:ind w:right="4"/>
        <w:jc w:val="both"/>
        <w:rPr>
          <w:rFonts w:ascii="Tahoma" w:eastAsia="Times New Roman" w:hAnsi="Tahoma" w:cs="Tahoma"/>
          <w:sz w:val="24"/>
          <w:szCs w:val="24"/>
        </w:rPr>
      </w:pPr>
      <w:r w:rsidRPr="002462E6">
        <w:rPr>
          <w:rFonts w:ascii="Tahoma" w:eastAsia="Times New Roman" w:hAnsi="Tahoma" w:cs="Tahoma"/>
          <w:sz w:val="24"/>
          <w:szCs w:val="24"/>
        </w:rPr>
        <w:t>En 1968, le gouvernement marocain a formulé une demande pour la création du projet « Éducation et formation forestière », qui a été approuvée en octobre de la même année par le Programme des Nations Unies pour le développement (PNUD). À cette époque, l'enseignement forestier engendrait des coûts considérables, nécessitant la mobilisation d'un certain nombre de professeurs spécialisés, ainsi que d'un matériel adapté pour les travaux pratiques et de moyens logistiques pour les tournées sur le terrain. Dans ce cadre, il a été décidé par le programme des Nations Unies de créer une seule école pour les trois pays du Maghreb, à savoir le Maroc, l'Algérie et la Tunisie, en raison de la similitude de leurs conditions écologiques et forestières. L'Organisation des Nations-Unies pour l'Alimentation et l'Agriculture (FAO) fut chargée de l'exécution du projet MOR/68/519 « Education et formation forestière » dont la contribution nationale était assurée par le ministère marocain de l'Agriculture par le biais de l'Administration des Eaux et Forêts et de la Conservation des Sols</w:t>
      </w:r>
      <w:r w:rsidRPr="002462E6">
        <w:rPr>
          <w:rFonts w:ascii="Tahoma" w:eastAsia="Times New Roman" w:hAnsi="Tahoma" w:cs="Tahoma"/>
          <w:sz w:val="24"/>
          <w:szCs w:val="24"/>
          <w:vertAlign w:val="superscript"/>
        </w:rPr>
        <w:footnoteReference w:id="218"/>
      </w:r>
      <w:r w:rsidRPr="002462E6">
        <w:rPr>
          <w:rFonts w:ascii="Tahoma" w:eastAsia="Times New Roman" w:hAnsi="Tahoma" w:cs="Tahoma"/>
          <w:sz w:val="24"/>
          <w:szCs w:val="24"/>
        </w:rPr>
        <w:t>.</w:t>
      </w:r>
    </w:p>
    <w:p w:rsidR="000A7532" w:rsidRPr="002462E6" w:rsidRDefault="000A7532" w:rsidP="000A7532">
      <w:pPr>
        <w:widowControl w:val="0"/>
        <w:autoSpaceDE w:val="0"/>
        <w:autoSpaceDN w:val="0"/>
        <w:spacing w:after="0" w:line="360" w:lineRule="auto"/>
        <w:ind w:right="4"/>
        <w:jc w:val="both"/>
        <w:rPr>
          <w:rFonts w:ascii="Tahoma" w:eastAsia="Times New Roman" w:hAnsi="Tahoma" w:cs="Tahoma"/>
          <w:sz w:val="24"/>
          <w:szCs w:val="24"/>
        </w:rPr>
      </w:pPr>
      <w:r w:rsidRPr="002462E6">
        <w:rPr>
          <w:rFonts w:ascii="Tahoma" w:eastAsia="Times New Roman" w:hAnsi="Tahoma" w:cs="Tahoma"/>
          <w:sz w:val="24"/>
          <w:szCs w:val="24"/>
        </w:rPr>
        <w:t xml:space="preserve">Parmi les principaux objectifs de ce projet figurait le développement d'un nouvel enseignement de niveau « Ingénieur d'application » au profit des étudiants marocains, algériens et tunisiens, visant à offrir une formation typiquement maghrébine adaptée aux spécificités de ces pays. Au début, la durée du projet était prévue jusqu'en août 1973. </w:t>
      </w:r>
      <w:r w:rsidRPr="002462E6">
        <w:rPr>
          <w:rFonts w:ascii="Tahoma" w:eastAsia="Times New Roman" w:hAnsi="Tahoma" w:cs="Tahoma"/>
          <w:sz w:val="24"/>
          <w:szCs w:val="24"/>
        </w:rPr>
        <w:lastRenderedPageBreak/>
        <w:t>Toutefois, suite à certaines modifications, cette période a été prolongée jusqu'en août 1977. Ce changement a résulté de l'évolution observée dans l'enseignement et dans la formation des enseignants à l'échelle nationale. Comment</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se</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déroulait</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alors</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la</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formation</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à l'École</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Nationale</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Forestière</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d'Ingénieurs</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de</w:t>
      </w:r>
      <w:r w:rsidRPr="002462E6">
        <w:rPr>
          <w:rFonts w:ascii="Tahoma" w:eastAsia="Times New Roman" w:hAnsi="Tahoma" w:cs="Tahoma"/>
          <w:spacing w:val="-2"/>
          <w:sz w:val="24"/>
          <w:szCs w:val="24"/>
        </w:rPr>
        <w:t xml:space="preserve"> </w:t>
      </w:r>
      <w:r w:rsidRPr="002462E6">
        <w:rPr>
          <w:rFonts w:ascii="Tahoma" w:eastAsia="Times New Roman" w:hAnsi="Tahoma" w:cs="Tahoma"/>
          <w:sz w:val="24"/>
          <w:szCs w:val="24"/>
        </w:rPr>
        <w:t>Salé</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w:t>
      </w:r>
    </w:p>
    <w:p w:rsidR="000A7532" w:rsidRPr="002462E6" w:rsidRDefault="000A7532" w:rsidP="000A7532">
      <w:pPr>
        <w:widowControl w:val="0"/>
        <w:autoSpaceDE w:val="0"/>
        <w:autoSpaceDN w:val="0"/>
        <w:spacing w:before="161" w:after="0" w:line="360" w:lineRule="auto"/>
        <w:ind w:right="4"/>
        <w:jc w:val="both"/>
        <w:rPr>
          <w:rFonts w:ascii="Tahoma" w:eastAsia="Times New Roman" w:hAnsi="Tahoma" w:cs="Tahoma"/>
          <w:sz w:val="24"/>
          <w:szCs w:val="24"/>
        </w:rPr>
      </w:pPr>
      <w:r w:rsidRPr="002462E6">
        <w:rPr>
          <w:rFonts w:ascii="Tahoma" w:eastAsia="Times New Roman" w:hAnsi="Tahoma" w:cs="Tahoma"/>
          <w:sz w:val="24"/>
          <w:szCs w:val="24"/>
        </w:rPr>
        <w:t>La formation dispensée à l'École Nationale Forestière d'Ingénieurs de Salé (ENFI) est organisée sous un système d'internat jusqu’à présent. Les étudiants-ingénieurs sont tenus de porter toujours un uniforme pendant les cours ainsi que lors des sorties et des travaux pratiques sur le terrain. L'admission des étudiants à l'ENFI se faisait par le biais d'un concours, organisé à la fin d'une année préparatoire commune à toutes les écoles de l'enseignement supérieur agricole</w:t>
      </w:r>
      <w:r w:rsidRPr="002462E6">
        <w:rPr>
          <w:rFonts w:ascii="Tahoma" w:eastAsia="Times New Roman" w:hAnsi="Tahoma" w:cs="Tahoma"/>
          <w:sz w:val="24"/>
          <w:szCs w:val="24"/>
          <w:vertAlign w:val="superscript"/>
        </w:rPr>
        <w:footnoteReference w:id="219"/>
      </w:r>
      <w:r w:rsidRPr="002462E6">
        <w:rPr>
          <w:rFonts w:ascii="Tahoma" w:eastAsia="Times New Roman" w:hAnsi="Tahoma" w:cs="Tahoma"/>
          <w:sz w:val="24"/>
          <w:szCs w:val="24"/>
        </w:rPr>
        <w:t>. De plus, la philosophie pédagogique de l'école s'inspire en grande partie des méthodes enseignées à l'École forestière de Nancy, en France.</w:t>
      </w:r>
    </w:p>
    <w:p w:rsidR="000A7532" w:rsidRPr="002462E6" w:rsidRDefault="000A7532" w:rsidP="000A7532">
      <w:pPr>
        <w:widowControl w:val="0"/>
        <w:autoSpaceDE w:val="0"/>
        <w:autoSpaceDN w:val="0"/>
        <w:spacing w:before="161" w:after="0" w:line="360" w:lineRule="auto"/>
        <w:ind w:right="4"/>
        <w:jc w:val="both"/>
        <w:rPr>
          <w:rFonts w:ascii="Tahoma" w:eastAsia="Times New Roman" w:hAnsi="Tahoma" w:cs="Tahoma"/>
          <w:sz w:val="24"/>
          <w:szCs w:val="24"/>
        </w:rPr>
      </w:pPr>
      <w:r w:rsidRPr="002462E6">
        <w:rPr>
          <w:rFonts w:ascii="Tahoma" w:eastAsia="Times New Roman" w:hAnsi="Tahoma" w:cs="Tahoma"/>
          <w:sz w:val="24"/>
          <w:szCs w:val="24"/>
        </w:rPr>
        <w:t>En ce qui concerne les matières fondamentales, elles étaient enseignées par le biais des cours magistraux en amphithéâtre, ainsi que des travaux pratiques en salles, en laboratoires ou sur le terrain. Parallèlement à l'enseignement théorique, des tournées prolongées étaient organisées dans diverses régions du pays afin d'enrichir l'apprentissage.</w:t>
      </w:r>
    </w:p>
    <w:p w:rsidR="000A7532" w:rsidRPr="002462E6" w:rsidRDefault="000A7532" w:rsidP="000A7532">
      <w:pPr>
        <w:widowControl w:val="0"/>
        <w:autoSpaceDE w:val="0"/>
        <w:autoSpaceDN w:val="0"/>
        <w:spacing w:before="161" w:after="0" w:line="360" w:lineRule="auto"/>
        <w:ind w:right="4"/>
        <w:jc w:val="both"/>
        <w:rPr>
          <w:rFonts w:ascii="Tahoma" w:eastAsia="Times New Roman" w:hAnsi="Tahoma" w:cs="Tahoma"/>
          <w:sz w:val="24"/>
          <w:szCs w:val="24"/>
        </w:rPr>
      </w:pPr>
      <w:r w:rsidRPr="002462E6">
        <w:rPr>
          <w:rFonts w:ascii="Tahoma" w:eastAsia="Times New Roman" w:hAnsi="Tahoma" w:cs="Tahoma"/>
          <w:sz w:val="24"/>
          <w:szCs w:val="24"/>
        </w:rPr>
        <w:t>Durant la première année, les élèves-ingénieurs complétaient leur formation de base acquise lors de l'année préparatoire avec d'une part, des matières générales telles que les mathématiques, les statistiques, la botanique, la biologie, la physiologie végétale et la géologie. D'autre part, ils abordaient de nouvelles matières, notamment :</w:t>
      </w:r>
    </w:p>
    <w:p w:rsidR="000A7532" w:rsidRPr="002462E6" w:rsidRDefault="000A7532" w:rsidP="00D051D7">
      <w:pPr>
        <w:widowControl w:val="0"/>
        <w:numPr>
          <w:ilvl w:val="0"/>
          <w:numId w:val="7"/>
        </w:numPr>
        <w:autoSpaceDE w:val="0"/>
        <w:autoSpaceDN w:val="0"/>
        <w:spacing w:before="161" w:after="0" w:line="240" w:lineRule="auto"/>
        <w:ind w:right="4"/>
        <w:jc w:val="both"/>
        <w:rPr>
          <w:rFonts w:ascii="Tahoma" w:eastAsia="Times New Roman" w:hAnsi="Tahoma" w:cs="Tahoma"/>
          <w:sz w:val="24"/>
          <w:szCs w:val="24"/>
        </w:rPr>
      </w:pPr>
      <w:r w:rsidRPr="002462E6">
        <w:rPr>
          <w:rFonts w:ascii="Tahoma" w:eastAsia="Times New Roman" w:hAnsi="Tahoma" w:cs="Tahoma"/>
          <w:sz w:val="24"/>
          <w:szCs w:val="24"/>
        </w:rPr>
        <w:t>L’écologie</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et la pédologie ;</w:t>
      </w:r>
    </w:p>
    <w:p w:rsidR="000A7532" w:rsidRPr="002462E6" w:rsidRDefault="000A7532" w:rsidP="000A7532">
      <w:pPr>
        <w:widowControl w:val="0"/>
        <w:autoSpaceDE w:val="0"/>
        <w:autoSpaceDN w:val="0"/>
        <w:spacing w:before="10" w:after="0" w:line="240" w:lineRule="auto"/>
        <w:ind w:right="4"/>
        <w:jc w:val="both"/>
        <w:rPr>
          <w:rFonts w:ascii="Tahoma" w:eastAsia="Times New Roman" w:hAnsi="Tahoma" w:cs="Tahoma"/>
          <w:sz w:val="24"/>
          <w:szCs w:val="24"/>
        </w:rPr>
      </w:pPr>
    </w:p>
    <w:p w:rsidR="000A7532" w:rsidRPr="002462E6" w:rsidRDefault="000A7532" w:rsidP="00D051D7">
      <w:pPr>
        <w:widowControl w:val="0"/>
        <w:numPr>
          <w:ilvl w:val="0"/>
          <w:numId w:val="7"/>
        </w:numPr>
        <w:autoSpaceDE w:val="0"/>
        <w:autoSpaceDN w:val="0"/>
        <w:spacing w:after="0" w:line="240" w:lineRule="auto"/>
        <w:ind w:right="4"/>
        <w:jc w:val="both"/>
        <w:rPr>
          <w:rFonts w:ascii="Tahoma" w:eastAsia="Times New Roman" w:hAnsi="Tahoma" w:cs="Tahoma"/>
          <w:sz w:val="24"/>
          <w:szCs w:val="24"/>
        </w:rPr>
      </w:pPr>
      <w:r w:rsidRPr="002462E6">
        <w:rPr>
          <w:rFonts w:ascii="Tahoma" w:eastAsia="Times New Roman" w:hAnsi="Tahoma" w:cs="Tahoma"/>
          <w:sz w:val="24"/>
          <w:szCs w:val="24"/>
        </w:rPr>
        <w:t>La</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biométrie</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l'informatique,</w:t>
      </w:r>
      <w:r w:rsidRPr="002462E6">
        <w:rPr>
          <w:rFonts w:ascii="Tahoma" w:eastAsia="Times New Roman" w:hAnsi="Tahoma" w:cs="Tahoma"/>
          <w:spacing w:val="-3"/>
          <w:sz w:val="24"/>
          <w:szCs w:val="24"/>
        </w:rPr>
        <w:t xml:space="preserve"> </w:t>
      </w:r>
      <w:r w:rsidRPr="002462E6">
        <w:rPr>
          <w:rFonts w:ascii="Tahoma" w:eastAsia="Times New Roman" w:hAnsi="Tahoma" w:cs="Tahoma"/>
          <w:sz w:val="24"/>
          <w:szCs w:val="24"/>
        </w:rPr>
        <w:t>la</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topographie, la</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programmétrie</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et</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la</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cartographie</w:t>
      </w:r>
      <w:r w:rsidRPr="002462E6">
        <w:rPr>
          <w:rFonts w:ascii="Tahoma" w:eastAsia="Times New Roman" w:hAnsi="Tahoma" w:cs="Tahoma"/>
          <w:spacing w:val="2"/>
          <w:sz w:val="24"/>
          <w:szCs w:val="24"/>
        </w:rPr>
        <w:t xml:space="preserve"> </w:t>
      </w:r>
    </w:p>
    <w:p w:rsidR="000A7532" w:rsidRPr="002462E6" w:rsidRDefault="000A7532" w:rsidP="000A7532">
      <w:pPr>
        <w:widowControl w:val="0"/>
        <w:autoSpaceDE w:val="0"/>
        <w:autoSpaceDN w:val="0"/>
        <w:spacing w:after="0" w:line="240" w:lineRule="auto"/>
        <w:ind w:left="720" w:right="4"/>
        <w:jc w:val="both"/>
        <w:rPr>
          <w:rFonts w:ascii="Tahoma" w:eastAsia="Times New Roman" w:hAnsi="Tahoma" w:cs="Tahoma"/>
          <w:sz w:val="24"/>
          <w:szCs w:val="24"/>
        </w:rPr>
      </w:pPr>
    </w:p>
    <w:p w:rsidR="000A7532" w:rsidRPr="002462E6" w:rsidRDefault="000A7532" w:rsidP="00D051D7">
      <w:pPr>
        <w:widowControl w:val="0"/>
        <w:numPr>
          <w:ilvl w:val="0"/>
          <w:numId w:val="7"/>
        </w:numPr>
        <w:autoSpaceDE w:val="0"/>
        <w:autoSpaceDN w:val="0"/>
        <w:spacing w:after="0" w:line="240" w:lineRule="auto"/>
        <w:ind w:right="4"/>
        <w:jc w:val="both"/>
        <w:rPr>
          <w:rFonts w:ascii="Tahoma" w:eastAsia="Times New Roman" w:hAnsi="Tahoma" w:cs="Tahoma"/>
          <w:sz w:val="24"/>
          <w:szCs w:val="24"/>
        </w:rPr>
      </w:pPr>
      <w:r w:rsidRPr="002462E6">
        <w:rPr>
          <w:rFonts w:ascii="Tahoma" w:eastAsia="Times New Roman" w:hAnsi="Tahoma" w:cs="Tahoma"/>
          <w:sz w:val="24"/>
          <w:szCs w:val="24"/>
        </w:rPr>
        <w:t>L'hydrologie</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et la</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résistance des</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matériaux.</w:t>
      </w:r>
    </w:p>
    <w:p w:rsidR="000A7532" w:rsidRPr="002462E6" w:rsidRDefault="000A7532" w:rsidP="000A7532">
      <w:pPr>
        <w:widowControl w:val="0"/>
        <w:autoSpaceDE w:val="0"/>
        <w:autoSpaceDN w:val="0"/>
        <w:spacing w:after="0" w:line="240" w:lineRule="auto"/>
        <w:ind w:left="1380" w:right="4" w:hanging="360"/>
        <w:jc w:val="both"/>
        <w:rPr>
          <w:rFonts w:ascii="Tahoma" w:eastAsia="Times New Roman" w:hAnsi="Tahoma" w:cs="Tahoma"/>
        </w:rPr>
      </w:pPr>
    </w:p>
    <w:p w:rsidR="000A7532" w:rsidRPr="002462E6" w:rsidRDefault="000A7532" w:rsidP="000A7532">
      <w:pPr>
        <w:widowControl w:val="0"/>
        <w:autoSpaceDE w:val="0"/>
        <w:autoSpaceDN w:val="0"/>
        <w:spacing w:after="0" w:line="240" w:lineRule="auto"/>
        <w:ind w:right="4"/>
        <w:jc w:val="both"/>
        <w:rPr>
          <w:rFonts w:ascii="Tahoma" w:eastAsia="Times New Roman" w:hAnsi="Tahoma" w:cs="Tahoma"/>
          <w:sz w:val="24"/>
          <w:szCs w:val="24"/>
        </w:rPr>
      </w:pPr>
    </w:p>
    <w:p w:rsidR="000A7532" w:rsidRPr="002462E6" w:rsidRDefault="000A7532" w:rsidP="000A7532">
      <w:pPr>
        <w:widowControl w:val="0"/>
        <w:autoSpaceDE w:val="0"/>
        <w:autoSpaceDN w:val="0"/>
        <w:spacing w:after="0" w:line="360" w:lineRule="auto"/>
        <w:ind w:right="4"/>
        <w:rPr>
          <w:rFonts w:ascii="Tahoma" w:eastAsia="Times New Roman" w:hAnsi="Tahoma" w:cs="Tahoma"/>
          <w:sz w:val="24"/>
          <w:szCs w:val="24"/>
        </w:rPr>
      </w:pPr>
      <w:r w:rsidRPr="002462E6">
        <w:rPr>
          <w:rFonts w:ascii="Tahoma" w:eastAsia="Times New Roman" w:hAnsi="Tahoma" w:cs="Tahoma"/>
          <w:sz w:val="24"/>
          <w:szCs w:val="24"/>
        </w:rPr>
        <w:t xml:space="preserve">En deuxième année, le focus était mis sur des matières liées spécifiquement à la </w:t>
      </w:r>
      <w:r w:rsidRPr="002462E6">
        <w:rPr>
          <w:rFonts w:ascii="Tahoma" w:eastAsia="Times New Roman" w:hAnsi="Tahoma" w:cs="Tahoma"/>
          <w:sz w:val="24"/>
          <w:szCs w:val="24"/>
        </w:rPr>
        <w:lastRenderedPageBreak/>
        <w:t>foresterie, telles que :</w:t>
      </w:r>
    </w:p>
    <w:p w:rsidR="000A7532" w:rsidRPr="002462E6" w:rsidRDefault="000A7532" w:rsidP="000A7532">
      <w:pPr>
        <w:widowControl w:val="0"/>
        <w:autoSpaceDE w:val="0"/>
        <w:autoSpaceDN w:val="0"/>
        <w:spacing w:after="0" w:line="360" w:lineRule="auto"/>
        <w:ind w:right="4"/>
        <w:rPr>
          <w:rFonts w:ascii="Tahoma" w:eastAsia="Times New Roman" w:hAnsi="Tahoma" w:cs="Tahoma"/>
          <w:sz w:val="24"/>
          <w:szCs w:val="24"/>
        </w:rPr>
      </w:pPr>
    </w:p>
    <w:p w:rsidR="000A7532" w:rsidRPr="002462E6" w:rsidRDefault="000A7532" w:rsidP="00D051D7">
      <w:pPr>
        <w:widowControl w:val="0"/>
        <w:numPr>
          <w:ilvl w:val="0"/>
          <w:numId w:val="8"/>
        </w:numPr>
        <w:autoSpaceDE w:val="0"/>
        <w:autoSpaceDN w:val="0"/>
        <w:spacing w:after="0" w:line="360" w:lineRule="auto"/>
        <w:ind w:right="4"/>
        <w:rPr>
          <w:rFonts w:ascii="Tahoma" w:eastAsia="Times New Roman" w:hAnsi="Tahoma" w:cs="Tahoma"/>
          <w:sz w:val="24"/>
          <w:szCs w:val="24"/>
        </w:rPr>
      </w:pPr>
      <w:r w:rsidRPr="002462E6">
        <w:rPr>
          <w:rFonts w:ascii="Tahoma" w:eastAsia="Times New Roman" w:hAnsi="Tahoma" w:cs="Tahoma"/>
          <w:sz w:val="24"/>
          <w:szCs w:val="24"/>
        </w:rPr>
        <w:t>L’écologie, botanique et pédologie forestière ;</w:t>
      </w:r>
    </w:p>
    <w:p w:rsidR="000A7532" w:rsidRPr="002462E6" w:rsidRDefault="000A7532" w:rsidP="00D051D7">
      <w:pPr>
        <w:widowControl w:val="0"/>
        <w:numPr>
          <w:ilvl w:val="0"/>
          <w:numId w:val="8"/>
        </w:numPr>
        <w:autoSpaceDE w:val="0"/>
        <w:autoSpaceDN w:val="0"/>
        <w:spacing w:after="0" w:line="360" w:lineRule="auto"/>
        <w:ind w:right="4"/>
        <w:rPr>
          <w:rFonts w:ascii="Tahoma" w:eastAsia="Times New Roman" w:hAnsi="Tahoma" w:cs="Tahoma"/>
          <w:sz w:val="24"/>
          <w:szCs w:val="24"/>
        </w:rPr>
      </w:pPr>
      <w:r w:rsidRPr="002462E6">
        <w:rPr>
          <w:rFonts w:ascii="Tahoma" w:eastAsia="Times New Roman" w:hAnsi="Tahoma" w:cs="Tahoma"/>
          <w:sz w:val="24"/>
          <w:szCs w:val="24"/>
        </w:rPr>
        <w:t>La pathologie et entomologie ;</w:t>
      </w:r>
    </w:p>
    <w:p w:rsidR="000A7532" w:rsidRPr="002462E6" w:rsidRDefault="000A7532" w:rsidP="00D051D7">
      <w:pPr>
        <w:widowControl w:val="0"/>
        <w:numPr>
          <w:ilvl w:val="0"/>
          <w:numId w:val="8"/>
        </w:numPr>
        <w:autoSpaceDE w:val="0"/>
        <w:autoSpaceDN w:val="0"/>
        <w:spacing w:after="0" w:line="360" w:lineRule="auto"/>
        <w:ind w:right="4"/>
        <w:rPr>
          <w:rFonts w:ascii="Tahoma" w:eastAsia="Times New Roman" w:hAnsi="Tahoma" w:cs="Tahoma"/>
          <w:sz w:val="24"/>
          <w:szCs w:val="24"/>
        </w:rPr>
      </w:pPr>
      <w:r w:rsidRPr="002462E6">
        <w:rPr>
          <w:rFonts w:ascii="Tahoma" w:eastAsia="Times New Roman" w:hAnsi="Tahoma" w:cs="Tahoma"/>
          <w:sz w:val="24"/>
          <w:szCs w:val="24"/>
        </w:rPr>
        <w:t>La sylviculture, dendrométrie et technologie ;</w:t>
      </w:r>
    </w:p>
    <w:p w:rsidR="000A7532" w:rsidRPr="002462E6" w:rsidRDefault="000A7532" w:rsidP="00D051D7">
      <w:pPr>
        <w:widowControl w:val="0"/>
        <w:numPr>
          <w:ilvl w:val="0"/>
          <w:numId w:val="8"/>
        </w:numPr>
        <w:autoSpaceDE w:val="0"/>
        <w:autoSpaceDN w:val="0"/>
        <w:spacing w:after="0" w:line="360" w:lineRule="auto"/>
        <w:ind w:right="4"/>
        <w:rPr>
          <w:rFonts w:ascii="Tahoma" w:eastAsia="Times New Roman" w:hAnsi="Tahoma" w:cs="Tahoma"/>
          <w:sz w:val="24"/>
          <w:szCs w:val="24"/>
        </w:rPr>
      </w:pPr>
      <w:r w:rsidRPr="002462E6">
        <w:rPr>
          <w:rFonts w:ascii="Tahoma" w:eastAsia="Times New Roman" w:hAnsi="Tahoma" w:cs="Tahoma"/>
          <w:sz w:val="24"/>
          <w:szCs w:val="24"/>
        </w:rPr>
        <w:t>L’hydrobiologie, pisciculture et cynégétique ;</w:t>
      </w:r>
    </w:p>
    <w:p w:rsidR="000A7532" w:rsidRPr="002462E6" w:rsidRDefault="000A7532" w:rsidP="00D051D7">
      <w:pPr>
        <w:widowControl w:val="0"/>
        <w:numPr>
          <w:ilvl w:val="0"/>
          <w:numId w:val="8"/>
        </w:numPr>
        <w:autoSpaceDE w:val="0"/>
        <w:autoSpaceDN w:val="0"/>
        <w:spacing w:after="0" w:line="360" w:lineRule="auto"/>
        <w:ind w:right="4"/>
        <w:rPr>
          <w:rFonts w:ascii="Tahoma" w:eastAsia="Times New Roman" w:hAnsi="Tahoma" w:cs="Tahoma"/>
          <w:sz w:val="24"/>
          <w:szCs w:val="24"/>
        </w:rPr>
      </w:pPr>
      <w:r w:rsidRPr="002462E6">
        <w:rPr>
          <w:rFonts w:ascii="Tahoma" w:eastAsia="Times New Roman" w:hAnsi="Tahoma" w:cs="Tahoma"/>
          <w:sz w:val="24"/>
          <w:szCs w:val="24"/>
        </w:rPr>
        <w:t>L’érosion et conservation des sols ;</w:t>
      </w:r>
    </w:p>
    <w:p w:rsidR="000A7532" w:rsidRPr="002462E6" w:rsidRDefault="000A7532" w:rsidP="00D051D7">
      <w:pPr>
        <w:widowControl w:val="0"/>
        <w:numPr>
          <w:ilvl w:val="0"/>
          <w:numId w:val="8"/>
        </w:numPr>
        <w:autoSpaceDE w:val="0"/>
        <w:autoSpaceDN w:val="0"/>
        <w:spacing w:after="0" w:line="360" w:lineRule="auto"/>
        <w:ind w:right="4"/>
        <w:rPr>
          <w:rFonts w:ascii="Tahoma" w:eastAsia="Times New Roman" w:hAnsi="Tahoma" w:cs="Tahoma"/>
          <w:sz w:val="24"/>
          <w:szCs w:val="24"/>
        </w:rPr>
      </w:pPr>
      <w:r w:rsidRPr="002462E6">
        <w:rPr>
          <w:rFonts w:ascii="Tahoma" w:eastAsia="Times New Roman" w:hAnsi="Tahoma" w:cs="Tahoma"/>
          <w:sz w:val="24"/>
          <w:szCs w:val="24"/>
        </w:rPr>
        <w:t>Le génie forestier.</w:t>
      </w:r>
    </w:p>
    <w:p w:rsidR="000A7532" w:rsidRPr="002462E6" w:rsidRDefault="000A7532" w:rsidP="000A7532">
      <w:pPr>
        <w:widowControl w:val="0"/>
        <w:autoSpaceDE w:val="0"/>
        <w:autoSpaceDN w:val="0"/>
        <w:spacing w:before="10" w:after="0" w:line="240" w:lineRule="auto"/>
        <w:ind w:right="4"/>
        <w:jc w:val="both"/>
        <w:rPr>
          <w:rFonts w:ascii="Tahoma" w:eastAsia="Times New Roman" w:hAnsi="Tahoma" w:cs="Tahoma"/>
          <w:sz w:val="24"/>
          <w:szCs w:val="24"/>
        </w:rPr>
      </w:pPr>
    </w:p>
    <w:p w:rsidR="000A7532" w:rsidRPr="002462E6" w:rsidRDefault="000A7532" w:rsidP="000A7532">
      <w:pPr>
        <w:widowControl w:val="0"/>
        <w:autoSpaceDE w:val="0"/>
        <w:autoSpaceDN w:val="0"/>
        <w:spacing w:after="0" w:line="360" w:lineRule="auto"/>
        <w:ind w:right="4"/>
        <w:jc w:val="both"/>
        <w:rPr>
          <w:rFonts w:ascii="Tahoma" w:eastAsia="Times New Roman" w:hAnsi="Tahoma" w:cs="Tahoma"/>
          <w:sz w:val="24"/>
          <w:szCs w:val="24"/>
        </w:rPr>
      </w:pPr>
      <w:r w:rsidRPr="002462E6">
        <w:rPr>
          <w:rFonts w:ascii="Tahoma" w:eastAsia="Times New Roman" w:hAnsi="Tahoma" w:cs="Tahoma"/>
          <w:sz w:val="24"/>
          <w:szCs w:val="24"/>
        </w:rPr>
        <w:t xml:space="preserve">La troisième et dernière année était consacrée à des matières dites de synthèse, telles que l'aménagement des forêts, le reboisement, l'aménagement des bassins-versants, l'amélioration pastorale et l'aménagement des parcours. </w:t>
      </w:r>
    </w:p>
    <w:p w:rsidR="000A7532" w:rsidRPr="002462E6" w:rsidRDefault="000A7532" w:rsidP="000A7532">
      <w:pPr>
        <w:widowControl w:val="0"/>
        <w:autoSpaceDE w:val="0"/>
        <w:autoSpaceDN w:val="0"/>
        <w:spacing w:after="0" w:line="360" w:lineRule="auto"/>
        <w:ind w:right="4"/>
        <w:jc w:val="both"/>
        <w:rPr>
          <w:rFonts w:ascii="Tahoma" w:eastAsia="Times New Roman" w:hAnsi="Tahoma" w:cs="Tahoma"/>
          <w:sz w:val="24"/>
          <w:szCs w:val="24"/>
        </w:rPr>
      </w:pPr>
      <w:r w:rsidRPr="002462E6">
        <w:rPr>
          <w:rFonts w:ascii="Tahoma" w:eastAsia="Times New Roman" w:hAnsi="Tahoma" w:cs="Tahoma"/>
          <w:sz w:val="24"/>
          <w:szCs w:val="24"/>
        </w:rPr>
        <w:t>Pour chacune de ces quatre matières, les élèves étaient tenus de réaliser un projet sur le terrain. Le reste des cours était dédié à la législation forestière, au droit, à la gestion, à l'économie forestière et à la sociologie rurale</w:t>
      </w:r>
      <w:r w:rsidRPr="002462E6">
        <w:rPr>
          <w:rFonts w:ascii="Tahoma" w:eastAsia="Times New Roman" w:hAnsi="Tahoma" w:cs="Tahoma"/>
          <w:sz w:val="24"/>
          <w:szCs w:val="24"/>
          <w:vertAlign w:val="superscript"/>
        </w:rPr>
        <w:footnoteReference w:id="220"/>
      </w:r>
      <w:r w:rsidRPr="002462E6">
        <w:rPr>
          <w:rFonts w:ascii="Tahoma" w:eastAsia="Times New Roman" w:hAnsi="Tahoma" w:cs="Tahoma"/>
          <w:sz w:val="24"/>
          <w:szCs w:val="24"/>
        </w:rPr>
        <w:t>.</w:t>
      </w:r>
    </w:p>
    <w:p w:rsidR="000A7532" w:rsidRPr="002462E6" w:rsidRDefault="000A7532" w:rsidP="000A7532">
      <w:pPr>
        <w:widowControl w:val="0"/>
        <w:autoSpaceDE w:val="0"/>
        <w:autoSpaceDN w:val="0"/>
        <w:spacing w:after="0" w:line="360" w:lineRule="auto"/>
        <w:ind w:right="4"/>
        <w:jc w:val="both"/>
        <w:rPr>
          <w:rFonts w:ascii="Tahoma" w:eastAsia="Times New Roman" w:hAnsi="Tahoma" w:cs="Tahoma"/>
          <w:sz w:val="24"/>
          <w:szCs w:val="24"/>
        </w:rPr>
      </w:pPr>
      <w:r w:rsidRPr="002462E6">
        <w:rPr>
          <w:rFonts w:ascii="Tahoma" w:eastAsia="Times New Roman" w:hAnsi="Tahoma" w:cs="Tahoma"/>
          <w:sz w:val="24"/>
          <w:szCs w:val="24"/>
        </w:rPr>
        <w:t>Chaque début du mois d’avril, les enseignements théoriques cessaient et la majeure partie du temps était consacré à la réalisation de cinq projets sur le terrain et au stage de fin d'études. Un projet sur les routes forestières était réalisé en deuxième année, tandis que les quatre autres étaient planifiés pour la dernière année, dont un portait sur le reboisement et trois sur les différents aménagements : forêts, parcours et bassins-versants.</w:t>
      </w:r>
    </w:p>
    <w:p w:rsidR="000A7532" w:rsidRPr="002462E6" w:rsidRDefault="000A7532" w:rsidP="000A7532">
      <w:pPr>
        <w:widowControl w:val="0"/>
        <w:autoSpaceDE w:val="0"/>
        <w:autoSpaceDN w:val="0"/>
        <w:spacing w:after="0" w:line="360" w:lineRule="auto"/>
        <w:ind w:right="4"/>
        <w:jc w:val="both"/>
        <w:rPr>
          <w:rFonts w:ascii="Tahoma" w:eastAsia="Times New Roman" w:hAnsi="Tahoma" w:cs="Tahoma"/>
          <w:sz w:val="24"/>
          <w:szCs w:val="24"/>
        </w:rPr>
      </w:pPr>
      <w:r w:rsidRPr="002462E6">
        <w:rPr>
          <w:rFonts w:ascii="Tahoma" w:eastAsia="Times New Roman" w:hAnsi="Tahoma" w:cs="Tahoma"/>
          <w:sz w:val="24"/>
          <w:szCs w:val="24"/>
        </w:rPr>
        <w:t>Les mois de mai et juin étaient réservés à un stage pluridisciplinaire de fin d'études, qui se déroulait dans une subdivision forestière. Ce stage impliquait une étude sur un aménagement intégré, permettant aux étudiants de mobiliser toutes les connaissances théoriques et pratiques acquises à l'école.</w:t>
      </w:r>
    </w:p>
    <w:p w:rsidR="000A7532" w:rsidRPr="002462E6" w:rsidRDefault="000A7532" w:rsidP="000A7532">
      <w:pPr>
        <w:widowControl w:val="0"/>
        <w:autoSpaceDE w:val="0"/>
        <w:autoSpaceDN w:val="0"/>
        <w:spacing w:before="160" w:after="0" w:line="360" w:lineRule="auto"/>
        <w:ind w:right="4"/>
        <w:jc w:val="both"/>
        <w:rPr>
          <w:rFonts w:ascii="Tahoma" w:eastAsia="Times New Roman" w:hAnsi="Tahoma" w:cs="Tahoma"/>
          <w:sz w:val="24"/>
          <w:szCs w:val="24"/>
        </w:rPr>
      </w:pPr>
      <w:r w:rsidRPr="002462E6">
        <w:rPr>
          <w:rFonts w:ascii="Tahoma" w:eastAsia="Times New Roman" w:hAnsi="Tahoma" w:cs="Tahoma"/>
          <w:sz w:val="24"/>
          <w:szCs w:val="24"/>
        </w:rPr>
        <w:t xml:space="preserve">Conformément aux exigences de l'Administration des Eaux et Forêts, l'enseignement sur le terrain, autrement dit, les travaux pratiques en forêt et les tournées, représentait environ un tiers de la formation. En effet, pour capitaliser sur l'enseignement théorique dispensé en salle, il est essentiel que les élèves s'engagent dans des activités de terrain, </w:t>
      </w:r>
      <w:r w:rsidRPr="002462E6">
        <w:rPr>
          <w:rFonts w:ascii="Tahoma" w:eastAsia="Times New Roman" w:hAnsi="Tahoma" w:cs="Tahoma"/>
          <w:sz w:val="24"/>
          <w:szCs w:val="24"/>
        </w:rPr>
        <w:lastRenderedPageBreak/>
        <w:t>en adoptant une certaine ouverture d'esprit.</w:t>
      </w:r>
    </w:p>
    <w:p w:rsidR="000A7532" w:rsidRPr="002462E6" w:rsidRDefault="000A7532" w:rsidP="000A7532">
      <w:pPr>
        <w:widowControl w:val="0"/>
        <w:autoSpaceDE w:val="0"/>
        <w:autoSpaceDN w:val="0"/>
        <w:spacing w:before="160" w:after="0" w:line="360" w:lineRule="auto"/>
        <w:ind w:right="4"/>
        <w:jc w:val="both"/>
        <w:rPr>
          <w:rFonts w:ascii="Tahoma" w:eastAsia="Times New Roman" w:hAnsi="Tahoma" w:cs="Tahoma"/>
          <w:sz w:val="24"/>
          <w:szCs w:val="24"/>
        </w:rPr>
      </w:pPr>
      <w:r w:rsidRPr="002462E6">
        <w:rPr>
          <w:rFonts w:ascii="Tahoma" w:eastAsia="Times New Roman" w:hAnsi="Tahoma" w:cs="Tahoma"/>
          <w:sz w:val="24"/>
          <w:szCs w:val="24"/>
        </w:rPr>
        <w:t>À l'École Nationale Forestière de Salé, ainsi que dans d'autres écoles forestières à travers le monde, la méthode d'apprentissage privilégie avant tout l'observation et la réflexion. Au cours des tournées, les étudiants découvrent la grande diversité des forêts et des milieux méditerranéens, résultant de la variété du climat et du relief du Maroc. Ceci leur offre l'opportunité d'explorer des environnements allant des climats sahariens du sud aux cédraies des hautes montagnes de l'Atlas.</w:t>
      </w:r>
    </w:p>
    <w:p w:rsidR="000A7532" w:rsidRPr="002462E6" w:rsidRDefault="000A7532" w:rsidP="007A7265">
      <w:pPr>
        <w:widowControl w:val="0"/>
        <w:autoSpaceDE w:val="0"/>
        <w:autoSpaceDN w:val="0"/>
        <w:spacing w:before="160" w:after="0" w:line="360" w:lineRule="auto"/>
        <w:ind w:right="4"/>
        <w:jc w:val="both"/>
        <w:rPr>
          <w:rFonts w:ascii="Tahoma" w:eastAsia="Times New Roman" w:hAnsi="Tahoma" w:cs="Tahoma"/>
          <w:sz w:val="24"/>
          <w:szCs w:val="24"/>
        </w:rPr>
      </w:pPr>
      <w:r w:rsidRPr="002462E6">
        <w:rPr>
          <w:rFonts w:ascii="Tahoma" w:eastAsia="Times New Roman" w:hAnsi="Tahoma" w:cs="Tahoma"/>
          <w:sz w:val="24"/>
          <w:szCs w:val="24"/>
        </w:rPr>
        <w:t>L'École Nationale Forestière d'Ingénieurs (ENFI) a formé un total de 154 ingénieurs d'application des eaux et forêts à l'issue de la 8</w:t>
      </w:r>
      <w:r w:rsidRPr="002462E6">
        <w:rPr>
          <w:rFonts w:ascii="Tahoma" w:eastAsia="Times New Roman" w:hAnsi="Tahoma" w:cs="Tahoma"/>
          <w:sz w:val="24"/>
          <w:szCs w:val="24"/>
          <w:vertAlign w:val="superscript"/>
        </w:rPr>
        <w:t xml:space="preserve">ème </w:t>
      </w:r>
      <w:r w:rsidRPr="002462E6">
        <w:rPr>
          <w:rFonts w:ascii="Tahoma" w:eastAsia="Times New Roman" w:hAnsi="Tahoma" w:cs="Tahoma"/>
          <w:sz w:val="24"/>
          <w:szCs w:val="24"/>
        </w:rPr>
        <w:t>promotion, qui a diplômé ses élèves en juillet 1977</w:t>
      </w:r>
      <w:r w:rsidRPr="002462E6">
        <w:rPr>
          <w:rFonts w:ascii="Tahoma" w:eastAsia="Times New Roman" w:hAnsi="Tahoma" w:cs="Tahoma"/>
          <w:sz w:val="24"/>
          <w:szCs w:val="24"/>
          <w:vertAlign w:val="superscript"/>
        </w:rPr>
        <w:footnoteReference w:id="221"/>
      </w:r>
      <w:r w:rsidRPr="002462E6">
        <w:rPr>
          <w:rFonts w:ascii="Tahoma" w:eastAsia="Times New Roman" w:hAnsi="Tahoma" w:cs="Tahoma"/>
          <w:sz w:val="24"/>
          <w:szCs w:val="24"/>
        </w:rPr>
        <w:t xml:space="preserve">. Parmi ces diplômés, se trouvaient 28 étudiants tunisiens, </w:t>
      </w:r>
      <w:r w:rsidR="007A7265" w:rsidRPr="002462E6">
        <w:rPr>
          <w:rFonts w:ascii="Tahoma" w:eastAsia="Times New Roman" w:hAnsi="Tahoma" w:cs="Tahoma"/>
          <w:sz w:val="24"/>
          <w:szCs w:val="24"/>
        </w:rPr>
        <w:t xml:space="preserve">16 algériens et 110 marocains. </w:t>
      </w:r>
    </w:p>
    <w:p w:rsidR="00DC06AE" w:rsidRPr="002462E6" w:rsidRDefault="006D5F85" w:rsidP="009C19CB">
      <w:pPr>
        <w:rPr>
          <w:lang w:eastAsia="fr-FR"/>
        </w:rPr>
      </w:pPr>
      <w:r w:rsidRPr="002462E6">
        <w:rPr>
          <w:rFonts w:ascii="Tahoma" w:eastAsia="Times New Roman" w:hAnsi="Tahoma" w:cs="Tahoma"/>
          <w:noProof/>
          <w:lang w:eastAsia="fr-FR"/>
        </w:rPr>
        <w:drawing>
          <wp:anchor distT="0" distB="0" distL="114300" distR="114300" simplePos="0" relativeHeight="251669504" behindDoc="1" locked="0" layoutInCell="1" allowOverlap="1" wp14:anchorId="1071C9DB" wp14:editId="78598B15">
            <wp:simplePos x="0" y="0"/>
            <wp:positionH relativeFrom="column">
              <wp:posOffset>198755</wp:posOffset>
            </wp:positionH>
            <wp:positionV relativeFrom="paragraph">
              <wp:posOffset>636905</wp:posOffset>
            </wp:positionV>
            <wp:extent cx="6075045" cy="3352800"/>
            <wp:effectExtent l="0" t="0" r="1905" b="0"/>
            <wp:wrapTight wrapText="bothSides">
              <wp:wrapPolygon edited="0">
                <wp:start x="0" y="0"/>
                <wp:lineTo x="0" y="21477"/>
                <wp:lineTo x="21539" y="21477"/>
                <wp:lineTo x="21539" y="0"/>
                <wp:lineTo x="0" y="0"/>
              </wp:wrapPolygon>
            </wp:wrapTight>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9">
                      <a:extLst>
                        <a:ext uri="{28A0092B-C50C-407E-A947-70E740481C1C}">
                          <a14:useLocalDpi xmlns:a14="http://schemas.microsoft.com/office/drawing/2010/main" val="0"/>
                        </a:ext>
                      </a:extLst>
                    </a:blip>
                    <a:srcRect l="6902" t="9895" r="5299" b="10379"/>
                    <a:stretch/>
                  </pic:blipFill>
                  <pic:spPr bwMode="auto">
                    <a:xfrm>
                      <a:off x="0" y="0"/>
                      <a:ext cx="6075045" cy="33528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2462E6">
        <w:rPr>
          <w:noProof/>
          <w:lang w:eastAsia="fr-FR"/>
        </w:rPr>
        <mc:AlternateContent>
          <mc:Choice Requires="wps">
            <w:drawing>
              <wp:anchor distT="0" distB="0" distL="114300" distR="114300" simplePos="0" relativeHeight="251705344" behindDoc="0" locked="0" layoutInCell="1" allowOverlap="1" wp14:anchorId="1E398B22" wp14:editId="209B5D69">
                <wp:simplePos x="0" y="0"/>
                <wp:positionH relativeFrom="column">
                  <wp:posOffset>104140</wp:posOffset>
                </wp:positionH>
                <wp:positionV relativeFrom="paragraph">
                  <wp:posOffset>307975</wp:posOffset>
                </wp:positionV>
                <wp:extent cx="6245860" cy="457200"/>
                <wp:effectExtent l="0" t="0" r="2540" b="0"/>
                <wp:wrapTight wrapText="bothSides">
                  <wp:wrapPolygon edited="0">
                    <wp:start x="0" y="0"/>
                    <wp:lineTo x="0" y="20700"/>
                    <wp:lineTo x="21543" y="20700"/>
                    <wp:lineTo x="21543" y="0"/>
                    <wp:lineTo x="0" y="0"/>
                  </wp:wrapPolygon>
                </wp:wrapTight>
                <wp:docPr id="956995672" name="Zone de texte 956995672"/>
                <wp:cNvGraphicFramePr/>
                <a:graphic xmlns:a="http://schemas.openxmlformats.org/drawingml/2006/main">
                  <a:graphicData uri="http://schemas.microsoft.com/office/word/2010/wordprocessingShape">
                    <wps:wsp>
                      <wps:cNvSpPr txBox="1"/>
                      <wps:spPr>
                        <a:xfrm>
                          <a:off x="0" y="0"/>
                          <a:ext cx="6245860" cy="457200"/>
                        </a:xfrm>
                        <a:prstGeom prst="rect">
                          <a:avLst/>
                        </a:prstGeom>
                        <a:solidFill>
                          <a:prstClr val="white"/>
                        </a:solidFill>
                        <a:ln>
                          <a:noFill/>
                        </a:ln>
                        <a:effectLst/>
                      </wps:spPr>
                      <wps:txbx>
                        <w:txbxContent>
                          <w:p w:rsidR="0083519B" w:rsidRPr="00EB3B5C" w:rsidRDefault="0083519B" w:rsidP="000D57A1">
                            <w:pPr>
                              <w:pStyle w:val="Sous-titre"/>
                            </w:pPr>
                            <w:bookmarkStart w:id="181" w:name="_Toc203642799"/>
                            <w:r>
                              <w:t xml:space="preserve">Figure </w:t>
                            </w:r>
                            <w:r w:rsidR="00225ED1">
                              <w:rPr>
                                <w:noProof/>
                              </w:rPr>
                              <w:fldChar w:fldCharType="begin"/>
                            </w:r>
                            <w:r w:rsidR="00225ED1">
                              <w:rPr>
                                <w:noProof/>
                              </w:rPr>
                              <w:instrText xml:space="preserve"> SEQ Figure \* ARABIC </w:instrText>
                            </w:r>
                            <w:r w:rsidR="00225ED1">
                              <w:rPr>
                                <w:noProof/>
                              </w:rPr>
                              <w:fldChar w:fldCharType="separate"/>
                            </w:r>
                            <w:r w:rsidR="00124AFB">
                              <w:rPr>
                                <w:noProof/>
                              </w:rPr>
                              <w:t>7</w:t>
                            </w:r>
                            <w:r w:rsidR="00225ED1">
                              <w:rPr>
                                <w:noProof/>
                              </w:rPr>
                              <w:fldChar w:fldCharType="end"/>
                            </w:r>
                            <w:bookmarkStart w:id="182" w:name="_Toc201574674"/>
                            <w:r w:rsidRPr="00091E68">
                              <w:t xml:space="preserve"> </w:t>
                            </w:r>
                            <w:r>
                              <w:t> :</w:t>
                            </w:r>
                            <w:r w:rsidRPr="00942E4A">
                              <w:t xml:space="preserve"> </w:t>
                            </w:r>
                            <w:r w:rsidRPr="000A7532">
                              <w:t>Cérémonie de sortie de la 8</w:t>
                            </w:r>
                            <w:r w:rsidRPr="000A7532">
                              <w:rPr>
                                <w:vertAlign w:val="superscript"/>
                              </w:rPr>
                              <w:t>ème</w:t>
                            </w:r>
                            <w:r w:rsidRPr="000A7532">
                              <w:t xml:space="preserve"> promotion d'ingénieurs en juillet 1977</w:t>
                            </w:r>
                            <w:bookmarkEnd w:id="181"/>
                            <w:bookmarkEnd w:id="182"/>
                          </w:p>
                          <w:p w:rsidR="0083519B" w:rsidRPr="00FF5DC7" w:rsidRDefault="0083519B" w:rsidP="00091E68">
                            <w:pPr>
                              <w:pStyle w:val="Lgende"/>
                              <w:rPr>
                                <w:rFonts w:ascii="Tahoma" w:eastAsia="Times New Roman" w:hAnsi="Tahoma" w:cs="Tahoma"/>
                                <w:noProof/>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E398B22" id="Zone de texte 956995672" o:spid="_x0000_s1032" type="#_x0000_t202" style="position:absolute;margin-left:8.2pt;margin-top:24.25pt;width:491.8pt;height:36pt;z-index:2517053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" stroked="f">
                <v:textbox inset="0,0,0,0">
                  <w:txbxContent>
                    <w:p w:rsidR="0083519B" w:rsidRPr="00EB3B5C" w:rsidRDefault="0083519B" w:rsidP="000D57A1">
                      <w:pPr>
                        <w:pStyle w:val="Sous-titre"/>
                      </w:pPr>
                      <w:bookmarkStart w:id="186" w:name="_Toc203642799"/>
                      <w:r>
                        <w:t xml:space="preserve">Figure </w:t>
                      </w:r>
                      <w:r w:rsidR="00225ED1">
                        <w:rPr>
                          <w:noProof/>
                        </w:rPr>
                        <w:fldChar w:fldCharType="begin"/>
                      </w:r>
                      <w:r w:rsidR="00225ED1">
                        <w:rPr>
                          <w:noProof/>
                        </w:rPr>
                        <w:instrText xml:space="preserve"> SEQ Figure \* ARABIC </w:instrText>
                      </w:r>
                      <w:r w:rsidR="00225ED1">
                        <w:rPr>
                          <w:noProof/>
                        </w:rPr>
                        <w:fldChar w:fldCharType="separate"/>
                      </w:r>
                      <w:r w:rsidR="00124AFB">
                        <w:rPr>
                          <w:noProof/>
                        </w:rPr>
                        <w:t>7</w:t>
                      </w:r>
                      <w:r w:rsidR="00225ED1">
                        <w:rPr>
                          <w:noProof/>
                        </w:rPr>
                        <w:fldChar w:fldCharType="end"/>
                      </w:r>
                      <w:bookmarkStart w:id="187" w:name="_Toc201574674"/>
                      <w:r w:rsidRPr="00091E68">
                        <w:t xml:space="preserve"> </w:t>
                      </w:r>
                      <w:r>
                        <w:t> :</w:t>
                      </w:r>
                      <w:r w:rsidRPr="00942E4A">
                        <w:t xml:space="preserve"> </w:t>
                      </w:r>
                      <w:r w:rsidRPr="000A7532">
                        <w:t>Cérémonie de sortie de la 8</w:t>
                      </w:r>
                      <w:r w:rsidRPr="000A7532">
                        <w:rPr>
                          <w:vertAlign w:val="superscript"/>
                        </w:rPr>
                        <w:t>ème</w:t>
                      </w:r>
                      <w:r w:rsidRPr="000A7532">
                        <w:t xml:space="preserve"> promotion d'ingénieurs en juillet 1977</w:t>
                      </w:r>
                      <w:bookmarkEnd w:id="186"/>
                      <w:bookmarkEnd w:id="187"/>
                    </w:p>
                    <w:p w:rsidR="0083519B" w:rsidRPr="00FF5DC7" w:rsidRDefault="0083519B" w:rsidP="00091E68">
                      <w:pPr>
                        <w:pStyle w:val="Lgende"/>
                        <w:rPr>
                          <w:rFonts w:ascii="Tahoma" w:eastAsia="Times New Roman" w:hAnsi="Tahoma" w:cs="Tahoma"/>
                          <w:noProof/>
                        </w:rPr>
                      </w:pPr>
                    </w:p>
                  </w:txbxContent>
                </v:textbox>
                <w10:wrap type="tight"/>
              </v:shape>
            </w:pict>
          </mc:Fallback>
        </mc:AlternateContent>
      </w:r>
      <w:r w:rsidR="007A7265" w:rsidRPr="002462E6">
        <w:rPr>
          <w:noProof/>
          <w:lang w:eastAsia="fr-FR"/>
        </w:rPr>
        <mc:AlternateContent>
          <mc:Choice Requires="wps">
            <w:drawing>
              <wp:anchor distT="0" distB="0" distL="114300" distR="114300" simplePos="0" relativeHeight="251695104" behindDoc="0" locked="0" layoutInCell="1" allowOverlap="1" wp14:anchorId="035B589E" wp14:editId="62636636">
                <wp:simplePos x="0" y="0"/>
                <wp:positionH relativeFrom="column">
                  <wp:posOffset>-240665</wp:posOffset>
                </wp:positionH>
                <wp:positionV relativeFrom="paragraph">
                  <wp:posOffset>177800</wp:posOffset>
                </wp:positionV>
                <wp:extent cx="6507480" cy="462915"/>
                <wp:effectExtent l="0" t="0" r="7620" b="0"/>
                <wp:wrapTight wrapText="bothSides">
                  <wp:wrapPolygon edited="0">
                    <wp:start x="0" y="0"/>
                    <wp:lineTo x="0" y="20444"/>
                    <wp:lineTo x="21562" y="20444"/>
                    <wp:lineTo x="21562" y="0"/>
                    <wp:lineTo x="0" y="0"/>
                  </wp:wrapPolygon>
                </wp:wrapTight>
                <wp:docPr id="956995656" name="Zone de texte 956995656"/>
                <wp:cNvGraphicFramePr/>
                <a:graphic xmlns:a="http://schemas.openxmlformats.org/drawingml/2006/main">
                  <a:graphicData uri="http://schemas.microsoft.com/office/word/2010/wordprocessingShape">
                    <wps:wsp>
                      <wps:cNvSpPr txBox="1"/>
                      <wps:spPr>
                        <a:xfrm>
                          <a:off x="0" y="0"/>
                          <a:ext cx="6507480" cy="462915"/>
                        </a:xfrm>
                        <a:prstGeom prst="rect">
                          <a:avLst/>
                        </a:prstGeom>
                        <a:solidFill>
                          <a:prstClr val="white"/>
                        </a:solidFill>
                        <a:ln>
                          <a:noFill/>
                        </a:ln>
                        <a:effectLst/>
                      </wps:spPr>
                      <wps:txbx>
                        <w:txbxContent>
                          <w:p w:rsidR="0083519B" w:rsidRPr="00EB3B5C" w:rsidRDefault="0083519B" w:rsidP="000D57A1">
                            <w:pPr>
                              <w:pStyle w:val="Sous-titre"/>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5B589E" id="Zone de texte 956995656" o:spid="_x0000_s1033" type="#_x0000_t202" style="position:absolute;margin-left:-18.95pt;margin-top:14pt;width:512.4pt;height:36.45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" stroked="f">
                <v:textbox inset="0,0,0,0">
                  <w:txbxContent>
                    <w:p w:rsidR="0083519B" w:rsidRPr="00EB3B5C" w:rsidRDefault="0083519B" w:rsidP="000D57A1">
                      <w:pPr>
                        <w:pStyle w:val="Sous-titre"/>
                      </w:pPr>
                    </w:p>
                  </w:txbxContent>
                </v:textbox>
                <w10:wrap type="tight"/>
              </v:shape>
            </w:pict>
          </mc:Fallback>
        </mc:AlternateContent>
      </w:r>
    </w:p>
    <w:p w:rsidR="000A7532" w:rsidRPr="002462E6" w:rsidRDefault="000A7532" w:rsidP="00010E11">
      <w:pPr>
        <w:widowControl w:val="0"/>
        <w:autoSpaceDE w:val="0"/>
        <w:autoSpaceDN w:val="0"/>
        <w:spacing w:after="0" w:line="240" w:lineRule="auto"/>
        <w:ind w:right="4"/>
        <w:jc w:val="center"/>
        <w:rPr>
          <w:rFonts w:ascii="Tahoma" w:eastAsia="Times New Roman" w:hAnsi="Tahoma" w:cs="Tahoma"/>
          <w:b/>
          <w:bCs/>
          <w:i/>
          <w:iCs/>
          <w:sz w:val="20"/>
          <w:szCs w:val="20"/>
        </w:rPr>
      </w:pPr>
      <w:r w:rsidRPr="002462E6">
        <w:rPr>
          <w:rFonts w:ascii="Tahoma" w:eastAsia="Times New Roman" w:hAnsi="Tahoma" w:cs="Tahoma"/>
          <w:b/>
          <w:bCs/>
          <w:i/>
          <w:iCs/>
          <w:sz w:val="20"/>
          <w:szCs w:val="20"/>
        </w:rPr>
        <w:t xml:space="preserve">Source : </w:t>
      </w:r>
      <w:r w:rsidRPr="002462E6">
        <w:rPr>
          <w:rFonts w:ascii="Tahoma" w:eastAsia="Times New Roman" w:hAnsi="Tahoma" w:cs="Tahoma"/>
          <w:b/>
          <w:bCs/>
          <w:i/>
          <w:iCs/>
          <w:sz w:val="20"/>
          <w:szCs w:val="20"/>
          <w:vertAlign w:val="superscript"/>
        </w:rPr>
        <w:footnoteReference w:id="222"/>
      </w:r>
    </w:p>
    <w:p w:rsidR="000A7532" w:rsidRPr="002462E6" w:rsidRDefault="000A7532" w:rsidP="000A7532">
      <w:pPr>
        <w:widowControl w:val="0"/>
        <w:autoSpaceDE w:val="0"/>
        <w:autoSpaceDN w:val="0"/>
        <w:spacing w:before="160" w:after="0" w:line="360" w:lineRule="auto"/>
        <w:ind w:right="4"/>
        <w:jc w:val="both"/>
        <w:rPr>
          <w:rFonts w:ascii="Tahoma" w:eastAsia="Times New Roman" w:hAnsi="Tahoma" w:cs="Tahoma"/>
          <w:sz w:val="24"/>
          <w:szCs w:val="24"/>
        </w:rPr>
      </w:pPr>
      <w:r w:rsidRPr="002462E6">
        <w:rPr>
          <w:rFonts w:ascii="Tahoma" w:eastAsia="Times New Roman" w:hAnsi="Tahoma" w:cs="Tahoma"/>
          <w:sz w:val="24"/>
          <w:szCs w:val="24"/>
        </w:rPr>
        <w:lastRenderedPageBreak/>
        <w:t>Au fil du temps, l'école a élargi son rayonnement au niveau du continent africain en octroyant des bourses à des étudiants originaires d'autres pays africains, consolidant ainsi son rôle en tant que centre de recherche et d’enseignement dans le domaine forestier. L’extension de l'école et la construction de nouveaux laboratoires ont également dynamisé les activités de recherche forestière.</w:t>
      </w:r>
    </w:p>
    <w:p w:rsidR="000A7532" w:rsidRPr="002462E6" w:rsidRDefault="000A7532" w:rsidP="000A7532">
      <w:pPr>
        <w:widowControl w:val="0"/>
        <w:autoSpaceDE w:val="0"/>
        <w:autoSpaceDN w:val="0"/>
        <w:spacing w:before="160" w:after="0" w:line="360" w:lineRule="auto"/>
        <w:ind w:right="4"/>
        <w:jc w:val="both"/>
        <w:rPr>
          <w:rFonts w:ascii="Tahoma" w:eastAsia="Times New Roman" w:hAnsi="Tahoma" w:cs="Tahoma"/>
          <w:sz w:val="24"/>
          <w:szCs w:val="24"/>
        </w:rPr>
      </w:pPr>
      <w:r w:rsidRPr="002462E6">
        <w:rPr>
          <w:rFonts w:ascii="Tahoma" w:eastAsia="Times New Roman" w:hAnsi="Tahoma" w:cs="Tahoma"/>
          <w:sz w:val="24"/>
          <w:szCs w:val="24"/>
        </w:rPr>
        <w:t xml:space="preserve">Le corps enseignant était conscient de l'ampleur du défi à relever pour préparer des professionnels compétents à la fois sur les plans scientifique et humain au sein de l'Administration des Eaux et Forêts. En effet, une formation adéquate ne suffit pas à elle seule pour exercer cette </w:t>
      </w:r>
      <w:r w:rsidR="00ED249E" w:rsidRPr="002462E6">
        <w:rPr>
          <w:rFonts w:ascii="Tahoma" w:eastAsia="Times New Roman" w:hAnsi="Tahoma" w:cs="Tahoma"/>
          <w:sz w:val="24"/>
          <w:szCs w:val="24"/>
        </w:rPr>
        <w:t>profession ;</w:t>
      </w:r>
      <w:r w:rsidRPr="002462E6">
        <w:rPr>
          <w:rFonts w:ascii="Tahoma" w:eastAsia="Times New Roman" w:hAnsi="Tahoma" w:cs="Tahoma"/>
          <w:sz w:val="24"/>
          <w:szCs w:val="24"/>
        </w:rPr>
        <w:t xml:space="preserve"> certaines qualités morales s’avèrent également indispensables. Il est primordial d'inculquer alors aux futurs ingénieurs un sens aigu du devoir, de leur faire prendre conscience des responsabilités qui les attendent et de renforcer les qualités les plus utiles pour leur carrière</w:t>
      </w:r>
      <w:r w:rsidRPr="002462E6">
        <w:rPr>
          <w:rFonts w:ascii="Tahoma" w:eastAsia="Times New Roman" w:hAnsi="Tahoma" w:cs="Tahoma"/>
          <w:sz w:val="24"/>
          <w:szCs w:val="24"/>
          <w:vertAlign w:val="superscript"/>
        </w:rPr>
        <w:footnoteReference w:id="223"/>
      </w:r>
      <w:r w:rsidRPr="002462E6">
        <w:rPr>
          <w:rFonts w:ascii="Tahoma" w:eastAsia="Times New Roman" w:hAnsi="Tahoma" w:cs="Tahoma"/>
          <w:sz w:val="24"/>
          <w:szCs w:val="24"/>
        </w:rPr>
        <w:t>.</w:t>
      </w:r>
    </w:p>
    <w:p w:rsidR="000A7532" w:rsidRPr="002462E6" w:rsidRDefault="000A7532" w:rsidP="000A7532">
      <w:pPr>
        <w:widowControl w:val="0"/>
        <w:autoSpaceDE w:val="0"/>
        <w:autoSpaceDN w:val="0"/>
        <w:spacing w:before="160" w:after="0" w:line="360" w:lineRule="auto"/>
        <w:ind w:right="4"/>
        <w:jc w:val="both"/>
        <w:rPr>
          <w:rFonts w:ascii="Tahoma" w:eastAsia="Times New Roman" w:hAnsi="Tahoma" w:cs="Tahoma"/>
          <w:sz w:val="24"/>
          <w:szCs w:val="24"/>
        </w:rPr>
      </w:pPr>
      <w:r w:rsidRPr="002462E6">
        <w:rPr>
          <w:rFonts w:ascii="Tahoma" w:eastAsia="Times New Roman" w:hAnsi="Tahoma" w:cs="Tahoma"/>
          <w:sz w:val="24"/>
          <w:szCs w:val="24"/>
        </w:rPr>
        <w:t>Les missions des forestiers peuvent s'avérer complexes, voire ingrates, notamment dans les pays méditerranéens où une grande partie de la population dépend des ressources forestières pour sa subsistance et utilise ces espaces pour faire paître ses animaux. Parallèlement, la forêt joue un rôle essentiel dans la lutte contre l'érosion, particulièrement dans un climat méditerranéen souvent difficile. Les professionnels de la forêt sont confrontés à de nombreux défis, notamment la nécessité de combattre les infractions et de sensibiliser les communautés locales à la compréhension des principes fondamentaux de l'économie forestière.</w:t>
      </w:r>
    </w:p>
    <w:p w:rsidR="000A7532" w:rsidRPr="002462E6" w:rsidRDefault="000A7532" w:rsidP="005829EB">
      <w:pPr>
        <w:widowControl w:val="0"/>
        <w:autoSpaceDE w:val="0"/>
        <w:autoSpaceDN w:val="0"/>
        <w:spacing w:before="160" w:after="0" w:line="360" w:lineRule="auto"/>
        <w:ind w:right="4"/>
        <w:jc w:val="both"/>
        <w:rPr>
          <w:rFonts w:ascii="Tahoma" w:eastAsia="Times New Roman" w:hAnsi="Tahoma" w:cs="Tahoma"/>
          <w:sz w:val="24"/>
          <w:szCs w:val="24"/>
        </w:rPr>
      </w:pPr>
      <w:r w:rsidRPr="002462E6">
        <w:rPr>
          <w:rFonts w:ascii="Tahoma" w:eastAsia="Times New Roman" w:hAnsi="Tahoma" w:cs="Tahoma"/>
          <w:sz w:val="24"/>
          <w:szCs w:val="24"/>
        </w:rPr>
        <w:t xml:space="preserve">En outre, la profession de forestier ne se prête guère à l'obtention de résultats immédiats. C'est un métier orienté vers l'avenir, souvent sans garantie de récolter les fruits de son travail.  Toutefois, certains atouts peuvent être mis en avant, tels que le travail en plein air, au contact direct avec la nature, ainsi que la noblesse de la mission des forestiers, qui constituent les gardiens des richesses naturelles. Les principales responsabilités de l'Administration des Eaux Forêts consiste à gérer les forêts et les terrains de pâturage, à lutter contre l'érosion afin de préserver le capital sol, ainsi qu'à contrôler les ressources cynégétiques et piscicoles. Ainsi, le forestier a la noble tâche de transmettre ces richesses </w:t>
      </w:r>
      <w:r w:rsidRPr="002462E6">
        <w:rPr>
          <w:rFonts w:ascii="Tahoma" w:eastAsia="Times New Roman" w:hAnsi="Tahoma" w:cs="Tahoma"/>
          <w:sz w:val="24"/>
          <w:szCs w:val="24"/>
        </w:rPr>
        <w:lastRenderedPageBreak/>
        <w:t>préservées, voire enrichies, aux générations futures</w:t>
      </w:r>
    </w:p>
    <w:p w:rsidR="00010E11" w:rsidRPr="002462E6" w:rsidRDefault="000A7532" w:rsidP="000A7532">
      <w:pPr>
        <w:widowControl w:val="0"/>
        <w:autoSpaceDE w:val="0"/>
        <w:autoSpaceDN w:val="0"/>
        <w:spacing w:before="77" w:after="0" w:line="360" w:lineRule="auto"/>
        <w:ind w:right="4"/>
        <w:jc w:val="both"/>
        <w:rPr>
          <w:rFonts w:ascii="Tahoma" w:eastAsia="Times New Roman" w:hAnsi="Tahoma" w:cs="Tahoma"/>
          <w:sz w:val="24"/>
          <w:szCs w:val="24"/>
        </w:rPr>
      </w:pPr>
      <w:r w:rsidRPr="002462E6">
        <w:rPr>
          <w:rFonts w:ascii="Tahoma" w:eastAsia="Times New Roman" w:hAnsi="Tahoma" w:cs="Tahoma"/>
          <w:sz w:val="24"/>
          <w:szCs w:val="24"/>
        </w:rPr>
        <w:t>Depuis sa création en 1968 jusqu'à l'an 2022, l'École Nationale Forestière d'Ingénieurs (ENFI) a formé un total de 1358 ingénieurs des Eaux et Forêts. Parmi eux, 980 marocains, représentant 72 % des diplômés, tandis que 378 provenaient de l'étranger, soit 28 %, issus de 29 nationalités différentes</w:t>
      </w:r>
      <w:r w:rsidRPr="002462E6">
        <w:rPr>
          <w:rFonts w:ascii="Times New Roman" w:eastAsia="Times New Roman" w:hAnsi="Times New Roman" w:cs="Times New Roman"/>
          <w:sz w:val="24"/>
          <w:szCs w:val="24"/>
          <w:vertAlign w:val="superscript"/>
        </w:rPr>
        <w:footnoteReference w:id="224"/>
      </w:r>
      <w:r w:rsidRPr="002462E6">
        <w:rPr>
          <w:rFonts w:ascii="Tahoma" w:eastAsia="Times New Roman" w:hAnsi="Tahoma" w:cs="Tahoma"/>
          <w:sz w:val="24"/>
          <w:szCs w:val="24"/>
        </w:rPr>
        <w:t>.</w:t>
      </w:r>
    </w:p>
    <w:p w:rsidR="002676C3" w:rsidRPr="002462E6" w:rsidRDefault="002676C3" w:rsidP="000A7532">
      <w:pPr>
        <w:widowControl w:val="0"/>
        <w:autoSpaceDE w:val="0"/>
        <w:autoSpaceDN w:val="0"/>
        <w:spacing w:before="77" w:after="0" w:line="360" w:lineRule="auto"/>
        <w:ind w:right="4"/>
        <w:jc w:val="both"/>
        <w:rPr>
          <w:rFonts w:ascii="Tahoma" w:eastAsia="Times New Roman" w:hAnsi="Tahoma" w:cs="Tahoma"/>
          <w:sz w:val="10"/>
          <w:szCs w:val="10"/>
        </w:rPr>
      </w:pPr>
    </w:p>
    <w:p w:rsidR="00942E4A" w:rsidRPr="002462E6" w:rsidRDefault="000A7532" w:rsidP="000D57A1">
      <w:pPr>
        <w:pStyle w:val="Sous-titre"/>
      </w:pPr>
      <w:bookmarkStart w:id="183" w:name="_Toc203642503"/>
      <w:bookmarkStart w:id="184" w:name="_Toc201571277"/>
      <w:bookmarkStart w:id="185" w:name="_Toc185696908"/>
      <w:r w:rsidRPr="002462E6">
        <w:t xml:space="preserve">Tableau </w:t>
      </w:r>
      <w:r w:rsidR="00225ED1">
        <w:rPr>
          <w:noProof/>
        </w:rPr>
        <w:fldChar w:fldCharType="begin"/>
      </w:r>
      <w:r w:rsidR="00225ED1">
        <w:rPr>
          <w:noProof/>
        </w:rPr>
        <w:instrText xml:space="preserve"> SEQ Tableau \* ARABIC </w:instrText>
      </w:r>
      <w:r w:rsidR="00225ED1">
        <w:rPr>
          <w:noProof/>
        </w:rPr>
        <w:fldChar w:fldCharType="separate"/>
      </w:r>
      <w:r w:rsidR="00124AFB">
        <w:rPr>
          <w:noProof/>
        </w:rPr>
        <w:t>4</w:t>
      </w:r>
      <w:r w:rsidR="00225ED1">
        <w:rPr>
          <w:noProof/>
        </w:rPr>
        <w:fldChar w:fldCharType="end"/>
      </w:r>
      <w:r w:rsidR="00EC5E5B" w:rsidRPr="002462E6">
        <w:t> :</w:t>
      </w:r>
      <w:r w:rsidRPr="002462E6">
        <w:t xml:space="preserve"> Nombre des élèves ingénieurs étrangers formés à l'ENFI,</w:t>
      </w:r>
      <w:bookmarkEnd w:id="183"/>
    </w:p>
    <w:p w:rsidR="00FC1CAD" w:rsidRPr="002462E6" w:rsidRDefault="000A7532" w:rsidP="000D57A1">
      <w:pPr>
        <w:pStyle w:val="Sous-titre"/>
        <w:rPr>
          <w:kern w:val="36"/>
          <w:sz w:val="48"/>
          <w:szCs w:val="48"/>
        </w:rPr>
      </w:pPr>
      <w:r w:rsidRPr="002462E6">
        <w:t xml:space="preserve"> entre 1968 et 2022</w:t>
      </w:r>
      <w:bookmarkEnd w:id="184"/>
      <w:r w:rsidR="00FC1CAD" w:rsidRPr="002462E6">
        <w:rPr>
          <w:kern w:val="36"/>
          <w:sz w:val="48"/>
          <w:szCs w:val="48"/>
        </w:rPr>
        <w:t xml:space="preserve"> </w:t>
      </w:r>
    </w:p>
    <w:tbl>
      <w:tblPr>
        <w:tblStyle w:val="Grillemoyenne3-Accent61"/>
        <w:tblW w:w="0" w:type="auto"/>
        <w:tblLook w:val="04A0" w:firstRow="1" w:lastRow="0" w:firstColumn="1" w:lastColumn="0" w:noHBand="0" w:noVBand="1"/>
      </w:tblPr>
      <w:tblGrid>
        <w:gridCol w:w="2529"/>
        <w:gridCol w:w="2379"/>
        <w:gridCol w:w="1732"/>
        <w:gridCol w:w="854"/>
        <w:gridCol w:w="1842"/>
      </w:tblGrid>
      <w:tr w:rsidR="00FC1CAD" w:rsidRPr="002462E6" w:rsidTr="002676C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FC1CAD" w:rsidRPr="002462E6" w:rsidRDefault="00FC1CAD" w:rsidP="00FC1CAD">
            <w:pPr>
              <w:jc w:val="center"/>
              <w:rPr>
                <w:rFonts w:ascii="Times New Roman" w:eastAsia="Times New Roman" w:hAnsi="Times New Roman" w:cs="Times New Roman"/>
                <w:sz w:val="28"/>
                <w:szCs w:val="28"/>
                <w:lang w:eastAsia="fr-FR"/>
              </w:rPr>
            </w:pPr>
            <w:r w:rsidRPr="002462E6">
              <w:rPr>
                <w:rFonts w:ascii="Times New Roman" w:eastAsia="Times New Roman" w:hAnsi="Times New Roman" w:cs="Times New Roman"/>
                <w:sz w:val="28"/>
                <w:szCs w:val="28"/>
                <w:lang w:eastAsia="fr-FR"/>
              </w:rPr>
              <w:t>Nationalités</w:t>
            </w:r>
          </w:p>
        </w:tc>
        <w:tc>
          <w:tcPr>
            <w:tcW w:w="0" w:type="auto"/>
            <w:hideMark/>
          </w:tcPr>
          <w:p w:rsidR="00FC1CAD" w:rsidRPr="002462E6" w:rsidRDefault="00FC1CAD" w:rsidP="00FC1CAD">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8"/>
                <w:szCs w:val="28"/>
                <w:lang w:eastAsia="fr-FR"/>
              </w:rPr>
            </w:pPr>
            <w:r w:rsidRPr="002462E6">
              <w:rPr>
                <w:rFonts w:ascii="Times New Roman" w:eastAsia="Times New Roman" w:hAnsi="Times New Roman" w:cs="Times New Roman"/>
                <w:sz w:val="28"/>
                <w:szCs w:val="28"/>
                <w:lang w:eastAsia="fr-FR"/>
              </w:rPr>
              <w:t>Ingénieur d'Application</w:t>
            </w:r>
          </w:p>
        </w:tc>
        <w:tc>
          <w:tcPr>
            <w:tcW w:w="0" w:type="auto"/>
            <w:hideMark/>
          </w:tcPr>
          <w:p w:rsidR="00FC1CAD" w:rsidRPr="002462E6" w:rsidRDefault="00FC1CAD" w:rsidP="00FC1CAD">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8"/>
                <w:szCs w:val="28"/>
                <w:lang w:eastAsia="fr-FR"/>
              </w:rPr>
            </w:pPr>
            <w:r w:rsidRPr="002462E6">
              <w:rPr>
                <w:rFonts w:ascii="Times New Roman" w:eastAsia="Times New Roman" w:hAnsi="Times New Roman" w:cs="Times New Roman"/>
                <w:sz w:val="28"/>
                <w:szCs w:val="28"/>
                <w:lang w:eastAsia="fr-FR"/>
              </w:rPr>
              <w:t>Ingénieur d'État</w:t>
            </w:r>
          </w:p>
        </w:tc>
        <w:tc>
          <w:tcPr>
            <w:tcW w:w="0" w:type="auto"/>
            <w:hideMark/>
          </w:tcPr>
          <w:p w:rsidR="00FC1CAD" w:rsidRPr="002462E6" w:rsidRDefault="00FC1CAD" w:rsidP="00FC1CAD">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8"/>
                <w:szCs w:val="28"/>
                <w:lang w:eastAsia="fr-FR"/>
              </w:rPr>
            </w:pPr>
            <w:r w:rsidRPr="002462E6">
              <w:rPr>
                <w:rFonts w:ascii="Times New Roman" w:eastAsia="Times New Roman" w:hAnsi="Times New Roman" w:cs="Times New Roman"/>
                <w:sz w:val="28"/>
                <w:szCs w:val="28"/>
                <w:lang w:eastAsia="fr-FR"/>
              </w:rPr>
              <w:t>Total</w:t>
            </w:r>
          </w:p>
        </w:tc>
        <w:tc>
          <w:tcPr>
            <w:tcW w:w="0" w:type="auto"/>
            <w:hideMark/>
          </w:tcPr>
          <w:p w:rsidR="00FC1CAD" w:rsidRPr="002462E6" w:rsidRDefault="00FC1CAD" w:rsidP="00FC1CAD">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8"/>
                <w:szCs w:val="28"/>
                <w:lang w:eastAsia="fr-FR"/>
              </w:rPr>
            </w:pPr>
            <w:r w:rsidRPr="002462E6">
              <w:rPr>
                <w:rFonts w:ascii="Times New Roman" w:eastAsia="Times New Roman" w:hAnsi="Times New Roman" w:cs="Times New Roman"/>
                <w:sz w:val="28"/>
                <w:szCs w:val="28"/>
                <w:lang w:eastAsia="fr-FR"/>
              </w:rPr>
              <w:t>Nombre de féminins</w:t>
            </w:r>
          </w:p>
        </w:tc>
      </w:tr>
      <w:tr w:rsidR="00FC1CAD" w:rsidRPr="002462E6" w:rsidTr="002676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FC1CAD" w:rsidRPr="002462E6" w:rsidRDefault="00FC1CAD" w:rsidP="00FC1CAD">
            <w:pPr>
              <w:rPr>
                <w:rFonts w:ascii="Times New Roman" w:eastAsia="Times New Roman" w:hAnsi="Times New Roman" w:cs="Times New Roman"/>
                <w:sz w:val="28"/>
                <w:szCs w:val="28"/>
                <w:lang w:eastAsia="fr-FR"/>
              </w:rPr>
            </w:pPr>
            <w:r w:rsidRPr="002462E6">
              <w:rPr>
                <w:rFonts w:ascii="Times New Roman" w:eastAsia="Times New Roman" w:hAnsi="Times New Roman" w:cs="Times New Roman"/>
                <w:sz w:val="28"/>
                <w:szCs w:val="28"/>
                <w:lang w:eastAsia="fr-FR"/>
              </w:rPr>
              <w:t>Maroc</w:t>
            </w:r>
          </w:p>
        </w:tc>
        <w:tc>
          <w:tcPr>
            <w:tcW w:w="0" w:type="auto"/>
            <w:hideMark/>
          </w:tcPr>
          <w:p w:rsidR="00FC1CAD" w:rsidRPr="002462E6" w:rsidRDefault="00FC1CAD" w:rsidP="00FC1CA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8"/>
                <w:szCs w:val="28"/>
                <w:lang w:eastAsia="fr-FR"/>
              </w:rPr>
            </w:pPr>
            <w:r w:rsidRPr="002462E6">
              <w:rPr>
                <w:rFonts w:ascii="Times New Roman" w:eastAsia="Times New Roman" w:hAnsi="Times New Roman" w:cs="Times New Roman"/>
                <w:sz w:val="28"/>
                <w:szCs w:val="28"/>
                <w:lang w:eastAsia="fr-FR"/>
              </w:rPr>
              <w:t>317</w:t>
            </w:r>
          </w:p>
        </w:tc>
        <w:tc>
          <w:tcPr>
            <w:tcW w:w="0" w:type="auto"/>
            <w:hideMark/>
          </w:tcPr>
          <w:p w:rsidR="00FC1CAD" w:rsidRPr="002462E6" w:rsidRDefault="00FC1CAD" w:rsidP="00FC1CA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8"/>
                <w:szCs w:val="28"/>
                <w:lang w:eastAsia="fr-FR"/>
              </w:rPr>
            </w:pPr>
            <w:r w:rsidRPr="002462E6">
              <w:rPr>
                <w:rFonts w:ascii="Times New Roman" w:eastAsia="Times New Roman" w:hAnsi="Times New Roman" w:cs="Times New Roman"/>
                <w:sz w:val="28"/>
                <w:szCs w:val="28"/>
                <w:lang w:eastAsia="fr-FR"/>
              </w:rPr>
              <w:t>663</w:t>
            </w:r>
          </w:p>
        </w:tc>
        <w:tc>
          <w:tcPr>
            <w:tcW w:w="0" w:type="auto"/>
            <w:hideMark/>
          </w:tcPr>
          <w:p w:rsidR="00FC1CAD" w:rsidRPr="002462E6" w:rsidRDefault="00FC1CAD" w:rsidP="00FC1CA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8"/>
                <w:szCs w:val="28"/>
                <w:lang w:eastAsia="fr-FR"/>
              </w:rPr>
            </w:pPr>
            <w:r w:rsidRPr="002462E6">
              <w:rPr>
                <w:rFonts w:ascii="Times New Roman" w:eastAsia="Times New Roman" w:hAnsi="Times New Roman" w:cs="Times New Roman"/>
                <w:sz w:val="28"/>
                <w:szCs w:val="28"/>
                <w:lang w:eastAsia="fr-FR"/>
              </w:rPr>
              <w:t>980</w:t>
            </w:r>
          </w:p>
        </w:tc>
        <w:tc>
          <w:tcPr>
            <w:tcW w:w="0" w:type="auto"/>
            <w:hideMark/>
          </w:tcPr>
          <w:p w:rsidR="00FC1CAD" w:rsidRPr="002462E6" w:rsidRDefault="00FC1CAD" w:rsidP="00FC1CA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8"/>
                <w:szCs w:val="28"/>
                <w:lang w:eastAsia="fr-FR"/>
              </w:rPr>
            </w:pPr>
            <w:r w:rsidRPr="002462E6">
              <w:rPr>
                <w:rFonts w:ascii="Times New Roman" w:eastAsia="Times New Roman" w:hAnsi="Times New Roman" w:cs="Times New Roman"/>
                <w:sz w:val="28"/>
                <w:szCs w:val="28"/>
                <w:lang w:eastAsia="fr-FR"/>
              </w:rPr>
              <w:t>176</w:t>
            </w:r>
          </w:p>
        </w:tc>
      </w:tr>
      <w:tr w:rsidR="00FC1CAD" w:rsidRPr="002462E6" w:rsidTr="002676C3">
        <w:tc>
          <w:tcPr>
            <w:cnfStyle w:val="001000000000" w:firstRow="0" w:lastRow="0" w:firstColumn="1" w:lastColumn="0" w:oddVBand="0" w:evenVBand="0" w:oddHBand="0" w:evenHBand="0" w:firstRowFirstColumn="0" w:firstRowLastColumn="0" w:lastRowFirstColumn="0" w:lastRowLastColumn="0"/>
            <w:tcW w:w="0" w:type="auto"/>
            <w:hideMark/>
          </w:tcPr>
          <w:p w:rsidR="00FC1CAD" w:rsidRPr="002462E6" w:rsidRDefault="00FC1CAD" w:rsidP="00FC1CAD">
            <w:pPr>
              <w:rPr>
                <w:rFonts w:ascii="Times New Roman" w:eastAsia="Times New Roman" w:hAnsi="Times New Roman" w:cs="Times New Roman"/>
                <w:sz w:val="28"/>
                <w:szCs w:val="28"/>
                <w:lang w:eastAsia="fr-FR"/>
              </w:rPr>
            </w:pPr>
            <w:r w:rsidRPr="002462E6">
              <w:rPr>
                <w:rFonts w:ascii="Times New Roman" w:eastAsia="Times New Roman" w:hAnsi="Times New Roman" w:cs="Times New Roman"/>
                <w:sz w:val="28"/>
                <w:szCs w:val="28"/>
                <w:lang w:eastAsia="fr-FR"/>
              </w:rPr>
              <w:t>Algérie</w:t>
            </w:r>
          </w:p>
        </w:tc>
        <w:tc>
          <w:tcPr>
            <w:tcW w:w="0" w:type="auto"/>
            <w:hideMark/>
          </w:tcPr>
          <w:p w:rsidR="00FC1CAD" w:rsidRPr="002462E6" w:rsidRDefault="00FC1CAD" w:rsidP="00FC1CA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8"/>
                <w:szCs w:val="28"/>
                <w:lang w:eastAsia="fr-FR"/>
              </w:rPr>
            </w:pPr>
            <w:r w:rsidRPr="002462E6">
              <w:rPr>
                <w:rFonts w:ascii="Times New Roman" w:eastAsia="Times New Roman" w:hAnsi="Times New Roman" w:cs="Times New Roman"/>
                <w:sz w:val="28"/>
                <w:szCs w:val="28"/>
                <w:lang w:eastAsia="fr-FR"/>
              </w:rPr>
              <w:t>18</w:t>
            </w:r>
          </w:p>
        </w:tc>
        <w:tc>
          <w:tcPr>
            <w:tcW w:w="0" w:type="auto"/>
            <w:hideMark/>
          </w:tcPr>
          <w:p w:rsidR="00FC1CAD" w:rsidRPr="002462E6" w:rsidRDefault="00FC1CAD" w:rsidP="00FC1CA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8"/>
                <w:szCs w:val="28"/>
                <w:lang w:eastAsia="fr-FR"/>
              </w:rPr>
            </w:pPr>
            <w:r w:rsidRPr="002462E6">
              <w:rPr>
                <w:rFonts w:ascii="Times New Roman" w:eastAsia="Times New Roman" w:hAnsi="Times New Roman" w:cs="Times New Roman"/>
                <w:sz w:val="28"/>
                <w:szCs w:val="28"/>
                <w:lang w:eastAsia="fr-FR"/>
              </w:rPr>
              <w:t>-</w:t>
            </w:r>
          </w:p>
        </w:tc>
        <w:tc>
          <w:tcPr>
            <w:tcW w:w="0" w:type="auto"/>
            <w:hideMark/>
          </w:tcPr>
          <w:p w:rsidR="00FC1CAD" w:rsidRPr="002462E6" w:rsidRDefault="00FC1CAD" w:rsidP="00FC1CA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8"/>
                <w:szCs w:val="28"/>
                <w:lang w:eastAsia="fr-FR"/>
              </w:rPr>
            </w:pPr>
            <w:r w:rsidRPr="002462E6">
              <w:rPr>
                <w:rFonts w:ascii="Times New Roman" w:eastAsia="Times New Roman" w:hAnsi="Times New Roman" w:cs="Times New Roman"/>
                <w:sz w:val="28"/>
                <w:szCs w:val="28"/>
                <w:lang w:eastAsia="fr-FR"/>
              </w:rPr>
              <w:t>18</w:t>
            </w:r>
          </w:p>
        </w:tc>
        <w:tc>
          <w:tcPr>
            <w:tcW w:w="0" w:type="auto"/>
            <w:hideMark/>
          </w:tcPr>
          <w:p w:rsidR="00FC1CAD" w:rsidRPr="002462E6" w:rsidRDefault="00FC1CAD" w:rsidP="00FC1CA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8"/>
                <w:szCs w:val="28"/>
                <w:lang w:eastAsia="fr-FR"/>
              </w:rPr>
            </w:pPr>
            <w:r w:rsidRPr="002462E6">
              <w:rPr>
                <w:rFonts w:ascii="Times New Roman" w:eastAsia="Times New Roman" w:hAnsi="Times New Roman" w:cs="Times New Roman"/>
                <w:sz w:val="28"/>
                <w:szCs w:val="28"/>
                <w:lang w:eastAsia="fr-FR"/>
              </w:rPr>
              <w:t>-</w:t>
            </w:r>
          </w:p>
        </w:tc>
      </w:tr>
      <w:tr w:rsidR="00FC1CAD" w:rsidRPr="002462E6" w:rsidTr="002676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FC1CAD" w:rsidRPr="002462E6" w:rsidRDefault="00FC1CAD" w:rsidP="00FC1CAD">
            <w:pPr>
              <w:rPr>
                <w:rFonts w:ascii="Times New Roman" w:eastAsia="Times New Roman" w:hAnsi="Times New Roman" w:cs="Times New Roman"/>
                <w:sz w:val="28"/>
                <w:szCs w:val="28"/>
                <w:lang w:eastAsia="fr-FR"/>
              </w:rPr>
            </w:pPr>
            <w:r w:rsidRPr="002462E6">
              <w:rPr>
                <w:rFonts w:ascii="Times New Roman" w:eastAsia="Times New Roman" w:hAnsi="Times New Roman" w:cs="Times New Roman"/>
                <w:sz w:val="28"/>
                <w:szCs w:val="28"/>
                <w:lang w:eastAsia="fr-FR"/>
              </w:rPr>
              <w:t>Tunisie</w:t>
            </w:r>
          </w:p>
        </w:tc>
        <w:tc>
          <w:tcPr>
            <w:tcW w:w="0" w:type="auto"/>
            <w:hideMark/>
          </w:tcPr>
          <w:p w:rsidR="00FC1CAD" w:rsidRPr="002462E6" w:rsidRDefault="00FC1CAD" w:rsidP="00FC1CA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8"/>
                <w:szCs w:val="28"/>
                <w:lang w:eastAsia="fr-FR"/>
              </w:rPr>
            </w:pPr>
            <w:r w:rsidRPr="002462E6">
              <w:rPr>
                <w:rFonts w:ascii="Times New Roman" w:eastAsia="Times New Roman" w:hAnsi="Times New Roman" w:cs="Times New Roman"/>
                <w:sz w:val="28"/>
                <w:szCs w:val="28"/>
                <w:lang w:eastAsia="fr-FR"/>
              </w:rPr>
              <w:t>96</w:t>
            </w:r>
          </w:p>
        </w:tc>
        <w:tc>
          <w:tcPr>
            <w:tcW w:w="0" w:type="auto"/>
            <w:hideMark/>
          </w:tcPr>
          <w:p w:rsidR="00FC1CAD" w:rsidRPr="002462E6" w:rsidRDefault="00FC1CAD" w:rsidP="00FC1CA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8"/>
                <w:szCs w:val="28"/>
                <w:lang w:eastAsia="fr-FR"/>
              </w:rPr>
            </w:pPr>
            <w:r w:rsidRPr="002462E6">
              <w:rPr>
                <w:rFonts w:ascii="Times New Roman" w:eastAsia="Times New Roman" w:hAnsi="Times New Roman" w:cs="Times New Roman"/>
                <w:sz w:val="28"/>
                <w:szCs w:val="28"/>
                <w:lang w:eastAsia="fr-FR"/>
              </w:rPr>
              <w:t>80</w:t>
            </w:r>
          </w:p>
        </w:tc>
        <w:tc>
          <w:tcPr>
            <w:tcW w:w="0" w:type="auto"/>
            <w:hideMark/>
          </w:tcPr>
          <w:p w:rsidR="00FC1CAD" w:rsidRPr="002462E6" w:rsidRDefault="00FC1CAD" w:rsidP="00FC1CA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8"/>
                <w:szCs w:val="28"/>
                <w:lang w:eastAsia="fr-FR"/>
              </w:rPr>
            </w:pPr>
            <w:r w:rsidRPr="002462E6">
              <w:rPr>
                <w:rFonts w:ascii="Times New Roman" w:eastAsia="Times New Roman" w:hAnsi="Times New Roman" w:cs="Times New Roman"/>
                <w:sz w:val="28"/>
                <w:szCs w:val="28"/>
                <w:lang w:eastAsia="fr-FR"/>
              </w:rPr>
              <w:t>176</w:t>
            </w:r>
          </w:p>
        </w:tc>
        <w:tc>
          <w:tcPr>
            <w:tcW w:w="0" w:type="auto"/>
            <w:hideMark/>
          </w:tcPr>
          <w:p w:rsidR="00FC1CAD" w:rsidRPr="002462E6" w:rsidRDefault="00FC1CAD" w:rsidP="00FC1CA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8"/>
                <w:szCs w:val="28"/>
                <w:lang w:eastAsia="fr-FR"/>
              </w:rPr>
            </w:pPr>
            <w:r w:rsidRPr="002462E6">
              <w:rPr>
                <w:rFonts w:ascii="Times New Roman" w:eastAsia="Times New Roman" w:hAnsi="Times New Roman" w:cs="Times New Roman"/>
                <w:sz w:val="28"/>
                <w:szCs w:val="28"/>
                <w:lang w:eastAsia="fr-FR"/>
              </w:rPr>
              <w:t>04</w:t>
            </w:r>
          </w:p>
        </w:tc>
      </w:tr>
      <w:tr w:rsidR="00FC1CAD" w:rsidRPr="002462E6" w:rsidTr="002676C3">
        <w:tc>
          <w:tcPr>
            <w:cnfStyle w:val="001000000000" w:firstRow="0" w:lastRow="0" w:firstColumn="1" w:lastColumn="0" w:oddVBand="0" w:evenVBand="0" w:oddHBand="0" w:evenHBand="0" w:firstRowFirstColumn="0" w:firstRowLastColumn="0" w:lastRowFirstColumn="0" w:lastRowLastColumn="0"/>
            <w:tcW w:w="0" w:type="auto"/>
            <w:hideMark/>
          </w:tcPr>
          <w:p w:rsidR="00FC1CAD" w:rsidRPr="002462E6" w:rsidRDefault="00FC1CAD" w:rsidP="00FC1CAD">
            <w:pPr>
              <w:rPr>
                <w:rFonts w:ascii="Times New Roman" w:eastAsia="Times New Roman" w:hAnsi="Times New Roman" w:cs="Times New Roman"/>
                <w:sz w:val="28"/>
                <w:szCs w:val="28"/>
                <w:lang w:eastAsia="fr-FR"/>
              </w:rPr>
            </w:pPr>
            <w:r w:rsidRPr="002462E6">
              <w:rPr>
                <w:rFonts w:ascii="Times New Roman" w:eastAsia="Times New Roman" w:hAnsi="Times New Roman" w:cs="Times New Roman"/>
                <w:sz w:val="28"/>
                <w:szCs w:val="28"/>
                <w:lang w:eastAsia="fr-FR"/>
              </w:rPr>
              <w:t>Mauritanie</w:t>
            </w:r>
          </w:p>
        </w:tc>
        <w:tc>
          <w:tcPr>
            <w:tcW w:w="0" w:type="auto"/>
            <w:hideMark/>
          </w:tcPr>
          <w:p w:rsidR="00FC1CAD" w:rsidRPr="002462E6" w:rsidRDefault="00FC1CAD" w:rsidP="00FC1CA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8"/>
                <w:szCs w:val="28"/>
                <w:lang w:eastAsia="fr-FR"/>
              </w:rPr>
            </w:pPr>
            <w:r w:rsidRPr="002462E6">
              <w:rPr>
                <w:rFonts w:ascii="Times New Roman" w:eastAsia="Times New Roman" w:hAnsi="Times New Roman" w:cs="Times New Roman"/>
                <w:sz w:val="28"/>
                <w:szCs w:val="28"/>
                <w:lang w:eastAsia="fr-FR"/>
              </w:rPr>
              <w:t>14</w:t>
            </w:r>
          </w:p>
        </w:tc>
        <w:tc>
          <w:tcPr>
            <w:tcW w:w="0" w:type="auto"/>
            <w:hideMark/>
          </w:tcPr>
          <w:p w:rsidR="00FC1CAD" w:rsidRPr="002462E6" w:rsidRDefault="00FC1CAD" w:rsidP="00FC1CA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8"/>
                <w:szCs w:val="28"/>
                <w:lang w:eastAsia="fr-FR"/>
              </w:rPr>
            </w:pPr>
            <w:r w:rsidRPr="002462E6">
              <w:rPr>
                <w:rFonts w:ascii="Times New Roman" w:eastAsia="Times New Roman" w:hAnsi="Times New Roman" w:cs="Times New Roman"/>
                <w:sz w:val="28"/>
                <w:szCs w:val="28"/>
                <w:lang w:eastAsia="fr-FR"/>
              </w:rPr>
              <w:t>19</w:t>
            </w:r>
          </w:p>
        </w:tc>
        <w:tc>
          <w:tcPr>
            <w:tcW w:w="0" w:type="auto"/>
            <w:hideMark/>
          </w:tcPr>
          <w:p w:rsidR="00FC1CAD" w:rsidRPr="002462E6" w:rsidRDefault="00FC1CAD" w:rsidP="00FC1CA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8"/>
                <w:szCs w:val="28"/>
                <w:lang w:eastAsia="fr-FR"/>
              </w:rPr>
            </w:pPr>
            <w:r w:rsidRPr="002462E6">
              <w:rPr>
                <w:rFonts w:ascii="Times New Roman" w:eastAsia="Times New Roman" w:hAnsi="Times New Roman" w:cs="Times New Roman"/>
                <w:sz w:val="28"/>
                <w:szCs w:val="28"/>
                <w:lang w:eastAsia="fr-FR"/>
              </w:rPr>
              <w:t>33</w:t>
            </w:r>
          </w:p>
        </w:tc>
        <w:tc>
          <w:tcPr>
            <w:tcW w:w="0" w:type="auto"/>
            <w:hideMark/>
          </w:tcPr>
          <w:p w:rsidR="00FC1CAD" w:rsidRPr="002462E6" w:rsidRDefault="00FC1CAD" w:rsidP="00FC1CA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8"/>
                <w:szCs w:val="28"/>
                <w:lang w:eastAsia="fr-FR"/>
              </w:rPr>
            </w:pPr>
            <w:r w:rsidRPr="002462E6">
              <w:rPr>
                <w:rFonts w:ascii="Times New Roman" w:eastAsia="Times New Roman" w:hAnsi="Times New Roman" w:cs="Times New Roman"/>
                <w:sz w:val="28"/>
                <w:szCs w:val="28"/>
                <w:lang w:eastAsia="fr-FR"/>
              </w:rPr>
              <w:t>-</w:t>
            </w:r>
          </w:p>
        </w:tc>
      </w:tr>
      <w:tr w:rsidR="00FC1CAD" w:rsidRPr="002462E6" w:rsidTr="002676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FC1CAD" w:rsidRPr="002462E6" w:rsidRDefault="00FC1CAD" w:rsidP="00FC1CAD">
            <w:pPr>
              <w:rPr>
                <w:rFonts w:ascii="Times New Roman" w:eastAsia="Times New Roman" w:hAnsi="Times New Roman" w:cs="Times New Roman"/>
                <w:sz w:val="28"/>
                <w:szCs w:val="28"/>
                <w:lang w:eastAsia="fr-FR"/>
              </w:rPr>
            </w:pPr>
            <w:r w:rsidRPr="002462E6">
              <w:rPr>
                <w:rFonts w:ascii="Times New Roman" w:eastAsia="Times New Roman" w:hAnsi="Times New Roman" w:cs="Times New Roman"/>
                <w:sz w:val="28"/>
                <w:szCs w:val="28"/>
                <w:lang w:eastAsia="fr-FR"/>
              </w:rPr>
              <w:t>Yémen</w:t>
            </w:r>
          </w:p>
        </w:tc>
        <w:tc>
          <w:tcPr>
            <w:tcW w:w="0" w:type="auto"/>
            <w:hideMark/>
          </w:tcPr>
          <w:p w:rsidR="00FC1CAD" w:rsidRPr="002462E6" w:rsidRDefault="00FC1CAD" w:rsidP="00FC1CA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8"/>
                <w:szCs w:val="28"/>
                <w:lang w:eastAsia="fr-FR"/>
              </w:rPr>
            </w:pPr>
            <w:r w:rsidRPr="002462E6">
              <w:rPr>
                <w:rFonts w:ascii="Times New Roman" w:eastAsia="Times New Roman" w:hAnsi="Times New Roman" w:cs="Times New Roman"/>
                <w:sz w:val="28"/>
                <w:szCs w:val="28"/>
                <w:lang w:eastAsia="fr-FR"/>
              </w:rPr>
              <w:t>-</w:t>
            </w:r>
          </w:p>
        </w:tc>
        <w:tc>
          <w:tcPr>
            <w:tcW w:w="0" w:type="auto"/>
            <w:hideMark/>
          </w:tcPr>
          <w:p w:rsidR="00FC1CAD" w:rsidRPr="002462E6" w:rsidRDefault="00FC1CAD" w:rsidP="00FC1CA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8"/>
                <w:szCs w:val="28"/>
                <w:lang w:eastAsia="fr-FR"/>
              </w:rPr>
            </w:pPr>
            <w:r w:rsidRPr="002462E6">
              <w:rPr>
                <w:rFonts w:ascii="Times New Roman" w:eastAsia="Times New Roman" w:hAnsi="Times New Roman" w:cs="Times New Roman"/>
                <w:sz w:val="28"/>
                <w:szCs w:val="28"/>
                <w:lang w:eastAsia="fr-FR"/>
              </w:rPr>
              <w:t>05</w:t>
            </w:r>
          </w:p>
        </w:tc>
        <w:tc>
          <w:tcPr>
            <w:tcW w:w="0" w:type="auto"/>
            <w:hideMark/>
          </w:tcPr>
          <w:p w:rsidR="00FC1CAD" w:rsidRPr="002462E6" w:rsidRDefault="00FC1CAD" w:rsidP="00FC1CA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8"/>
                <w:szCs w:val="28"/>
                <w:lang w:eastAsia="fr-FR"/>
              </w:rPr>
            </w:pPr>
            <w:r w:rsidRPr="002462E6">
              <w:rPr>
                <w:rFonts w:ascii="Times New Roman" w:eastAsia="Times New Roman" w:hAnsi="Times New Roman" w:cs="Times New Roman"/>
                <w:sz w:val="28"/>
                <w:szCs w:val="28"/>
                <w:lang w:eastAsia="fr-FR"/>
              </w:rPr>
              <w:t>05</w:t>
            </w:r>
          </w:p>
        </w:tc>
        <w:tc>
          <w:tcPr>
            <w:tcW w:w="0" w:type="auto"/>
            <w:hideMark/>
          </w:tcPr>
          <w:p w:rsidR="00FC1CAD" w:rsidRPr="002462E6" w:rsidRDefault="00FC1CAD" w:rsidP="00FC1CA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8"/>
                <w:szCs w:val="28"/>
                <w:lang w:eastAsia="fr-FR"/>
              </w:rPr>
            </w:pPr>
            <w:r w:rsidRPr="002462E6">
              <w:rPr>
                <w:rFonts w:ascii="Times New Roman" w:eastAsia="Times New Roman" w:hAnsi="Times New Roman" w:cs="Times New Roman"/>
                <w:sz w:val="28"/>
                <w:szCs w:val="28"/>
                <w:lang w:eastAsia="fr-FR"/>
              </w:rPr>
              <w:t>-</w:t>
            </w:r>
          </w:p>
        </w:tc>
      </w:tr>
      <w:tr w:rsidR="00FC1CAD" w:rsidRPr="002462E6" w:rsidTr="002676C3">
        <w:tc>
          <w:tcPr>
            <w:cnfStyle w:val="001000000000" w:firstRow="0" w:lastRow="0" w:firstColumn="1" w:lastColumn="0" w:oddVBand="0" w:evenVBand="0" w:oddHBand="0" w:evenHBand="0" w:firstRowFirstColumn="0" w:firstRowLastColumn="0" w:lastRowFirstColumn="0" w:lastRowLastColumn="0"/>
            <w:tcW w:w="0" w:type="auto"/>
            <w:hideMark/>
          </w:tcPr>
          <w:p w:rsidR="00FC1CAD" w:rsidRPr="002462E6" w:rsidRDefault="00FC1CAD" w:rsidP="00FC1CAD">
            <w:pPr>
              <w:rPr>
                <w:rFonts w:ascii="Times New Roman" w:eastAsia="Times New Roman" w:hAnsi="Times New Roman" w:cs="Times New Roman"/>
                <w:sz w:val="28"/>
                <w:szCs w:val="28"/>
                <w:lang w:eastAsia="fr-FR"/>
              </w:rPr>
            </w:pPr>
            <w:r w:rsidRPr="002462E6">
              <w:rPr>
                <w:rFonts w:ascii="Times New Roman" w:eastAsia="Times New Roman" w:hAnsi="Times New Roman" w:cs="Times New Roman"/>
                <w:sz w:val="28"/>
                <w:szCs w:val="28"/>
                <w:lang w:eastAsia="fr-FR"/>
              </w:rPr>
              <w:t>Liban</w:t>
            </w:r>
          </w:p>
        </w:tc>
        <w:tc>
          <w:tcPr>
            <w:tcW w:w="0" w:type="auto"/>
            <w:hideMark/>
          </w:tcPr>
          <w:p w:rsidR="00FC1CAD" w:rsidRPr="002462E6" w:rsidRDefault="00FC1CAD" w:rsidP="00FC1CA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8"/>
                <w:szCs w:val="28"/>
                <w:lang w:eastAsia="fr-FR"/>
              </w:rPr>
            </w:pPr>
            <w:r w:rsidRPr="002462E6">
              <w:rPr>
                <w:rFonts w:ascii="Times New Roman" w:eastAsia="Times New Roman" w:hAnsi="Times New Roman" w:cs="Times New Roman"/>
                <w:sz w:val="28"/>
                <w:szCs w:val="28"/>
                <w:lang w:eastAsia="fr-FR"/>
              </w:rPr>
              <w:t>-</w:t>
            </w:r>
          </w:p>
        </w:tc>
        <w:tc>
          <w:tcPr>
            <w:tcW w:w="0" w:type="auto"/>
            <w:hideMark/>
          </w:tcPr>
          <w:p w:rsidR="00FC1CAD" w:rsidRPr="002462E6" w:rsidRDefault="00FC1CAD" w:rsidP="00FC1CA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8"/>
                <w:szCs w:val="28"/>
                <w:lang w:eastAsia="fr-FR"/>
              </w:rPr>
            </w:pPr>
            <w:r w:rsidRPr="002462E6">
              <w:rPr>
                <w:rFonts w:ascii="Times New Roman" w:eastAsia="Times New Roman" w:hAnsi="Times New Roman" w:cs="Times New Roman"/>
                <w:sz w:val="28"/>
                <w:szCs w:val="28"/>
                <w:lang w:eastAsia="fr-FR"/>
              </w:rPr>
              <w:t>03</w:t>
            </w:r>
          </w:p>
        </w:tc>
        <w:tc>
          <w:tcPr>
            <w:tcW w:w="0" w:type="auto"/>
            <w:hideMark/>
          </w:tcPr>
          <w:p w:rsidR="00FC1CAD" w:rsidRPr="002462E6" w:rsidRDefault="00FC1CAD" w:rsidP="00FC1CA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8"/>
                <w:szCs w:val="28"/>
                <w:lang w:eastAsia="fr-FR"/>
              </w:rPr>
            </w:pPr>
            <w:r w:rsidRPr="002462E6">
              <w:rPr>
                <w:rFonts w:ascii="Times New Roman" w:eastAsia="Times New Roman" w:hAnsi="Times New Roman" w:cs="Times New Roman"/>
                <w:sz w:val="28"/>
                <w:szCs w:val="28"/>
                <w:lang w:eastAsia="fr-FR"/>
              </w:rPr>
              <w:t>03</w:t>
            </w:r>
          </w:p>
        </w:tc>
        <w:tc>
          <w:tcPr>
            <w:tcW w:w="0" w:type="auto"/>
            <w:hideMark/>
          </w:tcPr>
          <w:p w:rsidR="00FC1CAD" w:rsidRPr="002462E6" w:rsidRDefault="00FC1CAD" w:rsidP="00FC1CA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8"/>
                <w:szCs w:val="28"/>
                <w:lang w:eastAsia="fr-FR"/>
              </w:rPr>
            </w:pPr>
            <w:r w:rsidRPr="002462E6">
              <w:rPr>
                <w:rFonts w:ascii="Times New Roman" w:eastAsia="Times New Roman" w:hAnsi="Times New Roman" w:cs="Times New Roman"/>
                <w:sz w:val="28"/>
                <w:szCs w:val="28"/>
                <w:lang w:eastAsia="fr-FR"/>
              </w:rPr>
              <w:t>01</w:t>
            </w:r>
          </w:p>
        </w:tc>
      </w:tr>
      <w:tr w:rsidR="00FC1CAD" w:rsidRPr="002462E6" w:rsidTr="002676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FC1CAD" w:rsidRPr="002462E6" w:rsidRDefault="00FC1CAD" w:rsidP="00FC1CAD">
            <w:pPr>
              <w:rPr>
                <w:rFonts w:ascii="Times New Roman" w:eastAsia="Times New Roman" w:hAnsi="Times New Roman" w:cs="Times New Roman"/>
                <w:sz w:val="28"/>
                <w:szCs w:val="28"/>
                <w:lang w:eastAsia="fr-FR"/>
              </w:rPr>
            </w:pPr>
            <w:r w:rsidRPr="002462E6">
              <w:rPr>
                <w:rFonts w:ascii="Times New Roman" w:eastAsia="Times New Roman" w:hAnsi="Times New Roman" w:cs="Times New Roman"/>
                <w:sz w:val="28"/>
                <w:szCs w:val="28"/>
                <w:lang w:eastAsia="fr-FR"/>
              </w:rPr>
              <w:t>Afrique subsaharienne</w:t>
            </w:r>
          </w:p>
        </w:tc>
        <w:tc>
          <w:tcPr>
            <w:tcW w:w="0" w:type="auto"/>
            <w:hideMark/>
          </w:tcPr>
          <w:p w:rsidR="00FC1CAD" w:rsidRPr="002462E6" w:rsidRDefault="00FC1CAD" w:rsidP="00FC1CA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8"/>
                <w:szCs w:val="28"/>
                <w:lang w:eastAsia="fr-FR"/>
              </w:rPr>
            </w:pPr>
            <w:r w:rsidRPr="002462E6">
              <w:rPr>
                <w:rFonts w:ascii="Times New Roman" w:eastAsia="Times New Roman" w:hAnsi="Times New Roman" w:cs="Times New Roman"/>
                <w:sz w:val="28"/>
                <w:szCs w:val="28"/>
                <w:lang w:eastAsia="fr-FR"/>
              </w:rPr>
              <w:t>33</w:t>
            </w:r>
          </w:p>
        </w:tc>
        <w:tc>
          <w:tcPr>
            <w:tcW w:w="0" w:type="auto"/>
            <w:hideMark/>
          </w:tcPr>
          <w:p w:rsidR="00FC1CAD" w:rsidRPr="002462E6" w:rsidRDefault="00FC1CAD" w:rsidP="00FC1CA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8"/>
                <w:szCs w:val="28"/>
                <w:lang w:eastAsia="fr-FR"/>
              </w:rPr>
            </w:pPr>
            <w:r w:rsidRPr="002462E6">
              <w:rPr>
                <w:rFonts w:ascii="Times New Roman" w:eastAsia="Times New Roman" w:hAnsi="Times New Roman" w:cs="Times New Roman"/>
                <w:sz w:val="28"/>
                <w:szCs w:val="28"/>
                <w:lang w:eastAsia="fr-FR"/>
              </w:rPr>
              <w:t>109</w:t>
            </w:r>
          </w:p>
        </w:tc>
        <w:tc>
          <w:tcPr>
            <w:tcW w:w="0" w:type="auto"/>
            <w:hideMark/>
          </w:tcPr>
          <w:p w:rsidR="00FC1CAD" w:rsidRPr="002462E6" w:rsidRDefault="00FC1CAD" w:rsidP="00FC1CA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8"/>
                <w:szCs w:val="28"/>
                <w:lang w:eastAsia="fr-FR"/>
              </w:rPr>
            </w:pPr>
            <w:r w:rsidRPr="002462E6">
              <w:rPr>
                <w:rFonts w:ascii="Times New Roman" w:eastAsia="Times New Roman" w:hAnsi="Times New Roman" w:cs="Times New Roman"/>
                <w:sz w:val="28"/>
                <w:szCs w:val="28"/>
                <w:lang w:eastAsia="fr-FR"/>
              </w:rPr>
              <w:t>142</w:t>
            </w:r>
          </w:p>
        </w:tc>
        <w:tc>
          <w:tcPr>
            <w:tcW w:w="0" w:type="auto"/>
            <w:hideMark/>
          </w:tcPr>
          <w:p w:rsidR="00FC1CAD" w:rsidRPr="002462E6" w:rsidRDefault="00FC1CAD" w:rsidP="00FC1CA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8"/>
                <w:szCs w:val="28"/>
                <w:lang w:eastAsia="fr-FR"/>
              </w:rPr>
            </w:pPr>
            <w:r w:rsidRPr="002462E6">
              <w:rPr>
                <w:rFonts w:ascii="Times New Roman" w:eastAsia="Times New Roman" w:hAnsi="Times New Roman" w:cs="Times New Roman"/>
                <w:sz w:val="28"/>
                <w:szCs w:val="28"/>
                <w:lang w:eastAsia="fr-FR"/>
              </w:rPr>
              <w:t>14</w:t>
            </w:r>
          </w:p>
        </w:tc>
      </w:tr>
      <w:tr w:rsidR="00FC1CAD" w:rsidRPr="002462E6" w:rsidTr="002676C3">
        <w:tc>
          <w:tcPr>
            <w:cnfStyle w:val="001000000000" w:firstRow="0" w:lastRow="0" w:firstColumn="1" w:lastColumn="0" w:oddVBand="0" w:evenVBand="0" w:oddHBand="0" w:evenHBand="0" w:firstRowFirstColumn="0" w:firstRowLastColumn="0" w:lastRowFirstColumn="0" w:lastRowLastColumn="0"/>
            <w:tcW w:w="0" w:type="auto"/>
            <w:hideMark/>
          </w:tcPr>
          <w:p w:rsidR="00FC1CAD" w:rsidRPr="002462E6" w:rsidRDefault="00FC1CAD" w:rsidP="00FC1CAD">
            <w:pPr>
              <w:rPr>
                <w:rFonts w:ascii="Times New Roman" w:eastAsia="Times New Roman" w:hAnsi="Times New Roman" w:cs="Times New Roman"/>
                <w:sz w:val="28"/>
                <w:szCs w:val="28"/>
                <w:lang w:eastAsia="fr-FR"/>
              </w:rPr>
            </w:pPr>
            <w:r w:rsidRPr="002462E6">
              <w:rPr>
                <w:rFonts w:ascii="Times New Roman" w:eastAsia="Times New Roman" w:hAnsi="Times New Roman" w:cs="Times New Roman"/>
                <w:sz w:val="28"/>
                <w:szCs w:val="28"/>
                <w:lang w:eastAsia="fr-FR"/>
              </w:rPr>
              <w:t>Haïti (Amérique centrale)</w:t>
            </w:r>
          </w:p>
        </w:tc>
        <w:tc>
          <w:tcPr>
            <w:tcW w:w="0" w:type="auto"/>
            <w:hideMark/>
          </w:tcPr>
          <w:p w:rsidR="00FC1CAD" w:rsidRPr="002462E6" w:rsidRDefault="00FC1CAD" w:rsidP="00FC1CA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8"/>
                <w:szCs w:val="28"/>
                <w:lang w:eastAsia="fr-FR"/>
              </w:rPr>
            </w:pPr>
            <w:r w:rsidRPr="002462E6">
              <w:rPr>
                <w:rFonts w:ascii="Times New Roman" w:eastAsia="Times New Roman" w:hAnsi="Times New Roman" w:cs="Times New Roman"/>
                <w:sz w:val="28"/>
                <w:szCs w:val="28"/>
                <w:lang w:eastAsia="fr-FR"/>
              </w:rPr>
              <w:t>-</w:t>
            </w:r>
          </w:p>
        </w:tc>
        <w:tc>
          <w:tcPr>
            <w:tcW w:w="0" w:type="auto"/>
            <w:hideMark/>
          </w:tcPr>
          <w:p w:rsidR="00FC1CAD" w:rsidRPr="002462E6" w:rsidRDefault="00FC1CAD" w:rsidP="00FC1CA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8"/>
                <w:szCs w:val="28"/>
                <w:lang w:eastAsia="fr-FR"/>
              </w:rPr>
            </w:pPr>
            <w:r w:rsidRPr="002462E6">
              <w:rPr>
                <w:rFonts w:ascii="Times New Roman" w:eastAsia="Times New Roman" w:hAnsi="Times New Roman" w:cs="Times New Roman"/>
                <w:sz w:val="28"/>
                <w:szCs w:val="28"/>
                <w:lang w:eastAsia="fr-FR"/>
              </w:rPr>
              <w:t>01</w:t>
            </w:r>
          </w:p>
        </w:tc>
        <w:tc>
          <w:tcPr>
            <w:tcW w:w="0" w:type="auto"/>
            <w:hideMark/>
          </w:tcPr>
          <w:p w:rsidR="00FC1CAD" w:rsidRPr="002462E6" w:rsidRDefault="00FC1CAD" w:rsidP="00FC1CA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8"/>
                <w:szCs w:val="28"/>
                <w:lang w:eastAsia="fr-FR"/>
              </w:rPr>
            </w:pPr>
            <w:r w:rsidRPr="002462E6">
              <w:rPr>
                <w:rFonts w:ascii="Times New Roman" w:eastAsia="Times New Roman" w:hAnsi="Times New Roman" w:cs="Times New Roman"/>
                <w:sz w:val="28"/>
                <w:szCs w:val="28"/>
                <w:lang w:eastAsia="fr-FR"/>
              </w:rPr>
              <w:t>01</w:t>
            </w:r>
          </w:p>
        </w:tc>
        <w:tc>
          <w:tcPr>
            <w:tcW w:w="0" w:type="auto"/>
            <w:hideMark/>
          </w:tcPr>
          <w:p w:rsidR="00FC1CAD" w:rsidRPr="002462E6" w:rsidRDefault="00FC1CAD" w:rsidP="00FC1CA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8"/>
                <w:szCs w:val="28"/>
                <w:lang w:eastAsia="fr-FR"/>
              </w:rPr>
            </w:pPr>
            <w:r w:rsidRPr="002462E6">
              <w:rPr>
                <w:rFonts w:ascii="Times New Roman" w:eastAsia="Times New Roman" w:hAnsi="Times New Roman" w:cs="Times New Roman"/>
                <w:sz w:val="28"/>
                <w:szCs w:val="28"/>
                <w:lang w:eastAsia="fr-FR"/>
              </w:rPr>
              <w:t>01</w:t>
            </w:r>
          </w:p>
        </w:tc>
      </w:tr>
      <w:tr w:rsidR="00FC1CAD" w:rsidRPr="002462E6" w:rsidTr="002676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FC1CAD" w:rsidRPr="002462E6" w:rsidRDefault="00FC1CAD" w:rsidP="00FC1CAD">
            <w:pPr>
              <w:rPr>
                <w:rFonts w:ascii="Times New Roman" w:eastAsia="Times New Roman" w:hAnsi="Times New Roman" w:cs="Times New Roman"/>
                <w:sz w:val="28"/>
                <w:szCs w:val="28"/>
                <w:lang w:eastAsia="fr-FR"/>
              </w:rPr>
            </w:pPr>
            <w:r w:rsidRPr="002462E6">
              <w:rPr>
                <w:rFonts w:ascii="Times New Roman" w:eastAsia="Times New Roman" w:hAnsi="Times New Roman" w:cs="Times New Roman"/>
                <w:sz w:val="28"/>
                <w:szCs w:val="28"/>
                <w:lang w:eastAsia="fr-FR"/>
              </w:rPr>
              <w:t>Total</w:t>
            </w:r>
          </w:p>
        </w:tc>
        <w:tc>
          <w:tcPr>
            <w:tcW w:w="0" w:type="auto"/>
            <w:hideMark/>
          </w:tcPr>
          <w:p w:rsidR="00FC1CAD" w:rsidRPr="002462E6" w:rsidRDefault="00FC1CAD" w:rsidP="00FC1CA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8"/>
                <w:szCs w:val="28"/>
                <w:lang w:eastAsia="fr-FR"/>
              </w:rPr>
            </w:pPr>
            <w:r w:rsidRPr="002462E6">
              <w:rPr>
                <w:rFonts w:ascii="Times New Roman" w:eastAsia="Times New Roman" w:hAnsi="Times New Roman" w:cs="Times New Roman"/>
                <w:b/>
                <w:bCs/>
                <w:sz w:val="28"/>
                <w:szCs w:val="28"/>
                <w:lang w:eastAsia="fr-FR"/>
              </w:rPr>
              <w:t>478</w:t>
            </w:r>
          </w:p>
        </w:tc>
        <w:tc>
          <w:tcPr>
            <w:tcW w:w="0" w:type="auto"/>
            <w:hideMark/>
          </w:tcPr>
          <w:p w:rsidR="00FC1CAD" w:rsidRPr="002462E6" w:rsidRDefault="00FC1CAD" w:rsidP="00FC1CA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8"/>
                <w:szCs w:val="28"/>
                <w:lang w:eastAsia="fr-FR"/>
              </w:rPr>
            </w:pPr>
            <w:r w:rsidRPr="002462E6">
              <w:rPr>
                <w:rFonts w:ascii="Times New Roman" w:eastAsia="Times New Roman" w:hAnsi="Times New Roman" w:cs="Times New Roman"/>
                <w:b/>
                <w:bCs/>
                <w:sz w:val="28"/>
                <w:szCs w:val="28"/>
                <w:lang w:eastAsia="fr-FR"/>
              </w:rPr>
              <w:t>880</w:t>
            </w:r>
          </w:p>
        </w:tc>
        <w:tc>
          <w:tcPr>
            <w:tcW w:w="0" w:type="auto"/>
            <w:hideMark/>
          </w:tcPr>
          <w:p w:rsidR="00FC1CAD" w:rsidRPr="002462E6" w:rsidRDefault="00FC1CAD" w:rsidP="00FC1CA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8"/>
                <w:szCs w:val="28"/>
                <w:lang w:eastAsia="fr-FR"/>
              </w:rPr>
            </w:pPr>
            <w:r w:rsidRPr="002462E6">
              <w:rPr>
                <w:rFonts w:ascii="Times New Roman" w:eastAsia="Times New Roman" w:hAnsi="Times New Roman" w:cs="Times New Roman"/>
                <w:b/>
                <w:bCs/>
                <w:sz w:val="28"/>
                <w:szCs w:val="28"/>
                <w:lang w:eastAsia="fr-FR"/>
              </w:rPr>
              <w:t>1358</w:t>
            </w:r>
          </w:p>
        </w:tc>
        <w:tc>
          <w:tcPr>
            <w:tcW w:w="0" w:type="auto"/>
            <w:hideMark/>
          </w:tcPr>
          <w:p w:rsidR="00FC1CAD" w:rsidRPr="002462E6" w:rsidRDefault="00FC1CAD" w:rsidP="00FC1CA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8"/>
                <w:szCs w:val="28"/>
                <w:lang w:eastAsia="fr-FR"/>
              </w:rPr>
            </w:pPr>
            <w:r w:rsidRPr="002462E6">
              <w:rPr>
                <w:rFonts w:ascii="Times New Roman" w:eastAsia="Times New Roman" w:hAnsi="Times New Roman" w:cs="Times New Roman"/>
                <w:b/>
                <w:bCs/>
                <w:sz w:val="28"/>
                <w:szCs w:val="28"/>
                <w:lang w:eastAsia="fr-FR"/>
              </w:rPr>
              <w:t>196</w:t>
            </w:r>
          </w:p>
        </w:tc>
      </w:tr>
      <w:tr w:rsidR="005829EB" w:rsidRPr="002462E6" w:rsidTr="001462F5">
        <w:tc>
          <w:tcPr>
            <w:cnfStyle w:val="001000000000" w:firstRow="0" w:lastRow="0" w:firstColumn="1" w:lastColumn="0" w:oddVBand="0" w:evenVBand="0" w:oddHBand="0" w:evenHBand="0" w:firstRowFirstColumn="0" w:firstRowLastColumn="0" w:lastRowFirstColumn="0" w:lastRowLastColumn="0"/>
            <w:tcW w:w="0" w:type="auto"/>
          </w:tcPr>
          <w:p w:rsidR="005829EB" w:rsidRPr="002462E6" w:rsidRDefault="005829EB" w:rsidP="00FC1CAD">
            <w:pPr>
              <w:rPr>
                <w:rFonts w:ascii="Times New Roman" w:eastAsia="Times New Roman" w:hAnsi="Times New Roman" w:cs="Times New Roman"/>
                <w:sz w:val="28"/>
                <w:szCs w:val="28"/>
                <w:lang w:eastAsia="fr-FR"/>
              </w:rPr>
            </w:pPr>
            <w:r w:rsidRPr="005829EB">
              <w:rPr>
                <w:rFonts w:ascii="Times New Roman" w:eastAsia="Times New Roman" w:hAnsi="Times New Roman" w:cs="Times New Roman"/>
                <w:sz w:val="28"/>
                <w:szCs w:val="28"/>
                <w:lang w:eastAsia="fr-FR"/>
              </w:rPr>
              <w:t>Total Général</w:t>
            </w:r>
          </w:p>
        </w:tc>
        <w:tc>
          <w:tcPr>
            <w:tcW w:w="0" w:type="auto"/>
            <w:gridSpan w:val="4"/>
          </w:tcPr>
          <w:p w:rsidR="005829EB" w:rsidRPr="005829EB" w:rsidRDefault="005829EB" w:rsidP="00FC1CAD">
            <w:pPr>
              <w:jc w:val="center"/>
              <w:cnfStyle w:val="000000000000" w:firstRow="0" w:lastRow="0" w:firstColumn="0" w:lastColumn="0" w:oddVBand="0" w:evenVBand="0" w:oddHBand="0" w:evenHBand="0" w:firstRowFirstColumn="0" w:firstRowLastColumn="0" w:lastRowFirstColumn="0" w:lastRowLastColumn="0"/>
              <w:rPr>
                <w:rFonts w:ascii="Tahoma" w:eastAsia="Times New Roman" w:hAnsi="Tahoma" w:cs="Tahoma"/>
                <w:b/>
                <w:bCs/>
                <w:sz w:val="28"/>
                <w:szCs w:val="28"/>
                <w:lang w:eastAsia="fr-FR"/>
              </w:rPr>
            </w:pPr>
            <w:r w:rsidRPr="005829EB">
              <w:rPr>
                <w:rFonts w:ascii="Tahoma" w:eastAsia="Times New Roman" w:hAnsi="Tahoma" w:cs="Tahoma"/>
                <w:b/>
                <w:bCs/>
                <w:sz w:val="24"/>
                <w:szCs w:val="24"/>
                <w:lang w:eastAsia="fr-FR"/>
              </w:rPr>
              <w:t>1358 (28% étrangers ; 14% féminin)</w:t>
            </w:r>
          </w:p>
        </w:tc>
      </w:tr>
    </w:tbl>
    <w:bookmarkEnd w:id="185"/>
    <w:p w:rsidR="005F4D5C" w:rsidRPr="005F4D5C" w:rsidRDefault="005F4D5C" w:rsidP="00AB6372">
      <w:pPr>
        <w:spacing w:before="100" w:beforeAutospacing="1" w:after="100" w:afterAutospacing="1" w:line="240" w:lineRule="auto"/>
        <w:jc w:val="center"/>
        <w:rPr>
          <w:rFonts w:ascii="Tahoma" w:eastAsia="Times New Roman" w:hAnsi="Tahoma" w:cs="Tahoma"/>
          <w:b/>
          <w:bCs/>
          <w:sz w:val="20"/>
          <w:szCs w:val="20"/>
        </w:rPr>
      </w:pPr>
      <w:r w:rsidRPr="005F4D5C">
        <w:rPr>
          <w:rFonts w:ascii="Tahoma" w:eastAsia="Times New Roman" w:hAnsi="Tahoma" w:cs="Tahoma"/>
          <w:b/>
          <w:bCs/>
          <w:sz w:val="20"/>
          <w:szCs w:val="20"/>
        </w:rPr>
        <w:t>Source </w:t>
      </w:r>
      <w:r w:rsidRPr="005F4D5C">
        <w:rPr>
          <w:rFonts w:ascii="Tahoma" w:eastAsia="Times New Roman" w:hAnsi="Tahoma" w:cs="Tahoma"/>
          <w:sz w:val="20"/>
          <w:szCs w:val="20"/>
        </w:rPr>
        <w:t>: Brochure de l’ENFI.</w:t>
      </w:r>
    </w:p>
    <w:p w:rsidR="005F4D5C" w:rsidRPr="00126D3C" w:rsidRDefault="005F4D5C" w:rsidP="006D5F85">
      <w:pPr>
        <w:spacing w:before="100" w:beforeAutospacing="1" w:after="100" w:afterAutospacing="1" w:line="240" w:lineRule="auto"/>
        <w:jc w:val="center"/>
        <w:rPr>
          <w:rFonts w:ascii="Times New Roman" w:eastAsia="Times New Roman" w:hAnsi="Times New Roman" w:cs="Times New Roman"/>
          <w:sz w:val="8"/>
          <w:szCs w:val="8"/>
          <w:lang w:eastAsia="fr-FR"/>
        </w:rPr>
      </w:pPr>
    </w:p>
    <w:p w:rsidR="000A7532" w:rsidRPr="002462E6" w:rsidRDefault="000A7532" w:rsidP="003B30D7">
      <w:pPr>
        <w:widowControl w:val="0"/>
        <w:autoSpaceDE w:val="0"/>
        <w:autoSpaceDN w:val="0"/>
        <w:spacing w:after="0" w:line="360" w:lineRule="auto"/>
        <w:ind w:right="4"/>
        <w:jc w:val="both"/>
        <w:rPr>
          <w:rFonts w:ascii="Tahoma" w:eastAsia="Times New Roman" w:hAnsi="Tahoma" w:cs="Tahoma"/>
          <w:sz w:val="24"/>
          <w:szCs w:val="24"/>
        </w:rPr>
      </w:pPr>
      <w:r w:rsidRPr="002462E6">
        <w:rPr>
          <w:rFonts w:ascii="Tahoma" w:eastAsia="Times New Roman" w:hAnsi="Tahoma" w:cs="Tahoma"/>
          <w:sz w:val="24"/>
          <w:szCs w:val="24"/>
        </w:rPr>
        <w:t>Après un demi-siècle d’existence, l’École Nationale Forestière d'Ingénieurs (ENFI) s'affirme comme une institution clé dans le domaine de la formation forestière au Maroc. Elle occupe une position centrale au sein du consortium regroupant l'IAV Hassan II, l'ENA de Meknès et l'INRA de Rabat, où elle joue un rôle majeur dans la formation et la recherche en foresterie, tant au niveau national qu'à l'échelle régionale</w:t>
      </w:r>
      <w:r w:rsidRPr="002462E6">
        <w:rPr>
          <w:rFonts w:ascii="Tahoma" w:eastAsia="Times New Roman" w:hAnsi="Tahoma" w:cs="Tahoma"/>
          <w:sz w:val="24"/>
          <w:szCs w:val="24"/>
          <w:vertAlign w:val="superscript"/>
        </w:rPr>
        <w:footnoteReference w:id="225"/>
      </w:r>
      <w:r w:rsidRPr="002462E6">
        <w:rPr>
          <w:rFonts w:ascii="Tahoma" w:eastAsia="Times New Roman" w:hAnsi="Tahoma" w:cs="Tahoma"/>
          <w:sz w:val="24"/>
          <w:szCs w:val="24"/>
        </w:rPr>
        <w:t>.</w:t>
      </w:r>
    </w:p>
    <w:p w:rsidR="000A7532" w:rsidRDefault="000A7532" w:rsidP="000A7532">
      <w:pPr>
        <w:widowControl w:val="0"/>
        <w:autoSpaceDE w:val="0"/>
        <w:autoSpaceDN w:val="0"/>
        <w:spacing w:before="94" w:after="0" w:line="360" w:lineRule="auto"/>
        <w:ind w:right="4"/>
        <w:jc w:val="both"/>
        <w:rPr>
          <w:rFonts w:ascii="Tahoma" w:eastAsia="Times New Roman" w:hAnsi="Tahoma" w:cs="Tahoma"/>
          <w:sz w:val="24"/>
          <w:szCs w:val="24"/>
        </w:rPr>
      </w:pPr>
      <w:r w:rsidRPr="002462E6">
        <w:rPr>
          <w:rFonts w:ascii="Tahoma" w:eastAsia="Times New Roman" w:hAnsi="Tahoma" w:cs="Tahoma"/>
          <w:sz w:val="24"/>
          <w:szCs w:val="24"/>
        </w:rPr>
        <w:t xml:space="preserve">Actuellement, l'École Nationale Forestière d'Ingénieurs (ENFI) est reconnue comme un </w:t>
      </w:r>
      <w:r w:rsidRPr="002462E6">
        <w:rPr>
          <w:rFonts w:ascii="Tahoma" w:eastAsia="Times New Roman" w:hAnsi="Tahoma" w:cs="Tahoma"/>
          <w:sz w:val="24"/>
          <w:szCs w:val="24"/>
        </w:rPr>
        <w:lastRenderedPageBreak/>
        <w:t>établissement de formation de cadres supérieurs de catégorie « A », rattachée au Ministère de l’Agriculture, de la Pêche Maritime, du Développement Rural et des Eaux et Forêts (MAPMDREF). Son administration est assurée par un directeur, assisté d'un directeur des études, d'un directeur de la formation militaire, ainsi que d'un secrétaire général, qui est chargé de la gestion des différentes entités de l'école, comme l'illustre l'organigramme ci-dessous.</w:t>
      </w:r>
    </w:p>
    <w:p w:rsidR="006D5F85" w:rsidRPr="002462E6" w:rsidRDefault="006D5F85" w:rsidP="000A7532">
      <w:pPr>
        <w:widowControl w:val="0"/>
        <w:autoSpaceDE w:val="0"/>
        <w:autoSpaceDN w:val="0"/>
        <w:spacing w:before="94" w:after="0" w:line="360" w:lineRule="auto"/>
        <w:ind w:right="4"/>
        <w:jc w:val="both"/>
        <w:rPr>
          <w:rFonts w:ascii="Tahoma" w:eastAsia="Times New Roman" w:hAnsi="Tahoma" w:cs="Tahoma"/>
          <w:sz w:val="24"/>
          <w:szCs w:val="24"/>
        </w:rPr>
      </w:pPr>
    </w:p>
    <w:p w:rsidR="000A7532" w:rsidRPr="002462E6" w:rsidRDefault="000A7532" w:rsidP="000D57A1">
      <w:pPr>
        <w:pStyle w:val="Sous-titre"/>
      </w:pPr>
      <w:bookmarkStart w:id="186" w:name="_Toc185696925"/>
      <w:bookmarkStart w:id="187" w:name="_Toc201571201"/>
      <w:bookmarkStart w:id="188" w:name="_Toc203642800"/>
      <w:r w:rsidRPr="002462E6">
        <w:t xml:space="preserve">Figure </w:t>
      </w:r>
      <w:r w:rsidR="00225ED1">
        <w:rPr>
          <w:noProof/>
        </w:rPr>
        <w:fldChar w:fldCharType="begin"/>
      </w:r>
      <w:r w:rsidR="00225ED1">
        <w:rPr>
          <w:noProof/>
        </w:rPr>
        <w:instrText xml:space="preserve"> SEQ Figure \* ARABIC </w:instrText>
      </w:r>
      <w:r w:rsidR="00225ED1">
        <w:rPr>
          <w:noProof/>
        </w:rPr>
        <w:fldChar w:fldCharType="separate"/>
      </w:r>
      <w:r w:rsidR="00124AFB">
        <w:rPr>
          <w:noProof/>
        </w:rPr>
        <w:t>8</w:t>
      </w:r>
      <w:r w:rsidR="00225ED1">
        <w:rPr>
          <w:noProof/>
        </w:rPr>
        <w:fldChar w:fldCharType="end"/>
      </w:r>
      <w:r w:rsidR="00010E11" w:rsidRPr="002462E6">
        <w:t> :</w:t>
      </w:r>
      <w:r w:rsidR="006B3DFE" w:rsidRPr="002462E6">
        <w:t xml:space="preserve"> Organigramme de l'EN</w:t>
      </w:r>
      <w:r w:rsidRPr="002462E6">
        <w:t>FI</w:t>
      </w:r>
      <w:bookmarkEnd w:id="186"/>
      <w:bookmarkEnd w:id="187"/>
      <w:bookmarkEnd w:id="188"/>
    </w:p>
    <w:p w:rsidR="00DC06AE" w:rsidRPr="002462E6" w:rsidRDefault="009D0024" w:rsidP="00DC06AE">
      <w:pPr>
        <w:rPr>
          <w:sz w:val="2"/>
          <w:szCs w:val="2"/>
          <w:lang w:eastAsia="fr-FR"/>
        </w:rPr>
      </w:pPr>
      <w:r w:rsidRPr="002462E6">
        <w:rPr>
          <w:rFonts w:ascii="Poppins" w:hAnsi="Poppins" w:cs="Times New Roman"/>
          <w:noProof/>
          <w:color w:val="777777"/>
          <w:sz w:val="21"/>
          <w:szCs w:val="21"/>
          <w:lang w:eastAsia="fr-FR"/>
        </w:rPr>
        <w:drawing>
          <wp:anchor distT="0" distB="0" distL="114300" distR="114300" simplePos="0" relativeHeight="251668480" behindDoc="1" locked="0" layoutInCell="1" allowOverlap="1" wp14:anchorId="1A550408" wp14:editId="4A885549">
            <wp:simplePos x="0" y="0"/>
            <wp:positionH relativeFrom="column">
              <wp:posOffset>104140</wp:posOffset>
            </wp:positionH>
            <wp:positionV relativeFrom="paragraph">
              <wp:posOffset>41910</wp:posOffset>
            </wp:positionV>
            <wp:extent cx="5803900" cy="6007100"/>
            <wp:effectExtent l="0" t="0" r="6350" b="0"/>
            <wp:wrapTight wrapText="bothSides">
              <wp:wrapPolygon edited="0">
                <wp:start x="0" y="0"/>
                <wp:lineTo x="0" y="21509"/>
                <wp:lineTo x="21553" y="21509"/>
                <wp:lineTo x="21553" y="0"/>
                <wp:lineTo x="0" y="0"/>
              </wp:wrapPolygon>
            </wp:wrapTight>
            <wp:docPr id="19" name="Image 19" descr="https://enfi.ac.ma/wp-content/uploads/2020/12/organigramm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enfi.ac.ma/wp-content/uploads/2020/12/organigramme.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803900" cy="600710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BA6530" w:rsidRDefault="00BA6530" w:rsidP="006D5F85">
      <w:pPr>
        <w:widowControl w:val="0"/>
        <w:autoSpaceDE w:val="0"/>
        <w:autoSpaceDN w:val="0"/>
        <w:spacing w:before="94" w:after="0" w:line="360" w:lineRule="auto"/>
        <w:ind w:right="4"/>
        <w:jc w:val="center"/>
        <w:rPr>
          <w:rFonts w:ascii="Tahoma" w:eastAsia="Times New Roman" w:hAnsi="Tahoma" w:cs="Tahoma"/>
          <w:b/>
          <w:bCs/>
          <w:sz w:val="20"/>
          <w:szCs w:val="20"/>
        </w:rPr>
      </w:pPr>
    </w:p>
    <w:p w:rsidR="00DA1C36" w:rsidRPr="002462E6" w:rsidRDefault="000A7532" w:rsidP="006D5F85">
      <w:pPr>
        <w:widowControl w:val="0"/>
        <w:autoSpaceDE w:val="0"/>
        <w:autoSpaceDN w:val="0"/>
        <w:spacing w:before="94" w:after="0" w:line="360" w:lineRule="auto"/>
        <w:ind w:right="4"/>
        <w:jc w:val="center"/>
        <w:rPr>
          <w:rFonts w:ascii="Tahoma" w:eastAsia="Times New Roman" w:hAnsi="Tahoma" w:cs="Tahoma"/>
          <w:sz w:val="24"/>
          <w:szCs w:val="24"/>
        </w:rPr>
      </w:pPr>
      <w:r w:rsidRPr="002462E6">
        <w:rPr>
          <w:rFonts w:ascii="Tahoma" w:eastAsia="Times New Roman" w:hAnsi="Tahoma" w:cs="Tahoma"/>
          <w:b/>
          <w:bCs/>
          <w:sz w:val="20"/>
          <w:szCs w:val="20"/>
        </w:rPr>
        <w:lastRenderedPageBreak/>
        <w:t>Source</w:t>
      </w:r>
      <w:r w:rsidRPr="002462E6">
        <w:rPr>
          <w:rFonts w:ascii="Tahoma" w:eastAsia="Times New Roman" w:hAnsi="Tahoma" w:cs="Tahoma"/>
          <w:b/>
          <w:bCs/>
          <w:i/>
          <w:iCs/>
          <w:sz w:val="20"/>
          <w:szCs w:val="20"/>
        </w:rPr>
        <w:t> :</w:t>
      </w:r>
      <w:r w:rsidRPr="002462E6">
        <w:rPr>
          <w:rFonts w:ascii="Tahoma" w:eastAsia="Times New Roman" w:hAnsi="Tahoma" w:cs="Tahoma"/>
          <w:sz w:val="20"/>
          <w:szCs w:val="20"/>
        </w:rPr>
        <w:t xml:space="preserve"> site de l’ENFI</w:t>
      </w:r>
      <w:r w:rsidRPr="002462E6">
        <w:rPr>
          <w:rFonts w:ascii="Tahoma" w:eastAsia="Times New Roman" w:hAnsi="Tahoma" w:cs="Tahoma"/>
          <w:sz w:val="20"/>
          <w:szCs w:val="20"/>
          <w:vertAlign w:val="superscript"/>
        </w:rPr>
        <w:footnoteReference w:id="226"/>
      </w:r>
    </w:p>
    <w:p w:rsidR="000A7532" w:rsidRPr="002462E6" w:rsidRDefault="000A7532" w:rsidP="00DA1C36">
      <w:pPr>
        <w:widowControl w:val="0"/>
        <w:autoSpaceDE w:val="0"/>
        <w:autoSpaceDN w:val="0"/>
        <w:spacing w:before="94" w:after="0" w:line="360" w:lineRule="auto"/>
        <w:ind w:right="4"/>
        <w:rPr>
          <w:rFonts w:ascii="Tahoma" w:eastAsia="Times New Roman" w:hAnsi="Tahoma" w:cs="Tahoma"/>
          <w:sz w:val="20"/>
          <w:szCs w:val="20"/>
        </w:rPr>
      </w:pPr>
      <w:r w:rsidRPr="002462E6">
        <w:rPr>
          <w:rFonts w:ascii="Tahoma" w:eastAsia="Times New Roman" w:hAnsi="Tahoma" w:cs="Tahoma"/>
          <w:sz w:val="24"/>
          <w:szCs w:val="24"/>
        </w:rPr>
        <w:t>Les principales missions de l'École Nationale Forestière d'Ingénieurs (ENFI) comprennent :</w:t>
      </w:r>
    </w:p>
    <w:p w:rsidR="000A7532" w:rsidRPr="002462E6" w:rsidRDefault="000A7532" w:rsidP="00BA6530">
      <w:pPr>
        <w:widowControl w:val="0"/>
        <w:numPr>
          <w:ilvl w:val="0"/>
          <w:numId w:val="9"/>
        </w:numPr>
        <w:autoSpaceDE w:val="0"/>
        <w:autoSpaceDN w:val="0"/>
        <w:spacing w:after="0" w:line="360" w:lineRule="auto"/>
        <w:ind w:right="4"/>
        <w:jc w:val="both"/>
        <w:rPr>
          <w:rFonts w:ascii="Tahoma" w:eastAsia="Times New Roman" w:hAnsi="Tahoma" w:cs="Tahoma"/>
          <w:sz w:val="24"/>
          <w:szCs w:val="24"/>
        </w:rPr>
      </w:pPr>
      <w:r w:rsidRPr="002462E6">
        <w:rPr>
          <w:rFonts w:ascii="Tahoma" w:eastAsia="Times New Roman" w:hAnsi="Tahoma" w:cs="Tahoma"/>
          <w:sz w:val="24"/>
          <w:szCs w:val="24"/>
        </w:rPr>
        <w:t>La formation d'ingénieurs en Eaux et Forêts, destinée non seulement au Maroc, mais également aux pays du Maghreb, d'Afrique subsaharienne et de la région MENA ;</w:t>
      </w:r>
    </w:p>
    <w:p w:rsidR="000A7532" w:rsidRPr="002462E6" w:rsidRDefault="000A7532" w:rsidP="00BA6530">
      <w:pPr>
        <w:widowControl w:val="0"/>
        <w:numPr>
          <w:ilvl w:val="0"/>
          <w:numId w:val="9"/>
        </w:numPr>
        <w:autoSpaceDE w:val="0"/>
        <w:autoSpaceDN w:val="0"/>
        <w:spacing w:after="0" w:line="360" w:lineRule="auto"/>
        <w:ind w:right="4"/>
        <w:jc w:val="both"/>
        <w:rPr>
          <w:rFonts w:ascii="Tahoma" w:eastAsia="Times New Roman" w:hAnsi="Tahoma" w:cs="Tahoma"/>
          <w:sz w:val="24"/>
          <w:szCs w:val="24"/>
        </w:rPr>
      </w:pPr>
      <w:r w:rsidRPr="002462E6">
        <w:rPr>
          <w:rFonts w:ascii="Tahoma" w:eastAsia="Times New Roman" w:hAnsi="Tahoma" w:cs="Tahoma"/>
          <w:sz w:val="24"/>
          <w:szCs w:val="24"/>
        </w:rPr>
        <w:t>La participation à la formation d'autres diplômes (Ingénieur, Master et Doctorat) en partenariat avec diverses institutions marocaines et internationales, par le biais de cours, de conférences, et en encadrant mémoires et thèses ;</w:t>
      </w:r>
    </w:p>
    <w:p w:rsidR="000A7532" w:rsidRPr="002462E6" w:rsidRDefault="000A7532" w:rsidP="00BA6530">
      <w:pPr>
        <w:widowControl w:val="0"/>
        <w:numPr>
          <w:ilvl w:val="0"/>
          <w:numId w:val="9"/>
        </w:numPr>
        <w:autoSpaceDE w:val="0"/>
        <w:autoSpaceDN w:val="0"/>
        <w:spacing w:after="0" w:line="360" w:lineRule="auto"/>
        <w:ind w:right="4"/>
        <w:jc w:val="both"/>
        <w:rPr>
          <w:rFonts w:ascii="Tahoma" w:eastAsia="Times New Roman" w:hAnsi="Tahoma" w:cs="Tahoma"/>
          <w:sz w:val="24"/>
          <w:szCs w:val="24"/>
        </w:rPr>
      </w:pPr>
      <w:r w:rsidRPr="002462E6">
        <w:rPr>
          <w:rFonts w:ascii="Tahoma" w:eastAsia="Times New Roman" w:hAnsi="Tahoma" w:cs="Tahoma"/>
          <w:sz w:val="24"/>
          <w:szCs w:val="24"/>
        </w:rPr>
        <w:t>L'organisation et l'animation d'événements scientifiques, techniques et culturels, tels que des séminaires, congrès, colloques et ateliers, à l'échelle nationale et internationale ;</w:t>
      </w:r>
    </w:p>
    <w:p w:rsidR="000A7532" w:rsidRPr="002462E6" w:rsidRDefault="000A7532" w:rsidP="00BA6530">
      <w:pPr>
        <w:widowControl w:val="0"/>
        <w:numPr>
          <w:ilvl w:val="0"/>
          <w:numId w:val="9"/>
        </w:numPr>
        <w:autoSpaceDE w:val="0"/>
        <w:autoSpaceDN w:val="0"/>
        <w:spacing w:after="0" w:line="360" w:lineRule="auto"/>
        <w:ind w:right="4"/>
        <w:jc w:val="both"/>
        <w:rPr>
          <w:rFonts w:ascii="Tahoma" w:eastAsia="Times New Roman" w:hAnsi="Tahoma" w:cs="Tahoma"/>
          <w:sz w:val="24"/>
          <w:szCs w:val="24"/>
        </w:rPr>
      </w:pPr>
      <w:r w:rsidRPr="002462E6">
        <w:rPr>
          <w:rFonts w:ascii="Tahoma" w:eastAsia="Times New Roman" w:hAnsi="Tahoma" w:cs="Tahoma"/>
          <w:sz w:val="24"/>
          <w:szCs w:val="24"/>
        </w:rPr>
        <w:t>La contribution au développement technologique à travers des initiatives au sein du système national de recherche, ainsi que par le biais de programmes de coopération bilatérale et multilatérale ;</w:t>
      </w:r>
    </w:p>
    <w:p w:rsidR="000A7532" w:rsidRPr="002462E6" w:rsidRDefault="000A7532" w:rsidP="000A7532">
      <w:pPr>
        <w:widowControl w:val="0"/>
        <w:autoSpaceDE w:val="0"/>
        <w:autoSpaceDN w:val="0"/>
        <w:spacing w:before="225" w:after="0" w:line="360" w:lineRule="auto"/>
        <w:ind w:right="4"/>
        <w:jc w:val="both"/>
        <w:rPr>
          <w:rFonts w:ascii="Tahoma" w:eastAsia="Times New Roman" w:hAnsi="Tahoma" w:cs="Tahoma"/>
          <w:sz w:val="24"/>
          <w:szCs w:val="24"/>
        </w:rPr>
      </w:pPr>
      <w:r w:rsidRPr="002462E6">
        <w:rPr>
          <w:rFonts w:ascii="Tahoma" w:eastAsia="Times New Roman" w:hAnsi="Tahoma" w:cs="Tahoma"/>
          <w:sz w:val="24"/>
          <w:szCs w:val="24"/>
        </w:rPr>
        <w:t>La diffusion et la vulgarisation des connaissances scientifiques se réalisent à travers la publication d'articles, de livres, de manuels, ainsi que par les actes de divers événements scientifiques.</w:t>
      </w:r>
    </w:p>
    <w:p w:rsidR="000A7532" w:rsidRPr="002462E6" w:rsidRDefault="000A7532" w:rsidP="000A7532">
      <w:pPr>
        <w:widowControl w:val="0"/>
        <w:autoSpaceDE w:val="0"/>
        <w:autoSpaceDN w:val="0"/>
        <w:spacing w:before="94" w:after="0" w:line="360" w:lineRule="auto"/>
        <w:ind w:right="4"/>
        <w:jc w:val="both"/>
        <w:rPr>
          <w:rFonts w:ascii="Tahoma" w:eastAsia="Times New Roman" w:hAnsi="Tahoma" w:cs="Tahoma"/>
          <w:sz w:val="24"/>
          <w:szCs w:val="24"/>
        </w:rPr>
      </w:pPr>
      <w:r w:rsidRPr="002462E6">
        <w:rPr>
          <w:rFonts w:ascii="Tahoma" w:eastAsia="Times New Roman" w:hAnsi="Tahoma" w:cs="Tahoma"/>
          <w:sz w:val="24"/>
          <w:szCs w:val="24"/>
        </w:rPr>
        <w:t>Le cursus à l'ENFI est de type BAC+6 et met particulièrement l’accent sur la conservation, l'aménagement et la gestion des écosystèmes forestiers ainsi que des ressources naturelles.</w:t>
      </w:r>
    </w:p>
    <w:p w:rsidR="000A7532" w:rsidRPr="002462E6" w:rsidRDefault="000A7532" w:rsidP="000A7532">
      <w:pPr>
        <w:widowControl w:val="0"/>
        <w:autoSpaceDE w:val="0"/>
        <w:autoSpaceDN w:val="0"/>
        <w:spacing w:before="1" w:after="0" w:line="369" w:lineRule="auto"/>
        <w:ind w:right="4"/>
        <w:jc w:val="both"/>
        <w:rPr>
          <w:rFonts w:ascii="Tahoma" w:eastAsia="Times New Roman" w:hAnsi="Tahoma" w:cs="Tahoma"/>
          <w:sz w:val="24"/>
          <w:szCs w:val="24"/>
        </w:rPr>
      </w:pPr>
      <w:r w:rsidRPr="002462E6">
        <w:rPr>
          <w:rFonts w:ascii="Tahoma" w:eastAsia="Times New Roman" w:hAnsi="Tahoma" w:cs="Tahoma"/>
          <w:sz w:val="24"/>
          <w:szCs w:val="24"/>
        </w:rPr>
        <w:t>Au fil des ans, l'ENFI a soutenu le développement de la recherche dans divers domaines, tels que l'environnement, la botanique, la faune, les forêts, les pâturages, ainsi que la préservation et la valorisation des ressources forestières, la lutte contre la désertification, l'érosion, et la gestion des zones humides et réserves naturelles, en intégrant des dimensions économiques, sociales et écologiques</w:t>
      </w:r>
      <w:r w:rsidRPr="002462E6">
        <w:rPr>
          <w:rFonts w:ascii="Tahoma" w:eastAsia="Times New Roman" w:hAnsi="Tahoma" w:cs="Tahoma"/>
          <w:sz w:val="24"/>
          <w:szCs w:val="24"/>
          <w:vertAlign w:val="superscript"/>
        </w:rPr>
        <w:footnoteReference w:id="227"/>
      </w:r>
      <w:r w:rsidRPr="002462E6">
        <w:rPr>
          <w:rFonts w:ascii="Tahoma" w:eastAsia="Times New Roman" w:hAnsi="Tahoma" w:cs="Tahoma"/>
          <w:sz w:val="24"/>
          <w:szCs w:val="24"/>
        </w:rPr>
        <w:t xml:space="preserve">. Les travaux scientifiques réalisés dans le cadre des mémoires de troisième cycle, ainsi que ceux des enseignants-chercheurs ont été pris en compte dans l'élaboration des stratégies forestières, agricoles </w:t>
      </w:r>
      <w:r w:rsidRPr="002462E6">
        <w:rPr>
          <w:rFonts w:ascii="Tahoma" w:eastAsia="Times New Roman" w:hAnsi="Tahoma" w:cs="Tahoma"/>
          <w:sz w:val="24"/>
          <w:szCs w:val="24"/>
        </w:rPr>
        <w:lastRenderedPageBreak/>
        <w:t>et des projets de développement des zones de montagne</w:t>
      </w:r>
      <w:r w:rsidRPr="002462E6">
        <w:rPr>
          <w:rFonts w:ascii="Tahoma" w:eastAsia="Times New Roman" w:hAnsi="Tahoma" w:cs="Tahoma"/>
          <w:sz w:val="24"/>
          <w:szCs w:val="24"/>
          <w:vertAlign w:val="superscript"/>
        </w:rPr>
        <w:footnoteReference w:id="228"/>
      </w:r>
      <w:r w:rsidRPr="002462E6">
        <w:rPr>
          <w:rFonts w:ascii="Tahoma" w:eastAsia="Times New Roman" w:hAnsi="Tahoma" w:cs="Tahoma"/>
          <w:sz w:val="24"/>
          <w:szCs w:val="24"/>
        </w:rPr>
        <w:t>.</w:t>
      </w:r>
    </w:p>
    <w:p w:rsidR="000A7532" w:rsidRPr="002462E6" w:rsidRDefault="000A7532" w:rsidP="000A7532">
      <w:pPr>
        <w:widowControl w:val="0"/>
        <w:autoSpaceDE w:val="0"/>
        <w:autoSpaceDN w:val="0"/>
        <w:spacing w:before="226" w:after="0" w:line="352" w:lineRule="auto"/>
        <w:ind w:right="4"/>
        <w:jc w:val="both"/>
        <w:rPr>
          <w:rFonts w:ascii="Tahoma" w:eastAsia="Times New Roman" w:hAnsi="Tahoma" w:cs="Tahoma"/>
          <w:color w:val="212121"/>
          <w:sz w:val="24"/>
        </w:rPr>
      </w:pPr>
      <w:r w:rsidRPr="002462E6">
        <w:rPr>
          <w:rFonts w:ascii="Tahoma" w:eastAsia="Times New Roman" w:hAnsi="Tahoma" w:cs="Tahoma"/>
          <w:color w:val="212121"/>
          <w:sz w:val="24"/>
          <w:szCs w:val="24"/>
        </w:rPr>
        <w:t>Conformément au décret n° 2-92-152 du 26 Kaâda 1413 (18 mai 1993), les</w:t>
      </w:r>
      <w:r w:rsidRPr="002462E6">
        <w:rPr>
          <w:rFonts w:ascii="Tahoma" w:eastAsia="Times New Roman" w:hAnsi="Tahoma" w:cs="Tahoma"/>
          <w:color w:val="212121"/>
          <w:sz w:val="24"/>
        </w:rPr>
        <w:t xml:space="preserve"> élèves ingénieurs étrangers sont admis aux mêmes conditions que les candidats marocains. Les postulants étrangers sont proposés par leur pays via l’Agence Marocaine de Coopération Internationale (AMCI). Leur admission est conditionnée par une évaluation de leur dossier académique par la commission pédagogique et par un examen médical effectué par le médecin militaire de l'ENFI. Chaque année, un quota de 10 places est réservé pour ces nouveaux étudiants étrangers.</w:t>
      </w:r>
    </w:p>
    <w:p w:rsidR="000A7532" w:rsidRPr="002462E6" w:rsidRDefault="000A7532" w:rsidP="000A7532">
      <w:pPr>
        <w:widowControl w:val="0"/>
        <w:autoSpaceDE w:val="0"/>
        <w:autoSpaceDN w:val="0"/>
        <w:spacing w:before="226" w:after="0" w:line="352" w:lineRule="auto"/>
        <w:ind w:right="4"/>
        <w:jc w:val="both"/>
        <w:rPr>
          <w:rFonts w:ascii="Tahoma" w:eastAsia="Times New Roman" w:hAnsi="Tahoma" w:cs="Tahoma"/>
          <w:color w:val="212121"/>
          <w:sz w:val="24"/>
        </w:rPr>
      </w:pPr>
      <w:r w:rsidRPr="002462E6">
        <w:rPr>
          <w:rFonts w:ascii="Tahoma" w:eastAsia="Times New Roman" w:hAnsi="Tahoma" w:cs="Tahoma"/>
          <w:color w:val="212121"/>
          <w:sz w:val="24"/>
          <w:szCs w:val="24"/>
        </w:rPr>
        <w:t>La formation offerte à l'École Nationale Forestière d'Ingénieurs (ENFI) est structurée en trois cycles de deux années chacun, totalisant six ans. Le premier cycle se déroule à l'IAV Hassan II ou à l’ENAM, et vise à fournir les connaissances scientifiques nécessaires à l'étude du milieu naturel et des enseignements en foresterie. Le second cycle propose une formation générale en foresterie, couvrant les techniques et aménagements forestiers ainsi que la gestion des bassins versants, des parcours et des aires protégées et dans le domaine de la conservation et de la valorisation des ressources naturelles.</w:t>
      </w:r>
    </w:p>
    <w:p w:rsidR="000A7532" w:rsidRPr="002462E6" w:rsidRDefault="000A7532" w:rsidP="000A7532">
      <w:pPr>
        <w:widowControl w:val="0"/>
        <w:autoSpaceDE w:val="0"/>
        <w:autoSpaceDN w:val="0"/>
        <w:spacing w:after="0" w:line="360" w:lineRule="auto"/>
        <w:ind w:right="4"/>
        <w:jc w:val="both"/>
        <w:rPr>
          <w:rFonts w:ascii="Tahoma" w:eastAsia="Times New Roman" w:hAnsi="Tahoma" w:cs="Tahoma"/>
          <w:color w:val="212121"/>
          <w:sz w:val="24"/>
          <w:szCs w:val="24"/>
        </w:rPr>
      </w:pPr>
      <w:r w:rsidRPr="002462E6">
        <w:rPr>
          <w:rFonts w:ascii="Tahoma" w:eastAsia="Times New Roman" w:hAnsi="Tahoma" w:cs="Tahoma"/>
          <w:color w:val="212121"/>
          <w:sz w:val="24"/>
          <w:szCs w:val="24"/>
        </w:rPr>
        <w:t>Enfin, le dernier cycle est axé sur la spécialisation, avec six options fondamentales : Aménagement des Forêts, Écologie et Gestion des Ressources Naturelles, Valorisation des Produits Forestiers, Économie Forestière, Gestion des Parcs Nationaux et Géomatique des Ressources Naturelles</w:t>
      </w:r>
      <w:r w:rsidRPr="002462E6">
        <w:rPr>
          <w:rFonts w:ascii="Tahoma" w:eastAsia="Times New Roman" w:hAnsi="Tahoma" w:cs="Tahoma"/>
          <w:color w:val="212121"/>
          <w:sz w:val="24"/>
          <w:szCs w:val="24"/>
          <w:vertAlign w:val="superscript"/>
        </w:rPr>
        <w:footnoteReference w:id="229"/>
      </w:r>
      <w:r w:rsidRPr="002462E6">
        <w:rPr>
          <w:rFonts w:ascii="Tahoma" w:eastAsia="Times New Roman" w:hAnsi="Tahoma" w:cs="Tahoma"/>
          <w:color w:val="212121"/>
          <w:sz w:val="24"/>
          <w:szCs w:val="24"/>
        </w:rPr>
        <w:t>.</w:t>
      </w:r>
    </w:p>
    <w:p w:rsidR="000A7532" w:rsidRPr="002462E6" w:rsidRDefault="000A7532" w:rsidP="000A7532">
      <w:pPr>
        <w:widowControl w:val="0"/>
        <w:autoSpaceDE w:val="0"/>
        <w:autoSpaceDN w:val="0"/>
        <w:spacing w:after="0" w:line="360" w:lineRule="auto"/>
        <w:ind w:right="4"/>
        <w:jc w:val="both"/>
        <w:rPr>
          <w:rFonts w:ascii="Tahoma" w:eastAsia="Times New Roman" w:hAnsi="Tahoma" w:cs="Tahoma"/>
          <w:sz w:val="24"/>
          <w:szCs w:val="24"/>
        </w:rPr>
      </w:pPr>
      <w:r w:rsidRPr="002462E6">
        <w:rPr>
          <w:rFonts w:ascii="Tahoma" w:eastAsia="Times New Roman" w:hAnsi="Tahoma" w:cs="Tahoma"/>
          <w:sz w:val="24"/>
          <w:szCs w:val="24"/>
        </w:rPr>
        <w:t>Les élèves-ingénieurs effectuent également des stages interannuels en foresterie dans les différentes unités de gestion du département des Eaux et Forêts, sous la supervision du responsable de la structure d’accueil. En sixième année, chaque étudiant doit rédiger un mémoire de fin d'études, fondé sur un travail de recherche scientifique, dont la qualité et l'originalité sont évaluées par un jury. Il est important de souligner que la formation militaire intégrée à l’ENFI confère aux lauréats le statut d’officier de réserve.</w:t>
      </w:r>
    </w:p>
    <w:p w:rsidR="000A7532" w:rsidRPr="002462E6" w:rsidRDefault="000A7532" w:rsidP="000A7532">
      <w:pPr>
        <w:widowControl w:val="0"/>
        <w:autoSpaceDE w:val="0"/>
        <w:autoSpaceDN w:val="0"/>
        <w:spacing w:after="0" w:line="360" w:lineRule="auto"/>
        <w:ind w:right="4"/>
        <w:jc w:val="both"/>
        <w:rPr>
          <w:rFonts w:ascii="Tahoma" w:eastAsia="Times New Roman" w:hAnsi="Tahoma" w:cs="Tahoma"/>
          <w:sz w:val="24"/>
          <w:szCs w:val="24"/>
        </w:rPr>
      </w:pPr>
      <w:r w:rsidRPr="002462E6">
        <w:rPr>
          <w:rFonts w:ascii="Tahoma" w:eastAsia="Times New Roman" w:hAnsi="Tahoma" w:cs="Tahoma"/>
          <w:sz w:val="24"/>
          <w:szCs w:val="24"/>
        </w:rPr>
        <w:t xml:space="preserve">Cependant, la direction de l’ENFI fait face à certaines limitations qui pourraient entraver son développement. En effet, la réforme pédagogique et institutionnelle prévue par la « Loi 01-00 », qui introduit le système LMD (Licence, Master, Doctorat) et Bac+5, impose à l'ENFI une dépendance vis-à-vis des deux établissements (IAV Hassan II et ENA de </w:t>
      </w:r>
      <w:r w:rsidRPr="002462E6">
        <w:rPr>
          <w:rFonts w:ascii="Tahoma" w:eastAsia="Times New Roman" w:hAnsi="Tahoma" w:cs="Tahoma"/>
          <w:sz w:val="24"/>
          <w:szCs w:val="24"/>
        </w:rPr>
        <w:lastRenderedPageBreak/>
        <w:t>Méknès) pour l’admission des étudiants en troisième année. Seuls les étudiants ayant réussi leur deuxième année à l'APESA (Année Préparatoire aux Études Supérieures Agronomiques) de ces institutions peuvent intégrer l’ENFI, ce qui risque de restreindre le choix des candidats et d’entraver la hausse des effectifs d’étudiants, ce qui est en contradiction avec la stratégie nationale de formation et de recherche agricoles du MAPMDREF. Malgré les efforts du MAPMDREF, l’ENFI ne bénéficie pas d’un budget spécifique pour le développement de la recherche scientifique. Les projets de recherche scientifique sont généralement conduits dans le cadre des mémoires de troisième cycle et en collaboration avec des enseignants d'autres établissements. La création du Pôle Polytechnique Agricole est cruciale pour renforcer l’ENFI dans le consortium agricole.</w:t>
      </w:r>
    </w:p>
    <w:p w:rsidR="000A7532" w:rsidRPr="002462E6" w:rsidRDefault="000A7532" w:rsidP="000A7532">
      <w:pPr>
        <w:widowControl w:val="0"/>
        <w:autoSpaceDE w:val="0"/>
        <w:autoSpaceDN w:val="0"/>
        <w:spacing w:after="0" w:line="360" w:lineRule="auto"/>
        <w:ind w:right="4"/>
        <w:jc w:val="both"/>
        <w:rPr>
          <w:rFonts w:ascii="Tahoma" w:eastAsia="Times New Roman" w:hAnsi="Tahoma" w:cs="Tahoma"/>
          <w:sz w:val="24"/>
          <w:szCs w:val="24"/>
        </w:rPr>
      </w:pPr>
      <w:r w:rsidRPr="002462E6">
        <w:rPr>
          <w:rFonts w:ascii="Tahoma" w:eastAsia="Times New Roman" w:hAnsi="Tahoma" w:cs="Tahoma"/>
          <w:sz w:val="24"/>
          <w:szCs w:val="24"/>
        </w:rPr>
        <w:t>Pour le bon déroulement de ses activités scientifiques et socio-culturelles, la direction de l’ENFI souligne la nécessité d’un amphithéâtre de 300 à 400 places pour organiser des conférences et manifestations scientifiques et culturelles, surtout avec l’augmentation du nombre d’étudiants.</w:t>
      </w:r>
    </w:p>
    <w:p w:rsidR="000A7532" w:rsidRPr="002462E6" w:rsidRDefault="000A7532" w:rsidP="000A7532">
      <w:pPr>
        <w:widowControl w:val="0"/>
        <w:autoSpaceDE w:val="0"/>
        <w:autoSpaceDN w:val="0"/>
        <w:spacing w:after="0" w:line="360" w:lineRule="auto"/>
        <w:ind w:right="4"/>
        <w:jc w:val="both"/>
        <w:rPr>
          <w:rFonts w:ascii="Tahoma" w:eastAsia="Times New Roman" w:hAnsi="Tahoma" w:cs="Tahoma"/>
          <w:sz w:val="24"/>
          <w:szCs w:val="24"/>
        </w:rPr>
      </w:pPr>
      <w:r w:rsidRPr="002462E6">
        <w:rPr>
          <w:rFonts w:ascii="Tahoma" w:eastAsia="Times New Roman" w:hAnsi="Tahoma" w:cs="Tahoma"/>
          <w:sz w:val="24"/>
          <w:szCs w:val="24"/>
        </w:rPr>
        <w:t>Une autre contrainte majeure constitue un obstacle considérable chaque année, lors des tournées multidisciplinaires organisées en faveur des étudiants ingénieurs, dans les différentes régions du Maroc. Il s’agit de la question d’hébergement. A cet égard, la Direction de l’ENFI sollicite également l’appui fort des structures externes du MAPMDREF</w:t>
      </w:r>
      <w:r w:rsidRPr="002462E6">
        <w:rPr>
          <w:rFonts w:ascii="Tahoma" w:eastAsia="Times New Roman" w:hAnsi="Tahoma" w:cs="Tahoma"/>
          <w:sz w:val="24"/>
          <w:szCs w:val="24"/>
          <w:vertAlign w:val="superscript"/>
        </w:rPr>
        <w:footnoteReference w:id="230"/>
      </w:r>
      <w:r w:rsidRPr="002462E6">
        <w:rPr>
          <w:rFonts w:ascii="Tahoma" w:eastAsia="Times New Roman" w:hAnsi="Tahoma" w:cs="Tahoma"/>
          <w:sz w:val="24"/>
          <w:szCs w:val="24"/>
        </w:rPr>
        <w:t>.</w:t>
      </w:r>
    </w:p>
    <w:p w:rsidR="000A7532" w:rsidRPr="002462E6" w:rsidRDefault="000A7532" w:rsidP="000A7532">
      <w:pPr>
        <w:widowControl w:val="0"/>
        <w:autoSpaceDE w:val="0"/>
        <w:autoSpaceDN w:val="0"/>
        <w:spacing w:after="0" w:line="360" w:lineRule="auto"/>
        <w:ind w:right="4"/>
        <w:jc w:val="both"/>
        <w:rPr>
          <w:rFonts w:ascii="Tahoma" w:eastAsia="Times New Roman" w:hAnsi="Tahoma" w:cs="Tahoma"/>
          <w:sz w:val="24"/>
          <w:szCs w:val="24"/>
        </w:rPr>
      </w:pPr>
      <w:r w:rsidRPr="002462E6">
        <w:rPr>
          <w:rFonts w:ascii="Tahoma" w:eastAsia="Times New Roman" w:hAnsi="Tahoma" w:cs="Tahoma"/>
          <w:sz w:val="24"/>
          <w:szCs w:val="24"/>
        </w:rPr>
        <w:t>Par ailleurs, le départ des enseignants-chercheurs en retraite, oblige la Direction de l’ENFI à faire recours à des vacations (24 vacataires : universitaires, ingénieurs et administrateurs) pour compenser le déficit d’effectifs et renforcer le corps enseignant, qui comprend actuellement 23 enseignants, dont 18 professeurs permanents affectés à l'ENFI, 2 professeurs mis à disposition de l'IAV Hassan II, et 3 ingénieurs forestiers.</w:t>
      </w:r>
    </w:p>
    <w:p w:rsidR="000A7532" w:rsidRPr="002462E6" w:rsidRDefault="000A7532" w:rsidP="000A7532">
      <w:pPr>
        <w:widowControl w:val="0"/>
        <w:autoSpaceDE w:val="0"/>
        <w:autoSpaceDN w:val="0"/>
        <w:spacing w:after="0" w:line="240" w:lineRule="auto"/>
        <w:rPr>
          <w:rFonts w:ascii="Times New Roman" w:eastAsia="Times New Roman" w:hAnsi="Times New Roman" w:cs="Times New Roman"/>
          <w:sz w:val="24"/>
          <w:szCs w:val="24"/>
        </w:rPr>
      </w:pPr>
    </w:p>
    <w:p w:rsidR="000A7532" w:rsidRPr="002462E6" w:rsidRDefault="000A7532" w:rsidP="000A7532">
      <w:pPr>
        <w:widowControl w:val="0"/>
        <w:autoSpaceDE w:val="0"/>
        <w:autoSpaceDN w:val="0"/>
        <w:spacing w:after="0" w:line="360" w:lineRule="auto"/>
        <w:ind w:right="4"/>
        <w:jc w:val="both"/>
        <w:rPr>
          <w:rFonts w:ascii="Tahoma" w:eastAsia="Times New Roman" w:hAnsi="Tahoma" w:cs="Tahoma"/>
          <w:sz w:val="24"/>
          <w:szCs w:val="24"/>
        </w:rPr>
      </w:pPr>
      <w:r w:rsidRPr="002462E6">
        <w:rPr>
          <w:rFonts w:ascii="Tahoma" w:eastAsia="Times New Roman" w:hAnsi="Tahoma" w:cs="Tahoma"/>
          <w:sz w:val="24"/>
          <w:szCs w:val="24"/>
        </w:rPr>
        <w:t xml:space="preserve">Malgré l’octroi de 11 postes budgétaires par le MAPMDREF en 2012 en faveur de l’ENFI, l’école continue à faire face à un manque d’enseignants compétents en foresterie, en raison des départs en retraite, avec en moyenne 1 à 2 enseignants partant chaque année entre 2014 et 2023. À l’horizon 2025, environ 77 % du corps enseignant pourrait atteindre l'âge de la retraite, entraînant également une réduction de 46 % du personnel de soutien. </w:t>
      </w:r>
      <w:r w:rsidRPr="002462E6">
        <w:rPr>
          <w:rFonts w:ascii="Tahoma" w:eastAsia="Times New Roman" w:hAnsi="Tahoma" w:cs="Tahoma"/>
          <w:sz w:val="24"/>
          <w:szCs w:val="24"/>
        </w:rPr>
        <w:lastRenderedPageBreak/>
        <w:t>Le personnel administratif et technique actuel ne parvient plus à répondre aux besoins de l’établissement, mettant en évidence un besoin croissant pour le personnel technique et administratif.</w:t>
      </w:r>
    </w:p>
    <w:p w:rsidR="000A7532" w:rsidRPr="002462E6" w:rsidRDefault="000A7532" w:rsidP="000A7532">
      <w:pPr>
        <w:widowControl w:val="0"/>
        <w:autoSpaceDE w:val="0"/>
        <w:autoSpaceDN w:val="0"/>
        <w:spacing w:after="0" w:line="360" w:lineRule="auto"/>
        <w:ind w:right="4"/>
        <w:jc w:val="both"/>
        <w:rPr>
          <w:rFonts w:ascii="Tahoma" w:eastAsia="Times New Roman" w:hAnsi="Tahoma" w:cs="Tahoma"/>
          <w:sz w:val="24"/>
          <w:szCs w:val="24"/>
        </w:rPr>
      </w:pPr>
      <w:r w:rsidRPr="002462E6">
        <w:rPr>
          <w:rFonts w:ascii="Tahoma" w:eastAsia="Times New Roman" w:hAnsi="Tahoma" w:cs="Tahoma"/>
          <w:sz w:val="24"/>
          <w:szCs w:val="24"/>
        </w:rPr>
        <w:t xml:space="preserve">Pour conclure, Alfred PUTON, ancien directeur de l'école forestière de Nancy de 1880 à 1893, a affirmé dans son traité sur l'économie forestière que « les forestiers sont les conservateurs des ressources en bois indispensables au travail national, gardiens de l'épargne passée, producteurs du travail futur, hommes de haute mission car ils sont chargés de défendre le pays contre les périls de l’avenir ». Cette citation met en lumière la mission fondamentale des forestiers, qui se situe au cœur des défis liés à la conservation et au développement des forêts. Ceci soulève alors une question cruciale : dans quelle mesure les gestionnaires forestiers ont-ils respecté l'esprit de cette déclaration face à des problématiques contemporaines telles que la coupe illicite de la de </w:t>
      </w:r>
      <w:r w:rsidRPr="002462E6">
        <w:rPr>
          <w:rFonts w:ascii="Tahoma" w:eastAsia="Times New Roman" w:hAnsi="Tahoma" w:cs="Tahoma"/>
          <w:i/>
          <w:iCs/>
          <w:sz w:val="24"/>
          <w:szCs w:val="24"/>
        </w:rPr>
        <w:t xml:space="preserve">Senoual </w:t>
      </w:r>
      <w:r w:rsidRPr="002462E6">
        <w:rPr>
          <w:rFonts w:ascii="Tahoma" w:eastAsia="Times New Roman" w:hAnsi="Tahoma" w:cs="Tahoma"/>
          <w:sz w:val="24"/>
          <w:szCs w:val="24"/>
        </w:rPr>
        <w:t>? Cette situation met en exergue les tensions entre les impératifs de gestion efficace et les réalités souvent déstabilisantes de l'exploitation forestière illégale.</w:t>
      </w:r>
    </w:p>
    <w:p w:rsidR="000A7532" w:rsidRPr="002462E6" w:rsidRDefault="000A7532" w:rsidP="000A7532">
      <w:pPr>
        <w:widowControl w:val="0"/>
        <w:autoSpaceDE w:val="0"/>
        <w:autoSpaceDN w:val="0"/>
        <w:spacing w:after="0" w:line="240" w:lineRule="auto"/>
        <w:rPr>
          <w:rFonts w:ascii="Times New Roman" w:eastAsia="Times New Roman" w:hAnsi="Times New Roman" w:cs="Times New Roman"/>
          <w:sz w:val="24"/>
          <w:szCs w:val="24"/>
        </w:rPr>
      </w:pPr>
    </w:p>
    <w:p w:rsidR="000A7532" w:rsidRPr="002462E6" w:rsidRDefault="000A7532" w:rsidP="000A7532">
      <w:pPr>
        <w:widowControl w:val="0"/>
        <w:autoSpaceDE w:val="0"/>
        <w:autoSpaceDN w:val="0"/>
        <w:spacing w:after="0" w:line="360" w:lineRule="auto"/>
        <w:ind w:right="4"/>
        <w:jc w:val="both"/>
        <w:rPr>
          <w:rFonts w:ascii="Tahoma" w:eastAsia="Times New Roman" w:hAnsi="Tahoma" w:cs="Tahoma"/>
          <w:color w:val="212121"/>
          <w:sz w:val="24"/>
          <w:szCs w:val="24"/>
        </w:rPr>
      </w:pPr>
      <w:r w:rsidRPr="002462E6">
        <w:rPr>
          <w:rFonts w:ascii="Tahoma" w:eastAsia="Times New Roman" w:hAnsi="Tahoma" w:cs="Tahoma"/>
          <w:color w:val="212121"/>
          <w:sz w:val="24"/>
          <w:szCs w:val="24"/>
        </w:rPr>
        <w:t xml:space="preserve">Dans son article publié le 27 juillet 2010, le quotidien « Libération » révélait une catastrophe écologique touchant la forêt de </w:t>
      </w:r>
      <w:r w:rsidRPr="002462E6">
        <w:rPr>
          <w:rFonts w:ascii="Tahoma" w:eastAsia="Times New Roman" w:hAnsi="Tahoma" w:cs="Tahoma"/>
          <w:i/>
          <w:iCs/>
          <w:color w:val="212121"/>
          <w:sz w:val="24"/>
          <w:szCs w:val="24"/>
        </w:rPr>
        <w:t>Senoua</w:t>
      </w:r>
      <w:r w:rsidRPr="002462E6">
        <w:rPr>
          <w:rFonts w:ascii="Tahoma" w:eastAsia="Times New Roman" w:hAnsi="Tahoma" w:cs="Tahoma"/>
          <w:color w:val="212121"/>
          <w:sz w:val="24"/>
          <w:szCs w:val="24"/>
        </w:rPr>
        <w:t>l, décrivant des événements qualifiés de crime, de carnage, et d’hécatombe en raison d'une coupe illicite de cèdres. La forêt, couvrant 5900 hectares et faisant partie du Parc National d'Ifrane, abrite une cédraie dynamique ainsi qu'une avifaune et une entomofaune intéressantes, constituant un ensemble naturel représentatif de cette cédraie.</w:t>
      </w:r>
    </w:p>
    <w:p w:rsidR="000A7532" w:rsidRPr="002462E6" w:rsidRDefault="000A7532" w:rsidP="00C533B3">
      <w:pPr>
        <w:widowControl w:val="0"/>
        <w:autoSpaceDE w:val="0"/>
        <w:autoSpaceDN w:val="0"/>
        <w:spacing w:after="0" w:line="360" w:lineRule="auto"/>
        <w:ind w:right="4"/>
        <w:jc w:val="both"/>
        <w:rPr>
          <w:rFonts w:ascii="Tahoma" w:eastAsia="Times New Roman" w:hAnsi="Tahoma" w:cs="Tahoma"/>
          <w:color w:val="212121"/>
          <w:sz w:val="24"/>
          <w:szCs w:val="24"/>
        </w:rPr>
      </w:pPr>
      <w:r w:rsidRPr="002462E6">
        <w:rPr>
          <w:rFonts w:ascii="Tahoma" w:eastAsia="Times New Roman" w:hAnsi="Tahoma" w:cs="Tahoma"/>
          <w:color w:val="212121"/>
          <w:sz w:val="24"/>
          <w:szCs w:val="24"/>
        </w:rPr>
        <w:t>En début d'année 2009, le volume de bois abattu était estimé à 3000 m³, un chiffre qui a crû de manière fulgurante pour atteindre 8000 m³, soit une augmentation de 166 % en seulement neuf mois. Ainsi, cette situation illustre une discordance entre les missions de préservation des forestiers et les pressions de l'exploitation illégale, ce qui soulève d'importantes questions sur l'avenir de la gestion forestière dans le contexte écologique actuel.</w:t>
      </w:r>
    </w:p>
    <w:p w:rsidR="00942E4A" w:rsidRPr="002462E6" w:rsidRDefault="00942E4A">
      <w:pPr>
        <w:rPr>
          <w:rFonts w:ascii="Tahoma" w:eastAsia="Times New Roman" w:hAnsi="Tahoma" w:cstheme="majorBidi"/>
          <w:b/>
          <w:iCs/>
          <w:noProof/>
          <w:color w:val="000000" w:themeColor="text1"/>
          <w:spacing w:val="15"/>
          <w:sz w:val="20"/>
          <w:szCs w:val="24"/>
          <w:lang w:eastAsia="fr-FR"/>
        </w:rPr>
      </w:pPr>
      <w:bookmarkStart w:id="189" w:name="_bookmark66"/>
      <w:bookmarkEnd w:id="189"/>
      <w:r w:rsidRPr="002462E6">
        <w:br w:type="page"/>
      </w:r>
    </w:p>
    <w:p w:rsidR="000A7532" w:rsidRPr="002462E6" w:rsidRDefault="00CD63E9" w:rsidP="000A7532">
      <w:pPr>
        <w:widowControl w:val="0"/>
        <w:autoSpaceDE w:val="0"/>
        <w:autoSpaceDN w:val="0"/>
        <w:spacing w:before="4" w:after="0" w:line="240" w:lineRule="auto"/>
        <w:ind w:right="4"/>
        <w:rPr>
          <w:rFonts w:ascii="Calibri" w:eastAsia="Times New Roman" w:hAnsi="Times New Roman" w:cs="Times New Roman"/>
          <w:i/>
          <w:szCs w:val="24"/>
        </w:rPr>
      </w:pPr>
      <w:r w:rsidRPr="002462E6">
        <w:rPr>
          <w:noProof/>
          <w:lang w:eastAsia="fr-FR"/>
        </w:rPr>
        <w:lastRenderedPageBreak/>
        <mc:AlternateContent>
          <mc:Choice Requires="wps">
            <w:drawing>
              <wp:anchor distT="0" distB="0" distL="114300" distR="114300" simplePos="0" relativeHeight="251766784" behindDoc="0" locked="0" layoutInCell="1" allowOverlap="1" wp14:anchorId="6B3CBC11" wp14:editId="1407BD42">
                <wp:simplePos x="0" y="0"/>
                <wp:positionH relativeFrom="column">
                  <wp:posOffset>56515</wp:posOffset>
                </wp:positionH>
                <wp:positionV relativeFrom="paragraph">
                  <wp:posOffset>-110672</wp:posOffset>
                </wp:positionV>
                <wp:extent cx="5888990" cy="284480"/>
                <wp:effectExtent l="0" t="0" r="0" b="1270"/>
                <wp:wrapNone/>
                <wp:docPr id="956995675" name="Zone de texte 956995675"/>
                <wp:cNvGraphicFramePr/>
                <a:graphic xmlns:a="http://schemas.openxmlformats.org/drawingml/2006/main">
                  <a:graphicData uri="http://schemas.microsoft.com/office/word/2010/wordprocessingShape">
                    <wps:wsp>
                      <wps:cNvSpPr txBox="1"/>
                      <wps:spPr>
                        <a:xfrm>
                          <a:off x="0" y="0"/>
                          <a:ext cx="5888990" cy="284480"/>
                        </a:xfrm>
                        <a:prstGeom prst="rect">
                          <a:avLst/>
                        </a:prstGeom>
                        <a:solidFill>
                          <a:prstClr val="white"/>
                        </a:solidFill>
                        <a:ln>
                          <a:noFill/>
                        </a:ln>
                        <a:effectLst/>
                      </wps:spPr>
                      <wps:txbx>
                        <w:txbxContent>
                          <w:p w:rsidR="0083519B" w:rsidRPr="00F3779D" w:rsidRDefault="0083519B" w:rsidP="000D57A1">
                            <w:pPr>
                              <w:pStyle w:val="Sous-titre"/>
                              <w:rPr>
                                <w:rFonts w:ascii="Times New Roman" w:hAnsi="Times New Roman" w:cs="Times New Roman"/>
                                <w:noProof/>
                              </w:rPr>
                            </w:pPr>
                            <w:bookmarkStart w:id="190" w:name="_Toc203642801"/>
                            <w:r>
                              <w:t xml:space="preserve">Figure </w:t>
                            </w:r>
                            <w:r w:rsidR="00225ED1">
                              <w:rPr>
                                <w:noProof/>
                              </w:rPr>
                              <w:fldChar w:fldCharType="begin"/>
                            </w:r>
                            <w:r w:rsidR="00225ED1">
                              <w:rPr>
                                <w:noProof/>
                              </w:rPr>
                              <w:instrText xml:space="preserve"> SEQ Figure \* ARABIC </w:instrText>
                            </w:r>
                            <w:r w:rsidR="00225ED1">
                              <w:rPr>
                                <w:noProof/>
                              </w:rPr>
                              <w:fldChar w:fldCharType="separate"/>
                            </w:r>
                            <w:r w:rsidR="00124AFB">
                              <w:rPr>
                                <w:noProof/>
                              </w:rPr>
                              <w:t>9</w:t>
                            </w:r>
                            <w:r w:rsidR="00225ED1">
                              <w:rPr>
                                <w:noProof/>
                              </w:rPr>
                              <w:fldChar w:fldCharType="end"/>
                            </w:r>
                            <w:r>
                              <w:rPr>
                                <w:noProof/>
                              </w:rPr>
                              <w:t xml:space="preserve"> : </w:t>
                            </w:r>
                            <w:r w:rsidRPr="00071BB8">
                              <w:rPr>
                                <w:noProof/>
                              </w:rPr>
                              <w:t>Photo témoignant la surexploitation de la forêt de Senoual</w:t>
                            </w:r>
                            <w:bookmarkEnd w:id="190"/>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B3CBC11" id="Zone de texte 956995675" o:spid="_x0000_s1034" type="#_x0000_t202" style="position:absolute;margin-left:4.45pt;margin-top:-8.7pt;width:463.7pt;height:22.4pt;z-index:2517667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" stroked="f">
                <v:textbox inset="0,0,0,0">
                  <w:txbxContent>
                    <w:p w:rsidR="0083519B" w:rsidRPr="00F3779D" w:rsidRDefault="0083519B" w:rsidP="000D57A1">
                      <w:pPr>
                        <w:pStyle w:val="Sous-titre"/>
                        <w:rPr>
                          <w:rFonts w:ascii="Times New Roman" w:hAnsi="Times New Roman" w:cs="Times New Roman"/>
                          <w:noProof/>
                        </w:rPr>
                      </w:pPr>
                      <w:bookmarkStart w:id="196" w:name="_Toc203642801"/>
                      <w:r>
                        <w:t xml:space="preserve">Figure </w:t>
                      </w:r>
                      <w:r w:rsidR="00225ED1">
                        <w:rPr>
                          <w:noProof/>
                        </w:rPr>
                        <w:fldChar w:fldCharType="begin"/>
                      </w:r>
                      <w:r w:rsidR="00225ED1">
                        <w:rPr>
                          <w:noProof/>
                        </w:rPr>
                        <w:instrText xml:space="preserve"> SEQ Figure \* ARABIC </w:instrText>
                      </w:r>
                      <w:r w:rsidR="00225ED1">
                        <w:rPr>
                          <w:noProof/>
                        </w:rPr>
                        <w:fldChar w:fldCharType="separate"/>
                      </w:r>
                      <w:r w:rsidR="00124AFB">
                        <w:rPr>
                          <w:noProof/>
                        </w:rPr>
                        <w:t>9</w:t>
                      </w:r>
                      <w:r w:rsidR="00225ED1">
                        <w:rPr>
                          <w:noProof/>
                        </w:rPr>
                        <w:fldChar w:fldCharType="end"/>
                      </w:r>
                      <w:r>
                        <w:rPr>
                          <w:noProof/>
                        </w:rPr>
                        <w:t xml:space="preserve"> : </w:t>
                      </w:r>
                      <w:r w:rsidRPr="00071BB8">
                        <w:rPr>
                          <w:noProof/>
                        </w:rPr>
                        <w:t>Photo témoignant la surexploitation de la forêt de Senoual</w:t>
                      </w:r>
                      <w:bookmarkEnd w:id="196"/>
                    </w:p>
                  </w:txbxContent>
                </v:textbox>
              </v:shape>
            </w:pict>
          </mc:Fallback>
        </mc:AlternateContent>
      </w:r>
      <w:r w:rsidRPr="002462E6">
        <w:rPr>
          <w:rFonts w:ascii="Times New Roman" w:eastAsia="Times New Roman" w:hAnsi="Times New Roman" w:cs="Times New Roman"/>
          <w:noProof/>
          <w:sz w:val="24"/>
          <w:szCs w:val="24"/>
          <w:lang w:eastAsia="fr-FR"/>
        </w:rPr>
        <mc:AlternateContent>
          <mc:Choice Requires="wpg">
            <w:drawing>
              <wp:anchor distT="0" distB="0" distL="0" distR="0" simplePos="0" relativeHeight="251665408" behindDoc="1" locked="0" layoutInCell="1" allowOverlap="1" wp14:anchorId="07F441CE" wp14:editId="408D317C">
                <wp:simplePos x="0" y="0"/>
                <wp:positionH relativeFrom="page">
                  <wp:posOffset>866775</wp:posOffset>
                </wp:positionH>
                <wp:positionV relativeFrom="paragraph">
                  <wp:posOffset>393700</wp:posOffset>
                </wp:positionV>
                <wp:extent cx="5888990" cy="2695575"/>
                <wp:effectExtent l="0" t="0" r="0" b="9525"/>
                <wp:wrapTopAndBottom/>
                <wp:docPr id="409" name="Group 3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888990" cy="2695575"/>
                          <a:chOff x="2113" y="312"/>
                          <a:chExt cx="7808" cy="3489"/>
                        </a:xfrm>
                      </wpg:grpSpPr>
                      <pic:pic xmlns:pic="http://schemas.openxmlformats.org/drawingml/2006/picture">
                        <pic:nvPicPr>
                          <pic:cNvPr id="410" name="Picture 335" descr="Forêts: S.O.S danger !"/>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2113" y="312"/>
                            <a:ext cx="7808" cy="34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411" name="Picture 334" descr="Forêts: S.O.S danger !"/>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2420" y="410"/>
                            <a:ext cx="6883" cy="288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096DCF37" id="Group 333" o:spid="_x0000_s1026" style="position:absolute;margin-left:68.25pt;margin-top:31pt;width:463.7pt;height:212.25pt;z-index:-251651072;mso-wrap-distance-left:0;mso-wrap-distance-right:0;mso-position-horizontal-relative:page" coordorigin="2113,312" coordsize="7808,348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">
                <v:shape id="Picture 335" o:spid="_x0000_s1027" type="#_x0000_t75" alt="Forêts: S.O.S danger !" style="position:absolute;left:2113;top:312;width:7808;height:348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HEsBczDAAAA3AAAAA8AAABkcnMvZG93bnJldi54bWxET89rwjAUvg/8H8ITdpGZthsqnbFsYwXx&#10;ptthx0fzbMual5JkbfWvXw6Cx4/v97aYTCcGcr61rCBdJiCIK6tbrhV8f5VPGxA+IGvsLJOCC3ko&#10;drOHLebajnyk4RRqEUPY56igCaHPpfRVQwb90vbEkTtbZzBE6GqpHY4x3HQyS5KVNNhybGiwp4+G&#10;qt/Tn1FgPhdJvch+Dm5dXu36/XnqXXdU6nE+vb2CCDSFu/jm3msFL2mcH8/EIyB3/w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cSwFzMMAAADcAAAADwAAAAAAAAAAAAAAAACf&#10;AgAAZHJzL2Rvd25yZXYueG1sUEsFBgAAAAAEAAQA9wAAAI8DAAAAAA==&#10;">
                  <v:imagedata r:id="rId23" o:title=" S.O"/>
                </v:shape>
                <v:shape id="Picture 334" o:spid="_x0000_s1028" type="#_x0000_t75" alt="Forêts: S.O.S danger !" style="position:absolute;left:2420;top:410;width:6883;height:288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JFI2TfDAAAA3AAAAA8AAABkcnMvZG93bnJldi54bWxEj0GLwjAUhO/C/ofwhL2IphURqUYRV8GD&#10;glbx/GiebbF5KU3U+u83guBxmJlvmNmiNZV4UONKywriQQSCOLO65FzB+bTpT0A4j6yxskwKXuRg&#10;Mf/pzDDR9slHeqQ+FwHCLkEFhfd1IqXLCjLoBrYmDt7VNgZ9kE0udYPPADeVHEbRWBosOSwUWNOq&#10;oOyW3o2CHUWry5rO13z9tx/3bodyO+y9lPrttsspCE+t/4Y/7a1WMIpjeJ8JR0DO/wE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kUjZN8MAAADcAAAADwAAAAAAAAAAAAAAAACf&#10;AgAAZHJzL2Rvd25yZXYueG1sUEsFBgAAAAAEAAQA9wAAAI8DAAAAAA==&#10;">
                  <v:imagedata r:id="rId24" o:title=" S.O"/>
                </v:shape>
                <w10:wrap type="topAndBottom" anchorx="page"/>
              </v:group>
            </w:pict>
          </mc:Fallback>
        </mc:AlternateContent>
      </w:r>
    </w:p>
    <w:p w:rsidR="000A7532" w:rsidRPr="002462E6" w:rsidRDefault="000A7532" w:rsidP="000A7532">
      <w:pPr>
        <w:widowControl w:val="0"/>
        <w:autoSpaceDE w:val="0"/>
        <w:autoSpaceDN w:val="0"/>
        <w:spacing w:before="11" w:after="0" w:line="240" w:lineRule="auto"/>
        <w:ind w:right="4"/>
        <w:rPr>
          <w:rFonts w:ascii="Calibri" w:eastAsia="Times New Roman" w:hAnsi="Times New Roman" w:cs="Times New Roman"/>
          <w:i/>
          <w:sz w:val="15"/>
          <w:szCs w:val="24"/>
        </w:rPr>
      </w:pPr>
    </w:p>
    <w:p w:rsidR="000A7532" w:rsidRPr="002462E6" w:rsidRDefault="000A7532" w:rsidP="000A7532">
      <w:pPr>
        <w:widowControl w:val="0"/>
        <w:autoSpaceDE w:val="0"/>
        <w:autoSpaceDN w:val="0"/>
        <w:spacing w:after="0" w:line="360" w:lineRule="auto"/>
        <w:ind w:right="4"/>
        <w:jc w:val="center"/>
        <w:rPr>
          <w:rFonts w:ascii="Times New Roman" w:eastAsia="Times New Roman" w:hAnsi="Times New Roman" w:cs="Times New Roman"/>
          <w:b/>
          <w:i/>
          <w:sz w:val="20"/>
        </w:rPr>
      </w:pPr>
    </w:p>
    <w:p w:rsidR="000A7532" w:rsidRPr="002462E6" w:rsidRDefault="000A7532" w:rsidP="000A7532">
      <w:pPr>
        <w:widowControl w:val="0"/>
        <w:autoSpaceDE w:val="0"/>
        <w:autoSpaceDN w:val="0"/>
        <w:spacing w:after="0" w:line="360" w:lineRule="auto"/>
        <w:ind w:right="4"/>
        <w:jc w:val="center"/>
        <w:rPr>
          <w:rFonts w:ascii="Tahoma" w:eastAsia="Times New Roman" w:hAnsi="Tahoma" w:cs="Tahoma"/>
          <w:iCs/>
          <w:sz w:val="20"/>
        </w:rPr>
      </w:pPr>
      <w:r w:rsidRPr="002462E6">
        <w:rPr>
          <w:rFonts w:ascii="Tahoma" w:eastAsia="Times New Roman" w:hAnsi="Tahoma" w:cs="Tahoma"/>
          <w:b/>
          <w:iCs/>
          <w:sz w:val="20"/>
        </w:rPr>
        <w:t xml:space="preserve">Source : </w:t>
      </w:r>
      <w:r w:rsidRPr="002462E6">
        <w:rPr>
          <w:rFonts w:ascii="Tahoma" w:eastAsia="Times New Roman" w:hAnsi="Tahoma" w:cs="Tahoma"/>
          <w:iCs/>
          <w:sz w:val="20"/>
        </w:rPr>
        <w:t>Photo associée à l’article du quotidien « Libération » pour l’article « Forêts : S.O.S danger ! » En date du</w:t>
      </w:r>
      <w:r w:rsidRPr="002462E6">
        <w:rPr>
          <w:rFonts w:ascii="Tahoma" w:eastAsia="Times New Roman" w:hAnsi="Tahoma" w:cs="Tahoma"/>
          <w:iCs/>
          <w:spacing w:val="-47"/>
          <w:sz w:val="20"/>
        </w:rPr>
        <w:t xml:space="preserve"> </w:t>
      </w:r>
      <w:r w:rsidRPr="002462E6">
        <w:rPr>
          <w:rFonts w:ascii="Tahoma" w:eastAsia="Times New Roman" w:hAnsi="Tahoma" w:cs="Tahoma"/>
          <w:iCs/>
          <w:sz w:val="20"/>
        </w:rPr>
        <w:t>27</w:t>
      </w:r>
      <w:r w:rsidRPr="002462E6">
        <w:rPr>
          <w:rFonts w:ascii="Tahoma" w:eastAsia="Times New Roman" w:hAnsi="Tahoma" w:cs="Tahoma"/>
          <w:iCs/>
          <w:spacing w:val="-1"/>
          <w:sz w:val="20"/>
        </w:rPr>
        <w:t xml:space="preserve"> </w:t>
      </w:r>
      <w:r w:rsidRPr="002462E6">
        <w:rPr>
          <w:rFonts w:ascii="Tahoma" w:eastAsia="Times New Roman" w:hAnsi="Tahoma" w:cs="Tahoma"/>
          <w:iCs/>
          <w:sz w:val="20"/>
        </w:rPr>
        <w:t>juillet 2010</w:t>
      </w:r>
    </w:p>
    <w:p w:rsidR="000A7532" w:rsidRPr="002462E6" w:rsidRDefault="000A7532" w:rsidP="000A7532">
      <w:pPr>
        <w:widowControl w:val="0"/>
        <w:autoSpaceDE w:val="0"/>
        <w:autoSpaceDN w:val="0"/>
        <w:spacing w:after="0" w:line="360" w:lineRule="auto"/>
        <w:ind w:left="4782" w:right="4" w:hanging="4068"/>
        <w:jc w:val="both"/>
        <w:rPr>
          <w:rFonts w:ascii="Times New Roman" w:eastAsia="Times New Roman" w:hAnsi="Times New Roman" w:cs="Times New Roman"/>
          <w:i/>
          <w:sz w:val="20"/>
        </w:rPr>
      </w:pPr>
    </w:p>
    <w:p w:rsidR="000A7532" w:rsidRPr="002462E6" w:rsidRDefault="000A7532" w:rsidP="0074634C">
      <w:pPr>
        <w:widowControl w:val="0"/>
        <w:autoSpaceDE w:val="0"/>
        <w:autoSpaceDN w:val="0"/>
        <w:spacing w:before="160" w:after="0" w:line="360" w:lineRule="auto"/>
        <w:ind w:right="4"/>
        <w:jc w:val="both"/>
        <w:rPr>
          <w:rFonts w:ascii="Tahoma" w:eastAsia="Times New Roman" w:hAnsi="Tahoma" w:cs="Tahoma"/>
          <w:color w:val="212121"/>
          <w:sz w:val="24"/>
          <w:szCs w:val="24"/>
        </w:rPr>
      </w:pPr>
      <w:r w:rsidRPr="002462E6">
        <w:rPr>
          <w:rFonts w:ascii="Tahoma" w:eastAsia="Times New Roman" w:hAnsi="Tahoma" w:cs="Tahoma"/>
          <w:color w:val="212121"/>
          <w:sz w:val="24"/>
          <w:szCs w:val="24"/>
        </w:rPr>
        <w:t>Certains gestionnaires forestiers du site touché ont identifié trois facteurs principaux à l'origine de cette tragédie:</w:t>
      </w:r>
    </w:p>
    <w:p w:rsidR="000A7532" w:rsidRPr="001B1D3C" w:rsidRDefault="000A7532" w:rsidP="000A7532">
      <w:pPr>
        <w:widowControl w:val="0"/>
        <w:autoSpaceDE w:val="0"/>
        <w:autoSpaceDN w:val="0"/>
        <w:spacing w:after="0" w:line="240" w:lineRule="auto"/>
        <w:rPr>
          <w:rFonts w:ascii="Times New Roman" w:eastAsia="Times New Roman" w:hAnsi="Times New Roman" w:cs="Times New Roman"/>
          <w:sz w:val="2"/>
          <w:szCs w:val="2"/>
        </w:rPr>
      </w:pPr>
    </w:p>
    <w:p w:rsidR="000A7532" w:rsidRPr="002462E6" w:rsidRDefault="000A7532" w:rsidP="00D051D7">
      <w:pPr>
        <w:widowControl w:val="0"/>
        <w:numPr>
          <w:ilvl w:val="0"/>
          <w:numId w:val="10"/>
        </w:numPr>
        <w:autoSpaceDE w:val="0"/>
        <w:autoSpaceDN w:val="0"/>
        <w:spacing w:before="160" w:after="0" w:line="352" w:lineRule="auto"/>
        <w:ind w:left="567" w:right="4"/>
        <w:jc w:val="both"/>
        <w:rPr>
          <w:rFonts w:ascii="Tahoma" w:eastAsia="Times New Roman" w:hAnsi="Tahoma" w:cs="Tahoma"/>
          <w:color w:val="212121"/>
          <w:sz w:val="24"/>
          <w:szCs w:val="24"/>
        </w:rPr>
      </w:pPr>
      <w:r w:rsidRPr="002462E6">
        <w:rPr>
          <w:rFonts w:ascii="Times New Roman" w:eastAsia="Times New Roman" w:hAnsi="Times New Roman" w:cs="Times New Roman"/>
          <w:sz w:val="24"/>
          <w:szCs w:val="24"/>
        </w:rPr>
        <w:t xml:space="preserve"> </w:t>
      </w:r>
      <w:r w:rsidRPr="002462E6">
        <w:rPr>
          <w:rFonts w:ascii="Tahoma" w:eastAsia="Times New Roman" w:hAnsi="Tahoma" w:cs="Tahoma"/>
          <w:color w:val="212121"/>
          <w:sz w:val="24"/>
          <w:szCs w:val="24"/>
        </w:rPr>
        <w:t>L'annulation des programmes générateurs de revenus en faveur de la population riveraine, comme des chantiers de travaux utilisant la main-d'œuvre locale, a créé un vide économique qui a aggravé la situation ;</w:t>
      </w:r>
    </w:p>
    <w:p w:rsidR="000A7532" w:rsidRPr="002462E6" w:rsidRDefault="000A7532" w:rsidP="00D051D7">
      <w:pPr>
        <w:widowControl w:val="0"/>
        <w:numPr>
          <w:ilvl w:val="0"/>
          <w:numId w:val="10"/>
        </w:numPr>
        <w:autoSpaceDE w:val="0"/>
        <w:autoSpaceDN w:val="0"/>
        <w:spacing w:before="168" w:after="0" w:line="360" w:lineRule="auto"/>
        <w:ind w:left="567" w:right="4"/>
        <w:jc w:val="both"/>
        <w:rPr>
          <w:rFonts w:ascii="Tahoma" w:eastAsia="Times New Roman" w:hAnsi="Tahoma" w:cs="Tahoma"/>
          <w:color w:val="212121"/>
          <w:sz w:val="24"/>
          <w:szCs w:val="24"/>
        </w:rPr>
      </w:pPr>
      <w:r w:rsidRPr="002462E6">
        <w:rPr>
          <w:rFonts w:ascii="Tahoma" w:eastAsia="Times New Roman" w:hAnsi="Tahoma" w:cs="Tahoma"/>
          <w:color w:val="212121"/>
          <w:sz w:val="24"/>
          <w:szCs w:val="24"/>
        </w:rPr>
        <w:t>L'orientation de la politique du Haut-commissariat vers les performances budgétaires. Les gestionnaires sont évalués principalement en fonction d'indicateurs financiers, tels que le taux d’engagement et d’émission des crédits. Par conséquent, la mission de conservation a été reléguée au second plan. Cette approche d’évaluation a été critiquée par les magistrats de la Cour des comptes, qui ont recommandé au Haut-commissariat des eaux et forêts d’adopter un système d'évaluation de la performance fondé sur des critères reflétant les défis concrets et les enjeux du terrain, ainsi que la nature des essences forestières ;</w:t>
      </w:r>
    </w:p>
    <w:p w:rsidR="000A7532" w:rsidRPr="002462E6" w:rsidRDefault="000A7532" w:rsidP="00D051D7">
      <w:pPr>
        <w:widowControl w:val="0"/>
        <w:numPr>
          <w:ilvl w:val="0"/>
          <w:numId w:val="10"/>
        </w:numPr>
        <w:autoSpaceDE w:val="0"/>
        <w:autoSpaceDN w:val="0"/>
        <w:spacing w:before="168" w:after="0" w:line="360" w:lineRule="auto"/>
        <w:ind w:left="567" w:right="4"/>
        <w:jc w:val="both"/>
        <w:rPr>
          <w:rFonts w:ascii="Tahoma" w:eastAsia="Times New Roman" w:hAnsi="Tahoma" w:cs="Tahoma"/>
          <w:color w:val="212121"/>
          <w:sz w:val="24"/>
          <w:szCs w:val="24"/>
        </w:rPr>
      </w:pPr>
      <w:r w:rsidRPr="002462E6">
        <w:rPr>
          <w:rFonts w:ascii="Tahoma" w:eastAsia="Times New Roman" w:hAnsi="Tahoma" w:cs="Tahoma"/>
          <w:color w:val="212121"/>
          <w:sz w:val="24"/>
          <w:szCs w:val="24"/>
        </w:rPr>
        <w:t xml:space="preserve">L'instabilité du personnel forestier sur le site, due à des opérations de réduction d'effectifs et à des mouvements fréquents voire arbitraires des ressources </w:t>
      </w:r>
      <w:r w:rsidRPr="002462E6">
        <w:rPr>
          <w:rFonts w:ascii="Tahoma" w:eastAsia="Times New Roman" w:hAnsi="Tahoma" w:cs="Tahoma"/>
          <w:color w:val="212121"/>
          <w:sz w:val="24"/>
          <w:szCs w:val="24"/>
        </w:rPr>
        <w:lastRenderedPageBreak/>
        <w:t>humaines, a perturbé la continuité des compétences et la compréhension des enjeux locaux.</w:t>
      </w:r>
    </w:p>
    <w:p w:rsidR="000A7532" w:rsidRPr="002462E6" w:rsidRDefault="000A7532" w:rsidP="000A7532">
      <w:pPr>
        <w:widowControl w:val="0"/>
        <w:autoSpaceDE w:val="0"/>
        <w:autoSpaceDN w:val="0"/>
        <w:spacing w:before="161" w:after="0" w:line="360" w:lineRule="auto"/>
        <w:ind w:right="4"/>
        <w:jc w:val="both"/>
        <w:rPr>
          <w:rFonts w:ascii="Tahoma" w:eastAsia="Times New Roman" w:hAnsi="Tahoma" w:cs="Tahoma"/>
          <w:color w:val="212121"/>
          <w:sz w:val="24"/>
          <w:szCs w:val="24"/>
        </w:rPr>
      </w:pPr>
      <w:r w:rsidRPr="002462E6">
        <w:rPr>
          <w:rFonts w:ascii="Tahoma" w:eastAsia="Times New Roman" w:hAnsi="Tahoma" w:cs="Tahoma"/>
          <w:color w:val="212121"/>
          <w:sz w:val="24"/>
          <w:szCs w:val="24"/>
        </w:rPr>
        <w:t>En somme, le drame de la coupe illicite de 8 000 m³ de bois dans la forêt de Senoual en 2009 peut être interprété comme un double échec de l'administration forestière. Celle-ci n'a pas réussi à établir une relation de proximité et à engager une écoute active et réelle des enjeux locaux sur ce territoire. De plus, la décision de licencier certains gestionnaires forestiers et de suspendre le directeur régional forestier pour une durée de six mois semble masquer l'ampleur réelle de cette catastrophe, qui est perçue comme titanesque dans la région</w:t>
      </w:r>
      <w:r w:rsidRPr="002462E6">
        <w:rPr>
          <w:rFonts w:ascii="Tahoma" w:eastAsia="Times New Roman" w:hAnsi="Tahoma" w:cs="Tahoma"/>
          <w:color w:val="212121"/>
          <w:sz w:val="24"/>
          <w:szCs w:val="24"/>
          <w:vertAlign w:val="superscript"/>
        </w:rPr>
        <w:footnoteReference w:id="231"/>
      </w:r>
      <w:r w:rsidRPr="002462E6">
        <w:rPr>
          <w:rFonts w:ascii="Tahoma" w:eastAsia="Times New Roman" w:hAnsi="Tahoma" w:cs="Tahoma"/>
          <w:color w:val="212121"/>
          <w:sz w:val="24"/>
          <w:szCs w:val="24"/>
        </w:rPr>
        <w:t>.</w:t>
      </w:r>
    </w:p>
    <w:p w:rsidR="000A7532" w:rsidRPr="002462E6" w:rsidRDefault="000A7532" w:rsidP="000A7532">
      <w:pPr>
        <w:widowControl w:val="0"/>
        <w:autoSpaceDE w:val="0"/>
        <w:autoSpaceDN w:val="0"/>
        <w:spacing w:after="0" w:line="240" w:lineRule="auto"/>
        <w:rPr>
          <w:rFonts w:ascii="Times New Roman" w:eastAsia="Times New Roman" w:hAnsi="Times New Roman" w:cs="Times New Roman"/>
          <w:sz w:val="24"/>
          <w:szCs w:val="24"/>
        </w:rPr>
      </w:pPr>
    </w:p>
    <w:p w:rsidR="000A7532" w:rsidRPr="002462E6" w:rsidRDefault="00AE60DA" w:rsidP="000A7532">
      <w:pPr>
        <w:widowControl w:val="0"/>
        <w:autoSpaceDE w:val="0"/>
        <w:autoSpaceDN w:val="0"/>
        <w:spacing w:after="0" w:line="360" w:lineRule="auto"/>
        <w:jc w:val="both"/>
        <w:rPr>
          <w:rFonts w:ascii="Tahoma" w:eastAsia="Times New Roman" w:hAnsi="Tahoma" w:cs="Tahoma"/>
          <w:sz w:val="24"/>
          <w:szCs w:val="24"/>
        </w:rPr>
      </w:pPr>
      <w:r w:rsidRPr="002462E6">
        <w:rPr>
          <w:rFonts w:ascii="Tahoma" w:eastAsia="Times New Roman" w:hAnsi="Tahoma" w:cs="Tahoma"/>
          <w:sz w:val="24"/>
          <w:szCs w:val="24"/>
        </w:rPr>
        <w:t>En définitive, l’</w:t>
      </w:r>
      <w:r w:rsidR="000A7532" w:rsidRPr="002462E6">
        <w:rPr>
          <w:rFonts w:ascii="Tahoma" w:eastAsia="Times New Roman" w:hAnsi="Tahoma" w:cs="Tahoma"/>
          <w:sz w:val="24"/>
          <w:szCs w:val="24"/>
        </w:rPr>
        <w:t>analyse de l'évolution institutionnelle de l'administration forestière marocaine révèle une trajectoire complexe, jalonnée de réformes et de restructurations successives. Cette évolution, initialement influencée par des impératifs coloniaux (1913-1949), s'est progressivement orientée vers une intégration de la gestion forestière au sein du projet national après l'indépendance (1956-1974). Toutefois, cette consolidation s'est souvent heurtée à des dynamiques bureaucratiques et centralisatrices, négligeant les spécificités territoriales et les besoins des populations locales. L'intégration des services au Ministère de l'Agriculture (1975-1994) et la restructuration du service forestier (1994-1998) témoignent d'une prise de conscience de la nécessité de moderniser l'administration, bien que l'impact concret de ces mesures demeure sujet à débat.</w:t>
      </w:r>
    </w:p>
    <w:p w:rsidR="000A7532" w:rsidRPr="002462E6" w:rsidRDefault="000A7532" w:rsidP="000A7532">
      <w:pPr>
        <w:widowControl w:val="0"/>
        <w:autoSpaceDE w:val="0"/>
        <w:autoSpaceDN w:val="0"/>
        <w:spacing w:after="0" w:line="240" w:lineRule="auto"/>
        <w:rPr>
          <w:rFonts w:ascii="Tahoma" w:eastAsia="Times New Roman" w:hAnsi="Tahoma" w:cs="Tahoma"/>
          <w:sz w:val="24"/>
          <w:szCs w:val="24"/>
        </w:rPr>
      </w:pPr>
    </w:p>
    <w:p w:rsidR="000A7532" w:rsidRPr="002462E6" w:rsidRDefault="000A7532" w:rsidP="000A7532">
      <w:pPr>
        <w:widowControl w:val="0"/>
        <w:autoSpaceDE w:val="0"/>
        <w:autoSpaceDN w:val="0"/>
        <w:spacing w:after="0" w:line="360" w:lineRule="auto"/>
        <w:jc w:val="both"/>
        <w:rPr>
          <w:rFonts w:ascii="Tahoma" w:eastAsia="Times New Roman" w:hAnsi="Tahoma" w:cs="Tahoma"/>
          <w:sz w:val="24"/>
          <w:szCs w:val="24"/>
        </w:rPr>
      </w:pPr>
      <w:r w:rsidRPr="002462E6">
        <w:rPr>
          <w:rFonts w:ascii="Tahoma" w:eastAsia="Times New Roman" w:hAnsi="Tahoma" w:cs="Tahoma"/>
          <w:sz w:val="24"/>
          <w:szCs w:val="24"/>
        </w:rPr>
        <w:t xml:space="preserve">Les réformes subséquentes (1998-2003 et 2003-2016) ont mis l'accent sur la refonte de la gouvernance, mais ont également suscité des critiques quant à la cohésion entre les acteurs institutionnels et les parties prenantes locales. La période actuelle, amorcée par la refonte institutionnelle de 2020, soulève des interrogations quant à la capacité de l'État à concrétiser ses orientations stratégiques et à instaurer une véritable décentralisation. Parallèlement, l'évolution des ressources humaines, marquée par la création de l'École Nationale Forestière d'Ingénieurs (ENFI), témoigne d'une professionnalisation du secteur, mais soulève des questions quant à l'adéquation des formations aux défis concrets du terrain, notamment en matière de gestion participative et d'intégration des savoirs </w:t>
      </w:r>
      <w:r w:rsidRPr="002462E6">
        <w:rPr>
          <w:rFonts w:ascii="Tahoma" w:eastAsia="Times New Roman" w:hAnsi="Tahoma" w:cs="Tahoma"/>
          <w:sz w:val="24"/>
          <w:szCs w:val="24"/>
        </w:rPr>
        <w:lastRenderedPageBreak/>
        <w:t>traditionnels.</w:t>
      </w:r>
    </w:p>
    <w:p w:rsidR="000A7532" w:rsidRPr="002462E6" w:rsidRDefault="000A7532" w:rsidP="000A7532">
      <w:pPr>
        <w:widowControl w:val="0"/>
        <w:autoSpaceDE w:val="0"/>
        <w:autoSpaceDN w:val="0"/>
        <w:spacing w:after="0" w:line="360" w:lineRule="auto"/>
        <w:jc w:val="both"/>
        <w:rPr>
          <w:rFonts w:ascii="Tahoma" w:eastAsia="Times New Roman" w:hAnsi="Tahoma" w:cs="Tahoma"/>
          <w:sz w:val="24"/>
          <w:szCs w:val="24"/>
        </w:rPr>
      </w:pPr>
      <w:r w:rsidRPr="002462E6">
        <w:rPr>
          <w:rFonts w:ascii="Tahoma" w:eastAsia="Times New Roman" w:hAnsi="Tahoma" w:cs="Tahoma"/>
          <w:sz w:val="24"/>
          <w:szCs w:val="24"/>
        </w:rPr>
        <w:t xml:space="preserve">En conclusion, si les réformes institutionnelles reflètent une volonté de modernisation, elles peinent à dépasser une logique centralisatrice, limitant l'intégration et la participation. La capacité du Maroc à concilier une gouvernance forestière moderne avec les dynamiques locales et les impératifs de durabilité demeure donc une question centrale. Des études empiriques supplémentaires sont nécessaires pour évaluer l'efficacité des récentes réformes et leur impact sur la gestion durable des ressources forestières, intégrant des indicateurs de performance clés et des données statistiques relatives à la participation locale et à la préservation de la biodiversité.  </w:t>
      </w:r>
    </w:p>
    <w:p w:rsidR="003A19B0" w:rsidRPr="001B1D3C" w:rsidRDefault="003A19B0" w:rsidP="000A7532">
      <w:pPr>
        <w:widowControl w:val="0"/>
        <w:autoSpaceDE w:val="0"/>
        <w:autoSpaceDN w:val="0"/>
        <w:spacing w:after="0" w:line="360" w:lineRule="auto"/>
        <w:jc w:val="both"/>
        <w:rPr>
          <w:rFonts w:ascii="Tahoma" w:eastAsia="Times New Roman" w:hAnsi="Tahoma" w:cs="Tahoma"/>
          <w:sz w:val="18"/>
          <w:szCs w:val="18"/>
        </w:rPr>
      </w:pPr>
    </w:p>
    <w:p w:rsidR="000A7532" w:rsidRPr="001B1D3C" w:rsidRDefault="00A57B78" w:rsidP="001B1D3C">
      <w:pPr>
        <w:pStyle w:val="TM1"/>
        <w:rPr>
          <w:rFonts w:eastAsia="Times New Roman"/>
        </w:rPr>
      </w:pPr>
      <w:r w:rsidRPr="002462E6">
        <w:rPr>
          <w:rFonts w:eastAsia="Times New Roman"/>
        </w:rPr>
        <w:t>Conclusion du premier</w:t>
      </w:r>
      <w:r w:rsidR="00EE73AF" w:rsidRPr="002462E6">
        <w:rPr>
          <w:rFonts w:eastAsia="Times New Roman"/>
        </w:rPr>
        <w:t>e</w:t>
      </w:r>
      <w:r w:rsidRPr="002462E6">
        <w:rPr>
          <w:rFonts w:eastAsia="Times New Roman"/>
        </w:rPr>
        <w:t xml:space="preserve"> chapitre </w:t>
      </w:r>
      <w:r w:rsidR="001B1D3C">
        <w:rPr>
          <w:rFonts w:eastAsia="Times New Roman"/>
        </w:rPr>
        <w:t> :</w:t>
      </w:r>
    </w:p>
    <w:p w:rsidR="003B0D5E" w:rsidRPr="002462E6" w:rsidRDefault="003B0D5E" w:rsidP="003B0D5E">
      <w:pPr>
        <w:spacing w:before="100" w:beforeAutospacing="1" w:after="100" w:afterAutospacing="1" w:line="360" w:lineRule="auto"/>
        <w:jc w:val="both"/>
        <w:rPr>
          <w:rFonts w:ascii="Tahoma" w:eastAsia="Times New Roman" w:hAnsi="Tahoma" w:cs="Tahoma"/>
          <w:sz w:val="24"/>
          <w:szCs w:val="24"/>
          <w:lang w:eastAsia="fr-FR"/>
        </w:rPr>
      </w:pPr>
      <w:r w:rsidRPr="002462E6">
        <w:rPr>
          <w:rFonts w:ascii="Tahoma" w:eastAsia="Times New Roman" w:hAnsi="Tahoma" w:cs="Tahoma"/>
          <w:sz w:val="24"/>
          <w:szCs w:val="24"/>
          <w:lang w:eastAsia="fr-FR"/>
        </w:rPr>
        <w:t>Au terme de ce chapitre premier, l'analyse de la trajectoire de la gestion forestière au Maroc démontre des dynamiques complexes qui caractérisent l'évolution du secteur forestier, mettant en lumière une tension persistante entre les systèmes de gestion traditionnels et les approches institutionnelles modernes. Cette analyse s'articule autour de deux axes principaux illustrant les défis d'articulation entre continuité historique et modernisation administrative.</w:t>
      </w:r>
    </w:p>
    <w:p w:rsidR="003B0D5E" w:rsidRPr="002462E6" w:rsidRDefault="003B0D5E" w:rsidP="003B0D5E">
      <w:pPr>
        <w:spacing w:before="100" w:beforeAutospacing="1" w:after="100" w:afterAutospacing="1" w:line="360" w:lineRule="auto"/>
        <w:jc w:val="both"/>
        <w:rPr>
          <w:rFonts w:ascii="Tahoma" w:eastAsia="Times New Roman" w:hAnsi="Tahoma" w:cs="Tahoma"/>
          <w:sz w:val="24"/>
          <w:szCs w:val="24"/>
          <w:lang w:eastAsia="fr-FR"/>
        </w:rPr>
      </w:pPr>
      <w:r w:rsidRPr="002462E6">
        <w:rPr>
          <w:rFonts w:ascii="Tahoma" w:eastAsia="Times New Roman" w:hAnsi="Tahoma" w:cs="Tahoma"/>
          <w:sz w:val="24"/>
          <w:szCs w:val="24"/>
          <w:lang w:eastAsia="fr-FR"/>
        </w:rPr>
        <w:t>Le premier axe d'analyse met l’éclairage sur la résilience historique du système AGDAL, qui constitue un modèle de gouvernance socio-écologique endogène ayant fait ses preuves sur plusieurs siècles. Le rôle déterminant de la Jemaâ dans la régulation des ressources forestières témoigne de l'efficacité des mécanismes traditionnels de gestion durable, tout en soulignant leur vulnérabilité face aux politiques publiques modernisatrices. L'étude de cas de la vallée des Ayt Bouguemmez illustre de manière paradigmatique cette dialectique entre tradition et modernité, où l'intégration des savoirs locaux demeure un enjeu stratégique afin d’éviter la marginalisation des populations rurales dans le processus décisionnel.</w:t>
      </w:r>
    </w:p>
    <w:p w:rsidR="003B0D5E" w:rsidRPr="002462E6" w:rsidRDefault="003B0D5E" w:rsidP="003B0D5E">
      <w:pPr>
        <w:spacing w:before="100" w:beforeAutospacing="1" w:after="100" w:afterAutospacing="1" w:line="360" w:lineRule="auto"/>
        <w:jc w:val="both"/>
        <w:rPr>
          <w:rFonts w:ascii="Tahoma" w:eastAsia="Times New Roman" w:hAnsi="Tahoma" w:cs="Tahoma"/>
          <w:sz w:val="24"/>
          <w:szCs w:val="24"/>
          <w:lang w:eastAsia="fr-FR"/>
        </w:rPr>
      </w:pPr>
      <w:r w:rsidRPr="002462E6">
        <w:rPr>
          <w:rFonts w:ascii="Tahoma" w:eastAsia="Times New Roman" w:hAnsi="Tahoma" w:cs="Tahoma"/>
          <w:sz w:val="24"/>
          <w:szCs w:val="24"/>
          <w:lang w:eastAsia="fr-FR"/>
        </w:rPr>
        <w:t xml:space="preserve">Le deuxième axe dévoile les lacunes d’une approche technocratique et centralisée dans la modernisation institutionnelle du secteur forestier. Les réformes opérées, depuis la période coloniale jusqu'à la restructuration post-indépendance, traduisent une logique de rationalisation qui, malgré ses objectifs d'efficacité, génère des tensions entre les </w:t>
      </w:r>
      <w:r w:rsidRPr="002462E6">
        <w:rPr>
          <w:rFonts w:ascii="Tahoma" w:eastAsia="Times New Roman" w:hAnsi="Tahoma" w:cs="Tahoma"/>
          <w:sz w:val="24"/>
          <w:szCs w:val="24"/>
          <w:lang w:eastAsia="fr-FR"/>
        </w:rPr>
        <w:lastRenderedPageBreak/>
        <w:t>orientations politiques nationales et les besoins des acteurs locaux. La création de l'École Nationale Forestière d'Ingénieurs (ENFI) constitue une avancée significative dans la professionnalisation du secteur, mais interroge l'adéquation des formations dispensées aux défis contemporains de la gestion participative et de l'intégration des savoirs traditionnels.</w:t>
      </w:r>
    </w:p>
    <w:p w:rsidR="003B0D5E" w:rsidRPr="002462E6" w:rsidRDefault="003B0D5E" w:rsidP="003B0D5E">
      <w:pPr>
        <w:spacing w:before="100" w:beforeAutospacing="1" w:after="100" w:afterAutospacing="1" w:line="360" w:lineRule="auto"/>
        <w:jc w:val="both"/>
        <w:rPr>
          <w:rFonts w:ascii="Tahoma" w:eastAsia="Times New Roman" w:hAnsi="Tahoma" w:cs="Tahoma"/>
          <w:sz w:val="24"/>
          <w:szCs w:val="24"/>
          <w:lang w:eastAsia="fr-FR"/>
        </w:rPr>
      </w:pPr>
      <w:r w:rsidRPr="002462E6">
        <w:rPr>
          <w:rFonts w:ascii="Tahoma" w:eastAsia="Times New Roman" w:hAnsi="Tahoma" w:cs="Tahoma"/>
          <w:sz w:val="24"/>
          <w:szCs w:val="24"/>
          <w:lang w:eastAsia="fr-FR"/>
        </w:rPr>
        <w:t>En somme, cette analyse soulève des questions fondamentales sur la nécessité d’appropriation des approches hybrides qui peuvent concilier efficacité administrative moderne et légitimité sociale traditionnelle en matière de gestion des ressources naturelles.</w:t>
      </w:r>
    </w:p>
    <w:p w:rsidR="000A7532" w:rsidRPr="002462E6" w:rsidRDefault="000A7532" w:rsidP="000A7532">
      <w:pPr>
        <w:widowControl w:val="0"/>
        <w:autoSpaceDE w:val="0"/>
        <w:autoSpaceDN w:val="0"/>
        <w:spacing w:after="0" w:line="360" w:lineRule="auto"/>
        <w:jc w:val="both"/>
        <w:rPr>
          <w:rFonts w:ascii="Tahoma" w:eastAsia="Times New Roman" w:hAnsi="Tahoma" w:cs="Tahoma"/>
          <w:sz w:val="24"/>
          <w:szCs w:val="24"/>
        </w:rPr>
      </w:pPr>
    </w:p>
    <w:p w:rsidR="000A7532" w:rsidRPr="002462E6" w:rsidRDefault="000A7532" w:rsidP="000A7532">
      <w:pPr>
        <w:widowControl w:val="0"/>
        <w:autoSpaceDE w:val="0"/>
        <w:autoSpaceDN w:val="0"/>
        <w:spacing w:after="0" w:line="240" w:lineRule="auto"/>
        <w:rPr>
          <w:rFonts w:ascii="Times New Roman" w:eastAsia="Times New Roman" w:hAnsi="Times New Roman" w:cs="Times New Roman"/>
        </w:rPr>
      </w:pPr>
    </w:p>
    <w:p w:rsidR="000A7532" w:rsidRPr="002462E6" w:rsidRDefault="000A7532" w:rsidP="000A7532">
      <w:pPr>
        <w:widowControl w:val="0"/>
        <w:autoSpaceDE w:val="0"/>
        <w:autoSpaceDN w:val="0"/>
        <w:spacing w:after="0" w:line="360" w:lineRule="auto"/>
        <w:jc w:val="both"/>
        <w:rPr>
          <w:rFonts w:ascii="Tahoma" w:eastAsia="Times New Roman" w:hAnsi="Tahoma" w:cs="Tahoma"/>
          <w:sz w:val="24"/>
          <w:szCs w:val="24"/>
        </w:rPr>
      </w:pPr>
    </w:p>
    <w:p w:rsidR="002D373B" w:rsidRPr="002462E6" w:rsidRDefault="002D373B"/>
    <w:p w:rsidR="00726EDC" w:rsidRPr="002462E6" w:rsidRDefault="00726EDC"/>
    <w:p w:rsidR="00726EDC" w:rsidRPr="002462E6" w:rsidRDefault="00726EDC">
      <w:r w:rsidRPr="002462E6">
        <w:br w:type="page"/>
      </w:r>
    </w:p>
    <w:p w:rsidR="00726EDC" w:rsidRPr="002462E6" w:rsidRDefault="00726EDC" w:rsidP="00F65F16">
      <w:pPr>
        <w:pStyle w:val="Titre2"/>
      </w:pPr>
      <w:bookmarkStart w:id="191" w:name="_Toc184477996"/>
      <w:bookmarkStart w:id="192" w:name="_Toc186533820"/>
      <w:bookmarkStart w:id="193" w:name="_Toc201570829"/>
      <w:bookmarkStart w:id="194" w:name="_Toc201570897"/>
      <w:bookmarkStart w:id="195" w:name="_Toc201655476"/>
      <w:bookmarkStart w:id="196" w:name="_Toc203643028"/>
      <w:r w:rsidRPr="002462E6">
        <w:lastRenderedPageBreak/>
        <w:t xml:space="preserve">Chapitre 2 : </w:t>
      </w:r>
      <w:bookmarkEnd w:id="191"/>
      <w:bookmarkEnd w:id="192"/>
      <w:r w:rsidRPr="002462E6">
        <w:t>Écosystèmes forestiers marocains : Enjeux de protection juridique et dégradation anthropique</w:t>
      </w:r>
      <w:bookmarkEnd w:id="193"/>
      <w:bookmarkEnd w:id="194"/>
      <w:bookmarkEnd w:id="195"/>
      <w:bookmarkEnd w:id="196"/>
    </w:p>
    <w:p w:rsidR="00726EDC" w:rsidRPr="002462E6" w:rsidRDefault="00726EDC" w:rsidP="00726EDC">
      <w:pPr>
        <w:widowControl w:val="0"/>
        <w:autoSpaceDE w:val="0"/>
        <w:autoSpaceDN w:val="0"/>
        <w:spacing w:after="0" w:line="240" w:lineRule="auto"/>
        <w:jc w:val="both"/>
        <w:outlineLvl w:val="1"/>
        <w:rPr>
          <w:rFonts w:ascii="Times New Roman" w:eastAsia="Times New Roman" w:hAnsi="Times New Roman" w:cs="Times New Roman"/>
          <w:b/>
          <w:bCs/>
          <w:color w:val="6E9400" w:themeColor="accent1" w:themeShade="BF"/>
          <w:sz w:val="28"/>
          <w:szCs w:val="28"/>
        </w:rPr>
      </w:pPr>
    </w:p>
    <w:p w:rsidR="00726EDC" w:rsidRPr="002462E6" w:rsidRDefault="00726EDC" w:rsidP="00726EDC">
      <w:pPr>
        <w:widowControl w:val="0"/>
        <w:autoSpaceDE w:val="0"/>
        <w:autoSpaceDN w:val="0"/>
        <w:spacing w:after="0" w:line="240" w:lineRule="auto"/>
        <w:rPr>
          <w:rFonts w:ascii="Tahoma" w:eastAsia="Times New Roman" w:hAnsi="Tahoma" w:cs="Tahoma"/>
          <w:sz w:val="28"/>
          <w:szCs w:val="28"/>
        </w:rPr>
      </w:pPr>
    </w:p>
    <w:p w:rsidR="00726EDC" w:rsidRPr="002462E6" w:rsidRDefault="00726EDC" w:rsidP="00D50304">
      <w:pPr>
        <w:widowControl w:val="0"/>
        <w:autoSpaceDE w:val="0"/>
        <w:autoSpaceDN w:val="0"/>
        <w:spacing w:after="0" w:line="480" w:lineRule="auto"/>
        <w:jc w:val="both"/>
        <w:rPr>
          <w:rFonts w:ascii="Tahoma" w:eastAsia="Times New Roman" w:hAnsi="Tahoma" w:cs="Tahoma"/>
          <w:sz w:val="24"/>
          <w:szCs w:val="24"/>
        </w:rPr>
      </w:pPr>
      <w:r w:rsidRPr="002462E6">
        <w:rPr>
          <w:rFonts w:ascii="Tahoma" w:eastAsia="Times New Roman" w:hAnsi="Tahoma" w:cs="Tahoma"/>
          <w:sz w:val="24"/>
          <w:szCs w:val="24"/>
        </w:rPr>
        <w:t>Situé à l’extrême nord-ouest du continent africain, entre 21° et 36° de latitude nord et 1° et 17° de longitude ouest, le Maroc est entouré par l'Océan Atlantique, la Mer Méditerranée et le Sahara. Cette position stratégique lui confère une grande variation altitudinale, allant de 55 mètres sous le niveau de la mer dans certaines régions à des sommets culminant à 4 165 mètres, tel que le mont Toubkal dans le Haut Atlas. Cette diversité topographique contribue à une multitude d'étages bioclimatiques et à des écosystèmes variés, allant des forêts méditerranéennes aux zones arides du sud</w:t>
      </w:r>
      <w:r w:rsidRPr="002462E6">
        <w:rPr>
          <w:rFonts w:ascii="Tahoma" w:eastAsia="Times New Roman" w:hAnsi="Tahoma" w:cs="Tahoma"/>
          <w:sz w:val="24"/>
          <w:szCs w:val="24"/>
          <w:vertAlign w:val="superscript"/>
        </w:rPr>
        <w:footnoteReference w:id="232"/>
      </w:r>
      <w:r w:rsidRPr="002462E6">
        <w:rPr>
          <w:rFonts w:ascii="Tahoma" w:eastAsia="Times New Roman" w:hAnsi="Tahoma" w:cs="Tahoma"/>
          <w:sz w:val="24"/>
          <w:szCs w:val="24"/>
        </w:rPr>
        <w:t>.</w:t>
      </w:r>
    </w:p>
    <w:p w:rsidR="00FF6D7E" w:rsidRPr="002462E6" w:rsidRDefault="00726EDC" w:rsidP="00967CB4">
      <w:pPr>
        <w:widowControl w:val="0"/>
        <w:autoSpaceDE w:val="0"/>
        <w:autoSpaceDN w:val="0"/>
        <w:spacing w:after="0" w:line="480" w:lineRule="auto"/>
        <w:jc w:val="both"/>
        <w:rPr>
          <w:rFonts w:ascii="Tahoma" w:eastAsia="Times New Roman" w:hAnsi="Tahoma" w:cs="Tahoma"/>
          <w:sz w:val="24"/>
          <w:szCs w:val="24"/>
        </w:rPr>
      </w:pPr>
      <w:r w:rsidRPr="002462E6">
        <w:rPr>
          <w:rFonts w:ascii="Tahoma" w:eastAsia="Times New Roman" w:hAnsi="Tahoma" w:cs="Tahoma"/>
          <w:sz w:val="24"/>
          <w:szCs w:val="24"/>
        </w:rPr>
        <w:t>Le Maroc se distingue par une écologie riche ainsi que de paysages diversifiés, dont les forêts constituent le principal réceptacle de la faune et de la flore naturelle. Toutefois, cette biodiversité est de plus en plus menacée par des facteurs tels que la déforestation, la désertification, l'urbanisation et le changement climatique. En conséquence, des mesures légales et institutionnelles ont été mises en place pour protéger ces écosystèmes vulnérables.</w:t>
      </w:r>
    </w:p>
    <w:p w:rsidR="00726EDC" w:rsidRPr="002462E6" w:rsidRDefault="00726EDC" w:rsidP="007A71CC">
      <w:pPr>
        <w:pStyle w:val="Titre3"/>
        <w:rPr>
          <w:sz w:val="26"/>
        </w:rPr>
      </w:pPr>
      <w:bookmarkStart w:id="197" w:name="_Toc184477997"/>
      <w:bookmarkStart w:id="198" w:name="_Toc186533821"/>
      <w:bookmarkStart w:id="199" w:name="_Toc201570830"/>
      <w:bookmarkStart w:id="200" w:name="_Toc201570898"/>
      <w:bookmarkStart w:id="201" w:name="_Toc201655477"/>
      <w:bookmarkStart w:id="202" w:name="_Toc203643029"/>
      <w:r w:rsidRPr="002462E6">
        <w:t>Première</w:t>
      </w:r>
      <w:r w:rsidRPr="002462E6">
        <w:rPr>
          <w:spacing w:val="-2"/>
        </w:rPr>
        <w:t xml:space="preserve"> </w:t>
      </w:r>
      <w:r w:rsidRPr="002462E6">
        <w:t>section</w:t>
      </w:r>
      <w:r w:rsidRPr="002462E6">
        <w:rPr>
          <w:spacing w:val="-3"/>
        </w:rPr>
        <w:t xml:space="preserve"> </w:t>
      </w:r>
      <w:r w:rsidRPr="002462E6">
        <w:t>:</w:t>
      </w:r>
      <w:r w:rsidRPr="002462E6">
        <w:rPr>
          <w:spacing w:val="-1"/>
        </w:rPr>
        <w:t xml:space="preserve"> </w:t>
      </w:r>
      <w:bookmarkEnd w:id="197"/>
      <w:bookmarkEnd w:id="198"/>
      <w:r w:rsidRPr="002462E6">
        <w:t>Diversité et richesse du patrimoine floral forestier marocain</w:t>
      </w:r>
      <w:bookmarkEnd w:id="199"/>
      <w:bookmarkEnd w:id="200"/>
      <w:bookmarkEnd w:id="201"/>
      <w:bookmarkEnd w:id="202"/>
    </w:p>
    <w:p w:rsidR="00726EDC" w:rsidRPr="002462E6" w:rsidRDefault="00726EDC" w:rsidP="00726EDC">
      <w:pPr>
        <w:widowControl w:val="0"/>
        <w:autoSpaceDE w:val="0"/>
        <w:autoSpaceDN w:val="0"/>
        <w:spacing w:after="0" w:line="240" w:lineRule="auto"/>
        <w:ind w:left="777"/>
        <w:jc w:val="both"/>
        <w:outlineLvl w:val="2"/>
        <w:rPr>
          <w:rFonts w:ascii="Calibri Light" w:eastAsia="Calibri Light" w:hAnsi="Calibri Light" w:cs="Calibri Light"/>
          <w:sz w:val="26"/>
          <w:szCs w:val="26"/>
        </w:rPr>
      </w:pPr>
    </w:p>
    <w:p w:rsidR="00DA3930" w:rsidRPr="002462E6" w:rsidRDefault="00726EDC" w:rsidP="00DA3930">
      <w:pPr>
        <w:widowControl w:val="0"/>
        <w:autoSpaceDE w:val="0"/>
        <w:autoSpaceDN w:val="0"/>
        <w:spacing w:after="0" w:line="360" w:lineRule="auto"/>
        <w:jc w:val="both"/>
        <w:outlineLvl w:val="2"/>
        <w:rPr>
          <w:rFonts w:ascii="Tahoma" w:eastAsia="Calibri Light" w:hAnsi="Tahoma" w:cs="Tahoma"/>
          <w:sz w:val="24"/>
          <w:szCs w:val="24"/>
        </w:rPr>
      </w:pPr>
      <w:bookmarkStart w:id="203" w:name="_Toc201570831"/>
      <w:r w:rsidRPr="002462E6">
        <w:rPr>
          <w:rFonts w:ascii="Tahoma" w:eastAsia="Times New Roman" w:hAnsi="Tahoma" w:cs="Tahoma"/>
          <w:sz w:val="24"/>
          <w:szCs w:val="24"/>
        </w:rPr>
        <w:t>Selon les statistiques officielles de l’Agence Nationale des Eaux et Forêts, Le domaine foncier forestier marocain couvre, 9 millions d’hectares, dont 5,8 millions d’hectares de formations forestières et 3,2 millions d’hectares de nappes alfatières. Ces forêts sont majoritairement domaniales et renferment environ une</w:t>
      </w:r>
      <w:r w:rsidRPr="002462E6">
        <w:rPr>
          <w:rFonts w:ascii="Tahoma" w:eastAsia="Calibri Light" w:hAnsi="Tahoma" w:cs="Tahoma"/>
          <w:sz w:val="24"/>
          <w:szCs w:val="24"/>
        </w:rPr>
        <w:t xml:space="preserve"> quarant</w:t>
      </w:r>
      <w:r w:rsidR="00DA3930" w:rsidRPr="002462E6">
        <w:rPr>
          <w:rFonts w:ascii="Tahoma" w:eastAsia="Calibri Light" w:hAnsi="Tahoma" w:cs="Tahoma"/>
          <w:sz w:val="24"/>
          <w:szCs w:val="24"/>
        </w:rPr>
        <w:t>aine d’écosystèmes terrestres.</w:t>
      </w:r>
      <w:bookmarkEnd w:id="203"/>
      <w:r w:rsidR="00DA3930" w:rsidRPr="002462E6">
        <w:rPr>
          <w:rFonts w:ascii="Tahoma" w:eastAsia="Calibri Light" w:hAnsi="Tahoma" w:cs="Tahoma"/>
          <w:sz w:val="24"/>
          <w:szCs w:val="24"/>
        </w:rPr>
        <w:t xml:space="preserve"> </w:t>
      </w:r>
    </w:p>
    <w:p w:rsidR="00726EDC" w:rsidRPr="002462E6" w:rsidRDefault="00726EDC" w:rsidP="00726EDC">
      <w:pPr>
        <w:widowControl w:val="0"/>
        <w:autoSpaceDE w:val="0"/>
        <w:autoSpaceDN w:val="0"/>
        <w:spacing w:after="0" w:line="360" w:lineRule="auto"/>
        <w:jc w:val="both"/>
        <w:outlineLvl w:val="2"/>
        <w:rPr>
          <w:rFonts w:ascii="Tahoma" w:eastAsia="Calibri Light" w:hAnsi="Tahoma" w:cs="Tahoma"/>
          <w:sz w:val="24"/>
          <w:szCs w:val="24"/>
        </w:rPr>
      </w:pPr>
      <w:bookmarkStart w:id="204" w:name="_Toc201570832"/>
      <w:r w:rsidRPr="002462E6">
        <w:rPr>
          <w:rFonts w:ascii="Tahoma" w:eastAsia="Calibri Light" w:hAnsi="Tahoma" w:cs="Tahoma"/>
          <w:sz w:val="24"/>
          <w:szCs w:val="24"/>
        </w:rPr>
        <w:t xml:space="preserve">En plus des forêts relevant du domaine forestier de l'État, il existe des forêts ayant </w:t>
      </w:r>
      <w:r w:rsidRPr="002462E6">
        <w:rPr>
          <w:rFonts w:ascii="Tahoma" w:eastAsia="Calibri Light" w:hAnsi="Tahoma" w:cs="Tahoma"/>
          <w:sz w:val="24"/>
          <w:szCs w:val="24"/>
        </w:rPr>
        <w:lastRenderedPageBreak/>
        <w:t>d'autres statuts fonciers, principalement celles des collectivités ethniques, placées sous la tutelle du Ministère de l'Intérieur ainsi que des forêts privées, bien qu’elles s’étendant sur moins d’un demi-million ha</w:t>
      </w:r>
      <w:r w:rsidRPr="002462E6">
        <w:rPr>
          <w:rFonts w:ascii="Tahoma" w:eastAsia="Calibri Light" w:hAnsi="Tahoma" w:cs="Tahoma"/>
          <w:sz w:val="24"/>
          <w:szCs w:val="24"/>
          <w:vertAlign w:val="superscript"/>
        </w:rPr>
        <w:footnoteReference w:id="233"/>
      </w:r>
      <w:r w:rsidRPr="002462E6">
        <w:rPr>
          <w:rFonts w:ascii="Tahoma" w:eastAsia="Calibri Light" w:hAnsi="Tahoma" w:cs="Tahoma"/>
          <w:sz w:val="24"/>
          <w:szCs w:val="24"/>
        </w:rPr>
        <w:t>.</w:t>
      </w:r>
      <w:bookmarkEnd w:id="204"/>
    </w:p>
    <w:p w:rsidR="00726EDC" w:rsidRPr="002462E6" w:rsidRDefault="00726EDC" w:rsidP="00170EF5">
      <w:pPr>
        <w:widowControl w:val="0"/>
        <w:autoSpaceDE w:val="0"/>
        <w:autoSpaceDN w:val="0"/>
        <w:spacing w:after="0" w:line="360" w:lineRule="auto"/>
        <w:jc w:val="both"/>
        <w:outlineLvl w:val="2"/>
        <w:rPr>
          <w:rFonts w:ascii="Tahoma" w:eastAsia="Calibri Light" w:hAnsi="Tahoma" w:cs="Tahoma"/>
          <w:sz w:val="24"/>
          <w:szCs w:val="24"/>
        </w:rPr>
      </w:pPr>
      <w:bookmarkStart w:id="205" w:name="_Toc201570833"/>
      <w:r w:rsidRPr="002462E6">
        <w:rPr>
          <w:rFonts w:ascii="Tahoma" w:eastAsia="Calibri Light" w:hAnsi="Tahoma" w:cs="Tahoma"/>
          <w:sz w:val="24"/>
          <w:szCs w:val="24"/>
        </w:rPr>
        <w:t>Par leur richesse, les écosystèmes forestiers du Maroc occupent une position prépondérante dans la région méditerranéenne et constituent un enjeu stratégique majeur pour le pays.</w:t>
      </w:r>
      <w:r w:rsidRPr="002462E6">
        <w:rPr>
          <w:rFonts w:ascii="Calibri Light" w:eastAsia="Calibri Light" w:hAnsi="Calibri Light" w:cs="Calibri Light"/>
          <w:sz w:val="24"/>
          <w:szCs w:val="24"/>
        </w:rPr>
        <w:t xml:space="preserve"> </w:t>
      </w:r>
      <w:r w:rsidRPr="002462E6">
        <w:rPr>
          <w:rFonts w:ascii="Tahoma" w:eastAsia="Calibri Light" w:hAnsi="Tahoma" w:cs="Tahoma"/>
          <w:sz w:val="24"/>
          <w:szCs w:val="24"/>
        </w:rPr>
        <w:t>Ils abritent l'essentiel de la biodiversité et représentant presque 13% du territoire national</w:t>
      </w:r>
      <w:r w:rsidRPr="002462E6">
        <w:rPr>
          <w:rFonts w:ascii="Tahoma" w:eastAsia="Calibri Light" w:hAnsi="Tahoma" w:cs="Tahoma"/>
          <w:sz w:val="24"/>
          <w:szCs w:val="24"/>
          <w:vertAlign w:val="superscript"/>
        </w:rPr>
        <w:footnoteReference w:id="234"/>
      </w:r>
      <w:r w:rsidRPr="002462E6">
        <w:rPr>
          <w:rFonts w:ascii="Tahoma" w:eastAsia="Calibri Light" w:hAnsi="Tahoma" w:cs="Tahoma"/>
          <w:sz w:val="24"/>
          <w:szCs w:val="24"/>
        </w:rPr>
        <w:t>.</w:t>
      </w:r>
      <w:r w:rsidRPr="002462E6">
        <w:rPr>
          <w:rFonts w:ascii="Calibri Light" w:eastAsia="Calibri Light" w:hAnsi="Calibri Light" w:cs="Calibri Light"/>
          <w:sz w:val="24"/>
          <w:szCs w:val="24"/>
        </w:rPr>
        <w:t xml:space="preserve"> </w:t>
      </w:r>
      <w:r w:rsidRPr="002462E6">
        <w:rPr>
          <w:rFonts w:ascii="Tahoma" w:eastAsia="Calibri Light" w:hAnsi="Tahoma" w:cs="Tahoma"/>
          <w:sz w:val="24"/>
          <w:szCs w:val="24"/>
        </w:rPr>
        <w:t>Les produits forestiers contribuent de manière significative à l'économie nationale, satisfaisant environ 30% des besoins du Maroc en bois, soit approximativement 600 000 m³ par an. Cette production comprend le bois d'œuvre, le bois d'industrie, le liège, ainsi que les plantes aromatiques et médicinales, et les champignons. De plus, les ressources forestières contribuent à hauteur de 18% au bilan énergétique national, équivalant à près de 4 millions de tonnes d'équivalent-pétrole, soulignant leur importance dans le contexte énergétique du pays, particulièrement en milieu rural. Par ailleurs, elles répondent à 17% des besoins du cheptel, ce qui correspond à environ 15 millions de quintaux d'orge, démontrant leur rôle crucial dans l'alimentation du bétail</w:t>
      </w:r>
      <w:r w:rsidRPr="002462E6">
        <w:rPr>
          <w:rFonts w:ascii="Tahoma" w:eastAsia="Calibri Light" w:hAnsi="Tahoma" w:cs="Tahoma"/>
          <w:sz w:val="24"/>
          <w:szCs w:val="24"/>
          <w:vertAlign w:val="superscript"/>
        </w:rPr>
        <w:footnoteReference w:id="235"/>
      </w:r>
      <w:r w:rsidRPr="002462E6">
        <w:rPr>
          <w:rFonts w:ascii="Tahoma" w:eastAsia="Calibri Light" w:hAnsi="Tahoma" w:cs="Tahoma"/>
          <w:sz w:val="24"/>
          <w:szCs w:val="24"/>
        </w:rPr>
        <w:t>. Enfin, le Maroc joue un rôle important dans la production mondiale du liège, contribuant à hauteur d'environ 4% avec une production annuelle d'environ 150 000 quintaux</w:t>
      </w:r>
      <w:r w:rsidRPr="002462E6">
        <w:rPr>
          <w:rFonts w:ascii="Tahoma" w:eastAsia="Calibri Light" w:hAnsi="Tahoma" w:cs="Tahoma"/>
          <w:sz w:val="24"/>
          <w:szCs w:val="24"/>
          <w:vertAlign w:val="superscript"/>
        </w:rPr>
        <w:footnoteReference w:id="236"/>
      </w:r>
      <w:r w:rsidRPr="002462E6">
        <w:rPr>
          <w:rFonts w:ascii="Tahoma" w:eastAsia="Calibri Light" w:hAnsi="Tahoma" w:cs="Tahoma"/>
          <w:sz w:val="24"/>
          <w:szCs w:val="24"/>
        </w:rPr>
        <w:t>.</w:t>
      </w:r>
      <w:bookmarkEnd w:id="205"/>
    </w:p>
    <w:p w:rsidR="00726EDC" w:rsidRPr="002462E6" w:rsidRDefault="008A2BCA" w:rsidP="00D051D7">
      <w:pPr>
        <w:pStyle w:val="Titre4"/>
        <w:numPr>
          <w:ilvl w:val="0"/>
          <w:numId w:val="61"/>
        </w:numPr>
      </w:pPr>
      <w:bookmarkStart w:id="206" w:name="_Toc201570899"/>
      <w:bookmarkStart w:id="207" w:name="_Toc201655478"/>
      <w:r w:rsidRPr="002462E6">
        <w:t xml:space="preserve"> </w:t>
      </w:r>
      <w:bookmarkStart w:id="208" w:name="_Toc203643030"/>
      <w:r w:rsidRPr="002462E6">
        <w:t>M</w:t>
      </w:r>
      <w:r w:rsidR="00726EDC" w:rsidRPr="002462E6">
        <w:t>ultifonctionnalité du patrimoine floristique forestier marocain : enjeux et perspectives</w:t>
      </w:r>
      <w:bookmarkEnd w:id="206"/>
      <w:bookmarkEnd w:id="207"/>
      <w:bookmarkEnd w:id="208"/>
    </w:p>
    <w:p w:rsidR="00726EDC" w:rsidRPr="002462E6" w:rsidRDefault="00726EDC" w:rsidP="00726EDC">
      <w:pPr>
        <w:widowControl w:val="0"/>
        <w:autoSpaceDE w:val="0"/>
        <w:autoSpaceDN w:val="0"/>
        <w:spacing w:before="163" w:after="0" w:line="240" w:lineRule="auto"/>
        <w:jc w:val="both"/>
        <w:rPr>
          <w:rFonts w:ascii="Tahoma" w:eastAsia="Times New Roman" w:hAnsi="Tahoma" w:cs="Tahoma"/>
          <w:color w:val="1F4D78"/>
          <w:sz w:val="24"/>
          <w:szCs w:val="24"/>
        </w:rPr>
      </w:pPr>
    </w:p>
    <w:p w:rsidR="00726EDC" w:rsidRPr="002462E6" w:rsidRDefault="00726EDC" w:rsidP="00726EDC">
      <w:pPr>
        <w:widowControl w:val="0"/>
        <w:autoSpaceDE w:val="0"/>
        <w:autoSpaceDN w:val="0"/>
        <w:spacing w:after="0" w:line="360" w:lineRule="auto"/>
        <w:jc w:val="both"/>
        <w:rPr>
          <w:rFonts w:ascii="Tahoma" w:eastAsia="Calibri" w:hAnsi="Tahoma" w:cs="Tahoma"/>
          <w:color w:val="000000"/>
          <w:sz w:val="24"/>
          <w:szCs w:val="24"/>
        </w:rPr>
      </w:pPr>
      <w:r w:rsidRPr="002462E6">
        <w:rPr>
          <w:rFonts w:ascii="Tahoma" w:eastAsia="Calibri" w:hAnsi="Tahoma" w:cs="Tahoma"/>
          <w:color w:val="000000"/>
          <w:sz w:val="24"/>
          <w:szCs w:val="24"/>
        </w:rPr>
        <w:t xml:space="preserve">Les écosystèmes forestiers se caractérisent par des processus écologiques complexes qui interagissent avec des dynamiques socio-économiques. Ces interactions sont généralement conceptualisées sous la notion de « fonctions ». Bien que les processus biologiques opèrent indépendamment de toute intervention humaine, ces fonctions n’acquièrent une signification véritable que lorsqu’elles sont intégrées dans un cadre d’usage défini par les humains. Ainsi, la fonction de production de bois repose sur la </w:t>
      </w:r>
      <w:r w:rsidRPr="002462E6">
        <w:rPr>
          <w:rFonts w:ascii="Tahoma" w:eastAsia="Calibri" w:hAnsi="Tahoma" w:cs="Tahoma"/>
          <w:color w:val="000000"/>
          <w:sz w:val="24"/>
          <w:szCs w:val="24"/>
        </w:rPr>
        <w:lastRenderedPageBreak/>
        <w:t>capacité des arbres à croître et à se renouveler, mais elle ne prend une dimension économique que lorsqu’elle s’inscrit dans des logiques d’exploitation et de gestion forestière. De même, la fonction de protection ne revêt une importance effective qu’en réponse à des enjeux environnementaux et sociaux identifiés par les acteurs concernés, tels que la conservation de la biodiversité, la prévention de l’érosion ou encore la régulation du climat local</w:t>
      </w:r>
      <w:r w:rsidRPr="002462E6">
        <w:rPr>
          <w:rFonts w:ascii="Tahoma" w:eastAsia="Calibri" w:hAnsi="Tahoma" w:cs="Tahoma"/>
          <w:color w:val="000000"/>
          <w:sz w:val="24"/>
          <w:szCs w:val="24"/>
          <w:vertAlign w:val="superscript"/>
        </w:rPr>
        <w:footnoteReference w:id="237"/>
      </w:r>
      <w:r w:rsidRPr="002462E6">
        <w:rPr>
          <w:rFonts w:ascii="Tahoma" w:eastAsia="Calibri" w:hAnsi="Tahoma" w:cs="Tahoma"/>
          <w:color w:val="000000"/>
          <w:sz w:val="24"/>
          <w:szCs w:val="24"/>
        </w:rPr>
        <w:t>.</w:t>
      </w:r>
    </w:p>
    <w:p w:rsidR="00726EDC" w:rsidRPr="002462E6" w:rsidRDefault="00726EDC" w:rsidP="00726EDC">
      <w:pPr>
        <w:widowControl w:val="0"/>
        <w:autoSpaceDE w:val="0"/>
        <w:autoSpaceDN w:val="0"/>
        <w:spacing w:before="163" w:after="0" w:line="360" w:lineRule="auto"/>
        <w:jc w:val="both"/>
        <w:rPr>
          <w:rFonts w:ascii="Tahoma" w:eastAsia="Calibri" w:hAnsi="Tahoma" w:cs="Tahoma"/>
          <w:color w:val="000000"/>
          <w:sz w:val="24"/>
          <w:szCs w:val="24"/>
        </w:rPr>
      </w:pPr>
      <w:r w:rsidRPr="002462E6">
        <w:rPr>
          <w:rFonts w:ascii="Tahoma" w:eastAsia="Calibri" w:hAnsi="Tahoma" w:cs="Tahoma"/>
          <w:color w:val="000000"/>
          <w:sz w:val="24"/>
          <w:szCs w:val="24"/>
        </w:rPr>
        <w:t>Les usages sociaux de la forêt sont indissociables des pratiques et des besoins des usagers qui en dépendent. La figure, ci-dessous, illustre les interactions complexes qui caractérisent l’écosystème forestier, envisagé simultanément comme un système écologique et économique. La production de biens et de ressources indispensables à la satisfaction des besoins humains met en exergue deux enjeux fondamentaux : d’une part, la rareté des ressources et la nécessité d’un équilibre écosystémique. D’autre part, la notion d’utilité renvoie aux logiques d’appropriation et aux comportements adoptés par les acteurs vis-à-vis de ces ressources. Toutefois, les différentes modalités d’exploitation sont souvent sources de tensions, opposant les impératifs économiques aux contraintes environnementales, ce qui peut engendrer des conflits d’usage</w:t>
      </w:r>
      <w:r w:rsidRPr="002462E6">
        <w:rPr>
          <w:rFonts w:ascii="Tahoma" w:eastAsia="Calibri" w:hAnsi="Tahoma" w:cs="Tahoma"/>
          <w:color w:val="000000"/>
          <w:sz w:val="24"/>
          <w:szCs w:val="24"/>
          <w:vertAlign w:val="superscript"/>
        </w:rPr>
        <w:footnoteReference w:id="238"/>
      </w:r>
      <w:r w:rsidRPr="002462E6">
        <w:rPr>
          <w:rFonts w:ascii="Tahoma" w:eastAsia="Calibri" w:hAnsi="Tahoma" w:cs="Tahoma"/>
          <w:color w:val="000000"/>
          <w:sz w:val="24"/>
          <w:szCs w:val="24"/>
        </w:rPr>
        <w:t xml:space="preserve">.  </w:t>
      </w:r>
    </w:p>
    <w:p w:rsidR="00726EDC" w:rsidRPr="002462E6" w:rsidRDefault="00726EDC" w:rsidP="00726EDC">
      <w:pPr>
        <w:widowControl w:val="0"/>
        <w:autoSpaceDE w:val="0"/>
        <w:autoSpaceDN w:val="0"/>
        <w:spacing w:before="163" w:after="0" w:line="360" w:lineRule="auto"/>
        <w:jc w:val="both"/>
        <w:rPr>
          <w:rFonts w:ascii="Tahoma" w:eastAsia="Calibri" w:hAnsi="Tahoma" w:cs="Tahoma"/>
          <w:color w:val="000000"/>
          <w:sz w:val="24"/>
          <w:szCs w:val="24"/>
        </w:rPr>
      </w:pPr>
      <w:r w:rsidRPr="002462E6">
        <w:rPr>
          <w:rFonts w:ascii="Tahoma" w:eastAsia="Calibri" w:hAnsi="Tahoma" w:cs="Tahoma"/>
          <w:color w:val="000000"/>
          <w:sz w:val="24"/>
          <w:szCs w:val="24"/>
        </w:rPr>
        <w:t>Dans le contexte des forêts marocaines, l’interaction entre écologie et économie revêt une complexité particulière, résultant à la fois de la diversité des modes d’utilisation des écosystèmes forestiers et des cadres réglementaires qui en définissent la gestion.</w:t>
      </w:r>
    </w:p>
    <w:p w:rsidR="00967CB4" w:rsidRPr="002462E6" w:rsidRDefault="00726EDC" w:rsidP="00C374EB">
      <w:pPr>
        <w:widowControl w:val="0"/>
        <w:autoSpaceDE w:val="0"/>
        <w:autoSpaceDN w:val="0"/>
        <w:spacing w:after="0" w:line="360" w:lineRule="auto"/>
        <w:jc w:val="both"/>
        <w:rPr>
          <w:rFonts w:ascii="Tahoma" w:eastAsia="Calibri" w:hAnsi="Tahoma" w:cs="Tahoma"/>
          <w:color w:val="000000"/>
          <w:sz w:val="24"/>
          <w:szCs w:val="24"/>
        </w:rPr>
      </w:pPr>
      <w:r w:rsidRPr="002462E6">
        <w:rPr>
          <w:rFonts w:ascii="Tahoma" w:eastAsia="Calibri" w:hAnsi="Tahoma" w:cs="Tahoma"/>
          <w:color w:val="000000"/>
          <w:sz w:val="24"/>
          <w:szCs w:val="24"/>
        </w:rPr>
        <w:t>Dès lors, une analyse approfondie s’impose afin d’examiner non seulement les techniques et pratiques de conservation et d’exploitation, mais aussi les normes institutionnelles et les comportements des usagers vis-à-vis des ressources forestières. Cette démarche permet d’évaluer dans quelle mesure la réglementation en vigueur parvient à concilier préservation écologique et développement socio-économique, tout en anticipant les enjeux liés à une g</w:t>
      </w:r>
      <w:r w:rsidR="00C374EB" w:rsidRPr="002462E6">
        <w:rPr>
          <w:rFonts w:ascii="Tahoma" w:eastAsia="Calibri" w:hAnsi="Tahoma" w:cs="Tahoma"/>
          <w:color w:val="000000"/>
          <w:sz w:val="24"/>
          <w:szCs w:val="24"/>
        </w:rPr>
        <w:t>estion soutenable des forêts.</w:t>
      </w:r>
    </w:p>
    <w:p w:rsidR="001D03C5" w:rsidRPr="002462E6" w:rsidRDefault="00967CB4" w:rsidP="00967CB4">
      <w:pPr>
        <w:rPr>
          <w:rFonts w:ascii="Tahoma" w:eastAsia="Calibri" w:hAnsi="Tahoma" w:cs="Tahoma"/>
          <w:color w:val="000000"/>
          <w:sz w:val="24"/>
          <w:szCs w:val="24"/>
        </w:rPr>
      </w:pPr>
      <w:r w:rsidRPr="002462E6">
        <w:rPr>
          <w:rFonts w:ascii="Tahoma" w:eastAsia="Calibri" w:hAnsi="Tahoma" w:cs="Tahoma"/>
          <w:color w:val="000000"/>
          <w:sz w:val="24"/>
          <w:szCs w:val="24"/>
        </w:rPr>
        <w:br w:type="page"/>
      </w:r>
    </w:p>
    <w:p w:rsidR="00C374EB" w:rsidRPr="002462E6" w:rsidRDefault="00C374EB" w:rsidP="00C374EB">
      <w:pPr>
        <w:widowControl w:val="0"/>
        <w:autoSpaceDE w:val="0"/>
        <w:autoSpaceDN w:val="0"/>
        <w:spacing w:after="0" w:line="360" w:lineRule="auto"/>
        <w:jc w:val="both"/>
        <w:rPr>
          <w:rFonts w:ascii="Tahoma" w:eastAsia="Calibri" w:hAnsi="Tahoma" w:cs="Tahoma"/>
          <w:color w:val="000000"/>
          <w:sz w:val="2"/>
          <w:szCs w:val="2"/>
        </w:rPr>
      </w:pPr>
      <w:r w:rsidRPr="002462E6">
        <w:rPr>
          <w:rFonts w:ascii="Tahoma" w:eastAsia="Calibri" w:hAnsi="Tahoma" w:cs="Tahoma"/>
          <w:color w:val="000000"/>
          <w:sz w:val="24"/>
          <w:szCs w:val="24"/>
        </w:rPr>
        <w:lastRenderedPageBreak/>
        <w:t xml:space="preserve">  </w:t>
      </w:r>
    </w:p>
    <w:p w:rsidR="00C374EB" w:rsidRPr="002462E6" w:rsidRDefault="00C374EB" w:rsidP="00C374EB">
      <w:pPr>
        <w:widowControl w:val="0"/>
        <w:tabs>
          <w:tab w:val="left" w:pos="1122"/>
        </w:tabs>
        <w:autoSpaceDE w:val="0"/>
        <w:autoSpaceDN w:val="0"/>
        <w:spacing w:after="0" w:line="360" w:lineRule="auto"/>
        <w:jc w:val="both"/>
        <w:rPr>
          <w:rFonts w:ascii="Tahoma" w:eastAsia="Calibri" w:hAnsi="Tahoma" w:cs="Tahoma"/>
          <w:color w:val="000000"/>
          <w:sz w:val="8"/>
          <w:szCs w:val="8"/>
        </w:rPr>
      </w:pPr>
    </w:p>
    <w:p w:rsidR="001D03C5" w:rsidRPr="002462E6" w:rsidRDefault="00726EDC" w:rsidP="000D57A1">
      <w:pPr>
        <w:pStyle w:val="Sous-titre"/>
        <w:rPr>
          <w:color w:val="000000"/>
        </w:rPr>
      </w:pPr>
      <w:bookmarkStart w:id="209" w:name="_Toc185696926"/>
      <w:bookmarkStart w:id="210" w:name="_Toc201571202"/>
      <w:bookmarkStart w:id="211" w:name="_Toc203642802"/>
      <w:r w:rsidRPr="002462E6">
        <w:t xml:space="preserve">Figure </w:t>
      </w:r>
      <w:r w:rsidR="00225ED1">
        <w:rPr>
          <w:noProof/>
        </w:rPr>
        <w:fldChar w:fldCharType="begin"/>
      </w:r>
      <w:r w:rsidR="00225ED1">
        <w:rPr>
          <w:noProof/>
        </w:rPr>
        <w:instrText xml:space="preserve"> SEQ Figure \* ARABIC </w:instrText>
      </w:r>
      <w:r w:rsidR="00225ED1">
        <w:rPr>
          <w:noProof/>
        </w:rPr>
        <w:fldChar w:fldCharType="separate"/>
      </w:r>
      <w:r w:rsidR="00124AFB">
        <w:rPr>
          <w:noProof/>
        </w:rPr>
        <w:t>10</w:t>
      </w:r>
      <w:r w:rsidR="00225ED1">
        <w:rPr>
          <w:noProof/>
        </w:rPr>
        <w:fldChar w:fldCharType="end"/>
      </w:r>
      <w:r w:rsidR="00C62A66" w:rsidRPr="002462E6">
        <w:t> :</w:t>
      </w:r>
      <w:r w:rsidRPr="002462E6">
        <w:t xml:space="preserve"> Relation « écologie-économie » en forêt</w:t>
      </w:r>
      <w:bookmarkEnd w:id="209"/>
      <w:bookmarkEnd w:id="210"/>
      <w:r w:rsidR="001D03C5" w:rsidRPr="002462E6">
        <w:rPr>
          <w:noProof/>
          <w:lang w:eastAsia="fr-FR"/>
        </w:rPr>
        <mc:AlternateContent>
          <mc:Choice Requires="wps">
            <w:drawing>
              <wp:anchor distT="0" distB="0" distL="114300" distR="114300" simplePos="0" relativeHeight="251708416" behindDoc="0" locked="0" layoutInCell="1" allowOverlap="1" wp14:anchorId="03B03DFD" wp14:editId="1B46C185">
                <wp:simplePos x="0" y="0"/>
                <wp:positionH relativeFrom="column">
                  <wp:posOffset>-4445</wp:posOffset>
                </wp:positionH>
                <wp:positionV relativeFrom="paragraph">
                  <wp:posOffset>283210</wp:posOffset>
                </wp:positionV>
                <wp:extent cx="5772150" cy="400050"/>
                <wp:effectExtent l="0" t="0" r="19050" b="19050"/>
                <wp:wrapNone/>
                <wp:docPr id="37" name="Rectangle à coins arrondis 37"/>
                <wp:cNvGraphicFramePr/>
                <a:graphic xmlns:a="http://schemas.openxmlformats.org/drawingml/2006/main">
                  <a:graphicData uri="http://schemas.microsoft.com/office/word/2010/wordprocessingShape">
                    <wps:wsp>
                      <wps:cNvSpPr/>
                      <wps:spPr>
                        <a:xfrm>
                          <a:off x="0" y="0"/>
                          <a:ext cx="5772150" cy="400050"/>
                        </a:xfrm>
                        <a:prstGeom prst="roundRect">
                          <a:avLst/>
                        </a:prstGeom>
                        <a:solidFill>
                          <a:schemeClr val="accent5">
                            <a:lumMod val="40000"/>
                            <a:lumOff val="60000"/>
                          </a:schemeClr>
                        </a:solidFill>
                        <a:ln>
                          <a:solidFill>
                            <a:schemeClr val="tx1"/>
                          </a:solidFill>
                        </a:ln>
                      </wps:spPr>
                      <wps:style>
                        <a:lnRef idx="1">
                          <a:schemeClr val="accent6"/>
                        </a:lnRef>
                        <a:fillRef idx="2">
                          <a:schemeClr val="accent6"/>
                        </a:fillRef>
                        <a:effectRef idx="1">
                          <a:schemeClr val="accent6"/>
                        </a:effectRef>
                        <a:fontRef idx="minor">
                          <a:schemeClr val="dk1"/>
                        </a:fontRef>
                      </wps:style>
                      <wps:txbx>
                        <w:txbxContent>
                          <w:p w:rsidR="0083519B" w:rsidRPr="00A40E7B" w:rsidRDefault="0083519B" w:rsidP="001D03C5">
                            <w:pPr>
                              <w:jc w:val="center"/>
                              <w:rPr>
                                <w:rFonts w:ascii="Tahoma" w:hAnsi="Tahoma" w:cs="Tahoma"/>
                                <w:b/>
                                <w:bCs/>
                              </w:rPr>
                            </w:pPr>
                            <w:r w:rsidRPr="00A40E7B">
                              <w:rPr>
                                <w:rFonts w:ascii="Tahoma" w:hAnsi="Tahoma" w:cs="Tahoma"/>
                                <w:b/>
                                <w:bCs/>
                                <w:sz w:val="36"/>
                                <w:szCs w:val="36"/>
                              </w:rPr>
                              <w:t>FOR</w:t>
                            </w:r>
                            <w:r>
                              <w:rPr>
                                <w:rFonts w:ascii="Tahoma" w:hAnsi="Tahoma" w:cs="Tahoma"/>
                                <w:b/>
                                <w:bCs/>
                                <w:sz w:val="36"/>
                                <w:szCs w:val="36"/>
                              </w:rPr>
                              <w:t>Ê</w:t>
                            </w:r>
                            <w:r w:rsidRPr="00A40E7B">
                              <w:rPr>
                                <w:rFonts w:ascii="Tahoma" w:hAnsi="Tahoma" w:cs="Tahoma"/>
                                <w:b/>
                                <w:bCs/>
                                <w:sz w:val="36"/>
                                <w:szCs w:val="36"/>
                              </w:rPr>
                              <w:t>T</w:t>
                            </w:r>
                            <w:r w:rsidRPr="00A40E7B">
                              <w:rPr>
                                <w:rFonts w:ascii="Tahoma" w:hAnsi="Tahoma" w:cs="Tahoma"/>
                                <w:b/>
                                <w:bCs/>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3B03DFD" id="Rectangle à coins arrondis 37" o:spid="_x0000_s1035" style="position:absolute;left:0;text-align:left;margin-left:-.35pt;margin-top:22.3pt;width:454.5pt;height:31.5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" fillcolor="#dac3ad [1304]" strokecolor="black [3213]" strokeweight=".5pt">
                <v:stroke joinstyle="miter"/>
                <v:textbox>
                  <w:txbxContent>
                    <w:p w:rsidR="0083519B" w:rsidRPr="00A40E7B" w:rsidRDefault="0083519B" w:rsidP="001D03C5">
                      <w:pPr>
                        <w:jc w:val="center"/>
                        <w:rPr>
                          <w:rFonts w:ascii="Tahoma" w:hAnsi="Tahoma" w:cs="Tahoma"/>
                          <w:b/>
                          <w:bCs/>
                        </w:rPr>
                      </w:pPr>
                      <w:r w:rsidRPr="00A40E7B">
                        <w:rPr>
                          <w:rFonts w:ascii="Tahoma" w:hAnsi="Tahoma" w:cs="Tahoma"/>
                          <w:b/>
                          <w:bCs/>
                          <w:sz w:val="36"/>
                          <w:szCs w:val="36"/>
                        </w:rPr>
                        <w:t>FOR</w:t>
                      </w:r>
                      <w:r>
                        <w:rPr>
                          <w:rFonts w:ascii="Tahoma" w:hAnsi="Tahoma" w:cs="Tahoma"/>
                          <w:b/>
                          <w:bCs/>
                          <w:sz w:val="36"/>
                          <w:szCs w:val="36"/>
                        </w:rPr>
                        <w:t>Ê</w:t>
                      </w:r>
                      <w:r w:rsidRPr="00A40E7B">
                        <w:rPr>
                          <w:rFonts w:ascii="Tahoma" w:hAnsi="Tahoma" w:cs="Tahoma"/>
                          <w:b/>
                          <w:bCs/>
                          <w:sz w:val="36"/>
                          <w:szCs w:val="36"/>
                        </w:rPr>
                        <w:t>T</w:t>
                      </w:r>
                      <w:r w:rsidRPr="00A40E7B">
                        <w:rPr>
                          <w:rFonts w:ascii="Tahoma" w:hAnsi="Tahoma" w:cs="Tahoma"/>
                          <w:b/>
                          <w:bCs/>
                        </w:rPr>
                        <w:t xml:space="preserve"> </w:t>
                      </w:r>
                    </w:p>
                  </w:txbxContent>
                </v:textbox>
              </v:roundrect>
            </w:pict>
          </mc:Fallback>
        </mc:AlternateContent>
      </w:r>
      <w:r w:rsidR="001D03C5" w:rsidRPr="002462E6">
        <w:rPr>
          <w:noProof/>
          <w:lang w:eastAsia="fr-FR"/>
        </w:rPr>
        <mc:AlternateContent>
          <mc:Choice Requires="wps">
            <w:drawing>
              <wp:anchor distT="0" distB="0" distL="114300" distR="114300" simplePos="0" relativeHeight="251722752" behindDoc="0" locked="0" layoutInCell="1" allowOverlap="1" wp14:anchorId="047ABE0C" wp14:editId="73D984B5">
                <wp:simplePos x="0" y="0"/>
                <wp:positionH relativeFrom="column">
                  <wp:posOffset>4097655</wp:posOffset>
                </wp:positionH>
                <wp:positionV relativeFrom="paragraph">
                  <wp:posOffset>5311775</wp:posOffset>
                </wp:positionV>
                <wp:extent cx="0" cy="245110"/>
                <wp:effectExtent l="133350" t="0" r="57150" b="40640"/>
                <wp:wrapNone/>
                <wp:docPr id="495" name="Connecteur droit avec flèche 495"/>
                <wp:cNvGraphicFramePr/>
                <a:graphic xmlns:a="http://schemas.openxmlformats.org/drawingml/2006/main">
                  <a:graphicData uri="http://schemas.microsoft.com/office/word/2010/wordprocessingShape">
                    <wps:wsp>
                      <wps:cNvCnPr/>
                      <wps:spPr>
                        <a:xfrm>
                          <a:off x="0" y="0"/>
                          <a:ext cx="0" cy="245110"/>
                        </a:xfrm>
                        <a:prstGeom prst="straightConnector1">
                          <a:avLst/>
                        </a:prstGeom>
                        <a:noFill/>
                        <a:ln w="38100" cap="flat" cmpd="sng" algn="ctr">
                          <a:solidFill>
                            <a:sysClr val="windowText" lastClr="000000"/>
                          </a:solidFill>
                          <a:prstDash val="solid"/>
                          <a:miter lim="800000"/>
                          <a:tailEnd type="arrow"/>
                        </a:ln>
                        <a:effectLst/>
                      </wps:spPr>
                      <wps:bodyPr/>
                    </wps:wsp>
                  </a:graphicData>
                </a:graphic>
                <wp14:sizeRelV relativeFrom="margin">
                  <wp14:pctHeight>0</wp14:pctHeight>
                </wp14:sizeRelV>
              </wp:anchor>
            </w:drawing>
          </mc:Choice>
          <mc:Fallback>
            <w:pict>
              <v:shapetype w14:anchorId="181C87FB" id="_x0000_t32" coordsize="21600,21600" o:spt="32" o:oned="t" path="m,l21600,21600e" filled="f">
                <v:path arrowok="t" fillok="f" o:connecttype="none"/>
                <o:lock v:ext="edit" shapetype="t"/>
              </v:shapetype>
              <v:shape id="Connecteur droit avec flèche 495" o:spid="_x0000_s1026" type="#_x0000_t32" style="position:absolute;margin-left:322.65pt;margin-top:418.25pt;width:0;height:19.3pt;z-index:2517227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" strokecolor="windowText" strokeweight="3pt">
                <v:stroke endarrow="open" joinstyle="miter"/>
              </v:shape>
            </w:pict>
          </mc:Fallback>
        </mc:AlternateContent>
      </w:r>
      <w:r w:rsidR="001D03C5" w:rsidRPr="002462E6">
        <w:rPr>
          <w:noProof/>
          <w:lang w:eastAsia="fr-FR"/>
        </w:rPr>
        <mc:AlternateContent>
          <mc:Choice Requires="wps">
            <w:drawing>
              <wp:anchor distT="0" distB="0" distL="114300" distR="114300" simplePos="0" relativeHeight="251728896" behindDoc="0" locked="0" layoutInCell="1" allowOverlap="1" wp14:anchorId="7AC5165A" wp14:editId="75F76B9C">
                <wp:simplePos x="0" y="0"/>
                <wp:positionH relativeFrom="column">
                  <wp:posOffset>1543685</wp:posOffset>
                </wp:positionH>
                <wp:positionV relativeFrom="paragraph">
                  <wp:posOffset>5310614</wp:posOffset>
                </wp:positionV>
                <wp:extent cx="0" cy="204470"/>
                <wp:effectExtent l="133350" t="0" r="76200" b="43180"/>
                <wp:wrapNone/>
                <wp:docPr id="496" name="Connecteur droit avec flèche 496"/>
                <wp:cNvGraphicFramePr/>
                <a:graphic xmlns:a="http://schemas.openxmlformats.org/drawingml/2006/main">
                  <a:graphicData uri="http://schemas.microsoft.com/office/word/2010/wordprocessingShape">
                    <wps:wsp>
                      <wps:cNvCnPr/>
                      <wps:spPr>
                        <a:xfrm>
                          <a:off x="0" y="0"/>
                          <a:ext cx="0" cy="204470"/>
                        </a:xfrm>
                        <a:prstGeom prst="straightConnector1">
                          <a:avLst/>
                        </a:prstGeom>
                        <a:noFill/>
                        <a:ln w="38100" cap="flat" cmpd="sng" algn="ctr">
                          <a:solidFill>
                            <a:sysClr val="windowText" lastClr="000000"/>
                          </a:solidFill>
                          <a:prstDash val="solid"/>
                          <a:miter lim="800000"/>
                          <a:tailEnd type="arrow"/>
                        </a:ln>
                        <a:effectLst/>
                      </wps:spPr>
                      <wps:bodyPr/>
                    </wps:wsp>
                  </a:graphicData>
                </a:graphic>
                <wp14:sizeRelH relativeFrom="margin">
                  <wp14:pctWidth>0</wp14:pctWidth>
                </wp14:sizeRelH>
                <wp14:sizeRelV relativeFrom="margin">
                  <wp14:pctHeight>0</wp14:pctHeight>
                </wp14:sizeRelV>
              </wp:anchor>
            </w:drawing>
          </mc:Choice>
          <mc:Fallback>
            <w:pict>
              <v:shape w14:anchorId="33E013D0" id="Connecteur droit avec flèche 496" o:spid="_x0000_s1026" type="#_x0000_t32" style="position:absolute;margin-left:121.55pt;margin-top:418.15pt;width:0;height:16.1pt;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" strokecolor="windowText" strokeweight="3pt">
                <v:stroke endarrow="open" joinstyle="miter"/>
              </v:shape>
            </w:pict>
          </mc:Fallback>
        </mc:AlternateContent>
      </w:r>
      <w:r w:rsidR="001D03C5" w:rsidRPr="002462E6">
        <w:rPr>
          <w:noProof/>
          <w:lang w:eastAsia="fr-FR"/>
        </w:rPr>
        <mc:AlternateContent>
          <mc:Choice Requires="wps">
            <w:drawing>
              <wp:anchor distT="0" distB="0" distL="114300" distR="114300" simplePos="0" relativeHeight="251723776" behindDoc="0" locked="0" layoutInCell="1" allowOverlap="1" wp14:anchorId="2FE835AF" wp14:editId="7A6057B5">
                <wp:simplePos x="0" y="0"/>
                <wp:positionH relativeFrom="column">
                  <wp:posOffset>1543860</wp:posOffset>
                </wp:positionH>
                <wp:positionV relativeFrom="paragraph">
                  <wp:posOffset>4670819</wp:posOffset>
                </wp:positionV>
                <wp:extent cx="0" cy="259956"/>
                <wp:effectExtent l="133350" t="0" r="57150" b="45085"/>
                <wp:wrapNone/>
                <wp:docPr id="498" name="Connecteur droit avec flèche 498"/>
                <wp:cNvGraphicFramePr/>
                <a:graphic xmlns:a="http://schemas.openxmlformats.org/drawingml/2006/main">
                  <a:graphicData uri="http://schemas.microsoft.com/office/word/2010/wordprocessingShape">
                    <wps:wsp>
                      <wps:cNvCnPr/>
                      <wps:spPr>
                        <a:xfrm>
                          <a:off x="0" y="0"/>
                          <a:ext cx="0" cy="259956"/>
                        </a:xfrm>
                        <a:prstGeom prst="straightConnector1">
                          <a:avLst/>
                        </a:prstGeom>
                        <a:noFill/>
                        <a:ln w="38100" cap="flat" cmpd="sng" algn="ctr">
                          <a:solidFill>
                            <a:sysClr val="windowText" lastClr="000000"/>
                          </a:solidFill>
                          <a:prstDash val="solid"/>
                          <a:miter lim="800000"/>
                          <a:tailEnd type="arrow"/>
                        </a:ln>
                        <a:effectLst/>
                      </wps:spPr>
                      <wps:bodyPr/>
                    </wps:wsp>
                  </a:graphicData>
                </a:graphic>
                <wp14:sizeRelV relativeFrom="margin">
                  <wp14:pctHeight>0</wp14:pctHeight>
                </wp14:sizeRelV>
              </wp:anchor>
            </w:drawing>
          </mc:Choice>
          <mc:Fallback>
            <w:pict>
              <v:shape w14:anchorId="68FF6BE3" id="Connecteur droit avec flèche 498" o:spid="_x0000_s1026" type="#_x0000_t32" style="position:absolute;margin-left:121.55pt;margin-top:367.8pt;width:0;height:20.45pt;z-index:2517237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" strokecolor="windowText" strokeweight="3pt">
                <v:stroke endarrow="open" joinstyle="miter"/>
              </v:shape>
            </w:pict>
          </mc:Fallback>
        </mc:AlternateContent>
      </w:r>
      <w:r w:rsidR="001D03C5" w:rsidRPr="002462E6">
        <w:rPr>
          <w:noProof/>
          <w:lang w:eastAsia="fr-FR"/>
        </w:rPr>
        <mc:AlternateContent>
          <mc:Choice Requires="wps">
            <w:drawing>
              <wp:anchor distT="0" distB="0" distL="114300" distR="114300" simplePos="0" relativeHeight="251724800" behindDoc="0" locked="0" layoutInCell="1" allowOverlap="1" wp14:anchorId="5D11B27D" wp14:editId="0AF9494B">
                <wp:simplePos x="0" y="0"/>
                <wp:positionH relativeFrom="column">
                  <wp:posOffset>4097655</wp:posOffset>
                </wp:positionH>
                <wp:positionV relativeFrom="paragraph">
                  <wp:posOffset>4670425</wp:posOffset>
                </wp:positionV>
                <wp:extent cx="0" cy="264795"/>
                <wp:effectExtent l="133350" t="0" r="57150" b="40005"/>
                <wp:wrapNone/>
                <wp:docPr id="499" name="Connecteur droit avec flèche 499"/>
                <wp:cNvGraphicFramePr/>
                <a:graphic xmlns:a="http://schemas.openxmlformats.org/drawingml/2006/main">
                  <a:graphicData uri="http://schemas.microsoft.com/office/word/2010/wordprocessingShape">
                    <wps:wsp>
                      <wps:cNvCnPr/>
                      <wps:spPr>
                        <a:xfrm>
                          <a:off x="0" y="0"/>
                          <a:ext cx="0" cy="264795"/>
                        </a:xfrm>
                        <a:prstGeom prst="straightConnector1">
                          <a:avLst/>
                        </a:prstGeom>
                        <a:noFill/>
                        <a:ln w="38100" cap="flat" cmpd="sng" algn="ctr">
                          <a:solidFill>
                            <a:sysClr val="windowText" lastClr="000000"/>
                          </a:solidFill>
                          <a:prstDash val="solid"/>
                          <a:miter lim="800000"/>
                          <a:tailEnd type="arrow"/>
                        </a:ln>
                        <a:effectLst/>
                      </wps:spPr>
                      <wps:bodyPr/>
                    </wps:wsp>
                  </a:graphicData>
                </a:graphic>
                <wp14:sizeRelH relativeFrom="margin">
                  <wp14:pctWidth>0</wp14:pctWidth>
                </wp14:sizeRelH>
                <wp14:sizeRelV relativeFrom="margin">
                  <wp14:pctHeight>0</wp14:pctHeight>
                </wp14:sizeRelV>
              </wp:anchor>
            </w:drawing>
          </mc:Choice>
          <mc:Fallback>
            <w:pict>
              <v:shape w14:anchorId="18F68702" id="Connecteur droit avec flèche 499" o:spid="_x0000_s1026" type="#_x0000_t32" style="position:absolute;margin-left:322.65pt;margin-top:367.75pt;width:0;height:20.85pt;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" strokecolor="windowText" strokeweight="3pt">
                <v:stroke endarrow="open" joinstyle="miter"/>
              </v:shape>
            </w:pict>
          </mc:Fallback>
        </mc:AlternateContent>
      </w:r>
      <w:r w:rsidR="001D03C5" w:rsidRPr="002462E6">
        <w:rPr>
          <w:noProof/>
          <w:lang w:eastAsia="fr-FR"/>
        </w:rPr>
        <mc:AlternateContent>
          <mc:Choice Requires="wps">
            <w:drawing>
              <wp:anchor distT="0" distB="0" distL="114300" distR="114300" simplePos="0" relativeHeight="251716608" behindDoc="0" locked="0" layoutInCell="1" allowOverlap="1" wp14:anchorId="187D7A98" wp14:editId="20D4E37A">
                <wp:simplePos x="0" y="0"/>
                <wp:positionH relativeFrom="column">
                  <wp:posOffset>1433502</wp:posOffset>
                </wp:positionH>
                <wp:positionV relativeFrom="paragraph">
                  <wp:posOffset>4250931</wp:posOffset>
                </wp:positionV>
                <wp:extent cx="2727434" cy="415837"/>
                <wp:effectExtent l="0" t="0" r="15875" b="22860"/>
                <wp:wrapNone/>
                <wp:docPr id="501" name="Rectangle à coins arrondis 501"/>
                <wp:cNvGraphicFramePr/>
                <a:graphic xmlns:a="http://schemas.openxmlformats.org/drawingml/2006/main">
                  <a:graphicData uri="http://schemas.microsoft.com/office/word/2010/wordprocessingShape">
                    <wps:wsp>
                      <wps:cNvSpPr/>
                      <wps:spPr>
                        <a:xfrm>
                          <a:off x="0" y="0"/>
                          <a:ext cx="2727434" cy="415837"/>
                        </a:xfrm>
                        <a:prstGeom prst="roundRect">
                          <a:avLst/>
                        </a:prstGeom>
                        <a:solidFill>
                          <a:schemeClr val="accent5">
                            <a:lumMod val="60000"/>
                            <a:lumOff val="40000"/>
                          </a:schemeClr>
                        </a:solidFill>
                        <a:ln w="6350" cap="flat" cmpd="sng" algn="ctr">
                          <a:solidFill>
                            <a:schemeClr val="tx1"/>
                          </a:solidFill>
                          <a:prstDash val="solid"/>
                          <a:miter lim="800000"/>
                        </a:ln>
                        <a:effectLst/>
                      </wps:spPr>
                      <wps:txbx>
                        <w:txbxContent>
                          <w:p w:rsidR="0083519B" w:rsidRPr="000E62ED" w:rsidRDefault="0083519B" w:rsidP="001D03C5">
                            <w:pPr>
                              <w:jc w:val="center"/>
                              <w:rPr>
                                <w:rFonts w:ascii="Tahoma" w:hAnsi="Tahoma" w:cs="Tahoma"/>
                                <w:b/>
                                <w:bCs/>
                                <w:sz w:val="28"/>
                                <w:szCs w:val="28"/>
                              </w:rPr>
                            </w:pPr>
                            <w:r w:rsidRPr="000E62ED">
                              <w:rPr>
                                <w:rFonts w:ascii="Tahoma" w:hAnsi="Tahoma" w:cs="Tahoma"/>
                                <w:b/>
                                <w:bCs/>
                                <w:sz w:val="28"/>
                                <w:szCs w:val="28"/>
                              </w:rPr>
                              <w:t xml:space="preserve">Réglementation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87D7A98" id="Rectangle à coins arrondis 501" o:spid="_x0000_s1036" style="position:absolute;left:0;text-align:left;margin-left:112.85pt;margin-top:334.7pt;width:214.75pt;height:32.75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" fillcolor="#c8a585 [1944]" strokecolor="black [3213]" strokeweight=".5pt">
                <v:stroke joinstyle="miter"/>
                <v:textbox>
                  <w:txbxContent>
                    <w:p w:rsidR="0083519B" w:rsidRPr="000E62ED" w:rsidRDefault="0083519B" w:rsidP="001D03C5">
                      <w:pPr>
                        <w:jc w:val="center"/>
                        <w:rPr>
                          <w:rFonts w:ascii="Tahoma" w:hAnsi="Tahoma" w:cs="Tahoma"/>
                          <w:b/>
                          <w:bCs/>
                          <w:sz w:val="28"/>
                          <w:szCs w:val="28"/>
                        </w:rPr>
                      </w:pPr>
                      <w:r w:rsidRPr="000E62ED">
                        <w:rPr>
                          <w:rFonts w:ascii="Tahoma" w:hAnsi="Tahoma" w:cs="Tahoma"/>
                          <w:b/>
                          <w:bCs/>
                          <w:sz w:val="28"/>
                          <w:szCs w:val="28"/>
                        </w:rPr>
                        <w:t xml:space="preserve">Réglementation </w:t>
                      </w:r>
                    </w:p>
                  </w:txbxContent>
                </v:textbox>
              </v:roundrect>
            </w:pict>
          </mc:Fallback>
        </mc:AlternateContent>
      </w:r>
      <w:r w:rsidR="001D03C5" w:rsidRPr="002462E6">
        <w:rPr>
          <w:noProof/>
          <w:lang w:eastAsia="fr-FR"/>
        </w:rPr>
        <mc:AlternateContent>
          <mc:Choice Requires="wps">
            <w:drawing>
              <wp:anchor distT="0" distB="0" distL="114300" distR="114300" simplePos="0" relativeHeight="251727872" behindDoc="0" locked="0" layoutInCell="1" allowOverlap="1" wp14:anchorId="22277306" wp14:editId="5E746D64">
                <wp:simplePos x="0" y="0"/>
                <wp:positionH relativeFrom="column">
                  <wp:posOffset>2773045</wp:posOffset>
                </wp:positionH>
                <wp:positionV relativeFrom="paragraph">
                  <wp:posOffset>2511425</wp:posOffset>
                </wp:positionV>
                <wp:extent cx="0" cy="356235"/>
                <wp:effectExtent l="133350" t="0" r="76200" b="43815"/>
                <wp:wrapNone/>
                <wp:docPr id="502" name="Connecteur droit avec flèche 502"/>
                <wp:cNvGraphicFramePr/>
                <a:graphic xmlns:a="http://schemas.openxmlformats.org/drawingml/2006/main">
                  <a:graphicData uri="http://schemas.microsoft.com/office/word/2010/wordprocessingShape">
                    <wps:wsp>
                      <wps:cNvCnPr/>
                      <wps:spPr>
                        <a:xfrm>
                          <a:off x="0" y="0"/>
                          <a:ext cx="0" cy="356235"/>
                        </a:xfrm>
                        <a:prstGeom prst="straightConnector1">
                          <a:avLst/>
                        </a:prstGeom>
                        <a:noFill/>
                        <a:ln w="38100" cap="flat" cmpd="sng" algn="ctr">
                          <a:solidFill>
                            <a:sysClr val="windowText" lastClr="000000"/>
                          </a:solidFill>
                          <a:prstDash val="solid"/>
                          <a:miter lim="800000"/>
                          <a:tailEnd type="arrow"/>
                        </a:ln>
                        <a:effectLst/>
                      </wps:spPr>
                      <wps:bodyPr/>
                    </wps:wsp>
                  </a:graphicData>
                </a:graphic>
                <wp14:sizeRelV relativeFrom="margin">
                  <wp14:pctHeight>0</wp14:pctHeight>
                </wp14:sizeRelV>
              </wp:anchor>
            </w:drawing>
          </mc:Choice>
          <mc:Fallback>
            <w:pict>
              <v:shape w14:anchorId="485F2B89" id="Connecteur droit avec flèche 502" o:spid="_x0000_s1026" type="#_x0000_t32" style="position:absolute;margin-left:218.35pt;margin-top:197.75pt;width:0;height:28.05pt;z-index:2517278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" strokecolor="windowText" strokeweight="3pt">
                <v:stroke endarrow="open" joinstyle="miter"/>
              </v:shape>
            </w:pict>
          </mc:Fallback>
        </mc:AlternateContent>
      </w:r>
      <w:r w:rsidR="001D03C5" w:rsidRPr="002462E6">
        <w:rPr>
          <w:noProof/>
          <w:lang w:eastAsia="fr-FR"/>
        </w:rPr>
        <mc:AlternateContent>
          <mc:Choice Requires="wps">
            <w:drawing>
              <wp:anchor distT="0" distB="0" distL="114300" distR="114300" simplePos="0" relativeHeight="251726848" behindDoc="0" locked="0" layoutInCell="1" allowOverlap="1" wp14:anchorId="339588B8" wp14:editId="0AAACA32">
                <wp:simplePos x="0" y="0"/>
                <wp:positionH relativeFrom="column">
                  <wp:posOffset>4728210</wp:posOffset>
                </wp:positionH>
                <wp:positionV relativeFrom="paragraph">
                  <wp:posOffset>1215390</wp:posOffset>
                </wp:positionV>
                <wp:extent cx="0" cy="233680"/>
                <wp:effectExtent l="133350" t="0" r="57150" b="52070"/>
                <wp:wrapNone/>
                <wp:docPr id="503" name="Connecteur droit avec flèche 503"/>
                <wp:cNvGraphicFramePr/>
                <a:graphic xmlns:a="http://schemas.openxmlformats.org/drawingml/2006/main">
                  <a:graphicData uri="http://schemas.microsoft.com/office/word/2010/wordprocessingShape">
                    <wps:wsp>
                      <wps:cNvCnPr/>
                      <wps:spPr>
                        <a:xfrm>
                          <a:off x="0" y="0"/>
                          <a:ext cx="0" cy="233680"/>
                        </a:xfrm>
                        <a:prstGeom prst="straightConnector1">
                          <a:avLst/>
                        </a:prstGeom>
                        <a:noFill/>
                        <a:ln w="38100" cap="flat" cmpd="sng" algn="ctr">
                          <a:solidFill>
                            <a:sysClr val="windowText" lastClr="000000"/>
                          </a:solidFill>
                          <a:prstDash val="solid"/>
                          <a:miter lim="800000"/>
                          <a:tailEnd type="arrow"/>
                        </a:ln>
                        <a:effectLst/>
                      </wps:spPr>
                      <wps:bodyPr/>
                    </wps:wsp>
                  </a:graphicData>
                </a:graphic>
                <wp14:sizeRelV relativeFrom="margin">
                  <wp14:pctHeight>0</wp14:pctHeight>
                </wp14:sizeRelV>
              </wp:anchor>
            </w:drawing>
          </mc:Choice>
          <mc:Fallback>
            <w:pict>
              <v:shape w14:anchorId="404A107A" id="Connecteur droit avec flèche 503" o:spid="_x0000_s1026" type="#_x0000_t32" style="position:absolute;margin-left:372.3pt;margin-top:95.7pt;width:0;height:18.4pt;z-index:2517268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" strokecolor="windowText" strokeweight="3pt">
                <v:stroke endarrow="open" joinstyle="miter"/>
              </v:shape>
            </w:pict>
          </mc:Fallback>
        </mc:AlternateContent>
      </w:r>
      <w:r w:rsidR="001D03C5" w:rsidRPr="002462E6">
        <w:rPr>
          <w:noProof/>
          <w:lang w:eastAsia="fr-FR"/>
        </w:rPr>
        <mc:AlternateContent>
          <mc:Choice Requires="wps">
            <w:drawing>
              <wp:anchor distT="0" distB="0" distL="114300" distR="114300" simplePos="0" relativeHeight="251725824" behindDoc="0" locked="0" layoutInCell="1" allowOverlap="1" wp14:anchorId="551BA15A" wp14:editId="2009D496">
                <wp:simplePos x="0" y="0"/>
                <wp:positionH relativeFrom="column">
                  <wp:posOffset>960120</wp:posOffset>
                </wp:positionH>
                <wp:positionV relativeFrom="paragraph">
                  <wp:posOffset>1215390</wp:posOffset>
                </wp:positionV>
                <wp:extent cx="0" cy="249555"/>
                <wp:effectExtent l="133350" t="0" r="57150" b="55245"/>
                <wp:wrapNone/>
                <wp:docPr id="504" name="Connecteur droit avec flèche 504"/>
                <wp:cNvGraphicFramePr/>
                <a:graphic xmlns:a="http://schemas.openxmlformats.org/drawingml/2006/main">
                  <a:graphicData uri="http://schemas.microsoft.com/office/word/2010/wordprocessingShape">
                    <wps:wsp>
                      <wps:cNvCnPr/>
                      <wps:spPr>
                        <a:xfrm>
                          <a:off x="0" y="0"/>
                          <a:ext cx="0" cy="249555"/>
                        </a:xfrm>
                        <a:prstGeom prst="straightConnector1">
                          <a:avLst/>
                        </a:prstGeom>
                        <a:noFill/>
                        <a:ln w="38100" cap="flat" cmpd="sng" algn="ctr">
                          <a:solidFill>
                            <a:sysClr val="windowText" lastClr="000000"/>
                          </a:solidFill>
                          <a:prstDash val="solid"/>
                          <a:miter lim="800000"/>
                          <a:tailEnd type="arrow"/>
                        </a:ln>
                        <a:effectLst/>
                      </wps:spPr>
                      <wps:bodyPr/>
                    </wps:wsp>
                  </a:graphicData>
                </a:graphic>
                <wp14:sizeRelV relativeFrom="margin">
                  <wp14:pctHeight>0</wp14:pctHeight>
                </wp14:sizeRelV>
              </wp:anchor>
            </w:drawing>
          </mc:Choice>
          <mc:Fallback>
            <w:pict>
              <v:shape w14:anchorId="4E9E889E" id="Connecteur droit avec flèche 504" o:spid="_x0000_s1026" type="#_x0000_t32" style="position:absolute;margin-left:75.6pt;margin-top:95.7pt;width:0;height:19.65pt;z-index:2517258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" strokecolor="windowText" strokeweight="3pt">
                <v:stroke endarrow="open" joinstyle="miter"/>
              </v:shape>
            </w:pict>
          </mc:Fallback>
        </mc:AlternateContent>
      </w:r>
      <w:r w:rsidR="001D03C5" w:rsidRPr="002462E6">
        <w:rPr>
          <w:noProof/>
          <w:lang w:eastAsia="fr-FR"/>
        </w:rPr>
        <mc:AlternateContent>
          <mc:Choice Requires="wps">
            <w:drawing>
              <wp:anchor distT="0" distB="0" distL="114300" distR="114300" simplePos="0" relativeHeight="251714560" behindDoc="0" locked="0" layoutInCell="1" allowOverlap="1" wp14:anchorId="342D3EA2" wp14:editId="46C892E9">
                <wp:simplePos x="0" y="0"/>
                <wp:positionH relativeFrom="column">
                  <wp:posOffset>643255</wp:posOffset>
                </wp:positionH>
                <wp:positionV relativeFrom="paragraph">
                  <wp:posOffset>2872105</wp:posOffset>
                </wp:positionV>
                <wp:extent cx="4478020" cy="650875"/>
                <wp:effectExtent l="0" t="0" r="17780" b="15875"/>
                <wp:wrapNone/>
                <wp:docPr id="505" name="Rectangle à coins arrondis 505"/>
                <wp:cNvGraphicFramePr/>
                <a:graphic xmlns:a="http://schemas.openxmlformats.org/drawingml/2006/main">
                  <a:graphicData uri="http://schemas.microsoft.com/office/word/2010/wordprocessingShape">
                    <wps:wsp>
                      <wps:cNvSpPr/>
                      <wps:spPr>
                        <a:xfrm>
                          <a:off x="0" y="0"/>
                          <a:ext cx="4478020" cy="650875"/>
                        </a:xfrm>
                        <a:prstGeom prst="roundRect">
                          <a:avLst/>
                        </a:prstGeom>
                        <a:solidFill>
                          <a:schemeClr val="accent5">
                            <a:lumMod val="40000"/>
                            <a:lumOff val="60000"/>
                          </a:schemeClr>
                        </a:solidFill>
                        <a:ln w="6350" cap="flat" cmpd="sng" algn="ctr">
                          <a:solidFill>
                            <a:schemeClr val="tx1"/>
                          </a:solidFill>
                          <a:prstDash val="solid"/>
                          <a:miter lim="800000"/>
                        </a:ln>
                        <a:effectLst/>
                      </wps:spPr>
                      <wps:txbx>
                        <w:txbxContent>
                          <w:p w:rsidR="0083519B" w:rsidRPr="00EB1894" w:rsidRDefault="0083519B" w:rsidP="001D03C5">
                            <w:pPr>
                              <w:spacing w:after="0" w:line="240" w:lineRule="auto"/>
                              <w:jc w:val="center"/>
                              <w:rPr>
                                <w:rFonts w:ascii="Tahoma" w:hAnsi="Tahoma" w:cs="Tahoma"/>
                                <w:sz w:val="24"/>
                                <w:szCs w:val="24"/>
                              </w:rPr>
                            </w:pPr>
                            <w:r w:rsidRPr="00EB1894">
                              <w:rPr>
                                <w:rFonts w:ascii="Tahoma" w:hAnsi="Tahoma" w:cs="Tahoma"/>
                                <w:sz w:val="24"/>
                                <w:szCs w:val="24"/>
                              </w:rPr>
                              <w:t xml:space="preserve">Production de biens et de ressources : </w:t>
                            </w:r>
                          </w:p>
                          <w:p w:rsidR="0083519B" w:rsidRPr="00EB1894" w:rsidRDefault="0083519B" w:rsidP="001D03C5">
                            <w:pPr>
                              <w:spacing w:after="0" w:line="240" w:lineRule="auto"/>
                              <w:jc w:val="center"/>
                              <w:rPr>
                                <w:rFonts w:ascii="Tahoma" w:hAnsi="Tahoma" w:cs="Tahoma"/>
                                <w:sz w:val="24"/>
                                <w:szCs w:val="24"/>
                              </w:rPr>
                            </w:pPr>
                            <w:r w:rsidRPr="00EB1894">
                              <w:rPr>
                                <w:rFonts w:ascii="Tahoma" w:hAnsi="Tahoma" w:cs="Tahoma"/>
                                <w:sz w:val="24"/>
                                <w:szCs w:val="24"/>
                              </w:rPr>
                              <w:t>Bois, nourriture, eau, sol, oxygène, etc.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342D3EA2" id="Rectangle à coins arrondis 505" o:spid="_x0000_s1037" style="position:absolute;left:0;text-align:left;margin-left:50.65pt;margin-top:226.15pt;width:352.6pt;height:51.25pt;z-index:2517145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" fillcolor="#dac3ad [1304]" strokecolor="black [3213]" strokeweight=".5pt">
                <v:stroke joinstyle="miter"/>
                <v:textbox>
                  <w:txbxContent>
                    <w:p w:rsidR="0083519B" w:rsidRPr="00EB1894" w:rsidRDefault="0083519B" w:rsidP="001D03C5">
                      <w:pPr>
                        <w:spacing w:after="0" w:line="240" w:lineRule="auto"/>
                        <w:jc w:val="center"/>
                        <w:rPr>
                          <w:rFonts w:ascii="Tahoma" w:hAnsi="Tahoma" w:cs="Tahoma"/>
                          <w:sz w:val="24"/>
                          <w:szCs w:val="24"/>
                        </w:rPr>
                      </w:pPr>
                      <w:r w:rsidRPr="00EB1894">
                        <w:rPr>
                          <w:rFonts w:ascii="Tahoma" w:hAnsi="Tahoma" w:cs="Tahoma"/>
                          <w:sz w:val="24"/>
                          <w:szCs w:val="24"/>
                        </w:rPr>
                        <w:t xml:space="preserve">Production de biens et de ressources : </w:t>
                      </w:r>
                    </w:p>
                    <w:p w:rsidR="0083519B" w:rsidRPr="00EB1894" w:rsidRDefault="0083519B" w:rsidP="001D03C5">
                      <w:pPr>
                        <w:spacing w:after="0" w:line="240" w:lineRule="auto"/>
                        <w:jc w:val="center"/>
                        <w:rPr>
                          <w:rFonts w:ascii="Tahoma" w:hAnsi="Tahoma" w:cs="Tahoma"/>
                          <w:sz w:val="24"/>
                          <w:szCs w:val="24"/>
                        </w:rPr>
                      </w:pPr>
                      <w:r w:rsidRPr="00EB1894">
                        <w:rPr>
                          <w:rFonts w:ascii="Tahoma" w:hAnsi="Tahoma" w:cs="Tahoma"/>
                          <w:sz w:val="24"/>
                          <w:szCs w:val="24"/>
                        </w:rPr>
                        <w:t>Bois, nourriture, eau, sol, oxygène, etc.</w:t>
                      </w:r>
                    </w:p>
                  </w:txbxContent>
                </v:textbox>
              </v:roundrect>
            </w:pict>
          </mc:Fallback>
        </mc:AlternateContent>
      </w:r>
      <w:r w:rsidR="001D03C5" w:rsidRPr="002462E6">
        <w:rPr>
          <w:noProof/>
          <w:lang w:eastAsia="fr-FR"/>
        </w:rPr>
        <mc:AlternateContent>
          <mc:Choice Requires="wps">
            <w:drawing>
              <wp:anchor distT="0" distB="0" distL="114300" distR="114300" simplePos="0" relativeHeight="251721728" behindDoc="0" locked="0" layoutInCell="1" allowOverlap="1" wp14:anchorId="17B8C81E" wp14:editId="26E1E7B7">
                <wp:simplePos x="0" y="0"/>
                <wp:positionH relativeFrom="column">
                  <wp:posOffset>2776855</wp:posOffset>
                </wp:positionH>
                <wp:positionV relativeFrom="paragraph">
                  <wp:posOffset>3538855</wp:posOffset>
                </wp:positionV>
                <wp:extent cx="0" cy="704850"/>
                <wp:effectExtent l="133350" t="0" r="95250" b="57150"/>
                <wp:wrapNone/>
                <wp:docPr id="506" name="Connecteur droit avec flèche 506"/>
                <wp:cNvGraphicFramePr/>
                <a:graphic xmlns:a="http://schemas.openxmlformats.org/drawingml/2006/main">
                  <a:graphicData uri="http://schemas.microsoft.com/office/word/2010/wordprocessingShape">
                    <wps:wsp>
                      <wps:cNvCnPr/>
                      <wps:spPr>
                        <a:xfrm>
                          <a:off x="0" y="0"/>
                          <a:ext cx="0" cy="704850"/>
                        </a:xfrm>
                        <a:prstGeom prst="straightConnector1">
                          <a:avLst/>
                        </a:prstGeom>
                        <a:noFill/>
                        <a:ln w="38100" cap="flat" cmpd="sng" algn="ctr">
                          <a:solidFill>
                            <a:sysClr val="windowText" lastClr="000000"/>
                          </a:solidFill>
                          <a:prstDash val="solid"/>
                          <a:miter lim="800000"/>
                          <a:tailEnd type="arrow"/>
                        </a:ln>
                        <a:effectLst/>
                      </wps:spPr>
                      <wps:bodyPr/>
                    </wps:wsp>
                  </a:graphicData>
                </a:graphic>
                <wp14:sizeRelV relativeFrom="margin">
                  <wp14:pctHeight>0</wp14:pctHeight>
                </wp14:sizeRelV>
              </wp:anchor>
            </w:drawing>
          </mc:Choice>
          <mc:Fallback>
            <w:pict>
              <v:shape w14:anchorId="0A3FED5D" id="Connecteur droit avec flèche 506" o:spid="_x0000_s1026" type="#_x0000_t32" style="position:absolute;margin-left:218.65pt;margin-top:278.65pt;width:0;height:55.5pt;z-index:2517217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" strokecolor="windowText" strokeweight="3pt">
                <v:stroke endarrow="open" joinstyle="miter"/>
              </v:shape>
            </w:pict>
          </mc:Fallback>
        </mc:AlternateContent>
      </w:r>
      <w:r w:rsidR="001D03C5" w:rsidRPr="002462E6">
        <w:rPr>
          <w:noProof/>
          <w:lang w:eastAsia="fr-FR"/>
        </w:rPr>
        <mc:AlternateContent>
          <mc:Choice Requires="wps">
            <w:drawing>
              <wp:anchor distT="0" distB="0" distL="114300" distR="114300" simplePos="0" relativeHeight="251715584" behindDoc="0" locked="0" layoutInCell="1" allowOverlap="1" wp14:anchorId="43830F87" wp14:editId="15F782CA">
                <wp:simplePos x="0" y="0"/>
                <wp:positionH relativeFrom="column">
                  <wp:posOffset>3279775</wp:posOffset>
                </wp:positionH>
                <wp:positionV relativeFrom="paragraph">
                  <wp:posOffset>3660140</wp:posOffset>
                </wp:positionV>
                <wp:extent cx="2896870" cy="344170"/>
                <wp:effectExtent l="0" t="0" r="17780" b="17780"/>
                <wp:wrapNone/>
                <wp:docPr id="508" name="Rectangle à coins arrondis 508"/>
                <wp:cNvGraphicFramePr/>
                <a:graphic xmlns:a="http://schemas.openxmlformats.org/drawingml/2006/main">
                  <a:graphicData uri="http://schemas.microsoft.com/office/word/2010/wordprocessingShape">
                    <wps:wsp>
                      <wps:cNvSpPr/>
                      <wps:spPr>
                        <a:xfrm>
                          <a:off x="0" y="0"/>
                          <a:ext cx="2896870" cy="344170"/>
                        </a:xfrm>
                        <a:prstGeom prst="roundRect">
                          <a:avLst/>
                        </a:prstGeom>
                        <a:solidFill>
                          <a:schemeClr val="accent3">
                            <a:lumMod val="20000"/>
                            <a:lumOff val="80000"/>
                          </a:schemeClr>
                        </a:solidFill>
                        <a:ln w="6350" cap="flat" cmpd="sng" algn="ctr">
                          <a:solidFill>
                            <a:schemeClr val="tx1"/>
                          </a:solidFill>
                          <a:prstDash val="solid"/>
                          <a:miter lim="800000"/>
                        </a:ln>
                        <a:effectLst/>
                      </wps:spPr>
                      <wps:txbx>
                        <w:txbxContent>
                          <w:p w:rsidR="0083519B" w:rsidRPr="000E62ED" w:rsidRDefault="0083519B" w:rsidP="001D03C5">
                            <w:pPr>
                              <w:jc w:val="center"/>
                              <w:rPr>
                                <w:rFonts w:ascii="Tahoma" w:hAnsi="Tahoma" w:cs="Tahoma"/>
                              </w:rPr>
                            </w:pPr>
                            <w:r w:rsidRPr="000E62ED">
                              <w:rPr>
                                <w:rFonts w:ascii="Tahoma" w:hAnsi="Tahoma" w:cs="Tahoma"/>
                              </w:rPr>
                              <w:t>Exploitation et consommation déchets etc.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3830F87" id="Rectangle à coins arrondis 508" o:spid="_x0000_s1038" style="position:absolute;left:0;text-align:left;margin-left:258.25pt;margin-top:288.2pt;width:228.1pt;height:27.1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" fillcolor="#ffe0cc [662]" strokecolor="black [3213]" strokeweight=".5pt">
                <v:stroke joinstyle="miter"/>
                <v:textbox>
                  <w:txbxContent>
                    <w:p w:rsidR="0083519B" w:rsidRPr="000E62ED" w:rsidRDefault="0083519B" w:rsidP="001D03C5">
                      <w:pPr>
                        <w:jc w:val="center"/>
                        <w:rPr>
                          <w:rFonts w:ascii="Tahoma" w:hAnsi="Tahoma" w:cs="Tahoma"/>
                        </w:rPr>
                      </w:pPr>
                      <w:r w:rsidRPr="000E62ED">
                        <w:rPr>
                          <w:rFonts w:ascii="Tahoma" w:hAnsi="Tahoma" w:cs="Tahoma"/>
                        </w:rPr>
                        <w:t>Exploitation et consommation déchets etc.</w:t>
                      </w:r>
                    </w:p>
                  </w:txbxContent>
                </v:textbox>
              </v:roundrect>
            </w:pict>
          </mc:Fallback>
        </mc:AlternateContent>
      </w:r>
      <w:r w:rsidR="001D03C5" w:rsidRPr="002462E6">
        <w:rPr>
          <w:noProof/>
          <w:lang w:eastAsia="fr-FR"/>
        </w:rPr>
        <mc:AlternateContent>
          <mc:Choice Requires="wps">
            <w:drawing>
              <wp:anchor distT="0" distB="0" distL="114300" distR="114300" simplePos="0" relativeHeight="251713536" behindDoc="0" locked="0" layoutInCell="1" allowOverlap="1" wp14:anchorId="53614391" wp14:editId="5569F6C1">
                <wp:simplePos x="0" y="0"/>
                <wp:positionH relativeFrom="column">
                  <wp:posOffset>-9525</wp:posOffset>
                </wp:positionH>
                <wp:positionV relativeFrom="paragraph">
                  <wp:posOffset>1439545</wp:posOffset>
                </wp:positionV>
                <wp:extent cx="1971040" cy="1078230"/>
                <wp:effectExtent l="0" t="0" r="10160" b="26670"/>
                <wp:wrapNone/>
                <wp:docPr id="511" name="Rectangle à coins arrondis 511"/>
                <wp:cNvGraphicFramePr/>
                <a:graphic xmlns:a="http://schemas.openxmlformats.org/drawingml/2006/main">
                  <a:graphicData uri="http://schemas.microsoft.com/office/word/2010/wordprocessingShape">
                    <wps:wsp>
                      <wps:cNvSpPr/>
                      <wps:spPr>
                        <a:xfrm>
                          <a:off x="0" y="0"/>
                          <a:ext cx="1971040" cy="1078230"/>
                        </a:xfrm>
                        <a:prstGeom prst="roundRect">
                          <a:avLst/>
                        </a:prstGeom>
                        <a:solidFill>
                          <a:schemeClr val="accent5">
                            <a:lumMod val="20000"/>
                            <a:lumOff val="80000"/>
                          </a:schemeClr>
                        </a:solidFill>
                        <a:ln w="6350" cap="flat" cmpd="sng" algn="ctr">
                          <a:solidFill>
                            <a:schemeClr val="tx1"/>
                          </a:solidFill>
                          <a:prstDash val="solid"/>
                          <a:miter lim="800000"/>
                        </a:ln>
                        <a:effectLst/>
                      </wps:spPr>
                      <wps:txbx>
                        <w:txbxContent>
                          <w:p w:rsidR="0083519B" w:rsidRPr="0094493E" w:rsidRDefault="0083519B" w:rsidP="001D03C5">
                            <w:pPr>
                              <w:spacing w:after="0" w:line="240" w:lineRule="auto"/>
                              <w:jc w:val="center"/>
                              <w:rPr>
                                <w:rFonts w:ascii="Tahoma" w:hAnsi="Tahoma" w:cs="Tahoma"/>
                              </w:rPr>
                            </w:pPr>
                            <w:r w:rsidRPr="0094493E">
                              <w:rPr>
                                <w:rFonts w:ascii="Tahoma" w:hAnsi="Tahoma" w:cs="Tahoma"/>
                              </w:rPr>
                              <w:t>Communautés d’êtres v….</w:t>
                            </w:r>
                          </w:p>
                          <w:p w:rsidR="0083519B" w:rsidRPr="0094493E" w:rsidRDefault="0083519B" w:rsidP="001D03C5">
                            <w:pPr>
                              <w:spacing w:after="0" w:line="240" w:lineRule="auto"/>
                              <w:jc w:val="center"/>
                              <w:rPr>
                                <w:rFonts w:ascii="Tahoma" w:hAnsi="Tahoma" w:cs="Tahoma"/>
                              </w:rPr>
                            </w:pPr>
                            <w:r w:rsidRPr="0094493E">
                              <w:rPr>
                                <w:rFonts w:ascii="Tahoma" w:hAnsi="Tahoma" w:cs="Tahoma"/>
                              </w:rPr>
                              <w:t>Organisés suivant les lois de ….</w:t>
                            </w:r>
                          </w:p>
                          <w:p w:rsidR="0083519B" w:rsidRPr="0094493E" w:rsidRDefault="0083519B" w:rsidP="001D03C5">
                            <w:pPr>
                              <w:spacing w:after="0" w:line="240" w:lineRule="auto"/>
                              <w:jc w:val="center"/>
                              <w:rPr>
                                <w:rFonts w:ascii="Tahoma" w:hAnsi="Tahoma" w:cs="Tahoma"/>
                              </w:rPr>
                            </w:pPr>
                            <w:r w:rsidRPr="0094493E">
                              <w:rPr>
                                <w:rFonts w:ascii="Tahoma" w:hAnsi="Tahoma" w:cs="Tahoma"/>
                              </w:rPr>
                              <w:t>(Déterminisme)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3614391" id="Rectangle à coins arrondis 511" o:spid="_x0000_s1039" style="position:absolute;left:0;text-align:left;margin-left:-.75pt;margin-top:113.35pt;width:155.2pt;height:84.9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" fillcolor="#ece1d6 [664]" strokecolor="black [3213]" strokeweight=".5pt">
                <v:stroke joinstyle="miter"/>
                <v:textbox>
                  <w:txbxContent>
                    <w:p w:rsidR="0083519B" w:rsidRPr="0094493E" w:rsidRDefault="0083519B" w:rsidP="001D03C5">
                      <w:pPr>
                        <w:spacing w:after="0" w:line="240" w:lineRule="auto"/>
                        <w:jc w:val="center"/>
                        <w:rPr>
                          <w:rFonts w:ascii="Tahoma" w:hAnsi="Tahoma" w:cs="Tahoma"/>
                        </w:rPr>
                      </w:pPr>
                      <w:r w:rsidRPr="0094493E">
                        <w:rPr>
                          <w:rFonts w:ascii="Tahoma" w:hAnsi="Tahoma" w:cs="Tahoma"/>
                        </w:rPr>
                        <w:t>Communautés d’êtres v….</w:t>
                      </w:r>
                    </w:p>
                    <w:p w:rsidR="0083519B" w:rsidRPr="0094493E" w:rsidRDefault="0083519B" w:rsidP="001D03C5">
                      <w:pPr>
                        <w:spacing w:after="0" w:line="240" w:lineRule="auto"/>
                        <w:jc w:val="center"/>
                        <w:rPr>
                          <w:rFonts w:ascii="Tahoma" w:hAnsi="Tahoma" w:cs="Tahoma"/>
                        </w:rPr>
                      </w:pPr>
                      <w:r w:rsidRPr="0094493E">
                        <w:rPr>
                          <w:rFonts w:ascii="Tahoma" w:hAnsi="Tahoma" w:cs="Tahoma"/>
                        </w:rPr>
                        <w:t>Organisés suivant les lois de ….</w:t>
                      </w:r>
                    </w:p>
                    <w:p w:rsidR="0083519B" w:rsidRPr="0094493E" w:rsidRDefault="0083519B" w:rsidP="001D03C5">
                      <w:pPr>
                        <w:spacing w:after="0" w:line="240" w:lineRule="auto"/>
                        <w:jc w:val="center"/>
                        <w:rPr>
                          <w:rFonts w:ascii="Tahoma" w:hAnsi="Tahoma" w:cs="Tahoma"/>
                        </w:rPr>
                      </w:pPr>
                      <w:r w:rsidRPr="0094493E">
                        <w:rPr>
                          <w:rFonts w:ascii="Tahoma" w:hAnsi="Tahoma" w:cs="Tahoma"/>
                        </w:rPr>
                        <w:t>(Déterminisme)</w:t>
                      </w:r>
                    </w:p>
                  </w:txbxContent>
                </v:textbox>
              </v:roundrect>
            </w:pict>
          </mc:Fallback>
        </mc:AlternateContent>
      </w:r>
      <w:r w:rsidR="001D03C5" w:rsidRPr="002462E6">
        <w:rPr>
          <w:noProof/>
          <w:lang w:eastAsia="fr-FR"/>
        </w:rPr>
        <mc:AlternateContent>
          <mc:Choice Requires="wps">
            <w:drawing>
              <wp:anchor distT="0" distB="0" distL="114300" distR="114300" simplePos="0" relativeHeight="251712512" behindDoc="0" locked="0" layoutInCell="1" allowOverlap="1" wp14:anchorId="5D2C253A" wp14:editId="019CF71E">
                <wp:simplePos x="0" y="0"/>
                <wp:positionH relativeFrom="column">
                  <wp:posOffset>1962158</wp:posOffset>
                </wp:positionH>
                <wp:positionV relativeFrom="paragraph">
                  <wp:posOffset>1439644</wp:posOffset>
                </wp:positionV>
                <wp:extent cx="1864476" cy="1078230"/>
                <wp:effectExtent l="0" t="0" r="21590" b="26670"/>
                <wp:wrapNone/>
                <wp:docPr id="32" name="Rectangle à coins arrondis 32"/>
                <wp:cNvGraphicFramePr/>
                <a:graphic xmlns:a="http://schemas.openxmlformats.org/drawingml/2006/main">
                  <a:graphicData uri="http://schemas.microsoft.com/office/word/2010/wordprocessingShape">
                    <wps:wsp>
                      <wps:cNvSpPr/>
                      <wps:spPr>
                        <a:xfrm>
                          <a:off x="0" y="0"/>
                          <a:ext cx="1864476" cy="1078230"/>
                        </a:xfrm>
                        <a:prstGeom prst="roundRect">
                          <a:avLst/>
                        </a:prstGeom>
                        <a:solidFill>
                          <a:schemeClr val="accent5">
                            <a:lumMod val="20000"/>
                            <a:lumOff val="80000"/>
                          </a:schemeClr>
                        </a:solidFill>
                        <a:ln w="6350" cap="flat" cmpd="sng" algn="ctr">
                          <a:solidFill>
                            <a:schemeClr val="tx1"/>
                          </a:solidFill>
                          <a:prstDash val="solid"/>
                          <a:miter lim="800000"/>
                        </a:ln>
                        <a:effectLst/>
                      </wps:spPr>
                      <wps:txbx>
                        <w:txbxContent>
                          <w:p w:rsidR="0083519B" w:rsidRPr="00EB1894" w:rsidRDefault="0083519B" w:rsidP="001D03C5">
                            <w:pPr>
                              <w:jc w:val="center"/>
                              <w:rPr>
                                <w:rFonts w:ascii="Tahoma" w:hAnsi="Tahoma" w:cs="Tahoma"/>
                              </w:rPr>
                            </w:pPr>
                            <w:r w:rsidRPr="00EB1894">
                              <w:rPr>
                                <w:rFonts w:ascii="Tahoma" w:hAnsi="Tahoma" w:cs="Tahoma"/>
                              </w:rPr>
                              <w:t xml:space="preserve">Conflit entre activités humaines et potentialités du milieu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D2C253A" id="Rectangle à coins arrondis 32" o:spid="_x0000_s1040" style="position:absolute;left:0;text-align:left;margin-left:154.5pt;margin-top:113.35pt;width:146.8pt;height:84.9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" fillcolor="#ece1d6 [664]" strokecolor="black [3213]" strokeweight=".5pt">
                <v:stroke joinstyle="miter"/>
                <v:textbox>
                  <w:txbxContent>
                    <w:p w:rsidR="0083519B" w:rsidRPr="00EB1894" w:rsidRDefault="0083519B" w:rsidP="001D03C5">
                      <w:pPr>
                        <w:jc w:val="center"/>
                        <w:rPr>
                          <w:rFonts w:ascii="Tahoma" w:hAnsi="Tahoma" w:cs="Tahoma"/>
                        </w:rPr>
                      </w:pPr>
                      <w:r w:rsidRPr="00EB1894">
                        <w:rPr>
                          <w:rFonts w:ascii="Tahoma" w:hAnsi="Tahoma" w:cs="Tahoma"/>
                        </w:rPr>
                        <w:t xml:space="preserve">Conflit entre activités humaines et potentialités du milieu </w:t>
                      </w:r>
                    </w:p>
                  </w:txbxContent>
                </v:textbox>
              </v:roundrect>
            </w:pict>
          </mc:Fallback>
        </mc:AlternateContent>
      </w:r>
      <w:r w:rsidR="001D03C5" w:rsidRPr="002462E6">
        <w:rPr>
          <w:noProof/>
          <w:lang w:eastAsia="fr-FR"/>
        </w:rPr>
        <mc:AlternateContent>
          <mc:Choice Requires="wps">
            <w:drawing>
              <wp:anchor distT="0" distB="0" distL="114300" distR="114300" simplePos="0" relativeHeight="251709440" behindDoc="0" locked="0" layoutInCell="1" allowOverlap="1" wp14:anchorId="7DC0F397" wp14:editId="6E4DE2D0">
                <wp:simplePos x="0" y="0"/>
                <wp:positionH relativeFrom="column">
                  <wp:posOffset>3100705</wp:posOffset>
                </wp:positionH>
                <wp:positionV relativeFrom="paragraph">
                  <wp:posOffset>833755</wp:posOffset>
                </wp:positionV>
                <wp:extent cx="2668270" cy="381000"/>
                <wp:effectExtent l="0" t="0" r="17780" b="19050"/>
                <wp:wrapNone/>
                <wp:docPr id="34" name="Rectangle à coins arrondis 34"/>
                <wp:cNvGraphicFramePr/>
                <a:graphic xmlns:a="http://schemas.openxmlformats.org/drawingml/2006/main">
                  <a:graphicData uri="http://schemas.microsoft.com/office/word/2010/wordprocessingShape">
                    <wps:wsp>
                      <wps:cNvSpPr/>
                      <wps:spPr>
                        <a:xfrm>
                          <a:off x="0" y="0"/>
                          <a:ext cx="2668270" cy="381000"/>
                        </a:xfrm>
                        <a:prstGeom prst="roundRect">
                          <a:avLst/>
                        </a:prstGeom>
                        <a:solidFill>
                          <a:schemeClr val="accent5">
                            <a:lumMod val="40000"/>
                            <a:lumOff val="60000"/>
                          </a:schemeClr>
                        </a:solidFill>
                        <a:ln w="6350" cap="flat" cmpd="sng" algn="ctr">
                          <a:solidFill>
                            <a:schemeClr val="tx1"/>
                          </a:solidFill>
                          <a:prstDash val="solid"/>
                          <a:miter lim="800000"/>
                        </a:ln>
                        <a:effectLst/>
                      </wps:spPr>
                      <wps:txbx>
                        <w:txbxContent>
                          <w:p w:rsidR="0083519B" w:rsidRPr="00A40E7B" w:rsidRDefault="0083519B" w:rsidP="001D03C5">
                            <w:pPr>
                              <w:jc w:val="center"/>
                              <w:rPr>
                                <w:rFonts w:ascii="Tahoma" w:hAnsi="Tahoma" w:cs="Tahoma"/>
                                <w:b/>
                                <w:bCs/>
                                <w:sz w:val="28"/>
                                <w:szCs w:val="28"/>
                              </w:rPr>
                            </w:pPr>
                            <w:r w:rsidRPr="00A40E7B">
                              <w:rPr>
                                <w:rFonts w:ascii="Tahoma" w:hAnsi="Tahoma" w:cs="Tahoma"/>
                                <w:b/>
                                <w:bCs/>
                                <w:sz w:val="28"/>
                                <w:szCs w:val="28"/>
                              </w:rPr>
                              <w:t>Système économique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DC0F397" id="Rectangle à coins arrondis 34" o:spid="_x0000_s1041" style="position:absolute;left:0;text-align:left;margin-left:244.15pt;margin-top:65.65pt;width:210.1pt;height:30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" fillcolor="#dac3ad [1304]" strokecolor="black [3213]" strokeweight=".5pt">
                <v:stroke joinstyle="miter"/>
                <v:textbox>
                  <w:txbxContent>
                    <w:p w:rsidR="0083519B" w:rsidRPr="00A40E7B" w:rsidRDefault="0083519B" w:rsidP="001D03C5">
                      <w:pPr>
                        <w:jc w:val="center"/>
                        <w:rPr>
                          <w:rFonts w:ascii="Tahoma" w:hAnsi="Tahoma" w:cs="Tahoma"/>
                          <w:b/>
                          <w:bCs/>
                          <w:sz w:val="28"/>
                          <w:szCs w:val="28"/>
                        </w:rPr>
                      </w:pPr>
                      <w:r w:rsidRPr="00A40E7B">
                        <w:rPr>
                          <w:rFonts w:ascii="Tahoma" w:hAnsi="Tahoma" w:cs="Tahoma"/>
                          <w:b/>
                          <w:bCs/>
                          <w:sz w:val="28"/>
                          <w:szCs w:val="28"/>
                        </w:rPr>
                        <w:t>Système économique</w:t>
                      </w:r>
                    </w:p>
                  </w:txbxContent>
                </v:textbox>
              </v:roundrect>
            </w:pict>
          </mc:Fallback>
        </mc:AlternateContent>
      </w:r>
      <w:r w:rsidR="001D03C5" w:rsidRPr="002462E6">
        <w:rPr>
          <w:noProof/>
          <w:lang w:eastAsia="fr-FR"/>
        </w:rPr>
        <mc:AlternateContent>
          <mc:Choice Requires="wps">
            <w:drawing>
              <wp:anchor distT="0" distB="0" distL="114300" distR="114300" simplePos="0" relativeHeight="251710464" behindDoc="0" locked="0" layoutInCell="1" allowOverlap="1" wp14:anchorId="3D032DA3" wp14:editId="3DFAAB98">
                <wp:simplePos x="0" y="0"/>
                <wp:positionH relativeFrom="column">
                  <wp:posOffset>-4445</wp:posOffset>
                </wp:positionH>
                <wp:positionV relativeFrom="paragraph">
                  <wp:posOffset>833755</wp:posOffset>
                </wp:positionV>
                <wp:extent cx="2495550" cy="381000"/>
                <wp:effectExtent l="0" t="0" r="19050" b="19050"/>
                <wp:wrapNone/>
                <wp:docPr id="35" name="Rectangle à coins arrondis 35"/>
                <wp:cNvGraphicFramePr/>
                <a:graphic xmlns:a="http://schemas.openxmlformats.org/drawingml/2006/main">
                  <a:graphicData uri="http://schemas.microsoft.com/office/word/2010/wordprocessingShape">
                    <wps:wsp>
                      <wps:cNvSpPr/>
                      <wps:spPr>
                        <a:xfrm>
                          <a:off x="0" y="0"/>
                          <a:ext cx="2495550" cy="381000"/>
                        </a:xfrm>
                        <a:prstGeom prst="roundRect">
                          <a:avLst/>
                        </a:prstGeom>
                        <a:solidFill>
                          <a:schemeClr val="accent5">
                            <a:lumMod val="40000"/>
                            <a:lumOff val="60000"/>
                          </a:schemeClr>
                        </a:solidFill>
                        <a:ln w="6350" cap="flat" cmpd="sng" algn="ctr">
                          <a:solidFill>
                            <a:schemeClr val="tx1"/>
                          </a:solidFill>
                          <a:prstDash val="solid"/>
                          <a:miter lim="800000"/>
                        </a:ln>
                        <a:effectLst/>
                      </wps:spPr>
                      <wps:txbx>
                        <w:txbxContent>
                          <w:p w:rsidR="0083519B" w:rsidRPr="00A40E7B" w:rsidRDefault="0083519B" w:rsidP="001D03C5">
                            <w:pPr>
                              <w:jc w:val="center"/>
                              <w:rPr>
                                <w:rFonts w:ascii="Tahoma" w:hAnsi="Tahoma" w:cs="Tahoma"/>
                                <w:b/>
                                <w:bCs/>
                                <w:sz w:val="28"/>
                                <w:szCs w:val="28"/>
                              </w:rPr>
                            </w:pPr>
                            <w:r w:rsidRPr="00A40E7B">
                              <w:rPr>
                                <w:rFonts w:ascii="Tahoma" w:hAnsi="Tahoma" w:cs="Tahoma"/>
                                <w:b/>
                                <w:bCs/>
                                <w:sz w:val="28"/>
                                <w:szCs w:val="28"/>
                              </w:rPr>
                              <w:t>Système écologique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D032DA3" id="Rectangle à coins arrondis 35" o:spid="_x0000_s1042" style="position:absolute;left:0;text-align:left;margin-left:-.35pt;margin-top:65.65pt;width:196.5pt;height:30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" fillcolor="#dac3ad [1304]" strokecolor="black [3213]" strokeweight=".5pt">
                <v:stroke joinstyle="miter"/>
                <v:textbox>
                  <w:txbxContent>
                    <w:p w:rsidR="0083519B" w:rsidRPr="00A40E7B" w:rsidRDefault="0083519B" w:rsidP="001D03C5">
                      <w:pPr>
                        <w:jc w:val="center"/>
                        <w:rPr>
                          <w:rFonts w:ascii="Tahoma" w:hAnsi="Tahoma" w:cs="Tahoma"/>
                          <w:b/>
                          <w:bCs/>
                          <w:sz w:val="28"/>
                          <w:szCs w:val="28"/>
                        </w:rPr>
                      </w:pPr>
                      <w:r w:rsidRPr="00A40E7B">
                        <w:rPr>
                          <w:rFonts w:ascii="Tahoma" w:hAnsi="Tahoma" w:cs="Tahoma"/>
                          <w:b/>
                          <w:bCs/>
                          <w:sz w:val="28"/>
                          <w:szCs w:val="28"/>
                        </w:rPr>
                        <w:t>Système écologique</w:t>
                      </w:r>
                    </w:p>
                  </w:txbxContent>
                </v:textbox>
              </v:roundrect>
            </w:pict>
          </mc:Fallback>
        </mc:AlternateContent>
      </w:r>
      <w:bookmarkEnd w:id="211"/>
    </w:p>
    <w:p w:rsidR="001D03C5" w:rsidRPr="002462E6" w:rsidRDefault="001D03C5" w:rsidP="00EE5252">
      <w:pPr>
        <w:widowControl w:val="0"/>
        <w:autoSpaceDE w:val="0"/>
        <w:autoSpaceDN w:val="0"/>
        <w:spacing w:before="163" w:after="0" w:line="360" w:lineRule="auto"/>
        <w:jc w:val="center"/>
        <w:rPr>
          <w:rFonts w:ascii="Tahoma" w:eastAsia="Calibri" w:hAnsi="Tahoma" w:cs="Tahoma"/>
          <w:b/>
          <w:bCs/>
          <w:i/>
          <w:iCs/>
          <w:color w:val="000000"/>
          <w:sz w:val="20"/>
          <w:szCs w:val="20"/>
        </w:rPr>
      </w:pPr>
    </w:p>
    <w:p w:rsidR="001D03C5" w:rsidRPr="002462E6" w:rsidRDefault="001D03C5" w:rsidP="00EE5252">
      <w:pPr>
        <w:widowControl w:val="0"/>
        <w:autoSpaceDE w:val="0"/>
        <w:autoSpaceDN w:val="0"/>
        <w:spacing w:before="163" w:after="0" w:line="360" w:lineRule="auto"/>
        <w:jc w:val="center"/>
        <w:rPr>
          <w:rFonts w:ascii="Tahoma" w:eastAsia="Calibri" w:hAnsi="Tahoma" w:cs="Tahoma"/>
          <w:b/>
          <w:bCs/>
          <w:i/>
          <w:iCs/>
          <w:color w:val="000000"/>
          <w:sz w:val="20"/>
          <w:szCs w:val="20"/>
        </w:rPr>
      </w:pPr>
    </w:p>
    <w:p w:rsidR="001D03C5" w:rsidRPr="002462E6" w:rsidRDefault="001D03C5" w:rsidP="00EE5252">
      <w:pPr>
        <w:widowControl w:val="0"/>
        <w:autoSpaceDE w:val="0"/>
        <w:autoSpaceDN w:val="0"/>
        <w:spacing w:before="163" w:after="0" w:line="360" w:lineRule="auto"/>
        <w:jc w:val="center"/>
        <w:rPr>
          <w:rFonts w:ascii="Tahoma" w:eastAsia="Calibri" w:hAnsi="Tahoma" w:cs="Tahoma"/>
          <w:b/>
          <w:bCs/>
          <w:i/>
          <w:iCs/>
          <w:color w:val="000000"/>
          <w:sz w:val="20"/>
          <w:szCs w:val="20"/>
        </w:rPr>
      </w:pPr>
    </w:p>
    <w:p w:rsidR="001D03C5" w:rsidRPr="002462E6" w:rsidRDefault="001D03C5" w:rsidP="00EE5252">
      <w:pPr>
        <w:widowControl w:val="0"/>
        <w:autoSpaceDE w:val="0"/>
        <w:autoSpaceDN w:val="0"/>
        <w:spacing w:before="163" w:after="0" w:line="360" w:lineRule="auto"/>
        <w:jc w:val="center"/>
        <w:rPr>
          <w:rFonts w:ascii="Tahoma" w:eastAsia="Calibri" w:hAnsi="Tahoma" w:cs="Tahoma"/>
          <w:b/>
          <w:bCs/>
          <w:i/>
          <w:iCs/>
          <w:color w:val="000000"/>
          <w:sz w:val="20"/>
          <w:szCs w:val="20"/>
        </w:rPr>
      </w:pPr>
      <w:r w:rsidRPr="002462E6">
        <w:rPr>
          <w:rFonts w:ascii="Tahoma" w:hAnsi="Tahoma" w:cs="Tahoma"/>
          <w:noProof/>
          <w:sz w:val="24"/>
          <w:szCs w:val="24"/>
          <w:lang w:eastAsia="fr-FR"/>
        </w:rPr>
        <mc:AlternateContent>
          <mc:Choice Requires="wps">
            <w:drawing>
              <wp:anchor distT="0" distB="0" distL="114300" distR="114300" simplePos="0" relativeHeight="251711488" behindDoc="0" locked="0" layoutInCell="1" allowOverlap="1" wp14:anchorId="5495B6D7" wp14:editId="0E944108">
                <wp:simplePos x="0" y="0"/>
                <wp:positionH relativeFrom="column">
                  <wp:posOffset>3825875</wp:posOffset>
                </wp:positionH>
                <wp:positionV relativeFrom="paragraph">
                  <wp:posOffset>233045</wp:posOffset>
                </wp:positionV>
                <wp:extent cx="1936115" cy="1078230"/>
                <wp:effectExtent l="0" t="0" r="26035" b="26670"/>
                <wp:wrapNone/>
                <wp:docPr id="33" name="Rectangle à coins arrondis 33"/>
                <wp:cNvGraphicFramePr/>
                <a:graphic xmlns:a="http://schemas.openxmlformats.org/drawingml/2006/main">
                  <a:graphicData uri="http://schemas.microsoft.com/office/word/2010/wordprocessingShape">
                    <wps:wsp>
                      <wps:cNvSpPr/>
                      <wps:spPr>
                        <a:xfrm>
                          <a:off x="0" y="0"/>
                          <a:ext cx="1936115" cy="1078230"/>
                        </a:xfrm>
                        <a:prstGeom prst="roundRect">
                          <a:avLst/>
                        </a:prstGeom>
                        <a:solidFill>
                          <a:schemeClr val="accent5">
                            <a:lumMod val="20000"/>
                            <a:lumOff val="80000"/>
                          </a:schemeClr>
                        </a:solidFill>
                        <a:ln w="6350" cap="flat" cmpd="sng" algn="ctr">
                          <a:solidFill>
                            <a:schemeClr val="tx1"/>
                          </a:solidFill>
                          <a:prstDash val="solid"/>
                          <a:miter lim="800000"/>
                        </a:ln>
                        <a:effectLst/>
                      </wps:spPr>
                      <wps:txbx>
                        <w:txbxContent>
                          <w:p w:rsidR="0083519B" w:rsidRDefault="0083519B" w:rsidP="001D03C5">
                            <w:pPr>
                              <w:jc w:val="center"/>
                            </w:pPr>
                            <w:r>
                              <w:t>Satisfaction des besoins de la société (Finalisme)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495B6D7" id="Rectangle à coins arrondis 33" o:spid="_x0000_s1043" style="position:absolute;left:0;text-align:left;margin-left:301.25pt;margin-top:18.35pt;width:152.45pt;height:84.9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" fillcolor="#ece1d6 [664]" strokecolor="black [3213]" strokeweight=".5pt">
                <v:stroke joinstyle="miter"/>
                <v:textbox>
                  <w:txbxContent>
                    <w:p w:rsidR="0083519B" w:rsidRDefault="0083519B" w:rsidP="001D03C5">
                      <w:pPr>
                        <w:jc w:val="center"/>
                      </w:pPr>
                      <w:r>
                        <w:t>Satisfaction des besoins de la société (Finalisme)</w:t>
                      </w:r>
                    </w:p>
                  </w:txbxContent>
                </v:textbox>
              </v:roundrect>
            </w:pict>
          </mc:Fallback>
        </mc:AlternateContent>
      </w:r>
    </w:p>
    <w:p w:rsidR="001D03C5" w:rsidRPr="002462E6" w:rsidRDefault="001D03C5" w:rsidP="00EE5252">
      <w:pPr>
        <w:widowControl w:val="0"/>
        <w:autoSpaceDE w:val="0"/>
        <w:autoSpaceDN w:val="0"/>
        <w:spacing w:before="163" w:after="0" w:line="360" w:lineRule="auto"/>
        <w:jc w:val="center"/>
        <w:rPr>
          <w:rFonts w:ascii="Tahoma" w:eastAsia="Calibri" w:hAnsi="Tahoma" w:cs="Tahoma"/>
          <w:b/>
          <w:bCs/>
          <w:i/>
          <w:iCs/>
          <w:color w:val="000000"/>
          <w:sz w:val="20"/>
          <w:szCs w:val="20"/>
        </w:rPr>
      </w:pPr>
    </w:p>
    <w:p w:rsidR="001D03C5" w:rsidRPr="002462E6" w:rsidRDefault="001D03C5" w:rsidP="00EE5252">
      <w:pPr>
        <w:widowControl w:val="0"/>
        <w:autoSpaceDE w:val="0"/>
        <w:autoSpaceDN w:val="0"/>
        <w:spacing w:before="163" w:after="0" w:line="360" w:lineRule="auto"/>
        <w:jc w:val="center"/>
        <w:rPr>
          <w:rFonts w:ascii="Tahoma" w:eastAsia="Calibri" w:hAnsi="Tahoma" w:cs="Tahoma"/>
          <w:b/>
          <w:bCs/>
          <w:i/>
          <w:iCs/>
          <w:color w:val="000000"/>
          <w:sz w:val="20"/>
          <w:szCs w:val="20"/>
        </w:rPr>
      </w:pPr>
    </w:p>
    <w:p w:rsidR="001D03C5" w:rsidRPr="002462E6" w:rsidRDefault="001D03C5" w:rsidP="00EE5252">
      <w:pPr>
        <w:widowControl w:val="0"/>
        <w:autoSpaceDE w:val="0"/>
        <w:autoSpaceDN w:val="0"/>
        <w:spacing w:before="163" w:after="0" w:line="360" w:lineRule="auto"/>
        <w:jc w:val="center"/>
        <w:rPr>
          <w:rFonts w:ascii="Tahoma" w:eastAsia="Calibri" w:hAnsi="Tahoma" w:cs="Tahoma"/>
          <w:b/>
          <w:bCs/>
          <w:i/>
          <w:iCs/>
          <w:color w:val="000000"/>
          <w:sz w:val="20"/>
          <w:szCs w:val="20"/>
        </w:rPr>
      </w:pPr>
    </w:p>
    <w:p w:rsidR="001D03C5" w:rsidRPr="002462E6" w:rsidRDefault="001D03C5" w:rsidP="00EE5252">
      <w:pPr>
        <w:widowControl w:val="0"/>
        <w:autoSpaceDE w:val="0"/>
        <w:autoSpaceDN w:val="0"/>
        <w:spacing w:before="163" w:after="0" w:line="360" w:lineRule="auto"/>
        <w:jc w:val="center"/>
        <w:rPr>
          <w:rFonts w:ascii="Tahoma" w:eastAsia="Calibri" w:hAnsi="Tahoma" w:cs="Tahoma"/>
          <w:b/>
          <w:bCs/>
          <w:i/>
          <w:iCs/>
          <w:color w:val="000000"/>
          <w:sz w:val="20"/>
          <w:szCs w:val="20"/>
        </w:rPr>
      </w:pPr>
    </w:p>
    <w:p w:rsidR="001D03C5" w:rsidRPr="002462E6" w:rsidRDefault="001D03C5" w:rsidP="00EE5252">
      <w:pPr>
        <w:widowControl w:val="0"/>
        <w:autoSpaceDE w:val="0"/>
        <w:autoSpaceDN w:val="0"/>
        <w:spacing w:before="163" w:after="0" w:line="360" w:lineRule="auto"/>
        <w:jc w:val="center"/>
        <w:rPr>
          <w:rFonts w:ascii="Tahoma" w:eastAsia="Calibri" w:hAnsi="Tahoma" w:cs="Tahoma"/>
          <w:b/>
          <w:bCs/>
          <w:i/>
          <w:iCs/>
          <w:color w:val="000000"/>
          <w:sz w:val="20"/>
          <w:szCs w:val="20"/>
        </w:rPr>
      </w:pPr>
    </w:p>
    <w:p w:rsidR="001D03C5" w:rsidRPr="002462E6" w:rsidRDefault="001D03C5" w:rsidP="00EE5252">
      <w:pPr>
        <w:widowControl w:val="0"/>
        <w:autoSpaceDE w:val="0"/>
        <w:autoSpaceDN w:val="0"/>
        <w:spacing w:before="163" w:after="0" w:line="360" w:lineRule="auto"/>
        <w:jc w:val="center"/>
        <w:rPr>
          <w:rFonts w:ascii="Tahoma" w:eastAsia="Calibri" w:hAnsi="Tahoma" w:cs="Tahoma"/>
          <w:b/>
          <w:bCs/>
          <w:i/>
          <w:iCs/>
          <w:color w:val="000000"/>
          <w:sz w:val="20"/>
          <w:szCs w:val="20"/>
        </w:rPr>
      </w:pPr>
    </w:p>
    <w:p w:rsidR="001D03C5" w:rsidRPr="002462E6" w:rsidRDefault="001D03C5" w:rsidP="00EE5252">
      <w:pPr>
        <w:widowControl w:val="0"/>
        <w:autoSpaceDE w:val="0"/>
        <w:autoSpaceDN w:val="0"/>
        <w:spacing w:before="163" w:after="0" w:line="360" w:lineRule="auto"/>
        <w:jc w:val="center"/>
        <w:rPr>
          <w:rFonts w:ascii="Tahoma" w:eastAsia="Calibri" w:hAnsi="Tahoma" w:cs="Tahoma"/>
          <w:b/>
          <w:bCs/>
          <w:i/>
          <w:iCs/>
          <w:color w:val="000000"/>
          <w:sz w:val="20"/>
          <w:szCs w:val="20"/>
        </w:rPr>
      </w:pPr>
    </w:p>
    <w:p w:rsidR="001D03C5" w:rsidRPr="002462E6" w:rsidRDefault="001D03C5" w:rsidP="00EE5252">
      <w:pPr>
        <w:widowControl w:val="0"/>
        <w:autoSpaceDE w:val="0"/>
        <w:autoSpaceDN w:val="0"/>
        <w:spacing w:before="163" w:after="0" w:line="360" w:lineRule="auto"/>
        <w:jc w:val="center"/>
        <w:rPr>
          <w:rFonts w:ascii="Tahoma" w:eastAsia="Calibri" w:hAnsi="Tahoma" w:cs="Tahoma"/>
          <w:b/>
          <w:bCs/>
          <w:i/>
          <w:iCs/>
          <w:color w:val="000000"/>
          <w:sz w:val="20"/>
          <w:szCs w:val="20"/>
        </w:rPr>
      </w:pPr>
    </w:p>
    <w:p w:rsidR="001D03C5" w:rsidRPr="002462E6" w:rsidRDefault="001D03C5" w:rsidP="00EE5252">
      <w:pPr>
        <w:widowControl w:val="0"/>
        <w:autoSpaceDE w:val="0"/>
        <w:autoSpaceDN w:val="0"/>
        <w:spacing w:before="163" w:after="0" w:line="360" w:lineRule="auto"/>
        <w:jc w:val="center"/>
        <w:rPr>
          <w:rFonts w:ascii="Tahoma" w:eastAsia="Calibri" w:hAnsi="Tahoma" w:cs="Tahoma"/>
          <w:b/>
          <w:bCs/>
          <w:i/>
          <w:iCs/>
          <w:color w:val="000000"/>
          <w:sz w:val="20"/>
          <w:szCs w:val="20"/>
        </w:rPr>
      </w:pPr>
    </w:p>
    <w:p w:rsidR="001D03C5" w:rsidRPr="002462E6" w:rsidRDefault="001D03C5" w:rsidP="00EE5252">
      <w:pPr>
        <w:widowControl w:val="0"/>
        <w:autoSpaceDE w:val="0"/>
        <w:autoSpaceDN w:val="0"/>
        <w:spacing w:before="163" w:after="0" w:line="360" w:lineRule="auto"/>
        <w:jc w:val="center"/>
        <w:rPr>
          <w:rFonts w:ascii="Tahoma" w:eastAsia="Calibri" w:hAnsi="Tahoma" w:cs="Tahoma"/>
          <w:b/>
          <w:bCs/>
          <w:i/>
          <w:iCs/>
          <w:color w:val="000000"/>
          <w:sz w:val="20"/>
          <w:szCs w:val="20"/>
        </w:rPr>
      </w:pPr>
    </w:p>
    <w:p w:rsidR="001D03C5" w:rsidRPr="002462E6" w:rsidRDefault="001D03C5" w:rsidP="00EE5252">
      <w:pPr>
        <w:widowControl w:val="0"/>
        <w:autoSpaceDE w:val="0"/>
        <w:autoSpaceDN w:val="0"/>
        <w:spacing w:before="163" w:after="0" w:line="360" w:lineRule="auto"/>
        <w:jc w:val="center"/>
        <w:rPr>
          <w:rFonts w:ascii="Tahoma" w:eastAsia="Calibri" w:hAnsi="Tahoma" w:cs="Tahoma"/>
          <w:b/>
          <w:bCs/>
          <w:i/>
          <w:iCs/>
          <w:color w:val="000000"/>
          <w:sz w:val="20"/>
          <w:szCs w:val="20"/>
        </w:rPr>
      </w:pPr>
      <w:r w:rsidRPr="002462E6">
        <w:rPr>
          <w:rFonts w:ascii="Tahoma" w:hAnsi="Tahoma" w:cs="Tahoma"/>
          <w:noProof/>
          <w:sz w:val="24"/>
          <w:szCs w:val="24"/>
          <w:lang w:eastAsia="fr-FR"/>
        </w:rPr>
        <mc:AlternateContent>
          <mc:Choice Requires="wps">
            <w:drawing>
              <wp:anchor distT="0" distB="0" distL="114300" distR="114300" simplePos="0" relativeHeight="251717632" behindDoc="0" locked="0" layoutInCell="1" allowOverlap="1" wp14:anchorId="688F8B19" wp14:editId="65D82AF3">
                <wp:simplePos x="0" y="0"/>
                <wp:positionH relativeFrom="column">
                  <wp:posOffset>3109628</wp:posOffset>
                </wp:positionH>
                <wp:positionV relativeFrom="paragraph">
                  <wp:posOffset>100965</wp:posOffset>
                </wp:positionV>
                <wp:extent cx="2228850" cy="367665"/>
                <wp:effectExtent l="0" t="0" r="19050" b="13335"/>
                <wp:wrapNone/>
                <wp:docPr id="509" name="Rectangle à coins arrondis 509"/>
                <wp:cNvGraphicFramePr/>
                <a:graphic xmlns:a="http://schemas.openxmlformats.org/drawingml/2006/main">
                  <a:graphicData uri="http://schemas.microsoft.com/office/word/2010/wordprocessingShape">
                    <wps:wsp>
                      <wps:cNvSpPr/>
                      <wps:spPr>
                        <a:xfrm>
                          <a:off x="0" y="0"/>
                          <a:ext cx="2228850" cy="367665"/>
                        </a:xfrm>
                        <a:prstGeom prst="roundRect">
                          <a:avLst/>
                        </a:prstGeom>
                        <a:solidFill>
                          <a:schemeClr val="accent5">
                            <a:lumMod val="20000"/>
                            <a:lumOff val="80000"/>
                          </a:schemeClr>
                        </a:solidFill>
                        <a:ln w="6350" cap="flat" cmpd="sng" algn="ctr">
                          <a:solidFill>
                            <a:schemeClr val="tx1"/>
                          </a:solidFill>
                          <a:prstDash val="solid"/>
                          <a:miter lim="800000"/>
                        </a:ln>
                        <a:effectLst/>
                      </wps:spPr>
                      <wps:txbx>
                        <w:txbxContent>
                          <w:p w:rsidR="0083519B" w:rsidRPr="0069449A" w:rsidRDefault="0083519B" w:rsidP="001D03C5">
                            <w:pPr>
                              <w:jc w:val="center"/>
                              <w:rPr>
                                <w:rFonts w:ascii="Tahoma" w:hAnsi="Tahoma" w:cs="Tahoma"/>
                              </w:rPr>
                            </w:pPr>
                            <w:r w:rsidRPr="0069449A">
                              <w:rPr>
                                <w:rFonts w:ascii="Tahoma" w:hAnsi="Tahoma" w:cs="Tahoma"/>
                              </w:rPr>
                              <w:t>Institutions et lois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88F8B19" id="Rectangle à coins arrondis 509" o:spid="_x0000_s1044" style="position:absolute;left:0;text-align:left;margin-left:244.85pt;margin-top:7.95pt;width:175.5pt;height:28.95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" fillcolor="#ece1d6 [664]" strokecolor="black [3213]" strokeweight=".5pt">
                <v:stroke joinstyle="miter"/>
                <v:textbox>
                  <w:txbxContent>
                    <w:p w:rsidR="0083519B" w:rsidRPr="0069449A" w:rsidRDefault="0083519B" w:rsidP="001D03C5">
                      <w:pPr>
                        <w:jc w:val="center"/>
                        <w:rPr>
                          <w:rFonts w:ascii="Tahoma" w:hAnsi="Tahoma" w:cs="Tahoma"/>
                        </w:rPr>
                      </w:pPr>
                      <w:r w:rsidRPr="0069449A">
                        <w:rPr>
                          <w:rFonts w:ascii="Tahoma" w:hAnsi="Tahoma" w:cs="Tahoma"/>
                        </w:rPr>
                        <w:t>Institutions et lois</w:t>
                      </w:r>
                    </w:p>
                  </w:txbxContent>
                </v:textbox>
              </v:roundrect>
            </w:pict>
          </mc:Fallback>
        </mc:AlternateContent>
      </w:r>
      <w:r w:rsidRPr="002462E6">
        <w:rPr>
          <w:rFonts w:ascii="Tahoma" w:hAnsi="Tahoma" w:cs="Tahoma"/>
          <w:noProof/>
          <w:sz w:val="24"/>
          <w:szCs w:val="24"/>
          <w:lang w:eastAsia="fr-FR"/>
        </w:rPr>
        <mc:AlternateContent>
          <mc:Choice Requires="wps">
            <w:drawing>
              <wp:anchor distT="0" distB="0" distL="114300" distR="114300" simplePos="0" relativeHeight="251718656" behindDoc="0" locked="0" layoutInCell="1" allowOverlap="1" wp14:anchorId="30F4A98F" wp14:editId="3519A166">
                <wp:simplePos x="0" y="0"/>
                <wp:positionH relativeFrom="column">
                  <wp:posOffset>222217</wp:posOffset>
                </wp:positionH>
                <wp:positionV relativeFrom="paragraph">
                  <wp:posOffset>92075</wp:posOffset>
                </wp:positionV>
                <wp:extent cx="2251075" cy="367665"/>
                <wp:effectExtent l="0" t="0" r="15875" b="13335"/>
                <wp:wrapNone/>
                <wp:docPr id="510" name="Rectangle à coins arrondis 510"/>
                <wp:cNvGraphicFramePr/>
                <a:graphic xmlns:a="http://schemas.openxmlformats.org/drawingml/2006/main">
                  <a:graphicData uri="http://schemas.microsoft.com/office/word/2010/wordprocessingShape">
                    <wps:wsp>
                      <wps:cNvSpPr/>
                      <wps:spPr>
                        <a:xfrm>
                          <a:off x="0" y="0"/>
                          <a:ext cx="2251075" cy="367665"/>
                        </a:xfrm>
                        <a:prstGeom prst="roundRect">
                          <a:avLst/>
                        </a:prstGeom>
                        <a:solidFill>
                          <a:schemeClr val="accent5">
                            <a:lumMod val="20000"/>
                            <a:lumOff val="80000"/>
                          </a:schemeClr>
                        </a:solidFill>
                        <a:ln w="6350" cap="flat" cmpd="sng" algn="ctr">
                          <a:solidFill>
                            <a:schemeClr val="tx1"/>
                          </a:solidFill>
                          <a:prstDash val="solid"/>
                          <a:miter lim="800000"/>
                        </a:ln>
                        <a:effectLst/>
                      </wps:spPr>
                      <wps:txbx>
                        <w:txbxContent>
                          <w:p w:rsidR="0083519B" w:rsidRPr="0069449A" w:rsidRDefault="0083519B" w:rsidP="001D03C5">
                            <w:pPr>
                              <w:jc w:val="center"/>
                              <w:rPr>
                                <w:rFonts w:ascii="Tahoma" w:hAnsi="Tahoma" w:cs="Tahoma"/>
                              </w:rPr>
                            </w:pPr>
                            <w:r w:rsidRPr="0069449A">
                              <w:rPr>
                                <w:rFonts w:ascii="Tahoma" w:hAnsi="Tahoma" w:cs="Tahoma"/>
                              </w:rPr>
                              <w:t>Technique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0F4A98F" id="Rectangle à coins arrondis 510" o:spid="_x0000_s1045" style="position:absolute;left:0;text-align:left;margin-left:17.5pt;margin-top:7.25pt;width:177.25pt;height:28.95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" fillcolor="#ece1d6 [664]" strokecolor="black [3213]" strokeweight=".5pt">
                <v:stroke joinstyle="miter"/>
                <v:textbox>
                  <w:txbxContent>
                    <w:p w:rsidR="0083519B" w:rsidRPr="0069449A" w:rsidRDefault="0083519B" w:rsidP="001D03C5">
                      <w:pPr>
                        <w:jc w:val="center"/>
                        <w:rPr>
                          <w:rFonts w:ascii="Tahoma" w:hAnsi="Tahoma" w:cs="Tahoma"/>
                        </w:rPr>
                      </w:pPr>
                      <w:r w:rsidRPr="0069449A">
                        <w:rPr>
                          <w:rFonts w:ascii="Tahoma" w:hAnsi="Tahoma" w:cs="Tahoma"/>
                        </w:rPr>
                        <w:t>Technique</w:t>
                      </w:r>
                    </w:p>
                  </w:txbxContent>
                </v:textbox>
              </v:roundrect>
            </w:pict>
          </mc:Fallback>
        </mc:AlternateContent>
      </w:r>
    </w:p>
    <w:p w:rsidR="001D03C5" w:rsidRPr="002462E6" w:rsidRDefault="001D03C5" w:rsidP="00EE5252">
      <w:pPr>
        <w:widowControl w:val="0"/>
        <w:autoSpaceDE w:val="0"/>
        <w:autoSpaceDN w:val="0"/>
        <w:spacing w:before="163" w:after="0" w:line="360" w:lineRule="auto"/>
        <w:jc w:val="center"/>
        <w:rPr>
          <w:rFonts w:ascii="Tahoma" w:eastAsia="Calibri" w:hAnsi="Tahoma" w:cs="Tahoma"/>
          <w:b/>
          <w:bCs/>
          <w:i/>
          <w:iCs/>
          <w:color w:val="000000"/>
          <w:sz w:val="20"/>
          <w:szCs w:val="20"/>
        </w:rPr>
      </w:pPr>
    </w:p>
    <w:p w:rsidR="001D03C5" w:rsidRPr="002462E6" w:rsidRDefault="001D03C5" w:rsidP="001D03C5">
      <w:pPr>
        <w:rPr>
          <w:rFonts w:ascii="Tahoma" w:eastAsia="Calibri" w:hAnsi="Tahoma" w:cs="Tahoma"/>
          <w:b/>
          <w:bCs/>
          <w:i/>
          <w:iCs/>
          <w:color w:val="000000"/>
          <w:sz w:val="20"/>
          <w:szCs w:val="20"/>
        </w:rPr>
      </w:pPr>
      <w:r w:rsidRPr="002462E6">
        <w:rPr>
          <w:rFonts w:ascii="Tahoma" w:hAnsi="Tahoma" w:cs="Tahoma"/>
          <w:noProof/>
          <w:sz w:val="24"/>
          <w:szCs w:val="24"/>
          <w:lang w:eastAsia="fr-FR"/>
        </w:rPr>
        <mc:AlternateContent>
          <mc:Choice Requires="wps">
            <w:drawing>
              <wp:anchor distT="0" distB="0" distL="114300" distR="114300" simplePos="0" relativeHeight="251720704" behindDoc="0" locked="0" layoutInCell="1" allowOverlap="1" wp14:anchorId="3351A6B7" wp14:editId="5E757A18">
                <wp:simplePos x="0" y="0"/>
                <wp:positionH relativeFrom="column">
                  <wp:posOffset>2894965</wp:posOffset>
                </wp:positionH>
                <wp:positionV relativeFrom="paragraph">
                  <wp:posOffset>2540</wp:posOffset>
                </wp:positionV>
                <wp:extent cx="2394585" cy="480695"/>
                <wp:effectExtent l="0" t="0" r="24765" b="14605"/>
                <wp:wrapNone/>
                <wp:docPr id="507" name="Rectangle à coins arrondis 507"/>
                <wp:cNvGraphicFramePr/>
                <a:graphic xmlns:a="http://schemas.openxmlformats.org/drawingml/2006/main">
                  <a:graphicData uri="http://schemas.microsoft.com/office/word/2010/wordprocessingShape">
                    <wps:wsp>
                      <wps:cNvSpPr/>
                      <wps:spPr>
                        <a:xfrm>
                          <a:off x="0" y="0"/>
                          <a:ext cx="2394585" cy="480695"/>
                        </a:xfrm>
                        <a:prstGeom prst="roundRect">
                          <a:avLst/>
                        </a:prstGeom>
                        <a:solidFill>
                          <a:schemeClr val="accent5">
                            <a:lumMod val="40000"/>
                            <a:lumOff val="60000"/>
                          </a:schemeClr>
                        </a:solidFill>
                        <a:ln w="6350" cap="flat" cmpd="sng" algn="ctr">
                          <a:solidFill>
                            <a:schemeClr val="tx1"/>
                          </a:solidFill>
                          <a:prstDash val="solid"/>
                          <a:miter lim="800000"/>
                        </a:ln>
                        <a:effectLst/>
                      </wps:spPr>
                      <wps:txbx>
                        <w:txbxContent>
                          <w:p w:rsidR="0083519B" w:rsidRPr="0069449A" w:rsidRDefault="0083519B" w:rsidP="001D03C5">
                            <w:pPr>
                              <w:jc w:val="center"/>
                              <w:rPr>
                                <w:rFonts w:ascii="Tahoma" w:hAnsi="Tahoma" w:cs="Tahoma"/>
                              </w:rPr>
                            </w:pPr>
                            <w:r w:rsidRPr="0069449A">
                              <w:rPr>
                                <w:rFonts w:ascii="Tahoma" w:hAnsi="Tahoma" w:cs="Tahoma"/>
                              </w:rPr>
                              <w:t>Incarnation du pouvoir de l’État et de l’équité sociale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351A6B7" id="Rectangle à coins arrondis 507" o:spid="_x0000_s1046" style="position:absolute;margin-left:227.95pt;margin-top:.2pt;width:188.55pt;height:37.85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" fillcolor="#dac3ad [1304]" strokecolor="black [3213]" strokeweight=".5pt">
                <v:stroke joinstyle="miter"/>
                <v:textbox>
                  <w:txbxContent>
                    <w:p w:rsidR="0083519B" w:rsidRPr="0069449A" w:rsidRDefault="0083519B" w:rsidP="001D03C5">
                      <w:pPr>
                        <w:jc w:val="center"/>
                        <w:rPr>
                          <w:rFonts w:ascii="Tahoma" w:hAnsi="Tahoma" w:cs="Tahoma"/>
                        </w:rPr>
                      </w:pPr>
                      <w:r w:rsidRPr="0069449A">
                        <w:rPr>
                          <w:rFonts w:ascii="Tahoma" w:hAnsi="Tahoma" w:cs="Tahoma"/>
                        </w:rPr>
                        <w:t>Incarnation du pouvoir de l’État et de l’équité sociale</w:t>
                      </w:r>
                    </w:p>
                  </w:txbxContent>
                </v:textbox>
              </v:roundrect>
            </w:pict>
          </mc:Fallback>
        </mc:AlternateContent>
      </w:r>
      <w:r w:rsidRPr="002462E6">
        <w:rPr>
          <w:rFonts w:ascii="Tahoma" w:hAnsi="Tahoma" w:cs="Tahoma"/>
          <w:noProof/>
          <w:sz w:val="24"/>
          <w:szCs w:val="24"/>
          <w:lang w:eastAsia="fr-FR"/>
        </w:rPr>
        <mc:AlternateContent>
          <mc:Choice Requires="wps">
            <w:drawing>
              <wp:anchor distT="0" distB="0" distL="114300" distR="114300" simplePos="0" relativeHeight="251719680" behindDoc="0" locked="0" layoutInCell="1" allowOverlap="1" wp14:anchorId="5BD9CCB9" wp14:editId="4D8FC586">
                <wp:simplePos x="0" y="0"/>
                <wp:positionH relativeFrom="column">
                  <wp:posOffset>31750</wp:posOffset>
                </wp:positionH>
                <wp:positionV relativeFrom="paragraph">
                  <wp:posOffset>2540</wp:posOffset>
                </wp:positionV>
                <wp:extent cx="2548890" cy="480695"/>
                <wp:effectExtent l="0" t="0" r="22860" b="14605"/>
                <wp:wrapNone/>
                <wp:docPr id="497" name="Rectangle à coins arrondis 497"/>
                <wp:cNvGraphicFramePr/>
                <a:graphic xmlns:a="http://schemas.openxmlformats.org/drawingml/2006/main">
                  <a:graphicData uri="http://schemas.microsoft.com/office/word/2010/wordprocessingShape">
                    <wps:wsp>
                      <wps:cNvSpPr/>
                      <wps:spPr>
                        <a:xfrm>
                          <a:off x="0" y="0"/>
                          <a:ext cx="2548890" cy="480695"/>
                        </a:xfrm>
                        <a:prstGeom prst="roundRect">
                          <a:avLst/>
                        </a:prstGeom>
                        <a:solidFill>
                          <a:schemeClr val="accent5">
                            <a:lumMod val="40000"/>
                            <a:lumOff val="60000"/>
                          </a:schemeClr>
                        </a:solidFill>
                        <a:ln w="6350" cap="flat" cmpd="sng" algn="ctr">
                          <a:solidFill>
                            <a:schemeClr val="tx1"/>
                          </a:solidFill>
                          <a:prstDash val="solid"/>
                          <a:miter lim="800000"/>
                        </a:ln>
                        <a:effectLst/>
                      </wps:spPr>
                      <wps:txbx>
                        <w:txbxContent>
                          <w:p w:rsidR="0083519B" w:rsidRPr="0069449A" w:rsidRDefault="0083519B" w:rsidP="001D03C5">
                            <w:pPr>
                              <w:jc w:val="center"/>
                              <w:rPr>
                                <w:rFonts w:ascii="Tahoma" w:hAnsi="Tahoma" w:cs="Tahoma"/>
                              </w:rPr>
                            </w:pPr>
                            <w:r w:rsidRPr="0069449A">
                              <w:rPr>
                                <w:rFonts w:ascii="Tahoma" w:hAnsi="Tahoma" w:cs="Tahoma"/>
                              </w:rPr>
                              <w:t>Incarnation du fait scientifique dans le fait technique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BD9CCB9" id="Rectangle à coins arrondis 497" o:spid="_x0000_s1047" style="position:absolute;margin-left:2.5pt;margin-top:.2pt;width:200.7pt;height:37.85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" fillcolor="#dac3ad [1304]" strokecolor="black [3213]" strokeweight=".5pt">
                <v:stroke joinstyle="miter"/>
                <v:textbox>
                  <w:txbxContent>
                    <w:p w:rsidR="0083519B" w:rsidRPr="0069449A" w:rsidRDefault="0083519B" w:rsidP="001D03C5">
                      <w:pPr>
                        <w:jc w:val="center"/>
                        <w:rPr>
                          <w:rFonts w:ascii="Tahoma" w:hAnsi="Tahoma" w:cs="Tahoma"/>
                        </w:rPr>
                      </w:pPr>
                      <w:r w:rsidRPr="0069449A">
                        <w:rPr>
                          <w:rFonts w:ascii="Tahoma" w:hAnsi="Tahoma" w:cs="Tahoma"/>
                        </w:rPr>
                        <w:t>Incarnation du fait scientifique dans le fait technique</w:t>
                      </w:r>
                    </w:p>
                  </w:txbxContent>
                </v:textbox>
              </v:roundrect>
            </w:pict>
          </mc:Fallback>
        </mc:AlternateContent>
      </w:r>
    </w:p>
    <w:p w:rsidR="001D03C5" w:rsidRPr="002462E6" w:rsidRDefault="001D03C5" w:rsidP="001D03C5">
      <w:pPr>
        <w:ind w:left="284"/>
        <w:rPr>
          <w:rFonts w:ascii="Tahoma" w:eastAsia="Calibri" w:hAnsi="Tahoma" w:cs="Tahoma"/>
          <w:b/>
          <w:bCs/>
          <w:i/>
          <w:iCs/>
          <w:color w:val="000000"/>
          <w:sz w:val="20"/>
          <w:szCs w:val="20"/>
        </w:rPr>
      </w:pPr>
    </w:p>
    <w:p w:rsidR="008F4C09" w:rsidRPr="002462E6" w:rsidRDefault="008F4C09" w:rsidP="001D03C5">
      <w:pPr>
        <w:widowControl w:val="0"/>
        <w:autoSpaceDE w:val="0"/>
        <w:autoSpaceDN w:val="0"/>
        <w:spacing w:before="163" w:after="0" w:line="360" w:lineRule="auto"/>
        <w:ind w:left="142"/>
        <w:rPr>
          <w:rFonts w:ascii="Tahoma" w:eastAsia="Calibri" w:hAnsi="Tahoma" w:cs="Tahoma"/>
          <w:b/>
          <w:bCs/>
          <w:color w:val="000000"/>
          <w:sz w:val="2"/>
          <w:szCs w:val="2"/>
        </w:rPr>
      </w:pPr>
    </w:p>
    <w:p w:rsidR="00726EDC" w:rsidRPr="002462E6" w:rsidRDefault="00726EDC" w:rsidP="001D03C5">
      <w:pPr>
        <w:widowControl w:val="0"/>
        <w:autoSpaceDE w:val="0"/>
        <w:autoSpaceDN w:val="0"/>
        <w:spacing w:before="163" w:after="0" w:line="360" w:lineRule="auto"/>
        <w:ind w:left="142"/>
        <w:rPr>
          <w:rFonts w:ascii="Tahoma" w:eastAsia="Calibri" w:hAnsi="Tahoma" w:cs="Tahoma"/>
          <w:color w:val="000000"/>
          <w:sz w:val="20"/>
          <w:szCs w:val="20"/>
        </w:rPr>
      </w:pPr>
      <w:r w:rsidRPr="002462E6">
        <w:rPr>
          <w:rFonts w:ascii="Tahoma" w:eastAsia="Calibri" w:hAnsi="Tahoma" w:cs="Tahoma"/>
          <w:b/>
          <w:bCs/>
          <w:color w:val="000000"/>
          <w:sz w:val="20"/>
          <w:szCs w:val="20"/>
        </w:rPr>
        <w:t>Source </w:t>
      </w:r>
      <w:r w:rsidRPr="002462E6">
        <w:rPr>
          <w:rFonts w:ascii="Tahoma" w:eastAsia="Calibri" w:hAnsi="Tahoma" w:cs="Tahoma"/>
          <w:color w:val="000000"/>
          <w:sz w:val="20"/>
          <w:szCs w:val="20"/>
        </w:rPr>
        <w:t>: Etude « Les écosystèmes forestiers et périforestiers : situati</w:t>
      </w:r>
      <w:r w:rsidR="00EE5252" w:rsidRPr="002462E6">
        <w:rPr>
          <w:rFonts w:ascii="Tahoma" w:eastAsia="Calibri" w:hAnsi="Tahoma" w:cs="Tahoma"/>
          <w:color w:val="000000"/>
          <w:sz w:val="20"/>
          <w:szCs w:val="20"/>
        </w:rPr>
        <w:t xml:space="preserve">on, enjeux et perspectives pour </w:t>
      </w:r>
      <w:r w:rsidRPr="002462E6">
        <w:rPr>
          <w:rFonts w:ascii="Tahoma" w:eastAsia="Calibri" w:hAnsi="Tahoma" w:cs="Tahoma"/>
          <w:color w:val="000000"/>
          <w:sz w:val="20"/>
          <w:szCs w:val="20"/>
        </w:rPr>
        <w:t>2025 »</w:t>
      </w:r>
      <w:r w:rsidRPr="002462E6">
        <w:rPr>
          <w:rFonts w:ascii="Tahoma" w:eastAsia="Calibri" w:hAnsi="Tahoma" w:cs="Tahoma"/>
          <w:color w:val="000000"/>
          <w:sz w:val="20"/>
          <w:szCs w:val="20"/>
          <w:vertAlign w:val="superscript"/>
        </w:rPr>
        <w:footnoteReference w:id="239"/>
      </w:r>
    </w:p>
    <w:p w:rsidR="00967CB4" w:rsidRPr="002462E6" w:rsidRDefault="00967CB4" w:rsidP="001D03C5">
      <w:pPr>
        <w:widowControl w:val="0"/>
        <w:autoSpaceDE w:val="0"/>
        <w:autoSpaceDN w:val="0"/>
        <w:spacing w:before="163" w:after="0" w:line="360" w:lineRule="auto"/>
        <w:ind w:left="142"/>
        <w:rPr>
          <w:rFonts w:ascii="Tahoma" w:eastAsia="Calibri" w:hAnsi="Tahoma" w:cs="Tahoma"/>
          <w:color w:val="000000"/>
          <w:sz w:val="20"/>
          <w:szCs w:val="20"/>
        </w:rPr>
      </w:pPr>
    </w:p>
    <w:p w:rsidR="00726EDC" w:rsidRPr="002462E6" w:rsidRDefault="00726EDC" w:rsidP="00F57B07">
      <w:pPr>
        <w:widowControl w:val="0"/>
        <w:autoSpaceDE w:val="0"/>
        <w:autoSpaceDN w:val="0"/>
        <w:spacing w:before="163" w:after="0" w:line="360" w:lineRule="auto"/>
        <w:jc w:val="both"/>
        <w:rPr>
          <w:rFonts w:ascii="Tahoma" w:eastAsia="Times New Roman" w:hAnsi="Tahoma" w:cs="Tahoma"/>
          <w:sz w:val="24"/>
          <w:szCs w:val="24"/>
        </w:rPr>
      </w:pPr>
      <w:r w:rsidRPr="002462E6">
        <w:rPr>
          <w:rFonts w:ascii="Tahoma" w:eastAsia="Times New Roman" w:hAnsi="Tahoma" w:cs="Tahoma"/>
          <w:sz w:val="24"/>
          <w:szCs w:val="24"/>
        </w:rPr>
        <w:t xml:space="preserve">Au-delà de ses fonctions environnementales et écologiques, le secteur forestier joue un rôle clé dans la dynamique d’investissement et de développement socio-économique du Maroc. Comme l’illustre le tableau, ci-dessous, ce secteur constitue un levier stratégique </w:t>
      </w:r>
      <w:r w:rsidRPr="002462E6">
        <w:rPr>
          <w:rFonts w:ascii="Tahoma" w:eastAsia="Times New Roman" w:hAnsi="Tahoma" w:cs="Tahoma"/>
          <w:sz w:val="24"/>
          <w:szCs w:val="24"/>
        </w:rPr>
        <w:lastRenderedPageBreak/>
        <w:t>pour la mise en œuvre de projets d’envergure dans divers secteurs d’activité. Depuis l’indépendance, environ 70 000 hectares du domaine forestier ont été mobilisés afin de soutenir ces initiatives, témoignant ainsi de l’intégration progressive des espaces forestiers dans les politiques de développement national. Cette mobilisation soulève néanmoins des enjeux majeurs liés à la gestion efficace des ressources naturelles et à l’équilibre entre exploitation économique e</w:t>
      </w:r>
      <w:r w:rsidR="00F57B07" w:rsidRPr="002462E6">
        <w:rPr>
          <w:rFonts w:ascii="Tahoma" w:eastAsia="Times New Roman" w:hAnsi="Tahoma" w:cs="Tahoma"/>
          <w:sz w:val="24"/>
          <w:szCs w:val="24"/>
        </w:rPr>
        <w:t>t conservation des écosystèmes.</w:t>
      </w:r>
    </w:p>
    <w:p w:rsidR="00726EDC" w:rsidRPr="002462E6" w:rsidRDefault="00726EDC" w:rsidP="00726EDC">
      <w:pPr>
        <w:widowControl w:val="0"/>
        <w:autoSpaceDE w:val="0"/>
        <w:autoSpaceDN w:val="0"/>
        <w:spacing w:after="0" w:line="240" w:lineRule="auto"/>
        <w:rPr>
          <w:rFonts w:ascii="Tahoma" w:eastAsia="Times New Roman" w:hAnsi="Tahoma" w:cs="Tahoma"/>
          <w:color w:val="000000"/>
        </w:rPr>
      </w:pPr>
    </w:p>
    <w:p w:rsidR="00726EDC" w:rsidRPr="002462E6" w:rsidRDefault="00726EDC" w:rsidP="000D57A1">
      <w:pPr>
        <w:pStyle w:val="Sous-titre"/>
      </w:pPr>
      <w:bookmarkStart w:id="212" w:name="_Toc185696909"/>
      <w:bookmarkStart w:id="213" w:name="_Toc201571278"/>
      <w:bookmarkStart w:id="214" w:name="_Toc203642504"/>
      <w:r w:rsidRPr="002462E6">
        <w:t xml:space="preserve">Tableau </w:t>
      </w:r>
      <w:r w:rsidR="00225ED1">
        <w:rPr>
          <w:noProof/>
        </w:rPr>
        <w:fldChar w:fldCharType="begin"/>
      </w:r>
      <w:r w:rsidR="00225ED1">
        <w:rPr>
          <w:noProof/>
        </w:rPr>
        <w:instrText xml:space="preserve"> SEQ Tableau \* ARABIC </w:instrText>
      </w:r>
      <w:r w:rsidR="00225ED1">
        <w:rPr>
          <w:noProof/>
        </w:rPr>
        <w:fldChar w:fldCharType="separate"/>
      </w:r>
      <w:r w:rsidR="00124AFB">
        <w:rPr>
          <w:noProof/>
        </w:rPr>
        <w:t>5</w:t>
      </w:r>
      <w:r w:rsidR="00225ED1">
        <w:rPr>
          <w:noProof/>
        </w:rPr>
        <w:fldChar w:fldCharType="end"/>
      </w:r>
      <w:r w:rsidR="00EC5E5B" w:rsidRPr="002462E6">
        <w:t xml:space="preserve"> </w:t>
      </w:r>
      <w:r w:rsidR="00C374EB" w:rsidRPr="002462E6">
        <w:t>:</w:t>
      </w:r>
      <w:r w:rsidRPr="002462E6">
        <w:t xml:space="preserve"> Surface forestière mobilisée au Maroc pour les projets de développement</w:t>
      </w:r>
      <w:bookmarkEnd w:id="212"/>
      <w:bookmarkEnd w:id="213"/>
      <w:bookmarkEnd w:id="214"/>
    </w:p>
    <w:tbl>
      <w:tblPr>
        <w:tblStyle w:val="ListTable3Accent32"/>
        <w:tblW w:w="0" w:type="auto"/>
        <w:tblBorders>
          <w:insideH w:val="single" w:sz="4" w:space="0" w:color="9BBB59"/>
          <w:insideV w:val="single" w:sz="4" w:space="0" w:color="auto"/>
        </w:tblBorders>
        <w:tblLook w:val="04A0" w:firstRow="1" w:lastRow="0" w:firstColumn="1" w:lastColumn="0" w:noHBand="0" w:noVBand="1"/>
      </w:tblPr>
      <w:tblGrid>
        <w:gridCol w:w="4682"/>
        <w:gridCol w:w="4664"/>
      </w:tblGrid>
      <w:tr w:rsidR="00F57B07" w:rsidRPr="002462E6" w:rsidTr="004E403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748" w:type="dxa"/>
          </w:tcPr>
          <w:p w:rsidR="00F57B07" w:rsidRPr="002462E6" w:rsidRDefault="008A2BCA" w:rsidP="00F57B07">
            <w:pPr>
              <w:spacing w:after="200"/>
              <w:jc w:val="center"/>
              <w:rPr>
                <w:rFonts w:ascii="Tahoma" w:eastAsia="Times New Roman" w:hAnsi="Tahoma" w:cs="Tahoma"/>
                <w:color w:val="1F497D"/>
                <w:sz w:val="28"/>
                <w:szCs w:val="28"/>
              </w:rPr>
            </w:pPr>
            <w:r w:rsidRPr="002462E6">
              <w:rPr>
                <w:rFonts w:ascii="Tahoma" w:eastAsia="Times New Roman" w:hAnsi="Tahoma" w:cs="Tahoma"/>
                <w:color w:val="000000"/>
                <w:sz w:val="28"/>
                <w:szCs w:val="28"/>
              </w:rPr>
              <w:t>Secteur d’investissement</w:t>
            </w:r>
          </w:p>
        </w:tc>
        <w:tc>
          <w:tcPr>
            <w:tcW w:w="4748" w:type="dxa"/>
          </w:tcPr>
          <w:p w:rsidR="00F57B07" w:rsidRPr="002462E6" w:rsidRDefault="008A2BCA" w:rsidP="00F57B07">
            <w:pPr>
              <w:spacing w:after="200"/>
              <w:jc w:val="center"/>
              <w:cnfStyle w:val="100000000000" w:firstRow="1" w:lastRow="0" w:firstColumn="0" w:lastColumn="0" w:oddVBand="0" w:evenVBand="0" w:oddHBand="0" w:evenHBand="0" w:firstRowFirstColumn="0" w:firstRowLastColumn="0" w:lastRowFirstColumn="0" w:lastRowLastColumn="0"/>
              <w:rPr>
                <w:rFonts w:ascii="Tahoma" w:eastAsia="Times New Roman" w:hAnsi="Tahoma" w:cs="Tahoma"/>
                <w:color w:val="1F497D"/>
                <w:sz w:val="28"/>
                <w:szCs w:val="28"/>
              </w:rPr>
            </w:pPr>
            <w:r w:rsidRPr="002462E6">
              <w:rPr>
                <w:rFonts w:ascii="Tahoma" w:eastAsia="Times New Roman" w:hAnsi="Tahoma" w:cs="Tahoma"/>
                <w:color w:val="000000"/>
                <w:sz w:val="28"/>
                <w:szCs w:val="28"/>
              </w:rPr>
              <w:t>Surface de forêt affectée (ha)</w:t>
            </w:r>
          </w:p>
        </w:tc>
      </w:tr>
      <w:tr w:rsidR="00F57B07" w:rsidRPr="002462E6" w:rsidTr="004E40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8" w:type="dxa"/>
          </w:tcPr>
          <w:p w:rsidR="00F57B07" w:rsidRPr="002462E6" w:rsidRDefault="00F57B07" w:rsidP="00F57B07">
            <w:pPr>
              <w:spacing w:line="276" w:lineRule="auto"/>
              <w:jc w:val="center"/>
              <w:rPr>
                <w:rFonts w:ascii="Tahoma" w:eastAsia="Times New Roman" w:hAnsi="Tahoma" w:cs="Tahoma"/>
                <w:b w:val="0"/>
                <w:bCs w:val="0"/>
                <w:color w:val="000000"/>
                <w:sz w:val="24"/>
                <w:szCs w:val="24"/>
              </w:rPr>
            </w:pPr>
          </w:p>
          <w:p w:rsidR="00F57B07" w:rsidRPr="002462E6" w:rsidRDefault="00F57B07" w:rsidP="00F57B07">
            <w:pPr>
              <w:spacing w:line="276" w:lineRule="auto"/>
              <w:jc w:val="center"/>
              <w:rPr>
                <w:rFonts w:ascii="Tahoma" w:eastAsia="Times New Roman" w:hAnsi="Tahoma" w:cs="Tahoma"/>
                <w:color w:val="000000"/>
                <w:sz w:val="24"/>
                <w:szCs w:val="24"/>
              </w:rPr>
            </w:pPr>
            <w:r w:rsidRPr="002462E6">
              <w:rPr>
                <w:rFonts w:ascii="Tahoma" w:eastAsia="Times New Roman" w:hAnsi="Tahoma" w:cs="Tahoma"/>
                <w:b w:val="0"/>
                <w:bCs w:val="0"/>
                <w:color w:val="000000"/>
                <w:sz w:val="24"/>
                <w:szCs w:val="24"/>
              </w:rPr>
              <w:t>Touristique</w:t>
            </w:r>
          </w:p>
        </w:tc>
        <w:tc>
          <w:tcPr>
            <w:tcW w:w="4748" w:type="dxa"/>
          </w:tcPr>
          <w:p w:rsidR="00F57B07" w:rsidRPr="002462E6" w:rsidRDefault="00F57B07" w:rsidP="00F57B07">
            <w:pPr>
              <w:cnfStyle w:val="000000100000" w:firstRow="0" w:lastRow="0" w:firstColumn="0" w:lastColumn="0" w:oddVBand="0" w:evenVBand="0" w:oddHBand="1" w:evenHBand="0" w:firstRowFirstColumn="0" w:firstRowLastColumn="0" w:lastRowFirstColumn="0" w:lastRowLastColumn="0"/>
              <w:rPr>
                <w:rFonts w:ascii="Tahoma" w:eastAsia="Times New Roman" w:hAnsi="Tahoma" w:cs="Tahoma"/>
                <w:color w:val="000000"/>
                <w:sz w:val="24"/>
                <w:szCs w:val="24"/>
              </w:rPr>
            </w:pPr>
          </w:p>
          <w:p w:rsidR="00F57B07" w:rsidRPr="002462E6" w:rsidRDefault="00F57B07" w:rsidP="00F57B07">
            <w:pPr>
              <w:cnfStyle w:val="000000100000" w:firstRow="0" w:lastRow="0" w:firstColumn="0" w:lastColumn="0" w:oddVBand="0" w:evenVBand="0" w:oddHBand="1" w:evenHBand="0" w:firstRowFirstColumn="0" w:firstRowLastColumn="0" w:lastRowFirstColumn="0" w:lastRowLastColumn="0"/>
              <w:rPr>
                <w:rFonts w:ascii="Tahoma" w:eastAsia="Times New Roman" w:hAnsi="Tahoma" w:cs="Tahoma"/>
                <w:color w:val="000000"/>
                <w:sz w:val="24"/>
                <w:szCs w:val="24"/>
              </w:rPr>
            </w:pPr>
            <w:r w:rsidRPr="002462E6">
              <w:rPr>
                <w:rFonts w:ascii="Tahoma" w:eastAsia="Times New Roman" w:hAnsi="Tahoma" w:cs="Tahoma"/>
                <w:color w:val="000000"/>
                <w:sz w:val="24"/>
                <w:szCs w:val="24"/>
              </w:rPr>
              <w:t>2 340</w:t>
            </w:r>
          </w:p>
        </w:tc>
      </w:tr>
      <w:tr w:rsidR="00F57B07" w:rsidRPr="002462E6" w:rsidTr="004E403A">
        <w:tc>
          <w:tcPr>
            <w:cnfStyle w:val="001000000000" w:firstRow="0" w:lastRow="0" w:firstColumn="1" w:lastColumn="0" w:oddVBand="0" w:evenVBand="0" w:oddHBand="0" w:evenHBand="0" w:firstRowFirstColumn="0" w:firstRowLastColumn="0" w:lastRowFirstColumn="0" w:lastRowLastColumn="0"/>
            <w:tcW w:w="4748" w:type="dxa"/>
          </w:tcPr>
          <w:p w:rsidR="00F57B07" w:rsidRPr="002462E6" w:rsidRDefault="00F57B07" w:rsidP="00F57B07">
            <w:pPr>
              <w:spacing w:line="276" w:lineRule="auto"/>
              <w:jc w:val="center"/>
              <w:rPr>
                <w:rFonts w:ascii="Tahoma" w:eastAsia="Times New Roman" w:hAnsi="Tahoma" w:cs="Tahoma"/>
                <w:b w:val="0"/>
                <w:bCs w:val="0"/>
                <w:color w:val="000000"/>
                <w:sz w:val="24"/>
                <w:szCs w:val="24"/>
              </w:rPr>
            </w:pPr>
          </w:p>
          <w:p w:rsidR="00F57B07" w:rsidRPr="002462E6" w:rsidRDefault="00F57B07" w:rsidP="00F57B07">
            <w:pPr>
              <w:spacing w:line="276" w:lineRule="auto"/>
              <w:jc w:val="center"/>
              <w:rPr>
                <w:rFonts w:ascii="Tahoma" w:eastAsia="Times New Roman" w:hAnsi="Tahoma" w:cs="Tahoma"/>
                <w:color w:val="000000"/>
                <w:sz w:val="24"/>
                <w:szCs w:val="24"/>
              </w:rPr>
            </w:pPr>
            <w:r w:rsidRPr="002462E6">
              <w:rPr>
                <w:rFonts w:ascii="Tahoma" w:eastAsia="Times New Roman" w:hAnsi="Tahoma" w:cs="Tahoma"/>
                <w:b w:val="0"/>
                <w:bCs w:val="0"/>
                <w:color w:val="000000"/>
                <w:sz w:val="24"/>
                <w:szCs w:val="24"/>
              </w:rPr>
              <w:t>Habitat</w:t>
            </w:r>
          </w:p>
        </w:tc>
        <w:tc>
          <w:tcPr>
            <w:tcW w:w="4748" w:type="dxa"/>
          </w:tcPr>
          <w:p w:rsidR="00F57B07" w:rsidRPr="002462E6" w:rsidRDefault="00F57B07" w:rsidP="00F57B07">
            <w:pPr>
              <w:cnfStyle w:val="000000000000" w:firstRow="0" w:lastRow="0" w:firstColumn="0" w:lastColumn="0" w:oddVBand="0" w:evenVBand="0" w:oddHBand="0" w:evenHBand="0" w:firstRowFirstColumn="0" w:firstRowLastColumn="0" w:lastRowFirstColumn="0" w:lastRowLastColumn="0"/>
              <w:rPr>
                <w:rFonts w:ascii="Tahoma" w:eastAsia="Times New Roman" w:hAnsi="Tahoma" w:cs="Tahoma"/>
                <w:color w:val="000000"/>
                <w:sz w:val="24"/>
                <w:szCs w:val="24"/>
              </w:rPr>
            </w:pPr>
            <w:r w:rsidRPr="002462E6">
              <w:rPr>
                <w:rFonts w:ascii="Tahoma" w:eastAsia="Times New Roman" w:hAnsi="Tahoma" w:cs="Tahoma"/>
                <w:color w:val="000000"/>
                <w:sz w:val="24"/>
                <w:szCs w:val="24"/>
              </w:rPr>
              <w:t>1 750 (dont 1 816 ha pour le Plan Azur)</w:t>
            </w:r>
          </w:p>
        </w:tc>
      </w:tr>
      <w:tr w:rsidR="00F57B07" w:rsidRPr="002462E6" w:rsidTr="004E40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8" w:type="dxa"/>
          </w:tcPr>
          <w:p w:rsidR="00F57B07" w:rsidRPr="002462E6" w:rsidRDefault="00F57B07" w:rsidP="00F57B07">
            <w:pPr>
              <w:spacing w:line="276" w:lineRule="auto"/>
              <w:jc w:val="center"/>
              <w:rPr>
                <w:rFonts w:ascii="Tahoma" w:eastAsia="Times New Roman" w:hAnsi="Tahoma" w:cs="Tahoma"/>
                <w:b w:val="0"/>
                <w:bCs w:val="0"/>
                <w:color w:val="000000"/>
                <w:sz w:val="24"/>
                <w:szCs w:val="24"/>
              </w:rPr>
            </w:pPr>
          </w:p>
          <w:p w:rsidR="00F57B07" w:rsidRPr="002462E6" w:rsidRDefault="00F57B07" w:rsidP="00F57B07">
            <w:pPr>
              <w:spacing w:line="276" w:lineRule="auto"/>
              <w:jc w:val="center"/>
              <w:rPr>
                <w:rFonts w:ascii="Tahoma" w:eastAsia="Times New Roman" w:hAnsi="Tahoma" w:cs="Tahoma"/>
                <w:color w:val="000000"/>
                <w:sz w:val="24"/>
                <w:szCs w:val="24"/>
              </w:rPr>
            </w:pPr>
            <w:r w:rsidRPr="002462E6">
              <w:rPr>
                <w:rFonts w:ascii="Tahoma" w:eastAsia="Times New Roman" w:hAnsi="Tahoma" w:cs="Tahoma"/>
                <w:b w:val="0"/>
                <w:bCs w:val="0"/>
                <w:color w:val="000000"/>
                <w:sz w:val="24"/>
                <w:szCs w:val="24"/>
              </w:rPr>
              <w:t>Zones industrielles</w:t>
            </w:r>
          </w:p>
        </w:tc>
        <w:tc>
          <w:tcPr>
            <w:tcW w:w="4748" w:type="dxa"/>
          </w:tcPr>
          <w:p w:rsidR="00F57B07" w:rsidRPr="002462E6" w:rsidRDefault="00F57B07" w:rsidP="00F57B07">
            <w:pPr>
              <w:cnfStyle w:val="000000100000" w:firstRow="0" w:lastRow="0" w:firstColumn="0" w:lastColumn="0" w:oddVBand="0" w:evenVBand="0" w:oddHBand="1" w:evenHBand="0" w:firstRowFirstColumn="0" w:firstRowLastColumn="0" w:lastRowFirstColumn="0" w:lastRowLastColumn="0"/>
              <w:rPr>
                <w:rFonts w:ascii="Tahoma" w:eastAsia="Times New Roman" w:hAnsi="Tahoma" w:cs="Tahoma"/>
                <w:color w:val="000000"/>
                <w:sz w:val="24"/>
                <w:szCs w:val="24"/>
              </w:rPr>
            </w:pPr>
          </w:p>
          <w:p w:rsidR="00F57B07" w:rsidRPr="002462E6" w:rsidRDefault="00F57B07" w:rsidP="00F57B07">
            <w:pPr>
              <w:cnfStyle w:val="000000100000" w:firstRow="0" w:lastRow="0" w:firstColumn="0" w:lastColumn="0" w:oddVBand="0" w:evenVBand="0" w:oddHBand="1" w:evenHBand="0" w:firstRowFirstColumn="0" w:firstRowLastColumn="0" w:lastRowFirstColumn="0" w:lastRowLastColumn="0"/>
              <w:rPr>
                <w:rFonts w:ascii="Tahoma" w:eastAsia="Times New Roman" w:hAnsi="Tahoma" w:cs="Tahoma"/>
                <w:color w:val="000000"/>
                <w:sz w:val="24"/>
                <w:szCs w:val="24"/>
              </w:rPr>
            </w:pPr>
            <w:r w:rsidRPr="002462E6">
              <w:rPr>
                <w:rFonts w:ascii="Tahoma" w:eastAsia="Times New Roman" w:hAnsi="Tahoma" w:cs="Tahoma"/>
                <w:color w:val="000000"/>
                <w:sz w:val="24"/>
                <w:szCs w:val="24"/>
              </w:rPr>
              <w:t>500</w:t>
            </w:r>
          </w:p>
        </w:tc>
      </w:tr>
      <w:tr w:rsidR="00F57B07" w:rsidRPr="002462E6" w:rsidTr="004E403A">
        <w:tc>
          <w:tcPr>
            <w:cnfStyle w:val="001000000000" w:firstRow="0" w:lastRow="0" w:firstColumn="1" w:lastColumn="0" w:oddVBand="0" w:evenVBand="0" w:oddHBand="0" w:evenHBand="0" w:firstRowFirstColumn="0" w:firstRowLastColumn="0" w:lastRowFirstColumn="0" w:lastRowLastColumn="0"/>
            <w:tcW w:w="4748" w:type="dxa"/>
          </w:tcPr>
          <w:p w:rsidR="00F57B07" w:rsidRPr="002462E6" w:rsidRDefault="00F57B07" w:rsidP="00F57B07">
            <w:pPr>
              <w:spacing w:line="276" w:lineRule="auto"/>
              <w:jc w:val="center"/>
              <w:rPr>
                <w:rFonts w:ascii="Tahoma" w:eastAsia="Times New Roman" w:hAnsi="Tahoma" w:cs="Tahoma"/>
                <w:b w:val="0"/>
                <w:bCs w:val="0"/>
                <w:color w:val="000000"/>
                <w:sz w:val="24"/>
                <w:szCs w:val="24"/>
              </w:rPr>
            </w:pPr>
          </w:p>
          <w:p w:rsidR="00F57B07" w:rsidRPr="002462E6" w:rsidRDefault="00F57B07" w:rsidP="00F57B07">
            <w:pPr>
              <w:spacing w:line="276" w:lineRule="auto"/>
              <w:jc w:val="center"/>
              <w:rPr>
                <w:rFonts w:ascii="Tahoma" w:eastAsia="Times New Roman" w:hAnsi="Tahoma" w:cs="Tahoma"/>
                <w:color w:val="000000"/>
                <w:sz w:val="24"/>
                <w:szCs w:val="24"/>
              </w:rPr>
            </w:pPr>
            <w:r w:rsidRPr="002462E6">
              <w:rPr>
                <w:rFonts w:ascii="Tahoma" w:eastAsia="Times New Roman" w:hAnsi="Tahoma" w:cs="Tahoma"/>
                <w:b w:val="0"/>
                <w:bCs w:val="0"/>
                <w:color w:val="000000"/>
                <w:sz w:val="24"/>
                <w:szCs w:val="24"/>
              </w:rPr>
              <w:t>Reboisement par le privé</w:t>
            </w:r>
          </w:p>
        </w:tc>
        <w:tc>
          <w:tcPr>
            <w:tcW w:w="4748" w:type="dxa"/>
          </w:tcPr>
          <w:p w:rsidR="00F57B07" w:rsidRPr="002462E6" w:rsidRDefault="00F57B07" w:rsidP="00F57B07">
            <w:pPr>
              <w:cnfStyle w:val="000000000000" w:firstRow="0" w:lastRow="0" w:firstColumn="0" w:lastColumn="0" w:oddVBand="0" w:evenVBand="0" w:oddHBand="0" w:evenHBand="0" w:firstRowFirstColumn="0" w:firstRowLastColumn="0" w:lastRowFirstColumn="0" w:lastRowLastColumn="0"/>
              <w:rPr>
                <w:rFonts w:ascii="Tahoma" w:eastAsia="Times New Roman" w:hAnsi="Tahoma" w:cs="Tahoma"/>
                <w:color w:val="000000"/>
                <w:sz w:val="24"/>
                <w:szCs w:val="24"/>
              </w:rPr>
            </w:pPr>
          </w:p>
          <w:p w:rsidR="00F57B07" w:rsidRPr="002462E6" w:rsidRDefault="00F57B07" w:rsidP="00F57B07">
            <w:pPr>
              <w:cnfStyle w:val="000000000000" w:firstRow="0" w:lastRow="0" w:firstColumn="0" w:lastColumn="0" w:oddVBand="0" w:evenVBand="0" w:oddHBand="0" w:evenHBand="0" w:firstRowFirstColumn="0" w:firstRowLastColumn="0" w:lastRowFirstColumn="0" w:lastRowLastColumn="0"/>
              <w:rPr>
                <w:rFonts w:ascii="Tahoma" w:eastAsia="Times New Roman" w:hAnsi="Tahoma" w:cs="Tahoma"/>
                <w:color w:val="000000"/>
                <w:sz w:val="24"/>
                <w:szCs w:val="24"/>
              </w:rPr>
            </w:pPr>
            <w:r w:rsidRPr="002462E6">
              <w:rPr>
                <w:rFonts w:ascii="Tahoma" w:eastAsia="Times New Roman" w:hAnsi="Tahoma" w:cs="Tahoma"/>
                <w:color w:val="000000"/>
                <w:sz w:val="24"/>
                <w:szCs w:val="24"/>
              </w:rPr>
              <w:t>20 000</w:t>
            </w:r>
          </w:p>
        </w:tc>
      </w:tr>
      <w:tr w:rsidR="00F57B07" w:rsidRPr="002462E6" w:rsidTr="004E40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8" w:type="dxa"/>
          </w:tcPr>
          <w:p w:rsidR="00F57B07" w:rsidRPr="002462E6" w:rsidRDefault="00F57B07" w:rsidP="00F57B07">
            <w:pPr>
              <w:spacing w:line="276" w:lineRule="auto"/>
              <w:jc w:val="center"/>
              <w:rPr>
                <w:rFonts w:ascii="Tahoma" w:eastAsia="Times New Roman" w:hAnsi="Tahoma" w:cs="Tahoma"/>
                <w:b w:val="0"/>
                <w:bCs w:val="0"/>
                <w:color w:val="000000"/>
                <w:sz w:val="24"/>
                <w:szCs w:val="24"/>
              </w:rPr>
            </w:pPr>
          </w:p>
          <w:p w:rsidR="00F57B07" w:rsidRPr="002462E6" w:rsidRDefault="00F57B07" w:rsidP="00F57B07">
            <w:pPr>
              <w:spacing w:line="276" w:lineRule="auto"/>
              <w:jc w:val="center"/>
              <w:rPr>
                <w:rFonts w:ascii="Tahoma" w:eastAsia="Times New Roman" w:hAnsi="Tahoma" w:cs="Tahoma"/>
                <w:color w:val="000000"/>
                <w:sz w:val="24"/>
                <w:szCs w:val="24"/>
              </w:rPr>
            </w:pPr>
            <w:r w:rsidRPr="002462E6">
              <w:rPr>
                <w:rFonts w:ascii="Tahoma" w:eastAsia="Times New Roman" w:hAnsi="Tahoma" w:cs="Tahoma"/>
                <w:b w:val="0"/>
                <w:bCs w:val="0"/>
                <w:color w:val="000000"/>
                <w:sz w:val="24"/>
                <w:szCs w:val="24"/>
              </w:rPr>
              <w:t>Infrastructures de base et activités économiques privées</w:t>
            </w:r>
          </w:p>
        </w:tc>
        <w:tc>
          <w:tcPr>
            <w:tcW w:w="4748" w:type="dxa"/>
          </w:tcPr>
          <w:p w:rsidR="00F57B07" w:rsidRPr="002462E6" w:rsidRDefault="00F57B07" w:rsidP="00F57B07">
            <w:pPr>
              <w:cnfStyle w:val="000000100000" w:firstRow="0" w:lastRow="0" w:firstColumn="0" w:lastColumn="0" w:oddVBand="0" w:evenVBand="0" w:oddHBand="1" w:evenHBand="0" w:firstRowFirstColumn="0" w:firstRowLastColumn="0" w:lastRowFirstColumn="0" w:lastRowLastColumn="0"/>
              <w:rPr>
                <w:rFonts w:ascii="Tahoma" w:eastAsia="Times New Roman" w:hAnsi="Tahoma" w:cs="Tahoma"/>
                <w:color w:val="000000"/>
                <w:sz w:val="24"/>
                <w:szCs w:val="24"/>
              </w:rPr>
            </w:pPr>
            <w:r w:rsidRPr="002462E6">
              <w:rPr>
                <w:rFonts w:ascii="Tahoma" w:eastAsia="Times New Roman" w:hAnsi="Tahoma" w:cs="Tahoma"/>
                <w:color w:val="000000"/>
                <w:sz w:val="24"/>
                <w:szCs w:val="24"/>
              </w:rPr>
              <w:t>5 410 (Autoroutes, routes, ports, aéroports, barrages, carrières, recherche et exploitation minières...)</w:t>
            </w:r>
          </w:p>
        </w:tc>
      </w:tr>
    </w:tbl>
    <w:p w:rsidR="00F57B07" w:rsidRPr="002462E6" w:rsidRDefault="00F57B07" w:rsidP="00F57B07">
      <w:pPr>
        <w:widowControl w:val="0"/>
        <w:autoSpaceDE w:val="0"/>
        <w:autoSpaceDN w:val="0"/>
        <w:spacing w:after="200" w:line="240" w:lineRule="auto"/>
        <w:rPr>
          <w:rFonts w:ascii="Tahoma" w:eastAsia="Times New Roman" w:hAnsi="Tahoma" w:cs="Tahoma"/>
          <w:b/>
          <w:bCs/>
          <w:color w:val="1F497D"/>
          <w:sz w:val="2"/>
          <w:szCs w:val="2"/>
        </w:rPr>
      </w:pPr>
    </w:p>
    <w:p w:rsidR="00726EDC" w:rsidRPr="002462E6" w:rsidRDefault="00726EDC" w:rsidP="00726EDC">
      <w:pPr>
        <w:widowControl w:val="0"/>
        <w:autoSpaceDE w:val="0"/>
        <w:autoSpaceDN w:val="0"/>
        <w:spacing w:after="0" w:line="240" w:lineRule="auto"/>
        <w:jc w:val="center"/>
        <w:rPr>
          <w:rFonts w:ascii="Tahoma" w:eastAsia="Times New Roman" w:hAnsi="Tahoma" w:cs="Tahoma"/>
          <w:b/>
          <w:bCs/>
          <w:i/>
          <w:iCs/>
          <w:color w:val="000000"/>
          <w:sz w:val="20"/>
          <w:szCs w:val="20"/>
        </w:rPr>
      </w:pPr>
    </w:p>
    <w:p w:rsidR="00726EDC" w:rsidRPr="002462E6" w:rsidRDefault="00726EDC" w:rsidP="007742AC">
      <w:pPr>
        <w:widowControl w:val="0"/>
        <w:autoSpaceDE w:val="0"/>
        <w:autoSpaceDN w:val="0"/>
        <w:spacing w:after="0" w:line="240" w:lineRule="auto"/>
        <w:ind w:left="851" w:hanging="851"/>
        <w:rPr>
          <w:rFonts w:ascii="Tahoma" w:eastAsia="Times New Roman" w:hAnsi="Tahoma" w:cs="Tahoma"/>
          <w:color w:val="000000"/>
          <w:sz w:val="20"/>
          <w:szCs w:val="20"/>
        </w:rPr>
      </w:pPr>
      <w:r w:rsidRPr="002462E6">
        <w:rPr>
          <w:rFonts w:ascii="Tahoma" w:eastAsia="Times New Roman" w:hAnsi="Tahoma" w:cs="Tahoma"/>
          <w:b/>
          <w:bCs/>
          <w:color w:val="000000"/>
          <w:sz w:val="20"/>
          <w:szCs w:val="20"/>
        </w:rPr>
        <w:t>Source</w:t>
      </w:r>
      <w:r w:rsidRPr="002462E6">
        <w:rPr>
          <w:rFonts w:ascii="Tahoma" w:eastAsia="Times New Roman" w:hAnsi="Tahoma" w:cs="Tahoma"/>
          <w:color w:val="000000"/>
          <w:sz w:val="20"/>
          <w:szCs w:val="20"/>
        </w:rPr>
        <w:t xml:space="preserve"> : Etude </w:t>
      </w:r>
      <w:r w:rsidRPr="002462E6">
        <w:rPr>
          <w:rFonts w:ascii="Tahoma" w:eastAsia="Times New Roman" w:hAnsi="Tahoma" w:cs="Tahoma"/>
          <w:sz w:val="20"/>
          <w:szCs w:val="20"/>
        </w:rPr>
        <w:t xml:space="preserve">« Les écosystèmes forestiers et </w:t>
      </w:r>
      <w:r w:rsidR="00F57B07" w:rsidRPr="002462E6">
        <w:rPr>
          <w:rFonts w:ascii="Tahoma" w:eastAsia="Times New Roman" w:hAnsi="Tahoma" w:cs="Tahoma"/>
          <w:sz w:val="20"/>
          <w:szCs w:val="20"/>
        </w:rPr>
        <w:t>péri forestiers</w:t>
      </w:r>
      <w:r w:rsidRPr="002462E6">
        <w:rPr>
          <w:rFonts w:ascii="Tahoma" w:eastAsia="Times New Roman" w:hAnsi="Tahoma" w:cs="Tahoma"/>
          <w:sz w:val="20"/>
          <w:szCs w:val="20"/>
        </w:rPr>
        <w:t xml:space="preserve"> : situation, enjeux et perspectives pour 2025 »</w:t>
      </w:r>
      <w:r w:rsidRPr="002462E6">
        <w:rPr>
          <w:rFonts w:ascii="Tahoma" w:eastAsia="Times New Roman" w:hAnsi="Tahoma" w:cs="Tahoma"/>
          <w:color w:val="000000"/>
          <w:sz w:val="20"/>
          <w:szCs w:val="20"/>
          <w:vertAlign w:val="superscript"/>
        </w:rPr>
        <w:footnoteReference w:id="240"/>
      </w:r>
    </w:p>
    <w:p w:rsidR="00726EDC" w:rsidRPr="002462E6" w:rsidRDefault="00726EDC" w:rsidP="00726EDC">
      <w:pPr>
        <w:widowControl w:val="0"/>
        <w:autoSpaceDE w:val="0"/>
        <w:autoSpaceDN w:val="0"/>
        <w:spacing w:after="0" w:line="360" w:lineRule="auto"/>
        <w:jc w:val="both"/>
        <w:rPr>
          <w:rFonts w:ascii="Tahoma" w:eastAsia="Times New Roman" w:hAnsi="Tahoma" w:cs="Tahoma"/>
          <w:color w:val="000000"/>
          <w:sz w:val="24"/>
          <w:szCs w:val="24"/>
        </w:rPr>
      </w:pPr>
    </w:p>
    <w:p w:rsidR="00726EDC" w:rsidRPr="002462E6" w:rsidRDefault="00726EDC" w:rsidP="00726EDC">
      <w:pPr>
        <w:widowControl w:val="0"/>
        <w:autoSpaceDE w:val="0"/>
        <w:autoSpaceDN w:val="0"/>
        <w:spacing w:after="0" w:line="360" w:lineRule="auto"/>
        <w:jc w:val="both"/>
        <w:rPr>
          <w:rFonts w:ascii="Tahoma" w:eastAsia="Times New Roman" w:hAnsi="Tahoma" w:cs="Tahoma"/>
          <w:color w:val="000000"/>
          <w:sz w:val="24"/>
          <w:szCs w:val="24"/>
        </w:rPr>
      </w:pPr>
      <w:r w:rsidRPr="002462E6">
        <w:rPr>
          <w:rFonts w:ascii="Tahoma" w:eastAsia="Times New Roman" w:hAnsi="Tahoma" w:cs="Tahoma"/>
          <w:color w:val="000000"/>
          <w:sz w:val="24"/>
          <w:szCs w:val="24"/>
        </w:rPr>
        <w:t>Le tableau, ci-dessus, met en lumière la répartition des surfaces forestières mobilisées en fonction de différents secteurs d'investissement. Cette surface est en constante évolution pour répondre à la croissance des besoins socio-économiques du pays.</w:t>
      </w:r>
    </w:p>
    <w:p w:rsidR="00726EDC" w:rsidRPr="002462E6" w:rsidRDefault="00726EDC" w:rsidP="00726EDC">
      <w:pPr>
        <w:widowControl w:val="0"/>
        <w:autoSpaceDE w:val="0"/>
        <w:autoSpaceDN w:val="0"/>
        <w:spacing w:after="0" w:line="360" w:lineRule="auto"/>
        <w:jc w:val="both"/>
        <w:rPr>
          <w:rFonts w:ascii="Tahoma" w:eastAsia="Times New Roman" w:hAnsi="Tahoma" w:cs="Tahoma"/>
          <w:color w:val="000000"/>
          <w:sz w:val="24"/>
          <w:szCs w:val="24"/>
        </w:rPr>
      </w:pPr>
      <w:r w:rsidRPr="002462E6">
        <w:rPr>
          <w:rFonts w:ascii="Tahoma" w:eastAsia="Times New Roman" w:hAnsi="Tahoma" w:cs="Tahoma"/>
          <w:color w:val="000000"/>
          <w:sz w:val="24"/>
          <w:szCs w:val="24"/>
        </w:rPr>
        <w:t>IL s’avère que le reboisement privé, les infrastructures de base et les activités économiques privées constituent des secteurs les plus consommateurs de surfaces forestières à travers la mise en place de projets variés tels que les autoroutes, barrages, et exploitations minières.</w:t>
      </w:r>
      <w:r w:rsidRPr="002462E6">
        <w:rPr>
          <w:rFonts w:ascii="Tahoma" w:eastAsia="Times New Roman" w:hAnsi="Tahoma" w:cs="Tahoma"/>
          <w:sz w:val="24"/>
          <w:szCs w:val="24"/>
        </w:rPr>
        <w:t xml:space="preserve"> </w:t>
      </w:r>
      <w:r w:rsidRPr="002462E6">
        <w:rPr>
          <w:rFonts w:ascii="Tahoma" w:eastAsia="Times New Roman" w:hAnsi="Tahoma" w:cs="Tahoma"/>
          <w:color w:val="000000"/>
          <w:sz w:val="24"/>
          <w:szCs w:val="24"/>
        </w:rPr>
        <w:t xml:space="preserve">Par ailleurs, les secteurs de l’habitat, des zones industrielles et du tourisme mobilisent également une part considérable des surfaces forestières. Cette </w:t>
      </w:r>
      <w:r w:rsidRPr="002462E6">
        <w:rPr>
          <w:rFonts w:ascii="Tahoma" w:eastAsia="Times New Roman" w:hAnsi="Tahoma" w:cs="Tahoma"/>
          <w:color w:val="000000"/>
          <w:sz w:val="24"/>
          <w:szCs w:val="24"/>
        </w:rPr>
        <w:lastRenderedPageBreak/>
        <w:t>utilisation peut entraîner des conséquences environnementales majeures, telles que la perte de biodiversité, la fragmentation des habitats naturels et la dégradation des écosystèmes. Il importe de souligner que le premier Inventaire National Forestier (outil stratégique de planification), réalisé entre 1990-1995 a permis au Maroc de disposer d’une base de données cartographiques et numériques permettant de mieux connaître ses essences forestières du point de vue répartition géographique, consistance et état général des ressources forestières</w:t>
      </w:r>
      <w:r w:rsidRPr="002462E6">
        <w:rPr>
          <w:rFonts w:ascii="Tahoma" w:eastAsia="Times New Roman" w:hAnsi="Tahoma" w:cs="Tahoma"/>
          <w:color w:val="000000"/>
          <w:sz w:val="24"/>
          <w:szCs w:val="24"/>
          <w:vertAlign w:val="superscript"/>
        </w:rPr>
        <w:footnoteReference w:id="241"/>
      </w:r>
      <w:r w:rsidRPr="002462E6">
        <w:rPr>
          <w:rFonts w:ascii="Tahoma" w:eastAsia="Times New Roman" w:hAnsi="Tahoma" w:cs="Tahoma"/>
          <w:color w:val="000000"/>
          <w:sz w:val="24"/>
          <w:szCs w:val="24"/>
        </w:rPr>
        <w:t>. Qu’en est-il alors de cette répartition des surfaces forestières par essence au niveau national et au niveau de la zone d’étude ?</w:t>
      </w:r>
    </w:p>
    <w:p w:rsidR="00726EDC" w:rsidRPr="002462E6" w:rsidRDefault="00726EDC" w:rsidP="00726EDC">
      <w:pPr>
        <w:widowControl w:val="0"/>
        <w:autoSpaceDE w:val="0"/>
        <w:autoSpaceDN w:val="0"/>
        <w:spacing w:after="0" w:line="360" w:lineRule="auto"/>
        <w:jc w:val="both"/>
        <w:rPr>
          <w:rFonts w:ascii="Tahoma" w:eastAsia="Times New Roman" w:hAnsi="Tahoma" w:cs="Tahoma"/>
          <w:color w:val="000000"/>
          <w:sz w:val="24"/>
          <w:szCs w:val="24"/>
        </w:rPr>
      </w:pPr>
    </w:p>
    <w:p w:rsidR="00726EDC" w:rsidRPr="002462E6" w:rsidRDefault="00726EDC" w:rsidP="00D051D7">
      <w:pPr>
        <w:pStyle w:val="Titre5"/>
        <w:numPr>
          <w:ilvl w:val="0"/>
          <w:numId w:val="83"/>
        </w:numPr>
      </w:pPr>
      <w:bookmarkStart w:id="215" w:name="_Toc201655479"/>
      <w:bookmarkStart w:id="216" w:name="_Toc203643031"/>
      <w:r w:rsidRPr="002462E6">
        <w:t>Importance du patrimoine</w:t>
      </w:r>
      <w:r w:rsidR="00BD2C25" w:rsidRPr="002462E6">
        <w:t xml:space="preserve"> floristique forestier</w:t>
      </w:r>
      <w:r w:rsidRPr="002462E6">
        <w:t xml:space="preserve"> national</w:t>
      </w:r>
      <w:bookmarkEnd w:id="215"/>
      <w:bookmarkEnd w:id="216"/>
    </w:p>
    <w:p w:rsidR="00726EDC" w:rsidRPr="002462E6" w:rsidRDefault="00726EDC" w:rsidP="00726EDC">
      <w:pPr>
        <w:widowControl w:val="0"/>
        <w:autoSpaceDE w:val="0"/>
        <w:autoSpaceDN w:val="0"/>
        <w:spacing w:after="0" w:line="240" w:lineRule="auto"/>
        <w:ind w:left="1415"/>
        <w:outlineLvl w:val="4"/>
        <w:rPr>
          <w:rFonts w:ascii="Times New Roman" w:eastAsia="Times New Roman" w:hAnsi="Times New Roman" w:cs="Times New Roman"/>
          <w:b/>
          <w:bCs/>
          <w:i/>
          <w:iCs/>
          <w:sz w:val="24"/>
          <w:szCs w:val="24"/>
        </w:rPr>
      </w:pPr>
    </w:p>
    <w:p w:rsidR="00726EDC" w:rsidRPr="002462E6" w:rsidRDefault="00726EDC" w:rsidP="00726EDC">
      <w:pPr>
        <w:widowControl w:val="0"/>
        <w:autoSpaceDE w:val="0"/>
        <w:autoSpaceDN w:val="0"/>
        <w:spacing w:after="0" w:line="360" w:lineRule="auto"/>
        <w:jc w:val="both"/>
        <w:rPr>
          <w:rFonts w:ascii="Tahoma" w:eastAsia="Times New Roman" w:hAnsi="Tahoma" w:cs="Tahoma"/>
          <w:color w:val="000000"/>
          <w:sz w:val="24"/>
          <w:szCs w:val="24"/>
        </w:rPr>
      </w:pPr>
      <w:r w:rsidRPr="002462E6">
        <w:rPr>
          <w:rFonts w:ascii="Tahoma" w:eastAsia="Times New Roman" w:hAnsi="Tahoma" w:cs="Tahoma"/>
          <w:color w:val="000000"/>
          <w:sz w:val="24"/>
          <w:szCs w:val="24"/>
        </w:rPr>
        <w:t>La répartition spatiale des écosystèmes forestiers marocains est influencée par les conditions climatiques liées plus particulièrement aux précipitations et leur fluctuation ainsi qu’aux températures maximales et minimales. Au niveau des régions les plus septentrionales, notamment, les massifs montagneux du Rif, des Atlas et les plaines littorales, une grande richesse en espèces est scrutée</w:t>
      </w:r>
      <w:r w:rsidRPr="002462E6">
        <w:rPr>
          <w:rFonts w:ascii="Tahoma" w:eastAsia="Times New Roman" w:hAnsi="Tahoma" w:cs="Tahoma"/>
          <w:color w:val="000000"/>
          <w:sz w:val="24"/>
          <w:szCs w:val="24"/>
          <w:vertAlign w:val="superscript"/>
        </w:rPr>
        <w:footnoteReference w:id="242"/>
      </w:r>
      <w:r w:rsidRPr="002462E6">
        <w:rPr>
          <w:rFonts w:ascii="Tahoma" w:eastAsia="Times New Roman" w:hAnsi="Tahoma" w:cs="Tahoma"/>
          <w:color w:val="000000"/>
          <w:sz w:val="24"/>
          <w:szCs w:val="24"/>
        </w:rPr>
        <w:t xml:space="preserve">. </w:t>
      </w:r>
    </w:p>
    <w:p w:rsidR="00726EDC" w:rsidRPr="002462E6" w:rsidRDefault="00726EDC" w:rsidP="00726EDC">
      <w:pPr>
        <w:widowControl w:val="0"/>
        <w:autoSpaceDE w:val="0"/>
        <w:autoSpaceDN w:val="0"/>
        <w:spacing w:after="0" w:line="360" w:lineRule="auto"/>
        <w:jc w:val="both"/>
        <w:rPr>
          <w:rFonts w:ascii="Tahoma" w:eastAsia="Times New Roman" w:hAnsi="Tahoma" w:cs="Tahoma"/>
          <w:color w:val="000000"/>
          <w:sz w:val="24"/>
          <w:szCs w:val="24"/>
        </w:rPr>
      </w:pPr>
    </w:p>
    <w:p w:rsidR="00726EDC" w:rsidRPr="002462E6" w:rsidRDefault="00726EDC" w:rsidP="00726EDC">
      <w:pPr>
        <w:widowControl w:val="0"/>
        <w:autoSpaceDE w:val="0"/>
        <w:autoSpaceDN w:val="0"/>
        <w:spacing w:after="0" w:line="360" w:lineRule="auto"/>
        <w:jc w:val="both"/>
        <w:rPr>
          <w:rFonts w:ascii="Tahoma" w:eastAsia="Times New Roman" w:hAnsi="Tahoma" w:cs="Tahoma"/>
          <w:color w:val="000000"/>
          <w:sz w:val="24"/>
          <w:szCs w:val="24"/>
        </w:rPr>
      </w:pPr>
      <w:r w:rsidRPr="002462E6">
        <w:rPr>
          <w:rFonts w:ascii="Tahoma" w:eastAsia="Times New Roman" w:hAnsi="Tahoma" w:cs="Tahoma"/>
          <w:color w:val="000000"/>
          <w:sz w:val="24"/>
          <w:szCs w:val="24"/>
        </w:rPr>
        <w:t>Du sud-ouest au nord-est du Maroc, des forêts sont localisées au niveau du Haut Atlas et l’Anti-Atlas, puis au Moyen Atlas et la chaîne de Debdou vers l’est. Les massifs forestiers sont opérés également au niveau de la chaîne du Rif d’ouest en est et le Plateau Central. Par ailleurs, trois ensembles sont distingués au niveau des zones de plaines : un bloc nord autour de Larache et Souk-El-Arbaa, un bloc formé par la forêt de la Maâmora et celles de l’arrière-pays de Rabat et de Benslimane, et un dernier bloc sud rassemblant les forêts des régions d’Essaouira, d’Agadir et de Tiznit. Quant aux zones sahariennes, spécialement à ED-DAKHLA, les acacias sahariens et les tamarix</w:t>
      </w:r>
      <w:r w:rsidRPr="002462E6">
        <w:rPr>
          <w:rFonts w:ascii="Tahoma" w:eastAsia="Times New Roman" w:hAnsi="Tahoma" w:cs="Tahoma"/>
          <w:color w:val="000000"/>
          <w:sz w:val="24"/>
          <w:szCs w:val="24"/>
          <w:vertAlign w:val="superscript"/>
        </w:rPr>
        <w:footnoteReference w:id="243"/>
      </w:r>
      <w:r w:rsidRPr="002462E6">
        <w:rPr>
          <w:rFonts w:ascii="Tahoma" w:eastAsia="Times New Roman" w:hAnsi="Tahoma" w:cs="Tahoma"/>
          <w:color w:val="000000"/>
          <w:sz w:val="24"/>
          <w:szCs w:val="24"/>
        </w:rPr>
        <w:t xml:space="preserve"> de densité faible constituent un paysage remarquable</w:t>
      </w:r>
      <w:r w:rsidRPr="002462E6">
        <w:rPr>
          <w:rFonts w:ascii="Tahoma" w:eastAsia="Times New Roman" w:hAnsi="Tahoma" w:cs="Tahoma"/>
          <w:color w:val="000000"/>
          <w:sz w:val="24"/>
          <w:szCs w:val="24"/>
          <w:vertAlign w:val="superscript"/>
        </w:rPr>
        <w:footnoteReference w:id="244"/>
      </w:r>
      <w:r w:rsidRPr="002462E6">
        <w:rPr>
          <w:rFonts w:ascii="Tahoma" w:eastAsia="Times New Roman" w:hAnsi="Tahoma" w:cs="Tahoma"/>
          <w:color w:val="000000"/>
          <w:sz w:val="24"/>
          <w:szCs w:val="24"/>
        </w:rPr>
        <w:t>.</w:t>
      </w:r>
    </w:p>
    <w:p w:rsidR="00726EDC" w:rsidRPr="002462E6" w:rsidRDefault="00726EDC" w:rsidP="009279AE">
      <w:pPr>
        <w:widowControl w:val="0"/>
        <w:autoSpaceDE w:val="0"/>
        <w:autoSpaceDN w:val="0"/>
        <w:spacing w:after="0" w:line="360" w:lineRule="auto"/>
        <w:jc w:val="both"/>
        <w:rPr>
          <w:rFonts w:ascii="Tahoma" w:eastAsia="Times New Roman" w:hAnsi="Tahoma" w:cs="Tahoma"/>
          <w:b/>
          <w:bCs/>
          <w:color w:val="000000"/>
          <w:sz w:val="24"/>
          <w:szCs w:val="24"/>
        </w:rPr>
      </w:pPr>
      <w:r w:rsidRPr="002462E6">
        <w:rPr>
          <w:rFonts w:ascii="Tahoma" w:eastAsia="Times New Roman" w:hAnsi="Tahoma" w:cs="Tahoma"/>
          <w:color w:val="000000"/>
          <w:sz w:val="24"/>
          <w:szCs w:val="24"/>
        </w:rPr>
        <w:lastRenderedPageBreak/>
        <w:t>Il est important de souligner que les forêts marocaines sont constituées foncièrement de forêts naturelles de feuillus (Chêne Vert, Chêne-Liège, Chêne Tauzin, Arganier, Caroubier, Acacias...) et de résineux (Cèdre de l'Atlas, Thuya de Berbérie, Pin d'Alep, Pin Maritime, Pin Noir, Genévrier Thurifére, Genévrier Rouge, …) réparties entre les différents étages bioclimatiques, du semi-aride à l'humide</w:t>
      </w:r>
      <w:r w:rsidRPr="002462E6">
        <w:rPr>
          <w:rFonts w:ascii="Tahoma" w:eastAsia="Times New Roman" w:hAnsi="Tahoma" w:cs="Tahoma"/>
          <w:color w:val="000000"/>
          <w:sz w:val="24"/>
          <w:szCs w:val="24"/>
          <w:vertAlign w:val="superscript"/>
        </w:rPr>
        <w:footnoteReference w:id="245"/>
      </w:r>
      <w:r w:rsidRPr="002462E6">
        <w:rPr>
          <w:rFonts w:ascii="Tahoma" w:eastAsia="Times New Roman" w:hAnsi="Tahoma" w:cs="Tahoma"/>
          <w:color w:val="000000"/>
          <w:sz w:val="24"/>
          <w:szCs w:val="24"/>
        </w:rPr>
        <w:t xml:space="preserve">. Pour la Cédraie, elle occupe les zones de montagne dans le Moyen Atlas et le Rif. Concernant les Chênaies, elles se trouvent dans les plaines et piémonts de montagne. Quant à la seule Sapinière du Maroc, elle est abritée à Talasemtane dans les altitudes du Rif occidental près de Chefchaouen </w:t>
      </w:r>
      <w:r w:rsidR="00DB37A2" w:rsidRPr="002462E6">
        <w:rPr>
          <w:rFonts w:ascii="Tahoma" w:eastAsia="Times New Roman" w:hAnsi="Tahoma" w:cs="Tahoma"/>
          <w:b/>
          <w:bCs/>
          <w:color w:val="000000"/>
          <w:sz w:val="24"/>
          <w:szCs w:val="24"/>
        </w:rPr>
        <w:t>(Carte N°3</w:t>
      </w:r>
      <w:r w:rsidR="009279AE" w:rsidRPr="002462E6">
        <w:rPr>
          <w:rFonts w:ascii="Tahoma" w:eastAsia="Times New Roman" w:hAnsi="Tahoma" w:cs="Tahoma"/>
          <w:b/>
          <w:bCs/>
          <w:color w:val="000000"/>
          <w:sz w:val="24"/>
          <w:szCs w:val="24"/>
        </w:rPr>
        <w:t>).</w:t>
      </w:r>
    </w:p>
    <w:p w:rsidR="00726EDC" w:rsidRPr="002462E6" w:rsidRDefault="009279AE" w:rsidP="00942E4A">
      <w:pPr>
        <w:rPr>
          <w:rFonts w:ascii="Tahoma" w:eastAsia="Times New Roman" w:hAnsi="Tahoma" w:cs="Tahoma"/>
          <w:color w:val="000000"/>
          <w:sz w:val="24"/>
          <w:szCs w:val="24"/>
        </w:rPr>
      </w:pPr>
      <w:r w:rsidRPr="002462E6">
        <w:rPr>
          <w:rFonts w:ascii="Tahoma" w:eastAsia="Times New Roman" w:hAnsi="Tahoma" w:cs="Tahoma"/>
          <w:color w:val="000000"/>
          <w:sz w:val="24"/>
          <w:szCs w:val="24"/>
        </w:rPr>
        <w:br w:type="page"/>
      </w:r>
    </w:p>
    <w:p w:rsidR="00942E4A" w:rsidRPr="002462E6" w:rsidRDefault="00942E4A" w:rsidP="000D57A1">
      <w:pPr>
        <w:pStyle w:val="Sous-titre"/>
      </w:pPr>
      <w:bookmarkStart w:id="217" w:name="_Toc203642677"/>
      <w:r w:rsidRPr="002462E6">
        <w:t xml:space="preserve">Carte </w:t>
      </w:r>
      <w:r w:rsidR="00225ED1">
        <w:rPr>
          <w:noProof/>
        </w:rPr>
        <w:fldChar w:fldCharType="begin"/>
      </w:r>
      <w:r w:rsidR="00225ED1">
        <w:rPr>
          <w:noProof/>
        </w:rPr>
        <w:instrText xml:space="preserve"> SEQ Carte \* ARABIC </w:instrText>
      </w:r>
      <w:r w:rsidR="00225ED1">
        <w:rPr>
          <w:noProof/>
        </w:rPr>
        <w:fldChar w:fldCharType="separate"/>
      </w:r>
      <w:r w:rsidR="00124AFB">
        <w:rPr>
          <w:noProof/>
        </w:rPr>
        <w:t>3</w:t>
      </w:r>
      <w:r w:rsidR="00225ED1">
        <w:rPr>
          <w:noProof/>
        </w:rPr>
        <w:fldChar w:fldCharType="end"/>
      </w:r>
      <w:r w:rsidRPr="002462E6">
        <w:t xml:space="preserve"> : Localisation des principaux écosystèmes forestiers marocains</w:t>
      </w:r>
      <w:bookmarkEnd w:id="217"/>
    </w:p>
    <w:p w:rsidR="00726EDC" w:rsidRPr="002462E6" w:rsidRDefault="00726EDC" w:rsidP="00726EDC">
      <w:pPr>
        <w:widowControl w:val="0"/>
        <w:autoSpaceDE w:val="0"/>
        <w:autoSpaceDN w:val="0"/>
        <w:spacing w:after="0" w:line="240" w:lineRule="auto"/>
        <w:rPr>
          <w:rFonts w:ascii="Times New Roman" w:eastAsia="Times New Roman" w:hAnsi="Times New Roman" w:cs="Times New Roman"/>
        </w:rPr>
      </w:pPr>
      <w:r w:rsidRPr="002462E6">
        <w:rPr>
          <w:rFonts w:ascii="Times New Roman" w:eastAsia="Times New Roman" w:hAnsi="Times New Roman" w:cs="Times New Roman"/>
          <w:noProof/>
          <w:lang w:eastAsia="fr-FR"/>
        </w:rPr>
        <w:drawing>
          <wp:inline distT="0" distB="0" distL="0" distR="0" wp14:anchorId="1F998A3C" wp14:editId="6058F07E">
            <wp:extent cx="5949538" cy="6044540"/>
            <wp:effectExtent l="0" t="0" r="0" b="0"/>
            <wp:docPr id="21"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9538" cy="6044540"/>
                    </a:xfrm>
                    <a:prstGeom prst="rect">
                      <a:avLst/>
                    </a:prstGeom>
                    <a:noFill/>
                    <a:ln>
                      <a:noFill/>
                    </a:ln>
                  </pic:spPr>
                </pic:pic>
              </a:graphicData>
            </a:graphic>
          </wp:inline>
        </w:drawing>
      </w:r>
    </w:p>
    <w:p w:rsidR="00942E4A" w:rsidRPr="002462E6" w:rsidRDefault="00942E4A" w:rsidP="00726EDC">
      <w:pPr>
        <w:widowControl w:val="0"/>
        <w:autoSpaceDE w:val="0"/>
        <w:autoSpaceDN w:val="0"/>
        <w:spacing w:after="0" w:line="360" w:lineRule="auto"/>
        <w:ind w:firstLine="708"/>
        <w:jc w:val="center"/>
        <w:rPr>
          <w:rFonts w:ascii="Tahoma" w:eastAsia="Times New Roman" w:hAnsi="Tahoma" w:cs="Tahoma"/>
          <w:b/>
          <w:bCs/>
          <w:i/>
          <w:iCs/>
          <w:color w:val="000000"/>
          <w:sz w:val="20"/>
          <w:szCs w:val="20"/>
        </w:rPr>
      </w:pPr>
    </w:p>
    <w:p w:rsidR="00726EDC" w:rsidRPr="002462E6" w:rsidRDefault="00726EDC" w:rsidP="00726EDC">
      <w:pPr>
        <w:widowControl w:val="0"/>
        <w:autoSpaceDE w:val="0"/>
        <w:autoSpaceDN w:val="0"/>
        <w:spacing w:after="0" w:line="360" w:lineRule="auto"/>
        <w:ind w:firstLine="708"/>
        <w:jc w:val="center"/>
        <w:rPr>
          <w:rFonts w:ascii="Tahoma" w:eastAsia="Times New Roman" w:hAnsi="Tahoma" w:cs="Tahoma"/>
          <w:color w:val="000000"/>
          <w:sz w:val="20"/>
          <w:szCs w:val="20"/>
        </w:rPr>
      </w:pPr>
      <w:r w:rsidRPr="002462E6">
        <w:rPr>
          <w:rFonts w:ascii="Tahoma" w:eastAsia="Times New Roman" w:hAnsi="Tahoma" w:cs="Tahoma"/>
          <w:b/>
          <w:bCs/>
          <w:i/>
          <w:iCs/>
          <w:color w:val="000000"/>
          <w:sz w:val="20"/>
          <w:szCs w:val="20"/>
        </w:rPr>
        <w:t>Source :</w:t>
      </w:r>
      <w:r w:rsidRPr="002462E6">
        <w:rPr>
          <w:rFonts w:ascii="Tahoma" w:eastAsia="Times New Roman" w:hAnsi="Tahoma" w:cs="Tahoma"/>
          <w:color w:val="000000"/>
          <w:sz w:val="20"/>
          <w:szCs w:val="20"/>
        </w:rPr>
        <w:t xml:space="preserve"> Site ANEF 2023</w:t>
      </w:r>
    </w:p>
    <w:p w:rsidR="00726EDC" w:rsidRPr="002462E6" w:rsidRDefault="00726EDC" w:rsidP="00726EDC">
      <w:pPr>
        <w:widowControl w:val="0"/>
        <w:autoSpaceDE w:val="0"/>
        <w:autoSpaceDN w:val="0"/>
        <w:spacing w:after="0" w:line="360" w:lineRule="auto"/>
        <w:jc w:val="both"/>
        <w:rPr>
          <w:rFonts w:ascii="Tahoma" w:eastAsia="Times New Roman" w:hAnsi="Tahoma" w:cs="Tahoma"/>
          <w:color w:val="000000"/>
          <w:sz w:val="24"/>
          <w:szCs w:val="24"/>
        </w:rPr>
      </w:pPr>
    </w:p>
    <w:p w:rsidR="00726EDC" w:rsidRPr="002462E6" w:rsidRDefault="00726EDC" w:rsidP="00942E4A">
      <w:pPr>
        <w:widowControl w:val="0"/>
        <w:autoSpaceDE w:val="0"/>
        <w:autoSpaceDN w:val="0"/>
        <w:spacing w:after="0" w:line="360" w:lineRule="auto"/>
        <w:jc w:val="both"/>
        <w:rPr>
          <w:rFonts w:ascii="Tahoma" w:eastAsia="Times New Roman" w:hAnsi="Tahoma" w:cs="Tahoma"/>
          <w:color w:val="000000"/>
          <w:sz w:val="24"/>
          <w:szCs w:val="24"/>
        </w:rPr>
      </w:pPr>
      <w:r w:rsidRPr="002462E6">
        <w:rPr>
          <w:rFonts w:ascii="Tahoma" w:eastAsia="Times New Roman" w:hAnsi="Tahoma" w:cs="Tahoma"/>
          <w:color w:val="000000"/>
          <w:sz w:val="24"/>
          <w:szCs w:val="24"/>
        </w:rPr>
        <w:t>Au Sud-ouest, l'Arganeraie, espèce endémique, est localisée dans les zones semi-arides et arides du Haut Atlas occidental et de l’Anti-Atlas. En plus au Sud, les Acacias constituent des climax pré-steppiques et pré-forestiers, dans les zones à bioclimats aride et saharien</w:t>
      </w:r>
      <w:r w:rsidRPr="002462E6">
        <w:rPr>
          <w:rFonts w:ascii="Tahoma" w:eastAsia="Times New Roman" w:hAnsi="Tahoma" w:cs="Tahoma"/>
          <w:color w:val="000000"/>
          <w:sz w:val="24"/>
          <w:szCs w:val="24"/>
          <w:vertAlign w:val="superscript"/>
        </w:rPr>
        <w:footnoteReference w:id="246"/>
      </w:r>
      <w:r w:rsidR="00942E4A" w:rsidRPr="002462E6">
        <w:rPr>
          <w:rFonts w:ascii="Tahoma" w:eastAsia="Times New Roman" w:hAnsi="Tahoma" w:cs="Tahoma"/>
          <w:color w:val="000000"/>
          <w:sz w:val="24"/>
          <w:szCs w:val="24"/>
        </w:rPr>
        <w:t>.</w:t>
      </w:r>
    </w:p>
    <w:p w:rsidR="00726EDC" w:rsidRPr="002462E6" w:rsidRDefault="008A2BCA" w:rsidP="008E667A">
      <w:pPr>
        <w:pStyle w:val="Sous-titre"/>
      </w:pPr>
      <w:bookmarkStart w:id="218" w:name="_Toc185696927"/>
      <w:bookmarkStart w:id="219" w:name="_Toc201571203"/>
      <w:r w:rsidRPr="002462E6">
        <w:br w:type="page"/>
      </w:r>
      <w:bookmarkStart w:id="220" w:name="_Toc203642803"/>
      <w:r w:rsidR="00726EDC" w:rsidRPr="002462E6">
        <w:t xml:space="preserve">Figure </w:t>
      </w:r>
      <w:r w:rsidR="00225ED1">
        <w:rPr>
          <w:noProof/>
        </w:rPr>
        <w:fldChar w:fldCharType="begin"/>
      </w:r>
      <w:r w:rsidR="00225ED1">
        <w:rPr>
          <w:noProof/>
        </w:rPr>
        <w:instrText xml:space="preserve"> SEQ Figure \* ARABIC </w:instrText>
      </w:r>
      <w:r w:rsidR="00225ED1">
        <w:rPr>
          <w:noProof/>
        </w:rPr>
        <w:fldChar w:fldCharType="separate"/>
      </w:r>
      <w:r w:rsidR="00124AFB">
        <w:rPr>
          <w:noProof/>
        </w:rPr>
        <w:t>11</w:t>
      </w:r>
      <w:r w:rsidR="00225ED1">
        <w:rPr>
          <w:noProof/>
        </w:rPr>
        <w:fldChar w:fldCharType="end"/>
      </w:r>
      <w:r w:rsidR="00C62A66" w:rsidRPr="002462E6">
        <w:t> :</w:t>
      </w:r>
      <w:r w:rsidR="00726EDC" w:rsidRPr="002462E6">
        <w:t xml:space="preserve"> Répartition des surfaces forestières marocaines</w:t>
      </w:r>
      <w:bookmarkEnd w:id="218"/>
      <w:bookmarkEnd w:id="219"/>
      <w:bookmarkEnd w:id="220"/>
    </w:p>
    <w:p w:rsidR="00726EDC" w:rsidRPr="002462E6" w:rsidRDefault="00726EDC" w:rsidP="00BA6530">
      <w:pPr>
        <w:widowControl w:val="0"/>
        <w:autoSpaceDE w:val="0"/>
        <w:autoSpaceDN w:val="0"/>
        <w:spacing w:after="0" w:line="360" w:lineRule="auto"/>
        <w:jc w:val="center"/>
        <w:rPr>
          <w:rFonts w:ascii="Tahoma" w:eastAsia="Times New Roman" w:hAnsi="Tahoma" w:cs="Tahoma"/>
          <w:color w:val="000000"/>
          <w:sz w:val="20"/>
          <w:szCs w:val="20"/>
        </w:rPr>
      </w:pPr>
      <w:r w:rsidRPr="002462E6">
        <w:rPr>
          <w:rFonts w:ascii="Times New Roman" w:eastAsia="Times New Roman" w:hAnsi="Times New Roman" w:cs="Times New Roman"/>
          <w:noProof/>
          <w:lang w:eastAsia="fr-FR"/>
        </w:rPr>
        <w:drawing>
          <wp:inline distT="0" distB="0" distL="0" distR="0" wp14:anchorId="4F0F03AA" wp14:editId="0E0C6E32">
            <wp:extent cx="4540102" cy="2776178"/>
            <wp:effectExtent l="0" t="0" r="0" b="5715"/>
            <wp:docPr id="22"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548701" cy="2781436"/>
                    </a:xfrm>
                    <a:prstGeom prst="rect">
                      <a:avLst/>
                    </a:prstGeom>
                    <a:noFill/>
                    <a:ln>
                      <a:noFill/>
                    </a:ln>
                  </pic:spPr>
                </pic:pic>
              </a:graphicData>
            </a:graphic>
          </wp:inline>
        </w:drawing>
      </w:r>
    </w:p>
    <w:p w:rsidR="00726EDC" w:rsidRDefault="00726EDC" w:rsidP="00226816">
      <w:pPr>
        <w:widowControl w:val="0"/>
        <w:autoSpaceDE w:val="0"/>
        <w:autoSpaceDN w:val="0"/>
        <w:spacing w:after="0" w:line="360" w:lineRule="auto"/>
        <w:jc w:val="center"/>
        <w:rPr>
          <w:rFonts w:ascii="Tahoma" w:eastAsia="Times New Roman" w:hAnsi="Tahoma" w:cs="Tahoma"/>
          <w:color w:val="000000"/>
          <w:sz w:val="20"/>
          <w:szCs w:val="20"/>
        </w:rPr>
      </w:pPr>
      <w:r w:rsidRPr="002462E6">
        <w:rPr>
          <w:rFonts w:ascii="Tahoma" w:eastAsia="Times New Roman" w:hAnsi="Tahoma" w:cs="Tahoma"/>
          <w:b/>
          <w:bCs/>
          <w:i/>
          <w:iCs/>
          <w:color w:val="000000"/>
          <w:sz w:val="20"/>
          <w:szCs w:val="20"/>
        </w:rPr>
        <w:t>Source :</w:t>
      </w:r>
      <w:r w:rsidRPr="002462E6">
        <w:rPr>
          <w:rFonts w:ascii="Tahoma" w:eastAsia="Times New Roman" w:hAnsi="Tahoma" w:cs="Tahoma"/>
          <w:color w:val="000000"/>
          <w:sz w:val="20"/>
          <w:szCs w:val="20"/>
        </w:rPr>
        <w:t xml:space="preserve"> </w:t>
      </w:r>
      <w:r w:rsidR="00226816" w:rsidRPr="002462E6">
        <w:rPr>
          <w:rFonts w:ascii="Tahoma" w:eastAsia="Times New Roman" w:hAnsi="Tahoma" w:cs="Tahoma"/>
          <w:color w:val="000000"/>
          <w:sz w:val="20"/>
          <w:szCs w:val="20"/>
        </w:rPr>
        <w:t>Site ANEF 2023</w:t>
      </w:r>
    </w:p>
    <w:p w:rsidR="00BA6530" w:rsidRPr="00BA6530" w:rsidRDefault="00BA6530" w:rsidP="00226816">
      <w:pPr>
        <w:widowControl w:val="0"/>
        <w:autoSpaceDE w:val="0"/>
        <w:autoSpaceDN w:val="0"/>
        <w:spacing w:after="0" w:line="360" w:lineRule="auto"/>
        <w:jc w:val="center"/>
        <w:rPr>
          <w:rFonts w:ascii="Tahoma" w:eastAsia="Times New Roman" w:hAnsi="Tahoma" w:cs="Tahoma"/>
          <w:color w:val="000000"/>
          <w:sz w:val="10"/>
          <w:szCs w:val="10"/>
        </w:rPr>
      </w:pPr>
    </w:p>
    <w:p w:rsidR="00726EDC" w:rsidRPr="002462E6" w:rsidRDefault="00726EDC" w:rsidP="00726EDC">
      <w:pPr>
        <w:widowControl w:val="0"/>
        <w:autoSpaceDE w:val="0"/>
        <w:autoSpaceDN w:val="0"/>
        <w:spacing w:after="0" w:line="360" w:lineRule="auto"/>
        <w:jc w:val="both"/>
        <w:rPr>
          <w:rFonts w:ascii="Tahoma" w:eastAsia="Times New Roman" w:hAnsi="Tahoma" w:cs="Tahoma"/>
          <w:color w:val="000000"/>
          <w:sz w:val="24"/>
          <w:szCs w:val="24"/>
        </w:rPr>
      </w:pPr>
      <w:r w:rsidRPr="002462E6">
        <w:rPr>
          <w:rFonts w:ascii="Tahoma" w:eastAsia="Times New Roman" w:hAnsi="Tahoma" w:cs="Tahoma"/>
          <w:color w:val="000000"/>
          <w:sz w:val="24"/>
          <w:szCs w:val="24"/>
        </w:rPr>
        <w:t>Le cortège floristique des forêts au Maroc est riche en espèces arborées, arbustes et herbacées, dont un grand nombre est qualifié d'endémique ayant un intérêt médicinal et aromatique. En revanche, cette répartition géographique demeure conditionnée par les bioclimats, la topographie et surtout par l’action anthropique.</w:t>
      </w:r>
    </w:p>
    <w:p w:rsidR="00726EDC" w:rsidRPr="002462E6" w:rsidRDefault="00726EDC" w:rsidP="00726EDC">
      <w:pPr>
        <w:widowControl w:val="0"/>
        <w:autoSpaceDE w:val="0"/>
        <w:autoSpaceDN w:val="0"/>
        <w:spacing w:after="0" w:line="360" w:lineRule="auto"/>
        <w:jc w:val="both"/>
        <w:rPr>
          <w:rFonts w:ascii="Tahoma" w:eastAsia="Times New Roman" w:hAnsi="Tahoma" w:cs="Tahoma"/>
          <w:color w:val="000000"/>
          <w:sz w:val="24"/>
          <w:szCs w:val="24"/>
        </w:rPr>
      </w:pPr>
      <w:r w:rsidRPr="002462E6">
        <w:rPr>
          <w:rFonts w:ascii="Tahoma" w:eastAsia="Times New Roman" w:hAnsi="Tahoma" w:cs="Tahoma"/>
          <w:color w:val="000000"/>
          <w:sz w:val="24"/>
          <w:szCs w:val="24"/>
        </w:rPr>
        <w:t>Selon le Rapport national sur l’état des ressources génétiques forestières, certaines essences forestières constituent même des écosystèmes d’intérêt international</w:t>
      </w:r>
      <w:r w:rsidRPr="002462E6">
        <w:rPr>
          <w:rFonts w:ascii="Tahoma" w:eastAsia="Times New Roman" w:hAnsi="Tahoma" w:cs="Tahoma"/>
          <w:color w:val="000000"/>
          <w:sz w:val="24"/>
          <w:szCs w:val="24"/>
          <w:vertAlign w:val="superscript"/>
        </w:rPr>
        <w:footnoteReference w:id="247"/>
      </w:r>
      <w:r w:rsidRPr="002462E6">
        <w:rPr>
          <w:rFonts w:ascii="Tahoma" w:eastAsia="Times New Roman" w:hAnsi="Tahoma" w:cs="Tahoma"/>
          <w:color w:val="000000"/>
          <w:sz w:val="24"/>
          <w:szCs w:val="24"/>
        </w:rPr>
        <w:t xml:space="preserve"> dont notamment :</w:t>
      </w:r>
    </w:p>
    <w:p w:rsidR="00726EDC" w:rsidRPr="002462E6" w:rsidRDefault="00726EDC" w:rsidP="00726EDC">
      <w:pPr>
        <w:widowControl w:val="0"/>
        <w:autoSpaceDE w:val="0"/>
        <w:autoSpaceDN w:val="0"/>
        <w:spacing w:after="0" w:line="360" w:lineRule="auto"/>
        <w:ind w:firstLine="708"/>
        <w:rPr>
          <w:rFonts w:ascii="Tahoma" w:eastAsia="Times New Roman" w:hAnsi="Tahoma" w:cs="Tahoma"/>
          <w:color w:val="000000"/>
          <w:sz w:val="24"/>
          <w:szCs w:val="24"/>
        </w:rPr>
      </w:pPr>
      <w:r w:rsidRPr="002462E6">
        <w:rPr>
          <w:rFonts w:ascii="Tahoma" w:eastAsia="Times New Roman" w:hAnsi="Tahoma" w:cs="Tahoma"/>
          <w:color w:val="000000"/>
          <w:sz w:val="24"/>
          <w:szCs w:val="24"/>
        </w:rPr>
        <w:t>•</w:t>
      </w:r>
      <w:r w:rsidRPr="002462E6">
        <w:rPr>
          <w:rFonts w:ascii="Tahoma" w:eastAsia="Times New Roman" w:hAnsi="Tahoma" w:cs="Tahoma"/>
          <w:color w:val="000000"/>
          <w:sz w:val="24"/>
          <w:szCs w:val="24"/>
        </w:rPr>
        <w:tab/>
        <w:t>L’arganier, presque unique dans le monde et assurant une fonction écologique et socio-économique d’une importance capitale. Il a été qualifié en 1229 d’amandier des Berbères par IBN EL BEITHAR, le célèbre médecin égyptien ;</w:t>
      </w:r>
    </w:p>
    <w:p w:rsidR="00726EDC" w:rsidRPr="002462E6" w:rsidRDefault="00726EDC" w:rsidP="00726EDC">
      <w:pPr>
        <w:widowControl w:val="0"/>
        <w:autoSpaceDE w:val="0"/>
        <w:autoSpaceDN w:val="0"/>
        <w:spacing w:after="0" w:line="360" w:lineRule="auto"/>
        <w:ind w:firstLine="708"/>
        <w:rPr>
          <w:rFonts w:ascii="Tahoma" w:eastAsia="Times New Roman" w:hAnsi="Tahoma" w:cs="Tahoma"/>
          <w:color w:val="000000"/>
          <w:sz w:val="24"/>
          <w:szCs w:val="24"/>
        </w:rPr>
      </w:pPr>
      <w:r w:rsidRPr="002462E6">
        <w:rPr>
          <w:rFonts w:ascii="Tahoma" w:eastAsia="Times New Roman" w:hAnsi="Tahoma" w:cs="Tahoma"/>
          <w:color w:val="000000"/>
          <w:sz w:val="24"/>
          <w:szCs w:val="24"/>
        </w:rPr>
        <w:t>•</w:t>
      </w:r>
      <w:r w:rsidRPr="002462E6">
        <w:rPr>
          <w:rFonts w:ascii="Tahoma" w:eastAsia="Times New Roman" w:hAnsi="Tahoma" w:cs="Tahoma"/>
          <w:color w:val="000000"/>
          <w:sz w:val="24"/>
          <w:szCs w:val="24"/>
        </w:rPr>
        <w:tab/>
        <w:t>Le cèdre de l’Atlas, espèce noble ;</w:t>
      </w:r>
    </w:p>
    <w:p w:rsidR="00726EDC" w:rsidRPr="002462E6" w:rsidRDefault="00726EDC" w:rsidP="00726EDC">
      <w:pPr>
        <w:widowControl w:val="0"/>
        <w:autoSpaceDE w:val="0"/>
        <w:autoSpaceDN w:val="0"/>
        <w:spacing w:after="0" w:line="360" w:lineRule="auto"/>
        <w:ind w:firstLine="708"/>
        <w:rPr>
          <w:rFonts w:ascii="Tahoma" w:eastAsia="Times New Roman" w:hAnsi="Tahoma" w:cs="Tahoma"/>
          <w:color w:val="000000"/>
          <w:sz w:val="24"/>
          <w:szCs w:val="24"/>
        </w:rPr>
      </w:pPr>
      <w:r w:rsidRPr="002462E6">
        <w:rPr>
          <w:rFonts w:ascii="Tahoma" w:eastAsia="Times New Roman" w:hAnsi="Tahoma" w:cs="Tahoma"/>
          <w:color w:val="000000"/>
          <w:sz w:val="24"/>
          <w:szCs w:val="24"/>
        </w:rPr>
        <w:t>•</w:t>
      </w:r>
      <w:r w:rsidRPr="002462E6">
        <w:rPr>
          <w:rFonts w:ascii="Tahoma" w:eastAsia="Times New Roman" w:hAnsi="Tahoma" w:cs="Tahoma"/>
          <w:color w:val="000000"/>
          <w:sz w:val="24"/>
          <w:szCs w:val="24"/>
        </w:rPr>
        <w:tab/>
        <w:t>Le sapin du Maroc, formation endémique du Maroc ;</w:t>
      </w:r>
    </w:p>
    <w:p w:rsidR="00726EDC" w:rsidRPr="002462E6" w:rsidRDefault="00726EDC" w:rsidP="00726EDC">
      <w:pPr>
        <w:widowControl w:val="0"/>
        <w:autoSpaceDE w:val="0"/>
        <w:autoSpaceDN w:val="0"/>
        <w:spacing w:after="0" w:line="360" w:lineRule="auto"/>
        <w:ind w:firstLine="708"/>
        <w:rPr>
          <w:rFonts w:ascii="Tahoma" w:eastAsia="Times New Roman" w:hAnsi="Tahoma" w:cs="Tahoma"/>
          <w:color w:val="000000"/>
          <w:sz w:val="24"/>
          <w:szCs w:val="24"/>
        </w:rPr>
      </w:pPr>
      <w:r w:rsidRPr="002462E6">
        <w:rPr>
          <w:rFonts w:ascii="Tahoma" w:eastAsia="Times New Roman" w:hAnsi="Tahoma" w:cs="Tahoma"/>
          <w:color w:val="000000"/>
          <w:sz w:val="24"/>
          <w:szCs w:val="24"/>
        </w:rPr>
        <w:t>•</w:t>
      </w:r>
      <w:r w:rsidRPr="002462E6">
        <w:rPr>
          <w:rFonts w:ascii="Tahoma" w:eastAsia="Times New Roman" w:hAnsi="Tahoma" w:cs="Tahoma"/>
          <w:color w:val="000000"/>
          <w:sz w:val="24"/>
          <w:szCs w:val="24"/>
        </w:rPr>
        <w:tab/>
        <w:t>Le genévrier thurifère, rare et très menacé ;</w:t>
      </w:r>
    </w:p>
    <w:p w:rsidR="00726EDC" w:rsidRPr="002462E6" w:rsidRDefault="00726EDC" w:rsidP="00726EDC">
      <w:pPr>
        <w:widowControl w:val="0"/>
        <w:autoSpaceDE w:val="0"/>
        <w:autoSpaceDN w:val="0"/>
        <w:spacing w:after="0" w:line="360" w:lineRule="auto"/>
        <w:ind w:firstLine="708"/>
        <w:rPr>
          <w:rFonts w:ascii="Tahoma" w:eastAsia="Times New Roman" w:hAnsi="Tahoma" w:cs="Tahoma"/>
          <w:color w:val="000000"/>
          <w:sz w:val="24"/>
          <w:szCs w:val="24"/>
        </w:rPr>
      </w:pPr>
      <w:r w:rsidRPr="002462E6">
        <w:rPr>
          <w:rFonts w:ascii="Tahoma" w:eastAsia="Times New Roman" w:hAnsi="Tahoma" w:cs="Tahoma"/>
          <w:color w:val="000000"/>
          <w:sz w:val="24"/>
          <w:szCs w:val="24"/>
        </w:rPr>
        <w:t>•</w:t>
      </w:r>
      <w:r w:rsidRPr="002462E6">
        <w:rPr>
          <w:rFonts w:ascii="Tahoma" w:eastAsia="Times New Roman" w:hAnsi="Tahoma" w:cs="Tahoma"/>
          <w:color w:val="000000"/>
          <w:sz w:val="24"/>
          <w:szCs w:val="24"/>
        </w:rPr>
        <w:tab/>
        <w:t xml:space="preserve"> Le pin noir localisé au Nord du Maroc ;</w:t>
      </w:r>
    </w:p>
    <w:p w:rsidR="00726EDC" w:rsidRPr="002462E6" w:rsidRDefault="00726EDC" w:rsidP="00726EDC">
      <w:pPr>
        <w:widowControl w:val="0"/>
        <w:autoSpaceDE w:val="0"/>
        <w:autoSpaceDN w:val="0"/>
        <w:spacing w:after="0" w:line="360" w:lineRule="auto"/>
        <w:ind w:firstLine="708"/>
        <w:rPr>
          <w:rFonts w:ascii="Tahoma" w:eastAsia="Times New Roman" w:hAnsi="Tahoma" w:cs="Tahoma"/>
          <w:color w:val="000000"/>
          <w:sz w:val="24"/>
          <w:szCs w:val="24"/>
        </w:rPr>
      </w:pPr>
      <w:r w:rsidRPr="002462E6">
        <w:rPr>
          <w:rFonts w:ascii="Tahoma" w:eastAsia="Times New Roman" w:hAnsi="Tahoma" w:cs="Tahoma"/>
          <w:color w:val="000000"/>
          <w:sz w:val="24"/>
          <w:szCs w:val="24"/>
        </w:rPr>
        <w:t>•</w:t>
      </w:r>
      <w:r w:rsidRPr="002462E6">
        <w:rPr>
          <w:rFonts w:ascii="Tahoma" w:eastAsia="Times New Roman" w:hAnsi="Tahoma" w:cs="Tahoma"/>
          <w:color w:val="000000"/>
          <w:sz w:val="24"/>
          <w:szCs w:val="24"/>
        </w:rPr>
        <w:tab/>
        <w:t>Le thuya de berbérie, la plus importante formation se trouve au Maroc ;</w:t>
      </w:r>
    </w:p>
    <w:p w:rsidR="00726EDC" w:rsidRPr="002462E6" w:rsidRDefault="00726EDC" w:rsidP="00726EDC">
      <w:pPr>
        <w:widowControl w:val="0"/>
        <w:autoSpaceDE w:val="0"/>
        <w:autoSpaceDN w:val="0"/>
        <w:spacing w:after="0" w:line="360" w:lineRule="auto"/>
        <w:ind w:firstLine="708"/>
        <w:rPr>
          <w:rFonts w:ascii="Tahoma" w:eastAsia="Times New Roman" w:hAnsi="Tahoma" w:cs="Tahoma"/>
          <w:color w:val="000000"/>
          <w:sz w:val="24"/>
          <w:szCs w:val="24"/>
        </w:rPr>
      </w:pPr>
      <w:r w:rsidRPr="002462E6">
        <w:rPr>
          <w:rFonts w:ascii="Tahoma" w:eastAsia="Times New Roman" w:hAnsi="Tahoma" w:cs="Tahoma"/>
          <w:color w:val="000000"/>
          <w:sz w:val="24"/>
          <w:szCs w:val="24"/>
        </w:rPr>
        <w:t>•</w:t>
      </w:r>
      <w:r w:rsidRPr="002462E6">
        <w:rPr>
          <w:rFonts w:ascii="Tahoma" w:eastAsia="Times New Roman" w:hAnsi="Tahoma" w:cs="Tahoma"/>
          <w:color w:val="000000"/>
          <w:sz w:val="24"/>
          <w:szCs w:val="24"/>
        </w:rPr>
        <w:tab/>
        <w:t>Le Cyprès de l’Atlas, endémique du Maroc, localisé au niveau du Haut Atlas.</w:t>
      </w:r>
    </w:p>
    <w:p w:rsidR="00726EDC" w:rsidRPr="002462E6" w:rsidRDefault="00726EDC" w:rsidP="00726EDC">
      <w:pPr>
        <w:widowControl w:val="0"/>
        <w:autoSpaceDE w:val="0"/>
        <w:autoSpaceDN w:val="0"/>
        <w:spacing w:after="0" w:line="360" w:lineRule="auto"/>
        <w:jc w:val="both"/>
        <w:rPr>
          <w:rFonts w:ascii="Tahoma" w:eastAsia="Times New Roman" w:hAnsi="Tahoma" w:cs="Tahoma"/>
          <w:color w:val="000000"/>
          <w:sz w:val="24"/>
          <w:szCs w:val="24"/>
        </w:rPr>
      </w:pPr>
      <w:r w:rsidRPr="002462E6">
        <w:rPr>
          <w:rFonts w:ascii="Tahoma" w:eastAsia="Times New Roman" w:hAnsi="Tahoma" w:cs="Tahoma"/>
          <w:color w:val="000000"/>
          <w:sz w:val="24"/>
          <w:szCs w:val="24"/>
        </w:rPr>
        <w:t>Comme mentionné précédemment, les forêts marocaines se caractérisent par une grande variabilité écosystémique (40 écosystèmes forestiers) et une diversité biologique remarquable avec environ 4.000 plantes vasculaires, 550 espèces de vertébrés et 1.000 d'invertébrés. Les écosystèmes forestiers jouent un rôle crucial dans la lutte contre la désertification, la préservation de la biodiversité et la configuration des paysages. Afin de protéger cette richesse naturelle, il convient de souligner qu’en 2015, le Haut-Commissariat aux Eaux et Forêts à la Lutte contre la Désertification (HCEFLCD) a élaboré, en partenariat avec l’Union Internationale de Conservation de la Nature (UICN), une liste rouge relative aux écosystèmes forestiers et aux espèces menacées afin de déterminer les menaces et d’en trouver les solutions adéquates</w:t>
      </w:r>
      <w:r w:rsidRPr="002462E6">
        <w:rPr>
          <w:rFonts w:ascii="Tahoma" w:eastAsia="Times New Roman" w:hAnsi="Tahoma" w:cs="Tahoma"/>
          <w:color w:val="000000"/>
          <w:sz w:val="24"/>
          <w:szCs w:val="24"/>
          <w:vertAlign w:val="superscript"/>
        </w:rPr>
        <w:footnoteReference w:id="248"/>
      </w:r>
      <w:r w:rsidRPr="002462E6">
        <w:rPr>
          <w:rFonts w:ascii="Tahoma" w:eastAsia="Times New Roman" w:hAnsi="Tahoma" w:cs="Tahoma"/>
          <w:color w:val="000000"/>
          <w:sz w:val="24"/>
          <w:szCs w:val="24"/>
        </w:rPr>
        <w:t>.</w:t>
      </w:r>
    </w:p>
    <w:p w:rsidR="00726EDC" w:rsidRPr="002462E6" w:rsidRDefault="00726EDC" w:rsidP="00726EDC">
      <w:pPr>
        <w:widowControl w:val="0"/>
        <w:autoSpaceDE w:val="0"/>
        <w:autoSpaceDN w:val="0"/>
        <w:spacing w:after="0" w:line="360" w:lineRule="auto"/>
        <w:jc w:val="both"/>
        <w:rPr>
          <w:rFonts w:ascii="Tahoma" w:eastAsia="Times New Roman" w:hAnsi="Tahoma" w:cs="Tahoma"/>
          <w:color w:val="000000"/>
          <w:sz w:val="24"/>
          <w:szCs w:val="24"/>
        </w:rPr>
      </w:pPr>
      <w:r w:rsidRPr="002462E6">
        <w:rPr>
          <w:rFonts w:ascii="Tahoma" w:eastAsia="Times New Roman" w:hAnsi="Tahoma" w:cs="Tahoma"/>
          <w:color w:val="000000"/>
          <w:sz w:val="24"/>
          <w:szCs w:val="24"/>
        </w:rPr>
        <w:t>En somme, les espaces boisés jouent un rôle majeur pour le fonctionnement des écosystèmes et la préservation de l’environnement naturel par la contribution à la conservation des sols, des eaux et de la diversité biologique</w:t>
      </w:r>
      <w:r w:rsidRPr="002462E6">
        <w:rPr>
          <w:rFonts w:ascii="Tahoma" w:eastAsia="Times New Roman" w:hAnsi="Tahoma" w:cs="Tahoma"/>
          <w:color w:val="000000"/>
          <w:sz w:val="24"/>
          <w:szCs w:val="24"/>
          <w:vertAlign w:val="superscript"/>
        </w:rPr>
        <w:footnoteReference w:id="249"/>
      </w:r>
      <w:r w:rsidRPr="002462E6">
        <w:rPr>
          <w:rFonts w:ascii="Tahoma" w:eastAsia="Times New Roman" w:hAnsi="Tahoma" w:cs="Tahoma"/>
          <w:color w:val="000000"/>
          <w:sz w:val="24"/>
          <w:szCs w:val="24"/>
        </w:rPr>
        <w:t>. Par ailleurs, ils assurent d'autres rôles qui se rattachent directement à leurs fonctions, Il s’agit plus particulièrement de :</w:t>
      </w:r>
    </w:p>
    <w:p w:rsidR="00726EDC" w:rsidRPr="002462E6" w:rsidRDefault="00726EDC" w:rsidP="00726EDC">
      <w:pPr>
        <w:widowControl w:val="0"/>
        <w:autoSpaceDE w:val="0"/>
        <w:autoSpaceDN w:val="0"/>
        <w:spacing w:after="0" w:line="360" w:lineRule="auto"/>
        <w:ind w:left="284" w:firstLine="567"/>
        <w:jc w:val="both"/>
        <w:rPr>
          <w:rFonts w:ascii="Tahoma" w:eastAsia="Times New Roman" w:hAnsi="Tahoma" w:cs="Tahoma"/>
          <w:color w:val="000000"/>
          <w:sz w:val="24"/>
          <w:szCs w:val="24"/>
        </w:rPr>
      </w:pPr>
      <w:r w:rsidRPr="002462E6">
        <w:rPr>
          <w:rFonts w:ascii="Tahoma" w:eastAsia="Times New Roman" w:hAnsi="Tahoma" w:cs="Tahoma"/>
          <w:color w:val="000000"/>
          <w:sz w:val="24"/>
          <w:szCs w:val="24"/>
        </w:rPr>
        <w:t>•</w:t>
      </w:r>
      <w:r w:rsidRPr="002462E6">
        <w:rPr>
          <w:rFonts w:ascii="Tahoma" w:eastAsia="Times New Roman" w:hAnsi="Tahoma" w:cs="Tahoma"/>
          <w:color w:val="000000"/>
          <w:sz w:val="24"/>
          <w:szCs w:val="24"/>
        </w:rPr>
        <w:tab/>
        <w:t>La lutte contre l'érosion hydrique qui peut atteindre 5.000 tonnes/km2/an dans le Rif ;</w:t>
      </w:r>
    </w:p>
    <w:p w:rsidR="00726EDC" w:rsidRPr="002462E6" w:rsidRDefault="00726EDC" w:rsidP="00726EDC">
      <w:pPr>
        <w:widowControl w:val="0"/>
        <w:autoSpaceDE w:val="0"/>
        <w:autoSpaceDN w:val="0"/>
        <w:spacing w:after="0" w:line="360" w:lineRule="auto"/>
        <w:ind w:left="284" w:firstLine="567"/>
        <w:jc w:val="both"/>
        <w:rPr>
          <w:rFonts w:ascii="Tahoma" w:eastAsia="Times New Roman" w:hAnsi="Tahoma" w:cs="Tahoma"/>
          <w:color w:val="000000"/>
          <w:sz w:val="24"/>
          <w:szCs w:val="24"/>
        </w:rPr>
      </w:pPr>
      <w:r w:rsidRPr="002462E6">
        <w:rPr>
          <w:rFonts w:ascii="Tahoma" w:eastAsia="Times New Roman" w:hAnsi="Tahoma" w:cs="Tahoma"/>
          <w:color w:val="000000"/>
          <w:sz w:val="24"/>
          <w:szCs w:val="24"/>
        </w:rPr>
        <w:t>•</w:t>
      </w:r>
      <w:r w:rsidRPr="002462E6">
        <w:rPr>
          <w:rFonts w:ascii="Tahoma" w:eastAsia="Times New Roman" w:hAnsi="Tahoma" w:cs="Tahoma"/>
          <w:color w:val="000000"/>
          <w:sz w:val="24"/>
          <w:szCs w:val="24"/>
        </w:rPr>
        <w:tab/>
        <w:t>La lutte contre l’érosion éolienne que ce soit dans les zones littorales ou dans les zones continentales ;</w:t>
      </w:r>
    </w:p>
    <w:p w:rsidR="00726EDC" w:rsidRPr="002462E6" w:rsidRDefault="00726EDC" w:rsidP="00726EDC">
      <w:pPr>
        <w:widowControl w:val="0"/>
        <w:autoSpaceDE w:val="0"/>
        <w:autoSpaceDN w:val="0"/>
        <w:spacing w:after="0" w:line="360" w:lineRule="auto"/>
        <w:ind w:left="284" w:firstLine="567"/>
        <w:jc w:val="both"/>
        <w:rPr>
          <w:rFonts w:ascii="Tahoma" w:eastAsia="Times New Roman" w:hAnsi="Tahoma" w:cs="Tahoma"/>
          <w:color w:val="000000"/>
          <w:sz w:val="24"/>
          <w:szCs w:val="24"/>
        </w:rPr>
      </w:pPr>
      <w:r w:rsidRPr="002462E6">
        <w:rPr>
          <w:rFonts w:ascii="Tahoma" w:eastAsia="Times New Roman" w:hAnsi="Tahoma" w:cs="Tahoma"/>
          <w:color w:val="000000"/>
          <w:sz w:val="24"/>
          <w:szCs w:val="24"/>
        </w:rPr>
        <w:t>•</w:t>
      </w:r>
      <w:r w:rsidRPr="002462E6">
        <w:rPr>
          <w:rFonts w:ascii="Tahoma" w:eastAsia="Times New Roman" w:hAnsi="Tahoma" w:cs="Tahoma"/>
          <w:color w:val="000000"/>
          <w:sz w:val="24"/>
          <w:szCs w:val="24"/>
        </w:rPr>
        <w:tab/>
        <w:t>La régulation du régime hydrique et la protection des retenues de</w:t>
      </w:r>
      <w:r w:rsidRPr="002462E6">
        <w:rPr>
          <w:rFonts w:ascii="Times New Roman" w:eastAsia="Times New Roman" w:hAnsi="Times New Roman" w:cs="Times New Roman"/>
          <w:sz w:val="24"/>
          <w:szCs w:val="24"/>
        </w:rPr>
        <w:t xml:space="preserve"> </w:t>
      </w:r>
      <w:r w:rsidRPr="002462E6">
        <w:rPr>
          <w:rFonts w:ascii="Tahoma" w:eastAsia="Times New Roman" w:hAnsi="Tahoma" w:cs="Tahoma"/>
          <w:color w:val="000000"/>
          <w:sz w:val="24"/>
          <w:szCs w:val="24"/>
        </w:rPr>
        <w:t>barrages contre l'envasement, évalué à 75 millions de m3/an, ce qui signifie une réduction de la capacité de stockage des barrages de 0,5 % par an, correspondant à une perte de capacité d'irrigation d'au moins 10.000 ha/an ;</w:t>
      </w:r>
    </w:p>
    <w:p w:rsidR="00726EDC" w:rsidRPr="002462E6" w:rsidRDefault="00726EDC" w:rsidP="00726EDC">
      <w:pPr>
        <w:widowControl w:val="0"/>
        <w:autoSpaceDE w:val="0"/>
        <w:autoSpaceDN w:val="0"/>
        <w:spacing w:after="0" w:line="360" w:lineRule="auto"/>
        <w:ind w:left="284" w:firstLine="567"/>
        <w:jc w:val="both"/>
        <w:rPr>
          <w:rFonts w:ascii="Tahoma" w:eastAsia="Times New Roman" w:hAnsi="Tahoma" w:cs="Tahoma"/>
          <w:color w:val="000000"/>
          <w:sz w:val="24"/>
          <w:szCs w:val="24"/>
        </w:rPr>
      </w:pPr>
      <w:r w:rsidRPr="002462E6">
        <w:rPr>
          <w:rFonts w:ascii="Tahoma" w:eastAsia="Times New Roman" w:hAnsi="Tahoma" w:cs="Tahoma"/>
          <w:color w:val="000000"/>
          <w:sz w:val="24"/>
          <w:szCs w:val="24"/>
        </w:rPr>
        <w:t>•</w:t>
      </w:r>
      <w:r w:rsidRPr="002462E6">
        <w:rPr>
          <w:rFonts w:ascii="Tahoma" w:eastAsia="Times New Roman" w:hAnsi="Tahoma" w:cs="Tahoma"/>
          <w:color w:val="000000"/>
          <w:sz w:val="24"/>
          <w:szCs w:val="24"/>
        </w:rPr>
        <w:tab/>
        <w:t>La lutte contre les inondations et la protection des infrastructures de base ;</w:t>
      </w:r>
    </w:p>
    <w:p w:rsidR="00726EDC" w:rsidRPr="002462E6" w:rsidRDefault="00726EDC" w:rsidP="00726EDC">
      <w:pPr>
        <w:widowControl w:val="0"/>
        <w:autoSpaceDE w:val="0"/>
        <w:autoSpaceDN w:val="0"/>
        <w:spacing w:after="0" w:line="360" w:lineRule="auto"/>
        <w:ind w:left="284" w:firstLine="567"/>
        <w:jc w:val="both"/>
        <w:rPr>
          <w:rFonts w:ascii="Tahoma" w:eastAsia="Times New Roman" w:hAnsi="Tahoma" w:cs="Tahoma"/>
          <w:color w:val="000000"/>
          <w:sz w:val="24"/>
          <w:szCs w:val="24"/>
        </w:rPr>
      </w:pPr>
      <w:r w:rsidRPr="002462E6">
        <w:rPr>
          <w:rFonts w:ascii="Tahoma" w:eastAsia="Times New Roman" w:hAnsi="Tahoma" w:cs="Tahoma"/>
          <w:color w:val="000000"/>
          <w:sz w:val="24"/>
          <w:szCs w:val="24"/>
        </w:rPr>
        <w:t>•</w:t>
      </w:r>
      <w:r w:rsidRPr="002462E6">
        <w:rPr>
          <w:rFonts w:ascii="Tahoma" w:eastAsia="Times New Roman" w:hAnsi="Tahoma" w:cs="Tahoma"/>
          <w:color w:val="000000"/>
          <w:sz w:val="24"/>
          <w:szCs w:val="24"/>
        </w:rPr>
        <w:tab/>
        <w:t>La préservation de la fertilité des sols et, par conséquent, le maintien de la productivité des terres agricoles.</w:t>
      </w:r>
    </w:p>
    <w:p w:rsidR="00726EDC" w:rsidRPr="002462E6" w:rsidRDefault="00726EDC" w:rsidP="00726EDC">
      <w:pPr>
        <w:widowControl w:val="0"/>
        <w:autoSpaceDE w:val="0"/>
        <w:autoSpaceDN w:val="0"/>
        <w:spacing w:after="0" w:line="360" w:lineRule="auto"/>
        <w:jc w:val="both"/>
        <w:rPr>
          <w:rFonts w:ascii="Tahoma" w:eastAsia="Times New Roman" w:hAnsi="Tahoma" w:cs="Tahoma"/>
          <w:color w:val="000000"/>
          <w:sz w:val="24"/>
          <w:szCs w:val="24"/>
        </w:rPr>
      </w:pPr>
      <w:r w:rsidRPr="002462E6">
        <w:rPr>
          <w:rFonts w:ascii="Tahoma" w:eastAsia="Times New Roman" w:hAnsi="Tahoma" w:cs="Tahoma"/>
          <w:color w:val="000000"/>
          <w:sz w:val="24"/>
          <w:szCs w:val="24"/>
        </w:rPr>
        <w:t>Il est important de souligner que les espèces forestières jouent également un rôle clé dans la séquestration du carbone constituant ainsi, le deuxième puits de carbone après les océans en matière de régulation climatique. La stratégie « Bas Carbone Maroc 2050 » a indiqué en 2014 que la forêt marocaine a constitué un puits de carbone avec un stockage d’environ 2 Mt CO2. En revanche, les variations des flux forestiers de gaz à effet de serre demeurent très liées à la dégradation des écosystèmes forestiers et de leur surexploitation</w:t>
      </w:r>
      <w:r w:rsidRPr="002462E6">
        <w:rPr>
          <w:rFonts w:ascii="Tahoma" w:eastAsia="Times New Roman" w:hAnsi="Tahoma" w:cs="Tahoma"/>
          <w:color w:val="000000"/>
          <w:sz w:val="24"/>
          <w:szCs w:val="24"/>
          <w:vertAlign w:val="superscript"/>
        </w:rPr>
        <w:footnoteReference w:id="250"/>
      </w:r>
      <w:r w:rsidRPr="002462E6">
        <w:rPr>
          <w:rFonts w:ascii="Tahoma" w:eastAsia="Times New Roman" w:hAnsi="Tahoma" w:cs="Tahoma"/>
          <w:color w:val="000000"/>
          <w:sz w:val="24"/>
          <w:szCs w:val="24"/>
        </w:rPr>
        <w:t>. A ce propos, il convient de signaler qu’au niveau de l’Afrique du Nord, de nombreuses zones forestières deviennent paradoxalement, à l’heure actuelle, des sources de carbone plutôt que de puits suite à la croissance lente des forêts et la forte pression humaine</w:t>
      </w:r>
      <w:r w:rsidRPr="002462E6">
        <w:rPr>
          <w:rFonts w:ascii="Tahoma" w:eastAsia="Times New Roman" w:hAnsi="Tahoma" w:cs="Tahoma"/>
          <w:color w:val="000000"/>
          <w:sz w:val="24"/>
          <w:szCs w:val="24"/>
          <w:vertAlign w:val="superscript"/>
        </w:rPr>
        <w:footnoteReference w:id="251"/>
      </w:r>
      <w:r w:rsidRPr="002462E6">
        <w:rPr>
          <w:rFonts w:ascii="Tahoma" w:eastAsia="Times New Roman" w:hAnsi="Tahoma" w:cs="Tahoma"/>
          <w:color w:val="000000"/>
          <w:sz w:val="24"/>
          <w:szCs w:val="24"/>
        </w:rPr>
        <w:t>.</w:t>
      </w:r>
    </w:p>
    <w:p w:rsidR="00726EDC" w:rsidRPr="002462E6" w:rsidRDefault="00726EDC" w:rsidP="00BA6530">
      <w:pPr>
        <w:widowControl w:val="0"/>
        <w:autoSpaceDE w:val="0"/>
        <w:autoSpaceDN w:val="0"/>
        <w:spacing w:after="0" w:line="360" w:lineRule="auto"/>
        <w:jc w:val="both"/>
        <w:rPr>
          <w:rFonts w:ascii="Tahoma" w:eastAsia="Times New Roman" w:hAnsi="Tahoma" w:cs="Tahoma"/>
          <w:color w:val="000000"/>
          <w:sz w:val="24"/>
          <w:szCs w:val="24"/>
        </w:rPr>
      </w:pPr>
      <w:r w:rsidRPr="002462E6">
        <w:rPr>
          <w:rFonts w:ascii="Tahoma" w:eastAsia="Times New Roman" w:hAnsi="Tahoma" w:cs="Tahoma"/>
          <w:color w:val="000000"/>
          <w:sz w:val="24"/>
          <w:szCs w:val="24"/>
        </w:rPr>
        <w:t>Par rapport à la fonction sociale, les forêts marocaines sont d’une importance fondamentale pour les populations relevant des territoires forestiers, soit presque 7 millions d’habitants appartenant au monde rural</w:t>
      </w:r>
      <w:r w:rsidRPr="002462E6">
        <w:rPr>
          <w:rFonts w:ascii="Tahoma" w:eastAsia="Times New Roman" w:hAnsi="Tahoma" w:cs="Tahoma"/>
          <w:color w:val="000000"/>
          <w:sz w:val="24"/>
          <w:szCs w:val="24"/>
          <w:vertAlign w:val="superscript"/>
        </w:rPr>
        <w:footnoteReference w:id="252"/>
      </w:r>
      <w:r w:rsidRPr="002462E6">
        <w:rPr>
          <w:rFonts w:ascii="Tahoma" w:eastAsia="Times New Roman" w:hAnsi="Tahoma" w:cs="Tahoma"/>
          <w:color w:val="000000"/>
          <w:sz w:val="24"/>
          <w:szCs w:val="24"/>
        </w:rPr>
        <w:t>. En effet, elles représentent un espace vital pour ces populations rurales vu leurs conditions socio-économiques. En fait, elles constituent leur source de subsistance à travers l’exercice des activités d'élevage et de prélèvement de produits ligneux et non ligneux. En revanche, La rupture des modes de vie ancestraux liés plus particulièrement aux pratiques pastorales parait contribuer au bouleversement de l’équilibre des écosystèmes forestiers dont la dépendance aux espaces forestiers est avérée presque tout au long de l’année. En conséquence, la consommation fourragère dépasse actuellement deux à cinq fois la capacité des forêts. Cette situation s’aggrave en période de sécheresse</w:t>
      </w:r>
      <w:r w:rsidRPr="002462E6">
        <w:rPr>
          <w:rFonts w:ascii="Tahoma" w:eastAsia="Times New Roman" w:hAnsi="Tahoma" w:cs="Tahoma"/>
          <w:color w:val="000000"/>
          <w:sz w:val="24"/>
          <w:szCs w:val="24"/>
          <w:vertAlign w:val="superscript"/>
        </w:rPr>
        <w:footnoteReference w:id="253"/>
      </w:r>
      <w:r w:rsidRPr="002462E6">
        <w:rPr>
          <w:rFonts w:ascii="Tahoma" w:eastAsia="Times New Roman" w:hAnsi="Tahoma" w:cs="Tahoma"/>
          <w:color w:val="000000"/>
          <w:sz w:val="24"/>
          <w:szCs w:val="24"/>
        </w:rPr>
        <w:t>.</w:t>
      </w:r>
    </w:p>
    <w:p w:rsidR="00726EDC" w:rsidRPr="002462E6" w:rsidRDefault="00726EDC" w:rsidP="00BA6530">
      <w:pPr>
        <w:widowControl w:val="0"/>
        <w:autoSpaceDE w:val="0"/>
        <w:autoSpaceDN w:val="0"/>
        <w:spacing w:after="0" w:line="360" w:lineRule="auto"/>
        <w:jc w:val="both"/>
        <w:rPr>
          <w:rFonts w:ascii="Tahoma" w:eastAsia="Times New Roman" w:hAnsi="Tahoma" w:cs="Tahoma"/>
          <w:sz w:val="24"/>
          <w:szCs w:val="24"/>
        </w:rPr>
      </w:pPr>
      <w:r w:rsidRPr="002462E6">
        <w:rPr>
          <w:rFonts w:ascii="Tahoma" w:eastAsia="Times New Roman" w:hAnsi="Tahoma" w:cs="Tahoma"/>
          <w:color w:val="000000"/>
          <w:sz w:val="24"/>
          <w:szCs w:val="24"/>
        </w:rPr>
        <w:t>Par rapport à la sphère urbaine, les espaces forestiers constituent un cadre de vie propice au bien-être et santé pour les citoyens. Selon l'administration forestière, un programme d'aménagement est en cours sur une superficie de 162 000 hectares, en collaboration avec divers acteurs. Cette initiative repose sur une approche innovante visant à renforcer les espaces dédiés à la récréation et aux loisirs en faveur des</w:t>
      </w:r>
      <w:r w:rsidR="00BA6530">
        <w:rPr>
          <w:rFonts w:ascii="Tahoma" w:eastAsia="Times New Roman" w:hAnsi="Tahoma" w:cs="Tahoma"/>
          <w:color w:val="000000"/>
          <w:sz w:val="24"/>
          <w:szCs w:val="24"/>
        </w:rPr>
        <w:t xml:space="preserve"> </w:t>
      </w:r>
      <w:r w:rsidRPr="002462E6">
        <w:rPr>
          <w:rFonts w:ascii="Tahoma" w:eastAsia="Times New Roman" w:hAnsi="Tahoma" w:cs="Tahoma"/>
          <w:color w:val="000000"/>
          <w:sz w:val="24"/>
          <w:szCs w:val="24"/>
        </w:rPr>
        <w:t>citoyens</w:t>
      </w:r>
      <w:r w:rsidRPr="002462E6">
        <w:rPr>
          <w:rFonts w:ascii="Tahoma" w:eastAsia="Times New Roman" w:hAnsi="Tahoma" w:cs="Tahoma"/>
          <w:sz w:val="24"/>
          <w:szCs w:val="24"/>
          <w:vertAlign w:val="superscript"/>
        </w:rPr>
        <w:footnoteReference w:id="254"/>
      </w:r>
      <w:r w:rsidRPr="002462E6">
        <w:rPr>
          <w:rFonts w:ascii="Tahoma" w:eastAsia="Times New Roman" w:hAnsi="Tahoma" w:cs="Tahoma"/>
          <w:sz w:val="24"/>
          <w:szCs w:val="24"/>
        </w:rPr>
        <w:t>.</w:t>
      </w:r>
    </w:p>
    <w:p w:rsidR="00726EDC" w:rsidRPr="002462E6" w:rsidRDefault="00726EDC" w:rsidP="00BA6530">
      <w:pPr>
        <w:widowControl w:val="0"/>
        <w:autoSpaceDE w:val="0"/>
        <w:autoSpaceDN w:val="0"/>
        <w:spacing w:after="0" w:line="360" w:lineRule="auto"/>
        <w:jc w:val="both"/>
        <w:rPr>
          <w:rFonts w:ascii="Tahoma" w:eastAsia="Times New Roman" w:hAnsi="Tahoma" w:cs="Tahoma"/>
          <w:sz w:val="24"/>
          <w:szCs w:val="24"/>
        </w:rPr>
      </w:pPr>
      <w:r w:rsidRPr="002462E6">
        <w:rPr>
          <w:rFonts w:ascii="Tahoma" w:eastAsia="Times New Roman" w:hAnsi="Tahoma" w:cs="Tahoma"/>
          <w:sz w:val="24"/>
          <w:szCs w:val="24"/>
        </w:rPr>
        <w:t>Par ailleurs, sur le plan économique, le domaine forestier contribue à hauteur de 1,5% au PIB</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et</w:t>
      </w:r>
      <w:r w:rsidRPr="002462E6">
        <w:rPr>
          <w:rFonts w:ascii="Tahoma" w:eastAsia="Times New Roman" w:hAnsi="Tahoma" w:cs="Tahoma"/>
          <w:spacing w:val="-3"/>
          <w:sz w:val="24"/>
          <w:szCs w:val="24"/>
        </w:rPr>
        <w:t xml:space="preserve"> </w:t>
      </w:r>
      <w:r w:rsidRPr="002462E6">
        <w:rPr>
          <w:rFonts w:ascii="Tahoma" w:eastAsia="Times New Roman" w:hAnsi="Tahoma" w:cs="Tahoma"/>
          <w:sz w:val="24"/>
          <w:szCs w:val="24"/>
        </w:rPr>
        <w:t>génère</w:t>
      </w:r>
      <w:r w:rsidRPr="002462E6">
        <w:rPr>
          <w:rFonts w:ascii="Tahoma" w:eastAsia="Times New Roman" w:hAnsi="Tahoma" w:cs="Tahoma"/>
          <w:spacing w:val="-4"/>
          <w:sz w:val="24"/>
          <w:szCs w:val="24"/>
        </w:rPr>
        <w:t xml:space="preserve"> </w:t>
      </w:r>
      <w:r w:rsidRPr="002462E6">
        <w:rPr>
          <w:rFonts w:ascii="Tahoma" w:eastAsia="Times New Roman" w:hAnsi="Tahoma" w:cs="Tahoma"/>
          <w:sz w:val="24"/>
          <w:szCs w:val="24"/>
        </w:rPr>
        <w:t>approximativement</w:t>
      </w:r>
      <w:r w:rsidRPr="002462E6">
        <w:rPr>
          <w:rFonts w:ascii="Tahoma" w:eastAsia="Times New Roman" w:hAnsi="Tahoma" w:cs="Tahoma"/>
          <w:spacing w:val="-2"/>
          <w:sz w:val="24"/>
          <w:szCs w:val="24"/>
        </w:rPr>
        <w:t xml:space="preserve"> </w:t>
      </w:r>
      <w:r w:rsidRPr="002462E6">
        <w:rPr>
          <w:rFonts w:ascii="Tahoma" w:eastAsia="Times New Roman" w:hAnsi="Tahoma" w:cs="Tahoma"/>
          <w:sz w:val="24"/>
          <w:szCs w:val="24"/>
        </w:rPr>
        <w:t>10</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millions</w:t>
      </w:r>
      <w:r w:rsidRPr="002462E6">
        <w:rPr>
          <w:rFonts w:ascii="Tahoma" w:eastAsia="Times New Roman" w:hAnsi="Tahoma" w:cs="Tahoma"/>
          <w:spacing w:val="-4"/>
          <w:sz w:val="24"/>
          <w:szCs w:val="24"/>
        </w:rPr>
        <w:t xml:space="preserve"> </w:t>
      </w:r>
      <w:r w:rsidRPr="002462E6">
        <w:rPr>
          <w:rFonts w:ascii="Tahoma" w:eastAsia="Times New Roman" w:hAnsi="Tahoma" w:cs="Tahoma"/>
          <w:sz w:val="24"/>
          <w:szCs w:val="24"/>
        </w:rPr>
        <w:t>de</w:t>
      </w:r>
      <w:r w:rsidRPr="002462E6">
        <w:rPr>
          <w:rFonts w:ascii="Tahoma" w:eastAsia="Times New Roman" w:hAnsi="Tahoma" w:cs="Tahoma"/>
          <w:spacing w:val="-4"/>
          <w:sz w:val="24"/>
          <w:szCs w:val="24"/>
        </w:rPr>
        <w:t xml:space="preserve"> </w:t>
      </w:r>
      <w:r w:rsidRPr="002462E6">
        <w:rPr>
          <w:rFonts w:ascii="Tahoma" w:eastAsia="Times New Roman" w:hAnsi="Tahoma" w:cs="Tahoma"/>
          <w:sz w:val="24"/>
          <w:szCs w:val="24"/>
        </w:rPr>
        <w:t>journées</w:t>
      </w:r>
      <w:r w:rsidRPr="002462E6">
        <w:rPr>
          <w:rFonts w:ascii="Tahoma" w:eastAsia="Times New Roman" w:hAnsi="Tahoma" w:cs="Tahoma"/>
          <w:spacing w:val="-3"/>
          <w:sz w:val="24"/>
          <w:szCs w:val="24"/>
        </w:rPr>
        <w:t xml:space="preserve"> </w:t>
      </w:r>
      <w:r w:rsidRPr="002462E6">
        <w:rPr>
          <w:rFonts w:ascii="Tahoma" w:eastAsia="Times New Roman" w:hAnsi="Tahoma" w:cs="Tahoma"/>
          <w:sz w:val="24"/>
          <w:szCs w:val="24"/>
        </w:rPr>
        <w:t>de</w:t>
      </w:r>
      <w:r w:rsidRPr="002462E6">
        <w:rPr>
          <w:rFonts w:ascii="Tahoma" w:eastAsia="Times New Roman" w:hAnsi="Tahoma" w:cs="Tahoma"/>
          <w:spacing w:val="-3"/>
          <w:sz w:val="24"/>
          <w:szCs w:val="24"/>
        </w:rPr>
        <w:t xml:space="preserve"> </w:t>
      </w:r>
      <w:r w:rsidRPr="002462E6">
        <w:rPr>
          <w:rFonts w:ascii="Tahoma" w:eastAsia="Times New Roman" w:hAnsi="Tahoma" w:cs="Tahoma"/>
          <w:sz w:val="24"/>
          <w:szCs w:val="24"/>
        </w:rPr>
        <w:t>travail,</w:t>
      </w:r>
      <w:r w:rsidRPr="002462E6">
        <w:rPr>
          <w:rFonts w:ascii="Tahoma" w:eastAsia="Times New Roman" w:hAnsi="Tahoma" w:cs="Tahoma"/>
          <w:spacing w:val="-4"/>
          <w:sz w:val="24"/>
          <w:szCs w:val="24"/>
        </w:rPr>
        <w:t xml:space="preserve"> </w:t>
      </w:r>
      <w:r w:rsidRPr="002462E6">
        <w:rPr>
          <w:rFonts w:ascii="Tahoma" w:eastAsia="Times New Roman" w:hAnsi="Tahoma" w:cs="Tahoma"/>
          <w:sz w:val="24"/>
          <w:szCs w:val="24"/>
        </w:rPr>
        <w:t>essentiellement</w:t>
      </w:r>
      <w:r w:rsidRPr="002462E6">
        <w:rPr>
          <w:rFonts w:ascii="Tahoma" w:eastAsia="Times New Roman" w:hAnsi="Tahoma" w:cs="Tahoma"/>
          <w:spacing w:val="-3"/>
          <w:sz w:val="24"/>
          <w:szCs w:val="24"/>
        </w:rPr>
        <w:t xml:space="preserve"> </w:t>
      </w:r>
      <w:r w:rsidRPr="002462E6">
        <w:rPr>
          <w:rFonts w:ascii="Tahoma" w:eastAsia="Times New Roman" w:hAnsi="Tahoma" w:cs="Tahoma"/>
          <w:sz w:val="24"/>
          <w:szCs w:val="24"/>
        </w:rPr>
        <w:t>dans</w:t>
      </w:r>
      <w:r w:rsidRPr="002462E6">
        <w:rPr>
          <w:rFonts w:ascii="Tahoma" w:eastAsia="Times New Roman" w:hAnsi="Tahoma" w:cs="Tahoma"/>
          <w:spacing w:val="-2"/>
          <w:sz w:val="24"/>
          <w:szCs w:val="24"/>
        </w:rPr>
        <w:t xml:space="preserve"> </w:t>
      </w:r>
      <w:r w:rsidRPr="002462E6">
        <w:rPr>
          <w:rFonts w:ascii="Tahoma" w:eastAsia="Times New Roman" w:hAnsi="Tahoma" w:cs="Tahoma"/>
          <w:sz w:val="24"/>
          <w:szCs w:val="24"/>
        </w:rPr>
        <w:t>les</w:t>
      </w:r>
      <w:r w:rsidRPr="002462E6">
        <w:rPr>
          <w:rFonts w:ascii="Tahoma" w:eastAsia="Times New Roman" w:hAnsi="Tahoma" w:cs="Tahoma"/>
          <w:spacing w:val="-2"/>
          <w:sz w:val="24"/>
          <w:szCs w:val="24"/>
        </w:rPr>
        <w:t xml:space="preserve"> </w:t>
      </w:r>
      <w:r w:rsidRPr="002462E6">
        <w:rPr>
          <w:rFonts w:ascii="Tahoma" w:eastAsia="Times New Roman" w:hAnsi="Tahoma" w:cs="Tahoma"/>
          <w:sz w:val="24"/>
          <w:szCs w:val="24"/>
        </w:rPr>
        <w:t>zones</w:t>
      </w:r>
      <w:r w:rsidRPr="002462E6">
        <w:rPr>
          <w:rFonts w:ascii="Tahoma" w:eastAsia="Times New Roman" w:hAnsi="Tahoma" w:cs="Tahoma"/>
          <w:spacing w:val="-58"/>
          <w:sz w:val="24"/>
          <w:szCs w:val="24"/>
        </w:rPr>
        <w:t xml:space="preserve"> </w:t>
      </w:r>
      <w:r w:rsidRPr="002462E6">
        <w:rPr>
          <w:rFonts w:ascii="Tahoma" w:eastAsia="Times New Roman" w:hAnsi="Tahoma" w:cs="Tahoma"/>
          <w:sz w:val="24"/>
          <w:szCs w:val="24"/>
        </w:rPr>
        <w:t>rurales</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dont</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les</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perspectives</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d'emploi</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sont</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limitées,</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soit</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l’équivalent</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de</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50.000</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emplois</w:t>
      </w:r>
      <w:r w:rsidRPr="002462E6">
        <w:rPr>
          <w:rFonts w:ascii="Tahoma" w:eastAsia="Times New Roman" w:hAnsi="Tahoma" w:cs="Tahoma"/>
          <w:spacing w:val="-57"/>
          <w:sz w:val="24"/>
          <w:szCs w:val="24"/>
        </w:rPr>
        <w:t xml:space="preserve"> </w:t>
      </w:r>
      <w:r w:rsidRPr="002462E6">
        <w:rPr>
          <w:rFonts w:ascii="Tahoma" w:eastAsia="Times New Roman" w:hAnsi="Tahoma" w:cs="Tahoma"/>
          <w:sz w:val="24"/>
          <w:szCs w:val="24"/>
        </w:rPr>
        <w:t>permanents</w:t>
      </w:r>
      <w:r w:rsidRPr="002462E6">
        <w:rPr>
          <w:rFonts w:ascii="Tahoma" w:eastAsia="Times New Roman" w:hAnsi="Tahoma" w:cs="Tahoma"/>
          <w:sz w:val="24"/>
          <w:szCs w:val="24"/>
          <w:vertAlign w:val="superscript"/>
        </w:rPr>
        <w:footnoteReference w:id="255"/>
      </w:r>
      <w:r w:rsidRPr="002462E6">
        <w:rPr>
          <w:rFonts w:ascii="Tahoma" w:eastAsia="Times New Roman" w:hAnsi="Tahoma" w:cs="Tahoma"/>
          <w:spacing w:val="-4"/>
          <w:sz w:val="24"/>
          <w:szCs w:val="24"/>
        </w:rPr>
        <w:t xml:space="preserve">. En </w:t>
      </w:r>
      <w:r w:rsidRPr="002462E6">
        <w:rPr>
          <w:rFonts w:ascii="Tahoma" w:eastAsia="Times New Roman" w:hAnsi="Tahoma" w:cs="Tahoma"/>
          <w:sz w:val="24"/>
          <w:szCs w:val="24"/>
        </w:rPr>
        <w:t>effet,</w:t>
      </w:r>
      <w:r w:rsidRPr="002462E6">
        <w:rPr>
          <w:rFonts w:ascii="Tahoma" w:eastAsia="Times New Roman" w:hAnsi="Tahoma" w:cs="Tahoma"/>
          <w:spacing w:val="-3"/>
          <w:sz w:val="24"/>
          <w:szCs w:val="24"/>
        </w:rPr>
        <w:t xml:space="preserve"> </w:t>
      </w:r>
      <w:r w:rsidRPr="002462E6">
        <w:rPr>
          <w:rFonts w:ascii="Tahoma" w:eastAsia="Times New Roman" w:hAnsi="Tahoma" w:cs="Tahoma"/>
          <w:sz w:val="24"/>
          <w:szCs w:val="24"/>
        </w:rPr>
        <w:t>les</w:t>
      </w:r>
      <w:r w:rsidRPr="002462E6">
        <w:rPr>
          <w:rFonts w:ascii="Tahoma" w:eastAsia="Times New Roman" w:hAnsi="Tahoma" w:cs="Tahoma"/>
          <w:spacing w:val="-4"/>
          <w:sz w:val="24"/>
          <w:szCs w:val="24"/>
        </w:rPr>
        <w:t xml:space="preserve"> </w:t>
      </w:r>
      <w:r w:rsidRPr="002462E6">
        <w:rPr>
          <w:rFonts w:ascii="Tahoma" w:eastAsia="Times New Roman" w:hAnsi="Tahoma" w:cs="Tahoma"/>
          <w:sz w:val="24"/>
          <w:szCs w:val="24"/>
        </w:rPr>
        <w:t>espaces</w:t>
      </w:r>
      <w:r w:rsidRPr="002462E6">
        <w:rPr>
          <w:rFonts w:ascii="Tahoma" w:eastAsia="Times New Roman" w:hAnsi="Tahoma" w:cs="Tahoma"/>
          <w:spacing w:val="-5"/>
          <w:sz w:val="24"/>
          <w:szCs w:val="24"/>
        </w:rPr>
        <w:t xml:space="preserve"> </w:t>
      </w:r>
      <w:r w:rsidRPr="002462E6">
        <w:rPr>
          <w:rFonts w:ascii="Tahoma" w:eastAsia="Times New Roman" w:hAnsi="Tahoma" w:cs="Tahoma"/>
          <w:sz w:val="24"/>
          <w:szCs w:val="24"/>
        </w:rPr>
        <w:t>forestiers</w:t>
      </w:r>
      <w:r w:rsidRPr="002462E6">
        <w:rPr>
          <w:rFonts w:ascii="Tahoma" w:eastAsia="Times New Roman" w:hAnsi="Tahoma" w:cs="Tahoma"/>
          <w:spacing w:val="-4"/>
          <w:sz w:val="24"/>
          <w:szCs w:val="24"/>
        </w:rPr>
        <w:t xml:space="preserve"> </w:t>
      </w:r>
      <w:r w:rsidRPr="002462E6">
        <w:rPr>
          <w:rFonts w:ascii="Tahoma" w:eastAsia="Times New Roman" w:hAnsi="Tahoma" w:cs="Tahoma"/>
          <w:sz w:val="24"/>
          <w:szCs w:val="24"/>
        </w:rPr>
        <w:t>offrent</w:t>
      </w:r>
      <w:r w:rsidRPr="002462E6">
        <w:rPr>
          <w:rFonts w:ascii="Tahoma" w:eastAsia="Times New Roman" w:hAnsi="Tahoma" w:cs="Tahoma"/>
          <w:spacing w:val="-5"/>
          <w:sz w:val="24"/>
          <w:szCs w:val="24"/>
        </w:rPr>
        <w:t xml:space="preserve"> </w:t>
      </w:r>
      <w:r w:rsidRPr="002462E6">
        <w:rPr>
          <w:rFonts w:ascii="Tahoma" w:eastAsia="Times New Roman" w:hAnsi="Tahoma" w:cs="Tahoma"/>
          <w:sz w:val="24"/>
          <w:szCs w:val="24"/>
        </w:rPr>
        <w:t>divers</w:t>
      </w:r>
      <w:r w:rsidRPr="002462E6">
        <w:rPr>
          <w:rFonts w:ascii="Tahoma" w:eastAsia="Times New Roman" w:hAnsi="Tahoma" w:cs="Tahoma"/>
          <w:spacing w:val="-4"/>
          <w:sz w:val="24"/>
          <w:szCs w:val="24"/>
        </w:rPr>
        <w:t xml:space="preserve"> </w:t>
      </w:r>
      <w:r w:rsidRPr="002462E6">
        <w:rPr>
          <w:rFonts w:ascii="Tahoma" w:eastAsia="Times New Roman" w:hAnsi="Tahoma" w:cs="Tahoma"/>
          <w:sz w:val="24"/>
          <w:szCs w:val="24"/>
        </w:rPr>
        <w:t>biens</w:t>
      </w:r>
      <w:r w:rsidRPr="002462E6">
        <w:rPr>
          <w:rFonts w:ascii="Tahoma" w:eastAsia="Times New Roman" w:hAnsi="Tahoma" w:cs="Tahoma"/>
          <w:spacing w:val="-5"/>
          <w:sz w:val="24"/>
          <w:szCs w:val="24"/>
        </w:rPr>
        <w:t xml:space="preserve"> </w:t>
      </w:r>
      <w:r w:rsidRPr="002462E6">
        <w:rPr>
          <w:rFonts w:ascii="Tahoma" w:eastAsia="Times New Roman" w:hAnsi="Tahoma" w:cs="Tahoma"/>
          <w:sz w:val="24"/>
          <w:szCs w:val="24"/>
        </w:rPr>
        <w:t>et</w:t>
      </w:r>
      <w:r w:rsidRPr="002462E6">
        <w:rPr>
          <w:rFonts w:ascii="Tahoma" w:eastAsia="Times New Roman" w:hAnsi="Tahoma" w:cs="Tahoma"/>
          <w:spacing w:val="-3"/>
          <w:sz w:val="24"/>
          <w:szCs w:val="24"/>
        </w:rPr>
        <w:t xml:space="preserve"> </w:t>
      </w:r>
      <w:r w:rsidRPr="002462E6">
        <w:rPr>
          <w:rFonts w:ascii="Tahoma" w:eastAsia="Times New Roman" w:hAnsi="Tahoma" w:cs="Tahoma"/>
          <w:sz w:val="24"/>
          <w:szCs w:val="24"/>
        </w:rPr>
        <w:t>services</w:t>
      </w:r>
      <w:r w:rsidRPr="002462E6">
        <w:rPr>
          <w:rFonts w:ascii="Tahoma" w:eastAsia="Times New Roman" w:hAnsi="Tahoma" w:cs="Tahoma"/>
          <w:spacing w:val="-5"/>
          <w:sz w:val="24"/>
          <w:szCs w:val="24"/>
        </w:rPr>
        <w:t xml:space="preserve"> </w:t>
      </w:r>
      <w:r w:rsidRPr="002462E6">
        <w:rPr>
          <w:rFonts w:ascii="Tahoma" w:eastAsia="Times New Roman" w:hAnsi="Tahoma" w:cs="Tahoma"/>
          <w:sz w:val="24"/>
          <w:szCs w:val="24"/>
        </w:rPr>
        <w:t>marchands</w:t>
      </w:r>
      <w:r w:rsidRPr="002462E6">
        <w:rPr>
          <w:rFonts w:ascii="Tahoma" w:eastAsia="Times New Roman" w:hAnsi="Tahoma" w:cs="Tahoma"/>
          <w:spacing w:val="-3"/>
          <w:sz w:val="24"/>
          <w:szCs w:val="24"/>
        </w:rPr>
        <w:t xml:space="preserve"> </w:t>
      </w:r>
      <w:r w:rsidRPr="002462E6">
        <w:rPr>
          <w:rFonts w:ascii="Tahoma" w:eastAsia="Times New Roman" w:hAnsi="Tahoma" w:cs="Tahoma"/>
          <w:sz w:val="24"/>
          <w:szCs w:val="24"/>
        </w:rPr>
        <w:t>et</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non</w:t>
      </w:r>
      <w:r w:rsidRPr="002462E6">
        <w:rPr>
          <w:rFonts w:ascii="Tahoma" w:eastAsia="Times New Roman" w:hAnsi="Tahoma" w:cs="Tahoma"/>
          <w:spacing w:val="-57"/>
          <w:sz w:val="24"/>
          <w:szCs w:val="24"/>
        </w:rPr>
        <w:t xml:space="preserve"> </w:t>
      </w:r>
      <w:r w:rsidRPr="002462E6">
        <w:rPr>
          <w:rFonts w:ascii="Tahoma" w:eastAsia="Times New Roman" w:hAnsi="Tahoma" w:cs="Tahoma"/>
          <w:sz w:val="24"/>
          <w:szCs w:val="24"/>
        </w:rPr>
        <w:t>marchands fournissant ainsi des apports directs et indirects substantiels. L'évaluation de ces</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biens</w:t>
      </w:r>
      <w:r w:rsidRPr="002462E6">
        <w:rPr>
          <w:rFonts w:ascii="Tahoma" w:eastAsia="Times New Roman" w:hAnsi="Tahoma" w:cs="Tahoma"/>
          <w:spacing w:val="-4"/>
          <w:sz w:val="24"/>
          <w:szCs w:val="24"/>
        </w:rPr>
        <w:t xml:space="preserve"> </w:t>
      </w:r>
      <w:r w:rsidRPr="002462E6">
        <w:rPr>
          <w:rFonts w:ascii="Tahoma" w:eastAsia="Times New Roman" w:hAnsi="Tahoma" w:cs="Tahoma"/>
          <w:sz w:val="24"/>
          <w:szCs w:val="24"/>
        </w:rPr>
        <w:t>et</w:t>
      </w:r>
      <w:r w:rsidRPr="002462E6">
        <w:rPr>
          <w:rFonts w:ascii="Tahoma" w:eastAsia="Times New Roman" w:hAnsi="Tahoma" w:cs="Tahoma"/>
          <w:spacing w:val="-4"/>
          <w:sz w:val="24"/>
          <w:szCs w:val="24"/>
        </w:rPr>
        <w:t xml:space="preserve"> </w:t>
      </w:r>
      <w:r w:rsidRPr="002462E6">
        <w:rPr>
          <w:rFonts w:ascii="Tahoma" w:eastAsia="Times New Roman" w:hAnsi="Tahoma" w:cs="Tahoma"/>
          <w:sz w:val="24"/>
          <w:szCs w:val="24"/>
        </w:rPr>
        <w:t>services,</w:t>
      </w:r>
      <w:r w:rsidRPr="002462E6">
        <w:rPr>
          <w:rFonts w:ascii="Tahoma" w:eastAsia="Times New Roman" w:hAnsi="Tahoma" w:cs="Tahoma"/>
          <w:spacing w:val="-4"/>
          <w:sz w:val="24"/>
          <w:szCs w:val="24"/>
        </w:rPr>
        <w:t xml:space="preserve"> </w:t>
      </w:r>
      <w:r w:rsidRPr="002462E6">
        <w:rPr>
          <w:rFonts w:ascii="Tahoma" w:eastAsia="Times New Roman" w:hAnsi="Tahoma" w:cs="Tahoma"/>
          <w:sz w:val="24"/>
          <w:szCs w:val="24"/>
        </w:rPr>
        <w:t>et</w:t>
      </w:r>
      <w:r w:rsidRPr="002462E6">
        <w:rPr>
          <w:rFonts w:ascii="Tahoma" w:eastAsia="Times New Roman" w:hAnsi="Tahoma" w:cs="Tahoma"/>
          <w:spacing w:val="-4"/>
          <w:sz w:val="24"/>
          <w:szCs w:val="24"/>
        </w:rPr>
        <w:t xml:space="preserve"> </w:t>
      </w:r>
      <w:r w:rsidRPr="002462E6">
        <w:rPr>
          <w:rFonts w:ascii="Tahoma" w:eastAsia="Times New Roman" w:hAnsi="Tahoma" w:cs="Tahoma"/>
          <w:sz w:val="24"/>
          <w:szCs w:val="24"/>
        </w:rPr>
        <w:t>du</w:t>
      </w:r>
      <w:r w:rsidRPr="002462E6">
        <w:rPr>
          <w:rFonts w:ascii="Tahoma" w:eastAsia="Times New Roman" w:hAnsi="Tahoma" w:cs="Tahoma"/>
          <w:spacing w:val="-5"/>
          <w:sz w:val="24"/>
          <w:szCs w:val="24"/>
        </w:rPr>
        <w:t xml:space="preserve"> </w:t>
      </w:r>
      <w:r w:rsidRPr="002462E6">
        <w:rPr>
          <w:rFonts w:ascii="Tahoma" w:eastAsia="Times New Roman" w:hAnsi="Tahoma" w:cs="Tahoma"/>
          <w:sz w:val="24"/>
          <w:szCs w:val="24"/>
        </w:rPr>
        <w:t>capital</w:t>
      </w:r>
      <w:r w:rsidRPr="002462E6">
        <w:rPr>
          <w:rFonts w:ascii="Tahoma" w:eastAsia="Times New Roman" w:hAnsi="Tahoma" w:cs="Tahoma"/>
          <w:spacing w:val="-4"/>
          <w:sz w:val="24"/>
          <w:szCs w:val="24"/>
        </w:rPr>
        <w:t xml:space="preserve"> </w:t>
      </w:r>
      <w:r w:rsidRPr="002462E6">
        <w:rPr>
          <w:rFonts w:ascii="Tahoma" w:eastAsia="Times New Roman" w:hAnsi="Tahoma" w:cs="Tahoma"/>
          <w:sz w:val="24"/>
          <w:szCs w:val="24"/>
        </w:rPr>
        <w:t>naturel</w:t>
      </w:r>
      <w:r w:rsidRPr="002462E6">
        <w:rPr>
          <w:rFonts w:ascii="Tahoma" w:eastAsia="Times New Roman" w:hAnsi="Tahoma" w:cs="Tahoma"/>
          <w:spacing w:val="-5"/>
          <w:sz w:val="24"/>
          <w:szCs w:val="24"/>
        </w:rPr>
        <w:t xml:space="preserve"> </w:t>
      </w:r>
      <w:r w:rsidRPr="002462E6">
        <w:rPr>
          <w:rFonts w:ascii="Tahoma" w:eastAsia="Times New Roman" w:hAnsi="Tahoma" w:cs="Tahoma"/>
          <w:sz w:val="24"/>
          <w:szCs w:val="24"/>
        </w:rPr>
        <w:t>qui</w:t>
      </w:r>
      <w:r w:rsidRPr="002462E6">
        <w:rPr>
          <w:rFonts w:ascii="Tahoma" w:eastAsia="Times New Roman" w:hAnsi="Tahoma" w:cs="Tahoma"/>
          <w:spacing w:val="-4"/>
          <w:sz w:val="24"/>
          <w:szCs w:val="24"/>
        </w:rPr>
        <w:t xml:space="preserve"> </w:t>
      </w:r>
      <w:r w:rsidRPr="002462E6">
        <w:rPr>
          <w:rFonts w:ascii="Tahoma" w:eastAsia="Times New Roman" w:hAnsi="Tahoma" w:cs="Tahoma"/>
          <w:sz w:val="24"/>
          <w:szCs w:val="24"/>
        </w:rPr>
        <w:t>les</w:t>
      </w:r>
      <w:r w:rsidRPr="002462E6">
        <w:rPr>
          <w:rFonts w:ascii="Tahoma" w:eastAsia="Times New Roman" w:hAnsi="Tahoma" w:cs="Tahoma"/>
          <w:spacing w:val="-4"/>
          <w:sz w:val="24"/>
          <w:szCs w:val="24"/>
        </w:rPr>
        <w:t xml:space="preserve"> </w:t>
      </w:r>
      <w:r w:rsidRPr="002462E6">
        <w:rPr>
          <w:rFonts w:ascii="Tahoma" w:eastAsia="Times New Roman" w:hAnsi="Tahoma" w:cs="Tahoma"/>
          <w:sz w:val="24"/>
          <w:szCs w:val="24"/>
        </w:rPr>
        <w:t>génère,</w:t>
      </w:r>
      <w:r w:rsidRPr="002462E6">
        <w:rPr>
          <w:rFonts w:ascii="Tahoma" w:eastAsia="Times New Roman" w:hAnsi="Tahoma" w:cs="Tahoma"/>
          <w:spacing w:val="-5"/>
          <w:sz w:val="24"/>
          <w:szCs w:val="24"/>
        </w:rPr>
        <w:t xml:space="preserve"> </w:t>
      </w:r>
      <w:r w:rsidRPr="002462E6">
        <w:rPr>
          <w:rFonts w:ascii="Tahoma" w:eastAsia="Times New Roman" w:hAnsi="Tahoma" w:cs="Tahoma"/>
          <w:sz w:val="24"/>
          <w:szCs w:val="24"/>
        </w:rPr>
        <w:t>a</w:t>
      </w:r>
      <w:r w:rsidRPr="002462E6">
        <w:rPr>
          <w:rFonts w:ascii="Tahoma" w:eastAsia="Times New Roman" w:hAnsi="Tahoma" w:cs="Tahoma"/>
          <w:spacing w:val="-4"/>
          <w:sz w:val="24"/>
          <w:szCs w:val="24"/>
        </w:rPr>
        <w:t xml:space="preserve"> </w:t>
      </w:r>
      <w:r w:rsidRPr="002462E6">
        <w:rPr>
          <w:rFonts w:ascii="Tahoma" w:eastAsia="Times New Roman" w:hAnsi="Tahoma" w:cs="Tahoma"/>
          <w:sz w:val="24"/>
          <w:szCs w:val="24"/>
        </w:rPr>
        <w:t>engendré</w:t>
      </w:r>
      <w:r w:rsidRPr="002462E6">
        <w:rPr>
          <w:rFonts w:ascii="Tahoma" w:eastAsia="Times New Roman" w:hAnsi="Tahoma" w:cs="Tahoma"/>
          <w:spacing w:val="-5"/>
          <w:sz w:val="24"/>
          <w:szCs w:val="24"/>
        </w:rPr>
        <w:t xml:space="preserve"> </w:t>
      </w:r>
      <w:r w:rsidRPr="002462E6">
        <w:rPr>
          <w:rFonts w:ascii="Tahoma" w:eastAsia="Times New Roman" w:hAnsi="Tahoma" w:cs="Tahoma"/>
          <w:sz w:val="24"/>
          <w:szCs w:val="24"/>
        </w:rPr>
        <w:t>de</w:t>
      </w:r>
      <w:r w:rsidRPr="002462E6">
        <w:rPr>
          <w:rFonts w:ascii="Tahoma" w:eastAsia="Times New Roman" w:hAnsi="Tahoma" w:cs="Tahoma"/>
          <w:spacing w:val="-5"/>
          <w:sz w:val="24"/>
          <w:szCs w:val="24"/>
        </w:rPr>
        <w:t xml:space="preserve"> </w:t>
      </w:r>
      <w:r w:rsidRPr="002462E6">
        <w:rPr>
          <w:rFonts w:ascii="Tahoma" w:eastAsia="Times New Roman" w:hAnsi="Tahoma" w:cs="Tahoma"/>
          <w:sz w:val="24"/>
          <w:szCs w:val="24"/>
        </w:rPr>
        <w:t>nombreuses</w:t>
      </w:r>
      <w:r w:rsidRPr="002462E6">
        <w:rPr>
          <w:rFonts w:ascii="Tahoma" w:eastAsia="Times New Roman" w:hAnsi="Tahoma" w:cs="Tahoma"/>
          <w:spacing w:val="-3"/>
          <w:sz w:val="24"/>
          <w:szCs w:val="24"/>
        </w:rPr>
        <w:t xml:space="preserve"> </w:t>
      </w:r>
      <w:r w:rsidRPr="002462E6">
        <w:rPr>
          <w:rFonts w:ascii="Tahoma" w:eastAsia="Times New Roman" w:hAnsi="Tahoma" w:cs="Tahoma"/>
          <w:sz w:val="24"/>
          <w:szCs w:val="24"/>
        </w:rPr>
        <w:t>tentatives</w:t>
      </w:r>
      <w:r w:rsidRPr="002462E6">
        <w:rPr>
          <w:rFonts w:ascii="Tahoma" w:eastAsia="Times New Roman" w:hAnsi="Tahoma" w:cs="Tahoma"/>
          <w:spacing w:val="-5"/>
          <w:sz w:val="24"/>
          <w:szCs w:val="24"/>
        </w:rPr>
        <w:t xml:space="preserve"> </w:t>
      </w:r>
      <w:r w:rsidRPr="002462E6">
        <w:rPr>
          <w:rFonts w:ascii="Tahoma" w:eastAsia="Times New Roman" w:hAnsi="Tahoma" w:cs="Tahoma"/>
          <w:sz w:val="24"/>
          <w:szCs w:val="24"/>
        </w:rPr>
        <w:t>pour</w:t>
      </w:r>
      <w:r w:rsidRPr="002462E6">
        <w:rPr>
          <w:rFonts w:ascii="Tahoma" w:eastAsia="Times New Roman" w:hAnsi="Tahoma" w:cs="Tahoma"/>
          <w:spacing w:val="-57"/>
          <w:sz w:val="24"/>
          <w:szCs w:val="24"/>
        </w:rPr>
        <w:t xml:space="preserve"> </w:t>
      </w:r>
      <w:r w:rsidRPr="002462E6">
        <w:rPr>
          <w:rFonts w:ascii="Tahoma" w:eastAsia="Times New Roman" w:hAnsi="Tahoma" w:cs="Tahoma"/>
          <w:sz w:val="24"/>
          <w:szCs w:val="24"/>
        </w:rPr>
        <w:t>les</w:t>
      </w:r>
      <w:r w:rsidRPr="002462E6">
        <w:rPr>
          <w:rFonts w:ascii="Tahoma" w:eastAsia="Times New Roman" w:hAnsi="Tahoma" w:cs="Tahoma"/>
          <w:spacing w:val="-13"/>
          <w:sz w:val="24"/>
          <w:szCs w:val="24"/>
        </w:rPr>
        <w:t xml:space="preserve"> </w:t>
      </w:r>
      <w:r w:rsidRPr="002462E6">
        <w:rPr>
          <w:rFonts w:ascii="Tahoma" w:eastAsia="Times New Roman" w:hAnsi="Tahoma" w:cs="Tahoma"/>
          <w:sz w:val="24"/>
          <w:szCs w:val="24"/>
        </w:rPr>
        <w:t>intégrer</w:t>
      </w:r>
      <w:r w:rsidRPr="002462E6">
        <w:rPr>
          <w:rFonts w:ascii="Tahoma" w:eastAsia="Times New Roman" w:hAnsi="Tahoma" w:cs="Tahoma"/>
          <w:spacing w:val="-13"/>
          <w:sz w:val="24"/>
          <w:szCs w:val="24"/>
        </w:rPr>
        <w:t xml:space="preserve"> </w:t>
      </w:r>
      <w:r w:rsidRPr="002462E6">
        <w:rPr>
          <w:rFonts w:ascii="Tahoma" w:eastAsia="Times New Roman" w:hAnsi="Tahoma" w:cs="Tahoma"/>
          <w:sz w:val="24"/>
          <w:szCs w:val="24"/>
        </w:rPr>
        <w:t>dans</w:t>
      </w:r>
      <w:r w:rsidRPr="002462E6">
        <w:rPr>
          <w:rFonts w:ascii="Tahoma" w:eastAsia="Times New Roman" w:hAnsi="Tahoma" w:cs="Tahoma"/>
          <w:spacing w:val="-13"/>
          <w:sz w:val="24"/>
          <w:szCs w:val="24"/>
        </w:rPr>
        <w:t xml:space="preserve"> </w:t>
      </w:r>
      <w:r w:rsidRPr="002462E6">
        <w:rPr>
          <w:rFonts w:ascii="Tahoma" w:eastAsia="Times New Roman" w:hAnsi="Tahoma" w:cs="Tahoma"/>
          <w:sz w:val="24"/>
          <w:szCs w:val="24"/>
        </w:rPr>
        <w:t>une</w:t>
      </w:r>
      <w:r w:rsidRPr="002462E6">
        <w:rPr>
          <w:rFonts w:ascii="Tahoma" w:eastAsia="Times New Roman" w:hAnsi="Tahoma" w:cs="Tahoma"/>
          <w:spacing w:val="-12"/>
          <w:sz w:val="24"/>
          <w:szCs w:val="24"/>
        </w:rPr>
        <w:t xml:space="preserve"> </w:t>
      </w:r>
      <w:r w:rsidRPr="002462E6">
        <w:rPr>
          <w:rFonts w:ascii="Tahoma" w:eastAsia="Times New Roman" w:hAnsi="Tahoma" w:cs="Tahoma"/>
          <w:sz w:val="24"/>
          <w:szCs w:val="24"/>
        </w:rPr>
        <w:t>comptabilité</w:t>
      </w:r>
      <w:r w:rsidRPr="002462E6">
        <w:rPr>
          <w:rFonts w:ascii="Tahoma" w:eastAsia="Times New Roman" w:hAnsi="Tahoma" w:cs="Tahoma"/>
          <w:spacing w:val="-13"/>
          <w:sz w:val="24"/>
          <w:szCs w:val="24"/>
        </w:rPr>
        <w:t xml:space="preserve"> </w:t>
      </w:r>
      <w:r w:rsidRPr="002462E6">
        <w:rPr>
          <w:rFonts w:ascii="Tahoma" w:eastAsia="Times New Roman" w:hAnsi="Tahoma" w:cs="Tahoma"/>
          <w:sz w:val="24"/>
          <w:szCs w:val="24"/>
        </w:rPr>
        <w:t>verte</w:t>
      </w:r>
      <w:r w:rsidRPr="002462E6">
        <w:rPr>
          <w:rFonts w:ascii="Tahoma" w:eastAsia="Times New Roman" w:hAnsi="Tahoma" w:cs="Tahoma"/>
          <w:spacing w:val="-13"/>
          <w:sz w:val="24"/>
          <w:szCs w:val="24"/>
        </w:rPr>
        <w:t xml:space="preserve"> </w:t>
      </w:r>
      <w:r w:rsidRPr="002462E6">
        <w:rPr>
          <w:rFonts w:ascii="Tahoma" w:eastAsia="Times New Roman" w:hAnsi="Tahoma" w:cs="Tahoma"/>
          <w:sz w:val="24"/>
          <w:szCs w:val="24"/>
        </w:rPr>
        <w:t>nationale</w:t>
      </w:r>
      <w:r w:rsidRPr="002462E6">
        <w:rPr>
          <w:rFonts w:ascii="Tahoma" w:eastAsia="Times New Roman" w:hAnsi="Tahoma" w:cs="Tahoma"/>
          <w:sz w:val="24"/>
          <w:szCs w:val="24"/>
          <w:vertAlign w:val="superscript"/>
        </w:rPr>
        <w:footnoteReference w:id="256"/>
      </w:r>
      <w:r w:rsidRPr="002462E6">
        <w:rPr>
          <w:rFonts w:ascii="Tahoma" w:eastAsia="Times New Roman" w:hAnsi="Tahoma" w:cs="Tahoma"/>
          <w:sz w:val="24"/>
          <w:szCs w:val="24"/>
        </w:rPr>
        <w:t>.</w:t>
      </w:r>
      <w:r w:rsidRPr="002462E6">
        <w:rPr>
          <w:rFonts w:ascii="Tahoma" w:eastAsia="Times New Roman" w:hAnsi="Tahoma" w:cs="Tahoma"/>
          <w:spacing w:val="-13"/>
          <w:sz w:val="24"/>
          <w:szCs w:val="24"/>
        </w:rPr>
        <w:t xml:space="preserve"> </w:t>
      </w:r>
      <w:r w:rsidRPr="002462E6">
        <w:rPr>
          <w:rFonts w:ascii="Tahoma" w:eastAsia="Times New Roman" w:hAnsi="Tahoma" w:cs="Tahoma"/>
          <w:sz w:val="24"/>
          <w:szCs w:val="24"/>
        </w:rPr>
        <w:t>Pour</w:t>
      </w:r>
      <w:r w:rsidRPr="002462E6">
        <w:rPr>
          <w:rFonts w:ascii="Tahoma" w:eastAsia="Times New Roman" w:hAnsi="Tahoma" w:cs="Tahoma"/>
          <w:spacing w:val="-12"/>
          <w:sz w:val="24"/>
          <w:szCs w:val="24"/>
        </w:rPr>
        <w:t xml:space="preserve"> </w:t>
      </w:r>
      <w:r w:rsidRPr="002462E6">
        <w:rPr>
          <w:rFonts w:ascii="Tahoma" w:eastAsia="Times New Roman" w:hAnsi="Tahoma" w:cs="Tahoma"/>
          <w:sz w:val="24"/>
          <w:szCs w:val="24"/>
        </w:rPr>
        <w:t>illustrer</w:t>
      </w:r>
      <w:r w:rsidRPr="002462E6">
        <w:rPr>
          <w:rFonts w:ascii="Tahoma" w:eastAsia="Times New Roman" w:hAnsi="Tahoma" w:cs="Tahoma"/>
          <w:spacing w:val="-13"/>
          <w:sz w:val="24"/>
          <w:szCs w:val="24"/>
        </w:rPr>
        <w:t xml:space="preserve"> </w:t>
      </w:r>
      <w:r w:rsidRPr="002462E6">
        <w:rPr>
          <w:rFonts w:ascii="Tahoma" w:eastAsia="Times New Roman" w:hAnsi="Tahoma" w:cs="Tahoma"/>
          <w:sz w:val="24"/>
          <w:szCs w:val="24"/>
        </w:rPr>
        <w:t>l'importance</w:t>
      </w:r>
      <w:r w:rsidRPr="002462E6">
        <w:rPr>
          <w:rFonts w:ascii="Tahoma" w:eastAsia="Times New Roman" w:hAnsi="Tahoma" w:cs="Tahoma"/>
          <w:spacing w:val="-13"/>
          <w:sz w:val="24"/>
          <w:szCs w:val="24"/>
        </w:rPr>
        <w:t xml:space="preserve"> </w:t>
      </w:r>
      <w:r w:rsidRPr="002462E6">
        <w:rPr>
          <w:rFonts w:ascii="Tahoma" w:eastAsia="Times New Roman" w:hAnsi="Tahoma" w:cs="Tahoma"/>
          <w:sz w:val="24"/>
          <w:szCs w:val="24"/>
        </w:rPr>
        <w:t>économique</w:t>
      </w:r>
      <w:r w:rsidRPr="002462E6">
        <w:rPr>
          <w:rFonts w:ascii="Tahoma" w:eastAsia="Times New Roman" w:hAnsi="Tahoma" w:cs="Tahoma"/>
          <w:spacing w:val="-13"/>
          <w:sz w:val="24"/>
          <w:szCs w:val="24"/>
        </w:rPr>
        <w:t xml:space="preserve"> </w:t>
      </w:r>
      <w:r w:rsidRPr="002462E6">
        <w:rPr>
          <w:rFonts w:ascii="Tahoma" w:eastAsia="Times New Roman" w:hAnsi="Tahoma" w:cs="Tahoma"/>
          <w:sz w:val="24"/>
          <w:szCs w:val="24"/>
        </w:rPr>
        <w:t>des</w:t>
      </w:r>
      <w:r w:rsidRPr="002462E6">
        <w:rPr>
          <w:rFonts w:ascii="Tahoma" w:eastAsia="Times New Roman" w:hAnsi="Tahoma" w:cs="Tahoma"/>
          <w:spacing w:val="-57"/>
          <w:sz w:val="24"/>
          <w:szCs w:val="24"/>
        </w:rPr>
        <w:t xml:space="preserve"> </w:t>
      </w:r>
      <w:r w:rsidRPr="002462E6">
        <w:rPr>
          <w:rFonts w:ascii="Tahoma" w:eastAsia="Times New Roman" w:hAnsi="Tahoma" w:cs="Tahoma"/>
          <w:sz w:val="24"/>
          <w:szCs w:val="24"/>
        </w:rPr>
        <w:t>écosystèmes forestiers, il a été démontré par exemple en 2014 que les valeurs générées par</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l’écosystème arganier représentent 7,2% du produit intérieur brut de la région</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Souss-Massa. D’après les données de l’Agence Nationale pour le Développement des Zones Oasiennes et de l’Arganier (ANDZOA), la filière de l’arganier génère annuellement 1,2 milliard de dirhams de chiffre d’affaires et presque 25.500 emplois.</w:t>
      </w:r>
    </w:p>
    <w:p w:rsidR="00726EDC" w:rsidRPr="002462E6" w:rsidRDefault="00726EDC" w:rsidP="00726EDC">
      <w:pPr>
        <w:widowControl w:val="0"/>
        <w:autoSpaceDE w:val="0"/>
        <w:autoSpaceDN w:val="0"/>
        <w:spacing w:after="0" w:line="360" w:lineRule="auto"/>
        <w:jc w:val="both"/>
        <w:rPr>
          <w:rFonts w:ascii="Tahoma" w:eastAsia="Times New Roman" w:hAnsi="Tahoma" w:cs="Tahoma"/>
          <w:color w:val="000000"/>
          <w:sz w:val="24"/>
          <w:szCs w:val="24"/>
        </w:rPr>
      </w:pPr>
      <w:r w:rsidRPr="002462E6">
        <w:rPr>
          <w:rFonts w:ascii="Tahoma" w:eastAsia="Times New Roman" w:hAnsi="Tahoma" w:cs="Tahoma"/>
          <w:color w:val="000000"/>
          <w:sz w:val="24"/>
          <w:szCs w:val="24"/>
        </w:rPr>
        <w:t>A travers la nouvelle stratégie «</w:t>
      </w:r>
      <w:r w:rsidRPr="002462E6">
        <w:rPr>
          <w:rFonts w:ascii="Tahoma" w:eastAsia="Times New Roman" w:hAnsi="Tahoma" w:cs="Tahoma"/>
          <w:i/>
          <w:iCs/>
          <w:color w:val="000000"/>
          <w:sz w:val="24"/>
          <w:szCs w:val="24"/>
        </w:rPr>
        <w:t xml:space="preserve"> Génération Green, 2020-2030</w:t>
      </w:r>
      <w:r w:rsidRPr="002462E6">
        <w:rPr>
          <w:rFonts w:ascii="Tahoma" w:eastAsia="Times New Roman" w:hAnsi="Tahoma" w:cs="Tahoma"/>
          <w:color w:val="000000"/>
          <w:sz w:val="24"/>
          <w:szCs w:val="24"/>
        </w:rPr>
        <w:t xml:space="preserve"> », le département des Eaux et Forêts a signé un nouveau contrat-programme visant, à l’horizon 2030, la réhabilitation de 400.000 ha d’arganeraie, l’extension de l’arganiculture sur 50.000 ha, l’augmentation de la production de l’huile d’argan avec un volume de 10.000 tonnes, dont 5.000 tonnes seront exportées</w:t>
      </w:r>
      <w:r w:rsidRPr="002462E6">
        <w:rPr>
          <w:rFonts w:ascii="Tahoma" w:eastAsia="Times New Roman" w:hAnsi="Tahoma" w:cs="Tahoma"/>
          <w:color w:val="000000"/>
          <w:sz w:val="24"/>
          <w:szCs w:val="24"/>
          <w:vertAlign w:val="superscript"/>
        </w:rPr>
        <w:footnoteReference w:id="257"/>
      </w:r>
      <w:r w:rsidRPr="002462E6">
        <w:rPr>
          <w:rFonts w:ascii="Tahoma" w:eastAsia="Times New Roman" w:hAnsi="Tahoma" w:cs="Tahoma"/>
          <w:color w:val="000000"/>
          <w:sz w:val="24"/>
          <w:szCs w:val="24"/>
        </w:rPr>
        <w:t>.</w:t>
      </w:r>
    </w:p>
    <w:p w:rsidR="00726EDC" w:rsidRPr="002462E6" w:rsidRDefault="00726EDC" w:rsidP="00CA3615">
      <w:pPr>
        <w:widowControl w:val="0"/>
        <w:autoSpaceDE w:val="0"/>
        <w:autoSpaceDN w:val="0"/>
        <w:spacing w:before="64" w:after="0" w:line="360" w:lineRule="auto"/>
        <w:ind w:right="-138"/>
        <w:jc w:val="both"/>
        <w:rPr>
          <w:rFonts w:ascii="Tahoma" w:eastAsia="Times New Roman" w:hAnsi="Tahoma" w:cs="Tahoma"/>
          <w:sz w:val="24"/>
          <w:szCs w:val="24"/>
        </w:rPr>
      </w:pPr>
      <w:r w:rsidRPr="002462E6">
        <w:rPr>
          <w:rFonts w:ascii="Tahoma" w:eastAsia="Times New Roman" w:hAnsi="Tahoma" w:cs="Tahoma"/>
          <w:sz w:val="24"/>
          <w:szCs w:val="24"/>
        </w:rPr>
        <w:t>Après avoir mis l’accent sur la richesse du patrimoine végétal forestier marocain, ainsi que ses multiples fonctions, qu’en est alors du potentiel floristique dans l</w:t>
      </w:r>
      <w:r w:rsidR="001F6639" w:rsidRPr="002462E6">
        <w:rPr>
          <w:rFonts w:ascii="Tahoma" w:eastAsia="Times New Roman" w:hAnsi="Tahoma" w:cs="Tahoma"/>
          <w:sz w:val="24"/>
          <w:szCs w:val="24"/>
        </w:rPr>
        <w:t>a zone de recherche ?</w:t>
      </w:r>
    </w:p>
    <w:p w:rsidR="008E667A" w:rsidRDefault="008E667A">
      <w:pPr>
        <w:rPr>
          <w:rFonts w:ascii="Tahoma" w:eastAsia="Calibri" w:hAnsi="Tahoma" w:cs="Times New Roman"/>
          <w:b/>
          <w:bCs/>
          <w:iCs/>
          <w:sz w:val="24"/>
          <w:szCs w:val="24"/>
          <w:lang w:eastAsia="fr-FR"/>
        </w:rPr>
      </w:pPr>
      <w:bookmarkStart w:id="221" w:name="_Toc201655480"/>
      <w:r>
        <w:rPr>
          <w:rFonts w:eastAsia="Calibri"/>
        </w:rPr>
        <w:br w:type="page"/>
      </w:r>
    </w:p>
    <w:p w:rsidR="00726EDC" w:rsidRPr="002462E6" w:rsidRDefault="00726EDC" w:rsidP="00BF1F48">
      <w:pPr>
        <w:pStyle w:val="Titre5"/>
      </w:pPr>
      <w:bookmarkStart w:id="222" w:name="_Toc203643032"/>
      <w:r w:rsidRPr="002462E6">
        <w:rPr>
          <w:rFonts w:eastAsia="Calibri"/>
        </w:rPr>
        <w:t>Spécificités floristiques de la zone de recherche</w:t>
      </w:r>
      <w:bookmarkEnd w:id="221"/>
      <w:bookmarkEnd w:id="222"/>
      <w:r w:rsidRPr="002462E6">
        <w:rPr>
          <w:rFonts w:eastAsia="Calibri"/>
        </w:rPr>
        <w:t xml:space="preserve"> </w:t>
      </w:r>
    </w:p>
    <w:p w:rsidR="00726EDC" w:rsidRPr="002462E6" w:rsidRDefault="00726EDC" w:rsidP="00726EDC">
      <w:pPr>
        <w:spacing w:before="64" w:line="360" w:lineRule="auto"/>
        <w:ind w:left="1415" w:right="607"/>
        <w:contextualSpacing/>
        <w:rPr>
          <w:rFonts w:ascii="Tahoma" w:eastAsia="Times New Roman" w:hAnsi="Tahoma" w:cs="Tahoma"/>
          <w:sz w:val="24"/>
          <w:szCs w:val="24"/>
        </w:rPr>
      </w:pPr>
    </w:p>
    <w:p w:rsidR="00726EDC" w:rsidRPr="002462E6" w:rsidRDefault="00726EDC" w:rsidP="00726EDC">
      <w:pPr>
        <w:widowControl w:val="0"/>
        <w:autoSpaceDE w:val="0"/>
        <w:autoSpaceDN w:val="0"/>
        <w:spacing w:before="64" w:after="0" w:line="360" w:lineRule="auto"/>
        <w:ind w:right="4"/>
        <w:jc w:val="both"/>
        <w:rPr>
          <w:rFonts w:ascii="Tahoma" w:eastAsia="Times New Roman" w:hAnsi="Tahoma" w:cs="Tahoma"/>
          <w:sz w:val="24"/>
          <w:szCs w:val="24"/>
        </w:rPr>
      </w:pPr>
      <w:r w:rsidRPr="002462E6">
        <w:rPr>
          <w:rFonts w:ascii="Tahoma" w:eastAsia="Times New Roman" w:hAnsi="Tahoma" w:cs="Tahoma"/>
          <w:sz w:val="24"/>
          <w:szCs w:val="24"/>
        </w:rPr>
        <w:t xml:space="preserve">La forêt de Korifla est située dans la région de Rabat-Salé-Kénitra, suite à la fusion de deux anciennes régions Rabat-Salé-Zemmour-Zaêer et Gharb-Cherarda-Béni Hssen, conformément au Décret n°2.15.10 du 20 février 2015. </w:t>
      </w:r>
    </w:p>
    <w:p w:rsidR="00726EDC" w:rsidRPr="002462E6" w:rsidRDefault="00726EDC" w:rsidP="00726EDC">
      <w:pPr>
        <w:widowControl w:val="0"/>
        <w:autoSpaceDE w:val="0"/>
        <w:autoSpaceDN w:val="0"/>
        <w:spacing w:before="64" w:after="0" w:line="360" w:lineRule="auto"/>
        <w:ind w:right="4"/>
        <w:jc w:val="both"/>
        <w:rPr>
          <w:rFonts w:ascii="Tahoma" w:eastAsia="Times New Roman" w:hAnsi="Tahoma" w:cs="Tahoma"/>
          <w:sz w:val="24"/>
          <w:szCs w:val="24"/>
        </w:rPr>
      </w:pPr>
      <w:r w:rsidRPr="002462E6">
        <w:rPr>
          <w:rFonts w:ascii="Tahoma" w:eastAsia="Times New Roman" w:hAnsi="Tahoma" w:cs="Tahoma"/>
          <w:sz w:val="24"/>
          <w:szCs w:val="24"/>
        </w:rPr>
        <w:t>Cette région s’étend sur une superficie de 18 194 km² et compte une population de 5 132 639 habitants selon le Recensement Général de la Population et de l’Habitat (RGPH) de 2024, avec un taux d’urbanisation de 70,7 %. Elle représente ainsi 2,56 % du territoire national.</w:t>
      </w:r>
    </w:p>
    <w:p w:rsidR="00726EDC" w:rsidRPr="002462E6" w:rsidRDefault="00726EDC" w:rsidP="00726EDC">
      <w:pPr>
        <w:widowControl w:val="0"/>
        <w:autoSpaceDE w:val="0"/>
        <w:autoSpaceDN w:val="0"/>
        <w:spacing w:before="64" w:after="0" w:line="360" w:lineRule="auto"/>
        <w:ind w:right="-138"/>
        <w:jc w:val="both"/>
        <w:rPr>
          <w:rFonts w:ascii="Tahoma" w:eastAsia="Times New Roman" w:hAnsi="Tahoma" w:cs="Tahoma"/>
          <w:b/>
          <w:bCs/>
          <w:sz w:val="24"/>
          <w:szCs w:val="24"/>
        </w:rPr>
      </w:pPr>
      <w:r w:rsidRPr="002462E6">
        <w:rPr>
          <w:rFonts w:ascii="Tahoma" w:eastAsia="Times New Roman" w:hAnsi="Tahoma" w:cs="Tahoma"/>
          <w:sz w:val="24"/>
          <w:szCs w:val="24"/>
          <w:lang w:eastAsia="fr-FR"/>
        </w:rPr>
        <w:t xml:space="preserve">Sur le plan géographique, la région est délimitée au nord par la région de Tanger-Tétouan-Al Hoceïma, à l’est par la région de Fès-Meknès, au sud par les régions de Béni Mellal-Khénifra et Casablanca-Settat, et à l’ouest par l’océan Atlantique </w:t>
      </w:r>
      <w:r w:rsidRPr="002462E6">
        <w:rPr>
          <w:rFonts w:ascii="Tahoma" w:eastAsia="Times New Roman" w:hAnsi="Tahoma" w:cs="Tahoma"/>
          <w:b/>
          <w:bCs/>
          <w:sz w:val="24"/>
          <w:szCs w:val="24"/>
        </w:rPr>
        <w:t>(Carte N°</w:t>
      </w:r>
      <w:r w:rsidR="009D2528" w:rsidRPr="002462E6">
        <w:rPr>
          <w:rFonts w:ascii="Tahoma" w:eastAsia="Times New Roman" w:hAnsi="Tahoma" w:cs="Tahoma"/>
          <w:b/>
          <w:bCs/>
          <w:sz w:val="24"/>
          <w:szCs w:val="24"/>
        </w:rPr>
        <w:t xml:space="preserve"> </w:t>
      </w:r>
      <w:r w:rsidRPr="002462E6">
        <w:rPr>
          <w:rFonts w:ascii="Tahoma" w:eastAsia="Times New Roman" w:hAnsi="Tahoma" w:cs="Tahoma"/>
          <w:b/>
          <w:bCs/>
          <w:sz w:val="24"/>
          <w:szCs w:val="24"/>
        </w:rPr>
        <w:t>4).</w:t>
      </w:r>
    </w:p>
    <w:p w:rsidR="00726EDC" w:rsidRPr="002462E6" w:rsidRDefault="00726EDC" w:rsidP="006307DC">
      <w:pPr>
        <w:rPr>
          <w:rFonts w:ascii="Tahoma" w:eastAsia="Times New Roman" w:hAnsi="Tahoma" w:cs="Tahoma"/>
          <w:b/>
          <w:bCs/>
          <w:sz w:val="24"/>
          <w:szCs w:val="24"/>
        </w:rPr>
      </w:pPr>
    </w:p>
    <w:p w:rsidR="00942E4A" w:rsidRPr="002462E6" w:rsidRDefault="00942E4A" w:rsidP="000D57A1">
      <w:pPr>
        <w:pStyle w:val="Sous-titre"/>
      </w:pPr>
      <w:bookmarkStart w:id="223" w:name="_Toc203642678"/>
      <w:r w:rsidRPr="002462E6">
        <w:t xml:space="preserve">Carte </w:t>
      </w:r>
      <w:r w:rsidR="00225ED1">
        <w:rPr>
          <w:noProof/>
        </w:rPr>
        <w:fldChar w:fldCharType="begin"/>
      </w:r>
      <w:r w:rsidR="00225ED1">
        <w:rPr>
          <w:noProof/>
        </w:rPr>
        <w:instrText xml:space="preserve"> SEQ Carte \* ARABIC </w:instrText>
      </w:r>
      <w:r w:rsidR="00225ED1">
        <w:rPr>
          <w:noProof/>
        </w:rPr>
        <w:fldChar w:fldCharType="separate"/>
      </w:r>
      <w:r w:rsidR="00124AFB">
        <w:rPr>
          <w:noProof/>
        </w:rPr>
        <w:t>4</w:t>
      </w:r>
      <w:r w:rsidR="00225ED1">
        <w:rPr>
          <w:noProof/>
        </w:rPr>
        <w:fldChar w:fldCharType="end"/>
      </w:r>
      <w:r w:rsidR="00EC5E5B" w:rsidRPr="002462E6">
        <w:t xml:space="preserve"> </w:t>
      </w:r>
      <w:r w:rsidRPr="002462E6">
        <w:t>: Localisation de la région Rabat-Salé-Kénitra</w:t>
      </w:r>
      <w:bookmarkEnd w:id="223"/>
    </w:p>
    <w:p w:rsidR="00726EDC" w:rsidRPr="002462E6" w:rsidRDefault="00726EDC" w:rsidP="00726EDC">
      <w:pPr>
        <w:widowControl w:val="0"/>
        <w:autoSpaceDE w:val="0"/>
        <w:autoSpaceDN w:val="0"/>
        <w:spacing w:after="0" w:line="240" w:lineRule="auto"/>
        <w:rPr>
          <w:rFonts w:ascii="Times New Roman" w:eastAsia="Times New Roman" w:hAnsi="Times New Roman" w:cs="Times New Roman"/>
        </w:rPr>
      </w:pPr>
      <w:r w:rsidRPr="002462E6">
        <w:rPr>
          <w:rFonts w:ascii="Times New Roman" w:eastAsia="Times New Roman" w:hAnsi="Times New Roman" w:cs="Times New Roman"/>
          <w:noProof/>
          <w:lang w:eastAsia="fr-FR"/>
        </w:rPr>
        <w:drawing>
          <wp:inline distT="0" distB="0" distL="0" distR="0" wp14:anchorId="0DEC3B0D" wp14:editId="3AA20EC1">
            <wp:extent cx="5941060" cy="4156710"/>
            <wp:effectExtent l="0" t="0" r="2540" b="0"/>
            <wp:docPr id="2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556835" name=""/>
                    <pic:cNvPicPr/>
                  </pic:nvPicPr>
                  <pic:blipFill>
                    <a:blip r:embed="rId27"/>
                    <a:stretch>
                      <a:fillRect/>
                    </a:stretch>
                  </pic:blipFill>
                  <pic:spPr>
                    <a:xfrm>
                      <a:off x="0" y="0"/>
                      <a:ext cx="5941060" cy="4156710"/>
                    </a:xfrm>
                    <a:prstGeom prst="rect">
                      <a:avLst/>
                    </a:prstGeom>
                  </pic:spPr>
                </pic:pic>
              </a:graphicData>
            </a:graphic>
          </wp:inline>
        </w:drawing>
      </w:r>
    </w:p>
    <w:p w:rsidR="00726EDC" w:rsidRPr="002462E6" w:rsidRDefault="00726EDC" w:rsidP="0067172C">
      <w:pPr>
        <w:widowControl w:val="0"/>
        <w:autoSpaceDE w:val="0"/>
        <w:autoSpaceDN w:val="0"/>
        <w:spacing w:before="64" w:after="0" w:line="360" w:lineRule="auto"/>
        <w:ind w:right="4"/>
        <w:jc w:val="center"/>
        <w:rPr>
          <w:rFonts w:ascii="Tahoma" w:eastAsia="Times New Roman" w:hAnsi="Tahoma" w:cs="Tahoma"/>
          <w:sz w:val="20"/>
          <w:szCs w:val="20"/>
        </w:rPr>
      </w:pPr>
      <w:r w:rsidRPr="002462E6">
        <w:rPr>
          <w:rFonts w:ascii="Tahoma" w:eastAsia="Times New Roman" w:hAnsi="Tahoma" w:cs="Tahoma"/>
          <w:b/>
          <w:bCs/>
          <w:sz w:val="20"/>
          <w:szCs w:val="20"/>
        </w:rPr>
        <w:t>Source :</w:t>
      </w:r>
      <w:r w:rsidRPr="002462E6">
        <w:rPr>
          <w:rFonts w:ascii="Tahoma" w:eastAsia="Times New Roman" w:hAnsi="Tahoma" w:cs="Tahoma"/>
          <w:sz w:val="20"/>
          <w:szCs w:val="20"/>
        </w:rPr>
        <w:t xml:space="preserve"> monographie de la région Rabat-Salé-Kénitra </w:t>
      </w:r>
    </w:p>
    <w:p w:rsidR="00726EDC" w:rsidRPr="002462E6" w:rsidRDefault="00726EDC" w:rsidP="00726EDC">
      <w:pPr>
        <w:widowControl w:val="0"/>
        <w:autoSpaceDE w:val="0"/>
        <w:autoSpaceDN w:val="0"/>
        <w:spacing w:before="64" w:after="0" w:line="360" w:lineRule="auto"/>
        <w:ind w:right="4"/>
        <w:jc w:val="both"/>
        <w:rPr>
          <w:rFonts w:ascii="Tahoma" w:eastAsia="Times New Roman" w:hAnsi="Tahoma" w:cs="Tahoma"/>
          <w:sz w:val="24"/>
          <w:szCs w:val="24"/>
        </w:rPr>
      </w:pPr>
      <w:r w:rsidRPr="002462E6">
        <w:rPr>
          <w:rFonts w:ascii="Tahoma" w:eastAsia="Times New Roman" w:hAnsi="Tahoma" w:cs="Tahoma"/>
          <w:sz w:val="24"/>
          <w:szCs w:val="24"/>
        </w:rPr>
        <w:t>La région de Rabat-Salé-Kénitra est</w:t>
      </w:r>
      <w:r w:rsidR="009F5DC0" w:rsidRPr="002462E6">
        <w:rPr>
          <w:rFonts w:ascii="Tahoma" w:eastAsia="Times New Roman" w:hAnsi="Tahoma" w:cs="Tahoma"/>
          <w:sz w:val="24"/>
          <w:szCs w:val="24"/>
        </w:rPr>
        <w:t xml:space="preserve"> composée de trois préfectures -</w:t>
      </w:r>
      <w:r w:rsidRPr="002462E6">
        <w:rPr>
          <w:rFonts w:ascii="Tahoma" w:eastAsia="Times New Roman" w:hAnsi="Tahoma" w:cs="Tahoma"/>
          <w:sz w:val="24"/>
          <w:szCs w:val="24"/>
        </w:rPr>
        <w:t xml:space="preserve"> R</w:t>
      </w:r>
      <w:r w:rsidR="009F5DC0" w:rsidRPr="002462E6">
        <w:rPr>
          <w:rFonts w:ascii="Tahoma" w:eastAsia="Times New Roman" w:hAnsi="Tahoma" w:cs="Tahoma"/>
          <w:sz w:val="24"/>
          <w:szCs w:val="24"/>
        </w:rPr>
        <w:t xml:space="preserve">abat, Salé et Skhirate-Témara - </w:t>
      </w:r>
      <w:r w:rsidRPr="002462E6">
        <w:rPr>
          <w:rFonts w:ascii="Tahoma" w:eastAsia="Times New Roman" w:hAnsi="Tahoma" w:cs="Tahoma"/>
          <w:sz w:val="24"/>
          <w:szCs w:val="24"/>
        </w:rPr>
        <w:t>et de quatre provinces : Kénitra, Khémisset, Sidi Kacem et Sidi Slimane. Elle compte un total de 114 communes, dont 23 urbaines et 91 rurales, représentant environ 7,6 % de l’ensemble des communes à l’échelle nationale.</w:t>
      </w:r>
    </w:p>
    <w:p w:rsidR="00726EDC" w:rsidRPr="002462E6" w:rsidRDefault="00726EDC" w:rsidP="00726EDC">
      <w:pPr>
        <w:widowControl w:val="0"/>
        <w:autoSpaceDE w:val="0"/>
        <w:autoSpaceDN w:val="0"/>
        <w:spacing w:before="64" w:after="0" w:line="360" w:lineRule="auto"/>
        <w:ind w:right="4"/>
        <w:jc w:val="both"/>
        <w:rPr>
          <w:rFonts w:ascii="Tahoma" w:eastAsia="Times New Roman" w:hAnsi="Tahoma" w:cs="Tahoma"/>
          <w:sz w:val="24"/>
          <w:szCs w:val="24"/>
        </w:rPr>
      </w:pPr>
      <w:r w:rsidRPr="002462E6">
        <w:rPr>
          <w:rFonts w:ascii="Tahoma" w:eastAsia="Times New Roman" w:hAnsi="Tahoma" w:cs="Tahoma"/>
          <w:sz w:val="24"/>
          <w:szCs w:val="24"/>
        </w:rPr>
        <w:t>En plus de son importance administrative et socio-économique, la région se distingue par un patrimoine naturel et environnemental d’une grande richesse. Elle abrite plusieurs sites écologiquement remarquables qui contribuent à la préservation de la biodiversité et à l’équilibre des écosystèmes</w:t>
      </w:r>
      <w:r w:rsidRPr="002462E6">
        <w:rPr>
          <w:rFonts w:ascii="Tahoma" w:eastAsia="Times New Roman" w:hAnsi="Tahoma" w:cs="Tahoma"/>
          <w:sz w:val="24"/>
          <w:szCs w:val="24"/>
          <w:vertAlign w:val="superscript"/>
        </w:rPr>
        <w:footnoteReference w:id="258"/>
      </w:r>
      <w:r w:rsidRPr="002462E6">
        <w:rPr>
          <w:rFonts w:ascii="Tahoma" w:eastAsia="Times New Roman" w:hAnsi="Tahoma" w:cs="Tahoma"/>
          <w:sz w:val="24"/>
          <w:szCs w:val="24"/>
        </w:rPr>
        <w:t>. Parmi eux, deux Sites d’Intérêt Biologiqu</w:t>
      </w:r>
      <w:r w:rsidR="009F5DC0" w:rsidRPr="002462E6">
        <w:rPr>
          <w:rFonts w:ascii="Tahoma" w:eastAsia="Times New Roman" w:hAnsi="Tahoma" w:cs="Tahoma"/>
          <w:sz w:val="24"/>
          <w:szCs w:val="24"/>
        </w:rPr>
        <w:t>e et Écologique (SIBE) majeurs -</w:t>
      </w:r>
      <w:r w:rsidRPr="002462E6">
        <w:rPr>
          <w:rFonts w:ascii="Tahoma" w:eastAsia="Times New Roman" w:hAnsi="Tahoma" w:cs="Tahoma"/>
          <w:sz w:val="24"/>
          <w:szCs w:val="24"/>
        </w:rPr>
        <w:t xml:space="preserve"> la Merja Ze</w:t>
      </w:r>
      <w:r w:rsidR="009F5DC0" w:rsidRPr="002462E6">
        <w:rPr>
          <w:rFonts w:ascii="Tahoma" w:eastAsia="Times New Roman" w:hAnsi="Tahoma" w:cs="Tahoma"/>
          <w:sz w:val="24"/>
          <w:szCs w:val="24"/>
        </w:rPr>
        <w:t>rga et le lac de Sidi Boughaba -</w:t>
      </w:r>
      <w:r w:rsidRPr="002462E6">
        <w:rPr>
          <w:rFonts w:ascii="Tahoma" w:eastAsia="Times New Roman" w:hAnsi="Tahoma" w:cs="Tahoma"/>
          <w:sz w:val="24"/>
          <w:szCs w:val="24"/>
        </w:rPr>
        <w:t xml:space="preserve"> qui figurent parmi les zones humides les plus riches en biodiversité à l’échelle nationale et internationale.</w:t>
      </w:r>
    </w:p>
    <w:p w:rsidR="00726EDC" w:rsidRPr="002462E6" w:rsidRDefault="00726EDC" w:rsidP="00726EDC">
      <w:pPr>
        <w:widowControl w:val="0"/>
        <w:autoSpaceDE w:val="0"/>
        <w:autoSpaceDN w:val="0"/>
        <w:spacing w:before="64" w:after="0" w:line="360" w:lineRule="auto"/>
        <w:ind w:right="4"/>
        <w:jc w:val="both"/>
        <w:rPr>
          <w:rFonts w:ascii="Tahoma" w:eastAsia="Times New Roman" w:hAnsi="Tahoma" w:cs="Tahoma"/>
          <w:sz w:val="24"/>
          <w:szCs w:val="24"/>
        </w:rPr>
      </w:pPr>
      <w:r w:rsidRPr="002462E6">
        <w:rPr>
          <w:rFonts w:ascii="Tahoma" w:eastAsia="Times New Roman" w:hAnsi="Tahoma" w:cs="Tahoma"/>
          <w:sz w:val="24"/>
          <w:szCs w:val="24"/>
        </w:rPr>
        <w:t>En reconnaissance de leur valeur écologique, ces deux sites ont été inscrits sur la liste de la Convention de Ramsar depuis 1980, renforçant ainsi leur statut en tant qu’espaces protégés d’importance mondiale</w:t>
      </w:r>
      <w:r w:rsidRPr="002462E6">
        <w:rPr>
          <w:rFonts w:ascii="Tahoma" w:eastAsia="Times New Roman" w:hAnsi="Tahoma" w:cs="Tahoma"/>
          <w:sz w:val="24"/>
          <w:szCs w:val="24"/>
          <w:vertAlign w:val="superscript"/>
        </w:rPr>
        <w:footnoteReference w:id="259"/>
      </w:r>
      <w:r w:rsidRPr="002462E6">
        <w:rPr>
          <w:rFonts w:ascii="Tahoma" w:eastAsia="Times New Roman" w:hAnsi="Tahoma" w:cs="Tahoma"/>
          <w:sz w:val="24"/>
          <w:szCs w:val="24"/>
        </w:rPr>
        <w:t>.</w:t>
      </w:r>
    </w:p>
    <w:p w:rsidR="00726EDC" w:rsidRPr="002462E6" w:rsidRDefault="00726EDC" w:rsidP="00726EDC">
      <w:pPr>
        <w:widowControl w:val="0"/>
        <w:autoSpaceDE w:val="0"/>
        <w:autoSpaceDN w:val="0"/>
        <w:spacing w:after="0" w:line="360" w:lineRule="auto"/>
        <w:jc w:val="both"/>
        <w:rPr>
          <w:rFonts w:ascii="Tahoma" w:eastAsia="Times New Roman" w:hAnsi="Tahoma" w:cs="Tahoma"/>
          <w:sz w:val="24"/>
          <w:szCs w:val="24"/>
        </w:rPr>
      </w:pPr>
      <w:r w:rsidRPr="002462E6">
        <w:rPr>
          <w:rFonts w:ascii="Tahoma" w:eastAsia="Times New Roman" w:hAnsi="Tahoma" w:cs="Tahoma"/>
          <w:sz w:val="24"/>
          <w:szCs w:val="24"/>
        </w:rPr>
        <w:t>Le patrimoine forestier de la région de Rabat-Salé-Kénitra (RSK) se compose de 31 forêts, incluant la forêt de Korifla (cf. Carte n°5). Ces forêts s’étendent sur une superficie totale de 500 043 hectares, soit 27 % de la surface régionale</w:t>
      </w:r>
      <w:r w:rsidRPr="002462E6">
        <w:rPr>
          <w:rFonts w:ascii="Tahoma" w:eastAsia="Times New Roman" w:hAnsi="Tahoma" w:cs="Tahoma"/>
          <w:sz w:val="24"/>
          <w:szCs w:val="24"/>
          <w:vertAlign w:val="superscript"/>
        </w:rPr>
        <w:footnoteReference w:id="260"/>
      </w:r>
      <w:r w:rsidRPr="002462E6">
        <w:rPr>
          <w:rFonts w:ascii="Tahoma" w:eastAsia="Times New Roman" w:hAnsi="Tahoma" w:cs="Tahoma"/>
          <w:sz w:val="24"/>
          <w:szCs w:val="24"/>
        </w:rPr>
        <w:t>.</w:t>
      </w:r>
    </w:p>
    <w:p w:rsidR="00726EDC" w:rsidRPr="002462E6" w:rsidRDefault="00726EDC" w:rsidP="00726EDC">
      <w:pPr>
        <w:widowControl w:val="0"/>
        <w:autoSpaceDE w:val="0"/>
        <w:autoSpaceDN w:val="0"/>
        <w:spacing w:after="0" w:line="360" w:lineRule="auto"/>
        <w:jc w:val="both"/>
        <w:rPr>
          <w:rFonts w:ascii="Tahoma" w:eastAsia="Times New Roman" w:hAnsi="Tahoma" w:cs="Tahoma"/>
          <w:sz w:val="24"/>
          <w:szCs w:val="24"/>
        </w:rPr>
      </w:pPr>
      <w:r w:rsidRPr="002462E6">
        <w:rPr>
          <w:rFonts w:ascii="Tahoma" w:eastAsia="Times New Roman" w:hAnsi="Tahoma" w:cs="Tahoma"/>
          <w:sz w:val="24"/>
          <w:szCs w:val="24"/>
        </w:rPr>
        <w:t>La composition de ce patrimoine forestier se répartit en deux catégories : les forêts naturelles et les forêts issues de reboisement. Les forêts naturelles, qui constituent la part prépondérante, occupent 351 290 hectares, soit 18,5 % de la superficie régionale. Les forêts issues d'opérations de reboisement, quant à elles, s'étendent sur 148 753 hectares, représentant 8,5 % de la surface de la région</w:t>
      </w:r>
      <w:r w:rsidRPr="002462E6">
        <w:rPr>
          <w:rFonts w:ascii="Tahoma" w:eastAsia="Times New Roman" w:hAnsi="Tahoma" w:cs="Tahoma"/>
          <w:sz w:val="24"/>
          <w:szCs w:val="24"/>
          <w:vertAlign w:val="superscript"/>
        </w:rPr>
        <w:footnoteReference w:id="261"/>
      </w:r>
      <w:r w:rsidRPr="002462E6">
        <w:rPr>
          <w:rFonts w:ascii="Tahoma" w:eastAsia="Times New Roman" w:hAnsi="Tahoma" w:cs="Tahoma"/>
          <w:sz w:val="24"/>
          <w:szCs w:val="24"/>
        </w:rPr>
        <w:t>.</w:t>
      </w:r>
    </w:p>
    <w:p w:rsidR="00726EDC" w:rsidRPr="002462E6" w:rsidRDefault="00726EDC" w:rsidP="00726EDC">
      <w:pPr>
        <w:widowControl w:val="0"/>
        <w:autoSpaceDE w:val="0"/>
        <w:autoSpaceDN w:val="0"/>
        <w:spacing w:after="0" w:line="360" w:lineRule="auto"/>
        <w:jc w:val="both"/>
        <w:rPr>
          <w:rFonts w:ascii="Tahoma" w:eastAsia="Times New Roman" w:hAnsi="Tahoma" w:cs="Tahoma"/>
          <w:sz w:val="24"/>
          <w:szCs w:val="24"/>
        </w:rPr>
      </w:pPr>
      <w:r w:rsidRPr="002462E6">
        <w:rPr>
          <w:rFonts w:ascii="Tahoma" w:eastAsia="Times New Roman" w:hAnsi="Tahoma" w:cs="Tahoma"/>
          <w:sz w:val="24"/>
          <w:szCs w:val="24"/>
        </w:rPr>
        <w:t>L'étude de la composition floristique des forêts naturelles révèle une dominance de trois essences spécifiques. Le chêne-liège (Quercus suber) est l'essence la plus largement représentée, couvrant 152 743 hectares, ce qui équivaut à 43,5 % de la superficie des forêts naturelles. Le chêne vert (Quercus ilex) constitue la deuxième essence la plus importante, occupant 72 259 hectares, soit 20,5 % du total. Enfin, le thuya (Tetraclinis articulata) est présent sur une superficie de 36 440 hectares, représentant 10,5 % des forêts naturelles.</w:t>
      </w:r>
    </w:p>
    <w:p w:rsidR="00726EDC" w:rsidRPr="002462E6" w:rsidRDefault="00726EDC" w:rsidP="00726EDC">
      <w:pPr>
        <w:widowControl w:val="0"/>
        <w:autoSpaceDE w:val="0"/>
        <w:autoSpaceDN w:val="0"/>
        <w:spacing w:after="0" w:line="360" w:lineRule="auto"/>
        <w:jc w:val="both"/>
        <w:rPr>
          <w:rFonts w:ascii="Tahoma" w:eastAsia="Times New Roman" w:hAnsi="Tahoma" w:cs="Tahoma"/>
          <w:sz w:val="24"/>
          <w:szCs w:val="24"/>
        </w:rPr>
      </w:pPr>
      <w:r w:rsidRPr="002462E6">
        <w:rPr>
          <w:rFonts w:ascii="Tahoma" w:eastAsia="Times New Roman" w:hAnsi="Tahoma" w:cs="Tahoma"/>
          <w:sz w:val="24"/>
          <w:szCs w:val="24"/>
        </w:rPr>
        <w:t>Ces données soulignent la nécessité de la conservation et de la gestion efficace de ces espèces, indispensables pour la biodiversité et l'équilibre écologique de la région RSK.</w:t>
      </w:r>
    </w:p>
    <w:p w:rsidR="00726EDC" w:rsidRPr="002462E6" w:rsidRDefault="00726EDC" w:rsidP="0067172C">
      <w:pPr>
        <w:rPr>
          <w:rFonts w:ascii="Tahoma" w:eastAsia="Times New Roman" w:hAnsi="Tahoma" w:cs="Tahoma"/>
          <w:b/>
          <w:bCs/>
          <w:sz w:val="12"/>
          <w:szCs w:val="12"/>
        </w:rPr>
      </w:pPr>
    </w:p>
    <w:p w:rsidR="00942E4A" w:rsidRPr="002462E6" w:rsidRDefault="00942E4A" w:rsidP="000D57A1">
      <w:pPr>
        <w:pStyle w:val="Sous-titre"/>
      </w:pPr>
      <w:bookmarkStart w:id="224" w:name="_Toc203642679"/>
      <w:r w:rsidRPr="002462E6">
        <w:t xml:space="preserve">Carte </w:t>
      </w:r>
      <w:r w:rsidR="00225ED1">
        <w:rPr>
          <w:noProof/>
        </w:rPr>
        <w:fldChar w:fldCharType="begin"/>
      </w:r>
      <w:r w:rsidR="00225ED1">
        <w:rPr>
          <w:noProof/>
        </w:rPr>
        <w:instrText xml:space="preserve"> SEQ Carte \* ARABIC </w:instrText>
      </w:r>
      <w:r w:rsidR="00225ED1">
        <w:rPr>
          <w:noProof/>
        </w:rPr>
        <w:fldChar w:fldCharType="separate"/>
      </w:r>
      <w:r w:rsidR="00124AFB">
        <w:rPr>
          <w:noProof/>
        </w:rPr>
        <w:t>5</w:t>
      </w:r>
      <w:r w:rsidR="00225ED1">
        <w:rPr>
          <w:noProof/>
        </w:rPr>
        <w:fldChar w:fldCharType="end"/>
      </w:r>
      <w:r w:rsidR="00EC5E5B" w:rsidRPr="002462E6">
        <w:t xml:space="preserve"> </w:t>
      </w:r>
      <w:r w:rsidRPr="002462E6">
        <w:t>: Couvert forestier de la région Rabat-Salé-Kénitra</w:t>
      </w:r>
      <w:bookmarkEnd w:id="224"/>
    </w:p>
    <w:p w:rsidR="00726EDC" w:rsidRPr="002462E6" w:rsidRDefault="00726EDC" w:rsidP="00726EDC">
      <w:pPr>
        <w:widowControl w:val="0"/>
        <w:autoSpaceDE w:val="0"/>
        <w:autoSpaceDN w:val="0"/>
        <w:spacing w:after="0" w:line="240" w:lineRule="auto"/>
        <w:rPr>
          <w:rFonts w:ascii="Times New Roman" w:eastAsia="Times New Roman" w:hAnsi="Times New Roman" w:cs="Times New Roman"/>
        </w:rPr>
      </w:pPr>
      <w:r w:rsidRPr="002462E6">
        <w:rPr>
          <w:rFonts w:ascii="Times New Roman" w:eastAsia="Times New Roman" w:hAnsi="Times New Roman" w:cs="Times New Roman"/>
          <w:noProof/>
          <w:lang w:eastAsia="fr-FR"/>
        </w:rPr>
        <w:drawing>
          <wp:inline distT="0" distB="0" distL="0" distR="0" wp14:anchorId="761CE251" wp14:editId="4D234652">
            <wp:extent cx="6210795" cy="5237019"/>
            <wp:effectExtent l="0" t="0" r="0" b="1905"/>
            <wp:docPr id="2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091459" name=""/>
                    <pic:cNvPicPr/>
                  </pic:nvPicPr>
                  <pic:blipFill>
                    <a:blip r:embed="rId28"/>
                    <a:stretch>
                      <a:fillRect/>
                    </a:stretch>
                  </pic:blipFill>
                  <pic:spPr>
                    <a:xfrm>
                      <a:off x="0" y="0"/>
                      <a:ext cx="6219852" cy="5244656"/>
                    </a:xfrm>
                    <a:prstGeom prst="rect">
                      <a:avLst/>
                    </a:prstGeom>
                  </pic:spPr>
                </pic:pic>
              </a:graphicData>
            </a:graphic>
          </wp:inline>
        </w:drawing>
      </w:r>
    </w:p>
    <w:p w:rsidR="00942E4A" w:rsidRPr="002462E6" w:rsidRDefault="00942E4A" w:rsidP="00041B20">
      <w:pPr>
        <w:widowControl w:val="0"/>
        <w:autoSpaceDE w:val="0"/>
        <w:autoSpaceDN w:val="0"/>
        <w:spacing w:before="64" w:after="0" w:line="360" w:lineRule="auto"/>
        <w:ind w:right="607"/>
        <w:jc w:val="center"/>
        <w:rPr>
          <w:rFonts w:ascii="Tahoma" w:eastAsia="Times New Roman" w:hAnsi="Tahoma" w:cs="Tahoma"/>
          <w:b/>
          <w:bCs/>
          <w:i/>
          <w:iCs/>
          <w:sz w:val="20"/>
          <w:szCs w:val="20"/>
        </w:rPr>
      </w:pPr>
    </w:p>
    <w:p w:rsidR="00726EDC" w:rsidRPr="002462E6" w:rsidRDefault="00726EDC" w:rsidP="00041B20">
      <w:pPr>
        <w:widowControl w:val="0"/>
        <w:autoSpaceDE w:val="0"/>
        <w:autoSpaceDN w:val="0"/>
        <w:spacing w:before="64" w:after="0" w:line="360" w:lineRule="auto"/>
        <w:ind w:right="607"/>
        <w:jc w:val="center"/>
        <w:rPr>
          <w:rFonts w:ascii="Tahoma" w:eastAsia="Times New Roman" w:hAnsi="Tahoma" w:cs="Tahoma"/>
          <w:sz w:val="20"/>
          <w:szCs w:val="20"/>
        </w:rPr>
      </w:pPr>
      <w:r w:rsidRPr="002462E6">
        <w:rPr>
          <w:rFonts w:ascii="Tahoma" w:eastAsia="Times New Roman" w:hAnsi="Tahoma" w:cs="Tahoma"/>
          <w:b/>
          <w:bCs/>
          <w:i/>
          <w:iCs/>
          <w:sz w:val="20"/>
          <w:szCs w:val="20"/>
        </w:rPr>
        <w:t>Source :</w:t>
      </w:r>
      <w:r w:rsidRPr="002462E6">
        <w:rPr>
          <w:rFonts w:ascii="Tahoma" w:eastAsia="Times New Roman" w:hAnsi="Tahoma" w:cs="Tahoma"/>
          <w:sz w:val="20"/>
          <w:szCs w:val="20"/>
        </w:rPr>
        <w:t xml:space="preserve"> monographie de la</w:t>
      </w:r>
      <w:r w:rsidR="00041B20" w:rsidRPr="002462E6">
        <w:rPr>
          <w:rFonts w:ascii="Tahoma" w:eastAsia="Times New Roman" w:hAnsi="Tahoma" w:cs="Tahoma"/>
          <w:sz w:val="20"/>
          <w:szCs w:val="20"/>
        </w:rPr>
        <w:t xml:space="preserve"> région Rabat-Salé-Kénitra 2015</w:t>
      </w:r>
    </w:p>
    <w:p w:rsidR="00041B20" w:rsidRPr="002462E6" w:rsidRDefault="00A033C3" w:rsidP="0014577C">
      <w:pPr>
        <w:rPr>
          <w:rFonts w:ascii="Tahoma" w:eastAsia="Times New Roman" w:hAnsi="Tahoma" w:cs="Tahoma"/>
          <w:sz w:val="20"/>
          <w:szCs w:val="20"/>
        </w:rPr>
      </w:pPr>
      <w:r w:rsidRPr="002462E6">
        <w:rPr>
          <w:rFonts w:ascii="Tahoma" w:eastAsia="Times New Roman" w:hAnsi="Tahoma" w:cs="Tahoma"/>
          <w:sz w:val="20"/>
          <w:szCs w:val="20"/>
        </w:rPr>
        <w:br w:type="page"/>
      </w:r>
    </w:p>
    <w:p w:rsidR="0014577C" w:rsidRDefault="00726EDC" w:rsidP="00305B22">
      <w:pPr>
        <w:widowControl w:val="0"/>
        <w:autoSpaceDE w:val="0"/>
        <w:autoSpaceDN w:val="0"/>
        <w:spacing w:after="0" w:line="360" w:lineRule="auto"/>
        <w:jc w:val="both"/>
        <w:rPr>
          <w:rFonts w:ascii="Tahoma" w:eastAsia="Times New Roman" w:hAnsi="Tahoma" w:cs="Tahoma"/>
          <w:sz w:val="24"/>
          <w:szCs w:val="24"/>
        </w:rPr>
      </w:pPr>
      <w:r w:rsidRPr="002462E6">
        <w:rPr>
          <w:rFonts w:ascii="Tahoma" w:eastAsia="Times New Roman" w:hAnsi="Tahoma" w:cs="Tahoma"/>
          <w:sz w:val="24"/>
          <w:szCs w:val="24"/>
        </w:rPr>
        <w:t>L'aménagement forestier dans la région présente un taux de couverture élevé, dépassant les 90,3 %, avec 27 forêts bénéficiant d'un plan d'aménagement validé. Les entités forestières restantes font actuellement l'objet de procédures d'aménagement en cours</w:t>
      </w:r>
      <w:r w:rsidRPr="002462E6">
        <w:rPr>
          <w:rFonts w:ascii="Tahoma" w:eastAsia="Times New Roman" w:hAnsi="Tahoma" w:cs="Tahoma"/>
          <w:sz w:val="24"/>
          <w:szCs w:val="24"/>
          <w:vertAlign w:val="superscript"/>
        </w:rPr>
        <w:footnoteReference w:id="262"/>
      </w:r>
      <w:r w:rsidR="00305B22">
        <w:rPr>
          <w:rFonts w:ascii="Tahoma" w:eastAsia="Times New Roman" w:hAnsi="Tahoma" w:cs="Tahoma"/>
          <w:sz w:val="24"/>
          <w:szCs w:val="24"/>
        </w:rPr>
        <w:t>.</w:t>
      </w:r>
    </w:p>
    <w:p w:rsidR="00305B22" w:rsidRPr="002462E6" w:rsidRDefault="00305B22" w:rsidP="00305B22">
      <w:pPr>
        <w:widowControl w:val="0"/>
        <w:autoSpaceDE w:val="0"/>
        <w:autoSpaceDN w:val="0"/>
        <w:spacing w:after="0" w:line="360" w:lineRule="auto"/>
        <w:jc w:val="both"/>
        <w:rPr>
          <w:rFonts w:ascii="Tahoma" w:eastAsia="Times New Roman" w:hAnsi="Tahoma" w:cs="Tahoma"/>
          <w:sz w:val="24"/>
          <w:szCs w:val="24"/>
        </w:rPr>
      </w:pPr>
    </w:p>
    <w:p w:rsidR="00726EDC" w:rsidRPr="002462E6" w:rsidRDefault="00726EDC" w:rsidP="00726EDC">
      <w:pPr>
        <w:widowControl w:val="0"/>
        <w:autoSpaceDE w:val="0"/>
        <w:autoSpaceDN w:val="0"/>
        <w:spacing w:before="64" w:after="0" w:line="360" w:lineRule="auto"/>
        <w:ind w:right="4"/>
        <w:jc w:val="both"/>
        <w:rPr>
          <w:rFonts w:ascii="Tahoma" w:eastAsia="Times New Roman" w:hAnsi="Tahoma" w:cs="Tahoma"/>
          <w:sz w:val="24"/>
          <w:szCs w:val="24"/>
        </w:rPr>
      </w:pPr>
      <w:r w:rsidRPr="002462E6">
        <w:rPr>
          <w:rFonts w:ascii="Tahoma" w:eastAsia="Times New Roman" w:hAnsi="Tahoma" w:cs="Tahoma"/>
          <w:sz w:val="24"/>
          <w:szCs w:val="24"/>
        </w:rPr>
        <w:t xml:space="preserve">Il importe de souligner que la Direction Provinciale de Khémisset assure la gestion de la majorité des forêts de la région (77 %), supervisant ainsi un total de 26 entités forestières. Le reliquat, représentant 23 % du patrimoine forestier régional, est placé sous la responsabilité de la Direction Provinciale de Rabat. </w:t>
      </w:r>
    </w:p>
    <w:p w:rsidR="0014577C" w:rsidRDefault="00726EDC" w:rsidP="00305B22">
      <w:pPr>
        <w:widowControl w:val="0"/>
        <w:autoSpaceDE w:val="0"/>
        <w:autoSpaceDN w:val="0"/>
        <w:spacing w:before="64" w:after="0" w:line="360" w:lineRule="auto"/>
        <w:ind w:right="4"/>
        <w:jc w:val="both"/>
        <w:rPr>
          <w:rFonts w:ascii="Tahoma" w:eastAsia="Times New Roman" w:hAnsi="Tahoma" w:cs="Tahoma"/>
          <w:sz w:val="24"/>
          <w:szCs w:val="24"/>
        </w:rPr>
      </w:pPr>
      <w:r w:rsidRPr="002462E6">
        <w:rPr>
          <w:rFonts w:ascii="Tahoma" w:eastAsia="Times New Roman" w:hAnsi="Tahoma" w:cs="Tahoma"/>
          <w:sz w:val="24"/>
          <w:szCs w:val="24"/>
        </w:rPr>
        <w:t>Concernant la forêt de Korifla, elle se situe au nord des villes de Rabat-Temara et au sud-ouest de la ville de Rommani. Elle s'étend sur une superficie totale presque  de 15 140 hectares, structurée en cinq cantons distincts : Mechraâ, Korifla Nord, Korifla Sud, N’Khila Est, et N’Khila Ouest</w:t>
      </w:r>
      <w:r w:rsidRPr="002462E6">
        <w:rPr>
          <w:rFonts w:ascii="Tahoma" w:eastAsia="Times New Roman" w:hAnsi="Tahoma" w:cs="Tahoma"/>
          <w:sz w:val="24"/>
          <w:szCs w:val="24"/>
          <w:vertAlign w:val="superscript"/>
        </w:rPr>
        <w:footnoteReference w:id="263"/>
      </w:r>
      <w:r w:rsidR="00305B22">
        <w:rPr>
          <w:rFonts w:ascii="Tahoma" w:eastAsia="Times New Roman" w:hAnsi="Tahoma" w:cs="Tahoma"/>
          <w:sz w:val="24"/>
          <w:szCs w:val="24"/>
        </w:rPr>
        <w:t>.</w:t>
      </w:r>
    </w:p>
    <w:p w:rsidR="00305B22" w:rsidRPr="002462E6" w:rsidRDefault="00305B22" w:rsidP="00305B22">
      <w:pPr>
        <w:widowControl w:val="0"/>
        <w:autoSpaceDE w:val="0"/>
        <w:autoSpaceDN w:val="0"/>
        <w:spacing w:before="64" w:after="0" w:line="360" w:lineRule="auto"/>
        <w:ind w:right="4"/>
        <w:jc w:val="both"/>
        <w:rPr>
          <w:rFonts w:ascii="Tahoma" w:eastAsia="Times New Roman" w:hAnsi="Tahoma" w:cs="Tahoma"/>
          <w:sz w:val="24"/>
          <w:szCs w:val="24"/>
        </w:rPr>
      </w:pPr>
    </w:p>
    <w:p w:rsidR="00726EDC" w:rsidRPr="002462E6" w:rsidRDefault="00726EDC" w:rsidP="00726EDC">
      <w:pPr>
        <w:widowControl w:val="0"/>
        <w:autoSpaceDE w:val="0"/>
        <w:autoSpaceDN w:val="0"/>
        <w:spacing w:before="64" w:after="0" w:line="360" w:lineRule="auto"/>
        <w:ind w:right="4"/>
        <w:jc w:val="both"/>
        <w:rPr>
          <w:rFonts w:ascii="Tahoma" w:eastAsia="Times New Roman" w:hAnsi="Tahoma" w:cs="Tahoma"/>
          <w:sz w:val="24"/>
          <w:szCs w:val="24"/>
        </w:rPr>
      </w:pPr>
      <w:r w:rsidRPr="002462E6">
        <w:rPr>
          <w:rFonts w:ascii="Tahoma" w:eastAsia="Times New Roman" w:hAnsi="Tahoma" w:cs="Tahoma"/>
          <w:sz w:val="24"/>
          <w:szCs w:val="24"/>
        </w:rPr>
        <w:t xml:space="preserve">Sur le plan administratif, la forêt de Korifla appartient à la préfecture de Skhirate-Témara et de la province de Khémisset. Elle relève de la compétence de deux cercles administratifs, à savoir Ain Aouda et Rommani. Sa superficie est répartie sur le territoire de quatre caïdats (Sidi Yahia Zaeer, El Menzeh, Brachoua, et Marchouch) et dépend de quatre (04) communes rurales : Sidi Yahia Zaeer, OumAzza, Brachoua </w:t>
      </w:r>
      <w:r w:rsidR="00D425BA" w:rsidRPr="002462E6">
        <w:rPr>
          <w:rFonts w:ascii="Tahoma" w:eastAsia="Times New Roman" w:hAnsi="Tahoma" w:cs="Tahoma"/>
          <w:sz w:val="24"/>
          <w:szCs w:val="24"/>
        </w:rPr>
        <w:t>et Marchouch</w:t>
      </w:r>
      <w:r w:rsidRPr="002462E6">
        <w:rPr>
          <w:rFonts w:ascii="Tahoma" w:eastAsia="Times New Roman" w:hAnsi="Tahoma" w:cs="Tahoma"/>
          <w:sz w:val="24"/>
          <w:szCs w:val="24"/>
        </w:rPr>
        <w:t>.</w:t>
      </w:r>
    </w:p>
    <w:p w:rsidR="00726EDC" w:rsidRPr="002462E6" w:rsidRDefault="00726EDC" w:rsidP="00726EDC">
      <w:pPr>
        <w:widowControl w:val="0"/>
        <w:autoSpaceDE w:val="0"/>
        <w:autoSpaceDN w:val="0"/>
        <w:spacing w:before="64" w:after="0" w:line="360" w:lineRule="auto"/>
        <w:ind w:right="4"/>
        <w:jc w:val="both"/>
        <w:rPr>
          <w:rFonts w:ascii="Tahoma" w:eastAsia="Times New Roman" w:hAnsi="Tahoma" w:cs="Tahoma"/>
          <w:sz w:val="24"/>
          <w:szCs w:val="24"/>
        </w:rPr>
      </w:pPr>
      <w:r w:rsidRPr="002462E6">
        <w:rPr>
          <w:rFonts w:ascii="Tahoma" w:eastAsia="Times New Roman" w:hAnsi="Tahoma" w:cs="Tahoma"/>
          <w:sz w:val="24"/>
          <w:szCs w:val="24"/>
        </w:rPr>
        <w:t>La gestion de la forêt de Korifla est assurée par une structure organisationnelle hiérarchisée, comprenant la Direction Régionale des Eaux et Forêts et de la Lutte Contre la Désertification (DREFLCD) de Rabat-Salé-Zemmour-Zaer, responsable de la coordination régionale. Les Directions Provinciales des Eaux et Forêts et de la Lutte Contre la Désertification (DPEFLCD) de Rabat et Khémisset, assurant la mise en œuvre des politiques forestières au niveau provincial. Les Centres de Conservation et de Développement des Ressources Forestières (CCDRF) de Rabat-Témara et Rommani, qui prennent en charge de la conservation de la biodiversité et du développement durable des ressources forestières. Les Secteurs Forestiers (SF) d'Ain El Aouda, Ain Sferjla, Lalla Regraga, et Had Brachoua, qui constituent les unités opérationnelles de terrain assurant la gestion quotidienne de la forêt (cf. organigramme, ci-dessous)</w:t>
      </w:r>
      <w:r w:rsidRPr="002462E6">
        <w:rPr>
          <w:rFonts w:ascii="Tahoma" w:eastAsia="Times New Roman" w:hAnsi="Tahoma" w:cs="Tahoma"/>
          <w:sz w:val="24"/>
          <w:szCs w:val="24"/>
          <w:vertAlign w:val="superscript"/>
        </w:rPr>
        <w:footnoteReference w:id="264"/>
      </w:r>
      <w:r w:rsidRPr="002462E6">
        <w:rPr>
          <w:rFonts w:ascii="Tahoma" w:eastAsia="Times New Roman" w:hAnsi="Tahoma" w:cs="Tahoma"/>
          <w:sz w:val="24"/>
          <w:szCs w:val="24"/>
        </w:rPr>
        <w:t>.</w:t>
      </w:r>
    </w:p>
    <w:p w:rsidR="0014577C" w:rsidRPr="002462E6" w:rsidRDefault="0014577C" w:rsidP="00726EDC">
      <w:pPr>
        <w:widowControl w:val="0"/>
        <w:autoSpaceDE w:val="0"/>
        <w:autoSpaceDN w:val="0"/>
        <w:spacing w:after="200" w:line="360" w:lineRule="auto"/>
        <w:jc w:val="both"/>
        <w:rPr>
          <w:rFonts w:ascii="Times New Roman" w:eastAsia="Times New Roman" w:hAnsi="Times New Roman" w:cs="Times New Roman"/>
          <w:i/>
          <w:iCs/>
          <w:color w:val="1F497D"/>
          <w:sz w:val="18"/>
          <w:szCs w:val="18"/>
        </w:rPr>
      </w:pPr>
    </w:p>
    <w:p w:rsidR="00DA1F3F" w:rsidRPr="002462E6" w:rsidRDefault="00726EDC" w:rsidP="000D57A1">
      <w:pPr>
        <w:pStyle w:val="Sous-titre"/>
      </w:pPr>
      <w:bookmarkStart w:id="225" w:name="_Toc185696928"/>
      <w:bookmarkStart w:id="226" w:name="_Toc201571204"/>
      <w:bookmarkStart w:id="227" w:name="_Toc203642804"/>
      <w:r w:rsidRPr="002462E6">
        <w:t xml:space="preserve">Figure </w:t>
      </w:r>
      <w:r w:rsidR="00225ED1">
        <w:rPr>
          <w:noProof/>
        </w:rPr>
        <w:fldChar w:fldCharType="begin"/>
      </w:r>
      <w:r w:rsidR="00225ED1">
        <w:rPr>
          <w:noProof/>
        </w:rPr>
        <w:instrText xml:space="preserve"> SEQ Figure \* ARABIC </w:instrText>
      </w:r>
      <w:r w:rsidR="00225ED1">
        <w:rPr>
          <w:noProof/>
        </w:rPr>
        <w:fldChar w:fldCharType="separate"/>
      </w:r>
      <w:r w:rsidR="00124AFB">
        <w:rPr>
          <w:noProof/>
        </w:rPr>
        <w:t>12</w:t>
      </w:r>
      <w:r w:rsidR="00225ED1">
        <w:rPr>
          <w:noProof/>
        </w:rPr>
        <w:fldChar w:fldCharType="end"/>
      </w:r>
      <w:r w:rsidR="00C62A66" w:rsidRPr="002462E6">
        <w:t> :</w:t>
      </w:r>
      <w:r w:rsidRPr="002462E6">
        <w:t xml:space="preserve"> Structure de gestion administrative de la forêt de Korifla</w:t>
      </w:r>
      <w:bookmarkEnd w:id="225"/>
      <w:bookmarkEnd w:id="226"/>
      <w:bookmarkEnd w:id="227"/>
    </w:p>
    <w:p w:rsidR="00DA1F3F" w:rsidRPr="002462E6" w:rsidRDefault="00DA1F3F" w:rsidP="00DA1F3F"/>
    <w:p w:rsidR="00DA1F3F" w:rsidRPr="002462E6" w:rsidRDefault="00DA1F3F" w:rsidP="00DA1F3F">
      <w:pPr>
        <w:rPr>
          <w:rFonts w:ascii="Calibri" w:eastAsia="Calibri" w:hAnsi="Calibri" w:cs="Arial"/>
        </w:rPr>
      </w:pPr>
    </w:p>
    <w:p w:rsidR="00DA1F3F" w:rsidRPr="002462E6" w:rsidRDefault="00DA1F3F" w:rsidP="00DA1F3F">
      <w:pPr>
        <w:rPr>
          <w:rFonts w:ascii="Calibri" w:eastAsia="Calibri" w:hAnsi="Calibri" w:cs="Arial"/>
        </w:rPr>
      </w:pPr>
    </w:p>
    <w:p w:rsidR="00DA1F3F" w:rsidRPr="002462E6" w:rsidRDefault="00DA1F3F" w:rsidP="00DA1F3F">
      <w:pPr>
        <w:rPr>
          <w:rFonts w:ascii="Calibri" w:eastAsia="Calibri" w:hAnsi="Calibri" w:cs="Arial"/>
        </w:rPr>
      </w:pPr>
      <w:r w:rsidRPr="002462E6">
        <w:rPr>
          <w:rFonts w:ascii="Calibri" w:eastAsia="Calibri" w:hAnsi="Calibri" w:cs="Arial"/>
          <w:noProof/>
          <w:lang w:eastAsia="fr-FR"/>
        </w:rPr>
        <mc:AlternateContent>
          <mc:Choice Requires="wps">
            <w:drawing>
              <wp:anchor distT="0" distB="0" distL="114300" distR="114300" simplePos="0" relativeHeight="251731968" behindDoc="0" locked="0" layoutInCell="1" allowOverlap="1" wp14:anchorId="5D4D8C3B" wp14:editId="0309A87A">
                <wp:simplePos x="0" y="0"/>
                <wp:positionH relativeFrom="column">
                  <wp:posOffset>1645095</wp:posOffset>
                </wp:positionH>
                <wp:positionV relativeFrom="paragraph">
                  <wp:posOffset>-519430</wp:posOffset>
                </wp:positionV>
                <wp:extent cx="2571750" cy="510540"/>
                <wp:effectExtent l="0" t="0" r="19050" b="22860"/>
                <wp:wrapNone/>
                <wp:docPr id="38" name="Rectangle à coins arrondis 38"/>
                <wp:cNvGraphicFramePr/>
                <a:graphic xmlns:a="http://schemas.openxmlformats.org/drawingml/2006/main">
                  <a:graphicData uri="http://schemas.microsoft.com/office/word/2010/wordprocessingShape">
                    <wps:wsp>
                      <wps:cNvSpPr/>
                      <wps:spPr>
                        <a:xfrm>
                          <a:off x="0" y="0"/>
                          <a:ext cx="2571750" cy="510540"/>
                        </a:xfrm>
                        <a:prstGeom prst="roundRect">
                          <a:avLst/>
                        </a:prstGeom>
                        <a:solidFill>
                          <a:srgbClr val="5B9BD5">
                            <a:lumMod val="20000"/>
                            <a:lumOff val="80000"/>
                          </a:srgbClr>
                        </a:solidFill>
                        <a:ln w="6350" cap="flat" cmpd="sng" algn="ctr">
                          <a:solidFill>
                            <a:srgbClr val="5B9BD5"/>
                          </a:solidFill>
                          <a:prstDash val="solid"/>
                          <a:miter lim="800000"/>
                        </a:ln>
                        <a:effectLst/>
                      </wps:spPr>
                      <wps:txbx>
                        <w:txbxContent>
                          <w:p w:rsidR="0083519B" w:rsidRPr="00D920EF" w:rsidRDefault="0083519B" w:rsidP="00DA1F3F">
                            <w:pPr>
                              <w:jc w:val="center"/>
                              <w:rPr>
                                <w:rFonts w:ascii="Tahoma" w:hAnsi="Tahoma" w:cs="Tahoma"/>
                                <w:b/>
                                <w:bCs/>
                                <w:sz w:val="28"/>
                                <w:szCs w:val="28"/>
                              </w:rPr>
                            </w:pPr>
                            <w:r w:rsidRPr="00D920EF">
                              <w:rPr>
                                <w:rFonts w:ascii="Tahoma" w:hAnsi="Tahoma" w:cs="Tahoma"/>
                                <w:b/>
                                <w:bCs/>
                                <w:sz w:val="28"/>
                                <w:szCs w:val="28"/>
                              </w:rPr>
                              <w:t>DREFLCD : R.S.Z.Z.</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5D4D8C3B" id="Rectangle à coins arrondis 38" o:spid="_x0000_s1048" style="position:absolute;margin-left:129.55pt;margin-top:-40.9pt;width:202.5pt;height:40.2pt;z-index:2517319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" fillcolor="#deebf7" strokecolor="#5b9bd5" strokeweight=".5pt">
                <v:stroke joinstyle="miter"/>
                <v:textbox>
                  <w:txbxContent>
                    <w:p w:rsidR="0083519B" w:rsidRPr="00D920EF" w:rsidRDefault="0083519B" w:rsidP="00DA1F3F">
                      <w:pPr>
                        <w:jc w:val="center"/>
                        <w:rPr>
                          <w:rFonts w:ascii="Tahoma" w:hAnsi="Tahoma" w:cs="Tahoma"/>
                          <w:b/>
                          <w:bCs/>
                          <w:sz w:val="28"/>
                          <w:szCs w:val="28"/>
                        </w:rPr>
                      </w:pPr>
                      <w:r w:rsidRPr="00D920EF">
                        <w:rPr>
                          <w:rFonts w:ascii="Tahoma" w:hAnsi="Tahoma" w:cs="Tahoma"/>
                          <w:b/>
                          <w:bCs/>
                          <w:sz w:val="28"/>
                          <w:szCs w:val="28"/>
                        </w:rPr>
                        <w:t>DREFLCD : R.S.Z.Z.</w:t>
                      </w:r>
                    </w:p>
                  </w:txbxContent>
                </v:textbox>
              </v:roundrect>
            </w:pict>
          </mc:Fallback>
        </mc:AlternateContent>
      </w:r>
      <w:r w:rsidRPr="002462E6">
        <w:rPr>
          <w:rFonts w:ascii="Calibri" w:eastAsia="Calibri" w:hAnsi="Calibri" w:cs="Arial"/>
          <w:noProof/>
          <w:lang w:eastAsia="fr-FR"/>
        </w:rPr>
        <mc:AlternateContent>
          <mc:Choice Requires="wps">
            <w:drawing>
              <wp:anchor distT="0" distB="0" distL="114300" distR="114300" simplePos="0" relativeHeight="251741184" behindDoc="0" locked="0" layoutInCell="1" allowOverlap="1" wp14:anchorId="2490F929" wp14:editId="68B34D25">
                <wp:simplePos x="0" y="0"/>
                <wp:positionH relativeFrom="column">
                  <wp:posOffset>2929544</wp:posOffset>
                </wp:positionH>
                <wp:positionV relativeFrom="paragraph">
                  <wp:posOffset>-9245</wp:posOffset>
                </wp:positionV>
                <wp:extent cx="0" cy="391985"/>
                <wp:effectExtent l="133350" t="0" r="95250" b="46355"/>
                <wp:wrapNone/>
                <wp:docPr id="39" name="Connecteur droit avec flèche 39"/>
                <wp:cNvGraphicFramePr/>
                <a:graphic xmlns:a="http://schemas.openxmlformats.org/drawingml/2006/main">
                  <a:graphicData uri="http://schemas.microsoft.com/office/word/2010/wordprocessingShape">
                    <wps:wsp>
                      <wps:cNvCnPr/>
                      <wps:spPr>
                        <a:xfrm>
                          <a:off x="0" y="0"/>
                          <a:ext cx="0" cy="391985"/>
                        </a:xfrm>
                        <a:prstGeom prst="straightConnector1">
                          <a:avLst/>
                        </a:prstGeom>
                        <a:noFill/>
                        <a:ln w="38100" cap="flat" cmpd="sng" algn="ctr">
                          <a:solidFill>
                            <a:srgbClr val="4472C4"/>
                          </a:solidFill>
                          <a:prstDash val="solid"/>
                          <a:miter lim="800000"/>
                          <a:tailEnd type="arrow"/>
                        </a:ln>
                        <a:effectLst/>
                      </wps:spPr>
                      <wps:bodyPr/>
                    </wps:wsp>
                  </a:graphicData>
                </a:graphic>
              </wp:anchor>
            </w:drawing>
          </mc:Choice>
          <mc:Fallback>
            <w:pict>
              <v:shape w14:anchorId="425FC72C" id="Connecteur droit avec flèche 39" o:spid="_x0000_s1026" type="#_x0000_t32" style="position:absolute;margin-left:230.65pt;margin-top:-.75pt;width:0;height:30.85pt;z-index:2517411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" strokecolor="#4472c4" strokeweight="3pt">
                <v:stroke endarrow="open" joinstyle="miter"/>
              </v:shape>
            </w:pict>
          </mc:Fallback>
        </mc:AlternateContent>
      </w:r>
    </w:p>
    <w:p w:rsidR="00DA1F3F" w:rsidRPr="002462E6" w:rsidRDefault="00DA1F3F" w:rsidP="00DA1F3F">
      <w:pPr>
        <w:rPr>
          <w:rFonts w:ascii="Calibri" w:eastAsia="Calibri" w:hAnsi="Calibri" w:cs="Arial"/>
        </w:rPr>
      </w:pPr>
      <w:r w:rsidRPr="002462E6">
        <w:rPr>
          <w:rFonts w:ascii="Calibri" w:eastAsia="Calibri" w:hAnsi="Calibri" w:cs="Arial"/>
          <w:noProof/>
          <w:lang w:eastAsia="fr-FR"/>
        </w:rPr>
        <mc:AlternateContent>
          <mc:Choice Requires="wps">
            <w:drawing>
              <wp:anchor distT="0" distB="0" distL="114300" distR="114300" simplePos="0" relativeHeight="251750400" behindDoc="0" locked="0" layoutInCell="1" allowOverlap="1" wp14:anchorId="41A37E93" wp14:editId="383BAA17">
                <wp:simplePos x="0" y="0"/>
                <wp:positionH relativeFrom="column">
                  <wp:posOffset>1326944</wp:posOffset>
                </wp:positionH>
                <wp:positionV relativeFrom="paragraph">
                  <wp:posOffset>96990</wp:posOffset>
                </wp:positionV>
                <wp:extent cx="3266036" cy="0"/>
                <wp:effectExtent l="0" t="19050" r="10795" b="19050"/>
                <wp:wrapNone/>
                <wp:docPr id="42" name="Connecteur droit 42"/>
                <wp:cNvGraphicFramePr/>
                <a:graphic xmlns:a="http://schemas.openxmlformats.org/drawingml/2006/main">
                  <a:graphicData uri="http://schemas.microsoft.com/office/word/2010/wordprocessingShape">
                    <wps:wsp>
                      <wps:cNvCnPr/>
                      <wps:spPr>
                        <a:xfrm>
                          <a:off x="0" y="0"/>
                          <a:ext cx="3266036" cy="0"/>
                        </a:xfrm>
                        <a:prstGeom prst="line">
                          <a:avLst/>
                        </a:prstGeom>
                        <a:noFill/>
                        <a:ln w="38100" cap="flat" cmpd="sng" algn="ctr">
                          <a:solidFill>
                            <a:srgbClr val="5B9BD5">
                              <a:lumMod val="75000"/>
                            </a:srgbClr>
                          </a:solidFill>
                          <a:prstDash val="solid"/>
                          <a:miter lim="800000"/>
                        </a:ln>
                        <a:effectLst/>
                      </wps:spPr>
                      <wps:bodyPr/>
                    </wps:wsp>
                  </a:graphicData>
                </a:graphic>
              </wp:anchor>
            </w:drawing>
          </mc:Choice>
          <mc:Fallback>
            <w:pict>
              <v:line w14:anchorId="2B0DB694" id="Connecteur droit 42" o:spid="_x0000_s1026" style="position:absolute;z-index:251750400;visibility:visible;mso-wrap-style:square;mso-wrap-distance-left:9pt;mso-wrap-distance-top:0;mso-wrap-distance-right:9pt;mso-wrap-distance-bottom:0;mso-position-horizontal:absolute;mso-position-horizontal-relative:text;mso-position-vertical:absolute;mso-position-vertical-relative:text" from="104.5pt,7.65pt" to="361.65pt,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" strokecolor="#2e75b6" strokeweight="3pt">
                <v:stroke joinstyle="miter"/>
              </v:line>
            </w:pict>
          </mc:Fallback>
        </mc:AlternateContent>
      </w:r>
      <w:r w:rsidRPr="002462E6">
        <w:rPr>
          <w:rFonts w:ascii="Calibri" w:eastAsia="Calibri" w:hAnsi="Calibri" w:cs="Arial"/>
          <w:noProof/>
          <w:lang w:eastAsia="fr-FR"/>
        </w:rPr>
        <mc:AlternateContent>
          <mc:Choice Requires="wps">
            <w:drawing>
              <wp:anchor distT="0" distB="0" distL="114300" distR="114300" simplePos="0" relativeHeight="251743232" behindDoc="0" locked="0" layoutInCell="1" allowOverlap="1" wp14:anchorId="63F90247" wp14:editId="62D95A66">
                <wp:simplePos x="0" y="0"/>
                <wp:positionH relativeFrom="column">
                  <wp:posOffset>4586605</wp:posOffset>
                </wp:positionH>
                <wp:positionV relativeFrom="paragraph">
                  <wp:posOffset>96990</wp:posOffset>
                </wp:positionV>
                <wp:extent cx="1" cy="344170"/>
                <wp:effectExtent l="133350" t="0" r="76200" b="55880"/>
                <wp:wrapNone/>
                <wp:docPr id="40" name="Connecteur droit avec flèche 40"/>
                <wp:cNvGraphicFramePr/>
                <a:graphic xmlns:a="http://schemas.openxmlformats.org/drawingml/2006/main">
                  <a:graphicData uri="http://schemas.microsoft.com/office/word/2010/wordprocessingShape">
                    <wps:wsp>
                      <wps:cNvCnPr/>
                      <wps:spPr>
                        <a:xfrm>
                          <a:off x="0" y="0"/>
                          <a:ext cx="1" cy="344170"/>
                        </a:xfrm>
                        <a:prstGeom prst="straightConnector1">
                          <a:avLst/>
                        </a:prstGeom>
                        <a:noFill/>
                        <a:ln w="38100" cap="flat" cmpd="sng" algn="ctr">
                          <a:solidFill>
                            <a:srgbClr val="4472C4"/>
                          </a:solidFill>
                          <a:prstDash val="solid"/>
                          <a:miter lim="800000"/>
                          <a:tailEnd type="arrow"/>
                        </a:ln>
                        <a:effectLst/>
                      </wps:spPr>
                      <wps:bodyPr/>
                    </wps:wsp>
                  </a:graphicData>
                </a:graphic>
                <wp14:sizeRelH relativeFrom="margin">
                  <wp14:pctWidth>0</wp14:pctWidth>
                </wp14:sizeRelH>
                <wp14:sizeRelV relativeFrom="margin">
                  <wp14:pctHeight>0</wp14:pctHeight>
                </wp14:sizeRelV>
              </wp:anchor>
            </w:drawing>
          </mc:Choice>
          <mc:Fallback>
            <w:pict>
              <v:shape w14:anchorId="78BC9492" id="Connecteur droit avec flèche 40" o:spid="_x0000_s1026" type="#_x0000_t32" style="position:absolute;margin-left:361.15pt;margin-top:7.65pt;width:0;height:27.1pt;z-index:25174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" strokecolor="#4472c4" strokeweight="3pt">
                <v:stroke endarrow="open" joinstyle="miter"/>
              </v:shape>
            </w:pict>
          </mc:Fallback>
        </mc:AlternateContent>
      </w:r>
      <w:r w:rsidRPr="002462E6">
        <w:rPr>
          <w:rFonts w:ascii="Calibri" w:eastAsia="Calibri" w:hAnsi="Calibri" w:cs="Arial"/>
          <w:noProof/>
          <w:lang w:eastAsia="fr-FR"/>
        </w:rPr>
        <mc:AlternateContent>
          <mc:Choice Requires="wps">
            <w:drawing>
              <wp:anchor distT="0" distB="0" distL="114300" distR="114300" simplePos="0" relativeHeight="251742208" behindDoc="0" locked="0" layoutInCell="1" allowOverlap="1" wp14:anchorId="476DD784" wp14:editId="5BF1C256">
                <wp:simplePos x="0" y="0"/>
                <wp:positionH relativeFrom="column">
                  <wp:posOffset>1309015</wp:posOffset>
                </wp:positionH>
                <wp:positionV relativeFrom="paragraph">
                  <wp:posOffset>96899</wp:posOffset>
                </wp:positionV>
                <wp:extent cx="17929" cy="320634"/>
                <wp:effectExtent l="114300" t="19050" r="58420" b="41910"/>
                <wp:wrapNone/>
                <wp:docPr id="44" name="Connecteur droit avec flèche 44"/>
                <wp:cNvGraphicFramePr/>
                <a:graphic xmlns:a="http://schemas.openxmlformats.org/drawingml/2006/main">
                  <a:graphicData uri="http://schemas.microsoft.com/office/word/2010/wordprocessingShape">
                    <wps:wsp>
                      <wps:cNvCnPr/>
                      <wps:spPr>
                        <a:xfrm flipH="1">
                          <a:off x="0" y="0"/>
                          <a:ext cx="17929" cy="320634"/>
                        </a:xfrm>
                        <a:prstGeom prst="straightConnector1">
                          <a:avLst/>
                        </a:prstGeom>
                        <a:noFill/>
                        <a:ln w="38100" cap="flat" cmpd="sng" algn="ctr">
                          <a:solidFill>
                            <a:srgbClr val="4472C4"/>
                          </a:solidFill>
                          <a:prstDash val="solid"/>
                          <a:miter lim="800000"/>
                          <a:tailEnd type="arrow"/>
                        </a:ln>
                        <a:effectLst/>
                      </wps:spPr>
                      <wps:bodyPr/>
                    </wps:wsp>
                  </a:graphicData>
                </a:graphic>
                <wp14:sizeRelH relativeFrom="margin">
                  <wp14:pctWidth>0</wp14:pctWidth>
                </wp14:sizeRelH>
                <wp14:sizeRelV relativeFrom="margin">
                  <wp14:pctHeight>0</wp14:pctHeight>
                </wp14:sizeRelV>
              </wp:anchor>
            </w:drawing>
          </mc:Choice>
          <mc:Fallback>
            <w:pict>
              <v:shape w14:anchorId="4106A767" id="Connecteur droit avec flèche 44" o:spid="_x0000_s1026" type="#_x0000_t32" style="position:absolute;margin-left:103.05pt;margin-top:7.65pt;width:1.4pt;height:25.25pt;flip:x;z-index:25174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" strokecolor="#4472c4" strokeweight="3pt">
                <v:stroke endarrow="open" joinstyle="miter"/>
              </v:shape>
            </w:pict>
          </mc:Fallback>
        </mc:AlternateContent>
      </w:r>
    </w:p>
    <w:p w:rsidR="00DA1F3F" w:rsidRPr="002462E6" w:rsidRDefault="00DA1F3F" w:rsidP="00DA1F3F">
      <w:pPr>
        <w:rPr>
          <w:rFonts w:ascii="Calibri" w:eastAsia="Calibri" w:hAnsi="Calibri" w:cs="Arial"/>
        </w:rPr>
      </w:pPr>
      <w:r w:rsidRPr="002462E6">
        <w:rPr>
          <w:rFonts w:ascii="Calibri" w:eastAsia="Calibri" w:hAnsi="Calibri" w:cs="Arial"/>
          <w:noProof/>
          <w:lang w:eastAsia="fr-FR"/>
        </w:rPr>
        <mc:AlternateContent>
          <mc:Choice Requires="wps">
            <w:drawing>
              <wp:anchor distT="0" distB="0" distL="114300" distR="114300" simplePos="0" relativeHeight="251735040" behindDoc="0" locked="0" layoutInCell="1" allowOverlap="1" wp14:anchorId="64B93FD9" wp14:editId="31D3432C">
                <wp:simplePos x="0" y="0"/>
                <wp:positionH relativeFrom="column">
                  <wp:posOffset>3315335</wp:posOffset>
                </wp:positionH>
                <wp:positionV relativeFrom="paragraph">
                  <wp:posOffset>155575</wp:posOffset>
                </wp:positionV>
                <wp:extent cx="2571750" cy="545465"/>
                <wp:effectExtent l="0" t="0" r="19050" b="26035"/>
                <wp:wrapNone/>
                <wp:docPr id="45" name="Rectangle à coins arrondis 45"/>
                <wp:cNvGraphicFramePr/>
                <a:graphic xmlns:a="http://schemas.openxmlformats.org/drawingml/2006/main">
                  <a:graphicData uri="http://schemas.microsoft.com/office/word/2010/wordprocessingShape">
                    <wps:wsp>
                      <wps:cNvSpPr/>
                      <wps:spPr>
                        <a:xfrm>
                          <a:off x="0" y="0"/>
                          <a:ext cx="2571750" cy="545465"/>
                        </a:xfrm>
                        <a:prstGeom prst="roundRect">
                          <a:avLst/>
                        </a:prstGeom>
                        <a:solidFill>
                          <a:srgbClr val="5B9BD5">
                            <a:lumMod val="20000"/>
                            <a:lumOff val="80000"/>
                          </a:srgbClr>
                        </a:solidFill>
                        <a:ln w="6350" cap="flat" cmpd="sng" algn="ctr">
                          <a:solidFill>
                            <a:srgbClr val="5B9BD5"/>
                          </a:solidFill>
                          <a:prstDash val="solid"/>
                          <a:miter lim="800000"/>
                        </a:ln>
                        <a:effectLst/>
                      </wps:spPr>
                      <wps:txbx>
                        <w:txbxContent>
                          <w:p w:rsidR="0083519B" w:rsidRPr="00D920EF" w:rsidRDefault="0083519B" w:rsidP="00DA1F3F">
                            <w:pPr>
                              <w:jc w:val="center"/>
                              <w:rPr>
                                <w:rFonts w:ascii="Tahoma" w:hAnsi="Tahoma" w:cs="Tahoma"/>
                                <w:b/>
                                <w:bCs/>
                                <w:sz w:val="28"/>
                                <w:szCs w:val="28"/>
                              </w:rPr>
                            </w:pPr>
                            <w:r w:rsidRPr="00D920EF">
                              <w:rPr>
                                <w:rFonts w:ascii="Tahoma" w:hAnsi="Tahoma" w:cs="Tahoma"/>
                                <w:b/>
                                <w:bCs/>
                                <w:sz w:val="28"/>
                                <w:szCs w:val="28"/>
                              </w:rPr>
                              <w:t>DREFLCD : Khémisset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64B93FD9" id="Rectangle à coins arrondis 45" o:spid="_x0000_s1049" style="position:absolute;margin-left:261.05pt;margin-top:12.25pt;width:202.5pt;height:42.95pt;z-index:2517350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" fillcolor="#deebf7" strokecolor="#5b9bd5" strokeweight=".5pt">
                <v:stroke joinstyle="miter"/>
                <v:textbox>
                  <w:txbxContent>
                    <w:p w:rsidR="0083519B" w:rsidRPr="00D920EF" w:rsidRDefault="0083519B" w:rsidP="00DA1F3F">
                      <w:pPr>
                        <w:jc w:val="center"/>
                        <w:rPr>
                          <w:rFonts w:ascii="Tahoma" w:hAnsi="Tahoma" w:cs="Tahoma"/>
                          <w:b/>
                          <w:bCs/>
                          <w:sz w:val="28"/>
                          <w:szCs w:val="28"/>
                        </w:rPr>
                      </w:pPr>
                      <w:r w:rsidRPr="00D920EF">
                        <w:rPr>
                          <w:rFonts w:ascii="Tahoma" w:hAnsi="Tahoma" w:cs="Tahoma"/>
                          <w:b/>
                          <w:bCs/>
                          <w:sz w:val="28"/>
                          <w:szCs w:val="28"/>
                        </w:rPr>
                        <w:t>DREFLCD : Khémisset</w:t>
                      </w:r>
                    </w:p>
                  </w:txbxContent>
                </v:textbox>
              </v:roundrect>
            </w:pict>
          </mc:Fallback>
        </mc:AlternateContent>
      </w:r>
      <w:r w:rsidRPr="002462E6">
        <w:rPr>
          <w:rFonts w:ascii="Calibri" w:eastAsia="Calibri" w:hAnsi="Calibri" w:cs="Arial"/>
          <w:noProof/>
          <w:lang w:eastAsia="fr-FR"/>
        </w:rPr>
        <mc:AlternateContent>
          <mc:Choice Requires="wps">
            <w:drawing>
              <wp:anchor distT="0" distB="0" distL="114300" distR="114300" simplePos="0" relativeHeight="251734016" behindDoc="0" locked="0" layoutInCell="1" allowOverlap="1" wp14:anchorId="10C4B293" wp14:editId="65035EBB">
                <wp:simplePos x="0" y="0"/>
                <wp:positionH relativeFrom="column">
                  <wp:posOffset>26035</wp:posOffset>
                </wp:positionH>
                <wp:positionV relativeFrom="paragraph">
                  <wp:posOffset>143510</wp:posOffset>
                </wp:positionV>
                <wp:extent cx="2571750" cy="557530"/>
                <wp:effectExtent l="0" t="0" r="19050" b="13970"/>
                <wp:wrapNone/>
                <wp:docPr id="46" name="Rectangle à coins arrondis 46"/>
                <wp:cNvGraphicFramePr/>
                <a:graphic xmlns:a="http://schemas.openxmlformats.org/drawingml/2006/main">
                  <a:graphicData uri="http://schemas.microsoft.com/office/word/2010/wordprocessingShape">
                    <wps:wsp>
                      <wps:cNvSpPr/>
                      <wps:spPr>
                        <a:xfrm>
                          <a:off x="0" y="0"/>
                          <a:ext cx="2571750" cy="557530"/>
                        </a:xfrm>
                        <a:prstGeom prst="roundRect">
                          <a:avLst/>
                        </a:prstGeom>
                        <a:solidFill>
                          <a:srgbClr val="5B9BD5">
                            <a:lumMod val="20000"/>
                            <a:lumOff val="80000"/>
                          </a:srgbClr>
                        </a:solidFill>
                        <a:ln w="6350" cap="flat" cmpd="sng" algn="ctr">
                          <a:solidFill>
                            <a:srgbClr val="5B9BD5"/>
                          </a:solidFill>
                          <a:prstDash val="solid"/>
                          <a:miter lim="800000"/>
                        </a:ln>
                        <a:effectLst/>
                      </wps:spPr>
                      <wps:txbx>
                        <w:txbxContent>
                          <w:p w:rsidR="0083519B" w:rsidRPr="00D920EF" w:rsidRDefault="0083519B" w:rsidP="00DA1F3F">
                            <w:pPr>
                              <w:jc w:val="center"/>
                              <w:rPr>
                                <w:rFonts w:ascii="Tahoma" w:hAnsi="Tahoma" w:cs="Tahoma"/>
                                <w:b/>
                                <w:bCs/>
                                <w:sz w:val="28"/>
                                <w:szCs w:val="28"/>
                              </w:rPr>
                            </w:pPr>
                            <w:r w:rsidRPr="00D920EF">
                              <w:rPr>
                                <w:rFonts w:ascii="Tahoma" w:hAnsi="Tahoma" w:cs="Tahoma"/>
                                <w:b/>
                                <w:bCs/>
                                <w:sz w:val="28"/>
                                <w:szCs w:val="28"/>
                              </w:rPr>
                              <w:t>DREFLCD: Rabat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10C4B293" id="Rectangle à coins arrondis 46" o:spid="_x0000_s1050" style="position:absolute;margin-left:2.05pt;margin-top:11.3pt;width:202.5pt;height:43.9pt;z-index:2517340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" fillcolor="#deebf7" strokecolor="#5b9bd5" strokeweight=".5pt">
                <v:stroke joinstyle="miter"/>
                <v:textbox>
                  <w:txbxContent>
                    <w:p w:rsidR="0083519B" w:rsidRPr="00D920EF" w:rsidRDefault="0083519B" w:rsidP="00DA1F3F">
                      <w:pPr>
                        <w:jc w:val="center"/>
                        <w:rPr>
                          <w:rFonts w:ascii="Tahoma" w:hAnsi="Tahoma" w:cs="Tahoma"/>
                          <w:b/>
                          <w:bCs/>
                          <w:sz w:val="28"/>
                          <w:szCs w:val="28"/>
                        </w:rPr>
                      </w:pPr>
                      <w:r w:rsidRPr="00D920EF">
                        <w:rPr>
                          <w:rFonts w:ascii="Tahoma" w:hAnsi="Tahoma" w:cs="Tahoma"/>
                          <w:b/>
                          <w:bCs/>
                          <w:sz w:val="28"/>
                          <w:szCs w:val="28"/>
                        </w:rPr>
                        <w:t>DREFLCD: Rabat</w:t>
                      </w:r>
                    </w:p>
                  </w:txbxContent>
                </v:textbox>
              </v:roundrect>
            </w:pict>
          </mc:Fallback>
        </mc:AlternateContent>
      </w:r>
    </w:p>
    <w:p w:rsidR="00DA1F3F" w:rsidRPr="002462E6" w:rsidRDefault="00DA1F3F" w:rsidP="00DA1F3F">
      <w:pPr>
        <w:rPr>
          <w:rFonts w:ascii="Calibri" w:eastAsia="Calibri" w:hAnsi="Calibri" w:cs="Arial"/>
        </w:rPr>
      </w:pPr>
    </w:p>
    <w:p w:rsidR="00DA1F3F" w:rsidRPr="002462E6" w:rsidRDefault="00DA1F3F" w:rsidP="00DA1F3F">
      <w:pPr>
        <w:rPr>
          <w:rFonts w:ascii="Calibri" w:eastAsia="Calibri" w:hAnsi="Calibri" w:cs="Arial"/>
        </w:rPr>
      </w:pPr>
      <w:r w:rsidRPr="002462E6">
        <w:rPr>
          <w:rFonts w:ascii="Calibri" w:eastAsia="Calibri" w:hAnsi="Calibri" w:cs="Arial"/>
          <w:noProof/>
          <w:lang w:eastAsia="fr-FR"/>
        </w:rPr>
        <mc:AlternateContent>
          <mc:Choice Requires="wps">
            <w:drawing>
              <wp:anchor distT="0" distB="0" distL="114300" distR="114300" simplePos="0" relativeHeight="251748352" behindDoc="0" locked="0" layoutInCell="1" allowOverlap="1" wp14:anchorId="4D562804" wp14:editId="7D49F37F">
                <wp:simplePos x="0" y="0"/>
                <wp:positionH relativeFrom="column">
                  <wp:posOffset>1308735</wp:posOffset>
                </wp:positionH>
                <wp:positionV relativeFrom="paragraph">
                  <wp:posOffset>154305</wp:posOffset>
                </wp:positionV>
                <wp:extent cx="0" cy="700405"/>
                <wp:effectExtent l="133350" t="0" r="95250" b="42545"/>
                <wp:wrapNone/>
                <wp:docPr id="47" name="Connecteur droit avec flèche 47"/>
                <wp:cNvGraphicFramePr/>
                <a:graphic xmlns:a="http://schemas.openxmlformats.org/drawingml/2006/main">
                  <a:graphicData uri="http://schemas.microsoft.com/office/word/2010/wordprocessingShape">
                    <wps:wsp>
                      <wps:cNvCnPr/>
                      <wps:spPr>
                        <a:xfrm>
                          <a:off x="0" y="0"/>
                          <a:ext cx="0" cy="700405"/>
                        </a:xfrm>
                        <a:prstGeom prst="straightConnector1">
                          <a:avLst/>
                        </a:prstGeom>
                        <a:noFill/>
                        <a:ln w="38100" cap="flat" cmpd="sng" algn="ctr">
                          <a:solidFill>
                            <a:srgbClr val="4472C4"/>
                          </a:solidFill>
                          <a:prstDash val="solid"/>
                          <a:miter lim="800000"/>
                          <a:tailEnd type="arrow"/>
                        </a:ln>
                        <a:effectLst/>
                      </wps:spPr>
                      <wps:bodyPr/>
                    </wps:wsp>
                  </a:graphicData>
                </a:graphic>
                <wp14:sizeRelV relativeFrom="margin">
                  <wp14:pctHeight>0</wp14:pctHeight>
                </wp14:sizeRelV>
              </wp:anchor>
            </w:drawing>
          </mc:Choice>
          <mc:Fallback>
            <w:pict>
              <v:shape w14:anchorId="0DFD4208" id="Connecteur droit avec flèche 47" o:spid="_x0000_s1026" type="#_x0000_t32" style="position:absolute;margin-left:103.05pt;margin-top:12.15pt;width:0;height:55.15pt;z-index:2517483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" strokecolor="#4472c4" strokeweight="3pt">
                <v:stroke endarrow="open" joinstyle="miter"/>
              </v:shape>
            </w:pict>
          </mc:Fallback>
        </mc:AlternateContent>
      </w:r>
      <w:r w:rsidRPr="002462E6">
        <w:rPr>
          <w:rFonts w:ascii="Calibri" w:eastAsia="Calibri" w:hAnsi="Calibri" w:cs="Arial"/>
          <w:noProof/>
          <w:lang w:eastAsia="fr-FR"/>
        </w:rPr>
        <mc:AlternateContent>
          <mc:Choice Requires="wps">
            <w:drawing>
              <wp:anchor distT="0" distB="0" distL="114300" distR="114300" simplePos="0" relativeHeight="251749376" behindDoc="0" locked="0" layoutInCell="1" allowOverlap="1" wp14:anchorId="190F4B5F" wp14:editId="7ACB3521">
                <wp:simplePos x="0" y="0"/>
                <wp:positionH relativeFrom="column">
                  <wp:posOffset>4610356</wp:posOffset>
                </wp:positionH>
                <wp:positionV relativeFrom="paragraph">
                  <wp:posOffset>154775</wp:posOffset>
                </wp:positionV>
                <wp:extent cx="0" cy="700644"/>
                <wp:effectExtent l="133350" t="0" r="95250" b="42545"/>
                <wp:wrapNone/>
                <wp:docPr id="48" name="Connecteur droit avec flèche 48"/>
                <wp:cNvGraphicFramePr/>
                <a:graphic xmlns:a="http://schemas.openxmlformats.org/drawingml/2006/main">
                  <a:graphicData uri="http://schemas.microsoft.com/office/word/2010/wordprocessingShape">
                    <wps:wsp>
                      <wps:cNvCnPr/>
                      <wps:spPr>
                        <a:xfrm>
                          <a:off x="0" y="0"/>
                          <a:ext cx="0" cy="700644"/>
                        </a:xfrm>
                        <a:prstGeom prst="straightConnector1">
                          <a:avLst/>
                        </a:prstGeom>
                        <a:noFill/>
                        <a:ln w="38100" cap="flat" cmpd="sng" algn="ctr">
                          <a:solidFill>
                            <a:srgbClr val="4472C4"/>
                          </a:solidFill>
                          <a:prstDash val="solid"/>
                          <a:miter lim="800000"/>
                          <a:tailEnd type="arrow"/>
                        </a:ln>
                        <a:effectLst/>
                      </wps:spPr>
                      <wps:bodyPr/>
                    </wps:wsp>
                  </a:graphicData>
                </a:graphic>
                <wp14:sizeRelV relativeFrom="margin">
                  <wp14:pctHeight>0</wp14:pctHeight>
                </wp14:sizeRelV>
              </wp:anchor>
            </w:drawing>
          </mc:Choice>
          <mc:Fallback>
            <w:pict>
              <v:shape w14:anchorId="2199A5A7" id="Connecteur droit avec flèche 48" o:spid="_x0000_s1026" type="#_x0000_t32" style="position:absolute;margin-left:363pt;margin-top:12.2pt;width:0;height:55.15pt;z-index:2517493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" strokecolor="#4472c4" strokeweight="3pt">
                <v:stroke endarrow="open" joinstyle="miter"/>
              </v:shape>
            </w:pict>
          </mc:Fallback>
        </mc:AlternateContent>
      </w:r>
    </w:p>
    <w:p w:rsidR="00DA1F3F" w:rsidRPr="002462E6" w:rsidRDefault="00DA1F3F" w:rsidP="00DA1F3F">
      <w:pPr>
        <w:rPr>
          <w:rFonts w:ascii="Calibri" w:eastAsia="Calibri" w:hAnsi="Calibri" w:cs="Arial"/>
        </w:rPr>
      </w:pPr>
    </w:p>
    <w:p w:rsidR="00DA1F3F" w:rsidRPr="002462E6" w:rsidRDefault="00DA1F3F" w:rsidP="00DA1F3F">
      <w:pPr>
        <w:rPr>
          <w:rFonts w:ascii="Calibri" w:eastAsia="Calibri" w:hAnsi="Calibri" w:cs="Arial"/>
        </w:rPr>
      </w:pPr>
    </w:p>
    <w:p w:rsidR="00DA1F3F" w:rsidRPr="002462E6" w:rsidRDefault="00DA1F3F" w:rsidP="00DA1F3F">
      <w:pPr>
        <w:rPr>
          <w:rFonts w:ascii="Calibri" w:eastAsia="Calibri" w:hAnsi="Calibri" w:cs="Arial"/>
        </w:rPr>
      </w:pPr>
      <w:r w:rsidRPr="002462E6">
        <w:rPr>
          <w:rFonts w:ascii="Calibri" w:eastAsia="Calibri" w:hAnsi="Calibri" w:cs="Arial"/>
          <w:noProof/>
          <w:lang w:eastAsia="fr-FR"/>
        </w:rPr>
        <mc:AlternateContent>
          <mc:Choice Requires="wps">
            <w:drawing>
              <wp:anchor distT="0" distB="0" distL="114300" distR="114300" simplePos="0" relativeHeight="251737088" behindDoc="0" locked="0" layoutInCell="1" allowOverlap="1" wp14:anchorId="60C226FA" wp14:editId="135E258E">
                <wp:simplePos x="0" y="0"/>
                <wp:positionH relativeFrom="column">
                  <wp:posOffset>50165</wp:posOffset>
                </wp:positionH>
                <wp:positionV relativeFrom="paragraph">
                  <wp:posOffset>-1905</wp:posOffset>
                </wp:positionV>
                <wp:extent cx="2571750" cy="593725"/>
                <wp:effectExtent l="0" t="0" r="19050" b="15875"/>
                <wp:wrapNone/>
                <wp:docPr id="49" name="Rectangle à coins arrondis 49"/>
                <wp:cNvGraphicFramePr/>
                <a:graphic xmlns:a="http://schemas.openxmlformats.org/drawingml/2006/main">
                  <a:graphicData uri="http://schemas.microsoft.com/office/word/2010/wordprocessingShape">
                    <wps:wsp>
                      <wps:cNvSpPr/>
                      <wps:spPr>
                        <a:xfrm>
                          <a:off x="0" y="0"/>
                          <a:ext cx="2571750" cy="593725"/>
                        </a:xfrm>
                        <a:prstGeom prst="roundRect">
                          <a:avLst/>
                        </a:prstGeom>
                        <a:solidFill>
                          <a:srgbClr val="5B9BD5">
                            <a:lumMod val="20000"/>
                            <a:lumOff val="80000"/>
                          </a:srgbClr>
                        </a:solidFill>
                        <a:ln w="6350" cap="flat" cmpd="sng" algn="ctr">
                          <a:solidFill>
                            <a:srgbClr val="5B9BD5"/>
                          </a:solidFill>
                          <a:prstDash val="solid"/>
                          <a:miter lim="800000"/>
                        </a:ln>
                        <a:effectLst/>
                      </wps:spPr>
                      <wps:txbx>
                        <w:txbxContent>
                          <w:p w:rsidR="0083519B" w:rsidRPr="00D920EF" w:rsidRDefault="0083519B" w:rsidP="00DA1F3F">
                            <w:pPr>
                              <w:jc w:val="center"/>
                              <w:rPr>
                                <w:rFonts w:ascii="Tahoma" w:hAnsi="Tahoma" w:cs="Tahoma"/>
                                <w:b/>
                                <w:bCs/>
                                <w:sz w:val="28"/>
                                <w:szCs w:val="28"/>
                              </w:rPr>
                            </w:pPr>
                            <w:r w:rsidRPr="00D920EF">
                              <w:rPr>
                                <w:rFonts w:ascii="Tahoma" w:hAnsi="Tahoma" w:cs="Tahoma"/>
                                <w:b/>
                                <w:bCs/>
                                <w:sz w:val="28"/>
                                <w:szCs w:val="28"/>
                              </w:rPr>
                              <w:t>CCDRF : Rabat-Temara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60C226FA" id="Rectangle à coins arrondis 49" o:spid="_x0000_s1051" style="position:absolute;margin-left:3.95pt;margin-top:-.15pt;width:202.5pt;height:46.75pt;z-index:2517370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" fillcolor="#deebf7" strokecolor="#5b9bd5" strokeweight=".5pt">
                <v:stroke joinstyle="miter"/>
                <v:textbox>
                  <w:txbxContent>
                    <w:p w:rsidR="0083519B" w:rsidRPr="00D920EF" w:rsidRDefault="0083519B" w:rsidP="00DA1F3F">
                      <w:pPr>
                        <w:jc w:val="center"/>
                        <w:rPr>
                          <w:rFonts w:ascii="Tahoma" w:hAnsi="Tahoma" w:cs="Tahoma"/>
                          <w:b/>
                          <w:bCs/>
                          <w:sz w:val="28"/>
                          <w:szCs w:val="28"/>
                        </w:rPr>
                      </w:pPr>
                      <w:r w:rsidRPr="00D920EF">
                        <w:rPr>
                          <w:rFonts w:ascii="Tahoma" w:hAnsi="Tahoma" w:cs="Tahoma"/>
                          <w:b/>
                          <w:bCs/>
                          <w:sz w:val="28"/>
                          <w:szCs w:val="28"/>
                        </w:rPr>
                        <w:t>CCDRF : Rabat-Temara</w:t>
                      </w:r>
                    </w:p>
                  </w:txbxContent>
                </v:textbox>
              </v:roundrect>
            </w:pict>
          </mc:Fallback>
        </mc:AlternateContent>
      </w:r>
      <w:r w:rsidRPr="002462E6">
        <w:rPr>
          <w:rFonts w:ascii="Calibri" w:eastAsia="Calibri" w:hAnsi="Calibri" w:cs="Arial"/>
          <w:noProof/>
          <w:lang w:eastAsia="fr-FR"/>
        </w:rPr>
        <mc:AlternateContent>
          <mc:Choice Requires="wps">
            <w:drawing>
              <wp:anchor distT="0" distB="0" distL="114300" distR="114300" simplePos="0" relativeHeight="251732992" behindDoc="0" locked="0" layoutInCell="1" allowOverlap="1" wp14:anchorId="1DD37F2C" wp14:editId="55C27281">
                <wp:simplePos x="0" y="0"/>
                <wp:positionH relativeFrom="column">
                  <wp:posOffset>3375025</wp:posOffset>
                </wp:positionH>
                <wp:positionV relativeFrom="paragraph">
                  <wp:posOffset>-1905</wp:posOffset>
                </wp:positionV>
                <wp:extent cx="2571750" cy="593725"/>
                <wp:effectExtent l="0" t="0" r="19050" b="15875"/>
                <wp:wrapNone/>
                <wp:docPr id="53" name="Rectangle à coins arrondis 53"/>
                <wp:cNvGraphicFramePr/>
                <a:graphic xmlns:a="http://schemas.openxmlformats.org/drawingml/2006/main">
                  <a:graphicData uri="http://schemas.microsoft.com/office/word/2010/wordprocessingShape">
                    <wps:wsp>
                      <wps:cNvSpPr/>
                      <wps:spPr>
                        <a:xfrm>
                          <a:off x="0" y="0"/>
                          <a:ext cx="2571750" cy="593725"/>
                        </a:xfrm>
                        <a:prstGeom prst="roundRect">
                          <a:avLst/>
                        </a:prstGeom>
                        <a:solidFill>
                          <a:srgbClr val="5B9BD5">
                            <a:lumMod val="20000"/>
                            <a:lumOff val="80000"/>
                          </a:srgbClr>
                        </a:solidFill>
                        <a:ln w="6350" cap="flat" cmpd="sng" algn="ctr">
                          <a:solidFill>
                            <a:srgbClr val="5B9BD5"/>
                          </a:solidFill>
                          <a:prstDash val="solid"/>
                          <a:miter lim="800000"/>
                        </a:ln>
                        <a:effectLst/>
                      </wps:spPr>
                      <wps:txbx>
                        <w:txbxContent>
                          <w:p w:rsidR="0083519B" w:rsidRPr="00D920EF" w:rsidRDefault="0083519B" w:rsidP="00DA1F3F">
                            <w:pPr>
                              <w:jc w:val="center"/>
                              <w:rPr>
                                <w:rFonts w:ascii="Tahoma" w:hAnsi="Tahoma" w:cs="Tahoma"/>
                                <w:b/>
                                <w:bCs/>
                                <w:sz w:val="28"/>
                                <w:szCs w:val="28"/>
                              </w:rPr>
                            </w:pPr>
                            <w:r w:rsidRPr="00D920EF">
                              <w:rPr>
                                <w:rFonts w:ascii="Tahoma" w:hAnsi="Tahoma" w:cs="Tahoma"/>
                                <w:b/>
                                <w:bCs/>
                                <w:sz w:val="28"/>
                                <w:szCs w:val="28"/>
                              </w:rPr>
                              <w:t>CCDRF : Rommani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1DD37F2C" id="Rectangle à coins arrondis 53" o:spid="_x0000_s1052" style="position:absolute;margin-left:265.75pt;margin-top:-.15pt;width:202.5pt;height:46.75pt;z-index:2517329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" fillcolor="#deebf7" strokecolor="#5b9bd5" strokeweight=".5pt">
                <v:stroke joinstyle="miter"/>
                <v:textbox>
                  <w:txbxContent>
                    <w:p w:rsidR="0083519B" w:rsidRPr="00D920EF" w:rsidRDefault="0083519B" w:rsidP="00DA1F3F">
                      <w:pPr>
                        <w:jc w:val="center"/>
                        <w:rPr>
                          <w:rFonts w:ascii="Tahoma" w:hAnsi="Tahoma" w:cs="Tahoma"/>
                          <w:b/>
                          <w:bCs/>
                          <w:sz w:val="28"/>
                          <w:szCs w:val="28"/>
                        </w:rPr>
                      </w:pPr>
                      <w:r w:rsidRPr="00D920EF">
                        <w:rPr>
                          <w:rFonts w:ascii="Tahoma" w:hAnsi="Tahoma" w:cs="Tahoma"/>
                          <w:b/>
                          <w:bCs/>
                          <w:sz w:val="28"/>
                          <w:szCs w:val="28"/>
                        </w:rPr>
                        <w:t>CCDRF : Rommani</w:t>
                      </w:r>
                    </w:p>
                  </w:txbxContent>
                </v:textbox>
              </v:roundrect>
            </w:pict>
          </mc:Fallback>
        </mc:AlternateContent>
      </w:r>
    </w:p>
    <w:p w:rsidR="00DA1F3F" w:rsidRPr="002462E6" w:rsidRDefault="00DA1F3F" w:rsidP="00DA1F3F">
      <w:pPr>
        <w:rPr>
          <w:rFonts w:ascii="Calibri" w:eastAsia="Calibri" w:hAnsi="Calibri" w:cs="Arial"/>
        </w:rPr>
      </w:pPr>
    </w:p>
    <w:p w:rsidR="00DA1F3F" w:rsidRPr="002462E6" w:rsidRDefault="00DA1F3F" w:rsidP="00DA1F3F">
      <w:pPr>
        <w:rPr>
          <w:rFonts w:ascii="Calibri" w:eastAsia="Calibri" w:hAnsi="Calibri" w:cs="Arial"/>
        </w:rPr>
      </w:pPr>
      <w:r w:rsidRPr="002462E6">
        <w:rPr>
          <w:rFonts w:ascii="Calibri" w:eastAsia="Calibri" w:hAnsi="Calibri" w:cs="Arial"/>
          <w:noProof/>
          <w:lang w:eastAsia="fr-FR"/>
        </w:rPr>
        <mc:AlternateContent>
          <mc:Choice Requires="wps">
            <w:drawing>
              <wp:anchor distT="0" distB="0" distL="114300" distR="114300" simplePos="0" relativeHeight="251754496" behindDoc="0" locked="0" layoutInCell="1" allowOverlap="1" wp14:anchorId="1FAFAF8F" wp14:editId="31EEBB9F">
                <wp:simplePos x="0" y="0"/>
                <wp:positionH relativeFrom="column">
                  <wp:posOffset>4625876</wp:posOffset>
                </wp:positionH>
                <wp:positionV relativeFrom="paragraph">
                  <wp:posOffset>18975</wp:posOffset>
                </wp:positionV>
                <wp:extent cx="0" cy="617558"/>
                <wp:effectExtent l="19050" t="0" r="19050" b="11430"/>
                <wp:wrapNone/>
                <wp:docPr id="55" name="Connecteur droit 55"/>
                <wp:cNvGraphicFramePr/>
                <a:graphic xmlns:a="http://schemas.openxmlformats.org/drawingml/2006/main">
                  <a:graphicData uri="http://schemas.microsoft.com/office/word/2010/wordprocessingShape">
                    <wps:wsp>
                      <wps:cNvCnPr/>
                      <wps:spPr>
                        <a:xfrm>
                          <a:off x="0" y="0"/>
                          <a:ext cx="0" cy="617558"/>
                        </a:xfrm>
                        <a:prstGeom prst="line">
                          <a:avLst/>
                        </a:prstGeom>
                        <a:noFill/>
                        <a:ln w="38100" cap="flat" cmpd="sng" algn="ctr">
                          <a:solidFill>
                            <a:srgbClr val="4472C4"/>
                          </a:solidFill>
                          <a:prstDash val="solid"/>
                          <a:miter lim="800000"/>
                        </a:ln>
                        <a:effectLst/>
                      </wps:spPr>
                      <wps:bodyPr/>
                    </wps:wsp>
                  </a:graphicData>
                </a:graphic>
              </wp:anchor>
            </w:drawing>
          </mc:Choice>
          <mc:Fallback>
            <w:pict>
              <v:line w14:anchorId="47C2EB2E" id="Connecteur droit 55" o:spid="_x0000_s1026" style="position:absolute;z-index:251754496;visibility:visible;mso-wrap-style:square;mso-wrap-distance-left:9pt;mso-wrap-distance-top:0;mso-wrap-distance-right:9pt;mso-wrap-distance-bottom:0;mso-position-horizontal:absolute;mso-position-horizontal-relative:text;mso-position-vertical:absolute;mso-position-vertical-relative:text" from="364.25pt,1.5pt" to="364.25pt,50.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" strokecolor="#4472c4" strokeweight="3pt">
                <v:stroke joinstyle="miter"/>
              </v:line>
            </w:pict>
          </mc:Fallback>
        </mc:AlternateContent>
      </w:r>
      <w:r w:rsidRPr="002462E6">
        <w:rPr>
          <w:rFonts w:ascii="Calibri" w:eastAsia="Calibri" w:hAnsi="Calibri" w:cs="Arial"/>
          <w:noProof/>
          <w:lang w:eastAsia="fr-FR"/>
        </w:rPr>
        <mc:AlternateContent>
          <mc:Choice Requires="wps">
            <w:drawing>
              <wp:anchor distT="0" distB="0" distL="114300" distR="114300" simplePos="0" relativeHeight="251753472" behindDoc="0" locked="0" layoutInCell="1" allowOverlap="1" wp14:anchorId="2EA07EDB" wp14:editId="5E2F64F5">
                <wp:simplePos x="0" y="0"/>
                <wp:positionH relativeFrom="column">
                  <wp:posOffset>1326944</wp:posOffset>
                </wp:positionH>
                <wp:positionV relativeFrom="paragraph">
                  <wp:posOffset>21029</wp:posOffset>
                </wp:positionV>
                <wp:extent cx="0" cy="617558"/>
                <wp:effectExtent l="19050" t="0" r="19050" b="11430"/>
                <wp:wrapNone/>
                <wp:docPr id="56" name="Connecteur droit 56"/>
                <wp:cNvGraphicFramePr/>
                <a:graphic xmlns:a="http://schemas.openxmlformats.org/drawingml/2006/main">
                  <a:graphicData uri="http://schemas.microsoft.com/office/word/2010/wordprocessingShape">
                    <wps:wsp>
                      <wps:cNvCnPr/>
                      <wps:spPr>
                        <a:xfrm>
                          <a:off x="0" y="0"/>
                          <a:ext cx="0" cy="617558"/>
                        </a:xfrm>
                        <a:prstGeom prst="line">
                          <a:avLst/>
                        </a:prstGeom>
                        <a:noFill/>
                        <a:ln w="38100" cap="flat" cmpd="sng" algn="ctr">
                          <a:solidFill>
                            <a:srgbClr val="4472C4"/>
                          </a:solidFill>
                          <a:prstDash val="solid"/>
                          <a:miter lim="800000"/>
                        </a:ln>
                        <a:effectLst/>
                      </wps:spPr>
                      <wps:bodyPr/>
                    </wps:wsp>
                  </a:graphicData>
                </a:graphic>
              </wp:anchor>
            </w:drawing>
          </mc:Choice>
          <mc:Fallback>
            <w:pict>
              <v:line w14:anchorId="19B8F73A" id="Connecteur droit 56" o:spid="_x0000_s1026" style="position:absolute;z-index:251753472;visibility:visible;mso-wrap-style:square;mso-wrap-distance-left:9pt;mso-wrap-distance-top:0;mso-wrap-distance-right:9pt;mso-wrap-distance-bottom:0;mso-position-horizontal:absolute;mso-position-horizontal-relative:text;mso-position-vertical:absolute;mso-position-vertical-relative:text" from="104.5pt,1.65pt" to="104.5pt,50.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" strokecolor="#4472c4" strokeweight="3pt">
                <v:stroke joinstyle="miter"/>
              </v:line>
            </w:pict>
          </mc:Fallback>
        </mc:AlternateContent>
      </w:r>
    </w:p>
    <w:p w:rsidR="00DA1F3F" w:rsidRPr="002462E6" w:rsidRDefault="00DA1F3F" w:rsidP="00DA1F3F">
      <w:pPr>
        <w:rPr>
          <w:rFonts w:ascii="Calibri" w:eastAsia="Calibri" w:hAnsi="Calibri" w:cs="Arial"/>
        </w:rPr>
      </w:pPr>
    </w:p>
    <w:p w:rsidR="00DA1F3F" w:rsidRPr="002462E6" w:rsidRDefault="00DA1F3F" w:rsidP="00DA1F3F">
      <w:pPr>
        <w:rPr>
          <w:rFonts w:ascii="Calibri" w:eastAsia="Calibri" w:hAnsi="Calibri" w:cs="Arial"/>
        </w:rPr>
      </w:pPr>
      <w:r w:rsidRPr="002462E6">
        <w:rPr>
          <w:rFonts w:ascii="Calibri" w:eastAsia="Calibri" w:hAnsi="Calibri" w:cs="Arial"/>
          <w:noProof/>
          <w:lang w:eastAsia="fr-FR"/>
        </w:rPr>
        <mc:AlternateContent>
          <mc:Choice Requires="wps">
            <w:drawing>
              <wp:anchor distT="0" distB="0" distL="114300" distR="114300" simplePos="0" relativeHeight="251744256" behindDoc="0" locked="0" layoutInCell="1" allowOverlap="1" wp14:anchorId="5B40FD31" wp14:editId="673E3A1C">
                <wp:simplePos x="0" y="0"/>
                <wp:positionH relativeFrom="column">
                  <wp:posOffset>583565</wp:posOffset>
                </wp:positionH>
                <wp:positionV relativeFrom="paragraph">
                  <wp:posOffset>36830</wp:posOffset>
                </wp:positionV>
                <wp:extent cx="0" cy="391795"/>
                <wp:effectExtent l="133350" t="0" r="95250" b="46355"/>
                <wp:wrapNone/>
                <wp:docPr id="57" name="Connecteur droit avec flèche 57"/>
                <wp:cNvGraphicFramePr/>
                <a:graphic xmlns:a="http://schemas.openxmlformats.org/drawingml/2006/main">
                  <a:graphicData uri="http://schemas.microsoft.com/office/word/2010/wordprocessingShape">
                    <wps:wsp>
                      <wps:cNvCnPr/>
                      <wps:spPr>
                        <a:xfrm>
                          <a:off x="0" y="0"/>
                          <a:ext cx="0" cy="391795"/>
                        </a:xfrm>
                        <a:prstGeom prst="straightConnector1">
                          <a:avLst/>
                        </a:prstGeom>
                        <a:noFill/>
                        <a:ln w="38100" cap="flat" cmpd="sng" algn="ctr">
                          <a:solidFill>
                            <a:srgbClr val="4472C4"/>
                          </a:solidFill>
                          <a:prstDash val="solid"/>
                          <a:miter lim="800000"/>
                          <a:tailEnd type="arrow"/>
                        </a:ln>
                        <a:effectLst/>
                      </wps:spPr>
                      <wps:bodyPr/>
                    </wps:wsp>
                  </a:graphicData>
                </a:graphic>
              </wp:anchor>
            </w:drawing>
          </mc:Choice>
          <mc:Fallback>
            <w:pict>
              <v:shape w14:anchorId="5CD95180" id="Connecteur droit avec flèche 57" o:spid="_x0000_s1026" type="#_x0000_t32" style="position:absolute;margin-left:45.95pt;margin-top:2.9pt;width:0;height:30.85pt;z-index:2517442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" strokecolor="#4472c4" strokeweight="3pt">
                <v:stroke endarrow="open" joinstyle="miter"/>
              </v:shape>
            </w:pict>
          </mc:Fallback>
        </mc:AlternateContent>
      </w:r>
      <w:r w:rsidRPr="002462E6">
        <w:rPr>
          <w:rFonts w:ascii="Calibri" w:eastAsia="Calibri" w:hAnsi="Calibri" w:cs="Arial"/>
          <w:noProof/>
          <w:lang w:eastAsia="fr-FR"/>
        </w:rPr>
        <mc:AlternateContent>
          <mc:Choice Requires="wps">
            <w:drawing>
              <wp:anchor distT="0" distB="0" distL="114300" distR="114300" simplePos="0" relativeHeight="251752448" behindDoc="0" locked="0" layoutInCell="1" allowOverlap="1" wp14:anchorId="594820EF" wp14:editId="3F2445B8">
                <wp:simplePos x="0" y="0"/>
                <wp:positionH relativeFrom="column">
                  <wp:posOffset>582295</wp:posOffset>
                </wp:positionH>
                <wp:positionV relativeFrom="paragraph">
                  <wp:posOffset>52820</wp:posOffset>
                </wp:positionV>
                <wp:extent cx="1579418" cy="0"/>
                <wp:effectExtent l="0" t="19050" r="1905" b="19050"/>
                <wp:wrapNone/>
                <wp:docPr id="58" name="Connecteur droit 58"/>
                <wp:cNvGraphicFramePr/>
                <a:graphic xmlns:a="http://schemas.openxmlformats.org/drawingml/2006/main">
                  <a:graphicData uri="http://schemas.microsoft.com/office/word/2010/wordprocessingShape">
                    <wps:wsp>
                      <wps:cNvCnPr/>
                      <wps:spPr>
                        <a:xfrm>
                          <a:off x="0" y="0"/>
                          <a:ext cx="1579418" cy="0"/>
                        </a:xfrm>
                        <a:prstGeom prst="line">
                          <a:avLst/>
                        </a:prstGeom>
                        <a:noFill/>
                        <a:ln w="38100" cap="flat" cmpd="sng" algn="ctr">
                          <a:solidFill>
                            <a:srgbClr val="5B9BD5">
                              <a:lumMod val="75000"/>
                            </a:srgbClr>
                          </a:solidFill>
                          <a:prstDash val="solid"/>
                          <a:miter lim="800000"/>
                        </a:ln>
                        <a:effectLst/>
                      </wps:spPr>
                      <wps:bodyPr/>
                    </wps:wsp>
                  </a:graphicData>
                </a:graphic>
                <wp14:sizeRelH relativeFrom="margin">
                  <wp14:pctWidth>0</wp14:pctWidth>
                </wp14:sizeRelH>
              </wp:anchor>
            </w:drawing>
          </mc:Choice>
          <mc:Fallback>
            <w:pict>
              <v:line w14:anchorId="566A5406" id="Connecteur droit 58" o:spid="_x0000_s1026" style="position:absolute;z-index:2517524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5.85pt,4.15pt" to="170.2pt,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" strokecolor="#2e75b6" strokeweight="3pt">
                <v:stroke joinstyle="miter"/>
              </v:line>
            </w:pict>
          </mc:Fallback>
        </mc:AlternateContent>
      </w:r>
      <w:r w:rsidRPr="002462E6">
        <w:rPr>
          <w:rFonts w:ascii="Calibri" w:eastAsia="Calibri" w:hAnsi="Calibri" w:cs="Arial"/>
          <w:noProof/>
          <w:lang w:eastAsia="fr-FR"/>
        </w:rPr>
        <mc:AlternateContent>
          <mc:Choice Requires="wps">
            <w:drawing>
              <wp:anchor distT="0" distB="0" distL="114300" distR="114300" simplePos="0" relativeHeight="251751424" behindDoc="0" locked="0" layoutInCell="1" allowOverlap="1" wp14:anchorId="6D9375F6" wp14:editId="4D216191">
                <wp:simplePos x="0" y="0"/>
                <wp:positionH relativeFrom="column">
                  <wp:posOffset>3838460</wp:posOffset>
                </wp:positionH>
                <wp:positionV relativeFrom="paragraph">
                  <wp:posOffset>67087</wp:posOffset>
                </wp:positionV>
                <wp:extent cx="1579418" cy="0"/>
                <wp:effectExtent l="0" t="19050" r="1905" b="19050"/>
                <wp:wrapNone/>
                <wp:docPr id="59" name="Connecteur droit 59"/>
                <wp:cNvGraphicFramePr/>
                <a:graphic xmlns:a="http://schemas.openxmlformats.org/drawingml/2006/main">
                  <a:graphicData uri="http://schemas.microsoft.com/office/word/2010/wordprocessingShape">
                    <wps:wsp>
                      <wps:cNvCnPr/>
                      <wps:spPr>
                        <a:xfrm>
                          <a:off x="0" y="0"/>
                          <a:ext cx="1579418" cy="0"/>
                        </a:xfrm>
                        <a:prstGeom prst="line">
                          <a:avLst/>
                        </a:prstGeom>
                        <a:noFill/>
                        <a:ln w="38100" cap="flat" cmpd="sng" algn="ctr">
                          <a:solidFill>
                            <a:srgbClr val="5B9BD5">
                              <a:lumMod val="75000"/>
                            </a:srgbClr>
                          </a:solidFill>
                          <a:prstDash val="solid"/>
                          <a:miter lim="800000"/>
                        </a:ln>
                        <a:effectLst/>
                      </wps:spPr>
                      <wps:bodyPr/>
                    </wps:wsp>
                  </a:graphicData>
                </a:graphic>
                <wp14:sizeRelH relativeFrom="margin">
                  <wp14:pctWidth>0</wp14:pctWidth>
                </wp14:sizeRelH>
              </wp:anchor>
            </w:drawing>
          </mc:Choice>
          <mc:Fallback>
            <w:pict>
              <v:line w14:anchorId="130A4BA3" id="Connecteur droit 59" o:spid="_x0000_s1026" style="position:absolute;z-index:2517514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02.25pt,5.3pt" to="426.6pt,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" strokecolor="#2e75b6" strokeweight="3pt">
                <v:stroke joinstyle="miter"/>
              </v:line>
            </w:pict>
          </mc:Fallback>
        </mc:AlternateContent>
      </w:r>
      <w:r w:rsidRPr="002462E6">
        <w:rPr>
          <w:rFonts w:ascii="Calibri" w:eastAsia="Calibri" w:hAnsi="Calibri" w:cs="Arial"/>
          <w:noProof/>
          <w:lang w:eastAsia="fr-FR"/>
        </w:rPr>
        <mc:AlternateContent>
          <mc:Choice Requires="wps">
            <w:drawing>
              <wp:anchor distT="0" distB="0" distL="114300" distR="114300" simplePos="0" relativeHeight="251745280" behindDoc="0" locked="0" layoutInCell="1" allowOverlap="1" wp14:anchorId="14A8D39E" wp14:editId="2BCB0301">
                <wp:simplePos x="0" y="0"/>
                <wp:positionH relativeFrom="column">
                  <wp:posOffset>2160905</wp:posOffset>
                </wp:positionH>
                <wp:positionV relativeFrom="paragraph">
                  <wp:posOffset>71120</wp:posOffset>
                </wp:positionV>
                <wp:extent cx="0" cy="391795"/>
                <wp:effectExtent l="133350" t="0" r="95250" b="46355"/>
                <wp:wrapNone/>
                <wp:docPr id="60" name="Connecteur droit avec flèche 60"/>
                <wp:cNvGraphicFramePr/>
                <a:graphic xmlns:a="http://schemas.openxmlformats.org/drawingml/2006/main">
                  <a:graphicData uri="http://schemas.microsoft.com/office/word/2010/wordprocessingShape">
                    <wps:wsp>
                      <wps:cNvCnPr/>
                      <wps:spPr>
                        <a:xfrm>
                          <a:off x="0" y="0"/>
                          <a:ext cx="0" cy="391795"/>
                        </a:xfrm>
                        <a:prstGeom prst="straightConnector1">
                          <a:avLst/>
                        </a:prstGeom>
                        <a:noFill/>
                        <a:ln w="38100" cap="flat" cmpd="sng" algn="ctr">
                          <a:solidFill>
                            <a:srgbClr val="4472C4"/>
                          </a:solidFill>
                          <a:prstDash val="solid"/>
                          <a:miter lim="800000"/>
                          <a:tailEnd type="arrow"/>
                        </a:ln>
                        <a:effectLst/>
                      </wps:spPr>
                      <wps:bodyPr/>
                    </wps:wsp>
                  </a:graphicData>
                </a:graphic>
              </wp:anchor>
            </w:drawing>
          </mc:Choice>
          <mc:Fallback>
            <w:pict>
              <v:shape w14:anchorId="502CA029" id="Connecteur droit avec flèche 60" o:spid="_x0000_s1026" type="#_x0000_t32" style="position:absolute;margin-left:170.15pt;margin-top:5.6pt;width:0;height:30.85pt;z-index:2517452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" strokecolor="#4472c4" strokeweight="3pt">
                <v:stroke endarrow="open" joinstyle="miter"/>
              </v:shape>
            </w:pict>
          </mc:Fallback>
        </mc:AlternateContent>
      </w:r>
      <w:r w:rsidRPr="002462E6">
        <w:rPr>
          <w:rFonts w:ascii="Calibri" w:eastAsia="Calibri" w:hAnsi="Calibri" w:cs="Arial"/>
          <w:noProof/>
          <w:lang w:eastAsia="fr-FR"/>
        </w:rPr>
        <mc:AlternateContent>
          <mc:Choice Requires="wps">
            <w:drawing>
              <wp:anchor distT="0" distB="0" distL="114300" distR="114300" simplePos="0" relativeHeight="251746304" behindDoc="0" locked="0" layoutInCell="1" allowOverlap="1" wp14:anchorId="263F1674" wp14:editId="5D4D38DB">
                <wp:simplePos x="0" y="0"/>
                <wp:positionH relativeFrom="column">
                  <wp:posOffset>3869055</wp:posOffset>
                </wp:positionH>
                <wp:positionV relativeFrom="paragraph">
                  <wp:posOffset>56070</wp:posOffset>
                </wp:positionV>
                <wp:extent cx="0" cy="391795"/>
                <wp:effectExtent l="133350" t="0" r="95250" b="46355"/>
                <wp:wrapNone/>
                <wp:docPr id="61" name="Connecteur droit avec flèche 61"/>
                <wp:cNvGraphicFramePr/>
                <a:graphic xmlns:a="http://schemas.openxmlformats.org/drawingml/2006/main">
                  <a:graphicData uri="http://schemas.microsoft.com/office/word/2010/wordprocessingShape">
                    <wps:wsp>
                      <wps:cNvCnPr/>
                      <wps:spPr>
                        <a:xfrm>
                          <a:off x="0" y="0"/>
                          <a:ext cx="0" cy="391795"/>
                        </a:xfrm>
                        <a:prstGeom prst="straightConnector1">
                          <a:avLst/>
                        </a:prstGeom>
                        <a:noFill/>
                        <a:ln w="38100" cap="flat" cmpd="sng" algn="ctr">
                          <a:solidFill>
                            <a:srgbClr val="4472C4"/>
                          </a:solidFill>
                          <a:prstDash val="solid"/>
                          <a:miter lim="800000"/>
                          <a:tailEnd type="arrow"/>
                        </a:ln>
                        <a:effectLst/>
                      </wps:spPr>
                      <wps:bodyPr/>
                    </wps:wsp>
                  </a:graphicData>
                </a:graphic>
              </wp:anchor>
            </w:drawing>
          </mc:Choice>
          <mc:Fallback>
            <w:pict>
              <v:shape w14:anchorId="4E5D662E" id="Connecteur droit avec flèche 61" o:spid="_x0000_s1026" type="#_x0000_t32" style="position:absolute;margin-left:304.65pt;margin-top:4.4pt;width:0;height:30.85pt;z-index:2517463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" strokecolor="#4472c4" strokeweight="3pt">
                <v:stroke endarrow="open" joinstyle="miter"/>
              </v:shape>
            </w:pict>
          </mc:Fallback>
        </mc:AlternateContent>
      </w:r>
      <w:r w:rsidRPr="002462E6">
        <w:rPr>
          <w:rFonts w:ascii="Calibri" w:eastAsia="Calibri" w:hAnsi="Calibri" w:cs="Arial"/>
          <w:noProof/>
          <w:lang w:eastAsia="fr-FR"/>
        </w:rPr>
        <mc:AlternateContent>
          <mc:Choice Requires="wps">
            <w:drawing>
              <wp:anchor distT="0" distB="0" distL="114300" distR="114300" simplePos="0" relativeHeight="251747328" behindDoc="0" locked="0" layoutInCell="1" allowOverlap="1" wp14:anchorId="768B05CB" wp14:editId="4E6A2D96">
                <wp:simplePos x="0" y="0"/>
                <wp:positionH relativeFrom="column">
                  <wp:posOffset>5422900</wp:posOffset>
                </wp:positionH>
                <wp:positionV relativeFrom="paragraph">
                  <wp:posOffset>67310</wp:posOffset>
                </wp:positionV>
                <wp:extent cx="0" cy="391795"/>
                <wp:effectExtent l="133350" t="0" r="95250" b="46355"/>
                <wp:wrapNone/>
                <wp:docPr id="62" name="Connecteur droit avec flèche 62"/>
                <wp:cNvGraphicFramePr/>
                <a:graphic xmlns:a="http://schemas.openxmlformats.org/drawingml/2006/main">
                  <a:graphicData uri="http://schemas.microsoft.com/office/word/2010/wordprocessingShape">
                    <wps:wsp>
                      <wps:cNvCnPr/>
                      <wps:spPr>
                        <a:xfrm>
                          <a:off x="0" y="0"/>
                          <a:ext cx="0" cy="391795"/>
                        </a:xfrm>
                        <a:prstGeom prst="straightConnector1">
                          <a:avLst/>
                        </a:prstGeom>
                        <a:noFill/>
                        <a:ln w="38100" cap="flat" cmpd="sng" algn="ctr">
                          <a:solidFill>
                            <a:srgbClr val="4472C4"/>
                          </a:solidFill>
                          <a:prstDash val="solid"/>
                          <a:miter lim="800000"/>
                          <a:tailEnd type="arrow"/>
                        </a:ln>
                        <a:effectLst/>
                      </wps:spPr>
                      <wps:bodyPr/>
                    </wps:wsp>
                  </a:graphicData>
                </a:graphic>
              </wp:anchor>
            </w:drawing>
          </mc:Choice>
          <mc:Fallback>
            <w:pict>
              <v:shape w14:anchorId="725955C5" id="Connecteur droit avec flèche 62" o:spid="_x0000_s1026" type="#_x0000_t32" style="position:absolute;margin-left:427pt;margin-top:5.3pt;width:0;height:30.85pt;z-index:2517473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" strokecolor="#4472c4" strokeweight="3pt">
                <v:stroke endarrow="open" joinstyle="miter"/>
              </v:shape>
            </w:pict>
          </mc:Fallback>
        </mc:AlternateContent>
      </w:r>
    </w:p>
    <w:p w:rsidR="00DA1F3F" w:rsidRPr="002462E6" w:rsidRDefault="00DA1F3F" w:rsidP="00DA1F3F">
      <w:pPr>
        <w:rPr>
          <w:rFonts w:ascii="Calibri" w:eastAsia="Calibri" w:hAnsi="Calibri" w:cs="Arial"/>
        </w:rPr>
      </w:pPr>
      <w:r w:rsidRPr="002462E6">
        <w:rPr>
          <w:rFonts w:ascii="Calibri" w:eastAsia="Calibri" w:hAnsi="Calibri" w:cs="Arial"/>
          <w:noProof/>
          <w:lang w:eastAsia="fr-FR"/>
        </w:rPr>
        <mc:AlternateContent>
          <mc:Choice Requires="wps">
            <w:drawing>
              <wp:anchor distT="0" distB="0" distL="114300" distR="114300" simplePos="0" relativeHeight="251739136" behindDoc="0" locked="0" layoutInCell="1" allowOverlap="1" wp14:anchorId="5A63C276" wp14:editId="40280315">
                <wp:simplePos x="0" y="0"/>
                <wp:positionH relativeFrom="column">
                  <wp:posOffset>3112580</wp:posOffset>
                </wp:positionH>
                <wp:positionV relativeFrom="paragraph">
                  <wp:posOffset>172720</wp:posOffset>
                </wp:positionV>
                <wp:extent cx="1478915" cy="800100"/>
                <wp:effectExtent l="0" t="0" r="26035" b="19050"/>
                <wp:wrapNone/>
                <wp:docPr id="63" name="Rectangle à coins arrondis 63"/>
                <wp:cNvGraphicFramePr/>
                <a:graphic xmlns:a="http://schemas.openxmlformats.org/drawingml/2006/main">
                  <a:graphicData uri="http://schemas.microsoft.com/office/word/2010/wordprocessingShape">
                    <wps:wsp>
                      <wps:cNvSpPr/>
                      <wps:spPr>
                        <a:xfrm>
                          <a:off x="0" y="0"/>
                          <a:ext cx="1478915" cy="800100"/>
                        </a:xfrm>
                        <a:prstGeom prst="roundRect">
                          <a:avLst/>
                        </a:prstGeom>
                        <a:solidFill>
                          <a:srgbClr val="5B9BD5">
                            <a:lumMod val="20000"/>
                            <a:lumOff val="80000"/>
                          </a:srgbClr>
                        </a:solidFill>
                        <a:ln w="6350" cap="flat" cmpd="sng" algn="ctr">
                          <a:solidFill>
                            <a:srgbClr val="5B9BD5"/>
                          </a:solidFill>
                          <a:prstDash val="solid"/>
                          <a:miter lim="800000"/>
                        </a:ln>
                        <a:effectLst/>
                      </wps:spPr>
                      <wps:txbx>
                        <w:txbxContent>
                          <w:p w:rsidR="0083519B" w:rsidRPr="00D920EF" w:rsidRDefault="0083519B" w:rsidP="00DA1F3F">
                            <w:pPr>
                              <w:jc w:val="center"/>
                              <w:rPr>
                                <w:rFonts w:ascii="Tahoma" w:hAnsi="Tahoma" w:cs="Tahoma"/>
                                <w:b/>
                                <w:bCs/>
                                <w:sz w:val="28"/>
                                <w:szCs w:val="28"/>
                              </w:rPr>
                            </w:pPr>
                            <w:r w:rsidRPr="00D920EF">
                              <w:rPr>
                                <w:rFonts w:ascii="Tahoma" w:hAnsi="Tahoma" w:cs="Tahoma"/>
                                <w:b/>
                                <w:bCs/>
                                <w:sz w:val="28"/>
                                <w:szCs w:val="28"/>
                              </w:rPr>
                              <w:t>SF : Lalla Regraga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5A63C276" id="Rectangle à coins arrondis 63" o:spid="_x0000_s1053" style="position:absolute;margin-left:245.1pt;margin-top:13.6pt;width:116.45pt;height:63pt;z-index:2517391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" fillcolor="#deebf7" strokecolor="#5b9bd5" strokeweight=".5pt">
                <v:stroke joinstyle="miter"/>
                <v:textbox>
                  <w:txbxContent>
                    <w:p w:rsidR="0083519B" w:rsidRPr="00D920EF" w:rsidRDefault="0083519B" w:rsidP="00DA1F3F">
                      <w:pPr>
                        <w:jc w:val="center"/>
                        <w:rPr>
                          <w:rFonts w:ascii="Tahoma" w:hAnsi="Tahoma" w:cs="Tahoma"/>
                          <w:b/>
                          <w:bCs/>
                          <w:sz w:val="28"/>
                          <w:szCs w:val="28"/>
                        </w:rPr>
                      </w:pPr>
                      <w:r w:rsidRPr="00D920EF">
                        <w:rPr>
                          <w:rFonts w:ascii="Tahoma" w:hAnsi="Tahoma" w:cs="Tahoma"/>
                          <w:b/>
                          <w:bCs/>
                          <w:sz w:val="28"/>
                          <w:szCs w:val="28"/>
                        </w:rPr>
                        <w:t>SF : Lalla Regraga</w:t>
                      </w:r>
                    </w:p>
                  </w:txbxContent>
                </v:textbox>
              </v:roundrect>
            </w:pict>
          </mc:Fallback>
        </mc:AlternateContent>
      </w:r>
      <w:r w:rsidRPr="002462E6">
        <w:rPr>
          <w:rFonts w:ascii="Calibri" w:eastAsia="Calibri" w:hAnsi="Calibri" w:cs="Arial"/>
          <w:noProof/>
          <w:lang w:eastAsia="fr-FR"/>
        </w:rPr>
        <mc:AlternateContent>
          <mc:Choice Requires="wps">
            <w:drawing>
              <wp:anchor distT="0" distB="0" distL="114300" distR="114300" simplePos="0" relativeHeight="251738112" behindDoc="0" locked="0" layoutInCell="1" allowOverlap="1" wp14:anchorId="5A0B0AC7" wp14:editId="74A95F70">
                <wp:simplePos x="0" y="0"/>
                <wp:positionH relativeFrom="column">
                  <wp:posOffset>-211455</wp:posOffset>
                </wp:positionH>
                <wp:positionV relativeFrom="paragraph">
                  <wp:posOffset>172720</wp:posOffset>
                </wp:positionV>
                <wp:extent cx="1537970" cy="800100"/>
                <wp:effectExtent l="0" t="0" r="24130" b="19050"/>
                <wp:wrapNone/>
                <wp:docPr id="1512970656" name="Rectangle à coins arrondis 1512970656"/>
                <wp:cNvGraphicFramePr/>
                <a:graphic xmlns:a="http://schemas.openxmlformats.org/drawingml/2006/main">
                  <a:graphicData uri="http://schemas.microsoft.com/office/word/2010/wordprocessingShape">
                    <wps:wsp>
                      <wps:cNvSpPr/>
                      <wps:spPr>
                        <a:xfrm>
                          <a:off x="0" y="0"/>
                          <a:ext cx="1537970" cy="800100"/>
                        </a:xfrm>
                        <a:prstGeom prst="roundRect">
                          <a:avLst/>
                        </a:prstGeom>
                        <a:solidFill>
                          <a:srgbClr val="5B9BD5">
                            <a:lumMod val="20000"/>
                            <a:lumOff val="80000"/>
                          </a:srgbClr>
                        </a:solidFill>
                        <a:ln w="6350" cap="flat" cmpd="sng" algn="ctr">
                          <a:solidFill>
                            <a:srgbClr val="5B9BD5"/>
                          </a:solidFill>
                          <a:prstDash val="solid"/>
                          <a:miter lim="800000"/>
                        </a:ln>
                        <a:effectLst/>
                      </wps:spPr>
                      <wps:txbx>
                        <w:txbxContent>
                          <w:p w:rsidR="0083519B" w:rsidRPr="00D920EF" w:rsidRDefault="0083519B" w:rsidP="00DA1F3F">
                            <w:pPr>
                              <w:jc w:val="center"/>
                              <w:rPr>
                                <w:rFonts w:ascii="Tahoma" w:hAnsi="Tahoma" w:cs="Tahoma"/>
                                <w:b/>
                                <w:bCs/>
                                <w:sz w:val="28"/>
                                <w:szCs w:val="28"/>
                              </w:rPr>
                            </w:pPr>
                            <w:r w:rsidRPr="00D920EF">
                              <w:rPr>
                                <w:rFonts w:ascii="Tahoma" w:hAnsi="Tahoma" w:cs="Tahoma"/>
                                <w:b/>
                                <w:bCs/>
                                <w:sz w:val="28"/>
                                <w:szCs w:val="28"/>
                              </w:rPr>
                              <w:t>SF : Ain El Aouda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5A0B0AC7" id="Rectangle à coins arrondis 1512970656" o:spid="_x0000_s1054" style="position:absolute;margin-left:-16.65pt;margin-top:13.6pt;width:121.1pt;height:63pt;z-index:2517381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" fillcolor="#deebf7" strokecolor="#5b9bd5" strokeweight=".5pt">
                <v:stroke joinstyle="miter"/>
                <v:textbox>
                  <w:txbxContent>
                    <w:p w:rsidR="0083519B" w:rsidRPr="00D920EF" w:rsidRDefault="0083519B" w:rsidP="00DA1F3F">
                      <w:pPr>
                        <w:jc w:val="center"/>
                        <w:rPr>
                          <w:rFonts w:ascii="Tahoma" w:hAnsi="Tahoma" w:cs="Tahoma"/>
                          <w:b/>
                          <w:bCs/>
                          <w:sz w:val="28"/>
                          <w:szCs w:val="28"/>
                        </w:rPr>
                      </w:pPr>
                      <w:r w:rsidRPr="00D920EF">
                        <w:rPr>
                          <w:rFonts w:ascii="Tahoma" w:hAnsi="Tahoma" w:cs="Tahoma"/>
                          <w:b/>
                          <w:bCs/>
                          <w:sz w:val="28"/>
                          <w:szCs w:val="28"/>
                        </w:rPr>
                        <w:t>SF : Ain El Aouda</w:t>
                      </w:r>
                    </w:p>
                  </w:txbxContent>
                </v:textbox>
              </v:roundrect>
            </w:pict>
          </mc:Fallback>
        </mc:AlternateContent>
      </w:r>
      <w:r w:rsidRPr="002462E6">
        <w:rPr>
          <w:rFonts w:ascii="Calibri" w:eastAsia="Calibri" w:hAnsi="Calibri" w:cs="Arial"/>
          <w:noProof/>
          <w:lang w:eastAsia="fr-FR"/>
        </w:rPr>
        <mc:AlternateContent>
          <mc:Choice Requires="wps">
            <w:drawing>
              <wp:anchor distT="0" distB="0" distL="114300" distR="114300" simplePos="0" relativeHeight="251736064" behindDoc="0" locked="0" layoutInCell="1" allowOverlap="1" wp14:anchorId="20BF4227" wp14:editId="64598C63">
                <wp:simplePos x="0" y="0"/>
                <wp:positionH relativeFrom="column">
                  <wp:posOffset>1427768</wp:posOffset>
                </wp:positionH>
                <wp:positionV relativeFrom="paragraph">
                  <wp:posOffset>173223</wp:posOffset>
                </wp:positionV>
                <wp:extent cx="1502393" cy="800100"/>
                <wp:effectExtent l="0" t="0" r="22225" b="19050"/>
                <wp:wrapNone/>
                <wp:docPr id="1512970657" name="Rectangle à coins arrondis 1512970657"/>
                <wp:cNvGraphicFramePr/>
                <a:graphic xmlns:a="http://schemas.openxmlformats.org/drawingml/2006/main">
                  <a:graphicData uri="http://schemas.microsoft.com/office/word/2010/wordprocessingShape">
                    <wps:wsp>
                      <wps:cNvSpPr/>
                      <wps:spPr>
                        <a:xfrm>
                          <a:off x="0" y="0"/>
                          <a:ext cx="1502393" cy="800100"/>
                        </a:xfrm>
                        <a:prstGeom prst="roundRect">
                          <a:avLst/>
                        </a:prstGeom>
                        <a:solidFill>
                          <a:srgbClr val="5B9BD5">
                            <a:lumMod val="20000"/>
                            <a:lumOff val="80000"/>
                          </a:srgbClr>
                        </a:solidFill>
                        <a:ln w="6350" cap="flat" cmpd="sng" algn="ctr">
                          <a:solidFill>
                            <a:srgbClr val="5B9BD5"/>
                          </a:solidFill>
                          <a:prstDash val="solid"/>
                          <a:miter lim="800000"/>
                        </a:ln>
                        <a:effectLst/>
                      </wps:spPr>
                      <wps:txbx>
                        <w:txbxContent>
                          <w:p w:rsidR="0083519B" w:rsidRPr="00D920EF" w:rsidRDefault="0083519B" w:rsidP="00DA1F3F">
                            <w:pPr>
                              <w:jc w:val="center"/>
                              <w:rPr>
                                <w:rFonts w:ascii="Tahoma" w:hAnsi="Tahoma" w:cs="Tahoma"/>
                                <w:b/>
                                <w:bCs/>
                                <w:sz w:val="28"/>
                                <w:szCs w:val="28"/>
                              </w:rPr>
                            </w:pPr>
                            <w:r w:rsidRPr="00D920EF">
                              <w:rPr>
                                <w:rFonts w:ascii="Tahoma" w:hAnsi="Tahoma" w:cs="Tahoma"/>
                                <w:b/>
                                <w:bCs/>
                                <w:sz w:val="28"/>
                                <w:szCs w:val="28"/>
                              </w:rPr>
                              <w:t>SF : Ain Sferjila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20BF4227" id="Rectangle à coins arrondis 1512970657" o:spid="_x0000_s1055" style="position:absolute;margin-left:112.4pt;margin-top:13.65pt;width:118.3pt;height:63pt;z-index:2517360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" fillcolor="#deebf7" strokecolor="#5b9bd5" strokeweight=".5pt">
                <v:stroke joinstyle="miter"/>
                <v:textbox>
                  <w:txbxContent>
                    <w:p w:rsidR="0083519B" w:rsidRPr="00D920EF" w:rsidRDefault="0083519B" w:rsidP="00DA1F3F">
                      <w:pPr>
                        <w:jc w:val="center"/>
                        <w:rPr>
                          <w:rFonts w:ascii="Tahoma" w:hAnsi="Tahoma" w:cs="Tahoma"/>
                          <w:b/>
                          <w:bCs/>
                          <w:sz w:val="28"/>
                          <w:szCs w:val="28"/>
                        </w:rPr>
                      </w:pPr>
                      <w:r w:rsidRPr="00D920EF">
                        <w:rPr>
                          <w:rFonts w:ascii="Tahoma" w:hAnsi="Tahoma" w:cs="Tahoma"/>
                          <w:b/>
                          <w:bCs/>
                          <w:sz w:val="28"/>
                          <w:szCs w:val="28"/>
                        </w:rPr>
                        <w:t>SF : Ain Sferjila</w:t>
                      </w:r>
                    </w:p>
                  </w:txbxContent>
                </v:textbox>
              </v:roundrect>
            </w:pict>
          </mc:Fallback>
        </mc:AlternateContent>
      </w:r>
      <w:r w:rsidRPr="002462E6">
        <w:rPr>
          <w:rFonts w:ascii="Calibri" w:eastAsia="Calibri" w:hAnsi="Calibri" w:cs="Arial"/>
          <w:noProof/>
          <w:lang w:eastAsia="fr-FR"/>
        </w:rPr>
        <mc:AlternateContent>
          <mc:Choice Requires="wps">
            <w:drawing>
              <wp:anchor distT="0" distB="0" distL="114300" distR="114300" simplePos="0" relativeHeight="251740160" behindDoc="0" locked="0" layoutInCell="1" allowOverlap="1" wp14:anchorId="5A6B90F9" wp14:editId="6BA58695">
                <wp:simplePos x="0" y="0"/>
                <wp:positionH relativeFrom="column">
                  <wp:posOffset>4705045</wp:posOffset>
                </wp:positionH>
                <wp:positionV relativeFrom="paragraph">
                  <wp:posOffset>172720</wp:posOffset>
                </wp:positionV>
                <wp:extent cx="1419225" cy="800100"/>
                <wp:effectExtent l="0" t="0" r="28575" b="19050"/>
                <wp:wrapNone/>
                <wp:docPr id="1512970658" name="Rectangle à coins arrondis 1512970658"/>
                <wp:cNvGraphicFramePr/>
                <a:graphic xmlns:a="http://schemas.openxmlformats.org/drawingml/2006/main">
                  <a:graphicData uri="http://schemas.microsoft.com/office/word/2010/wordprocessingShape">
                    <wps:wsp>
                      <wps:cNvSpPr/>
                      <wps:spPr>
                        <a:xfrm>
                          <a:off x="0" y="0"/>
                          <a:ext cx="1419225" cy="800100"/>
                        </a:xfrm>
                        <a:prstGeom prst="roundRect">
                          <a:avLst/>
                        </a:prstGeom>
                        <a:solidFill>
                          <a:srgbClr val="5B9BD5">
                            <a:lumMod val="20000"/>
                            <a:lumOff val="80000"/>
                          </a:srgbClr>
                        </a:solidFill>
                        <a:ln w="6350" cap="flat" cmpd="sng" algn="ctr">
                          <a:solidFill>
                            <a:srgbClr val="5B9BD5"/>
                          </a:solidFill>
                          <a:prstDash val="solid"/>
                          <a:miter lim="800000"/>
                        </a:ln>
                        <a:effectLst/>
                      </wps:spPr>
                      <wps:txbx>
                        <w:txbxContent>
                          <w:p w:rsidR="0083519B" w:rsidRPr="00D920EF" w:rsidRDefault="0083519B" w:rsidP="00DA1F3F">
                            <w:pPr>
                              <w:jc w:val="center"/>
                              <w:rPr>
                                <w:rFonts w:ascii="Tahoma" w:hAnsi="Tahoma" w:cs="Tahoma"/>
                                <w:b/>
                                <w:bCs/>
                                <w:sz w:val="28"/>
                                <w:szCs w:val="28"/>
                              </w:rPr>
                            </w:pPr>
                            <w:r w:rsidRPr="00D920EF">
                              <w:rPr>
                                <w:rFonts w:ascii="Tahoma" w:hAnsi="Tahoma" w:cs="Tahoma"/>
                                <w:b/>
                                <w:bCs/>
                                <w:sz w:val="28"/>
                                <w:szCs w:val="28"/>
                              </w:rPr>
                              <w:t>SF : Had Brachoua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5A6B90F9" id="Rectangle à coins arrondis 1512970658" o:spid="_x0000_s1056" style="position:absolute;margin-left:370.5pt;margin-top:13.6pt;width:111.75pt;height:63pt;z-index:2517401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" fillcolor="#deebf7" strokecolor="#5b9bd5" strokeweight=".5pt">
                <v:stroke joinstyle="miter"/>
                <v:textbox>
                  <w:txbxContent>
                    <w:p w:rsidR="0083519B" w:rsidRPr="00D920EF" w:rsidRDefault="0083519B" w:rsidP="00DA1F3F">
                      <w:pPr>
                        <w:jc w:val="center"/>
                        <w:rPr>
                          <w:rFonts w:ascii="Tahoma" w:hAnsi="Tahoma" w:cs="Tahoma"/>
                          <w:b/>
                          <w:bCs/>
                          <w:sz w:val="28"/>
                          <w:szCs w:val="28"/>
                        </w:rPr>
                      </w:pPr>
                      <w:r w:rsidRPr="00D920EF">
                        <w:rPr>
                          <w:rFonts w:ascii="Tahoma" w:hAnsi="Tahoma" w:cs="Tahoma"/>
                          <w:b/>
                          <w:bCs/>
                          <w:sz w:val="28"/>
                          <w:szCs w:val="28"/>
                        </w:rPr>
                        <w:t>SF : Had Brachoua</w:t>
                      </w:r>
                    </w:p>
                  </w:txbxContent>
                </v:textbox>
              </v:roundrect>
            </w:pict>
          </mc:Fallback>
        </mc:AlternateContent>
      </w:r>
    </w:p>
    <w:p w:rsidR="00DA1F3F" w:rsidRPr="002462E6" w:rsidRDefault="00DA1F3F" w:rsidP="00DA1F3F">
      <w:pPr>
        <w:rPr>
          <w:rFonts w:ascii="Calibri" w:eastAsia="Calibri" w:hAnsi="Calibri" w:cs="Arial"/>
        </w:rPr>
      </w:pPr>
    </w:p>
    <w:p w:rsidR="00DA1F3F" w:rsidRPr="002462E6" w:rsidRDefault="00DA1F3F" w:rsidP="00DA1F3F">
      <w:pPr>
        <w:rPr>
          <w:rFonts w:ascii="Calibri" w:eastAsia="Calibri" w:hAnsi="Calibri" w:cs="Arial"/>
        </w:rPr>
      </w:pPr>
    </w:p>
    <w:p w:rsidR="00DA1F3F" w:rsidRPr="002462E6" w:rsidRDefault="00DA1F3F" w:rsidP="00DA1F3F">
      <w:pPr>
        <w:rPr>
          <w:rFonts w:ascii="Calibri" w:eastAsia="Calibri" w:hAnsi="Calibri" w:cs="Arial"/>
        </w:rPr>
      </w:pPr>
    </w:p>
    <w:p w:rsidR="00DA1F3F" w:rsidRPr="002462E6" w:rsidRDefault="00DA1F3F" w:rsidP="00DA1F3F">
      <w:pPr>
        <w:widowControl w:val="0"/>
        <w:tabs>
          <w:tab w:val="left" w:pos="2774"/>
        </w:tabs>
        <w:autoSpaceDE w:val="0"/>
        <w:autoSpaceDN w:val="0"/>
        <w:spacing w:before="8" w:after="0" w:line="350" w:lineRule="auto"/>
        <w:ind w:right="817"/>
        <w:rPr>
          <w:rFonts w:ascii="Tahoma" w:eastAsia="Times New Roman" w:hAnsi="Tahoma" w:cs="Tahoma"/>
          <w:b/>
          <w:bCs/>
          <w:i/>
          <w:iCs/>
          <w:sz w:val="20"/>
          <w:szCs w:val="20"/>
        </w:rPr>
      </w:pPr>
    </w:p>
    <w:p w:rsidR="00726EDC" w:rsidRPr="002462E6" w:rsidRDefault="00726EDC" w:rsidP="00305B22">
      <w:pPr>
        <w:widowControl w:val="0"/>
        <w:tabs>
          <w:tab w:val="left" w:pos="2774"/>
        </w:tabs>
        <w:autoSpaceDE w:val="0"/>
        <w:autoSpaceDN w:val="0"/>
        <w:spacing w:before="8" w:after="0" w:line="350" w:lineRule="auto"/>
        <w:ind w:right="817"/>
        <w:jc w:val="center"/>
        <w:rPr>
          <w:rFonts w:ascii="Tahoma" w:eastAsia="Times New Roman" w:hAnsi="Tahoma" w:cs="Tahoma"/>
          <w:sz w:val="20"/>
          <w:szCs w:val="20"/>
        </w:rPr>
      </w:pPr>
      <w:r w:rsidRPr="002462E6">
        <w:rPr>
          <w:rFonts w:ascii="Tahoma" w:eastAsia="Times New Roman" w:hAnsi="Tahoma" w:cs="Tahoma"/>
          <w:b/>
          <w:bCs/>
          <w:sz w:val="20"/>
          <w:szCs w:val="20"/>
        </w:rPr>
        <w:t>Source</w:t>
      </w:r>
      <w:r w:rsidRPr="002462E6">
        <w:rPr>
          <w:rFonts w:ascii="Tahoma" w:eastAsia="Times New Roman" w:hAnsi="Tahoma" w:cs="Tahoma"/>
          <w:b/>
          <w:bCs/>
          <w:i/>
          <w:iCs/>
          <w:sz w:val="20"/>
          <w:szCs w:val="20"/>
        </w:rPr>
        <w:t xml:space="preserve"> :</w:t>
      </w:r>
      <w:r w:rsidRPr="002462E6">
        <w:rPr>
          <w:rFonts w:ascii="Tahoma" w:eastAsia="Times New Roman" w:hAnsi="Tahoma" w:cs="Tahoma"/>
          <w:sz w:val="20"/>
          <w:szCs w:val="20"/>
        </w:rPr>
        <w:t xml:space="preserve"> Plan d’aménagement de la forêt de Korifla </w:t>
      </w:r>
      <w:r w:rsidR="00C2733A" w:rsidRPr="002462E6">
        <w:rPr>
          <w:rFonts w:ascii="Tahoma" w:eastAsia="Times New Roman" w:hAnsi="Tahoma" w:cs="Tahoma"/>
          <w:sz w:val="20"/>
          <w:szCs w:val="20"/>
        </w:rPr>
        <w:t>2018</w:t>
      </w:r>
    </w:p>
    <w:p w:rsidR="008A2BCA" w:rsidRPr="002462E6" w:rsidRDefault="008A2BCA">
      <w:pPr>
        <w:rPr>
          <w:rFonts w:ascii="Tahoma" w:eastAsia="Times New Roman" w:hAnsi="Tahoma" w:cs="Tahoma"/>
          <w:sz w:val="24"/>
          <w:szCs w:val="24"/>
        </w:rPr>
      </w:pPr>
      <w:r w:rsidRPr="002462E6">
        <w:rPr>
          <w:rFonts w:ascii="Tahoma" w:eastAsia="Times New Roman" w:hAnsi="Tahoma" w:cs="Tahoma"/>
          <w:sz w:val="24"/>
          <w:szCs w:val="24"/>
        </w:rPr>
        <w:br w:type="page"/>
      </w:r>
    </w:p>
    <w:p w:rsidR="00726EDC" w:rsidRDefault="00726EDC" w:rsidP="00726EDC">
      <w:pPr>
        <w:widowControl w:val="0"/>
        <w:autoSpaceDE w:val="0"/>
        <w:autoSpaceDN w:val="0"/>
        <w:spacing w:before="64" w:after="0" w:line="360" w:lineRule="auto"/>
        <w:ind w:right="4"/>
        <w:jc w:val="both"/>
        <w:rPr>
          <w:rFonts w:ascii="Tahoma" w:eastAsia="Times New Roman" w:hAnsi="Tahoma" w:cs="Tahoma"/>
          <w:sz w:val="24"/>
          <w:szCs w:val="24"/>
          <w:lang w:eastAsia="fr-FR"/>
        </w:rPr>
      </w:pPr>
      <w:r w:rsidRPr="002462E6">
        <w:rPr>
          <w:rFonts w:ascii="Tahoma" w:eastAsia="Times New Roman" w:hAnsi="Tahoma" w:cs="Tahoma"/>
          <w:sz w:val="24"/>
          <w:szCs w:val="24"/>
        </w:rPr>
        <w:t xml:space="preserve">La forêt rurale de Korifla présente un vecteur de développement local considérable en raison de ses multiples fonctions écologiques, économiques et sociales contribuant ainsi à l'équilibre socio-économique et environnemental de la région. </w:t>
      </w:r>
      <w:r w:rsidRPr="002462E6">
        <w:rPr>
          <w:rFonts w:ascii="Tahoma" w:eastAsia="Times New Roman" w:hAnsi="Tahoma" w:cs="Tahoma"/>
          <w:sz w:val="24"/>
          <w:szCs w:val="24"/>
          <w:lang w:eastAsia="fr-FR"/>
        </w:rPr>
        <w:t>Ses fonctions peuvent être synthétisées comme suit :</w:t>
      </w:r>
    </w:p>
    <w:p w:rsidR="008D3838" w:rsidRPr="002462E6" w:rsidRDefault="008D3838" w:rsidP="00726EDC">
      <w:pPr>
        <w:widowControl w:val="0"/>
        <w:autoSpaceDE w:val="0"/>
        <w:autoSpaceDN w:val="0"/>
        <w:spacing w:before="64" w:after="0" w:line="360" w:lineRule="auto"/>
        <w:ind w:right="4"/>
        <w:jc w:val="both"/>
        <w:rPr>
          <w:rFonts w:ascii="Tahoma" w:eastAsia="Times New Roman" w:hAnsi="Tahoma" w:cs="Tahoma"/>
          <w:sz w:val="24"/>
          <w:szCs w:val="24"/>
          <w:lang w:eastAsia="fr-FR"/>
        </w:rPr>
      </w:pPr>
    </w:p>
    <w:p w:rsidR="008A2BCA" w:rsidRDefault="00726EDC" w:rsidP="001B1D3C">
      <w:pPr>
        <w:widowControl w:val="0"/>
        <w:numPr>
          <w:ilvl w:val="0"/>
          <w:numId w:val="32"/>
        </w:numPr>
        <w:autoSpaceDE w:val="0"/>
        <w:autoSpaceDN w:val="0"/>
        <w:spacing w:after="0" w:line="360" w:lineRule="auto"/>
        <w:jc w:val="both"/>
        <w:rPr>
          <w:rFonts w:ascii="Tahoma" w:eastAsia="Times New Roman" w:hAnsi="Tahoma" w:cs="Tahoma"/>
          <w:sz w:val="24"/>
          <w:szCs w:val="24"/>
          <w:lang w:eastAsia="fr-FR"/>
        </w:rPr>
      </w:pPr>
      <w:r w:rsidRPr="002462E6">
        <w:rPr>
          <w:rFonts w:ascii="Tahoma" w:eastAsia="Times New Roman" w:hAnsi="Tahoma" w:cs="Tahoma"/>
          <w:b/>
          <w:bCs/>
          <w:sz w:val="24"/>
          <w:szCs w:val="24"/>
          <w:lang w:eastAsia="fr-FR"/>
        </w:rPr>
        <w:t>Contribution à l'alimentation du bétail et aux besoins énergétiques des populations locales :</w:t>
      </w:r>
      <w:r w:rsidRPr="002462E6">
        <w:rPr>
          <w:rFonts w:ascii="Tahoma" w:eastAsia="Times New Roman" w:hAnsi="Tahoma" w:cs="Tahoma"/>
          <w:sz w:val="24"/>
          <w:szCs w:val="24"/>
          <w:lang w:eastAsia="fr-FR"/>
        </w:rPr>
        <w:t xml:space="preserve"> la forêt de Korifla fournit des unités fourragères fondamentales pour l'élevage, contribuant ainsi à la sécurité alimentaire locale. En outre, elle constitue une source significative de bois de chauffage et de cuisson pour les populations rurales, particulièrement durant les périodes hivernales.</w:t>
      </w:r>
    </w:p>
    <w:p w:rsidR="001B1D3C" w:rsidRPr="001B1D3C" w:rsidRDefault="001B1D3C" w:rsidP="001B1D3C">
      <w:pPr>
        <w:widowControl w:val="0"/>
        <w:autoSpaceDE w:val="0"/>
        <w:autoSpaceDN w:val="0"/>
        <w:spacing w:after="0" w:line="360" w:lineRule="auto"/>
        <w:ind w:left="720"/>
        <w:jc w:val="both"/>
        <w:rPr>
          <w:rFonts w:ascii="Tahoma" w:eastAsia="Times New Roman" w:hAnsi="Tahoma" w:cs="Tahoma"/>
          <w:sz w:val="24"/>
          <w:szCs w:val="24"/>
          <w:lang w:eastAsia="fr-FR"/>
        </w:rPr>
      </w:pPr>
    </w:p>
    <w:p w:rsidR="008A2BCA" w:rsidRDefault="00726EDC" w:rsidP="001B1D3C">
      <w:pPr>
        <w:widowControl w:val="0"/>
        <w:numPr>
          <w:ilvl w:val="0"/>
          <w:numId w:val="32"/>
        </w:numPr>
        <w:autoSpaceDE w:val="0"/>
        <w:autoSpaceDN w:val="0"/>
        <w:spacing w:after="0" w:line="360" w:lineRule="auto"/>
        <w:jc w:val="both"/>
        <w:rPr>
          <w:rFonts w:ascii="Tahoma" w:eastAsia="Times New Roman" w:hAnsi="Tahoma" w:cs="Tahoma"/>
          <w:sz w:val="24"/>
          <w:szCs w:val="24"/>
          <w:lang w:eastAsia="fr-FR"/>
        </w:rPr>
      </w:pPr>
      <w:r w:rsidRPr="002462E6">
        <w:rPr>
          <w:rFonts w:ascii="Tahoma" w:eastAsia="Times New Roman" w:hAnsi="Tahoma" w:cs="Tahoma"/>
          <w:b/>
          <w:bCs/>
          <w:sz w:val="24"/>
          <w:szCs w:val="24"/>
          <w:lang w:eastAsia="fr-FR"/>
        </w:rPr>
        <w:t>Soutien à l'équilibre environnemental et protection contre l'érosion :</w:t>
      </w:r>
      <w:r w:rsidRPr="002462E6">
        <w:rPr>
          <w:rFonts w:ascii="Tahoma" w:eastAsia="Times New Roman" w:hAnsi="Tahoma" w:cs="Tahoma"/>
          <w:sz w:val="24"/>
          <w:szCs w:val="24"/>
          <w:lang w:eastAsia="fr-FR"/>
        </w:rPr>
        <w:t xml:space="preserve"> le couvert végétal diversifié de la forêt (comprenant notamment des espèces telles que </w:t>
      </w:r>
      <w:r w:rsidRPr="002462E6">
        <w:rPr>
          <w:rFonts w:ascii="Tahoma" w:eastAsia="Times New Roman" w:hAnsi="Tahoma" w:cs="Tahoma"/>
          <w:i/>
          <w:iCs/>
          <w:sz w:val="24"/>
          <w:szCs w:val="24"/>
          <w:lang w:eastAsia="fr-FR"/>
        </w:rPr>
        <w:t>Tetraclinis articulata</w:t>
      </w:r>
      <w:r w:rsidRPr="002462E6">
        <w:rPr>
          <w:rFonts w:ascii="Tahoma" w:eastAsia="Times New Roman" w:hAnsi="Tahoma" w:cs="Tahoma"/>
          <w:sz w:val="24"/>
          <w:szCs w:val="24"/>
          <w:lang w:eastAsia="fr-FR"/>
        </w:rPr>
        <w:t xml:space="preserve">, </w:t>
      </w:r>
      <w:r w:rsidRPr="002462E6">
        <w:rPr>
          <w:rFonts w:ascii="Tahoma" w:eastAsia="Times New Roman" w:hAnsi="Tahoma" w:cs="Tahoma"/>
          <w:i/>
          <w:iCs/>
          <w:sz w:val="24"/>
          <w:szCs w:val="24"/>
          <w:lang w:eastAsia="fr-FR"/>
        </w:rPr>
        <w:t>Eucalyptus spp.</w:t>
      </w:r>
      <w:r w:rsidRPr="002462E6">
        <w:rPr>
          <w:rFonts w:ascii="Tahoma" w:eastAsia="Times New Roman" w:hAnsi="Tahoma" w:cs="Tahoma"/>
          <w:sz w:val="24"/>
          <w:szCs w:val="24"/>
          <w:lang w:eastAsia="fr-FR"/>
        </w:rPr>
        <w:t xml:space="preserve">, </w:t>
      </w:r>
      <w:r w:rsidRPr="002462E6">
        <w:rPr>
          <w:rFonts w:ascii="Tahoma" w:eastAsia="Times New Roman" w:hAnsi="Tahoma" w:cs="Tahoma"/>
          <w:i/>
          <w:iCs/>
          <w:sz w:val="24"/>
          <w:szCs w:val="24"/>
          <w:lang w:eastAsia="fr-FR"/>
        </w:rPr>
        <w:t>Pinus spp.</w:t>
      </w:r>
      <w:r w:rsidRPr="002462E6">
        <w:rPr>
          <w:rFonts w:ascii="Tahoma" w:eastAsia="Times New Roman" w:hAnsi="Tahoma" w:cs="Tahoma"/>
          <w:sz w:val="24"/>
          <w:szCs w:val="24"/>
          <w:lang w:eastAsia="fr-FR"/>
        </w:rPr>
        <w:t xml:space="preserve">, et </w:t>
      </w:r>
      <w:r w:rsidRPr="002462E6">
        <w:rPr>
          <w:rFonts w:ascii="Tahoma" w:eastAsia="Times New Roman" w:hAnsi="Tahoma" w:cs="Tahoma"/>
          <w:i/>
          <w:iCs/>
          <w:sz w:val="24"/>
          <w:szCs w:val="24"/>
          <w:lang w:eastAsia="fr-FR"/>
        </w:rPr>
        <w:t>Quercus suber</w:t>
      </w:r>
      <w:r w:rsidRPr="002462E6">
        <w:rPr>
          <w:rFonts w:ascii="Tahoma" w:eastAsia="Times New Roman" w:hAnsi="Tahoma" w:cs="Tahoma"/>
          <w:sz w:val="24"/>
          <w:szCs w:val="24"/>
          <w:lang w:eastAsia="fr-FR"/>
        </w:rPr>
        <w:t>) assure un rôle de protection crucial contre l'érosion hydrique et éolienne, particulièrement sur les versants à fortes pentes. Cette fonction de régulation hydrologique est indispensable pour la préservation des sols et la prévention des risques naturels.</w:t>
      </w:r>
    </w:p>
    <w:p w:rsidR="008D3838" w:rsidRDefault="008D3838" w:rsidP="008D3838">
      <w:pPr>
        <w:pStyle w:val="Paragraphedeliste"/>
        <w:rPr>
          <w:rFonts w:ascii="Tahoma" w:hAnsi="Tahoma" w:cs="Tahoma"/>
          <w:sz w:val="24"/>
          <w:szCs w:val="24"/>
          <w:lang w:eastAsia="fr-FR"/>
        </w:rPr>
      </w:pPr>
    </w:p>
    <w:p w:rsidR="008A2BCA" w:rsidRDefault="00726EDC" w:rsidP="001B1D3C">
      <w:pPr>
        <w:widowControl w:val="0"/>
        <w:numPr>
          <w:ilvl w:val="0"/>
          <w:numId w:val="32"/>
        </w:numPr>
        <w:autoSpaceDE w:val="0"/>
        <w:autoSpaceDN w:val="0"/>
        <w:spacing w:after="0" w:line="360" w:lineRule="auto"/>
        <w:jc w:val="both"/>
        <w:rPr>
          <w:rFonts w:ascii="Tahoma" w:eastAsia="Times New Roman" w:hAnsi="Tahoma" w:cs="Tahoma"/>
          <w:sz w:val="24"/>
          <w:szCs w:val="24"/>
          <w:lang w:eastAsia="fr-FR"/>
        </w:rPr>
      </w:pPr>
      <w:r w:rsidRPr="002462E6">
        <w:rPr>
          <w:rFonts w:ascii="Tahoma" w:eastAsia="Times New Roman" w:hAnsi="Tahoma" w:cs="Tahoma"/>
          <w:b/>
          <w:bCs/>
          <w:sz w:val="24"/>
          <w:szCs w:val="24"/>
          <w:lang w:eastAsia="fr-FR"/>
        </w:rPr>
        <w:t>Contribution aux revenus des populations locales et soutien socio-économique aux collectivités territoriales :</w:t>
      </w:r>
      <w:r w:rsidRPr="002462E6">
        <w:rPr>
          <w:rFonts w:ascii="Tahoma" w:eastAsia="Times New Roman" w:hAnsi="Tahoma" w:cs="Tahoma"/>
          <w:sz w:val="24"/>
          <w:szCs w:val="24"/>
          <w:lang w:eastAsia="fr-FR"/>
        </w:rPr>
        <w:t xml:space="preserve"> l'exploitation des ressources forestières génère des revenus complémentaires pour les populations locales, contribuant ainsi à l'amélioration de leurs conditions de vie. De plus, la forêt de Korifla participe au financement des collectivités territoriales à travers les taxes et redevances liées à l'exploitation forestière.</w:t>
      </w:r>
    </w:p>
    <w:p w:rsidR="008D3838" w:rsidRPr="001B1D3C" w:rsidRDefault="008D3838" w:rsidP="008D3838">
      <w:pPr>
        <w:widowControl w:val="0"/>
        <w:autoSpaceDE w:val="0"/>
        <w:autoSpaceDN w:val="0"/>
        <w:spacing w:after="0" w:line="360" w:lineRule="auto"/>
        <w:ind w:left="720"/>
        <w:jc w:val="both"/>
        <w:rPr>
          <w:rFonts w:ascii="Tahoma" w:eastAsia="Times New Roman" w:hAnsi="Tahoma" w:cs="Tahoma"/>
          <w:sz w:val="24"/>
          <w:szCs w:val="24"/>
          <w:lang w:eastAsia="fr-FR"/>
        </w:rPr>
      </w:pPr>
    </w:p>
    <w:p w:rsidR="00726EDC" w:rsidRPr="002462E6" w:rsidRDefault="00726EDC" w:rsidP="00D051D7">
      <w:pPr>
        <w:widowControl w:val="0"/>
        <w:numPr>
          <w:ilvl w:val="0"/>
          <w:numId w:val="32"/>
        </w:numPr>
        <w:autoSpaceDE w:val="0"/>
        <w:autoSpaceDN w:val="0"/>
        <w:spacing w:after="0" w:line="360" w:lineRule="auto"/>
        <w:jc w:val="both"/>
        <w:rPr>
          <w:rFonts w:ascii="Tahoma" w:eastAsia="Times New Roman" w:hAnsi="Tahoma" w:cs="Tahoma"/>
          <w:sz w:val="24"/>
          <w:szCs w:val="24"/>
          <w:lang w:eastAsia="fr-FR"/>
        </w:rPr>
      </w:pPr>
      <w:r w:rsidRPr="002462E6">
        <w:rPr>
          <w:rFonts w:ascii="Tahoma" w:eastAsia="Times New Roman" w:hAnsi="Tahoma" w:cs="Tahoma"/>
          <w:b/>
          <w:bCs/>
          <w:sz w:val="24"/>
          <w:szCs w:val="24"/>
          <w:lang w:eastAsia="fr-FR"/>
        </w:rPr>
        <w:t>Intérêt récréatif et impact positif sur le climat régional :</w:t>
      </w:r>
      <w:r w:rsidRPr="002462E6">
        <w:rPr>
          <w:rFonts w:ascii="Tahoma" w:eastAsia="Times New Roman" w:hAnsi="Tahoma" w:cs="Tahoma"/>
          <w:sz w:val="24"/>
          <w:szCs w:val="24"/>
          <w:lang w:eastAsia="fr-FR"/>
        </w:rPr>
        <w:t xml:space="preserve"> la forêt de Korifla offre un espace de loisirs et de détente pour les populations locales et régionales, contribuant ainsi à leur bien-être. De plus, elle exerce une influence bénéfique sur le climat régional, en régulant la température et en améliorant la qualité de l'air.</w:t>
      </w:r>
    </w:p>
    <w:p w:rsidR="00726EDC" w:rsidRPr="002462E6" w:rsidRDefault="00726EDC" w:rsidP="004D730C">
      <w:pPr>
        <w:widowControl w:val="0"/>
        <w:autoSpaceDE w:val="0"/>
        <w:autoSpaceDN w:val="0"/>
        <w:spacing w:before="100" w:beforeAutospacing="1" w:after="100" w:afterAutospacing="1" w:line="360" w:lineRule="auto"/>
        <w:jc w:val="both"/>
        <w:rPr>
          <w:rFonts w:ascii="Tahoma" w:eastAsia="Times New Roman" w:hAnsi="Tahoma" w:cs="Tahoma"/>
          <w:sz w:val="24"/>
          <w:szCs w:val="24"/>
          <w:lang w:eastAsia="fr-FR"/>
        </w:rPr>
      </w:pPr>
      <w:r w:rsidRPr="002462E6">
        <w:rPr>
          <w:rFonts w:ascii="Tahoma" w:eastAsia="Times New Roman" w:hAnsi="Tahoma" w:cs="Tahoma"/>
          <w:sz w:val="24"/>
          <w:szCs w:val="24"/>
          <w:lang w:eastAsia="fr-FR"/>
        </w:rPr>
        <w:t>Le plan d'aménagement de la forêt de Korifla (2018) souligne la richesse</w:t>
      </w:r>
      <w:r w:rsidR="004D730C" w:rsidRPr="002462E6">
        <w:rPr>
          <w:rFonts w:ascii="Tahoma" w:eastAsia="Times New Roman" w:hAnsi="Tahoma" w:cs="Tahoma"/>
          <w:sz w:val="24"/>
          <w:szCs w:val="24"/>
          <w:lang w:eastAsia="fr-FR"/>
        </w:rPr>
        <w:t xml:space="preserve"> de sa biodiversité (</w:t>
      </w:r>
      <w:r w:rsidR="004D730C" w:rsidRPr="002462E6">
        <w:rPr>
          <w:rFonts w:ascii="Tahoma" w:eastAsia="Times New Roman" w:hAnsi="Tahoma" w:cs="Tahoma"/>
          <w:b/>
          <w:bCs/>
          <w:sz w:val="24"/>
          <w:szCs w:val="24"/>
          <w:lang w:eastAsia="fr-FR"/>
        </w:rPr>
        <w:t>Carte N° 6</w:t>
      </w:r>
      <w:r w:rsidRPr="002462E6">
        <w:rPr>
          <w:rFonts w:ascii="Tahoma" w:eastAsia="Times New Roman" w:hAnsi="Tahoma" w:cs="Tahoma"/>
          <w:sz w:val="24"/>
          <w:szCs w:val="24"/>
          <w:lang w:eastAsia="fr-FR"/>
        </w:rPr>
        <w:t>), caractérisée par la présence de nombreuses espèces thermophiles qui contribuent à l'individualisation de ses écosystèmes forestiers et pré-forestiers. Cette diversité spécifique est le reflet de conditions écologiques particulières et variables dans le temps et dans l'espace : climat méditerranéen, allant d'un type littoral à un type semi-continental, altitude variable, expositions diversifiées, nature variée des roches mères et des types de sols, et bioclimat semi-aride à variante tempérée. Ces facteurs abiotiques sont conjugués à des actions anthropozoogènes de diverses natures, qui ont également contribué à façonner les paysages forestiers actuels.</w:t>
      </w:r>
    </w:p>
    <w:p w:rsidR="00726EDC" w:rsidRPr="002462E6" w:rsidRDefault="00726EDC" w:rsidP="00726EDC">
      <w:pPr>
        <w:widowControl w:val="0"/>
        <w:tabs>
          <w:tab w:val="left" w:pos="2774"/>
        </w:tabs>
        <w:autoSpaceDE w:val="0"/>
        <w:autoSpaceDN w:val="0"/>
        <w:spacing w:before="8" w:after="0" w:line="350" w:lineRule="auto"/>
        <w:ind w:right="817"/>
        <w:rPr>
          <w:rFonts w:ascii="Tahoma" w:eastAsia="Times New Roman" w:hAnsi="Tahoma" w:cs="Tahoma"/>
          <w:sz w:val="24"/>
          <w:szCs w:val="24"/>
        </w:rPr>
      </w:pPr>
    </w:p>
    <w:p w:rsidR="00726EDC" w:rsidRPr="002462E6" w:rsidRDefault="00726EDC" w:rsidP="00726EDC">
      <w:pPr>
        <w:widowControl w:val="0"/>
        <w:tabs>
          <w:tab w:val="left" w:pos="2774"/>
        </w:tabs>
        <w:autoSpaceDE w:val="0"/>
        <w:autoSpaceDN w:val="0"/>
        <w:spacing w:before="8" w:after="0" w:line="350" w:lineRule="auto"/>
        <w:ind w:right="817"/>
        <w:rPr>
          <w:rFonts w:ascii="Tahoma" w:eastAsia="Times New Roman" w:hAnsi="Tahoma" w:cs="Tahoma"/>
          <w:sz w:val="24"/>
          <w:szCs w:val="24"/>
        </w:rPr>
      </w:pPr>
    </w:p>
    <w:p w:rsidR="00726EDC" w:rsidRPr="002462E6" w:rsidRDefault="00726EDC" w:rsidP="00726EDC">
      <w:pPr>
        <w:widowControl w:val="0"/>
        <w:tabs>
          <w:tab w:val="left" w:pos="2774"/>
        </w:tabs>
        <w:autoSpaceDE w:val="0"/>
        <w:autoSpaceDN w:val="0"/>
        <w:spacing w:before="8" w:after="0" w:line="350" w:lineRule="auto"/>
        <w:ind w:right="817"/>
        <w:rPr>
          <w:rFonts w:ascii="Tahoma" w:eastAsia="Times New Roman" w:hAnsi="Tahoma" w:cs="Tahoma"/>
          <w:sz w:val="24"/>
          <w:szCs w:val="24"/>
        </w:rPr>
      </w:pPr>
    </w:p>
    <w:p w:rsidR="00726EDC" w:rsidRPr="002462E6" w:rsidRDefault="00726EDC" w:rsidP="00726EDC">
      <w:pPr>
        <w:widowControl w:val="0"/>
        <w:tabs>
          <w:tab w:val="left" w:pos="2774"/>
        </w:tabs>
        <w:autoSpaceDE w:val="0"/>
        <w:autoSpaceDN w:val="0"/>
        <w:spacing w:before="8" w:after="0" w:line="350" w:lineRule="auto"/>
        <w:ind w:right="817"/>
        <w:rPr>
          <w:rFonts w:ascii="Tahoma" w:eastAsia="Times New Roman" w:hAnsi="Tahoma" w:cs="Tahoma"/>
          <w:sz w:val="24"/>
          <w:szCs w:val="24"/>
        </w:rPr>
      </w:pPr>
    </w:p>
    <w:p w:rsidR="00726EDC" w:rsidRPr="002462E6" w:rsidRDefault="00726EDC" w:rsidP="00726EDC">
      <w:pPr>
        <w:widowControl w:val="0"/>
        <w:tabs>
          <w:tab w:val="left" w:pos="2774"/>
        </w:tabs>
        <w:autoSpaceDE w:val="0"/>
        <w:autoSpaceDN w:val="0"/>
        <w:spacing w:before="8" w:after="0" w:line="350" w:lineRule="auto"/>
        <w:ind w:right="817"/>
        <w:rPr>
          <w:rFonts w:ascii="Tahoma" w:eastAsia="Times New Roman" w:hAnsi="Tahoma" w:cs="Tahoma"/>
          <w:sz w:val="24"/>
          <w:szCs w:val="24"/>
        </w:rPr>
      </w:pPr>
    </w:p>
    <w:p w:rsidR="00726EDC" w:rsidRPr="002462E6" w:rsidRDefault="00726EDC" w:rsidP="00726EDC">
      <w:pPr>
        <w:widowControl w:val="0"/>
        <w:tabs>
          <w:tab w:val="left" w:pos="2774"/>
        </w:tabs>
        <w:autoSpaceDE w:val="0"/>
        <w:autoSpaceDN w:val="0"/>
        <w:spacing w:before="8" w:after="0" w:line="350" w:lineRule="auto"/>
        <w:ind w:right="817"/>
        <w:rPr>
          <w:rFonts w:ascii="Tahoma" w:eastAsia="Times New Roman" w:hAnsi="Tahoma" w:cs="Tahoma"/>
          <w:sz w:val="24"/>
          <w:szCs w:val="24"/>
        </w:rPr>
      </w:pPr>
    </w:p>
    <w:p w:rsidR="00726EDC" w:rsidRPr="002462E6" w:rsidRDefault="00726EDC" w:rsidP="00726EDC">
      <w:pPr>
        <w:widowControl w:val="0"/>
        <w:tabs>
          <w:tab w:val="left" w:pos="2774"/>
        </w:tabs>
        <w:autoSpaceDE w:val="0"/>
        <w:autoSpaceDN w:val="0"/>
        <w:spacing w:before="8" w:after="0" w:line="350" w:lineRule="auto"/>
        <w:ind w:right="817"/>
        <w:rPr>
          <w:rFonts w:ascii="Tahoma" w:eastAsia="Times New Roman" w:hAnsi="Tahoma" w:cs="Tahoma"/>
          <w:sz w:val="24"/>
          <w:szCs w:val="24"/>
        </w:rPr>
      </w:pPr>
    </w:p>
    <w:p w:rsidR="00726EDC" w:rsidRPr="002462E6" w:rsidRDefault="00726EDC" w:rsidP="00726EDC">
      <w:pPr>
        <w:widowControl w:val="0"/>
        <w:tabs>
          <w:tab w:val="left" w:pos="2774"/>
        </w:tabs>
        <w:autoSpaceDE w:val="0"/>
        <w:autoSpaceDN w:val="0"/>
        <w:spacing w:before="8" w:after="0" w:line="350" w:lineRule="auto"/>
        <w:ind w:right="817"/>
        <w:rPr>
          <w:rFonts w:ascii="Tahoma" w:eastAsia="Times New Roman" w:hAnsi="Tahoma" w:cs="Tahoma"/>
          <w:sz w:val="24"/>
          <w:szCs w:val="24"/>
        </w:rPr>
      </w:pPr>
    </w:p>
    <w:p w:rsidR="00726EDC" w:rsidRPr="002462E6" w:rsidRDefault="00726EDC" w:rsidP="00726EDC">
      <w:pPr>
        <w:widowControl w:val="0"/>
        <w:tabs>
          <w:tab w:val="left" w:pos="2774"/>
        </w:tabs>
        <w:autoSpaceDE w:val="0"/>
        <w:autoSpaceDN w:val="0"/>
        <w:spacing w:before="8" w:after="0" w:line="350" w:lineRule="auto"/>
        <w:ind w:right="817"/>
        <w:rPr>
          <w:rFonts w:ascii="Tahoma" w:eastAsia="Times New Roman" w:hAnsi="Tahoma" w:cs="Tahoma"/>
          <w:sz w:val="24"/>
          <w:szCs w:val="24"/>
        </w:rPr>
      </w:pPr>
    </w:p>
    <w:p w:rsidR="00726EDC" w:rsidRPr="002462E6" w:rsidRDefault="00726EDC" w:rsidP="00726EDC">
      <w:pPr>
        <w:widowControl w:val="0"/>
        <w:tabs>
          <w:tab w:val="left" w:pos="2774"/>
        </w:tabs>
        <w:autoSpaceDE w:val="0"/>
        <w:autoSpaceDN w:val="0"/>
        <w:spacing w:before="8" w:after="0" w:line="350" w:lineRule="auto"/>
        <w:ind w:right="817"/>
        <w:rPr>
          <w:rFonts w:ascii="Tahoma" w:eastAsia="Times New Roman" w:hAnsi="Tahoma" w:cs="Tahoma"/>
          <w:sz w:val="24"/>
          <w:szCs w:val="24"/>
        </w:rPr>
      </w:pPr>
    </w:p>
    <w:p w:rsidR="00726EDC" w:rsidRPr="002462E6" w:rsidRDefault="00726EDC" w:rsidP="00726EDC">
      <w:pPr>
        <w:widowControl w:val="0"/>
        <w:tabs>
          <w:tab w:val="left" w:pos="2774"/>
        </w:tabs>
        <w:autoSpaceDE w:val="0"/>
        <w:autoSpaceDN w:val="0"/>
        <w:spacing w:before="8" w:after="0" w:line="350" w:lineRule="auto"/>
        <w:ind w:right="817"/>
        <w:rPr>
          <w:rFonts w:ascii="Tahoma" w:eastAsia="Times New Roman" w:hAnsi="Tahoma" w:cs="Tahoma"/>
          <w:sz w:val="24"/>
          <w:szCs w:val="24"/>
        </w:rPr>
        <w:sectPr w:rsidR="00726EDC" w:rsidRPr="002462E6" w:rsidSect="00FF611C">
          <w:footerReference w:type="default" r:id="rId29"/>
          <w:pgSz w:w="11910" w:h="16840"/>
          <w:pgMar w:top="1240" w:right="1278" w:bottom="1860" w:left="1276" w:header="0" w:footer="1633" w:gutter="0"/>
          <w:pgNumType w:start="0"/>
          <w:cols w:space="720"/>
          <w:titlePg/>
          <w:docGrid w:linePitch="299"/>
        </w:sectPr>
      </w:pPr>
    </w:p>
    <w:bookmarkStart w:id="228" w:name="_Toc185696916"/>
    <w:p w:rsidR="00726EDC" w:rsidRPr="002462E6" w:rsidRDefault="00E35254" w:rsidP="000D57A1">
      <w:pPr>
        <w:pStyle w:val="Sous-titre"/>
        <w:rPr>
          <w:rFonts w:ascii="Times New Roman" w:hAnsi="Times New Roman" w:cs="Times New Roman"/>
        </w:rPr>
        <w:sectPr w:rsidR="00726EDC" w:rsidRPr="002462E6" w:rsidSect="003A7A6C">
          <w:pgSz w:w="16840" w:h="11910" w:orient="landscape"/>
          <w:pgMar w:top="1276" w:right="1242" w:bottom="1276" w:left="1860" w:header="0" w:footer="0" w:gutter="0"/>
          <w:cols w:space="720"/>
          <w:docGrid w:linePitch="299"/>
        </w:sectPr>
      </w:pPr>
      <w:r w:rsidRPr="002462E6">
        <w:rPr>
          <w:noProof/>
          <w:lang w:eastAsia="fr-FR"/>
        </w:rPr>
        <mc:AlternateContent>
          <mc:Choice Requires="wps">
            <w:drawing>
              <wp:anchor distT="0" distB="0" distL="114300" distR="114300" simplePos="0" relativeHeight="251697152" behindDoc="0" locked="0" layoutInCell="1" allowOverlap="1" wp14:anchorId="4828F212" wp14:editId="65DB849D">
                <wp:simplePos x="0" y="0"/>
                <wp:positionH relativeFrom="column">
                  <wp:posOffset>-112395</wp:posOffset>
                </wp:positionH>
                <wp:positionV relativeFrom="paragraph">
                  <wp:posOffset>-50800</wp:posOffset>
                </wp:positionV>
                <wp:extent cx="8713470" cy="201295"/>
                <wp:effectExtent l="0" t="0" r="0" b="8255"/>
                <wp:wrapTight wrapText="bothSides">
                  <wp:wrapPolygon edited="0">
                    <wp:start x="0" y="0"/>
                    <wp:lineTo x="0" y="20442"/>
                    <wp:lineTo x="21534" y="20442"/>
                    <wp:lineTo x="21534" y="0"/>
                    <wp:lineTo x="0" y="0"/>
                  </wp:wrapPolygon>
                </wp:wrapTight>
                <wp:docPr id="956995659" name="Zone de texte 956995659"/>
                <wp:cNvGraphicFramePr/>
                <a:graphic xmlns:a="http://schemas.openxmlformats.org/drawingml/2006/main">
                  <a:graphicData uri="http://schemas.microsoft.com/office/word/2010/wordprocessingShape">
                    <wps:wsp>
                      <wps:cNvSpPr txBox="1"/>
                      <wps:spPr>
                        <a:xfrm>
                          <a:off x="0" y="0"/>
                          <a:ext cx="8713470" cy="201295"/>
                        </a:xfrm>
                        <a:prstGeom prst="rect">
                          <a:avLst/>
                        </a:prstGeom>
                        <a:solidFill>
                          <a:prstClr val="white"/>
                        </a:solidFill>
                        <a:ln>
                          <a:noFill/>
                        </a:ln>
                        <a:effectLst/>
                      </wps:spPr>
                      <wps:txbx>
                        <w:txbxContent>
                          <w:p w:rsidR="0083519B" w:rsidRPr="009D341B" w:rsidRDefault="0083519B" w:rsidP="000D57A1">
                            <w:pPr>
                              <w:pStyle w:val="Sous-titre"/>
                            </w:pPr>
                            <w:bookmarkStart w:id="229" w:name="_Toc203642680"/>
                            <w:r>
                              <w:t xml:space="preserve">Carte </w:t>
                            </w:r>
                            <w:r w:rsidR="00225ED1">
                              <w:rPr>
                                <w:noProof/>
                              </w:rPr>
                              <w:fldChar w:fldCharType="begin"/>
                            </w:r>
                            <w:r w:rsidR="00225ED1">
                              <w:rPr>
                                <w:noProof/>
                              </w:rPr>
                              <w:instrText xml:space="preserve"> SEQ Carte \* ARABIC </w:instrText>
                            </w:r>
                            <w:r w:rsidR="00225ED1">
                              <w:rPr>
                                <w:noProof/>
                              </w:rPr>
                              <w:fldChar w:fldCharType="separate"/>
                            </w:r>
                            <w:r w:rsidR="00124AFB">
                              <w:rPr>
                                <w:noProof/>
                              </w:rPr>
                              <w:t>6</w:t>
                            </w:r>
                            <w:r w:rsidR="00225ED1">
                              <w:rPr>
                                <w:noProof/>
                              </w:rPr>
                              <w:fldChar w:fldCharType="end"/>
                            </w:r>
                            <w:r>
                              <w:t xml:space="preserve"> : </w:t>
                            </w:r>
                            <w:r w:rsidRPr="003F354F">
                              <w:t>Localisation de la zone d’étude au niveau de la région Rabat-Salé-Kénitra</w:t>
                            </w:r>
                            <w:bookmarkEnd w:id="229"/>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828F212" id="Zone de texte 956995659" o:spid="_x0000_s1057" type="#_x0000_t202" style="position:absolute;left:0;text-align:left;margin-left:-8.85pt;margin-top:-4pt;width:686.1pt;height:15.85pt;z-index:2516971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" stroked="f">
                <v:textbox inset="0,0,0,0">
                  <w:txbxContent>
                    <w:p w:rsidR="0083519B" w:rsidRPr="009D341B" w:rsidRDefault="0083519B" w:rsidP="000D57A1">
                      <w:pPr>
                        <w:pStyle w:val="Sous-titre"/>
                      </w:pPr>
                      <w:bookmarkStart w:id="236" w:name="_Toc203642680"/>
                      <w:r>
                        <w:t xml:space="preserve">Carte </w:t>
                      </w:r>
                      <w:r w:rsidR="00225ED1">
                        <w:rPr>
                          <w:noProof/>
                        </w:rPr>
                        <w:fldChar w:fldCharType="begin"/>
                      </w:r>
                      <w:r w:rsidR="00225ED1">
                        <w:rPr>
                          <w:noProof/>
                        </w:rPr>
                        <w:instrText xml:space="preserve"> SEQ Carte \* ARABIC </w:instrText>
                      </w:r>
                      <w:r w:rsidR="00225ED1">
                        <w:rPr>
                          <w:noProof/>
                        </w:rPr>
                        <w:fldChar w:fldCharType="separate"/>
                      </w:r>
                      <w:r w:rsidR="00124AFB">
                        <w:rPr>
                          <w:noProof/>
                        </w:rPr>
                        <w:t>6</w:t>
                      </w:r>
                      <w:r w:rsidR="00225ED1">
                        <w:rPr>
                          <w:noProof/>
                        </w:rPr>
                        <w:fldChar w:fldCharType="end"/>
                      </w:r>
                      <w:r>
                        <w:t xml:space="preserve"> : </w:t>
                      </w:r>
                      <w:r w:rsidRPr="003F354F">
                        <w:t>Localisation de la zone d’étude au niveau de la région Rabat-Salé-Kénitra</w:t>
                      </w:r>
                      <w:bookmarkEnd w:id="236"/>
                    </w:p>
                  </w:txbxContent>
                </v:textbox>
                <w10:wrap type="tight"/>
              </v:shape>
            </w:pict>
          </mc:Fallback>
        </mc:AlternateContent>
      </w:r>
      <w:r w:rsidR="00726EDC" w:rsidRPr="002462E6">
        <w:rPr>
          <w:noProof/>
          <w:lang w:eastAsia="fr-FR"/>
        </w:rPr>
        <mc:AlternateContent>
          <mc:Choice Requires="wps">
            <w:drawing>
              <wp:anchor distT="45720" distB="45720" distL="114300" distR="114300" simplePos="0" relativeHeight="251675648" behindDoc="1" locked="0" layoutInCell="1" allowOverlap="1" wp14:anchorId="317B6057" wp14:editId="652BB342">
                <wp:simplePos x="0" y="0"/>
                <wp:positionH relativeFrom="column">
                  <wp:posOffset>902733</wp:posOffset>
                </wp:positionH>
                <wp:positionV relativeFrom="page">
                  <wp:posOffset>7144947</wp:posOffset>
                </wp:positionV>
                <wp:extent cx="6060440" cy="269875"/>
                <wp:effectExtent l="0" t="0" r="0" b="0"/>
                <wp:wrapTight wrapText="bothSides">
                  <wp:wrapPolygon edited="0">
                    <wp:start x="204" y="0"/>
                    <wp:lineTo x="204" y="19821"/>
                    <wp:lineTo x="21387" y="19821"/>
                    <wp:lineTo x="21387" y="0"/>
                    <wp:lineTo x="204" y="0"/>
                  </wp:wrapPolygon>
                </wp:wrapTight>
                <wp:docPr id="2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60440" cy="269875"/>
                        </a:xfrm>
                        <a:prstGeom prst="rect">
                          <a:avLst/>
                        </a:prstGeom>
                        <a:noFill/>
                        <a:ln w="9525">
                          <a:noFill/>
                          <a:miter lim="800000"/>
                          <a:headEnd/>
                          <a:tailEnd/>
                        </a:ln>
                      </wps:spPr>
                      <wps:txbx>
                        <w:txbxContent>
                          <w:p w:rsidR="0083519B" w:rsidRPr="00DA6909" w:rsidRDefault="0083519B" w:rsidP="004D1AD5">
                            <w:pPr>
                              <w:spacing w:before="64"/>
                              <w:ind w:right="4"/>
                              <w:jc w:val="center"/>
                              <w:rPr>
                                <w:rFonts w:ascii="Tahoma" w:hAnsi="Tahoma" w:cs="Tahoma"/>
                                <w:sz w:val="20"/>
                                <w:szCs w:val="20"/>
                              </w:rPr>
                            </w:pPr>
                            <w:r w:rsidRPr="00B768A2">
                              <w:rPr>
                                <w:rFonts w:ascii="Tahoma" w:hAnsi="Tahoma" w:cs="Tahoma"/>
                                <w:b/>
                                <w:bCs/>
                                <w:sz w:val="20"/>
                                <w:szCs w:val="20"/>
                              </w:rPr>
                              <w:t>Source :</w:t>
                            </w:r>
                            <w:r w:rsidRPr="00170C89">
                              <w:rPr>
                                <w:rFonts w:ascii="Tahoma" w:hAnsi="Tahoma" w:cs="Tahoma"/>
                                <w:sz w:val="20"/>
                                <w:szCs w:val="20"/>
                              </w:rPr>
                              <w:t xml:space="preserve"> </w:t>
                            </w:r>
                            <w:r>
                              <w:rPr>
                                <w:rFonts w:ascii="Tahoma" w:hAnsi="Tahoma" w:cs="Tahoma"/>
                                <w:sz w:val="20"/>
                                <w:szCs w:val="20"/>
                              </w:rPr>
                              <w:t xml:space="preserve">Elaboration de l’auteur </w:t>
                            </w:r>
                            <w:r w:rsidRPr="00170C89">
                              <w:rPr>
                                <w:rFonts w:ascii="Tahoma" w:hAnsi="Tahoma" w:cs="Tahoma"/>
                                <w:sz w:val="20"/>
                                <w:szCs w:val="20"/>
                              </w:rPr>
                              <w:t xml:space="preserve"> via le logiciel Arc</w:t>
                            </w:r>
                            <w:r>
                              <w:rPr>
                                <w:rFonts w:ascii="Tahoma" w:hAnsi="Tahoma" w:cs="Tahoma"/>
                                <w:sz w:val="20"/>
                                <w:szCs w:val="20"/>
                              </w:rPr>
                              <w:t>G</w:t>
                            </w:r>
                            <w:r w:rsidRPr="00170C89">
                              <w:rPr>
                                <w:rFonts w:ascii="Tahoma" w:hAnsi="Tahoma" w:cs="Tahoma"/>
                                <w:sz w:val="20"/>
                                <w:szCs w:val="20"/>
                              </w:rPr>
                              <w:t>is</w:t>
                            </w:r>
                            <w:r>
                              <w:rPr>
                                <w:rFonts w:ascii="Tahoma" w:hAnsi="Tahoma" w:cs="Tahoma"/>
                                <w:sz w:val="20"/>
                                <w:szCs w:val="20"/>
                              </w:rPr>
                              <w:t xml:space="preserve"> 8.1</w:t>
                            </w:r>
                          </w:p>
                          <w:p w:rsidR="0083519B" w:rsidRDefault="0083519B" w:rsidP="00726EDC"/>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17B6057" id="_x0000_s1058" type="#_x0000_t202" style="position:absolute;left:0;text-align:left;margin-left:71.1pt;margin-top:562.6pt;width:477.2pt;height:21.25pt;z-index:-251640832;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" filled="f" stroked="f">
                <v:textbox>
                  <w:txbxContent>
                    <w:p w:rsidR="0083519B" w:rsidRPr="00DA6909" w:rsidRDefault="0083519B" w:rsidP="004D1AD5">
                      <w:pPr>
                        <w:spacing w:before="64"/>
                        <w:ind w:right="4"/>
                        <w:jc w:val="center"/>
                        <w:rPr>
                          <w:rFonts w:ascii="Tahoma" w:hAnsi="Tahoma" w:cs="Tahoma"/>
                          <w:sz w:val="20"/>
                          <w:szCs w:val="20"/>
                        </w:rPr>
                      </w:pPr>
                      <w:r w:rsidRPr="00B768A2">
                        <w:rPr>
                          <w:rFonts w:ascii="Tahoma" w:hAnsi="Tahoma" w:cs="Tahoma"/>
                          <w:b/>
                          <w:bCs/>
                          <w:sz w:val="20"/>
                          <w:szCs w:val="20"/>
                        </w:rPr>
                        <w:t>Source :</w:t>
                      </w:r>
                      <w:r w:rsidRPr="00170C89">
                        <w:rPr>
                          <w:rFonts w:ascii="Tahoma" w:hAnsi="Tahoma" w:cs="Tahoma"/>
                          <w:sz w:val="20"/>
                          <w:szCs w:val="20"/>
                        </w:rPr>
                        <w:t xml:space="preserve"> </w:t>
                      </w:r>
                      <w:r>
                        <w:rPr>
                          <w:rFonts w:ascii="Tahoma" w:hAnsi="Tahoma" w:cs="Tahoma"/>
                          <w:sz w:val="20"/>
                          <w:szCs w:val="20"/>
                        </w:rPr>
                        <w:t xml:space="preserve">Elaboration de l’auteur </w:t>
                      </w:r>
                      <w:r w:rsidRPr="00170C89">
                        <w:rPr>
                          <w:rFonts w:ascii="Tahoma" w:hAnsi="Tahoma" w:cs="Tahoma"/>
                          <w:sz w:val="20"/>
                          <w:szCs w:val="20"/>
                        </w:rPr>
                        <w:t xml:space="preserve"> via le logiciel Arc</w:t>
                      </w:r>
                      <w:r>
                        <w:rPr>
                          <w:rFonts w:ascii="Tahoma" w:hAnsi="Tahoma" w:cs="Tahoma"/>
                          <w:sz w:val="20"/>
                          <w:szCs w:val="20"/>
                        </w:rPr>
                        <w:t>G</w:t>
                      </w:r>
                      <w:r w:rsidRPr="00170C89">
                        <w:rPr>
                          <w:rFonts w:ascii="Tahoma" w:hAnsi="Tahoma" w:cs="Tahoma"/>
                          <w:sz w:val="20"/>
                          <w:szCs w:val="20"/>
                        </w:rPr>
                        <w:t>is</w:t>
                      </w:r>
                      <w:r>
                        <w:rPr>
                          <w:rFonts w:ascii="Tahoma" w:hAnsi="Tahoma" w:cs="Tahoma"/>
                          <w:sz w:val="20"/>
                          <w:szCs w:val="20"/>
                        </w:rPr>
                        <w:t xml:space="preserve"> 8.1</w:t>
                      </w:r>
                    </w:p>
                    <w:p w:rsidR="0083519B" w:rsidRDefault="0083519B" w:rsidP="00726EDC"/>
                  </w:txbxContent>
                </v:textbox>
                <w10:wrap type="tight" anchory="page"/>
              </v:shape>
            </w:pict>
          </mc:Fallback>
        </mc:AlternateContent>
      </w:r>
      <w:r w:rsidR="00726EDC" w:rsidRPr="002462E6">
        <w:rPr>
          <w:noProof/>
          <w:lang w:eastAsia="fr-FR"/>
        </w:rPr>
        <w:drawing>
          <wp:anchor distT="0" distB="0" distL="114300" distR="114300" simplePos="0" relativeHeight="251676672" behindDoc="1" locked="0" layoutInCell="1" allowOverlap="1" wp14:anchorId="5888DA05" wp14:editId="1520D300">
            <wp:simplePos x="0" y="0"/>
            <wp:positionH relativeFrom="column">
              <wp:posOffset>-118110</wp:posOffset>
            </wp:positionH>
            <wp:positionV relativeFrom="page">
              <wp:posOffset>1211580</wp:posOffset>
            </wp:positionV>
            <wp:extent cx="8713470" cy="5933440"/>
            <wp:effectExtent l="0" t="0" r="0" b="0"/>
            <wp:wrapTight wrapText="bothSides">
              <wp:wrapPolygon edited="0">
                <wp:start x="0" y="0"/>
                <wp:lineTo x="0" y="21498"/>
                <wp:lineTo x="21534" y="21498"/>
                <wp:lineTo x="21534" y="0"/>
                <wp:lineTo x="0" y="0"/>
              </wp:wrapPolygon>
            </wp:wrapTight>
            <wp:docPr id="26"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8713470" cy="5933440"/>
                    </a:xfrm>
                    <a:prstGeom prst="rect">
                      <a:avLst/>
                    </a:prstGeom>
                    <a:noFill/>
                    <a:ln>
                      <a:noFill/>
                    </a:ln>
                  </pic:spPr>
                </pic:pic>
              </a:graphicData>
            </a:graphic>
            <wp14:sizeRelH relativeFrom="margin">
              <wp14:pctWidth>0</wp14:pctWidth>
            </wp14:sizeRelH>
            <wp14:sizeRelV relativeFrom="margin">
              <wp14:pctHeight>0</wp14:pctHeight>
            </wp14:sizeRelV>
          </wp:anchor>
        </w:drawing>
      </w:r>
      <w:bookmarkEnd w:id="228"/>
    </w:p>
    <w:p w:rsidR="00E35254" w:rsidRPr="002462E6" w:rsidRDefault="00E35254" w:rsidP="000D57A1">
      <w:pPr>
        <w:pStyle w:val="Sous-titre"/>
      </w:pPr>
      <w:bookmarkStart w:id="230" w:name="_Toc203642681"/>
      <w:r w:rsidRPr="002462E6">
        <w:t xml:space="preserve">Carte </w:t>
      </w:r>
      <w:r w:rsidR="00225ED1">
        <w:rPr>
          <w:noProof/>
        </w:rPr>
        <w:fldChar w:fldCharType="begin"/>
      </w:r>
      <w:r w:rsidR="00225ED1">
        <w:rPr>
          <w:noProof/>
        </w:rPr>
        <w:instrText xml:space="preserve"> SEQ Carte \* ARABIC </w:instrText>
      </w:r>
      <w:r w:rsidR="00225ED1">
        <w:rPr>
          <w:noProof/>
        </w:rPr>
        <w:fldChar w:fldCharType="separate"/>
      </w:r>
      <w:r w:rsidR="00124AFB">
        <w:rPr>
          <w:noProof/>
        </w:rPr>
        <w:t>7</w:t>
      </w:r>
      <w:r w:rsidR="00225ED1">
        <w:rPr>
          <w:noProof/>
        </w:rPr>
        <w:fldChar w:fldCharType="end"/>
      </w:r>
      <w:r w:rsidR="00EC5E5B" w:rsidRPr="002462E6">
        <w:t xml:space="preserve"> </w:t>
      </w:r>
      <w:r w:rsidRPr="002462E6">
        <w:t>: Localisation de la forêt de Korifla</w:t>
      </w:r>
      <w:bookmarkEnd w:id="230"/>
    </w:p>
    <w:p w:rsidR="00DC06AE" w:rsidRPr="002462E6" w:rsidRDefault="00726EDC" w:rsidP="00726EDC">
      <w:pPr>
        <w:widowControl w:val="0"/>
        <w:autoSpaceDE w:val="0"/>
        <w:autoSpaceDN w:val="0"/>
        <w:spacing w:after="0" w:line="240" w:lineRule="auto"/>
        <w:jc w:val="center"/>
        <w:rPr>
          <w:rFonts w:ascii="Tahoma" w:eastAsia="Times New Roman" w:hAnsi="Tahoma" w:cs="Tahoma"/>
          <w:b/>
          <w:bCs/>
          <w:color w:val="000000"/>
          <w:sz w:val="20"/>
          <w:szCs w:val="20"/>
        </w:rPr>
      </w:pPr>
      <w:r w:rsidRPr="002462E6">
        <w:rPr>
          <w:rFonts w:ascii="Times New Roman" w:eastAsia="Times New Roman" w:hAnsi="Times New Roman" w:cs="Times New Roman"/>
          <w:noProof/>
          <w:lang w:eastAsia="fr-FR"/>
        </w:rPr>
        <w:drawing>
          <wp:inline distT="0" distB="0" distL="0" distR="0" wp14:anchorId="274B7108" wp14:editId="143C0511">
            <wp:extent cx="6039103" cy="7232073"/>
            <wp:effectExtent l="0" t="0" r="0" b="6985"/>
            <wp:docPr id="27"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1">
                      <a:lum bright="-20000" contrast="40000"/>
                      <a:extLst>
                        <a:ext uri="{28A0092B-C50C-407E-A947-70E740481C1C}">
                          <a14:useLocalDpi xmlns:a14="http://schemas.microsoft.com/office/drawing/2010/main" val="0"/>
                        </a:ext>
                      </a:extLst>
                    </a:blip>
                    <a:srcRect/>
                    <a:stretch>
                      <a:fillRect/>
                    </a:stretch>
                  </pic:blipFill>
                  <pic:spPr bwMode="auto">
                    <a:xfrm>
                      <a:off x="0" y="0"/>
                      <a:ext cx="6057605" cy="7254230"/>
                    </a:xfrm>
                    <a:prstGeom prst="rect">
                      <a:avLst/>
                    </a:prstGeom>
                    <a:noFill/>
                    <a:ln>
                      <a:noFill/>
                    </a:ln>
                  </pic:spPr>
                </pic:pic>
              </a:graphicData>
            </a:graphic>
          </wp:inline>
        </w:drawing>
      </w:r>
    </w:p>
    <w:p w:rsidR="00DC06AE" w:rsidRPr="002462E6" w:rsidRDefault="00DC06AE" w:rsidP="00726EDC">
      <w:pPr>
        <w:widowControl w:val="0"/>
        <w:autoSpaceDE w:val="0"/>
        <w:autoSpaceDN w:val="0"/>
        <w:spacing w:after="0" w:line="240" w:lineRule="auto"/>
        <w:jc w:val="center"/>
        <w:rPr>
          <w:rFonts w:ascii="Tahoma" w:eastAsia="Times New Roman" w:hAnsi="Tahoma" w:cs="Tahoma"/>
          <w:b/>
          <w:bCs/>
          <w:color w:val="000000"/>
          <w:sz w:val="20"/>
          <w:szCs w:val="20"/>
        </w:rPr>
      </w:pPr>
    </w:p>
    <w:p w:rsidR="00726EDC" w:rsidRPr="002462E6" w:rsidRDefault="00726EDC" w:rsidP="00726EDC">
      <w:pPr>
        <w:widowControl w:val="0"/>
        <w:autoSpaceDE w:val="0"/>
        <w:autoSpaceDN w:val="0"/>
        <w:spacing w:after="0" w:line="240" w:lineRule="auto"/>
        <w:jc w:val="center"/>
        <w:rPr>
          <w:rFonts w:ascii="Times New Roman" w:eastAsia="Times New Roman" w:hAnsi="Times New Roman" w:cs="Times New Roman"/>
        </w:rPr>
      </w:pPr>
      <w:r w:rsidRPr="002462E6">
        <w:rPr>
          <w:rFonts w:ascii="Tahoma" w:eastAsia="Times New Roman" w:hAnsi="Tahoma" w:cs="Tahoma"/>
          <w:b/>
          <w:bCs/>
          <w:color w:val="000000"/>
          <w:sz w:val="20"/>
          <w:szCs w:val="20"/>
        </w:rPr>
        <w:t>Source :</w:t>
      </w:r>
      <w:r w:rsidRPr="002462E6">
        <w:rPr>
          <w:rFonts w:ascii="Tahoma" w:eastAsia="Times New Roman" w:hAnsi="Tahoma" w:cs="Tahoma"/>
          <w:color w:val="000000"/>
          <w:sz w:val="20"/>
          <w:szCs w:val="20"/>
        </w:rPr>
        <w:t xml:space="preserve"> Plan d’aménagement de la forêt de Korifla</w:t>
      </w:r>
      <w:r w:rsidRPr="002462E6">
        <w:rPr>
          <w:rFonts w:ascii="Tahoma" w:eastAsia="Times New Roman" w:hAnsi="Tahoma" w:cs="Tahoma"/>
          <w:color w:val="000000"/>
          <w:sz w:val="20"/>
          <w:szCs w:val="20"/>
          <w:vertAlign w:val="superscript"/>
        </w:rPr>
        <w:footnoteReference w:id="265"/>
      </w:r>
    </w:p>
    <w:p w:rsidR="00726EDC" w:rsidRPr="002462E6" w:rsidRDefault="00726EDC" w:rsidP="008E667A">
      <w:pPr>
        <w:widowControl w:val="0"/>
        <w:autoSpaceDE w:val="0"/>
        <w:autoSpaceDN w:val="0"/>
        <w:spacing w:after="0" w:line="360" w:lineRule="auto"/>
        <w:jc w:val="both"/>
        <w:rPr>
          <w:rFonts w:ascii="Tahoma" w:eastAsia="Times New Roman" w:hAnsi="Tahoma" w:cs="Tahoma"/>
          <w:b/>
          <w:bCs/>
          <w:color w:val="000000"/>
          <w:sz w:val="24"/>
          <w:szCs w:val="24"/>
        </w:rPr>
      </w:pPr>
      <w:r w:rsidRPr="002462E6">
        <w:rPr>
          <w:rFonts w:ascii="Tahoma" w:eastAsia="Times New Roman" w:hAnsi="Tahoma" w:cs="Tahoma"/>
          <w:sz w:val="24"/>
          <w:szCs w:val="24"/>
          <w:lang w:eastAsia="fr-FR"/>
        </w:rPr>
        <w:t>L'étude d'aménagement de la forêt de Korifla révèle une dominance significative des peuplements de thuya (</w:t>
      </w:r>
      <w:r w:rsidRPr="002462E6">
        <w:rPr>
          <w:rFonts w:ascii="Tahoma" w:eastAsia="Times New Roman" w:hAnsi="Tahoma" w:cs="Tahoma"/>
          <w:i/>
          <w:iCs/>
          <w:sz w:val="24"/>
          <w:szCs w:val="24"/>
          <w:lang w:eastAsia="fr-FR"/>
        </w:rPr>
        <w:t>Tetraclinis articulata</w:t>
      </w:r>
      <w:r w:rsidRPr="002462E6">
        <w:rPr>
          <w:rFonts w:ascii="Tahoma" w:eastAsia="Times New Roman" w:hAnsi="Tahoma" w:cs="Tahoma"/>
          <w:sz w:val="24"/>
          <w:szCs w:val="24"/>
          <w:lang w:eastAsia="fr-FR"/>
        </w:rPr>
        <w:t>), qui couvrent environ 71 % de la superficie totale de la forêt. Cette forêt se caractérise également par la disponibilité d'autres espèces forestières, telles que le chêne-liège (</w:t>
      </w:r>
      <w:r w:rsidRPr="002462E6">
        <w:rPr>
          <w:rFonts w:ascii="Tahoma" w:eastAsia="Times New Roman" w:hAnsi="Tahoma" w:cs="Tahoma"/>
          <w:i/>
          <w:iCs/>
          <w:sz w:val="24"/>
          <w:szCs w:val="24"/>
          <w:lang w:eastAsia="fr-FR"/>
        </w:rPr>
        <w:t>Quercus suber</w:t>
      </w:r>
      <w:r w:rsidRPr="002462E6">
        <w:rPr>
          <w:rFonts w:ascii="Tahoma" w:eastAsia="Times New Roman" w:hAnsi="Tahoma" w:cs="Tahoma"/>
          <w:sz w:val="24"/>
          <w:szCs w:val="24"/>
          <w:lang w:eastAsia="fr-FR"/>
        </w:rPr>
        <w:t>), le lentisque (</w:t>
      </w:r>
      <w:r w:rsidRPr="002462E6">
        <w:rPr>
          <w:rFonts w:ascii="Tahoma" w:eastAsia="Times New Roman" w:hAnsi="Tahoma" w:cs="Tahoma"/>
          <w:i/>
          <w:iCs/>
          <w:sz w:val="24"/>
          <w:szCs w:val="24"/>
          <w:lang w:eastAsia="fr-FR"/>
        </w:rPr>
        <w:t>Pistacia lentiscus</w:t>
      </w:r>
      <w:r w:rsidRPr="002462E6">
        <w:rPr>
          <w:rFonts w:ascii="Tahoma" w:eastAsia="Times New Roman" w:hAnsi="Tahoma" w:cs="Tahoma"/>
          <w:sz w:val="24"/>
          <w:szCs w:val="24"/>
          <w:lang w:eastAsia="fr-FR"/>
        </w:rPr>
        <w:t>) et l'olivier sauvage (</w:t>
      </w:r>
      <w:r w:rsidRPr="002462E6">
        <w:rPr>
          <w:rFonts w:ascii="Tahoma" w:eastAsia="Times New Roman" w:hAnsi="Tahoma" w:cs="Tahoma"/>
          <w:i/>
          <w:iCs/>
          <w:sz w:val="24"/>
          <w:szCs w:val="24"/>
          <w:lang w:eastAsia="fr-FR"/>
        </w:rPr>
        <w:t>Olea europaea sylvestris</w:t>
      </w:r>
      <w:r w:rsidRPr="002462E6">
        <w:rPr>
          <w:rFonts w:ascii="Tahoma" w:eastAsia="Times New Roman" w:hAnsi="Tahoma" w:cs="Tahoma"/>
          <w:sz w:val="24"/>
          <w:szCs w:val="24"/>
          <w:lang w:eastAsia="fr-FR"/>
        </w:rPr>
        <w:t>). Des reboisements à base de pin d'Alep (</w:t>
      </w:r>
      <w:r w:rsidRPr="002462E6">
        <w:rPr>
          <w:rFonts w:ascii="Tahoma" w:eastAsia="Times New Roman" w:hAnsi="Tahoma" w:cs="Tahoma"/>
          <w:i/>
          <w:iCs/>
          <w:sz w:val="24"/>
          <w:szCs w:val="24"/>
          <w:lang w:eastAsia="fr-FR"/>
        </w:rPr>
        <w:t>Pinus halepensis</w:t>
      </w:r>
      <w:r w:rsidRPr="002462E6">
        <w:rPr>
          <w:rFonts w:ascii="Tahoma" w:eastAsia="Times New Roman" w:hAnsi="Tahoma" w:cs="Tahoma"/>
          <w:sz w:val="24"/>
          <w:szCs w:val="24"/>
          <w:lang w:eastAsia="fr-FR"/>
        </w:rPr>
        <w:t>), de cyprès (</w:t>
      </w:r>
      <w:r w:rsidRPr="002462E6">
        <w:rPr>
          <w:rFonts w:ascii="Tahoma" w:eastAsia="Times New Roman" w:hAnsi="Tahoma" w:cs="Tahoma"/>
          <w:i/>
          <w:iCs/>
          <w:sz w:val="24"/>
          <w:szCs w:val="24"/>
          <w:lang w:eastAsia="fr-FR"/>
        </w:rPr>
        <w:t>Cupressus spp.</w:t>
      </w:r>
      <w:r w:rsidRPr="002462E6">
        <w:rPr>
          <w:rFonts w:ascii="Tahoma" w:eastAsia="Times New Roman" w:hAnsi="Tahoma" w:cs="Tahoma"/>
          <w:sz w:val="24"/>
          <w:szCs w:val="24"/>
          <w:lang w:eastAsia="fr-FR"/>
        </w:rPr>
        <w:t>) et d'eucalyptus (</w:t>
      </w:r>
      <w:r w:rsidRPr="002462E6">
        <w:rPr>
          <w:rFonts w:ascii="Tahoma" w:eastAsia="Times New Roman" w:hAnsi="Tahoma" w:cs="Tahoma"/>
          <w:i/>
          <w:iCs/>
          <w:sz w:val="24"/>
          <w:szCs w:val="24"/>
          <w:lang w:eastAsia="fr-FR"/>
        </w:rPr>
        <w:t>Eucalyptus spp.</w:t>
      </w:r>
      <w:r w:rsidRPr="002462E6">
        <w:rPr>
          <w:rFonts w:ascii="Tahoma" w:eastAsia="Times New Roman" w:hAnsi="Tahoma" w:cs="Tahoma"/>
          <w:sz w:val="24"/>
          <w:szCs w:val="24"/>
          <w:lang w:eastAsia="fr-FR"/>
        </w:rPr>
        <w:t>) sont également présents, contribuant à la diversité de la composition flo</w:t>
      </w:r>
      <w:r w:rsidR="00BD2C25" w:rsidRPr="002462E6">
        <w:rPr>
          <w:rFonts w:ascii="Tahoma" w:eastAsia="Times New Roman" w:hAnsi="Tahoma" w:cs="Tahoma"/>
          <w:sz w:val="24"/>
          <w:szCs w:val="24"/>
          <w:lang w:eastAsia="fr-FR"/>
        </w:rPr>
        <w:t>ristique de la forêt (</w:t>
      </w:r>
      <w:r w:rsidR="00BD2C25" w:rsidRPr="002462E6">
        <w:rPr>
          <w:rFonts w:ascii="Tahoma" w:eastAsia="Times New Roman" w:hAnsi="Tahoma" w:cs="Tahoma"/>
          <w:b/>
          <w:bCs/>
          <w:sz w:val="24"/>
          <w:szCs w:val="24"/>
          <w:lang w:eastAsia="fr-FR"/>
        </w:rPr>
        <w:t xml:space="preserve">Graphe </w:t>
      </w:r>
      <w:r w:rsidRPr="002462E6">
        <w:rPr>
          <w:rFonts w:ascii="Tahoma" w:eastAsia="Times New Roman" w:hAnsi="Tahoma" w:cs="Tahoma"/>
          <w:b/>
          <w:bCs/>
          <w:sz w:val="24"/>
          <w:szCs w:val="24"/>
          <w:lang w:eastAsia="fr-FR"/>
        </w:rPr>
        <w:t>N°</w:t>
      </w:r>
      <w:r w:rsidR="008E667A">
        <w:rPr>
          <w:rFonts w:ascii="Tahoma" w:eastAsia="Times New Roman" w:hAnsi="Tahoma" w:cs="Tahoma"/>
          <w:b/>
          <w:bCs/>
          <w:sz w:val="24"/>
          <w:szCs w:val="24"/>
          <w:lang w:eastAsia="fr-FR"/>
        </w:rPr>
        <w:t>1</w:t>
      </w:r>
      <w:r w:rsidRPr="002462E6">
        <w:rPr>
          <w:rFonts w:ascii="Tahoma" w:eastAsia="Times New Roman" w:hAnsi="Tahoma" w:cs="Tahoma"/>
          <w:sz w:val="24"/>
          <w:szCs w:val="24"/>
          <w:lang w:eastAsia="fr-FR"/>
        </w:rPr>
        <w:t>).</w:t>
      </w:r>
    </w:p>
    <w:p w:rsidR="00726EDC" w:rsidRPr="002462E6" w:rsidRDefault="00726EDC" w:rsidP="00726EDC">
      <w:pPr>
        <w:widowControl w:val="0"/>
        <w:autoSpaceDE w:val="0"/>
        <w:autoSpaceDN w:val="0"/>
        <w:spacing w:after="0" w:line="360" w:lineRule="auto"/>
        <w:jc w:val="both"/>
        <w:rPr>
          <w:rFonts w:ascii="Tahoma" w:eastAsia="Times New Roman" w:hAnsi="Tahoma" w:cs="Tahoma"/>
          <w:color w:val="000000"/>
          <w:sz w:val="24"/>
          <w:szCs w:val="24"/>
        </w:rPr>
      </w:pPr>
    </w:p>
    <w:p w:rsidR="00CD63E9" w:rsidRPr="002462E6" w:rsidRDefault="00CD63E9" w:rsidP="000D57A1">
      <w:pPr>
        <w:pStyle w:val="Sous-titre"/>
      </w:pPr>
      <w:bookmarkStart w:id="231" w:name="_Toc203642533"/>
      <w:r w:rsidRPr="002462E6">
        <w:t xml:space="preserve">Graphe </w:t>
      </w:r>
      <w:r w:rsidR="00225ED1">
        <w:rPr>
          <w:noProof/>
        </w:rPr>
        <w:fldChar w:fldCharType="begin"/>
      </w:r>
      <w:r w:rsidR="00225ED1">
        <w:rPr>
          <w:noProof/>
        </w:rPr>
        <w:instrText xml:space="preserve"> SEQ Graphe \* ARABIC </w:instrText>
      </w:r>
      <w:r w:rsidR="00225ED1">
        <w:rPr>
          <w:noProof/>
        </w:rPr>
        <w:fldChar w:fldCharType="separate"/>
      </w:r>
      <w:r w:rsidR="00124AFB">
        <w:rPr>
          <w:noProof/>
        </w:rPr>
        <w:t>1</w:t>
      </w:r>
      <w:r w:rsidR="00225ED1">
        <w:rPr>
          <w:noProof/>
        </w:rPr>
        <w:fldChar w:fldCharType="end"/>
      </w:r>
      <w:r w:rsidRPr="002462E6">
        <w:rPr>
          <w:noProof/>
        </w:rPr>
        <w:t xml:space="preserve"> : Superficies des essences forestières à la forêt de Korifla</w:t>
      </w:r>
      <w:bookmarkEnd w:id="231"/>
    </w:p>
    <w:p w:rsidR="00726EDC" w:rsidRPr="002462E6" w:rsidRDefault="00726EDC" w:rsidP="00726EDC">
      <w:pPr>
        <w:widowControl w:val="0"/>
        <w:autoSpaceDE w:val="0"/>
        <w:autoSpaceDN w:val="0"/>
        <w:spacing w:after="0" w:line="360" w:lineRule="auto"/>
        <w:jc w:val="center"/>
        <w:rPr>
          <w:rFonts w:ascii="Tahoma" w:eastAsia="Times New Roman" w:hAnsi="Tahoma" w:cs="Tahoma"/>
          <w:color w:val="000000"/>
          <w:sz w:val="20"/>
          <w:szCs w:val="20"/>
        </w:rPr>
      </w:pPr>
      <w:r w:rsidRPr="002462E6">
        <w:rPr>
          <w:rFonts w:ascii="Tahoma" w:eastAsia="Times New Roman" w:hAnsi="Tahoma" w:cs="Tahoma"/>
          <w:noProof/>
          <w:color w:val="000000"/>
          <w:sz w:val="24"/>
          <w:szCs w:val="24"/>
          <w:lang w:eastAsia="fr-FR"/>
        </w:rPr>
        <w:drawing>
          <wp:inline distT="0" distB="0" distL="0" distR="0" wp14:anchorId="5D9B29C0" wp14:editId="249D9D05">
            <wp:extent cx="5595369" cy="3586348"/>
            <wp:effectExtent l="0" t="0" r="5715" b="0"/>
            <wp:docPr id="28" name="Imag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32">
                      <a:extLst>
                        <a:ext uri="{28A0092B-C50C-407E-A947-70E740481C1C}">
                          <a14:useLocalDpi xmlns:a14="http://schemas.microsoft.com/office/drawing/2010/main" val="0"/>
                        </a:ext>
                      </a:extLst>
                    </a:blip>
                    <a:srcRect l="7398" t="12688" r="7539" b="11179"/>
                    <a:stretch/>
                  </pic:blipFill>
                  <pic:spPr bwMode="auto">
                    <a:xfrm>
                      <a:off x="0" y="0"/>
                      <a:ext cx="5614343" cy="3598510"/>
                    </a:xfrm>
                    <a:prstGeom prst="rect">
                      <a:avLst/>
                    </a:prstGeom>
                    <a:ln>
                      <a:noFill/>
                    </a:ln>
                    <a:effectLst>
                      <a:softEdge rad="112500"/>
                    </a:effectLst>
                    <a:extLst>
                      <a:ext uri="{53640926-AAD7-44D8-BBD7-CCE9431645EC}">
                        <a14:shadowObscured xmlns:a14="http://schemas.microsoft.com/office/drawing/2010/main"/>
                      </a:ext>
                    </a:extLst>
                  </pic:spPr>
                </pic:pic>
              </a:graphicData>
            </a:graphic>
          </wp:inline>
        </w:drawing>
      </w:r>
    </w:p>
    <w:p w:rsidR="00671389" w:rsidRPr="002462E6" w:rsidRDefault="00671389" w:rsidP="00726EDC">
      <w:pPr>
        <w:widowControl w:val="0"/>
        <w:autoSpaceDE w:val="0"/>
        <w:autoSpaceDN w:val="0"/>
        <w:spacing w:after="0" w:line="360" w:lineRule="auto"/>
        <w:jc w:val="center"/>
        <w:rPr>
          <w:rFonts w:ascii="Tahoma" w:eastAsia="Times New Roman" w:hAnsi="Tahoma" w:cs="Tahoma"/>
          <w:color w:val="000000"/>
          <w:sz w:val="20"/>
          <w:szCs w:val="20"/>
        </w:rPr>
      </w:pPr>
    </w:p>
    <w:p w:rsidR="00726EDC" w:rsidRPr="002462E6" w:rsidRDefault="00726EDC" w:rsidP="00726EDC">
      <w:pPr>
        <w:widowControl w:val="0"/>
        <w:autoSpaceDE w:val="0"/>
        <w:autoSpaceDN w:val="0"/>
        <w:spacing w:after="0" w:line="360" w:lineRule="auto"/>
        <w:jc w:val="center"/>
        <w:rPr>
          <w:rFonts w:ascii="Tahoma" w:eastAsia="Times New Roman" w:hAnsi="Tahoma" w:cs="Tahoma"/>
          <w:color w:val="000000"/>
          <w:sz w:val="20"/>
          <w:szCs w:val="20"/>
        </w:rPr>
      </w:pPr>
      <w:r w:rsidRPr="002462E6">
        <w:rPr>
          <w:rFonts w:ascii="Tahoma" w:eastAsia="Times New Roman" w:hAnsi="Tahoma" w:cs="Tahoma"/>
          <w:b/>
          <w:bCs/>
          <w:color w:val="000000"/>
          <w:sz w:val="20"/>
          <w:szCs w:val="20"/>
        </w:rPr>
        <w:t>Source</w:t>
      </w:r>
      <w:r w:rsidRPr="002462E6">
        <w:rPr>
          <w:rFonts w:ascii="Tahoma" w:eastAsia="Times New Roman" w:hAnsi="Tahoma" w:cs="Tahoma"/>
          <w:b/>
          <w:bCs/>
          <w:i/>
          <w:iCs/>
          <w:color w:val="000000"/>
          <w:sz w:val="20"/>
          <w:szCs w:val="20"/>
        </w:rPr>
        <w:t xml:space="preserve"> :</w:t>
      </w:r>
      <w:r w:rsidRPr="002462E6">
        <w:rPr>
          <w:rFonts w:ascii="Tahoma" w:eastAsia="Times New Roman" w:hAnsi="Tahoma" w:cs="Tahoma"/>
          <w:color w:val="000000"/>
          <w:sz w:val="20"/>
          <w:szCs w:val="20"/>
        </w:rPr>
        <w:t xml:space="preserve"> Plan d’aménagement de la forêt de Korifla 2018</w:t>
      </w:r>
      <w:r w:rsidRPr="002462E6">
        <w:rPr>
          <w:rFonts w:ascii="Tahoma" w:eastAsia="Times New Roman" w:hAnsi="Tahoma" w:cs="Tahoma"/>
          <w:color w:val="000000"/>
          <w:sz w:val="20"/>
          <w:szCs w:val="20"/>
          <w:vertAlign w:val="superscript"/>
        </w:rPr>
        <w:footnoteReference w:id="266"/>
      </w:r>
    </w:p>
    <w:p w:rsidR="00726EDC" w:rsidRPr="002462E6" w:rsidRDefault="00726EDC" w:rsidP="00726EDC">
      <w:pPr>
        <w:widowControl w:val="0"/>
        <w:autoSpaceDE w:val="0"/>
        <w:autoSpaceDN w:val="0"/>
        <w:spacing w:after="0" w:line="360" w:lineRule="auto"/>
        <w:rPr>
          <w:rFonts w:ascii="Tahoma" w:eastAsia="Times New Roman" w:hAnsi="Tahoma" w:cs="Tahoma"/>
          <w:color w:val="000000"/>
          <w:sz w:val="20"/>
          <w:szCs w:val="20"/>
        </w:rPr>
      </w:pPr>
    </w:p>
    <w:p w:rsidR="00726EDC" w:rsidRPr="002462E6" w:rsidRDefault="00726EDC" w:rsidP="00726EDC">
      <w:pPr>
        <w:widowControl w:val="0"/>
        <w:autoSpaceDE w:val="0"/>
        <w:autoSpaceDN w:val="0"/>
        <w:spacing w:after="0" w:line="360" w:lineRule="auto"/>
        <w:jc w:val="both"/>
        <w:rPr>
          <w:rFonts w:ascii="Tahoma" w:eastAsia="Times New Roman" w:hAnsi="Tahoma" w:cs="Tahoma"/>
          <w:color w:val="000000"/>
          <w:sz w:val="24"/>
          <w:szCs w:val="24"/>
        </w:rPr>
      </w:pPr>
    </w:p>
    <w:p w:rsidR="00726EDC" w:rsidRPr="002462E6" w:rsidRDefault="00726EDC" w:rsidP="00EC79CA">
      <w:pPr>
        <w:widowControl w:val="0"/>
        <w:autoSpaceDE w:val="0"/>
        <w:autoSpaceDN w:val="0"/>
        <w:spacing w:after="0" w:line="360" w:lineRule="auto"/>
        <w:jc w:val="both"/>
        <w:rPr>
          <w:rFonts w:ascii="Tahoma" w:eastAsia="Times New Roman" w:hAnsi="Tahoma" w:cs="Tahoma"/>
          <w:color w:val="000000"/>
          <w:sz w:val="24"/>
          <w:szCs w:val="24"/>
        </w:rPr>
      </w:pPr>
      <w:r w:rsidRPr="002462E6">
        <w:rPr>
          <w:rFonts w:ascii="Tahoma" w:eastAsia="Times New Roman" w:hAnsi="Tahoma" w:cs="Tahoma"/>
          <w:color w:val="000000"/>
          <w:sz w:val="24"/>
          <w:szCs w:val="24"/>
        </w:rPr>
        <w:t xml:space="preserve">Les peuplements de thuya (Tetraclinis articulata) se manifestent principalement sous forme de futaies, présentant des densités variables en fonction du contexte biogéographique local. On y observe une prédominance de peuplements de densité moyenne à claire. L'âge des peuplements fluctue en fonction des conditions topographiques, du type de sol et des interventions sylvicoles antérieures, avec une proportion significative de peuplements adultes, tandis que les peuplements jeunes et vieux sont relativement rares. </w:t>
      </w:r>
    </w:p>
    <w:p w:rsidR="00726EDC" w:rsidRPr="002462E6" w:rsidRDefault="00726EDC" w:rsidP="00726EDC">
      <w:pPr>
        <w:widowControl w:val="0"/>
        <w:autoSpaceDE w:val="0"/>
        <w:autoSpaceDN w:val="0"/>
        <w:spacing w:after="0" w:line="360" w:lineRule="auto"/>
        <w:jc w:val="both"/>
        <w:rPr>
          <w:rFonts w:ascii="Tahoma" w:eastAsia="Times New Roman" w:hAnsi="Tahoma" w:cs="Tahoma"/>
          <w:color w:val="000000"/>
          <w:sz w:val="24"/>
          <w:szCs w:val="24"/>
        </w:rPr>
      </w:pPr>
      <w:r w:rsidRPr="002462E6">
        <w:rPr>
          <w:rFonts w:ascii="Tahoma" w:eastAsia="Times New Roman" w:hAnsi="Tahoma" w:cs="Tahoma"/>
          <w:color w:val="000000"/>
          <w:sz w:val="24"/>
          <w:szCs w:val="24"/>
        </w:rPr>
        <w:t>Il convient de souligner que les peuplements de thuya sont vigoureux quand ils sont à l’abri de la pression pastorale. L’étude d’aménagement a précisé que les zones riches en matières organiques favorisent un développement optimal de la végétation, avec un recouvrement estimé entre 60 et 80 %. La hauteur moyenne de ces peuplements se situe entre 4 et 7 mètres, avec un diamètre moyen des arbres compris entre 20 et 60 cm, pouvant atteindre 80 cm dans certains secteurs. Les sols les plus fréquemment rencontrés sont des sols peu évolués et des sols fersiallitiques.</w:t>
      </w:r>
    </w:p>
    <w:p w:rsidR="00726EDC" w:rsidRPr="002462E6" w:rsidRDefault="00726EDC" w:rsidP="00726EDC">
      <w:pPr>
        <w:widowControl w:val="0"/>
        <w:autoSpaceDE w:val="0"/>
        <w:autoSpaceDN w:val="0"/>
        <w:spacing w:after="0" w:line="360" w:lineRule="auto"/>
        <w:jc w:val="both"/>
        <w:rPr>
          <w:rFonts w:ascii="Tahoma" w:eastAsia="Times New Roman" w:hAnsi="Tahoma" w:cs="Tahoma"/>
          <w:color w:val="000000"/>
          <w:sz w:val="24"/>
          <w:szCs w:val="24"/>
        </w:rPr>
      </w:pPr>
      <w:r w:rsidRPr="002462E6">
        <w:rPr>
          <w:rFonts w:ascii="Tahoma" w:eastAsia="Times New Roman" w:hAnsi="Tahoma" w:cs="Tahoma"/>
          <w:color w:val="000000"/>
          <w:sz w:val="24"/>
          <w:szCs w:val="24"/>
        </w:rPr>
        <w:t>Il importe de souligner que le thuya est une essence typique de la région méditerranéenne méridionale occidentale</w:t>
      </w:r>
      <w:r w:rsidRPr="002462E6">
        <w:rPr>
          <w:rFonts w:ascii="Tahoma" w:eastAsia="Times New Roman" w:hAnsi="Tahoma" w:cs="Tahoma"/>
          <w:color w:val="000000"/>
          <w:sz w:val="24"/>
          <w:szCs w:val="24"/>
          <w:vertAlign w:val="superscript"/>
        </w:rPr>
        <w:footnoteReference w:id="267"/>
      </w:r>
      <w:r w:rsidRPr="002462E6">
        <w:rPr>
          <w:rFonts w:ascii="Tahoma" w:eastAsia="Times New Roman" w:hAnsi="Tahoma" w:cs="Tahoma"/>
          <w:color w:val="000000"/>
          <w:sz w:val="24"/>
          <w:szCs w:val="24"/>
        </w:rPr>
        <w:t>.</w:t>
      </w:r>
    </w:p>
    <w:p w:rsidR="00726EDC" w:rsidRPr="002462E6" w:rsidRDefault="00726EDC" w:rsidP="00726EDC">
      <w:pPr>
        <w:widowControl w:val="0"/>
        <w:autoSpaceDE w:val="0"/>
        <w:autoSpaceDN w:val="0"/>
        <w:spacing w:after="0" w:line="360" w:lineRule="auto"/>
        <w:jc w:val="both"/>
        <w:rPr>
          <w:rFonts w:ascii="Tahoma" w:eastAsia="Times New Roman" w:hAnsi="Tahoma" w:cs="Tahoma"/>
          <w:color w:val="000000"/>
          <w:sz w:val="24"/>
          <w:szCs w:val="24"/>
        </w:rPr>
      </w:pPr>
    </w:p>
    <w:p w:rsidR="00726EDC" w:rsidRPr="002462E6" w:rsidRDefault="00726EDC" w:rsidP="00726EDC">
      <w:pPr>
        <w:widowControl w:val="0"/>
        <w:autoSpaceDE w:val="0"/>
        <w:autoSpaceDN w:val="0"/>
        <w:spacing w:after="0" w:line="360" w:lineRule="auto"/>
        <w:jc w:val="both"/>
        <w:rPr>
          <w:rFonts w:ascii="Tahoma" w:eastAsia="Times New Roman" w:hAnsi="Tahoma" w:cs="Tahoma"/>
          <w:sz w:val="24"/>
          <w:szCs w:val="24"/>
        </w:rPr>
      </w:pPr>
      <w:r w:rsidRPr="002462E6">
        <w:rPr>
          <w:rFonts w:ascii="Tahoma" w:eastAsia="Times New Roman" w:hAnsi="Tahoma" w:cs="Tahoma"/>
          <w:sz w:val="24"/>
          <w:szCs w:val="24"/>
        </w:rPr>
        <w:t>Au niveau national, le thuya (Tetraclinis articulata) individualise spécialement les peuplements les plus étendus et les plus diversifiés (Benabid, 1976, 1982b, 1985b ; Fennane, 1982, 1988). Son aire de répartition s'étend principalement dans la partie orientale du pays, sur le Plateau Central, et dans le secteur de l'Arganier. Les peuplements de thuya sont associés aux variantes chaudes et tempérées du thermo-méditerranéen semi-aride et, localement, du subhumide inférieur. Les écosystèmes à thuya se distinguent par une certaine résilience, leur permettant une restauration relativement rapide après des perturbations mineures.</w:t>
      </w:r>
    </w:p>
    <w:p w:rsidR="00726EDC" w:rsidRPr="002462E6" w:rsidRDefault="00726EDC" w:rsidP="00726EDC">
      <w:pPr>
        <w:widowControl w:val="0"/>
        <w:autoSpaceDE w:val="0"/>
        <w:autoSpaceDN w:val="0"/>
        <w:spacing w:after="0" w:line="360" w:lineRule="auto"/>
        <w:jc w:val="both"/>
        <w:rPr>
          <w:rFonts w:ascii="Tahoma" w:eastAsia="Times New Roman" w:hAnsi="Tahoma" w:cs="Tahoma"/>
          <w:color w:val="000000"/>
          <w:sz w:val="24"/>
          <w:szCs w:val="24"/>
        </w:rPr>
      </w:pPr>
      <w:r w:rsidRPr="002462E6">
        <w:rPr>
          <w:rFonts w:ascii="Tahoma" w:eastAsia="Times New Roman" w:hAnsi="Tahoma" w:cs="Tahoma"/>
          <w:sz w:val="24"/>
          <w:szCs w:val="24"/>
        </w:rPr>
        <w:t>Le thuya présente une régénération naturelle aisée lorsque les conditions écologiques sont favorables, et il manifeste une capacité de rejets de souche vigoureux après la coupe, une caractéristique unique parmi les conifères. De plus, il est l'unique essence forestière qui n’a pas d'ennemis parasites.</w:t>
      </w:r>
    </w:p>
    <w:p w:rsidR="00726EDC" w:rsidRPr="002462E6" w:rsidRDefault="00726EDC" w:rsidP="00726EDC">
      <w:pPr>
        <w:widowControl w:val="0"/>
        <w:autoSpaceDE w:val="0"/>
        <w:autoSpaceDN w:val="0"/>
        <w:spacing w:after="0" w:line="360" w:lineRule="auto"/>
        <w:jc w:val="both"/>
        <w:rPr>
          <w:rFonts w:ascii="Tahoma" w:eastAsia="Times New Roman" w:hAnsi="Tahoma" w:cs="Tahoma"/>
          <w:sz w:val="24"/>
          <w:szCs w:val="24"/>
        </w:rPr>
      </w:pPr>
      <w:r w:rsidRPr="002462E6">
        <w:rPr>
          <w:rFonts w:ascii="Tahoma" w:eastAsia="Times New Roman" w:hAnsi="Tahoma" w:cs="Tahoma"/>
          <w:sz w:val="24"/>
          <w:szCs w:val="24"/>
        </w:rPr>
        <w:t>L'étude d'aménagement de la forêt de Korifla révèle que le thuya dans la zone d'étude subit une pression anthropique croissante, particulièrement à proximité des habitations, en raison d'une présence humaine fortement élevée et une exploitation pastorale qui altèrent les composantes de l'écosystème et son dynamisme.</w:t>
      </w:r>
    </w:p>
    <w:p w:rsidR="00726EDC" w:rsidRPr="002462E6" w:rsidRDefault="00726EDC" w:rsidP="00EC79CA">
      <w:pPr>
        <w:widowControl w:val="0"/>
        <w:autoSpaceDE w:val="0"/>
        <w:autoSpaceDN w:val="0"/>
        <w:spacing w:after="0" w:line="360" w:lineRule="auto"/>
        <w:jc w:val="both"/>
        <w:rPr>
          <w:rFonts w:ascii="Tahoma" w:eastAsia="Times New Roman" w:hAnsi="Tahoma" w:cs="Tahoma"/>
          <w:sz w:val="24"/>
          <w:szCs w:val="24"/>
        </w:rPr>
      </w:pPr>
      <w:r w:rsidRPr="002462E6">
        <w:rPr>
          <w:rFonts w:ascii="Tahoma" w:eastAsia="Times New Roman" w:hAnsi="Tahoma" w:cs="Tahoma"/>
          <w:sz w:val="24"/>
          <w:szCs w:val="24"/>
        </w:rPr>
        <w:t>Néanmoins, la zone d'étude abrite également un Site d'Intérêt Biologique et Écologique (SIBE), retenu en raison de la qualité de sa tétraclinaie donnant sur la façade océanique du Plateau Central, formant ainsi un ensemble représentatif avec un cortège floristique et faunistique diversifié</w:t>
      </w:r>
      <w:r w:rsidRPr="002462E6">
        <w:rPr>
          <w:rFonts w:ascii="Times New Roman" w:eastAsia="Times New Roman" w:hAnsi="Times New Roman" w:cs="Times New Roman"/>
          <w:sz w:val="24"/>
          <w:szCs w:val="24"/>
          <w:vertAlign w:val="superscript"/>
        </w:rPr>
        <w:footnoteReference w:id="268"/>
      </w:r>
      <w:r w:rsidRPr="002462E6">
        <w:rPr>
          <w:rFonts w:ascii="Tahoma" w:eastAsia="Times New Roman" w:hAnsi="Tahoma" w:cs="Tahoma"/>
          <w:sz w:val="24"/>
          <w:szCs w:val="24"/>
        </w:rPr>
        <w:t>. Le SIBE englobe la partie de la vallée du Korifla, qui s'étend depuis le croisement avec la RP22 vers Rommani, jusqu'à la hauteur du marabout de Sidi Al Mir (surface approximative de 2000 ha). Il est limité à l'est par la RS218 et à l'ouest par les hauteurs du plateau.</w:t>
      </w:r>
    </w:p>
    <w:p w:rsidR="00726EDC" w:rsidRPr="002462E6" w:rsidRDefault="00726EDC" w:rsidP="00726EDC">
      <w:pPr>
        <w:widowControl w:val="0"/>
        <w:autoSpaceDE w:val="0"/>
        <w:autoSpaceDN w:val="0"/>
        <w:spacing w:after="0" w:line="360" w:lineRule="auto"/>
        <w:jc w:val="both"/>
        <w:rPr>
          <w:rFonts w:ascii="Tahoma" w:eastAsia="Times New Roman" w:hAnsi="Tahoma" w:cs="Tahoma"/>
          <w:color w:val="000000"/>
          <w:sz w:val="24"/>
          <w:szCs w:val="24"/>
        </w:rPr>
      </w:pPr>
      <w:r w:rsidRPr="002462E6">
        <w:rPr>
          <w:rFonts w:ascii="Tahoma" w:eastAsia="Times New Roman" w:hAnsi="Tahoma" w:cs="Tahoma"/>
          <w:color w:val="000000"/>
          <w:sz w:val="24"/>
          <w:szCs w:val="24"/>
        </w:rPr>
        <w:t>Sur le plan administratif, le SIBE relève de la province de Khémisset, du Centre de Conservation et de Développement des Ressources Forestières (CCDRF) de Rabat-Temara et Rommani, et des Secteurs Forestiers d'Ain El Aouda et Lalla Regraga. Son classement au sein du plan directeur des aires protégées nationales est de priorité trois. Ce zonage permet aux aires protégées de jouer un rôle essentiel dans la conservation de la biodiversité et des milieux, de contribuer au développement local par la gestion durable des ressources naturelles (exploitation des produits de la biodiversité, pâturage, écotourisme …), et de soutenir l'éducation, la formation, la sensibilisation et le développement de la recherche.</w:t>
      </w:r>
    </w:p>
    <w:p w:rsidR="00726EDC" w:rsidRPr="002462E6" w:rsidRDefault="00726EDC" w:rsidP="00EC79CA">
      <w:pPr>
        <w:widowControl w:val="0"/>
        <w:autoSpaceDE w:val="0"/>
        <w:autoSpaceDN w:val="0"/>
        <w:spacing w:after="0" w:line="360" w:lineRule="auto"/>
        <w:jc w:val="both"/>
        <w:rPr>
          <w:rFonts w:ascii="Tahoma" w:eastAsia="Times New Roman" w:hAnsi="Tahoma" w:cs="Tahoma"/>
          <w:color w:val="000000"/>
          <w:sz w:val="24"/>
          <w:szCs w:val="24"/>
        </w:rPr>
      </w:pPr>
      <w:r w:rsidRPr="002462E6">
        <w:rPr>
          <w:rFonts w:ascii="Tahoma" w:eastAsia="Times New Roman" w:hAnsi="Tahoma" w:cs="Tahoma"/>
          <w:sz w:val="24"/>
          <w:szCs w:val="24"/>
        </w:rPr>
        <w:t>Au sein du SIBE, le terrain est relativement plat, présentant des sols sableux ou argileux, et des vallées encaissées aux rives parfois rocheuses de schistes primaires</w:t>
      </w:r>
      <w:r w:rsidRPr="002462E6">
        <w:rPr>
          <w:rFonts w:ascii="Tahoma" w:eastAsia="Times New Roman" w:hAnsi="Tahoma" w:cs="Tahoma"/>
          <w:color w:val="000000"/>
          <w:sz w:val="24"/>
          <w:szCs w:val="24"/>
        </w:rPr>
        <w:t>. La végétation est dominée par une tétraclinaie en bon état, dynamique et relativement bien conservée, particulièrement sur les flancs de la vallée, ainsi qu'une oléastraie en bon état, dynamique et bien conservée dans les vallées, et une subéraie plus dégradée sur le plateau adjacent.</w:t>
      </w:r>
    </w:p>
    <w:p w:rsidR="00726EDC" w:rsidRPr="002462E6" w:rsidRDefault="00726EDC" w:rsidP="00726EDC">
      <w:pPr>
        <w:widowControl w:val="0"/>
        <w:autoSpaceDE w:val="0"/>
        <w:autoSpaceDN w:val="0"/>
        <w:spacing w:after="0" w:line="360" w:lineRule="auto"/>
        <w:jc w:val="both"/>
        <w:rPr>
          <w:rFonts w:ascii="Tahoma" w:eastAsia="Times New Roman" w:hAnsi="Tahoma" w:cs="Tahoma"/>
          <w:color w:val="000000"/>
          <w:sz w:val="24"/>
          <w:szCs w:val="24"/>
        </w:rPr>
      </w:pPr>
      <w:r w:rsidRPr="002462E6">
        <w:rPr>
          <w:rFonts w:ascii="Tahoma" w:eastAsia="Times New Roman" w:hAnsi="Tahoma" w:cs="Tahoma"/>
          <w:color w:val="000000"/>
          <w:sz w:val="24"/>
          <w:szCs w:val="24"/>
        </w:rPr>
        <w:t>Par ses formations arborées, arbustives et herbacées, le SIBE de Korifla semble constituer un refuge adéquat pour le gibier et présente des conditions propices à sa prolifération. Cependant, la croissance démographique et l'intensification du parcours représentent des facteurs limitant la reproduction et la quiétude nécessaires à son développement.</w:t>
      </w:r>
    </w:p>
    <w:p w:rsidR="00726EDC" w:rsidRDefault="00726EDC" w:rsidP="00726EDC">
      <w:pPr>
        <w:widowControl w:val="0"/>
        <w:autoSpaceDE w:val="0"/>
        <w:autoSpaceDN w:val="0"/>
        <w:spacing w:after="0" w:line="360" w:lineRule="auto"/>
        <w:jc w:val="both"/>
        <w:rPr>
          <w:rFonts w:ascii="Tahoma" w:eastAsia="Times New Roman" w:hAnsi="Tahoma" w:cs="Tahoma"/>
          <w:color w:val="000000"/>
          <w:sz w:val="24"/>
          <w:szCs w:val="24"/>
        </w:rPr>
      </w:pPr>
      <w:r w:rsidRPr="002462E6">
        <w:rPr>
          <w:rFonts w:ascii="Tahoma" w:eastAsia="Times New Roman" w:hAnsi="Tahoma" w:cs="Tahoma"/>
          <w:color w:val="000000"/>
          <w:sz w:val="24"/>
          <w:szCs w:val="24"/>
        </w:rPr>
        <w:t>Après avoir mis en lumière la diversité et la richesse du patrimoine floral, tant à l’échelle nationale que dans la zone d’étude, il convient d’examiner de manière approfondie l’efficacité du cadre juridique en vigueur en matière de protection des forêts au Maroc.</w:t>
      </w:r>
    </w:p>
    <w:p w:rsidR="008A2074" w:rsidRDefault="008A2074" w:rsidP="00726EDC">
      <w:pPr>
        <w:widowControl w:val="0"/>
        <w:autoSpaceDE w:val="0"/>
        <w:autoSpaceDN w:val="0"/>
        <w:spacing w:after="0" w:line="360" w:lineRule="auto"/>
        <w:jc w:val="both"/>
        <w:rPr>
          <w:rFonts w:ascii="Tahoma" w:eastAsia="Times New Roman" w:hAnsi="Tahoma" w:cs="Tahoma"/>
          <w:color w:val="000000"/>
          <w:sz w:val="24"/>
          <w:szCs w:val="24"/>
        </w:rPr>
      </w:pPr>
    </w:p>
    <w:p w:rsidR="008A2074" w:rsidRPr="002462E6" w:rsidRDefault="008A2074" w:rsidP="00726EDC">
      <w:pPr>
        <w:widowControl w:val="0"/>
        <w:autoSpaceDE w:val="0"/>
        <w:autoSpaceDN w:val="0"/>
        <w:spacing w:after="0" w:line="360" w:lineRule="auto"/>
        <w:jc w:val="both"/>
        <w:rPr>
          <w:rFonts w:ascii="Tahoma" w:eastAsia="Times New Roman" w:hAnsi="Tahoma" w:cs="Tahoma"/>
          <w:color w:val="000000"/>
          <w:sz w:val="24"/>
          <w:szCs w:val="24"/>
        </w:rPr>
      </w:pPr>
    </w:p>
    <w:p w:rsidR="00726EDC" w:rsidRPr="002462E6" w:rsidRDefault="00671389" w:rsidP="007E399B">
      <w:pPr>
        <w:pStyle w:val="Titre4"/>
      </w:pPr>
      <w:bookmarkStart w:id="232" w:name="_Toc184478000"/>
      <w:bookmarkStart w:id="233" w:name="_Toc186533825"/>
      <w:bookmarkStart w:id="234" w:name="_Toc201570900"/>
      <w:bookmarkStart w:id="235" w:name="_Toc201655481"/>
      <w:r w:rsidRPr="002462E6">
        <w:t xml:space="preserve"> </w:t>
      </w:r>
      <w:r w:rsidR="00726EDC" w:rsidRPr="002462E6">
        <w:t xml:space="preserve"> </w:t>
      </w:r>
      <w:bookmarkStart w:id="236" w:name="_Toc203643033"/>
      <w:bookmarkEnd w:id="232"/>
      <w:bookmarkEnd w:id="233"/>
      <w:r w:rsidR="00726EDC" w:rsidRPr="002462E6">
        <w:t>Analyse du cadre juridique de protection du domaine forestier marocain : forces et faiblesses.</w:t>
      </w:r>
      <w:bookmarkEnd w:id="234"/>
      <w:bookmarkEnd w:id="235"/>
      <w:bookmarkEnd w:id="236"/>
    </w:p>
    <w:p w:rsidR="00726EDC" w:rsidRPr="002462E6" w:rsidRDefault="00726EDC" w:rsidP="00726EDC">
      <w:pPr>
        <w:widowControl w:val="0"/>
        <w:autoSpaceDE w:val="0"/>
        <w:autoSpaceDN w:val="0"/>
        <w:spacing w:after="0" w:line="240" w:lineRule="auto"/>
        <w:rPr>
          <w:rFonts w:ascii="Times New Roman" w:eastAsia="Times New Roman" w:hAnsi="Times New Roman" w:cs="Times New Roman"/>
        </w:rPr>
      </w:pPr>
    </w:p>
    <w:p w:rsidR="00726EDC" w:rsidRPr="002462E6" w:rsidRDefault="00726EDC" w:rsidP="00726EDC">
      <w:pPr>
        <w:widowControl w:val="0"/>
        <w:autoSpaceDE w:val="0"/>
        <w:autoSpaceDN w:val="0"/>
        <w:spacing w:after="0" w:line="360" w:lineRule="auto"/>
        <w:jc w:val="both"/>
        <w:rPr>
          <w:rFonts w:ascii="Tahoma" w:eastAsia="Times New Roman" w:hAnsi="Tahoma" w:cs="Tahoma"/>
          <w:color w:val="000000"/>
          <w:sz w:val="24"/>
          <w:szCs w:val="24"/>
        </w:rPr>
      </w:pPr>
      <w:r w:rsidRPr="002462E6">
        <w:rPr>
          <w:rFonts w:ascii="Tahoma" w:eastAsia="Times New Roman" w:hAnsi="Tahoma" w:cs="Tahoma"/>
          <w:color w:val="000000"/>
          <w:sz w:val="24"/>
          <w:szCs w:val="24"/>
        </w:rPr>
        <w:t>Du point de vue juridique, la gestion de la forêt marocaine, à l’heure actuelle, s’articule approximativement autour de 30 textes législatifs et réglementaires, ordonnés autour d’une loi principale, à savoir le Dahir du 20 hija 1335 (10 Octobre 1917) sur la conservation et l'exploitation des forêts fixant la domanialité et l’inaliénabilité du domaine forestier</w:t>
      </w:r>
      <w:r w:rsidRPr="002462E6">
        <w:rPr>
          <w:rFonts w:ascii="Tahoma" w:eastAsia="Times New Roman" w:hAnsi="Tahoma" w:cs="Tahoma"/>
          <w:color w:val="000000"/>
          <w:sz w:val="24"/>
          <w:szCs w:val="24"/>
          <w:vertAlign w:val="superscript"/>
        </w:rPr>
        <w:footnoteReference w:id="269"/>
      </w:r>
      <w:r w:rsidRPr="002462E6">
        <w:rPr>
          <w:rFonts w:ascii="Tahoma" w:eastAsia="Times New Roman" w:hAnsi="Tahoma" w:cs="Tahoma"/>
          <w:color w:val="000000"/>
          <w:sz w:val="24"/>
          <w:szCs w:val="24"/>
        </w:rPr>
        <w:t>. Par l’article premier dudit Dahir, le législateur avait distingué entre « régime forestier » et « domaine forestier ». Ainsi, il a été précisé que le domaine forestier (DF)</w:t>
      </w:r>
      <w:r w:rsidRPr="002462E6">
        <w:rPr>
          <w:rFonts w:ascii="Tahoma" w:eastAsia="Times New Roman" w:hAnsi="Tahoma" w:cs="Tahoma"/>
          <w:color w:val="000000"/>
          <w:sz w:val="24"/>
          <w:szCs w:val="24"/>
          <w:vertAlign w:val="superscript"/>
        </w:rPr>
        <w:footnoteReference w:id="270"/>
      </w:r>
      <w:r w:rsidRPr="002462E6">
        <w:rPr>
          <w:rFonts w:ascii="Tahoma" w:eastAsia="Times New Roman" w:hAnsi="Tahoma" w:cs="Tahoma"/>
          <w:color w:val="000000"/>
          <w:sz w:val="24"/>
          <w:szCs w:val="24"/>
        </w:rPr>
        <w:t xml:space="preserve"> comprend :</w:t>
      </w:r>
    </w:p>
    <w:p w:rsidR="00726EDC" w:rsidRPr="002462E6" w:rsidRDefault="00726EDC" w:rsidP="00726EDC">
      <w:pPr>
        <w:widowControl w:val="0"/>
        <w:autoSpaceDE w:val="0"/>
        <w:autoSpaceDN w:val="0"/>
        <w:spacing w:after="0" w:line="360" w:lineRule="auto"/>
        <w:ind w:firstLine="708"/>
        <w:jc w:val="both"/>
        <w:rPr>
          <w:rFonts w:ascii="Tahoma" w:eastAsia="Times New Roman" w:hAnsi="Tahoma" w:cs="Tahoma"/>
          <w:color w:val="000000"/>
          <w:sz w:val="24"/>
          <w:szCs w:val="24"/>
        </w:rPr>
      </w:pPr>
      <w:r w:rsidRPr="002462E6">
        <w:rPr>
          <w:rFonts w:ascii="Tahoma" w:eastAsia="Times New Roman" w:hAnsi="Tahoma" w:cs="Tahoma"/>
          <w:color w:val="000000"/>
          <w:sz w:val="24"/>
          <w:szCs w:val="24"/>
        </w:rPr>
        <w:t>•</w:t>
      </w:r>
      <w:r w:rsidRPr="002462E6">
        <w:rPr>
          <w:rFonts w:ascii="Tahoma" w:eastAsia="Times New Roman" w:hAnsi="Tahoma" w:cs="Tahoma"/>
          <w:color w:val="000000"/>
          <w:sz w:val="24"/>
          <w:szCs w:val="24"/>
        </w:rPr>
        <w:tab/>
        <w:t>Les forêts domaniales ;</w:t>
      </w:r>
    </w:p>
    <w:p w:rsidR="00726EDC" w:rsidRPr="002462E6" w:rsidRDefault="00726EDC" w:rsidP="00726EDC">
      <w:pPr>
        <w:widowControl w:val="0"/>
        <w:autoSpaceDE w:val="0"/>
        <w:autoSpaceDN w:val="0"/>
        <w:spacing w:after="0" w:line="360" w:lineRule="auto"/>
        <w:ind w:firstLine="708"/>
        <w:jc w:val="both"/>
        <w:rPr>
          <w:rFonts w:ascii="Tahoma" w:eastAsia="Times New Roman" w:hAnsi="Tahoma" w:cs="Tahoma"/>
          <w:color w:val="000000"/>
          <w:sz w:val="24"/>
          <w:szCs w:val="24"/>
        </w:rPr>
      </w:pPr>
      <w:r w:rsidRPr="002462E6">
        <w:rPr>
          <w:rFonts w:ascii="Tahoma" w:eastAsia="Times New Roman" w:hAnsi="Tahoma" w:cs="Tahoma"/>
          <w:color w:val="000000"/>
          <w:sz w:val="24"/>
          <w:szCs w:val="24"/>
        </w:rPr>
        <w:t>•</w:t>
      </w:r>
      <w:r w:rsidRPr="002462E6">
        <w:rPr>
          <w:rFonts w:ascii="Tahoma" w:eastAsia="Times New Roman" w:hAnsi="Tahoma" w:cs="Tahoma"/>
          <w:color w:val="000000"/>
          <w:sz w:val="24"/>
          <w:szCs w:val="24"/>
        </w:rPr>
        <w:tab/>
        <w:t>Les terrains couverts d'alfa, dits " nappes alfatières " ;</w:t>
      </w:r>
    </w:p>
    <w:p w:rsidR="00726EDC" w:rsidRPr="002462E6" w:rsidRDefault="00726EDC" w:rsidP="00726EDC">
      <w:pPr>
        <w:widowControl w:val="0"/>
        <w:autoSpaceDE w:val="0"/>
        <w:autoSpaceDN w:val="0"/>
        <w:spacing w:after="0" w:line="360" w:lineRule="auto"/>
        <w:ind w:left="1413" w:hanging="705"/>
        <w:jc w:val="both"/>
        <w:rPr>
          <w:rFonts w:ascii="Tahoma" w:eastAsia="Times New Roman" w:hAnsi="Tahoma" w:cs="Tahoma"/>
          <w:color w:val="000000"/>
          <w:sz w:val="24"/>
          <w:szCs w:val="24"/>
        </w:rPr>
      </w:pPr>
      <w:r w:rsidRPr="002462E6">
        <w:rPr>
          <w:rFonts w:ascii="Tahoma" w:eastAsia="Times New Roman" w:hAnsi="Tahoma" w:cs="Tahoma"/>
          <w:color w:val="000000"/>
          <w:sz w:val="24"/>
          <w:szCs w:val="24"/>
        </w:rPr>
        <w:t>•</w:t>
      </w:r>
      <w:r w:rsidRPr="002462E6">
        <w:rPr>
          <w:rFonts w:ascii="Tahoma" w:eastAsia="Times New Roman" w:hAnsi="Tahoma" w:cs="Tahoma"/>
          <w:color w:val="000000"/>
          <w:sz w:val="24"/>
          <w:szCs w:val="24"/>
        </w:rPr>
        <w:tab/>
        <w:t>Les dunes terrestres et les dunes maritimes jusqu'à la limite du domaine public maritime, telle que cette limite est définie par la législation sur le domaine public à l'Empire chérifien ;</w:t>
      </w:r>
    </w:p>
    <w:p w:rsidR="00726EDC" w:rsidRPr="002462E6" w:rsidRDefault="00726EDC" w:rsidP="00726EDC">
      <w:pPr>
        <w:widowControl w:val="0"/>
        <w:autoSpaceDE w:val="0"/>
        <w:autoSpaceDN w:val="0"/>
        <w:spacing w:after="0" w:line="360" w:lineRule="auto"/>
        <w:ind w:left="1413" w:hanging="705"/>
        <w:jc w:val="both"/>
        <w:rPr>
          <w:rFonts w:ascii="Tahoma" w:eastAsia="Times New Roman" w:hAnsi="Tahoma" w:cs="Tahoma"/>
          <w:color w:val="000000"/>
          <w:sz w:val="24"/>
          <w:szCs w:val="24"/>
        </w:rPr>
      </w:pPr>
      <w:r w:rsidRPr="002462E6">
        <w:rPr>
          <w:rFonts w:ascii="Tahoma" w:eastAsia="Times New Roman" w:hAnsi="Tahoma" w:cs="Tahoma"/>
          <w:color w:val="000000"/>
          <w:sz w:val="24"/>
          <w:szCs w:val="24"/>
        </w:rPr>
        <w:t>•</w:t>
      </w:r>
      <w:r w:rsidRPr="002462E6">
        <w:rPr>
          <w:rFonts w:ascii="Tahoma" w:eastAsia="Times New Roman" w:hAnsi="Tahoma" w:cs="Tahoma"/>
          <w:color w:val="000000"/>
          <w:sz w:val="24"/>
          <w:szCs w:val="24"/>
        </w:rPr>
        <w:tab/>
        <w:t>Les maisons forestières et leurs annexes, les chemins forestiers, les plantations et les pépinières, créés dans les forêts domaniales, les nappes alfatières ou les dunes, ainsi que les terrains dévolus au domaine forestier pour de telles créations par voie de donation, d'acquisition ou d'échange immobilier ;</w:t>
      </w:r>
    </w:p>
    <w:p w:rsidR="00726EDC" w:rsidRDefault="00726EDC" w:rsidP="00726EDC">
      <w:pPr>
        <w:widowControl w:val="0"/>
        <w:autoSpaceDE w:val="0"/>
        <w:autoSpaceDN w:val="0"/>
        <w:spacing w:after="0" w:line="360" w:lineRule="auto"/>
        <w:ind w:left="708"/>
        <w:jc w:val="both"/>
        <w:rPr>
          <w:rFonts w:ascii="Tahoma" w:eastAsia="Times New Roman" w:hAnsi="Tahoma" w:cs="Tahoma"/>
          <w:color w:val="000000"/>
          <w:sz w:val="24"/>
          <w:szCs w:val="24"/>
        </w:rPr>
      </w:pPr>
      <w:r w:rsidRPr="002462E6">
        <w:rPr>
          <w:rFonts w:ascii="Tahoma" w:eastAsia="Times New Roman" w:hAnsi="Tahoma" w:cs="Tahoma"/>
          <w:color w:val="000000"/>
          <w:sz w:val="24"/>
          <w:szCs w:val="24"/>
        </w:rPr>
        <w:t>•</w:t>
      </w:r>
      <w:r w:rsidRPr="002462E6">
        <w:rPr>
          <w:rFonts w:ascii="Tahoma" w:eastAsia="Times New Roman" w:hAnsi="Tahoma" w:cs="Tahoma"/>
          <w:color w:val="000000"/>
          <w:sz w:val="24"/>
          <w:szCs w:val="24"/>
        </w:rPr>
        <w:tab/>
        <w:t>Les terrains domaniaux reboisés ou à reboiser, les terrains acquis par le domaine forestier en vue de leur reboisement, ainsi que leurs annexes : maisons forestières, pépinières, etc.</w:t>
      </w:r>
    </w:p>
    <w:p w:rsidR="008D3838" w:rsidRPr="002462E6" w:rsidRDefault="008D3838" w:rsidP="00726EDC">
      <w:pPr>
        <w:widowControl w:val="0"/>
        <w:autoSpaceDE w:val="0"/>
        <w:autoSpaceDN w:val="0"/>
        <w:spacing w:after="0" w:line="360" w:lineRule="auto"/>
        <w:ind w:left="708"/>
        <w:jc w:val="both"/>
        <w:rPr>
          <w:rFonts w:ascii="Tahoma" w:eastAsia="Times New Roman" w:hAnsi="Tahoma" w:cs="Tahoma"/>
          <w:color w:val="000000"/>
          <w:sz w:val="24"/>
          <w:szCs w:val="24"/>
        </w:rPr>
      </w:pPr>
    </w:p>
    <w:p w:rsidR="00726EDC" w:rsidRPr="002462E6" w:rsidRDefault="00726EDC" w:rsidP="00726EDC">
      <w:pPr>
        <w:widowControl w:val="0"/>
        <w:autoSpaceDE w:val="0"/>
        <w:autoSpaceDN w:val="0"/>
        <w:spacing w:after="0" w:line="360" w:lineRule="auto"/>
        <w:jc w:val="both"/>
        <w:rPr>
          <w:rFonts w:ascii="Tahoma" w:eastAsia="Times New Roman" w:hAnsi="Tahoma" w:cs="Tahoma"/>
          <w:color w:val="000000"/>
          <w:sz w:val="24"/>
          <w:szCs w:val="24"/>
        </w:rPr>
      </w:pPr>
      <w:r w:rsidRPr="002462E6">
        <w:rPr>
          <w:rFonts w:ascii="Tahoma" w:eastAsia="Times New Roman" w:hAnsi="Tahoma" w:cs="Tahoma"/>
          <w:color w:val="000000"/>
          <w:sz w:val="24"/>
          <w:szCs w:val="24"/>
        </w:rPr>
        <w:t>Alors que le régime forestier s’applique aux :</w:t>
      </w:r>
    </w:p>
    <w:p w:rsidR="00726EDC" w:rsidRPr="002462E6" w:rsidRDefault="00726EDC" w:rsidP="00726EDC">
      <w:pPr>
        <w:widowControl w:val="0"/>
        <w:autoSpaceDE w:val="0"/>
        <w:autoSpaceDN w:val="0"/>
        <w:spacing w:after="0" w:line="360" w:lineRule="auto"/>
        <w:ind w:firstLine="708"/>
        <w:jc w:val="both"/>
        <w:rPr>
          <w:rFonts w:ascii="Tahoma" w:eastAsia="Times New Roman" w:hAnsi="Tahoma" w:cs="Tahoma"/>
          <w:color w:val="000000"/>
          <w:sz w:val="24"/>
          <w:szCs w:val="24"/>
        </w:rPr>
      </w:pPr>
      <w:r w:rsidRPr="002462E6">
        <w:rPr>
          <w:rFonts w:ascii="Tahoma" w:eastAsia="Times New Roman" w:hAnsi="Tahoma" w:cs="Tahoma"/>
          <w:color w:val="000000"/>
          <w:sz w:val="24"/>
          <w:szCs w:val="24"/>
        </w:rPr>
        <w:t>•</w:t>
      </w:r>
      <w:r w:rsidRPr="002462E6">
        <w:rPr>
          <w:rFonts w:ascii="Tahoma" w:eastAsia="Times New Roman" w:hAnsi="Tahoma" w:cs="Tahoma"/>
          <w:color w:val="000000"/>
          <w:sz w:val="24"/>
          <w:szCs w:val="24"/>
        </w:rPr>
        <w:tab/>
        <w:t>Domaine forestier ;</w:t>
      </w:r>
    </w:p>
    <w:p w:rsidR="00726EDC" w:rsidRPr="002462E6" w:rsidRDefault="00726EDC" w:rsidP="00726EDC">
      <w:pPr>
        <w:widowControl w:val="0"/>
        <w:autoSpaceDE w:val="0"/>
        <w:autoSpaceDN w:val="0"/>
        <w:spacing w:after="0" w:line="360" w:lineRule="auto"/>
        <w:ind w:firstLine="708"/>
        <w:jc w:val="both"/>
        <w:rPr>
          <w:rFonts w:ascii="Tahoma" w:eastAsia="Times New Roman" w:hAnsi="Tahoma" w:cs="Tahoma"/>
          <w:color w:val="000000"/>
          <w:sz w:val="24"/>
          <w:szCs w:val="24"/>
        </w:rPr>
      </w:pPr>
      <w:r w:rsidRPr="002462E6">
        <w:rPr>
          <w:rFonts w:ascii="Tahoma" w:eastAsia="Times New Roman" w:hAnsi="Tahoma" w:cs="Tahoma"/>
          <w:color w:val="000000"/>
          <w:sz w:val="24"/>
          <w:szCs w:val="24"/>
        </w:rPr>
        <w:t>•</w:t>
      </w:r>
      <w:r w:rsidRPr="002462E6">
        <w:rPr>
          <w:rFonts w:ascii="Tahoma" w:eastAsia="Times New Roman" w:hAnsi="Tahoma" w:cs="Tahoma"/>
          <w:color w:val="000000"/>
          <w:sz w:val="24"/>
          <w:szCs w:val="24"/>
        </w:rPr>
        <w:tab/>
        <w:t>Forêts des collectivités susceptibles d'aménagement ou d'exploitation régulière ;</w:t>
      </w:r>
    </w:p>
    <w:p w:rsidR="00726EDC" w:rsidRPr="002462E6" w:rsidRDefault="00726EDC" w:rsidP="00726EDC">
      <w:pPr>
        <w:widowControl w:val="0"/>
        <w:autoSpaceDE w:val="0"/>
        <w:autoSpaceDN w:val="0"/>
        <w:spacing w:after="0" w:line="360" w:lineRule="auto"/>
        <w:ind w:left="708"/>
        <w:jc w:val="both"/>
        <w:rPr>
          <w:rFonts w:ascii="Tahoma" w:eastAsia="Times New Roman" w:hAnsi="Tahoma" w:cs="Tahoma"/>
          <w:color w:val="000000"/>
          <w:sz w:val="24"/>
          <w:szCs w:val="24"/>
        </w:rPr>
      </w:pPr>
      <w:r w:rsidRPr="002462E6">
        <w:rPr>
          <w:rFonts w:ascii="Tahoma" w:eastAsia="Times New Roman" w:hAnsi="Tahoma" w:cs="Tahoma"/>
          <w:color w:val="000000"/>
          <w:sz w:val="24"/>
          <w:szCs w:val="24"/>
        </w:rPr>
        <w:t>•</w:t>
      </w:r>
      <w:r w:rsidRPr="002462E6">
        <w:rPr>
          <w:rFonts w:ascii="Tahoma" w:eastAsia="Times New Roman" w:hAnsi="Tahoma" w:cs="Tahoma"/>
          <w:color w:val="000000"/>
          <w:sz w:val="24"/>
          <w:szCs w:val="24"/>
        </w:rPr>
        <w:tab/>
        <w:t>Forêts faisant l'objet d'un litige entre l'Etat et une collectivité, ou entre l'une de ces catégories de propriétaires et un particulier ;</w:t>
      </w:r>
    </w:p>
    <w:p w:rsidR="00726EDC" w:rsidRPr="002462E6" w:rsidRDefault="00726EDC" w:rsidP="00726EDC">
      <w:pPr>
        <w:widowControl w:val="0"/>
        <w:autoSpaceDE w:val="0"/>
        <w:autoSpaceDN w:val="0"/>
        <w:spacing w:after="0" w:line="360" w:lineRule="auto"/>
        <w:ind w:left="708"/>
        <w:jc w:val="both"/>
        <w:rPr>
          <w:rFonts w:ascii="Tahoma" w:eastAsia="Times New Roman" w:hAnsi="Tahoma" w:cs="Tahoma"/>
          <w:color w:val="000000"/>
          <w:sz w:val="24"/>
          <w:szCs w:val="24"/>
        </w:rPr>
      </w:pPr>
      <w:r w:rsidRPr="002462E6">
        <w:rPr>
          <w:rFonts w:ascii="Tahoma" w:eastAsia="Times New Roman" w:hAnsi="Tahoma" w:cs="Tahoma"/>
          <w:color w:val="000000"/>
          <w:sz w:val="24"/>
          <w:szCs w:val="24"/>
        </w:rPr>
        <w:t>•</w:t>
      </w:r>
      <w:r w:rsidRPr="002462E6">
        <w:rPr>
          <w:rFonts w:ascii="Tahoma" w:eastAsia="Times New Roman" w:hAnsi="Tahoma" w:cs="Tahoma"/>
          <w:color w:val="000000"/>
          <w:sz w:val="24"/>
          <w:szCs w:val="24"/>
        </w:rPr>
        <w:tab/>
        <w:t>Terrains collectifs reboisés ou à reboiser et les terres de parcours collectives à améliorer par l'Etat après accord du conseil de tutelle des collectivités ;</w:t>
      </w:r>
    </w:p>
    <w:p w:rsidR="00726EDC" w:rsidRPr="002462E6" w:rsidRDefault="00726EDC" w:rsidP="001B1D3C">
      <w:pPr>
        <w:widowControl w:val="0"/>
        <w:autoSpaceDE w:val="0"/>
        <w:autoSpaceDN w:val="0"/>
        <w:spacing w:after="0" w:line="360" w:lineRule="auto"/>
        <w:ind w:left="708"/>
        <w:jc w:val="both"/>
        <w:rPr>
          <w:rFonts w:ascii="Tahoma" w:eastAsia="Times New Roman" w:hAnsi="Tahoma" w:cs="Tahoma"/>
          <w:color w:val="000000"/>
          <w:sz w:val="24"/>
          <w:szCs w:val="24"/>
        </w:rPr>
      </w:pPr>
      <w:r w:rsidRPr="002462E6">
        <w:rPr>
          <w:rFonts w:ascii="Tahoma" w:eastAsia="Times New Roman" w:hAnsi="Tahoma" w:cs="Tahoma"/>
          <w:color w:val="000000"/>
          <w:sz w:val="24"/>
          <w:szCs w:val="24"/>
        </w:rPr>
        <w:t>•</w:t>
      </w:r>
      <w:r w:rsidRPr="002462E6">
        <w:rPr>
          <w:rFonts w:ascii="Tahoma" w:eastAsia="Times New Roman" w:hAnsi="Tahoma" w:cs="Tahoma"/>
          <w:color w:val="000000"/>
          <w:sz w:val="24"/>
          <w:szCs w:val="24"/>
        </w:rPr>
        <w:tab/>
        <w:t>Terrains reboisés ou à reboiser et les terres de parcours appartenant à des particuliers, dont les propriétaires entendent confier à l'Etat, soit la surveillance, soit</w:t>
      </w:r>
      <w:r w:rsidR="001B1D3C">
        <w:rPr>
          <w:rFonts w:ascii="Tahoma" w:eastAsia="Times New Roman" w:hAnsi="Tahoma" w:cs="Tahoma"/>
          <w:color w:val="000000"/>
          <w:sz w:val="24"/>
          <w:szCs w:val="24"/>
        </w:rPr>
        <w:t xml:space="preserve"> la surveillance et la gestion.</w:t>
      </w:r>
    </w:p>
    <w:p w:rsidR="00726EDC" w:rsidRPr="002462E6" w:rsidRDefault="00726EDC" w:rsidP="001B1D3C">
      <w:pPr>
        <w:widowControl w:val="0"/>
        <w:autoSpaceDE w:val="0"/>
        <w:autoSpaceDN w:val="0"/>
        <w:spacing w:after="0" w:line="360" w:lineRule="auto"/>
        <w:jc w:val="both"/>
        <w:rPr>
          <w:rFonts w:ascii="Tahoma" w:eastAsia="Times New Roman" w:hAnsi="Tahoma" w:cs="Tahoma"/>
          <w:color w:val="000000"/>
          <w:sz w:val="24"/>
          <w:szCs w:val="24"/>
        </w:rPr>
      </w:pPr>
      <w:r w:rsidRPr="002462E6">
        <w:rPr>
          <w:rFonts w:ascii="Tahoma" w:eastAsia="Times New Roman" w:hAnsi="Tahoma" w:cs="Tahoma"/>
          <w:color w:val="000000"/>
          <w:sz w:val="24"/>
          <w:szCs w:val="24"/>
        </w:rPr>
        <w:t>Qu’en est-il alors des prérogatives accordées par le législateur en matière de protection des espaces forestiers et péri-forestiers au Maroc ? Les instruments juridiques en vigueur constituent-ils un mécanisme efficace pour prévenir la dégradation anth</w:t>
      </w:r>
      <w:r w:rsidR="004A38FA" w:rsidRPr="002462E6">
        <w:rPr>
          <w:rFonts w:ascii="Tahoma" w:eastAsia="Times New Roman" w:hAnsi="Tahoma" w:cs="Tahoma"/>
          <w:color w:val="000000"/>
          <w:sz w:val="24"/>
          <w:szCs w:val="24"/>
        </w:rPr>
        <w:t>ropique des forêts marocaines ?</w:t>
      </w:r>
    </w:p>
    <w:p w:rsidR="00726EDC" w:rsidRPr="001B1D3C" w:rsidRDefault="00726EDC" w:rsidP="001B1D3C">
      <w:pPr>
        <w:pStyle w:val="Titre5"/>
        <w:numPr>
          <w:ilvl w:val="0"/>
          <w:numId w:val="85"/>
        </w:numPr>
      </w:pPr>
      <w:bookmarkStart w:id="237" w:name="_Toc184478001"/>
      <w:bookmarkStart w:id="238" w:name="_Toc186533826"/>
      <w:bookmarkStart w:id="239" w:name="_Toc201655482"/>
      <w:bookmarkStart w:id="240" w:name="_Toc203643034"/>
      <w:r w:rsidRPr="002462E6">
        <w:t>Particularités</w:t>
      </w:r>
      <w:r w:rsidRPr="002462E6">
        <w:rPr>
          <w:spacing w:val="-3"/>
        </w:rPr>
        <w:t xml:space="preserve"> </w:t>
      </w:r>
      <w:r w:rsidRPr="002462E6">
        <w:t>du</w:t>
      </w:r>
      <w:r w:rsidRPr="002462E6">
        <w:rPr>
          <w:spacing w:val="-3"/>
        </w:rPr>
        <w:t xml:space="preserve"> </w:t>
      </w:r>
      <w:r w:rsidRPr="002462E6">
        <w:t>domaine</w:t>
      </w:r>
      <w:r w:rsidRPr="002462E6">
        <w:rPr>
          <w:spacing w:val="-3"/>
        </w:rPr>
        <w:t xml:space="preserve"> </w:t>
      </w:r>
      <w:r w:rsidRPr="002462E6">
        <w:t>forestier</w:t>
      </w:r>
      <w:r w:rsidRPr="002462E6">
        <w:rPr>
          <w:spacing w:val="-2"/>
        </w:rPr>
        <w:t xml:space="preserve"> </w:t>
      </w:r>
      <w:r w:rsidRPr="002462E6">
        <w:t>marocain</w:t>
      </w:r>
      <w:r w:rsidRPr="002462E6">
        <w:rPr>
          <w:spacing w:val="-3"/>
        </w:rPr>
        <w:t xml:space="preserve"> </w:t>
      </w:r>
      <w:r w:rsidRPr="002462E6">
        <w:t>et</w:t>
      </w:r>
      <w:r w:rsidRPr="002462E6">
        <w:rPr>
          <w:spacing w:val="-3"/>
        </w:rPr>
        <w:t xml:space="preserve"> </w:t>
      </w:r>
      <w:r w:rsidRPr="002462E6">
        <w:t>principaux</w:t>
      </w:r>
      <w:r w:rsidRPr="002462E6">
        <w:rPr>
          <w:spacing w:val="-3"/>
        </w:rPr>
        <w:t xml:space="preserve"> </w:t>
      </w:r>
      <w:r w:rsidRPr="002462E6">
        <w:t>textes</w:t>
      </w:r>
      <w:r w:rsidRPr="002462E6">
        <w:rPr>
          <w:spacing w:val="-2"/>
        </w:rPr>
        <w:t xml:space="preserve"> </w:t>
      </w:r>
      <w:r w:rsidRPr="002462E6">
        <w:t>juridiques</w:t>
      </w:r>
      <w:bookmarkEnd w:id="237"/>
      <w:bookmarkEnd w:id="238"/>
      <w:bookmarkEnd w:id="239"/>
      <w:bookmarkEnd w:id="240"/>
      <w:r w:rsidR="001B1D3C">
        <w:t xml:space="preserve"> </w:t>
      </w:r>
    </w:p>
    <w:p w:rsidR="00726EDC" w:rsidRPr="002462E6" w:rsidRDefault="00726EDC" w:rsidP="00726EDC">
      <w:pPr>
        <w:widowControl w:val="0"/>
        <w:autoSpaceDE w:val="0"/>
        <w:autoSpaceDN w:val="0"/>
        <w:spacing w:before="77" w:after="0" w:line="360" w:lineRule="auto"/>
        <w:jc w:val="both"/>
        <w:rPr>
          <w:rFonts w:ascii="Tahoma" w:eastAsia="Times New Roman" w:hAnsi="Tahoma" w:cs="Tahoma"/>
          <w:sz w:val="24"/>
          <w:szCs w:val="24"/>
        </w:rPr>
      </w:pPr>
      <w:r w:rsidRPr="002462E6">
        <w:rPr>
          <w:rFonts w:ascii="Tahoma" w:eastAsia="Times New Roman" w:hAnsi="Tahoma" w:cs="Tahoma"/>
          <w:sz w:val="24"/>
          <w:szCs w:val="24"/>
        </w:rPr>
        <w:t>Le</w:t>
      </w:r>
      <w:r w:rsidRPr="002462E6">
        <w:rPr>
          <w:rFonts w:ascii="Tahoma" w:eastAsia="Times New Roman" w:hAnsi="Tahoma" w:cs="Tahoma"/>
          <w:spacing w:val="-2"/>
          <w:sz w:val="24"/>
          <w:szCs w:val="24"/>
        </w:rPr>
        <w:t xml:space="preserve"> </w:t>
      </w:r>
      <w:r w:rsidRPr="002462E6">
        <w:rPr>
          <w:rFonts w:ascii="Tahoma" w:eastAsia="Times New Roman" w:hAnsi="Tahoma" w:cs="Tahoma"/>
          <w:sz w:val="24"/>
          <w:szCs w:val="24"/>
        </w:rPr>
        <w:t>régime</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forestier</w:t>
      </w:r>
      <w:r w:rsidRPr="002462E6">
        <w:rPr>
          <w:rFonts w:ascii="Tahoma" w:eastAsia="Times New Roman" w:hAnsi="Tahoma" w:cs="Tahoma"/>
          <w:spacing w:val="-2"/>
          <w:sz w:val="24"/>
          <w:szCs w:val="24"/>
        </w:rPr>
        <w:t xml:space="preserve"> </w:t>
      </w:r>
      <w:r w:rsidRPr="002462E6">
        <w:rPr>
          <w:rFonts w:ascii="Tahoma" w:eastAsia="Times New Roman" w:hAnsi="Tahoma" w:cs="Tahoma"/>
          <w:sz w:val="24"/>
          <w:szCs w:val="24"/>
        </w:rPr>
        <w:t>peut</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être</w:t>
      </w:r>
      <w:r w:rsidRPr="002462E6">
        <w:rPr>
          <w:rFonts w:ascii="Tahoma" w:eastAsia="Times New Roman" w:hAnsi="Tahoma" w:cs="Tahoma"/>
          <w:spacing w:val="-4"/>
          <w:sz w:val="24"/>
          <w:szCs w:val="24"/>
        </w:rPr>
        <w:t xml:space="preserve"> </w:t>
      </w:r>
      <w:r w:rsidRPr="002462E6">
        <w:rPr>
          <w:rFonts w:ascii="Tahoma" w:eastAsia="Times New Roman" w:hAnsi="Tahoma" w:cs="Tahoma"/>
          <w:sz w:val="24"/>
          <w:szCs w:val="24"/>
        </w:rPr>
        <w:t>définit,</w:t>
      </w:r>
      <w:r w:rsidRPr="002462E6">
        <w:rPr>
          <w:rFonts w:ascii="Tahoma" w:eastAsia="Times New Roman" w:hAnsi="Tahoma" w:cs="Tahoma"/>
          <w:spacing w:val="-3"/>
          <w:sz w:val="24"/>
          <w:szCs w:val="24"/>
        </w:rPr>
        <w:t xml:space="preserve"> </w:t>
      </w:r>
      <w:r w:rsidRPr="002462E6">
        <w:rPr>
          <w:rFonts w:ascii="Tahoma" w:eastAsia="Times New Roman" w:hAnsi="Tahoma" w:cs="Tahoma"/>
          <w:sz w:val="24"/>
          <w:szCs w:val="24"/>
        </w:rPr>
        <w:t>au</w:t>
      </w:r>
      <w:r w:rsidRPr="002462E6">
        <w:rPr>
          <w:rFonts w:ascii="Tahoma" w:eastAsia="Times New Roman" w:hAnsi="Tahoma" w:cs="Tahoma"/>
          <w:spacing w:val="-2"/>
          <w:sz w:val="24"/>
          <w:szCs w:val="24"/>
        </w:rPr>
        <w:t xml:space="preserve"> </w:t>
      </w:r>
      <w:r w:rsidRPr="002462E6">
        <w:rPr>
          <w:rFonts w:ascii="Tahoma" w:eastAsia="Times New Roman" w:hAnsi="Tahoma" w:cs="Tahoma"/>
          <w:sz w:val="24"/>
          <w:szCs w:val="24"/>
        </w:rPr>
        <w:t>Maroc,</w:t>
      </w:r>
      <w:r w:rsidRPr="002462E6">
        <w:rPr>
          <w:rFonts w:ascii="Tahoma" w:eastAsia="Times New Roman" w:hAnsi="Tahoma" w:cs="Tahoma"/>
          <w:spacing w:val="-2"/>
          <w:sz w:val="24"/>
          <w:szCs w:val="24"/>
        </w:rPr>
        <w:t xml:space="preserve"> </w:t>
      </w:r>
      <w:r w:rsidRPr="002462E6">
        <w:rPr>
          <w:rFonts w:ascii="Tahoma" w:eastAsia="Times New Roman" w:hAnsi="Tahoma" w:cs="Tahoma"/>
          <w:sz w:val="24"/>
          <w:szCs w:val="24"/>
        </w:rPr>
        <w:t>comme</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étant</w:t>
      </w:r>
      <w:r w:rsidRPr="002462E6">
        <w:rPr>
          <w:rFonts w:ascii="Tahoma" w:eastAsia="Times New Roman" w:hAnsi="Tahoma" w:cs="Tahoma"/>
          <w:spacing w:val="-3"/>
          <w:sz w:val="24"/>
          <w:szCs w:val="24"/>
        </w:rPr>
        <w:t xml:space="preserve"> </w:t>
      </w:r>
      <w:r w:rsidRPr="002462E6">
        <w:rPr>
          <w:rFonts w:ascii="Tahoma" w:eastAsia="Times New Roman" w:hAnsi="Tahoma" w:cs="Tahoma"/>
          <w:sz w:val="24"/>
          <w:szCs w:val="24"/>
        </w:rPr>
        <w:t>l’ensemble</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des</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dispositions</w:t>
      </w:r>
      <w:r w:rsidRPr="002462E6">
        <w:rPr>
          <w:rFonts w:ascii="Tahoma" w:eastAsia="Times New Roman" w:hAnsi="Tahoma" w:cs="Tahoma"/>
          <w:spacing w:val="-3"/>
          <w:sz w:val="24"/>
          <w:szCs w:val="24"/>
        </w:rPr>
        <w:t xml:space="preserve"> </w:t>
      </w:r>
      <w:r w:rsidRPr="002462E6">
        <w:rPr>
          <w:rFonts w:ascii="Tahoma" w:eastAsia="Times New Roman" w:hAnsi="Tahoma" w:cs="Tahoma"/>
          <w:sz w:val="24"/>
          <w:szCs w:val="24"/>
        </w:rPr>
        <w:t>régissant</w:t>
      </w:r>
      <w:r w:rsidRPr="002462E6">
        <w:rPr>
          <w:rFonts w:ascii="Tahoma" w:eastAsia="Times New Roman" w:hAnsi="Tahoma" w:cs="Tahoma"/>
          <w:spacing w:val="-58"/>
          <w:sz w:val="24"/>
          <w:szCs w:val="24"/>
        </w:rPr>
        <w:t xml:space="preserve"> </w:t>
      </w:r>
      <w:r w:rsidRPr="002462E6">
        <w:rPr>
          <w:rFonts w:ascii="Tahoma" w:eastAsia="Times New Roman" w:hAnsi="Tahoma" w:cs="Tahoma"/>
          <w:sz w:val="24"/>
          <w:szCs w:val="24"/>
        </w:rPr>
        <w:t>la</w:t>
      </w:r>
      <w:r w:rsidRPr="002462E6">
        <w:rPr>
          <w:rFonts w:ascii="Tahoma" w:eastAsia="Times New Roman" w:hAnsi="Tahoma" w:cs="Tahoma"/>
          <w:spacing w:val="-4"/>
          <w:sz w:val="24"/>
          <w:szCs w:val="24"/>
        </w:rPr>
        <w:t xml:space="preserve"> </w:t>
      </w:r>
      <w:r w:rsidRPr="002462E6">
        <w:rPr>
          <w:rFonts w:ascii="Tahoma" w:eastAsia="Times New Roman" w:hAnsi="Tahoma" w:cs="Tahoma"/>
          <w:sz w:val="24"/>
          <w:szCs w:val="24"/>
        </w:rPr>
        <w:t>constitution</w:t>
      </w:r>
      <w:r w:rsidRPr="002462E6">
        <w:rPr>
          <w:rFonts w:ascii="Tahoma" w:eastAsia="Times New Roman" w:hAnsi="Tahoma" w:cs="Tahoma"/>
          <w:spacing w:val="-6"/>
          <w:sz w:val="24"/>
          <w:szCs w:val="24"/>
        </w:rPr>
        <w:t xml:space="preserve"> </w:t>
      </w:r>
      <w:r w:rsidRPr="002462E6">
        <w:rPr>
          <w:rFonts w:ascii="Tahoma" w:eastAsia="Times New Roman" w:hAnsi="Tahoma" w:cs="Tahoma"/>
          <w:sz w:val="24"/>
          <w:szCs w:val="24"/>
        </w:rPr>
        <w:t>juridique</w:t>
      </w:r>
      <w:r w:rsidRPr="002462E6">
        <w:rPr>
          <w:rFonts w:ascii="Tahoma" w:eastAsia="Times New Roman" w:hAnsi="Tahoma" w:cs="Tahoma"/>
          <w:spacing w:val="-6"/>
          <w:sz w:val="24"/>
          <w:szCs w:val="24"/>
        </w:rPr>
        <w:t xml:space="preserve"> </w:t>
      </w:r>
      <w:r w:rsidRPr="002462E6">
        <w:rPr>
          <w:rFonts w:ascii="Tahoma" w:eastAsia="Times New Roman" w:hAnsi="Tahoma" w:cs="Tahoma"/>
          <w:sz w:val="24"/>
          <w:szCs w:val="24"/>
        </w:rPr>
        <w:t>du</w:t>
      </w:r>
      <w:r w:rsidRPr="002462E6">
        <w:rPr>
          <w:rFonts w:ascii="Tahoma" w:eastAsia="Times New Roman" w:hAnsi="Tahoma" w:cs="Tahoma"/>
          <w:spacing w:val="-3"/>
          <w:sz w:val="24"/>
          <w:szCs w:val="24"/>
        </w:rPr>
        <w:t xml:space="preserve"> </w:t>
      </w:r>
      <w:r w:rsidRPr="002462E6">
        <w:rPr>
          <w:rFonts w:ascii="Tahoma" w:eastAsia="Times New Roman" w:hAnsi="Tahoma" w:cs="Tahoma"/>
          <w:sz w:val="24"/>
          <w:szCs w:val="24"/>
        </w:rPr>
        <w:t>domaine forestier,</w:t>
      </w:r>
      <w:r w:rsidRPr="002462E6">
        <w:rPr>
          <w:rFonts w:ascii="Tahoma" w:eastAsia="Times New Roman" w:hAnsi="Tahoma" w:cs="Tahoma"/>
          <w:spacing w:val="-6"/>
          <w:sz w:val="24"/>
          <w:szCs w:val="24"/>
        </w:rPr>
        <w:t xml:space="preserve"> </w:t>
      </w:r>
      <w:r w:rsidRPr="002462E6">
        <w:rPr>
          <w:rFonts w:ascii="Tahoma" w:eastAsia="Times New Roman" w:hAnsi="Tahoma" w:cs="Tahoma"/>
          <w:sz w:val="24"/>
          <w:szCs w:val="24"/>
        </w:rPr>
        <w:t>sa</w:t>
      </w:r>
      <w:r w:rsidRPr="002462E6">
        <w:rPr>
          <w:rFonts w:ascii="Tahoma" w:eastAsia="Times New Roman" w:hAnsi="Tahoma" w:cs="Tahoma"/>
          <w:spacing w:val="-4"/>
          <w:sz w:val="24"/>
          <w:szCs w:val="24"/>
        </w:rPr>
        <w:t xml:space="preserve"> </w:t>
      </w:r>
      <w:r w:rsidRPr="002462E6">
        <w:rPr>
          <w:rFonts w:ascii="Tahoma" w:eastAsia="Times New Roman" w:hAnsi="Tahoma" w:cs="Tahoma"/>
          <w:sz w:val="24"/>
          <w:szCs w:val="24"/>
        </w:rPr>
        <w:t>délimitation</w:t>
      </w:r>
      <w:r w:rsidRPr="002462E6">
        <w:rPr>
          <w:rFonts w:ascii="Tahoma" w:eastAsia="Times New Roman" w:hAnsi="Tahoma" w:cs="Tahoma"/>
          <w:spacing w:val="-5"/>
          <w:sz w:val="24"/>
          <w:szCs w:val="24"/>
        </w:rPr>
        <w:t xml:space="preserve"> </w:t>
      </w:r>
      <w:r w:rsidRPr="002462E6">
        <w:rPr>
          <w:rFonts w:ascii="Tahoma" w:eastAsia="Times New Roman" w:hAnsi="Tahoma" w:cs="Tahoma"/>
          <w:sz w:val="24"/>
          <w:szCs w:val="24"/>
        </w:rPr>
        <w:t>et</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sa</w:t>
      </w:r>
      <w:r w:rsidRPr="002462E6">
        <w:rPr>
          <w:rFonts w:ascii="Tahoma" w:eastAsia="Times New Roman" w:hAnsi="Tahoma" w:cs="Tahoma"/>
          <w:spacing w:val="-4"/>
          <w:sz w:val="24"/>
          <w:szCs w:val="24"/>
        </w:rPr>
        <w:t xml:space="preserve"> </w:t>
      </w:r>
      <w:r w:rsidRPr="002462E6">
        <w:rPr>
          <w:rFonts w:ascii="Tahoma" w:eastAsia="Times New Roman" w:hAnsi="Tahoma" w:cs="Tahoma"/>
          <w:sz w:val="24"/>
          <w:szCs w:val="24"/>
        </w:rPr>
        <w:t>protection</w:t>
      </w:r>
      <w:r w:rsidRPr="002462E6">
        <w:rPr>
          <w:rFonts w:ascii="Tahoma" w:eastAsia="Times New Roman" w:hAnsi="Tahoma" w:cs="Tahoma"/>
          <w:sz w:val="24"/>
          <w:szCs w:val="24"/>
          <w:vertAlign w:val="superscript"/>
        </w:rPr>
        <w:footnoteReference w:id="271"/>
      </w:r>
      <w:r w:rsidRPr="002462E6">
        <w:rPr>
          <w:rFonts w:ascii="Tahoma" w:eastAsia="Times New Roman" w:hAnsi="Tahoma" w:cs="Tahoma"/>
          <w:sz w:val="24"/>
          <w:szCs w:val="24"/>
        </w:rPr>
        <w:t>. Le</w:t>
      </w:r>
      <w:r w:rsidRPr="002462E6">
        <w:rPr>
          <w:rFonts w:ascii="Tahoma" w:eastAsia="Times New Roman" w:hAnsi="Tahoma" w:cs="Tahoma"/>
          <w:spacing w:val="-5"/>
          <w:sz w:val="24"/>
          <w:szCs w:val="24"/>
        </w:rPr>
        <w:t xml:space="preserve"> </w:t>
      </w:r>
      <w:r w:rsidRPr="002462E6">
        <w:rPr>
          <w:rFonts w:ascii="Tahoma" w:eastAsia="Times New Roman" w:hAnsi="Tahoma" w:cs="Tahoma"/>
          <w:sz w:val="24"/>
          <w:szCs w:val="24"/>
        </w:rPr>
        <w:t>législateur</w:t>
      </w:r>
      <w:r w:rsidRPr="002462E6">
        <w:rPr>
          <w:rFonts w:ascii="Tahoma" w:eastAsia="Times New Roman" w:hAnsi="Tahoma" w:cs="Tahoma"/>
          <w:spacing w:val="-7"/>
          <w:sz w:val="24"/>
          <w:szCs w:val="24"/>
        </w:rPr>
        <w:t xml:space="preserve"> </w:t>
      </w:r>
      <w:r w:rsidRPr="002462E6">
        <w:rPr>
          <w:rFonts w:ascii="Tahoma" w:eastAsia="Times New Roman" w:hAnsi="Tahoma" w:cs="Tahoma"/>
          <w:sz w:val="24"/>
          <w:szCs w:val="24"/>
        </w:rPr>
        <w:t>a</w:t>
      </w:r>
      <w:r w:rsidRPr="002462E6">
        <w:rPr>
          <w:rFonts w:ascii="Tahoma" w:eastAsia="Times New Roman" w:hAnsi="Tahoma" w:cs="Tahoma"/>
          <w:spacing w:val="-57"/>
          <w:sz w:val="24"/>
          <w:szCs w:val="24"/>
        </w:rPr>
        <w:t xml:space="preserve"> </w:t>
      </w:r>
      <w:r w:rsidRPr="002462E6">
        <w:rPr>
          <w:rFonts w:ascii="Tahoma" w:eastAsia="Times New Roman" w:hAnsi="Tahoma" w:cs="Tahoma"/>
          <w:spacing w:val="-1"/>
          <w:sz w:val="24"/>
          <w:szCs w:val="24"/>
        </w:rPr>
        <w:t xml:space="preserve">accordé </w:t>
      </w:r>
      <w:r w:rsidRPr="002462E6">
        <w:rPr>
          <w:rFonts w:ascii="Tahoma" w:eastAsia="Times New Roman" w:hAnsi="Tahoma" w:cs="Tahoma"/>
          <w:sz w:val="24"/>
          <w:szCs w:val="24"/>
        </w:rPr>
        <w:t>au domaine forestier des particularités juridiques</w:t>
      </w:r>
      <w:r w:rsidRPr="002462E6">
        <w:rPr>
          <w:rFonts w:ascii="Tahoma" w:eastAsia="Times New Roman" w:hAnsi="Tahoma" w:cs="Tahoma"/>
          <w:sz w:val="24"/>
          <w:szCs w:val="24"/>
          <w:vertAlign w:val="superscript"/>
        </w:rPr>
        <w:footnoteReference w:id="272"/>
      </w:r>
      <w:r w:rsidRPr="002462E6">
        <w:rPr>
          <w:rFonts w:ascii="Tahoma" w:eastAsia="Times New Roman" w:hAnsi="Tahoma" w:cs="Tahoma"/>
          <w:sz w:val="24"/>
          <w:szCs w:val="24"/>
        </w:rPr>
        <w:t>. De ce fait, le DF est inaliénable sauf</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après déclassement, insaisissable, imprescriptible, soumis à expropriation pour cause d’utilité</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publique</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et peut être occupé temporairement.</w:t>
      </w:r>
    </w:p>
    <w:p w:rsidR="00726EDC" w:rsidRDefault="00726EDC" w:rsidP="008D3838">
      <w:pPr>
        <w:pStyle w:val="Titre6"/>
        <w:numPr>
          <w:ilvl w:val="0"/>
          <w:numId w:val="84"/>
        </w:numPr>
      </w:pPr>
      <w:bookmarkStart w:id="241" w:name="_Toc203643035"/>
      <w:r w:rsidRPr="002462E6">
        <w:t>Le</w:t>
      </w:r>
      <w:r w:rsidRPr="008D3838">
        <w:rPr>
          <w:spacing w:val="-5"/>
        </w:rPr>
        <w:t xml:space="preserve"> </w:t>
      </w:r>
      <w:r w:rsidRPr="002462E6">
        <w:t>caractère</w:t>
      </w:r>
      <w:r w:rsidRPr="008D3838">
        <w:rPr>
          <w:spacing w:val="-2"/>
        </w:rPr>
        <w:t xml:space="preserve"> </w:t>
      </w:r>
      <w:r w:rsidRPr="002462E6">
        <w:t>inaliénable</w:t>
      </w:r>
      <w:r w:rsidRPr="008D3838">
        <w:rPr>
          <w:spacing w:val="-2"/>
        </w:rPr>
        <w:t xml:space="preserve"> </w:t>
      </w:r>
      <w:r w:rsidRPr="002462E6">
        <w:t>du</w:t>
      </w:r>
      <w:r w:rsidRPr="008D3838">
        <w:rPr>
          <w:spacing w:val="-4"/>
        </w:rPr>
        <w:t xml:space="preserve"> </w:t>
      </w:r>
      <w:r w:rsidRPr="002462E6">
        <w:t>domaine</w:t>
      </w:r>
      <w:r w:rsidRPr="008D3838">
        <w:rPr>
          <w:spacing w:val="-2"/>
        </w:rPr>
        <w:t xml:space="preserve"> </w:t>
      </w:r>
      <w:r w:rsidRPr="002462E6">
        <w:t>forestier</w:t>
      </w:r>
      <w:bookmarkEnd w:id="241"/>
    </w:p>
    <w:p w:rsidR="001B1D3C" w:rsidRPr="001B1D3C" w:rsidRDefault="001B1D3C" w:rsidP="001B1D3C">
      <w:pPr>
        <w:rPr>
          <w:sz w:val="8"/>
          <w:szCs w:val="8"/>
          <w:lang w:eastAsia="fr-FR"/>
        </w:rPr>
      </w:pPr>
    </w:p>
    <w:p w:rsidR="00726EDC" w:rsidRPr="002462E6" w:rsidRDefault="00726EDC" w:rsidP="00C951A3">
      <w:pPr>
        <w:widowControl w:val="0"/>
        <w:autoSpaceDE w:val="0"/>
        <w:autoSpaceDN w:val="0"/>
        <w:spacing w:after="0" w:line="360" w:lineRule="auto"/>
        <w:jc w:val="both"/>
        <w:rPr>
          <w:rFonts w:ascii="Tahoma" w:eastAsia="Times New Roman" w:hAnsi="Tahoma" w:cs="Tahoma"/>
          <w:sz w:val="24"/>
          <w:szCs w:val="24"/>
        </w:rPr>
      </w:pPr>
      <w:r w:rsidRPr="002462E6">
        <w:rPr>
          <w:rFonts w:ascii="Tahoma" w:eastAsia="Times New Roman" w:hAnsi="Tahoma" w:cs="Tahoma"/>
          <w:spacing w:val="-1"/>
          <w:sz w:val="24"/>
          <w:szCs w:val="24"/>
        </w:rPr>
        <w:t>En</w:t>
      </w:r>
      <w:r w:rsidRPr="002462E6">
        <w:rPr>
          <w:rFonts w:ascii="Tahoma" w:eastAsia="Times New Roman" w:hAnsi="Tahoma" w:cs="Tahoma"/>
          <w:spacing w:val="-13"/>
          <w:sz w:val="24"/>
          <w:szCs w:val="24"/>
        </w:rPr>
        <w:t xml:space="preserve"> </w:t>
      </w:r>
      <w:r w:rsidRPr="002462E6">
        <w:rPr>
          <w:rFonts w:ascii="Tahoma" w:eastAsia="Times New Roman" w:hAnsi="Tahoma" w:cs="Tahoma"/>
          <w:spacing w:val="-1"/>
          <w:sz w:val="24"/>
          <w:szCs w:val="24"/>
        </w:rPr>
        <w:t>vue</w:t>
      </w:r>
      <w:r w:rsidRPr="002462E6">
        <w:rPr>
          <w:rFonts w:ascii="Tahoma" w:eastAsia="Times New Roman" w:hAnsi="Tahoma" w:cs="Tahoma"/>
          <w:spacing w:val="-11"/>
          <w:sz w:val="24"/>
          <w:szCs w:val="24"/>
        </w:rPr>
        <w:t xml:space="preserve"> </w:t>
      </w:r>
      <w:r w:rsidRPr="002462E6">
        <w:rPr>
          <w:rFonts w:ascii="Tahoma" w:eastAsia="Times New Roman" w:hAnsi="Tahoma" w:cs="Tahoma"/>
          <w:spacing w:val="-1"/>
          <w:sz w:val="24"/>
          <w:szCs w:val="24"/>
        </w:rPr>
        <w:t>d’assurer</w:t>
      </w:r>
      <w:r w:rsidRPr="002462E6">
        <w:rPr>
          <w:rFonts w:ascii="Tahoma" w:eastAsia="Times New Roman" w:hAnsi="Tahoma" w:cs="Tahoma"/>
          <w:spacing w:val="-14"/>
          <w:sz w:val="24"/>
          <w:szCs w:val="24"/>
        </w:rPr>
        <w:t xml:space="preserve"> </w:t>
      </w:r>
      <w:r w:rsidRPr="002462E6">
        <w:rPr>
          <w:rFonts w:ascii="Tahoma" w:eastAsia="Times New Roman" w:hAnsi="Tahoma" w:cs="Tahoma"/>
          <w:sz w:val="24"/>
          <w:szCs w:val="24"/>
        </w:rPr>
        <w:t>la</w:t>
      </w:r>
      <w:r w:rsidRPr="002462E6">
        <w:rPr>
          <w:rFonts w:ascii="Tahoma" w:eastAsia="Times New Roman" w:hAnsi="Tahoma" w:cs="Tahoma"/>
          <w:spacing w:val="-11"/>
          <w:sz w:val="24"/>
          <w:szCs w:val="24"/>
        </w:rPr>
        <w:t xml:space="preserve"> </w:t>
      </w:r>
      <w:r w:rsidRPr="002462E6">
        <w:rPr>
          <w:rFonts w:ascii="Tahoma" w:eastAsia="Times New Roman" w:hAnsi="Tahoma" w:cs="Tahoma"/>
          <w:sz w:val="24"/>
          <w:szCs w:val="24"/>
        </w:rPr>
        <w:t>préservation,</w:t>
      </w:r>
      <w:r w:rsidRPr="002462E6">
        <w:rPr>
          <w:rFonts w:ascii="Tahoma" w:eastAsia="Times New Roman" w:hAnsi="Tahoma" w:cs="Tahoma"/>
          <w:spacing w:val="-15"/>
          <w:sz w:val="24"/>
          <w:szCs w:val="24"/>
        </w:rPr>
        <w:t xml:space="preserve"> </w:t>
      </w:r>
      <w:r w:rsidRPr="002462E6">
        <w:rPr>
          <w:rFonts w:ascii="Tahoma" w:eastAsia="Times New Roman" w:hAnsi="Tahoma" w:cs="Tahoma"/>
          <w:sz w:val="24"/>
          <w:szCs w:val="24"/>
        </w:rPr>
        <w:t>la</w:t>
      </w:r>
      <w:r w:rsidRPr="002462E6">
        <w:rPr>
          <w:rFonts w:ascii="Tahoma" w:eastAsia="Times New Roman" w:hAnsi="Tahoma" w:cs="Tahoma"/>
          <w:spacing w:val="-12"/>
          <w:sz w:val="24"/>
          <w:szCs w:val="24"/>
        </w:rPr>
        <w:t xml:space="preserve"> </w:t>
      </w:r>
      <w:r w:rsidRPr="002462E6">
        <w:rPr>
          <w:rFonts w:ascii="Tahoma" w:eastAsia="Times New Roman" w:hAnsi="Tahoma" w:cs="Tahoma"/>
          <w:sz w:val="24"/>
          <w:szCs w:val="24"/>
        </w:rPr>
        <w:t>protection</w:t>
      </w:r>
      <w:r w:rsidRPr="002462E6">
        <w:rPr>
          <w:rFonts w:ascii="Tahoma" w:eastAsia="Times New Roman" w:hAnsi="Tahoma" w:cs="Tahoma"/>
          <w:spacing w:val="-13"/>
          <w:sz w:val="24"/>
          <w:szCs w:val="24"/>
        </w:rPr>
        <w:t xml:space="preserve"> </w:t>
      </w:r>
      <w:r w:rsidRPr="002462E6">
        <w:rPr>
          <w:rFonts w:ascii="Tahoma" w:eastAsia="Times New Roman" w:hAnsi="Tahoma" w:cs="Tahoma"/>
          <w:sz w:val="24"/>
          <w:szCs w:val="24"/>
        </w:rPr>
        <w:t>et</w:t>
      </w:r>
      <w:r w:rsidRPr="002462E6">
        <w:rPr>
          <w:rFonts w:ascii="Tahoma" w:eastAsia="Times New Roman" w:hAnsi="Tahoma" w:cs="Tahoma"/>
          <w:spacing w:val="-12"/>
          <w:sz w:val="24"/>
          <w:szCs w:val="24"/>
        </w:rPr>
        <w:t xml:space="preserve"> </w:t>
      </w:r>
      <w:r w:rsidRPr="002462E6">
        <w:rPr>
          <w:rFonts w:ascii="Tahoma" w:eastAsia="Times New Roman" w:hAnsi="Tahoma" w:cs="Tahoma"/>
          <w:sz w:val="24"/>
          <w:szCs w:val="24"/>
        </w:rPr>
        <w:t>le</w:t>
      </w:r>
      <w:r w:rsidRPr="002462E6">
        <w:rPr>
          <w:rFonts w:ascii="Tahoma" w:eastAsia="Times New Roman" w:hAnsi="Tahoma" w:cs="Tahoma"/>
          <w:spacing w:val="-12"/>
          <w:sz w:val="24"/>
          <w:szCs w:val="24"/>
        </w:rPr>
        <w:t xml:space="preserve"> </w:t>
      </w:r>
      <w:r w:rsidRPr="002462E6">
        <w:rPr>
          <w:rFonts w:ascii="Tahoma" w:eastAsia="Times New Roman" w:hAnsi="Tahoma" w:cs="Tahoma"/>
          <w:sz w:val="24"/>
          <w:szCs w:val="24"/>
        </w:rPr>
        <w:t>développement</w:t>
      </w:r>
      <w:r w:rsidRPr="002462E6">
        <w:rPr>
          <w:rFonts w:ascii="Tahoma" w:eastAsia="Times New Roman" w:hAnsi="Tahoma" w:cs="Tahoma"/>
          <w:spacing w:val="-12"/>
          <w:sz w:val="24"/>
          <w:szCs w:val="24"/>
        </w:rPr>
        <w:t xml:space="preserve"> </w:t>
      </w:r>
      <w:r w:rsidRPr="002462E6">
        <w:rPr>
          <w:rFonts w:ascii="Tahoma" w:eastAsia="Times New Roman" w:hAnsi="Tahoma" w:cs="Tahoma"/>
          <w:sz w:val="24"/>
          <w:szCs w:val="24"/>
        </w:rPr>
        <w:t>du</w:t>
      </w:r>
      <w:r w:rsidRPr="002462E6">
        <w:rPr>
          <w:rFonts w:ascii="Tahoma" w:eastAsia="Times New Roman" w:hAnsi="Tahoma" w:cs="Tahoma"/>
          <w:spacing w:val="-11"/>
          <w:sz w:val="24"/>
          <w:szCs w:val="24"/>
        </w:rPr>
        <w:t xml:space="preserve"> </w:t>
      </w:r>
      <w:r w:rsidRPr="002462E6">
        <w:rPr>
          <w:rFonts w:ascii="Tahoma" w:eastAsia="Times New Roman" w:hAnsi="Tahoma" w:cs="Tahoma"/>
          <w:sz w:val="24"/>
          <w:szCs w:val="24"/>
        </w:rPr>
        <w:t>patrimoine</w:t>
      </w:r>
      <w:r w:rsidRPr="002462E6">
        <w:rPr>
          <w:rFonts w:ascii="Tahoma" w:eastAsia="Times New Roman" w:hAnsi="Tahoma" w:cs="Tahoma"/>
          <w:spacing w:val="-10"/>
          <w:sz w:val="24"/>
          <w:szCs w:val="24"/>
        </w:rPr>
        <w:t xml:space="preserve"> </w:t>
      </w:r>
      <w:r w:rsidRPr="002462E6">
        <w:rPr>
          <w:rFonts w:ascii="Tahoma" w:eastAsia="Times New Roman" w:hAnsi="Tahoma" w:cs="Tahoma"/>
          <w:sz w:val="24"/>
          <w:szCs w:val="24"/>
        </w:rPr>
        <w:t>forestier</w:t>
      </w:r>
      <w:r w:rsidRPr="002462E6">
        <w:rPr>
          <w:rFonts w:ascii="Tahoma" w:eastAsia="Times New Roman" w:hAnsi="Tahoma" w:cs="Tahoma"/>
          <w:spacing w:val="-13"/>
          <w:sz w:val="24"/>
          <w:szCs w:val="24"/>
        </w:rPr>
        <w:t xml:space="preserve"> </w:t>
      </w:r>
      <w:r w:rsidRPr="002462E6">
        <w:rPr>
          <w:rFonts w:ascii="Tahoma" w:eastAsia="Times New Roman" w:hAnsi="Tahoma" w:cs="Tahoma"/>
          <w:sz w:val="24"/>
          <w:szCs w:val="24"/>
        </w:rPr>
        <w:t>national,</w:t>
      </w:r>
      <w:r w:rsidRPr="002462E6">
        <w:rPr>
          <w:rFonts w:ascii="Tahoma" w:eastAsia="Times New Roman" w:hAnsi="Tahoma" w:cs="Tahoma"/>
          <w:spacing w:val="-57"/>
          <w:sz w:val="24"/>
          <w:szCs w:val="24"/>
        </w:rPr>
        <w:t xml:space="preserve"> </w:t>
      </w:r>
      <w:r w:rsidRPr="002462E6">
        <w:rPr>
          <w:rFonts w:ascii="Tahoma" w:eastAsia="Times New Roman" w:hAnsi="Tahoma" w:cs="Tahoma"/>
          <w:sz w:val="24"/>
          <w:szCs w:val="24"/>
        </w:rPr>
        <w:t xml:space="preserve">le législateur a consacré le principe de la </w:t>
      </w:r>
      <w:r w:rsidRPr="002462E6">
        <w:rPr>
          <w:rFonts w:ascii="Tahoma" w:eastAsia="Times New Roman" w:hAnsi="Tahoma" w:cs="Tahoma"/>
          <w:b/>
          <w:sz w:val="24"/>
          <w:szCs w:val="24"/>
        </w:rPr>
        <w:t xml:space="preserve">domanialité </w:t>
      </w:r>
      <w:r w:rsidRPr="002462E6">
        <w:rPr>
          <w:rFonts w:ascii="Tahoma" w:eastAsia="Times New Roman" w:hAnsi="Tahoma" w:cs="Tahoma"/>
          <w:sz w:val="24"/>
          <w:szCs w:val="24"/>
        </w:rPr>
        <w:t>des forêts, en se basant sur le principe de la</w:t>
      </w:r>
      <w:r w:rsidRPr="002462E6">
        <w:rPr>
          <w:rFonts w:ascii="Tahoma" w:eastAsia="Times New Roman" w:hAnsi="Tahoma" w:cs="Tahoma"/>
          <w:spacing w:val="-57"/>
          <w:sz w:val="24"/>
          <w:szCs w:val="24"/>
        </w:rPr>
        <w:t xml:space="preserve"> </w:t>
      </w:r>
      <w:r w:rsidRPr="002462E6">
        <w:rPr>
          <w:rFonts w:ascii="Tahoma" w:eastAsia="Times New Roman" w:hAnsi="Tahoma" w:cs="Tahoma"/>
          <w:sz w:val="24"/>
          <w:szCs w:val="24"/>
        </w:rPr>
        <w:t xml:space="preserve">présomption, et de leur </w:t>
      </w:r>
      <w:r w:rsidRPr="002462E6">
        <w:rPr>
          <w:rFonts w:ascii="Tahoma" w:eastAsia="Times New Roman" w:hAnsi="Tahoma" w:cs="Tahoma"/>
          <w:b/>
          <w:sz w:val="24"/>
          <w:szCs w:val="24"/>
        </w:rPr>
        <w:t xml:space="preserve">inaliénabilité, </w:t>
      </w:r>
      <w:r w:rsidRPr="002462E6">
        <w:rPr>
          <w:rFonts w:ascii="Tahoma" w:eastAsia="Times New Roman" w:hAnsi="Tahoma" w:cs="Tahoma"/>
          <w:sz w:val="24"/>
          <w:szCs w:val="24"/>
        </w:rPr>
        <w:t>sauf lorsque ce patrimoine fait l’objet d’un déclassement</w:t>
      </w:r>
      <w:r w:rsidRPr="002462E6">
        <w:rPr>
          <w:rFonts w:ascii="Tahoma" w:eastAsia="Times New Roman" w:hAnsi="Tahoma" w:cs="Tahoma"/>
          <w:b/>
          <w:sz w:val="24"/>
          <w:szCs w:val="24"/>
        </w:rPr>
        <w:t>,</w:t>
      </w:r>
      <w:r w:rsidRPr="002462E6">
        <w:rPr>
          <w:rFonts w:ascii="Tahoma" w:eastAsia="Times New Roman" w:hAnsi="Tahoma" w:cs="Tahoma"/>
          <w:b/>
          <w:spacing w:val="1"/>
          <w:sz w:val="24"/>
          <w:szCs w:val="24"/>
        </w:rPr>
        <w:t xml:space="preserve"> </w:t>
      </w:r>
      <w:r w:rsidRPr="002462E6">
        <w:rPr>
          <w:rFonts w:ascii="Tahoma" w:eastAsia="Times New Roman" w:hAnsi="Tahoma" w:cs="Tahoma"/>
          <w:sz w:val="24"/>
          <w:szCs w:val="24"/>
        </w:rPr>
        <w:t>qui est régi par un ensemble de mesures qui en limitent le transfert et la déperdition ou d’un</w:t>
      </w:r>
      <w:r w:rsidRPr="002462E6">
        <w:rPr>
          <w:rFonts w:ascii="Tahoma" w:eastAsia="Times New Roman" w:hAnsi="Tahoma" w:cs="Tahoma"/>
          <w:spacing w:val="1"/>
          <w:sz w:val="24"/>
          <w:szCs w:val="24"/>
        </w:rPr>
        <w:t xml:space="preserve"> </w:t>
      </w:r>
      <w:r w:rsidRPr="002462E6">
        <w:rPr>
          <w:rFonts w:ascii="Tahoma" w:eastAsia="Times New Roman" w:hAnsi="Tahoma" w:cs="Tahoma"/>
          <w:b/>
          <w:sz w:val="24"/>
          <w:szCs w:val="24"/>
        </w:rPr>
        <w:t>échange</w:t>
      </w:r>
      <w:r w:rsidRPr="002462E6">
        <w:rPr>
          <w:rFonts w:ascii="Tahoma" w:eastAsia="Times New Roman" w:hAnsi="Tahoma" w:cs="Tahoma"/>
          <w:b/>
          <w:spacing w:val="-11"/>
          <w:sz w:val="24"/>
          <w:szCs w:val="24"/>
        </w:rPr>
        <w:t xml:space="preserve"> </w:t>
      </w:r>
      <w:r w:rsidRPr="002462E6">
        <w:rPr>
          <w:rFonts w:ascii="Tahoma" w:eastAsia="Times New Roman" w:hAnsi="Tahoma" w:cs="Tahoma"/>
          <w:b/>
          <w:sz w:val="24"/>
          <w:szCs w:val="24"/>
        </w:rPr>
        <w:t>immobilier</w:t>
      </w:r>
      <w:r w:rsidRPr="002462E6">
        <w:rPr>
          <w:rFonts w:ascii="Tahoma" w:eastAsia="Times New Roman" w:hAnsi="Tahoma" w:cs="Tahoma"/>
          <w:bCs/>
          <w:sz w:val="24"/>
          <w:szCs w:val="24"/>
        </w:rPr>
        <w:t>.</w:t>
      </w:r>
      <w:r w:rsidRPr="002462E6">
        <w:rPr>
          <w:rFonts w:ascii="Tahoma" w:eastAsia="Times New Roman" w:hAnsi="Tahoma" w:cs="Tahoma"/>
          <w:bCs/>
          <w:spacing w:val="-13"/>
          <w:sz w:val="24"/>
          <w:szCs w:val="24"/>
        </w:rPr>
        <w:t xml:space="preserve"> </w:t>
      </w:r>
      <w:r w:rsidRPr="002462E6">
        <w:rPr>
          <w:rFonts w:ascii="Tahoma" w:eastAsia="Times New Roman" w:hAnsi="Tahoma" w:cs="Tahoma"/>
          <w:sz w:val="24"/>
          <w:szCs w:val="24"/>
        </w:rPr>
        <w:t>En</w:t>
      </w:r>
      <w:r w:rsidRPr="002462E6">
        <w:rPr>
          <w:rFonts w:ascii="Tahoma" w:eastAsia="Times New Roman" w:hAnsi="Tahoma" w:cs="Tahoma"/>
          <w:spacing w:val="-11"/>
          <w:sz w:val="24"/>
          <w:szCs w:val="24"/>
        </w:rPr>
        <w:t xml:space="preserve"> </w:t>
      </w:r>
      <w:r w:rsidRPr="002462E6">
        <w:rPr>
          <w:rFonts w:ascii="Tahoma" w:eastAsia="Times New Roman" w:hAnsi="Tahoma" w:cs="Tahoma"/>
          <w:sz w:val="24"/>
          <w:szCs w:val="24"/>
        </w:rPr>
        <w:t>effet,</w:t>
      </w:r>
      <w:r w:rsidRPr="002462E6">
        <w:rPr>
          <w:rFonts w:ascii="Tahoma" w:eastAsia="Times New Roman" w:hAnsi="Tahoma" w:cs="Tahoma"/>
          <w:spacing w:val="-8"/>
          <w:sz w:val="24"/>
          <w:szCs w:val="24"/>
        </w:rPr>
        <w:t xml:space="preserve"> </w:t>
      </w:r>
      <w:r w:rsidRPr="002462E6">
        <w:rPr>
          <w:rFonts w:ascii="Tahoma" w:eastAsia="Times New Roman" w:hAnsi="Tahoma" w:cs="Tahoma"/>
          <w:sz w:val="24"/>
          <w:szCs w:val="24"/>
        </w:rPr>
        <w:t>le</w:t>
      </w:r>
      <w:r w:rsidRPr="002462E6">
        <w:rPr>
          <w:rFonts w:ascii="Tahoma" w:eastAsia="Times New Roman" w:hAnsi="Tahoma" w:cs="Tahoma"/>
          <w:spacing w:val="-9"/>
          <w:sz w:val="24"/>
          <w:szCs w:val="24"/>
        </w:rPr>
        <w:t xml:space="preserve"> </w:t>
      </w:r>
      <w:r w:rsidRPr="002462E6">
        <w:rPr>
          <w:rFonts w:ascii="Tahoma" w:eastAsia="Times New Roman" w:hAnsi="Tahoma" w:cs="Tahoma"/>
          <w:b/>
          <w:sz w:val="24"/>
          <w:szCs w:val="24"/>
        </w:rPr>
        <w:t>déclassement</w:t>
      </w:r>
      <w:r w:rsidRPr="002462E6">
        <w:rPr>
          <w:rFonts w:ascii="Tahoma" w:eastAsia="Times New Roman" w:hAnsi="Tahoma" w:cs="Tahoma"/>
          <w:b/>
          <w:spacing w:val="-8"/>
          <w:sz w:val="24"/>
          <w:szCs w:val="24"/>
        </w:rPr>
        <w:t xml:space="preserve"> </w:t>
      </w:r>
      <w:r w:rsidRPr="002462E6">
        <w:rPr>
          <w:rFonts w:ascii="Tahoma" w:eastAsia="Times New Roman" w:hAnsi="Tahoma" w:cs="Tahoma"/>
          <w:sz w:val="24"/>
          <w:szCs w:val="24"/>
        </w:rPr>
        <w:t>d’un</w:t>
      </w:r>
      <w:r w:rsidRPr="002462E6">
        <w:rPr>
          <w:rFonts w:ascii="Tahoma" w:eastAsia="Times New Roman" w:hAnsi="Tahoma" w:cs="Tahoma"/>
          <w:spacing w:val="-10"/>
          <w:sz w:val="24"/>
          <w:szCs w:val="24"/>
        </w:rPr>
        <w:t xml:space="preserve"> </w:t>
      </w:r>
      <w:r w:rsidRPr="002462E6">
        <w:rPr>
          <w:rFonts w:ascii="Tahoma" w:eastAsia="Times New Roman" w:hAnsi="Tahoma" w:cs="Tahoma"/>
          <w:sz w:val="24"/>
          <w:szCs w:val="24"/>
        </w:rPr>
        <w:t>immeuble</w:t>
      </w:r>
      <w:r w:rsidRPr="002462E6">
        <w:rPr>
          <w:rFonts w:ascii="Tahoma" w:eastAsia="Times New Roman" w:hAnsi="Tahoma" w:cs="Tahoma"/>
          <w:spacing w:val="-6"/>
          <w:sz w:val="24"/>
          <w:szCs w:val="24"/>
        </w:rPr>
        <w:t xml:space="preserve"> </w:t>
      </w:r>
      <w:r w:rsidRPr="002462E6">
        <w:rPr>
          <w:rFonts w:ascii="Tahoma" w:eastAsia="Times New Roman" w:hAnsi="Tahoma" w:cs="Tahoma"/>
          <w:sz w:val="24"/>
          <w:szCs w:val="24"/>
        </w:rPr>
        <w:t>du</w:t>
      </w:r>
      <w:r w:rsidRPr="002462E6">
        <w:rPr>
          <w:rFonts w:ascii="Tahoma" w:eastAsia="Times New Roman" w:hAnsi="Tahoma" w:cs="Tahoma"/>
          <w:spacing w:val="-11"/>
          <w:sz w:val="24"/>
          <w:szCs w:val="24"/>
        </w:rPr>
        <w:t xml:space="preserve"> </w:t>
      </w:r>
      <w:r w:rsidRPr="002462E6">
        <w:rPr>
          <w:rFonts w:ascii="Tahoma" w:eastAsia="Times New Roman" w:hAnsi="Tahoma" w:cs="Tahoma"/>
          <w:sz w:val="24"/>
          <w:szCs w:val="24"/>
        </w:rPr>
        <w:t>domaine</w:t>
      </w:r>
      <w:r w:rsidRPr="002462E6">
        <w:rPr>
          <w:rFonts w:ascii="Tahoma" w:eastAsia="Times New Roman" w:hAnsi="Tahoma" w:cs="Tahoma"/>
          <w:spacing w:val="-7"/>
          <w:sz w:val="24"/>
          <w:szCs w:val="24"/>
        </w:rPr>
        <w:t xml:space="preserve"> </w:t>
      </w:r>
      <w:r w:rsidRPr="002462E6">
        <w:rPr>
          <w:rFonts w:ascii="Tahoma" w:eastAsia="Times New Roman" w:hAnsi="Tahoma" w:cs="Tahoma"/>
          <w:sz w:val="24"/>
          <w:szCs w:val="24"/>
        </w:rPr>
        <w:t>forestier</w:t>
      </w:r>
      <w:r w:rsidRPr="002462E6">
        <w:rPr>
          <w:rFonts w:ascii="Tahoma" w:eastAsia="Times New Roman" w:hAnsi="Tahoma" w:cs="Tahoma"/>
          <w:spacing w:val="-9"/>
          <w:sz w:val="24"/>
          <w:szCs w:val="24"/>
        </w:rPr>
        <w:t xml:space="preserve"> </w:t>
      </w:r>
      <w:r w:rsidRPr="002462E6">
        <w:rPr>
          <w:rFonts w:ascii="Tahoma" w:eastAsia="Times New Roman" w:hAnsi="Tahoma" w:cs="Tahoma"/>
          <w:sz w:val="24"/>
          <w:szCs w:val="24"/>
        </w:rPr>
        <w:t>ne</w:t>
      </w:r>
      <w:r w:rsidRPr="002462E6">
        <w:rPr>
          <w:rFonts w:ascii="Tahoma" w:eastAsia="Times New Roman" w:hAnsi="Tahoma" w:cs="Tahoma"/>
          <w:spacing w:val="-10"/>
          <w:sz w:val="24"/>
          <w:szCs w:val="24"/>
        </w:rPr>
        <w:t xml:space="preserve"> </w:t>
      </w:r>
      <w:r w:rsidRPr="002462E6">
        <w:rPr>
          <w:rFonts w:ascii="Tahoma" w:eastAsia="Times New Roman" w:hAnsi="Tahoma" w:cs="Tahoma"/>
          <w:sz w:val="24"/>
          <w:szCs w:val="24"/>
        </w:rPr>
        <w:t>peut</w:t>
      </w:r>
      <w:r w:rsidRPr="002462E6">
        <w:rPr>
          <w:rFonts w:ascii="Tahoma" w:eastAsia="Times New Roman" w:hAnsi="Tahoma" w:cs="Tahoma"/>
          <w:spacing w:val="-9"/>
          <w:sz w:val="24"/>
          <w:szCs w:val="24"/>
        </w:rPr>
        <w:t xml:space="preserve"> </w:t>
      </w:r>
      <w:r w:rsidRPr="002462E6">
        <w:rPr>
          <w:rFonts w:ascii="Tahoma" w:eastAsia="Times New Roman" w:hAnsi="Tahoma" w:cs="Tahoma"/>
          <w:sz w:val="24"/>
          <w:szCs w:val="24"/>
        </w:rPr>
        <w:t>intervenir</w:t>
      </w:r>
      <w:r w:rsidRPr="002462E6">
        <w:rPr>
          <w:rFonts w:ascii="Tahoma" w:eastAsia="Times New Roman" w:hAnsi="Tahoma" w:cs="Tahoma"/>
          <w:spacing w:val="-53"/>
          <w:sz w:val="24"/>
          <w:szCs w:val="24"/>
        </w:rPr>
        <w:t xml:space="preserve"> </w:t>
      </w:r>
      <w:r w:rsidRPr="002462E6">
        <w:rPr>
          <w:rFonts w:ascii="Tahoma" w:eastAsia="Times New Roman" w:hAnsi="Tahoma" w:cs="Tahoma"/>
          <w:sz w:val="24"/>
          <w:szCs w:val="24"/>
        </w:rPr>
        <w:t>que dans un but d’utilité publique, ainsi la distraction du régime forestier d’une parcelle de terrain est</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prononcée</w:t>
      </w:r>
      <w:r w:rsidRPr="002462E6">
        <w:rPr>
          <w:rFonts w:ascii="Tahoma" w:eastAsia="Times New Roman" w:hAnsi="Tahoma" w:cs="Tahoma"/>
          <w:spacing w:val="-13"/>
          <w:sz w:val="24"/>
          <w:szCs w:val="24"/>
        </w:rPr>
        <w:t xml:space="preserve"> </w:t>
      </w:r>
      <w:r w:rsidRPr="002462E6">
        <w:rPr>
          <w:rFonts w:ascii="Tahoma" w:eastAsia="Times New Roman" w:hAnsi="Tahoma" w:cs="Tahoma"/>
          <w:sz w:val="24"/>
          <w:szCs w:val="24"/>
        </w:rPr>
        <w:t>par</w:t>
      </w:r>
      <w:r w:rsidRPr="002462E6">
        <w:rPr>
          <w:rFonts w:ascii="Tahoma" w:eastAsia="Times New Roman" w:hAnsi="Tahoma" w:cs="Tahoma"/>
          <w:spacing w:val="-11"/>
          <w:sz w:val="24"/>
          <w:szCs w:val="24"/>
        </w:rPr>
        <w:t xml:space="preserve"> </w:t>
      </w:r>
      <w:r w:rsidRPr="002462E6">
        <w:rPr>
          <w:rFonts w:ascii="Tahoma" w:eastAsia="Times New Roman" w:hAnsi="Tahoma" w:cs="Tahoma"/>
          <w:sz w:val="24"/>
          <w:szCs w:val="24"/>
        </w:rPr>
        <w:t>décret</w:t>
      </w:r>
      <w:r w:rsidRPr="002462E6">
        <w:rPr>
          <w:rFonts w:ascii="Tahoma" w:eastAsia="Times New Roman" w:hAnsi="Tahoma" w:cs="Tahoma"/>
          <w:spacing w:val="-10"/>
          <w:sz w:val="24"/>
          <w:szCs w:val="24"/>
        </w:rPr>
        <w:t xml:space="preserve"> </w:t>
      </w:r>
      <w:r w:rsidRPr="002462E6">
        <w:rPr>
          <w:rFonts w:ascii="Tahoma" w:eastAsia="Times New Roman" w:hAnsi="Tahoma" w:cs="Tahoma"/>
          <w:sz w:val="24"/>
          <w:szCs w:val="24"/>
        </w:rPr>
        <w:t>après</w:t>
      </w:r>
      <w:r w:rsidRPr="002462E6">
        <w:rPr>
          <w:rFonts w:ascii="Tahoma" w:eastAsia="Times New Roman" w:hAnsi="Tahoma" w:cs="Tahoma"/>
          <w:spacing w:val="-10"/>
          <w:sz w:val="24"/>
          <w:szCs w:val="24"/>
        </w:rPr>
        <w:t xml:space="preserve"> </w:t>
      </w:r>
      <w:r w:rsidRPr="002462E6">
        <w:rPr>
          <w:rFonts w:ascii="Tahoma" w:eastAsia="Times New Roman" w:hAnsi="Tahoma" w:cs="Tahoma"/>
          <w:sz w:val="24"/>
          <w:szCs w:val="24"/>
        </w:rPr>
        <w:t>avis</w:t>
      </w:r>
      <w:r w:rsidRPr="002462E6">
        <w:rPr>
          <w:rFonts w:ascii="Tahoma" w:eastAsia="Times New Roman" w:hAnsi="Tahoma" w:cs="Tahoma"/>
          <w:spacing w:val="-10"/>
          <w:sz w:val="24"/>
          <w:szCs w:val="24"/>
        </w:rPr>
        <w:t xml:space="preserve"> </w:t>
      </w:r>
      <w:r w:rsidRPr="002462E6">
        <w:rPr>
          <w:rFonts w:ascii="Tahoma" w:eastAsia="Times New Roman" w:hAnsi="Tahoma" w:cs="Tahoma"/>
          <w:sz w:val="24"/>
          <w:szCs w:val="24"/>
        </w:rPr>
        <w:t>d’une</w:t>
      </w:r>
      <w:r w:rsidRPr="002462E6">
        <w:rPr>
          <w:rFonts w:ascii="Tahoma" w:eastAsia="Times New Roman" w:hAnsi="Tahoma" w:cs="Tahoma"/>
          <w:spacing w:val="-13"/>
          <w:sz w:val="24"/>
          <w:szCs w:val="24"/>
        </w:rPr>
        <w:t xml:space="preserve"> </w:t>
      </w:r>
      <w:r w:rsidRPr="002462E6">
        <w:rPr>
          <w:rFonts w:ascii="Tahoma" w:eastAsia="Times New Roman" w:hAnsi="Tahoma" w:cs="Tahoma"/>
          <w:sz w:val="24"/>
          <w:szCs w:val="24"/>
        </w:rPr>
        <w:t>commission</w:t>
      </w:r>
      <w:r w:rsidRPr="002462E6">
        <w:rPr>
          <w:rFonts w:ascii="Tahoma" w:eastAsia="Times New Roman" w:hAnsi="Tahoma" w:cs="Tahoma"/>
          <w:spacing w:val="-6"/>
          <w:sz w:val="24"/>
          <w:szCs w:val="24"/>
        </w:rPr>
        <w:t xml:space="preserve"> </w:t>
      </w:r>
      <w:r w:rsidRPr="002462E6">
        <w:rPr>
          <w:rFonts w:ascii="Tahoma" w:eastAsia="Times New Roman" w:hAnsi="Tahoma" w:cs="Tahoma"/>
          <w:sz w:val="24"/>
          <w:szCs w:val="24"/>
        </w:rPr>
        <w:t>administrative.</w:t>
      </w:r>
      <w:r w:rsidRPr="002462E6">
        <w:rPr>
          <w:rFonts w:ascii="Tahoma" w:eastAsia="Times New Roman" w:hAnsi="Tahoma" w:cs="Tahoma"/>
          <w:spacing w:val="-8"/>
          <w:sz w:val="24"/>
          <w:szCs w:val="24"/>
        </w:rPr>
        <w:t xml:space="preserve"> </w:t>
      </w:r>
      <w:r w:rsidRPr="002462E6">
        <w:rPr>
          <w:rFonts w:ascii="Tahoma" w:eastAsia="Times New Roman" w:hAnsi="Tahoma" w:cs="Tahoma"/>
          <w:sz w:val="24"/>
          <w:szCs w:val="24"/>
        </w:rPr>
        <w:t>La</w:t>
      </w:r>
      <w:r w:rsidRPr="002462E6">
        <w:rPr>
          <w:rFonts w:ascii="Tahoma" w:eastAsia="Times New Roman" w:hAnsi="Tahoma" w:cs="Tahoma"/>
          <w:spacing w:val="-11"/>
          <w:sz w:val="24"/>
          <w:szCs w:val="24"/>
        </w:rPr>
        <w:t xml:space="preserve"> </w:t>
      </w:r>
      <w:r w:rsidRPr="002462E6">
        <w:rPr>
          <w:rFonts w:ascii="Tahoma" w:eastAsia="Times New Roman" w:hAnsi="Tahoma" w:cs="Tahoma"/>
          <w:sz w:val="24"/>
          <w:szCs w:val="24"/>
        </w:rPr>
        <w:t>demande</w:t>
      </w:r>
      <w:r w:rsidRPr="002462E6">
        <w:rPr>
          <w:rFonts w:ascii="Tahoma" w:eastAsia="Times New Roman" w:hAnsi="Tahoma" w:cs="Tahoma"/>
          <w:spacing w:val="-8"/>
          <w:sz w:val="24"/>
          <w:szCs w:val="24"/>
        </w:rPr>
        <w:t xml:space="preserve"> </w:t>
      </w:r>
      <w:r w:rsidRPr="002462E6">
        <w:rPr>
          <w:rFonts w:ascii="Tahoma" w:eastAsia="Times New Roman" w:hAnsi="Tahoma" w:cs="Tahoma"/>
          <w:sz w:val="24"/>
          <w:szCs w:val="24"/>
        </w:rPr>
        <w:t>de</w:t>
      </w:r>
      <w:r w:rsidRPr="002462E6">
        <w:rPr>
          <w:rFonts w:ascii="Tahoma" w:eastAsia="Times New Roman" w:hAnsi="Tahoma" w:cs="Tahoma"/>
          <w:spacing w:val="-10"/>
          <w:sz w:val="24"/>
          <w:szCs w:val="24"/>
        </w:rPr>
        <w:t xml:space="preserve"> </w:t>
      </w:r>
      <w:r w:rsidRPr="002462E6">
        <w:rPr>
          <w:rFonts w:ascii="Tahoma" w:eastAsia="Times New Roman" w:hAnsi="Tahoma" w:cs="Tahoma"/>
          <w:sz w:val="24"/>
          <w:szCs w:val="24"/>
        </w:rPr>
        <w:t>déclassement</w:t>
      </w:r>
      <w:r w:rsidRPr="002462E6">
        <w:rPr>
          <w:rFonts w:ascii="Tahoma" w:eastAsia="Times New Roman" w:hAnsi="Tahoma" w:cs="Tahoma"/>
          <w:spacing w:val="-8"/>
          <w:sz w:val="24"/>
          <w:szCs w:val="24"/>
        </w:rPr>
        <w:t xml:space="preserve"> </w:t>
      </w:r>
      <w:r w:rsidRPr="002462E6">
        <w:rPr>
          <w:rFonts w:ascii="Tahoma" w:eastAsia="Times New Roman" w:hAnsi="Tahoma" w:cs="Tahoma"/>
          <w:sz w:val="24"/>
          <w:szCs w:val="24"/>
        </w:rPr>
        <w:t>est</w:t>
      </w:r>
      <w:r w:rsidRPr="002462E6">
        <w:rPr>
          <w:rFonts w:ascii="Tahoma" w:eastAsia="Times New Roman" w:hAnsi="Tahoma" w:cs="Tahoma"/>
          <w:spacing w:val="-10"/>
          <w:sz w:val="24"/>
          <w:szCs w:val="24"/>
        </w:rPr>
        <w:t xml:space="preserve"> </w:t>
      </w:r>
      <w:r w:rsidRPr="002462E6">
        <w:rPr>
          <w:rFonts w:ascii="Tahoma" w:eastAsia="Times New Roman" w:hAnsi="Tahoma" w:cs="Tahoma"/>
          <w:sz w:val="24"/>
          <w:szCs w:val="24"/>
        </w:rPr>
        <w:t>soumise</w:t>
      </w:r>
      <w:r w:rsidRPr="002462E6">
        <w:rPr>
          <w:rFonts w:ascii="Tahoma" w:eastAsia="Times New Roman" w:hAnsi="Tahoma" w:cs="Tahoma"/>
          <w:spacing w:val="-52"/>
          <w:sz w:val="24"/>
          <w:szCs w:val="24"/>
        </w:rPr>
        <w:t xml:space="preserve"> </w:t>
      </w:r>
      <w:r w:rsidRPr="002462E6">
        <w:rPr>
          <w:rFonts w:ascii="Tahoma" w:eastAsia="Times New Roman" w:hAnsi="Tahoma" w:cs="Tahoma"/>
          <w:sz w:val="24"/>
          <w:szCs w:val="24"/>
        </w:rPr>
        <w:t>à</w:t>
      </w:r>
      <w:r w:rsidRPr="002462E6">
        <w:rPr>
          <w:rFonts w:ascii="Tahoma" w:eastAsia="Times New Roman" w:hAnsi="Tahoma" w:cs="Tahoma"/>
          <w:spacing w:val="-2"/>
          <w:sz w:val="24"/>
          <w:szCs w:val="24"/>
        </w:rPr>
        <w:t xml:space="preserve"> </w:t>
      </w:r>
      <w:r w:rsidRPr="002462E6">
        <w:rPr>
          <w:rFonts w:ascii="Tahoma" w:eastAsia="Times New Roman" w:hAnsi="Tahoma" w:cs="Tahoma"/>
          <w:sz w:val="24"/>
          <w:szCs w:val="24"/>
        </w:rPr>
        <w:t>une</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commission</w:t>
      </w:r>
      <w:r w:rsidRPr="002462E6">
        <w:rPr>
          <w:rFonts w:ascii="Tahoma" w:eastAsia="Times New Roman" w:hAnsi="Tahoma" w:cs="Tahoma"/>
          <w:spacing w:val="4"/>
          <w:sz w:val="24"/>
          <w:szCs w:val="24"/>
        </w:rPr>
        <w:t xml:space="preserve"> </w:t>
      </w:r>
      <w:r w:rsidRPr="002462E6">
        <w:rPr>
          <w:rFonts w:ascii="Tahoma" w:eastAsia="Times New Roman" w:hAnsi="Tahoma" w:cs="Tahoma"/>
          <w:sz w:val="24"/>
          <w:szCs w:val="24"/>
        </w:rPr>
        <w:t>interministérielle</w:t>
      </w:r>
      <w:r w:rsidRPr="002462E6">
        <w:rPr>
          <w:rFonts w:ascii="Tahoma" w:eastAsia="Times New Roman" w:hAnsi="Tahoma" w:cs="Tahoma"/>
          <w:sz w:val="24"/>
          <w:szCs w:val="24"/>
          <w:vertAlign w:val="superscript"/>
        </w:rPr>
        <w:footnoteReference w:id="273"/>
      </w:r>
      <w:r w:rsidRPr="002462E6">
        <w:rPr>
          <w:rFonts w:ascii="Tahoma" w:eastAsia="Times New Roman" w:hAnsi="Tahoma" w:cs="Tahoma"/>
          <w:sz w:val="24"/>
          <w:szCs w:val="24"/>
        </w:rPr>
        <w:t>,</w:t>
      </w:r>
      <w:r w:rsidRPr="002462E6">
        <w:rPr>
          <w:rFonts w:ascii="Tahoma" w:eastAsia="Times New Roman" w:hAnsi="Tahoma" w:cs="Tahoma"/>
          <w:spacing w:val="2"/>
          <w:sz w:val="24"/>
          <w:szCs w:val="24"/>
        </w:rPr>
        <w:t xml:space="preserve"> </w:t>
      </w:r>
      <w:r w:rsidRPr="002462E6">
        <w:rPr>
          <w:rFonts w:ascii="Tahoma" w:eastAsia="Times New Roman" w:hAnsi="Tahoma" w:cs="Tahoma"/>
          <w:sz w:val="24"/>
          <w:szCs w:val="24"/>
        </w:rPr>
        <w:t>fixée</w:t>
      </w:r>
      <w:r w:rsidRPr="002462E6">
        <w:rPr>
          <w:rFonts w:ascii="Tahoma" w:eastAsia="Times New Roman" w:hAnsi="Tahoma" w:cs="Tahoma"/>
          <w:spacing w:val="-2"/>
          <w:sz w:val="24"/>
          <w:szCs w:val="24"/>
        </w:rPr>
        <w:t xml:space="preserve"> </w:t>
      </w:r>
      <w:r w:rsidRPr="002462E6">
        <w:rPr>
          <w:rFonts w:ascii="Tahoma" w:eastAsia="Times New Roman" w:hAnsi="Tahoma" w:cs="Tahoma"/>
          <w:sz w:val="24"/>
          <w:szCs w:val="24"/>
        </w:rPr>
        <w:t>par</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décret</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comprenant</w:t>
      </w:r>
      <w:r w:rsidRPr="002462E6">
        <w:rPr>
          <w:rFonts w:ascii="Tahoma" w:eastAsia="Times New Roman" w:hAnsi="Tahoma" w:cs="Tahoma"/>
          <w:spacing w:val="3"/>
          <w:sz w:val="24"/>
          <w:szCs w:val="24"/>
        </w:rPr>
        <w:t xml:space="preserve"> </w:t>
      </w:r>
      <w:r w:rsidRPr="002462E6">
        <w:rPr>
          <w:rFonts w:ascii="Tahoma" w:eastAsia="Times New Roman" w:hAnsi="Tahoma" w:cs="Tahoma"/>
          <w:sz w:val="24"/>
          <w:szCs w:val="24"/>
        </w:rPr>
        <w:t>:</w:t>
      </w:r>
    </w:p>
    <w:p w:rsidR="00726EDC" w:rsidRPr="002462E6" w:rsidRDefault="00726EDC" w:rsidP="00D051D7">
      <w:pPr>
        <w:widowControl w:val="0"/>
        <w:numPr>
          <w:ilvl w:val="2"/>
          <w:numId w:val="24"/>
        </w:numPr>
        <w:tabs>
          <w:tab w:val="left" w:pos="2795"/>
          <w:tab w:val="left" w:pos="2796"/>
        </w:tabs>
        <w:autoSpaceDE w:val="0"/>
        <w:autoSpaceDN w:val="0"/>
        <w:spacing w:before="155" w:after="0" w:line="360" w:lineRule="auto"/>
        <w:ind w:left="1134"/>
        <w:jc w:val="both"/>
        <w:rPr>
          <w:rFonts w:ascii="Tahoma" w:eastAsia="Times New Roman" w:hAnsi="Tahoma" w:cs="Tahoma"/>
          <w:sz w:val="24"/>
          <w:szCs w:val="24"/>
        </w:rPr>
      </w:pPr>
      <w:r w:rsidRPr="002462E6">
        <w:rPr>
          <w:rFonts w:ascii="Tahoma" w:eastAsia="Times New Roman" w:hAnsi="Tahoma" w:cs="Tahoma"/>
          <w:sz w:val="24"/>
          <w:szCs w:val="24"/>
        </w:rPr>
        <w:t>Le</w:t>
      </w:r>
      <w:r w:rsidRPr="002462E6">
        <w:rPr>
          <w:rFonts w:ascii="Tahoma" w:eastAsia="Times New Roman" w:hAnsi="Tahoma" w:cs="Tahoma"/>
          <w:spacing w:val="-7"/>
          <w:sz w:val="24"/>
          <w:szCs w:val="24"/>
        </w:rPr>
        <w:t xml:space="preserve"> </w:t>
      </w:r>
      <w:r w:rsidRPr="002462E6">
        <w:rPr>
          <w:rFonts w:ascii="Tahoma" w:eastAsia="Times New Roman" w:hAnsi="Tahoma" w:cs="Tahoma"/>
          <w:sz w:val="24"/>
          <w:szCs w:val="24"/>
        </w:rPr>
        <w:t>Caïd,</w:t>
      </w:r>
      <w:r w:rsidRPr="002462E6">
        <w:rPr>
          <w:rFonts w:ascii="Tahoma" w:eastAsia="Times New Roman" w:hAnsi="Tahoma" w:cs="Tahoma"/>
          <w:spacing w:val="-7"/>
          <w:sz w:val="24"/>
          <w:szCs w:val="24"/>
        </w:rPr>
        <w:t xml:space="preserve"> </w:t>
      </w:r>
      <w:r w:rsidRPr="002462E6">
        <w:rPr>
          <w:rFonts w:ascii="Tahoma" w:eastAsia="Times New Roman" w:hAnsi="Tahoma" w:cs="Tahoma"/>
          <w:sz w:val="24"/>
          <w:szCs w:val="24"/>
        </w:rPr>
        <w:t>dans</w:t>
      </w:r>
      <w:r w:rsidRPr="002462E6">
        <w:rPr>
          <w:rFonts w:ascii="Tahoma" w:eastAsia="Times New Roman" w:hAnsi="Tahoma" w:cs="Tahoma"/>
          <w:spacing w:val="-8"/>
          <w:sz w:val="24"/>
          <w:szCs w:val="24"/>
        </w:rPr>
        <w:t xml:space="preserve"> </w:t>
      </w:r>
      <w:r w:rsidRPr="002462E6">
        <w:rPr>
          <w:rFonts w:ascii="Tahoma" w:eastAsia="Times New Roman" w:hAnsi="Tahoma" w:cs="Tahoma"/>
          <w:sz w:val="24"/>
          <w:szCs w:val="24"/>
        </w:rPr>
        <w:t>le</w:t>
      </w:r>
      <w:r w:rsidRPr="002462E6">
        <w:rPr>
          <w:rFonts w:ascii="Tahoma" w:eastAsia="Times New Roman" w:hAnsi="Tahoma" w:cs="Tahoma"/>
          <w:spacing w:val="-7"/>
          <w:sz w:val="24"/>
          <w:szCs w:val="24"/>
        </w:rPr>
        <w:t xml:space="preserve"> </w:t>
      </w:r>
      <w:r w:rsidRPr="002462E6">
        <w:rPr>
          <w:rFonts w:ascii="Tahoma" w:eastAsia="Times New Roman" w:hAnsi="Tahoma" w:cs="Tahoma"/>
          <w:sz w:val="24"/>
          <w:szCs w:val="24"/>
        </w:rPr>
        <w:t>ressort</w:t>
      </w:r>
      <w:r w:rsidRPr="002462E6">
        <w:rPr>
          <w:rFonts w:ascii="Tahoma" w:eastAsia="Times New Roman" w:hAnsi="Tahoma" w:cs="Tahoma"/>
          <w:spacing w:val="-7"/>
          <w:sz w:val="24"/>
          <w:szCs w:val="24"/>
        </w:rPr>
        <w:t xml:space="preserve"> </w:t>
      </w:r>
      <w:r w:rsidRPr="002462E6">
        <w:rPr>
          <w:rFonts w:ascii="Tahoma" w:eastAsia="Times New Roman" w:hAnsi="Tahoma" w:cs="Tahoma"/>
          <w:sz w:val="24"/>
          <w:szCs w:val="24"/>
        </w:rPr>
        <w:t>duquel</w:t>
      </w:r>
      <w:r w:rsidRPr="002462E6">
        <w:rPr>
          <w:rFonts w:ascii="Tahoma" w:eastAsia="Times New Roman" w:hAnsi="Tahoma" w:cs="Tahoma"/>
          <w:spacing w:val="-7"/>
          <w:sz w:val="24"/>
          <w:szCs w:val="24"/>
        </w:rPr>
        <w:t xml:space="preserve"> </w:t>
      </w:r>
      <w:r w:rsidRPr="002462E6">
        <w:rPr>
          <w:rFonts w:ascii="Tahoma" w:eastAsia="Times New Roman" w:hAnsi="Tahoma" w:cs="Tahoma"/>
          <w:sz w:val="24"/>
          <w:szCs w:val="24"/>
        </w:rPr>
        <w:t>se</w:t>
      </w:r>
      <w:r w:rsidRPr="002462E6">
        <w:rPr>
          <w:rFonts w:ascii="Tahoma" w:eastAsia="Times New Roman" w:hAnsi="Tahoma" w:cs="Tahoma"/>
          <w:spacing w:val="-8"/>
          <w:sz w:val="24"/>
          <w:szCs w:val="24"/>
        </w:rPr>
        <w:t xml:space="preserve"> </w:t>
      </w:r>
      <w:r w:rsidRPr="002462E6">
        <w:rPr>
          <w:rFonts w:ascii="Tahoma" w:eastAsia="Times New Roman" w:hAnsi="Tahoma" w:cs="Tahoma"/>
          <w:sz w:val="24"/>
          <w:szCs w:val="24"/>
        </w:rPr>
        <w:t>trouve</w:t>
      </w:r>
      <w:r w:rsidRPr="002462E6">
        <w:rPr>
          <w:rFonts w:ascii="Tahoma" w:eastAsia="Times New Roman" w:hAnsi="Tahoma" w:cs="Tahoma"/>
          <w:spacing w:val="-7"/>
          <w:sz w:val="24"/>
          <w:szCs w:val="24"/>
        </w:rPr>
        <w:t xml:space="preserve"> </w:t>
      </w:r>
      <w:r w:rsidRPr="002462E6">
        <w:rPr>
          <w:rFonts w:ascii="Tahoma" w:eastAsia="Times New Roman" w:hAnsi="Tahoma" w:cs="Tahoma"/>
          <w:sz w:val="24"/>
          <w:szCs w:val="24"/>
        </w:rPr>
        <w:t>l’immeuble</w:t>
      </w:r>
      <w:r w:rsidRPr="002462E6">
        <w:rPr>
          <w:rFonts w:ascii="Tahoma" w:eastAsia="Times New Roman" w:hAnsi="Tahoma" w:cs="Tahoma"/>
          <w:spacing w:val="-5"/>
          <w:sz w:val="24"/>
          <w:szCs w:val="24"/>
        </w:rPr>
        <w:t xml:space="preserve"> </w:t>
      </w:r>
      <w:r w:rsidRPr="002462E6">
        <w:rPr>
          <w:rFonts w:ascii="Tahoma" w:eastAsia="Times New Roman" w:hAnsi="Tahoma" w:cs="Tahoma"/>
          <w:sz w:val="24"/>
          <w:szCs w:val="24"/>
        </w:rPr>
        <w:t>forestier</w:t>
      </w:r>
      <w:r w:rsidRPr="002462E6">
        <w:rPr>
          <w:rFonts w:ascii="Tahoma" w:eastAsia="Times New Roman" w:hAnsi="Tahoma" w:cs="Tahoma"/>
          <w:spacing w:val="-7"/>
          <w:sz w:val="24"/>
          <w:szCs w:val="24"/>
        </w:rPr>
        <w:t xml:space="preserve"> </w:t>
      </w:r>
      <w:r w:rsidRPr="002462E6">
        <w:rPr>
          <w:rFonts w:ascii="Tahoma" w:eastAsia="Times New Roman" w:hAnsi="Tahoma" w:cs="Tahoma"/>
          <w:sz w:val="24"/>
          <w:szCs w:val="24"/>
        </w:rPr>
        <w:t>à</w:t>
      </w:r>
      <w:r w:rsidRPr="002462E6">
        <w:rPr>
          <w:rFonts w:ascii="Tahoma" w:eastAsia="Times New Roman" w:hAnsi="Tahoma" w:cs="Tahoma"/>
          <w:spacing w:val="-7"/>
          <w:sz w:val="24"/>
          <w:szCs w:val="24"/>
        </w:rPr>
        <w:t xml:space="preserve"> </w:t>
      </w:r>
      <w:r w:rsidRPr="002462E6">
        <w:rPr>
          <w:rFonts w:ascii="Tahoma" w:eastAsia="Times New Roman" w:hAnsi="Tahoma" w:cs="Tahoma"/>
          <w:sz w:val="24"/>
          <w:szCs w:val="24"/>
        </w:rPr>
        <w:t>déclasser,</w:t>
      </w:r>
      <w:r w:rsidRPr="002462E6">
        <w:rPr>
          <w:rFonts w:ascii="Tahoma" w:eastAsia="Times New Roman" w:hAnsi="Tahoma" w:cs="Tahoma"/>
          <w:spacing w:val="-7"/>
          <w:sz w:val="24"/>
          <w:szCs w:val="24"/>
        </w:rPr>
        <w:t xml:space="preserve"> </w:t>
      </w:r>
      <w:r w:rsidRPr="002462E6">
        <w:rPr>
          <w:rFonts w:ascii="Tahoma" w:eastAsia="Times New Roman" w:hAnsi="Tahoma" w:cs="Tahoma"/>
          <w:sz w:val="24"/>
          <w:szCs w:val="24"/>
        </w:rPr>
        <w:t>et</w:t>
      </w:r>
      <w:r w:rsidRPr="002462E6">
        <w:rPr>
          <w:rFonts w:ascii="Tahoma" w:eastAsia="Times New Roman" w:hAnsi="Tahoma" w:cs="Tahoma"/>
          <w:spacing w:val="-7"/>
          <w:sz w:val="24"/>
          <w:szCs w:val="24"/>
        </w:rPr>
        <w:t xml:space="preserve"> </w:t>
      </w:r>
      <w:r w:rsidRPr="002462E6">
        <w:rPr>
          <w:rFonts w:ascii="Tahoma" w:eastAsia="Times New Roman" w:hAnsi="Tahoma" w:cs="Tahoma"/>
          <w:sz w:val="24"/>
          <w:szCs w:val="24"/>
        </w:rPr>
        <w:t>qui</w:t>
      </w:r>
      <w:r w:rsidRPr="002462E6">
        <w:rPr>
          <w:rFonts w:ascii="Tahoma" w:eastAsia="Times New Roman" w:hAnsi="Tahoma" w:cs="Tahoma"/>
          <w:spacing w:val="-7"/>
          <w:sz w:val="24"/>
          <w:szCs w:val="24"/>
        </w:rPr>
        <w:t xml:space="preserve"> </w:t>
      </w:r>
      <w:r w:rsidRPr="002462E6">
        <w:rPr>
          <w:rFonts w:ascii="Tahoma" w:eastAsia="Times New Roman" w:hAnsi="Tahoma" w:cs="Tahoma"/>
          <w:sz w:val="24"/>
          <w:szCs w:val="24"/>
        </w:rPr>
        <w:t>est</w:t>
      </w:r>
      <w:r w:rsidRPr="002462E6">
        <w:rPr>
          <w:rFonts w:ascii="Tahoma" w:eastAsia="Times New Roman" w:hAnsi="Tahoma" w:cs="Tahoma"/>
          <w:spacing w:val="-53"/>
          <w:sz w:val="24"/>
          <w:szCs w:val="24"/>
        </w:rPr>
        <w:t xml:space="preserve"> </w:t>
      </w:r>
      <w:r w:rsidRPr="002462E6">
        <w:rPr>
          <w:rFonts w:ascii="Tahoma" w:eastAsia="Times New Roman" w:hAnsi="Tahoma" w:cs="Tahoma"/>
          <w:sz w:val="24"/>
          <w:szCs w:val="24"/>
        </w:rPr>
        <w:t>le</w:t>
      </w:r>
      <w:r w:rsidRPr="002462E6">
        <w:rPr>
          <w:rFonts w:ascii="Tahoma" w:eastAsia="Times New Roman" w:hAnsi="Tahoma" w:cs="Tahoma"/>
          <w:spacing w:val="-2"/>
          <w:sz w:val="24"/>
          <w:szCs w:val="24"/>
        </w:rPr>
        <w:t xml:space="preserve"> </w:t>
      </w:r>
      <w:r w:rsidRPr="002462E6">
        <w:rPr>
          <w:rFonts w:ascii="Tahoma" w:eastAsia="Times New Roman" w:hAnsi="Tahoma" w:cs="Tahoma"/>
          <w:sz w:val="24"/>
          <w:szCs w:val="24"/>
        </w:rPr>
        <w:t>président de</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la</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commission</w:t>
      </w:r>
      <w:r w:rsidRPr="002462E6">
        <w:rPr>
          <w:rFonts w:ascii="Tahoma" w:eastAsia="Times New Roman" w:hAnsi="Tahoma" w:cs="Tahoma"/>
          <w:spacing w:val="3"/>
          <w:sz w:val="24"/>
          <w:szCs w:val="24"/>
        </w:rPr>
        <w:t xml:space="preserve"> </w:t>
      </w:r>
      <w:r w:rsidRPr="002462E6">
        <w:rPr>
          <w:rFonts w:ascii="Tahoma" w:eastAsia="Times New Roman" w:hAnsi="Tahoma" w:cs="Tahoma"/>
          <w:sz w:val="24"/>
          <w:szCs w:val="24"/>
        </w:rPr>
        <w:t>;</w:t>
      </w:r>
    </w:p>
    <w:p w:rsidR="00726EDC" w:rsidRPr="002462E6" w:rsidRDefault="00726EDC" w:rsidP="00D051D7">
      <w:pPr>
        <w:widowControl w:val="0"/>
        <w:numPr>
          <w:ilvl w:val="2"/>
          <w:numId w:val="24"/>
        </w:numPr>
        <w:tabs>
          <w:tab w:val="left" w:pos="2795"/>
          <w:tab w:val="left" w:pos="2796"/>
        </w:tabs>
        <w:autoSpaceDE w:val="0"/>
        <w:autoSpaceDN w:val="0"/>
        <w:spacing w:before="160" w:after="0" w:line="240" w:lineRule="auto"/>
        <w:ind w:left="1134"/>
        <w:jc w:val="both"/>
        <w:rPr>
          <w:rFonts w:ascii="Tahoma" w:eastAsia="Times New Roman" w:hAnsi="Tahoma" w:cs="Tahoma"/>
          <w:sz w:val="24"/>
          <w:szCs w:val="24"/>
        </w:rPr>
      </w:pPr>
      <w:r w:rsidRPr="002462E6">
        <w:rPr>
          <w:rFonts w:ascii="Tahoma" w:eastAsia="Times New Roman" w:hAnsi="Tahoma" w:cs="Tahoma"/>
          <w:sz w:val="24"/>
          <w:szCs w:val="24"/>
        </w:rPr>
        <w:t>Un</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ingénieur</w:t>
      </w:r>
      <w:r w:rsidRPr="002462E6">
        <w:rPr>
          <w:rFonts w:ascii="Tahoma" w:eastAsia="Times New Roman" w:hAnsi="Tahoma" w:cs="Tahoma"/>
          <w:spacing w:val="-2"/>
          <w:sz w:val="24"/>
          <w:szCs w:val="24"/>
        </w:rPr>
        <w:t xml:space="preserve"> </w:t>
      </w:r>
      <w:r w:rsidRPr="002462E6">
        <w:rPr>
          <w:rFonts w:ascii="Tahoma" w:eastAsia="Times New Roman" w:hAnsi="Tahoma" w:cs="Tahoma"/>
          <w:sz w:val="24"/>
          <w:szCs w:val="24"/>
        </w:rPr>
        <w:t>des</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eaux</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et</w:t>
      </w:r>
      <w:r w:rsidRPr="002462E6">
        <w:rPr>
          <w:rFonts w:ascii="Tahoma" w:eastAsia="Times New Roman" w:hAnsi="Tahoma" w:cs="Tahoma"/>
          <w:spacing w:val="-2"/>
          <w:sz w:val="24"/>
          <w:szCs w:val="24"/>
        </w:rPr>
        <w:t xml:space="preserve"> </w:t>
      </w:r>
      <w:r w:rsidRPr="002462E6">
        <w:rPr>
          <w:rFonts w:ascii="Tahoma" w:eastAsia="Times New Roman" w:hAnsi="Tahoma" w:cs="Tahoma"/>
          <w:sz w:val="24"/>
          <w:szCs w:val="24"/>
        </w:rPr>
        <w:t>forêts</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w:t>
      </w:r>
    </w:p>
    <w:p w:rsidR="00726EDC" w:rsidRPr="002462E6" w:rsidRDefault="00726EDC" w:rsidP="00726EDC">
      <w:pPr>
        <w:widowControl w:val="0"/>
        <w:autoSpaceDE w:val="0"/>
        <w:autoSpaceDN w:val="0"/>
        <w:spacing w:before="11" w:after="0" w:line="240" w:lineRule="auto"/>
        <w:ind w:left="1134"/>
        <w:rPr>
          <w:rFonts w:ascii="Tahoma" w:eastAsia="Times New Roman" w:hAnsi="Tahoma" w:cs="Tahoma"/>
          <w:sz w:val="24"/>
          <w:szCs w:val="24"/>
        </w:rPr>
      </w:pPr>
    </w:p>
    <w:p w:rsidR="00726EDC" w:rsidRPr="002462E6" w:rsidRDefault="00726EDC" w:rsidP="00D051D7">
      <w:pPr>
        <w:widowControl w:val="0"/>
        <w:numPr>
          <w:ilvl w:val="2"/>
          <w:numId w:val="24"/>
        </w:numPr>
        <w:tabs>
          <w:tab w:val="left" w:pos="2795"/>
          <w:tab w:val="left" w:pos="2796"/>
        </w:tabs>
        <w:autoSpaceDE w:val="0"/>
        <w:autoSpaceDN w:val="0"/>
        <w:spacing w:after="0" w:line="240" w:lineRule="auto"/>
        <w:ind w:left="1134"/>
        <w:jc w:val="both"/>
        <w:rPr>
          <w:rFonts w:ascii="Tahoma" w:eastAsia="Times New Roman" w:hAnsi="Tahoma" w:cs="Tahoma"/>
          <w:sz w:val="24"/>
          <w:szCs w:val="24"/>
        </w:rPr>
      </w:pPr>
      <w:r w:rsidRPr="002462E6">
        <w:rPr>
          <w:rFonts w:ascii="Tahoma" w:eastAsia="Times New Roman" w:hAnsi="Tahoma" w:cs="Tahoma"/>
          <w:sz w:val="24"/>
          <w:szCs w:val="24"/>
        </w:rPr>
        <w:t>Le</w:t>
      </w:r>
      <w:r w:rsidRPr="002462E6">
        <w:rPr>
          <w:rFonts w:ascii="Tahoma" w:eastAsia="Times New Roman" w:hAnsi="Tahoma" w:cs="Tahoma"/>
          <w:spacing w:val="-3"/>
          <w:sz w:val="24"/>
          <w:szCs w:val="24"/>
        </w:rPr>
        <w:t xml:space="preserve"> </w:t>
      </w:r>
      <w:r w:rsidRPr="002462E6">
        <w:rPr>
          <w:rFonts w:ascii="Tahoma" w:eastAsia="Times New Roman" w:hAnsi="Tahoma" w:cs="Tahoma"/>
          <w:sz w:val="24"/>
          <w:szCs w:val="24"/>
        </w:rPr>
        <w:t>chef</w:t>
      </w:r>
      <w:r w:rsidRPr="002462E6">
        <w:rPr>
          <w:rFonts w:ascii="Tahoma" w:eastAsia="Times New Roman" w:hAnsi="Tahoma" w:cs="Tahoma"/>
          <w:spacing w:val="-2"/>
          <w:sz w:val="24"/>
          <w:szCs w:val="24"/>
        </w:rPr>
        <w:t xml:space="preserve"> </w:t>
      </w:r>
      <w:r w:rsidRPr="002462E6">
        <w:rPr>
          <w:rFonts w:ascii="Tahoma" w:eastAsia="Times New Roman" w:hAnsi="Tahoma" w:cs="Tahoma"/>
          <w:sz w:val="24"/>
          <w:szCs w:val="24"/>
        </w:rPr>
        <w:t>de</w:t>
      </w:r>
      <w:r w:rsidRPr="002462E6">
        <w:rPr>
          <w:rFonts w:ascii="Tahoma" w:eastAsia="Times New Roman" w:hAnsi="Tahoma" w:cs="Tahoma"/>
          <w:spacing w:val="-2"/>
          <w:sz w:val="24"/>
          <w:szCs w:val="24"/>
        </w:rPr>
        <w:t xml:space="preserve"> </w:t>
      </w:r>
      <w:r w:rsidRPr="002462E6">
        <w:rPr>
          <w:rFonts w:ascii="Tahoma" w:eastAsia="Times New Roman" w:hAnsi="Tahoma" w:cs="Tahoma"/>
          <w:sz w:val="24"/>
          <w:szCs w:val="24"/>
        </w:rPr>
        <w:t>la</w:t>
      </w:r>
      <w:r w:rsidRPr="002462E6">
        <w:rPr>
          <w:rFonts w:ascii="Tahoma" w:eastAsia="Times New Roman" w:hAnsi="Tahoma" w:cs="Tahoma"/>
          <w:spacing w:val="-2"/>
          <w:sz w:val="24"/>
          <w:szCs w:val="24"/>
        </w:rPr>
        <w:t xml:space="preserve"> </w:t>
      </w:r>
      <w:r w:rsidRPr="002462E6">
        <w:rPr>
          <w:rFonts w:ascii="Tahoma" w:eastAsia="Times New Roman" w:hAnsi="Tahoma" w:cs="Tahoma"/>
          <w:sz w:val="24"/>
          <w:szCs w:val="24"/>
        </w:rPr>
        <w:t>circonscription</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domaniale</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w:t>
      </w:r>
    </w:p>
    <w:p w:rsidR="00726EDC" w:rsidRPr="002462E6" w:rsidRDefault="00726EDC" w:rsidP="00726EDC">
      <w:pPr>
        <w:widowControl w:val="0"/>
        <w:autoSpaceDE w:val="0"/>
        <w:autoSpaceDN w:val="0"/>
        <w:spacing w:before="11" w:after="0" w:line="240" w:lineRule="auto"/>
        <w:ind w:left="1134"/>
        <w:rPr>
          <w:rFonts w:ascii="Tahoma" w:eastAsia="Times New Roman" w:hAnsi="Tahoma" w:cs="Tahoma"/>
          <w:sz w:val="24"/>
          <w:szCs w:val="24"/>
        </w:rPr>
      </w:pPr>
    </w:p>
    <w:p w:rsidR="00726EDC" w:rsidRPr="002462E6" w:rsidRDefault="00726EDC" w:rsidP="00D051D7">
      <w:pPr>
        <w:widowControl w:val="0"/>
        <w:numPr>
          <w:ilvl w:val="2"/>
          <w:numId w:val="24"/>
        </w:numPr>
        <w:tabs>
          <w:tab w:val="left" w:pos="2795"/>
          <w:tab w:val="left" w:pos="2796"/>
        </w:tabs>
        <w:autoSpaceDE w:val="0"/>
        <w:autoSpaceDN w:val="0"/>
        <w:spacing w:after="0" w:line="240" w:lineRule="auto"/>
        <w:ind w:left="1134"/>
        <w:rPr>
          <w:rFonts w:ascii="Tahoma" w:eastAsia="Times New Roman" w:hAnsi="Tahoma" w:cs="Tahoma"/>
          <w:sz w:val="24"/>
          <w:szCs w:val="24"/>
        </w:rPr>
      </w:pPr>
      <w:r w:rsidRPr="002462E6">
        <w:rPr>
          <w:rFonts w:ascii="Tahoma" w:eastAsia="Times New Roman" w:hAnsi="Tahoma" w:cs="Tahoma"/>
          <w:sz w:val="24"/>
          <w:szCs w:val="24"/>
        </w:rPr>
        <w:t>Un</w:t>
      </w:r>
      <w:r w:rsidRPr="002462E6">
        <w:rPr>
          <w:rFonts w:ascii="Tahoma" w:eastAsia="Times New Roman" w:hAnsi="Tahoma" w:cs="Tahoma"/>
          <w:spacing w:val="-2"/>
          <w:sz w:val="24"/>
          <w:szCs w:val="24"/>
        </w:rPr>
        <w:t xml:space="preserve"> </w:t>
      </w:r>
      <w:r w:rsidRPr="002462E6">
        <w:rPr>
          <w:rFonts w:ascii="Tahoma" w:eastAsia="Times New Roman" w:hAnsi="Tahoma" w:cs="Tahoma"/>
          <w:sz w:val="24"/>
          <w:szCs w:val="24"/>
        </w:rPr>
        <w:t>représentant</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du</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Département</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au</w:t>
      </w:r>
      <w:r w:rsidRPr="002462E6">
        <w:rPr>
          <w:rFonts w:ascii="Tahoma" w:eastAsia="Times New Roman" w:hAnsi="Tahoma" w:cs="Tahoma"/>
          <w:spacing w:val="-2"/>
          <w:sz w:val="24"/>
          <w:szCs w:val="24"/>
        </w:rPr>
        <w:t xml:space="preserve"> </w:t>
      </w:r>
      <w:r w:rsidRPr="002462E6">
        <w:rPr>
          <w:rFonts w:ascii="Tahoma" w:eastAsia="Times New Roman" w:hAnsi="Tahoma" w:cs="Tahoma"/>
          <w:sz w:val="24"/>
          <w:szCs w:val="24"/>
        </w:rPr>
        <w:t>profit</w:t>
      </w:r>
      <w:r w:rsidRPr="002462E6">
        <w:rPr>
          <w:rFonts w:ascii="Tahoma" w:eastAsia="Times New Roman" w:hAnsi="Tahoma" w:cs="Tahoma"/>
          <w:spacing w:val="-2"/>
          <w:sz w:val="24"/>
          <w:szCs w:val="24"/>
        </w:rPr>
        <w:t xml:space="preserve"> </w:t>
      </w:r>
      <w:r w:rsidRPr="002462E6">
        <w:rPr>
          <w:rFonts w:ascii="Tahoma" w:eastAsia="Times New Roman" w:hAnsi="Tahoma" w:cs="Tahoma"/>
          <w:sz w:val="24"/>
          <w:szCs w:val="24"/>
        </w:rPr>
        <w:t>duquel</w:t>
      </w:r>
      <w:r w:rsidRPr="002462E6">
        <w:rPr>
          <w:rFonts w:ascii="Tahoma" w:eastAsia="Times New Roman" w:hAnsi="Tahoma" w:cs="Tahoma"/>
          <w:spacing w:val="-2"/>
          <w:sz w:val="24"/>
          <w:szCs w:val="24"/>
        </w:rPr>
        <w:t xml:space="preserve"> </w:t>
      </w:r>
      <w:r w:rsidRPr="002462E6">
        <w:rPr>
          <w:rFonts w:ascii="Tahoma" w:eastAsia="Times New Roman" w:hAnsi="Tahoma" w:cs="Tahoma"/>
          <w:sz w:val="24"/>
          <w:szCs w:val="24"/>
        </w:rPr>
        <w:t>la</w:t>
      </w:r>
      <w:r w:rsidRPr="002462E6">
        <w:rPr>
          <w:rFonts w:ascii="Tahoma" w:eastAsia="Times New Roman" w:hAnsi="Tahoma" w:cs="Tahoma"/>
          <w:spacing w:val="-2"/>
          <w:sz w:val="24"/>
          <w:szCs w:val="24"/>
        </w:rPr>
        <w:t xml:space="preserve"> </w:t>
      </w:r>
      <w:r w:rsidRPr="002462E6">
        <w:rPr>
          <w:rFonts w:ascii="Tahoma" w:eastAsia="Times New Roman" w:hAnsi="Tahoma" w:cs="Tahoma"/>
          <w:sz w:val="24"/>
          <w:szCs w:val="24"/>
        </w:rPr>
        <w:t>distraction</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est</w:t>
      </w:r>
      <w:r w:rsidRPr="002462E6">
        <w:rPr>
          <w:rFonts w:ascii="Tahoma" w:eastAsia="Times New Roman" w:hAnsi="Tahoma" w:cs="Tahoma"/>
          <w:spacing w:val="-2"/>
          <w:sz w:val="24"/>
          <w:szCs w:val="24"/>
        </w:rPr>
        <w:t xml:space="preserve"> </w:t>
      </w:r>
      <w:r w:rsidRPr="002462E6">
        <w:rPr>
          <w:rFonts w:ascii="Tahoma" w:eastAsia="Times New Roman" w:hAnsi="Tahoma" w:cs="Tahoma"/>
          <w:sz w:val="24"/>
          <w:szCs w:val="24"/>
        </w:rPr>
        <w:t>engagée.</w:t>
      </w:r>
    </w:p>
    <w:p w:rsidR="00726EDC" w:rsidRPr="002462E6" w:rsidRDefault="00726EDC" w:rsidP="00726EDC">
      <w:pPr>
        <w:widowControl w:val="0"/>
        <w:autoSpaceDE w:val="0"/>
        <w:autoSpaceDN w:val="0"/>
        <w:spacing w:before="8" w:after="0" w:line="240" w:lineRule="auto"/>
        <w:rPr>
          <w:rFonts w:ascii="Tahoma" w:eastAsia="Times New Roman" w:hAnsi="Tahoma" w:cs="Tahoma"/>
          <w:sz w:val="24"/>
          <w:szCs w:val="24"/>
        </w:rPr>
      </w:pPr>
    </w:p>
    <w:p w:rsidR="00726EDC" w:rsidRPr="002462E6" w:rsidRDefault="00726EDC" w:rsidP="00726EDC">
      <w:pPr>
        <w:widowControl w:val="0"/>
        <w:autoSpaceDE w:val="0"/>
        <w:autoSpaceDN w:val="0"/>
        <w:spacing w:after="0" w:line="360" w:lineRule="auto"/>
        <w:jc w:val="both"/>
        <w:rPr>
          <w:rFonts w:ascii="Tahoma" w:eastAsia="Times New Roman" w:hAnsi="Tahoma" w:cs="Tahoma"/>
          <w:sz w:val="24"/>
          <w:szCs w:val="24"/>
        </w:rPr>
      </w:pPr>
      <w:r w:rsidRPr="002462E6">
        <w:rPr>
          <w:rFonts w:ascii="Tahoma" w:eastAsia="Times New Roman" w:hAnsi="Tahoma" w:cs="Tahoma"/>
          <w:sz w:val="24"/>
          <w:szCs w:val="24"/>
        </w:rPr>
        <w:t>Les</w:t>
      </w:r>
      <w:r w:rsidRPr="002462E6">
        <w:rPr>
          <w:rFonts w:ascii="Tahoma" w:eastAsia="Times New Roman" w:hAnsi="Tahoma" w:cs="Tahoma"/>
          <w:spacing w:val="-6"/>
          <w:sz w:val="24"/>
          <w:szCs w:val="24"/>
        </w:rPr>
        <w:t xml:space="preserve"> </w:t>
      </w:r>
      <w:r w:rsidRPr="002462E6">
        <w:rPr>
          <w:rFonts w:ascii="Tahoma" w:eastAsia="Times New Roman" w:hAnsi="Tahoma" w:cs="Tahoma"/>
          <w:sz w:val="24"/>
          <w:szCs w:val="24"/>
        </w:rPr>
        <w:t>délibérations</w:t>
      </w:r>
      <w:r w:rsidRPr="002462E6">
        <w:rPr>
          <w:rFonts w:ascii="Tahoma" w:eastAsia="Times New Roman" w:hAnsi="Tahoma" w:cs="Tahoma"/>
          <w:spacing w:val="-5"/>
          <w:sz w:val="24"/>
          <w:szCs w:val="24"/>
        </w:rPr>
        <w:t xml:space="preserve"> </w:t>
      </w:r>
      <w:r w:rsidRPr="002462E6">
        <w:rPr>
          <w:rFonts w:ascii="Tahoma" w:eastAsia="Times New Roman" w:hAnsi="Tahoma" w:cs="Tahoma"/>
          <w:sz w:val="24"/>
          <w:szCs w:val="24"/>
        </w:rPr>
        <w:t>et</w:t>
      </w:r>
      <w:r w:rsidRPr="002462E6">
        <w:rPr>
          <w:rFonts w:ascii="Tahoma" w:eastAsia="Times New Roman" w:hAnsi="Tahoma" w:cs="Tahoma"/>
          <w:spacing w:val="-6"/>
          <w:sz w:val="24"/>
          <w:szCs w:val="24"/>
        </w:rPr>
        <w:t xml:space="preserve"> </w:t>
      </w:r>
      <w:r w:rsidRPr="002462E6">
        <w:rPr>
          <w:rFonts w:ascii="Tahoma" w:eastAsia="Times New Roman" w:hAnsi="Tahoma" w:cs="Tahoma"/>
          <w:sz w:val="24"/>
          <w:szCs w:val="24"/>
        </w:rPr>
        <w:t>la</w:t>
      </w:r>
      <w:r w:rsidRPr="002462E6">
        <w:rPr>
          <w:rFonts w:ascii="Tahoma" w:eastAsia="Times New Roman" w:hAnsi="Tahoma" w:cs="Tahoma"/>
          <w:spacing w:val="-6"/>
          <w:sz w:val="24"/>
          <w:szCs w:val="24"/>
        </w:rPr>
        <w:t xml:space="preserve"> </w:t>
      </w:r>
      <w:r w:rsidRPr="002462E6">
        <w:rPr>
          <w:rFonts w:ascii="Tahoma" w:eastAsia="Times New Roman" w:hAnsi="Tahoma" w:cs="Tahoma"/>
          <w:sz w:val="24"/>
          <w:szCs w:val="24"/>
        </w:rPr>
        <w:t>décision</w:t>
      </w:r>
      <w:r w:rsidRPr="002462E6">
        <w:rPr>
          <w:rFonts w:ascii="Tahoma" w:eastAsia="Times New Roman" w:hAnsi="Tahoma" w:cs="Tahoma"/>
          <w:spacing w:val="-6"/>
          <w:sz w:val="24"/>
          <w:szCs w:val="24"/>
        </w:rPr>
        <w:t xml:space="preserve"> </w:t>
      </w:r>
      <w:r w:rsidRPr="002462E6">
        <w:rPr>
          <w:rFonts w:ascii="Tahoma" w:eastAsia="Times New Roman" w:hAnsi="Tahoma" w:cs="Tahoma"/>
          <w:sz w:val="24"/>
          <w:szCs w:val="24"/>
        </w:rPr>
        <w:t>de</w:t>
      </w:r>
      <w:r w:rsidRPr="002462E6">
        <w:rPr>
          <w:rFonts w:ascii="Tahoma" w:eastAsia="Times New Roman" w:hAnsi="Tahoma" w:cs="Tahoma"/>
          <w:spacing w:val="-5"/>
          <w:sz w:val="24"/>
          <w:szCs w:val="24"/>
        </w:rPr>
        <w:t xml:space="preserve"> </w:t>
      </w:r>
      <w:r w:rsidRPr="002462E6">
        <w:rPr>
          <w:rFonts w:ascii="Tahoma" w:eastAsia="Times New Roman" w:hAnsi="Tahoma" w:cs="Tahoma"/>
          <w:sz w:val="24"/>
          <w:szCs w:val="24"/>
        </w:rPr>
        <w:t>la</w:t>
      </w:r>
      <w:r w:rsidRPr="002462E6">
        <w:rPr>
          <w:rFonts w:ascii="Tahoma" w:eastAsia="Times New Roman" w:hAnsi="Tahoma" w:cs="Tahoma"/>
          <w:spacing w:val="-7"/>
          <w:sz w:val="24"/>
          <w:szCs w:val="24"/>
        </w:rPr>
        <w:t xml:space="preserve"> </w:t>
      </w:r>
      <w:r w:rsidRPr="002462E6">
        <w:rPr>
          <w:rFonts w:ascii="Tahoma" w:eastAsia="Times New Roman" w:hAnsi="Tahoma" w:cs="Tahoma"/>
          <w:sz w:val="24"/>
          <w:szCs w:val="24"/>
        </w:rPr>
        <w:t>commission</w:t>
      </w:r>
      <w:r w:rsidRPr="002462E6">
        <w:rPr>
          <w:rFonts w:ascii="Tahoma" w:eastAsia="Times New Roman" w:hAnsi="Tahoma" w:cs="Tahoma"/>
          <w:spacing w:val="-4"/>
          <w:sz w:val="24"/>
          <w:szCs w:val="24"/>
        </w:rPr>
        <w:t xml:space="preserve"> </w:t>
      </w:r>
      <w:r w:rsidRPr="002462E6">
        <w:rPr>
          <w:rFonts w:ascii="Tahoma" w:eastAsia="Times New Roman" w:hAnsi="Tahoma" w:cs="Tahoma"/>
          <w:sz w:val="24"/>
          <w:szCs w:val="24"/>
        </w:rPr>
        <w:t>sont</w:t>
      </w:r>
      <w:r w:rsidRPr="002462E6">
        <w:rPr>
          <w:rFonts w:ascii="Tahoma" w:eastAsia="Times New Roman" w:hAnsi="Tahoma" w:cs="Tahoma"/>
          <w:spacing w:val="-5"/>
          <w:sz w:val="24"/>
          <w:szCs w:val="24"/>
        </w:rPr>
        <w:t xml:space="preserve"> </w:t>
      </w:r>
      <w:r w:rsidRPr="002462E6">
        <w:rPr>
          <w:rFonts w:ascii="Tahoma" w:eastAsia="Times New Roman" w:hAnsi="Tahoma" w:cs="Tahoma"/>
          <w:sz w:val="24"/>
          <w:szCs w:val="24"/>
        </w:rPr>
        <w:t>transcrites</w:t>
      </w:r>
      <w:r w:rsidRPr="002462E6">
        <w:rPr>
          <w:rFonts w:ascii="Tahoma" w:eastAsia="Times New Roman" w:hAnsi="Tahoma" w:cs="Tahoma"/>
          <w:spacing w:val="-6"/>
          <w:sz w:val="24"/>
          <w:szCs w:val="24"/>
        </w:rPr>
        <w:t xml:space="preserve"> </w:t>
      </w:r>
      <w:r w:rsidRPr="002462E6">
        <w:rPr>
          <w:rFonts w:ascii="Tahoma" w:eastAsia="Times New Roman" w:hAnsi="Tahoma" w:cs="Tahoma"/>
          <w:sz w:val="24"/>
          <w:szCs w:val="24"/>
        </w:rPr>
        <w:t>dans</w:t>
      </w:r>
      <w:r w:rsidRPr="002462E6">
        <w:rPr>
          <w:rFonts w:ascii="Tahoma" w:eastAsia="Times New Roman" w:hAnsi="Tahoma" w:cs="Tahoma"/>
          <w:spacing w:val="-5"/>
          <w:sz w:val="24"/>
          <w:szCs w:val="24"/>
        </w:rPr>
        <w:t xml:space="preserve"> </w:t>
      </w:r>
      <w:r w:rsidRPr="002462E6">
        <w:rPr>
          <w:rFonts w:ascii="Tahoma" w:eastAsia="Times New Roman" w:hAnsi="Tahoma" w:cs="Tahoma"/>
          <w:sz w:val="24"/>
          <w:szCs w:val="24"/>
        </w:rPr>
        <w:t>un</w:t>
      </w:r>
      <w:r w:rsidRPr="002462E6">
        <w:rPr>
          <w:rFonts w:ascii="Tahoma" w:eastAsia="Times New Roman" w:hAnsi="Tahoma" w:cs="Tahoma"/>
          <w:spacing w:val="-6"/>
          <w:sz w:val="24"/>
          <w:szCs w:val="24"/>
        </w:rPr>
        <w:t xml:space="preserve"> </w:t>
      </w:r>
      <w:r w:rsidRPr="002462E6">
        <w:rPr>
          <w:rFonts w:ascii="Tahoma" w:eastAsia="Times New Roman" w:hAnsi="Tahoma" w:cs="Tahoma"/>
          <w:sz w:val="24"/>
          <w:szCs w:val="24"/>
        </w:rPr>
        <w:t>procès-verbal</w:t>
      </w:r>
      <w:r w:rsidRPr="002462E6">
        <w:rPr>
          <w:rFonts w:ascii="Tahoma" w:eastAsia="Times New Roman" w:hAnsi="Tahoma" w:cs="Tahoma"/>
          <w:spacing w:val="-5"/>
          <w:sz w:val="24"/>
          <w:szCs w:val="24"/>
        </w:rPr>
        <w:t xml:space="preserve"> </w:t>
      </w:r>
      <w:r w:rsidRPr="002462E6">
        <w:rPr>
          <w:rFonts w:ascii="Tahoma" w:eastAsia="Times New Roman" w:hAnsi="Tahoma" w:cs="Tahoma"/>
          <w:sz w:val="24"/>
          <w:szCs w:val="24"/>
        </w:rPr>
        <w:t>daté,</w:t>
      </w:r>
      <w:r w:rsidRPr="002462E6">
        <w:rPr>
          <w:rFonts w:ascii="Tahoma" w:eastAsia="Times New Roman" w:hAnsi="Tahoma" w:cs="Tahoma"/>
          <w:spacing w:val="-6"/>
          <w:sz w:val="24"/>
          <w:szCs w:val="24"/>
        </w:rPr>
        <w:t xml:space="preserve"> </w:t>
      </w:r>
      <w:r w:rsidRPr="002462E6">
        <w:rPr>
          <w:rFonts w:ascii="Tahoma" w:eastAsia="Times New Roman" w:hAnsi="Tahoma" w:cs="Tahoma"/>
          <w:sz w:val="24"/>
          <w:szCs w:val="24"/>
        </w:rPr>
        <w:t>signé</w:t>
      </w:r>
      <w:r w:rsidRPr="002462E6">
        <w:rPr>
          <w:rFonts w:ascii="Tahoma" w:eastAsia="Times New Roman" w:hAnsi="Tahoma" w:cs="Tahoma"/>
          <w:spacing w:val="-57"/>
          <w:sz w:val="24"/>
          <w:szCs w:val="24"/>
        </w:rPr>
        <w:t xml:space="preserve"> </w:t>
      </w:r>
      <w:r w:rsidRPr="002462E6">
        <w:rPr>
          <w:rFonts w:ascii="Tahoma" w:eastAsia="Times New Roman" w:hAnsi="Tahoma" w:cs="Tahoma"/>
          <w:sz w:val="24"/>
          <w:szCs w:val="24"/>
        </w:rPr>
        <w:t>des membres et joint au projet de décret portant déclassement du régime forestier de la parcelle</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visée.</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Lorsque</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l’avis</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des</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responsables</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des</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départements</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de</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l’Intérieur,</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des</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Finances</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et</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de</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l’Agriculture est favorable, le décret du déclassement après visa du Chef de Gouvernement, est</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publié</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au Bulletin Officiel (B.O).</w:t>
      </w:r>
    </w:p>
    <w:p w:rsidR="00726EDC" w:rsidRPr="002462E6" w:rsidRDefault="00726EDC" w:rsidP="00726EDC">
      <w:pPr>
        <w:widowControl w:val="0"/>
        <w:autoSpaceDE w:val="0"/>
        <w:autoSpaceDN w:val="0"/>
        <w:spacing w:after="0" w:line="360" w:lineRule="auto"/>
        <w:jc w:val="both"/>
        <w:rPr>
          <w:rFonts w:ascii="Tahoma" w:eastAsia="Times New Roman" w:hAnsi="Tahoma" w:cs="Tahoma"/>
          <w:sz w:val="24"/>
          <w:szCs w:val="24"/>
        </w:rPr>
      </w:pPr>
      <w:r w:rsidRPr="002462E6">
        <w:rPr>
          <w:rFonts w:ascii="Tahoma" w:eastAsia="Times New Roman" w:hAnsi="Tahoma" w:cs="Tahoma"/>
          <w:sz w:val="24"/>
          <w:szCs w:val="24"/>
        </w:rPr>
        <w:t>Après</w:t>
      </w:r>
      <w:r w:rsidRPr="002462E6">
        <w:rPr>
          <w:rFonts w:ascii="Tahoma" w:eastAsia="Times New Roman" w:hAnsi="Tahoma" w:cs="Tahoma"/>
          <w:spacing w:val="-6"/>
          <w:sz w:val="24"/>
          <w:szCs w:val="24"/>
        </w:rPr>
        <w:t xml:space="preserve"> </w:t>
      </w:r>
      <w:r w:rsidRPr="002462E6">
        <w:rPr>
          <w:rFonts w:ascii="Tahoma" w:eastAsia="Times New Roman" w:hAnsi="Tahoma" w:cs="Tahoma"/>
          <w:sz w:val="24"/>
          <w:szCs w:val="24"/>
        </w:rPr>
        <w:t>l’achèvement</w:t>
      </w:r>
      <w:r w:rsidRPr="002462E6">
        <w:rPr>
          <w:rFonts w:ascii="Tahoma" w:eastAsia="Times New Roman" w:hAnsi="Tahoma" w:cs="Tahoma"/>
          <w:spacing w:val="-4"/>
          <w:sz w:val="24"/>
          <w:szCs w:val="24"/>
        </w:rPr>
        <w:t xml:space="preserve"> </w:t>
      </w:r>
      <w:r w:rsidRPr="002462E6">
        <w:rPr>
          <w:rFonts w:ascii="Tahoma" w:eastAsia="Times New Roman" w:hAnsi="Tahoma" w:cs="Tahoma"/>
          <w:sz w:val="24"/>
          <w:szCs w:val="24"/>
        </w:rPr>
        <w:t>de</w:t>
      </w:r>
      <w:r w:rsidRPr="002462E6">
        <w:rPr>
          <w:rFonts w:ascii="Tahoma" w:eastAsia="Times New Roman" w:hAnsi="Tahoma" w:cs="Tahoma"/>
          <w:spacing w:val="-5"/>
          <w:sz w:val="24"/>
          <w:szCs w:val="24"/>
        </w:rPr>
        <w:t xml:space="preserve"> </w:t>
      </w:r>
      <w:r w:rsidRPr="002462E6">
        <w:rPr>
          <w:rFonts w:ascii="Tahoma" w:eastAsia="Times New Roman" w:hAnsi="Tahoma" w:cs="Tahoma"/>
          <w:sz w:val="24"/>
          <w:szCs w:val="24"/>
        </w:rPr>
        <w:t>cette</w:t>
      </w:r>
      <w:r w:rsidRPr="002462E6">
        <w:rPr>
          <w:rFonts w:ascii="Tahoma" w:eastAsia="Times New Roman" w:hAnsi="Tahoma" w:cs="Tahoma"/>
          <w:spacing w:val="-4"/>
          <w:sz w:val="24"/>
          <w:szCs w:val="24"/>
        </w:rPr>
        <w:t xml:space="preserve"> </w:t>
      </w:r>
      <w:r w:rsidRPr="002462E6">
        <w:rPr>
          <w:rFonts w:ascii="Tahoma" w:eastAsia="Times New Roman" w:hAnsi="Tahoma" w:cs="Tahoma"/>
          <w:sz w:val="24"/>
          <w:szCs w:val="24"/>
        </w:rPr>
        <w:t>procédure,</w:t>
      </w:r>
      <w:r w:rsidRPr="002462E6">
        <w:rPr>
          <w:rFonts w:ascii="Tahoma" w:eastAsia="Times New Roman" w:hAnsi="Tahoma" w:cs="Tahoma"/>
          <w:spacing w:val="-5"/>
          <w:sz w:val="24"/>
          <w:szCs w:val="24"/>
        </w:rPr>
        <w:t xml:space="preserve"> </w:t>
      </w:r>
      <w:r w:rsidRPr="002462E6">
        <w:rPr>
          <w:rFonts w:ascii="Tahoma" w:eastAsia="Times New Roman" w:hAnsi="Tahoma" w:cs="Tahoma"/>
          <w:sz w:val="24"/>
          <w:szCs w:val="24"/>
        </w:rPr>
        <w:t>le</w:t>
      </w:r>
      <w:r w:rsidRPr="002462E6">
        <w:rPr>
          <w:rFonts w:ascii="Tahoma" w:eastAsia="Times New Roman" w:hAnsi="Tahoma" w:cs="Tahoma"/>
          <w:spacing w:val="-5"/>
          <w:sz w:val="24"/>
          <w:szCs w:val="24"/>
        </w:rPr>
        <w:t xml:space="preserve"> </w:t>
      </w:r>
      <w:r w:rsidRPr="002462E6">
        <w:rPr>
          <w:rFonts w:ascii="Tahoma" w:eastAsia="Times New Roman" w:hAnsi="Tahoma" w:cs="Tahoma"/>
          <w:sz w:val="24"/>
          <w:szCs w:val="24"/>
        </w:rPr>
        <w:t>caractère</w:t>
      </w:r>
      <w:r w:rsidRPr="002462E6">
        <w:rPr>
          <w:rFonts w:ascii="Tahoma" w:eastAsia="Times New Roman" w:hAnsi="Tahoma" w:cs="Tahoma"/>
          <w:spacing w:val="-5"/>
          <w:sz w:val="24"/>
          <w:szCs w:val="24"/>
        </w:rPr>
        <w:t xml:space="preserve"> </w:t>
      </w:r>
      <w:r w:rsidRPr="002462E6">
        <w:rPr>
          <w:rFonts w:ascii="Tahoma" w:eastAsia="Times New Roman" w:hAnsi="Tahoma" w:cs="Tahoma"/>
          <w:sz w:val="24"/>
          <w:szCs w:val="24"/>
        </w:rPr>
        <w:t>inaliénable</w:t>
      </w:r>
      <w:r w:rsidRPr="002462E6">
        <w:rPr>
          <w:rFonts w:ascii="Tahoma" w:eastAsia="Times New Roman" w:hAnsi="Tahoma" w:cs="Tahoma"/>
          <w:spacing w:val="-5"/>
          <w:sz w:val="24"/>
          <w:szCs w:val="24"/>
        </w:rPr>
        <w:t xml:space="preserve"> </w:t>
      </w:r>
      <w:r w:rsidRPr="002462E6">
        <w:rPr>
          <w:rFonts w:ascii="Tahoma" w:eastAsia="Times New Roman" w:hAnsi="Tahoma" w:cs="Tahoma"/>
          <w:sz w:val="24"/>
          <w:szCs w:val="24"/>
        </w:rPr>
        <w:t>du</w:t>
      </w:r>
      <w:r w:rsidRPr="002462E6">
        <w:rPr>
          <w:rFonts w:ascii="Tahoma" w:eastAsia="Times New Roman" w:hAnsi="Tahoma" w:cs="Tahoma"/>
          <w:spacing w:val="-6"/>
          <w:sz w:val="24"/>
          <w:szCs w:val="24"/>
        </w:rPr>
        <w:t xml:space="preserve"> </w:t>
      </w:r>
      <w:r w:rsidRPr="002462E6">
        <w:rPr>
          <w:rFonts w:ascii="Tahoma" w:eastAsia="Times New Roman" w:hAnsi="Tahoma" w:cs="Tahoma"/>
          <w:sz w:val="24"/>
          <w:szCs w:val="24"/>
        </w:rPr>
        <w:t>domaine</w:t>
      </w:r>
      <w:r w:rsidRPr="002462E6">
        <w:rPr>
          <w:rFonts w:ascii="Tahoma" w:eastAsia="Times New Roman" w:hAnsi="Tahoma" w:cs="Tahoma"/>
          <w:spacing w:val="-4"/>
          <w:sz w:val="24"/>
          <w:szCs w:val="24"/>
        </w:rPr>
        <w:t xml:space="preserve"> </w:t>
      </w:r>
      <w:r w:rsidRPr="002462E6">
        <w:rPr>
          <w:rFonts w:ascii="Tahoma" w:eastAsia="Times New Roman" w:hAnsi="Tahoma" w:cs="Tahoma"/>
          <w:sz w:val="24"/>
          <w:szCs w:val="24"/>
        </w:rPr>
        <w:t>forestier</w:t>
      </w:r>
      <w:r w:rsidRPr="002462E6">
        <w:rPr>
          <w:rFonts w:ascii="Tahoma" w:eastAsia="Times New Roman" w:hAnsi="Tahoma" w:cs="Tahoma"/>
          <w:spacing w:val="-5"/>
          <w:sz w:val="24"/>
          <w:szCs w:val="24"/>
        </w:rPr>
        <w:t xml:space="preserve"> </w:t>
      </w:r>
      <w:r w:rsidRPr="002462E6">
        <w:rPr>
          <w:rFonts w:ascii="Tahoma" w:eastAsia="Times New Roman" w:hAnsi="Tahoma" w:cs="Tahoma"/>
          <w:sz w:val="24"/>
          <w:szCs w:val="24"/>
        </w:rPr>
        <w:t>est</w:t>
      </w:r>
      <w:r w:rsidRPr="002462E6">
        <w:rPr>
          <w:rFonts w:ascii="Tahoma" w:eastAsia="Times New Roman" w:hAnsi="Tahoma" w:cs="Tahoma"/>
          <w:spacing w:val="-5"/>
          <w:sz w:val="24"/>
          <w:szCs w:val="24"/>
        </w:rPr>
        <w:t xml:space="preserve"> </w:t>
      </w:r>
      <w:r w:rsidRPr="002462E6">
        <w:rPr>
          <w:rFonts w:ascii="Tahoma" w:eastAsia="Times New Roman" w:hAnsi="Tahoma" w:cs="Tahoma"/>
          <w:sz w:val="24"/>
          <w:szCs w:val="24"/>
        </w:rPr>
        <w:t>levé,</w:t>
      </w:r>
      <w:r w:rsidRPr="002462E6">
        <w:rPr>
          <w:rFonts w:ascii="Tahoma" w:eastAsia="Times New Roman" w:hAnsi="Tahoma" w:cs="Tahoma"/>
          <w:spacing w:val="-6"/>
          <w:sz w:val="24"/>
          <w:szCs w:val="24"/>
        </w:rPr>
        <w:t xml:space="preserve"> </w:t>
      </w:r>
      <w:r w:rsidRPr="002462E6">
        <w:rPr>
          <w:rFonts w:ascii="Tahoma" w:eastAsia="Times New Roman" w:hAnsi="Tahoma" w:cs="Tahoma"/>
          <w:sz w:val="24"/>
          <w:szCs w:val="24"/>
        </w:rPr>
        <w:t>et</w:t>
      </w:r>
      <w:r w:rsidRPr="002462E6">
        <w:rPr>
          <w:rFonts w:ascii="Tahoma" w:eastAsia="Times New Roman" w:hAnsi="Tahoma" w:cs="Tahoma"/>
          <w:spacing w:val="-4"/>
          <w:sz w:val="24"/>
          <w:szCs w:val="24"/>
        </w:rPr>
        <w:t xml:space="preserve"> </w:t>
      </w:r>
      <w:r w:rsidRPr="002462E6">
        <w:rPr>
          <w:rFonts w:ascii="Tahoma" w:eastAsia="Times New Roman" w:hAnsi="Tahoma" w:cs="Tahoma"/>
          <w:sz w:val="24"/>
          <w:szCs w:val="24"/>
        </w:rPr>
        <w:t>sa</w:t>
      </w:r>
      <w:r w:rsidRPr="002462E6">
        <w:rPr>
          <w:rFonts w:ascii="Tahoma" w:eastAsia="Times New Roman" w:hAnsi="Tahoma" w:cs="Tahoma"/>
          <w:spacing w:val="-58"/>
          <w:sz w:val="24"/>
          <w:szCs w:val="24"/>
        </w:rPr>
        <w:t xml:space="preserve"> </w:t>
      </w:r>
      <w:r w:rsidRPr="002462E6">
        <w:rPr>
          <w:rFonts w:ascii="Tahoma" w:eastAsia="Times New Roman" w:hAnsi="Tahoma" w:cs="Tahoma"/>
          <w:sz w:val="24"/>
          <w:szCs w:val="24"/>
        </w:rPr>
        <w:t>cession devient alors autorisée.</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Quant à l’échange immobilier</w:t>
      </w:r>
      <w:r w:rsidRPr="002462E6">
        <w:rPr>
          <w:rFonts w:ascii="Tahoma" w:eastAsia="Times New Roman" w:hAnsi="Tahoma" w:cs="Tahoma"/>
          <w:sz w:val="24"/>
          <w:szCs w:val="24"/>
          <w:vertAlign w:val="superscript"/>
        </w:rPr>
        <w:footnoteReference w:id="274"/>
      </w:r>
      <w:r w:rsidRPr="002462E6">
        <w:rPr>
          <w:rFonts w:ascii="Tahoma" w:eastAsia="Times New Roman" w:hAnsi="Tahoma" w:cs="Tahoma"/>
          <w:sz w:val="24"/>
          <w:szCs w:val="24"/>
        </w:rPr>
        <w:t>, il est aussi autorisé par décret et</w:t>
      </w:r>
      <w:r w:rsidRPr="002462E6">
        <w:rPr>
          <w:rFonts w:ascii="Tahoma" w:eastAsia="Times New Roman" w:hAnsi="Tahoma" w:cs="Tahoma"/>
          <w:spacing w:val="-57"/>
          <w:sz w:val="24"/>
          <w:szCs w:val="24"/>
        </w:rPr>
        <w:t xml:space="preserve"> </w:t>
      </w:r>
      <w:r w:rsidRPr="002462E6">
        <w:rPr>
          <w:rFonts w:ascii="Tahoma" w:eastAsia="Times New Roman" w:hAnsi="Tahoma" w:cs="Tahoma"/>
          <w:sz w:val="24"/>
          <w:szCs w:val="24"/>
        </w:rPr>
        <w:t>il</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peut être réalisé avec ou sans soulte</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en argent.</w:t>
      </w:r>
    </w:p>
    <w:p w:rsidR="00726EDC" w:rsidRDefault="00726EDC" w:rsidP="00726EDC">
      <w:pPr>
        <w:widowControl w:val="0"/>
        <w:autoSpaceDE w:val="0"/>
        <w:autoSpaceDN w:val="0"/>
        <w:spacing w:before="160" w:after="0" w:line="360" w:lineRule="auto"/>
        <w:jc w:val="both"/>
        <w:rPr>
          <w:rFonts w:ascii="Tahoma" w:eastAsia="Times New Roman" w:hAnsi="Tahoma" w:cs="Tahoma"/>
          <w:sz w:val="24"/>
          <w:szCs w:val="24"/>
        </w:rPr>
      </w:pPr>
      <w:r w:rsidRPr="002462E6">
        <w:rPr>
          <w:rFonts w:ascii="Tahoma" w:eastAsia="Times New Roman" w:hAnsi="Tahoma" w:cs="Tahoma"/>
          <w:sz w:val="24"/>
          <w:szCs w:val="24"/>
        </w:rPr>
        <w:t>En cas d'aliénation du domaine forestier après distraction du régime forestier et, éventuellement,</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en cas d'échange immobilier, le produit de la cession ou le montant de la soulte est versé au fonds</w:t>
      </w:r>
      <w:r w:rsidRPr="002462E6">
        <w:rPr>
          <w:rFonts w:ascii="Tahoma" w:eastAsia="Times New Roman" w:hAnsi="Tahoma" w:cs="Tahoma"/>
          <w:spacing w:val="-57"/>
          <w:sz w:val="24"/>
          <w:szCs w:val="24"/>
        </w:rPr>
        <w:t xml:space="preserve"> </w:t>
      </w:r>
      <w:r w:rsidRPr="002462E6">
        <w:rPr>
          <w:rFonts w:ascii="Tahoma" w:eastAsia="Times New Roman" w:hAnsi="Tahoma" w:cs="Tahoma"/>
          <w:sz w:val="24"/>
          <w:szCs w:val="24"/>
        </w:rPr>
        <w:t>de remploi domanial, institué par le Dahir du 5 rejeb 1348 (7 décembre 1929) réglementant les</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remplois</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domaniaux, pour être réemployés à</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l'acquisition</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de terres à reboiser</w:t>
      </w:r>
      <w:r w:rsidRPr="002462E6">
        <w:rPr>
          <w:rFonts w:ascii="Tahoma" w:eastAsia="Times New Roman" w:hAnsi="Tahoma" w:cs="Tahoma"/>
          <w:sz w:val="24"/>
          <w:szCs w:val="24"/>
          <w:vertAlign w:val="superscript"/>
        </w:rPr>
        <w:footnoteReference w:id="275"/>
      </w:r>
      <w:r w:rsidRPr="002462E6">
        <w:rPr>
          <w:rFonts w:ascii="Tahoma" w:eastAsia="Times New Roman" w:hAnsi="Tahoma" w:cs="Tahoma"/>
          <w:sz w:val="24"/>
          <w:szCs w:val="24"/>
        </w:rPr>
        <w:t>.</w:t>
      </w:r>
    </w:p>
    <w:p w:rsidR="00726EDC" w:rsidRPr="002462E6" w:rsidRDefault="00726EDC" w:rsidP="008D3838">
      <w:pPr>
        <w:pStyle w:val="Titre6"/>
      </w:pPr>
      <w:bookmarkStart w:id="242" w:name="_Toc203643036"/>
      <w:r w:rsidRPr="002462E6">
        <w:t>Le caractère insaisissable du domaine forestier</w:t>
      </w:r>
      <w:bookmarkEnd w:id="242"/>
    </w:p>
    <w:p w:rsidR="00247FE0" w:rsidRPr="002462E6" w:rsidRDefault="00726EDC" w:rsidP="001462F5">
      <w:pPr>
        <w:widowControl w:val="0"/>
        <w:autoSpaceDE w:val="0"/>
        <w:autoSpaceDN w:val="0"/>
        <w:spacing w:after="0" w:line="360" w:lineRule="auto"/>
        <w:jc w:val="both"/>
        <w:rPr>
          <w:rFonts w:ascii="Tahoma" w:eastAsia="Times New Roman" w:hAnsi="Tahoma" w:cs="Tahoma"/>
          <w:sz w:val="24"/>
          <w:szCs w:val="24"/>
        </w:rPr>
      </w:pPr>
      <w:r w:rsidRPr="002462E6">
        <w:rPr>
          <w:rFonts w:ascii="Tahoma" w:eastAsia="Times New Roman" w:hAnsi="Tahoma" w:cs="Tahoma"/>
          <w:sz w:val="24"/>
          <w:szCs w:val="24"/>
        </w:rPr>
        <w:t>Etant</w:t>
      </w:r>
      <w:r w:rsidRPr="002462E6">
        <w:rPr>
          <w:rFonts w:ascii="Tahoma" w:eastAsia="Times New Roman" w:hAnsi="Tahoma" w:cs="Tahoma"/>
          <w:spacing w:val="-12"/>
          <w:sz w:val="24"/>
          <w:szCs w:val="24"/>
        </w:rPr>
        <w:t xml:space="preserve"> </w:t>
      </w:r>
      <w:r w:rsidRPr="002462E6">
        <w:rPr>
          <w:rFonts w:ascii="Tahoma" w:eastAsia="Times New Roman" w:hAnsi="Tahoma" w:cs="Tahoma"/>
          <w:sz w:val="24"/>
          <w:szCs w:val="24"/>
        </w:rPr>
        <w:t>un</w:t>
      </w:r>
      <w:r w:rsidRPr="002462E6">
        <w:rPr>
          <w:rFonts w:ascii="Tahoma" w:eastAsia="Times New Roman" w:hAnsi="Tahoma" w:cs="Tahoma"/>
          <w:spacing w:val="-11"/>
          <w:sz w:val="24"/>
          <w:szCs w:val="24"/>
        </w:rPr>
        <w:t xml:space="preserve"> </w:t>
      </w:r>
      <w:r w:rsidRPr="002462E6">
        <w:rPr>
          <w:rFonts w:ascii="Tahoma" w:eastAsia="Times New Roman" w:hAnsi="Tahoma" w:cs="Tahoma"/>
          <w:sz w:val="24"/>
          <w:szCs w:val="24"/>
        </w:rPr>
        <w:t>bien</w:t>
      </w:r>
      <w:r w:rsidRPr="002462E6">
        <w:rPr>
          <w:rFonts w:ascii="Tahoma" w:eastAsia="Times New Roman" w:hAnsi="Tahoma" w:cs="Tahoma"/>
          <w:spacing w:val="-13"/>
          <w:sz w:val="24"/>
          <w:szCs w:val="24"/>
        </w:rPr>
        <w:t xml:space="preserve"> </w:t>
      </w:r>
      <w:r w:rsidRPr="002462E6">
        <w:rPr>
          <w:rFonts w:ascii="Tahoma" w:eastAsia="Times New Roman" w:hAnsi="Tahoma" w:cs="Tahoma"/>
          <w:sz w:val="24"/>
          <w:szCs w:val="24"/>
        </w:rPr>
        <w:t>domanial,</w:t>
      </w:r>
      <w:r w:rsidRPr="002462E6">
        <w:rPr>
          <w:rFonts w:ascii="Tahoma" w:eastAsia="Times New Roman" w:hAnsi="Tahoma" w:cs="Tahoma"/>
          <w:spacing w:val="-11"/>
          <w:sz w:val="24"/>
          <w:szCs w:val="24"/>
        </w:rPr>
        <w:t xml:space="preserve"> </w:t>
      </w:r>
      <w:r w:rsidRPr="002462E6">
        <w:rPr>
          <w:rFonts w:ascii="Tahoma" w:eastAsia="Times New Roman" w:hAnsi="Tahoma" w:cs="Tahoma"/>
          <w:sz w:val="24"/>
          <w:szCs w:val="24"/>
        </w:rPr>
        <w:t>le</w:t>
      </w:r>
      <w:r w:rsidRPr="002462E6">
        <w:rPr>
          <w:rFonts w:ascii="Tahoma" w:eastAsia="Times New Roman" w:hAnsi="Tahoma" w:cs="Tahoma"/>
          <w:spacing w:val="-11"/>
          <w:sz w:val="24"/>
          <w:szCs w:val="24"/>
        </w:rPr>
        <w:t xml:space="preserve"> </w:t>
      </w:r>
      <w:r w:rsidRPr="002462E6">
        <w:rPr>
          <w:rFonts w:ascii="Tahoma" w:eastAsia="Times New Roman" w:hAnsi="Tahoma" w:cs="Tahoma"/>
          <w:sz w:val="24"/>
          <w:szCs w:val="24"/>
        </w:rPr>
        <w:t>DF</w:t>
      </w:r>
      <w:r w:rsidRPr="002462E6">
        <w:rPr>
          <w:rFonts w:ascii="Tahoma" w:eastAsia="Times New Roman" w:hAnsi="Tahoma" w:cs="Tahoma"/>
          <w:spacing w:val="-11"/>
          <w:sz w:val="24"/>
          <w:szCs w:val="24"/>
        </w:rPr>
        <w:t xml:space="preserve"> </w:t>
      </w:r>
      <w:r w:rsidRPr="002462E6">
        <w:rPr>
          <w:rFonts w:ascii="Tahoma" w:eastAsia="Times New Roman" w:hAnsi="Tahoma" w:cs="Tahoma"/>
          <w:sz w:val="24"/>
          <w:szCs w:val="24"/>
        </w:rPr>
        <w:t>est</w:t>
      </w:r>
      <w:r w:rsidRPr="002462E6">
        <w:rPr>
          <w:rFonts w:ascii="Tahoma" w:eastAsia="Times New Roman" w:hAnsi="Tahoma" w:cs="Tahoma"/>
          <w:spacing w:val="-11"/>
          <w:sz w:val="24"/>
          <w:szCs w:val="24"/>
        </w:rPr>
        <w:t xml:space="preserve"> </w:t>
      </w:r>
      <w:r w:rsidRPr="002462E6">
        <w:rPr>
          <w:rFonts w:ascii="Tahoma" w:eastAsia="Times New Roman" w:hAnsi="Tahoma" w:cs="Tahoma"/>
          <w:sz w:val="24"/>
          <w:szCs w:val="24"/>
        </w:rPr>
        <w:t>insaisissable,</w:t>
      </w:r>
      <w:r w:rsidRPr="002462E6">
        <w:rPr>
          <w:rFonts w:ascii="Tahoma" w:eastAsia="Times New Roman" w:hAnsi="Tahoma" w:cs="Tahoma"/>
          <w:spacing w:val="-11"/>
          <w:sz w:val="24"/>
          <w:szCs w:val="24"/>
        </w:rPr>
        <w:t xml:space="preserve"> </w:t>
      </w:r>
      <w:r w:rsidRPr="002462E6">
        <w:rPr>
          <w:rFonts w:ascii="Tahoma" w:eastAsia="Times New Roman" w:hAnsi="Tahoma" w:cs="Tahoma"/>
          <w:sz w:val="24"/>
          <w:szCs w:val="24"/>
        </w:rPr>
        <w:t>en</w:t>
      </w:r>
      <w:r w:rsidRPr="002462E6">
        <w:rPr>
          <w:rFonts w:ascii="Tahoma" w:eastAsia="Times New Roman" w:hAnsi="Tahoma" w:cs="Tahoma"/>
          <w:spacing w:val="-11"/>
          <w:sz w:val="24"/>
          <w:szCs w:val="24"/>
        </w:rPr>
        <w:t xml:space="preserve"> </w:t>
      </w:r>
      <w:r w:rsidRPr="002462E6">
        <w:rPr>
          <w:rFonts w:ascii="Tahoma" w:eastAsia="Times New Roman" w:hAnsi="Tahoma" w:cs="Tahoma"/>
          <w:sz w:val="24"/>
          <w:szCs w:val="24"/>
        </w:rPr>
        <w:t>ce</w:t>
      </w:r>
      <w:r w:rsidRPr="002462E6">
        <w:rPr>
          <w:rFonts w:ascii="Tahoma" w:eastAsia="Times New Roman" w:hAnsi="Tahoma" w:cs="Tahoma"/>
          <w:spacing w:val="-11"/>
          <w:sz w:val="24"/>
          <w:szCs w:val="24"/>
        </w:rPr>
        <w:t xml:space="preserve"> </w:t>
      </w:r>
      <w:r w:rsidRPr="002462E6">
        <w:rPr>
          <w:rFonts w:ascii="Tahoma" w:eastAsia="Times New Roman" w:hAnsi="Tahoma" w:cs="Tahoma"/>
          <w:sz w:val="24"/>
          <w:szCs w:val="24"/>
        </w:rPr>
        <w:t>sens</w:t>
      </w:r>
      <w:r w:rsidRPr="002462E6">
        <w:rPr>
          <w:rFonts w:ascii="Tahoma" w:eastAsia="Times New Roman" w:hAnsi="Tahoma" w:cs="Tahoma"/>
          <w:spacing w:val="-12"/>
          <w:sz w:val="24"/>
          <w:szCs w:val="24"/>
        </w:rPr>
        <w:t xml:space="preserve"> </w:t>
      </w:r>
      <w:r w:rsidRPr="002462E6">
        <w:rPr>
          <w:rFonts w:ascii="Tahoma" w:eastAsia="Times New Roman" w:hAnsi="Tahoma" w:cs="Tahoma"/>
          <w:sz w:val="24"/>
          <w:szCs w:val="24"/>
        </w:rPr>
        <w:t>qu’il</w:t>
      </w:r>
      <w:r w:rsidRPr="002462E6">
        <w:rPr>
          <w:rFonts w:ascii="Tahoma" w:eastAsia="Times New Roman" w:hAnsi="Tahoma" w:cs="Tahoma"/>
          <w:spacing w:val="-12"/>
          <w:sz w:val="24"/>
          <w:szCs w:val="24"/>
        </w:rPr>
        <w:t xml:space="preserve"> </w:t>
      </w:r>
      <w:r w:rsidRPr="002462E6">
        <w:rPr>
          <w:rFonts w:ascii="Tahoma" w:eastAsia="Times New Roman" w:hAnsi="Tahoma" w:cs="Tahoma"/>
          <w:sz w:val="24"/>
          <w:szCs w:val="24"/>
        </w:rPr>
        <w:t>ne</w:t>
      </w:r>
      <w:r w:rsidRPr="002462E6">
        <w:rPr>
          <w:rFonts w:ascii="Tahoma" w:eastAsia="Times New Roman" w:hAnsi="Tahoma" w:cs="Tahoma"/>
          <w:spacing w:val="-11"/>
          <w:sz w:val="24"/>
          <w:szCs w:val="24"/>
        </w:rPr>
        <w:t xml:space="preserve"> </w:t>
      </w:r>
      <w:r w:rsidRPr="002462E6">
        <w:rPr>
          <w:rFonts w:ascii="Tahoma" w:eastAsia="Times New Roman" w:hAnsi="Tahoma" w:cs="Tahoma"/>
          <w:sz w:val="24"/>
          <w:szCs w:val="24"/>
        </w:rPr>
        <w:t>peut</w:t>
      </w:r>
      <w:r w:rsidRPr="002462E6">
        <w:rPr>
          <w:rFonts w:ascii="Tahoma" w:eastAsia="Times New Roman" w:hAnsi="Tahoma" w:cs="Tahoma"/>
          <w:spacing w:val="-10"/>
          <w:sz w:val="24"/>
          <w:szCs w:val="24"/>
        </w:rPr>
        <w:t xml:space="preserve"> </w:t>
      </w:r>
      <w:r w:rsidRPr="002462E6">
        <w:rPr>
          <w:rFonts w:ascii="Tahoma" w:eastAsia="Times New Roman" w:hAnsi="Tahoma" w:cs="Tahoma"/>
          <w:sz w:val="24"/>
          <w:szCs w:val="24"/>
        </w:rPr>
        <w:t>faire</w:t>
      </w:r>
      <w:r w:rsidRPr="002462E6">
        <w:rPr>
          <w:rFonts w:ascii="Tahoma" w:eastAsia="Times New Roman" w:hAnsi="Tahoma" w:cs="Tahoma"/>
          <w:spacing w:val="-12"/>
          <w:sz w:val="24"/>
          <w:szCs w:val="24"/>
        </w:rPr>
        <w:t xml:space="preserve"> </w:t>
      </w:r>
      <w:r w:rsidRPr="002462E6">
        <w:rPr>
          <w:rFonts w:ascii="Tahoma" w:eastAsia="Times New Roman" w:hAnsi="Tahoma" w:cs="Tahoma"/>
          <w:sz w:val="24"/>
          <w:szCs w:val="24"/>
        </w:rPr>
        <w:t>l’objet</w:t>
      </w:r>
      <w:r w:rsidRPr="002462E6">
        <w:rPr>
          <w:rFonts w:ascii="Tahoma" w:eastAsia="Times New Roman" w:hAnsi="Tahoma" w:cs="Tahoma"/>
          <w:spacing w:val="-11"/>
          <w:sz w:val="24"/>
          <w:szCs w:val="24"/>
        </w:rPr>
        <w:t xml:space="preserve"> </w:t>
      </w:r>
      <w:r w:rsidRPr="002462E6">
        <w:rPr>
          <w:rFonts w:ascii="Tahoma" w:eastAsia="Times New Roman" w:hAnsi="Tahoma" w:cs="Tahoma"/>
          <w:sz w:val="24"/>
          <w:szCs w:val="24"/>
        </w:rPr>
        <w:t>d’une</w:t>
      </w:r>
      <w:r w:rsidRPr="002462E6">
        <w:rPr>
          <w:rFonts w:ascii="Tahoma" w:eastAsia="Times New Roman" w:hAnsi="Tahoma" w:cs="Tahoma"/>
          <w:spacing w:val="-12"/>
          <w:sz w:val="24"/>
          <w:szCs w:val="24"/>
        </w:rPr>
        <w:t xml:space="preserve"> </w:t>
      </w:r>
      <w:r w:rsidRPr="002462E6">
        <w:rPr>
          <w:rFonts w:ascii="Tahoma" w:eastAsia="Times New Roman" w:hAnsi="Tahoma" w:cs="Tahoma"/>
          <w:sz w:val="24"/>
          <w:szCs w:val="24"/>
        </w:rPr>
        <w:t>décision</w:t>
      </w:r>
      <w:r w:rsidRPr="002462E6">
        <w:rPr>
          <w:rFonts w:ascii="Tahoma" w:eastAsia="Times New Roman" w:hAnsi="Tahoma" w:cs="Tahoma"/>
          <w:spacing w:val="-11"/>
          <w:sz w:val="24"/>
          <w:szCs w:val="24"/>
        </w:rPr>
        <w:t xml:space="preserve"> </w:t>
      </w:r>
      <w:r w:rsidRPr="002462E6">
        <w:rPr>
          <w:rFonts w:ascii="Tahoma" w:eastAsia="Times New Roman" w:hAnsi="Tahoma" w:cs="Tahoma"/>
          <w:sz w:val="24"/>
          <w:szCs w:val="24"/>
        </w:rPr>
        <w:t>judiciaire</w:t>
      </w:r>
      <w:r w:rsidRPr="002462E6">
        <w:rPr>
          <w:rFonts w:ascii="Tahoma" w:eastAsia="Times New Roman" w:hAnsi="Tahoma" w:cs="Tahoma"/>
          <w:spacing w:val="-52"/>
          <w:sz w:val="24"/>
          <w:szCs w:val="24"/>
        </w:rPr>
        <w:t xml:space="preserve"> </w:t>
      </w:r>
      <w:r w:rsidRPr="002462E6">
        <w:rPr>
          <w:rFonts w:ascii="Tahoma" w:eastAsia="Times New Roman" w:hAnsi="Tahoma" w:cs="Tahoma"/>
          <w:sz w:val="24"/>
          <w:szCs w:val="24"/>
        </w:rPr>
        <w:t>ordonnant</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la</w:t>
      </w:r>
      <w:r w:rsidRPr="002462E6">
        <w:rPr>
          <w:rFonts w:ascii="Tahoma" w:eastAsia="Times New Roman" w:hAnsi="Tahoma" w:cs="Tahoma"/>
          <w:spacing w:val="-3"/>
          <w:sz w:val="24"/>
          <w:szCs w:val="24"/>
        </w:rPr>
        <w:t xml:space="preserve"> </w:t>
      </w:r>
      <w:r w:rsidRPr="002462E6">
        <w:rPr>
          <w:rFonts w:ascii="Tahoma" w:eastAsia="Times New Roman" w:hAnsi="Tahoma" w:cs="Tahoma"/>
          <w:sz w:val="24"/>
          <w:szCs w:val="24"/>
        </w:rPr>
        <w:t>saisie</w:t>
      </w:r>
      <w:r w:rsidRPr="002462E6">
        <w:rPr>
          <w:rFonts w:ascii="Tahoma" w:eastAsia="Times New Roman" w:hAnsi="Tahoma" w:cs="Tahoma"/>
          <w:spacing w:val="-2"/>
          <w:sz w:val="24"/>
          <w:szCs w:val="24"/>
        </w:rPr>
        <w:t xml:space="preserve"> </w:t>
      </w:r>
      <w:r w:rsidRPr="002462E6">
        <w:rPr>
          <w:rFonts w:ascii="Tahoma" w:eastAsia="Times New Roman" w:hAnsi="Tahoma" w:cs="Tahoma"/>
          <w:sz w:val="24"/>
          <w:szCs w:val="24"/>
        </w:rPr>
        <w:t>d’une</w:t>
      </w:r>
      <w:r w:rsidRPr="002462E6">
        <w:rPr>
          <w:rFonts w:ascii="Tahoma" w:eastAsia="Times New Roman" w:hAnsi="Tahoma" w:cs="Tahoma"/>
          <w:spacing w:val="-2"/>
          <w:sz w:val="24"/>
          <w:szCs w:val="24"/>
        </w:rPr>
        <w:t xml:space="preserve"> </w:t>
      </w:r>
      <w:r w:rsidRPr="002462E6">
        <w:rPr>
          <w:rFonts w:ascii="Tahoma" w:eastAsia="Times New Roman" w:hAnsi="Tahoma" w:cs="Tahoma"/>
          <w:sz w:val="24"/>
          <w:szCs w:val="24"/>
        </w:rPr>
        <w:t>parcelle</w:t>
      </w:r>
      <w:r w:rsidRPr="002462E6">
        <w:rPr>
          <w:rFonts w:ascii="Tahoma" w:eastAsia="Times New Roman" w:hAnsi="Tahoma" w:cs="Tahoma"/>
          <w:spacing w:val="-2"/>
          <w:sz w:val="24"/>
          <w:szCs w:val="24"/>
        </w:rPr>
        <w:t xml:space="preserve"> </w:t>
      </w:r>
      <w:r w:rsidRPr="002462E6">
        <w:rPr>
          <w:rFonts w:ascii="Tahoma" w:eastAsia="Times New Roman" w:hAnsi="Tahoma" w:cs="Tahoma"/>
          <w:sz w:val="24"/>
          <w:szCs w:val="24"/>
        </w:rPr>
        <w:t>forestière</w:t>
      </w:r>
      <w:r w:rsidRPr="002462E6">
        <w:rPr>
          <w:rFonts w:ascii="Tahoma" w:eastAsia="Times New Roman" w:hAnsi="Tahoma" w:cs="Tahoma"/>
          <w:spacing w:val="-2"/>
          <w:sz w:val="24"/>
          <w:szCs w:val="24"/>
        </w:rPr>
        <w:t xml:space="preserve"> </w:t>
      </w:r>
      <w:r w:rsidRPr="002462E6">
        <w:rPr>
          <w:rFonts w:ascii="Tahoma" w:eastAsia="Times New Roman" w:hAnsi="Tahoma" w:cs="Tahoma"/>
          <w:sz w:val="24"/>
          <w:szCs w:val="24"/>
        </w:rPr>
        <w:t>du</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moment</w:t>
      </w:r>
      <w:r w:rsidRPr="002462E6">
        <w:rPr>
          <w:rFonts w:ascii="Tahoma" w:eastAsia="Times New Roman" w:hAnsi="Tahoma" w:cs="Tahoma"/>
          <w:spacing w:val="-2"/>
          <w:sz w:val="24"/>
          <w:szCs w:val="24"/>
        </w:rPr>
        <w:t xml:space="preserve"> </w:t>
      </w:r>
      <w:r w:rsidRPr="002462E6">
        <w:rPr>
          <w:rFonts w:ascii="Tahoma" w:eastAsia="Times New Roman" w:hAnsi="Tahoma" w:cs="Tahoma"/>
          <w:sz w:val="24"/>
          <w:szCs w:val="24"/>
        </w:rPr>
        <w:t>que</w:t>
      </w:r>
      <w:r w:rsidRPr="002462E6">
        <w:rPr>
          <w:rFonts w:ascii="Tahoma" w:eastAsia="Times New Roman" w:hAnsi="Tahoma" w:cs="Tahoma"/>
          <w:spacing w:val="-2"/>
          <w:sz w:val="24"/>
          <w:szCs w:val="24"/>
        </w:rPr>
        <w:t xml:space="preserve"> </w:t>
      </w:r>
      <w:r w:rsidRPr="002462E6">
        <w:rPr>
          <w:rFonts w:ascii="Tahoma" w:eastAsia="Times New Roman" w:hAnsi="Tahoma" w:cs="Tahoma"/>
          <w:sz w:val="24"/>
          <w:szCs w:val="24"/>
        </w:rPr>
        <w:t>l’Etat</w:t>
      </w:r>
      <w:r w:rsidRPr="002462E6">
        <w:rPr>
          <w:rFonts w:ascii="Tahoma" w:eastAsia="Times New Roman" w:hAnsi="Tahoma" w:cs="Tahoma"/>
          <w:spacing w:val="-2"/>
          <w:sz w:val="24"/>
          <w:szCs w:val="24"/>
        </w:rPr>
        <w:t xml:space="preserve"> </w:t>
      </w:r>
      <w:r w:rsidRPr="002462E6">
        <w:rPr>
          <w:rFonts w:ascii="Tahoma" w:eastAsia="Times New Roman" w:hAnsi="Tahoma" w:cs="Tahoma"/>
          <w:sz w:val="24"/>
          <w:szCs w:val="24"/>
        </w:rPr>
        <w:t>est</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supposé</w:t>
      </w:r>
      <w:r w:rsidRPr="002462E6">
        <w:rPr>
          <w:rFonts w:ascii="Tahoma" w:eastAsia="Times New Roman" w:hAnsi="Tahoma" w:cs="Tahoma"/>
          <w:spacing w:val="-2"/>
          <w:sz w:val="24"/>
          <w:szCs w:val="24"/>
        </w:rPr>
        <w:t xml:space="preserve"> </w:t>
      </w:r>
      <w:r w:rsidRPr="002462E6">
        <w:rPr>
          <w:rFonts w:ascii="Tahoma" w:eastAsia="Times New Roman" w:hAnsi="Tahoma" w:cs="Tahoma"/>
          <w:sz w:val="24"/>
          <w:szCs w:val="24"/>
        </w:rPr>
        <w:t>être</w:t>
      </w:r>
      <w:r w:rsidRPr="002462E6">
        <w:rPr>
          <w:rFonts w:ascii="Tahoma" w:eastAsia="Times New Roman" w:hAnsi="Tahoma" w:cs="Tahoma"/>
          <w:spacing w:val="-2"/>
          <w:sz w:val="24"/>
          <w:szCs w:val="24"/>
        </w:rPr>
        <w:t xml:space="preserve"> </w:t>
      </w:r>
      <w:r w:rsidRPr="002462E6">
        <w:rPr>
          <w:rFonts w:ascii="Tahoma" w:eastAsia="Times New Roman" w:hAnsi="Tahoma" w:cs="Tahoma"/>
          <w:sz w:val="24"/>
          <w:szCs w:val="24"/>
        </w:rPr>
        <w:t>toujours</w:t>
      </w:r>
      <w:r w:rsidRPr="002462E6">
        <w:rPr>
          <w:rFonts w:ascii="Tahoma" w:eastAsia="Times New Roman" w:hAnsi="Tahoma" w:cs="Tahoma"/>
          <w:spacing w:val="-2"/>
          <w:sz w:val="24"/>
          <w:szCs w:val="24"/>
        </w:rPr>
        <w:t xml:space="preserve"> </w:t>
      </w:r>
      <w:r w:rsidRPr="002462E6">
        <w:rPr>
          <w:rFonts w:ascii="Tahoma" w:eastAsia="Times New Roman" w:hAnsi="Tahoma" w:cs="Tahoma"/>
          <w:sz w:val="24"/>
          <w:szCs w:val="24"/>
        </w:rPr>
        <w:t>solvable</w:t>
      </w:r>
      <w:r w:rsidRPr="002462E6">
        <w:rPr>
          <w:rFonts w:ascii="Tahoma" w:eastAsia="Times New Roman" w:hAnsi="Tahoma" w:cs="Tahoma"/>
          <w:sz w:val="24"/>
          <w:szCs w:val="24"/>
          <w:vertAlign w:val="superscript"/>
        </w:rPr>
        <w:footnoteReference w:id="276"/>
      </w:r>
      <w:r w:rsidR="00C15C3A" w:rsidRPr="002462E6">
        <w:rPr>
          <w:rFonts w:ascii="Tahoma" w:eastAsia="Times New Roman" w:hAnsi="Tahoma" w:cs="Tahoma"/>
          <w:sz w:val="24"/>
          <w:szCs w:val="24"/>
        </w:rPr>
        <w:t>.</w:t>
      </w:r>
    </w:p>
    <w:p w:rsidR="00726EDC" w:rsidRPr="002462E6" w:rsidRDefault="00726EDC" w:rsidP="008D3838">
      <w:pPr>
        <w:pStyle w:val="Titre6"/>
      </w:pPr>
      <w:bookmarkStart w:id="243" w:name="_Toc203643037"/>
      <w:r w:rsidRPr="002462E6">
        <w:t>Le caractère imprescriptible du domaine forestier</w:t>
      </w:r>
      <w:bookmarkEnd w:id="243"/>
    </w:p>
    <w:p w:rsidR="00726EDC" w:rsidRPr="002462E6" w:rsidRDefault="00726EDC" w:rsidP="00726EDC">
      <w:pPr>
        <w:widowControl w:val="0"/>
        <w:autoSpaceDE w:val="0"/>
        <w:autoSpaceDN w:val="0"/>
        <w:spacing w:before="8" w:after="0" w:line="240" w:lineRule="auto"/>
        <w:rPr>
          <w:rFonts w:ascii="Tahoma" w:eastAsia="Times New Roman" w:hAnsi="Tahoma" w:cs="Tahoma"/>
          <w:b/>
          <w:sz w:val="24"/>
          <w:szCs w:val="24"/>
        </w:rPr>
      </w:pPr>
    </w:p>
    <w:p w:rsidR="00247FE0" w:rsidRPr="001462F5" w:rsidRDefault="00726EDC" w:rsidP="001462F5">
      <w:pPr>
        <w:widowControl w:val="0"/>
        <w:autoSpaceDE w:val="0"/>
        <w:autoSpaceDN w:val="0"/>
        <w:spacing w:after="0" w:line="360" w:lineRule="auto"/>
        <w:jc w:val="both"/>
        <w:rPr>
          <w:rFonts w:ascii="Tahoma" w:eastAsia="Times New Roman" w:hAnsi="Tahoma" w:cs="Tahoma"/>
          <w:sz w:val="24"/>
          <w:szCs w:val="24"/>
        </w:rPr>
      </w:pPr>
      <w:r w:rsidRPr="002462E6">
        <w:rPr>
          <w:rFonts w:ascii="Tahoma" w:eastAsia="Times New Roman" w:hAnsi="Tahoma" w:cs="Tahoma"/>
          <w:sz w:val="24"/>
          <w:szCs w:val="24"/>
        </w:rPr>
        <w:t>Le Droit musulman admet les prescriptions acquisitives et extinctives qui permettent par exemple</w:t>
      </w:r>
      <w:r w:rsidRPr="002462E6">
        <w:rPr>
          <w:rFonts w:ascii="Tahoma" w:eastAsia="Times New Roman" w:hAnsi="Tahoma" w:cs="Tahoma"/>
          <w:spacing w:val="-57"/>
          <w:sz w:val="24"/>
          <w:szCs w:val="24"/>
        </w:rPr>
        <w:t xml:space="preserve"> </w:t>
      </w:r>
      <w:r w:rsidRPr="002462E6">
        <w:rPr>
          <w:rFonts w:ascii="Tahoma" w:eastAsia="Times New Roman" w:hAnsi="Tahoma" w:cs="Tahoma"/>
          <w:sz w:val="24"/>
          <w:szCs w:val="24"/>
        </w:rPr>
        <w:t>d’acquérir un droit sur la terre après une occupation paisible et continue de 10 ans ou au contraire</w:t>
      </w:r>
      <w:r w:rsidRPr="002462E6">
        <w:rPr>
          <w:rFonts w:ascii="Tahoma" w:eastAsia="Times New Roman" w:hAnsi="Tahoma" w:cs="Tahoma"/>
          <w:spacing w:val="-57"/>
          <w:sz w:val="24"/>
          <w:szCs w:val="24"/>
        </w:rPr>
        <w:t xml:space="preserve"> </w:t>
      </w:r>
      <w:r w:rsidRPr="002462E6">
        <w:rPr>
          <w:rFonts w:ascii="Tahoma" w:eastAsia="Times New Roman" w:hAnsi="Tahoma" w:cs="Tahoma"/>
          <w:sz w:val="24"/>
          <w:szCs w:val="24"/>
        </w:rPr>
        <w:t>de</w:t>
      </w:r>
      <w:r w:rsidRPr="002462E6">
        <w:rPr>
          <w:rFonts w:ascii="Tahoma" w:eastAsia="Times New Roman" w:hAnsi="Tahoma" w:cs="Tahoma"/>
          <w:spacing w:val="-8"/>
          <w:sz w:val="24"/>
          <w:szCs w:val="24"/>
        </w:rPr>
        <w:t xml:space="preserve"> </w:t>
      </w:r>
      <w:r w:rsidRPr="002462E6">
        <w:rPr>
          <w:rFonts w:ascii="Tahoma" w:eastAsia="Times New Roman" w:hAnsi="Tahoma" w:cs="Tahoma"/>
          <w:sz w:val="24"/>
          <w:szCs w:val="24"/>
        </w:rPr>
        <w:t>perdre</w:t>
      </w:r>
      <w:r w:rsidRPr="002462E6">
        <w:rPr>
          <w:rFonts w:ascii="Tahoma" w:eastAsia="Times New Roman" w:hAnsi="Tahoma" w:cs="Tahoma"/>
          <w:spacing w:val="-8"/>
          <w:sz w:val="24"/>
          <w:szCs w:val="24"/>
        </w:rPr>
        <w:t xml:space="preserve"> </w:t>
      </w:r>
      <w:r w:rsidRPr="002462E6">
        <w:rPr>
          <w:rFonts w:ascii="Tahoma" w:eastAsia="Times New Roman" w:hAnsi="Tahoma" w:cs="Tahoma"/>
          <w:sz w:val="24"/>
          <w:szCs w:val="24"/>
        </w:rPr>
        <w:t>ce</w:t>
      </w:r>
      <w:r w:rsidRPr="002462E6">
        <w:rPr>
          <w:rFonts w:ascii="Tahoma" w:eastAsia="Times New Roman" w:hAnsi="Tahoma" w:cs="Tahoma"/>
          <w:spacing w:val="-9"/>
          <w:sz w:val="24"/>
          <w:szCs w:val="24"/>
        </w:rPr>
        <w:t xml:space="preserve"> </w:t>
      </w:r>
      <w:r w:rsidRPr="002462E6">
        <w:rPr>
          <w:rFonts w:ascii="Tahoma" w:eastAsia="Times New Roman" w:hAnsi="Tahoma" w:cs="Tahoma"/>
          <w:sz w:val="24"/>
          <w:szCs w:val="24"/>
        </w:rPr>
        <w:t>droit</w:t>
      </w:r>
      <w:r w:rsidRPr="002462E6">
        <w:rPr>
          <w:rFonts w:ascii="Tahoma" w:eastAsia="Times New Roman" w:hAnsi="Tahoma" w:cs="Tahoma"/>
          <w:spacing w:val="-7"/>
          <w:sz w:val="24"/>
          <w:szCs w:val="24"/>
        </w:rPr>
        <w:t xml:space="preserve"> </w:t>
      </w:r>
      <w:r w:rsidRPr="002462E6">
        <w:rPr>
          <w:rFonts w:ascii="Tahoma" w:eastAsia="Times New Roman" w:hAnsi="Tahoma" w:cs="Tahoma"/>
          <w:sz w:val="24"/>
          <w:szCs w:val="24"/>
        </w:rPr>
        <w:t>par</w:t>
      </w:r>
      <w:r w:rsidRPr="002462E6">
        <w:rPr>
          <w:rFonts w:ascii="Tahoma" w:eastAsia="Times New Roman" w:hAnsi="Tahoma" w:cs="Tahoma"/>
          <w:spacing w:val="-7"/>
          <w:sz w:val="24"/>
          <w:szCs w:val="24"/>
        </w:rPr>
        <w:t xml:space="preserve"> </w:t>
      </w:r>
      <w:r w:rsidRPr="002462E6">
        <w:rPr>
          <w:rFonts w:ascii="Tahoma" w:eastAsia="Times New Roman" w:hAnsi="Tahoma" w:cs="Tahoma"/>
          <w:sz w:val="24"/>
          <w:szCs w:val="24"/>
        </w:rPr>
        <w:t>défaut</w:t>
      </w:r>
      <w:r w:rsidRPr="002462E6">
        <w:rPr>
          <w:rFonts w:ascii="Tahoma" w:eastAsia="Times New Roman" w:hAnsi="Tahoma" w:cs="Tahoma"/>
          <w:spacing w:val="-8"/>
          <w:sz w:val="24"/>
          <w:szCs w:val="24"/>
        </w:rPr>
        <w:t xml:space="preserve"> </w:t>
      </w:r>
      <w:r w:rsidRPr="002462E6">
        <w:rPr>
          <w:rFonts w:ascii="Tahoma" w:eastAsia="Times New Roman" w:hAnsi="Tahoma" w:cs="Tahoma"/>
          <w:sz w:val="24"/>
          <w:szCs w:val="24"/>
        </w:rPr>
        <w:t>d’occupation.</w:t>
      </w:r>
      <w:r w:rsidRPr="002462E6">
        <w:rPr>
          <w:rFonts w:ascii="Tahoma" w:eastAsia="Times New Roman" w:hAnsi="Tahoma" w:cs="Tahoma"/>
          <w:spacing w:val="-8"/>
          <w:sz w:val="24"/>
          <w:szCs w:val="24"/>
        </w:rPr>
        <w:t xml:space="preserve"> </w:t>
      </w:r>
      <w:r w:rsidRPr="002462E6">
        <w:rPr>
          <w:rFonts w:ascii="Tahoma" w:eastAsia="Times New Roman" w:hAnsi="Tahoma" w:cs="Tahoma"/>
          <w:sz w:val="24"/>
          <w:szCs w:val="24"/>
        </w:rPr>
        <w:t>Ces</w:t>
      </w:r>
      <w:r w:rsidRPr="002462E6">
        <w:rPr>
          <w:rFonts w:ascii="Tahoma" w:eastAsia="Times New Roman" w:hAnsi="Tahoma" w:cs="Tahoma"/>
          <w:spacing w:val="-9"/>
          <w:sz w:val="24"/>
          <w:szCs w:val="24"/>
        </w:rPr>
        <w:t xml:space="preserve"> </w:t>
      </w:r>
      <w:r w:rsidRPr="002462E6">
        <w:rPr>
          <w:rFonts w:ascii="Tahoma" w:eastAsia="Times New Roman" w:hAnsi="Tahoma" w:cs="Tahoma"/>
          <w:sz w:val="24"/>
          <w:szCs w:val="24"/>
        </w:rPr>
        <w:t>droits</w:t>
      </w:r>
      <w:r w:rsidRPr="002462E6">
        <w:rPr>
          <w:rFonts w:ascii="Tahoma" w:eastAsia="Times New Roman" w:hAnsi="Tahoma" w:cs="Tahoma"/>
          <w:spacing w:val="-7"/>
          <w:sz w:val="24"/>
          <w:szCs w:val="24"/>
        </w:rPr>
        <w:t xml:space="preserve"> </w:t>
      </w:r>
      <w:r w:rsidRPr="002462E6">
        <w:rPr>
          <w:rFonts w:ascii="Tahoma" w:eastAsia="Times New Roman" w:hAnsi="Tahoma" w:cs="Tahoma"/>
          <w:sz w:val="24"/>
          <w:szCs w:val="24"/>
        </w:rPr>
        <w:t>sont</w:t>
      </w:r>
      <w:r w:rsidRPr="002462E6">
        <w:rPr>
          <w:rFonts w:ascii="Tahoma" w:eastAsia="Times New Roman" w:hAnsi="Tahoma" w:cs="Tahoma"/>
          <w:spacing w:val="-7"/>
          <w:sz w:val="24"/>
          <w:szCs w:val="24"/>
        </w:rPr>
        <w:t xml:space="preserve"> </w:t>
      </w:r>
      <w:r w:rsidRPr="002462E6">
        <w:rPr>
          <w:rFonts w:ascii="Tahoma" w:eastAsia="Times New Roman" w:hAnsi="Tahoma" w:cs="Tahoma"/>
          <w:sz w:val="24"/>
          <w:szCs w:val="24"/>
        </w:rPr>
        <w:t>totalement</w:t>
      </w:r>
      <w:r w:rsidRPr="002462E6">
        <w:rPr>
          <w:rFonts w:ascii="Tahoma" w:eastAsia="Times New Roman" w:hAnsi="Tahoma" w:cs="Tahoma"/>
          <w:spacing w:val="-8"/>
          <w:sz w:val="24"/>
          <w:szCs w:val="24"/>
        </w:rPr>
        <w:t xml:space="preserve"> </w:t>
      </w:r>
      <w:r w:rsidRPr="002462E6">
        <w:rPr>
          <w:rFonts w:ascii="Tahoma" w:eastAsia="Times New Roman" w:hAnsi="Tahoma" w:cs="Tahoma"/>
          <w:sz w:val="24"/>
          <w:szCs w:val="24"/>
        </w:rPr>
        <w:t>incompatibles</w:t>
      </w:r>
      <w:r w:rsidRPr="002462E6">
        <w:rPr>
          <w:rFonts w:ascii="Tahoma" w:eastAsia="Times New Roman" w:hAnsi="Tahoma" w:cs="Tahoma"/>
          <w:spacing w:val="-9"/>
          <w:sz w:val="24"/>
          <w:szCs w:val="24"/>
        </w:rPr>
        <w:t xml:space="preserve"> </w:t>
      </w:r>
      <w:r w:rsidRPr="002462E6">
        <w:rPr>
          <w:rFonts w:ascii="Tahoma" w:eastAsia="Times New Roman" w:hAnsi="Tahoma" w:cs="Tahoma"/>
          <w:sz w:val="24"/>
          <w:szCs w:val="24"/>
        </w:rPr>
        <w:t>avec</w:t>
      </w:r>
      <w:r w:rsidRPr="002462E6">
        <w:rPr>
          <w:rFonts w:ascii="Tahoma" w:eastAsia="Times New Roman" w:hAnsi="Tahoma" w:cs="Tahoma"/>
          <w:spacing w:val="-8"/>
          <w:sz w:val="24"/>
          <w:szCs w:val="24"/>
        </w:rPr>
        <w:t xml:space="preserve"> </w:t>
      </w:r>
      <w:r w:rsidRPr="002462E6">
        <w:rPr>
          <w:rFonts w:ascii="Tahoma" w:eastAsia="Times New Roman" w:hAnsi="Tahoma" w:cs="Tahoma"/>
          <w:sz w:val="24"/>
          <w:szCs w:val="24"/>
        </w:rPr>
        <w:t>le</w:t>
      </w:r>
      <w:r w:rsidRPr="002462E6">
        <w:rPr>
          <w:rFonts w:ascii="Tahoma" w:eastAsia="Times New Roman" w:hAnsi="Tahoma" w:cs="Tahoma"/>
          <w:spacing w:val="-7"/>
          <w:sz w:val="24"/>
          <w:szCs w:val="24"/>
        </w:rPr>
        <w:t xml:space="preserve"> </w:t>
      </w:r>
      <w:r w:rsidRPr="002462E6">
        <w:rPr>
          <w:rFonts w:ascii="Tahoma" w:eastAsia="Times New Roman" w:hAnsi="Tahoma" w:cs="Tahoma"/>
          <w:sz w:val="24"/>
          <w:szCs w:val="24"/>
        </w:rPr>
        <w:t>DF</w:t>
      </w:r>
      <w:r w:rsidRPr="002462E6">
        <w:rPr>
          <w:rFonts w:ascii="Tahoma" w:eastAsia="Times New Roman" w:hAnsi="Tahoma" w:cs="Tahoma"/>
          <w:spacing w:val="-8"/>
          <w:sz w:val="24"/>
          <w:szCs w:val="24"/>
        </w:rPr>
        <w:t xml:space="preserve"> </w:t>
      </w:r>
      <w:r w:rsidRPr="002462E6">
        <w:rPr>
          <w:rFonts w:ascii="Tahoma" w:eastAsia="Times New Roman" w:hAnsi="Tahoma" w:cs="Tahoma"/>
          <w:sz w:val="24"/>
          <w:szCs w:val="24"/>
        </w:rPr>
        <w:t>qui demeure imprescriptible de manière absolue.</w:t>
      </w:r>
    </w:p>
    <w:p w:rsidR="00726EDC" w:rsidRPr="001462F5" w:rsidRDefault="00726EDC" w:rsidP="008D3838">
      <w:pPr>
        <w:pStyle w:val="Titre6"/>
      </w:pPr>
      <w:bookmarkStart w:id="244" w:name="_Toc203643038"/>
      <w:r w:rsidRPr="002462E6">
        <w:t>L’expropriation du domaine forestier</w:t>
      </w:r>
      <w:bookmarkEnd w:id="244"/>
    </w:p>
    <w:p w:rsidR="00726EDC" w:rsidRPr="002462E6" w:rsidRDefault="00726EDC" w:rsidP="00726EDC">
      <w:pPr>
        <w:widowControl w:val="0"/>
        <w:autoSpaceDE w:val="0"/>
        <w:autoSpaceDN w:val="0"/>
        <w:spacing w:before="8" w:after="0" w:line="240" w:lineRule="auto"/>
        <w:rPr>
          <w:rFonts w:ascii="Tahoma" w:eastAsia="Times New Roman" w:hAnsi="Tahoma" w:cs="Tahoma"/>
          <w:b/>
          <w:sz w:val="24"/>
          <w:szCs w:val="24"/>
        </w:rPr>
      </w:pPr>
    </w:p>
    <w:p w:rsidR="00C15C3A" w:rsidRPr="002462E6" w:rsidRDefault="00726EDC" w:rsidP="001462F5">
      <w:pPr>
        <w:widowControl w:val="0"/>
        <w:autoSpaceDE w:val="0"/>
        <w:autoSpaceDN w:val="0"/>
        <w:spacing w:after="0" w:line="360" w:lineRule="auto"/>
        <w:jc w:val="both"/>
        <w:rPr>
          <w:rFonts w:ascii="Tahoma" w:eastAsia="Times New Roman" w:hAnsi="Tahoma" w:cs="Tahoma"/>
          <w:sz w:val="24"/>
          <w:szCs w:val="24"/>
        </w:rPr>
      </w:pPr>
      <w:r w:rsidRPr="002462E6">
        <w:rPr>
          <w:rFonts w:ascii="Tahoma" w:eastAsia="Times New Roman" w:hAnsi="Tahoma" w:cs="Tahoma"/>
          <w:sz w:val="24"/>
          <w:szCs w:val="24"/>
        </w:rPr>
        <w:t>Selon l’article 2 du dahir du 10 Octobre 1917 sur la conservation et l'exploitation des forêts, la distraction</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du régime forestier d’une parcelle de terrain ne peut intervenir que dans un but d’utilité publique. Elle est</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prononcée par Décret après avis d’une commission administrative.</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 xml:space="preserve">Toutefois, la distraction </w:t>
      </w:r>
      <w:r w:rsidRPr="002462E6">
        <w:rPr>
          <w:rFonts w:ascii="Tahoma" w:eastAsia="Times New Roman" w:hAnsi="Tahoma" w:cs="Tahoma"/>
          <w:b/>
          <w:sz w:val="24"/>
          <w:szCs w:val="24"/>
        </w:rPr>
        <w:t>est de droit</w:t>
      </w:r>
      <w:r w:rsidRPr="002462E6">
        <w:rPr>
          <w:rFonts w:ascii="Tahoma" w:eastAsia="Times New Roman" w:hAnsi="Tahoma" w:cs="Tahoma"/>
          <w:b/>
          <w:spacing w:val="1"/>
          <w:sz w:val="24"/>
          <w:szCs w:val="24"/>
        </w:rPr>
        <w:t xml:space="preserve"> </w:t>
      </w:r>
      <w:r w:rsidRPr="002462E6">
        <w:rPr>
          <w:rFonts w:ascii="Tahoma" w:eastAsia="Times New Roman" w:hAnsi="Tahoma" w:cs="Tahoma"/>
          <w:sz w:val="24"/>
          <w:szCs w:val="24"/>
        </w:rPr>
        <w:t>lorsqu’elle résulte d’une expropriation pour cause d’utilité publique (tracé des routes ou des voies ferrées,</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réalisation</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de</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barrages,</w:t>
      </w:r>
      <w:r w:rsidRPr="002462E6">
        <w:rPr>
          <w:rFonts w:ascii="Tahoma" w:eastAsia="Times New Roman" w:hAnsi="Tahoma" w:cs="Tahoma"/>
          <w:spacing w:val="-1"/>
          <w:sz w:val="24"/>
          <w:szCs w:val="24"/>
        </w:rPr>
        <w:t xml:space="preserve"> </w:t>
      </w:r>
      <w:r w:rsidR="001462F5">
        <w:rPr>
          <w:rFonts w:ascii="Tahoma" w:eastAsia="Times New Roman" w:hAnsi="Tahoma" w:cs="Tahoma"/>
          <w:sz w:val="24"/>
          <w:szCs w:val="24"/>
        </w:rPr>
        <w:t>aéroports...).</w:t>
      </w:r>
    </w:p>
    <w:p w:rsidR="00726EDC" w:rsidRPr="002462E6" w:rsidRDefault="00726EDC" w:rsidP="008D3838">
      <w:pPr>
        <w:pStyle w:val="Titre6"/>
      </w:pPr>
      <w:bookmarkStart w:id="245" w:name="_Toc203643039"/>
      <w:r w:rsidRPr="002462E6">
        <w:t>L’occupation temporaire du domaine forestier</w:t>
      </w:r>
      <w:bookmarkEnd w:id="245"/>
    </w:p>
    <w:p w:rsidR="00726EDC" w:rsidRPr="002462E6" w:rsidRDefault="00726EDC" w:rsidP="00726EDC">
      <w:pPr>
        <w:widowControl w:val="0"/>
        <w:autoSpaceDE w:val="0"/>
        <w:autoSpaceDN w:val="0"/>
        <w:spacing w:before="6" w:after="0" w:line="240" w:lineRule="auto"/>
        <w:rPr>
          <w:rFonts w:ascii="Tahoma" w:eastAsia="Calibri" w:hAnsi="Tahoma" w:cs="Tahoma"/>
          <w:b/>
          <w:bCs/>
          <w:sz w:val="24"/>
          <w:szCs w:val="24"/>
        </w:rPr>
      </w:pPr>
    </w:p>
    <w:p w:rsidR="00726EDC" w:rsidRPr="002462E6" w:rsidRDefault="00726EDC" w:rsidP="001462F5">
      <w:pPr>
        <w:widowControl w:val="0"/>
        <w:autoSpaceDE w:val="0"/>
        <w:autoSpaceDN w:val="0"/>
        <w:spacing w:after="0" w:line="360" w:lineRule="auto"/>
        <w:jc w:val="both"/>
        <w:rPr>
          <w:rFonts w:ascii="Tahoma" w:eastAsia="Times New Roman" w:hAnsi="Tahoma" w:cs="Tahoma"/>
          <w:sz w:val="24"/>
          <w:szCs w:val="24"/>
        </w:rPr>
      </w:pPr>
      <w:r w:rsidRPr="002462E6">
        <w:rPr>
          <w:rFonts w:ascii="Tahoma" w:eastAsia="Times New Roman" w:hAnsi="Tahoma" w:cs="Tahoma"/>
          <w:spacing w:val="-1"/>
          <w:sz w:val="24"/>
          <w:szCs w:val="24"/>
        </w:rPr>
        <w:t>Pour</w:t>
      </w:r>
      <w:r w:rsidRPr="002462E6">
        <w:rPr>
          <w:rFonts w:ascii="Tahoma" w:eastAsia="Times New Roman" w:hAnsi="Tahoma" w:cs="Tahoma"/>
          <w:spacing w:val="-15"/>
          <w:sz w:val="24"/>
          <w:szCs w:val="24"/>
        </w:rPr>
        <w:t xml:space="preserve"> </w:t>
      </w:r>
      <w:r w:rsidRPr="002462E6">
        <w:rPr>
          <w:rFonts w:ascii="Tahoma" w:eastAsia="Times New Roman" w:hAnsi="Tahoma" w:cs="Tahoma"/>
          <w:spacing w:val="-1"/>
          <w:sz w:val="24"/>
          <w:szCs w:val="24"/>
        </w:rPr>
        <w:t>toute</w:t>
      </w:r>
      <w:r w:rsidRPr="002462E6">
        <w:rPr>
          <w:rFonts w:ascii="Tahoma" w:eastAsia="Times New Roman" w:hAnsi="Tahoma" w:cs="Tahoma"/>
          <w:spacing w:val="-14"/>
          <w:sz w:val="24"/>
          <w:szCs w:val="24"/>
        </w:rPr>
        <w:t xml:space="preserve"> </w:t>
      </w:r>
      <w:r w:rsidRPr="002462E6">
        <w:rPr>
          <w:rFonts w:ascii="Tahoma" w:eastAsia="Times New Roman" w:hAnsi="Tahoma" w:cs="Tahoma"/>
          <w:spacing w:val="-1"/>
          <w:sz w:val="24"/>
          <w:szCs w:val="24"/>
        </w:rPr>
        <w:t>demande</w:t>
      </w:r>
      <w:r w:rsidRPr="002462E6">
        <w:rPr>
          <w:rFonts w:ascii="Tahoma" w:eastAsia="Times New Roman" w:hAnsi="Tahoma" w:cs="Tahoma"/>
          <w:spacing w:val="-13"/>
          <w:sz w:val="24"/>
          <w:szCs w:val="24"/>
        </w:rPr>
        <w:t xml:space="preserve"> </w:t>
      </w:r>
      <w:r w:rsidRPr="002462E6">
        <w:rPr>
          <w:rFonts w:ascii="Tahoma" w:eastAsia="Times New Roman" w:hAnsi="Tahoma" w:cs="Tahoma"/>
          <w:sz w:val="24"/>
          <w:szCs w:val="24"/>
        </w:rPr>
        <w:t>relative</w:t>
      </w:r>
      <w:r w:rsidRPr="002462E6">
        <w:rPr>
          <w:rFonts w:ascii="Tahoma" w:eastAsia="Times New Roman" w:hAnsi="Tahoma" w:cs="Tahoma"/>
          <w:spacing w:val="-14"/>
          <w:sz w:val="24"/>
          <w:szCs w:val="24"/>
        </w:rPr>
        <w:t xml:space="preserve"> </w:t>
      </w:r>
      <w:r w:rsidRPr="002462E6">
        <w:rPr>
          <w:rFonts w:ascii="Tahoma" w:eastAsia="Times New Roman" w:hAnsi="Tahoma" w:cs="Tahoma"/>
          <w:sz w:val="24"/>
          <w:szCs w:val="24"/>
        </w:rPr>
        <w:t>à</w:t>
      </w:r>
      <w:r w:rsidRPr="002462E6">
        <w:rPr>
          <w:rFonts w:ascii="Tahoma" w:eastAsia="Times New Roman" w:hAnsi="Tahoma" w:cs="Tahoma"/>
          <w:spacing w:val="-15"/>
          <w:sz w:val="24"/>
          <w:szCs w:val="24"/>
        </w:rPr>
        <w:t xml:space="preserve"> </w:t>
      </w:r>
      <w:r w:rsidRPr="002462E6">
        <w:rPr>
          <w:rFonts w:ascii="Tahoma" w:eastAsia="Times New Roman" w:hAnsi="Tahoma" w:cs="Tahoma"/>
          <w:sz w:val="24"/>
          <w:szCs w:val="24"/>
        </w:rPr>
        <w:t>l’occupation</w:t>
      </w:r>
      <w:r w:rsidRPr="002462E6">
        <w:rPr>
          <w:rFonts w:ascii="Tahoma" w:eastAsia="Times New Roman" w:hAnsi="Tahoma" w:cs="Tahoma"/>
          <w:spacing w:val="-16"/>
          <w:sz w:val="24"/>
          <w:szCs w:val="24"/>
        </w:rPr>
        <w:t xml:space="preserve"> </w:t>
      </w:r>
      <w:r w:rsidRPr="002462E6">
        <w:rPr>
          <w:rFonts w:ascii="Tahoma" w:eastAsia="Times New Roman" w:hAnsi="Tahoma" w:cs="Tahoma"/>
          <w:sz w:val="24"/>
          <w:szCs w:val="24"/>
        </w:rPr>
        <w:t>temporaire</w:t>
      </w:r>
      <w:r w:rsidRPr="002462E6">
        <w:rPr>
          <w:rFonts w:ascii="Tahoma" w:eastAsia="Times New Roman" w:hAnsi="Tahoma" w:cs="Tahoma"/>
          <w:spacing w:val="-16"/>
          <w:sz w:val="24"/>
          <w:szCs w:val="24"/>
        </w:rPr>
        <w:t xml:space="preserve"> </w:t>
      </w:r>
      <w:r w:rsidRPr="002462E6">
        <w:rPr>
          <w:rFonts w:ascii="Tahoma" w:eastAsia="Times New Roman" w:hAnsi="Tahoma" w:cs="Tahoma"/>
          <w:sz w:val="24"/>
          <w:szCs w:val="24"/>
        </w:rPr>
        <w:t>d’une</w:t>
      </w:r>
      <w:r w:rsidRPr="002462E6">
        <w:rPr>
          <w:rFonts w:ascii="Tahoma" w:eastAsia="Times New Roman" w:hAnsi="Tahoma" w:cs="Tahoma"/>
          <w:spacing w:val="-14"/>
          <w:sz w:val="24"/>
          <w:szCs w:val="24"/>
        </w:rPr>
        <w:t xml:space="preserve"> </w:t>
      </w:r>
      <w:r w:rsidRPr="002462E6">
        <w:rPr>
          <w:rFonts w:ascii="Tahoma" w:eastAsia="Times New Roman" w:hAnsi="Tahoma" w:cs="Tahoma"/>
          <w:sz w:val="24"/>
          <w:szCs w:val="24"/>
        </w:rPr>
        <w:t>parcelle</w:t>
      </w:r>
      <w:r w:rsidRPr="002462E6">
        <w:rPr>
          <w:rFonts w:ascii="Tahoma" w:eastAsia="Times New Roman" w:hAnsi="Tahoma" w:cs="Tahoma"/>
          <w:spacing w:val="-16"/>
          <w:sz w:val="24"/>
          <w:szCs w:val="24"/>
        </w:rPr>
        <w:t xml:space="preserve"> </w:t>
      </w:r>
      <w:r w:rsidRPr="002462E6">
        <w:rPr>
          <w:rFonts w:ascii="Tahoma" w:eastAsia="Times New Roman" w:hAnsi="Tahoma" w:cs="Tahoma"/>
          <w:sz w:val="24"/>
          <w:szCs w:val="24"/>
        </w:rPr>
        <w:t>relevant</w:t>
      </w:r>
      <w:r w:rsidRPr="002462E6">
        <w:rPr>
          <w:rFonts w:ascii="Tahoma" w:eastAsia="Times New Roman" w:hAnsi="Tahoma" w:cs="Tahoma"/>
          <w:spacing w:val="-13"/>
          <w:sz w:val="24"/>
          <w:szCs w:val="24"/>
        </w:rPr>
        <w:t xml:space="preserve"> </w:t>
      </w:r>
      <w:r w:rsidRPr="002462E6">
        <w:rPr>
          <w:rFonts w:ascii="Tahoma" w:eastAsia="Times New Roman" w:hAnsi="Tahoma" w:cs="Tahoma"/>
          <w:sz w:val="24"/>
          <w:szCs w:val="24"/>
        </w:rPr>
        <w:t>du</w:t>
      </w:r>
      <w:r w:rsidRPr="002462E6">
        <w:rPr>
          <w:rFonts w:ascii="Tahoma" w:eastAsia="Times New Roman" w:hAnsi="Tahoma" w:cs="Tahoma"/>
          <w:spacing w:val="-15"/>
          <w:sz w:val="24"/>
          <w:szCs w:val="24"/>
        </w:rPr>
        <w:t xml:space="preserve"> </w:t>
      </w:r>
      <w:r w:rsidRPr="002462E6">
        <w:rPr>
          <w:rFonts w:ascii="Tahoma" w:eastAsia="Times New Roman" w:hAnsi="Tahoma" w:cs="Tahoma"/>
          <w:sz w:val="24"/>
          <w:szCs w:val="24"/>
        </w:rPr>
        <w:t>domaine</w:t>
      </w:r>
      <w:r w:rsidRPr="002462E6">
        <w:rPr>
          <w:rFonts w:ascii="Tahoma" w:eastAsia="Times New Roman" w:hAnsi="Tahoma" w:cs="Tahoma"/>
          <w:spacing w:val="-13"/>
          <w:sz w:val="24"/>
          <w:szCs w:val="24"/>
        </w:rPr>
        <w:t xml:space="preserve"> </w:t>
      </w:r>
      <w:r w:rsidRPr="002462E6">
        <w:rPr>
          <w:rFonts w:ascii="Tahoma" w:eastAsia="Times New Roman" w:hAnsi="Tahoma" w:cs="Tahoma"/>
          <w:sz w:val="24"/>
          <w:szCs w:val="24"/>
        </w:rPr>
        <w:t>forestier,</w:t>
      </w:r>
      <w:r w:rsidRPr="002462E6">
        <w:rPr>
          <w:rFonts w:ascii="Tahoma" w:eastAsia="Times New Roman" w:hAnsi="Tahoma" w:cs="Tahoma"/>
          <w:spacing w:val="-58"/>
          <w:sz w:val="24"/>
          <w:szCs w:val="24"/>
        </w:rPr>
        <w:t xml:space="preserve"> </w:t>
      </w:r>
      <w:r w:rsidRPr="002462E6">
        <w:rPr>
          <w:rFonts w:ascii="Tahoma" w:eastAsia="Times New Roman" w:hAnsi="Tahoma" w:cs="Tahoma"/>
          <w:sz w:val="24"/>
          <w:szCs w:val="24"/>
        </w:rPr>
        <w:t>le demandeur doit s’adresser soit au Département des Eaux et Forêts soit à la Direction Régionale</w:t>
      </w:r>
      <w:r w:rsidRPr="002462E6">
        <w:rPr>
          <w:rFonts w:ascii="Tahoma" w:eastAsia="Times New Roman" w:hAnsi="Tahoma" w:cs="Tahoma"/>
          <w:spacing w:val="-57"/>
          <w:sz w:val="24"/>
          <w:szCs w:val="24"/>
        </w:rPr>
        <w:t xml:space="preserve"> </w:t>
      </w:r>
      <w:r w:rsidRPr="002462E6">
        <w:rPr>
          <w:rFonts w:ascii="Tahoma" w:eastAsia="Times New Roman" w:hAnsi="Tahoma" w:cs="Tahoma"/>
          <w:sz w:val="24"/>
          <w:szCs w:val="24"/>
        </w:rPr>
        <w:t>des</w:t>
      </w:r>
      <w:r w:rsidRPr="002462E6">
        <w:rPr>
          <w:rFonts w:ascii="Tahoma" w:eastAsia="Times New Roman" w:hAnsi="Tahoma" w:cs="Tahoma"/>
          <w:spacing w:val="28"/>
          <w:sz w:val="24"/>
          <w:szCs w:val="24"/>
        </w:rPr>
        <w:t xml:space="preserve"> </w:t>
      </w:r>
      <w:r w:rsidRPr="002462E6">
        <w:rPr>
          <w:rFonts w:ascii="Tahoma" w:eastAsia="Times New Roman" w:hAnsi="Tahoma" w:cs="Tahoma"/>
          <w:sz w:val="24"/>
          <w:szCs w:val="24"/>
        </w:rPr>
        <w:t>Eaux</w:t>
      </w:r>
      <w:r w:rsidRPr="002462E6">
        <w:rPr>
          <w:rFonts w:ascii="Tahoma" w:eastAsia="Times New Roman" w:hAnsi="Tahoma" w:cs="Tahoma"/>
          <w:spacing w:val="27"/>
          <w:sz w:val="24"/>
          <w:szCs w:val="24"/>
        </w:rPr>
        <w:t xml:space="preserve"> </w:t>
      </w:r>
      <w:r w:rsidRPr="002462E6">
        <w:rPr>
          <w:rFonts w:ascii="Tahoma" w:eastAsia="Times New Roman" w:hAnsi="Tahoma" w:cs="Tahoma"/>
          <w:sz w:val="24"/>
          <w:szCs w:val="24"/>
        </w:rPr>
        <w:t>et</w:t>
      </w:r>
      <w:r w:rsidRPr="002462E6">
        <w:rPr>
          <w:rFonts w:ascii="Tahoma" w:eastAsia="Times New Roman" w:hAnsi="Tahoma" w:cs="Tahoma"/>
          <w:spacing w:val="27"/>
          <w:sz w:val="24"/>
          <w:szCs w:val="24"/>
        </w:rPr>
        <w:t xml:space="preserve"> </w:t>
      </w:r>
      <w:r w:rsidRPr="002462E6">
        <w:rPr>
          <w:rFonts w:ascii="Tahoma" w:eastAsia="Times New Roman" w:hAnsi="Tahoma" w:cs="Tahoma"/>
          <w:sz w:val="24"/>
          <w:szCs w:val="24"/>
        </w:rPr>
        <w:t>Forêts</w:t>
      </w:r>
      <w:r w:rsidRPr="002462E6">
        <w:rPr>
          <w:rFonts w:ascii="Tahoma" w:eastAsia="Times New Roman" w:hAnsi="Tahoma" w:cs="Tahoma"/>
          <w:spacing w:val="27"/>
          <w:sz w:val="24"/>
          <w:szCs w:val="24"/>
        </w:rPr>
        <w:t xml:space="preserve"> </w:t>
      </w:r>
      <w:r w:rsidRPr="002462E6">
        <w:rPr>
          <w:rFonts w:ascii="Tahoma" w:eastAsia="Times New Roman" w:hAnsi="Tahoma" w:cs="Tahoma"/>
          <w:sz w:val="24"/>
          <w:szCs w:val="24"/>
        </w:rPr>
        <w:t>ou</w:t>
      </w:r>
      <w:r w:rsidRPr="002462E6">
        <w:rPr>
          <w:rFonts w:ascii="Tahoma" w:eastAsia="Times New Roman" w:hAnsi="Tahoma" w:cs="Tahoma"/>
          <w:spacing w:val="28"/>
          <w:sz w:val="24"/>
          <w:szCs w:val="24"/>
        </w:rPr>
        <w:t xml:space="preserve"> </w:t>
      </w:r>
      <w:r w:rsidRPr="002462E6">
        <w:rPr>
          <w:rFonts w:ascii="Tahoma" w:eastAsia="Times New Roman" w:hAnsi="Tahoma" w:cs="Tahoma"/>
          <w:sz w:val="24"/>
          <w:szCs w:val="24"/>
        </w:rPr>
        <w:t>à</w:t>
      </w:r>
      <w:r w:rsidRPr="002462E6">
        <w:rPr>
          <w:rFonts w:ascii="Tahoma" w:eastAsia="Times New Roman" w:hAnsi="Tahoma" w:cs="Tahoma"/>
          <w:spacing w:val="26"/>
          <w:sz w:val="24"/>
          <w:szCs w:val="24"/>
        </w:rPr>
        <w:t xml:space="preserve"> </w:t>
      </w:r>
      <w:r w:rsidRPr="002462E6">
        <w:rPr>
          <w:rFonts w:ascii="Tahoma" w:eastAsia="Times New Roman" w:hAnsi="Tahoma" w:cs="Tahoma"/>
          <w:sz w:val="24"/>
          <w:szCs w:val="24"/>
        </w:rPr>
        <w:t>la</w:t>
      </w:r>
      <w:r w:rsidRPr="002462E6">
        <w:rPr>
          <w:rFonts w:ascii="Tahoma" w:eastAsia="Times New Roman" w:hAnsi="Tahoma" w:cs="Tahoma"/>
          <w:spacing w:val="29"/>
          <w:sz w:val="24"/>
          <w:szCs w:val="24"/>
        </w:rPr>
        <w:t xml:space="preserve"> </w:t>
      </w:r>
      <w:r w:rsidRPr="002462E6">
        <w:rPr>
          <w:rFonts w:ascii="Tahoma" w:eastAsia="Times New Roman" w:hAnsi="Tahoma" w:cs="Tahoma"/>
          <w:sz w:val="24"/>
          <w:szCs w:val="24"/>
        </w:rPr>
        <w:t>Direction</w:t>
      </w:r>
      <w:r w:rsidRPr="002462E6">
        <w:rPr>
          <w:rFonts w:ascii="Tahoma" w:eastAsia="Times New Roman" w:hAnsi="Tahoma" w:cs="Tahoma"/>
          <w:spacing w:val="27"/>
          <w:sz w:val="24"/>
          <w:szCs w:val="24"/>
        </w:rPr>
        <w:t xml:space="preserve"> </w:t>
      </w:r>
      <w:r w:rsidRPr="002462E6">
        <w:rPr>
          <w:rFonts w:ascii="Tahoma" w:eastAsia="Times New Roman" w:hAnsi="Tahoma" w:cs="Tahoma"/>
          <w:sz w:val="24"/>
          <w:szCs w:val="24"/>
        </w:rPr>
        <w:t>Provinciale</w:t>
      </w:r>
      <w:r w:rsidRPr="002462E6">
        <w:rPr>
          <w:rFonts w:ascii="Tahoma" w:eastAsia="Times New Roman" w:hAnsi="Tahoma" w:cs="Tahoma"/>
          <w:spacing w:val="28"/>
          <w:sz w:val="24"/>
          <w:szCs w:val="24"/>
        </w:rPr>
        <w:t xml:space="preserve"> </w:t>
      </w:r>
      <w:r w:rsidRPr="002462E6">
        <w:rPr>
          <w:rFonts w:ascii="Tahoma" w:eastAsia="Times New Roman" w:hAnsi="Tahoma" w:cs="Tahoma"/>
          <w:sz w:val="24"/>
          <w:szCs w:val="24"/>
        </w:rPr>
        <w:t>des</w:t>
      </w:r>
      <w:r w:rsidRPr="002462E6">
        <w:rPr>
          <w:rFonts w:ascii="Tahoma" w:eastAsia="Times New Roman" w:hAnsi="Tahoma" w:cs="Tahoma"/>
          <w:spacing w:val="29"/>
          <w:sz w:val="24"/>
          <w:szCs w:val="24"/>
        </w:rPr>
        <w:t xml:space="preserve"> </w:t>
      </w:r>
      <w:r w:rsidRPr="002462E6">
        <w:rPr>
          <w:rFonts w:ascii="Tahoma" w:eastAsia="Times New Roman" w:hAnsi="Tahoma" w:cs="Tahoma"/>
          <w:sz w:val="24"/>
          <w:szCs w:val="24"/>
        </w:rPr>
        <w:t>Eaux</w:t>
      </w:r>
      <w:r w:rsidRPr="002462E6">
        <w:rPr>
          <w:rFonts w:ascii="Tahoma" w:eastAsia="Times New Roman" w:hAnsi="Tahoma" w:cs="Tahoma"/>
          <w:spacing w:val="26"/>
          <w:sz w:val="24"/>
          <w:szCs w:val="24"/>
        </w:rPr>
        <w:t xml:space="preserve"> </w:t>
      </w:r>
      <w:r w:rsidRPr="002462E6">
        <w:rPr>
          <w:rFonts w:ascii="Tahoma" w:eastAsia="Times New Roman" w:hAnsi="Tahoma" w:cs="Tahoma"/>
          <w:sz w:val="24"/>
          <w:szCs w:val="24"/>
        </w:rPr>
        <w:t>et</w:t>
      </w:r>
      <w:r w:rsidRPr="002462E6">
        <w:rPr>
          <w:rFonts w:ascii="Tahoma" w:eastAsia="Times New Roman" w:hAnsi="Tahoma" w:cs="Tahoma"/>
          <w:spacing w:val="29"/>
          <w:sz w:val="24"/>
          <w:szCs w:val="24"/>
        </w:rPr>
        <w:t xml:space="preserve"> </w:t>
      </w:r>
      <w:r w:rsidRPr="002462E6">
        <w:rPr>
          <w:rFonts w:ascii="Tahoma" w:eastAsia="Times New Roman" w:hAnsi="Tahoma" w:cs="Tahoma"/>
          <w:sz w:val="24"/>
          <w:szCs w:val="24"/>
        </w:rPr>
        <w:t>Forêts</w:t>
      </w:r>
      <w:r w:rsidRPr="002462E6">
        <w:rPr>
          <w:rFonts w:ascii="Tahoma" w:eastAsia="Times New Roman" w:hAnsi="Tahoma" w:cs="Tahoma"/>
          <w:spacing w:val="26"/>
          <w:sz w:val="24"/>
          <w:szCs w:val="24"/>
        </w:rPr>
        <w:t xml:space="preserve"> </w:t>
      </w:r>
      <w:r w:rsidRPr="002462E6">
        <w:rPr>
          <w:rFonts w:ascii="Tahoma" w:eastAsia="Times New Roman" w:hAnsi="Tahoma" w:cs="Tahoma"/>
          <w:sz w:val="24"/>
          <w:szCs w:val="24"/>
        </w:rPr>
        <w:t>concernées.</w:t>
      </w:r>
      <w:r w:rsidRPr="002462E6">
        <w:rPr>
          <w:rFonts w:ascii="Tahoma" w:eastAsia="Times New Roman" w:hAnsi="Tahoma" w:cs="Tahoma"/>
          <w:spacing w:val="28"/>
          <w:sz w:val="24"/>
          <w:szCs w:val="24"/>
        </w:rPr>
        <w:t xml:space="preserve"> </w:t>
      </w:r>
      <w:r w:rsidRPr="002462E6">
        <w:rPr>
          <w:rFonts w:ascii="Tahoma" w:eastAsia="Times New Roman" w:hAnsi="Tahoma" w:cs="Tahoma"/>
          <w:sz w:val="24"/>
          <w:szCs w:val="24"/>
        </w:rPr>
        <w:t>En</w:t>
      </w:r>
      <w:r w:rsidRPr="002462E6">
        <w:rPr>
          <w:rFonts w:ascii="Tahoma" w:eastAsia="Times New Roman" w:hAnsi="Tahoma" w:cs="Tahoma"/>
          <w:spacing w:val="28"/>
          <w:sz w:val="24"/>
          <w:szCs w:val="24"/>
        </w:rPr>
        <w:t xml:space="preserve"> </w:t>
      </w:r>
      <w:r w:rsidRPr="002462E6">
        <w:rPr>
          <w:rFonts w:ascii="Tahoma" w:eastAsia="Times New Roman" w:hAnsi="Tahoma" w:cs="Tahoma"/>
          <w:sz w:val="24"/>
          <w:szCs w:val="24"/>
        </w:rPr>
        <w:t>effet,</w:t>
      </w:r>
      <w:r w:rsidRPr="002462E6">
        <w:rPr>
          <w:rFonts w:ascii="Tahoma" w:eastAsia="Times New Roman" w:hAnsi="Tahoma" w:cs="Tahoma"/>
          <w:spacing w:val="28"/>
          <w:sz w:val="24"/>
          <w:szCs w:val="24"/>
        </w:rPr>
        <w:t xml:space="preserve"> </w:t>
      </w:r>
      <w:r w:rsidRPr="002462E6">
        <w:rPr>
          <w:rFonts w:ascii="Tahoma" w:eastAsia="Times New Roman" w:hAnsi="Tahoma" w:cs="Tahoma"/>
          <w:sz w:val="24"/>
          <w:szCs w:val="24"/>
        </w:rPr>
        <w:t>la demande doit spécifier le but de l’occupation, sa durée, l’emplacement précis de la parcelle à</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occuper, sa superficie et la nature de l’occupation. De ce fait, la demande doit être assortie d’un</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plan</w:t>
      </w:r>
      <w:r w:rsidRPr="002462E6">
        <w:rPr>
          <w:rFonts w:ascii="Tahoma" w:eastAsia="Times New Roman" w:hAnsi="Tahoma" w:cs="Tahoma"/>
          <w:spacing w:val="-10"/>
          <w:sz w:val="24"/>
          <w:szCs w:val="24"/>
        </w:rPr>
        <w:t xml:space="preserve"> </w:t>
      </w:r>
      <w:r w:rsidRPr="002462E6">
        <w:rPr>
          <w:rFonts w:ascii="Tahoma" w:eastAsia="Times New Roman" w:hAnsi="Tahoma" w:cs="Tahoma"/>
          <w:sz w:val="24"/>
          <w:szCs w:val="24"/>
        </w:rPr>
        <w:t>parcellaire</w:t>
      </w:r>
      <w:r w:rsidRPr="002462E6">
        <w:rPr>
          <w:rFonts w:ascii="Tahoma" w:eastAsia="Times New Roman" w:hAnsi="Tahoma" w:cs="Tahoma"/>
          <w:spacing w:val="-9"/>
          <w:sz w:val="24"/>
          <w:szCs w:val="24"/>
        </w:rPr>
        <w:t xml:space="preserve"> </w:t>
      </w:r>
      <w:r w:rsidRPr="002462E6">
        <w:rPr>
          <w:rFonts w:ascii="Tahoma" w:eastAsia="Times New Roman" w:hAnsi="Tahoma" w:cs="Tahoma"/>
          <w:sz w:val="24"/>
          <w:szCs w:val="24"/>
        </w:rPr>
        <w:t>et</w:t>
      </w:r>
      <w:r w:rsidRPr="002462E6">
        <w:rPr>
          <w:rFonts w:ascii="Tahoma" w:eastAsia="Times New Roman" w:hAnsi="Tahoma" w:cs="Tahoma"/>
          <w:spacing w:val="-8"/>
          <w:sz w:val="24"/>
          <w:szCs w:val="24"/>
        </w:rPr>
        <w:t xml:space="preserve"> </w:t>
      </w:r>
      <w:r w:rsidRPr="002462E6">
        <w:rPr>
          <w:rFonts w:ascii="Tahoma" w:eastAsia="Times New Roman" w:hAnsi="Tahoma" w:cs="Tahoma"/>
          <w:sz w:val="24"/>
          <w:szCs w:val="24"/>
        </w:rPr>
        <w:t>de</w:t>
      </w:r>
      <w:r w:rsidRPr="002462E6">
        <w:rPr>
          <w:rFonts w:ascii="Tahoma" w:eastAsia="Times New Roman" w:hAnsi="Tahoma" w:cs="Tahoma"/>
          <w:spacing w:val="-8"/>
          <w:sz w:val="24"/>
          <w:szCs w:val="24"/>
        </w:rPr>
        <w:t xml:space="preserve"> </w:t>
      </w:r>
      <w:r w:rsidRPr="002462E6">
        <w:rPr>
          <w:rFonts w:ascii="Tahoma" w:eastAsia="Times New Roman" w:hAnsi="Tahoma" w:cs="Tahoma"/>
          <w:sz w:val="24"/>
          <w:szCs w:val="24"/>
        </w:rPr>
        <w:t>situation,</w:t>
      </w:r>
      <w:r w:rsidRPr="002462E6">
        <w:rPr>
          <w:rFonts w:ascii="Tahoma" w:eastAsia="Times New Roman" w:hAnsi="Tahoma" w:cs="Tahoma"/>
          <w:spacing w:val="-9"/>
          <w:sz w:val="24"/>
          <w:szCs w:val="24"/>
        </w:rPr>
        <w:t xml:space="preserve"> </w:t>
      </w:r>
      <w:r w:rsidRPr="002462E6">
        <w:rPr>
          <w:rFonts w:ascii="Tahoma" w:eastAsia="Times New Roman" w:hAnsi="Tahoma" w:cs="Tahoma"/>
          <w:sz w:val="24"/>
          <w:szCs w:val="24"/>
        </w:rPr>
        <w:t>établie</w:t>
      </w:r>
      <w:r w:rsidRPr="002462E6">
        <w:rPr>
          <w:rFonts w:ascii="Tahoma" w:eastAsia="Times New Roman" w:hAnsi="Tahoma" w:cs="Tahoma"/>
          <w:spacing w:val="-8"/>
          <w:sz w:val="24"/>
          <w:szCs w:val="24"/>
        </w:rPr>
        <w:t xml:space="preserve"> </w:t>
      </w:r>
      <w:r w:rsidRPr="002462E6">
        <w:rPr>
          <w:rFonts w:ascii="Tahoma" w:eastAsia="Times New Roman" w:hAnsi="Tahoma" w:cs="Tahoma"/>
          <w:sz w:val="24"/>
          <w:szCs w:val="24"/>
        </w:rPr>
        <w:t>par</w:t>
      </w:r>
      <w:r w:rsidRPr="002462E6">
        <w:rPr>
          <w:rFonts w:ascii="Tahoma" w:eastAsia="Times New Roman" w:hAnsi="Tahoma" w:cs="Tahoma"/>
          <w:spacing w:val="-9"/>
          <w:sz w:val="24"/>
          <w:szCs w:val="24"/>
        </w:rPr>
        <w:t xml:space="preserve"> </w:t>
      </w:r>
      <w:r w:rsidRPr="002462E6">
        <w:rPr>
          <w:rFonts w:ascii="Tahoma" w:eastAsia="Times New Roman" w:hAnsi="Tahoma" w:cs="Tahoma"/>
          <w:sz w:val="24"/>
          <w:szCs w:val="24"/>
        </w:rPr>
        <w:t>un</w:t>
      </w:r>
      <w:r w:rsidRPr="002462E6">
        <w:rPr>
          <w:rFonts w:ascii="Tahoma" w:eastAsia="Times New Roman" w:hAnsi="Tahoma" w:cs="Tahoma"/>
          <w:spacing w:val="-9"/>
          <w:sz w:val="24"/>
          <w:szCs w:val="24"/>
        </w:rPr>
        <w:t xml:space="preserve"> </w:t>
      </w:r>
      <w:r w:rsidRPr="002462E6">
        <w:rPr>
          <w:rFonts w:ascii="Tahoma" w:eastAsia="Times New Roman" w:hAnsi="Tahoma" w:cs="Tahoma"/>
          <w:sz w:val="24"/>
          <w:szCs w:val="24"/>
        </w:rPr>
        <w:t>géomètre</w:t>
      </w:r>
      <w:r w:rsidRPr="002462E6">
        <w:rPr>
          <w:rFonts w:ascii="Tahoma" w:eastAsia="Times New Roman" w:hAnsi="Tahoma" w:cs="Tahoma"/>
          <w:spacing w:val="-8"/>
          <w:sz w:val="24"/>
          <w:szCs w:val="24"/>
        </w:rPr>
        <w:t xml:space="preserve"> </w:t>
      </w:r>
      <w:r w:rsidRPr="002462E6">
        <w:rPr>
          <w:rFonts w:ascii="Tahoma" w:eastAsia="Times New Roman" w:hAnsi="Tahoma" w:cs="Tahoma"/>
          <w:sz w:val="24"/>
          <w:szCs w:val="24"/>
        </w:rPr>
        <w:t>agrée,</w:t>
      </w:r>
      <w:r w:rsidRPr="002462E6">
        <w:rPr>
          <w:rFonts w:ascii="Tahoma" w:eastAsia="Times New Roman" w:hAnsi="Tahoma" w:cs="Tahoma"/>
          <w:spacing w:val="-10"/>
          <w:sz w:val="24"/>
          <w:szCs w:val="24"/>
        </w:rPr>
        <w:t xml:space="preserve"> </w:t>
      </w:r>
      <w:r w:rsidRPr="002462E6">
        <w:rPr>
          <w:rFonts w:ascii="Tahoma" w:eastAsia="Times New Roman" w:hAnsi="Tahoma" w:cs="Tahoma"/>
          <w:sz w:val="24"/>
          <w:szCs w:val="24"/>
        </w:rPr>
        <w:t>faisant</w:t>
      </w:r>
      <w:r w:rsidRPr="002462E6">
        <w:rPr>
          <w:rFonts w:ascii="Tahoma" w:eastAsia="Times New Roman" w:hAnsi="Tahoma" w:cs="Tahoma"/>
          <w:spacing w:val="-10"/>
          <w:sz w:val="24"/>
          <w:szCs w:val="24"/>
        </w:rPr>
        <w:t xml:space="preserve"> </w:t>
      </w:r>
      <w:r w:rsidRPr="002462E6">
        <w:rPr>
          <w:rFonts w:ascii="Tahoma" w:eastAsia="Times New Roman" w:hAnsi="Tahoma" w:cs="Tahoma"/>
          <w:sz w:val="24"/>
          <w:szCs w:val="24"/>
        </w:rPr>
        <w:t>ressortir</w:t>
      </w:r>
      <w:r w:rsidRPr="002462E6">
        <w:rPr>
          <w:rFonts w:ascii="Tahoma" w:eastAsia="Times New Roman" w:hAnsi="Tahoma" w:cs="Tahoma"/>
          <w:spacing w:val="-9"/>
          <w:sz w:val="24"/>
          <w:szCs w:val="24"/>
        </w:rPr>
        <w:t xml:space="preserve"> </w:t>
      </w:r>
      <w:r w:rsidRPr="002462E6">
        <w:rPr>
          <w:rFonts w:ascii="Tahoma" w:eastAsia="Times New Roman" w:hAnsi="Tahoma" w:cs="Tahoma"/>
          <w:sz w:val="24"/>
          <w:szCs w:val="24"/>
        </w:rPr>
        <w:t>l’emplacement</w:t>
      </w:r>
      <w:r w:rsidRPr="002462E6">
        <w:rPr>
          <w:rFonts w:ascii="Tahoma" w:eastAsia="Times New Roman" w:hAnsi="Tahoma" w:cs="Tahoma"/>
          <w:spacing w:val="-8"/>
          <w:sz w:val="24"/>
          <w:szCs w:val="24"/>
        </w:rPr>
        <w:t xml:space="preserve"> </w:t>
      </w:r>
      <w:r w:rsidRPr="002462E6">
        <w:rPr>
          <w:rFonts w:ascii="Tahoma" w:eastAsia="Times New Roman" w:hAnsi="Tahoma" w:cs="Tahoma"/>
          <w:sz w:val="24"/>
          <w:szCs w:val="24"/>
        </w:rPr>
        <w:t>exact</w:t>
      </w:r>
      <w:r w:rsidRPr="002462E6">
        <w:rPr>
          <w:rFonts w:ascii="Tahoma" w:eastAsia="Times New Roman" w:hAnsi="Tahoma" w:cs="Tahoma"/>
          <w:spacing w:val="-58"/>
          <w:sz w:val="24"/>
          <w:szCs w:val="24"/>
        </w:rPr>
        <w:t xml:space="preserve"> </w:t>
      </w:r>
      <w:r w:rsidRPr="002462E6">
        <w:rPr>
          <w:rFonts w:ascii="Tahoma" w:eastAsia="Times New Roman" w:hAnsi="Tahoma" w:cs="Tahoma"/>
          <w:sz w:val="24"/>
          <w:szCs w:val="24"/>
        </w:rPr>
        <w:t>de</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la parcelle sollicitée par rapport au</w:t>
      </w:r>
      <w:r w:rsidRPr="002462E6">
        <w:rPr>
          <w:rFonts w:ascii="Tahoma" w:eastAsia="Times New Roman" w:hAnsi="Tahoma" w:cs="Tahoma"/>
          <w:spacing w:val="-1"/>
          <w:sz w:val="24"/>
          <w:szCs w:val="24"/>
        </w:rPr>
        <w:t xml:space="preserve"> </w:t>
      </w:r>
      <w:r w:rsidR="001462F5">
        <w:rPr>
          <w:rFonts w:ascii="Tahoma" w:eastAsia="Times New Roman" w:hAnsi="Tahoma" w:cs="Tahoma"/>
          <w:sz w:val="24"/>
          <w:szCs w:val="24"/>
        </w:rPr>
        <w:t>domaine forestier.</w:t>
      </w:r>
    </w:p>
    <w:p w:rsidR="00726EDC" w:rsidRPr="002462E6" w:rsidRDefault="00726EDC" w:rsidP="008146C3">
      <w:pPr>
        <w:widowControl w:val="0"/>
        <w:autoSpaceDE w:val="0"/>
        <w:autoSpaceDN w:val="0"/>
        <w:spacing w:after="0" w:line="360" w:lineRule="auto"/>
        <w:jc w:val="both"/>
        <w:rPr>
          <w:rFonts w:ascii="Tahoma" w:eastAsia="Times New Roman" w:hAnsi="Tahoma" w:cs="Tahoma"/>
          <w:sz w:val="24"/>
          <w:szCs w:val="24"/>
        </w:rPr>
      </w:pPr>
      <w:r w:rsidRPr="002462E6">
        <w:rPr>
          <w:rFonts w:ascii="Tahoma" w:eastAsia="Times New Roman" w:hAnsi="Tahoma" w:cs="Tahoma"/>
          <w:sz w:val="24"/>
          <w:szCs w:val="24"/>
        </w:rPr>
        <w:t>L’occupation temporaire du domaine forestier génère le versement d’une redevance annuelle.</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En</w:t>
      </w:r>
      <w:r w:rsidRPr="002462E6">
        <w:rPr>
          <w:rFonts w:ascii="Tahoma" w:eastAsia="Times New Roman" w:hAnsi="Tahoma" w:cs="Tahoma"/>
          <w:spacing w:val="-57"/>
          <w:sz w:val="24"/>
          <w:szCs w:val="24"/>
        </w:rPr>
        <w:t xml:space="preserve"> </w:t>
      </w:r>
      <w:r w:rsidRPr="002462E6">
        <w:rPr>
          <w:rFonts w:ascii="Tahoma" w:eastAsia="Times New Roman" w:hAnsi="Tahoma" w:cs="Tahoma"/>
          <w:sz w:val="24"/>
          <w:szCs w:val="24"/>
        </w:rPr>
        <w:t>fait, le montant de la redevance est déterminé conformément à l’arrêté n° 81/2001 du 31/12/01,</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fixant les taux des redevances ou par la commission d’expertise, instituée par l’arrêté du premier</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Ministre</w:t>
      </w:r>
      <w:r w:rsidRPr="002462E6">
        <w:rPr>
          <w:rFonts w:ascii="Tahoma" w:eastAsia="Times New Roman" w:hAnsi="Tahoma" w:cs="Tahoma"/>
          <w:spacing w:val="-6"/>
          <w:sz w:val="24"/>
          <w:szCs w:val="24"/>
        </w:rPr>
        <w:t xml:space="preserve"> </w:t>
      </w:r>
      <w:r w:rsidRPr="002462E6">
        <w:rPr>
          <w:rFonts w:ascii="Tahoma" w:eastAsia="Times New Roman" w:hAnsi="Tahoma" w:cs="Tahoma"/>
          <w:sz w:val="24"/>
          <w:szCs w:val="24"/>
        </w:rPr>
        <w:t>n°</w:t>
      </w:r>
      <w:r w:rsidRPr="002462E6">
        <w:rPr>
          <w:rFonts w:ascii="Tahoma" w:eastAsia="Times New Roman" w:hAnsi="Tahoma" w:cs="Tahoma"/>
          <w:spacing w:val="-6"/>
          <w:sz w:val="24"/>
          <w:szCs w:val="24"/>
        </w:rPr>
        <w:t xml:space="preserve"> </w:t>
      </w:r>
      <w:r w:rsidRPr="002462E6">
        <w:rPr>
          <w:rFonts w:ascii="Tahoma" w:eastAsia="Times New Roman" w:hAnsi="Tahoma" w:cs="Tahoma"/>
          <w:sz w:val="24"/>
          <w:szCs w:val="24"/>
        </w:rPr>
        <w:t>3-8-04</w:t>
      </w:r>
      <w:r w:rsidRPr="002462E6">
        <w:rPr>
          <w:rFonts w:ascii="Tahoma" w:eastAsia="Times New Roman" w:hAnsi="Tahoma" w:cs="Tahoma"/>
          <w:spacing w:val="-5"/>
          <w:sz w:val="24"/>
          <w:szCs w:val="24"/>
        </w:rPr>
        <w:t xml:space="preserve"> </w:t>
      </w:r>
      <w:r w:rsidRPr="002462E6">
        <w:rPr>
          <w:rFonts w:ascii="Tahoma" w:eastAsia="Times New Roman" w:hAnsi="Tahoma" w:cs="Tahoma"/>
          <w:sz w:val="24"/>
          <w:szCs w:val="24"/>
        </w:rPr>
        <w:t>du</w:t>
      </w:r>
      <w:r w:rsidRPr="002462E6">
        <w:rPr>
          <w:rFonts w:ascii="Tahoma" w:eastAsia="Times New Roman" w:hAnsi="Tahoma" w:cs="Tahoma"/>
          <w:spacing w:val="-5"/>
          <w:sz w:val="24"/>
          <w:szCs w:val="24"/>
        </w:rPr>
        <w:t xml:space="preserve"> </w:t>
      </w:r>
      <w:r w:rsidRPr="002462E6">
        <w:rPr>
          <w:rFonts w:ascii="Tahoma" w:eastAsia="Times New Roman" w:hAnsi="Tahoma" w:cs="Tahoma"/>
          <w:sz w:val="24"/>
          <w:szCs w:val="24"/>
        </w:rPr>
        <w:t>11</w:t>
      </w:r>
      <w:r w:rsidRPr="002462E6">
        <w:rPr>
          <w:rFonts w:ascii="Tahoma" w:eastAsia="Times New Roman" w:hAnsi="Tahoma" w:cs="Tahoma"/>
          <w:spacing w:val="-4"/>
          <w:sz w:val="24"/>
          <w:szCs w:val="24"/>
        </w:rPr>
        <w:t xml:space="preserve"> </w:t>
      </w:r>
      <w:r w:rsidRPr="002462E6">
        <w:rPr>
          <w:rFonts w:ascii="Tahoma" w:eastAsia="Times New Roman" w:hAnsi="Tahoma" w:cs="Tahoma"/>
          <w:sz w:val="24"/>
          <w:szCs w:val="24"/>
        </w:rPr>
        <w:t>mars</w:t>
      </w:r>
      <w:r w:rsidRPr="002462E6">
        <w:rPr>
          <w:rFonts w:ascii="Tahoma" w:eastAsia="Times New Roman" w:hAnsi="Tahoma" w:cs="Tahoma"/>
          <w:spacing w:val="-4"/>
          <w:sz w:val="24"/>
          <w:szCs w:val="24"/>
        </w:rPr>
        <w:t xml:space="preserve"> </w:t>
      </w:r>
      <w:r w:rsidRPr="002462E6">
        <w:rPr>
          <w:rFonts w:ascii="Tahoma" w:eastAsia="Times New Roman" w:hAnsi="Tahoma" w:cs="Tahoma"/>
          <w:sz w:val="24"/>
          <w:szCs w:val="24"/>
        </w:rPr>
        <w:t>2004</w:t>
      </w:r>
      <w:r w:rsidRPr="002462E6">
        <w:rPr>
          <w:rFonts w:ascii="Tahoma" w:eastAsia="Times New Roman" w:hAnsi="Tahoma" w:cs="Tahoma"/>
          <w:spacing w:val="-5"/>
          <w:sz w:val="24"/>
          <w:szCs w:val="24"/>
        </w:rPr>
        <w:t xml:space="preserve"> </w:t>
      </w:r>
      <w:r w:rsidRPr="002462E6">
        <w:rPr>
          <w:rFonts w:ascii="Tahoma" w:eastAsia="Times New Roman" w:hAnsi="Tahoma" w:cs="Tahoma"/>
          <w:sz w:val="24"/>
          <w:szCs w:val="24"/>
        </w:rPr>
        <w:t>complétant</w:t>
      </w:r>
      <w:r w:rsidRPr="002462E6">
        <w:rPr>
          <w:rFonts w:ascii="Tahoma" w:eastAsia="Times New Roman" w:hAnsi="Tahoma" w:cs="Tahoma"/>
          <w:spacing w:val="-5"/>
          <w:sz w:val="24"/>
          <w:szCs w:val="24"/>
        </w:rPr>
        <w:t xml:space="preserve"> </w:t>
      </w:r>
      <w:r w:rsidRPr="002462E6">
        <w:rPr>
          <w:rFonts w:ascii="Tahoma" w:eastAsia="Times New Roman" w:hAnsi="Tahoma" w:cs="Tahoma"/>
          <w:sz w:val="24"/>
          <w:szCs w:val="24"/>
        </w:rPr>
        <w:t>l’arrêté</w:t>
      </w:r>
      <w:r w:rsidRPr="002462E6">
        <w:rPr>
          <w:rFonts w:ascii="Tahoma" w:eastAsia="Times New Roman" w:hAnsi="Tahoma" w:cs="Tahoma"/>
          <w:spacing w:val="-4"/>
          <w:sz w:val="24"/>
          <w:szCs w:val="24"/>
        </w:rPr>
        <w:t xml:space="preserve"> </w:t>
      </w:r>
      <w:r w:rsidRPr="002462E6">
        <w:rPr>
          <w:rFonts w:ascii="Tahoma" w:eastAsia="Times New Roman" w:hAnsi="Tahoma" w:cs="Tahoma"/>
          <w:sz w:val="24"/>
          <w:szCs w:val="24"/>
        </w:rPr>
        <w:t>du</w:t>
      </w:r>
      <w:r w:rsidRPr="002462E6">
        <w:rPr>
          <w:rFonts w:ascii="Tahoma" w:eastAsia="Times New Roman" w:hAnsi="Tahoma" w:cs="Tahoma"/>
          <w:spacing w:val="-5"/>
          <w:sz w:val="24"/>
          <w:szCs w:val="24"/>
        </w:rPr>
        <w:t xml:space="preserve"> </w:t>
      </w:r>
      <w:r w:rsidRPr="002462E6">
        <w:rPr>
          <w:rFonts w:ascii="Tahoma" w:eastAsia="Times New Roman" w:hAnsi="Tahoma" w:cs="Tahoma"/>
          <w:sz w:val="24"/>
          <w:szCs w:val="24"/>
        </w:rPr>
        <w:t>Ministre</w:t>
      </w:r>
      <w:r w:rsidRPr="002462E6">
        <w:rPr>
          <w:rFonts w:ascii="Tahoma" w:eastAsia="Times New Roman" w:hAnsi="Tahoma" w:cs="Tahoma"/>
          <w:spacing w:val="-5"/>
          <w:sz w:val="24"/>
          <w:szCs w:val="24"/>
        </w:rPr>
        <w:t xml:space="preserve"> </w:t>
      </w:r>
      <w:r w:rsidRPr="002462E6">
        <w:rPr>
          <w:rFonts w:ascii="Tahoma" w:eastAsia="Times New Roman" w:hAnsi="Tahoma" w:cs="Tahoma"/>
          <w:sz w:val="24"/>
          <w:szCs w:val="24"/>
        </w:rPr>
        <w:t>délégué</w:t>
      </w:r>
      <w:r w:rsidRPr="002462E6">
        <w:rPr>
          <w:rFonts w:ascii="Tahoma" w:eastAsia="Times New Roman" w:hAnsi="Tahoma" w:cs="Tahoma"/>
          <w:spacing w:val="-5"/>
          <w:sz w:val="24"/>
          <w:szCs w:val="24"/>
        </w:rPr>
        <w:t xml:space="preserve"> </w:t>
      </w:r>
      <w:r w:rsidRPr="002462E6">
        <w:rPr>
          <w:rFonts w:ascii="Tahoma" w:eastAsia="Times New Roman" w:hAnsi="Tahoma" w:cs="Tahoma"/>
          <w:sz w:val="24"/>
          <w:szCs w:val="24"/>
        </w:rPr>
        <w:t>auprès</w:t>
      </w:r>
      <w:r w:rsidRPr="002462E6">
        <w:rPr>
          <w:rFonts w:ascii="Tahoma" w:eastAsia="Times New Roman" w:hAnsi="Tahoma" w:cs="Tahoma"/>
          <w:spacing w:val="-6"/>
          <w:sz w:val="24"/>
          <w:szCs w:val="24"/>
        </w:rPr>
        <w:t xml:space="preserve"> </w:t>
      </w:r>
      <w:r w:rsidRPr="002462E6">
        <w:rPr>
          <w:rFonts w:ascii="Tahoma" w:eastAsia="Times New Roman" w:hAnsi="Tahoma" w:cs="Tahoma"/>
          <w:sz w:val="24"/>
          <w:szCs w:val="24"/>
        </w:rPr>
        <w:t>du</w:t>
      </w:r>
      <w:r w:rsidRPr="002462E6">
        <w:rPr>
          <w:rFonts w:ascii="Tahoma" w:eastAsia="Times New Roman" w:hAnsi="Tahoma" w:cs="Tahoma"/>
          <w:spacing w:val="-5"/>
          <w:sz w:val="24"/>
          <w:szCs w:val="24"/>
        </w:rPr>
        <w:t xml:space="preserve"> </w:t>
      </w:r>
      <w:r w:rsidRPr="002462E6">
        <w:rPr>
          <w:rFonts w:ascii="Tahoma" w:eastAsia="Times New Roman" w:hAnsi="Tahoma" w:cs="Tahoma"/>
          <w:sz w:val="24"/>
          <w:szCs w:val="24"/>
        </w:rPr>
        <w:t>Ministre</w:t>
      </w:r>
      <w:r w:rsidRPr="002462E6">
        <w:rPr>
          <w:rFonts w:ascii="Tahoma" w:eastAsia="Times New Roman" w:hAnsi="Tahoma" w:cs="Tahoma"/>
          <w:spacing w:val="-6"/>
          <w:sz w:val="24"/>
          <w:szCs w:val="24"/>
        </w:rPr>
        <w:t xml:space="preserve"> </w:t>
      </w:r>
      <w:r w:rsidRPr="002462E6">
        <w:rPr>
          <w:rFonts w:ascii="Tahoma" w:eastAsia="Times New Roman" w:hAnsi="Tahoma" w:cs="Tahoma"/>
          <w:sz w:val="24"/>
          <w:szCs w:val="24"/>
        </w:rPr>
        <w:t>de</w:t>
      </w:r>
      <w:r w:rsidRPr="002462E6">
        <w:rPr>
          <w:rFonts w:ascii="Tahoma" w:eastAsia="Times New Roman" w:hAnsi="Tahoma" w:cs="Tahoma"/>
          <w:spacing w:val="-58"/>
          <w:sz w:val="24"/>
          <w:szCs w:val="24"/>
        </w:rPr>
        <w:t xml:space="preserve"> </w:t>
      </w:r>
      <w:r w:rsidRPr="002462E6">
        <w:rPr>
          <w:rFonts w:ascii="Tahoma" w:eastAsia="Times New Roman" w:hAnsi="Tahoma" w:cs="Tahoma"/>
          <w:sz w:val="24"/>
          <w:szCs w:val="24"/>
        </w:rPr>
        <w:t>l’Agriculture, du Développement Rural et des Eaux et Forêts, chargé des eaux et forêts n° 370-02</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du 05 mars 2002 portant délégation de pouvoirs aux walis des régions. Celles-ci sont constituées</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de :</w:t>
      </w:r>
    </w:p>
    <w:p w:rsidR="00726EDC" w:rsidRPr="002462E6" w:rsidRDefault="00726EDC" w:rsidP="008146C3">
      <w:pPr>
        <w:widowControl w:val="0"/>
        <w:numPr>
          <w:ilvl w:val="0"/>
          <w:numId w:val="26"/>
        </w:numPr>
        <w:tabs>
          <w:tab w:val="left" w:pos="993"/>
        </w:tabs>
        <w:autoSpaceDE w:val="0"/>
        <w:autoSpaceDN w:val="0"/>
        <w:spacing w:after="0" w:line="360" w:lineRule="auto"/>
        <w:ind w:left="284" w:firstLine="425"/>
        <w:jc w:val="both"/>
        <w:rPr>
          <w:rFonts w:ascii="Tahoma" w:eastAsia="Times New Roman" w:hAnsi="Tahoma" w:cs="Tahoma"/>
          <w:sz w:val="24"/>
          <w:szCs w:val="24"/>
        </w:rPr>
      </w:pPr>
      <w:r w:rsidRPr="002462E6">
        <w:rPr>
          <w:rFonts w:ascii="Tahoma" w:eastAsia="Times New Roman" w:hAnsi="Tahoma" w:cs="Tahoma"/>
          <w:sz w:val="24"/>
          <w:szCs w:val="24"/>
        </w:rPr>
        <w:t>Redevance relative à l'occupation du sol, exigible dans la quinzaine qui suit la date de</w:t>
      </w:r>
      <w:r w:rsidRPr="002462E6">
        <w:rPr>
          <w:rFonts w:ascii="Tahoma" w:eastAsia="Times New Roman" w:hAnsi="Tahoma" w:cs="Tahoma"/>
          <w:spacing w:val="-57"/>
          <w:sz w:val="24"/>
          <w:szCs w:val="24"/>
        </w:rPr>
        <w:t xml:space="preserve"> </w:t>
      </w:r>
      <w:r w:rsidRPr="002462E6">
        <w:rPr>
          <w:rFonts w:ascii="Tahoma" w:eastAsia="Times New Roman" w:hAnsi="Tahoma" w:cs="Tahoma"/>
          <w:sz w:val="24"/>
          <w:szCs w:val="24"/>
        </w:rPr>
        <w:t>notification de l'arrêté concerné pour la première fois et ensuite avant le 15 janvier de</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chaque année</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w:t>
      </w:r>
    </w:p>
    <w:p w:rsidR="00726EDC" w:rsidRPr="002462E6" w:rsidRDefault="00726EDC" w:rsidP="008146C3">
      <w:pPr>
        <w:widowControl w:val="0"/>
        <w:numPr>
          <w:ilvl w:val="0"/>
          <w:numId w:val="26"/>
        </w:numPr>
        <w:tabs>
          <w:tab w:val="left" w:pos="993"/>
        </w:tabs>
        <w:autoSpaceDE w:val="0"/>
        <w:autoSpaceDN w:val="0"/>
        <w:spacing w:before="1" w:after="0" w:line="360" w:lineRule="auto"/>
        <w:ind w:left="284" w:firstLine="425"/>
        <w:jc w:val="both"/>
        <w:rPr>
          <w:rFonts w:ascii="Tahoma" w:eastAsia="Times New Roman" w:hAnsi="Tahoma" w:cs="Tahoma"/>
          <w:sz w:val="24"/>
          <w:szCs w:val="24"/>
        </w:rPr>
      </w:pPr>
      <w:r w:rsidRPr="002462E6">
        <w:rPr>
          <w:rFonts w:ascii="Tahoma" w:eastAsia="Times New Roman" w:hAnsi="Tahoma" w:cs="Tahoma"/>
          <w:sz w:val="24"/>
          <w:szCs w:val="24"/>
        </w:rPr>
        <w:t>Redevances relatives à la quantité minimale et à la surface bâtie en matériaux à</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caractère</w:t>
      </w:r>
      <w:r w:rsidRPr="002462E6">
        <w:rPr>
          <w:rFonts w:ascii="Tahoma" w:eastAsia="Times New Roman" w:hAnsi="Tahoma" w:cs="Tahoma"/>
          <w:spacing w:val="-6"/>
          <w:sz w:val="24"/>
          <w:szCs w:val="24"/>
        </w:rPr>
        <w:t xml:space="preserve"> </w:t>
      </w:r>
      <w:r w:rsidRPr="002462E6">
        <w:rPr>
          <w:rFonts w:ascii="Tahoma" w:eastAsia="Times New Roman" w:hAnsi="Tahoma" w:cs="Tahoma"/>
          <w:sz w:val="24"/>
          <w:szCs w:val="24"/>
        </w:rPr>
        <w:t>léger,</w:t>
      </w:r>
      <w:r w:rsidRPr="002462E6">
        <w:rPr>
          <w:rFonts w:ascii="Tahoma" w:eastAsia="Times New Roman" w:hAnsi="Tahoma" w:cs="Tahoma"/>
          <w:spacing w:val="-6"/>
          <w:sz w:val="24"/>
          <w:szCs w:val="24"/>
        </w:rPr>
        <w:t xml:space="preserve"> </w:t>
      </w:r>
      <w:r w:rsidRPr="002462E6">
        <w:rPr>
          <w:rFonts w:ascii="Tahoma" w:eastAsia="Times New Roman" w:hAnsi="Tahoma" w:cs="Tahoma"/>
          <w:sz w:val="24"/>
          <w:szCs w:val="24"/>
        </w:rPr>
        <w:t>exigibles</w:t>
      </w:r>
      <w:r w:rsidRPr="002462E6">
        <w:rPr>
          <w:rFonts w:ascii="Tahoma" w:eastAsia="Times New Roman" w:hAnsi="Tahoma" w:cs="Tahoma"/>
          <w:spacing w:val="-7"/>
          <w:sz w:val="24"/>
          <w:szCs w:val="24"/>
        </w:rPr>
        <w:t xml:space="preserve"> </w:t>
      </w:r>
      <w:r w:rsidRPr="002462E6">
        <w:rPr>
          <w:rFonts w:ascii="Tahoma" w:eastAsia="Times New Roman" w:hAnsi="Tahoma" w:cs="Tahoma"/>
          <w:sz w:val="24"/>
          <w:szCs w:val="24"/>
        </w:rPr>
        <w:t>dans</w:t>
      </w:r>
      <w:r w:rsidRPr="002462E6">
        <w:rPr>
          <w:rFonts w:ascii="Tahoma" w:eastAsia="Times New Roman" w:hAnsi="Tahoma" w:cs="Tahoma"/>
          <w:spacing w:val="-6"/>
          <w:sz w:val="24"/>
          <w:szCs w:val="24"/>
        </w:rPr>
        <w:t xml:space="preserve"> </w:t>
      </w:r>
      <w:r w:rsidRPr="002462E6">
        <w:rPr>
          <w:rFonts w:ascii="Tahoma" w:eastAsia="Times New Roman" w:hAnsi="Tahoma" w:cs="Tahoma"/>
          <w:sz w:val="24"/>
          <w:szCs w:val="24"/>
        </w:rPr>
        <w:t>la</w:t>
      </w:r>
      <w:r w:rsidRPr="002462E6">
        <w:rPr>
          <w:rFonts w:ascii="Tahoma" w:eastAsia="Times New Roman" w:hAnsi="Tahoma" w:cs="Tahoma"/>
          <w:spacing w:val="-7"/>
          <w:sz w:val="24"/>
          <w:szCs w:val="24"/>
        </w:rPr>
        <w:t xml:space="preserve"> </w:t>
      </w:r>
      <w:r w:rsidRPr="002462E6">
        <w:rPr>
          <w:rFonts w:ascii="Tahoma" w:eastAsia="Times New Roman" w:hAnsi="Tahoma" w:cs="Tahoma"/>
          <w:sz w:val="24"/>
          <w:szCs w:val="24"/>
        </w:rPr>
        <w:t>quinzaine</w:t>
      </w:r>
      <w:r w:rsidRPr="002462E6">
        <w:rPr>
          <w:rFonts w:ascii="Tahoma" w:eastAsia="Times New Roman" w:hAnsi="Tahoma" w:cs="Tahoma"/>
          <w:spacing w:val="-7"/>
          <w:sz w:val="24"/>
          <w:szCs w:val="24"/>
        </w:rPr>
        <w:t xml:space="preserve"> </w:t>
      </w:r>
      <w:r w:rsidRPr="002462E6">
        <w:rPr>
          <w:rFonts w:ascii="Tahoma" w:eastAsia="Times New Roman" w:hAnsi="Tahoma" w:cs="Tahoma"/>
          <w:sz w:val="24"/>
          <w:szCs w:val="24"/>
        </w:rPr>
        <w:t>qui</w:t>
      </w:r>
      <w:r w:rsidRPr="002462E6">
        <w:rPr>
          <w:rFonts w:ascii="Tahoma" w:eastAsia="Times New Roman" w:hAnsi="Tahoma" w:cs="Tahoma"/>
          <w:spacing w:val="-7"/>
          <w:sz w:val="24"/>
          <w:szCs w:val="24"/>
        </w:rPr>
        <w:t xml:space="preserve"> </w:t>
      </w:r>
      <w:r w:rsidRPr="002462E6">
        <w:rPr>
          <w:rFonts w:ascii="Tahoma" w:eastAsia="Times New Roman" w:hAnsi="Tahoma" w:cs="Tahoma"/>
          <w:sz w:val="24"/>
          <w:szCs w:val="24"/>
        </w:rPr>
        <w:t>suit</w:t>
      </w:r>
      <w:r w:rsidRPr="002462E6">
        <w:rPr>
          <w:rFonts w:ascii="Tahoma" w:eastAsia="Times New Roman" w:hAnsi="Tahoma" w:cs="Tahoma"/>
          <w:spacing w:val="-6"/>
          <w:sz w:val="24"/>
          <w:szCs w:val="24"/>
        </w:rPr>
        <w:t xml:space="preserve"> </w:t>
      </w:r>
      <w:r w:rsidRPr="002462E6">
        <w:rPr>
          <w:rFonts w:ascii="Tahoma" w:eastAsia="Times New Roman" w:hAnsi="Tahoma" w:cs="Tahoma"/>
          <w:sz w:val="24"/>
          <w:szCs w:val="24"/>
        </w:rPr>
        <w:t>la</w:t>
      </w:r>
      <w:r w:rsidRPr="002462E6">
        <w:rPr>
          <w:rFonts w:ascii="Tahoma" w:eastAsia="Times New Roman" w:hAnsi="Tahoma" w:cs="Tahoma"/>
          <w:spacing w:val="-7"/>
          <w:sz w:val="24"/>
          <w:szCs w:val="24"/>
        </w:rPr>
        <w:t xml:space="preserve"> </w:t>
      </w:r>
      <w:r w:rsidRPr="002462E6">
        <w:rPr>
          <w:rFonts w:ascii="Tahoma" w:eastAsia="Times New Roman" w:hAnsi="Tahoma" w:cs="Tahoma"/>
          <w:sz w:val="24"/>
          <w:szCs w:val="24"/>
        </w:rPr>
        <w:t>date</w:t>
      </w:r>
      <w:r w:rsidRPr="002462E6">
        <w:rPr>
          <w:rFonts w:ascii="Tahoma" w:eastAsia="Times New Roman" w:hAnsi="Tahoma" w:cs="Tahoma"/>
          <w:spacing w:val="-5"/>
          <w:sz w:val="24"/>
          <w:szCs w:val="24"/>
        </w:rPr>
        <w:t xml:space="preserve"> </w:t>
      </w:r>
      <w:r w:rsidRPr="002462E6">
        <w:rPr>
          <w:rFonts w:ascii="Tahoma" w:eastAsia="Times New Roman" w:hAnsi="Tahoma" w:cs="Tahoma"/>
          <w:sz w:val="24"/>
          <w:szCs w:val="24"/>
        </w:rPr>
        <w:t>de</w:t>
      </w:r>
      <w:r w:rsidRPr="002462E6">
        <w:rPr>
          <w:rFonts w:ascii="Tahoma" w:eastAsia="Times New Roman" w:hAnsi="Tahoma" w:cs="Tahoma"/>
          <w:spacing w:val="-7"/>
          <w:sz w:val="24"/>
          <w:szCs w:val="24"/>
        </w:rPr>
        <w:t xml:space="preserve"> </w:t>
      </w:r>
      <w:r w:rsidRPr="002462E6">
        <w:rPr>
          <w:rFonts w:ascii="Tahoma" w:eastAsia="Times New Roman" w:hAnsi="Tahoma" w:cs="Tahoma"/>
          <w:sz w:val="24"/>
          <w:szCs w:val="24"/>
        </w:rPr>
        <w:t>signature</w:t>
      </w:r>
      <w:r w:rsidRPr="002462E6">
        <w:rPr>
          <w:rFonts w:ascii="Tahoma" w:eastAsia="Times New Roman" w:hAnsi="Tahoma" w:cs="Tahoma"/>
          <w:spacing w:val="-5"/>
          <w:sz w:val="24"/>
          <w:szCs w:val="24"/>
        </w:rPr>
        <w:t xml:space="preserve"> </w:t>
      </w:r>
      <w:r w:rsidRPr="002462E6">
        <w:rPr>
          <w:rFonts w:ascii="Tahoma" w:eastAsia="Times New Roman" w:hAnsi="Tahoma" w:cs="Tahoma"/>
          <w:sz w:val="24"/>
          <w:szCs w:val="24"/>
        </w:rPr>
        <w:t>de</w:t>
      </w:r>
      <w:r w:rsidRPr="002462E6">
        <w:rPr>
          <w:rFonts w:ascii="Tahoma" w:eastAsia="Times New Roman" w:hAnsi="Tahoma" w:cs="Tahoma"/>
          <w:spacing w:val="-7"/>
          <w:sz w:val="24"/>
          <w:szCs w:val="24"/>
        </w:rPr>
        <w:t xml:space="preserve"> </w:t>
      </w:r>
      <w:r w:rsidRPr="002462E6">
        <w:rPr>
          <w:rFonts w:ascii="Tahoma" w:eastAsia="Times New Roman" w:hAnsi="Tahoma" w:cs="Tahoma"/>
          <w:sz w:val="24"/>
          <w:szCs w:val="24"/>
        </w:rPr>
        <w:t>l’arrêté</w:t>
      </w:r>
      <w:r w:rsidRPr="002462E6">
        <w:rPr>
          <w:rFonts w:ascii="Tahoma" w:eastAsia="Times New Roman" w:hAnsi="Tahoma" w:cs="Tahoma"/>
          <w:spacing w:val="-7"/>
          <w:sz w:val="24"/>
          <w:szCs w:val="24"/>
        </w:rPr>
        <w:t xml:space="preserve"> </w:t>
      </w:r>
      <w:r w:rsidRPr="002462E6">
        <w:rPr>
          <w:rFonts w:ascii="Tahoma" w:eastAsia="Times New Roman" w:hAnsi="Tahoma" w:cs="Tahoma"/>
          <w:sz w:val="24"/>
          <w:szCs w:val="24"/>
        </w:rPr>
        <w:t>pour</w:t>
      </w:r>
      <w:r w:rsidRPr="002462E6">
        <w:rPr>
          <w:rFonts w:ascii="Tahoma" w:eastAsia="Times New Roman" w:hAnsi="Tahoma" w:cs="Tahoma"/>
          <w:spacing w:val="-58"/>
          <w:sz w:val="24"/>
          <w:szCs w:val="24"/>
        </w:rPr>
        <w:t xml:space="preserve"> </w:t>
      </w:r>
      <w:r w:rsidRPr="002462E6">
        <w:rPr>
          <w:rFonts w:ascii="Tahoma" w:eastAsia="Times New Roman" w:hAnsi="Tahoma" w:cs="Tahoma"/>
          <w:sz w:val="24"/>
          <w:szCs w:val="24"/>
        </w:rPr>
        <w:t>la</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première fois et</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ensuite avant</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le 31 Mars de chaque année</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w:t>
      </w:r>
    </w:p>
    <w:p w:rsidR="00726EDC" w:rsidRPr="002462E6" w:rsidRDefault="00726EDC" w:rsidP="008146C3">
      <w:pPr>
        <w:widowControl w:val="0"/>
        <w:numPr>
          <w:ilvl w:val="0"/>
          <w:numId w:val="26"/>
        </w:numPr>
        <w:tabs>
          <w:tab w:val="left" w:pos="993"/>
        </w:tabs>
        <w:autoSpaceDE w:val="0"/>
        <w:autoSpaceDN w:val="0"/>
        <w:spacing w:before="1" w:after="0" w:line="360" w:lineRule="auto"/>
        <w:ind w:left="284" w:firstLine="425"/>
        <w:jc w:val="both"/>
        <w:rPr>
          <w:rFonts w:ascii="Tahoma" w:eastAsia="Times New Roman" w:hAnsi="Tahoma" w:cs="Tahoma"/>
          <w:sz w:val="24"/>
          <w:szCs w:val="24"/>
        </w:rPr>
      </w:pPr>
      <w:r w:rsidRPr="002462E6">
        <w:rPr>
          <w:rFonts w:ascii="Tahoma" w:eastAsia="Times New Roman" w:hAnsi="Tahoma" w:cs="Tahoma"/>
          <w:sz w:val="24"/>
          <w:szCs w:val="24"/>
        </w:rPr>
        <w:t>Taxe</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forestière FNF :</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20 % des</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redevances sus visées.</w:t>
      </w:r>
    </w:p>
    <w:p w:rsidR="00726EDC" w:rsidRPr="002462E6" w:rsidRDefault="00726EDC" w:rsidP="008146C3">
      <w:pPr>
        <w:widowControl w:val="0"/>
        <w:autoSpaceDE w:val="0"/>
        <w:autoSpaceDN w:val="0"/>
        <w:spacing w:before="1" w:after="0" w:line="360" w:lineRule="auto"/>
        <w:jc w:val="both"/>
        <w:rPr>
          <w:rFonts w:ascii="Tahoma" w:eastAsia="Times New Roman" w:hAnsi="Tahoma" w:cs="Tahoma"/>
          <w:sz w:val="24"/>
          <w:szCs w:val="24"/>
        </w:rPr>
      </w:pPr>
      <w:r w:rsidRPr="002462E6">
        <w:rPr>
          <w:rFonts w:ascii="Tahoma" w:eastAsia="Times New Roman" w:hAnsi="Tahoma" w:cs="Tahoma"/>
          <w:sz w:val="24"/>
          <w:szCs w:val="24"/>
        </w:rPr>
        <w:t>Il</w:t>
      </w:r>
      <w:r w:rsidRPr="002462E6">
        <w:rPr>
          <w:rFonts w:ascii="Tahoma" w:eastAsia="Times New Roman" w:hAnsi="Tahoma" w:cs="Tahoma"/>
          <w:spacing w:val="-8"/>
          <w:sz w:val="24"/>
          <w:szCs w:val="24"/>
        </w:rPr>
        <w:t xml:space="preserve"> </w:t>
      </w:r>
      <w:r w:rsidRPr="002462E6">
        <w:rPr>
          <w:rFonts w:ascii="Tahoma" w:eastAsia="Times New Roman" w:hAnsi="Tahoma" w:cs="Tahoma"/>
          <w:sz w:val="24"/>
          <w:szCs w:val="24"/>
        </w:rPr>
        <w:t>convient</w:t>
      </w:r>
      <w:r w:rsidRPr="002462E6">
        <w:rPr>
          <w:rFonts w:ascii="Tahoma" w:eastAsia="Times New Roman" w:hAnsi="Tahoma" w:cs="Tahoma"/>
          <w:spacing w:val="-8"/>
          <w:sz w:val="24"/>
          <w:szCs w:val="24"/>
        </w:rPr>
        <w:t xml:space="preserve"> </w:t>
      </w:r>
      <w:r w:rsidRPr="002462E6">
        <w:rPr>
          <w:rFonts w:ascii="Tahoma" w:eastAsia="Times New Roman" w:hAnsi="Tahoma" w:cs="Tahoma"/>
          <w:sz w:val="24"/>
          <w:szCs w:val="24"/>
        </w:rPr>
        <w:t>de</w:t>
      </w:r>
      <w:r w:rsidRPr="002462E6">
        <w:rPr>
          <w:rFonts w:ascii="Tahoma" w:eastAsia="Times New Roman" w:hAnsi="Tahoma" w:cs="Tahoma"/>
          <w:spacing w:val="-8"/>
          <w:sz w:val="24"/>
          <w:szCs w:val="24"/>
        </w:rPr>
        <w:t xml:space="preserve"> </w:t>
      </w:r>
      <w:r w:rsidRPr="002462E6">
        <w:rPr>
          <w:rFonts w:ascii="Tahoma" w:eastAsia="Times New Roman" w:hAnsi="Tahoma" w:cs="Tahoma"/>
          <w:sz w:val="24"/>
          <w:szCs w:val="24"/>
        </w:rPr>
        <w:t>signaler</w:t>
      </w:r>
      <w:r w:rsidRPr="002462E6">
        <w:rPr>
          <w:rFonts w:ascii="Tahoma" w:eastAsia="Times New Roman" w:hAnsi="Tahoma" w:cs="Tahoma"/>
          <w:spacing w:val="-9"/>
          <w:sz w:val="24"/>
          <w:szCs w:val="24"/>
        </w:rPr>
        <w:t xml:space="preserve"> </w:t>
      </w:r>
      <w:r w:rsidRPr="002462E6">
        <w:rPr>
          <w:rFonts w:ascii="Tahoma" w:eastAsia="Times New Roman" w:hAnsi="Tahoma" w:cs="Tahoma"/>
          <w:sz w:val="24"/>
          <w:szCs w:val="24"/>
        </w:rPr>
        <w:t>que</w:t>
      </w:r>
      <w:r w:rsidRPr="002462E6">
        <w:rPr>
          <w:rFonts w:ascii="Tahoma" w:eastAsia="Times New Roman" w:hAnsi="Tahoma" w:cs="Tahoma"/>
          <w:spacing w:val="-8"/>
          <w:sz w:val="24"/>
          <w:szCs w:val="24"/>
        </w:rPr>
        <w:t xml:space="preserve"> </w:t>
      </w:r>
      <w:r w:rsidRPr="002462E6">
        <w:rPr>
          <w:rFonts w:ascii="Tahoma" w:eastAsia="Times New Roman" w:hAnsi="Tahoma" w:cs="Tahoma"/>
          <w:sz w:val="24"/>
          <w:szCs w:val="24"/>
        </w:rPr>
        <w:t>les</w:t>
      </w:r>
      <w:r w:rsidRPr="002462E6">
        <w:rPr>
          <w:rFonts w:ascii="Tahoma" w:eastAsia="Times New Roman" w:hAnsi="Tahoma" w:cs="Tahoma"/>
          <w:spacing w:val="-7"/>
          <w:sz w:val="24"/>
          <w:szCs w:val="24"/>
        </w:rPr>
        <w:t xml:space="preserve"> </w:t>
      </w:r>
      <w:r w:rsidRPr="002462E6">
        <w:rPr>
          <w:rFonts w:ascii="Tahoma" w:eastAsia="Times New Roman" w:hAnsi="Tahoma" w:cs="Tahoma"/>
          <w:sz w:val="24"/>
          <w:szCs w:val="24"/>
        </w:rPr>
        <w:t>montants</w:t>
      </w:r>
      <w:r w:rsidRPr="002462E6">
        <w:rPr>
          <w:rFonts w:ascii="Tahoma" w:eastAsia="Times New Roman" w:hAnsi="Tahoma" w:cs="Tahoma"/>
          <w:spacing w:val="-8"/>
          <w:sz w:val="24"/>
          <w:szCs w:val="24"/>
        </w:rPr>
        <w:t xml:space="preserve"> </w:t>
      </w:r>
      <w:r w:rsidRPr="002462E6">
        <w:rPr>
          <w:rFonts w:ascii="Tahoma" w:eastAsia="Times New Roman" w:hAnsi="Tahoma" w:cs="Tahoma"/>
          <w:sz w:val="24"/>
          <w:szCs w:val="24"/>
        </w:rPr>
        <w:t>de</w:t>
      </w:r>
      <w:r w:rsidRPr="002462E6">
        <w:rPr>
          <w:rFonts w:ascii="Tahoma" w:eastAsia="Times New Roman" w:hAnsi="Tahoma" w:cs="Tahoma"/>
          <w:spacing w:val="-8"/>
          <w:sz w:val="24"/>
          <w:szCs w:val="24"/>
        </w:rPr>
        <w:t xml:space="preserve"> </w:t>
      </w:r>
      <w:r w:rsidRPr="002462E6">
        <w:rPr>
          <w:rFonts w:ascii="Tahoma" w:eastAsia="Times New Roman" w:hAnsi="Tahoma" w:cs="Tahoma"/>
          <w:sz w:val="24"/>
          <w:szCs w:val="24"/>
        </w:rPr>
        <w:t>redevances</w:t>
      </w:r>
      <w:r w:rsidRPr="002462E6">
        <w:rPr>
          <w:rFonts w:ascii="Tahoma" w:eastAsia="Times New Roman" w:hAnsi="Tahoma" w:cs="Tahoma"/>
          <w:spacing w:val="-8"/>
          <w:sz w:val="24"/>
          <w:szCs w:val="24"/>
        </w:rPr>
        <w:t xml:space="preserve"> </w:t>
      </w:r>
      <w:r w:rsidRPr="002462E6">
        <w:rPr>
          <w:rFonts w:ascii="Tahoma" w:eastAsia="Times New Roman" w:hAnsi="Tahoma" w:cs="Tahoma"/>
          <w:sz w:val="24"/>
          <w:szCs w:val="24"/>
        </w:rPr>
        <w:t>sont</w:t>
      </w:r>
      <w:r w:rsidRPr="002462E6">
        <w:rPr>
          <w:rFonts w:ascii="Tahoma" w:eastAsia="Times New Roman" w:hAnsi="Tahoma" w:cs="Tahoma"/>
          <w:spacing w:val="-8"/>
          <w:sz w:val="24"/>
          <w:szCs w:val="24"/>
        </w:rPr>
        <w:t xml:space="preserve"> </w:t>
      </w:r>
      <w:r w:rsidRPr="002462E6">
        <w:rPr>
          <w:rFonts w:ascii="Tahoma" w:eastAsia="Times New Roman" w:hAnsi="Tahoma" w:cs="Tahoma"/>
          <w:sz w:val="24"/>
          <w:szCs w:val="24"/>
        </w:rPr>
        <w:t>susceptibles</w:t>
      </w:r>
      <w:r w:rsidRPr="002462E6">
        <w:rPr>
          <w:rFonts w:ascii="Tahoma" w:eastAsia="Times New Roman" w:hAnsi="Tahoma" w:cs="Tahoma"/>
          <w:spacing w:val="-7"/>
          <w:sz w:val="24"/>
          <w:szCs w:val="24"/>
        </w:rPr>
        <w:t xml:space="preserve"> </w:t>
      </w:r>
      <w:r w:rsidRPr="002462E6">
        <w:rPr>
          <w:rFonts w:ascii="Tahoma" w:eastAsia="Times New Roman" w:hAnsi="Tahoma" w:cs="Tahoma"/>
          <w:sz w:val="24"/>
          <w:szCs w:val="24"/>
        </w:rPr>
        <w:t>de</w:t>
      </w:r>
      <w:r w:rsidRPr="002462E6">
        <w:rPr>
          <w:rFonts w:ascii="Tahoma" w:eastAsia="Times New Roman" w:hAnsi="Tahoma" w:cs="Tahoma"/>
          <w:spacing w:val="-10"/>
          <w:sz w:val="24"/>
          <w:szCs w:val="24"/>
        </w:rPr>
        <w:t xml:space="preserve"> </w:t>
      </w:r>
      <w:r w:rsidRPr="002462E6">
        <w:rPr>
          <w:rFonts w:ascii="Tahoma" w:eastAsia="Times New Roman" w:hAnsi="Tahoma" w:cs="Tahoma"/>
          <w:sz w:val="24"/>
          <w:szCs w:val="24"/>
        </w:rPr>
        <w:t>révision</w:t>
      </w:r>
      <w:r w:rsidRPr="002462E6">
        <w:rPr>
          <w:rFonts w:ascii="Tahoma" w:eastAsia="Times New Roman" w:hAnsi="Tahoma" w:cs="Tahoma"/>
          <w:spacing w:val="-9"/>
          <w:sz w:val="24"/>
          <w:szCs w:val="24"/>
        </w:rPr>
        <w:t xml:space="preserve"> </w:t>
      </w:r>
      <w:r w:rsidRPr="002462E6">
        <w:rPr>
          <w:rFonts w:ascii="Tahoma" w:eastAsia="Times New Roman" w:hAnsi="Tahoma" w:cs="Tahoma"/>
          <w:sz w:val="24"/>
          <w:szCs w:val="24"/>
        </w:rPr>
        <w:t>à</w:t>
      </w:r>
      <w:r w:rsidRPr="002462E6">
        <w:rPr>
          <w:rFonts w:ascii="Tahoma" w:eastAsia="Times New Roman" w:hAnsi="Tahoma" w:cs="Tahoma"/>
          <w:spacing w:val="-10"/>
          <w:sz w:val="24"/>
          <w:szCs w:val="24"/>
        </w:rPr>
        <w:t xml:space="preserve"> </w:t>
      </w:r>
      <w:r w:rsidRPr="002462E6">
        <w:rPr>
          <w:rFonts w:ascii="Tahoma" w:eastAsia="Times New Roman" w:hAnsi="Tahoma" w:cs="Tahoma"/>
          <w:sz w:val="24"/>
          <w:szCs w:val="24"/>
        </w:rPr>
        <w:t>l'initiative</w:t>
      </w:r>
      <w:r w:rsidRPr="002462E6">
        <w:rPr>
          <w:rFonts w:ascii="Tahoma" w:eastAsia="Times New Roman" w:hAnsi="Tahoma" w:cs="Tahoma"/>
          <w:spacing w:val="-8"/>
          <w:sz w:val="24"/>
          <w:szCs w:val="24"/>
        </w:rPr>
        <w:t xml:space="preserve"> </w:t>
      </w:r>
      <w:r w:rsidRPr="002462E6">
        <w:rPr>
          <w:rFonts w:ascii="Tahoma" w:eastAsia="Times New Roman" w:hAnsi="Tahoma" w:cs="Tahoma"/>
          <w:sz w:val="24"/>
          <w:szCs w:val="24"/>
        </w:rPr>
        <w:t>du</w:t>
      </w:r>
      <w:r w:rsidRPr="002462E6">
        <w:rPr>
          <w:rFonts w:ascii="Tahoma" w:eastAsia="Times New Roman" w:hAnsi="Tahoma" w:cs="Tahoma"/>
          <w:spacing w:val="-57"/>
          <w:sz w:val="24"/>
          <w:szCs w:val="24"/>
        </w:rPr>
        <w:t xml:space="preserve"> </w:t>
      </w:r>
      <w:r w:rsidRPr="002462E6">
        <w:rPr>
          <w:rFonts w:ascii="Tahoma" w:eastAsia="Times New Roman" w:hAnsi="Tahoma" w:cs="Tahoma"/>
          <w:sz w:val="24"/>
          <w:szCs w:val="24"/>
        </w:rPr>
        <w:t>Département</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des Eaux et</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Forêts. Ce</w:t>
      </w:r>
      <w:r w:rsidRPr="002462E6">
        <w:rPr>
          <w:rFonts w:ascii="Tahoma" w:eastAsia="Times New Roman" w:hAnsi="Tahoma" w:cs="Tahoma"/>
          <w:spacing w:val="-2"/>
          <w:sz w:val="24"/>
          <w:szCs w:val="24"/>
        </w:rPr>
        <w:t xml:space="preserve"> </w:t>
      </w:r>
      <w:r w:rsidRPr="002462E6">
        <w:rPr>
          <w:rFonts w:ascii="Tahoma" w:eastAsia="Times New Roman" w:hAnsi="Tahoma" w:cs="Tahoma"/>
          <w:sz w:val="24"/>
          <w:szCs w:val="24"/>
        </w:rPr>
        <w:t>dernier en</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fixera les nouveaux</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taux par voie</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d'arrêté.</w:t>
      </w:r>
    </w:p>
    <w:p w:rsidR="00726EDC" w:rsidRPr="002462E6" w:rsidRDefault="00726EDC" w:rsidP="008146C3">
      <w:pPr>
        <w:widowControl w:val="0"/>
        <w:autoSpaceDE w:val="0"/>
        <w:autoSpaceDN w:val="0"/>
        <w:spacing w:after="0" w:line="360" w:lineRule="auto"/>
        <w:jc w:val="both"/>
        <w:rPr>
          <w:rFonts w:ascii="Tahoma" w:eastAsia="Times New Roman" w:hAnsi="Tahoma" w:cs="Tahoma"/>
          <w:sz w:val="24"/>
          <w:szCs w:val="24"/>
        </w:rPr>
      </w:pPr>
      <w:r w:rsidRPr="002462E6">
        <w:rPr>
          <w:rFonts w:ascii="Tahoma" w:eastAsia="Times New Roman" w:hAnsi="Tahoma" w:cs="Tahoma"/>
          <w:sz w:val="24"/>
          <w:szCs w:val="24"/>
        </w:rPr>
        <w:t>Par rapport à la zone d’étude, certaines occupations temporaires ont été soulevées suite à la</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demande</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de</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certains bénéficiaires</w:t>
      </w:r>
      <w:r w:rsidRPr="002462E6">
        <w:rPr>
          <w:rFonts w:ascii="Tahoma" w:eastAsia="Times New Roman" w:hAnsi="Tahoma" w:cs="Tahoma"/>
          <w:spacing w:val="-1"/>
          <w:sz w:val="24"/>
          <w:szCs w:val="24"/>
        </w:rPr>
        <w:t xml:space="preserve"> </w:t>
      </w:r>
      <w:r w:rsidR="001462F5">
        <w:rPr>
          <w:rFonts w:ascii="Tahoma" w:eastAsia="Times New Roman" w:hAnsi="Tahoma" w:cs="Tahoma"/>
          <w:sz w:val="24"/>
          <w:szCs w:val="24"/>
        </w:rPr>
        <w:t>tels que :</w:t>
      </w:r>
    </w:p>
    <w:p w:rsidR="00EB43F0" w:rsidRPr="001462F5" w:rsidRDefault="00726EDC" w:rsidP="008146C3">
      <w:pPr>
        <w:widowControl w:val="0"/>
        <w:numPr>
          <w:ilvl w:val="0"/>
          <w:numId w:val="25"/>
        </w:numPr>
        <w:tabs>
          <w:tab w:val="left" w:pos="1276"/>
        </w:tabs>
        <w:autoSpaceDE w:val="0"/>
        <w:autoSpaceDN w:val="0"/>
        <w:spacing w:after="0" w:line="360" w:lineRule="auto"/>
        <w:ind w:left="567" w:firstLine="426"/>
        <w:jc w:val="both"/>
        <w:rPr>
          <w:rFonts w:ascii="Tahoma" w:eastAsia="Times New Roman" w:hAnsi="Tahoma" w:cs="Tahoma"/>
          <w:sz w:val="24"/>
          <w:szCs w:val="24"/>
        </w:rPr>
      </w:pPr>
      <w:r w:rsidRPr="002462E6">
        <w:rPr>
          <w:rFonts w:ascii="Tahoma" w:eastAsia="Times New Roman" w:hAnsi="Tahoma" w:cs="Tahoma"/>
          <w:sz w:val="24"/>
          <w:szCs w:val="24"/>
        </w:rPr>
        <w:t>La</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Société</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Anonyme</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Zayed</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Nahyane</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en</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vue</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de</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la</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réalisation</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des</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aménagements</w:t>
      </w:r>
      <w:r w:rsidRPr="002462E6">
        <w:rPr>
          <w:rFonts w:ascii="Tahoma" w:eastAsia="Times New Roman" w:hAnsi="Tahoma" w:cs="Tahoma"/>
          <w:spacing w:val="-57"/>
          <w:sz w:val="24"/>
          <w:szCs w:val="24"/>
        </w:rPr>
        <w:t xml:space="preserve"> </w:t>
      </w:r>
      <w:r w:rsidRPr="002462E6">
        <w:rPr>
          <w:rFonts w:ascii="Tahoma" w:eastAsia="Times New Roman" w:hAnsi="Tahoma" w:cs="Tahoma"/>
          <w:sz w:val="24"/>
          <w:szCs w:val="24"/>
        </w:rPr>
        <w:t>cynégétiques</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 xml:space="preserve">sur 97 ha (arrêté </w:t>
      </w:r>
      <w:r w:rsidRPr="002462E6">
        <w:rPr>
          <w:rFonts w:ascii="Tahoma" w:eastAsia="Calibri" w:hAnsi="Tahoma" w:cs="Tahoma"/>
        </w:rPr>
        <w:t>N°</w:t>
      </w:r>
      <w:r w:rsidRPr="002462E6">
        <w:rPr>
          <w:rFonts w:ascii="Tahoma" w:eastAsia="Times New Roman" w:hAnsi="Tahoma" w:cs="Tahoma"/>
          <w:sz w:val="24"/>
          <w:szCs w:val="24"/>
        </w:rPr>
        <w:t>115/06) ;</w:t>
      </w:r>
    </w:p>
    <w:p w:rsidR="00EB43F0" w:rsidRPr="001462F5" w:rsidRDefault="00726EDC" w:rsidP="008146C3">
      <w:pPr>
        <w:widowControl w:val="0"/>
        <w:numPr>
          <w:ilvl w:val="0"/>
          <w:numId w:val="25"/>
        </w:numPr>
        <w:tabs>
          <w:tab w:val="left" w:pos="1276"/>
        </w:tabs>
        <w:autoSpaceDE w:val="0"/>
        <w:autoSpaceDN w:val="0"/>
        <w:spacing w:after="0" w:line="360" w:lineRule="auto"/>
        <w:ind w:left="567" w:firstLine="426"/>
        <w:jc w:val="both"/>
        <w:rPr>
          <w:rFonts w:ascii="Tahoma" w:eastAsia="Times New Roman" w:hAnsi="Tahoma" w:cs="Tahoma"/>
          <w:sz w:val="24"/>
          <w:szCs w:val="24"/>
        </w:rPr>
      </w:pPr>
      <w:r w:rsidRPr="002462E6">
        <w:rPr>
          <w:rFonts w:ascii="Tahoma" w:eastAsia="Times New Roman" w:hAnsi="Tahoma" w:cs="Tahoma"/>
          <w:sz w:val="24"/>
          <w:szCs w:val="24"/>
        </w:rPr>
        <w:t>L’Office National d’Electricité (ONE) pour le passage de ligne électrique sur 1900 ml</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de long et 30 ml de large (arrêté</w:t>
      </w:r>
      <w:r w:rsidRPr="002462E6">
        <w:rPr>
          <w:rFonts w:ascii="Times New Roman" w:eastAsia="Times New Roman" w:hAnsi="Times New Roman" w:cs="Times New Roman"/>
        </w:rPr>
        <w:t xml:space="preserve"> </w:t>
      </w:r>
      <w:r w:rsidRPr="002462E6">
        <w:rPr>
          <w:rFonts w:ascii="Tahoma" w:eastAsia="Times New Roman" w:hAnsi="Tahoma" w:cs="Tahoma"/>
          <w:sz w:val="24"/>
          <w:szCs w:val="24"/>
        </w:rPr>
        <w:t>N° 44/2008) et 1825 ml de long et 15 ml de large</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(arrêté N°115/84)</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w:t>
      </w:r>
    </w:p>
    <w:p w:rsidR="00726EDC" w:rsidRPr="002462E6" w:rsidRDefault="00726EDC" w:rsidP="008146C3">
      <w:pPr>
        <w:widowControl w:val="0"/>
        <w:numPr>
          <w:ilvl w:val="0"/>
          <w:numId w:val="25"/>
        </w:numPr>
        <w:tabs>
          <w:tab w:val="left" w:pos="1276"/>
        </w:tabs>
        <w:autoSpaceDE w:val="0"/>
        <w:autoSpaceDN w:val="0"/>
        <w:spacing w:before="77" w:after="0" w:line="360" w:lineRule="auto"/>
        <w:ind w:left="567" w:firstLine="426"/>
        <w:rPr>
          <w:rFonts w:ascii="Tahoma" w:eastAsia="Times New Roman" w:hAnsi="Tahoma" w:cs="Tahoma"/>
          <w:sz w:val="24"/>
          <w:szCs w:val="24"/>
        </w:rPr>
      </w:pPr>
      <w:r w:rsidRPr="002462E6">
        <w:rPr>
          <w:rFonts w:ascii="Tahoma" w:eastAsia="Times New Roman" w:hAnsi="Tahoma" w:cs="Tahoma"/>
          <w:sz w:val="24"/>
          <w:szCs w:val="24"/>
        </w:rPr>
        <w:t>La</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Municipalité</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de</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Brachoua</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pour le</w:t>
      </w:r>
      <w:r w:rsidRPr="002462E6">
        <w:rPr>
          <w:rFonts w:ascii="Tahoma" w:eastAsia="Times New Roman" w:hAnsi="Tahoma" w:cs="Tahoma"/>
          <w:spacing w:val="-2"/>
          <w:sz w:val="24"/>
          <w:szCs w:val="24"/>
        </w:rPr>
        <w:t xml:space="preserve"> </w:t>
      </w:r>
      <w:r w:rsidRPr="002462E6">
        <w:rPr>
          <w:rFonts w:ascii="Tahoma" w:eastAsia="Times New Roman" w:hAnsi="Tahoma" w:cs="Tahoma"/>
          <w:sz w:val="24"/>
          <w:szCs w:val="24"/>
        </w:rPr>
        <w:t>passage</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d’une</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conduite</w:t>
      </w:r>
      <w:r w:rsidRPr="002462E6">
        <w:rPr>
          <w:rFonts w:ascii="Tahoma" w:eastAsia="Times New Roman" w:hAnsi="Tahoma" w:cs="Tahoma"/>
          <w:spacing w:val="-2"/>
          <w:sz w:val="24"/>
          <w:szCs w:val="24"/>
        </w:rPr>
        <w:t xml:space="preserve"> </w:t>
      </w:r>
      <w:r w:rsidRPr="002462E6">
        <w:rPr>
          <w:rFonts w:ascii="Tahoma" w:eastAsia="Times New Roman" w:hAnsi="Tahoma" w:cs="Tahoma"/>
          <w:sz w:val="24"/>
          <w:szCs w:val="24"/>
        </w:rPr>
        <w:t>d’eau</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sur</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1,545</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ha ;</w:t>
      </w:r>
    </w:p>
    <w:p w:rsidR="00726EDC" w:rsidRDefault="00726EDC" w:rsidP="008146C3">
      <w:pPr>
        <w:widowControl w:val="0"/>
        <w:numPr>
          <w:ilvl w:val="0"/>
          <w:numId w:val="25"/>
        </w:numPr>
        <w:tabs>
          <w:tab w:val="left" w:pos="1276"/>
        </w:tabs>
        <w:autoSpaceDE w:val="0"/>
        <w:autoSpaceDN w:val="0"/>
        <w:spacing w:before="138" w:after="0" w:line="360" w:lineRule="auto"/>
        <w:ind w:left="567" w:firstLine="426"/>
        <w:rPr>
          <w:rFonts w:ascii="Tahoma" w:eastAsia="Times New Roman" w:hAnsi="Tahoma" w:cs="Tahoma"/>
          <w:sz w:val="24"/>
          <w:szCs w:val="24"/>
        </w:rPr>
      </w:pPr>
      <w:r w:rsidRPr="002462E6">
        <w:rPr>
          <w:rFonts w:ascii="Tahoma" w:eastAsia="Times New Roman" w:hAnsi="Tahoma" w:cs="Tahoma"/>
          <w:sz w:val="24"/>
          <w:szCs w:val="24"/>
        </w:rPr>
        <w:t>L’E.S.T.D</w:t>
      </w:r>
      <w:r w:rsidRPr="002462E6">
        <w:rPr>
          <w:rFonts w:ascii="Tahoma" w:eastAsia="Times New Roman" w:hAnsi="Tahoma" w:cs="Tahoma"/>
          <w:spacing w:val="-8"/>
          <w:sz w:val="24"/>
          <w:szCs w:val="24"/>
        </w:rPr>
        <w:t xml:space="preserve"> </w:t>
      </w:r>
      <w:r w:rsidRPr="002462E6">
        <w:rPr>
          <w:rFonts w:ascii="Tahoma" w:eastAsia="Times New Roman" w:hAnsi="Tahoma" w:cs="Tahoma"/>
          <w:sz w:val="24"/>
          <w:szCs w:val="24"/>
        </w:rPr>
        <w:t>(Etudes</w:t>
      </w:r>
      <w:r w:rsidRPr="002462E6">
        <w:rPr>
          <w:rFonts w:ascii="Tahoma" w:eastAsia="Times New Roman" w:hAnsi="Tahoma" w:cs="Tahoma"/>
          <w:spacing w:val="-6"/>
          <w:sz w:val="24"/>
          <w:szCs w:val="24"/>
        </w:rPr>
        <w:t xml:space="preserve"> </w:t>
      </w:r>
      <w:r w:rsidRPr="002462E6">
        <w:rPr>
          <w:rFonts w:ascii="Tahoma" w:eastAsia="Times New Roman" w:hAnsi="Tahoma" w:cs="Tahoma"/>
          <w:sz w:val="24"/>
          <w:szCs w:val="24"/>
        </w:rPr>
        <w:t>Services</w:t>
      </w:r>
      <w:r w:rsidRPr="002462E6">
        <w:rPr>
          <w:rFonts w:ascii="Tahoma" w:eastAsia="Times New Roman" w:hAnsi="Tahoma" w:cs="Tahoma"/>
          <w:spacing w:val="-7"/>
          <w:sz w:val="24"/>
          <w:szCs w:val="24"/>
        </w:rPr>
        <w:t xml:space="preserve"> </w:t>
      </w:r>
      <w:r w:rsidRPr="002462E6">
        <w:rPr>
          <w:rFonts w:ascii="Tahoma" w:eastAsia="Times New Roman" w:hAnsi="Tahoma" w:cs="Tahoma"/>
          <w:sz w:val="24"/>
          <w:szCs w:val="24"/>
        </w:rPr>
        <w:t>Travaux</w:t>
      </w:r>
      <w:r w:rsidRPr="002462E6">
        <w:rPr>
          <w:rFonts w:ascii="Tahoma" w:eastAsia="Times New Roman" w:hAnsi="Tahoma" w:cs="Tahoma"/>
          <w:spacing w:val="-7"/>
          <w:sz w:val="24"/>
          <w:szCs w:val="24"/>
        </w:rPr>
        <w:t xml:space="preserve"> </w:t>
      </w:r>
      <w:r w:rsidRPr="002462E6">
        <w:rPr>
          <w:rFonts w:ascii="Tahoma" w:eastAsia="Times New Roman" w:hAnsi="Tahoma" w:cs="Tahoma"/>
          <w:sz w:val="24"/>
          <w:szCs w:val="24"/>
        </w:rPr>
        <w:t>Divers)</w:t>
      </w:r>
      <w:r w:rsidRPr="002462E6">
        <w:rPr>
          <w:rFonts w:ascii="Tahoma" w:eastAsia="Times New Roman" w:hAnsi="Tahoma" w:cs="Tahoma"/>
          <w:spacing w:val="-6"/>
          <w:sz w:val="24"/>
          <w:szCs w:val="24"/>
        </w:rPr>
        <w:t xml:space="preserve"> </w:t>
      </w:r>
      <w:r w:rsidRPr="002462E6">
        <w:rPr>
          <w:rFonts w:ascii="Tahoma" w:eastAsia="Times New Roman" w:hAnsi="Tahoma" w:cs="Tahoma"/>
          <w:sz w:val="24"/>
          <w:szCs w:val="24"/>
        </w:rPr>
        <w:t>pour</w:t>
      </w:r>
      <w:r w:rsidRPr="002462E6">
        <w:rPr>
          <w:rFonts w:ascii="Tahoma" w:eastAsia="Times New Roman" w:hAnsi="Tahoma" w:cs="Tahoma"/>
          <w:spacing w:val="-8"/>
          <w:sz w:val="24"/>
          <w:szCs w:val="24"/>
        </w:rPr>
        <w:t xml:space="preserve"> </w:t>
      </w:r>
      <w:r w:rsidRPr="002462E6">
        <w:rPr>
          <w:rFonts w:ascii="Tahoma" w:eastAsia="Times New Roman" w:hAnsi="Tahoma" w:cs="Tahoma"/>
          <w:sz w:val="24"/>
          <w:szCs w:val="24"/>
        </w:rPr>
        <w:t>l’installation</w:t>
      </w:r>
      <w:r w:rsidRPr="002462E6">
        <w:rPr>
          <w:rFonts w:ascii="Tahoma" w:eastAsia="Times New Roman" w:hAnsi="Tahoma" w:cs="Tahoma"/>
          <w:spacing w:val="-6"/>
          <w:sz w:val="24"/>
          <w:szCs w:val="24"/>
        </w:rPr>
        <w:t xml:space="preserve"> </w:t>
      </w:r>
      <w:r w:rsidRPr="002462E6">
        <w:rPr>
          <w:rFonts w:ascii="Tahoma" w:eastAsia="Times New Roman" w:hAnsi="Tahoma" w:cs="Tahoma"/>
          <w:sz w:val="24"/>
          <w:szCs w:val="24"/>
        </w:rPr>
        <w:t>d’un</w:t>
      </w:r>
      <w:r w:rsidRPr="002462E6">
        <w:rPr>
          <w:rFonts w:ascii="Tahoma" w:eastAsia="Times New Roman" w:hAnsi="Tahoma" w:cs="Tahoma"/>
          <w:spacing w:val="-7"/>
          <w:sz w:val="24"/>
          <w:szCs w:val="24"/>
        </w:rPr>
        <w:t xml:space="preserve"> </w:t>
      </w:r>
      <w:r w:rsidRPr="002462E6">
        <w:rPr>
          <w:rFonts w:ascii="Tahoma" w:eastAsia="Times New Roman" w:hAnsi="Tahoma" w:cs="Tahoma"/>
          <w:sz w:val="24"/>
          <w:szCs w:val="24"/>
        </w:rPr>
        <w:t>puits</w:t>
      </w:r>
      <w:r w:rsidRPr="002462E6">
        <w:rPr>
          <w:rFonts w:ascii="Tahoma" w:eastAsia="Times New Roman" w:hAnsi="Tahoma" w:cs="Tahoma"/>
          <w:spacing w:val="-6"/>
          <w:sz w:val="24"/>
          <w:szCs w:val="24"/>
        </w:rPr>
        <w:t xml:space="preserve"> </w:t>
      </w:r>
      <w:r w:rsidRPr="002462E6">
        <w:rPr>
          <w:rFonts w:ascii="Tahoma" w:eastAsia="Times New Roman" w:hAnsi="Tahoma" w:cs="Tahoma"/>
          <w:sz w:val="24"/>
          <w:szCs w:val="24"/>
        </w:rPr>
        <w:t>et</w:t>
      </w:r>
      <w:r w:rsidRPr="002462E6">
        <w:rPr>
          <w:rFonts w:ascii="Tahoma" w:eastAsia="Times New Roman" w:hAnsi="Tahoma" w:cs="Tahoma"/>
          <w:spacing w:val="-5"/>
          <w:sz w:val="24"/>
          <w:szCs w:val="24"/>
        </w:rPr>
        <w:t xml:space="preserve"> </w:t>
      </w:r>
      <w:r w:rsidRPr="002462E6">
        <w:rPr>
          <w:rFonts w:ascii="Tahoma" w:eastAsia="Times New Roman" w:hAnsi="Tahoma" w:cs="Tahoma"/>
          <w:sz w:val="24"/>
          <w:szCs w:val="24"/>
        </w:rPr>
        <w:t>la</w:t>
      </w:r>
      <w:r w:rsidRPr="002462E6">
        <w:rPr>
          <w:rFonts w:ascii="Tahoma" w:eastAsia="Times New Roman" w:hAnsi="Tahoma" w:cs="Tahoma"/>
          <w:spacing w:val="-6"/>
          <w:sz w:val="24"/>
          <w:szCs w:val="24"/>
        </w:rPr>
        <w:t xml:space="preserve"> </w:t>
      </w:r>
      <w:r w:rsidRPr="002462E6">
        <w:rPr>
          <w:rFonts w:ascii="Tahoma" w:eastAsia="Times New Roman" w:hAnsi="Tahoma" w:cs="Tahoma"/>
          <w:sz w:val="24"/>
          <w:szCs w:val="24"/>
        </w:rPr>
        <w:t>conduite</w:t>
      </w:r>
      <w:r w:rsidRPr="002462E6">
        <w:rPr>
          <w:rFonts w:ascii="Tahoma" w:eastAsia="Times New Roman" w:hAnsi="Tahoma" w:cs="Tahoma"/>
          <w:spacing w:val="-57"/>
          <w:sz w:val="24"/>
          <w:szCs w:val="24"/>
        </w:rPr>
        <w:t xml:space="preserve"> </w:t>
      </w:r>
      <w:r w:rsidRPr="002462E6">
        <w:rPr>
          <w:rFonts w:ascii="Tahoma" w:eastAsia="Times New Roman" w:hAnsi="Tahoma" w:cs="Tahoma"/>
          <w:sz w:val="24"/>
          <w:szCs w:val="24"/>
        </w:rPr>
        <w:t>d’eau</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sur une superficie de 8 ares 75</w:t>
      </w:r>
      <w:r w:rsidRPr="002462E6">
        <w:rPr>
          <w:rFonts w:ascii="Tahoma" w:eastAsia="Times New Roman" w:hAnsi="Tahoma" w:cs="Tahoma"/>
          <w:spacing w:val="-2"/>
          <w:sz w:val="24"/>
          <w:szCs w:val="24"/>
        </w:rPr>
        <w:t xml:space="preserve"> </w:t>
      </w:r>
      <w:r w:rsidRPr="002462E6">
        <w:rPr>
          <w:rFonts w:ascii="Tahoma" w:eastAsia="Times New Roman" w:hAnsi="Tahoma" w:cs="Tahoma"/>
          <w:sz w:val="24"/>
          <w:szCs w:val="24"/>
        </w:rPr>
        <w:t>ca.</w:t>
      </w:r>
    </w:p>
    <w:p w:rsidR="001462F5" w:rsidRPr="001462F5" w:rsidRDefault="001462F5" w:rsidP="001462F5">
      <w:pPr>
        <w:widowControl w:val="0"/>
        <w:tabs>
          <w:tab w:val="left" w:pos="1276"/>
        </w:tabs>
        <w:autoSpaceDE w:val="0"/>
        <w:autoSpaceDN w:val="0"/>
        <w:spacing w:before="138" w:after="0" w:line="360" w:lineRule="auto"/>
        <w:ind w:left="993"/>
        <w:rPr>
          <w:rFonts w:ascii="Tahoma" w:eastAsia="Times New Roman" w:hAnsi="Tahoma" w:cs="Tahoma"/>
          <w:sz w:val="2"/>
          <w:szCs w:val="2"/>
        </w:rPr>
      </w:pPr>
    </w:p>
    <w:p w:rsidR="001462F5" w:rsidRDefault="00726EDC" w:rsidP="001462F5">
      <w:pPr>
        <w:widowControl w:val="0"/>
        <w:autoSpaceDE w:val="0"/>
        <w:autoSpaceDN w:val="0"/>
        <w:spacing w:after="0" w:line="360" w:lineRule="auto"/>
        <w:jc w:val="both"/>
        <w:rPr>
          <w:rFonts w:ascii="Tahoma" w:eastAsia="Times New Roman" w:hAnsi="Tahoma" w:cs="Tahoma"/>
          <w:sz w:val="24"/>
          <w:szCs w:val="24"/>
        </w:rPr>
      </w:pPr>
      <w:r w:rsidRPr="002462E6">
        <w:rPr>
          <w:rFonts w:ascii="Tahoma" w:eastAsia="Times New Roman" w:hAnsi="Tahoma" w:cs="Tahoma"/>
          <w:sz w:val="24"/>
          <w:szCs w:val="24"/>
        </w:rPr>
        <w:t>Les revenus obtenus à l’occasion des différentes occupations temporaires semblent contribuer à la</w:t>
      </w:r>
      <w:r w:rsidRPr="002462E6">
        <w:rPr>
          <w:rFonts w:ascii="Tahoma" w:eastAsia="Times New Roman" w:hAnsi="Tahoma" w:cs="Tahoma"/>
          <w:spacing w:val="-57"/>
          <w:sz w:val="24"/>
          <w:szCs w:val="24"/>
        </w:rPr>
        <w:t xml:space="preserve"> </w:t>
      </w:r>
      <w:r w:rsidRPr="002462E6">
        <w:rPr>
          <w:rFonts w:ascii="Tahoma" w:eastAsia="Times New Roman" w:hAnsi="Tahoma" w:cs="Tahoma"/>
          <w:sz w:val="24"/>
          <w:szCs w:val="24"/>
        </w:rPr>
        <w:t>promotion</w:t>
      </w:r>
      <w:r w:rsidRPr="002462E6">
        <w:rPr>
          <w:rFonts w:ascii="Tahoma" w:eastAsia="Times New Roman" w:hAnsi="Tahoma" w:cs="Tahoma"/>
          <w:spacing w:val="-7"/>
          <w:sz w:val="24"/>
          <w:szCs w:val="24"/>
        </w:rPr>
        <w:t xml:space="preserve"> </w:t>
      </w:r>
      <w:r w:rsidRPr="002462E6">
        <w:rPr>
          <w:rFonts w:ascii="Tahoma" w:eastAsia="Times New Roman" w:hAnsi="Tahoma" w:cs="Tahoma"/>
          <w:sz w:val="24"/>
          <w:szCs w:val="24"/>
        </w:rPr>
        <w:t>de</w:t>
      </w:r>
      <w:r w:rsidRPr="002462E6">
        <w:rPr>
          <w:rFonts w:ascii="Tahoma" w:eastAsia="Times New Roman" w:hAnsi="Tahoma" w:cs="Tahoma"/>
          <w:spacing w:val="-6"/>
          <w:sz w:val="24"/>
          <w:szCs w:val="24"/>
        </w:rPr>
        <w:t xml:space="preserve"> </w:t>
      </w:r>
      <w:r w:rsidRPr="002462E6">
        <w:rPr>
          <w:rFonts w:ascii="Tahoma" w:eastAsia="Times New Roman" w:hAnsi="Tahoma" w:cs="Tahoma"/>
          <w:sz w:val="24"/>
          <w:szCs w:val="24"/>
        </w:rPr>
        <w:t>l’économie</w:t>
      </w:r>
      <w:r w:rsidRPr="002462E6">
        <w:rPr>
          <w:rFonts w:ascii="Tahoma" w:eastAsia="Times New Roman" w:hAnsi="Tahoma" w:cs="Tahoma"/>
          <w:spacing w:val="-7"/>
          <w:sz w:val="24"/>
          <w:szCs w:val="24"/>
        </w:rPr>
        <w:t xml:space="preserve"> </w:t>
      </w:r>
      <w:r w:rsidRPr="002462E6">
        <w:rPr>
          <w:rFonts w:ascii="Tahoma" w:eastAsia="Times New Roman" w:hAnsi="Tahoma" w:cs="Tahoma"/>
          <w:sz w:val="24"/>
          <w:szCs w:val="24"/>
        </w:rPr>
        <w:t>locale.</w:t>
      </w:r>
      <w:r w:rsidRPr="002462E6">
        <w:rPr>
          <w:rFonts w:ascii="Tahoma" w:eastAsia="Times New Roman" w:hAnsi="Tahoma" w:cs="Tahoma"/>
          <w:spacing w:val="-6"/>
          <w:sz w:val="24"/>
          <w:szCs w:val="24"/>
        </w:rPr>
        <w:t xml:space="preserve"> </w:t>
      </w:r>
      <w:r w:rsidRPr="002462E6">
        <w:rPr>
          <w:rFonts w:ascii="Tahoma" w:eastAsia="Times New Roman" w:hAnsi="Tahoma" w:cs="Tahoma"/>
          <w:sz w:val="24"/>
          <w:szCs w:val="24"/>
        </w:rPr>
        <w:t>En</w:t>
      </w:r>
      <w:r w:rsidRPr="002462E6">
        <w:rPr>
          <w:rFonts w:ascii="Tahoma" w:eastAsia="Times New Roman" w:hAnsi="Tahoma" w:cs="Tahoma"/>
          <w:spacing w:val="-9"/>
          <w:sz w:val="24"/>
          <w:szCs w:val="24"/>
        </w:rPr>
        <w:t xml:space="preserve"> </w:t>
      </w:r>
      <w:r w:rsidRPr="002462E6">
        <w:rPr>
          <w:rFonts w:ascii="Tahoma" w:eastAsia="Times New Roman" w:hAnsi="Tahoma" w:cs="Tahoma"/>
          <w:sz w:val="24"/>
          <w:szCs w:val="24"/>
        </w:rPr>
        <w:t>effet,</w:t>
      </w:r>
      <w:r w:rsidRPr="002462E6">
        <w:rPr>
          <w:rFonts w:ascii="Tahoma" w:eastAsia="Times New Roman" w:hAnsi="Tahoma" w:cs="Tahoma"/>
          <w:spacing w:val="-7"/>
          <w:sz w:val="24"/>
          <w:szCs w:val="24"/>
        </w:rPr>
        <w:t xml:space="preserve"> </w:t>
      </w:r>
      <w:r w:rsidRPr="002462E6">
        <w:rPr>
          <w:rFonts w:ascii="Tahoma" w:eastAsia="Times New Roman" w:hAnsi="Tahoma" w:cs="Tahoma"/>
          <w:sz w:val="24"/>
          <w:szCs w:val="24"/>
        </w:rPr>
        <w:t>les</w:t>
      </w:r>
      <w:r w:rsidRPr="002462E6">
        <w:rPr>
          <w:rFonts w:ascii="Tahoma" w:eastAsia="Times New Roman" w:hAnsi="Tahoma" w:cs="Tahoma"/>
          <w:spacing w:val="-6"/>
          <w:sz w:val="24"/>
          <w:szCs w:val="24"/>
        </w:rPr>
        <w:t xml:space="preserve"> </w:t>
      </w:r>
      <w:r w:rsidRPr="002462E6">
        <w:rPr>
          <w:rFonts w:ascii="Tahoma" w:eastAsia="Times New Roman" w:hAnsi="Tahoma" w:cs="Tahoma"/>
          <w:sz w:val="24"/>
          <w:szCs w:val="24"/>
        </w:rPr>
        <w:t>redevances</w:t>
      </w:r>
      <w:r w:rsidRPr="002462E6">
        <w:rPr>
          <w:rFonts w:ascii="Tahoma" w:eastAsia="Times New Roman" w:hAnsi="Tahoma" w:cs="Tahoma"/>
          <w:spacing w:val="-6"/>
          <w:sz w:val="24"/>
          <w:szCs w:val="24"/>
        </w:rPr>
        <w:t xml:space="preserve"> </w:t>
      </w:r>
      <w:r w:rsidRPr="002462E6">
        <w:rPr>
          <w:rFonts w:ascii="Tahoma" w:eastAsia="Times New Roman" w:hAnsi="Tahoma" w:cs="Tahoma"/>
          <w:sz w:val="24"/>
          <w:szCs w:val="24"/>
        </w:rPr>
        <w:t>annuelles</w:t>
      </w:r>
      <w:r w:rsidRPr="002462E6">
        <w:rPr>
          <w:rFonts w:ascii="Tahoma" w:eastAsia="Times New Roman" w:hAnsi="Tahoma" w:cs="Tahoma"/>
          <w:spacing w:val="-8"/>
          <w:sz w:val="24"/>
          <w:szCs w:val="24"/>
        </w:rPr>
        <w:t xml:space="preserve"> </w:t>
      </w:r>
      <w:r w:rsidRPr="002462E6">
        <w:rPr>
          <w:rFonts w:ascii="Tahoma" w:eastAsia="Times New Roman" w:hAnsi="Tahoma" w:cs="Tahoma"/>
          <w:sz w:val="24"/>
          <w:szCs w:val="24"/>
        </w:rPr>
        <w:t>peuvent</w:t>
      </w:r>
      <w:r w:rsidRPr="002462E6">
        <w:rPr>
          <w:rFonts w:ascii="Tahoma" w:eastAsia="Times New Roman" w:hAnsi="Tahoma" w:cs="Tahoma"/>
          <w:spacing w:val="-6"/>
          <w:sz w:val="24"/>
          <w:szCs w:val="24"/>
        </w:rPr>
        <w:t xml:space="preserve"> </w:t>
      </w:r>
      <w:r w:rsidRPr="002462E6">
        <w:rPr>
          <w:rFonts w:ascii="Tahoma" w:eastAsia="Times New Roman" w:hAnsi="Tahoma" w:cs="Tahoma"/>
          <w:sz w:val="24"/>
          <w:szCs w:val="24"/>
        </w:rPr>
        <w:t>atteindre</w:t>
      </w:r>
      <w:r w:rsidRPr="002462E6">
        <w:rPr>
          <w:rFonts w:ascii="Tahoma" w:eastAsia="Times New Roman" w:hAnsi="Tahoma" w:cs="Tahoma"/>
          <w:spacing w:val="-8"/>
          <w:sz w:val="24"/>
          <w:szCs w:val="24"/>
        </w:rPr>
        <w:t xml:space="preserve"> </w:t>
      </w:r>
      <w:r w:rsidRPr="002462E6">
        <w:rPr>
          <w:rFonts w:ascii="Tahoma" w:eastAsia="Times New Roman" w:hAnsi="Tahoma" w:cs="Tahoma"/>
          <w:sz w:val="24"/>
          <w:szCs w:val="24"/>
        </w:rPr>
        <w:t>214</w:t>
      </w:r>
      <w:r w:rsidRPr="002462E6">
        <w:rPr>
          <w:rFonts w:ascii="Tahoma" w:eastAsia="Times New Roman" w:hAnsi="Tahoma" w:cs="Tahoma"/>
          <w:spacing w:val="-7"/>
          <w:sz w:val="24"/>
          <w:szCs w:val="24"/>
        </w:rPr>
        <w:t xml:space="preserve"> </w:t>
      </w:r>
      <w:r w:rsidRPr="002462E6">
        <w:rPr>
          <w:rFonts w:ascii="Tahoma" w:eastAsia="Times New Roman" w:hAnsi="Tahoma" w:cs="Tahoma"/>
          <w:sz w:val="24"/>
          <w:szCs w:val="24"/>
        </w:rPr>
        <w:t>700</w:t>
      </w:r>
      <w:r w:rsidRPr="002462E6">
        <w:rPr>
          <w:rFonts w:ascii="Tahoma" w:eastAsia="Times New Roman" w:hAnsi="Tahoma" w:cs="Tahoma"/>
          <w:spacing w:val="-6"/>
          <w:sz w:val="24"/>
          <w:szCs w:val="24"/>
        </w:rPr>
        <w:t xml:space="preserve"> </w:t>
      </w:r>
      <w:r w:rsidRPr="002462E6">
        <w:rPr>
          <w:rFonts w:ascii="Tahoma" w:eastAsia="Times New Roman" w:hAnsi="Tahoma" w:cs="Tahoma"/>
          <w:sz w:val="24"/>
          <w:szCs w:val="24"/>
        </w:rPr>
        <w:t>Dhs,</w:t>
      </w:r>
      <w:r w:rsidRPr="002462E6">
        <w:rPr>
          <w:rFonts w:ascii="Tahoma" w:eastAsia="Times New Roman" w:hAnsi="Tahoma" w:cs="Tahoma"/>
          <w:spacing w:val="-58"/>
          <w:sz w:val="24"/>
          <w:szCs w:val="24"/>
        </w:rPr>
        <w:t xml:space="preserve"> </w:t>
      </w:r>
      <w:r w:rsidRPr="002462E6">
        <w:rPr>
          <w:rFonts w:ascii="Tahoma" w:eastAsia="Times New Roman" w:hAnsi="Tahoma" w:cs="Tahoma"/>
          <w:sz w:val="24"/>
          <w:szCs w:val="24"/>
        </w:rPr>
        <w:t>dont la majeure partie est versée par la société S.A Zayed NAHYANE pour un montant de 194 000</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Dhs</w:t>
      </w:r>
      <w:r w:rsidRPr="002462E6">
        <w:rPr>
          <w:rFonts w:ascii="Tahoma" w:eastAsia="Times New Roman" w:hAnsi="Tahoma" w:cs="Tahoma"/>
          <w:spacing w:val="-1"/>
          <w:sz w:val="24"/>
          <w:szCs w:val="24"/>
        </w:rPr>
        <w:t xml:space="preserve"> </w:t>
      </w:r>
      <w:r w:rsidRPr="002462E6">
        <w:rPr>
          <w:rFonts w:ascii="Tahoma" w:eastAsia="Times New Roman" w:hAnsi="Tahoma" w:cs="Tahoma"/>
          <w:b/>
          <w:bCs/>
          <w:sz w:val="24"/>
          <w:szCs w:val="24"/>
        </w:rPr>
        <w:t xml:space="preserve">(Tableau </w:t>
      </w:r>
      <w:r w:rsidRPr="002462E6">
        <w:rPr>
          <w:rFonts w:ascii="Tahoma" w:eastAsia="Calibri" w:hAnsi="Tahoma" w:cs="Tahoma"/>
          <w:b/>
          <w:bCs/>
          <w:sz w:val="24"/>
          <w:szCs w:val="24"/>
        </w:rPr>
        <w:t>N°</w:t>
      </w:r>
      <w:r w:rsidR="00247FE0">
        <w:rPr>
          <w:rFonts w:ascii="Tahoma" w:eastAsia="Calibri" w:hAnsi="Tahoma" w:cs="Tahoma"/>
          <w:b/>
          <w:bCs/>
          <w:sz w:val="24"/>
          <w:szCs w:val="24"/>
        </w:rPr>
        <w:t>6</w:t>
      </w:r>
      <w:r w:rsidRPr="002462E6">
        <w:rPr>
          <w:rFonts w:ascii="Tahoma" w:eastAsia="Times New Roman" w:hAnsi="Tahoma" w:cs="Tahoma"/>
          <w:b/>
          <w:bCs/>
          <w:sz w:val="24"/>
          <w:szCs w:val="24"/>
        </w:rPr>
        <w:t>)</w:t>
      </w:r>
      <w:r w:rsidRPr="002462E6">
        <w:rPr>
          <w:rFonts w:ascii="Tahoma" w:eastAsia="Times New Roman" w:hAnsi="Tahoma" w:cs="Tahoma"/>
          <w:sz w:val="24"/>
          <w:szCs w:val="24"/>
          <w:vertAlign w:val="superscript"/>
        </w:rPr>
        <w:footnoteReference w:id="277"/>
      </w:r>
      <w:r w:rsidRPr="002462E6">
        <w:rPr>
          <w:rFonts w:ascii="Tahoma" w:eastAsia="Times New Roman" w:hAnsi="Tahoma" w:cs="Tahoma"/>
          <w:sz w:val="24"/>
          <w:szCs w:val="24"/>
        </w:rPr>
        <w:t>.</w:t>
      </w:r>
      <w:r w:rsidRPr="002462E6">
        <w:rPr>
          <w:rFonts w:ascii="Tahoma" w:eastAsia="Times New Roman" w:hAnsi="Tahoma" w:cs="Tahoma"/>
          <w:spacing w:val="-2"/>
          <w:sz w:val="24"/>
          <w:szCs w:val="24"/>
        </w:rPr>
        <w:t xml:space="preserve"> </w:t>
      </w:r>
      <w:bookmarkStart w:id="246" w:name="_Toc185696910"/>
    </w:p>
    <w:p w:rsidR="00726EDC" w:rsidRPr="002462E6" w:rsidRDefault="00726EDC" w:rsidP="000D57A1">
      <w:pPr>
        <w:pStyle w:val="Sous-titre"/>
      </w:pPr>
      <w:bookmarkStart w:id="247" w:name="_Toc201571279"/>
      <w:bookmarkStart w:id="248" w:name="_Toc203642505"/>
      <w:r w:rsidRPr="002462E6">
        <w:t xml:space="preserve">Tableau </w:t>
      </w:r>
      <w:r w:rsidR="00225ED1">
        <w:rPr>
          <w:noProof/>
        </w:rPr>
        <w:fldChar w:fldCharType="begin"/>
      </w:r>
      <w:r w:rsidR="00225ED1">
        <w:rPr>
          <w:noProof/>
        </w:rPr>
        <w:instrText xml:space="preserve"> SEQ Tableau \* ARABIC </w:instrText>
      </w:r>
      <w:r w:rsidR="00225ED1">
        <w:rPr>
          <w:noProof/>
        </w:rPr>
        <w:fldChar w:fldCharType="separate"/>
      </w:r>
      <w:r w:rsidR="00124AFB">
        <w:rPr>
          <w:noProof/>
        </w:rPr>
        <w:t>6</w:t>
      </w:r>
      <w:r w:rsidR="00225ED1">
        <w:rPr>
          <w:noProof/>
        </w:rPr>
        <w:fldChar w:fldCharType="end"/>
      </w:r>
      <w:r w:rsidR="003B5EFF" w:rsidRPr="002462E6">
        <w:t xml:space="preserve"> : </w:t>
      </w:r>
      <w:r w:rsidRPr="002462E6">
        <w:t>Situation des Occupations temporaires dans la zone d</w:t>
      </w:r>
      <w:bookmarkEnd w:id="246"/>
      <w:bookmarkEnd w:id="247"/>
      <w:r w:rsidR="000B6BA8" w:rsidRPr="002462E6">
        <w:t>e recherche</w:t>
      </w:r>
      <w:bookmarkEnd w:id="248"/>
    </w:p>
    <w:p w:rsidR="00726EDC" w:rsidRPr="002462E6" w:rsidRDefault="00726EDC" w:rsidP="00726EDC">
      <w:pPr>
        <w:widowControl w:val="0"/>
        <w:autoSpaceDE w:val="0"/>
        <w:autoSpaceDN w:val="0"/>
        <w:spacing w:before="1" w:after="0" w:line="240" w:lineRule="auto"/>
        <w:rPr>
          <w:rFonts w:ascii="Tahoma" w:eastAsia="Times New Roman" w:hAnsi="Tahoma" w:cs="Tahoma"/>
          <w:b/>
          <w:sz w:val="2"/>
          <w:szCs w:val="2"/>
        </w:rPr>
      </w:pPr>
    </w:p>
    <w:p w:rsidR="00726EDC" w:rsidRPr="002462E6" w:rsidRDefault="00726EDC" w:rsidP="00726EDC">
      <w:pPr>
        <w:widowControl w:val="0"/>
        <w:autoSpaceDE w:val="0"/>
        <w:autoSpaceDN w:val="0"/>
        <w:spacing w:before="1" w:after="0" w:line="240" w:lineRule="auto"/>
        <w:rPr>
          <w:rFonts w:ascii="Tahoma" w:eastAsia="Times New Roman" w:hAnsi="Tahoma" w:cs="Tahoma"/>
          <w:b/>
          <w:sz w:val="2"/>
          <w:szCs w:val="8"/>
        </w:rPr>
      </w:pPr>
    </w:p>
    <w:tbl>
      <w:tblPr>
        <w:tblStyle w:val="Tramemoyenne1-Accent6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22"/>
        <w:gridCol w:w="1524"/>
        <w:gridCol w:w="1278"/>
        <w:gridCol w:w="1030"/>
        <w:gridCol w:w="1180"/>
        <w:gridCol w:w="2318"/>
        <w:gridCol w:w="1020"/>
      </w:tblGrid>
      <w:tr w:rsidR="001E12AE" w:rsidRPr="002462E6" w:rsidTr="009C60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1" w:type="pct"/>
            <w:vAlign w:val="center"/>
            <w:hideMark/>
          </w:tcPr>
          <w:p w:rsidR="001E12AE" w:rsidRPr="002462E6" w:rsidRDefault="001E12AE" w:rsidP="001E12AE">
            <w:pPr>
              <w:rPr>
                <w:rFonts w:ascii="Tahoma" w:eastAsia="Times New Roman" w:hAnsi="Tahoma" w:cs="Tahoma"/>
                <w:b w:val="0"/>
                <w:bCs w:val="0"/>
                <w:lang w:eastAsia="fr-FR"/>
              </w:rPr>
            </w:pPr>
            <w:r w:rsidRPr="002462E6">
              <w:rPr>
                <w:rFonts w:ascii="Tahoma" w:eastAsia="Times New Roman" w:hAnsi="Tahoma" w:cs="Tahoma"/>
                <w:b w:val="0"/>
                <w:bCs w:val="0"/>
                <w:lang w:eastAsia="fr-FR"/>
              </w:rPr>
              <w:t>Bénéficiaire</w:t>
            </w:r>
          </w:p>
        </w:tc>
        <w:tc>
          <w:tcPr>
            <w:tcW w:w="764" w:type="pct"/>
            <w:vAlign w:val="center"/>
            <w:hideMark/>
          </w:tcPr>
          <w:p w:rsidR="001E12AE" w:rsidRPr="002462E6" w:rsidRDefault="001E12AE" w:rsidP="001E12AE">
            <w:pPr>
              <w:cnfStyle w:val="100000000000" w:firstRow="1" w:lastRow="0" w:firstColumn="0" w:lastColumn="0" w:oddVBand="0" w:evenVBand="0" w:oddHBand="0" w:evenHBand="0" w:firstRowFirstColumn="0" w:firstRowLastColumn="0" w:lastRowFirstColumn="0" w:lastRowLastColumn="0"/>
              <w:rPr>
                <w:rFonts w:ascii="Tahoma" w:eastAsia="Times New Roman" w:hAnsi="Tahoma" w:cs="Tahoma"/>
                <w:b w:val="0"/>
                <w:bCs w:val="0"/>
                <w:lang w:eastAsia="fr-FR"/>
              </w:rPr>
            </w:pPr>
            <w:r w:rsidRPr="002462E6">
              <w:rPr>
                <w:rFonts w:ascii="Tahoma" w:eastAsia="Times New Roman" w:hAnsi="Tahoma" w:cs="Tahoma"/>
                <w:b w:val="0"/>
                <w:bCs w:val="0"/>
                <w:lang w:eastAsia="fr-FR"/>
              </w:rPr>
              <w:t>Nature de l'occupation</w:t>
            </w:r>
          </w:p>
        </w:tc>
        <w:tc>
          <w:tcPr>
            <w:tcW w:w="647" w:type="pct"/>
            <w:vAlign w:val="center"/>
            <w:hideMark/>
          </w:tcPr>
          <w:p w:rsidR="001E12AE" w:rsidRPr="002462E6" w:rsidRDefault="001E12AE" w:rsidP="001E12AE">
            <w:pPr>
              <w:cnfStyle w:val="100000000000" w:firstRow="1" w:lastRow="0" w:firstColumn="0" w:lastColumn="0" w:oddVBand="0" w:evenVBand="0" w:oddHBand="0" w:evenHBand="0" w:firstRowFirstColumn="0" w:firstRowLastColumn="0" w:lastRowFirstColumn="0" w:lastRowLastColumn="0"/>
              <w:rPr>
                <w:rFonts w:ascii="Tahoma" w:eastAsia="Times New Roman" w:hAnsi="Tahoma" w:cs="Tahoma"/>
                <w:b w:val="0"/>
                <w:bCs w:val="0"/>
                <w:lang w:eastAsia="fr-FR"/>
              </w:rPr>
            </w:pPr>
            <w:r w:rsidRPr="002462E6">
              <w:rPr>
                <w:rFonts w:ascii="Tahoma" w:eastAsia="Times New Roman" w:hAnsi="Tahoma" w:cs="Tahoma"/>
                <w:b w:val="0"/>
                <w:bCs w:val="0"/>
                <w:lang w:eastAsia="fr-FR"/>
              </w:rPr>
              <w:t>Superficie ou Longueur</w:t>
            </w:r>
          </w:p>
        </w:tc>
        <w:tc>
          <w:tcPr>
            <w:tcW w:w="528" w:type="pct"/>
            <w:vAlign w:val="center"/>
            <w:hideMark/>
          </w:tcPr>
          <w:p w:rsidR="001E12AE" w:rsidRPr="002462E6" w:rsidRDefault="001E12AE" w:rsidP="001E12AE">
            <w:pPr>
              <w:cnfStyle w:val="100000000000" w:firstRow="1" w:lastRow="0" w:firstColumn="0" w:lastColumn="0" w:oddVBand="0" w:evenVBand="0" w:oddHBand="0" w:evenHBand="0" w:firstRowFirstColumn="0" w:firstRowLastColumn="0" w:lastRowFirstColumn="0" w:lastRowLastColumn="0"/>
              <w:rPr>
                <w:rFonts w:ascii="Tahoma" w:eastAsia="Times New Roman" w:hAnsi="Tahoma" w:cs="Tahoma"/>
                <w:b w:val="0"/>
                <w:bCs w:val="0"/>
                <w:lang w:eastAsia="fr-FR"/>
              </w:rPr>
            </w:pPr>
            <w:r w:rsidRPr="002462E6">
              <w:rPr>
                <w:rFonts w:ascii="Tahoma" w:eastAsia="Times New Roman" w:hAnsi="Tahoma" w:cs="Tahoma"/>
                <w:b w:val="0"/>
                <w:bCs w:val="0"/>
                <w:lang w:eastAsia="fr-FR"/>
              </w:rPr>
              <w:t>N° et date de l'arrêté</w:t>
            </w:r>
          </w:p>
        </w:tc>
        <w:tc>
          <w:tcPr>
            <w:tcW w:w="631" w:type="pct"/>
            <w:vAlign w:val="center"/>
            <w:hideMark/>
          </w:tcPr>
          <w:p w:rsidR="001E12AE" w:rsidRPr="002462E6" w:rsidRDefault="001E12AE" w:rsidP="001E12AE">
            <w:pPr>
              <w:cnfStyle w:val="100000000000" w:firstRow="1" w:lastRow="0" w:firstColumn="0" w:lastColumn="0" w:oddVBand="0" w:evenVBand="0" w:oddHBand="0" w:evenHBand="0" w:firstRowFirstColumn="0" w:firstRowLastColumn="0" w:lastRowFirstColumn="0" w:lastRowLastColumn="0"/>
              <w:rPr>
                <w:rFonts w:ascii="Tahoma" w:eastAsia="Times New Roman" w:hAnsi="Tahoma" w:cs="Tahoma"/>
                <w:b w:val="0"/>
                <w:bCs w:val="0"/>
                <w:lang w:eastAsia="fr-FR"/>
              </w:rPr>
            </w:pPr>
            <w:r w:rsidRPr="002462E6">
              <w:rPr>
                <w:rFonts w:ascii="Tahoma" w:eastAsia="Times New Roman" w:hAnsi="Tahoma" w:cs="Tahoma"/>
                <w:b w:val="0"/>
                <w:bCs w:val="0"/>
                <w:lang w:eastAsia="fr-FR"/>
              </w:rPr>
              <w:t>Montant annuel des redevances payées en dh</w:t>
            </w:r>
          </w:p>
        </w:tc>
        <w:tc>
          <w:tcPr>
            <w:tcW w:w="1173" w:type="pct"/>
            <w:vAlign w:val="center"/>
            <w:hideMark/>
          </w:tcPr>
          <w:p w:rsidR="001E12AE" w:rsidRPr="002462E6" w:rsidRDefault="001E12AE" w:rsidP="001E12AE">
            <w:pPr>
              <w:cnfStyle w:val="100000000000" w:firstRow="1" w:lastRow="0" w:firstColumn="0" w:lastColumn="0" w:oddVBand="0" w:evenVBand="0" w:oddHBand="0" w:evenHBand="0" w:firstRowFirstColumn="0" w:firstRowLastColumn="0" w:lastRowFirstColumn="0" w:lastRowLastColumn="0"/>
              <w:rPr>
                <w:rFonts w:ascii="Tahoma" w:eastAsia="Times New Roman" w:hAnsi="Tahoma" w:cs="Tahoma"/>
                <w:b w:val="0"/>
                <w:bCs w:val="0"/>
                <w:lang w:eastAsia="fr-FR"/>
              </w:rPr>
            </w:pPr>
            <w:r w:rsidRPr="002462E6">
              <w:rPr>
                <w:rFonts w:ascii="Tahoma" w:eastAsia="Times New Roman" w:hAnsi="Tahoma" w:cs="Tahoma"/>
                <w:b w:val="0"/>
                <w:bCs w:val="0"/>
                <w:lang w:eastAsia="fr-FR"/>
              </w:rPr>
              <w:t>Coordonnées Lambert (m)</w:t>
            </w:r>
          </w:p>
        </w:tc>
        <w:tc>
          <w:tcPr>
            <w:tcW w:w="546" w:type="pct"/>
            <w:vAlign w:val="center"/>
            <w:hideMark/>
          </w:tcPr>
          <w:p w:rsidR="001E12AE" w:rsidRPr="002462E6" w:rsidRDefault="001E12AE" w:rsidP="001E12AE">
            <w:pPr>
              <w:cnfStyle w:val="100000000000" w:firstRow="1" w:lastRow="0" w:firstColumn="0" w:lastColumn="0" w:oddVBand="0" w:evenVBand="0" w:oddHBand="0" w:evenHBand="0" w:firstRowFirstColumn="0" w:firstRowLastColumn="0" w:lastRowFirstColumn="0" w:lastRowLastColumn="0"/>
              <w:rPr>
                <w:rFonts w:ascii="Tahoma" w:eastAsia="Times New Roman" w:hAnsi="Tahoma" w:cs="Tahoma"/>
                <w:b w:val="0"/>
                <w:bCs w:val="0"/>
                <w:lang w:eastAsia="fr-FR"/>
              </w:rPr>
            </w:pPr>
            <w:r w:rsidRPr="002462E6">
              <w:rPr>
                <w:rFonts w:ascii="Tahoma" w:eastAsia="Times New Roman" w:hAnsi="Tahoma" w:cs="Tahoma"/>
                <w:b w:val="0"/>
                <w:bCs w:val="0"/>
                <w:lang w:eastAsia="fr-FR"/>
              </w:rPr>
              <w:t>CCDRF</w:t>
            </w:r>
          </w:p>
        </w:tc>
      </w:tr>
      <w:tr w:rsidR="001E12AE" w:rsidRPr="002462E6" w:rsidTr="009C60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1" w:type="pct"/>
            <w:vAlign w:val="center"/>
            <w:hideMark/>
          </w:tcPr>
          <w:p w:rsidR="001E12AE" w:rsidRPr="002462E6" w:rsidRDefault="001E12AE" w:rsidP="001E12AE">
            <w:pPr>
              <w:rPr>
                <w:rFonts w:ascii="Tahoma" w:eastAsia="Times New Roman" w:hAnsi="Tahoma" w:cs="Tahoma"/>
                <w:b w:val="0"/>
                <w:bCs w:val="0"/>
                <w:lang w:eastAsia="fr-FR"/>
              </w:rPr>
            </w:pPr>
            <w:r w:rsidRPr="002462E6">
              <w:rPr>
                <w:rFonts w:ascii="Tahoma" w:eastAsia="Times New Roman" w:hAnsi="Tahoma" w:cs="Tahoma"/>
                <w:b w:val="0"/>
                <w:bCs w:val="0"/>
                <w:lang w:eastAsia="fr-FR"/>
              </w:rPr>
              <w:t>ONE</w:t>
            </w:r>
          </w:p>
        </w:tc>
        <w:tc>
          <w:tcPr>
            <w:tcW w:w="764" w:type="pct"/>
            <w:vAlign w:val="center"/>
            <w:hideMark/>
          </w:tcPr>
          <w:p w:rsidR="001E12AE" w:rsidRPr="002462E6" w:rsidRDefault="001E12AE" w:rsidP="001E12AE">
            <w:pPr>
              <w:cnfStyle w:val="000000100000" w:firstRow="0" w:lastRow="0" w:firstColumn="0" w:lastColumn="0" w:oddVBand="0" w:evenVBand="0" w:oddHBand="1" w:evenHBand="0" w:firstRowFirstColumn="0" w:firstRowLastColumn="0" w:lastRowFirstColumn="0" w:lastRowLastColumn="0"/>
              <w:rPr>
                <w:rFonts w:ascii="Tahoma" w:eastAsia="Times New Roman" w:hAnsi="Tahoma" w:cs="Tahoma"/>
                <w:lang w:eastAsia="fr-FR"/>
              </w:rPr>
            </w:pPr>
            <w:r w:rsidRPr="002462E6">
              <w:rPr>
                <w:rFonts w:ascii="Tahoma" w:eastAsia="Times New Roman" w:hAnsi="Tahoma" w:cs="Tahoma"/>
                <w:lang w:eastAsia="fr-FR"/>
              </w:rPr>
              <w:t>Passage de ligne électrique</w:t>
            </w:r>
          </w:p>
        </w:tc>
        <w:tc>
          <w:tcPr>
            <w:tcW w:w="647" w:type="pct"/>
            <w:vAlign w:val="center"/>
            <w:hideMark/>
          </w:tcPr>
          <w:p w:rsidR="001E12AE" w:rsidRPr="002462E6" w:rsidRDefault="001E12AE" w:rsidP="001E12AE">
            <w:pPr>
              <w:cnfStyle w:val="000000100000" w:firstRow="0" w:lastRow="0" w:firstColumn="0" w:lastColumn="0" w:oddVBand="0" w:evenVBand="0" w:oddHBand="1" w:evenHBand="0" w:firstRowFirstColumn="0" w:firstRowLastColumn="0" w:lastRowFirstColumn="0" w:lastRowLastColumn="0"/>
              <w:rPr>
                <w:rFonts w:ascii="Tahoma" w:eastAsia="Times New Roman" w:hAnsi="Tahoma" w:cs="Tahoma"/>
                <w:lang w:eastAsia="fr-FR"/>
              </w:rPr>
            </w:pPr>
            <w:r w:rsidRPr="002462E6">
              <w:rPr>
                <w:rFonts w:ascii="Tahoma" w:eastAsia="Times New Roman" w:hAnsi="Tahoma" w:cs="Tahoma"/>
                <w:lang w:eastAsia="fr-FR"/>
              </w:rPr>
              <w:t>L=1900 ml</w:t>
            </w:r>
          </w:p>
        </w:tc>
        <w:tc>
          <w:tcPr>
            <w:tcW w:w="528" w:type="pct"/>
            <w:vAlign w:val="center"/>
            <w:hideMark/>
          </w:tcPr>
          <w:p w:rsidR="001E12AE" w:rsidRPr="002462E6" w:rsidRDefault="001E12AE" w:rsidP="001E12AE">
            <w:pPr>
              <w:cnfStyle w:val="000000100000" w:firstRow="0" w:lastRow="0" w:firstColumn="0" w:lastColumn="0" w:oddVBand="0" w:evenVBand="0" w:oddHBand="1" w:evenHBand="0" w:firstRowFirstColumn="0" w:firstRowLastColumn="0" w:lastRowFirstColumn="0" w:lastRowLastColumn="0"/>
              <w:rPr>
                <w:rFonts w:ascii="Tahoma" w:eastAsia="Times New Roman" w:hAnsi="Tahoma" w:cs="Tahoma"/>
                <w:lang w:eastAsia="fr-FR"/>
              </w:rPr>
            </w:pPr>
            <w:r w:rsidRPr="002462E6">
              <w:rPr>
                <w:rFonts w:ascii="Tahoma" w:eastAsia="Times New Roman" w:hAnsi="Tahoma" w:cs="Tahoma"/>
                <w:lang w:eastAsia="fr-FR"/>
              </w:rPr>
              <w:t>44/2008</w:t>
            </w:r>
          </w:p>
        </w:tc>
        <w:tc>
          <w:tcPr>
            <w:tcW w:w="631" w:type="pct"/>
            <w:vAlign w:val="center"/>
            <w:hideMark/>
          </w:tcPr>
          <w:p w:rsidR="001E12AE" w:rsidRPr="002462E6" w:rsidRDefault="001E12AE" w:rsidP="001E12AE">
            <w:pPr>
              <w:cnfStyle w:val="000000100000" w:firstRow="0" w:lastRow="0" w:firstColumn="0" w:lastColumn="0" w:oddVBand="0" w:evenVBand="0" w:oddHBand="1" w:evenHBand="0" w:firstRowFirstColumn="0" w:firstRowLastColumn="0" w:lastRowFirstColumn="0" w:lastRowLastColumn="0"/>
              <w:rPr>
                <w:rFonts w:ascii="Tahoma" w:eastAsia="Times New Roman" w:hAnsi="Tahoma" w:cs="Tahoma"/>
                <w:lang w:eastAsia="fr-FR"/>
              </w:rPr>
            </w:pPr>
            <w:r w:rsidRPr="002462E6">
              <w:rPr>
                <w:rFonts w:ascii="Tahoma" w:eastAsia="Times New Roman" w:hAnsi="Tahoma" w:cs="Tahoma"/>
                <w:lang w:eastAsia="fr-FR"/>
              </w:rPr>
              <w:t>5700</w:t>
            </w:r>
          </w:p>
        </w:tc>
        <w:tc>
          <w:tcPr>
            <w:tcW w:w="1173" w:type="pct"/>
            <w:vAlign w:val="center"/>
            <w:hideMark/>
          </w:tcPr>
          <w:p w:rsidR="001E12AE" w:rsidRPr="002462E6" w:rsidRDefault="001E12AE" w:rsidP="001E12AE">
            <w:pPr>
              <w:cnfStyle w:val="000000100000" w:firstRow="0" w:lastRow="0" w:firstColumn="0" w:lastColumn="0" w:oddVBand="0" w:evenVBand="0" w:oddHBand="1" w:evenHBand="0" w:firstRowFirstColumn="0" w:firstRowLastColumn="0" w:lastRowFirstColumn="0" w:lastRowLastColumn="0"/>
              <w:rPr>
                <w:rFonts w:ascii="Tahoma" w:eastAsia="Times New Roman" w:hAnsi="Tahoma" w:cs="Tahoma"/>
                <w:lang w:eastAsia="fr-FR"/>
              </w:rPr>
            </w:pPr>
            <w:r w:rsidRPr="002462E6">
              <w:rPr>
                <w:rFonts w:ascii="Tahoma" w:eastAsia="Times New Roman" w:hAnsi="Tahoma" w:cs="Tahoma"/>
                <w:lang w:eastAsia="fr-FR"/>
              </w:rPr>
              <w:t>Départ1 : x=383900 ; y=35040&lt;br&gt;Arrivée1 : x=384300 ; y=349500</w:t>
            </w:r>
          </w:p>
        </w:tc>
        <w:tc>
          <w:tcPr>
            <w:tcW w:w="546" w:type="pct"/>
            <w:vAlign w:val="center"/>
            <w:hideMark/>
          </w:tcPr>
          <w:p w:rsidR="001E12AE" w:rsidRPr="002462E6" w:rsidRDefault="001E12AE" w:rsidP="001E12AE">
            <w:pPr>
              <w:cnfStyle w:val="000000100000" w:firstRow="0" w:lastRow="0" w:firstColumn="0" w:lastColumn="0" w:oddVBand="0" w:evenVBand="0" w:oddHBand="1" w:evenHBand="0" w:firstRowFirstColumn="0" w:firstRowLastColumn="0" w:lastRowFirstColumn="0" w:lastRowLastColumn="0"/>
              <w:rPr>
                <w:rFonts w:ascii="Tahoma" w:eastAsia="Times New Roman" w:hAnsi="Tahoma" w:cs="Tahoma"/>
                <w:lang w:eastAsia="fr-FR"/>
              </w:rPr>
            </w:pPr>
            <w:r w:rsidRPr="002462E6">
              <w:rPr>
                <w:rFonts w:ascii="Tahoma" w:eastAsia="Times New Roman" w:hAnsi="Tahoma" w:cs="Tahoma"/>
                <w:lang w:eastAsia="fr-FR"/>
              </w:rPr>
              <w:t>Rommani</w:t>
            </w:r>
          </w:p>
        </w:tc>
      </w:tr>
      <w:tr w:rsidR="001E12AE" w:rsidRPr="002462E6" w:rsidTr="001E12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1" w:type="pct"/>
            <w:vAlign w:val="center"/>
            <w:hideMark/>
          </w:tcPr>
          <w:p w:rsidR="001E12AE" w:rsidRPr="002462E6" w:rsidRDefault="001E12AE" w:rsidP="001E12AE">
            <w:pPr>
              <w:rPr>
                <w:rFonts w:ascii="Tahoma" w:eastAsia="Times New Roman" w:hAnsi="Tahoma" w:cs="Tahoma"/>
                <w:b w:val="0"/>
                <w:bCs w:val="0"/>
                <w:lang w:eastAsia="fr-FR"/>
              </w:rPr>
            </w:pPr>
            <w:r w:rsidRPr="002462E6">
              <w:rPr>
                <w:rFonts w:ascii="Tahoma" w:eastAsia="Times New Roman" w:hAnsi="Tahoma" w:cs="Tahoma"/>
                <w:b w:val="0"/>
                <w:bCs w:val="0"/>
                <w:lang w:eastAsia="fr-FR"/>
              </w:rPr>
              <w:t>ONE</w:t>
            </w:r>
          </w:p>
        </w:tc>
        <w:tc>
          <w:tcPr>
            <w:tcW w:w="764" w:type="pct"/>
            <w:vAlign w:val="center"/>
            <w:hideMark/>
          </w:tcPr>
          <w:p w:rsidR="001E12AE" w:rsidRPr="002462E6" w:rsidRDefault="001E12AE" w:rsidP="001E12AE">
            <w:pPr>
              <w:cnfStyle w:val="000000010000" w:firstRow="0" w:lastRow="0" w:firstColumn="0" w:lastColumn="0" w:oddVBand="0" w:evenVBand="0" w:oddHBand="0" w:evenHBand="1" w:firstRowFirstColumn="0" w:firstRowLastColumn="0" w:lastRowFirstColumn="0" w:lastRowLastColumn="0"/>
              <w:rPr>
                <w:rFonts w:ascii="Tahoma" w:eastAsia="Times New Roman" w:hAnsi="Tahoma" w:cs="Tahoma"/>
                <w:lang w:eastAsia="fr-FR"/>
              </w:rPr>
            </w:pPr>
            <w:r w:rsidRPr="002462E6">
              <w:rPr>
                <w:rFonts w:ascii="Tahoma" w:eastAsia="Times New Roman" w:hAnsi="Tahoma" w:cs="Tahoma"/>
                <w:lang w:eastAsia="fr-FR"/>
              </w:rPr>
              <w:t>Passage de ligne électrique</w:t>
            </w:r>
          </w:p>
        </w:tc>
        <w:tc>
          <w:tcPr>
            <w:tcW w:w="647" w:type="pct"/>
            <w:vAlign w:val="center"/>
            <w:hideMark/>
          </w:tcPr>
          <w:p w:rsidR="001E12AE" w:rsidRPr="002462E6" w:rsidRDefault="001E12AE" w:rsidP="001E12AE">
            <w:pPr>
              <w:cnfStyle w:val="000000010000" w:firstRow="0" w:lastRow="0" w:firstColumn="0" w:lastColumn="0" w:oddVBand="0" w:evenVBand="0" w:oddHBand="0" w:evenHBand="1" w:firstRowFirstColumn="0" w:firstRowLastColumn="0" w:lastRowFirstColumn="0" w:lastRowLastColumn="0"/>
              <w:rPr>
                <w:rFonts w:ascii="Tahoma" w:eastAsia="Times New Roman" w:hAnsi="Tahoma" w:cs="Tahoma"/>
                <w:lang w:eastAsia="fr-FR"/>
              </w:rPr>
            </w:pPr>
            <w:r w:rsidRPr="002462E6">
              <w:rPr>
                <w:rFonts w:ascii="Tahoma" w:eastAsia="Times New Roman" w:hAnsi="Tahoma" w:cs="Tahoma"/>
                <w:lang w:eastAsia="fr-FR"/>
              </w:rPr>
              <w:t>L=1825 ml&lt;br&gt;l=15 ml</w:t>
            </w:r>
          </w:p>
        </w:tc>
        <w:tc>
          <w:tcPr>
            <w:tcW w:w="528" w:type="pct"/>
            <w:vAlign w:val="center"/>
            <w:hideMark/>
          </w:tcPr>
          <w:p w:rsidR="001E12AE" w:rsidRPr="002462E6" w:rsidRDefault="001E12AE" w:rsidP="001E12AE">
            <w:pPr>
              <w:cnfStyle w:val="000000010000" w:firstRow="0" w:lastRow="0" w:firstColumn="0" w:lastColumn="0" w:oddVBand="0" w:evenVBand="0" w:oddHBand="0" w:evenHBand="1" w:firstRowFirstColumn="0" w:firstRowLastColumn="0" w:lastRowFirstColumn="0" w:lastRowLastColumn="0"/>
              <w:rPr>
                <w:rFonts w:ascii="Tahoma" w:eastAsia="Times New Roman" w:hAnsi="Tahoma" w:cs="Tahoma"/>
                <w:lang w:eastAsia="fr-FR"/>
              </w:rPr>
            </w:pPr>
            <w:r w:rsidRPr="002462E6">
              <w:rPr>
                <w:rFonts w:ascii="Tahoma" w:eastAsia="Times New Roman" w:hAnsi="Tahoma" w:cs="Tahoma"/>
                <w:lang w:eastAsia="fr-FR"/>
              </w:rPr>
              <w:t>115/84</w:t>
            </w:r>
          </w:p>
        </w:tc>
        <w:tc>
          <w:tcPr>
            <w:tcW w:w="631" w:type="pct"/>
            <w:vAlign w:val="center"/>
            <w:hideMark/>
          </w:tcPr>
          <w:p w:rsidR="001E12AE" w:rsidRPr="002462E6" w:rsidRDefault="001E12AE" w:rsidP="001E12AE">
            <w:pPr>
              <w:cnfStyle w:val="000000010000" w:firstRow="0" w:lastRow="0" w:firstColumn="0" w:lastColumn="0" w:oddVBand="0" w:evenVBand="0" w:oddHBand="0" w:evenHBand="1" w:firstRowFirstColumn="0" w:firstRowLastColumn="0" w:lastRowFirstColumn="0" w:lastRowLastColumn="0"/>
              <w:rPr>
                <w:rFonts w:ascii="Tahoma" w:eastAsia="Times New Roman" w:hAnsi="Tahoma" w:cs="Tahoma"/>
                <w:lang w:eastAsia="fr-FR"/>
              </w:rPr>
            </w:pPr>
            <w:r w:rsidRPr="002462E6">
              <w:rPr>
                <w:rFonts w:ascii="Tahoma" w:eastAsia="Times New Roman" w:hAnsi="Tahoma" w:cs="Tahoma"/>
                <w:lang w:eastAsia="fr-FR"/>
              </w:rPr>
              <w:t>5000</w:t>
            </w:r>
          </w:p>
        </w:tc>
        <w:tc>
          <w:tcPr>
            <w:tcW w:w="1173" w:type="pct"/>
            <w:vAlign w:val="center"/>
            <w:hideMark/>
          </w:tcPr>
          <w:p w:rsidR="001E12AE" w:rsidRPr="002462E6" w:rsidRDefault="001E12AE" w:rsidP="001E12AE">
            <w:pPr>
              <w:cnfStyle w:val="000000010000" w:firstRow="0" w:lastRow="0" w:firstColumn="0" w:lastColumn="0" w:oddVBand="0" w:evenVBand="0" w:oddHBand="0" w:evenHBand="1" w:firstRowFirstColumn="0" w:firstRowLastColumn="0" w:lastRowFirstColumn="0" w:lastRowLastColumn="0"/>
              <w:rPr>
                <w:rFonts w:ascii="Tahoma" w:eastAsia="Times New Roman" w:hAnsi="Tahoma" w:cs="Tahoma"/>
                <w:lang w:eastAsia="fr-FR"/>
              </w:rPr>
            </w:pPr>
            <w:r w:rsidRPr="002462E6">
              <w:rPr>
                <w:rFonts w:ascii="Tahoma" w:eastAsia="Times New Roman" w:hAnsi="Tahoma" w:cs="Tahoma"/>
                <w:lang w:eastAsia="fr-FR"/>
              </w:rPr>
              <w:t>Départ1 : x=373857 ; y=334510&lt;br&gt;Arrivée1 : x=375086 ; y=34575cb&lt;br&gt;Départ2 : x=375600 ; y=334250&lt;br&gt;Arrivée2 : x=377100 ; y=334500</w:t>
            </w:r>
          </w:p>
        </w:tc>
        <w:tc>
          <w:tcPr>
            <w:tcW w:w="546" w:type="pct"/>
            <w:vAlign w:val="center"/>
            <w:hideMark/>
          </w:tcPr>
          <w:p w:rsidR="001E12AE" w:rsidRPr="002462E6" w:rsidRDefault="001E12AE" w:rsidP="001E12AE">
            <w:pPr>
              <w:cnfStyle w:val="000000010000" w:firstRow="0" w:lastRow="0" w:firstColumn="0" w:lastColumn="0" w:oddVBand="0" w:evenVBand="0" w:oddHBand="0" w:evenHBand="1" w:firstRowFirstColumn="0" w:firstRowLastColumn="0" w:lastRowFirstColumn="0" w:lastRowLastColumn="0"/>
              <w:rPr>
                <w:rFonts w:ascii="Tahoma" w:eastAsia="Times New Roman" w:hAnsi="Tahoma" w:cs="Tahoma"/>
                <w:lang w:eastAsia="fr-FR"/>
              </w:rPr>
            </w:pPr>
            <w:r w:rsidRPr="002462E6">
              <w:rPr>
                <w:rFonts w:ascii="Tahoma" w:eastAsia="Times New Roman" w:hAnsi="Tahoma" w:cs="Tahoma"/>
                <w:lang w:eastAsia="fr-FR"/>
              </w:rPr>
              <w:t>Rommani</w:t>
            </w:r>
          </w:p>
        </w:tc>
      </w:tr>
      <w:tr w:rsidR="001E12AE" w:rsidRPr="002462E6" w:rsidTr="009C60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1" w:type="pct"/>
            <w:vAlign w:val="center"/>
            <w:hideMark/>
          </w:tcPr>
          <w:p w:rsidR="001E12AE" w:rsidRPr="002462E6" w:rsidRDefault="001E12AE" w:rsidP="001E12AE">
            <w:pPr>
              <w:rPr>
                <w:rFonts w:ascii="Tahoma" w:eastAsia="Times New Roman" w:hAnsi="Tahoma" w:cs="Tahoma"/>
                <w:b w:val="0"/>
                <w:bCs w:val="0"/>
                <w:lang w:eastAsia="fr-FR"/>
              </w:rPr>
            </w:pPr>
            <w:r w:rsidRPr="002462E6">
              <w:rPr>
                <w:rFonts w:ascii="Tahoma" w:eastAsia="Times New Roman" w:hAnsi="Tahoma" w:cs="Tahoma"/>
                <w:b w:val="0"/>
                <w:bCs w:val="0"/>
                <w:lang w:eastAsia="fr-FR"/>
              </w:rPr>
              <w:t>Municipalité de Brachoua</w:t>
            </w:r>
          </w:p>
        </w:tc>
        <w:tc>
          <w:tcPr>
            <w:tcW w:w="764" w:type="pct"/>
            <w:vAlign w:val="center"/>
            <w:hideMark/>
          </w:tcPr>
          <w:p w:rsidR="001E12AE" w:rsidRPr="002462E6" w:rsidRDefault="001E12AE" w:rsidP="001E12AE">
            <w:pPr>
              <w:cnfStyle w:val="000000100000" w:firstRow="0" w:lastRow="0" w:firstColumn="0" w:lastColumn="0" w:oddVBand="0" w:evenVBand="0" w:oddHBand="1" w:evenHBand="0" w:firstRowFirstColumn="0" w:firstRowLastColumn="0" w:lastRowFirstColumn="0" w:lastRowLastColumn="0"/>
              <w:rPr>
                <w:rFonts w:ascii="Tahoma" w:eastAsia="Times New Roman" w:hAnsi="Tahoma" w:cs="Tahoma"/>
                <w:lang w:eastAsia="fr-FR"/>
              </w:rPr>
            </w:pPr>
            <w:r w:rsidRPr="002462E6">
              <w:rPr>
                <w:rFonts w:ascii="Tahoma" w:eastAsia="Times New Roman" w:hAnsi="Tahoma" w:cs="Tahoma"/>
                <w:lang w:eastAsia="fr-FR"/>
              </w:rPr>
              <w:t>Conduite d'eau</w:t>
            </w:r>
          </w:p>
        </w:tc>
        <w:tc>
          <w:tcPr>
            <w:tcW w:w="647" w:type="pct"/>
            <w:vAlign w:val="center"/>
            <w:hideMark/>
          </w:tcPr>
          <w:p w:rsidR="001E12AE" w:rsidRPr="002462E6" w:rsidRDefault="001E12AE" w:rsidP="001E12AE">
            <w:pPr>
              <w:cnfStyle w:val="000000100000" w:firstRow="0" w:lastRow="0" w:firstColumn="0" w:lastColumn="0" w:oddVBand="0" w:evenVBand="0" w:oddHBand="1" w:evenHBand="0" w:firstRowFirstColumn="0" w:firstRowLastColumn="0" w:lastRowFirstColumn="0" w:lastRowLastColumn="0"/>
              <w:rPr>
                <w:rFonts w:ascii="Tahoma" w:eastAsia="Times New Roman" w:hAnsi="Tahoma" w:cs="Tahoma"/>
                <w:lang w:eastAsia="fr-FR"/>
              </w:rPr>
            </w:pPr>
            <w:r w:rsidRPr="002462E6">
              <w:rPr>
                <w:rFonts w:ascii="Tahoma" w:eastAsia="Times New Roman" w:hAnsi="Tahoma" w:cs="Tahoma"/>
                <w:lang w:eastAsia="fr-FR"/>
              </w:rPr>
              <w:t>1,545 ha</w:t>
            </w:r>
          </w:p>
        </w:tc>
        <w:tc>
          <w:tcPr>
            <w:tcW w:w="528" w:type="pct"/>
            <w:vAlign w:val="center"/>
            <w:hideMark/>
          </w:tcPr>
          <w:p w:rsidR="001E12AE" w:rsidRPr="002462E6" w:rsidRDefault="001E12AE" w:rsidP="001E12AE">
            <w:pPr>
              <w:cnfStyle w:val="000000100000" w:firstRow="0" w:lastRow="0" w:firstColumn="0" w:lastColumn="0" w:oddVBand="0" w:evenVBand="0" w:oddHBand="1" w:evenHBand="0" w:firstRowFirstColumn="0" w:firstRowLastColumn="0" w:lastRowFirstColumn="0" w:lastRowLastColumn="0"/>
              <w:rPr>
                <w:rFonts w:ascii="Tahoma" w:eastAsia="Times New Roman" w:hAnsi="Tahoma" w:cs="Tahoma"/>
                <w:lang w:eastAsia="fr-FR"/>
              </w:rPr>
            </w:pPr>
            <w:r w:rsidRPr="002462E6">
              <w:rPr>
                <w:rFonts w:ascii="Tahoma" w:eastAsia="Times New Roman" w:hAnsi="Tahoma" w:cs="Tahoma"/>
                <w:lang w:eastAsia="fr-FR"/>
              </w:rPr>
              <w:t>24/73</w:t>
            </w:r>
          </w:p>
        </w:tc>
        <w:tc>
          <w:tcPr>
            <w:tcW w:w="631" w:type="pct"/>
            <w:vAlign w:val="center"/>
            <w:hideMark/>
          </w:tcPr>
          <w:p w:rsidR="001E12AE" w:rsidRPr="002462E6" w:rsidRDefault="001E12AE" w:rsidP="001E12AE">
            <w:pPr>
              <w:cnfStyle w:val="000000100000" w:firstRow="0" w:lastRow="0" w:firstColumn="0" w:lastColumn="0" w:oddVBand="0" w:evenVBand="0" w:oddHBand="1" w:evenHBand="0" w:firstRowFirstColumn="0" w:firstRowLastColumn="0" w:lastRowFirstColumn="0" w:lastRowLastColumn="0"/>
              <w:rPr>
                <w:rFonts w:ascii="Tahoma" w:eastAsia="Times New Roman" w:hAnsi="Tahoma" w:cs="Tahoma"/>
                <w:lang w:eastAsia="fr-FR"/>
              </w:rPr>
            </w:pPr>
            <w:r w:rsidRPr="002462E6">
              <w:rPr>
                <w:rFonts w:ascii="Tahoma" w:eastAsia="Times New Roman" w:hAnsi="Tahoma" w:cs="Tahoma"/>
                <w:lang w:eastAsia="fr-FR"/>
              </w:rPr>
              <w:t>***</w:t>
            </w:r>
          </w:p>
        </w:tc>
        <w:tc>
          <w:tcPr>
            <w:tcW w:w="1173" w:type="pct"/>
            <w:vAlign w:val="center"/>
            <w:hideMark/>
          </w:tcPr>
          <w:p w:rsidR="001E12AE" w:rsidRPr="002462E6" w:rsidRDefault="001E12AE" w:rsidP="001E12AE">
            <w:pPr>
              <w:cnfStyle w:val="000000100000" w:firstRow="0" w:lastRow="0" w:firstColumn="0" w:lastColumn="0" w:oddVBand="0" w:evenVBand="0" w:oddHBand="1" w:evenHBand="0" w:firstRowFirstColumn="0" w:firstRowLastColumn="0" w:lastRowFirstColumn="0" w:lastRowLastColumn="0"/>
              <w:rPr>
                <w:rFonts w:ascii="Tahoma" w:eastAsia="Times New Roman" w:hAnsi="Tahoma" w:cs="Tahoma"/>
                <w:lang w:eastAsia="fr-FR"/>
              </w:rPr>
            </w:pPr>
            <w:r w:rsidRPr="002462E6">
              <w:rPr>
                <w:rFonts w:ascii="Tahoma" w:eastAsia="Times New Roman" w:hAnsi="Tahoma" w:cs="Tahoma"/>
                <w:lang w:eastAsia="fr-FR"/>
              </w:rPr>
              <w:t>x=373750; y=329150</w:t>
            </w:r>
          </w:p>
        </w:tc>
        <w:tc>
          <w:tcPr>
            <w:tcW w:w="546" w:type="pct"/>
            <w:vAlign w:val="center"/>
            <w:hideMark/>
          </w:tcPr>
          <w:p w:rsidR="001E12AE" w:rsidRPr="002462E6" w:rsidRDefault="001E12AE" w:rsidP="001E12AE">
            <w:pPr>
              <w:cnfStyle w:val="000000100000" w:firstRow="0" w:lastRow="0" w:firstColumn="0" w:lastColumn="0" w:oddVBand="0" w:evenVBand="0" w:oddHBand="1" w:evenHBand="0" w:firstRowFirstColumn="0" w:firstRowLastColumn="0" w:lastRowFirstColumn="0" w:lastRowLastColumn="0"/>
              <w:rPr>
                <w:rFonts w:ascii="Tahoma" w:eastAsia="Times New Roman" w:hAnsi="Tahoma" w:cs="Tahoma"/>
                <w:lang w:eastAsia="fr-FR"/>
              </w:rPr>
            </w:pPr>
            <w:r w:rsidRPr="002462E6">
              <w:rPr>
                <w:rFonts w:ascii="Tahoma" w:eastAsia="Times New Roman" w:hAnsi="Tahoma" w:cs="Tahoma"/>
                <w:lang w:eastAsia="fr-FR"/>
              </w:rPr>
              <w:t>Rommani</w:t>
            </w:r>
          </w:p>
        </w:tc>
      </w:tr>
      <w:tr w:rsidR="001E12AE" w:rsidRPr="002462E6" w:rsidTr="001E12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1" w:type="pct"/>
            <w:vAlign w:val="center"/>
            <w:hideMark/>
          </w:tcPr>
          <w:p w:rsidR="001E12AE" w:rsidRPr="002462E6" w:rsidRDefault="001E12AE" w:rsidP="001E12AE">
            <w:pPr>
              <w:rPr>
                <w:rFonts w:ascii="Tahoma" w:eastAsia="Times New Roman" w:hAnsi="Tahoma" w:cs="Tahoma"/>
                <w:b w:val="0"/>
                <w:bCs w:val="0"/>
                <w:lang w:eastAsia="fr-FR"/>
              </w:rPr>
            </w:pPr>
            <w:r w:rsidRPr="002462E6">
              <w:rPr>
                <w:rFonts w:ascii="Tahoma" w:eastAsia="Times New Roman" w:hAnsi="Tahoma" w:cs="Tahoma"/>
                <w:b w:val="0"/>
                <w:bCs w:val="0"/>
                <w:lang w:eastAsia="fr-FR"/>
              </w:rPr>
              <w:t>Société E.S.T.D (études services travaux divers)</w:t>
            </w:r>
          </w:p>
        </w:tc>
        <w:tc>
          <w:tcPr>
            <w:tcW w:w="764" w:type="pct"/>
            <w:vAlign w:val="center"/>
            <w:hideMark/>
          </w:tcPr>
          <w:p w:rsidR="001E12AE" w:rsidRPr="002462E6" w:rsidRDefault="001E12AE" w:rsidP="001E12AE">
            <w:pPr>
              <w:cnfStyle w:val="000000010000" w:firstRow="0" w:lastRow="0" w:firstColumn="0" w:lastColumn="0" w:oddVBand="0" w:evenVBand="0" w:oddHBand="0" w:evenHBand="1" w:firstRowFirstColumn="0" w:firstRowLastColumn="0" w:lastRowFirstColumn="0" w:lastRowLastColumn="0"/>
              <w:rPr>
                <w:rFonts w:ascii="Tahoma" w:eastAsia="Times New Roman" w:hAnsi="Tahoma" w:cs="Tahoma"/>
                <w:lang w:eastAsia="fr-FR"/>
              </w:rPr>
            </w:pPr>
            <w:r w:rsidRPr="002462E6">
              <w:rPr>
                <w:rFonts w:ascii="Tahoma" w:eastAsia="Times New Roman" w:hAnsi="Tahoma" w:cs="Tahoma"/>
                <w:lang w:eastAsia="fr-FR"/>
              </w:rPr>
              <w:t>Puits</w:t>
            </w:r>
          </w:p>
        </w:tc>
        <w:tc>
          <w:tcPr>
            <w:tcW w:w="647" w:type="pct"/>
            <w:vAlign w:val="center"/>
            <w:hideMark/>
          </w:tcPr>
          <w:p w:rsidR="001E12AE" w:rsidRPr="002462E6" w:rsidRDefault="001E12AE" w:rsidP="001E12AE">
            <w:pPr>
              <w:cnfStyle w:val="000000010000" w:firstRow="0" w:lastRow="0" w:firstColumn="0" w:lastColumn="0" w:oddVBand="0" w:evenVBand="0" w:oddHBand="0" w:evenHBand="1" w:firstRowFirstColumn="0" w:firstRowLastColumn="0" w:lastRowFirstColumn="0" w:lastRowLastColumn="0"/>
              <w:rPr>
                <w:rFonts w:ascii="Tahoma" w:eastAsia="Times New Roman" w:hAnsi="Tahoma" w:cs="Tahoma"/>
                <w:lang w:eastAsia="fr-FR"/>
              </w:rPr>
            </w:pPr>
            <w:r w:rsidRPr="002462E6">
              <w:rPr>
                <w:rFonts w:ascii="Tahoma" w:eastAsia="Times New Roman" w:hAnsi="Tahoma" w:cs="Tahoma"/>
                <w:lang w:eastAsia="fr-FR"/>
              </w:rPr>
              <w:t>8 ares 75 ca</w:t>
            </w:r>
          </w:p>
        </w:tc>
        <w:tc>
          <w:tcPr>
            <w:tcW w:w="528" w:type="pct"/>
            <w:vAlign w:val="center"/>
            <w:hideMark/>
          </w:tcPr>
          <w:p w:rsidR="001E12AE" w:rsidRPr="002462E6" w:rsidRDefault="001E12AE" w:rsidP="001E12AE">
            <w:pPr>
              <w:cnfStyle w:val="000000010000" w:firstRow="0" w:lastRow="0" w:firstColumn="0" w:lastColumn="0" w:oddVBand="0" w:evenVBand="0" w:oddHBand="0" w:evenHBand="1" w:firstRowFirstColumn="0" w:firstRowLastColumn="0" w:lastRowFirstColumn="0" w:lastRowLastColumn="0"/>
              <w:rPr>
                <w:rFonts w:ascii="Tahoma" w:eastAsia="Times New Roman" w:hAnsi="Tahoma" w:cs="Tahoma"/>
                <w:lang w:eastAsia="fr-FR"/>
              </w:rPr>
            </w:pPr>
            <w:r w:rsidRPr="002462E6">
              <w:rPr>
                <w:rFonts w:ascii="Tahoma" w:eastAsia="Times New Roman" w:hAnsi="Tahoma" w:cs="Tahoma"/>
                <w:lang w:eastAsia="fr-FR"/>
              </w:rPr>
              <w:t>111/2012</w:t>
            </w:r>
          </w:p>
        </w:tc>
        <w:tc>
          <w:tcPr>
            <w:tcW w:w="631" w:type="pct"/>
            <w:vAlign w:val="center"/>
            <w:hideMark/>
          </w:tcPr>
          <w:p w:rsidR="001E12AE" w:rsidRPr="002462E6" w:rsidRDefault="001E12AE" w:rsidP="001E12AE">
            <w:pPr>
              <w:cnfStyle w:val="000000010000" w:firstRow="0" w:lastRow="0" w:firstColumn="0" w:lastColumn="0" w:oddVBand="0" w:evenVBand="0" w:oddHBand="0" w:evenHBand="1" w:firstRowFirstColumn="0" w:firstRowLastColumn="0" w:lastRowFirstColumn="0" w:lastRowLastColumn="0"/>
              <w:rPr>
                <w:rFonts w:ascii="Tahoma" w:eastAsia="Times New Roman" w:hAnsi="Tahoma" w:cs="Tahoma"/>
                <w:lang w:eastAsia="fr-FR"/>
              </w:rPr>
            </w:pPr>
            <w:r w:rsidRPr="002462E6">
              <w:rPr>
                <w:rFonts w:ascii="Tahoma" w:eastAsia="Times New Roman" w:hAnsi="Tahoma" w:cs="Tahoma"/>
                <w:lang w:eastAsia="fr-FR"/>
              </w:rPr>
              <w:t>5000</w:t>
            </w:r>
          </w:p>
        </w:tc>
        <w:tc>
          <w:tcPr>
            <w:tcW w:w="1173" w:type="pct"/>
            <w:vAlign w:val="center"/>
            <w:hideMark/>
          </w:tcPr>
          <w:p w:rsidR="001E12AE" w:rsidRPr="002462E6" w:rsidRDefault="001E12AE" w:rsidP="001E12AE">
            <w:pPr>
              <w:cnfStyle w:val="000000010000" w:firstRow="0" w:lastRow="0" w:firstColumn="0" w:lastColumn="0" w:oddVBand="0" w:evenVBand="0" w:oddHBand="0" w:evenHBand="1" w:firstRowFirstColumn="0" w:firstRowLastColumn="0" w:lastRowFirstColumn="0" w:lastRowLastColumn="0"/>
              <w:rPr>
                <w:rFonts w:ascii="Tahoma" w:eastAsia="Times New Roman" w:hAnsi="Tahoma" w:cs="Tahoma"/>
                <w:lang w:eastAsia="fr-FR"/>
              </w:rPr>
            </w:pPr>
            <w:r w:rsidRPr="002462E6">
              <w:rPr>
                <w:rFonts w:ascii="Tahoma" w:eastAsia="Times New Roman" w:hAnsi="Tahoma" w:cs="Tahoma"/>
                <w:lang w:eastAsia="fr-FR"/>
              </w:rPr>
              <w:t>x=376500; y=347800</w:t>
            </w:r>
          </w:p>
        </w:tc>
        <w:tc>
          <w:tcPr>
            <w:tcW w:w="546" w:type="pct"/>
            <w:vAlign w:val="center"/>
            <w:hideMark/>
          </w:tcPr>
          <w:p w:rsidR="001E12AE" w:rsidRPr="002462E6" w:rsidRDefault="001E12AE" w:rsidP="001E12AE">
            <w:pPr>
              <w:cnfStyle w:val="000000010000" w:firstRow="0" w:lastRow="0" w:firstColumn="0" w:lastColumn="0" w:oddVBand="0" w:evenVBand="0" w:oddHBand="0" w:evenHBand="1" w:firstRowFirstColumn="0" w:firstRowLastColumn="0" w:lastRowFirstColumn="0" w:lastRowLastColumn="0"/>
              <w:rPr>
                <w:rFonts w:ascii="Tahoma" w:eastAsia="Times New Roman" w:hAnsi="Tahoma" w:cs="Tahoma"/>
                <w:lang w:eastAsia="fr-FR"/>
              </w:rPr>
            </w:pPr>
            <w:r w:rsidRPr="002462E6">
              <w:rPr>
                <w:rFonts w:ascii="Tahoma" w:eastAsia="Times New Roman" w:hAnsi="Tahoma" w:cs="Tahoma"/>
                <w:lang w:eastAsia="fr-FR"/>
              </w:rPr>
              <w:t>Rommani</w:t>
            </w:r>
          </w:p>
        </w:tc>
      </w:tr>
      <w:tr w:rsidR="001E12AE" w:rsidRPr="002462E6" w:rsidTr="009C60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1" w:type="pct"/>
            <w:vAlign w:val="center"/>
            <w:hideMark/>
          </w:tcPr>
          <w:p w:rsidR="001E12AE" w:rsidRPr="002462E6" w:rsidRDefault="001E12AE" w:rsidP="001E12AE">
            <w:pPr>
              <w:rPr>
                <w:rFonts w:ascii="Tahoma" w:eastAsia="Times New Roman" w:hAnsi="Tahoma" w:cs="Tahoma"/>
                <w:b w:val="0"/>
                <w:bCs w:val="0"/>
                <w:lang w:eastAsia="fr-FR"/>
              </w:rPr>
            </w:pPr>
            <w:r w:rsidRPr="002462E6">
              <w:rPr>
                <w:rFonts w:ascii="Tahoma" w:eastAsia="Times New Roman" w:hAnsi="Tahoma" w:cs="Tahoma"/>
                <w:b w:val="0"/>
                <w:bCs w:val="0"/>
                <w:lang w:eastAsia="fr-FR"/>
              </w:rPr>
              <w:t>S.A Zayed Nahyane</w:t>
            </w:r>
          </w:p>
        </w:tc>
        <w:tc>
          <w:tcPr>
            <w:tcW w:w="764" w:type="pct"/>
            <w:vAlign w:val="center"/>
            <w:hideMark/>
          </w:tcPr>
          <w:p w:rsidR="001E12AE" w:rsidRPr="002462E6" w:rsidRDefault="001E12AE" w:rsidP="001E12AE">
            <w:pPr>
              <w:cnfStyle w:val="000000100000" w:firstRow="0" w:lastRow="0" w:firstColumn="0" w:lastColumn="0" w:oddVBand="0" w:evenVBand="0" w:oddHBand="1" w:evenHBand="0" w:firstRowFirstColumn="0" w:firstRowLastColumn="0" w:lastRowFirstColumn="0" w:lastRowLastColumn="0"/>
              <w:rPr>
                <w:rFonts w:ascii="Tahoma" w:eastAsia="Times New Roman" w:hAnsi="Tahoma" w:cs="Tahoma"/>
                <w:lang w:eastAsia="fr-FR"/>
              </w:rPr>
            </w:pPr>
            <w:r w:rsidRPr="002462E6">
              <w:rPr>
                <w:rFonts w:ascii="Tahoma" w:eastAsia="Times New Roman" w:hAnsi="Tahoma" w:cs="Tahoma"/>
                <w:lang w:eastAsia="fr-FR"/>
              </w:rPr>
              <w:t>Réalisation des aménagements cynégétiques</w:t>
            </w:r>
          </w:p>
        </w:tc>
        <w:tc>
          <w:tcPr>
            <w:tcW w:w="647" w:type="pct"/>
            <w:vAlign w:val="center"/>
            <w:hideMark/>
          </w:tcPr>
          <w:p w:rsidR="001E12AE" w:rsidRPr="002462E6" w:rsidRDefault="001E12AE" w:rsidP="001E12AE">
            <w:pPr>
              <w:cnfStyle w:val="000000100000" w:firstRow="0" w:lastRow="0" w:firstColumn="0" w:lastColumn="0" w:oddVBand="0" w:evenVBand="0" w:oddHBand="1" w:evenHBand="0" w:firstRowFirstColumn="0" w:firstRowLastColumn="0" w:lastRowFirstColumn="0" w:lastRowLastColumn="0"/>
              <w:rPr>
                <w:rFonts w:ascii="Tahoma" w:eastAsia="Times New Roman" w:hAnsi="Tahoma" w:cs="Tahoma"/>
                <w:lang w:eastAsia="fr-FR"/>
              </w:rPr>
            </w:pPr>
            <w:r w:rsidRPr="002462E6">
              <w:rPr>
                <w:rFonts w:ascii="Tahoma" w:eastAsia="Times New Roman" w:hAnsi="Tahoma" w:cs="Tahoma"/>
                <w:lang w:eastAsia="fr-FR"/>
              </w:rPr>
              <w:t>1260 ha</w:t>
            </w:r>
          </w:p>
        </w:tc>
        <w:tc>
          <w:tcPr>
            <w:tcW w:w="528" w:type="pct"/>
            <w:vAlign w:val="center"/>
            <w:hideMark/>
          </w:tcPr>
          <w:p w:rsidR="001E12AE" w:rsidRPr="002462E6" w:rsidRDefault="001E12AE" w:rsidP="001E12AE">
            <w:pPr>
              <w:cnfStyle w:val="000000100000" w:firstRow="0" w:lastRow="0" w:firstColumn="0" w:lastColumn="0" w:oddVBand="0" w:evenVBand="0" w:oddHBand="1" w:evenHBand="0" w:firstRowFirstColumn="0" w:firstRowLastColumn="0" w:lastRowFirstColumn="0" w:lastRowLastColumn="0"/>
              <w:rPr>
                <w:rFonts w:ascii="Tahoma" w:eastAsia="Times New Roman" w:hAnsi="Tahoma" w:cs="Tahoma"/>
                <w:lang w:eastAsia="fr-FR"/>
              </w:rPr>
            </w:pPr>
            <w:r w:rsidRPr="002462E6">
              <w:rPr>
                <w:rFonts w:ascii="Tahoma" w:eastAsia="Times New Roman" w:hAnsi="Tahoma" w:cs="Tahoma"/>
                <w:lang w:eastAsia="fr-FR"/>
              </w:rPr>
              <w:t>115/06</w:t>
            </w:r>
          </w:p>
        </w:tc>
        <w:tc>
          <w:tcPr>
            <w:tcW w:w="631" w:type="pct"/>
            <w:vAlign w:val="center"/>
            <w:hideMark/>
          </w:tcPr>
          <w:p w:rsidR="001E12AE" w:rsidRPr="002462E6" w:rsidRDefault="001E12AE" w:rsidP="001E12AE">
            <w:pPr>
              <w:cnfStyle w:val="000000100000" w:firstRow="0" w:lastRow="0" w:firstColumn="0" w:lastColumn="0" w:oddVBand="0" w:evenVBand="0" w:oddHBand="1" w:evenHBand="0" w:firstRowFirstColumn="0" w:firstRowLastColumn="0" w:lastRowFirstColumn="0" w:lastRowLastColumn="0"/>
              <w:rPr>
                <w:rFonts w:ascii="Tahoma" w:eastAsia="Times New Roman" w:hAnsi="Tahoma" w:cs="Tahoma"/>
                <w:lang w:eastAsia="fr-FR"/>
              </w:rPr>
            </w:pPr>
            <w:r w:rsidRPr="002462E6">
              <w:rPr>
                <w:rFonts w:ascii="Tahoma" w:eastAsia="Times New Roman" w:hAnsi="Tahoma" w:cs="Tahoma"/>
                <w:lang w:eastAsia="fr-FR"/>
              </w:rPr>
              <w:t>194000</w:t>
            </w:r>
          </w:p>
        </w:tc>
        <w:tc>
          <w:tcPr>
            <w:tcW w:w="1173" w:type="pct"/>
            <w:vAlign w:val="center"/>
            <w:hideMark/>
          </w:tcPr>
          <w:p w:rsidR="001E12AE" w:rsidRPr="002462E6" w:rsidRDefault="001E12AE" w:rsidP="001E12AE">
            <w:pPr>
              <w:cnfStyle w:val="000000100000" w:firstRow="0" w:lastRow="0" w:firstColumn="0" w:lastColumn="0" w:oddVBand="0" w:evenVBand="0" w:oddHBand="1" w:evenHBand="0" w:firstRowFirstColumn="0" w:firstRowLastColumn="0" w:lastRowFirstColumn="0" w:lastRowLastColumn="0"/>
              <w:rPr>
                <w:rFonts w:ascii="Tahoma" w:eastAsia="Times New Roman" w:hAnsi="Tahoma" w:cs="Tahoma"/>
                <w:lang w:eastAsia="fr-FR"/>
              </w:rPr>
            </w:pPr>
            <w:r w:rsidRPr="002462E6">
              <w:rPr>
                <w:rFonts w:ascii="Tahoma" w:eastAsia="Times New Roman" w:hAnsi="Tahoma" w:cs="Tahoma"/>
                <w:lang w:eastAsia="fr-FR"/>
              </w:rPr>
              <w:t>x=373100; y=346500</w:t>
            </w:r>
          </w:p>
        </w:tc>
        <w:tc>
          <w:tcPr>
            <w:tcW w:w="546" w:type="pct"/>
            <w:vAlign w:val="center"/>
            <w:hideMark/>
          </w:tcPr>
          <w:p w:rsidR="001E12AE" w:rsidRPr="002462E6" w:rsidRDefault="001E12AE" w:rsidP="001E12AE">
            <w:pPr>
              <w:cnfStyle w:val="000000100000" w:firstRow="0" w:lastRow="0" w:firstColumn="0" w:lastColumn="0" w:oddVBand="0" w:evenVBand="0" w:oddHBand="1" w:evenHBand="0" w:firstRowFirstColumn="0" w:firstRowLastColumn="0" w:lastRowFirstColumn="0" w:lastRowLastColumn="0"/>
              <w:rPr>
                <w:rFonts w:ascii="Tahoma" w:eastAsia="Times New Roman" w:hAnsi="Tahoma" w:cs="Tahoma"/>
                <w:lang w:eastAsia="fr-FR"/>
              </w:rPr>
            </w:pPr>
            <w:r w:rsidRPr="002462E6">
              <w:rPr>
                <w:rFonts w:ascii="Tahoma" w:eastAsia="Times New Roman" w:hAnsi="Tahoma" w:cs="Tahoma"/>
                <w:lang w:eastAsia="fr-FR"/>
              </w:rPr>
              <w:t>Rabat-Témara</w:t>
            </w:r>
          </w:p>
        </w:tc>
      </w:tr>
      <w:tr w:rsidR="001E12AE" w:rsidRPr="002462E6" w:rsidTr="001E12AE">
        <w:trPr>
          <w:cnfStyle w:val="000000010000" w:firstRow="0" w:lastRow="0" w:firstColumn="0" w:lastColumn="0" w:oddVBand="0" w:evenVBand="0" w:oddHBand="0" w:evenHBand="1" w:firstRowFirstColumn="0" w:firstRowLastColumn="0" w:lastRowFirstColumn="0" w:lastRowLastColumn="0"/>
          <w:trHeight w:val="599"/>
        </w:trPr>
        <w:tc>
          <w:tcPr>
            <w:cnfStyle w:val="001000000000" w:firstRow="0" w:lastRow="0" w:firstColumn="1" w:lastColumn="0" w:oddVBand="0" w:evenVBand="0" w:oddHBand="0" w:evenHBand="0" w:firstRowFirstColumn="0" w:firstRowLastColumn="0" w:lastRowFirstColumn="0" w:lastRowLastColumn="0"/>
            <w:tcW w:w="711" w:type="pct"/>
            <w:vAlign w:val="center"/>
            <w:hideMark/>
          </w:tcPr>
          <w:p w:rsidR="001E12AE" w:rsidRPr="002462E6" w:rsidRDefault="001E12AE" w:rsidP="001E12AE">
            <w:pPr>
              <w:rPr>
                <w:rFonts w:ascii="Tahoma" w:eastAsia="Times New Roman" w:hAnsi="Tahoma" w:cs="Tahoma"/>
                <w:b w:val="0"/>
                <w:bCs w:val="0"/>
                <w:lang w:eastAsia="fr-FR"/>
              </w:rPr>
            </w:pPr>
            <w:r w:rsidRPr="002462E6">
              <w:rPr>
                <w:rFonts w:ascii="Tahoma" w:eastAsia="Times New Roman" w:hAnsi="Tahoma" w:cs="Tahoma"/>
                <w:b w:val="0"/>
                <w:bCs w:val="0"/>
                <w:lang w:eastAsia="fr-FR"/>
              </w:rPr>
              <w:t>Total</w:t>
            </w:r>
          </w:p>
        </w:tc>
        <w:tc>
          <w:tcPr>
            <w:tcW w:w="764" w:type="pct"/>
            <w:vAlign w:val="center"/>
            <w:hideMark/>
          </w:tcPr>
          <w:p w:rsidR="001E12AE" w:rsidRPr="002462E6" w:rsidRDefault="001E12AE" w:rsidP="001E12AE">
            <w:pPr>
              <w:cnfStyle w:val="000000010000" w:firstRow="0" w:lastRow="0" w:firstColumn="0" w:lastColumn="0" w:oddVBand="0" w:evenVBand="0" w:oddHBand="0" w:evenHBand="1" w:firstRowFirstColumn="0" w:firstRowLastColumn="0" w:lastRowFirstColumn="0" w:lastRowLastColumn="0"/>
              <w:rPr>
                <w:rFonts w:ascii="Tahoma" w:eastAsia="Times New Roman" w:hAnsi="Tahoma" w:cs="Tahoma"/>
                <w:lang w:eastAsia="fr-FR"/>
              </w:rPr>
            </w:pPr>
          </w:p>
        </w:tc>
        <w:tc>
          <w:tcPr>
            <w:tcW w:w="647" w:type="pct"/>
            <w:vAlign w:val="center"/>
            <w:hideMark/>
          </w:tcPr>
          <w:p w:rsidR="001E12AE" w:rsidRPr="002462E6" w:rsidRDefault="001E12AE" w:rsidP="001E12AE">
            <w:pPr>
              <w:cnfStyle w:val="000000010000" w:firstRow="0" w:lastRow="0" w:firstColumn="0" w:lastColumn="0" w:oddVBand="0" w:evenVBand="0" w:oddHBand="0" w:evenHBand="1" w:firstRowFirstColumn="0" w:firstRowLastColumn="0" w:lastRowFirstColumn="0" w:lastRowLastColumn="0"/>
              <w:rPr>
                <w:rFonts w:ascii="Tahoma" w:eastAsia="Times New Roman" w:hAnsi="Tahoma" w:cs="Tahoma"/>
                <w:lang w:eastAsia="fr-FR"/>
              </w:rPr>
            </w:pPr>
          </w:p>
        </w:tc>
        <w:tc>
          <w:tcPr>
            <w:tcW w:w="528" w:type="pct"/>
            <w:vAlign w:val="center"/>
            <w:hideMark/>
          </w:tcPr>
          <w:p w:rsidR="001E12AE" w:rsidRPr="002462E6" w:rsidRDefault="001E12AE" w:rsidP="001E12AE">
            <w:pPr>
              <w:cnfStyle w:val="000000010000" w:firstRow="0" w:lastRow="0" w:firstColumn="0" w:lastColumn="0" w:oddVBand="0" w:evenVBand="0" w:oddHBand="0" w:evenHBand="1" w:firstRowFirstColumn="0" w:firstRowLastColumn="0" w:lastRowFirstColumn="0" w:lastRowLastColumn="0"/>
              <w:rPr>
                <w:rFonts w:ascii="Tahoma" w:eastAsia="Times New Roman" w:hAnsi="Tahoma" w:cs="Tahoma"/>
                <w:lang w:eastAsia="fr-FR"/>
              </w:rPr>
            </w:pPr>
          </w:p>
        </w:tc>
        <w:tc>
          <w:tcPr>
            <w:tcW w:w="631" w:type="pct"/>
            <w:vAlign w:val="center"/>
            <w:hideMark/>
          </w:tcPr>
          <w:p w:rsidR="001E12AE" w:rsidRPr="002462E6" w:rsidRDefault="001E12AE" w:rsidP="001E12AE">
            <w:pPr>
              <w:cnfStyle w:val="000000010000" w:firstRow="0" w:lastRow="0" w:firstColumn="0" w:lastColumn="0" w:oddVBand="0" w:evenVBand="0" w:oddHBand="0" w:evenHBand="1" w:firstRowFirstColumn="0" w:firstRowLastColumn="0" w:lastRowFirstColumn="0" w:lastRowLastColumn="0"/>
              <w:rPr>
                <w:rFonts w:ascii="Tahoma" w:eastAsia="Times New Roman" w:hAnsi="Tahoma" w:cs="Tahoma"/>
                <w:lang w:eastAsia="fr-FR"/>
              </w:rPr>
            </w:pPr>
            <w:r w:rsidRPr="002462E6">
              <w:rPr>
                <w:rFonts w:ascii="Tahoma" w:eastAsia="Times New Roman" w:hAnsi="Tahoma" w:cs="Tahoma"/>
                <w:lang w:eastAsia="fr-FR"/>
              </w:rPr>
              <w:t>214 700</w:t>
            </w:r>
          </w:p>
        </w:tc>
        <w:tc>
          <w:tcPr>
            <w:tcW w:w="1173" w:type="pct"/>
            <w:vAlign w:val="center"/>
            <w:hideMark/>
          </w:tcPr>
          <w:p w:rsidR="001E12AE" w:rsidRPr="002462E6" w:rsidRDefault="001E12AE" w:rsidP="001E12AE">
            <w:pPr>
              <w:cnfStyle w:val="000000010000" w:firstRow="0" w:lastRow="0" w:firstColumn="0" w:lastColumn="0" w:oddVBand="0" w:evenVBand="0" w:oddHBand="0" w:evenHBand="1" w:firstRowFirstColumn="0" w:firstRowLastColumn="0" w:lastRowFirstColumn="0" w:lastRowLastColumn="0"/>
              <w:rPr>
                <w:rFonts w:ascii="Tahoma" w:eastAsia="Times New Roman" w:hAnsi="Tahoma" w:cs="Tahoma"/>
                <w:lang w:eastAsia="fr-FR"/>
              </w:rPr>
            </w:pPr>
          </w:p>
        </w:tc>
        <w:tc>
          <w:tcPr>
            <w:tcW w:w="546" w:type="pct"/>
            <w:vAlign w:val="center"/>
            <w:hideMark/>
          </w:tcPr>
          <w:p w:rsidR="001E12AE" w:rsidRPr="002462E6" w:rsidRDefault="001E12AE" w:rsidP="001E12AE">
            <w:pPr>
              <w:cnfStyle w:val="000000010000" w:firstRow="0" w:lastRow="0" w:firstColumn="0" w:lastColumn="0" w:oddVBand="0" w:evenVBand="0" w:oddHBand="0" w:evenHBand="1" w:firstRowFirstColumn="0" w:firstRowLastColumn="0" w:lastRowFirstColumn="0" w:lastRowLastColumn="0"/>
              <w:rPr>
                <w:rFonts w:ascii="Tahoma" w:eastAsia="Times New Roman" w:hAnsi="Tahoma" w:cs="Tahoma"/>
                <w:lang w:eastAsia="fr-FR"/>
              </w:rPr>
            </w:pPr>
          </w:p>
        </w:tc>
      </w:tr>
    </w:tbl>
    <w:p w:rsidR="001E12AE" w:rsidRPr="002462E6" w:rsidRDefault="001E12AE" w:rsidP="00726EDC">
      <w:pPr>
        <w:widowControl w:val="0"/>
        <w:autoSpaceDE w:val="0"/>
        <w:autoSpaceDN w:val="0"/>
        <w:spacing w:before="1" w:after="0" w:line="240" w:lineRule="auto"/>
        <w:rPr>
          <w:rFonts w:ascii="Tahoma" w:eastAsia="Times New Roman" w:hAnsi="Tahoma" w:cs="Tahoma"/>
          <w:b/>
          <w:sz w:val="18"/>
          <w:szCs w:val="24"/>
        </w:rPr>
      </w:pPr>
    </w:p>
    <w:p w:rsidR="002011A5" w:rsidRPr="002462E6" w:rsidRDefault="002011A5" w:rsidP="00726EDC">
      <w:pPr>
        <w:widowControl w:val="0"/>
        <w:autoSpaceDE w:val="0"/>
        <w:autoSpaceDN w:val="0"/>
        <w:spacing w:before="1" w:after="0" w:line="240" w:lineRule="auto"/>
        <w:rPr>
          <w:rFonts w:ascii="Tahoma" w:eastAsia="Times New Roman" w:hAnsi="Tahoma" w:cs="Tahoma"/>
          <w:b/>
          <w:sz w:val="2"/>
          <w:szCs w:val="6"/>
        </w:rPr>
      </w:pPr>
    </w:p>
    <w:p w:rsidR="00C15C3A" w:rsidRPr="002462E6" w:rsidRDefault="00C15C3A" w:rsidP="00C15C3A">
      <w:pPr>
        <w:widowControl w:val="0"/>
        <w:autoSpaceDE w:val="0"/>
        <w:autoSpaceDN w:val="0"/>
        <w:spacing w:after="0" w:line="240" w:lineRule="auto"/>
        <w:jc w:val="center"/>
        <w:rPr>
          <w:rFonts w:ascii="Tahoma" w:eastAsia="Times New Roman" w:hAnsi="Tahoma" w:cs="Tahoma"/>
          <w:iCs/>
          <w:sz w:val="20"/>
          <w:szCs w:val="20"/>
        </w:rPr>
      </w:pPr>
      <w:r w:rsidRPr="002462E6">
        <w:rPr>
          <w:rFonts w:ascii="Tahoma" w:eastAsia="Times New Roman" w:hAnsi="Tahoma" w:cs="Tahoma"/>
          <w:b/>
          <w:iCs/>
          <w:sz w:val="20"/>
          <w:szCs w:val="20"/>
        </w:rPr>
        <w:t>Source</w:t>
      </w:r>
      <w:r w:rsidRPr="002462E6">
        <w:rPr>
          <w:rFonts w:ascii="Tahoma" w:eastAsia="Times New Roman" w:hAnsi="Tahoma" w:cs="Tahoma"/>
          <w:b/>
          <w:iCs/>
          <w:spacing w:val="-2"/>
          <w:sz w:val="20"/>
          <w:szCs w:val="20"/>
        </w:rPr>
        <w:t xml:space="preserve"> </w:t>
      </w:r>
      <w:r w:rsidRPr="002462E6">
        <w:rPr>
          <w:rFonts w:ascii="Tahoma" w:eastAsia="Times New Roman" w:hAnsi="Tahoma" w:cs="Tahoma"/>
          <w:b/>
          <w:iCs/>
          <w:sz w:val="20"/>
          <w:szCs w:val="20"/>
        </w:rPr>
        <w:t>:</w:t>
      </w:r>
      <w:r w:rsidRPr="002462E6">
        <w:rPr>
          <w:rFonts w:ascii="Tahoma" w:eastAsia="Times New Roman" w:hAnsi="Tahoma" w:cs="Tahoma"/>
          <w:b/>
          <w:iCs/>
          <w:spacing w:val="-1"/>
          <w:sz w:val="20"/>
          <w:szCs w:val="20"/>
        </w:rPr>
        <w:t xml:space="preserve"> </w:t>
      </w:r>
      <w:r w:rsidRPr="002462E6">
        <w:rPr>
          <w:rFonts w:ascii="Tahoma" w:eastAsia="Times New Roman" w:hAnsi="Tahoma" w:cs="Tahoma"/>
          <w:iCs/>
          <w:sz w:val="20"/>
          <w:szCs w:val="20"/>
        </w:rPr>
        <w:t>Le</w:t>
      </w:r>
      <w:r w:rsidRPr="002462E6">
        <w:rPr>
          <w:rFonts w:ascii="Tahoma" w:eastAsia="Times New Roman" w:hAnsi="Tahoma" w:cs="Tahoma"/>
          <w:iCs/>
          <w:spacing w:val="-1"/>
          <w:sz w:val="20"/>
          <w:szCs w:val="20"/>
        </w:rPr>
        <w:t xml:space="preserve"> </w:t>
      </w:r>
      <w:r w:rsidRPr="002462E6">
        <w:rPr>
          <w:rFonts w:ascii="Tahoma" w:eastAsia="Times New Roman" w:hAnsi="Tahoma" w:cs="Tahoma"/>
          <w:iCs/>
          <w:sz w:val="20"/>
          <w:szCs w:val="20"/>
        </w:rPr>
        <w:t>grand livre</w:t>
      </w:r>
      <w:r w:rsidRPr="002462E6">
        <w:rPr>
          <w:rFonts w:ascii="Tahoma" w:eastAsia="Times New Roman" w:hAnsi="Tahoma" w:cs="Tahoma"/>
          <w:iCs/>
          <w:spacing w:val="-2"/>
          <w:sz w:val="20"/>
          <w:szCs w:val="20"/>
        </w:rPr>
        <w:t xml:space="preserve"> </w:t>
      </w:r>
      <w:r w:rsidRPr="002462E6">
        <w:rPr>
          <w:rFonts w:ascii="Tahoma" w:eastAsia="Times New Roman" w:hAnsi="Tahoma" w:cs="Tahoma"/>
          <w:iCs/>
          <w:sz w:val="20"/>
          <w:szCs w:val="20"/>
        </w:rPr>
        <w:t>de la forêt</w:t>
      </w:r>
      <w:r w:rsidRPr="002462E6">
        <w:rPr>
          <w:rFonts w:ascii="Tahoma" w:eastAsia="Times New Roman" w:hAnsi="Tahoma" w:cs="Tahoma"/>
          <w:iCs/>
          <w:spacing w:val="-1"/>
          <w:sz w:val="20"/>
          <w:szCs w:val="20"/>
        </w:rPr>
        <w:t xml:space="preserve"> </w:t>
      </w:r>
      <w:r w:rsidRPr="002462E6">
        <w:rPr>
          <w:rFonts w:ascii="Tahoma" w:eastAsia="Times New Roman" w:hAnsi="Tahoma" w:cs="Tahoma"/>
          <w:iCs/>
          <w:sz w:val="20"/>
          <w:szCs w:val="20"/>
        </w:rPr>
        <w:t>marocaine, op.</w:t>
      </w:r>
      <w:r w:rsidRPr="002462E6">
        <w:rPr>
          <w:rFonts w:ascii="Tahoma" w:eastAsia="Times New Roman" w:hAnsi="Tahoma" w:cs="Tahoma"/>
          <w:iCs/>
          <w:spacing w:val="-1"/>
          <w:sz w:val="20"/>
          <w:szCs w:val="20"/>
        </w:rPr>
        <w:t xml:space="preserve"> </w:t>
      </w:r>
      <w:r w:rsidRPr="002462E6">
        <w:rPr>
          <w:rFonts w:ascii="Tahoma" w:eastAsia="Times New Roman" w:hAnsi="Tahoma" w:cs="Tahoma"/>
          <w:iCs/>
          <w:sz w:val="20"/>
          <w:szCs w:val="20"/>
        </w:rPr>
        <w:t>cit.</w:t>
      </w:r>
    </w:p>
    <w:p w:rsidR="002011A5" w:rsidRPr="002462E6" w:rsidRDefault="002011A5" w:rsidP="00726EDC">
      <w:pPr>
        <w:widowControl w:val="0"/>
        <w:autoSpaceDE w:val="0"/>
        <w:autoSpaceDN w:val="0"/>
        <w:spacing w:before="1" w:after="0" w:line="240" w:lineRule="auto"/>
        <w:rPr>
          <w:rFonts w:ascii="Tahoma" w:eastAsia="Times New Roman" w:hAnsi="Tahoma" w:cs="Tahoma"/>
          <w:b/>
          <w:sz w:val="18"/>
          <w:szCs w:val="24"/>
        </w:rPr>
      </w:pPr>
    </w:p>
    <w:p w:rsidR="00726EDC" w:rsidRPr="002462E6" w:rsidRDefault="00726EDC" w:rsidP="00726EDC">
      <w:pPr>
        <w:widowControl w:val="0"/>
        <w:autoSpaceDE w:val="0"/>
        <w:autoSpaceDN w:val="0"/>
        <w:spacing w:before="128" w:after="0" w:line="360" w:lineRule="auto"/>
        <w:jc w:val="both"/>
        <w:rPr>
          <w:rFonts w:ascii="Tahoma" w:eastAsia="Times New Roman" w:hAnsi="Tahoma" w:cs="Tahoma"/>
          <w:sz w:val="24"/>
          <w:szCs w:val="24"/>
        </w:rPr>
      </w:pPr>
      <w:r w:rsidRPr="002462E6">
        <w:rPr>
          <w:rFonts w:ascii="Tahoma" w:eastAsia="Times New Roman" w:hAnsi="Tahoma" w:cs="Tahoma"/>
          <w:sz w:val="24"/>
          <w:szCs w:val="24"/>
        </w:rPr>
        <w:t>Depuis le début du siècle dernier, l’arsenal juridique destiné à la protection et à l'exploitation des forêts marocaines est constitué d'un ensemble de textes généraux et spécifiques. En effet, le DF demeure principalement géré par</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les dispositions du Dahir du 20 hija 1335 (10 octobre 1917) sur la conservation et l’exploitation</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des</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forêts,</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tel</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qu’il</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a</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été</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complété</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et</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modifié ainsi</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que</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par</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d’autres</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textes</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juridiques</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et</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réglementaires.</w:t>
      </w:r>
    </w:p>
    <w:p w:rsidR="009C1E3C" w:rsidRPr="002462E6" w:rsidRDefault="00E35254" w:rsidP="000D57A1">
      <w:pPr>
        <w:pStyle w:val="Sous-titre"/>
      </w:pPr>
      <w:bookmarkStart w:id="249" w:name="_Toc203642506"/>
      <w:r w:rsidRPr="002462E6">
        <w:t xml:space="preserve">Tableau </w:t>
      </w:r>
      <w:r w:rsidR="00225ED1">
        <w:rPr>
          <w:noProof/>
        </w:rPr>
        <w:fldChar w:fldCharType="begin"/>
      </w:r>
      <w:r w:rsidR="00225ED1">
        <w:rPr>
          <w:noProof/>
        </w:rPr>
        <w:instrText xml:space="preserve"> SEQ Tableau \* ARABIC </w:instrText>
      </w:r>
      <w:r w:rsidR="00225ED1">
        <w:rPr>
          <w:noProof/>
        </w:rPr>
        <w:fldChar w:fldCharType="separate"/>
      </w:r>
      <w:r w:rsidR="00124AFB">
        <w:rPr>
          <w:noProof/>
        </w:rPr>
        <w:t>7</w:t>
      </w:r>
      <w:r w:rsidR="00225ED1">
        <w:rPr>
          <w:noProof/>
        </w:rPr>
        <w:fldChar w:fldCharType="end"/>
      </w:r>
      <w:r w:rsidR="00EC5E5B" w:rsidRPr="002462E6">
        <w:t xml:space="preserve"> </w:t>
      </w:r>
      <w:r w:rsidRPr="002462E6">
        <w:t>: Principaux textes juridiques relatifs à la forêt</w:t>
      </w:r>
      <w:bookmarkEnd w:id="249"/>
    </w:p>
    <w:p w:rsidR="001E12AE" w:rsidRPr="002462E6" w:rsidRDefault="001E12AE" w:rsidP="00B26097">
      <w:pPr>
        <w:widowControl w:val="0"/>
        <w:autoSpaceDE w:val="0"/>
        <w:autoSpaceDN w:val="0"/>
        <w:spacing w:after="0" w:line="240" w:lineRule="auto"/>
        <w:jc w:val="center"/>
        <w:rPr>
          <w:rFonts w:ascii="Tahoma" w:eastAsia="Times New Roman" w:hAnsi="Tahoma" w:cs="Tahoma"/>
          <w:iCs/>
          <w:sz w:val="20"/>
          <w:szCs w:val="20"/>
        </w:rPr>
      </w:pPr>
    </w:p>
    <w:tbl>
      <w:tblPr>
        <w:tblStyle w:val="Tramemoyenne1-Accent62"/>
        <w:tblW w:w="5095" w:type="pct"/>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69"/>
        <w:gridCol w:w="6685"/>
      </w:tblGrid>
      <w:tr w:rsidR="001E12AE" w:rsidRPr="002462E6" w:rsidTr="001E12A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73" w:type="pct"/>
            <w:vAlign w:val="center"/>
            <w:hideMark/>
          </w:tcPr>
          <w:p w:rsidR="001E12AE" w:rsidRPr="002462E6" w:rsidRDefault="001E12AE" w:rsidP="001E12AE">
            <w:pPr>
              <w:spacing w:line="276" w:lineRule="auto"/>
              <w:rPr>
                <w:rFonts w:ascii="Times New Roman" w:eastAsia="Times New Roman" w:hAnsi="Times New Roman" w:cs="Times New Roman"/>
                <w:sz w:val="24"/>
                <w:szCs w:val="24"/>
                <w:lang w:eastAsia="fr-FR"/>
              </w:rPr>
            </w:pPr>
            <w:r w:rsidRPr="002462E6">
              <w:rPr>
                <w:rFonts w:ascii="Times New Roman" w:eastAsia="Times New Roman" w:hAnsi="Times New Roman" w:cs="Times New Roman"/>
                <w:sz w:val="24"/>
                <w:szCs w:val="24"/>
                <w:lang w:eastAsia="fr-FR"/>
              </w:rPr>
              <w:t>Date</w:t>
            </w:r>
          </w:p>
        </w:tc>
        <w:tc>
          <w:tcPr>
            <w:tcW w:w="3427" w:type="pct"/>
            <w:vAlign w:val="center"/>
            <w:hideMark/>
          </w:tcPr>
          <w:p w:rsidR="001E12AE" w:rsidRPr="002462E6" w:rsidRDefault="001E12AE" w:rsidP="001E12AE">
            <w:pPr>
              <w:spacing w:line="276"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2462E6">
              <w:rPr>
                <w:rFonts w:ascii="Times New Roman" w:eastAsia="Times New Roman" w:hAnsi="Times New Roman" w:cs="Times New Roman"/>
                <w:sz w:val="24"/>
                <w:szCs w:val="24"/>
                <w:lang w:eastAsia="fr-FR"/>
              </w:rPr>
              <w:t>Objet</w:t>
            </w:r>
          </w:p>
        </w:tc>
      </w:tr>
      <w:tr w:rsidR="001E12AE" w:rsidRPr="002462E6" w:rsidTr="001E12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73" w:type="pct"/>
            <w:vAlign w:val="center"/>
            <w:hideMark/>
          </w:tcPr>
          <w:p w:rsidR="001E12AE" w:rsidRPr="002462E6" w:rsidRDefault="001E12AE" w:rsidP="001E12AE">
            <w:pPr>
              <w:spacing w:line="276" w:lineRule="auto"/>
              <w:rPr>
                <w:rFonts w:ascii="Times New Roman" w:eastAsia="Times New Roman" w:hAnsi="Times New Roman" w:cs="Times New Roman"/>
                <w:sz w:val="24"/>
                <w:szCs w:val="24"/>
                <w:lang w:eastAsia="fr-FR"/>
              </w:rPr>
            </w:pPr>
            <w:r w:rsidRPr="002462E6">
              <w:rPr>
                <w:rFonts w:ascii="Times New Roman" w:eastAsia="Times New Roman" w:hAnsi="Times New Roman" w:cs="Times New Roman"/>
                <w:sz w:val="24"/>
                <w:szCs w:val="24"/>
                <w:lang w:eastAsia="fr-FR"/>
              </w:rPr>
              <w:t>10 octobre 1917</w:t>
            </w:r>
          </w:p>
        </w:tc>
        <w:tc>
          <w:tcPr>
            <w:tcW w:w="3427" w:type="pct"/>
            <w:vAlign w:val="center"/>
            <w:hideMark/>
          </w:tcPr>
          <w:p w:rsidR="001E12AE" w:rsidRPr="002462E6" w:rsidRDefault="001E12AE" w:rsidP="001E12AE">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2462E6">
              <w:rPr>
                <w:rFonts w:ascii="Times New Roman" w:eastAsia="Times New Roman" w:hAnsi="Times New Roman" w:cs="Times New Roman"/>
                <w:sz w:val="24"/>
                <w:szCs w:val="24"/>
                <w:lang w:eastAsia="fr-FR"/>
              </w:rPr>
              <w:t>Dahir sur la conservation et l'exploitation des forêts.</w:t>
            </w:r>
          </w:p>
        </w:tc>
      </w:tr>
      <w:tr w:rsidR="001E12AE" w:rsidRPr="002462E6" w:rsidTr="001E12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73" w:type="pct"/>
            <w:vAlign w:val="center"/>
            <w:hideMark/>
          </w:tcPr>
          <w:p w:rsidR="001E12AE" w:rsidRPr="002462E6" w:rsidRDefault="001E12AE" w:rsidP="001E12AE">
            <w:pPr>
              <w:spacing w:line="276" w:lineRule="auto"/>
              <w:rPr>
                <w:rFonts w:ascii="Times New Roman" w:eastAsia="Times New Roman" w:hAnsi="Times New Roman" w:cs="Times New Roman"/>
                <w:sz w:val="24"/>
                <w:szCs w:val="24"/>
                <w:lang w:eastAsia="fr-FR"/>
              </w:rPr>
            </w:pPr>
            <w:r w:rsidRPr="002462E6">
              <w:rPr>
                <w:rFonts w:ascii="Times New Roman" w:eastAsia="Times New Roman" w:hAnsi="Times New Roman" w:cs="Times New Roman"/>
                <w:sz w:val="24"/>
                <w:szCs w:val="24"/>
                <w:lang w:eastAsia="fr-FR"/>
              </w:rPr>
              <w:t>4 mars 1925</w:t>
            </w:r>
          </w:p>
        </w:tc>
        <w:tc>
          <w:tcPr>
            <w:tcW w:w="3427" w:type="pct"/>
            <w:vAlign w:val="center"/>
            <w:hideMark/>
          </w:tcPr>
          <w:p w:rsidR="001E12AE" w:rsidRPr="002462E6" w:rsidRDefault="001E12AE" w:rsidP="001E12AE">
            <w:pPr>
              <w:spacing w:line="276" w:lineRule="auto"/>
              <w:cnfStyle w:val="000000010000" w:firstRow="0" w:lastRow="0" w:firstColumn="0" w:lastColumn="0" w:oddVBand="0" w:evenVBand="0" w:oddHBand="0" w:evenHBand="1" w:firstRowFirstColumn="0" w:firstRowLastColumn="0" w:lastRowFirstColumn="0" w:lastRowLastColumn="0"/>
              <w:rPr>
                <w:rFonts w:ascii="Times New Roman" w:eastAsia="Times New Roman" w:hAnsi="Times New Roman" w:cs="Times New Roman"/>
                <w:sz w:val="24"/>
                <w:szCs w:val="24"/>
                <w:lang w:eastAsia="fr-FR"/>
              </w:rPr>
            </w:pPr>
            <w:r w:rsidRPr="002462E6">
              <w:rPr>
                <w:rFonts w:ascii="Times New Roman" w:eastAsia="Times New Roman" w:hAnsi="Times New Roman" w:cs="Times New Roman"/>
                <w:sz w:val="24"/>
                <w:szCs w:val="24"/>
                <w:lang w:eastAsia="fr-FR"/>
              </w:rPr>
              <w:t>Dahir sur la protection et la délimitation des forêts d'arganier</w:t>
            </w:r>
          </w:p>
        </w:tc>
      </w:tr>
      <w:tr w:rsidR="001E12AE" w:rsidRPr="002462E6" w:rsidTr="001E12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73" w:type="pct"/>
            <w:vAlign w:val="center"/>
            <w:hideMark/>
          </w:tcPr>
          <w:p w:rsidR="001E12AE" w:rsidRPr="002462E6" w:rsidRDefault="001E12AE" w:rsidP="001E12AE">
            <w:pPr>
              <w:spacing w:line="276" w:lineRule="auto"/>
              <w:rPr>
                <w:rFonts w:ascii="Times New Roman" w:eastAsia="Times New Roman" w:hAnsi="Times New Roman" w:cs="Times New Roman"/>
                <w:sz w:val="24"/>
                <w:szCs w:val="24"/>
                <w:lang w:eastAsia="fr-FR"/>
              </w:rPr>
            </w:pPr>
            <w:r w:rsidRPr="002462E6">
              <w:rPr>
                <w:rFonts w:ascii="Times New Roman" w:eastAsia="Times New Roman" w:hAnsi="Times New Roman" w:cs="Times New Roman"/>
                <w:sz w:val="24"/>
                <w:szCs w:val="24"/>
                <w:lang w:eastAsia="fr-FR"/>
              </w:rPr>
              <w:t>15 août 1928</w:t>
            </w:r>
          </w:p>
        </w:tc>
        <w:tc>
          <w:tcPr>
            <w:tcW w:w="3427" w:type="pct"/>
            <w:vAlign w:val="center"/>
            <w:hideMark/>
          </w:tcPr>
          <w:p w:rsidR="001E12AE" w:rsidRPr="002462E6" w:rsidRDefault="001E12AE" w:rsidP="001E12AE">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2462E6">
              <w:rPr>
                <w:rFonts w:ascii="Times New Roman" w:eastAsia="Times New Roman" w:hAnsi="Times New Roman" w:cs="Times New Roman"/>
                <w:sz w:val="24"/>
                <w:szCs w:val="24"/>
                <w:lang w:eastAsia="fr-FR"/>
              </w:rPr>
              <w:t>Dahir déterminant le régime juridique des nappes alfatières.</w:t>
            </w:r>
          </w:p>
        </w:tc>
      </w:tr>
      <w:tr w:rsidR="001E12AE" w:rsidRPr="002462E6" w:rsidTr="001E12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73" w:type="pct"/>
            <w:vAlign w:val="center"/>
            <w:hideMark/>
          </w:tcPr>
          <w:p w:rsidR="001E12AE" w:rsidRPr="002462E6" w:rsidRDefault="001E12AE" w:rsidP="001E12AE">
            <w:pPr>
              <w:spacing w:line="276" w:lineRule="auto"/>
              <w:rPr>
                <w:rFonts w:ascii="Times New Roman" w:eastAsia="Times New Roman" w:hAnsi="Times New Roman" w:cs="Times New Roman"/>
                <w:sz w:val="24"/>
                <w:szCs w:val="24"/>
                <w:lang w:eastAsia="fr-FR"/>
              </w:rPr>
            </w:pPr>
            <w:r w:rsidRPr="002462E6">
              <w:rPr>
                <w:rFonts w:ascii="Times New Roman" w:eastAsia="Times New Roman" w:hAnsi="Times New Roman" w:cs="Times New Roman"/>
                <w:sz w:val="24"/>
                <w:szCs w:val="24"/>
                <w:lang w:eastAsia="fr-FR"/>
              </w:rPr>
              <w:t>8 septembre 1928</w:t>
            </w:r>
          </w:p>
        </w:tc>
        <w:tc>
          <w:tcPr>
            <w:tcW w:w="3427" w:type="pct"/>
            <w:vAlign w:val="center"/>
            <w:hideMark/>
          </w:tcPr>
          <w:p w:rsidR="001E12AE" w:rsidRPr="002462E6" w:rsidRDefault="001E12AE" w:rsidP="001E12AE">
            <w:pPr>
              <w:spacing w:line="276" w:lineRule="auto"/>
              <w:cnfStyle w:val="000000010000" w:firstRow="0" w:lastRow="0" w:firstColumn="0" w:lastColumn="0" w:oddVBand="0" w:evenVBand="0" w:oddHBand="0" w:evenHBand="1" w:firstRowFirstColumn="0" w:firstRowLastColumn="0" w:lastRowFirstColumn="0" w:lastRowLastColumn="0"/>
              <w:rPr>
                <w:rFonts w:ascii="Times New Roman" w:eastAsia="Times New Roman" w:hAnsi="Times New Roman" w:cs="Times New Roman"/>
                <w:sz w:val="24"/>
                <w:szCs w:val="24"/>
                <w:lang w:eastAsia="fr-FR"/>
              </w:rPr>
            </w:pPr>
            <w:r w:rsidRPr="002462E6">
              <w:rPr>
                <w:rFonts w:ascii="Times New Roman" w:eastAsia="Times New Roman" w:hAnsi="Times New Roman" w:cs="Times New Roman"/>
                <w:sz w:val="24"/>
                <w:szCs w:val="24"/>
                <w:lang w:eastAsia="fr-FR"/>
              </w:rPr>
              <w:t>Dahir relatif à la conservation et à l'exploitation des noyers</w:t>
            </w:r>
          </w:p>
        </w:tc>
      </w:tr>
      <w:tr w:rsidR="001E12AE" w:rsidRPr="002462E6" w:rsidTr="001E12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73" w:type="pct"/>
            <w:vAlign w:val="center"/>
            <w:hideMark/>
          </w:tcPr>
          <w:p w:rsidR="001E12AE" w:rsidRPr="002462E6" w:rsidRDefault="001E12AE" w:rsidP="001E12AE">
            <w:pPr>
              <w:spacing w:line="276" w:lineRule="auto"/>
              <w:rPr>
                <w:rFonts w:ascii="Times New Roman" w:eastAsia="Times New Roman" w:hAnsi="Times New Roman" w:cs="Times New Roman"/>
                <w:sz w:val="24"/>
                <w:szCs w:val="24"/>
                <w:lang w:eastAsia="fr-FR"/>
              </w:rPr>
            </w:pPr>
            <w:r w:rsidRPr="002462E6">
              <w:rPr>
                <w:rFonts w:ascii="Times New Roman" w:eastAsia="Times New Roman" w:hAnsi="Times New Roman" w:cs="Times New Roman"/>
                <w:sz w:val="24"/>
                <w:szCs w:val="24"/>
                <w:lang w:eastAsia="fr-FR"/>
              </w:rPr>
              <w:t>24 avril 1931</w:t>
            </w:r>
          </w:p>
        </w:tc>
        <w:tc>
          <w:tcPr>
            <w:tcW w:w="3427" w:type="pct"/>
            <w:vAlign w:val="center"/>
            <w:hideMark/>
          </w:tcPr>
          <w:p w:rsidR="001E12AE" w:rsidRPr="002462E6" w:rsidRDefault="001E12AE" w:rsidP="001E12AE">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2462E6">
              <w:rPr>
                <w:rFonts w:ascii="Times New Roman" w:eastAsia="Times New Roman" w:hAnsi="Times New Roman" w:cs="Times New Roman"/>
                <w:sz w:val="24"/>
                <w:szCs w:val="24"/>
                <w:lang w:eastAsia="fr-FR"/>
              </w:rPr>
              <w:t>Dahir sur l'extension aux exploitations forestières du dahir du 25/6/1927 sur les accidents de travail.</w:t>
            </w:r>
          </w:p>
        </w:tc>
      </w:tr>
      <w:tr w:rsidR="001E12AE" w:rsidRPr="002462E6" w:rsidTr="001E12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73" w:type="pct"/>
            <w:vAlign w:val="center"/>
            <w:hideMark/>
          </w:tcPr>
          <w:p w:rsidR="001E12AE" w:rsidRPr="002462E6" w:rsidRDefault="001E12AE" w:rsidP="001E12AE">
            <w:pPr>
              <w:spacing w:line="276" w:lineRule="auto"/>
              <w:rPr>
                <w:rFonts w:ascii="Times New Roman" w:eastAsia="Times New Roman" w:hAnsi="Times New Roman" w:cs="Times New Roman"/>
                <w:sz w:val="24"/>
                <w:szCs w:val="24"/>
                <w:lang w:eastAsia="fr-FR"/>
              </w:rPr>
            </w:pPr>
            <w:r w:rsidRPr="002462E6">
              <w:rPr>
                <w:rFonts w:ascii="Times New Roman" w:eastAsia="Times New Roman" w:hAnsi="Times New Roman" w:cs="Times New Roman"/>
                <w:sz w:val="24"/>
                <w:szCs w:val="24"/>
                <w:lang w:eastAsia="fr-FR"/>
              </w:rPr>
              <w:t>11 septembre 1934</w:t>
            </w:r>
          </w:p>
        </w:tc>
        <w:tc>
          <w:tcPr>
            <w:tcW w:w="3427" w:type="pct"/>
            <w:vAlign w:val="center"/>
            <w:hideMark/>
          </w:tcPr>
          <w:p w:rsidR="001E12AE" w:rsidRPr="002462E6" w:rsidRDefault="001E12AE" w:rsidP="001E12AE">
            <w:pPr>
              <w:spacing w:line="276" w:lineRule="auto"/>
              <w:cnfStyle w:val="000000010000" w:firstRow="0" w:lastRow="0" w:firstColumn="0" w:lastColumn="0" w:oddVBand="0" w:evenVBand="0" w:oddHBand="0" w:evenHBand="1" w:firstRowFirstColumn="0" w:firstRowLastColumn="0" w:lastRowFirstColumn="0" w:lastRowLastColumn="0"/>
              <w:rPr>
                <w:rFonts w:ascii="Times New Roman" w:eastAsia="Times New Roman" w:hAnsi="Times New Roman" w:cs="Times New Roman"/>
                <w:sz w:val="24"/>
                <w:szCs w:val="24"/>
                <w:lang w:eastAsia="fr-FR"/>
              </w:rPr>
            </w:pPr>
            <w:r w:rsidRPr="002462E6">
              <w:rPr>
                <w:rFonts w:ascii="Times New Roman" w:eastAsia="Times New Roman" w:hAnsi="Times New Roman" w:cs="Times New Roman"/>
                <w:sz w:val="24"/>
                <w:szCs w:val="24"/>
                <w:lang w:eastAsia="fr-FR"/>
              </w:rPr>
              <w:t>Dahir sur la création des parcs nationaux</w:t>
            </w:r>
          </w:p>
        </w:tc>
      </w:tr>
      <w:tr w:rsidR="001E12AE" w:rsidRPr="002462E6" w:rsidTr="001E12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73" w:type="pct"/>
            <w:vAlign w:val="center"/>
            <w:hideMark/>
          </w:tcPr>
          <w:p w:rsidR="001E12AE" w:rsidRPr="002462E6" w:rsidRDefault="001E12AE" w:rsidP="001E12AE">
            <w:pPr>
              <w:spacing w:line="276" w:lineRule="auto"/>
              <w:rPr>
                <w:rFonts w:ascii="Times New Roman" w:eastAsia="Times New Roman" w:hAnsi="Times New Roman" w:cs="Times New Roman"/>
                <w:sz w:val="24"/>
                <w:szCs w:val="24"/>
                <w:lang w:eastAsia="fr-FR"/>
              </w:rPr>
            </w:pPr>
            <w:r w:rsidRPr="002462E6">
              <w:rPr>
                <w:rFonts w:ascii="Times New Roman" w:eastAsia="Times New Roman" w:hAnsi="Times New Roman" w:cs="Times New Roman"/>
                <w:sz w:val="24"/>
                <w:szCs w:val="24"/>
                <w:lang w:eastAsia="fr-FR"/>
              </w:rPr>
              <w:t>4 juillet 1942</w:t>
            </w:r>
          </w:p>
        </w:tc>
        <w:tc>
          <w:tcPr>
            <w:tcW w:w="3427" w:type="pct"/>
            <w:vAlign w:val="center"/>
            <w:hideMark/>
          </w:tcPr>
          <w:p w:rsidR="001E12AE" w:rsidRPr="002462E6" w:rsidRDefault="001E12AE" w:rsidP="001E12AE">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2462E6">
              <w:rPr>
                <w:rFonts w:ascii="Times New Roman" w:eastAsia="Times New Roman" w:hAnsi="Times New Roman" w:cs="Times New Roman"/>
                <w:sz w:val="24"/>
                <w:szCs w:val="24"/>
                <w:lang w:eastAsia="fr-FR"/>
              </w:rPr>
              <w:t>Dahir instituant une taxe sur les opérations de reconnaissance ou de surveillance effectuées par les préposés des Eaux et forêts pour le compte des particuliers.</w:t>
            </w:r>
          </w:p>
        </w:tc>
      </w:tr>
      <w:tr w:rsidR="001E12AE" w:rsidRPr="002462E6" w:rsidTr="001E12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73" w:type="pct"/>
            <w:vAlign w:val="center"/>
            <w:hideMark/>
          </w:tcPr>
          <w:p w:rsidR="001E12AE" w:rsidRPr="002462E6" w:rsidRDefault="001E12AE" w:rsidP="001E12AE">
            <w:pPr>
              <w:spacing w:line="276" w:lineRule="auto"/>
              <w:rPr>
                <w:rFonts w:ascii="Times New Roman" w:eastAsia="Times New Roman" w:hAnsi="Times New Roman" w:cs="Times New Roman"/>
                <w:sz w:val="24"/>
                <w:szCs w:val="24"/>
                <w:lang w:eastAsia="fr-FR"/>
              </w:rPr>
            </w:pPr>
            <w:r w:rsidRPr="002462E6">
              <w:rPr>
                <w:rFonts w:ascii="Times New Roman" w:eastAsia="Times New Roman" w:hAnsi="Times New Roman" w:cs="Times New Roman"/>
                <w:sz w:val="24"/>
                <w:szCs w:val="24"/>
                <w:lang w:eastAsia="fr-FR"/>
              </w:rPr>
              <w:t>12 septembre 1949</w:t>
            </w:r>
          </w:p>
        </w:tc>
        <w:tc>
          <w:tcPr>
            <w:tcW w:w="3427" w:type="pct"/>
            <w:vAlign w:val="center"/>
            <w:hideMark/>
          </w:tcPr>
          <w:p w:rsidR="001E12AE" w:rsidRPr="002462E6" w:rsidRDefault="001E12AE" w:rsidP="001E12AE">
            <w:pPr>
              <w:spacing w:line="276" w:lineRule="auto"/>
              <w:cnfStyle w:val="000000010000" w:firstRow="0" w:lastRow="0" w:firstColumn="0" w:lastColumn="0" w:oddVBand="0" w:evenVBand="0" w:oddHBand="0" w:evenHBand="1" w:firstRowFirstColumn="0" w:firstRowLastColumn="0" w:lastRowFirstColumn="0" w:lastRowLastColumn="0"/>
              <w:rPr>
                <w:rFonts w:ascii="Times New Roman" w:eastAsia="Times New Roman" w:hAnsi="Times New Roman" w:cs="Times New Roman"/>
                <w:sz w:val="24"/>
                <w:szCs w:val="24"/>
                <w:lang w:eastAsia="fr-FR"/>
              </w:rPr>
            </w:pPr>
            <w:r w:rsidRPr="002462E6">
              <w:rPr>
                <w:rFonts w:ascii="Times New Roman" w:eastAsia="Times New Roman" w:hAnsi="Times New Roman" w:cs="Times New Roman"/>
                <w:sz w:val="24"/>
                <w:szCs w:val="24"/>
                <w:lang w:eastAsia="fr-FR"/>
              </w:rPr>
              <w:t>Dahir créant le Fonds National Forestier</w:t>
            </w:r>
          </w:p>
        </w:tc>
      </w:tr>
      <w:tr w:rsidR="001E12AE" w:rsidRPr="002462E6" w:rsidTr="001E12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73" w:type="pct"/>
            <w:vAlign w:val="center"/>
            <w:hideMark/>
          </w:tcPr>
          <w:p w:rsidR="001E12AE" w:rsidRPr="002462E6" w:rsidRDefault="001E12AE" w:rsidP="001E12AE">
            <w:pPr>
              <w:spacing w:line="276" w:lineRule="auto"/>
              <w:rPr>
                <w:rFonts w:ascii="Times New Roman" w:eastAsia="Times New Roman" w:hAnsi="Times New Roman" w:cs="Times New Roman"/>
                <w:sz w:val="24"/>
                <w:szCs w:val="24"/>
                <w:lang w:eastAsia="fr-FR"/>
              </w:rPr>
            </w:pPr>
            <w:r w:rsidRPr="002462E6">
              <w:rPr>
                <w:rFonts w:ascii="Times New Roman" w:eastAsia="Times New Roman" w:hAnsi="Times New Roman" w:cs="Times New Roman"/>
                <w:sz w:val="24"/>
                <w:szCs w:val="24"/>
                <w:lang w:eastAsia="fr-FR"/>
              </w:rPr>
              <w:t>10 décembre 1951</w:t>
            </w:r>
          </w:p>
        </w:tc>
        <w:tc>
          <w:tcPr>
            <w:tcW w:w="3427" w:type="pct"/>
            <w:vAlign w:val="center"/>
            <w:hideMark/>
          </w:tcPr>
          <w:p w:rsidR="001E12AE" w:rsidRPr="002462E6" w:rsidRDefault="001E12AE" w:rsidP="001E12AE">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2462E6">
              <w:rPr>
                <w:rFonts w:ascii="Times New Roman" w:eastAsia="Times New Roman" w:hAnsi="Times New Roman" w:cs="Times New Roman"/>
                <w:sz w:val="24"/>
                <w:szCs w:val="24"/>
                <w:lang w:eastAsia="fr-FR"/>
              </w:rPr>
              <w:t>Dahir relatif aux gardes particuliers.</w:t>
            </w:r>
          </w:p>
        </w:tc>
      </w:tr>
      <w:tr w:rsidR="001E12AE" w:rsidRPr="002462E6" w:rsidTr="001E12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73" w:type="pct"/>
            <w:vAlign w:val="center"/>
            <w:hideMark/>
          </w:tcPr>
          <w:p w:rsidR="001E12AE" w:rsidRPr="002462E6" w:rsidRDefault="001E12AE" w:rsidP="001E12AE">
            <w:pPr>
              <w:spacing w:line="276" w:lineRule="auto"/>
              <w:rPr>
                <w:rFonts w:ascii="Times New Roman" w:eastAsia="Times New Roman" w:hAnsi="Times New Roman" w:cs="Times New Roman"/>
                <w:sz w:val="24"/>
                <w:szCs w:val="24"/>
                <w:lang w:eastAsia="fr-FR"/>
              </w:rPr>
            </w:pPr>
            <w:r w:rsidRPr="002462E6">
              <w:rPr>
                <w:rFonts w:ascii="Times New Roman" w:eastAsia="Times New Roman" w:hAnsi="Times New Roman" w:cs="Times New Roman"/>
                <w:sz w:val="24"/>
                <w:szCs w:val="24"/>
                <w:lang w:eastAsia="fr-FR"/>
              </w:rPr>
              <w:t>30 juillet 1957</w:t>
            </w:r>
          </w:p>
        </w:tc>
        <w:tc>
          <w:tcPr>
            <w:tcW w:w="3427" w:type="pct"/>
            <w:vAlign w:val="center"/>
            <w:hideMark/>
          </w:tcPr>
          <w:p w:rsidR="001E12AE" w:rsidRPr="002462E6" w:rsidRDefault="001E12AE" w:rsidP="001E12AE">
            <w:pPr>
              <w:spacing w:line="276" w:lineRule="auto"/>
              <w:cnfStyle w:val="000000010000" w:firstRow="0" w:lastRow="0" w:firstColumn="0" w:lastColumn="0" w:oddVBand="0" w:evenVBand="0" w:oddHBand="0" w:evenHBand="1" w:firstRowFirstColumn="0" w:firstRowLastColumn="0" w:lastRowFirstColumn="0" w:lastRowLastColumn="0"/>
              <w:rPr>
                <w:rFonts w:ascii="Times New Roman" w:eastAsia="Times New Roman" w:hAnsi="Times New Roman" w:cs="Times New Roman"/>
                <w:sz w:val="24"/>
                <w:szCs w:val="24"/>
                <w:lang w:eastAsia="fr-FR"/>
              </w:rPr>
            </w:pPr>
            <w:r w:rsidRPr="002462E6">
              <w:rPr>
                <w:rFonts w:ascii="Times New Roman" w:eastAsia="Times New Roman" w:hAnsi="Times New Roman" w:cs="Times New Roman"/>
                <w:sz w:val="24"/>
                <w:szCs w:val="24"/>
                <w:lang w:eastAsia="fr-FR"/>
              </w:rPr>
              <w:t>Dahir étendant à la zone nord certaines dispositions de la législation forestière</w:t>
            </w:r>
          </w:p>
        </w:tc>
      </w:tr>
      <w:tr w:rsidR="001E12AE" w:rsidRPr="002462E6" w:rsidTr="001E12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73" w:type="pct"/>
            <w:vAlign w:val="center"/>
            <w:hideMark/>
          </w:tcPr>
          <w:p w:rsidR="001E12AE" w:rsidRPr="002462E6" w:rsidRDefault="001E12AE" w:rsidP="001E12AE">
            <w:pPr>
              <w:spacing w:line="276" w:lineRule="auto"/>
              <w:rPr>
                <w:rFonts w:ascii="Times New Roman" w:eastAsia="Times New Roman" w:hAnsi="Times New Roman" w:cs="Times New Roman"/>
                <w:sz w:val="24"/>
                <w:szCs w:val="24"/>
                <w:lang w:eastAsia="fr-FR"/>
              </w:rPr>
            </w:pPr>
            <w:r w:rsidRPr="002462E6">
              <w:rPr>
                <w:rFonts w:ascii="Times New Roman" w:eastAsia="Times New Roman" w:hAnsi="Times New Roman" w:cs="Times New Roman"/>
                <w:sz w:val="24"/>
                <w:szCs w:val="24"/>
                <w:lang w:eastAsia="fr-FR"/>
              </w:rPr>
              <w:t>24 octobre 1962</w:t>
            </w:r>
          </w:p>
        </w:tc>
        <w:tc>
          <w:tcPr>
            <w:tcW w:w="3427" w:type="pct"/>
            <w:vAlign w:val="center"/>
            <w:hideMark/>
          </w:tcPr>
          <w:p w:rsidR="001E12AE" w:rsidRPr="002462E6" w:rsidRDefault="001E12AE" w:rsidP="001E12AE">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2462E6">
              <w:rPr>
                <w:rFonts w:ascii="Times New Roman" w:eastAsia="Times New Roman" w:hAnsi="Times New Roman" w:cs="Times New Roman"/>
                <w:sz w:val="24"/>
                <w:szCs w:val="24"/>
                <w:lang w:eastAsia="fr-FR"/>
              </w:rPr>
              <w:t>Dahir relatif à la protection des nappes de palmier nain et réglementant la production et la commercialisation du crin végétal.</w:t>
            </w:r>
          </w:p>
        </w:tc>
      </w:tr>
      <w:tr w:rsidR="001E12AE" w:rsidRPr="002462E6" w:rsidTr="001E12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73" w:type="pct"/>
            <w:vAlign w:val="center"/>
            <w:hideMark/>
          </w:tcPr>
          <w:p w:rsidR="001E12AE" w:rsidRPr="002462E6" w:rsidRDefault="001E12AE" w:rsidP="001E12AE">
            <w:pPr>
              <w:spacing w:line="276" w:lineRule="auto"/>
              <w:rPr>
                <w:rFonts w:ascii="Times New Roman" w:eastAsia="Times New Roman" w:hAnsi="Times New Roman" w:cs="Times New Roman"/>
                <w:sz w:val="24"/>
                <w:szCs w:val="24"/>
                <w:lang w:eastAsia="fr-FR"/>
              </w:rPr>
            </w:pPr>
            <w:r w:rsidRPr="002462E6">
              <w:rPr>
                <w:rFonts w:ascii="Times New Roman" w:eastAsia="Times New Roman" w:hAnsi="Times New Roman" w:cs="Times New Roman"/>
                <w:sz w:val="24"/>
                <w:szCs w:val="24"/>
                <w:lang w:eastAsia="fr-FR"/>
              </w:rPr>
              <w:t>25 juillet 1969</w:t>
            </w:r>
          </w:p>
        </w:tc>
        <w:tc>
          <w:tcPr>
            <w:tcW w:w="3427" w:type="pct"/>
            <w:vAlign w:val="center"/>
            <w:hideMark/>
          </w:tcPr>
          <w:p w:rsidR="001E12AE" w:rsidRPr="002462E6" w:rsidRDefault="001E12AE" w:rsidP="001E12AE">
            <w:pPr>
              <w:spacing w:line="276" w:lineRule="auto"/>
              <w:cnfStyle w:val="000000010000" w:firstRow="0" w:lastRow="0" w:firstColumn="0" w:lastColumn="0" w:oddVBand="0" w:evenVBand="0" w:oddHBand="0" w:evenHBand="1" w:firstRowFirstColumn="0" w:firstRowLastColumn="0" w:lastRowFirstColumn="0" w:lastRowLastColumn="0"/>
              <w:rPr>
                <w:rFonts w:ascii="Times New Roman" w:eastAsia="Times New Roman" w:hAnsi="Times New Roman" w:cs="Times New Roman"/>
                <w:sz w:val="24"/>
                <w:szCs w:val="24"/>
                <w:lang w:eastAsia="fr-FR"/>
              </w:rPr>
            </w:pPr>
            <w:r w:rsidRPr="002462E6">
              <w:rPr>
                <w:rFonts w:ascii="Times New Roman" w:eastAsia="Times New Roman" w:hAnsi="Times New Roman" w:cs="Times New Roman"/>
                <w:sz w:val="24"/>
                <w:szCs w:val="24"/>
                <w:lang w:eastAsia="fr-FR"/>
              </w:rPr>
              <w:t>Dahir sur la défense et la restauration des sols</w:t>
            </w:r>
          </w:p>
        </w:tc>
      </w:tr>
      <w:tr w:rsidR="001E12AE" w:rsidRPr="002462E6" w:rsidTr="001E12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73" w:type="pct"/>
            <w:vAlign w:val="center"/>
            <w:hideMark/>
          </w:tcPr>
          <w:p w:rsidR="001E12AE" w:rsidRPr="002462E6" w:rsidRDefault="001E12AE" w:rsidP="001E12AE">
            <w:pPr>
              <w:spacing w:line="276" w:lineRule="auto"/>
              <w:rPr>
                <w:rFonts w:ascii="Times New Roman" w:eastAsia="Times New Roman" w:hAnsi="Times New Roman" w:cs="Times New Roman"/>
                <w:sz w:val="24"/>
                <w:szCs w:val="24"/>
                <w:lang w:eastAsia="fr-FR"/>
              </w:rPr>
            </w:pPr>
            <w:r w:rsidRPr="002462E6">
              <w:rPr>
                <w:rFonts w:ascii="Times New Roman" w:eastAsia="Times New Roman" w:hAnsi="Times New Roman" w:cs="Times New Roman"/>
                <w:sz w:val="24"/>
                <w:szCs w:val="24"/>
                <w:lang w:eastAsia="fr-FR"/>
              </w:rPr>
              <w:t>25 juillet 1969</w:t>
            </w:r>
          </w:p>
        </w:tc>
        <w:tc>
          <w:tcPr>
            <w:tcW w:w="3427" w:type="pct"/>
            <w:vAlign w:val="center"/>
            <w:hideMark/>
          </w:tcPr>
          <w:p w:rsidR="001E12AE" w:rsidRPr="002462E6" w:rsidRDefault="001E12AE" w:rsidP="001E12AE">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2462E6">
              <w:rPr>
                <w:rFonts w:ascii="Times New Roman" w:eastAsia="Times New Roman" w:hAnsi="Times New Roman" w:cs="Times New Roman"/>
                <w:sz w:val="24"/>
                <w:szCs w:val="24"/>
                <w:lang w:eastAsia="fr-FR"/>
              </w:rPr>
              <w:t>Dahir relatif à la création de périmètres d'amélioration pastorale.</w:t>
            </w:r>
          </w:p>
        </w:tc>
      </w:tr>
      <w:tr w:rsidR="001E12AE" w:rsidRPr="002462E6" w:rsidTr="00CD63E9">
        <w:trPr>
          <w:cnfStyle w:val="000000010000" w:firstRow="0" w:lastRow="0" w:firstColumn="0" w:lastColumn="0" w:oddVBand="0" w:evenVBand="0" w:oddHBand="0" w:evenHBand="1" w:firstRowFirstColumn="0" w:firstRowLastColumn="0" w:lastRowFirstColumn="0" w:lastRowLastColumn="0"/>
          <w:trHeight w:val="635"/>
        </w:trPr>
        <w:tc>
          <w:tcPr>
            <w:cnfStyle w:val="001000000000" w:firstRow="0" w:lastRow="0" w:firstColumn="1" w:lastColumn="0" w:oddVBand="0" w:evenVBand="0" w:oddHBand="0" w:evenHBand="0" w:firstRowFirstColumn="0" w:firstRowLastColumn="0" w:lastRowFirstColumn="0" w:lastRowLastColumn="0"/>
            <w:tcW w:w="1573" w:type="pct"/>
            <w:vAlign w:val="center"/>
            <w:hideMark/>
          </w:tcPr>
          <w:p w:rsidR="001E12AE" w:rsidRPr="002462E6" w:rsidRDefault="001E12AE" w:rsidP="001E12AE">
            <w:pPr>
              <w:spacing w:line="276" w:lineRule="auto"/>
              <w:rPr>
                <w:rFonts w:ascii="Times New Roman" w:eastAsia="Times New Roman" w:hAnsi="Times New Roman" w:cs="Times New Roman"/>
                <w:sz w:val="24"/>
                <w:szCs w:val="24"/>
                <w:lang w:eastAsia="fr-FR"/>
              </w:rPr>
            </w:pPr>
            <w:r w:rsidRPr="002462E6">
              <w:rPr>
                <w:rFonts w:ascii="Times New Roman" w:eastAsia="Times New Roman" w:hAnsi="Times New Roman" w:cs="Times New Roman"/>
                <w:sz w:val="24"/>
                <w:szCs w:val="24"/>
                <w:lang w:eastAsia="fr-FR"/>
              </w:rPr>
              <w:t>20 septembre 1976</w:t>
            </w:r>
          </w:p>
        </w:tc>
        <w:tc>
          <w:tcPr>
            <w:tcW w:w="3427" w:type="pct"/>
            <w:vAlign w:val="center"/>
            <w:hideMark/>
          </w:tcPr>
          <w:p w:rsidR="001E12AE" w:rsidRPr="002462E6" w:rsidRDefault="001E12AE" w:rsidP="001E12AE">
            <w:pPr>
              <w:spacing w:line="276" w:lineRule="auto"/>
              <w:cnfStyle w:val="000000010000" w:firstRow="0" w:lastRow="0" w:firstColumn="0" w:lastColumn="0" w:oddVBand="0" w:evenVBand="0" w:oddHBand="0" w:evenHBand="1" w:firstRowFirstColumn="0" w:firstRowLastColumn="0" w:lastRowFirstColumn="0" w:lastRowLastColumn="0"/>
              <w:rPr>
                <w:rFonts w:ascii="Times New Roman" w:eastAsia="Times New Roman" w:hAnsi="Times New Roman" w:cs="Times New Roman"/>
                <w:sz w:val="24"/>
                <w:szCs w:val="24"/>
                <w:lang w:eastAsia="fr-FR"/>
              </w:rPr>
            </w:pPr>
            <w:r w:rsidRPr="002462E6">
              <w:rPr>
                <w:rFonts w:ascii="Times New Roman" w:eastAsia="Times New Roman" w:hAnsi="Times New Roman" w:cs="Times New Roman"/>
                <w:sz w:val="24"/>
                <w:szCs w:val="24"/>
                <w:lang w:eastAsia="fr-FR"/>
              </w:rPr>
              <w:t>Dahir relatif à l'organisation de la participation des populations au développement de l'économie forestière</w:t>
            </w:r>
          </w:p>
        </w:tc>
      </w:tr>
      <w:tr w:rsidR="001E12AE" w:rsidRPr="002462E6" w:rsidTr="001E12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73" w:type="pct"/>
            <w:vAlign w:val="center"/>
            <w:hideMark/>
          </w:tcPr>
          <w:p w:rsidR="001E12AE" w:rsidRPr="002462E6" w:rsidRDefault="001E12AE" w:rsidP="001E12AE">
            <w:pPr>
              <w:spacing w:line="276" w:lineRule="auto"/>
              <w:rPr>
                <w:rFonts w:ascii="Times New Roman" w:eastAsia="Times New Roman" w:hAnsi="Times New Roman" w:cs="Times New Roman"/>
                <w:sz w:val="24"/>
                <w:szCs w:val="24"/>
                <w:lang w:eastAsia="fr-FR"/>
              </w:rPr>
            </w:pPr>
            <w:r w:rsidRPr="002462E6">
              <w:rPr>
                <w:rFonts w:ascii="Times New Roman" w:eastAsia="Times New Roman" w:hAnsi="Times New Roman" w:cs="Times New Roman"/>
                <w:sz w:val="24"/>
                <w:szCs w:val="24"/>
                <w:lang w:eastAsia="fr-FR"/>
              </w:rPr>
              <w:t>10 octobre 1917</w:t>
            </w:r>
          </w:p>
          <w:p w:rsidR="001E12AE" w:rsidRPr="002462E6" w:rsidRDefault="001E12AE" w:rsidP="001E12AE">
            <w:pPr>
              <w:spacing w:line="276" w:lineRule="auto"/>
              <w:rPr>
                <w:rFonts w:ascii="Times New Roman" w:eastAsia="Times New Roman" w:hAnsi="Times New Roman" w:cs="Times New Roman"/>
                <w:sz w:val="24"/>
                <w:szCs w:val="24"/>
                <w:lang w:eastAsia="fr-FR"/>
              </w:rPr>
            </w:pPr>
          </w:p>
        </w:tc>
        <w:tc>
          <w:tcPr>
            <w:tcW w:w="3427" w:type="pct"/>
            <w:vAlign w:val="center"/>
            <w:hideMark/>
          </w:tcPr>
          <w:p w:rsidR="001E12AE" w:rsidRPr="002462E6" w:rsidRDefault="001E12AE" w:rsidP="001E12AE">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2462E6">
              <w:rPr>
                <w:rFonts w:ascii="Times New Roman" w:eastAsia="Times New Roman" w:hAnsi="Times New Roman" w:cs="Times New Roman"/>
                <w:sz w:val="24"/>
                <w:szCs w:val="24"/>
                <w:lang w:eastAsia="fr-FR"/>
              </w:rPr>
              <w:t>Dahir sur la conservation et l'exploitation des forêts.</w:t>
            </w:r>
          </w:p>
        </w:tc>
      </w:tr>
      <w:tr w:rsidR="001E12AE" w:rsidRPr="002462E6" w:rsidTr="001E12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73" w:type="pct"/>
            <w:vAlign w:val="center"/>
            <w:hideMark/>
          </w:tcPr>
          <w:p w:rsidR="001E12AE" w:rsidRPr="002462E6" w:rsidRDefault="001E12AE" w:rsidP="001E12AE">
            <w:pPr>
              <w:spacing w:line="276" w:lineRule="auto"/>
              <w:rPr>
                <w:rFonts w:ascii="Times New Roman" w:eastAsia="Times New Roman" w:hAnsi="Times New Roman" w:cs="Times New Roman"/>
                <w:sz w:val="24"/>
                <w:szCs w:val="24"/>
                <w:lang w:eastAsia="fr-FR"/>
              </w:rPr>
            </w:pPr>
            <w:r w:rsidRPr="002462E6">
              <w:rPr>
                <w:rFonts w:ascii="Times New Roman" w:eastAsia="Times New Roman" w:hAnsi="Times New Roman" w:cs="Times New Roman"/>
                <w:sz w:val="24"/>
                <w:szCs w:val="24"/>
                <w:lang w:eastAsia="fr-FR"/>
              </w:rPr>
              <w:t>24 avril 1931</w:t>
            </w:r>
          </w:p>
        </w:tc>
        <w:tc>
          <w:tcPr>
            <w:tcW w:w="3427" w:type="pct"/>
            <w:vAlign w:val="center"/>
            <w:hideMark/>
          </w:tcPr>
          <w:p w:rsidR="001E12AE" w:rsidRPr="002462E6" w:rsidRDefault="001E12AE" w:rsidP="001E12AE">
            <w:pPr>
              <w:spacing w:line="276" w:lineRule="auto"/>
              <w:cnfStyle w:val="000000010000" w:firstRow="0" w:lastRow="0" w:firstColumn="0" w:lastColumn="0" w:oddVBand="0" w:evenVBand="0" w:oddHBand="0" w:evenHBand="1" w:firstRowFirstColumn="0" w:firstRowLastColumn="0" w:lastRowFirstColumn="0" w:lastRowLastColumn="0"/>
              <w:rPr>
                <w:rFonts w:ascii="Times New Roman" w:eastAsia="Times New Roman" w:hAnsi="Times New Roman" w:cs="Times New Roman"/>
                <w:sz w:val="24"/>
                <w:szCs w:val="24"/>
                <w:lang w:eastAsia="fr-FR"/>
              </w:rPr>
            </w:pPr>
            <w:r w:rsidRPr="002462E6">
              <w:rPr>
                <w:rFonts w:ascii="Times New Roman" w:eastAsia="Times New Roman" w:hAnsi="Times New Roman" w:cs="Times New Roman"/>
                <w:sz w:val="24"/>
                <w:szCs w:val="24"/>
                <w:lang w:eastAsia="fr-FR"/>
              </w:rPr>
              <w:t>Dahir sur l'extension aux exploitations forestières du dahir du 25/6/1927 sur les accidents de travail.</w:t>
            </w:r>
          </w:p>
        </w:tc>
      </w:tr>
      <w:tr w:rsidR="001E12AE" w:rsidRPr="002462E6" w:rsidTr="001E12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73" w:type="pct"/>
            <w:vAlign w:val="center"/>
            <w:hideMark/>
          </w:tcPr>
          <w:p w:rsidR="001E12AE" w:rsidRPr="002462E6" w:rsidRDefault="001E12AE" w:rsidP="001E12AE">
            <w:pPr>
              <w:spacing w:line="276" w:lineRule="auto"/>
              <w:rPr>
                <w:rFonts w:ascii="Times New Roman" w:eastAsia="Times New Roman" w:hAnsi="Times New Roman" w:cs="Times New Roman"/>
                <w:sz w:val="24"/>
                <w:szCs w:val="24"/>
                <w:lang w:eastAsia="fr-FR"/>
              </w:rPr>
            </w:pPr>
            <w:r w:rsidRPr="002462E6">
              <w:rPr>
                <w:rFonts w:ascii="Times New Roman" w:eastAsia="Times New Roman" w:hAnsi="Times New Roman" w:cs="Times New Roman"/>
                <w:sz w:val="24"/>
                <w:szCs w:val="24"/>
                <w:lang w:eastAsia="fr-FR"/>
              </w:rPr>
              <w:t>4 juillet 1942</w:t>
            </w:r>
          </w:p>
        </w:tc>
        <w:tc>
          <w:tcPr>
            <w:tcW w:w="3427" w:type="pct"/>
            <w:vAlign w:val="center"/>
            <w:hideMark/>
          </w:tcPr>
          <w:p w:rsidR="001E12AE" w:rsidRPr="002462E6" w:rsidRDefault="001E12AE" w:rsidP="001E12AE">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2462E6">
              <w:rPr>
                <w:rFonts w:ascii="Times New Roman" w:eastAsia="Times New Roman" w:hAnsi="Times New Roman" w:cs="Times New Roman"/>
                <w:sz w:val="24"/>
                <w:szCs w:val="24"/>
                <w:lang w:eastAsia="fr-FR"/>
              </w:rPr>
              <w:t>Dahir instituant une taxe sur les opérations de reconnaissance ou de surveillance effectuées par les préposés des Eaux et forêts pour le compte des particuliers.</w:t>
            </w:r>
          </w:p>
        </w:tc>
      </w:tr>
      <w:tr w:rsidR="001E12AE" w:rsidRPr="002462E6" w:rsidTr="001E12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73" w:type="pct"/>
            <w:vAlign w:val="center"/>
            <w:hideMark/>
          </w:tcPr>
          <w:p w:rsidR="001E12AE" w:rsidRPr="002462E6" w:rsidRDefault="001E12AE" w:rsidP="001E12AE">
            <w:pPr>
              <w:spacing w:line="276" w:lineRule="auto"/>
              <w:rPr>
                <w:rFonts w:ascii="Times New Roman" w:eastAsia="Times New Roman" w:hAnsi="Times New Roman" w:cs="Times New Roman"/>
                <w:sz w:val="24"/>
                <w:szCs w:val="24"/>
                <w:lang w:eastAsia="fr-FR"/>
              </w:rPr>
            </w:pPr>
            <w:r w:rsidRPr="002462E6">
              <w:rPr>
                <w:rFonts w:ascii="Times New Roman" w:eastAsia="Times New Roman" w:hAnsi="Times New Roman" w:cs="Times New Roman"/>
                <w:sz w:val="24"/>
                <w:szCs w:val="24"/>
                <w:lang w:eastAsia="fr-FR"/>
              </w:rPr>
              <w:t>12 septembre 1949</w:t>
            </w:r>
          </w:p>
        </w:tc>
        <w:tc>
          <w:tcPr>
            <w:tcW w:w="3427" w:type="pct"/>
            <w:vAlign w:val="center"/>
            <w:hideMark/>
          </w:tcPr>
          <w:p w:rsidR="001E12AE" w:rsidRPr="002462E6" w:rsidRDefault="001E12AE" w:rsidP="001E12AE">
            <w:pPr>
              <w:spacing w:line="276" w:lineRule="auto"/>
              <w:cnfStyle w:val="000000010000" w:firstRow="0" w:lastRow="0" w:firstColumn="0" w:lastColumn="0" w:oddVBand="0" w:evenVBand="0" w:oddHBand="0" w:evenHBand="1" w:firstRowFirstColumn="0" w:firstRowLastColumn="0" w:lastRowFirstColumn="0" w:lastRowLastColumn="0"/>
              <w:rPr>
                <w:rFonts w:ascii="Times New Roman" w:eastAsia="Times New Roman" w:hAnsi="Times New Roman" w:cs="Times New Roman"/>
                <w:sz w:val="24"/>
                <w:szCs w:val="24"/>
                <w:lang w:eastAsia="fr-FR"/>
              </w:rPr>
            </w:pPr>
            <w:r w:rsidRPr="002462E6">
              <w:rPr>
                <w:rFonts w:ascii="Times New Roman" w:eastAsia="Times New Roman" w:hAnsi="Times New Roman" w:cs="Times New Roman"/>
                <w:sz w:val="24"/>
                <w:szCs w:val="24"/>
                <w:lang w:eastAsia="fr-FR"/>
              </w:rPr>
              <w:t>Dahir créant le Fonds National Forestier</w:t>
            </w:r>
          </w:p>
        </w:tc>
      </w:tr>
      <w:tr w:rsidR="001E12AE" w:rsidRPr="002462E6" w:rsidTr="001E12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73" w:type="pct"/>
            <w:vAlign w:val="center"/>
            <w:hideMark/>
          </w:tcPr>
          <w:p w:rsidR="001E12AE" w:rsidRPr="002462E6" w:rsidRDefault="001E12AE" w:rsidP="001E12AE">
            <w:pPr>
              <w:spacing w:line="276" w:lineRule="auto"/>
              <w:rPr>
                <w:rFonts w:ascii="Times New Roman" w:eastAsia="Times New Roman" w:hAnsi="Times New Roman" w:cs="Times New Roman"/>
                <w:sz w:val="24"/>
                <w:szCs w:val="24"/>
                <w:lang w:eastAsia="fr-FR"/>
              </w:rPr>
            </w:pPr>
            <w:r w:rsidRPr="002462E6">
              <w:rPr>
                <w:rFonts w:ascii="Times New Roman" w:eastAsia="Times New Roman" w:hAnsi="Times New Roman" w:cs="Times New Roman"/>
                <w:sz w:val="24"/>
                <w:szCs w:val="24"/>
                <w:lang w:eastAsia="fr-FR"/>
              </w:rPr>
              <w:t>10 décembre 1951</w:t>
            </w:r>
          </w:p>
        </w:tc>
        <w:tc>
          <w:tcPr>
            <w:tcW w:w="3427" w:type="pct"/>
            <w:vAlign w:val="center"/>
            <w:hideMark/>
          </w:tcPr>
          <w:p w:rsidR="001E12AE" w:rsidRPr="002462E6" w:rsidRDefault="001E12AE" w:rsidP="001E12AE">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2462E6">
              <w:rPr>
                <w:rFonts w:ascii="Times New Roman" w:eastAsia="Times New Roman" w:hAnsi="Times New Roman" w:cs="Times New Roman"/>
                <w:sz w:val="24"/>
                <w:szCs w:val="24"/>
                <w:lang w:eastAsia="fr-FR"/>
              </w:rPr>
              <w:t>Dahir relatif aux gardes particuliers.</w:t>
            </w:r>
          </w:p>
        </w:tc>
      </w:tr>
      <w:tr w:rsidR="001E12AE" w:rsidRPr="002462E6" w:rsidTr="001E12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73" w:type="pct"/>
            <w:vAlign w:val="center"/>
            <w:hideMark/>
          </w:tcPr>
          <w:p w:rsidR="001E12AE" w:rsidRPr="002462E6" w:rsidRDefault="001E12AE" w:rsidP="001E12AE">
            <w:pPr>
              <w:spacing w:line="276" w:lineRule="auto"/>
              <w:rPr>
                <w:rFonts w:ascii="Times New Roman" w:eastAsia="Times New Roman" w:hAnsi="Times New Roman" w:cs="Times New Roman"/>
                <w:sz w:val="24"/>
                <w:szCs w:val="24"/>
                <w:lang w:eastAsia="fr-FR"/>
              </w:rPr>
            </w:pPr>
            <w:r w:rsidRPr="002462E6">
              <w:rPr>
                <w:rFonts w:ascii="Times New Roman" w:eastAsia="Times New Roman" w:hAnsi="Times New Roman" w:cs="Times New Roman"/>
                <w:sz w:val="24"/>
                <w:szCs w:val="24"/>
                <w:lang w:eastAsia="fr-FR"/>
              </w:rPr>
              <w:t>30 juillet 1957</w:t>
            </w:r>
          </w:p>
        </w:tc>
        <w:tc>
          <w:tcPr>
            <w:tcW w:w="3427" w:type="pct"/>
            <w:vAlign w:val="center"/>
            <w:hideMark/>
          </w:tcPr>
          <w:p w:rsidR="001E12AE" w:rsidRPr="002462E6" w:rsidRDefault="001E12AE" w:rsidP="001E12AE">
            <w:pPr>
              <w:spacing w:line="276" w:lineRule="auto"/>
              <w:cnfStyle w:val="000000010000" w:firstRow="0" w:lastRow="0" w:firstColumn="0" w:lastColumn="0" w:oddVBand="0" w:evenVBand="0" w:oddHBand="0" w:evenHBand="1" w:firstRowFirstColumn="0" w:firstRowLastColumn="0" w:lastRowFirstColumn="0" w:lastRowLastColumn="0"/>
              <w:rPr>
                <w:rFonts w:ascii="Times New Roman" w:eastAsia="Times New Roman" w:hAnsi="Times New Roman" w:cs="Times New Roman"/>
                <w:sz w:val="24"/>
                <w:szCs w:val="24"/>
                <w:lang w:eastAsia="fr-FR"/>
              </w:rPr>
            </w:pPr>
            <w:r w:rsidRPr="002462E6">
              <w:rPr>
                <w:rFonts w:ascii="Times New Roman" w:eastAsia="Times New Roman" w:hAnsi="Times New Roman" w:cs="Times New Roman"/>
                <w:sz w:val="24"/>
                <w:szCs w:val="24"/>
                <w:lang w:eastAsia="fr-FR"/>
              </w:rPr>
              <w:t>Dahir étendant à la zone nord certaines dispositions de la législation forestière</w:t>
            </w:r>
          </w:p>
        </w:tc>
      </w:tr>
      <w:tr w:rsidR="001E12AE" w:rsidRPr="002462E6" w:rsidTr="001E12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73" w:type="pct"/>
            <w:vAlign w:val="center"/>
            <w:hideMark/>
          </w:tcPr>
          <w:p w:rsidR="001E12AE" w:rsidRPr="002462E6" w:rsidRDefault="001E12AE" w:rsidP="001E12AE">
            <w:pPr>
              <w:spacing w:line="276" w:lineRule="auto"/>
              <w:rPr>
                <w:rFonts w:ascii="Times New Roman" w:eastAsia="Times New Roman" w:hAnsi="Times New Roman" w:cs="Times New Roman"/>
                <w:sz w:val="24"/>
                <w:szCs w:val="24"/>
                <w:lang w:eastAsia="fr-FR"/>
              </w:rPr>
            </w:pPr>
            <w:r w:rsidRPr="002462E6">
              <w:rPr>
                <w:rFonts w:ascii="Times New Roman" w:eastAsia="Times New Roman" w:hAnsi="Times New Roman" w:cs="Times New Roman"/>
                <w:sz w:val="24"/>
                <w:szCs w:val="24"/>
                <w:lang w:eastAsia="fr-FR"/>
              </w:rPr>
              <w:t>20 septembre 1976</w:t>
            </w:r>
          </w:p>
        </w:tc>
        <w:tc>
          <w:tcPr>
            <w:tcW w:w="3427" w:type="pct"/>
            <w:vAlign w:val="center"/>
            <w:hideMark/>
          </w:tcPr>
          <w:p w:rsidR="001E12AE" w:rsidRPr="002462E6" w:rsidRDefault="001E12AE" w:rsidP="001E12AE">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2462E6">
              <w:rPr>
                <w:rFonts w:ascii="Times New Roman" w:eastAsia="Times New Roman" w:hAnsi="Times New Roman" w:cs="Times New Roman"/>
                <w:sz w:val="24"/>
                <w:szCs w:val="24"/>
                <w:lang w:eastAsia="fr-FR"/>
              </w:rPr>
              <w:t>Dahir relatif à l'organisation de la participation des populations au développement de l'économie forestière</w:t>
            </w:r>
          </w:p>
        </w:tc>
      </w:tr>
    </w:tbl>
    <w:p w:rsidR="00CD63E9" w:rsidRPr="002462E6" w:rsidRDefault="00CD63E9" w:rsidP="00CD63E9">
      <w:pPr>
        <w:widowControl w:val="0"/>
        <w:autoSpaceDE w:val="0"/>
        <w:autoSpaceDN w:val="0"/>
        <w:spacing w:after="0" w:line="240" w:lineRule="auto"/>
        <w:jc w:val="center"/>
        <w:rPr>
          <w:rFonts w:ascii="Tahoma" w:eastAsia="Times New Roman" w:hAnsi="Tahoma" w:cs="Tahoma"/>
          <w:b/>
          <w:iCs/>
          <w:sz w:val="20"/>
          <w:szCs w:val="20"/>
        </w:rPr>
      </w:pPr>
    </w:p>
    <w:p w:rsidR="00C17286" w:rsidRPr="002462E6" w:rsidRDefault="00C17286" w:rsidP="00CD63E9">
      <w:pPr>
        <w:widowControl w:val="0"/>
        <w:autoSpaceDE w:val="0"/>
        <w:autoSpaceDN w:val="0"/>
        <w:spacing w:after="0" w:line="240" w:lineRule="auto"/>
        <w:jc w:val="center"/>
        <w:rPr>
          <w:rFonts w:ascii="Tahoma" w:eastAsia="Times New Roman" w:hAnsi="Tahoma" w:cs="Tahoma"/>
          <w:b/>
          <w:iCs/>
          <w:sz w:val="20"/>
          <w:szCs w:val="20"/>
        </w:rPr>
      </w:pPr>
    </w:p>
    <w:p w:rsidR="00C17286" w:rsidRPr="002462E6" w:rsidRDefault="003B5EFF" w:rsidP="00CD63E9">
      <w:pPr>
        <w:widowControl w:val="0"/>
        <w:autoSpaceDE w:val="0"/>
        <w:autoSpaceDN w:val="0"/>
        <w:spacing w:after="0" w:line="240" w:lineRule="auto"/>
        <w:jc w:val="center"/>
        <w:rPr>
          <w:rFonts w:ascii="Tahoma" w:eastAsia="Times New Roman" w:hAnsi="Tahoma" w:cs="Tahoma"/>
          <w:iCs/>
          <w:sz w:val="20"/>
          <w:szCs w:val="20"/>
        </w:rPr>
      </w:pPr>
      <w:r w:rsidRPr="002462E6">
        <w:rPr>
          <w:rFonts w:ascii="Tahoma" w:eastAsia="Times New Roman" w:hAnsi="Tahoma" w:cs="Tahoma"/>
          <w:b/>
          <w:iCs/>
          <w:sz w:val="20"/>
          <w:szCs w:val="20"/>
        </w:rPr>
        <w:t>Source</w:t>
      </w:r>
      <w:r w:rsidRPr="002462E6">
        <w:rPr>
          <w:rFonts w:ascii="Tahoma" w:eastAsia="Times New Roman" w:hAnsi="Tahoma" w:cs="Tahoma"/>
          <w:b/>
          <w:iCs/>
          <w:spacing w:val="-2"/>
          <w:sz w:val="20"/>
          <w:szCs w:val="20"/>
        </w:rPr>
        <w:t xml:space="preserve"> </w:t>
      </w:r>
      <w:r w:rsidRPr="002462E6">
        <w:rPr>
          <w:rFonts w:ascii="Tahoma" w:eastAsia="Times New Roman" w:hAnsi="Tahoma" w:cs="Tahoma"/>
          <w:b/>
          <w:iCs/>
          <w:sz w:val="20"/>
          <w:szCs w:val="20"/>
        </w:rPr>
        <w:t>:</w:t>
      </w:r>
      <w:r w:rsidRPr="002462E6">
        <w:rPr>
          <w:rFonts w:ascii="Tahoma" w:eastAsia="Times New Roman" w:hAnsi="Tahoma" w:cs="Tahoma"/>
          <w:b/>
          <w:iCs/>
          <w:spacing w:val="-1"/>
          <w:sz w:val="20"/>
          <w:szCs w:val="20"/>
        </w:rPr>
        <w:t xml:space="preserve"> </w:t>
      </w:r>
      <w:r w:rsidRPr="002462E6">
        <w:rPr>
          <w:rFonts w:ascii="Tahoma" w:eastAsia="Times New Roman" w:hAnsi="Tahoma" w:cs="Tahoma"/>
          <w:iCs/>
          <w:sz w:val="20"/>
          <w:szCs w:val="20"/>
        </w:rPr>
        <w:t>Le</w:t>
      </w:r>
      <w:r w:rsidRPr="002462E6">
        <w:rPr>
          <w:rFonts w:ascii="Tahoma" w:eastAsia="Times New Roman" w:hAnsi="Tahoma" w:cs="Tahoma"/>
          <w:iCs/>
          <w:spacing w:val="-1"/>
          <w:sz w:val="20"/>
          <w:szCs w:val="20"/>
        </w:rPr>
        <w:t xml:space="preserve"> </w:t>
      </w:r>
      <w:r w:rsidRPr="002462E6">
        <w:rPr>
          <w:rFonts w:ascii="Tahoma" w:eastAsia="Times New Roman" w:hAnsi="Tahoma" w:cs="Tahoma"/>
          <w:iCs/>
          <w:sz w:val="20"/>
          <w:szCs w:val="20"/>
        </w:rPr>
        <w:t>grand livre</w:t>
      </w:r>
      <w:r w:rsidRPr="002462E6">
        <w:rPr>
          <w:rFonts w:ascii="Tahoma" w:eastAsia="Times New Roman" w:hAnsi="Tahoma" w:cs="Tahoma"/>
          <w:iCs/>
          <w:spacing w:val="-2"/>
          <w:sz w:val="20"/>
          <w:szCs w:val="20"/>
        </w:rPr>
        <w:t xml:space="preserve"> </w:t>
      </w:r>
      <w:r w:rsidRPr="002462E6">
        <w:rPr>
          <w:rFonts w:ascii="Tahoma" w:eastAsia="Times New Roman" w:hAnsi="Tahoma" w:cs="Tahoma"/>
          <w:iCs/>
          <w:sz w:val="20"/>
          <w:szCs w:val="20"/>
        </w:rPr>
        <w:t>de la forêt</w:t>
      </w:r>
      <w:r w:rsidRPr="002462E6">
        <w:rPr>
          <w:rFonts w:ascii="Tahoma" w:eastAsia="Times New Roman" w:hAnsi="Tahoma" w:cs="Tahoma"/>
          <w:iCs/>
          <w:spacing w:val="-1"/>
          <w:sz w:val="20"/>
          <w:szCs w:val="20"/>
        </w:rPr>
        <w:t xml:space="preserve"> </w:t>
      </w:r>
      <w:r w:rsidRPr="002462E6">
        <w:rPr>
          <w:rFonts w:ascii="Tahoma" w:eastAsia="Times New Roman" w:hAnsi="Tahoma" w:cs="Tahoma"/>
          <w:iCs/>
          <w:sz w:val="20"/>
          <w:szCs w:val="20"/>
        </w:rPr>
        <w:t>marocaine, op.</w:t>
      </w:r>
      <w:r w:rsidRPr="002462E6">
        <w:rPr>
          <w:rFonts w:ascii="Tahoma" w:eastAsia="Times New Roman" w:hAnsi="Tahoma" w:cs="Tahoma"/>
          <w:iCs/>
          <w:spacing w:val="-1"/>
          <w:sz w:val="20"/>
          <w:szCs w:val="20"/>
        </w:rPr>
        <w:t xml:space="preserve"> </w:t>
      </w:r>
      <w:r w:rsidRPr="002462E6">
        <w:rPr>
          <w:rFonts w:ascii="Tahoma" w:eastAsia="Times New Roman" w:hAnsi="Tahoma" w:cs="Tahoma"/>
          <w:iCs/>
          <w:sz w:val="20"/>
          <w:szCs w:val="20"/>
        </w:rPr>
        <w:t>cit</w:t>
      </w:r>
    </w:p>
    <w:p w:rsidR="00710FB4" w:rsidRPr="002462E6" w:rsidRDefault="00C17286" w:rsidP="00C17286">
      <w:pPr>
        <w:rPr>
          <w:rFonts w:ascii="Tahoma" w:eastAsia="Times New Roman" w:hAnsi="Tahoma" w:cs="Tahoma"/>
          <w:iCs/>
          <w:sz w:val="20"/>
          <w:szCs w:val="20"/>
        </w:rPr>
      </w:pPr>
      <w:r w:rsidRPr="002462E6">
        <w:rPr>
          <w:rFonts w:ascii="Tahoma" w:eastAsia="Times New Roman" w:hAnsi="Tahoma" w:cs="Tahoma"/>
          <w:iCs/>
          <w:sz w:val="20"/>
          <w:szCs w:val="20"/>
        </w:rPr>
        <w:br w:type="page"/>
      </w:r>
    </w:p>
    <w:p w:rsidR="00726EDC" w:rsidRPr="002462E6" w:rsidRDefault="00726EDC" w:rsidP="00726EDC">
      <w:pPr>
        <w:widowControl w:val="0"/>
        <w:autoSpaceDE w:val="0"/>
        <w:autoSpaceDN w:val="0"/>
        <w:spacing w:after="0" w:line="360" w:lineRule="auto"/>
        <w:ind w:right="4"/>
        <w:jc w:val="both"/>
        <w:rPr>
          <w:rFonts w:ascii="Tahoma" w:eastAsia="Times New Roman" w:hAnsi="Tahoma" w:cs="Tahoma"/>
          <w:spacing w:val="54"/>
          <w:sz w:val="24"/>
          <w:szCs w:val="24"/>
        </w:rPr>
      </w:pPr>
      <w:r w:rsidRPr="002462E6">
        <w:rPr>
          <w:rFonts w:ascii="Tahoma" w:eastAsia="Times New Roman" w:hAnsi="Tahoma" w:cs="Tahoma"/>
          <w:sz w:val="24"/>
          <w:szCs w:val="24"/>
        </w:rPr>
        <w:t>Avant l’établissement du protectorat français au Maroc, la forêt était considérée comme un bien</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collectif dont la nature juridique n'est pas expressément précisée dans le Coran. Selon la Chariâa,</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les forêts étaient classées parmi les terres "mortes". A cet égard, elles pourraient devenir propriété</w:t>
      </w:r>
      <w:r w:rsidRPr="002462E6">
        <w:rPr>
          <w:rFonts w:ascii="Tahoma" w:eastAsia="Times New Roman" w:hAnsi="Tahoma" w:cs="Tahoma"/>
          <w:spacing w:val="-57"/>
          <w:sz w:val="24"/>
          <w:szCs w:val="24"/>
        </w:rPr>
        <w:t xml:space="preserve"> </w:t>
      </w:r>
      <w:r w:rsidRPr="002462E6">
        <w:rPr>
          <w:rFonts w:ascii="Tahoma" w:eastAsia="Times New Roman" w:hAnsi="Tahoma" w:cs="Tahoma"/>
          <w:sz w:val="24"/>
          <w:szCs w:val="24"/>
        </w:rPr>
        <w:t>de toute personne qui les vivifierait. Or, la Sunna (ensemble des règles relatives à la vie du</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Prophète) en tant que deuxième source du droit musulman, après, le coran explicite que la terre</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morte correspond à toute terre déserte et inculte, ainsi que tout bien vacant et sans maitre. Elle</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admet que l’appropriation d’une terre morte s’acquiert par sa vivification, sauf dans le cas d’une</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forêt dont les membres de la collectivité (tribu) usent pour la satisfaction de leurs besoins et ceux</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fourragers, de leurs troupeaux</w:t>
      </w:r>
      <w:r w:rsidRPr="002462E6">
        <w:rPr>
          <w:rFonts w:ascii="Tahoma" w:eastAsia="Times New Roman" w:hAnsi="Tahoma" w:cs="Tahoma"/>
          <w:sz w:val="24"/>
          <w:szCs w:val="24"/>
          <w:vertAlign w:val="superscript"/>
        </w:rPr>
        <w:footnoteReference w:id="278"/>
      </w:r>
      <w:r w:rsidRPr="002462E6">
        <w:rPr>
          <w:rFonts w:ascii="Tahoma" w:eastAsia="Times New Roman" w:hAnsi="Tahoma" w:cs="Tahoma"/>
          <w:sz w:val="24"/>
          <w:szCs w:val="24"/>
        </w:rPr>
        <w:t>. Dans cet ordre d’idées,</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il est important de signaler que les</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collectivités (tribus) vivant à l'intérieur ou à proximité de la forêt usaient de celle-ci comme si elle</w:t>
      </w:r>
      <w:r w:rsidRPr="002462E6">
        <w:rPr>
          <w:rFonts w:ascii="Tahoma" w:eastAsia="Times New Roman" w:hAnsi="Tahoma" w:cs="Tahoma"/>
          <w:spacing w:val="-58"/>
          <w:sz w:val="24"/>
          <w:szCs w:val="24"/>
        </w:rPr>
        <w:t xml:space="preserve"> </w:t>
      </w:r>
      <w:r w:rsidRPr="002462E6">
        <w:rPr>
          <w:rFonts w:ascii="Tahoma" w:eastAsia="Times New Roman" w:hAnsi="Tahoma" w:cs="Tahoma"/>
          <w:sz w:val="24"/>
          <w:szCs w:val="24"/>
        </w:rPr>
        <w:t>relevait de leur propriété, ils y envoyaient paître leurs troupeaux, en prélevaient librement bois et</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autres</w:t>
      </w:r>
      <w:r w:rsidRPr="002462E6">
        <w:rPr>
          <w:rFonts w:ascii="Tahoma" w:eastAsia="Times New Roman" w:hAnsi="Tahoma" w:cs="Tahoma"/>
          <w:spacing w:val="52"/>
          <w:sz w:val="24"/>
          <w:szCs w:val="24"/>
        </w:rPr>
        <w:t xml:space="preserve"> </w:t>
      </w:r>
      <w:r w:rsidRPr="002462E6">
        <w:rPr>
          <w:rFonts w:ascii="Tahoma" w:eastAsia="Times New Roman" w:hAnsi="Tahoma" w:cs="Tahoma"/>
          <w:sz w:val="24"/>
          <w:szCs w:val="24"/>
        </w:rPr>
        <w:t>produits</w:t>
      </w:r>
      <w:r w:rsidRPr="002462E6">
        <w:rPr>
          <w:rFonts w:ascii="Tahoma" w:eastAsia="Times New Roman" w:hAnsi="Tahoma" w:cs="Tahoma"/>
          <w:spacing w:val="54"/>
          <w:sz w:val="24"/>
          <w:szCs w:val="24"/>
        </w:rPr>
        <w:t xml:space="preserve"> </w:t>
      </w:r>
      <w:r w:rsidRPr="002462E6">
        <w:rPr>
          <w:rFonts w:ascii="Tahoma" w:eastAsia="Times New Roman" w:hAnsi="Tahoma" w:cs="Tahoma"/>
          <w:sz w:val="24"/>
          <w:szCs w:val="24"/>
        </w:rPr>
        <w:t>non-ligneux</w:t>
      </w:r>
      <w:r w:rsidRPr="002462E6">
        <w:rPr>
          <w:rFonts w:ascii="Tahoma" w:eastAsia="Times New Roman" w:hAnsi="Tahoma" w:cs="Tahoma"/>
          <w:spacing w:val="54"/>
          <w:sz w:val="24"/>
          <w:szCs w:val="24"/>
        </w:rPr>
        <w:t xml:space="preserve"> </w:t>
      </w:r>
      <w:r w:rsidRPr="002462E6">
        <w:rPr>
          <w:rFonts w:ascii="Tahoma" w:eastAsia="Times New Roman" w:hAnsi="Tahoma" w:cs="Tahoma"/>
          <w:sz w:val="24"/>
          <w:szCs w:val="24"/>
        </w:rPr>
        <w:t>pour</w:t>
      </w:r>
      <w:r w:rsidRPr="002462E6">
        <w:rPr>
          <w:rFonts w:ascii="Tahoma" w:eastAsia="Times New Roman" w:hAnsi="Tahoma" w:cs="Tahoma"/>
          <w:spacing w:val="54"/>
          <w:sz w:val="24"/>
          <w:szCs w:val="24"/>
        </w:rPr>
        <w:t xml:space="preserve"> </w:t>
      </w:r>
      <w:r w:rsidRPr="002462E6">
        <w:rPr>
          <w:rFonts w:ascii="Tahoma" w:eastAsia="Times New Roman" w:hAnsi="Tahoma" w:cs="Tahoma"/>
          <w:sz w:val="24"/>
          <w:szCs w:val="24"/>
        </w:rPr>
        <w:t>faire</w:t>
      </w:r>
      <w:r w:rsidRPr="002462E6">
        <w:rPr>
          <w:rFonts w:ascii="Tahoma" w:eastAsia="Times New Roman" w:hAnsi="Tahoma" w:cs="Tahoma"/>
          <w:spacing w:val="54"/>
          <w:sz w:val="24"/>
          <w:szCs w:val="24"/>
        </w:rPr>
        <w:t xml:space="preserve"> </w:t>
      </w:r>
      <w:r w:rsidRPr="002462E6">
        <w:rPr>
          <w:rFonts w:ascii="Tahoma" w:eastAsia="Times New Roman" w:hAnsi="Tahoma" w:cs="Tahoma"/>
          <w:sz w:val="24"/>
          <w:szCs w:val="24"/>
        </w:rPr>
        <w:t>face</w:t>
      </w:r>
      <w:r w:rsidRPr="002462E6">
        <w:rPr>
          <w:rFonts w:ascii="Tahoma" w:eastAsia="Times New Roman" w:hAnsi="Tahoma" w:cs="Tahoma"/>
          <w:spacing w:val="54"/>
          <w:sz w:val="24"/>
          <w:szCs w:val="24"/>
        </w:rPr>
        <w:t xml:space="preserve"> </w:t>
      </w:r>
      <w:r w:rsidRPr="002462E6">
        <w:rPr>
          <w:rFonts w:ascii="Tahoma" w:eastAsia="Times New Roman" w:hAnsi="Tahoma" w:cs="Tahoma"/>
          <w:sz w:val="24"/>
          <w:szCs w:val="24"/>
        </w:rPr>
        <w:t>à</w:t>
      </w:r>
      <w:r w:rsidRPr="002462E6">
        <w:rPr>
          <w:rFonts w:ascii="Tahoma" w:eastAsia="Times New Roman" w:hAnsi="Tahoma" w:cs="Tahoma"/>
          <w:spacing w:val="53"/>
          <w:sz w:val="24"/>
          <w:szCs w:val="24"/>
        </w:rPr>
        <w:t xml:space="preserve"> </w:t>
      </w:r>
      <w:r w:rsidRPr="002462E6">
        <w:rPr>
          <w:rFonts w:ascii="Tahoma" w:eastAsia="Times New Roman" w:hAnsi="Tahoma" w:cs="Tahoma"/>
          <w:sz w:val="24"/>
          <w:szCs w:val="24"/>
        </w:rPr>
        <w:t>leurs</w:t>
      </w:r>
      <w:r w:rsidRPr="002462E6">
        <w:rPr>
          <w:rFonts w:ascii="Tahoma" w:eastAsia="Times New Roman" w:hAnsi="Tahoma" w:cs="Tahoma"/>
          <w:spacing w:val="55"/>
          <w:sz w:val="24"/>
          <w:szCs w:val="24"/>
        </w:rPr>
        <w:t xml:space="preserve"> </w:t>
      </w:r>
      <w:r w:rsidRPr="002462E6">
        <w:rPr>
          <w:rFonts w:ascii="Tahoma" w:eastAsia="Times New Roman" w:hAnsi="Tahoma" w:cs="Tahoma"/>
          <w:sz w:val="24"/>
          <w:szCs w:val="24"/>
        </w:rPr>
        <w:t>besoins</w:t>
      </w:r>
      <w:r w:rsidRPr="002462E6">
        <w:rPr>
          <w:rFonts w:ascii="Tahoma" w:eastAsia="Times New Roman" w:hAnsi="Tahoma" w:cs="Tahoma"/>
          <w:spacing w:val="54"/>
          <w:sz w:val="24"/>
          <w:szCs w:val="24"/>
        </w:rPr>
        <w:t xml:space="preserve"> </w:t>
      </w:r>
      <w:r w:rsidRPr="002462E6">
        <w:rPr>
          <w:rFonts w:ascii="Tahoma" w:eastAsia="Times New Roman" w:hAnsi="Tahoma" w:cs="Tahoma"/>
          <w:sz w:val="24"/>
          <w:szCs w:val="24"/>
        </w:rPr>
        <w:t>quotidiens</w:t>
      </w:r>
      <w:r w:rsidRPr="002462E6">
        <w:rPr>
          <w:rFonts w:ascii="Tahoma" w:eastAsia="Times New Roman" w:hAnsi="Tahoma" w:cs="Tahoma"/>
          <w:sz w:val="24"/>
          <w:szCs w:val="24"/>
          <w:vertAlign w:val="superscript"/>
        </w:rPr>
        <w:footnoteReference w:id="279"/>
      </w:r>
      <w:r w:rsidRPr="002462E6">
        <w:rPr>
          <w:rFonts w:ascii="Tahoma" w:eastAsia="Times New Roman" w:hAnsi="Tahoma" w:cs="Tahoma"/>
          <w:sz w:val="24"/>
          <w:szCs w:val="24"/>
        </w:rPr>
        <w:t>.</w:t>
      </w:r>
      <w:r w:rsidRPr="002462E6">
        <w:rPr>
          <w:rFonts w:ascii="Tahoma" w:eastAsia="Times New Roman" w:hAnsi="Tahoma" w:cs="Tahoma"/>
          <w:spacing w:val="54"/>
          <w:sz w:val="24"/>
          <w:szCs w:val="24"/>
        </w:rPr>
        <w:t xml:space="preserve"> </w:t>
      </w:r>
    </w:p>
    <w:p w:rsidR="00726EDC" w:rsidRPr="002462E6" w:rsidRDefault="00726EDC" w:rsidP="00726EDC">
      <w:pPr>
        <w:widowControl w:val="0"/>
        <w:autoSpaceDE w:val="0"/>
        <w:autoSpaceDN w:val="0"/>
        <w:spacing w:after="0" w:line="360" w:lineRule="auto"/>
        <w:ind w:right="4"/>
        <w:jc w:val="both"/>
        <w:rPr>
          <w:rFonts w:ascii="Tahoma" w:eastAsia="Times New Roman" w:hAnsi="Tahoma" w:cs="Tahoma"/>
          <w:sz w:val="24"/>
          <w:szCs w:val="24"/>
          <w:vertAlign w:val="superscript"/>
        </w:rPr>
      </w:pPr>
      <w:r w:rsidRPr="002462E6">
        <w:rPr>
          <w:rFonts w:ascii="Tahoma" w:eastAsia="Times New Roman" w:hAnsi="Tahoma" w:cs="Tahoma"/>
          <w:sz w:val="24"/>
          <w:szCs w:val="24"/>
        </w:rPr>
        <w:t>Ce</w:t>
      </w:r>
      <w:r w:rsidRPr="002462E6">
        <w:rPr>
          <w:rFonts w:ascii="Tahoma" w:eastAsia="Times New Roman" w:hAnsi="Tahoma" w:cs="Tahoma"/>
          <w:spacing w:val="53"/>
          <w:sz w:val="24"/>
          <w:szCs w:val="24"/>
        </w:rPr>
        <w:t xml:space="preserve"> </w:t>
      </w:r>
      <w:r w:rsidRPr="002462E6">
        <w:rPr>
          <w:rFonts w:ascii="Tahoma" w:eastAsia="Times New Roman" w:hAnsi="Tahoma" w:cs="Tahoma"/>
          <w:sz w:val="24"/>
          <w:szCs w:val="24"/>
        </w:rPr>
        <w:t>n’est</w:t>
      </w:r>
      <w:r w:rsidRPr="002462E6">
        <w:rPr>
          <w:rFonts w:ascii="Tahoma" w:eastAsia="Times New Roman" w:hAnsi="Tahoma" w:cs="Tahoma"/>
          <w:spacing w:val="52"/>
          <w:sz w:val="24"/>
          <w:szCs w:val="24"/>
        </w:rPr>
        <w:t xml:space="preserve"> </w:t>
      </w:r>
      <w:r w:rsidRPr="002462E6">
        <w:rPr>
          <w:rFonts w:ascii="Tahoma" w:eastAsia="Times New Roman" w:hAnsi="Tahoma" w:cs="Tahoma"/>
          <w:sz w:val="24"/>
          <w:szCs w:val="24"/>
        </w:rPr>
        <w:t>qu’au</w:t>
      </w:r>
      <w:r w:rsidRPr="002462E6">
        <w:rPr>
          <w:rFonts w:ascii="Tahoma" w:eastAsia="Times New Roman" w:hAnsi="Tahoma" w:cs="Tahoma"/>
          <w:spacing w:val="55"/>
          <w:sz w:val="24"/>
          <w:szCs w:val="24"/>
        </w:rPr>
        <w:t xml:space="preserve"> </w:t>
      </w:r>
      <w:r w:rsidRPr="002462E6">
        <w:rPr>
          <w:rFonts w:ascii="Tahoma" w:eastAsia="Times New Roman" w:hAnsi="Tahoma" w:cs="Tahoma"/>
          <w:sz w:val="24"/>
          <w:szCs w:val="24"/>
        </w:rPr>
        <w:t>1</w:t>
      </w:r>
      <w:r w:rsidRPr="002462E6">
        <w:rPr>
          <w:rFonts w:ascii="Tahoma" w:eastAsia="Times New Roman" w:hAnsi="Tahoma" w:cs="Tahoma"/>
          <w:sz w:val="24"/>
          <w:szCs w:val="24"/>
          <w:vertAlign w:val="superscript"/>
        </w:rPr>
        <w:t>er</w:t>
      </w:r>
      <w:r w:rsidRPr="002462E6">
        <w:rPr>
          <w:rFonts w:ascii="Tahoma" w:eastAsia="Times New Roman" w:hAnsi="Tahoma" w:cs="Tahoma"/>
          <w:sz w:val="24"/>
          <w:szCs w:val="24"/>
        </w:rPr>
        <w:t>novembre</w:t>
      </w:r>
      <w:r w:rsidRPr="002462E6">
        <w:rPr>
          <w:rFonts w:ascii="Tahoma" w:eastAsia="Times New Roman" w:hAnsi="Tahoma" w:cs="Tahoma"/>
          <w:spacing w:val="-8"/>
          <w:sz w:val="24"/>
          <w:szCs w:val="24"/>
        </w:rPr>
        <w:t xml:space="preserve"> </w:t>
      </w:r>
      <w:r w:rsidRPr="002462E6">
        <w:rPr>
          <w:rFonts w:ascii="Tahoma" w:eastAsia="Times New Roman" w:hAnsi="Tahoma" w:cs="Tahoma"/>
          <w:sz w:val="24"/>
          <w:szCs w:val="24"/>
        </w:rPr>
        <w:t>1912,</w:t>
      </w:r>
      <w:r w:rsidRPr="002462E6">
        <w:rPr>
          <w:rFonts w:ascii="Tahoma" w:eastAsia="Times New Roman" w:hAnsi="Tahoma" w:cs="Tahoma"/>
          <w:spacing w:val="-7"/>
          <w:sz w:val="24"/>
          <w:szCs w:val="24"/>
        </w:rPr>
        <w:t xml:space="preserve"> </w:t>
      </w:r>
      <w:r w:rsidRPr="002462E6">
        <w:rPr>
          <w:rFonts w:ascii="Tahoma" w:eastAsia="Times New Roman" w:hAnsi="Tahoma" w:cs="Tahoma"/>
          <w:sz w:val="24"/>
          <w:szCs w:val="24"/>
        </w:rPr>
        <w:t>date</w:t>
      </w:r>
      <w:r w:rsidRPr="002462E6">
        <w:rPr>
          <w:rFonts w:ascii="Tahoma" w:eastAsia="Times New Roman" w:hAnsi="Tahoma" w:cs="Tahoma"/>
          <w:spacing w:val="-7"/>
          <w:sz w:val="24"/>
          <w:szCs w:val="24"/>
        </w:rPr>
        <w:t xml:space="preserve"> </w:t>
      </w:r>
      <w:r w:rsidRPr="002462E6">
        <w:rPr>
          <w:rFonts w:ascii="Tahoma" w:eastAsia="Times New Roman" w:hAnsi="Tahoma" w:cs="Tahoma"/>
          <w:sz w:val="24"/>
          <w:szCs w:val="24"/>
        </w:rPr>
        <w:t>de</w:t>
      </w:r>
      <w:r w:rsidRPr="002462E6">
        <w:rPr>
          <w:rFonts w:ascii="Tahoma" w:eastAsia="Times New Roman" w:hAnsi="Tahoma" w:cs="Tahoma"/>
          <w:spacing w:val="-7"/>
          <w:sz w:val="24"/>
          <w:szCs w:val="24"/>
        </w:rPr>
        <w:t xml:space="preserve"> </w:t>
      </w:r>
      <w:r w:rsidRPr="002462E6">
        <w:rPr>
          <w:rFonts w:ascii="Tahoma" w:eastAsia="Times New Roman" w:hAnsi="Tahoma" w:cs="Tahoma"/>
          <w:sz w:val="24"/>
          <w:szCs w:val="24"/>
        </w:rPr>
        <w:t>livraison</w:t>
      </w:r>
      <w:r w:rsidRPr="002462E6">
        <w:rPr>
          <w:rFonts w:ascii="Tahoma" w:eastAsia="Times New Roman" w:hAnsi="Tahoma" w:cs="Tahoma"/>
          <w:spacing w:val="-8"/>
          <w:sz w:val="24"/>
          <w:szCs w:val="24"/>
        </w:rPr>
        <w:t xml:space="preserve"> </w:t>
      </w:r>
      <w:r w:rsidRPr="002462E6">
        <w:rPr>
          <w:rFonts w:ascii="Tahoma" w:eastAsia="Times New Roman" w:hAnsi="Tahoma" w:cs="Tahoma"/>
          <w:sz w:val="24"/>
          <w:szCs w:val="24"/>
        </w:rPr>
        <w:t>du</w:t>
      </w:r>
      <w:r w:rsidRPr="002462E6">
        <w:rPr>
          <w:rFonts w:ascii="Tahoma" w:eastAsia="Times New Roman" w:hAnsi="Tahoma" w:cs="Tahoma"/>
          <w:spacing w:val="-9"/>
          <w:sz w:val="24"/>
          <w:szCs w:val="24"/>
        </w:rPr>
        <w:t xml:space="preserve"> </w:t>
      </w:r>
      <w:r w:rsidRPr="002462E6">
        <w:rPr>
          <w:rFonts w:ascii="Tahoma" w:eastAsia="Times New Roman" w:hAnsi="Tahoma" w:cs="Tahoma"/>
          <w:sz w:val="24"/>
          <w:szCs w:val="24"/>
        </w:rPr>
        <w:t>bulletin</w:t>
      </w:r>
      <w:r w:rsidRPr="002462E6">
        <w:rPr>
          <w:rFonts w:ascii="Tahoma" w:eastAsia="Times New Roman" w:hAnsi="Tahoma" w:cs="Tahoma"/>
          <w:spacing w:val="-7"/>
          <w:sz w:val="24"/>
          <w:szCs w:val="24"/>
        </w:rPr>
        <w:t xml:space="preserve"> </w:t>
      </w:r>
      <w:r w:rsidRPr="002462E6">
        <w:rPr>
          <w:rFonts w:ascii="Tahoma" w:eastAsia="Times New Roman" w:hAnsi="Tahoma" w:cs="Tahoma"/>
          <w:sz w:val="24"/>
          <w:szCs w:val="24"/>
        </w:rPr>
        <w:t>Officiel</w:t>
      </w:r>
      <w:r w:rsidRPr="002462E6">
        <w:rPr>
          <w:rFonts w:ascii="Tahoma" w:eastAsia="Times New Roman" w:hAnsi="Tahoma" w:cs="Tahoma"/>
          <w:sz w:val="24"/>
          <w:szCs w:val="24"/>
          <w:vertAlign w:val="superscript"/>
        </w:rPr>
        <w:footnoteReference w:id="280"/>
      </w:r>
      <w:r w:rsidRPr="002462E6">
        <w:rPr>
          <w:rFonts w:ascii="Tahoma" w:eastAsia="Times New Roman" w:hAnsi="Tahoma" w:cs="Tahoma"/>
          <w:sz w:val="24"/>
          <w:szCs w:val="24"/>
        </w:rPr>
        <w:t>,</w:t>
      </w:r>
      <w:r w:rsidRPr="002462E6">
        <w:rPr>
          <w:rFonts w:ascii="Tahoma" w:eastAsia="Times New Roman" w:hAnsi="Tahoma" w:cs="Tahoma"/>
          <w:spacing w:val="-7"/>
          <w:sz w:val="24"/>
          <w:szCs w:val="24"/>
        </w:rPr>
        <w:t xml:space="preserve"> </w:t>
      </w:r>
      <w:r w:rsidRPr="002462E6">
        <w:rPr>
          <w:rFonts w:ascii="Tahoma" w:eastAsia="Times New Roman" w:hAnsi="Tahoma" w:cs="Tahoma"/>
          <w:sz w:val="24"/>
          <w:szCs w:val="24"/>
        </w:rPr>
        <w:t>qu’une</w:t>
      </w:r>
      <w:r w:rsidRPr="002462E6">
        <w:rPr>
          <w:rFonts w:ascii="Tahoma" w:eastAsia="Times New Roman" w:hAnsi="Tahoma" w:cs="Tahoma"/>
          <w:spacing w:val="-7"/>
          <w:sz w:val="24"/>
          <w:szCs w:val="24"/>
        </w:rPr>
        <w:t xml:space="preserve"> </w:t>
      </w:r>
      <w:r w:rsidRPr="002462E6">
        <w:rPr>
          <w:rFonts w:ascii="Tahoma" w:eastAsia="Times New Roman" w:hAnsi="Tahoma" w:cs="Tahoma"/>
          <w:sz w:val="24"/>
          <w:szCs w:val="24"/>
        </w:rPr>
        <w:t>circulaire</w:t>
      </w:r>
      <w:r w:rsidRPr="002462E6">
        <w:rPr>
          <w:rFonts w:ascii="Tahoma" w:eastAsia="Times New Roman" w:hAnsi="Tahoma" w:cs="Tahoma"/>
          <w:spacing w:val="-7"/>
          <w:sz w:val="24"/>
          <w:szCs w:val="24"/>
        </w:rPr>
        <w:t xml:space="preserve"> </w:t>
      </w:r>
      <w:r w:rsidRPr="002462E6">
        <w:rPr>
          <w:rFonts w:ascii="Tahoma" w:eastAsia="Times New Roman" w:hAnsi="Tahoma" w:cs="Tahoma"/>
          <w:sz w:val="24"/>
          <w:szCs w:val="24"/>
        </w:rPr>
        <w:t>émanant</w:t>
      </w:r>
      <w:r w:rsidRPr="002462E6">
        <w:rPr>
          <w:rFonts w:ascii="Tahoma" w:eastAsia="Times New Roman" w:hAnsi="Tahoma" w:cs="Tahoma"/>
          <w:spacing w:val="-8"/>
          <w:sz w:val="24"/>
          <w:szCs w:val="24"/>
        </w:rPr>
        <w:t xml:space="preserve"> </w:t>
      </w:r>
      <w:r w:rsidRPr="002462E6">
        <w:rPr>
          <w:rFonts w:ascii="Tahoma" w:eastAsia="Times New Roman" w:hAnsi="Tahoma" w:cs="Tahoma"/>
          <w:sz w:val="24"/>
          <w:szCs w:val="24"/>
        </w:rPr>
        <w:t>du</w:t>
      </w:r>
      <w:r w:rsidRPr="002462E6">
        <w:rPr>
          <w:rFonts w:ascii="Tahoma" w:eastAsia="Times New Roman" w:hAnsi="Tahoma" w:cs="Tahoma"/>
          <w:spacing w:val="-6"/>
          <w:sz w:val="24"/>
          <w:szCs w:val="24"/>
        </w:rPr>
        <w:t xml:space="preserve"> </w:t>
      </w:r>
      <w:r w:rsidRPr="002462E6">
        <w:rPr>
          <w:rFonts w:ascii="Tahoma" w:eastAsia="Times New Roman" w:hAnsi="Tahoma" w:cs="Tahoma"/>
          <w:sz w:val="24"/>
          <w:szCs w:val="24"/>
        </w:rPr>
        <w:t>Grand</w:t>
      </w:r>
      <w:r w:rsidRPr="002462E6">
        <w:rPr>
          <w:rFonts w:ascii="Tahoma" w:eastAsia="Times New Roman" w:hAnsi="Tahoma" w:cs="Tahoma"/>
          <w:spacing w:val="-7"/>
          <w:sz w:val="24"/>
          <w:szCs w:val="24"/>
        </w:rPr>
        <w:t xml:space="preserve"> </w:t>
      </w:r>
      <w:r w:rsidRPr="002462E6">
        <w:rPr>
          <w:rFonts w:ascii="Tahoma" w:eastAsia="Times New Roman" w:hAnsi="Tahoma" w:cs="Tahoma"/>
          <w:sz w:val="24"/>
          <w:szCs w:val="24"/>
        </w:rPr>
        <w:t>Vizir</w:t>
      </w:r>
      <w:r w:rsidRPr="002462E6">
        <w:rPr>
          <w:rFonts w:ascii="Tahoma" w:eastAsia="Times New Roman" w:hAnsi="Tahoma" w:cs="Tahoma"/>
          <w:spacing w:val="-58"/>
          <w:sz w:val="24"/>
          <w:szCs w:val="24"/>
        </w:rPr>
        <w:t xml:space="preserve"> </w:t>
      </w:r>
      <w:r w:rsidRPr="002462E6">
        <w:rPr>
          <w:rFonts w:ascii="Tahoma" w:eastAsia="Times New Roman" w:hAnsi="Tahoma" w:cs="Tahoma"/>
          <w:sz w:val="24"/>
          <w:szCs w:val="24"/>
        </w:rPr>
        <w:t>est adressée aux gouverneurs, caïds, et cadis déclarait après avoir énuméré les biens constituant le</w:t>
      </w:r>
      <w:r w:rsidRPr="002462E6">
        <w:rPr>
          <w:rFonts w:ascii="Tahoma" w:eastAsia="Times New Roman" w:hAnsi="Tahoma" w:cs="Tahoma"/>
          <w:spacing w:val="-57"/>
          <w:sz w:val="24"/>
          <w:szCs w:val="24"/>
        </w:rPr>
        <w:t xml:space="preserve"> </w:t>
      </w:r>
      <w:r w:rsidRPr="002462E6">
        <w:rPr>
          <w:rFonts w:ascii="Tahoma" w:eastAsia="Times New Roman" w:hAnsi="Tahoma" w:cs="Tahoma"/>
          <w:sz w:val="24"/>
          <w:szCs w:val="24"/>
        </w:rPr>
        <w:t>domaine</w:t>
      </w:r>
      <w:r w:rsidRPr="002462E6">
        <w:rPr>
          <w:rFonts w:ascii="Tahoma" w:eastAsia="Times New Roman" w:hAnsi="Tahoma" w:cs="Tahoma"/>
          <w:spacing w:val="-10"/>
          <w:sz w:val="24"/>
          <w:szCs w:val="24"/>
        </w:rPr>
        <w:t xml:space="preserve"> </w:t>
      </w:r>
      <w:r w:rsidRPr="002462E6">
        <w:rPr>
          <w:rFonts w:ascii="Tahoma" w:eastAsia="Times New Roman" w:hAnsi="Tahoma" w:cs="Tahoma"/>
          <w:sz w:val="24"/>
          <w:szCs w:val="24"/>
        </w:rPr>
        <w:t>public,</w:t>
      </w:r>
      <w:r w:rsidRPr="002462E6">
        <w:rPr>
          <w:rFonts w:ascii="Tahoma" w:eastAsia="Times New Roman" w:hAnsi="Tahoma" w:cs="Tahoma"/>
          <w:spacing w:val="-11"/>
          <w:sz w:val="24"/>
          <w:szCs w:val="24"/>
        </w:rPr>
        <w:t xml:space="preserve"> </w:t>
      </w:r>
      <w:r w:rsidRPr="002462E6">
        <w:rPr>
          <w:rFonts w:ascii="Tahoma" w:eastAsia="Times New Roman" w:hAnsi="Tahoma" w:cs="Tahoma"/>
          <w:sz w:val="24"/>
          <w:szCs w:val="24"/>
        </w:rPr>
        <w:t>de</w:t>
      </w:r>
      <w:r w:rsidRPr="002462E6">
        <w:rPr>
          <w:rFonts w:ascii="Tahoma" w:eastAsia="Times New Roman" w:hAnsi="Tahoma" w:cs="Tahoma"/>
          <w:spacing w:val="-10"/>
          <w:sz w:val="24"/>
          <w:szCs w:val="24"/>
        </w:rPr>
        <w:t xml:space="preserve"> </w:t>
      </w:r>
      <w:r w:rsidRPr="002462E6">
        <w:rPr>
          <w:rFonts w:ascii="Tahoma" w:eastAsia="Times New Roman" w:hAnsi="Tahoma" w:cs="Tahoma"/>
          <w:sz w:val="24"/>
          <w:szCs w:val="24"/>
        </w:rPr>
        <w:t>droit</w:t>
      </w:r>
      <w:r w:rsidRPr="002462E6">
        <w:rPr>
          <w:rFonts w:ascii="Tahoma" w:eastAsia="Times New Roman" w:hAnsi="Tahoma" w:cs="Tahoma"/>
          <w:spacing w:val="-11"/>
          <w:sz w:val="24"/>
          <w:szCs w:val="24"/>
        </w:rPr>
        <w:t xml:space="preserve"> </w:t>
      </w:r>
      <w:r w:rsidRPr="002462E6">
        <w:rPr>
          <w:rFonts w:ascii="Tahoma" w:eastAsia="Times New Roman" w:hAnsi="Tahoma" w:cs="Tahoma"/>
          <w:sz w:val="24"/>
          <w:szCs w:val="24"/>
        </w:rPr>
        <w:t>inaliénables :</w:t>
      </w:r>
      <w:r w:rsidRPr="002462E6">
        <w:rPr>
          <w:rFonts w:ascii="Tahoma" w:eastAsia="Times New Roman" w:hAnsi="Tahoma" w:cs="Tahoma"/>
          <w:spacing w:val="-9"/>
          <w:sz w:val="24"/>
          <w:szCs w:val="24"/>
        </w:rPr>
        <w:t xml:space="preserve"> </w:t>
      </w:r>
      <w:r w:rsidRPr="002462E6">
        <w:rPr>
          <w:rFonts w:ascii="Tahoma" w:eastAsia="Times New Roman" w:hAnsi="Tahoma" w:cs="Tahoma"/>
          <w:sz w:val="24"/>
          <w:szCs w:val="24"/>
        </w:rPr>
        <w:t>«</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Il</w:t>
      </w:r>
      <w:r w:rsidRPr="002462E6">
        <w:rPr>
          <w:rFonts w:ascii="Tahoma" w:eastAsia="Times New Roman" w:hAnsi="Tahoma" w:cs="Tahoma"/>
          <w:spacing w:val="-10"/>
          <w:sz w:val="24"/>
          <w:szCs w:val="24"/>
        </w:rPr>
        <w:t xml:space="preserve"> </w:t>
      </w:r>
      <w:r w:rsidRPr="002462E6">
        <w:rPr>
          <w:rFonts w:ascii="Tahoma" w:eastAsia="Times New Roman" w:hAnsi="Tahoma" w:cs="Tahoma"/>
          <w:sz w:val="24"/>
          <w:szCs w:val="24"/>
        </w:rPr>
        <w:t>est</w:t>
      </w:r>
      <w:r w:rsidRPr="002462E6">
        <w:rPr>
          <w:rFonts w:ascii="Tahoma" w:eastAsia="Times New Roman" w:hAnsi="Tahoma" w:cs="Tahoma"/>
          <w:spacing w:val="-9"/>
          <w:sz w:val="24"/>
          <w:szCs w:val="24"/>
        </w:rPr>
        <w:t xml:space="preserve"> </w:t>
      </w:r>
      <w:r w:rsidRPr="002462E6">
        <w:rPr>
          <w:rFonts w:ascii="Tahoma" w:eastAsia="Times New Roman" w:hAnsi="Tahoma" w:cs="Tahoma"/>
          <w:sz w:val="24"/>
          <w:szCs w:val="24"/>
        </w:rPr>
        <w:t>d’autres</w:t>
      </w:r>
      <w:r w:rsidRPr="002462E6">
        <w:rPr>
          <w:rFonts w:ascii="Tahoma" w:eastAsia="Times New Roman" w:hAnsi="Tahoma" w:cs="Tahoma"/>
          <w:spacing w:val="-10"/>
          <w:sz w:val="24"/>
          <w:szCs w:val="24"/>
        </w:rPr>
        <w:t xml:space="preserve"> </w:t>
      </w:r>
      <w:r w:rsidRPr="002462E6">
        <w:rPr>
          <w:rFonts w:ascii="Tahoma" w:eastAsia="Times New Roman" w:hAnsi="Tahoma" w:cs="Tahoma"/>
          <w:sz w:val="24"/>
          <w:szCs w:val="24"/>
        </w:rPr>
        <w:t>biens</w:t>
      </w:r>
      <w:r w:rsidRPr="002462E6">
        <w:rPr>
          <w:rFonts w:ascii="Tahoma" w:eastAsia="Times New Roman" w:hAnsi="Tahoma" w:cs="Tahoma"/>
          <w:spacing w:val="-10"/>
          <w:sz w:val="24"/>
          <w:szCs w:val="24"/>
        </w:rPr>
        <w:t xml:space="preserve"> </w:t>
      </w:r>
      <w:r w:rsidRPr="002462E6">
        <w:rPr>
          <w:rFonts w:ascii="Tahoma" w:eastAsia="Times New Roman" w:hAnsi="Tahoma" w:cs="Tahoma"/>
          <w:sz w:val="24"/>
          <w:szCs w:val="24"/>
        </w:rPr>
        <w:t>qui</w:t>
      </w:r>
      <w:r w:rsidRPr="002462E6">
        <w:rPr>
          <w:rFonts w:ascii="Tahoma" w:eastAsia="Times New Roman" w:hAnsi="Tahoma" w:cs="Tahoma"/>
          <w:spacing w:val="-9"/>
          <w:sz w:val="24"/>
          <w:szCs w:val="24"/>
        </w:rPr>
        <w:t xml:space="preserve"> </w:t>
      </w:r>
      <w:r w:rsidRPr="002462E6">
        <w:rPr>
          <w:rFonts w:ascii="Tahoma" w:eastAsia="Times New Roman" w:hAnsi="Tahoma" w:cs="Tahoma"/>
          <w:sz w:val="24"/>
          <w:szCs w:val="24"/>
        </w:rPr>
        <w:t>ne</w:t>
      </w:r>
      <w:r w:rsidRPr="002462E6">
        <w:rPr>
          <w:rFonts w:ascii="Tahoma" w:eastAsia="Times New Roman" w:hAnsi="Tahoma" w:cs="Tahoma"/>
          <w:spacing w:val="-11"/>
          <w:sz w:val="24"/>
          <w:szCs w:val="24"/>
        </w:rPr>
        <w:t xml:space="preserve"> </w:t>
      </w:r>
      <w:r w:rsidRPr="002462E6">
        <w:rPr>
          <w:rFonts w:ascii="Tahoma" w:eastAsia="Times New Roman" w:hAnsi="Tahoma" w:cs="Tahoma"/>
          <w:sz w:val="24"/>
          <w:szCs w:val="24"/>
        </w:rPr>
        <w:t>peuvent</w:t>
      </w:r>
      <w:r w:rsidRPr="002462E6">
        <w:rPr>
          <w:rFonts w:ascii="Tahoma" w:eastAsia="Times New Roman" w:hAnsi="Tahoma" w:cs="Tahoma"/>
          <w:spacing w:val="-9"/>
          <w:sz w:val="24"/>
          <w:szCs w:val="24"/>
        </w:rPr>
        <w:t xml:space="preserve"> </w:t>
      </w:r>
      <w:r w:rsidRPr="002462E6">
        <w:rPr>
          <w:rFonts w:ascii="Tahoma" w:eastAsia="Times New Roman" w:hAnsi="Tahoma" w:cs="Tahoma"/>
          <w:sz w:val="24"/>
          <w:szCs w:val="24"/>
        </w:rPr>
        <w:t>être</w:t>
      </w:r>
      <w:r w:rsidRPr="002462E6">
        <w:rPr>
          <w:rFonts w:ascii="Tahoma" w:eastAsia="Times New Roman" w:hAnsi="Tahoma" w:cs="Tahoma"/>
          <w:spacing w:val="-11"/>
          <w:sz w:val="24"/>
          <w:szCs w:val="24"/>
        </w:rPr>
        <w:t xml:space="preserve"> </w:t>
      </w:r>
      <w:r w:rsidRPr="002462E6">
        <w:rPr>
          <w:rFonts w:ascii="Tahoma" w:eastAsia="Times New Roman" w:hAnsi="Tahoma" w:cs="Tahoma"/>
          <w:sz w:val="24"/>
          <w:szCs w:val="24"/>
        </w:rPr>
        <w:t>en</w:t>
      </w:r>
      <w:r w:rsidRPr="002462E6">
        <w:rPr>
          <w:rFonts w:ascii="Tahoma" w:eastAsia="Times New Roman" w:hAnsi="Tahoma" w:cs="Tahoma"/>
          <w:spacing w:val="-10"/>
          <w:sz w:val="24"/>
          <w:szCs w:val="24"/>
        </w:rPr>
        <w:t xml:space="preserve"> </w:t>
      </w:r>
      <w:r w:rsidRPr="002462E6">
        <w:rPr>
          <w:rFonts w:ascii="Tahoma" w:eastAsia="Times New Roman" w:hAnsi="Tahoma" w:cs="Tahoma"/>
          <w:sz w:val="24"/>
          <w:szCs w:val="24"/>
        </w:rPr>
        <w:t>aucune</w:t>
      </w:r>
      <w:r w:rsidRPr="002462E6">
        <w:rPr>
          <w:rFonts w:ascii="Tahoma" w:eastAsia="Times New Roman" w:hAnsi="Tahoma" w:cs="Tahoma"/>
          <w:spacing w:val="-10"/>
          <w:sz w:val="24"/>
          <w:szCs w:val="24"/>
        </w:rPr>
        <w:t xml:space="preserve"> </w:t>
      </w:r>
      <w:r w:rsidRPr="002462E6">
        <w:rPr>
          <w:rFonts w:ascii="Tahoma" w:eastAsia="Times New Roman" w:hAnsi="Tahoma" w:cs="Tahoma"/>
          <w:sz w:val="24"/>
          <w:szCs w:val="24"/>
        </w:rPr>
        <w:t>façon</w:t>
      </w:r>
      <w:r w:rsidRPr="002462E6">
        <w:rPr>
          <w:rFonts w:ascii="Tahoma" w:eastAsia="Times New Roman" w:hAnsi="Tahoma" w:cs="Tahoma"/>
          <w:spacing w:val="-58"/>
          <w:sz w:val="24"/>
          <w:szCs w:val="24"/>
        </w:rPr>
        <w:t xml:space="preserve"> </w:t>
      </w:r>
      <w:r w:rsidRPr="002462E6">
        <w:rPr>
          <w:rFonts w:ascii="Tahoma" w:eastAsia="Times New Roman" w:hAnsi="Tahoma" w:cs="Tahoma"/>
          <w:sz w:val="24"/>
          <w:szCs w:val="24"/>
        </w:rPr>
        <w:t>aliénés</w:t>
      </w:r>
      <w:r w:rsidRPr="002462E6">
        <w:rPr>
          <w:rFonts w:ascii="Tahoma" w:eastAsia="Times New Roman" w:hAnsi="Tahoma" w:cs="Tahoma"/>
          <w:spacing w:val="-6"/>
          <w:sz w:val="24"/>
          <w:szCs w:val="24"/>
        </w:rPr>
        <w:t xml:space="preserve"> </w:t>
      </w:r>
      <w:r w:rsidRPr="002462E6">
        <w:rPr>
          <w:rFonts w:ascii="Tahoma" w:eastAsia="Times New Roman" w:hAnsi="Tahoma" w:cs="Tahoma"/>
          <w:sz w:val="24"/>
          <w:szCs w:val="24"/>
        </w:rPr>
        <w:t>qu’avec</w:t>
      </w:r>
      <w:r w:rsidRPr="002462E6">
        <w:rPr>
          <w:rFonts w:ascii="Tahoma" w:eastAsia="Times New Roman" w:hAnsi="Tahoma" w:cs="Tahoma"/>
          <w:spacing w:val="-6"/>
          <w:sz w:val="24"/>
          <w:szCs w:val="24"/>
        </w:rPr>
        <w:t xml:space="preserve"> </w:t>
      </w:r>
      <w:r w:rsidRPr="002462E6">
        <w:rPr>
          <w:rFonts w:ascii="Tahoma" w:eastAsia="Times New Roman" w:hAnsi="Tahoma" w:cs="Tahoma"/>
          <w:sz w:val="24"/>
          <w:szCs w:val="24"/>
        </w:rPr>
        <w:t>l’autorisation</w:t>
      </w:r>
      <w:r w:rsidRPr="002462E6">
        <w:rPr>
          <w:rFonts w:ascii="Tahoma" w:eastAsia="Times New Roman" w:hAnsi="Tahoma" w:cs="Tahoma"/>
          <w:spacing w:val="-7"/>
          <w:sz w:val="24"/>
          <w:szCs w:val="24"/>
        </w:rPr>
        <w:t xml:space="preserve"> </w:t>
      </w:r>
      <w:r w:rsidRPr="002462E6">
        <w:rPr>
          <w:rFonts w:ascii="Tahoma" w:eastAsia="Times New Roman" w:hAnsi="Tahoma" w:cs="Tahoma"/>
          <w:sz w:val="24"/>
          <w:szCs w:val="24"/>
        </w:rPr>
        <w:t>du</w:t>
      </w:r>
      <w:r w:rsidRPr="002462E6">
        <w:rPr>
          <w:rFonts w:ascii="Tahoma" w:eastAsia="Times New Roman" w:hAnsi="Tahoma" w:cs="Tahoma"/>
          <w:spacing w:val="-5"/>
          <w:sz w:val="24"/>
          <w:szCs w:val="24"/>
        </w:rPr>
        <w:t xml:space="preserve"> </w:t>
      </w:r>
      <w:r w:rsidRPr="002462E6">
        <w:rPr>
          <w:rFonts w:ascii="Tahoma" w:eastAsia="Times New Roman" w:hAnsi="Tahoma" w:cs="Tahoma"/>
          <w:sz w:val="24"/>
          <w:szCs w:val="24"/>
        </w:rPr>
        <w:t>Maghzen</w:t>
      </w:r>
      <w:r w:rsidRPr="002462E6">
        <w:rPr>
          <w:rFonts w:ascii="Tahoma" w:eastAsia="Times New Roman" w:hAnsi="Tahoma" w:cs="Tahoma"/>
          <w:spacing w:val="-6"/>
          <w:sz w:val="24"/>
          <w:szCs w:val="24"/>
        </w:rPr>
        <w:t xml:space="preserve"> </w:t>
      </w:r>
      <w:r w:rsidRPr="002462E6">
        <w:rPr>
          <w:rFonts w:ascii="Tahoma" w:eastAsia="Times New Roman" w:hAnsi="Tahoma" w:cs="Tahoma"/>
          <w:sz w:val="24"/>
          <w:szCs w:val="24"/>
        </w:rPr>
        <w:t>(Etat),</w:t>
      </w:r>
      <w:r w:rsidRPr="002462E6">
        <w:rPr>
          <w:rFonts w:ascii="Tahoma" w:eastAsia="Times New Roman" w:hAnsi="Tahoma" w:cs="Tahoma"/>
          <w:spacing w:val="-7"/>
          <w:sz w:val="24"/>
          <w:szCs w:val="24"/>
        </w:rPr>
        <w:t xml:space="preserve"> </w:t>
      </w:r>
      <w:r w:rsidRPr="002462E6">
        <w:rPr>
          <w:rFonts w:ascii="Tahoma" w:eastAsia="Times New Roman" w:hAnsi="Tahoma" w:cs="Tahoma"/>
          <w:sz w:val="24"/>
          <w:szCs w:val="24"/>
        </w:rPr>
        <w:t>parce</w:t>
      </w:r>
      <w:r w:rsidRPr="002462E6">
        <w:rPr>
          <w:rFonts w:ascii="Tahoma" w:eastAsia="Times New Roman" w:hAnsi="Tahoma" w:cs="Tahoma"/>
          <w:spacing w:val="-6"/>
          <w:sz w:val="24"/>
          <w:szCs w:val="24"/>
        </w:rPr>
        <w:t xml:space="preserve"> </w:t>
      </w:r>
      <w:r w:rsidRPr="002462E6">
        <w:rPr>
          <w:rFonts w:ascii="Tahoma" w:eastAsia="Times New Roman" w:hAnsi="Tahoma" w:cs="Tahoma"/>
          <w:sz w:val="24"/>
          <w:szCs w:val="24"/>
        </w:rPr>
        <w:t>qu’il</w:t>
      </w:r>
      <w:r w:rsidRPr="002462E6">
        <w:rPr>
          <w:rFonts w:ascii="Tahoma" w:eastAsia="Times New Roman" w:hAnsi="Tahoma" w:cs="Tahoma"/>
          <w:spacing w:val="-7"/>
          <w:sz w:val="24"/>
          <w:szCs w:val="24"/>
        </w:rPr>
        <w:t xml:space="preserve"> </w:t>
      </w:r>
      <w:r w:rsidRPr="002462E6">
        <w:rPr>
          <w:rFonts w:ascii="Tahoma" w:eastAsia="Times New Roman" w:hAnsi="Tahoma" w:cs="Tahoma"/>
          <w:sz w:val="24"/>
          <w:szCs w:val="24"/>
        </w:rPr>
        <w:t>a</w:t>
      </w:r>
      <w:r w:rsidRPr="002462E6">
        <w:rPr>
          <w:rFonts w:ascii="Tahoma" w:eastAsia="Times New Roman" w:hAnsi="Tahoma" w:cs="Tahoma"/>
          <w:spacing w:val="-6"/>
          <w:sz w:val="24"/>
          <w:szCs w:val="24"/>
        </w:rPr>
        <w:t xml:space="preserve"> </w:t>
      </w:r>
      <w:r w:rsidRPr="002462E6">
        <w:rPr>
          <w:rFonts w:ascii="Tahoma" w:eastAsia="Times New Roman" w:hAnsi="Tahoma" w:cs="Tahoma"/>
          <w:sz w:val="24"/>
          <w:szCs w:val="24"/>
        </w:rPr>
        <w:t>sur</w:t>
      </w:r>
      <w:r w:rsidRPr="002462E6">
        <w:rPr>
          <w:rFonts w:ascii="Tahoma" w:eastAsia="Times New Roman" w:hAnsi="Tahoma" w:cs="Tahoma"/>
          <w:spacing w:val="-7"/>
          <w:sz w:val="24"/>
          <w:szCs w:val="24"/>
        </w:rPr>
        <w:t xml:space="preserve"> </w:t>
      </w:r>
      <w:r w:rsidRPr="002462E6">
        <w:rPr>
          <w:rFonts w:ascii="Tahoma" w:eastAsia="Times New Roman" w:hAnsi="Tahoma" w:cs="Tahoma"/>
          <w:sz w:val="24"/>
          <w:szCs w:val="24"/>
        </w:rPr>
        <w:t>ces</w:t>
      </w:r>
      <w:r w:rsidRPr="002462E6">
        <w:rPr>
          <w:rFonts w:ascii="Tahoma" w:eastAsia="Times New Roman" w:hAnsi="Tahoma" w:cs="Tahoma"/>
          <w:spacing w:val="-6"/>
          <w:sz w:val="24"/>
          <w:szCs w:val="24"/>
        </w:rPr>
        <w:t xml:space="preserve"> </w:t>
      </w:r>
      <w:r w:rsidRPr="002462E6">
        <w:rPr>
          <w:rFonts w:ascii="Tahoma" w:eastAsia="Times New Roman" w:hAnsi="Tahoma" w:cs="Tahoma"/>
          <w:sz w:val="24"/>
          <w:szCs w:val="24"/>
        </w:rPr>
        <w:t>biens</w:t>
      </w:r>
      <w:r w:rsidRPr="002462E6">
        <w:rPr>
          <w:rFonts w:ascii="Tahoma" w:eastAsia="Times New Roman" w:hAnsi="Tahoma" w:cs="Tahoma"/>
          <w:spacing w:val="-7"/>
          <w:sz w:val="24"/>
          <w:szCs w:val="24"/>
        </w:rPr>
        <w:t xml:space="preserve"> </w:t>
      </w:r>
      <w:r w:rsidRPr="002462E6">
        <w:rPr>
          <w:rFonts w:ascii="Tahoma" w:eastAsia="Times New Roman" w:hAnsi="Tahoma" w:cs="Tahoma"/>
          <w:sz w:val="24"/>
          <w:szCs w:val="24"/>
        </w:rPr>
        <w:t>des</w:t>
      </w:r>
      <w:r w:rsidRPr="002462E6">
        <w:rPr>
          <w:rFonts w:ascii="Tahoma" w:eastAsia="Times New Roman" w:hAnsi="Tahoma" w:cs="Tahoma"/>
          <w:spacing w:val="-6"/>
          <w:sz w:val="24"/>
          <w:szCs w:val="24"/>
        </w:rPr>
        <w:t xml:space="preserve"> </w:t>
      </w:r>
      <w:r w:rsidRPr="002462E6">
        <w:rPr>
          <w:rFonts w:ascii="Tahoma" w:eastAsia="Times New Roman" w:hAnsi="Tahoma" w:cs="Tahoma"/>
          <w:sz w:val="24"/>
          <w:szCs w:val="24"/>
        </w:rPr>
        <w:t>droits</w:t>
      </w:r>
      <w:r w:rsidRPr="002462E6">
        <w:rPr>
          <w:rFonts w:ascii="Tahoma" w:eastAsia="Times New Roman" w:hAnsi="Tahoma" w:cs="Tahoma"/>
          <w:spacing w:val="-7"/>
          <w:sz w:val="24"/>
          <w:szCs w:val="24"/>
        </w:rPr>
        <w:t xml:space="preserve"> </w:t>
      </w:r>
      <w:r w:rsidRPr="002462E6">
        <w:rPr>
          <w:rFonts w:ascii="Tahoma" w:eastAsia="Times New Roman" w:hAnsi="Tahoma" w:cs="Tahoma"/>
          <w:sz w:val="24"/>
          <w:szCs w:val="24"/>
        </w:rPr>
        <w:t>de</w:t>
      </w:r>
      <w:r w:rsidRPr="002462E6">
        <w:rPr>
          <w:rFonts w:ascii="Tahoma" w:eastAsia="Times New Roman" w:hAnsi="Tahoma" w:cs="Tahoma"/>
          <w:spacing w:val="-5"/>
          <w:sz w:val="24"/>
          <w:szCs w:val="24"/>
        </w:rPr>
        <w:t xml:space="preserve"> </w:t>
      </w:r>
      <w:r w:rsidRPr="002462E6">
        <w:rPr>
          <w:rFonts w:ascii="Tahoma" w:eastAsia="Times New Roman" w:hAnsi="Tahoma" w:cs="Tahoma"/>
          <w:sz w:val="24"/>
          <w:szCs w:val="24"/>
        </w:rPr>
        <w:t>propriété</w:t>
      </w:r>
      <w:r w:rsidRPr="002462E6">
        <w:rPr>
          <w:rFonts w:ascii="Tahoma" w:eastAsia="Times New Roman" w:hAnsi="Tahoma" w:cs="Tahoma"/>
          <w:spacing w:val="-58"/>
          <w:sz w:val="24"/>
          <w:szCs w:val="24"/>
        </w:rPr>
        <w:t xml:space="preserve"> </w:t>
      </w:r>
      <w:r w:rsidRPr="002462E6">
        <w:rPr>
          <w:rFonts w:ascii="Tahoma" w:eastAsia="Times New Roman" w:hAnsi="Tahoma" w:cs="Tahoma"/>
          <w:sz w:val="24"/>
          <w:szCs w:val="24"/>
        </w:rPr>
        <w:t>ou de contrôle »</w:t>
      </w:r>
      <w:r w:rsidRPr="002462E6">
        <w:rPr>
          <w:rFonts w:ascii="Tahoma" w:eastAsia="Times New Roman" w:hAnsi="Tahoma" w:cs="Tahoma"/>
          <w:sz w:val="24"/>
          <w:szCs w:val="24"/>
          <w:vertAlign w:val="superscript"/>
        </w:rPr>
        <w:footnoteReference w:id="281"/>
      </w:r>
      <w:r w:rsidRPr="002462E6">
        <w:rPr>
          <w:rFonts w:ascii="Tahoma" w:eastAsia="Times New Roman" w:hAnsi="Tahoma" w:cs="Tahoma"/>
          <w:sz w:val="24"/>
          <w:szCs w:val="24"/>
        </w:rPr>
        <w:t>. Ce sont, les forêts qui, dans toute l’étendue du pays appartiennent au Maghzen,</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sous réserve des droits d’usage (pâturage des troupeaux, ramassage du bois) que pourraient avoir</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les tribus voisines. En effet, le Dahir du 7 Juillet 1914 portant réglementation de la justice civile</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indigène et de la transmission de la propriété immobilière, reprenant les propres termes de la</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circulaire</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vizirielle,</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sanctionnait</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définitivement</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la</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domanialité</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des</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forêts</w:t>
      </w:r>
      <w:r w:rsidRPr="002462E6">
        <w:rPr>
          <w:rFonts w:ascii="Tahoma" w:eastAsia="Times New Roman" w:hAnsi="Tahoma" w:cs="Tahoma"/>
          <w:sz w:val="24"/>
          <w:szCs w:val="24"/>
          <w:vertAlign w:val="superscript"/>
        </w:rPr>
        <w:footnoteReference w:id="282"/>
      </w:r>
      <w:r w:rsidRPr="002462E6">
        <w:rPr>
          <w:rFonts w:ascii="Tahoma" w:eastAsia="Times New Roman" w:hAnsi="Tahoma" w:cs="Tahoma"/>
          <w:sz w:val="24"/>
          <w:szCs w:val="24"/>
        </w:rPr>
        <w:t>,</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et</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incorpora</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également au domaine privé de l'Etat, les nappes alfatières, les dunes maritimes et les dunes</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terrestres.</w:t>
      </w:r>
    </w:p>
    <w:p w:rsidR="00726EDC" w:rsidRPr="002462E6" w:rsidRDefault="00726EDC" w:rsidP="00726EDC">
      <w:pPr>
        <w:widowControl w:val="0"/>
        <w:autoSpaceDE w:val="0"/>
        <w:autoSpaceDN w:val="0"/>
        <w:spacing w:before="8" w:after="0" w:line="360" w:lineRule="auto"/>
        <w:jc w:val="both"/>
        <w:rPr>
          <w:rFonts w:ascii="Times New Roman" w:eastAsia="Times New Roman" w:hAnsi="Times New Roman" w:cs="Times New Roman"/>
          <w:sz w:val="24"/>
          <w:szCs w:val="24"/>
        </w:rPr>
      </w:pPr>
      <w:r w:rsidRPr="002462E6">
        <w:rPr>
          <w:rFonts w:ascii="Tahoma" w:eastAsia="Times New Roman" w:hAnsi="Tahoma" w:cs="Tahoma"/>
          <w:sz w:val="24"/>
          <w:szCs w:val="24"/>
        </w:rPr>
        <w:t>Le</w:t>
      </w:r>
      <w:r w:rsidRPr="002462E6">
        <w:rPr>
          <w:rFonts w:ascii="Tahoma" w:eastAsia="Times New Roman" w:hAnsi="Tahoma" w:cs="Tahoma"/>
          <w:spacing w:val="-7"/>
          <w:sz w:val="24"/>
          <w:szCs w:val="24"/>
        </w:rPr>
        <w:t xml:space="preserve"> </w:t>
      </w:r>
      <w:r w:rsidRPr="002462E6">
        <w:rPr>
          <w:rFonts w:ascii="Tahoma" w:eastAsia="Times New Roman" w:hAnsi="Tahoma" w:cs="Tahoma"/>
          <w:sz w:val="24"/>
          <w:szCs w:val="24"/>
        </w:rPr>
        <w:t>10</w:t>
      </w:r>
      <w:r w:rsidRPr="002462E6">
        <w:rPr>
          <w:rFonts w:ascii="Tahoma" w:eastAsia="Times New Roman" w:hAnsi="Tahoma" w:cs="Tahoma"/>
          <w:spacing w:val="-6"/>
          <w:sz w:val="24"/>
          <w:szCs w:val="24"/>
        </w:rPr>
        <w:t xml:space="preserve"> </w:t>
      </w:r>
      <w:r w:rsidRPr="002462E6">
        <w:rPr>
          <w:rFonts w:ascii="Tahoma" w:eastAsia="Times New Roman" w:hAnsi="Tahoma" w:cs="Tahoma"/>
          <w:sz w:val="24"/>
          <w:szCs w:val="24"/>
        </w:rPr>
        <w:t>octobre</w:t>
      </w:r>
      <w:r w:rsidRPr="002462E6">
        <w:rPr>
          <w:rFonts w:ascii="Tahoma" w:eastAsia="Times New Roman" w:hAnsi="Tahoma" w:cs="Tahoma"/>
          <w:spacing w:val="-6"/>
          <w:sz w:val="24"/>
          <w:szCs w:val="24"/>
        </w:rPr>
        <w:t xml:space="preserve"> </w:t>
      </w:r>
      <w:r w:rsidRPr="002462E6">
        <w:rPr>
          <w:rFonts w:ascii="Tahoma" w:eastAsia="Times New Roman" w:hAnsi="Tahoma" w:cs="Tahoma"/>
          <w:sz w:val="24"/>
          <w:szCs w:val="24"/>
        </w:rPr>
        <w:t>1917</w:t>
      </w:r>
      <w:r w:rsidRPr="002462E6">
        <w:rPr>
          <w:rFonts w:ascii="Tahoma" w:eastAsia="Times New Roman" w:hAnsi="Tahoma" w:cs="Tahoma"/>
          <w:spacing w:val="-7"/>
          <w:sz w:val="24"/>
          <w:szCs w:val="24"/>
        </w:rPr>
        <w:t xml:space="preserve"> </w:t>
      </w:r>
      <w:r w:rsidRPr="002462E6">
        <w:rPr>
          <w:rFonts w:ascii="Tahoma" w:eastAsia="Times New Roman" w:hAnsi="Tahoma" w:cs="Tahoma"/>
          <w:sz w:val="24"/>
          <w:szCs w:val="24"/>
        </w:rPr>
        <w:t>était</w:t>
      </w:r>
      <w:r w:rsidRPr="002462E6">
        <w:rPr>
          <w:rFonts w:ascii="Tahoma" w:eastAsia="Times New Roman" w:hAnsi="Tahoma" w:cs="Tahoma"/>
          <w:spacing w:val="-8"/>
          <w:sz w:val="24"/>
          <w:szCs w:val="24"/>
        </w:rPr>
        <w:t xml:space="preserve"> </w:t>
      </w:r>
      <w:r w:rsidRPr="002462E6">
        <w:rPr>
          <w:rFonts w:ascii="Tahoma" w:eastAsia="Times New Roman" w:hAnsi="Tahoma" w:cs="Tahoma"/>
          <w:sz w:val="24"/>
          <w:szCs w:val="24"/>
        </w:rPr>
        <w:t>scellé</w:t>
      </w:r>
      <w:r w:rsidRPr="002462E6">
        <w:rPr>
          <w:rFonts w:ascii="Tahoma" w:eastAsia="Times New Roman" w:hAnsi="Tahoma" w:cs="Tahoma"/>
          <w:spacing w:val="-6"/>
          <w:sz w:val="24"/>
          <w:szCs w:val="24"/>
        </w:rPr>
        <w:t xml:space="preserve"> </w:t>
      </w:r>
      <w:r w:rsidRPr="002462E6">
        <w:rPr>
          <w:rFonts w:ascii="Tahoma" w:eastAsia="Times New Roman" w:hAnsi="Tahoma" w:cs="Tahoma"/>
          <w:sz w:val="24"/>
          <w:szCs w:val="24"/>
        </w:rPr>
        <w:t>par</w:t>
      </w:r>
      <w:r w:rsidRPr="002462E6">
        <w:rPr>
          <w:rFonts w:ascii="Tahoma" w:eastAsia="Times New Roman" w:hAnsi="Tahoma" w:cs="Tahoma"/>
          <w:spacing w:val="-8"/>
          <w:sz w:val="24"/>
          <w:szCs w:val="24"/>
        </w:rPr>
        <w:t xml:space="preserve"> </w:t>
      </w:r>
      <w:r w:rsidRPr="002462E6">
        <w:rPr>
          <w:rFonts w:ascii="Tahoma" w:eastAsia="Times New Roman" w:hAnsi="Tahoma" w:cs="Tahoma"/>
          <w:sz w:val="24"/>
          <w:szCs w:val="24"/>
        </w:rPr>
        <w:t>le</w:t>
      </w:r>
      <w:r w:rsidRPr="002462E6">
        <w:rPr>
          <w:rFonts w:ascii="Tahoma" w:eastAsia="Times New Roman" w:hAnsi="Tahoma" w:cs="Tahoma"/>
          <w:spacing w:val="-7"/>
          <w:sz w:val="24"/>
          <w:szCs w:val="24"/>
        </w:rPr>
        <w:t xml:space="preserve"> </w:t>
      </w:r>
      <w:r w:rsidRPr="002462E6">
        <w:rPr>
          <w:rFonts w:ascii="Tahoma" w:eastAsia="Times New Roman" w:hAnsi="Tahoma" w:cs="Tahoma"/>
          <w:sz w:val="24"/>
          <w:szCs w:val="24"/>
        </w:rPr>
        <w:t>Sultan</w:t>
      </w:r>
      <w:r w:rsidRPr="002462E6">
        <w:rPr>
          <w:rFonts w:ascii="Tahoma" w:eastAsia="Times New Roman" w:hAnsi="Tahoma" w:cs="Tahoma"/>
          <w:spacing w:val="-6"/>
          <w:sz w:val="24"/>
          <w:szCs w:val="24"/>
        </w:rPr>
        <w:t xml:space="preserve"> </w:t>
      </w:r>
      <w:r w:rsidRPr="002462E6">
        <w:rPr>
          <w:rFonts w:ascii="Tahoma" w:eastAsia="Times New Roman" w:hAnsi="Tahoma" w:cs="Tahoma"/>
          <w:sz w:val="24"/>
          <w:szCs w:val="24"/>
        </w:rPr>
        <w:t>le</w:t>
      </w:r>
      <w:r w:rsidRPr="002462E6">
        <w:rPr>
          <w:rFonts w:ascii="Tahoma" w:eastAsia="Times New Roman" w:hAnsi="Tahoma" w:cs="Tahoma"/>
          <w:spacing w:val="-6"/>
          <w:sz w:val="24"/>
          <w:szCs w:val="24"/>
        </w:rPr>
        <w:t xml:space="preserve"> </w:t>
      </w:r>
      <w:r w:rsidRPr="002462E6">
        <w:rPr>
          <w:rFonts w:ascii="Tahoma" w:eastAsia="Times New Roman" w:hAnsi="Tahoma" w:cs="Tahoma"/>
          <w:sz w:val="24"/>
          <w:szCs w:val="24"/>
        </w:rPr>
        <w:t>Dahir</w:t>
      </w:r>
      <w:r w:rsidRPr="002462E6">
        <w:rPr>
          <w:rFonts w:ascii="Tahoma" w:eastAsia="Times New Roman" w:hAnsi="Tahoma" w:cs="Tahoma"/>
          <w:spacing w:val="-7"/>
          <w:sz w:val="24"/>
          <w:szCs w:val="24"/>
        </w:rPr>
        <w:t xml:space="preserve"> </w:t>
      </w:r>
      <w:r w:rsidRPr="002462E6">
        <w:rPr>
          <w:rFonts w:ascii="Tahoma" w:eastAsia="Times New Roman" w:hAnsi="Tahoma" w:cs="Tahoma"/>
          <w:sz w:val="24"/>
          <w:szCs w:val="24"/>
        </w:rPr>
        <w:t>sur</w:t>
      </w:r>
      <w:r w:rsidRPr="002462E6">
        <w:rPr>
          <w:rFonts w:ascii="Tahoma" w:eastAsia="Times New Roman" w:hAnsi="Tahoma" w:cs="Tahoma"/>
          <w:spacing w:val="-7"/>
          <w:sz w:val="24"/>
          <w:szCs w:val="24"/>
        </w:rPr>
        <w:t xml:space="preserve"> </w:t>
      </w:r>
      <w:r w:rsidRPr="002462E6">
        <w:rPr>
          <w:rFonts w:ascii="Tahoma" w:eastAsia="Times New Roman" w:hAnsi="Tahoma" w:cs="Tahoma"/>
          <w:sz w:val="24"/>
          <w:szCs w:val="24"/>
        </w:rPr>
        <w:t>la</w:t>
      </w:r>
      <w:r w:rsidRPr="002462E6">
        <w:rPr>
          <w:rFonts w:ascii="Tahoma" w:eastAsia="Times New Roman" w:hAnsi="Tahoma" w:cs="Tahoma"/>
          <w:spacing w:val="-6"/>
          <w:sz w:val="24"/>
          <w:szCs w:val="24"/>
        </w:rPr>
        <w:t xml:space="preserve"> </w:t>
      </w:r>
      <w:r w:rsidRPr="002462E6">
        <w:rPr>
          <w:rFonts w:ascii="Tahoma" w:eastAsia="Times New Roman" w:hAnsi="Tahoma" w:cs="Tahoma"/>
          <w:sz w:val="24"/>
          <w:szCs w:val="24"/>
        </w:rPr>
        <w:t>conservation</w:t>
      </w:r>
      <w:r w:rsidRPr="002462E6">
        <w:rPr>
          <w:rFonts w:ascii="Tahoma" w:eastAsia="Times New Roman" w:hAnsi="Tahoma" w:cs="Tahoma"/>
          <w:spacing w:val="-7"/>
          <w:sz w:val="24"/>
          <w:szCs w:val="24"/>
        </w:rPr>
        <w:t xml:space="preserve"> </w:t>
      </w:r>
      <w:r w:rsidRPr="002462E6">
        <w:rPr>
          <w:rFonts w:ascii="Tahoma" w:eastAsia="Times New Roman" w:hAnsi="Tahoma" w:cs="Tahoma"/>
          <w:sz w:val="24"/>
          <w:szCs w:val="24"/>
        </w:rPr>
        <w:t>et</w:t>
      </w:r>
      <w:r w:rsidRPr="002462E6">
        <w:rPr>
          <w:rFonts w:ascii="Tahoma" w:eastAsia="Times New Roman" w:hAnsi="Tahoma" w:cs="Tahoma"/>
          <w:spacing w:val="-7"/>
          <w:sz w:val="24"/>
          <w:szCs w:val="24"/>
        </w:rPr>
        <w:t xml:space="preserve"> </w:t>
      </w:r>
      <w:r w:rsidRPr="002462E6">
        <w:rPr>
          <w:rFonts w:ascii="Tahoma" w:eastAsia="Times New Roman" w:hAnsi="Tahoma" w:cs="Tahoma"/>
          <w:sz w:val="24"/>
          <w:szCs w:val="24"/>
        </w:rPr>
        <w:t>l’exploitation</w:t>
      </w:r>
      <w:r w:rsidRPr="002462E6">
        <w:rPr>
          <w:rFonts w:ascii="Tahoma" w:eastAsia="Times New Roman" w:hAnsi="Tahoma" w:cs="Tahoma"/>
          <w:spacing w:val="-6"/>
          <w:sz w:val="24"/>
          <w:szCs w:val="24"/>
        </w:rPr>
        <w:t xml:space="preserve"> </w:t>
      </w:r>
      <w:r w:rsidRPr="002462E6">
        <w:rPr>
          <w:rFonts w:ascii="Tahoma" w:eastAsia="Times New Roman" w:hAnsi="Tahoma" w:cs="Tahoma"/>
          <w:sz w:val="24"/>
          <w:szCs w:val="24"/>
        </w:rPr>
        <w:t>des</w:t>
      </w:r>
      <w:r w:rsidRPr="002462E6">
        <w:rPr>
          <w:rFonts w:ascii="Tahoma" w:eastAsia="Times New Roman" w:hAnsi="Tahoma" w:cs="Tahoma"/>
          <w:spacing w:val="-7"/>
          <w:sz w:val="24"/>
          <w:szCs w:val="24"/>
        </w:rPr>
        <w:t xml:space="preserve"> </w:t>
      </w:r>
      <w:r w:rsidRPr="002462E6">
        <w:rPr>
          <w:rFonts w:ascii="Tahoma" w:eastAsia="Times New Roman" w:hAnsi="Tahoma" w:cs="Tahoma"/>
          <w:sz w:val="24"/>
          <w:szCs w:val="24"/>
        </w:rPr>
        <w:t>forêts</w:t>
      </w:r>
      <w:r w:rsidRPr="002462E6">
        <w:rPr>
          <w:rFonts w:ascii="Tahoma" w:eastAsia="Times New Roman" w:hAnsi="Tahoma" w:cs="Tahoma"/>
          <w:spacing w:val="-57"/>
          <w:sz w:val="24"/>
          <w:szCs w:val="24"/>
        </w:rPr>
        <w:t xml:space="preserve"> </w:t>
      </w:r>
      <w:r w:rsidRPr="002462E6">
        <w:rPr>
          <w:rFonts w:ascii="Tahoma" w:eastAsia="Times New Roman" w:hAnsi="Tahoma" w:cs="Tahoma"/>
          <w:sz w:val="24"/>
          <w:szCs w:val="24"/>
        </w:rPr>
        <w:t>constituant la loi forestière marocaine. Bien qu'il ait été depuis complété et modifié à plusieurs</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reprises</w:t>
      </w:r>
      <w:r w:rsidRPr="002462E6">
        <w:rPr>
          <w:rFonts w:ascii="Tahoma" w:eastAsia="Times New Roman" w:hAnsi="Tahoma" w:cs="Tahoma"/>
          <w:spacing w:val="-6"/>
          <w:sz w:val="24"/>
          <w:szCs w:val="24"/>
        </w:rPr>
        <w:t xml:space="preserve"> </w:t>
      </w:r>
      <w:r w:rsidRPr="002462E6">
        <w:rPr>
          <w:rFonts w:ascii="Tahoma" w:eastAsia="Times New Roman" w:hAnsi="Tahoma" w:cs="Tahoma"/>
          <w:sz w:val="24"/>
          <w:szCs w:val="24"/>
        </w:rPr>
        <w:t>sur</w:t>
      </w:r>
      <w:r w:rsidRPr="002462E6">
        <w:rPr>
          <w:rFonts w:ascii="Tahoma" w:eastAsia="Times New Roman" w:hAnsi="Tahoma" w:cs="Tahoma"/>
          <w:spacing w:val="-6"/>
          <w:sz w:val="24"/>
          <w:szCs w:val="24"/>
        </w:rPr>
        <w:t xml:space="preserve"> </w:t>
      </w:r>
      <w:r w:rsidRPr="002462E6">
        <w:rPr>
          <w:rFonts w:ascii="Tahoma" w:eastAsia="Times New Roman" w:hAnsi="Tahoma" w:cs="Tahoma"/>
          <w:sz w:val="24"/>
          <w:szCs w:val="24"/>
        </w:rPr>
        <w:t>des</w:t>
      </w:r>
      <w:r w:rsidRPr="002462E6">
        <w:rPr>
          <w:rFonts w:ascii="Tahoma" w:eastAsia="Times New Roman" w:hAnsi="Tahoma" w:cs="Tahoma"/>
          <w:spacing w:val="-5"/>
          <w:sz w:val="24"/>
          <w:szCs w:val="24"/>
        </w:rPr>
        <w:t xml:space="preserve"> </w:t>
      </w:r>
      <w:r w:rsidRPr="002462E6">
        <w:rPr>
          <w:rFonts w:ascii="Tahoma" w:eastAsia="Times New Roman" w:hAnsi="Tahoma" w:cs="Tahoma"/>
          <w:sz w:val="24"/>
          <w:szCs w:val="24"/>
        </w:rPr>
        <w:t>points</w:t>
      </w:r>
      <w:r w:rsidRPr="002462E6">
        <w:rPr>
          <w:rFonts w:ascii="Tahoma" w:eastAsia="Times New Roman" w:hAnsi="Tahoma" w:cs="Tahoma"/>
          <w:spacing w:val="-4"/>
          <w:sz w:val="24"/>
          <w:szCs w:val="24"/>
        </w:rPr>
        <w:t xml:space="preserve"> </w:t>
      </w:r>
      <w:r w:rsidRPr="002462E6">
        <w:rPr>
          <w:rFonts w:ascii="Tahoma" w:eastAsia="Times New Roman" w:hAnsi="Tahoma" w:cs="Tahoma"/>
          <w:sz w:val="24"/>
          <w:szCs w:val="24"/>
        </w:rPr>
        <w:t>de</w:t>
      </w:r>
      <w:r w:rsidRPr="002462E6">
        <w:rPr>
          <w:rFonts w:ascii="Tahoma" w:eastAsia="Times New Roman" w:hAnsi="Tahoma" w:cs="Tahoma"/>
          <w:spacing w:val="-5"/>
          <w:sz w:val="24"/>
          <w:szCs w:val="24"/>
        </w:rPr>
        <w:t xml:space="preserve"> </w:t>
      </w:r>
      <w:r w:rsidRPr="002462E6">
        <w:rPr>
          <w:rFonts w:ascii="Tahoma" w:eastAsia="Times New Roman" w:hAnsi="Tahoma" w:cs="Tahoma"/>
          <w:sz w:val="24"/>
          <w:szCs w:val="24"/>
        </w:rPr>
        <w:t>détail,</w:t>
      </w:r>
      <w:r w:rsidRPr="002462E6">
        <w:rPr>
          <w:rFonts w:ascii="Tahoma" w:eastAsia="Times New Roman" w:hAnsi="Tahoma" w:cs="Tahoma"/>
          <w:spacing w:val="-4"/>
          <w:sz w:val="24"/>
          <w:szCs w:val="24"/>
        </w:rPr>
        <w:t xml:space="preserve"> </w:t>
      </w:r>
      <w:r w:rsidRPr="002462E6">
        <w:rPr>
          <w:rFonts w:ascii="Tahoma" w:eastAsia="Times New Roman" w:hAnsi="Tahoma" w:cs="Tahoma"/>
          <w:sz w:val="24"/>
          <w:szCs w:val="24"/>
        </w:rPr>
        <w:t>ce</w:t>
      </w:r>
      <w:r w:rsidRPr="002462E6">
        <w:rPr>
          <w:rFonts w:ascii="Tahoma" w:eastAsia="Times New Roman" w:hAnsi="Tahoma" w:cs="Tahoma"/>
          <w:spacing w:val="-7"/>
          <w:sz w:val="24"/>
          <w:szCs w:val="24"/>
        </w:rPr>
        <w:t xml:space="preserve"> </w:t>
      </w:r>
      <w:r w:rsidRPr="002462E6">
        <w:rPr>
          <w:rFonts w:ascii="Tahoma" w:eastAsia="Times New Roman" w:hAnsi="Tahoma" w:cs="Tahoma"/>
          <w:sz w:val="24"/>
          <w:szCs w:val="24"/>
        </w:rPr>
        <w:t>Dahir</w:t>
      </w:r>
      <w:r w:rsidRPr="002462E6">
        <w:rPr>
          <w:rFonts w:ascii="Tahoma" w:eastAsia="Times New Roman" w:hAnsi="Tahoma" w:cs="Tahoma"/>
          <w:spacing w:val="-4"/>
          <w:sz w:val="24"/>
          <w:szCs w:val="24"/>
        </w:rPr>
        <w:t xml:space="preserve"> </w:t>
      </w:r>
      <w:r w:rsidRPr="002462E6">
        <w:rPr>
          <w:rFonts w:ascii="Tahoma" w:eastAsia="Times New Roman" w:hAnsi="Tahoma" w:cs="Tahoma"/>
          <w:sz w:val="24"/>
          <w:szCs w:val="24"/>
        </w:rPr>
        <w:t>posait</w:t>
      </w:r>
      <w:r w:rsidRPr="002462E6">
        <w:rPr>
          <w:rFonts w:ascii="Tahoma" w:eastAsia="Times New Roman" w:hAnsi="Tahoma" w:cs="Tahoma"/>
          <w:spacing w:val="-5"/>
          <w:sz w:val="24"/>
          <w:szCs w:val="24"/>
        </w:rPr>
        <w:t xml:space="preserve"> </w:t>
      </w:r>
      <w:r w:rsidRPr="002462E6">
        <w:rPr>
          <w:rFonts w:ascii="Tahoma" w:eastAsia="Times New Roman" w:hAnsi="Tahoma" w:cs="Tahoma"/>
          <w:sz w:val="24"/>
          <w:szCs w:val="24"/>
        </w:rPr>
        <w:t>d'une</w:t>
      </w:r>
      <w:r w:rsidRPr="002462E6">
        <w:rPr>
          <w:rFonts w:ascii="Tahoma" w:eastAsia="Times New Roman" w:hAnsi="Tahoma" w:cs="Tahoma"/>
          <w:spacing w:val="-5"/>
          <w:sz w:val="24"/>
          <w:szCs w:val="24"/>
        </w:rPr>
        <w:t xml:space="preserve"> </w:t>
      </w:r>
      <w:r w:rsidRPr="002462E6">
        <w:rPr>
          <w:rFonts w:ascii="Tahoma" w:eastAsia="Times New Roman" w:hAnsi="Tahoma" w:cs="Tahoma"/>
          <w:sz w:val="24"/>
          <w:szCs w:val="24"/>
        </w:rPr>
        <w:t>façon</w:t>
      </w:r>
      <w:r w:rsidRPr="002462E6">
        <w:rPr>
          <w:rFonts w:ascii="Tahoma" w:eastAsia="Times New Roman" w:hAnsi="Tahoma" w:cs="Tahoma"/>
          <w:spacing w:val="-5"/>
          <w:sz w:val="24"/>
          <w:szCs w:val="24"/>
        </w:rPr>
        <w:t xml:space="preserve"> </w:t>
      </w:r>
      <w:r w:rsidRPr="002462E6">
        <w:rPr>
          <w:rFonts w:ascii="Tahoma" w:eastAsia="Times New Roman" w:hAnsi="Tahoma" w:cs="Tahoma"/>
          <w:sz w:val="24"/>
          <w:szCs w:val="24"/>
        </w:rPr>
        <w:t>définitive</w:t>
      </w:r>
      <w:r w:rsidRPr="002462E6">
        <w:rPr>
          <w:rFonts w:ascii="Tahoma" w:eastAsia="Times New Roman" w:hAnsi="Tahoma" w:cs="Tahoma"/>
          <w:spacing w:val="-5"/>
          <w:sz w:val="24"/>
          <w:szCs w:val="24"/>
        </w:rPr>
        <w:t xml:space="preserve"> </w:t>
      </w:r>
      <w:r w:rsidRPr="002462E6">
        <w:rPr>
          <w:rFonts w:ascii="Tahoma" w:eastAsia="Times New Roman" w:hAnsi="Tahoma" w:cs="Tahoma"/>
          <w:sz w:val="24"/>
          <w:szCs w:val="24"/>
        </w:rPr>
        <w:t>les</w:t>
      </w:r>
      <w:r w:rsidRPr="002462E6">
        <w:rPr>
          <w:rFonts w:ascii="Tahoma" w:eastAsia="Times New Roman" w:hAnsi="Tahoma" w:cs="Tahoma"/>
          <w:spacing w:val="-5"/>
          <w:sz w:val="24"/>
          <w:szCs w:val="24"/>
        </w:rPr>
        <w:t xml:space="preserve"> </w:t>
      </w:r>
      <w:r w:rsidRPr="002462E6">
        <w:rPr>
          <w:rFonts w:ascii="Tahoma" w:eastAsia="Times New Roman" w:hAnsi="Tahoma" w:cs="Tahoma"/>
          <w:sz w:val="24"/>
          <w:szCs w:val="24"/>
        </w:rPr>
        <w:t>dispositions</w:t>
      </w:r>
      <w:r w:rsidRPr="002462E6">
        <w:rPr>
          <w:rFonts w:ascii="Tahoma" w:eastAsia="Times New Roman" w:hAnsi="Tahoma" w:cs="Tahoma"/>
          <w:spacing w:val="-5"/>
          <w:sz w:val="24"/>
          <w:szCs w:val="24"/>
        </w:rPr>
        <w:t xml:space="preserve"> </w:t>
      </w:r>
      <w:r w:rsidRPr="002462E6">
        <w:rPr>
          <w:rFonts w:ascii="Tahoma" w:eastAsia="Times New Roman" w:hAnsi="Tahoma" w:cs="Tahoma"/>
          <w:sz w:val="24"/>
          <w:szCs w:val="24"/>
        </w:rPr>
        <w:t>essentielles.</w:t>
      </w:r>
      <w:r w:rsidRPr="002462E6">
        <w:rPr>
          <w:rFonts w:ascii="Tahoma" w:eastAsia="Times New Roman" w:hAnsi="Tahoma" w:cs="Tahoma"/>
          <w:spacing w:val="-57"/>
          <w:sz w:val="24"/>
          <w:szCs w:val="24"/>
        </w:rPr>
        <w:t xml:space="preserve"> </w:t>
      </w:r>
      <w:r w:rsidRPr="002462E6">
        <w:rPr>
          <w:rFonts w:ascii="Tahoma" w:eastAsia="Times New Roman" w:hAnsi="Tahoma" w:cs="Tahoma"/>
          <w:sz w:val="24"/>
          <w:szCs w:val="24"/>
        </w:rPr>
        <w:t>Il a été élaboré par le premier directeur de l’administration forestière, Paul BOUDY</w:t>
      </w:r>
      <w:r w:rsidRPr="002462E6">
        <w:rPr>
          <w:rFonts w:ascii="Tahoma" w:eastAsia="Times New Roman" w:hAnsi="Tahoma" w:cs="Tahoma"/>
          <w:sz w:val="24"/>
          <w:szCs w:val="24"/>
          <w:vertAlign w:val="superscript"/>
        </w:rPr>
        <w:footnoteReference w:id="283"/>
      </w:r>
      <w:r w:rsidRPr="002462E6">
        <w:rPr>
          <w:rFonts w:ascii="Tahoma" w:eastAsia="Times New Roman" w:hAnsi="Tahoma" w:cs="Tahoma"/>
          <w:sz w:val="24"/>
          <w:szCs w:val="24"/>
        </w:rPr>
        <w:t xml:space="preserve"> et semblait</w:t>
      </w:r>
      <w:r w:rsidRPr="002462E6">
        <w:rPr>
          <w:rFonts w:ascii="Tahoma" w:eastAsia="Times New Roman" w:hAnsi="Tahoma" w:cs="Tahoma"/>
          <w:spacing w:val="-57"/>
          <w:sz w:val="24"/>
          <w:szCs w:val="24"/>
        </w:rPr>
        <w:t xml:space="preserve"> </w:t>
      </w:r>
      <w:r w:rsidRPr="002462E6">
        <w:rPr>
          <w:rFonts w:ascii="Tahoma" w:eastAsia="Times New Roman" w:hAnsi="Tahoma" w:cs="Tahoma"/>
          <w:sz w:val="24"/>
          <w:szCs w:val="24"/>
        </w:rPr>
        <w:t>s’inspirer dans son ensemble, de la loi forestière algérienne du 21 février 1903. En effet, le Dahir</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en question se distinguait par rapport à la loi algérienne, par plus de libéralisme en matière de</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pénalités et par sa simplicité</w:t>
      </w:r>
      <w:r w:rsidRPr="002462E6">
        <w:rPr>
          <w:rFonts w:ascii="Tahoma" w:eastAsia="Times New Roman" w:hAnsi="Tahoma" w:cs="Tahoma"/>
          <w:sz w:val="24"/>
          <w:szCs w:val="24"/>
          <w:vertAlign w:val="superscript"/>
        </w:rPr>
        <w:footnoteReference w:id="284"/>
      </w:r>
      <w:r w:rsidRPr="002462E6">
        <w:rPr>
          <w:rFonts w:ascii="Tahoma" w:eastAsia="Times New Roman" w:hAnsi="Tahoma" w:cs="Tahoma"/>
          <w:sz w:val="24"/>
          <w:szCs w:val="24"/>
        </w:rPr>
        <w:t>.</w:t>
      </w:r>
    </w:p>
    <w:p w:rsidR="00726EDC" w:rsidRPr="002462E6" w:rsidRDefault="00726EDC" w:rsidP="00726EDC">
      <w:pPr>
        <w:widowControl w:val="0"/>
        <w:tabs>
          <w:tab w:val="left" w:pos="851"/>
        </w:tabs>
        <w:autoSpaceDE w:val="0"/>
        <w:autoSpaceDN w:val="0"/>
        <w:spacing w:after="0" w:line="360" w:lineRule="auto"/>
        <w:ind w:right="142"/>
        <w:jc w:val="both"/>
        <w:rPr>
          <w:rFonts w:ascii="Tahoma" w:eastAsia="Times New Roman" w:hAnsi="Tahoma" w:cs="Tahoma"/>
          <w:sz w:val="24"/>
          <w:szCs w:val="24"/>
        </w:rPr>
      </w:pPr>
      <w:r w:rsidRPr="002462E6">
        <w:rPr>
          <w:rFonts w:ascii="Tahoma" w:eastAsia="Times New Roman" w:hAnsi="Tahoma" w:cs="Tahoma"/>
          <w:sz w:val="24"/>
          <w:szCs w:val="24"/>
        </w:rPr>
        <w:t>En effet, 84 articles ont été élaborés au lieu de 190 articles en</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Algérie</w:t>
      </w:r>
      <w:r w:rsidRPr="002462E6">
        <w:rPr>
          <w:rFonts w:ascii="Tahoma" w:eastAsia="Times New Roman" w:hAnsi="Tahoma" w:cs="Tahoma"/>
          <w:spacing w:val="4"/>
          <w:sz w:val="24"/>
          <w:szCs w:val="24"/>
        </w:rPr>
        <w:t xml:space="preserve"> </w:t>
      </w:r>
      <w:r w:rsidRPr="002462E6">
        <w:rPr>
          <w:rFonts w:ascii="Tahoma" w:eastAsia="Times New Roman" w:hAnsi="Tahoma" w:cs="Tahoma"/>
          <w:sz w:val="24"/>
          <w:szCs w:val="24"/>
        </w:rPr>
        <w:t>contenant</w:t>
      </w:r>
      <w:r w:rsidRPr="002462E6">
        <w:rPr>
          <w:rFonts w:ascii="Tahoma" w:eastAsia="Times New Roman" w:hAnsi="Tahoma" w:cs="Tahoma"/>
          <w:spacing w:val="5"/>
          <w:sz w:val="24"/>
          <w:szCs w:val="24"/>
        </w:rPr>
        <w:t xml:space="preserve"> </w:t>
      </w:r>
      <w:r w:rsidRPr="002462E6">
        <w:rPr>
          <w:rFonts w:ascii="Tahoma" w:eastAsia="Times New Roman" w:hAnsi="Tahoma" w:cs="Tahoma"/>
          <w:sz w:val="24"/>
          <w:szCs w:val="24"/>
        </w:rPr>
        <w:t>les</w:t>
      </w:r>
      <w:r w:rsidRPr="002462E6">
        <w:rPr>
          <w:rFonts w:ascii="Tahoma" w:eastAsia="Times New Roman" w:hAnsi="Tahoma" w:cs="Tahoma"/>
          <w:spacing w:val="4"/>
          <w:sz w:val="24"/>
          <w:szCs w:val="24"/>
        </w:rPr>
        <w:t xml:space="preserve"> </w:t>
      </w:r>
      <w:r w:rsidRPr="002462E6">
        <w:rPr>
          <w:rFonts w:ascii="Tahoma" w:eastAsia="Times New Roman" w:hAnsi="Tahoma" w:cs="Tahoma"/>
          <w:sz w:val="24"/>
          <w:szCs w:val="24"/>
        </w:rPr>
        <w:t>principes</w:t>
      </w:r>
      <w:r w:rsidRPr="002462E6">
        <w:rPr>
          <w:rFonts w:ascii="Tahoma" w:eastAsia="Times New Roman" w:hAnsi="Tahoma" w:cs="Tahoma"/>
          <w:spacing w:val="4"/>
          <w:sz w:val="24"/>
          <w:szCs w:val="24"/>
        </w:rPr>
        <w:t xml:space="preserve"> </w:t>
      </w:r>
      <w:r w:rsidRPr="002462E6">
        <w:rPr>
          <w:rFonts w:ascii="Tahoma" w:eastAsia="Times New Roman" w:hAnsi="Tahoma" w:cs="Tahoma"/>
          <w:sz w:val="24"/>
          <w:szCs w:val="24"/>
        </w:rPr>
        <w:t>de</w:t>
      </w:r>
      <w:r w:rsidRPr="002462E6">
        <w:rPr>
          <w:rFonts w:ascii="Tahoma" w:eastAsia="Times New Roman" w:hAnsi="Tahoma" w:cs="Tahoma"/>
          <w:spacing w:val="3"/>
          <w:sz w:val="24"/>
          <w:szCs w:val="24"/>
        </w:rPr>
        <w:t xml:space="preserve"> </w:t>
      </w:r>
      <w:r w:rsidRPr="002462E6">
        <w:rPr>
          <w:rFonts w:ascii="Tahoma" w:eastAsia="Times New Roman" w:hAnsi="Tahoma" w:cs="Tahoma"/>
          <w:sz w:val="24"/>
          <w:szCs w:val="24"/>
        </w:rPr>
        <w:t>droit</w:t>
      </w:r>
      <w:r w:rsidRPr="002462E6">
        <w:rPr>
          <w:rFonts w:ascii="Tahoma" w:eastAsia="Times New Roman" w:hAnsi="Tahoma" w:cs="Tahoma"/>
          <w:spacing w:val="4"/>
          <w:sz w:val="24"/>
          <w:szCs w:val="24"/>
        </w:rPr>
        <w:t xml:space="preserve"> </w:t>
      </w:r>
      <w:r w:rsidRPr="002462E6">
        <w:rPr>
          <w:rFonts w:ascii="Tahoma" w:eastAsia="Times New Roman" w:hAnsi="Tahoma" w:cs="Tahoma"/>
          <w:sz w:val="24"/>
          <w:szCs w:val="24"/>
        </w:rPr>
        <w:t>et</w:t>
      </w:r>
      <w:r w:rsidRPr="002462E6">
        <w:rPr>
          <w:rFonts w:ascii="Tahoma" w:eastAsia="Times New Roman" w:hAnsi="Tahoma" w:cs="Tahoma"/>
          <w:spacing w:val="5"/>
          <w:sz w:val="24"/>
          <w:szCs w:val="24"/>
        </w:rPr>
        <w:t xml:space="preserve"> </w:t>
      </w:r>
      <w:r w:rsidRPr="002462E6">
        <w:rPr>
          <w:rFonts w:ascii="Tahoma" w:eastAsia="Times New Roman" w:hAnsi="Tahoma" w:cs="Tahoma"/>
          <w:sz w:val="24"/>
          <w:szCs w:val="24"/>
        </w:rPr>
        <w:t>fixant</w:t>
      </w:r>
      <w:r w:rsidRPr="002462E6">
        <w:rPr>
          <w:rFonts w:ascii="Tahoma" w:eastAsia="Times New Roman" w:hAnsi="Tahoma" w:cs="Tahoma"/>
          <w:spacing w:val="2"/>
          <w:sz w:val="24"/>
          <w:szCs w:val="24"/>
        </w:rPr>
        <w:t xml:space="preserve"> </w:t>
      </w:r>
      <w:r w:rsidRPr="002462E6">
        <w:rPr>
          <w:rFonts w:ascii="Tahoma" w:eastAsia="Times New Roman" w:hAnsi="Tahoma" w:cs="Tahoma"/>
          <w:sz w:val="24"/>
          <w:szCs w:val="24"/>
        </w:rPr>
        <w:t>les</w:t>
      </w:r>
      <w:r w:rsidRPr="002462E6">
        <w:rPr>
          <w:rFonts w:ascii="Tahoma" w:eastAsia="Times New Roman" w:hAnsi="Tahoma" w:cs="Tahoma"/>
          <w:spacing w:val="5"/>
          <w:sz w:val="24"/>
          <w:szCs w:val="24"/>
        </w:rPr>
        <w:t xml:space="preserve"> </w:t>
      </w:r>
      <w:r w:rsidRPr="002462E6">
        <w:rPr>
          <w:rFonts w:ascii="Tahoma" w:eastAsia="Times New Roman" w:hAnsi="Tahoma" w:cs="Tahoma"/>
          <w:sz w:val="24"/>
          <w:szCs w:val="24"/>
        </w:rPr>
        <w:t>pénalités</w:t>
      </w:r>
      <w:r w:rsidRPr="002462E6">
        <w:rPr>
          <w:rFonts w:ascii="Tahoma" w:eastAsia="Times New Roman" w:hAnsi="Tahoma" w:cs="Tahoma"/>
          <w:sz w:val="24"/>
          <w:szCs w:val="24"/>
          <w:vertAlign w:val="superscript"/>
        </w:rPr>
        <w:footnoteReference w:id="285"/>
      </w:r>
      <w:r w:rsidRPr="002462E6">
        <w:rPr>
          <w:rFonts w:ascii="Tahoma" w:eastAsia="Times New Roman" w:hAnsi="Tahoma" w:cs="Tahoma"/>
          <w:sz w:val="24"/>
          <w:szCs w:val="24"/>
        </w:rPr>
        <w:t>,</w:t>
      </w:r>
      <w:r w:rsidRPr="002462E6">
        <w:rPr>
          <w:rFonts w:ascii="Tahoma" w:eastAsia="Times New Roman" w:hAnsi="Tahoma" w:cs="Tahoma"/>
          <w:spacing w:val="3"/>
          <w:sz w:val="24"/>
          <w:szCs w:val="24"/>
        </w:rPr>
        <w:t xml:space="preserve"> </w:t>
      </w:r>
      <w:r w:rsidRPr="002462E6">
        <w:rPr>
          <w:rFonts w:ascii="Tahoma" w:eastAsia="Times New Roman" w:hAnsi="Tahoma" w:cs="Tahoma"/>
          <w:sz w:val="24"/>
          <w:szCs w:val="24"/>
        </w:rPr>
        <w:t>laissant</w:t>
      </w:r>
      <w:r w:rsidRPr="002462E6">
        <w:rPr>
          <w:rFonts w:ascii="Tahoma" w:eastAsia="Times New Roman" w:hAnsi="Tahoma" w:cs="Tahoma"/>
          <w:spacing w:val="4"/>
          <w:sz w:val="24"/>
          <w:szCs w:val="24"/>
        </w:rPr>
        <w:t xml:space="preserve"> </w:t>
      </w:r>
      <w:r w:rsidRPr="002462E6">
        <w:rPr>
          <w:rFonts w:ascii="Tahoma" w:eastAsia="Times New Roman" w:hAnsi="Tahoma" w:cs="Tahoma"/>
          <w:sz w:val="24"/>
          <w:szCs w:val="24"/>
        </w:rPr>
        <w:t>à</w:t>
      </w:r>
      <w:r w:rsidRPr="002462E6">
        <w:rPr>
          <w:rFonts w:ascii="Tahoma" w:eastAsia="Times New Roman" w:hAnsi="Tahoma" w:cs="Tahoma"/>
          <w:spacing w:val="3"/>
          <w:sz w:val="24"/>
          <w:szCs w:val="24"/>
        </w:rPr>
        <w:t xml:space="preserve"> </w:t>
      </w:r>
      <w:r w:rsidRPr="002462E6">
        <w:rPr>
          <w:rFonts w:ascii="Tahoma" w:eastAsia="Times New Roman" w:hAnsi="Tahoma" w:cs="Tahoma"/>
          <w:sz w:val="24"/>
          <w:szCs w:val="24"/>
        </w:rPr>
        <w:t>des</w:t>
      </w:r>
      <w:r w:rsidRPr="002462E6">
        <w:rPr>
          <w:rFonts w:ascii="Tahoma" w:eastAsia="Times New Roman" w:hAnsi="Tahoma" w:cs="Tahoma"/>
          <w:spacing w:val="5"/>
          <w:sz w:val="24"/>
          <w:szCs w:val="24"/>
        </w:rPr>
        <w:t xml:space="preserve"> </w:t>
      </w:r>
      <w:r w:rsidRPr="002462E6">
        <w:rPr>
          <w:rFonts w:ascii="Tahoma" w:eastAsia="Times New Roman" w:hAnsi="Tahoma" w:cs="Tahoma"/>
          <w:sz w:val="24"/>
          <w:szCs w:val="24"/>
        </w:rPr>
        <w:t>arrêtés</w:t>
      </w:r>
      <w:r w:rsidRPr="002462E6">
        <w:rPr>
          <w:rFonts w:ascii="Tahoma" w:eastAsia="Times New Roman" w:hAnsi="Tahoma" w:cs="Tahoma"/>
          <w:spacing w:val="5"/>
          <w:sz w:val="24"/>
          <w:szCs w:val="24"/>
        </w:rPr>
        <w:t xml:space="preserve"> </w:t>
      </w:r>
      <w:r w:rsidRPr="002462E6">
        <w:rPr>
          <w:rFonts w:ascii="Tahoma" w:eastAsia="Times New Roman" w:hAnsi="Tahoma" w:cs="Tahoma"/>
          <w:sz w:val="24"/>
          <w:szCs w:val="24"/>
        </w:rPr>
        <w:t>viziriels</w:t>
      </w:r>
      <w:r w:rsidRPr="002462E6">
        <w:rPr>
          <w:rFonts w:ascii="Tahoma" w:eastAsia="Times New Roman" w:hAnsi="Tahoma" w:cs="Tahoma"/>
          <w:spacing w:val="3"/>
          <w:sz w:val="24"/>
          <w:szCs w:val="24"/>
        </w:rPr>
        <w:t xml:space="preserve"> </w:t>
      </w:r>
      <w:r w:rsidRPr="002462E6">
        <w:rPr>
          <w:rFonts w:ascii="Tahoma" w:eastAsia="Times New Roman" w:hAnsi="Tahoma" w:cs="Tahoma"/>
          <w:sz w:val="24"/>
          <w:szCs w:val="24"/>
        </w:rPr>
        <w:t>ou aux</w:t>
      </w:r>
      <w:r w:rsidRPr="002462E6">
        <w:rPr>
          <w:rFonts w:ascii="Tahoma" w:eastAsia="Times New Roman" w:hAnsi="Tahoma" w:cs="Tahoma"/>
          <w:spacing w:val="-2"/>
          <w:sz w:val="24"/>
          <w:szCs w:val="24"/>
        </w:rPr>
        <w:t xml:space="preserve"> </w:t>
      </w:r>
      <w:r w:rsidRPr="002462E6">
        <w:rPr>
          <w:rFonts w:ascii="Tahoma" w:eastAsia="Times New Roman" w:hAnsi="Tahoma" w:cs="Tahoma"/>
          <w:sz w:val="24"/>
          <w:szCs w:val="24"/>
        </w:rPr>
        <w:t>cahiers</w:t>
      </w:r>
      <w:r w:rsidRPr="002462E6">
        <w:rPr>
          <w:rFonts w:ascii="Tahoma" w:eastAsia="Times New Roman" w:hAnsi="Tahoma" w:cs="Tahoma"/>
          <w:spacing w:val="-3"/>
          <w:sz w:val="24"/>
          <w:szCs w:val="24"/>
        </w:rPr>
        <w:t xml:space="preserve"> </w:t>
      </w:r>
      <w:r w:rsidRPr="002462E6">
        <w:rPr>
          <w:rFonts w:ascii="Tahoma" w:eastAsia="Times New Roman" w:hAnsi="Tahoma" w:cs="Tahoma"/>
          <w:sz w:val="24"/>
          <w:szCs w:val="24"/>
        </w:rPr>
        <w:t>des</w:t>
      </w:r>
      <w:r w:rsidRPr="002462E6">
        <w:rPr>
          <w:rFonts w:ascii="Tahoma" w:eastAsia="Times New Roman" w:hAnsi="Tahoma" w:cs="Tahoma"/>
          <w:spacing w:val="-2"/>
          <w:sz w:val="24"/>
          <w:szCs w:val="24"/>
        </w:rPr>
        <w:t xml:space="preserve"> </w:t>
      </w:r>
      <w:r w:rsidRPr="002462E6">
        <w:rPr>
          <w:rFonts w:ascii="Tahoma" w:eastAsia="Times New Roman" w:hAnsi="Tahoma" w:cs="Tahoma"/>
          <w:sz w:val="24"/>
          <w:szCs w:val="24"/>
        </w:rPr>
        <w:t>charges</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le</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soin</w:t>
      </w:r>
      <w:r w:rsidRPr="002462E6">
        <w:rPr>
          <w:rFonts w:ascii="Tahoma" w:eastAsia="Times New Roman" w:hAnsi="Tahoma" w:cs="Tahoma"/>
          <w:spacing w:val="-2"/>
          <w:sz w:val="24"/>
          <w:szCs w:val="24"/>
        </w:rPr>
        <w:t xml:space="preserve"> </w:t>
      </w:r>
      <w:r w:rsidRPr="002462E6">
        <w:rPr>
          <w:rFonts w:ascii="Tahoma" w:eastAsia="Times New Roman" w:hAnsi="Tahoma" w:cs="Tahoma"/>
          <w:sz w:val="24"/>
          <w:szCs w:val="24"/>
        </w:rPr>
        <w:t>de</w:t>
      </w:r>
      <w:r w:rsidRPr="002462E6">
        <w:rPr>
          <w:rFonts w:ascii="Tahoma" w:eastAsia="Times New Roman" w:hAnsi="Tahoma" w:cs="Tahoma"/>
          <w:spacing w:val="-2"/>
          <w:sz w:val="24"/>
          <w:szCs w:val="24"/>
        </w:rPr>
        <w:t xml:space="preserve"> </w:t>
      </w:r>
      <w:r w:rsidRPr="002462E6">
        <w:rPr>
          <w:rFonts w:ascii="Tahoma" w:eastAsia="Times New Roman" w:hAnsi="Tahoma" w:cs="Tahoma"/>
          <w:sz w:val="24"/>
          <w:szCs w:val="24"/>
        </w:rPr>
        <w:t>clarifier</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les</w:t>
      </w:r>
      <w:r w:rsidRPr="002462E6">
        <w:rPr>
          <w:rFonts w:ascii="Tahoma" w:eastAsia="Times New Roman" w:hAnsi="Tahoma" w:cs="Tahoma"/>
          <w:spacing w:val="-2"/>
          <w:sz w:val="24"/>
          <w:szCs w:val="24"/>
        </w:rPr>
        <w:t xml:space="preserve"> </w:t>
      </w:r>
      <w:r w:rsidRPr="002462E6">
        <w:rPr>
          <w:rFonts w:ascii="Tahoma" w:eastAsia="Times New Roman" w:hAnsi="Tahoma" w:cs="Tahoma"/>
          <w:sz w:val="24"/>
          <w:szCs w:val="24"/>
        </w:rPr>
        <w:t>détails d'application.</w:t>
      </w:r>
      <w:r w:rsidRPr="002462E6">
        <w:rPr>
          <w:rFonts w:ascii="Tahoma" w:eastAsia="Times New Roman" w:hAnsi="Tahoma" w:cs="Tahoma"/>
          <w:spacing w:val="-2"/>
          <w:sz w:val="24"/>
          <w:szCs w:val="24"/>
        </w:rPr>
        <w:t xml:space="preserve"> </w:t>
      </w:r>
      <w:r w:rsidRPr="002462E6">
        <w:rPr>
          <w:rFonts w:ascii="Tahoma" w:eastAsia="Times New Roman" w:hAnsi="Tahoma" w:cs="Tahoma"/>
          <w:sz w:val="24"/>
          <w:szCs w:val="24"/>
        </w:rPr>
        <w:t>La</w:t>
      </w:r>
      <w:r w:rsidRPr="002462E6">
        <w:rPr>
          <w:rFonts w:ascii="Tahoma" w:eastAsia="Times New Roman" w:hAnsi="Tahoma" w:cs="Tahoma"/>
          <w:spacing w:val="-2"/>
          <w:sz w:val="24"/>
          <w:szCs w:val="24"/>
        </w:rPr>
        <w:t xml:space="preserve"> </w:t>
      </w:r>
      <w:r w:rsidRPr="002462E6">
        <w:rPr>
          <w:rFonts w:ascii="Tahoma" w:eastAsia="Times New Roman" w:hAnsi="Tahoma" w:cs="Tahoma"/>
          <w:sz w:val="24"/>
          <w:szCs w:val="24"/>
        </w:rPr>
        <w:t>majorité</w:t>
      </w:r>
      <w:r w:rsidRPr="002462E6">
        <w:rPr>
          <w:rFonts w:ascii="Tahoma" w:eastAsia="Times New Roman" w:hAnsi="Tahoma" w:cs="Tahoma"/>
          <w:spacing w:val="-3"/>
          <w:sz w:val="24"/>
          <w:szCs w:val="24"/>
        </w:rPr>
        <w:t xml:space="preserve"> </w:t>
      </w:r>
      <w:r w:rsidRPr="002462E6">
        <w:rPr>
          <w:rFonts w:ascii="Tahoma" w:eastAsia="Times New Roman" w:hAnsi="Tahoma" w:cs="Tahoma"/>
          <w:sz w:val="24"/>
          <w:szCs w:val="24"/>
        </w:rPr>
        <w:t>des</w:t>
      </w:r>
      <w:r w:rsidRPr="002462E6">
        <w:rPr>
          <w:rFonts w:ascii="Tahoma" w:eastAsia="Times New Roman" w:hAnsi="Tahoma" w:cs="Tahoma"/>
          <w:spacing w:val="-3"/>
          <w:sz w:val="24"/>
          <w:szCs w:val="24"/>
        </w:rPr>
        <w:t xml:space="preserve"> </w:t>
      </w:r>
      <w:r w:rsidRPr="002462E6">
        <w:rPr>
          <w:rFonts w:ascii="Tahoma" w:eastAsia="Times New Roman" w:hAnsi="Tahoma" w:cs="Tahoma"/>
          <w:sz w:val="24"/>
          <w:szCs w:val="24"/>
        </w:rPr>
        <w:t>textes</w:t>
      </w:r>
      <w:r w:rsidRPr="002462E6">
        <w:rPr>
          <w:rFonts w:ascii="Tahoma" w:eastAsia="Times New Roman" w:hAnsi="Tahoma" w:cs="Tahoma"/>
          <w:spacing w:val="-2"/>
          <w:sz w:val="24"/>
          <w:szCs w:val="24"/>
        </w:rPr>
        <w:t xml:space="preserve"> </w:t>
      </w:r>
      <w:r w:rsidRPr="002462E6">
        <w:rPr>
          <w:rFonts w:ascii="Tahoma" w:eastAsia="Times New Roman" w:hAnsi="Tahoma" w:cs="Tahoma"/>
          <w:sz w:val="24"/>
          <w:szCs w:val="24"/>
        </w:rPr>
        <w:t>relevant</w:t>
      </w:r>
      <w:r w:rsidRPr="002462E6">
        <w:rPr>
          <w:rFonts w:ascii="Tahoma" w:eastAsia="Times New Roman" w:hAnsi="Tahoma" w:cs="Tahoma"/>
          <w:spacing w:val="-57"/>
          <w:sz w:val="24"/>
          <w:szCs w:val="24"/>
        </w:rPr>
        <w:t xml:space="preserve"> </w:t>
      </w:r>
      <w:r w:rsidRPr="002462E6">
        <w:rPr>
          <w:rFonts w:ascii="Tahoma" w:eastAsia="Times New Roman" w:hAnsi="Tahoma" w:cs="Tahoma"/>
          <w:sz w:val="24"/>
          <w:szCs w:val="24"/>
        </w:rPr>
        <w:t>de</w:t>
      </w:r>
      <w:r w:rsidRPr="002462E6">
        <w:rPr>
          <w:rFonts w:ascii="Tahoma" w:eastAsia="Times New Roman" w:hAnsi="Tahoma" w:cs="Tahoma"/>
          <w:spacing w:val="-7"/>
          <w:sz w:val="24"/>
          <w:szCs w:val="24"/>
        </w:rPr>
        <w:t xml:space="preserve"> </w:t>
      </w:r>
      <w:r w:rsidRPr="002462E6">
        <w:rPr>
          <w:rFonts w:ascii="Tahoma" w:eastAsia="Times New Roman" w:hAnsi="Tahoma" w:cs="Tahoma"/>
          <w:sz w:val="24"/>
          <w:szCs w:val="24"/>
        </w:rPr>
        <w:t>la</w:t>
      </w:r>
      <w:r w:rsidRPr="002462E6">
        <w:rPr>
          <w:rFonts w:ascii="Tahoma" w:eastAsia="Times New Roman" w:hAnsi="Tahoma" w:cs="Tahoma"/>
          <w:spacing w:val="-7"/>
          <w:sz w:val="24"/>
          <w:szCs w:val="24"/>
        </w:rPr>
        <w:t xml:space="preserve"> </w:t>
      </w:r>
      <w:r w:rsidRPr="002462E6">
        <w:rPr>
          <w:rFonts w:ascii="Tahoma" w:eastAsia="Times New Roman" w:hAnsi="Tahoma" w:cs="Tahoma"/>
          <w:sz w:val="24"/>
          <w:szCs w:val="24"/>
        </w:rPr>
        <w:t>législation</w:t>
      </w:r>
      <w:r w:rsidRPr="002462E6">
        <w:rPr>
          <w:rFonts w:ascii="Tahoma" w:eastAsia="Times New Roman" w:hAnsi="Tahoma" w:cs="Tahoma"/>
          <w:spacing w:val="-6"/>
          <w:sz w:val="24"/>
          <w:szCs w:val="24"/>
        </w:rPr>
        <w:t xml:space="preserve"> </w:t>
      </w:r>
      <w:r w:rsidRPr="002462E6">
        <w:rPr>
          <w:rFonts w:ascii="Tahoma" w:eastAsia="Times New Roman" w:hAnsi="Tahoma" w:cs="Tahoma"/>
          <w:sz w:val="24"/>
          <w:szCs w:val="24"/>
        </w:rPr>
        <w:t>forestière,</w:t>
      </w:r>
      <w:r w:rsidRPr="002462E6">
        <w:rPr>
          <w:rFonts w:ascii="Tahoma" w:eastAsia="Times New Roman" w:hAnsi="Tahoma" w:cs="Tahoma"/>
          <w:spacing w:val="-7"/>
          <w:sz w:val="24"/>
          <w:szCs w:val="24"/>
        </w:rPr>
        <w:t xml:space="preserve"> </w:t>
      </w:r>
      <w:r w:rsidRPr="002462E6">
        <w:rPr>
          <w:rFonts w:ascii="Tahoma" w:eastAsia="Times New Roman" w:hAnsi="Tahoma" w:cs="Tahoma"/>
          <w:sz w:val="24"/>
          <w:szCs w:val="24"/>
        </w:rPr>
        <w:t>rédigée</w:t>
      </w:r>
      <w:r w:rsidRPr="002462E6">
        <w:rPr>
          <w:rFonts w:ascii="Tahoma" w:eastAsia="Times New Roman" w:hAnsi="Tahoma" w:cs="Tahoma"/>
          <w:spacing w:val="-7"/>
          <w:sz w:val="24"/>
          <w:szCs w:val="24"/>
        </w:rPr>
        <w:t xml:space="preserve"> </w:t>
      </w:r>
      <w:r w:rsidRPr="002462E6">
        <w:rPr>
          <w:rFonts w:ascii="Tahoma" w:eastAsia="Times New Roman" w:hAnsi="Tahoma" w:cs="Tahoma"/>
          <w:sz w:val="24"/>
          <w:szCs w:val="24"/>
        </w:rPr>
        <w:t>sous</w:t>
      </w:r>
      <w:r w:rsidRPr="002462E6">
        <w:rPr>
          <w:rFonts w:ascii="Tahoma" w:eastAsia="Times New Roman" w:hAnsi="Tahoma" w:cs="Tahoma"/>
          <w:spacing w:val="-7"/>
          <w:sz w:val="24"/>
          <w:szCs w:val="24"/>
        </w:rPr>
        <w:t xml:space="preserve"> </w:t>
      </w:r>
      <w:r w:rsidRPr="002462E6">
        <w:rPr>
          <w:rFonts w:ascii="Tahoma" w:eastAsia="Times New Roman" w:hAnsi="Tahoma" w:cs="Tahoma"/>
          <w:sz w:val="24"/>
          <w:szCs w:val="24"/>
        </w:rPr>
        <w:t>le</w:t>
      </w:r>
      <w:r w:rsidRPr="002462E6">
        <w:rPr>
          <w:rFonts w:ascii="Tahoma" w:eastAsia="Times New Roman" w:hAnsi="Tahoma" w:cs="Tahoma"/>
          <w:spacing w:val="-6"/>
          <w:sz w:val="24"/>
          <w:szCs w:val="24"/>
        </w:rPr>
        <w:t xml:space="preserve"> </w:t>
      </w:r>
      <w:r w:rsidRPr="002462E6">
        <w:rPr>
          <w:rFonts w:ascii="Tahoma" w:eastAsia="Times New Roman" w:hAnsi="Tahoma" w:cs="Tahoma"/>
          <w:sz w:val="24"/>
          <w:szCs w:val="24"/>
        </w:rPr>
        <w:t>protectorat,</w:t>
      </w:r>
      <w:r w:rsidRPr="002462E6">
        <w:rPr>
          <w:rFonts w:ascii="Tahoma" w:eastAsia="Times New Roman" w:hAnsi="Tahoma" w:cs="Tahoma"/>
          <w:spacing w:val="-7"/>
          <w:sz w:val="24"/>
          <w:szCs w:val="24"/>
        </w:rPr>
        <w:t xml:space="preserve"> </w:t>
      </w:r>
      <w:r w:rsidRPr="002462E6">
        <w:rPr>
          <w:rFonts w:ascii="Tahoma" w:eastAsia="Times New Roman" w:hAnsi="Tahoma" w:cs="Tahoma"/>
          <w:sz w:val="24"/>
          <w:szCs w:val="24"/>
        </w:rPr>
        <w:t>entre</w:t>
      </w:r>
      <w:r w:rsidRPr="002462E6">
        <w:rPr>
          <w:rFonts w:ascii="Tahoma" w:eastAsia="Times New Roman" w:hAnsi="Tahoma" w:cs="Tahoma"/>
          <w:spacing w:val="-7"/>
          <w:sz w:val="24"/>
          <w:szCs w:val="24"/>
        </w:rPr>
        <w:t xml:space="preserve"> </w:t>
      </w:r>
      <w:r w:rsidRPr="002462E6">
        <w:rPr>
          <w:rFonts w:ascii="Tahoma" w:eastAsia="Times New Roman" w:hAnsi="Tahoma" w:cs="Tahoma"/>
          <w:sz w:val="24"/>
          <w:szCs w:val="24"/>
        </w:rPr>
        <w:t>1912</w:t>
      </w:r>
      <w:r w:rsidRPr="002462E6">
        <w:rPr>
          <w:rFonts w:ascii="Tahoma" w:eastAsia="Times New Roman" w:hAnsi="Tahoma" w:cs="Tahoma"/>
          <w:spacing w:val="-6"/>
          <w:sz w:val="24"/>
          <w:szCs w:val="24"/>
        </w:rPr>
        <w:t xml:space="preserve"> </w:t>
      </w:r>
      <w:r w:rsidRPr="002462E6">
        <w:rPr>
          <w:rFonts w:ascii="Tahoma" w:eastAsia="Times New Roman" w:hAnsi="Tahoma" w:cs="Tahoma"/>
          <w:sz w:val="24"/>
          <w:szCs w:val="24"/>
        </w:rPr>
        <w:t>et</w:t>
      </w:r>
      <w:r w:rsidRPr="002462E6">
        <w:rPr>
          <w:rFonts w:ascii="Tahoma" w:eastAsia="Times New Roman" w:hAnsi="Tahoma" w:cs="Tahoma"/>
          <w:spacing w:val="-7"/>
          <w:sz w:val="24"/>
          <w:szCs w:val="24"/>
        </w:rPr>
        <w:t xml:space="preserve"> </w:t>
      </w:r>
      <w:r w:rsidRPr="002462E6">
        <w:rPr>
          <w:rFonts w:ascii="Tahoma" w:eastAsia="Times New Roman" w:hAnsi="Tahoma" w:cs="Tahoma"/>
          <w:sz w:val="24"/>
          <w:szCs w:val="24"/>
        </w:rPr>
        <w:t>1956</w:t>
      </w:r>
      <w:r w:rsidRPr="002462E6">
        <w:rPr>
          <w:rFonts w:ascii="Tahoma" w:eastAsia="Times New Roman" w:hAnsi="Tahoma" w:cs="Tahoma"/>
          <w:spacing w:val="-6"/>
          <w:sz w:val="24"/>
          <w:szCs w:val="24"/>
        </w:rPr>
        <w:t xml:space="preserve"> </w:t>
      </w:r>
      <w:r w:rsidRPr="002462E6">
        <w:rPr>
          <w:rFonts w:ascii="Tahoma" w:eastAsia="Times New Roman" w:hAnsi="Tahoma" w:cs="Tahoma"/>
          <w:sz w:val="24"/>
          <w:szCs w:val="24"/>
        </w:rPr>
        <w:t>est</w:t>
      </w:r>
      <w:r w:rsidRPr="002462E6">
        <w:rPr>
          <w:rFonts w:ascii="Tahoma" w:eastAsia="Times New Roman" w:hAnsi="Tahoma" w:cs="Tahoma"/>
          <w:spacing w:val="-7"/>
          <w:sz w:val="24"/>
          <w:szCs w:val="24"/>
        </w:rPr>
        <w:t xml:space="preserve"> </w:t>
      </w:r>
      <w:r w:rsidRPr="002462E6">
        <w:rPr>
          <w:rFonts w:ascii="Tahoma" w:eastAsia="Times New Roman" w:hAnsi="Tahoma" w:cs="Tahoma"/>
          <w:sz w:val="24"/>
          <w:szCs w:val="24"/>
        </w:rPr>
        <w:t>marquée</w:t>
      </w:r>
      <w:r w:rsidRPr="002462E6">
        <w:rPr>
          <w:rFonts w:ascii="Tahoma" w:eastAsia="Times New Roman" w:hAnsi="Tahoma" w:cs="Tahoma"/>
          <w:spacing w:val="-6"/>
          <w:sz w:val="24"/>
          <w:szCs w:val="24"/>
        </w:rPr>
        <w:t xml:space="preserve"> </w:t>
      </w:r>
      <w:r w:rsidRPr="002462E6">
        <w:rPr>
          <w:rFonts w:ascii="Tahoma" w:eastAsia="Times New Roman" w:hAnsi="Tahoma" w:cs="Tahoma"/>
          <w:sz w:val="24"/>
          <w:szCs w:val="24"/>
        </w:rPr>
        <w:t>par</w:t>
      </w:r>
      <w:r w:rsidRPr="002462E6">
        <w:rPr>
          <w:rFonts w:ascii="Tahoma" w:eastAsia="Times New Roman" w:hAnsi="Tahoma" w:cs="Tahoma"/>
          <w:spacing w:val="-7"/>
          <w:sz w:val="24"/>
          <w:szCs w:val="24"/>
        </w:rPr>
        <w:t xml:space="preserve"> </w:t>
      </w:r>
      <w:r w:rsidRPr="002462E6">
        <w:rPr>
          <w:rFonts w:ascii="Tahoma" w:eastAsia="Times New Roman" w:hAnsi="Tahoma" w:cs="Tahoma"/>
          <w:sz w:val="24"/>
          <w:szCs w:val="24"/>
        </w:rPr>
        <w:t>la</w:t>
      </w:r>
      <w:r w:rsidRPr="002462E6">
        <w:rPr>
          <w:rFonts w:ascii="Tahoma" w:eastAsia="Times New Roman" w:hAnsi="Tahoma" w:cs="Tahoma"/>
          <w:spacing w:val="-6"/>
          <w:sz w:val="24"/>
          <w:szCs w:val="24"/>
        </w:rPr>
        <w:t xml:space="preserve"> </w:t>
      </w:r>
      <w:r w:rsidRPr="002462E6">
        <w:rPr>
          <w:rFonts w:ascii="Tahoma" w:eastAsia="Times New Roman" w:hAnsi="Tahoma" w:cs="Tahoma"/>
          <w:sz w:val="24"/>
          <w:szCs w:val="24"/>
        </w:rPr>
        <w:t>vision</w:t>
      </w:r>
      <w:r w:rsidRPr="002462E6">
        <w:rPr>
          <w:rFonts w:ascii="Tahoma" w:eastAsia="Times New Roman" w:hAnsi="Tahoma" w:cs="Tahoma"/>
          <w:spacing w:val="-58"/>
          <w:sz w:val="24"/>
          <w:szCs w:val="24"/>
        </w:rPr>
        <w:t xml:space="preserve"> </w:t>
      </w:r>
      <w:r w:rsidRPr="002462E6">
        <w:rPr>
          <w:rFonts w:ascii="Tahoma" w:eastAsia="Times New Roman" w:hAnsi="Tahoma" w:cs="Tahoma"/>
          <w:sz w:val="24"/>
          <w:szCs w:val="24"/>
        </w:rPr>
        <w:t>des forestiers français, traduisant de nombreux points prévalant en France dans la première moitié</w:t>
      </w:r>
      <w:r w:rsidRPr="002462E6">
        <w:rPr>
          <w:rFonts w:ascii="Tahoma" w:eastAsia="Times New Roman" w:hAnsi="Tahoma" w:cs="Tahoma"/>
          <w:spacing w:val="-57"/>
          <w:sz w:val="24"/>
          <w:szCs w:val="24"/>
        </w:rPr>
        <w:t xml:space="preserve"> </w:t>
      </w:r>
      <w:r w:rsidRPr="002462E6">
        <w:rPr>
          <w:rFonts w:ascii="Tahoma" w:eastAsia="Times New Roman" w:hAnsi="Tahoma" w:cs="Tahoma"/>
          <w:sz w:val="24"/>
          <w:szCs w:val="24"/>
        </w:rPr>
        <w:t>et</w:t>
      </w:r>
      <w:r w:rsidRPr="002462E6">
        <w:rPr>
          <w:rFonts w:ascii="Tahoma" w:eastAsia="Times New Roman" w:hAnsi="Tahoma" w:cs="Tahoma"/>
          <w:spacing w:val="-13"/>
          <w:sz w:val="24"/>
          <w:szCs w:val="24"/>
        </w:rPr>
        <w:t xml:space="preserve"> </w:t>
      </w:r>
      <w:r w:rsidRPr="002462E6">
        <w:rPr>
          <w:rFonts w:ascii="Tahoma" w:eastAsia="Times New Roman" w:hAnsi="Tahoma" w:cs="Tahoma"/>
          <w:sz w:val="24"/>
          <w:szCs w:val="24"/>
        </w:rPr>
        <w:t>le</w:t>
      </w:r>
      <w:r w:rsidRPr="002462E6">
        <w:rPr>
          <w:rFonts w:ascii="Tahoma" w:eastAsia="Times New Roman" w:hAnsi="Tahoma" w:cs="Tahoma"/>
          <w:spacing w:val="-14"/>
          <w:sz w:val="24"/>
          <w:szCs w:val="24"/>
        </w:rPr>
        <w:t xml:space="preserve"> </w:t>
      </w:r>
      <w:r w:rsidRPr="002462E6">
        <w:rPr>
          <w:rFonts w:ascii="Tahoma" w:eastAsia="Times New Roman" w:hAnsi="Tahoma" w:cs="Tahoma"/>
          <w:sz w:val="24"/>
          <w:szCs w:val="24"/>
        </w:rPr>
        <w:t>début</w:t>
      </w:r>
      <w:r w:rsidRPr="002462E6">
        <w:rPr>
          <w:rFonts w:ascii="Tahoma" w:eastAsia="Times New Roman" w:hAnsi="Tahoma" w:cs="Tahoma"/>
          <w:spacing w:val="-13"/>
          <w:sz w:val="24"/>
          <w:szCs w:val="24"/>
        </w:rPr>
        <w:t xml:space="preserve"> </w:t>
      </w:r>
      <w:r w:rsidRPr="002462E6">
        <w:rPr>
          <w:rFonts w:ascii="Tahoma" w:eastAsia="Times New Roman" w:hAnsi="Tahoma" w:cs="Tahoma"/>
          <w:sz w:val="24"/>
          <w:szCs w:val="24"/>
        </w:rPr>
        <w:t>de</w:t>
      </w:r>
      <w:r w:rsidRPr="002462E6">
        <w:rPr>
          <w:rFonts w:ascii="Tahoma" w:eastAsia="Times New Roman" w:hAnsi="Tahoma" w:cs="Tahoma"/>
          <w:spacing w:val="-13"/>
          <w:sz w:val="24"/>
          <w:szCs w:val="24"/>
        </w:rPr>
        <w:t xml:space="preserve"> </w:t>
      </w:r>
      <w:r w:rsidRPr="002462E6">
        <w:rPr>
          <w:rFonts w:ascii="Tahoma" w:eastAsia="Times New Roman" w:hAnsi="Tahoma" w:cs="Tahoma"/>
          <w:sz w:val="24"/>
          <w:szCs w:val="24"/>
        </w:rPr>
        <w:t>la</w:t>
      </w:r>
      <w:r w:rsidRPr="002462E6">
        <w:rPr>
          <w:rFonts w:ascii="Tahoma" w:eastAsia="Times New Roman" w:hAnsi="Tahoma" w:cs="Tahoma"/>
          <w:spacing w:val="-14"/>
          <w:sz w:val="24"/>
          <w:szCs w:val="24"/>
        </w:rPr>
        <w:t xml:space="preserve"> </w:t>
      </w:r>
      <w:r w:rsidRPr="002462E6">
        <w:rPr>
          <w:rFonts w:ascii="Tahoma" w:eastAsia="Times New Roman" w:hAnsi="Tahoma" w:cs="Tahoma"/>
          <w:sz w:val="24"/>
          <w:szCs w:val="24"/>
        </w:rPr>
        <w:t>deuxième</w:t>
      </w:r>
      <w:r w:rsidRPr="002462E6">
        <w:rPr>
          <w:rFonts w:ascii="Tahoma" w:eastAsia="Times New Roman" w:hAnsi="Tahoma" w:cs="Tahoma"/>
          <w:spacing w:val="-13"/>
          <w:sz w:val="24"/>
          <w:szCs w:val="24"/>
        </w:rPr>
        <w:t xml:space="preserve"> </w:t>
      </w:r>
      <w:r w:rsidRPr="002462E6">
        <w:rPr>
          <w:rFonts w:ascii="Tahoma" w:eastAsia="Times New Roman" w:hAnsi="Tahoma" w:cs="Tahoma"/>
          <w:sz w:val="24"/>
          <w:szCs w:val="24"/>
        </w:rPr>
        <w:t>moitié</w:t>
      </w:r>
      <w:r w:rsidRPr="002462E6">
        <w:rPr>
          <w:rFonts w:ascii="Tahoma" w:eastAsia="Times New Roman" w:hAnsi="Tahoma" w:cs="Tahoma"/>
          <w:spacing w:val="-12"/>
          <w:sz w:val="24"/>
          <w:szCs w:val="24"/>
        </w:rPr>
        <w:t xml:space="preserve"> </w:t>
      </w:r>
      <w:r w:rsidRPr="002462E6">
        <w:rPr>
          <w:rFonts w:ascii="Tahoma" w:eastAsia="Times New Roman" w:hAnsi="Tahoma" w:cs="Tahoma"/>
          <w:sz w:val="24"/>
          <w:szCs w:val="24"/>
        </w:rPr>
        <w:t>du</w:t>
      </w:r>
      <w:r w:rsidRPr="002462E6">
        <w:rPr>
          <w:rFonts w:ascii="Tahoma" w:eastAsia="Times New Roman" w:hAnsi="Tahoma" w:cs="Tahoma"/>
          <w:spacing w:val="-13"/>
          <w:sz w:val="24"/>
          <w:szCs w:val="24"/>
        </w:rPr>
        <w:t xml:space="preserve"> </w:t>
      </w:r>
      <w:r w:rsidRPr="002462E6">
        <w:rPr>
          <w:rFonts w:ascii="Tahoma" w:eastAsia="Times New Roman" w:hAnsi="Tahoma" w:cs="Tahoma"/>
          <w:sz w:val="24"/>
          <w:szCs w:val="24"/>
        </w:rPr>
        <w:t>20</w:t>
      </w:r>
      <w:r w:rsidRPr="002462E6">
        <w:rPr>
          <w:rFonts w:ascii="Tahoma" w:eastAsia="Times New Roman" w:hAnsi="Tahoma" w:cs="Tahoma"/>
          <w:sz w:val="24"/>
          <w:szCs w:val="24"/>
          <w:vertAlign w:val="superscript"/>
        </w:rPr>
        <w:t>ème</w:t>
      </w:r>
      <w:r w:rsidRPr="002462E6">
        <w:rPr>
          <w:rFonts w:ascii="Tahoma" w:eastAsia="Times New Roman" w:hAnsi="Tahoma" w:cs="Tahoma"/>
          <w:spacing w:val="-13"/>
          <w:sz w:val="24"/>
          <w:szCs w:val="24"/>
        </w:rPr>
        <w:t xml:space="preserve"> </w:t>
      </w:r>
      <w:r w:rsidRPr="002462E6">
        <w:rPr>
          <w:rFonts w:ascii="Tahoma" w:eastAsia="Times New Roman" w:hAnsi="Tahoma" w:cs="Tahoma"/>
          <w:sz w:val="24"/>
          <w:szCs w:val="24"/>
        </w:rPr>
        <w:t>siècle,</w:t>
      </w:r>
      <w:r w:rsidRPr="002462E6">
        <w:rPr>
          <w:rFonts w:ascii="Tahoma" w:eastAsia="Times New Roman" w:hAnsi="Tahoma" w:cs="Tahoma"/>
          <w:spacing w:val="-15"/>
          <w:sz w:val="24"/>
          <w:szCs w:val="24"/>
        </w:rPr>
        <w:t xml:space="preserve"> </w:t>
      </w:r>
      <w:r w:rsidRPr="002462E6">
        <w:rPr>
          <w:rFonts w:ascii="Tahoma" w:eastAsia="Times New Roman" w:hAnsi="Tahoma" w:cs="Tahoma"/>
          <w:sz w:val="24"/>
          <w:szCs w:val="24"/>
        </w:rPr>
        <w:t>se</w:t>
      </w:r>
      <w:r w:rsidRPr="002462E6">
        <w:rPr>
          <w:rFonts w:ascii="Tahoma" w:eastAsia="Times New Roman" w:hAnsi="Tahoma" w:cs="Tahoma"/>
          <w:spacing w:val="-13"/>
          <w:sz w:val="24"/>
          <w:szCs w:val="24"/>
        </w:rPr>
        <w:t xml:space="preserve"> </w:t>
      </w:r>
      <w:r w:rsidRPr="002462E6">
        <w:rPr>
          <w:rFonts w:ascii="Tahoma" w:eastAsia="Times New Roman" w:hAnsi="Tahoma" w:cs="Tahoma"/>
          <w:sz w:val="24"/>
          <w:szCs w:val="24"/>
        </w:rPr>
        <w:t>fondant</w:t>
      </w:r>
      <w:r w:rsidRPr="002462E6">
        <w:rPr>
          <w:rFonts w:ascii="Tahoma" w:eastAsia="Times New Roman" w:hAnsi="Tahoma" w:cs="Tahoma"/>
          <w:spacing w:val="-13"/>
          <w:sz w:val="24"/>
          <w:szCs w:val="24"/>
        </w:rPr>
        <w:t xml:space="preserve"> </w:t>
      </w:r>
      <w:r w:rsidRPr="002462E6">
        <w:rPr>
          <w:rFonts w:ascii="Tahoma" w:eastAsia="Times New Roman" w:hAnsi="Tahoma" w:cs="Tahoma"/>
          <w:sz w:val="24"/>
          <w:szCs w:val="24"/>
        </w:rPr>
        <w:t>entre</w:t>
      </w:r>
      <w:r w:rsidRPr="002462E6">
        <w:rPr>
          <w:rFonts w:ascii="Tahoma" w:eastAsia="Times New Roman" w:hAnsi="Tahoma" w:cs="Tahoma"/>
          <w:spacing w:val="-13"/>
          <w:sz w:val="24"/>
          <w:szCs w:val="24"/>
        </w:rPr>
        <w:t xml:space="preserve"> </w:t>
      </w:r>
      <w:r w:rsidRPr="002462E6">
        <w:rPr>
          <w:rFonts w:ascii="Tahoma" w:eastAsia="Times New Roman" w:hAnsi="Tahoma" w:cs="Tahoma"/>
          <w:sz w:val="24"/>
          <w:szCs w:val="24"/>
        </w:rPr>
        <w:t>autres</w:t>
      </w:r>
      <w:r w:rsidRPr="002462E6">
        <w:rPr>
          <w:rFonts w:ascii="Tahoma" w:eastAsia="Times New Roman" w:hAnsi="Tahoma" w:cs="Tahoma"/>
          <w:spacing w:val="-13"/>
          <w:sz w:val="24"/>
          <w:szCs w:val="24"/>
        </w:rPr>
        <w:t xml:space="preserve"> </w:t>
      </w:r>
      <w:r w:rsidRPr="002462E6">
        <w:rPr>
          <w:rFonts w:ascii="Tahoma" w:eastAsia="Times New Roman" w:hAnsi="Tahoma" w:cs="Tahoma"/>
          <w:sz w:val="24"/>
          <w:szCs w:val="24"/>
        </w:rPr>
        <w:t>sur</w:t>
      </w:r>
      <w:r w:rsidRPr="002462E6">
        <w:rPr>
          <w:rFonts w:ascii="Tahoma" w:eastAsia="Times New Roman" w:hAnsi="Tahoma" w:cs="Tahoma"/>
          <w:spacing w:val="-15"/>
          <w:sz w:val="24"/>
          <w:szCs w:val="24"/>
        </w:rPr>
        <w:t xml:space="preserve"> </w:t>
      </w:r>
      <w:r w:rsidRPr="002462E6">
        <w:rPr>
          <w:rFonts w:ascii="Tahoma" w:eastAsia="Times New Roman" w:hAnsi="Tahoma" w:cs="Tahoma"/>
          <w:sz w:val="24"/>
          <w:szCs w:val="24"/>
        </w:rPr>
        <w:t>une</w:t>
      </w:r>
      <w:r w:rsidRPr="002462E6">
        <w:rPr>
          <w:rFonts w:ascii="Tahoma" w:eastAsia="Times New Roman" w:hAnsi="Tahoma" w:cs="Tahoma"/>
          <w:spacing w:val="-13"/>
          <w:sz w:val="24"/>
          <w:szCs w:val="24"/>
        </w:rPr>
        <w:t xml:space="preserve"> </w:t>
      </w:r>
      <w:r w:rsidRPr="002462E6">
        <w:rPr>
          <w:rFonts w:ascii="Tahoma" w:eastAsia="Times New Roman" w:hAnsi="Tahoma" w:cs="Tahoma"/>
          <w:sz w:val="24"/>
          <w:szCs w:val="24"/>
        </w:rPr>
        <w:t>division</w:t>
      </w:r>
      <w:r w:rsidRPr="002462E6">
        <w:rPr>
          <w:rFonts w:ascii="Tahoma" w:eastAsia="Times New Roman" w:hAnsi="Tahoma" w:cs="Tahoma"/>
          <w:spacing w:val="-14"/>
          <w:sz w:val="24"/>
          <w:szCs w:val="24"/>
        </w:rPr>
        <w:t xml:space="preserve"> </w:t>
      </w:r>
      <w:r w:rsidRPr="002462E6">
        <w:rPr>
          <w:rFonts w:ascii="Tahoma" w:eastAsia="Times New Roman" w:hAnsi="Tahoma" w:cs="Tahoma"/>
          <w:sz w:val="24"/>
          <w:szCs w:val="24"/>
        </w:rPr>
        <w:t>de</w:t>
      </w:r>
      <w:r w:rsidRPr="002462E6">
        <w:rPr>
          <w:rFonts w:ascii="Tahoma" w:eastAsia="Times New Roman" w:hAnsi="Tahoma" w:cs="Tahoma"/>
          <w:spacing w:val="-13"/>
          <w:sz w:val="24"/>
          <w:szCs w:val="24"/>
        </w:rPr>
        <w:t xml:space="preserve"> </w:t>
      </w:r>
      <w:r w:rsidRPr="002462E6">
        <w:rPr>
          <w:rFonts w:ascii="Tahoma" w:eastAsia="Times New Roman" w:hAnsi="Tahoma" w:cs="Tahoma"/>
          <w:sz w:val="24"/>
          <w:szCs w:val="24"/>
        </w:rPr>
        <w:t>l'espace</w:t>
      </w:r>
      <w:r w:rsidRPr="002462E6">
        <w:rPr>
          <w:rFonts w:ascii="Tahoma" w:eastAsia="Times New Roman" w:hAnsi="Tahoma" w:cs="Tahoma"/>
          <w:spacing w:val="-57"/>
          <w:sz w:val="24"/>
          <w:szCs w:val="24"/>
        </w:rPr>
        <w:t xml:space="preserve"> </w:t>
      </w:r>
      <w:r w:rsidRPr="002462E6">
        <w:rPr>
          <w:rFonts w:ascii="Tahoma" w:eastAsia="Times New Roman" w:hAnsi="Tahoma" w:cs="Tahoma"/>
          <w:sz w:val="24"/>
          <w:szCs w:val="24"/>
        </w:rPr>
        <w:t>rural</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opposant forestier et paysans.</w:t>
      </w:r>
    </w:p>
    <w:p w:rsidR="00726EDC" w:rsidRPr="002462E6" w:rsidRDefault="00726EDC" w:rsidP="00726EDC">
      <w:pPr>
        <w:widowControl w:val="0"/>
        <w:tabs>
          <w:tab w:val="left" w:pos="851"/>
        </w:tabs>
        <w:autoSpaceDE w:val="0"/>
        <w:autoSpaceDN w:val="0"/>
        <w:spacing w:before="160" w:after="0" w:line="360" w:lineRule="auto"/>
        <w:ind w:right="142"/>
        <w:jc w:val="both"/>
        <w:rPr>
          <w:rFonts w:ascii="Tahoma" w:eastAsia="Times New Roman" w:hAnsi="Tahoma" w:cs="Tahoma"/>
          <w:sz w:val="24"/>
          <w:szCs w:val="24"/>
        </w:rPr>
      </w:pPr>
      <w:r w:rsidRPr="002462E6">
        <w:rPr>
          <w:rFonts w:ascii="Tahoma" w:eastAsia="Times New Roman" w:hAnsi="Tahoma" w:cs="Tahoma"/>
          <w:sz w:val="24"/>
          <w:szCs w:val="24"/>
        </w:rPr>
        <w:t>Les dispositions du Dahir de 1917 ne sont pas restées figées dans leur version originelle. Le texte</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initial</w:t>
      </w:r>
      <w:r w:rsidRPr="002462E6">
        <w:rPr>
          <w:rFonts w:ascii="Tahoma" w:eastAsia="Times New Roman" w:hAnsi="Tahoma" w:cs="Tahoma"/>
          <w:spacing w:val="-6"/>
          <w:sz w:val="24"/>
          <w:szCs w:val="24"/>
        </w:rPr>
        <w:t xml:space="preserve"> </w:t>
      </w:r>
      <w:r w:rsidRPr="002462E6">
        <w:rPr>
          <w:rFonts w:ascii="Tahoma" w:eastAsia="Times New Roman" w:hAnsi="Tahoma" w:cs="Tahoma"/>
          <w:sz w:val="24"/>
          <w:szCs w:val="24"/>
        </w:rPr>
        <w:t>a</w:t>
      </w:r>
      <w:r w:rsidRPr="002462E6">
        <w:rPr>
          <w:rFonts w:ascii="Tahoma" w:eastAsia="Times New Roman" w:hAnsi="Tahoma" w:cs="Tahoma"/>
          <w:spacing w:val="-4"/>
          <w:sz w:val="24"/>
          <w:szCs w:val="24"/>
        </w:rPr>
        <w:t xml:space="preserve"> </w:t>
      </w:r>
      <w:r w:rsidRPr="002462E6">
        <w:rPr>
          <w:rFonts w:ascii="Tahoma" w:eastAsia="Times New Roman" w:hAnsi="Tahoma" w:cs="Tahoma"/>
          <w:sz w:val="24"/>
          <w:szCs w:val="24"/>
        </w:rPr>
        <w:t>subi</w:t>
      </w:r>
      <w:r w:rsidRPr="002462E6">
        <w:rPr>
          <w:rFonts w:ascii="Tahoma" w:eastAsia="Times New Roman" w:hAnsi="Tahoma" w:cs="Tahoma"/>
          <w:spacing w:val="-4"/>
          <w:sz w:val="24"/>
          <w:szCs w:val="24"/>
        </w:rPr>
        <w:t xml:space="preserve"> </w:t>
      </w:r>
      <w:r w:rsidRPr="002462E6">
        <w:rPr>
          <w:rFonts w:ascii="Tahoma" w:eastAsia="Times New Roman" w:hAnsi="Tahoma" w:cs="Tahoma"/>
          <w:sz w:val="24"/>
          <w:szCs w:val="24"/>
        </w:rPr>
        <w:t>près</w:t>
      </w:r>
      <w:r w:rsidRPr="002462E6">
        <w:rPr>
          <w:rFonts w:ascii="Tahoma" w:eastAsia="Times New Roman" w:hAnsi="Tahoma" w:cs="Tahoma"/>
          <w:spacing w:val="-4"/>
          <w:sz w:val="24"/>
          <w:szCs w:val="24"/>
        </w:rPr>
        <w:t xml:space="preserve"> </w:t>
      </w:r>
      <w:r w:rsidRPr="002462E6">
        <w:rPr>
          <w:rFonts w:ascii="Tahoma" w:eastAsia="Times New Roman" w:hAnsi="Tahoma" w:cs="Tahoma"/>
          <w:sz w:val="24"/>
          <w:szCs w:val="24"/>
        </w:rPr>
        <w:t>de</w:t>
      </w:r>
      <w:r w:rsidRPr="002462E6">
        <w:rPr>
          <w:rFonts w:ascii="Tahoma" w:eastAsia="Times New Roman" w:hAnsi="Tahoma" w:cs="Tahoma"/>
          <w:spacing w:val="-4"/>
          <w:sz w:val="24"/>
          <w:szCs w:val="24"/>
        </w:rPr>
        <w:t xml:space="preserve"> </w:t>
      </w:r>
      <w:r w:rsidRPr="002462E6">
        <w:rPr>
          <w:rFonts w:ascii="Tahoma" w:eastAsia="Times New Roman" w:hAnsi="Tahoma" w:cs="Tahoma"/>
          <w:sz w:val="24"/>
          <w:szCs w:val="24"/>
        </w:rPr>
        <w:t>17</w:t>
      </w:r>
      <w:r w:rsidRPr="002462E6">
        <w:rPr>
          <w:rFonts w:ascii="Tahoma" w:eastAsia="Times New Roman" w:hAnsi="Tahoma" w:cs="Tahoma"/>
          <w:spacing w:val="-4"/>
          <w:sz w:val="24"/>
          <w:szCs w:val="24"/>
        </w:rPr>
        <w:t xml:space="preserve"> </w:t>
      </w:r>
      <w:r w:rsidRPr="002462E6">
        <w:rPr>
          <w:rFonts w:ascii="Tahoma" w:eastAsia="Times New Roman" w:hAnsi="Tahoma" w:cs="Tahoma"/>
          <w:sz w:val="24"/>
          <w:szCs w:val="24"/>
        </w:rPr>
        <w:t>amendements</w:t>
      </w:r>
      <w:r w:rsidRPr="002462E6">
        <w:rPr>
          <w:rFonts w:ascii="Tahoma" w:eastAsia="Times New Roman" w:hAnsi="Tahoma" w:cs="Tahoma"/>
          <w:spacing w:val="-2"/>
          <w:sz w:val="24"/>
          <w:szCs w:val="24"/>
        </w:rPr>
        <w:t xml:space="preserve"> </w:t>
      </w:r>
      <w:r w:rsidRPr="002462E6">
        <w:rPr>
          <w:rFonts w:ascii="Tahoma" w:eastAsia="Times New Roman" w:hAnsi="Tahoma" w:cs="Tahoma"/>
          <w:sz w:val="24"/>
          <w:szCs w:val="24"/>
        </w:rPr>
        <w:t>jusqu’à</w:t>
      </w:r>
      <w:r w:rsidRPr="002462E6">
        <w:rPr>
          <w:rFonts w:ascii="Tahoma" w:eastAsia="Times New Roman" w:hAnsi="Tahoma" w:cs="Tahoma"/>
          <w:spacing w:val="-3"/>
          <w:sz w:val="24"/>
          <w:szCs w:val="24"/>
        </w:rPr>
        <w:t xml:space="preserve"> </w:t>
      </w:r>
      <w:r w:rsidRPr="002462E6">
        <w:rPr>
          <w:rFonts w:ascii="Tahoma" w:eastAsia="Times New Roman" w:hAnsi="Tahoma" w:cs="Tahoma"/>
          <w:sz w:val="24"/>
          <w:szCs w:val="24"/>
        </w:rPr>
        <w:t>ce</w:t>
      </w:r>
      <w:r w:rsidRPr="002462E6">
        <w:rPr>
          <w:rFonts w:ascii="Tahoma" w:eastAsia="Times New Roman" w:hAnsi="Tahoma" w:cs="Tahoma"/>
          <w:spacing w:val="-4"/>
          <w:sz w:val="24"/>
          <w:szCs w:val="24"/>
        </w:rPr>
        <w:t xml:space="preserve"> </w:t>
      </w:r>
      <w:r w:rsidRPr="002462E6">
        <w:rPr>
          <w:rFonts w:ascii="Tahoma" w:eastAsia="Times New Roman" w:hAnsi="Tahoma" w:cs="Tahoma"/>
          <w:sz w:val="24"/>
          <w:szCs w:val="24"/>
        </w:rPr>
        <w:t>jour.</w:t>
      </w:r>
      <w:r w:rsidRPr="002462E6">
        <w:rPr>
          <w:rFonts w:ascii="Tahoma" w:eastAsia="Times New Roman" w:hAnsi="Tahoma" w:cs="Tahoma"/>
          <w:spacing w:val="-3"/>
          <w:sz w:val="24"/>
          <w:szCs w:val="24"/>
        </w:rPr>
        <w:t xml:space="preserve"> </w:t>
      </w:r>
      <w:r w:rsidRPr="002462E6">
        <w:rPr>
          <w:rFonts w:ascii="Tahoma" w:eastAsia="Times New Roman" w:hAnsi="Tahoma" w:cs="Tahoma"/>
          <w:sz w:val="24"/>
          <w:szCs w:val="24"/>
        </w:rPr>
        <w:t>Mais</w:t>
      </w:r>
      <w:r w:rsidRPr="002462E6">
        <w:rPr>
          <w:rFonts w:ascii="Tahoma" w:eastAsia="Times New Roman" w:hAnsi="Tahoma" w:cs="Tahoma"/>
          <w:spacing w:val="-5"/>
          <w:sz w:val="24"/>
          <w:szCs w:val="24"/>
        </w:rPr>
        <w:t xml:space="preserve"> </w:t>
      </w:r>
      <w:r w:rsidRPr="002462E6">
        <w:rPr>
          <w:rFonts w:ascii="Tahoma" w:eastAsia="Times New Roman" w:hAnsi="Tahoma" w:cs="Tahoma"/>
          <w:sz w:val="24"/>
          <w:szCs w:val="24"/>
        </w:rPr>
        <w:t>jusqu’à</w:t>
      </w:r>
      <w:r w:rsidRPr="002462E6">
        <w:rPr>
          <w:rFonts w:ascii="Tahoma" w:eastAsia="Times New Roman" w:hAnsi="Tahoma" w:cs="Tahoma"/>
          <w:spacing w:val="-4"/>
          <w:sz w:val="24"/>
          <w:szCs w:val="24"/>
        </w:rPr>
        <w:t xml:space="preserve"> </w:t>
      </w:r>
      <w:r w:rsidRPr="002462E6">
        <w:rPr>
          <w:rFonts w:ascii="Tahoma" w:eastAsia="Times New Roman" w:hAnsi="Tahoma" w:cs="Tahoma"/>
          <w:sz w:val="24"/>
          <w:szCs w:val="24"/>
        </w:rPr>
        <w:t>quel</w:t>
      </w:r>
      <w:r w:rsidRPr="002462E6">
        <w:rPr>
          <w:rFonts w:ascii="Tahoma" w:eastAsia="Times New Roman" w:hAnsi="Tahoma" w:cs="Tahoma"/>
          <w:spacing w:val="-3"/>
          <w:sz w:val="24"/>
          <w:szCs w:val="24"/>
        </w:rPr>
        <w:t xml:space="preserve"> </w:t>
      </w:r>
      <w:r w:rsidRPr="002462E6">
        <w:rPr>
          <w:rFonts w:ascii="Tahoma" w:eastAsia="Times New Roman" w:hAnsi="Tahoma" w:cs="Tahoma"/>
          <w:sz w:val="24"/>
          <w:szCs w:val="24"/>
        </w:rPr>
        <w:t>niveau,</w:t>
      </w:r>
      <w:r w:rsidRPr="002462E6">
        <w:rPr>
          <w:rFonts w:ascii="Tahoma" w:eastAsia="Times New Roman" w:hAnsi="Tahoma" w:cs="Tahoma"/>
          <w:spacing w:val="-4"/>
          <w:sz w:val="24"/>
          <w:szCs w:val="24"/>
        </w:rPr>
        <w:t xml:space="preserve"> </w:t>
      </w:r>
      <w:r w:rsidRPr="002462E6">
        <w:rPr>
          <w:rFonts w:ascii="Tahoma" w:eastAsia="Times New Roman" w:hAnsi="Tahoma" w:cs="Tahoma"/>
          <w:sz w:val="24"/>
          <w:szCs w:val="24"/>
        </w:rPr>
        <w:t>ces</w:t>
      </w:r>
      <w:r w:rsidRPr="002462E6">
        <w:rPr>
          <w:rFonts w:ascii="Tahoma" w:eastAsia="Times New Roman" w:hAnsi="Tahoma" w:cs="Tahoma"/>
          <w:spacing w:val="-5"/>
          <w:sz w:val="24"/>
          <w:szCs w:val="24"/>
        </w:rPr>
        <w:t xml:space="preserve"> </w:t>
      </w:r>
      <w:r w:rsidRPr="002462E6">
        <w:rPr>
          <w:rFonts w:ascii="Tahoma" w:eastAsia="Times New Roman" w:hAnsi="Tahoma" w:cs="Tahoma"/>
          <w:sz w:val="24"/>
          <w:szCs w:val="24"/>
        </w:rPr>
        <w:t>amendements</w:t>
      </w:r>
      <w:r w:rsidRPr="002462E6">
        <w:rPr>
          <w:rFonts w:ascii="Tahoma" w:eastAsia="Times New Roman" w:hAnsi="Tahoma" w:cs="Tahoma"/>
          <w:spacing w:val="-58"/>
          <w:sz w:val="24"/>
          <w:szCs w:val="24"/>
        </w:rPr>
        <w:t xml:space="preserve"> </w:t>
      </w:r>
      <w:r w:rsidRPr="002462E6">
        <w:rPr>
          <w:rFonts w:ascii="Tahoma" w:eastAsia="Times New Roman" w:hAnsi="Tahoma" w:cs="Tahoma"/>
          <w:sz w:val="24"/>
          <w:szCs w:val="24"/>
        </w:rPr>
        <w:t>juridiques ont-ils pu s’adapter au contexte marocain et contribuer à l’inversion de la dégradation</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forestière au</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Maroc</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w:t>
      </w:r>
    </w:p>
    <w:p w:rsidR="00BD6E48" w:rsidRPr="002462E6" w:rsidRDefault="00726EDC" w:rsidP="00726EDC">
      <w:pPr>
        <w:widowControl w:val="0"/>
        <w:tabs>
          <w:tab w:val="left" w:pos="851"/>
        </w:tabs>
        <w:autoSpaceDE w:val="0"/>
        <w:autoSpaceDN w:val="0"/>
        <w:spacing w:before="160" w:after="0" w:line="360" w:lineRule="auto"/>
        <w:ind w:right="142"/>
        <w:jc w:val="both"/>
        <w:rPr>
          <w:rFonts w:ascii="Tahoma" w:eastAsia="Times New Roman" w:hAnsi="Tahoma" w:cs="Tahoma"/>
          <w:sz w:val="24"/>
          <w:szCs w:val="24"/>
        </w:rPr>
      </w:pPr>
      <w:r w:rsidRPr="002462E6">
        <w:rPr>
          <w:rFonts w:ascii="Tahoma" w:eastAsia="Times New Roman" w:hAnsi="Tahoma" w:cs="Tahoma"/>
          <w:sz w:val="24"/>
          <w:szCs w:val="24"/>
        </w:rPr>
        <w:t>A côté du Dahir du 10 Octobre 1917, d’autres textes juridiques et réglementaires</w:t>
      </w:r>
      <w:r w:rsidRPr="002462E6">
        <w:rPr>
          <w:rFonts w:ascii="Tahoma" w:eastAsia="Times New Roman" w:hAnsi="Tahoma" w:cs="Tahoma"/>
          <w:sz w:val="24"/>
          <w:szCs w:val="24"/>
          <w:vertAlign w:val="superscript"/>
        </w:rPr>
        <w:footnoteReference w:id="286"/>
      </w:r>
      <w:r w:rsidRPr="002462E6">
        <w:rPr>
          <w:rFonts w:ascii="Tahoma" w:eastAsia="Times New Roman" w:hAnsi="Tahoma" w:cs="Tahoma"/>
          <w:sz w:val="24"/>
          <w:szCs w:val="24"/>
        </w:rPr>
        <w:t xml:space="preserve"> régissent le</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domaine</w:t>
      </w:r>
      <w:r w:rsidRPr="002462E6">
        <w:rPr>
          <w:rFonts w:ascii="Tahoma" w:eastAsia="Times New Roman" w:hAnsi="Tahoma" w:cs="Tahoma"/>
          <w:spacing w:val="-2"/>
          <w:sz w:val="24"/>
          <w:szCs w:val="24"/>
        </w:rPr>
        <w:t xml:space="preserve"> </w:t>
      </w:r>
      <w:r w:rsidRPr="002462E6">
        <w:rPr>
          <w:rFonts w:ascii="Tahoma" w:eastAsia="Times New Roman" w:hAnsi="Tahoma" w:cs="Tahoma"/>
          <w:sz w:val="24"/>
          <w:szCs w:val="24"/>
        </w:rPr>
        <w:t>forestier</w:t>
      </w:r>
      <w:r w:rsidRPr="002462E6">
        <w:rPr>
          <w:rFonts w:ascii="Tahoma" w:eastAsia="Times New Roman" w:hAnsi="Tahoma" w:cs="Tahoma"/>
          <w:spacing w:val="-2"/>
          <w:sz w:val="24"/>
          <w:szCs w:val="24"/>
        </w:rPr>
        <w:t xml:space="preserve"> </w:t>
      </w:r>
      <w:r w:rsidRPr="002462E6">
        <w:rPr>
          <w:rFonts w:ascii="Tahoma" w:eastAsia="Times New Roman" w:hAnsi="Tahoma" w:cs="Tahoma"/>
          <w:sz w:val="24"/>
          <w:szCs w:val="24"/>
        </w:rPr>
        <w:t>au</w:t>
      </w:r>
      <w:r w:rsidRPr="002462E6">
        <w:rPr>
          <w:rFonts w:ascii="Tahoma" w:eastAsia="Times New Roman" w:hAnsi="Tahoma" w:cs="Tahoma"/>
          <w:spacing w:val="-2"/>
          <w:sz w:val="24"/>
          <w:szCs w:val="24"/>
        </w:rPr>
        <w:t xml:space="preserve"> </w:t>
      </w:r>
      <w:r w:rsidRPr="002462E6">
        <w:rPr>
          <w:rFonts w:ascii="Tahoma" w:eastAsia="Times New Roman" w:hAnsi="Tahoma" w:cs="Tahoma"/>
          <w:sz w:val="24"/>
          <w:szCs w:val="24"/>
        </w:rPr>
        <w:t>Maroc</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se</w:t>
      </w:r>
      <w:r w:rsidRPr="002462E6">
        <w:rPr>
          <w:rFonts w:ascii="Tahoma" w:eastAsia="Times New Roman" w:hAnsi="Tahoma" w:cs="Tahoma"/>
          <w:spacing w:val="-2"/>
          <w:sz w:val="24"/>
          <w:szCs w:val="24"/>
        </w:rPr>
        <w:t xml:space="preserve"> </w:t>
      </w:r>
      <w:r w:rsidRPr="002462E6">
        <w:rPr>
          <w:rFonts w:ascii="Tahoma" w:eastAsia="Times New Roman" w:hAnsi="Tahoma" w:cs="Tahoma"/>
          <w:sz w:val="24"/>
          <w:szCs w:val="24"/>
        </w:rPr>
        <w:t>rapportant</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à</w:t>
      </w:r>
      <w:r w:rsidRPr="002462E6">
        <w:rPr>
          <w:rFonts w:ascii="Tahoma" w:eastAsia="Times New Roman" w:hAnsi="Tahoma" w:cs="Tahoma"/>
          <w:spacing w:val="-2"/>
          <w:sz w:val="24"/>
          <w:szCs w:val="24"/>
        </w:rPr>
        <w:t xml:space="preserve"> </w:t>
      </w:r>
      <w:r w:rsidRPr="002462E6">
        <w:rPr>
          <w:rFonts w:ascii="Tahoma" w:eastAsia="Times New Roman" w:hAnsi="Tahoma" w:cs="Tahoma"/>
          <w:sz w:val="24"/>
          <w:szCs w:val="24"/>
        </w:rPr>
        <w:t>sa</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gestion,</w:t>
      </w:r>
      <w:r w:rsidRPr="002462E6">
        <w:rPr>
          <w:rFonts w:ascii="Tahoma" w:eastAsia="Times New Roman" w:hAnsi="Tahoma" w:cs="Tahoma"/>
          <w:spacing w:val="-3"/>
          <w:sz w:val="24"/>
          <w:szCs w:val="24"/>
        </w:rPr>
        <w:t xml:space="preserve"> </w:t>
      </w:r>
      <w:r w:rsidRPr="002462E6">
        <w:rPr>
          <w:rFonts w:ascii="Tahoma" w:eastAsia="Times New Roman" w:hAnsi="Tahoma" w:cs="Tahoma"/>
          <w:sz w:val="24"/>
          <w:szCs w:val="24"/>
        </w:rPr>
        <w:t>son</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exploitation,</w:t>
      </w:r>
      <w:r w:rsidRPr="002462E6">
        <w:rPr>
          <w:rFonts w:ascii="Tahoma" w:eastAsia="Times New Roman" w:hAnsi="Tahoma" w:cs="Tahoma"/>
          <w:spacing w:val="-2"/>
          <w:sz w:val="24"/>
          <w:szCs w:val="24"/>
        </w:rPr>
        <w:t xml:space="preserve"> </w:t>
      </w:r>
      <w:r w:rsidRPr="002462E6">
        <w:rPr>
          <w:rFonts w:ascii="Tahoma" w:eastAsia="Times New Roman" w:hAnsi="Tahoma" w:cs="Tahoma"/>
          <w:sz w:val="24"/>
          <w:szCs w:val="24"/>
        </w:rPr>
        <w:t>et</w:t>
      </w:r>
      <w:r w:rsidRPr="002462E6">
        <w:rPr>
          <w:rFonts w:ascii="Tahoma" w:eastAsia="Times New Roman" w:hAnsi="Tahoma" w:cs="Tahoma"/>
          <w:spacing w:val="-2"/>
          <w:sz w:val="24"/>
          <w:szCs w:val="24"/>
        </w:rPr>
        <w:t xml:space="preserve"> </w:t>
      </w:r>
      <w:r w:rsidRPr="002462E6">
        <w:rPr>
          <w:rFonts w:ascii="Tahoma" w:eastAsia="Times New Roman" w:hAnsi="Tahoma" w:cs="Tahoma"/>
          <w:sz w:val="24"/>
          <w:szCs w:val="24"/>
        </w:rPr>
        <w:t>sa</w:t>
      </w:r>
      <w:r w:rsidRPr="002462E6">
        <w:rPr>
          <w:rFonts w:ascii="Tahoma" w:eastAsia="Times New Roman" w:hAnsi="Tahoma" w:cs="Tahoma"/>
          <w:spacing w:val="-2"/>
          <w:sz w:val="24"/>
          <w:szCs w:val="24"/>
        </w:rPr>
        <w:t xml:space="preserve"> </w:t>
      </w:r>
      <w:r w:rsidRPr="002462E6">
        <w:rPr>
          <w:rFonts w:ascii="Tahoma" w:eastAsia="Times New Roman" w:hAnsi="Tahoma" w:cs="Tahoma"/>
          <w:sz w:val="24"/>
          <w:szCs w:val="24"/>
        </w:rPr>
        <w:t>sauvegarde,</w:t>
      </w:r>
      <w:r w:rsidRPr="002462E6">
        <w:rPr>
          <w:rFonts w:ascii="Tahoma" w:eastAsia="Times New Roman" w:hAnsi="Tahoma" w:cs="Tahoma"/>
          <w:spacing w:val="-2"/>
          <w:sz w:val="24"/>
          <w:szCs w:val="24"/>
        </w:rPr>
        <w:t xml:space="preserve"> </w:t>
      </w:r>
      <w:r w:rsidRPr="002462E6">
        <w:rPr>
          <w:rFonts w:ascii="Tahoma" w:eastAsia="Times New Roman" w:hAnsi="Tahoma" w:cs="Tahoma"/>
          <w:sz w:val="24"/>
          <w:szCs w:val="24"/>
        </w:rPr>
        <w:t>tels</w:t>
      </w:r>
      <w:r w:rsidRPr="002462E6">
        <w:rPr>
          <w:rFonts w:ascii="Tahoma" w:eastAsia="Times New Roman" w:hAnsi="Tahoma" w:cs="Tahoma"/>
          <w:spacing w:val="-2"/>
          <w:sz w:val="24"/>
          <w:szCs w:val="24"/>
        </w:rPr>
        <w:t xml:space="preserve"> </w:t>
      </w:r>
      <w:r w:rsidRPr="002462E6">
        <w:rPr>
          <w:rFonts w:ascii="Tahoma" w:eastAsia="Times New Roman" w:hAnsi="Tahoma" w:cs="Tahoma"/>
          <w:sz w:val="24"/>
          <w:szCs w:val="24"/>
        </w:rPr>
        <w:t>que :</w:t>
      </w:r>
    </w:p>
    <w:p w:rsidR="00726EDC" w:rsidRPr="002462E6" w:rsidRDefault="00BD6E48" w:rsidP="00280E88">
      <w:pPr>
        <w:rPr>
          <w:rFonts w:ascii="Tahoma" w:eastAsia="Times New Roman" w:hAnsi="Tahoma" w:cs="Tahoma"/>
          <w:sz w:val="24"/>
          <w:szCs w:val="24"/>
        </w:rPr>
      </w:pPr>
      <w:r w:rsidRPr="002462E6">
        <w:rPr>
          <w:rFonts w:ascii="Tahoma" w:eastAsia="Times New Roman" w:hAnsi="Tahoma" w:cs="Tahoma"/>
          <w:sz w:val="24"/>
          <w:szCs w:val="24"/>
        </w:rPr>
        <w:br w:type="page"/>
      </w:r>
    </w:p>
    <w:p w:rsidR="00726EDC" w:rsidRPr="002462E6" w:rsidRDefault="00726EDC" w:rsidP="00D051D7">
      <w:pPr>
        <w:widowControl w:val="0"/>
        <w:numPr>
          <w:ilvl w:val="0"/>
          <w:numId w:val="15"/>
        </w:numPr>
        <w:tabs>
          <w:tab w:val="left" w:pos="851"/>
        </w:tabs>
        <w:autoSpaceDE w:val="0"/>
        <w:autoSpaceDN w:val="0"/>
        <w:spacing w:before="1" w:after="0" w:line="352" w:lineRule="auto"/>
        <w:ind w:left="426" w:right="142" w:firstLine="567"/>
        <w:jc w:val="both"/>
        <w:rPr>
          <w:rFonts w:ascii="Tahoma" w:eastAsia="Times New Roman" w:hAnsi="Tahoma" w:cs="Tahoma"/>
          <w:sz w:val="24"/>
          <w:szCs w:val="24"/>
        </w:rPr>
      </w:pPr>
      <w:r w:rsidRPr="002462E6">
        <w:rPr>
          <w:rFonts w:ascii="Tahoma" w:eastAsia="Times New Roman" w:hAnsi="Tahoma" w:cs="Tahoma"/>
          <w:sz w:val="24"/>
          <w:szCs w:val="24"/>
        </w:rPr>
        <w:t>Le Dahir du 26 safar 1334 (3 janvier 1916) portant règlement spécial sur la</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délimitation</w:t>
      </w:r>
      <w:r w:rsidRPr="002462E6">
        <w:rPr>
          <w:rFonts w:ascii="Tahoma" w:eastAsia="Times New Roman" w:hAnsi="Tahoma" w:cs="Tahoma"/>
          <w:spacing w:val="-3"/>
          <w:sz w:val="24"/>
          <w:szCs w:val="24"/>
        </w:rPr>
        <w:t xml:space="preserve"> </w:t>
      </w:r>
      <w:r w:rsidRPr="002462E6">
        <w:rPr>
          <w:rFonts w:ascii="Tahoma" w:eastAsia="Times New Roman" w:hAnsi="Tahoma" w:cs="Tahoma"/>
          <w:sz w:val="24"/>
          <w:szCs w:val="24"/>
        </w:rPr>
        <w:t>du Domaine de</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l'Etat, tel</w:t>
      </w:r>
      <w:r w:rsidRPr="002462E6">
        <w:rPr>
          <w:rFonts w:ascii="Tahoma" w:eastAsia="Times New Roman" w:hAnsi="Tahoma" w:cs="Tahoma"/>
          <w:spacing w:val="-2"/>
          <w:sz w:val="24"/>
          <w:szCs w:val="24"/>
        </w:rPr>
        <w:t xml:space="preserve"> </w:t>
      </w:r>
      <w:r w:rsidRPr="002462E6">
        <w:rPr>
          <w:rFonts w:ascii="Tahoma" w:eastAsia="Times New Roman" w:hAnsi="Tahoma" w:cs="Tahoma"/>
          <w:sz w:val="24"/>
          <w:szCs w:val="24"/>
        </w:rPr>
        <w:t>que modifié et complété</w:t>
      </w:r>
      <w:r w:rsidRPr="002462E6">
        <w:rPr>
          <w:rFonts w:ascii="Tahoma" w:eastAsia="Times New Roman" w:hAnsi="Tahoma" w:cs="Tahoma"/>
          <w:spacing w:val="2"/>
          <w:sz w:val="24"/>
          <w:szCs w:val="24"/>
        </w:rPr>
        <w:t xml:space="preserve"> </w:t>
      </w:r>
      <w:r w:rsidRPr="002462E6">
        <w:rPr>
          <w:rFonts w:ascii="Tahoma" w:eastAsia="Times New Roman" w:hAnsi="Tahoma" w:cs="Tahoma"/>
          <w:sz w:val="24"/>
          <w:szCs w:val="24"/>
        </w:rPr>
        <w:t>;</w:t>
      </w:r>
    </w:p>
    <w:p w:rsidR="00726EDC" w:rsidRPr="002462E6" w:rsidRDefault="00726EDC" w:rsidP="00D051D7">
      <w:pPr>
        <w:widowControl w:val="0"/>
        <w:numPr>
          <w:ilvl w:val="0"/>
          <w:numId w:val="16"/>
        </w:numPr>
        <w:tabs>
          <w:tab w:val="left" w:pos="851"/>
        </w:tabs>
        <w:autoSpaceDE w:val="0"/>
        <w:autoSpaceDN w:val="0"/>
        <w:spacing w:before="8" w:after="0" w:line="355" w:lineRule="auto"/>
        <w:ind w:left="426" w:right="142" w:firstLine="567"/>
        <w:jc w:val="both"/>
        <w:rPr>
          <w:rFonts w:ascii="Tahoma" w:eastAsia="Times New Roman" w:hAnsi="Tahoma" w:cs="Tahoma"/>
          <w:sz w:val="24"/>
          <w:szCs w:val="24"/>
        </w:rPr>
      </w:pPr>
      <w:r w:rsidRPr="002462E6">
        <w:rPr>
          <w:rFonts w:ascii="Tahoma" w:eastAsia="Times New Roman" w:hAnsi="Tahoma" w:cs="Tahoma"/>
          <w:sz w:val="24"/>
          <w:szCs w:val="24"/>
        </w:rPr>
        <w:t>Le Dahir du 24 Mai 1922 (02 Ramadan 1340) relatif à l'immatriculation des</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immeubles domaniaux délimités selon la procédure du Dahir du 03 Janvier</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1916 ;</w:t>
      </w:r>
    </w:p>
    <w:p w:rsidR="00726EDC" w:rsidRPr="002462E6" w:rsidRDefault="00726EDC" w:rsidP="00D051D7">
      <w:pPr>
        <w:widowControl w:val="0"/>
        <w:numPr>
          <w:ilvl w:val="0"/>
          <w:numId w:val="16"/>
        </w:numPr>
        <w:tabs>
          <w:tab w:val="left" w:pos="851"/>
        </w:tabs>
        <w:autoSpaceDE w:val="0"/>
        <w:autoSpaceDN w:val="0"/>
        <w:spacing w:before="7" w:after="0" w:line="350" w:lineRule="auto"/>
        <w:ind w:left="426" w:right="142" w:firstLine="567"/>
        <w:jc w:val="both"/>
        <w:rPr>
          <w:rFonts w:ascii="Tahoma" w:eastAsia="Times New Roman" w:hAnsi="Tahoma" w:cs="Tahoma"/>
          <w:sz w:val="24"/>
          <w:szCs w:val="24"/>
        </w:rPr>
      </w:pPr>
      <w:r w:rsidRPr="002462E6">
        <w:rPr>
          <w:rFonts w:ascii="Tahoma" w:eastAsia="Times New Roman" w:hAnsi="Tahoma" w:cs="Tahoma"/>
          <w:sz w:val="24"/>
          <w:szCs w:val="24"/>
        </w:rPr>
        <w:t>Le</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Dahir</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du</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4</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Mars</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1925</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(8</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Chaâbane</w:t>
      </w:r>
      <w:r w:rsidRPr="002462E6">
        <w:rPr>
          <w:rFonts w:ascii="Tahoma" w:eastAsia="Times New Roman" w:hAnsi="Tahoma" w:cs="Tahoma"/>
          <w:spacing w:val="60"/>
          <w:sz w:val="24"/>
          <w:szCs w:val="24"/>
        </w:rPr>
        <w:t xml:space="preserve"> </w:t>
      </w:r>
      <w:r w:rsidRPr="002462E6">
        <w:rPr>
          <w:rFonts w:ascii="Tahoma" w:eastAsia="Times New Roman" w:hAnsi="Tahoma" w:cs="Tahoma"/>
          <w:sz w:val="24"/>
          <w:szCs w:val="24"/>
        </w:rPr>
        <w:t>1343)</w:t>
      </w:r>
      <w:r w:rsidRPr="002462E6">
        <w:rPr>
          <w:rFonts w:ascii="Tahoma" w:eastAsia="Times New Roman" w:hAnsi="Tahoma" w:cs="Tahoma"/>
          <w:spacing w:val="60"/>
          <w:sz w:val="24"/>
          <w:szCs w:val="24"/>
        </w:rPr>
        <w:t xml:space="preserve"> </w:t>
      </w:r>
      <w:r w:rsidRPr="002462E6">
        <w:rPr>
          <w:rFonts w:ascii="Tahoma" w:eastAsia="Times New Roman" w:hAnsi="Tahoma" w:cs="Tahoma"/>
          <w:sz w:val="24"/>
          <w:szCs w:val="24"/>
        </w:rPr>
        <w:t>sur</w:t>
      </w:r>
      <w:r w:rsidRPr="002462E6">
        <w:rPr>
          <w:rFonts w:ascii="Tahoma" w:eastAsia="Times New Roman" w:hAnsi="Tahoma" w:cs="Tahoma"/>
          <w:spacing w:val="60"/>
          <w:sz w:val="24"/>
          <w:szCs w:val="24"/>
        </w:rPr>
        <w:t xml:space="preserve"> </w:t>
      </w:r>
      <w:r w:rsidRPr="002462E6">
        <w:rPr>
          <w:rFonts w:ascii="Tahoma" w:eastAsia="Times New Roman" w:hAnsi="Tahoma" w:cs="Tahoma"/>
          <w:sz w:val="24"/>
          <w:szCs w:val="24"/>
        </w:rPr>
        <w:t>la</w:t>
      </w:r>
      <w:r w:rsidRPr="002462E6">
        <w:rPr>
          <w:rFonts w:ascii="Tahoma" w:eastAsia="Times New Roman" w:hAnsi="Tahoma" w:cs="Tahoma"/>
          <w:spacing w:val="60"/>
          <w:sz w:val="24"/>
          <w:szCs w:val="24"/>
        </w:rPr>
        <w:t xml:space="preserve"> </w:t>
      </w:r>
      <w:r w:rsidRPr="002462E6">
        <w:rPr>
          <w:rFonts w:ascii="Tahoma" w:eastAsia="Times New Roman" w:hAnsi="Tahoma" w:cs="Tahoma"/>
          <w:sz w:val="24"/>
          <w:szCs w:val="24"/>
        </w:rPr>
        <w:t>protection</w:t>
      </w:r>
      <w:r w:rsidRPr="002462E6">
        <w:rPr>
          <w:rFonts w:ascii="Tahoma" w:eastAsia="Times New Roman" w:hAnsi="Tahoma" w:cs="Tahoma"/>
          <w:spacing w:val="60"/>
          <w:sz w:val="24"/>
          <w:szCs w:val="24"/>
        </w:rPr>
        <w:t xml:space="preserve"> </w:t>
      </w:r>
      <w:r w:rsidRPr="002462E6">
        <w:rPr>
          <w:rFonts w:ascii="Tahoma" w:eastAsia="Times New Roman" w:hAnsi="Tahoma" w:cs="Tahoma"/>
          <w:sz w:val="24"/>
          <w:szCs w:val="24"/>
        </w:rPr>
        <w:t>et</w:t>
      </w:r>
      <w:r w:rsidRPr="002462E6">
        <w:rPr>
          <w:rFonts w:ascii="Tahoma" w:eastAsia="Times New Roman" w:hAnsi="Tahoma" w:cs="Tahoma"/>
          <w:spacing w:val="60"/>
          <w:sz w:val="24"/>
          <w:szCs w:val="24"/>
        </w:rPr>
        <w:t xml:space="preserve"> </w:t>
      </w:r>
      <w:r w:rsidRPr="002462E6">
        <w:rPr>
          <w:rFonts w:ascii="Tahoma" w:eastAsia="Times New Roman" w:hAnsi="Tahoma" w:cs="Tahoma"/>
          <w:sz w:val="24"/>
          <w:szCs w:val="24"/>
        </w:rPr>
        <w:t>la</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délimitation</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des forêts d'arganiers</w:t>
      </w:r>
      <w:r w:rsidRPr="002462E6">
        <w:rPr>
          <w:rFonts w:ascii="Tahoma" w:eastAsia="Times New Roman" w:hAnsi="Tahoma" w:cs="Tahoma"/>
          <w:spacing w:val="2"/>
          <w:sz w:val="24"/>
          <w:szCs w:val="24"/>
        </w:rPr>
        <w:t xml:space="preserve"> </w:t>
      </w:r>
      <w:r w:rsidRPr="002462E6">
        <w:rPr>
          <w:rFonts w:ascii="Tahoma" w:eastAsia="Times New Roman" w:hAnsi="Tahoma" w:cs="Tahoma"/>
          <w:sz w:val="24"/>
          <w:szCs w:val="24"/>
        </w:rPr>
        <w:t>;</w:t>
      </w:r>
    </w:p>
    <w:p w:rsidR="00726EDC" w:rsidRPr="002462E6" w:rsidRDefault="00726EDC" w:rsidP="00D051D7">
      <w:pPr>
        <w:widowControl w:val="0"/>
        <w:numPr>
          <w:ilvl w:val="0"/>
          <w:numId w:val="16"/>
        </w:numPr>
        <w:tabs>
          <w:tab w:val="left" w:pos="851"/>
        </w:tabs>
        <w:autoSpaceDE w:val="0"/>
        <w:autoSpaceDN w:val="0"/>
        <w:spacing w:before="12" w:after="0" w:line="352" w:lineRule="auto"/>
        <w:ind w:left="426" w:right="142" w:firstLine="567"/>
        <w:jc w:val="both"/>
        <w:rPr>
          <w:rFonts w:ascii="Tahoma" w:eastAsia="Times New Roman" w:hAnsi="Tahoma" w:cs="Tahoma"/>
          <w:sz w:val="24"/>
          <w:szCs w:val="24"/>
        </w:rPr>
      </w:pPr>
      <w:r w:rsidRPr="002462E6">
        <w:rPr>
          <w:rFonts w:ascii="Tahoma" w:eastAsia="Times New Roman" w:hAnsi="Tahoma" w:cs="Tahoma"/>
          <w:sz w:val="24"/>
          <w:szCs w:val="24"/>
        </w:rPr>
        <w:t>Le</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Dahir</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du</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15</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Août</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1928</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déterminant</w:t>
      </w:r>
      <w:r w:rsidRPr="002462E6">
        <w:rPr>
          <w:rFonts w:ascii="Tahoma" w:eastAsia="Times New Roman" w:hAnsi="Tahoma" w:cs="Tahoma"/>
          <w:spacing w:val="60"/>
          <w:sz w:val="24"/>
          <w:szCs w:val="24"/>
        </w:rPr>
        <w:t xml:space="preserve"> </w:t>
      </w:r>
      <w:r w:rsidRPr="002462E6">
        <w:rPr>
          <w:rFonts w:ascii="Tahoma" w:eastAsia="Times New Roman" w:hAnsi="Tahoma" w:cs="Tahoma"/>
          <w:sz w:val="24"/>
          <w:szCs w:val="24"/>
        </w:rPr>
        <w:t>le</w:t>
      </w:r>
      <w:r w:rsidRPr="002462E6">
        <w:rPr>
          <w:rFonts w:ascii="Tahoma" w:eastAsia="Times New Roman" w:hAnsi="Tahoma" w:cs="Tahoma"/>
          <w:spacing w:val="60"/>
          <w:sz w:val="24"/>
          <w:szCs w:val="24"/>
        </w:rPr>
        <w:t xml:space="preserve"> </w:t>
      </w:r>
      <w:r w:rsidRPr="002462E6">
        <w:rPr>
          <w:rFonts w:ascii="Tahoma" w:eastAsia="Times New Roman" w:hAnsi="Tahoma" w:cs="Tahoma"/>
          <w:sz w:val="24"/>
          <w:szCs w:val="24"/>
        </w:rPr>
        <w:t>régime</w:t>
      </w:r>
      <w:r w:rsidRPr="002462E6">
        <w:rPr>
          <w:rFonts w:ascii="Tahoma" w:eastAsia="Times New Roman" w:hAnsi="Tahoma" w:cs="Tahoma"/>
          <w:spacing w:val="60"/>
          <w:sz w:val="24"/>
          <w:szCs w:val="24"/>
        </w:rPr>
        <w:t xml:space="preserve"> </w:t>
      </w:r>
      <w:r w:rsidRPr="002462E6">
        <w:rPr>
          <w:rFonts w:ascii="Tahoma" w:eastAsia="Times New Roman" w:hAnsi="Tahoma" w:cs="Tahoma"/>
          <w:sz w:val="24"/>
          <w:szCs w:val="24"/>
        </w:rPr>
        <w:t>juridique</w:t>
      </w:r>
      <w:r w:rsidRPr="002462E6">
        <w:rPr>
          <w:rFonts w:ascii="Tahoma" w:eastAsia="Times New Roman" w:hAnsi="Tahoma" w:cs="Tahoma"/>
          <w:spacing w:val="60"/>
          <w:sz w:val="24"/>
          <w:szCs w:val="24"/>
        </w:rPr>
        <w:t xml:space="preserve"> </w:t>
      </w:r>
      <w:r w:rsidRPr="002462E6">
        <w:rPr>
          <w:rFonts w:ascii="Tahoma" w:eastAsia="Times New Roman" w:hAnsi="Tahoma" w:cs="Tahoma"/>
          <w:sz w:val="24"/>
          <w:szCs w:val="24"/>
        </w:rPr>
        <w:t>des</w:t>
      </w:r>
      <w:r w:rsidRPr="002462E6">
        <w:rPr>
          <w:rFonts w:ascii="Tahoma" w:eastAsia="Times New Roman" w:hAnsi="Tahoma" w:cs="Tahoma"/>
          <w:spacing w:val="60"/>
          <w:sz w:val="24"/>
          <w:szCs w:val="24"/>
        </w:rPr>
        <w:t xml:space="preserve"> </w:t>
      </w:r>
      <w:r w:rsidRPr="002462E6">
        <w:rPr>
          <w:rFonts w:ascii="Tahoma" w:eastAsia="Times New Roman" w:hAnsi="Tahoma" w:cs="Tahoma"/>
          <w:sz w:val="24"/>
          <w:szCs w:val="24"/>
        </w:rPr>
        <w:t>nappes</w:t>
      </w:r>
      <w:r w:rsidRPr="002462E6">
        <w:rPr>
          <w:rFonts w:ascii="Tahoma" w:eastAsia="Times New Roman" w:hAnsi="Tahoma" w:cs="Tahoma"/>
          <w:spacing w:val="-57"/>
          <w:sz w:val="24"/>
          <w:szCs w:val="24"/>
        </w:rPr>
        <w:t xml:space="preserve"> </w:t>
      </w:r>
      <w:r w:rsidRPr="002462E6">
        <w:rPr>
          <w:rFonts w:ascii="Tahoma" w:eastAsia="Times New Roman" w:hAnsi="Tahoma" w:cs="Tahoma"/>
          <w:sz w:val="24"/>
          <w:szCs w:val="24"/>
        </w:rPr>
        <w:t>alfatières ;</w:t>
      </w:r>
    </w:p>
    <w:p w:rsidR="00726EDC" w:rsidRPr="002462E6" w:rsidRDefault="00726EDC" w:rsidP="00D051D7">
      <w:pPr>
        <w:widowControl w:val="0"/>
        <w:numPr>
          <w:ilvl w:val="0"/>
          <w:numId w:val="16"/>
        </w:numPr>
        <w:tabs>
          <w:tab w:val="left" w:pos="851"/>
        </w:tabs>
        <w:autoSpaceDE w:val="0"/>
        <w:autoSpaceDN w:val="0"/>
        <w:spacing w:before="9" w:after="0" w:line="350" w:lineRule="auto"/>
        <w:ind w:left="426" w:right="142" w:firstLine="567"/>
        <w:jc w:val="both"/>
        <w:rPr>
          <w:rFonts w:ascii="Tahoma" w:eastAsia="Times New Roman" w:hAnsi="Tahoma" w:cs="Tahoma"/>
          <w:sz w:val="24"/>
          <w:szCs w:val="24"/>
        </w:rPr>
      </w:pPr>
      <w:r w:rsidRPr="002462E6">
        <w:rPr>
          <w:rFonts w:ascii="Tahoma" w:eastAsia="Times New Roman" w:hAnsi="Tahoma" w:cs="Tahoma"/>
          <w:sz w:val="24"/>
          <w:szCs w:val="24"/>
        </w:rPr>
        <w:t>Le</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Dahir</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du</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23</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Juillet</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1930</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sur</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la</w:t>
      </w:r>
      <w:r w:rsidRPr="002462E6">
        <w:rPr>
          <w:rFonts w:ascii="Tahoma" w:eastAsia="Times New Roman" w:hAnsi="Tahoma" w:cs="Tahoma"/>
          <w:spacing w:val="60"/>
          <w:sz w:val="24"/>
          <w:szCs w:val="24"/>
        </w:rPr>
        <w:t xml:space="preserve"> </w:t>
      </w:r>
      <w:r w:rsidRPr="002462E6">
        <w:rPr>
          <w:rFonts w:ascii="Tahoma" w:eastAsia="Times New Roman" w:hAnsi="Tahoma" w:cs="Tahoma"/>
          <w:sz w:val="24"/>
          <w:szCs w:val="24"/>
        </w:rPr>
        <w:t>conservation</w:t>
      </w:r>
      <w:r w:rsidRPr="002462E6">
        <w:rPr>
          <w:rFonts w:ascii="Tahoma" w:eastAsia="Times New Roman" w:hAnsi="Tahoma" w:cs="Tahoma"/>
          <w:spacing w:val="60"/>
          <w:sz w:val="24"/>
          <w:szCs w:val="24"/>
        </w:rPr>
        <w:t xml:space="preserve"> </w:t>
      </w:r>
      <w:r w:rsidRPr="002462E6">
        <w:rPr>
          <w:rFonts w:ascii="Tahoma" w:eastAsia="Times New Roman" w:hAnsi="Tahoma" w:cs="Tahoma"/>
          <w:sz w:val="24"/>
          <w:szCs w:val="24"/>
        </w:rPr>
        <w:t>et</w:t>
      </w:r>
      <w:r w:rsidRPr="002462E6">
        <w:rPr>
          <w:rFonts w:ascii="Tahoma" w:eastAsia="Times New Roman" w:hAnsi="Tahoma" w:cs="Tahoma"/>
          <w:spacing w:val="60"/>
          <w:sz w:val="24"/>
          <w:szCs w:val="24"/>
        </w:rPr>
        <w:t xml:space="preserve"> </w:t>
      </w:r>
      <w:r w:rsidRPr="002462E6">
        <w:rPr>
          <w:rFonts w:ascii="Tahoma" w:eastAsia="Times New Roman" w:hAnsi="Tahoma" w:cs="Tahoma"/>
          <w:sz w:val="24"/>
          <w:szCs w:val="24"/>
        </w:rPr>
        <w:t>l'exploitation</w:t>
      </w:r>
      <w:r w:rsidRPr="002462E6">
        <w:rPr>
          <w:rFonts w:ascii="Tahoma" w:eastAsia="Times New Roman" w:hAnsi="Tahoma" w:cs="Tahoma"/>
          <w:spacing w:val="60"/>
          <w:sz w:val="24"/>
          <w:szCs w:val="24"/>
        </w:rPr>
        <w:t xml:space="preserve"> </w:t>
      </w:r>
      <w:r w:rsidRPr="002462E6">
        <w:rPr>
          <w:rFonts w:ascii="Tahoma" w:eastAsia="Times New Roman" w:hAnsi="Tahoma" w:cs="Tahoma"/>
          <w:sz w:val="24"/>
          <w:szCs w:val="24"/>
        </w:rPr>
        <w:t>des</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peuplements</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d'alfa</w:t>
      </w:r>
      <w:r w:rsidRPr="002462E6">
        <w:rPr>
          <w:rFonts w:ascii="Tahoma" w:eastAsia="Times New Roman" w:hAnsi="Tahoma" w:cs="Tahoma"/>
          <w:spacing w:val="2"/>
          <w:sz w:val="24"/>
          <w:szCs w:val="24"/>
        </w:rPr>
        <w:t xml:space="preserve"> </w:t>
      </w:r>
      <w:r w:rsidRPr="002462E6">
        <w:rPr>
          <w:rFonts w:ascii="Tahoma" w:eastAsia="Times New Roman" w:hAnsi="Tahoma" w:cs="Tahoma"/>
          <w:sz w:val="24"/>
          <w:szCs w:val="24"/>
        </w:rPr>
        <w:t>;</w:t>
      </w:r>
    </w:p>
    <w:p w:rsidR="00726EDC" w:rsidRPr="002462E6" w:rsidRDefault="00726EDC" w:rsidP="00D051D7">
      <w:pPr>
        <w:widowControl w:val="0"/>
        <w:numPr>
          <w:ilvl w:val="0"/>
          <w:numId w:val="17"/>
        </w:numPr>
        <w:tabs>
          <w:tab w:val="left" w:pos="851"/>
        </w:tabs>
        <w:autoSpaceDE w:val="0"/>
        <w:autoSpaceDN w:val="0"/>
        <w:spacing w:before="12" w:after="0" w:line="350" w:lineRule="auto"/>
        <w:ind w:left="426" w:right="142" w:firstLine="567"/>
        <w:jc w:val="both"/>
        <w:rPr>
          <w:rFonts w:ascii="Tahoma" w:eastAsia="Times New Roman" w:hAnsi="Tahoma" w:cs="Tahoma"/>
          <w:sz w:val="24"/>
          <w:szCs w:val="24"/>
        </w:rPr>
      </w:pPr>
      <w:r w:rsidRPr="002462E6">
        <w:rPr>
          <w:rFonts w:ascii="Tahoma" w:eastAsia="Times New Roman" w:hAnsi="Tahoma" w:cs="Tahoma"/>
          <w:sz w:val="24"/>
          <w:szCs w:val="24"/>
        </w:rPr>
        <w:t>Le</w:t>
      </w:r>
      <w:r w:rsidRPr="002462E6">
        <w:rPr>
          <w:rFonts w:ascii="Tahoma" w:eastAsia="Times New Roman" w:hAnsi="Tahoma" w:cs="Tahoma"/>
          <w:spacing w:val="-3"/>
          <w:sz w:val="24"/>
          <w:szCs w:val="24"/>
        </w:rPr>
        <w:t xml:space="preserve"> </w:t>
      </w:r>
      <w:r w:rsidRPr="002462E6">
        <w:rPr>
          <w:rFonts w:ascii="Tahoma" w:eastAsia="Times New Roman" w:hAnsi="Tahoma" w:cs="Tahoma"/>
          <w:sz w:val="24"/>
          <w:szCs w:val="24"/>
        </w:rPr>
        <w:t>Dahir</w:t>
      </w:r>
      <w:r w:rsidRPr="002462E6">
        <w:rPr>
          <w:rFonts w:ascii="Tahoma" w:eastAsia="Times New Roman" w:hAnsi="Tahoma" w:cs="Tahoma"/>
          <w:spacing w:val="-4"/>
          <w:sz w:val="24"/>
          <w:szCs w:val="24"/>
        </w:rPr>
        <w:t xml:space="preserve"> </w:t>
      </w:r>
      <w:r w:rsidRPr="002462E6">
        <w:rPr>
          <w:rFonts w:ascii="Tahoma" w:eastAsia="Times New Roman" w:hAnsi="Tahoma" w:cs="Tahoma"/>
          <w:sz w:val="24"/>
          <w:szCs w:val="24"/>
        </w:rPr>
        <w:t>du</w:t>
      </w:r>
      <w:r w:rsidRPr="002462E6">
        <w:rPr>
          <w:rFonts w:ascii="Tahoma" w:eastAsia="Times New Roman" w:hAnsi="Tahoma" w:cs="Tahoma"/>
          <w:spacing w:val="-3"/>
          <w:sz w:val="24"/>
          <w:szCs w:val="24"/>
        </w:rPr>
        <w:t xml:space="preserve"> </w:t>
      </w:r>
      <w:r w:rsidRPr="002462E6">
        <w:rPr>
          <w:rFonts w:ascii="Tahoma" w:eastAsia="Times New Roman" w:hAnsi="Tahoma" w:cs="Tahoma"/>
          <w:sz w:val="24"/>
          <w:szCs w:val="24"/>
        </w:rPr>
        <w:t>2</w:t>
      </w:r>
      <w:r w:rsidRPr="002462E6">
        <w:rPr>
          <w:rFonts w:ascii="Tahoma" w:eastAsia="Times New Roman" w:hAnsi="Tahoma" w:cs="Tahoma"/>
          <w:spacing w:val="-3"/>
          <w:sz w:val="24"/>
          <w:szCs w:val="24"/>
        </w:rPr>
        <w:t xml:space="preserve"> </w:t>
      </w:r>
      <w:r w:rsidRPr="002462E6">
        <w:rPr>
          <w:rFonts w:ascii="Tahoma" w:eastAsia="Times New Roman" w:hAnsi="Tahoma" w:cs="Tahoma"/>
          <w:sz w:val="24"/>
          <w:szCs w:val="24"/>
        </w:rPr>
        <w:t>Juin</w:t>
      </w:r>
      <w:r w:rsidRPr="002462E6">
        <w:rPr>
          <w:rFonts w:ascii="Tahoma" w:eastAsia="Times New Roman" w:hAnsi="Tahoma" w:cs="Tahoma"/>
          <w:spacing w:val="-3"/>
          <w:sz w:val="24"/>
          <w:szCs w:val="24"/>
        </w:rPr>
        <w:t xml:space="preserve"> </w:t>
      </w:r>
      <w:r w:rsidRPr="002462E6">
        <w:rPr>
          <w:rFonts w:ascii="Tahoma" w:eastAsia="Times New Roman" w:hAnsi="Tahoma" w:cs="Tahoma"/>
          <w:sz w:val="24"/>
          <w:szCs w:val="24"/>
        </w:rPr>
        <w:t>1950</w:t>
      </w:r>
      <w:r w:rsidRPr="002462E6">
        <w:rPr>
          <w:rFonts w:ascii="Tahoma" w:eastAsia="Times New Roman" w:hAnsi="Tahoma" w:cs="Tahoma"/>
          <w:spacing w:val="-3"/>
          <w:sz w:val="24"/>
          <w:szCs w:val="24"/>
        </w:rPr>
        <w:t xml:space="preserve"> </w:t>
      </w:r>
      <w:r w:rsidRPr="002462E6">
        <w:rPr>
          <w:rFonts w:ascii="Tahoma" w:eastAsia="Times New Roman" w:hAnsi="Tahoma" w:cs="Tahoma"/>
          <w:sz w:val="24"/>
          <w:szCs w:val="24"/>
        </w:rPr>
        <w:t>(15</w:t>
      </w:r>
      <w:r w:rsidRPr="002462E6">
        <w:rPr>
          <w:rFonts w:ascii="Tahoma" w:eastAsia="Times New Roman" w:hAnsi="Tahoma" w:cs="Tahoma"/>
          <w:spacing w:val="-4"/>
          <w:sz w:val="24"/>
          <w:szCs w:val="24"/>
        </w:rPr>
        <w:t xml:space="preserve"> </w:t>
      </w:r>
      <w:r w:rsidRPr="002462E6">
        <w:rPr>
          <w:rFonts w:ascii="Tahoma" w:eastAsia="Times New Roman" w:hAnsi="Tahoma" w:cs="Tahoma"/>
          <w:sz w:val="24"/>
          <w:szCs w:val="24"/>
        </w:rPr>
        <w:t>chaabane</w:t>
      </w:r>
      <w:r w:rsidRPr="002462E6">
        <w:rPr>
          <w:rFonts w:ascii="Tahoma" w:eastAsia="Times New Roman" w:hAnsi="Tahoma" w:cs="Tahoma"/>
          <w:spacing w:val="-4"/>
          <w:sz w:val="24"/>
          <w:szCs w:val="24"/>
        </w:rPr>
        <w:t xml:space="preserve"> </w:t>
      </w:r>
      <w:r w:rsidRPr="002462E6">
        <w:rPr>
          <w:rFonts w:ascii="Tahoma" w:eastAsia="Times New Roman" w:hAnsi="Tahoma" w:cs="Tahoma"/>
          <w:sz w:val="24"/>
          <w:szCs w:val="24"/>
        </w:rPr>
        <w:t>1369)</w:t>
      </w:r>
      <w:r w:rsidRPr="002462E6">
        <w:rPr>
          <w:rFonts w:ascii="Tahoma" w:eastAsia="Times New Roman" w:hAnsi="Tahoma" w:cs="Tahoma"/>
          <w:spacing w:val="-4"/>
          <w:sz w:val="24"/>
          <w:szCs w:val="24"/>
        </w:rPr>
        <w:t xml:space="preserve"> </w:t>
      </w:r>
      <w:r w:rsidRPr="002462E6">
        <w:rPr>
          <w:rFonts w:ascii="Tahoma" w:eastAsia="Times New Roman" w:hAnsi="Tahoma" w:cs="Tahoma"/>
          <w:sz w:val="24"/>
          <w:szCs w:val="24"/>
        </w:rPr>
        <w:t>créant</w:t>
      </w:r>
      <w:r w:rsidRPr="002462E6">
        <w:rPr>
          <w:rFonts w:ascii="Tahoma" w:eastAsia="Times New Roman" w:hAnsi="Tahoma" w:cs="Tahoma"/>
          <w:spacing w:val="-5"/>
          <w:sz w:val="24"/>
          <w:szCs w:val="24"/>
        </w:rPr>
        <w:t xml:space="preserve"> </w:t>
      </w:r>
      <w:r w:rsidRPr="002462E6">
        <w:rPr>
          <w:rFonts w:ascii="Tahoma" w:eastAsia="Times New Roman" w:hAnsi="Tahoma" w:cs="Tahoma"/>
          <w:sz w:val="24"/>
          <w:szCs w:val="24"/>
        </w:rPr>
        <w:t>un</w:t>
      </w:r>
      <w:r w:rsidRPr="002462E6">
        <w:rPr>
          <w:rFonts w:ascii="Tahoma" w:eastAsia="Times New Roman" w:hAnsi="Tahoma" w:cs="Tahoma"/>
          <w:spacing w:val="-3"/>
          <w:sz w:val="24"/>
          <w:szCs w:val="24"/>
        </w:rPr>
        <w:t xml:space="preserve"> </w:t>
      </w:r>
      <w:r w:rsidRPr="002462E6">
        <w:rPr>
          <w:rFonts w:ascii="Tahoma" w:eastAsia="Times New Roman" w:hAnsi="Tahoma" w:cs="Tahoma"/>
          <w:sz w:val="24"/>
          <w:szCs w:val="24"/>
        </w:rPr>
        <w:t>conseil</w:t>
      </w:r>
      <w:r w:rsidRPr="002462E6">
        <w:rPr>
          <w:rFonts w:ascii="Tahoma" w:eastAsia="Times New Roman" w:hAnsi="Tahoma" w:cs="Tahoma"/>
          <w:spacing w:val="-5"/>
          <w:sz w:val="24"/>
          <w:szCs w:val="24"/>
        </w:rPr>
        <w:t xml:space="preserve"> </w:t>
      </w:r>
      <w:r w:rsidRPr="002462E6">
        <w:rPr>
          <w:rFonts w:ascii="Tahoma" w:eastAsia="Times New Roman" w:hAnsi="Tahoma" w:cs="Tahoma"/>
          <w:sz w:val="24"/>
          <w:szCs w:val="24"/>
        </w:rPr>
        <w:t>supérieur</w:t>
      </w:r>
      <w:r w:rsidRPr="002462E6">
        <w:rPr>
          <w:rFonts w:ascii="Tahoma" w:eastAsia="Times New Roman" w:hAnsi="Tahoma" w:cs="Tahoma"/>
          <w:spacing w:val="-4"/>
          <w:sz w:val="24"/>
          <w:szCs w:val="24"/>
        </w:rPr>
        <w:t xml:space="preserve"> </w:t>
      </w:r>
      <w:r w:rsidRPr="002462E6">
        <w:rPr>
          <w:rFonts w:ascii="Tahoma" w:eastAsia="Times New Roman" w:hAnsi="Tahoma" w:cs="Tahoma"/>
          <w:sz w:val="24"/>
          <w:szCs w:val="24"/>
        </w:rPr>
        <w:t>de</w:t>
      </w:r>
      <w:r w:rsidRPr="002462E6">
        <w:rPr>
          <w:rFonts w:ascii="Tahoma" w:eastAsia="Times New Roman" w:hAnsi="Tahoma" w:cs="Tahoma"/>
          <w:spacing w:val="-3"/>
          <w:sz w:val="24"/>
          <w:szCs w:val="24"/>
        </w:rPr>
        <w:t xml:space="preserve"> </w:t>
      </w:r>
      <w:r w:rsidRPr="002462E6">
        <w:rPr>
          <w:rFonts w:ascii="Tahoma" w:eastAsia="Times New Roman" w:hAnsi="Tahoma" w:cs="Tahoma"/>
          <w:sz w:val="24"/>
          <w:szCs w:val="24"/>
        </w:rPr>
        <w:t>la</w:t>
      </w:r>
      <w:r w:rsidRPr="002462E6">
        <w:rPr>
          <w:rFonts w:ascii="Tahoma" w:eastAsia="Times New Roman" w:hAnsi="Tahoma" w:cs="Tahoma"/>
          <w:spacing w:val="-58"/>
          <w:sz w:val="24"/>
          <w:szCs w:val="24"/>
        </w:rPr>
        <w:t xml:space="preserve"> </w:t>
      </w:r>
      <w:r w:rsidRPr="002462E6">
        <w:rPr>
          <w:rFonts w:ascii="Tahoma" w:eastAsia="Times New Roman" w:hAnsi="Tahoma" w:cs="Tahoma"/>
          <w:sz w:val="24"/>
          <w:szCs w:val="24"/>
        </w:rPr>
        <w:t>chasse</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et un fonds de la chasse</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w:t>
      </w:r>
    </w:p>
    <w:p w:rsidR="00726EDC" w:rsidRPr="002462E6" w:rsidRDefault="00726EDC" w:rsidP="00D051D7">
      <w:pPr>
        <w:widowControl w:val="0"/>
        <w:numPr>
          <w:ilvl w:val="0"/>
          <w:numId w:val="18"/>
        </w:numPr>
        <w:tabs>
          <w:tab w:val="left" w:pos="851"/>
        </w:tabs>
        <w:autoSpaceDE w:val="0"/>
        <w:autoSpaceDN w:val="0"/>
        <w:spacing w:before="13" w:after="0" w:line="355" w:lineRule="auto"/>
        <w:ind w:left="426" w:right="142" w:firstLine="567"/>
        <w:jc w:val="both"/>
        <w:rPr>
          <w:rFonts w:ascii="Tahoma" w:eastAsia="Times New Roman" w:hAnsi="Tahoma" w:cs="Tahoma"/>
          <w:sz w:val="24"/>
          <w:szCs w:val="24"/>
        </w:rPr>
      </w:pPr>
      <w:r w:rsidRPr="002462E6">
        <w:rPr>
          <w:rFonts w:ascii="Tahoma" w:eastAsia="Times New Roman" w:hAnsi="Tahoma" w:cs="Tahoma"/>
          <w:sz w:val="24"/>
          <w:szCs w:val="24"/>
        </w:rPr>
        <w:t>Le</w:t>
      </w:r>
      <w:r w:rsidRPr="002462E6">
        <w:rPr>
          <w:rFonts w:ascii="Tahoma" w:eastAsia="Times New Roman" w:hAnsi="Tahoma" w:cs="Tahoma"/>
          <w:spacing w:val="-9"/>
          <w:sz w:val="24"/>
          <w:szCs w:val="24"/>
        </w:rPr>
        <w:t xml:space="preserve"> </w:t>
      </w:r>
      <w:r w:rsidRPr="002462E6">
        <w:rPr>
          <w:rFonts w:ascii="Tahoma" w:eastAsia="Times New Roman" w:hAnsi="Tahoma" w:cs="Tahoma"/>
          <w:sz w:val="24"/>
          <w:szCs w:val="24"/>
        </w:rPr>
        <w:t>Dahir</w:t>
      </w:r>
      <w:r w:rsidRPr="002462E6">
        <w:rPr>
          <w:rFonts w:ascii="Tahoma" w:eastAsia="Times New Roman" w:hAnsi="Tahoma" w:cs="Tahoma"/>
          <w:spacing w:val="-8"/>
          <w:sz w:val="24"/>
          <w:szCs w:val="24"/>
        </w:rPr>
        <w:t xml:space="preserve"> </w:t>
      </w:r>
      <w:r w:rsidRPr="002462E6">
        <w:rPr>
          <w:rFonts w:ascii="Tahoma" w:eastAsia="Times New Roman" w:hAnsi="Tahoma" w:cs="Tahoma"/>
          <w:sz w:val="24"/>
          <w:szCs w:val="24"/>
        </w:rPr>
        <w:t>portant</w:t>
      </w:r>
      <w:r w:rsidRPr="002462E6">
        <w:rPr>
          <w:rFonts w:ascii="Tahoma" w:eastAsia="Times New Roman" w:hAnsi="Tahoma" w:cs="Tahoma"/>
          <w:spacing w:val="-9"/>
          <w:sz w:val="24"/>
          <w:szCs w:val="24"/>
        </w:rPr>
        <w:t xml:space="preserve"> </w:t>
      </w:r>
      <w:r w:rsidRPr="002462E6">
        <w:rPr>
          <w:rFonts w:ascii="Tahoma" w:eastAsia="Times New Roman" w:hAnsi="Tahoma" w:cs="Tahoma"/>
          <w:sz w:val="24"/>
          <w:szCs w:val="24"/>
        </w:rPr>
        <w:t>loi</w:t>
      </w:r>
      <w:r w:rsidRPr="002462E6">
        <w:rPr>
          <w:rFonts w:ascii="Tahoma" w:eastAsia="Times New Roman" w:hAnsi="Tahoma" w:cs="Tahoma"/>
          <w:spacing w:val="-8"/>
          <w:sz w:val="24"/>
          <w:szCs w:val="24"/>
        </w:rPr>
        <w:t xml:space="preserve"> </w:t>
      </w:r>
      <w:r w:rsidRPr="002462E6">
        <w:rPr>
          <w:rFonts w:ascii="Tahoma" w:eastAsia="Times New Roman" w:hAnsi="Tahoma" w:cs="Tahoma"/>
          <w:sz w:val="24"/>
          <w:szCs w:val="24"/>
        </w:rPr>
        <w:t>n°</w:t>
      </w:r>
      <w:r w:rsidRPr="002462E6">
        <w:rPr>
          <w:rFonts w:ascii="Tahoma" w:eastAsia="Times New Roman" w:hAnsi="Tahoma" w:cs="Tahoma"/>
          <w:spacing w:val="-8"/>
          <w:sz w:val="24"/>
          <w:szCs w:val="24"/>
        </w:rPr>
        <w:t xml:space="preserve"> </w:t>
      </w:r>
      <w:r w:rsidRPr="002462E6">
        <w:rPr>
          <w:rFonts w:ascii="Tahoma" w:eastAsia="Times New Roman" w:hAnsi="Tahoma" w:cs="Tahoma"/>
          <w:sz w:val="24"/>
          <w:szCs w:val="24"/>
        </w:rPr>
        <w:t>1.76.350</w:t>
      </w:r>
      <w:r w:rsidRPr="002462E6">
        <w:rPr>
          <w:rFonts w:ascii="Tahoma" w:eastAsia="Times New Roman" w:hAnsi="Tahoma" w:cs="Tahoma"/>
          <w:spacing w:val="-9"/>
          <w:sz w:val="24"/>
          <w:szCs w:val="24"/>
        </w:rPr>
        <w:t xml:space="preserve"> </w:t>
      </w:r>
      <w:r w:rsidRPr="002462E6">
        <w:rPr>
          <w:rFonts w:ascii="Tahoma" w:eastAsia="Times New Roman" w:hAnsi="Tahoma" w:cs="Tahoma"/>
          <w:sz w:val="24"/>
          <w:szCs w:val="24"/>
        </w:rPr>
        <w:t>du</w:t>
      </w:r>
      <w:r w:rsidRPr="002462E6">
        <w:rPr>
          <w:rFonts w:ascii="Tahoma" w:eastAsia="Times New Roman" w:hAnsi="Tahoma" w:cs="Tahoma"/>
          <w:spacing w:val="-8"/>
          <w:sz w:val="24"/>
          <w:szCs w:val="24"/>
        </w:rPr>
        <w:t xml:space="preserve"> </w:t>
      </w:r>
      <w:r w:rsidRPr="002462E6">
        <w:rPr>
          <w:rFonts w:ascii="Tahoma" w:eastAsia="Times New Roman" w:hAnsi="Tahoma" w:cs="Tahoma"/>
          <w:sz w:val="24"/>
          <w:szCs w:val="24"/>
        </w:rPr>
        <w:t>30</w:t>
      </w:r>
      <w:r w:rsidRPr="002462E6">
        <w:rPr>
          <w:rFonts w:ascii="Tahoma" w:eastAsia="Times New Roman" w:hAnsi="Tahoma" w:cs="Tahoma"/>
          <w:spacing w:val="-8"/>
          <w:sz w:val="24"/>
          <w:szCs w:val="24"/>
        </w:rPr>
        <w:t xml:space="preserve"> </w:t>
      </w:r>
      <w:r w:rsidRPr="002462E6">
        <w:rPr>
          <w:rFonts w:ascii="Tahoma" w:eastAsia="Times New Roman" w:hAnsi="Tahoma" w:cs="Tahoma"/>
          <w:sz w:val="24"/>
          <w:szCs w:val="24"/>
        </w:rPr>
        <w:t>Septembre</w:t>
      </w:r>
      <w:r w:rsidRPr="002462E6">
        <w:rPr>
          <w:rFonts w:ascii="Tahoma" w:eastAsia="Times New Roman" w:hAnsi="Tahoma" w:cs="Tahoma"/>
          <w:spacing w:val="-8"/>
          <w:sz w:val="24"/>
          <w:szCs w:val="24"/>
        </w:rPr>
        <w:t xml:space="preserve"> </w:t>
      </w:r>
      <w:r w:rsidRPr="002462E6">
        <w:rPr>
          <w:rFonts w:ascii="Tahoma" w:eastAsia="Times New Roman" w:hAnsi="Tahoma" w:cs="Tahoma"/>
          <w:sz w:val="24"/>
          <w:szCs w:val="24"/>
        </w:rPr>
        <w:t>1976</w:t>
      </w:r>
      <w:r w:rsidRPr="002462E6">
        <w:rPr>
          <w:rFonts w:ascii="Tahoma" w:eastAsia="Times New Roman" w:hAnsi="Tahoma" w:cs="Tahoma"/>
          <w:spacing w:val="-8"/>
          <w:sz w:val="24"/>
          <w:szCs w:val="24"/>
        </w:rPr>
        <w:t xml:space="preserve"> </w:t>
      </w:r>
      <w:r w:rsidRPr="002462E6">
        <w:rPr>
          <w:rFonts w:ascii="Tahoma" w:eastAsia="Times New Roman" w:hAnsi="Tahoma" w:cs="Tahoma"/>
          <w:sz w:val="24"/>
          <w:szCs w:val="24"/>
        </w:rPr>
        <w:t>relatif</w:t>
      </w:r>
      <w:r w:rsidRPr="002462E6">
        <w:rPr>
          <w:rFonts w:ascii="Tahoma" w:eastAsia="Times New Roman" w:hAnsi="Tahoma" w:cs="Tahoma"/>
          <w:spacing w:val="-10"/>
          <w:sz w:val="24"/>
          <w:szCs w:val="24"/>
        </w:rPr>
        <w:t xml:space="preserve"> </w:t>
      </w:r>
      <w:r w:rsidRPr="002462E6">
        <w:rPr>
          <w:rFonts w:ascii="Tahoma" w:eastAsia="Times New Roman" w:hAnsi="Tahoma" w:cs="Tahoma"/>
          <w:sz w:val="24"/>
          <w:szCs w:val="24"/>
        </w:rPr>
        <w:t>à</w:t>
      </w:r>
      <w:r w:rsidRPr="002462E6">
        <w:rPr>
          <w:rFonts w:ascii="Tahoma" w:eastAsia="Times New Roman" w:hAnsi="Tahoma" w:cs="Tahoma"/>
          <w:spacing w:val="-8"/>
          <w:sz w:val="24"/>
          <w:szCs w:val="24"/>
        </w:rPr>
        <w:t xml:space="preserve"> </w:t>
      </w:r>
      <w:r w:rsidRPr="002462E6">
        <w:rPr>
          <w:rFonts w:ascii="Tahoma" w:eastAsia="Times New Roman" w:hAnsi="Tahoma" w:cs="Tahoma"/>
          <w:sz w:val="24"/>
          <w:szCs w:val="24"/>
        </w:rPr>
        <w:t>l’organisation</w:t>
      </w:r>
      <w:r w:rsidRPr="002462E6">
        <w:rPr>
          <w:rFonts w:ascii="Tahoma" w:eastAsia="Times New Roman" w:hAnsi="Tahoma" w:cs="Tahoma"/>
          <w:spacing w:val="-58"/>
          <w:sz w:val="24"/>
          <w:szCs w:val="24"/>
        </w:rPr>
        <w:t xml:space="preserve"> </w:t>
      </w:r>
      <w:r w:rsidRPr="002462E6">
        <w:rPr>
          <w:rFonts w:ascii="Tahoma" w:eastAsia="Times New Roman" w:hAnsi="Tahoma" w:cs="Tahoma"/>
          <w:sz w:val="24"/>
          <w:szCs w:val="24"/>
        </w:rPr>
        <w:t>de</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la</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participation</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des</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populations</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au</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développement</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de</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l’économie</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forestière ;</w:t>
      </w:r>
    </w:p>
    <w:p w:rsidR="00726EDC" w:rsidRPr="002462E6" w:rsidRDefault="00726EDC" w:rsidP="00D051D7">
      <w:pPr>
        <w:widowControl w:val="0"/>
        <w:numPr>
          <w:ilvl w:val="0"/>
          <w:numId w:val="19"/>
        </w:numPr>
        <w:tabs>
          <w:tab w:val="left" w:pos="1134"/>
        </w:tabs>
        <w:autoSpaceDE w:val="0"/>
        <w:autoSpaceDN w:val="0"/>
        <w:spacing w:before="78" w:after="0" w:line="355" w:lineRule="auto"/>
        <w:ind w:left="1276" w:hanging="567"/>
        <w:jc w:val="both"/>
        <w:rPr>
          <w:rFonts w:ascii="Tahoma" w:eastAsia="Times New Roman" w:hAnsi="Tahoma" w:cs="Tahoma"/>
          <w:sz w:val="24"/>
          <w:szCs w:val="24"/>
        </w:rPr>
      </w:pPr>
      <w:r w:rsidRPr="002462E6">
        <w:rPr>
          <w:rFonts w:ascii="Tahoma" w:eastAsia="Times New Roman" w:hAnsi="Tahoma" w:cs="Tahoma"/>
          <w:sz w:val="24"/>
          <w:szCs w:val="24"/>
        </w:rPr>
        <w:t>La</w:t>
      </w:r>
      <w:r w:rsidRPr="002462E6">
        <w:rPr>
          <w:rFonts w:ascii="Tahoma" w:eastAsia="Times New Roman" w:hAnsi="Tahoma" w:cs="Tahoma"/>
          <w:spacing w:val="-6"/>
          <w:sz w:val="24"/>
          <w:szCs w:val="24"/>
        </w:rPr>
        <w:t xml:space="preserve"> </w:t>
      </w:r>
      <w:r w:rsidRPr="002462E6">
        <w:rPr>
          <w:rFonts w:ascii="Tahoma" w:eastAsia="Times New Roman" w:hAnsi="Tahoma" w:cs="Tahoma"/>
          <w:sz w:val="24"/>
          <w:szCs w:val="24"/>
        </w:rPr>
        <w:t>loi</w:t>
      </w:r>
      <w:r w:rsidRPr="002462E6">
        <w:rPr>
          <w:rFonts w:ascii="Tahoma" w:eastAsia="Times New Roman" w:hAnsi="Tahoma" w:cs="Tahoma"/>
          <w:spacing w:val="-6"/>
          <w:sz w:val="24"/>
          <w:szCs w:val="24"/>
        </w:rPr>
        <w:t xml:space="preserve"> </w:t>
      </w:r>
      <w:r w:rsidRPr="002462E6">
        <w:rPr>
          <w:rFonts w:ascii="Tahoma" w:eastAsia="Times New Roman" w:hAnsi="Tahoma" w:cs="Tahoma"/>
          <w:sz w:val="24"/>
          <w:szCs w:val="24"/>
        </w:rPr>
        <w:t>n°</w:t>
      </w:r>
      <w:r w:rsidRPr="002462E6">
        <w:rPr>
          <w:rFonts w:ascii="Tahoma" w:eastAsia="Times New Roman" w:hAnsi="Tahoma" w:cs="Tahoma"/>
          <w:spacing w:val="-5"/>
          <w:sz w:val="24"/>
          <w:szCs w:val="24"/>
        </w:rPr>
        <w:t xml:space="preserve"> </w:t>
      </w:r>
      <w:r w:rsidRPr="002462E6">
        <w:rPr>
          <w:rFonts w:ascii="Tahoma" w:eastAsia="Times New Roman" w:hAnsi="Tahoma" w:cs="Tahoma"/>
          <w:sz w:val="24"/>
          <w:szCs w:val="24"/>
        </w:rPr>
        <w:t>88.20</w:t>
      </w:r>
      <w:r w:rsidRPr="002462E6">
        <w:rPr>
          <w:rFonts w:ascii="Tahoma" w:eastAsia="Times New Roman" w:hAnsi="Tahoma" w:cs="Tahoma"/>
          <w:spacing w:val="-6"/>
          <w:sz w:val="24"/>
          <w:szCs w:val="24"/>
        </w:rPr>
        <w:t xml:space="preserve"> </w:t>
      </w:r>
      <w:r w:rsidRPr="002462E6">
        <w:rPr>
          <w:rFonts w:ascii="Tahoma" w:eastAsia="Times New Roman" w:hAnsi="Tahoma" w:cs="Tahoma"/>
          <w:sz w:val="24"/>
          <w:szCs w:val="24"/>
        </w:rPr>
        <w:t>du</w:t>
      </w:r>
      <w:r w:rsidRPr="002462E6">
        <w:rPr>
          <w:rFonts w:ascii="Tahoma" w:eastAsia="Times New Roman" w:hAnsi="Tahoma" w:cs="Tahoma"/>
          <w:spacing w:val="-6"/>
          <w:sz w:val="24"/>
          <w:szCs w:val="24"/>
        </w:rPr>
        <w:t xml:space="preserve"> </w:t>
      </w:r>
      <w:r w:rsidRPr="002462E6">
        <w:rPr>
          <w:rFonts w:ascii="Tahoma" w:eastAsia="Times New Roman" w:hAnsi="Tahoma" w:cs="Tahoma"/>
          <w:sz w:val="24"/>
          <w:szCs w:val="24"/>
        </w:rPr>
        <w:t>15</w:t>
      </w:r>
      <w:r w:rsidRPr="002462E6">
        <w:rPr>
          <w:rFonts w:ascii="Tahoma" w:eastAsia="Times New Roman" w:hAnsi="Tahoma" w:cs="Tahoma"/>
          <w:spacing w:val="-5"/>
          <w:sz w:val="24"/>
          <w:szCs w:val="24"/>
        </w:rPr>
        <w:t xml:space="preserve"> </w:t>
      </w:r>
      <w:r w:rsidRPr="002462E6">
        <w:rPr>
          <w:rFonts w:ascii="Tahoma" w:eastAsia="Times New Roman" w:hAnsi="Tahoma" w:cs="Tahoma"/>
          <w:sz w:val="24"/>
          <w:szCs w:val="24"/>
        </w:rPr>
        <w:t>Avril</w:t>
      </w:r>
      <w:r w:rsidRPr="002462E6">
        <w:rPr>
          <w:rFonts w:ascii="Tahoma" w:eastAsia="Times New Roman" w:hAnsi="Tahoma" w:cs="Tahoma"/>
          <w:spacing w:val="-7"/>
          <w:sz w:val="24"/>
          <w:szCs w:val="24"/>
        </w:rPr>
        <w:t xml:space="preserve"> </w:t>
      </w:r>
      <w:r w:rsidRPr="002462E6">
        <w:rPr>
          <w:rFonts w:ascii="Tahoma" w:eastAsia="Times New Roman" w:hAnsi="Tahoma" w:cs="Tahoma"/>
          <w:sz w:val="24"/>
          <w:szCs w:val="24"/>
        </w:rPr>
        <w:t>1988</w:t>
      </w:r>
      <w:r w:rsidRPr="002462E6">
        <w:rPr>
          <w:rFonts w:ascii="Tahoma" w:eastAsia="Times New Roman" w:hAnsi="Tahoma" w:cs="Tahoma"/>
          <w:spacing w:val="-5"/>
          <w:sz w:val="24"/>
          <w:szCs w:val="24"/>
        </w:rPr>
        <w:t xml:space="preserve"> </w:t>
      </w:r>
      <w:r w:rsidRPr="002462E6">
        <w:rPr>
          <w:rFonts w:ascii="Tahoma" w:eastAsia="Times New Roman" w:hAnsi="Tahoma" w:cs="Tahoma"/>
          <w:sz w:val="24"/>
          <w:szCs w:val="24"/>
        </w:rPr>
        <w:t>portant</w:t>
      </w:r>
      <w:r w:rsidRPr="002462E6">
        <w:rPr>
          <w:rFonts w:ascii="Tahoma" w:eastAsia="Times New Roman" w:hAnsi="Tahoma" w:cs="Tahoma"/>
          <w:spacing w:val="-6"/>
          <w:sz w:val="24"/>
          <w:szCs w:val="24"/>
        </w:rPr>
        <w:t xml:space="preserve"> </w:t>
      </w:r>
      <w:r w:rsidRPr="002462E6">
        <w:rPr>
          <w:rFonts w:ascii="Tahoma" w:eastAsia="Times New Roman" w:hAnsi="Tahoma" w:cs="Tahoma"/>
          <w:sz w:val="24"/>
          <w:szCs w:val="24"/>
        </w:rPr>
        <w:t>refonte</w:t>
      </w:r>
      <w:r w:rsidRPr="002462E6">
        <w:rPr>
          <w:rFonts w:ascii="Tahoma" w:eastAsia="Times New Roman" w:hAnsi="Tahoma" w:cs="Tahoma"/>
          <w:spacing w:val="-6"/>
          <w:sz w:val="24"/>
          <w:szCs w:val="24"/>
        </w:rPr>
        <w:t xml:space="preserve"> </w:t>
      </w:r>
      <w:r w:rsidRPr="002462E6">
        <w:rPr>
          <w:rFonts w:ascii="Tahoma" w:eastAsia="Times New Roman" w:hAnsi="Tahoma" w:cs="Tahoma"/>
          <w:sz w:val="24"/>
          <w:szCs w:val="24"/>
        </w:rPr>
        <w:t>du</w:t>
      </w:r>
      <w:r w:rsidRPr="002462E6">
        <w:rPr>
          <w:rFonts w:ascii="Tahoma" w:eastAsia="Times New Roman" w:hAnsi="Tahoma" w:cs="Tahoma"/>
          <w:spacing w:val="-5"/>
          <w:sz w:val="24"/>
          <w:szCs w:val="24"/>
        </w:rPr>
        <w:t xml:space="preserve"> </w:t>
      </w:r>
      <w:r w:rsidRPr="002462E6">
        <w:rPr>
          <w:rFonts w:ascii="Tahoma" w:eastAsia="Times New Roman" w:hAnsi="Tahoma" w:cs="Tahoma"/>
          <w:sz w:val="24"/>
          <w:szCs w:val="24"/>
        </w:rPr>
        <w:t>code</w:t>
      </w:r>
      <w:r w:rsidRPr="002462E6">
        <w:rPr>
          <w:rFonts w:ascii="Tahoma" w:eastAsia="Times New Roman" w:hAnsi="Tahoma" w:cs="Tahoma"/>
          <w:spacing w:val="-6"/>
          <w:sz w:val="24"/>
          <w:szCs w:val="24"/>
        </w:rPr>
        <w:t xml:space="preserve"> </w:t>
      </w:r>
      <w:r w:rsidRPr="002462E6">
        <w:rPr>
          <w:rFonts w:ascii="Tahoma" w:eastAsia="Times New Roman" w:hAnsi="Tahoma" w:cs="Tahoma"/>
          <w:sz w:val="24"/>
          <w:szCs w:val="24"/>
        </w:rPr>
        <w:t>forestier</w:t>
      </w:r>
      <w:r w:rsidRPr="002462E6">
        <w:rPr>
          <w:rFonts w:ascii="Tahoma" w:eastAsia="Times New Roman" w:hAnsi="Tahoma" w:cs="Tahoma"/>
          <w:spacing w:val="-6"/>
          <w:sz w:val="24"/>
          <w:szCs w:val="24"/>
        </w:rPr>
        <w:t xml:space="preserve"> </w:t>
      </w:r>
      <w:r w:rsidRPr="002462E6">
        <w:rPr>
          <w:rFonts w:ascii="Tahoma" w:eastAsia="Times New Roman" w:hAnsi="Tahoma" w:cs="Tahoma"/>
          <w:sz w:val="24"/>
          <w:szCs w:val="24"/>
        </w:rPr>
        <w:t>et</w:t>
      </w:r>
      <w:r w:rsidRPr="002462E6">
        <w:rPr>
          <w:rFonts w:ascii="Tahoma" w:eastAsia="Times New Roman" w:hAnsi="Tahoma" w:cs="Tahoma"/>
          <w:spacing w:val="-5"/>
          <w:sz w:val="24"/>
          <w:szCs w:val="24"/>
        </w:rPr>
        <w:t xml:space="preserve"> </w:t>
      </w:r>
      <w:r w:rsidRPr="002462E6">
        <w:rPr>
          <w:rFonts w:ascii="Tahoma" w:eastAsia="Times New Roman" w:hAnsi="Tahoma" w:cs="Tahoma"/>
          <w:sz w:val="24"/>
          <w:szCs w:val="24"/>
        </w:rPr>
        <w:t>instituant</w:t>
      </w:r>
      <w:r w:rsidRPr="002462E6">
        <w:rPr>
          <w:rFonts w:ascii="Tahoma" w:eastAsia="Times New Roman" w:hAnsi="Tahoma" w:cs="Tahoma"/>
          <w:spacing w:val="-58"/>
          <w:sz w:val="24"/>
          <w:szCs w:val="24"/>
        </w:rPr>
        <w:t xml:space="preserve"> </w:t>
      </w:r>
      <w:r w:rsidRPr="002462E6">
        <w:rPr>
          <w:rFonts w:ascii="Tahoma" w:eastAsia="Times New Roman" w:hAnsi="Tahoma" w:cs="Tahoma"/>
          <w:sz w:val="24"/>
          <w:szCs w:val="24"/>
        </w:rPr>
        <w:t>les règles générales de l’exploitation et de la commercialisation des produits</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forestiers ;</w:t>
      </w:r>
    </w:p>
    <w:p w:rsidR="00726EDC" w:rsidRPr="002462E6" w:rsidRDefault="00726EDC" w:rsidP="00D051D7">
      <w:pPr>
        <w:widowControl w:val="0"/>
        <w:numPr>
          <w:ilvl w:val="0"/>
          <w:numId w:val="20"/>
        </w:numPr>
        <w:autoSpaceDE w:val="0"/>
        <w:autoSpaceDN w:val="0"/>
        <w:spacing w:before="7" w:after="0" w:line="357" w:lineRule="auto"/>
        <w:ind w:left="1134"/>
        <w:jc w:val="both"/>
        <w:rPr>
          <w:rFonts w:ascii="Tahoma" w:eastAsia="Times New Roman" w:hAnsi="Tahoma" w:cs="Tahoma"/>
          <w:sz w:val="24"/>
          <w:szCs w:val="24"/>
        </w:rPr>
      </w:pPr>
      <w:r w:rsidRPr="002462E6">
        <w:rPr>
          <w:rFonts w:ascii="Tahoma" w:eastAsia="Times New Roman" w:hAnsi="Tahoma" w:cs="Tahoma"/>
          <w:sz w:val="24"/>
          <w:szCs w:val="24"/>
        </w:rPr>
        <w:t>L’arrêté</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n°</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370.02</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du</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05</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Mars</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2002</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portant</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délégation</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de</w:t>
      </w:r>
      <w:r w:rsidRPr="002462E6">
        <w:rPr>
          <w:rFonts w:ascii="Tahoma" w:eastAsia="Times New Roman" w:hAnsi="Tahoma" w:cs="Tahoma"/>
          <w:spacing w:val="60"/>
          <w:sz w:val="24"/>
          <w:szCs w:val="24"/>
        </w:rPr>
        <w:t xml:space="preserve"> </w:t>
      </w:r>
      <w:r w:rsidRPr="002462E6">
        <w:rPr>
          <w:rFonts w:ascii="Tahoma" w:eastAsia="Times New Roman" w:hAnsi="Tahoma" w:cs="Tahoma"/>
          <w:sz w:val="24"/>
          <w:szCs w:val="24"/>
        </w:rPr>
        <w:t>pouvoir</w:t>
      </w:r>
      <w:r w:rsidRPr="002462E6">
        <w:rPr>
          <w:rFonts w:ascii="Tahoma" w:eastAsia="Times New Roman" w:hAnsi="Tahoma" w:cs="Tahoma"/>
          <w:spacing w:val="60"/>
          <w:sz w:val="24"/>
          <w:szCs w:val="24"/>
        </w:rPr>
        <w:t xml:space="preserve"> </w:t>
      </w:r>
      <w:r w:rsidRPr="002462E6">
        <w:rPr>
          <w:rFonts w:ascii="Tahoma" w:eastAsia="Times New Roman" w:hAnsi="Tahoma" w:cs="Tahoma"/>
          <w:sz w:val="24"/>
          <w:szCs w:val="24"/>
        </w:rPr>
        <w:t>du</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responsable des forêts aux walis de région pour délivrer les autorisations</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d’occupation</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temporaire</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du</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domaine</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forestier</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pour</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la</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réalisation</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d’investissement minier ou touristique d’une valeur inférieure à 200 millions</w:t>
      </w:r>
      <w:r w:rsidRPr="002462E6">
        <w:rPr>
          <w:rFonts w:ascii="Tahoma" w:eastAsia="Times New Roman" w:hAnsi="Tahoma" w:cs="Tahoma"/>
          <w:spacing w:val="-57"/>
          <w:sz w:val="24"/>
          <w:szCs w:val="24"/>
        </w:rPr>
        <w:t xml:space="preserve"> </w:t>
      </w:r>
      <w:r w:rsidRPr="002462E6">
        <w:rPr>
          <w:rFonts w:ascii="Tahoma" w:eastAsia="Times New Roman" w:hAnsi="Tahoma" w:cs="Tahoma"/>
          <w:sz w:val="24"/>
          <w:szCs w:val="24"/>
        </w:rPr>
        <w:t>de</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dirhams.</w:t>
      </w:r>
    </w:p>
    <w:p w:rsidR="00726EDC" w:rsidRPr="002462E6" w:rsidRDefault="00726EDC" w:rsidP="00726EDC">
      <w:pPr>
        <w:widowControl w:val="0"/>
        <w:autoSpaceDE w:val="0"/>
        <w:autoSpaceDN w:val="0"/>
        <w:spacing w:before="7" w:after="0" w:line="240" w:lineRule="auto"/>
        <w:ind w:left="993" w:right="464"/>
        <w:rPr>
          <w:rFonts w:ascii="Tahoma" w:eastAsia="Times New Roman" w:hAnsi="Tahoma" w:cs="Tahoma"/>
          <w:sz w:val="24"/>
          <w:szCs w:val="24"/>
        </w:rPr>
      </w:pPr>
    </w:p>
    <w:p w:rsidR="00726EDC" w:rsidRPr="002462E6" w:rsidRDefault="00726EDC" w:rsidP="00726EDC">
      <w:pPr>
        <w:widowControl w:val="0"/>
        <w:tabs>
          <w:tab w:val="left" w:pos="284"/>
          <w:tab w:val="left" w:pos="567"/>
        </w:tabs>
        <w:autoSpaceDE w:val="0"/>
        <w:autoSpaceDN w:val="0"/>
        <w:spacing w:after="0" w:line="360" w:lineRule="auto"/>
        <w:ind w:right="142"/>
        <w:jc w:val="both"/>
        <w:rPr>
          <w:rFonts w:ascii="Tahoma" w:eastAsia="Times New Roman" w:hAnsi="Tahoma" w:cs="Tahoma"/>
          <w:sz w:val="24"/>
          <w:szCs w:val="24"/>
        </w:rPr>
      </w:pPr>
      <w:r w:rsidRPr="002462E6">
        <w:rPr>
          <w:rFonts w:ascii="Tahoma" w:eastAsia="Times New Roman" w:hAnsi="Tahoma" w:cs="Tahoma"/>
          <w:sz w:val="24"/>
          <w:szCs w:val="24"/>
        </w:rPr>
        <w:t>Une avancée dite significative est constatée en matière législative à travers la</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promulgation du Dahir portant loi du 30/09/1976 se rapportant à l’organisation de</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la</w:t>
      </w:r>
      <w:r w:rsidRPr="002462E6">
        <w:rPr>
          <w:rFonts w:ascii="Tahoma" w:eastAsia="Times New Roman" w:hAnsi="Tahoma" w:cs="Tahoma"/>
          <w:spacing w:val="-4"/>
          <w:sz w:val="24"/>
          <w:szCs w:val="24"/>
        </w:rPr>
        <w:t xml:space="preserve"> </w:t>
      </w:r>
      <w:r w:rsidRPr="002462E6">
        <w:rPr>
          <w:rFonts w:ascii="Tahoma" w:eastAsia="Times New Roman" w:hAnsi="Tahoma" w:cs="Tahoma"/>
          <w:sz w:val="24"/>
          <w:szCs w:val="24"/>
        </w:rPr>
        <w:t>participation</w:t>
      </w:r>
      <w:r w:rsidRPr="002462E6">
        <w:rPr>
          <w:rFonts w:ascii="Tahoma" w:eastAsia="Times New Roman" w:hAnsi="Tahoma" w:cs="Tahoma"/>
          <w:spacing w:val="-5"/>
          <w:sz w:val="24"/>
          <w:szCs w:val="24"/>
        </w:rPr>
        <w:t xml:space="preserve"> </w:t>
      </w:r>
      <w:r w:rsidRPr="002462E6">
        <w:rPr>
          <w:rFonts w:ascii="Tahoma" w:eastAsia="Times New Roman" w:hAnsi="Tahoma" w:cs="Tahoma"/>
          <w:sz w:val="24"/>
          <w:szCs w:val="24"/>
        </w:rPr>
        <w:t>des</w:t>
      </w:r>
      <w:r w:rsidRPr="002462E6">
        <w:rPr>
          <w:rFonts w:ascii="Tahoma" w:eastAsia="Times New Roman" w:hAnsi="Tahoma" w:cs="Tahoma"/>
          <w:spacing w:val="-4"/>
          <w:sz w:val="24"/>
          <w:szCs w:val="24"/>
        </w:rPr>
        <w:t xml:space="preserve"> </w:t>
      </w:r>
      <w:r w:rsidRPr="002462E6">
        <w:rPr>
          <w:rFonts w:ascii="Tahoma" w:eastAsia="Times New Roman" w:hAnsi="Tahoma" w:cs="Tahoma"/>
          <w:sz w:val="24"/>
          <w:szCs w:val="24"/>
        </w:rPr>
        <w:t>populations</w:t>
      </w:r>
      <w:r w:rsidRPr="002462E6">
        <w:rPr>
          <w:rFonts w:ascii="Tahoma" w:eastAsia="Times New Roman" w:hAnsi="Tahoma" w:cs="Tahoma"/>
          <w:spacing w:val="-6"/>
          <w:sz w:val="24"/>
          <w:szCs w:val="24"/>
        </w:rPr>
        <w:t xml:space="preserve"> </w:t>
      </w:r>
      <w:r w:rsidRPr="002462E6">
        <w:rPr>
          <w:rFonts w:ascii="Tahoma" w:eastAsia="Times New Roman" w:hAnsi="Tahoma" w:cs="Tahoma"/>
          <w:sz w:val="24"/>
          <w:szCs w:val="24"/>
        </w:rPr>
        <w:t>au</w:t>
      </w:r>
      <w:r w:rsidRPr="002462E6">
        <w:rPr>
          <w:rFonts w:ascii="Tahoma" w:eastAsia="Times New Roman" w:hAnsi="Tahoma" w:cs="Tahoma"/>
          <w:spacing w:val="-5"/>
          <w:sz w:val="24"/>
          <w:szCs w:val="24"/>
        </w:rPr>
        <w:t xml:space="preserve"> </w:t>
      </w:r>
      <w:r w:rsidRPr="002462E6">
        <w:rPr>
          <w:rFonts w:ascii="Tahoma" w:eastAsia="Times New Roman" w:hAnsi="Tahoma" w:cs="Tahoma"/>
          <w:sz w:val="24"/>
          <w:szCs w:val="24"/>
        </w:rPr>
        <w:t>développement</w:t>
      </w:r>
      <w:r w:rsidRPr="002462E6">
        <w:rPr>
          <w:rFonts w:ascii="Tahoma" w:eastAsia="Times New Roman" w:hAnsi="Tahoma" w:cs="Tahoma"/>
          <w:spacing w:val="-3"/>
          <w:sz w:val="24"/>
          <w:szCs w:val="24"/>
        </w:rPr>
        <w:t xml:space="preserve"> </w:t>
      </w:r>
      <w:r w:rsidRPr="002462E6">
        <w:rPr>
          <w:rFonts w:ascii="Tahoma" w:eastAsia="Times New Roman" w:hAnsi="Tahoma" w:cs="Tahoma"/>
          <w:sz w:val="24"/>
          <w:szCs w:val="24"/>
        </w:rPr>
        <w:t>de</w:t>
      </w:r>
      <w:r w:rsidRPr="002462E6">
        <w:rPr>
          <w:rFonts w:ascii="Tahoma" w:eastAsia="Times New Roman" w:hAnsi="Tahoma" w:cs="Tahoma"/>
          <w:spacing w:val="-6"/>
          <w:sz w:val="24"/>
          <w:szCs w:val="24"/>
        </w:rPr>
        <w:t xml:space="preserve"> </w:t>
      </w:r>
      <w:r w:rsidRPr="002462E6">
        <w:rPr>
          <w:rFonts w:ascii="Tahoma" w:eastAsia="Times New Roman" w:hAnsi="Tahoma" w:cs="Tahoma"/>
          <w:sz w:val="24"/>
          <w:szCs w:val="24"/>
        </w:rPr>
        <w:t>l’économie</w:t>
      </w:r>
      <w:r w:rsidRPr="002462E6">
        <w:rPr>
          <w:rFonts w:ascii="Tahoma" w:eastAsia="Times New Roman" w:hAnsi="Tahoma" w:cs="Tahoma"/>
          <w:spacing w:val="-4"/>
          <w:sz w:val="24"/>
          <w:szCs w:val="24"/>
        </w:rPr>
        <w:t xml:space="preserve"> </w:t>
      </w:r>
      <w:r w:rsidRPr="002462E6">
        <w:rPr>
          <w:rFonts w:ascii="Tahoma" w:eastAsia="Times New Roman" w:hAnsi="Tahoma" w:cs="Tahoma"/>
          <w:sz w:val="24"/>
          <w:szCs w:val="24"/>
        </w:rPr>
        <w:t>forestière,</w:t>
      </w:r>
      <w:r w:rsidRPr="002462E6">
        <w:rPr>
          <w:rFonts w:ascii="Tahoma" w:eastAsia="Times New Roman" w:hAnsi="Tahoma" w:cs="Tahoma"/>
          <w:spacing w:val="-4"/>
          <w:sz w:val="24"/>
          <w:szCs w:val="24"/>
        </w:rPr>
        <w:t xml:space="preserve"> </w:t>
      </w:r>
      <w:r w:rsidRPr="002462E6">
        <w:rPr>
          <w:rFonts w:ascii="Tahoma" w:eastAsia="Times New Roman" w:hAnsi="Tahoma" w:cs="Tahoma"/>
          <w:sz w:val="24"/>
          <w:szCs w:val="24"/>
        </w:rPr>
        <w:t>ayant</w:t>
      </w:r>
      <w:r w:rsidRPr="002462E6">
        <w:rPr>
          <w:rFonts w:ascii="Tahoma" w:eastAsia="Times New Roman" w:hAnsi="Tahoma" w:cs="Tahoma"/>
          <w:spacing w:val="-5"/>
          <w:sz w:val="24"/>
          <w:szCs w:val="24"/>
        </w:rPr>
        <w:t xml:space="preserve"> </w:t>
      </w:r>
      <w:r w:rsidRPr="002462E6">
        <w:rPr>
          <w:rFonts w:ascii="Tahoma" w:eastAsia="Times New Roman" w:hAnsi="Tahoma" w:cs="Tahoma"/>
          <w:sz w:val="24"/>
          <w:szCs w:val="24"/>
        </w:rPr>
        <w:t>coïncidé</w:t>
      </w:r>
      <w:r w:rsidRPr="002462E6">
        <w:rPr>
          <w:rFonts w:ascii="Tahoma" w:eastAsia="Times New Roman" w:hAnsi="Tahoma" w:cs="Tahoma"/>
          <w:spacing w:val="-5"/>
          <w:sz w:val="24"/>
          <w:szCs w:val="24"/>
        </w:rPr>
        <w:t xml:space="preserve"> </w:t>
      </w:r>
      <w:r w:rsidRPr="002462E6">
        <w:rPr>
          <w:rFonts w:ascii="Tahoma" w:eastAsia="Times New Roman" w:hAnsi="Tahoma" w:cs="Tahoma"/>
          <w:sz w:val="24"/>
          <w:szCs w:val="24"/>
        </w:rPr>
        <w:t>avec</w:t>
      </w:r>
      <w:r w:rsidRPr="002462E6">
        <w:rPr>
          <w:rFonts w:ascii="Tahoma" w:eastAsia="Times New Roman" w:hAnsi="Tahoma" w:cs="Tahoma"/>
          <w:spacing w:val="-4"/>
          <w:sz w:val="24"/>
          <w:szCs w:val="24"/>
        </w:rPr>
        <w:t xml:space="preserve"> </w:t>
      </w:r>
      <w:r w:rsidRPr="002462E6">
        <w:rPr>
          <w:rFonts w:ascii="Tahoma" w:eastAsia="Times New Roman" w:hAnsi="Tahoma" w:cs="Tahoma"/>
          <w:sz w:val="24"/>
          <w:szCs w:val="24"/>
        </w:rPr>
        <w:t>la</w:t>
      </w:r>
      <w:r w:rsidRPr="002462E6">
        <w:rPr>
          <w:rFonts w:ascii="Tahoma" w:eastAsia="Times New Roman" w:hAnsi="Tahoma" w:cs="Tahoma"/>
          <w:spacing w:val="-58"/>
          <w:sz w:val="24"/>
          <w:szCs w:val="24"/>
        </w:rPr>
        <w:t xml:space="preserve"> </w:t>
      </w:r>
      <w:r w:rsidRPr="002462E6">
        <w:rPr>
          <w:rFonts w:ascii="Tahoma" w:eastAsia="Times New Roman" w:hAnsi="Tahoma" w:cs="Tahoma"/>
          <w:sz w:val="24"/>
          <w:szCs w:val="24"/>
        </w:rPr>
        <w:t>promulgation</w:t>
      </w:r>
      <w:r w:rsidRPr="002462E6">
        <w:rPr>
          <w:rFonts w:ascii="Tahoma" w:eastAsia="Times New Roman" w:hAnsi="Tahoma" w:cs="Tahoma"/>
          <w:spacing w:val="-3"/>
          <w:sz w:val="24"/>
          <w:szCs w:val="24"/>
        </w:rPr>
        <w:t xml:space="preserve"> </w:t>
      </w:r>
      <w:r w:rsidRPr="002462E6">
        <w:rPr>
          <w:rFonts w:ascii="Tahoma" w:eastAsia="Times New Roman" w:hAnsi="Tahoma" w:cs="Tahoma"/>
          <w:sz w:val="24"/>
          <w:szCs w:val="24"/>
        </w:rPr>
        <w:t>de</w:t>
      </w:r>
      <w:r w:rsidRPr="002462E6">
        <w:rPr>
          <w:rFonts w:ascii="Tahoma" w:eastAsia="Times New Roman" w:hAnsi="Tahoma" w:cs="Tahoma"/>
          <w:spacing w:val="-2"/>
          <w:sz w:val="24"/>
          <w:szCs w:val="24"/>
        </w:rPr>
        <w:t xml:space="preserve"> </w:t>
      </w:r>
      <w:r w:rsidRPr="002462E6">
        <w:rPr>
          <w:rFonts w:ascii="Tahoma" w:eastAsia="Times New Roman" w:hAnsi="Tahoma" w:cs="Tahoma"/>
          <w:sz w:val="24"/>
          <w:szCs w:val="24"/>
        </w:rPr>
        <w:t>la</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Charte</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Communale du</w:t>
      </w:r>
      <w:r w:rsidRPr="002462E6">
        <w:rPr>
          <w:rFonts w:ascii="Tahoma" w:eastAsia="Times New Roman" w:hAnsi="Tahoma" w:cs="Tahoma"/>
          <w:spacing w:val="-4"/>
          <w:sz w:val="24"/>
          <w:szCs w:val="24"/>
        </w:rPr>
        <w:t xml:space="preserve"> </w:t>
      </w:r>
      <w:r w:rsidRPr="002462E6">
        <w:rPr>
          <w:rFonts w:ascii="Tahoma" w:eastAsia="Times New Roman" w:hAnsi="Tahoma" w:cs="Tahoma"/>
          <w:sz w:val="24"/>
          <w:szCs w:val="24"/>
        </w:rPr>
        <w:t>30/09/1976,</w:t>
      </w:r>
      <w:r w:rsidRPr="002462E6">
        <w:rPr>
          <w:rFonts w:ascii="Tahoma" w:eastAsia="Times New Roman" w:hAnsi="Tahoma" w:cs="Tahoma"/>
          <w:spacing w:val="-3"/>
          <w:sz w:val="24"/>
          <w:szCs w:val="24"/>
        </w:rPr>
        <w:t xml:space="preserve"> </w:t>
      </w:r>
      <w:r w:rsidRPr="002462E6">
        <w:rPr>
          <w:rFonts w:ascii="Tahoma" w:eastAsia="Times New Roman" w:hAnsi="Tahoma" w:cs="Tahoma"/>
          <w:sz w:val="24"/>
          <w:szCs w:val="24"/>
        </w:rPr>
        <w:t>consacrant</w:t>
      </w:r>
      <w:r w:rsidRPr="002462E6">
        <w:rPr>
          <w:rFonts w:ascii="Tahoma" w:eastAsia="Times New Roman" w:hAnsi="Tahoma" w:cs="Tahoma"/>
          <w:spacing w:val="-2"/>
          <w:sz w:val="24"/>
          <w:szCs w:val="24"/>
        </w:rPr>
        <w:t xml:space="preserve"> ainsi </w:t>
      </w:r>
      <w:r w:rsidRPr="002462E6">
        <w:rPr>
          <w:rFonts w:ascii="Tahoma" w:eastAsia="Times New Roman" w:hAnsi="Tahoma" w:cs="Tahoma"/>
          <w:sz w:val="24"/>
          <w:szCs w:val="24"/>
        </w:rPr>
        <w:t>l’institutionnalisation</w:t>
      </w:r>
      <w:r w:rsidRPr="002462E6">
        <w:rPr>
          <w:rFonts w:ascii="Tahoma" w:eastAsia="Times New Roman" w:hAnsi="Tahoma" w:cs="Tahoma"/>
          <w:spacing w:val="-3"/>
          <w:sz w:val="24"/>
          <w:szCs w:val="24"/>
        </w:rPr>
        <w:t xml:space="preserve"> </w:t>
      </w:r>
      <w:r w:rsidRPr="002462E6">
        <w:rPr>
          <w:rFonts w:ascii="Tahoma" w:eastAsia="Times New Roman" w:hAnsi="Tahoma" w:cs="Tahoma"/>
          <w:sz w:val="24"/>
          <w:szCs w:val="24"/>
        </w:rPr>
        <w:t>des</w:t>
      </w:r>
      <w:r w:rsidRPr="002462E6">
        <w:rPr>
          <w:rFonts w:ascii="Tahoma" w:eastAsia="Times New Roman" w:hAnsi="Tahoma" w:cs="Tahoma"/>
          <w:spacing w:val="-2"/>
          <w:sz w:val="24"/>
          <w:szCs w:val="24"/>
        </w:rPr>
        <w:t xml:space="preserve"> </w:t>
      </w:r>
      <w:r w:rsidRPr="002462E6">
        <w:rPr>
          <w:rFonts w:ascii="Tahoma" w:eastAsia="Times New Roman" w:hAnsi="Tahoma" w:cs="Tahoma"/>
          <w:sz w:val="24"/>
          <w:szCs w:val="24"/>
        </w:rPr>
        <w:t>bases</w:t>
      </w:r>
      <w:r w:rsidRPr="002462E6">
        <w:rPr>
          <w:rFonts w:ascii="Tahoma" w:eastAsia="Times New Roman" w:hAnsi="Tahoma" w:cs="Tahoma"/>
          <w:spacing w:val="-58"/>
          <w:sz w:val="24"/>
          <w:szCs w:val="24"/>
        </w:rPr>
        <w:t xml:space="preserve"> </w:t>
      </w:r>
      <w:r w:rsidRPr="002462E6">
        <w:rPr>
          <w:rFonts w:ascii="Tahoma" w:eastAsia="Times New Roman" w:hAnsi="Tahoma" w:cs="Tahoma"/>
          <w:sz w:val="24"/>
          <w:szCs w:val="24"/>
        </w:rPr>
        <w:t>de</w:t>
      </w:r>
      <w:r w:rsidRPr="002462E6">
        <w:rPr>
          <w:rFonts w:ascii="Tahoma" w:eastAsia="Times New Roman" w:hAnsi="Tahoma" w:cs="Tahoma"/>
          <w:spacing w:val="-13"/>
          <w:sz w:val="24"/>
          <w:szCs w:val="24"/>
        </w:rPr>
        <w:t xml:space="preserve"> </w:t>
      </w:r>
      <w:r w:rsidRPr="002462E6">
        <w:rPr>
          <w:rFonts w:ascii="Tahoma" w:eastAsia="Times New Roman" w:hAnsi="Tahoma" w:cs="Tahoma"/>
          <w:sz w:val="24"/>
          <w:szCs w:val="24"/>
        </w:rPr>
        <w:t>la</w:t>
      </w:r>
      <w:r w:rsidRPr="002462E6">
        <w:rPr>
          <w:rFonts w:ascii="Tahoma" w:eastAsia="Times New Roman" w:hAnsi="Tahoma" w:cs="Tahoma"/>
          <w:spacing w:val="-13"/>
          <w:sz w:val="24"/>
          <w:szCs w:val="24"/>
        </w:rPr>
        <w:t xml:space="preserve"> </w:t>
      </w:r>
      <w:r w:rsidRPr="002462E6">
        <w:rPr>
          <w:rFonts w:ascii="Tahoma" w:eastAsia="Times New Roman" w:hAnsi="Tahoma" w:cs="Tahoma"/>
          <w:sz w:val="24"/>
          <w:szCs w:val="24"/>
        </w:rPr>
        <w:t>décentralisation.</w:t>
      </w:r>
    </w:p>
    <w:p w:rsidR="00726EDC" w:rsidRPr="002462E6" w:rsidRDefault="00726EDC" w:rsidP="001462F5">
      <w:pPr>
        <w:widowControl w:val="0"/>
        <w:tabs>
          <w:tab w:val="left" w:pos="284"/>
          <w:tab w:val="left" w:pos="567"/>
        </w:tabs>
        <w:autoSpaceDE w:val="0"/>
        <w:autoSpaceDN w:val="0"/>
        <w:spacing w:after="0" w:line="360" w:lineRule="auto"/>
        <w:ind w:right="142"/>
        <w:jc w:val="both"/>
        <w:rPr>
          <w:rFonts w:ascii="Tahoma" w:eastAsia="Times New Roman" w:hAnsi="Tahoma" w:cs="Tahoma"/>
          <w:sz w:val="24"/>
          <w:szCs w:val="24"/>
        </w:rPr>
      </w:pPr>
      <w:r w:rsidRPr="002462E6">
        <w:rPr>
          <w:rFonts w:ascii="Tahoma" w:eastAsia="Times New Roman" w:hAnsi="Tahoma" w:cs="Tahoma"/>
          <w:spacing w:val="-14"/>
          <w:sz w:val="24"/>
          <w:szCs w:val="24"/>
        </w:rPr>
        <w:t xml:space="preserve"> </w:t>
      </w:r>
      <w:r w:rsidRPr="002462E6">
        <w:rPr>
          <w:rFonts w:ascii="Tahoma" w:eastAsia="Times New Roman" w:hAnsi="Tahoma" w:cs="Tahoma"/>
          <w:sz w:val="24"/>
          <w:szCs w:val="24"/>
        </w:rPr>
        <w:t>Ce Dahir a permis aux</w:t>
      </w:r>
      <w:r w:rsidRPr="002462E6">
        <w:rPr>
          <w:rFonts w:ascii="Tahoma" w:eastAsia="Times New Roman" w:hAnsi="Tahoma" w:cs="Tahoma"/>
          <w:spacing w:val="-10"/>
          <w:sz w:val="24"/>
          <w:szCs w:val="24"/>
        </w:rPr>
        <w:t xml:space="preserve"> </w:t>
      </w:r>
      <w:r w:rsidRPr="002462E6">
        <w:rPr>
          <w:rFonts w:ascii="Tahoma" w:eastAsia="Times New Roman" w:hAnsi="Tahoma" w:cs="Tahoma"/>
          <w:sz w:val="24"/>
          <w:szCs w:val="24"/>
        </w:rPr>
        <w:t>collectivités</w:t>
      </w:r>
      <w:r w:rsidRPr="002462E6">
        <w:rPr>
          <w:rFonts w:ascii="Tahoma" w:eastAsia="Times New Roman" w:hAnsi="Tahoma" w:cs="Tahoma"/>
          <w:spacing w:val="-14"/>
          <w:sz w:val="24"/>
          <w:szCs w:val="24"/>
        </w:rPr>
        <w:t xml:space="preserve"> </w:t>
      </w:r>
      <w:r w:rsidRPr="002462E6">
        <w:rPr>
          <w:rFonts w:ascii="Tahoma" w:eastAsia="Times New Roman" w:hAnsi="Tahoma" w:cs="Tahoma"/>
          <w:sz w:val="24"/>
          <w:szCs w:val="24"/>
        </w:rPr>
        <w:t>locales</w:t>
      </w:r>
      <w:r w:rsidRPr="002462E6">
        <w:rPr>
          <w:rFonts w:ascii="Tahoma" w:eastAsia="Times New Roman" w:hAnsi="Tahoma" w:cs="Tahoma"/>
          <w:spacing w:val="-13"/>
          <w:sz w:val="24"/>
          <w:szCs w:val="24"/>
        </w:rPr>
        <w:t xml:space="preserve"> </w:t>
      </w:r>
      <w:r w:rsidRPr="002462E6">
        <w:rPr>
          <w:rFonts w:ascii="Tahoma" w:eastAsia="Times New Roman" w:hAnsi="Tahoma" w:cs="Tahoma"/>
          <w:sz w:val="24"/>
          <w:szCs w:val="24"/>
        </w:rPr>
        <w:t>d’être un</w:t>
      </w:r>
      <w:r w:rsidRPr="002462E6">
        <w:rPr>
          <w:rFonts w:ascii="Tahoma" w:eastAsia="Times New Roman" w:hAnsi="Tahoma" w:cs="Tahoma"/>
          <w:spacing w:val="-13"/>
          <w:sz w:val="24"/>
          <w:szCs w:val="24"/>
        </w:rPr>
        <w:t xml:space="preserve"> </w:t>
      </w:r>
      <w:r w:rsidRPr="002462E6">
        <w:rPr>
          <w:rFonts w:ascii="Tahoma" w:eastAsia="Times New Roman" w:hAnsi="Tahoma" w:cs="Tahoma"/>
          <w:sz w:val="24"/>
          <w:szCs w:val="24"/>
        </w:rPr>
        <w:t>partenaire</w:t>
      </w:r>
      <w:r w:rsidRPr="002462E6">
        <w:rPr>
          <w:rFonts w:ascii="Tahoma" w:eastAsia="Times New Roman" w:hAnsi="Tahoma" w:cs="Tahoma"/>
          <w:spacing w:val="-14"/>
          <w:sz w:val="24"/>
          <w:szCs w:val="24"/>
        </w:rPr>
        <w:t xml:space="preserve"> </w:t>
      </w:r>
      <w:r w:rsidRPr="002462E6">
        <w:rPr>
          <w:rFonts w:ascii="Tahoma" w:eastAsia="Times New Roman" w:hAnsi="Tahoma" w:cs="Tahoma"/>
          <w:sz w:val="24"/>
          <w:szCs w:val="24"/>
        </w:rPr>
        <w:t>privilégié par la coordination et le renforcement de l’action de l’État et des usagers dans le</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 xml:space="preserve">développement du patrimoine forestier, sa conservation et son extension. De plus, </w:t>
      </w:r>
      <w:r w:rsidRPr="002462E6">
        <w:rPr>
          <w:rFonts w:ascii="Tahoma" w:eastAsia="Times New Roman" w:hAnsi="Tahoma" w:cs="Tahoma"/>
          <w:spacing w:val="1"/>
          <w:sz w:val="24"/>
          <w:szCs w:val="24"/>
        </w:rPr>
        <w:t xml:space="preserve">il a </w:t>
      </w:r>
      <w:r w:rsidRPr="002462E6">
        <w:rPr>
          <w:rFonts w:ascii="Tahoma" w:eastAsia="Times New Roman" w:hAnsi="Tahoma" w:cs="Tahoma"/>
          <w:sz w:val="24"/>
          <w:szCs w:val="24"/>
        </w:rPr>
        <w:t>institutionnalisé l’approche participative par l’introduction des organes consultatifs tels que le Conseil National des</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Forêts et les conseils</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provinciaux</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des</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forêts</w:t>
      </w:r>
      <w:r w:rsidRPr="002462E6">
        <w:rPr>
          <w:rFonts w:ascii="Tahoma" w:eastAsia="Times New Roman" w:hAnsi="Tahoma" w:cs="Tahoma"/>
          <w:spacing w:val="1"/>
          <w:sz w:val="24"/>
          <w:szCs w:val="24"/>
        </w:rPr>
        <w:t xml:space="preserve"> tout en conférant à ces conseils communaux des prérogatives décisionnelles concernant les questions forestières. </w:t>
      </w:r>
      <w:r w:rsidRPr="002462E6">
        <w:rPr>
          <w:rFonts w:ascii="Tahoma" w:eastAsia="Times New Roman" w:hAnsi="Tahoma" w:cs="Tahoma"/>
          <w:sz w:val="24"/>
          <w:szCs w:val="24"/>
        </w:rPr>
        <w:t xml:space="preserve">Enfin, il a prévu que les revenus issus du domaine forestier soient intégrés au </w:t>
      </w:r>
      <w:r w:rsidR="001462F5">
        <w:rPr>
          <w:rFonts w:ascii="Tahoma" w:eastAsia="Times New Roman" w:hAnsi="Tahoma" w:cs="Tahoma"/>
          <w:sz w:val="24"/>
          <w:szCs w:val="24"/>
        </w:rPr>
        <w:t>budget des communes concernées.</w:t>
      </w:r>
    </w:p>
    <w:p w:rsidR="001462F5" w:rsidRPr="002462E6" w:rsidRDefault="00726EDC" w:rsidP="001462F5">
      <w:pPr>
        <w:widowControl w:val="0"/>
        <w:autoSpaceDE w:val="0"/>
        <w:autoSpaceDN w:val="0"/>
        <w:spacing w:after="0" w:line="360" w:lineRule="auto"/>
        <w:jc w:val="both"/>
        <w:rPr>
          <w:rFonts w:ascii="Tahoma" w:eastAsia="Times New Roman" w:hAnsi="Tahoma" w:cs="Tahoma"/>
          <w:sz w:val="24"/>
          <w:szCs w:val="24"/>
        </w:rPr>
      </w:pPr>
      <w:r w:rsidRPr="002462E6">
        <w:rPr>
          <w:rFonts w:ascii="Tahoma" w:eastAsia="Times New Roman" w:hAnsi="Tahoma" w:cs="Tahoma"/>
          <w:sz w:val="24"/>
          <w:szCs w:val="24"/>
        </w:rPr>
        <w:t>Dans le contexte juridique préalablement établi, il convient d'examiner en détail les dispositions du Dahir du 26 Safar 1334 (3 janvier 1916), portant règlement spécial sur la délimitation du Domaine de l'Etat. Cette analyse s'articule autour de l'interconnexion entre ce corpus législatif et les problématiques afférentes à la dégradation des forêts au Maroc, principalement imputa</w:t>
      </w:r>
      <w:r w:rsidR="001462F5">
        <w:rPr>
          <w:rFonts w:ascii="Tahoma" w:eastAsia="Times New Roman" w:hAnsi="Tahoma" w:cs="Tahoma"/>
          <w:sz w:val="24"/>
          <w:szCs w:val="24"/>
        </w:rPr>
        <w:t>ble aux activités anthropiques.</w:t>
      </w:r>
    </w:p>
    <w:p w:rsidR="00726EDC" w:rsidRPr="002462E6" w:rsidRDefault="00726EDC" w:rsidP="00726EDC">
      <w:pPr>
        <w:widowControl w:val="0"/>
        <w:autoSpaceDE w:val="0"/>
        <w:autoSpaceDN w:val="0"/>
        <w:spacing w:after="0" w:line="360" w:lineRule="auto"/>
        <w:jc w:val="both"/>
        <w:rPr>
          <w:rFonts w:ascii="Tahoma" w:eastAsia="Times New Roman" w:hAnsi="Tahoma" w:cs="Tahoma"/>
          <w:sz w:val="24"/>
          <w:szCs w:val="24"/>
        </w:rPr>
      </w:pPr>
      <w:r w:rsidRPr="002462E6">
        <w:rPr>
          <w:rFonts w:ascii="Tahoma" w:eastAsia="Times New Roman" w:hAnsi="Tahoma" w:cs="Tahoma"/>
          <w:sz w:val="24"/>
          <w:szCs w:val="24"/>
        </w:rPr>
        <w:t>Avant</w:t>
      </w:r>
      <w:r w:rsidRPr="002462E6">
        <w:rPr>
          <w:rFonts w:ascii="Tahoma" w:eastAsia="Times New Roman" w:hAnsi="Tahoma" w:cs="Tahoma"/>
          <w:spacing w:val="-4"/>
          <w:sz w:val="24"/>
          <w:szCs w:val="24"/>
        </w:rPr>
        <w:t xml:space="preserve"> </w:t>
      </w:r>
      <w:r w:rsidRPr="002462E6">
        <w:rPr>
          <w:rFonts w:ascii="Tahoma" w:eastAsia="Times New Roman" w:hAnsi="Tahoma" w:cs="Tahoma"/>
          <w:sz w:val="24"/>
          <w:szCs w:val="24"/>
        </w:rPr>
        <w:t>d’entamer</w:t>
      </w:r>
      <w:r w:rsidRPr="002462E6">
        <w:rPr>
          <w:rFonts w:ascii="Tahoma" w:eastAsia="Times New Roman" w:hAnsi="Tahoma" w:cs="Tahoma"/>
          <w:spacing w:val="-2"/>
          <w:sz w:val="24"/>
          <w:szCs w:val="24"/>
        </w:rPr>
        <w:t xml:space="preserve"> </w:t>
      </w:r>
      <w:r w:rsidRPr="002462E6">
        <w:rPr>
          <w:rFonts w:ascii="Tahoma" w:eastAsia="Times New Roman" w:hAnsi="Tahoma" w:cs="Tahoma"/>
          <w:sz w:val="24"/>
          <w:szCs w:val="24"/>
        </w:rPr>
        <w:t>l’intérêt</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et</w:t>
      </w:r>
      <w:r w:rsidRPr="002462E6">
        <w:rPr>
          <w:rFonts w:ascii="Tahoma" w:eastAsia="Times New Roman" w:hAnsi="Tahoma" w:cs="Tahoma"/>
          <w:spacing w:val="-4"/>
          <w:sz w:val="24"/>
          <w:szCs w:val="24"/>
        </w:rPr>
        <w:t xml:space="preserve"> </w:t>
      </w:r>
      <w:r w:rsidRPr="002462E6">
        <w:rPr>
          <w:rFonts w:ascii="Tahoma" w:eastAsia="Times New Roman" w:hAnsi="Tahoma" w:cs="Tahoma"/>
          <w:sz w:val="24"/>
          <w:szCs w:val="24"/>
        </w:rPr>
        <w:t>le</w:t>
      </w:r>
      <w:r w:rsidRPr="002462E6">
        <w:rPr>
          <w:rFonts w:ascii="Tahoma" w:eastAsia="Times New Roman" w:hAnsi="Tahoma" w:cs="Tahoma"/>
          <w:spacing w:val="-3"/>
          <w:sz w:val="24"/>
          <w:szCs w:val="24"/>
        </w:rPr>
        <w:t xml:space="preserve"> </w:t>
      </w:r>
      <w:r w:rsidRPr="002462E6">
        <w:rPr>
          <w:rFonts w:ascii="Tahoma" w:eastAsia="Times New Roman" w:hAnsi="Tahoma" w:cs="Tahoma"/>
          <w:sz w:val="24"/>
          <w:szCs w:val="24"/>
        </w:rPr>
        <w:t xml:space="preserve">contenu de la délimitation administrative (DA), instrument qui semble occuper une place prépondérante dans la gestion des eaux et forêts depuis l'émergence des premiers textes législatifs. Il importe de souligner que la majorité des opérations de délimitation ont été effectuées durant la première moitié du XXe siècle. </w:t>
      </w:r>
    </w:p>
    <w:p w:rsidR="00726EDC" w:rsidRPr="002462E6" w:rsidRDefault="00726EDC" w:rsidP="00726EDC">
      <w:pPr>
        <w:widowControl w:val="0"/>
        <w:autoSpaceDE w:val="0"/>
        <w:autoSpaceDN w:val="0"/>
        <w:spacing w:after="0" w:line="360" w:lineRule="auto"/>
        <w:jc w:val="both"/>
        <w:rPr>
          <w:rFonts w:ascii="Tahoma" w:eastAsia="Times New Roman" w:hAnsi="Tahoma" w:cs="Tahoma"/>
          <w:sz w:val="24"/>
          <w:szCs w:val="24"/>
        </w:rPr>
      </w:pPr>
      <w:r w:rsidRPr="002462E6">
        <w:rPr>
          <w:rFonts w:ascii="Tahoma" w:eastAsia="Times New Roman" w:hAnsi="Tahoma" w:cs="Tahoma"/>
          <w:sz w:val="24"/>
          <w:szCs w:val="24"/>
        </w:rPr>
        <w:t>Cette antériorité temporelle soulève des questions quant à l'adéquation de ces délimitations avec les enjeux contemporains en matière de conservation forestière et de développement.</w:t>
      </w:r>
    </w:p>
    <w:p w:rsidR="00726EDC" w:rsidRPr="002462E6" w:rsidRDefault="00726EDC" w:rsidP="00726EDC">
      <w:pPr>
        <w:widowControl w:val="0"/>
        <w:autoSpaceDE w:val="0"/>
        <w:autoSpaceDN w:val="0"/>
        <w:spacing w:after="0" w:line="240" w:lineRule="auto"/>
        <w:rPr>
          <w:rFonts w:ascii="Times New Roman" w:eastAsia="Times New Roman" w:hAnsi="Times New Roman" w:cs="Times New Roman"/>
        </w:rPr>
      </w:pPr>
    </w:p>
    <w:p w:rsidR="00726EDC" w:rsidRPr="001462F5" w:rsidRDefault="00726EDC" w:rsidP="001462F5">
      <w:pPr>
        <w:pStyle w:val="Titre5"/>
      </w:pPr>
      <w:bookmarkStart w:id="250" w:name="_Toc184478002"/>
      <w:bookmarkStart w:id="251" w:name="_Toc186533828"/>
      <w:bookmarkStart w:id="252" w:name="_Toc201655483"/>
      <w:bookmarkStart w:id="253" w:name="_Toc203643040"/>
      <w:r w:rsidRPr="002462E6">
        <w:t>Délimitation administrative comme mécanisme de protection juridique</w:t>
      </w:r>
      <w:bookmarkEnd w:id="250"/>
      <w:bookmarkEnd w:id="251"/>
      <w:bookmarkEnd w:id="252"/>
      <w:bookmarkEnd w:id="253"/>
      <w:r w:rsidR="001462F5">
        <w:t xml:space="preserve"> </w:t>
      </w:r>
    </w:p>
    <w:p w:rsidR="00726EDC" w:rsidRPr="002462E6" w:rsidRDefault="00726EDC" w:rsidP="001462F5">
      <w:pPr>
        <w:widowControl w:val="0"/>
        <w:autoSpaceDE w:val="0"/>
        <w:autoSpaceDN w:val="0"/>
        <w:spacing w:before="143" w:after="0" w:line="362" w:lineRule="auto"/>
        <w:jc w:val="both"/>
        <w:rPr>
          <w:rFonts w:ascii="Tahoma" w:eastAsia="Times New Roman" w:hAnsi="Tahoma" w:cs="Tahoma"/>
          <w:sz w:val="24"/>
          <w:szCs w:val="24"/>
        </w:rPr>
      </w:pPr>
      <w:r w:rsidRPr="002462E6">
        <w:rPr>
          <w:rFonts w:ascii="Tahoma" w:eastAsia="Times New Roman" w:hAnsi="Tahoma" w:cs="Tahoma"/>
          <w:sz w:val="24"/>
          <w:szCs w:val="24"/>
        </w:rPr>
        <w:t xml:space="preserve">Au sens large, la délimitation désigne </w:t>
      </w:r>
      <w:r w:rsidRPr="002462E6">
        <w:rPr>
          <w:rFonts w:ascii="Tahoma" w:eastAsia="Times New Roman" w:hAnsi="Tahoma" w:cs="Tahoma"/>
          <w:sz w:val="24"/>
          <w:szCs w:val="24"/>
          <w:vertAlign w:val="superscript"/>
        </w:rPr>
        <w:t>«</w:t>
      </w:r>
      <w:r w:rsidRPr="002462E6">
        <w:rPr>
          <w:rFonts w:ascii="Tahoma" w:eastAsia="Times New Roman" w:hAnsi="Tahoma" w:cs="Tahoma"/>
          <w:sz w:val="24"/>
          <w:szCs w:val="24"/>
        </w:rPr>
        <w:t>la détermination légale des limites d’un domaine forestier</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ainsi</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que les</w:t>
      </w:r>
      <w:r w:rsidRPr="002462E6">
        <w:rPr>
          <w:rFonts w:ascii="Tahoma" w:eastAsia="Times New Roman" w:hAnsi="Tahoma" w:cs="Tahoma"/>
          <w:spacing w:val="-2"/>
          <w:sz w:val="24"/>
          <w:szCs w:val="24"/>
        </w:rPr>
        <w:t xml:space="preserve"> </w:t>
      </w:r>
      <w:r w:rsidRPr="002462E6">
        <w:rPr>
          <w:rFonts w:ascii="Tahoma" w:eastAsia="Times New Roman" w:hAnsi="Tahoma" w:cs="Tahoma"/>
          <w:sz w:val="24"/>
          <w:szCs w:val="24"/>
        </w:rPr>
        <w:t>privilèges</w:t>
      </w:r>
      <w:r w:rsidRPr="002462E6">
        <w:rPr>
          <w:rFonts w:ascii="Tahoma" w:eastAsia="Times New Roman" w:hAnsi="Tahoma" w:cs="Tahoma"/>
          <w:spacing w:val="-2"/>
          <w:sz w:val="24"/>
          <w:szCs w:val="24"/>
        </w:rPr>
        <w:t xml:space="preserve"> </w:t>
      </w:r>
      <w:r w:rsidRPr="002462E6">
        <w:rPr>
          <w:rFonts w:ascii="Tahoma" w:eastAsia="Times New Roman" w:hAnsi="Tahoma" w:cs="Tahoma"/>
          <w:sz w:val="24"/>
          <w:szCs w:val="24"/>
        </w:rPr>
        <w:t>et</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servitudes</w:t>
      </w:r>
      <w:r w:rsidRPr="002462E6">
        <w:rPr>
          <w:rFonts w:ascii="Tahoma" w:eastAsia="Times New Roman" w:hAnsi="Tahoma" w:cs="Tahoma"/>
          <w:spacing w:val="-2"/>
          <w:sz w:val="24"/>
          <w:szCs w:val="24"/>
        </w:rPr>
        <w:t xml:space="preserve"> </w:t>
      </w:r>
      <w:r w:rsidRPr="002462E6">
        <w:rPr>
          <w:rFonts w:ascii="Tahoma" w:eastAsia="Times New Roman" w:hAnsi="Tahoma" w:cs="Tahoma"/>
          <w:sz w:val="24"/>
          <w:szCs w:val="24"/>
        </w:rPr>
        <w:t>(notamment</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le droit</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d’usage) qui</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y sont</w:t>
      </w:r>
      <w:r w:rsidRPr="002462E6">
        <w:rPr>
          <w:rFonts w:ascii="Tahoma" w:eastAsia="Times New Roman" w:hAnsi="Tahoma" w:cs="Tahoma"/>
          <w:spacing w:val="-2"/>
          <w:sz w:val="24"/>
          <w:szCs w:val="24"/>
        </w:rPr>
        <w:t xml:space="preserve"> </w:t>
      </w:r>
      <w:r w:rsidRPr="002462E6">
        <w:rPr>
          <w:rFonts w:ascii="Tahoma" w:eastAsia="Times New Roman" w:hAnsi="Tahoma" w:cs="Tahoma"/>
          <w:sz w:val="24"/>
          <w:szCs w:val="24"/>
        </w:rPr>
        <w:t>attachés</w:t>
      </w:r>
      <w:r w:rsidRPr="002462E6">
        <w:rPr>
          <w:rFonts w:ascii="Tahoma" w:eastAsia="Times New Roman" w:hAnsi="Tahoma" w:cs="Tahoma"/>
          <w:sz w:val="24"/>
          <w:szCs w:val="24"/>
          <w:vertAlign w:val="superscript"/>
        </w:rPr>
        <w:t xml:space="preserve"> »</w:t>
      </w:r>
      <w:r w:rsidRPr="002462E6">
        <w:rPr>
          <w:rFonts w:ascii="Tahoma" w:eastAsia="Times New Roman" w:hAnsi="Tahoma" w:cs="Tahoma"/>
          <w:sz w:val="24"/>
          <w:szCs w:val="24"/>
          <w:vertAlign w:val="superscript"/>
        </w:rPr>
        <w:footnoteReference w:id="287"/>
      </w:r>
      <w:r w:rsidR="001462F5">
        <w:rPr>
          <w:rFonts w:ascii="Tahoma" w:eastAsia="Times New Roman" w:hAnsi="Tahoma" w:cs="Tahoma"/>
          <w:sz w:val="24"/>
          <w:szCs w:val="24"/>
        </w:rPr>
        <w:t>.</w:t>
      </w:r>
    </w:p>
    <w:p w:rsidR="00726EDC" w:rsidRPr="002462E6" w:rsidRDefault="00726EDC" w:rsidP="001462F5">
      <w:pPr>
        <w:widowControl w:val="0"/>
        <w:autoSpaceDE w:val="0"/>
        <w:autoSpaceDN w:val="0"/>
        <w:spacing w:after="0" w:line="360" w:lineRule="auto"/>
        <w:jc w:val="both"/>
        <w:rPr>
          <w:rFonts w:ascii="Tahoma" w:eastAsia="Times New Roman" w:hAnsi="Tahoma" w:cs="Tahoma"/>
          <w:sz w:val="24"/>
          <w:szCs w:val="24"/>
        </w:rPr>
      </w:pPr>
      <w:r w:rsidRPr="002462E6">
        <w:rPr>
          <w:rFonts w:ascii="Tahoma" w:eastAsia="Times New Roman" w:hAnsi="Tahoma" w:cs="Tahoma"/>
          <w:sz w:val="24"/>
          <w:szCs w:val="24"/>
        </w:rPr>
        <w:t xml:space="preserve">Au sens technique, elle correspond à </w:t>
      </w:r>
      <w:r w:rsidRPr="002462E6">
        <w:rPr>
          <w:rFonts w:ascii="Tahoma" w:eastAsia="Times New Roman" w:hAnsi="Tahoma" w:cs="Tahoma"/>
          <w:sz w:val="24"/>
          <w:szCs w:val="24"/>
          <w:vertAlign w:val="superscript"/>
        </w:rPr>
        <w:t>«</w:t>
      </w:r>
      <w:r w:rsidRPr="002462E6">
        <w:rPr>
          <w:rFonts w:ascii="Tahoma" w:eastAsia="Times New Roman" w:hAnsi="Tahoma" w:cs="Tahoma"/>
          <w:sz w:val="24"/>
          <w:szCs w:val="24"/>
        </w:rPr>
        <w:t xml:space="preserve"> la reconnaissance au moyen des plans et</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des titres de la ligne séparative de deux immeubles contigus dont l’un est soumis au régime</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 xml:space="preserve">forestier </w:t>
      </w:r>
      <w:r w:rsidRPr="002462E6">
        <w:rPr>
          <w:rFonts w:ascii="Tahoma" w:eastAsia="Times New Roman" w:hAnsi="Tahoma" w:cs="Tahoma"/>
          <w:sz w:val="24"/>
          <w:szCs w:val="24"/>
          <w:vertAlign w:val="superscript"/>
        </w:rPr>
        <w:t>»</w:t>
      </w:r>
      <w:r w:rsidRPr="002462E6">
        <w:rPr>
          <w:rFonts w:ascii="Tahoma" w:eastAsia="Times New Roman" w:hAnsi="Tahoma" w:cs="Tahoma"/>
          <w:sz w:val="24"/>
          <w:szCs w:val="24"/>
          <w:vertAlign w:val="superscript"/>
        </w:rPr>
        <w:footnoteReference w:id="288"/>
      </w:r>
      <w:r w:rsidRPr="002462E6">
        <w:rPr>
          <w:rFonts w:ascii="Tahoma" w:eastAsia="Times New Roman" w:hAnsi="Tahoma" w:cs="Tahoma"/>
          <w:sz w:val="24"/>
          <w:szCs w:val="24"/>
        </w:rPr>
        <w:t>. En revanche, jusqu’à présent la législation marocaine ne prévoit aucune définition</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de la délimitation, que ce soit au niveau du Dahir du 10 octobre 1917 sur la conservation et</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l’exploitation des forêts ou au niveau du Dahir du 03 janvier 1916 portant règlement spécial sur la</w:t>
      </w:r>
      <w:r w:rsidRPr="002462E6">
        <w:rPr>
          <w:rFonts w:ascii="Tahoma" w:eastAsia="Times New Roman" w:hAnsi="Tahoma" w:cs="Tahoma"/>
          <w:spacing w:val="-58"/>
          <w:sz w:val="24"/>
          <w:szCs w:val="24"/>
        </w:rPr>
        <w:t xml:space="preserve"> </w:t>
      </w:r>
      <w:r w:rsidRPr="002462E6">
        <w:rPr>
          <w:rFonts w:ascii="Tahoma" w:eastAsia="Times New Roman" w:hAnsi="Tahoma" w:cs="Tahoma"/>
          <w:spacing w:val="-1"/>
          <w:sz w:val="24"/>
          <w:szCs w:val="24"/>
        </w:rPr>
        <w:t>délimitation</w:t>
      </w:r>
      <w:r w:rsidRPr="002462E6">
        <w:rPr>
          <w:rFonts w:ascii="Tahoma" w:eastAsia="Times New Roman" w:hAnsi="Tahoma" w:cs="Tahoma"/>
          <w:spacing w:val="-2"/>
          <w:sz w:val="24"/>
          <w:szCs w:val="24"/>
        </w:rPr>
        <w:t xml:space="preserve"> </w:t>
      </w:r>
      <w:r w:rsidRPr="002462E6">
        <w:rPr>
          <w:rFonts w:ascii="Tahoma" w:eastAsia="Times New Roman" w:hAnsi="Tahoma" w:cs="Tahoma"/>
          <w:spacing w:val="-1"/>
          <w:sz w:val="24"/>
          <w:szCs w:val="24"/>
        </w:rPr>
        <w:t>du</w:t>
      </w:r>
      <w:r w:rsidRPr="002462E6">
        <w:rPr>
          <w:rFonts w:ascii="Tahoma" w:eastAsia="Times New Roman" w:hAnsi="Tahoma" w:cs="Tahoma"/>
          <w:sz w:val="24"/>
          <w:szCs w:val="24"/>
        </w:rPr>
        <w:t xml:space="preserve"> </w:t>
      </w:r>
      <w:r w:rsidRPr="002462E6">
        <w:rPr>
          <w:rFonts w:ascii="Tahoma" w:eastAsia="Times New Roman" w:hAnsi="Tahoma" w:cs="Tahoma"/>
          <w:spacing w:val="-1"/>
          <w:sz w:val="24"/>
          <w:szCs w:val="24"/>
        </w:rPr>
        <w:t>domaine</w:t>
      </w:r>
      <w:r w:rsidRPr="002462E6">
        <w:rPr>
          <w:rFonts w:ascii="Tahoma" w:eastAsia="Times New Roman" w:hAnsi="Tahoma" w:cs="Tahoma"/>
          <w:sz w:val="24"/>
          <w:szCs w:val="24"/>
        </w:rPr>
        <w:t xml:space="preserve"> de l’Etat</w:t>
      </w:r>
      <w:r w:rsidRPr="002462E6">
        <w:rPr>
          <w:rFonts w:ascii="Tahoma" w:eastAsia="Times New Roman" w:hAnsi="Tahoma" w:cs="Tahoma"/>
          <w:sz w:val="24"/>
          <w:szCs w:val="24"/>
          <w:vertAlign w:val="superscript"/>
        </w:rPr>
        <w:footnoteReference w:id="289"/>
      </w:r>
      <w:r w:rsidRPr="002462E6">
        <w:rPr>
          <w:rFonts w:ascii="Tahoma" w:eastAsia="Times New Roman" w:hAnsi="Tahoma" w:cs="Tahoma"/>
          <w:sz w:val="24"/>
          <w:szCs w:val="24"/>
        </w:rPr>
        <w:t>.</w:t>
      </w:r>
      <w:r w:rsidRPr="002462E6">
        <w:rPr>
          <w:rFonts w:ascii="Tahoma" w:eastAsia="Times New Roman" w:hAnsi="Tahoma" w:cs="Tahoma"/>
          <w:spacing w:val="-21"/>
          <w:sz w:val="24"/>
          <w:szCs w:val="24"/>
        </w:rPr>
        <w:t xml:space="preserve"> </w:t>
      </w:r>
      <w:r w:rsidRPr="002462E6">
        <w:rPr>
          <w:rFonts w:ascii="Tahoma" w:eastAsia="Times New Roman" w:hAnsi="Tahoma" w:cs="Tahoma"/>
          <w:sz w:val="24"/>
          <w:szCs w:val="24"/>
        </w:rPr>
        <w:t>Cette absence peut-elle être interprétée d’omission, de choix délibéré ou d'une approche pragmatique privilégiant la procédure s</w:t>
      </w:r>
      <w:r w:rsidR="001462F5">
        <w:rPr>
          <w:rFonts w:ascii="Tahoma" w:eastAsia="Times New Roman" w:hAnsi="Tahoma" w:cs="Tahoma"/>
          <w:sz w:val="24"/>
          <w:szCs w:val="24"/>
        </w:rPr>
        <w:t>ur la définition conceptuelle ?</w:t>
      </w:r>
    </w:p>
    <w:p w:rsidR="00726EDC" w:rsidRPr="002462E6" w:rsidRDefault="00726EDC" w:rsidP="00726EDC">
      <w:pPr>
        <w:widowControl w:val="0"/>
        <w:autoSpaceDE w:val="0"/>
        <w:autoSpaceDN w:val="0"/>
        <w:spacing w:after="0" w:line="360" w:lineRule="auto"/>
        <w:jc w:val="both"/>
        <w:rPr>
          <w:rFonts w:ascii="Tahoma" w:eastAsia="Times New Roman" w:hAnsi="Tahoma" w:cs="Tahoma"/>
          <w:spacing w:val="1"/>
          <w:sz w:val="24"/>
          <w:szCs w:val="24"/>
        </w:rPr>
      </w:pPr>
      <w:r w:rsidRPr="002462E6">
        <w:rPr>
          <w:rFonts w:ascii="Tahoma" w:eastAsia="Times New Roman" w:hAnsi="Tahoma" w:cs="Tahoma"/>
          <w:sz w:val="24"/>
          <w:szCs w:val="24"/>
        </w:rPr>
        <w:t>En effet, Il parait que le législateur de l’époque, s'est focalisé sur l'établissement d'un processus structuré d'opérations techniques et juridiques, ordonnées chronologiquement et impliquant divers intervenants, visant à déterminer précisément les limites forestières</w:t>
      </w:r>
      <w:r w:rsidRPr="002462E6">
        <w:rPr>
          <w:rFonts w:ascii="Tahoma" w:eastAsia="Times New Roman" w:hAnsi="Tahoma" w:cs="Tahoma"/>
          <w:sz w:val="24"/>
          <w:szCs w:val="24"/>
          <w:vertAlign w:val="superscript"/>
        </w:rPr>
        <w:footnoteReference w:id="290"/>
      </w:r>
      <w:r w:rsidRPr="002462E6">
        <w:rPr>
          <w:rFonts w:ascii="Tahoma" w:eastAsia="Times New Roman" w:hAnsi="Tahoma" w:cs="Tahoma"/>
          <w:sz w:val="24"/>
          <w:szCs w:val="24"/>
        </w:rPr>
        <w:t>.</w:t>
      </w:r>
      <w:r w:rsidRPr="002462E6">
        <w:rPr>
          <w:rFonts w:ascii="Tahoma" w:eastAsia="Times New Roman" w:hAnsi="Tahoma" w:cs="Tahoma"/>
          <w:spacing w:val="1"/>
          <w:sz w:val="24"/>
          <w:szCs w:val="24"/>
        </w:rPr>
        <w:t xml:space="preserve"> </w:t>
      </w:r>
    </w:p>
    <w:p w:rsidR="00726EDC" w:rsidRPr="002462E6" w:rsidRDefault="00726EDC" w:rsidP="00326A33">
      <w:pPr>
        <w:widowControl w:val="0"/>
        <w:autoSpaceDE w:val="0"/>
        <w:autoSpaceDN w:val="0"/>
        <w:spacing w:after="0" w:line="360" w:lineRule="auto"/>
        <w:jc w:val="both"/>
        <w:rPr>
          <w:rFonts w:ascii="Tahoma" w:eastAsia="Times New Roman" w:hAnsi="Tahoma" w:cs="Tahoma"/>
          <w:sz w:val="24"/>
          <w:szCs w:val="24"/>
        </w:rPr>
      </w:pPr>
      <w:r w:rsidRPr="002462E6">
        <w:rPr>
          <w:rFonts w:ascii="Tahoma" w:eastAsia="Times New Roman" w:hAnsi="Tahoma" w:cs="Tahoma"/>
          <w:sz w:val="24"/>
          <w:szCs w:val="24"/>
        </w:rPr>
        <w:t>Cette</w:t>
      </w:r>
      <w:r w:rsidRPr="002462E6">
        <w:rPr>
          <w:rFonts w:ascii="Tahoma" w:eastAsia="Times New Roman" w:hAnsi="Tahoma" w:cs="Tahoma"/>
          <w:spacing w:val="-57"/>
          <w:sz w:val="24"/>
          <w:szCs w:val="24"/>
        </w:rPr>
        <w:t xml:space="preserve"> </w:t>
      </w:r>
      <w:r w:rsidRPr="002462E6">
        <w:rPr>
          <w:rFonts w:ascii="Tahoma" w:eastAsia="Times New Roman" w:hAnsi="Tahoma" w:cs="Tahoma"/>
          <w:spacing w:val="-1"/>
          <w:sz w:val="24"/>
          <w:szCs w:val="24"/>
        </w:rPr>
        <w:t>procédure</w:t>
      </w:r>
      <w:r w:rsidRPr="002462E6">
        <w:rPr>
          <w:rFonts w:ascii="Tahoma" w:eastAsia="Times New Roman" w:hAnsi="Tahoma" w:cs="Tahoma"/>
          <w:spacing w:val="-9"/>
          <w:sz w:val="24"/>
          <w:szCs w:val="24"/>
        </w:rPr>
        <w:t xml:space="preserve"> </w:t>
      </w:r>
      <w:r w:rsidRPr="002462E6">
        <w:rPr>
          <w:rFonts w:ascii="Tahoma" w:eastAsia="Times New Roman" w:hAnsi="Tahoma" w:cs="Tahoma"/>
          <w:spacing w:val="-1"/>
          <w:sz w:val="24"/>
          <w:szCs w:val="24"/>
        </w:rPr>
        <w:t>spéciale</w:t>
      </w:r>
      <w:r w:rsidRPr="002462E6">
        <w:rPr>
          <w:rFonts w:ascii="Tahoma" w:eastAsia="Times New Roman" w:hAnsi="Tahoma" w:cs="Tahoma"/>
          <w:spacing w:val="-7"/>
          <w:sz w:val="24"/>
          <w:szCs w:val="24"/>
        </w:rPr>
        <w:t xml:space="preserve"> </w:t>
      </w:r>
      <w:r w:rsidRPr="002462E6">
        <w:rPr>
          <w:rFonts w:ascii="Tahoma" w:eastAsia="Times New Roman" w:hAnsi="Tahoma" w:cs="Tahoma"/>
          <w:sz w:val="24"/>
          <w:szCs w:val="24"/>
        </w:rPr>
        <w:t>et</w:t>
      </w:r>
      <w:r w:rsidRPr="002462E6">
        <w:rPr>
          <w:rFonts w:ascii="Tahoma" w:eastAsia="Times New Roman" w:hAnsi="Tahoma" w:cs="Tahoma"/>
          <w:spacing w:val="-8"/>
          <w:sz w:val="24"/>
          <w:szCs w:val="24"/>
        </w:rPr>
        <w:t xml:space="preserve"> </w:t>
      </w:r>
      <w:r w:rsidRPr="002462E6">
        <w:rPr>
          <w:rFonts w:ascii="Tahoma" w:eastAsia="Times New Roman" w:hAnsi="Tahoma" w:cs="Tahoma"/>
          <w:sz w:val="24"/>
          <w:szCs w:val="24"/>
        </w:rPr>
        <w:t>unilatérale,</w:t>
      </w:r>
      <w:r w:rsidRPr="002462E6">
        <w:rPr>
          <w:rFonts w:ascii="Tahoma" w:eastAsia="Times New Roman" w:hAnsi="Tahoma" w:cs="Tahoma"/>
          <w:spacing w:val="-7"/>
          <w:sz w:val="24"/>
          <w:szCs w:val="24"/>
        </w:rPr>
        <w:t xml:space="preserve"> </w:t>
      </w:r>
      <w:r w:rsidRPr="002462E6">
        <w:rPr>
          <w:rFonts w:ascii="Tahoma" w:eastAsia="Times New Roman" w:hAnsi="Tahoma" w:cs="Tahoma"/>
          <w:sz w:val="24"/>
          <w:szCs w:val="24"/>
        </w:rPr>
        <w:t>connue sous le nom d'immatriculation latérale</w:t>
      </w:r>
      <w:r w:rsidRPr="002462E6">
        <w:rPr>
          <w:rFonts w:ascii="Tahoma" w:eastAsia="Times New Roman" w:hAnsi="Tahoma" w:cs="Tahoma"/>
          <w:sz w:val="24"/>
          <w:szCs w:val="24"/>
          <w:vertAlign w:val="superscript"/>
        </w:rPr>
        <w:footnoteReference w:id="291"/>
      </w:r>
      <w:r w:rsidRPr="002462E6">
        <w:rPr>
          <w:rFonts w:ascii="Tahoma" w:eastAsia="Times New Roman" w:hAnsi="Tahoma" w:cs="Tahoma"/>
          <w:sz w:val="24"/>
          <w:szCs w:val="24"/>
        </w:rPr>
        <w:t xml:space="preserve"> confère</w:t>
      </w:r>
      <w:r w:rsidRPr="002462E6">
        <w:rPr>
          <w:rFonts w:ascii="Tahoma" w:eastAsia="Times New Roman" w:hAnsi="Tahoma" w:cs="Tahoma"/>
          <w:spacing w:val="-7"/>
          <w:sz w:val="24"/>
          <w:szCs w:val="24"/>
        </w:rPr>
        <w:t xml:space="preserve"> </w:t>
      </w:r>
      <w:r w:rsidRPr="002462E6">
        <w:rPr>
          <w:rFonts w:ascii="Tahoma" w:eastAsia="Times New Roman" w:hAnsi="Tahoma" w:cs="Tahoma"/>
          <w:sz w:val="24"/>
          <w:szCs w:val="24"/>
        </w:rPr>
        <w:t>au</w:t>
      </w:r>
      <w:r w:rsidRPr="002462E6">
        <w:rPr>
          <w:rFonts w:ascii="Tahoma" w:eastAsia="Times New Roman" w:hAnsi="Tahoma" w:cs="Tahoma"/>
          <w:spacing w:val="-8"/>
          <w:sz w:val="24"/>
          <w:szCs w:val="24"/>
        </w:rPr>
        <w:t xml:space="preserve"> </w:t>
      </w:r>
      <w:r w:rsidRPr="002462E6">
        <w:rPr>
          <w:rFonts w:ascii="Tahoma" w:eastAsia="Times New Roman" w:hAnsi="Tahoma" w:cs="Tahoma"/>
          <w:sz w:val="24"/>
          <w:szCs w:val="24"/>
        </w:rPr>
        <w:t>bien</w:t>
      </w:r>
      <w:r w:rsidRPr="002462E6">
        <w:rPr>
          <w:rFonts w:ascii="Tahoma" w:eastAsia="Times New Roman" w:hAnsi="Tahoma" w:cs="Tahoma"/>
          <w:spacing w:val="-8"/>
          <w:sz w:val="24"/>
          <w:szCs w:val="24"/>
        </w:rPr>
        <w:t xml:space="preserve"> </w:t>
      </w:r>
      <w:r w:rsidRPr="002462E6">
        <w:rPr>
          <w:rFonts w:ascii="Tahoma" w:eastAsia="Times New Roman" w:hAnsi="Tahoma" w:cs="Tahoma"/>
          <w:sz w:val="24"/>
          <w:szCs w:val="24"/>
        </w:rPr>
        <w:t>forestier</w:t>
      </w:r>
      <w:r w:rsidRPr="002462E6">
        <w:rPr>
          <w:rFonts w:ascii="Tahoma" w:eastAsia="Times New Roman" w:hAnsi="Tahoma" w:cs="Tahoma"/>
          <w:spacing w:val="-8"/>
          <w:sz w:val="24"/>
          <w:szCs w:val="24"/>
        </w:rPr>
        <w:t xml:space="preserve"> </w:t>
      </w:r>
      <w:r w:rsidRPr="002462E6">
        <w:rPr>
          <w:rFonts w:ascii="Tahoma" w:eastAsia="Times New Roman" w:hAnsi="Tahoma" w:cs="Tahoma"/>
          <w:sz w:val="24"/>
          <w:szCs w:val="24"/>
        </w:rPr>
        <w:t xml:space="preserve">une </w:t>
      </w:r>
      <w:r w:rsidRPr="002462E6">
        <w:rPr>
          <w:rFonts w:ascii="Tahoma" w:eastAsia="Times New Roman" w:hAnsi="Tahoma" w:cs="Tahoma"/>
          <w:spacing w:val="-58"/>
          <w:sz w:val="24"/>
          <w:szCs w:val="24"/>
        </w:rPr>
        <w:t xml:space="preserve"> </w:t>
      </w:r>
      <w:r w:rsidRPr="002462E6">
        <w:rPr>
          <w:rFonts w:ascii="Tahoma" w:eastAsia="Times New Roman" w:hAnsi="Tahoma" w:cs="Tahoma"/>
          <w:sz w:val="24"/>
          <w:szCs w:val="24"/>
        </w:rPr>
        <w:t>assiette foncière définie par son étendue, ses limites, sa contenance, sa consistance, ses riverains, la nature et l'étendue des droits réels qui s'y rattachent, leurs titulaires, ainsi que les servitudes et</w:t>
      </w:r>
      <w:r w:rsidR="00326A33">
        <w:rPr>
          <w:rFonts w:ascii="Tahoma" w:eastAsia="Times New Roman" w:hAnsi="Tahoma" w:cs="Tahoma"/>
          <w:sz w:val="24"/>
          <w:szCs w:val="24"/>
        </w:rPr>
        <w:t xml:space="preserve"> charges foncières éventuelles.</w:t>
      </w:r>
    </w:p>
    <w:p w:rsidR="00726EDC" w:rsidRDefault="00726EDC" w:rsidP="00326A33">
      <w:pPr>
        <w:widowControl w:val="0"/>
        <w:autoSpaceDE w:val="0"/>
        <w:autoSpaceDN w:val="0"/>
        <w:spacing w:after="0" w:line="360" w:lineRule="auto"/>
        <w:jc w:val="both"/>
        <w:rPr>
          <w:rFonts w:ascii="Tahoma" w:eastAsia="Times New Roman" w:hAnsi="Tahoma" w:cs="Tahoma"/>
          <w:sz w:val="24"/>
          <w:szCs w:val="24"/>
        </w:rPr>
      </w:pPr>
      <w:r w:rsidRPr="002462E6">
        <w:rPr>
          <w:rFonts w:ascii="Tahoma" w:eastAsia="Times New Roman" w:hAnsi="Tahoma" w:cs="Tahoma"/>
          <w:sz w:val="24"/>
          <w:szCs w:val="24"/>
        </w:rPr>
        <w:t>En fait, la procédure de la délimitation administrative s'articule autour d'un certain nombre de</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points qui méritent d’être amplement étudiés vu son caractère complexe. Il est important d’examiner, dans un premier temps, les préalables de la délimitation administrative, puis d’analyser, dans un second temps, les problématiques soulevées lors de sa mise en œuvre.</w:t>
      </w:r>
      <w:bookmarkStart w:id="254" w:name="_bookmark37"/>
      <w:bookmarkEnd w:id="254"/>
    </w:p>
    <w:p w:rsidR="00326A33" w:rsidRPr="00326A33" w:rsidRDefault="00326A33" w:rsidP="00326A33">
      <w:pPr>
        <w:widowControl w:val="0"/>
        <w:autoSpaceDE w:val="0"/>
        <w:autoSpaceDN w:val="0"/>
        <w:spacing w:after="0" w:line="360" w:lineRule="auto"/>
        <w:jc w:val="both"/>
        <w:rPr>
          <w:rFonts w:ascii="Tahoma" w:eastAsia="Times New Roman" w:hAnsi="Tahoma" w:cs="Tahoma"/>
          <w:sz w:val="8"/>
          <w:szCs w:val="8"/>
        </w:rPr>
      </w:pPr>
    </w:p>
    <w:p w:rsidR="00726EDC" w:rsidRPr="00326A33" w:rsidRDefault="003B5EFF" w:rsidP="008D3838">
      <w:pPr>
        <w:pStyle w:val="Titre6"/>
        <w:numPr>
          <w:ilvl w:val="0"/>
          <w:numId w:val="86"/>
        </w:numPr>
      </w:pPr>
      <w:r w:rsidRPr="008D3838">
        <w:rPr>
          <w:rStyle w:val="Titre6Car"/>
          <w:b/>
          <w:bCs/>
        </w:rPr>
        <w:t xml:space="preserve"> </w:t>
      </w:r>
      <w:bookmarkStart w:id="255" w:name="_Toc203643041"/>
      <w:r w:rsidR="00726EDC" w:rsidRPr="008D3838">
        <w:rPr>
          <w:rStyle w:val="Titre6Car"/>
          <w:b/>
          <w:bCs/>
        </w:rPr>
        <w:t>Les préalables à la délimitation administrative : la</w:t>
      </w:r>
      <w:r w:rsidR="00726EDC" w:rsidRPr="002462E6">
        <w:t xml:space="preserve"> présomption de domanialité</w:t>
      </w:r>
      <w:bookmarkEnd w:id="255"/>
    </w:p>
    <w:p w:rsidR="00726EDC" w:rsidRPr="002462E6" w:rsidRDefault="00726EDC" w:rsidP="00726EDC">
      <w:pPr>
        <w:widowControl w:val="0"/>
        <w:autoSpaceDE w:val="0"/>
        <w:autoSpaceDN w:val="0"/>
        <w:spacing w:before="136" w:after="0" w:line="360" w:lineRule="auto"/>
        <w:ind w:left="-142" w:right="38" w:hanging="3"/>
        <w:jc w:val="both"/>
        <w:rPr>
          <w:rFonts w:ascii="Times New Roman" w:eastAsia="Times New Roman" w:hAnsi="Times New Roman" w:cs="Times New Roman"/>
          <w:sz w:val="24"/>
          <w:szCs w:val="24"/>
        </w:rPr>
      </w:pPr>
      <w:r w:rsidRPr="002462E6">
        <w:rPr>
          <w:rFonts w:ascii="Tahoma" w:eastAsia="Times New Roman" w:hAnsi="Tahoma" w:cs="Tahoma"/>
          <w:sz w:val="24"/>
          <w:szCs w:val="24"/>
        </w:rPr>
        <w:t>En préconisant le principe de présomption de domanialité, le législateur de l’époque a doté l'administration par le moyen de protéger le domaine de l'Etat contre toute occupation illégale. En effet, le Dahir des Obligations et des Contrats (D.O.C), dans son article 449 définit</w:t>
      </w:r>
      <w:r w:rsidRPr="002462E6">
        <w:rPr>
          <w:rFonts w:ascii="Tahoma" w:eastAsia="Times New Roman" w:hAnsi="Tahoma" w:cs="Tahoma"/>
          <w:spacing w:val="-3"/>
          <w:sz w:val="24"/>
          <w:szCs w:val="24"/>
        </w:rPr>
        <w:t xml:space="preserve"> </w:t>
      </w:r>
      <w:r w:rsidRPr="002462E6">
        <w:rPr>
          <w:rFonts w:ascii="Tahoma" w:eastAsia="Times New Roman" w:hAnsi="Tahoma" w:cs="Tahoma"/>
          <w:sz w:val="24"/>
          <w:szCs w:val="24"/>
        </w:rPr>
        <w:t>la</w:t>
      </w:r>
      <w:r w:rsidRPr="002462E6">
        <w:rPr>
          <w:rFonts w:ascii="Tahoma" w:eastAsia="Times New Roman" w:hAnsi="Tahoma" w:cs="Tahoma"/>
          <w:spacing w:val="-3"/>
          <w:sz w:val="24"/>
          <w:szCs w:val="24"/>
        </w:rPr>
        <w:t xml:space="preserve"> </w:t>
      </w:r>
      <w:r w:rsidRPr="002462E6">
        <w:rPr>
          <w:rFonts w:ascii="Tahoma" w:eastAsia="Times New Roman" w:hAnsi="Tahoma" w:cs="Tahoma"/>
          <w:sz w:val="24"/>
          <w:szCs w:val="24"/>
        </w:rPr>
        <w:t>présomption</w:t>
      </w:r>
      <w:r w:rsidRPr="002462E6">
        <w:rPr>
          <w:rFonts w:ascii="Tahoma" w:eastAsia="Times New Roman" w:hAnsi="Tahoma" w:cs="Tahoma"/>
          <w:spacing w:val="-57"/>
          <w:sz w:val="24"/>
          <w:szCs w:val="24"/>
        </w:rPr>
        <w:t xml:space="preserve"> </w:t>
      </w:r>
      <w:r w:rsidRPr="002462E6">
        <w:rPr>
          <w:rFonts w:ascii="Tahoma" w:eastAsia="Times New Roman" w:hAnsi="Tahoma" w:cs="Tahoma"/>
          <w:sz w:val="24"/>
          <w:szCs w:val="24"/>
        </w:rPr>
        <w:t>comme étant "des indices au moyen desquels la loi ou le juge établit l'existence de certains faits</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inconnus".</w:t>
      </w:r>
      <w:r w:rsidRPr="002462E6">
        <w:rPr>
          <w:rFonts w:ascii="Tahoma" w:eastAsia="Times New Roman" w:hAnsi="Tahoma" w:cs="Tahoma"/>
          <w:spacing w:val="-6"/>
          <w:sz w:val="24"/>
          <w:szCs w:val="24"/>
        </w:rPr>
        <w:t xml:space="preserve"> </w:t>
      </w:r>
      <w:r w:rsidRPr="002462E6">
        <w:rPr>
          <w:rFonts w:ascii="Tahoma" w:eastAsia="Times New Roman" w:hAnsi="Tahoma" w:cs="Tahoma"/>
          <w:sz w:val="24"/>
          <w:szCs w:val="24"/>
        </w:rPr>
        <w:t>Il</w:t>
      </w:r>
      <w:r w:rsidRPr="002462E6">
        <w:rPr>
          <w:rFonts w:ascii="Tahoma" w:eastAsia="Times New Roman" w:hAnsi="Tahoma" w:cs="Tahoma"/>
          <w:spacing w:val="-5"/>
          <w:sz w:val="24"/>
          <w:szCs w:val="24"/>
        </w:rPr>
        <w:t xml:space="preserve"> </w:t>
      </w:r>
      <w:r w:rsidRPr="002462E6">
        <w:rPr>
          <w:rFonts w:ascii="Tahoma" w:eastAsia="Times New Roman" w:hAnsi="Tahoma" w:cs="Tahoma"/>
          <w:sz w:val="24"/>
          <w:szCs w:val="24"/>
        </w:rPr>
        <w:t>distingue</w:t>
      </w:r>
      <w:r w:rsidRPr="002462E6">
        <w:rPr>
          <w:rFonts w:ascii="Tahoma" w:eastAsia="Times New Roman" w:hAnsi="Tahoma" w:cs="Tahoma"/>
          <w:spacing w:val="-6"/>
          <w:sz w:val="24"/>
          <w:szCs w:val="24"/>
        </w:rPr>
        <w:t xml:space="preserve"> </w:t>
      </w:r>
      <w:r w:rsidRPr="002462E6">
        <w:rPr>
          <w:rFonts w:ascii="Tahoma" w:eastAsia="Times New Roman" w:hAnsi="Tahoma" w:cs="Tahoma"/>
          <w:sz w:val="24"/>
          <w:szCs w:val="24"/>
        </w:rPr>
        <w:t>entre</w:t>
      </w:r>
      <w:r w:rsidRPr="002462E6">
        <w:rPr>
          <w:rFonts w:ascii="Tahoma" w:eastAsia="Times New Roman" w:hAnsi="Tahoma" w:cs="Tahoma"/>
          <w:spacing w:val="-5"/>
          <w:sz w:val="24"/>
          <w:szCs w:val="24"/>
        </w:rPr>
        <w:t xml:space="preserve"> </w:t>
      </w:r>
      <w:r w:rsidRPr="002462E6">
        <w:rPr>
          <w:rFonts w:ascii="Tahoma" w:eastAsia="Times New Roman" w:hAnsi="Tahoma" w:cs="Tahoma"/>
          <w:sz w:val="24"/>
          <w:szCs w:val="24"/>
        </w:rPr>
        <w:t>les</w:t>
      </w:r>
      <w:r w:rsidRPr="002462E6">
        <w:rPr>
          <w:rFonts w:ascii="Tahoma" w:eastAsia="Times New Roman" w:hAnsi="Tahoma" w:cs="Tahoma"/>
          <w:spacing w:val="-5"/>
          <w:sz w:val="24"/>
          <w:szCs w:val="24"/>
        </w:rPr>
        <w:t xml:space="preserve"> </w:t>
      </w:r>
      <w:r w:rsidRPr="002462E6">
        <w:rPr>
          <w:rFonts w:ascii="Tahoma" w:eastAsia="Times New Roman" w:hAnsi="Tahoma" w:cs="Tahoma"/>
          <w:sz w:val="24"/>
          <w:szCs w:val="24"/>
        </w:rPr>
        <w:t>présomptions</w:t>
      </w:r>
      <w:r w:rsidRPr="002462E6">
        <w:rPr>
          <w:rFonts w:ascii="Tahoma" w:eastAsia="Times New Roman" w:hAnsi="Tahoma" w:cs="Tahoma"/>
          <w:spacing w:val="-4"/>
          <w:sz w:val="24"/>
          <w:szCs w:val="24"/>
        </w:rPr>
        <w:t xml:space="preserve"> </w:t>
      </w:r>
      <w:r w:rsidRPr="002462E6">
        <w:rPr>
          <w:rFonts w:ascii="Tahoma" w:eastAsia="Times New Roman" w:hAnsi="Tahoma" w:cs="Tahoma"/>
          <w:sz w:val="24"/>
          <w:szCs w:val="24"/>
        </w:rPr>
        <w:t>légales,</w:t>
      </w:r>
      <w:r w:rsidRPr="002462E6">
        <w:rPr>
          <w:rFonts w:ascii="Tahoma" w:eastAsia="Times New Roman" w:hAnsi="Tahoma" w:cs="Tahoma"/>
          <w:spacing w:val="-6"/>
          <w:sz w:val="24"/>
          <w:szCs w:val="24"/>
        </w:rPr>
        <w:t xml:space="preserve"> </w:t>
      </w:r>
      <w:r w:rsidRPr="002462E6">
        <w:rPr>
          <w:rFonts w:ascii="Tahoma" w:eastAsia="Times New Roman" w:hAnsi="Tahoma" w:cs="Tahoma"/>
          <w:sz w:val="24"/>
          <w:szCs w:val="24"/>
        </w:rPr>
        <w:t>attachées</w:t>
      </w:r>
      <w:r w:rsidRPr="002462E6">
        <w:rPr>
          <w:rFonts w:ascii="Tahoma" w:eastAsia="Times New Roman" w:hAnsi="Tahoma" w:cs="Tahoma"/>
          <w:spacing w:val="-7"/>
          <w:sz w:val="24"/>
          <w:szCs w:val="24"/>
        </w:rPr>
        <w:t xml:space="preserve"> </w:t>
      </w:r>
      <w:r w:rsidRPr="002462E6">
        <w:rPr>
          <w:rFonts w:ascii="Tahoma" w:eastAsia="Times New Roman" w:hAnsi="Tahoma" w:cs="Tahoma"/>
          <w:sz w:val="24"/>
          <w:szCs w:val="24"/>
        </w:rPr>
        <w:t>à</w:t>
      </w:r>
      <w:r w:rsidRPr="002462E6">
        <w:rPr>
          <w:rFonts w:ascii="Tahoma" w:eastAsia="Times New Roman" w:hAnsi="Tahoma" w:cs="Tahoma"/>
          <w:spacing w:val="-5"/>
          <w:sz w:val="24"/>
          <w:szCs w:val="24"/>
        </w:rPr>
        <w:t xml:space="preserve"> </w:t>
      </w:r>
      <w:r w:rsidRPr="002462E6">
        <w:rPr>
          <w:rFonts w:ascii="Tahoma" w:eastAsia="Times New Roman" w:hAnsi="Tahoma" w:cs="Tahoma"/>
          <w:sz w:val="24"/>
          <w:szCs w:val="24"/>
        </w:rPr>
        <w:t>la</w:t>
      </w:r>
      <w:r w:rsidRPr="002462E6">
        <w:rPr>
          <w:rFonts w:ascii="Tahoma" w:eastAsia="Times New Roman" w:hAnsi="Tahoma" w:cs="Tahoma"/>
          <w:spacing w:val="-3"/>
          <w:sz w:val="24"/>
          <w:szCs w:val="24"/>
        </w:rPr>
        <w:t xml:space="preserve"> </w:t>
      </w:r>
      <w:r w:rsidRPr="002462E6">
        <w:rPr>
          <w:rFonts w:ascii="Tahoma" w:eastAsia="Times New Roman" w:hAnsi="Tahoma" w:cs="Tahoma"/>
          <w:sz w:val="24"/>
          <w:szCs w:val="24"/>
        </w:rPr>
        <w:t>loi,</w:t>
      </w:r>
      <w:r w:rsidRPr="002462E6">
        <w:rPr>
          <w:rFonts w:ascii="Tahoma" w:eastAsia="Times New Roman" w:hAnsi="Tahoma" w:cs="Tahoma"/>
          <w:spacing w:val="-5"/>
          <w:sz w:val="24"/>
          <w:szCs w:val="24"/>
        </w:rPr>
        <w:t xml:space="preserve"> </w:t>
      </w:r>
      <w:r w:rsidRPr="002462E6">
        <w:rPr>
          <w:rFonts w:ascii="Tahoma" w:eastAsia="Times New Roman" w:hAnsi="Tahoma" w:cs="Tahoma"/>
          <w:sz w:val="24"/>
          <w:szCs w:val="24"/>
        </w:rPr>
        <w:t>à</w:t>
      </w:r>
      <w:r w:rsidRPr="002462E6">
        <w:rPr>
          <w:rFonts w:ascii="Tahoma" w:eastAsia="Times New Roman" w:hAnsi="Tahoma" w:cs="Tahoma"/>
          <w:spacing w:val="-4"/>
          <w:sz w:val="24"/>
          <w:szCs w:val="24"/>
        </w:rPr>
        <w:t xml:space="preserve"> </w:t>
      </w:r>
      <w:r w:rsidRPr="002462E6">
        <w:rPr>
          <w:rFonts w:ascii="Tahoma" w:eastAsia="Times New Roman" w:hAnsi="Tahoma" w:cs="Tahoma"/>
          <w:sz w:val="24"/>
          <w:szCs w:val="24"/>
        </w:rPr>
        <w:t>certains</w:t>
      </w:r>
      <w:r w:rsidRPr="002462E6">
        <w:rPr>
          <w:rFonts w:ascii="Tahoma" w:eastAsia="Times New Roman" w:hAnsi="Tahoma" w:cs="Tahoma"/>
          <w:spacing w:val="-7"/>
          <w:sz w:val="24"/>
          <w:szCs w:val="24"/>
        </w:rPr>
        <w:t xml:space="preserve"> </w:t>
      </w:r>
      <w:r w:rsidRPr="002462E6">
        <w:rPr>
          <w:rFonts w:ascii="Tahoma" w:eastAsia="Times New Roman" w:hAnsi="Tahoma" w:cs="Tahoma"/>
          <w:sz w:val="24"/>
          <w:szCs w:val="24"/>
        </w:rPr>
        <w:t>actes</w:t>
      </w:r>
      <w:r w:rsidRPr="002462E6">
        <w:rPr>
          <w:rFonts w:ascii="Tahoma" w:eastAsia="Times New Roman" w:hAnsi="Tahoma" w:cs="Tahoma"/>
          <w:spacing w:val="-5"/>
          <w:sz w:val="24"/>
          <w:szCs w:val="24"/>
        </w:rPr>
        <w:t xml:space="preserve"> </w:t>
      </w:r>
      <w:r w:rsidRPr="002462E6">
        <w:rPr>
          <w:rFonts w:ascii="Tahoma" w:eastAsia="Times New Roman" w:hAnsi="Tahoma" w:cs="Tahoma"/>
          <w:sz w:val="24"/>
          <w:szCs w:val="24"/>
        </w:rPr>
        <w:t>ou</w:t>
      </w:r>
      <w:r w:rsidRPr="002462E6">
        <w:rPr>
          <w:rFonts w:ascii="Tahoma" w:eastAsia="Times New Roman" w:hAnsi="Tahoma" w:cs="Tahoma"/>
          <w:spacing w:val="-5"/>
          <w:sz w:val="24"/>
          <w:szCs w:val="24"/>
        </w:rPr>
        <w:t xml:space="preserve"> </w:t>
      </w:r>
      <w:r w:rsidRPr="002462E6">
        <w:rPr>
          <w:rFonts w:ascii="Tahoma" w:eastAsia="Times New Roman" w:hAnsi="Tahoma" w:cs="Tahoma"/>
          <w:sz w:val="24"/>
          <w:szCs w:val="24"/>
        </w:rPr>
        <w:t>faits,</w:t>
      </w:r>
      <w:r w:rsidRPr="002462E6">
        <w:rPr>
          <w:rFonts w:ascii="Tahoma" w:eastAsia="Times New Roman" w:hAnsi="Tahoma" w:cs="Tahoma"/>
          <w:spacing w:val="-5"/>
          <w:sz w:val="24"/>
          <w:szCs w:val="24"/>
        </w:rPr>
        <w:t xml:space="preserve"> </w:t>
      </w:r>
      <w:r w:rsidRPr="002462E6">
        <w:rPr>
          <w:rFonts w:ascii="Tahoma" w:eastAsia="Times New Roman" w:hAnsi="Tahoma" w:cs="Tahoma"/>
          <w:sz w:val="24"/>
          <w:szCs w:val="24"/>
        </w:rPr>
        <w:t>et</w:t>
      </w:r>
      <w:r w:rsidRPr="002462E6">
        <w:rPr>
          <w:rFonts w:ascii="Tahoma" w:eastAsia="Times New Roman" w:hAnsi="Tahoma" w:cs="Tahoma"/>
          <w:spacing w:val="-57"/>
          <w:sz w:val="24"/>
          <w:szCs w:val="24"/>
        </w:rPr>
        <w:t xml:space="preserve"> </w:t>
      </w:r>
      <w:r w:rsidRPr="002462E6">
        <w:rPr>
          <w:rFonts w:ascii="Tahoma" w:eastAsia="Times New Roman" w:hAnsi="Tahoma" w:cs="Tahoma"/>
          <w:sz w:val="24"/>
          <w:szCs w:val="24"/>
        </w:rPr>
        <w:t>les présomptions jurisprudentielles qui dispensent celui au profit duquel elles existent de recourir</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à</w:t>
      </w:r>
      <w:r w:rsidRPr="002462E6">
        <w:rPr>
          <w:rFonts w:ascii="Tahoma" w:eastAsia="Times New Roman" w:hAnsi="Tahoma" w:cs="Tahoma"/>
          <w:spacing w:val="-2"/>
          <w:sz w:val="24"/>
          <w:szCs w:val="24"/>
        </w:rPr>
        <w:t xml:space="preserve"> </w:t>
      </w:r>
      <w:r w:rsidRPr="002462E6">
        <w:rPr>
          <w:rFonts w:ascii="Tahoma" w:eastAsia="Times New Roman" w:hAnsi="Tahoma" w:cs="Tahoma"/>
          <w:sz w:val="24"/>
          <w:szCs w:val="24"/>
        </w:rPr>
        <w:t>la</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preuve. La</w:t>
      </w:r>
      <w:r w:rsidRPr="002462E6">
        <w:rPr>
          <w:rFonts w:ascii="Tahoma" w:eastAsia="Times New Roman" w:hAnsi="Tahoma" w:cs="Tahoma"/>
          <w:spacing w:val="-2"/>
          <w:sz w:val="24"/>
          <w:szCs w:val="24"/>
        </w:rPr>
        <w:t xml:space="preserve"> </w:t>
      </w:r>
      <w:r w:rsidRPr="002462E6">
        <w:rPr>
          <w:rFonts w:ascii="Tahoma" w:eastAsia="Times New Roman" w:hAnsi="Tahoma" w:cs="Tahoma"/>
          <w:sz w:val="24"/>
          <w:szCs w:val="24"/>
        </w:rPr>
        <w:t>présomption</w:t>
      </w:r>
      <w:r w:rsidRPr="002462E6">
        <w:rPr>
          <w:rFonts w:ascii="Tahoma" w:eastAsia="Times New Roman" w:hAnsi="Tahoma" w:cs="Tahoma"/>
          <w:spacing w:val="-2"/>
          <w:sz w:val="24"/>
          <w:szCs w:val="24"/>
        </w:rPr>
        <w:t xml:space="preserve"> </w:t>
      </w:r>
      <w:r w:rsidRPr="002462E6">
        <w:rPr>
          <w:rFonts w:ascii="Tahoma" w:eastAsia="Times New Roman" w:hAnsi="Tahoma" w:cs="Tahoma"/>
          <w:sz w:val="24"/>
          <w:szCs w:val="24"/>
        </w:rPr>
        <w:t>est</w:t>
      </w:r>
      <w:r w:rsidRPr="002462E6">
        <w:rPr>
          <w:rFonts w:ascii="Tahoma" w:eastAsia="Times New Roman" w:hAnsi="Tahoma" w:cs="Tahoma"/>
          <w:spacing w:val="-2"/>
          <w:sz w:val="24"/>
          <w:szCs w:val="24"/>
        </w:rPr>
        <w:t xml:space="preserve"> </w:t>
      </w:r>
      <w:r w:rsidRPr="002462E6">
        <w:rPr>
          <w:rFonts w:ascii="Tahoma" w:eastAsia="Times New Roman" w:hAnsi="Tahoma" w:cs="Tahoma"/>
          <w:sz w:val="24"/>
          <w:szCs w:val="24"/>
        </w:rPr>
        <w:t>dite</w:t>
      </w:r>
      <w:r w:rsidRPr="002462E6">
        <w:rPr>
          <w:rFonts w:ascii="Tahoma" w:eastAsia="Times New Roman" w:hAnsi="Tahoma" w:cs="Tahoma"/>
          <w:spacing w:val="-3"/>
          <w:sz w:val="24"/>
          <w:szCs w:val="24"/>
        </w:rPr>
        <w:t xml:space="preserve"> </w:t>
      </w:r>
      <w:r w:rsidRPr="002462E6">
        <w:rPr>
          <w:rFonts w:ascii="Tahoma" w:eastAsia="Times New Roman" w:hAnsi="Tahoma" w:cs="Tahoma"/>
          <w:sz w:val="24"/>
          <w:szCs w:val="24"/>
        </w:rPr>
        <w:t>simple</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lorsqu'elle</w:t>
      </w:r>
      <w:r w:rsidRPr="002462E6">
        <w:rPr>
          <w:rFonts w:ascii="Tahoma" w:eastAsia="Times New Roman" w:hAnsi="Tahoma" w:cs="Tahoma"/>
          <w:spacing w:val="-3"/>
          <w:sz w:val="24"/>
          <w:szCs w:val="24"/>
        </w:rPr>
        <w:t xml:space="preserve"> </w:t>
      </w:r>
      <w:r w:rsidRPr="002462E6">
        <w:rPr>
          <w:rFonts w:ascii="Tahoma" w:eastAsia="Times New Roman" w:hAnsi="Tahoma" w:cs="Tahoma"/>
          <w:sz w:val="24"/>
          <w:szCs w:val="24"/>
        </w:rPr>
        <w:t>peut</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être</w:t>
      </w:r>
      <w:r w:rsidRPr="002462E6">
        <w:rPr>
          <w:rFonts w:ascii="Tahoma" w:eastAsia="Times New Roman" w:hAnsi="Tahoma" w:cs="Tahoma"/>
          <w:spacing w:val="-3"/>
          <w:sz w:val="24"/>
          <w:szCs w:val="24"/>
        </w:rPr>
        <w:t xml:space="preserve"> </w:t>
      </w:r>
      <w:r w:rsidRPr="002462E6">
        <w:rPr>
          <w:rFonts w:ascii="Tahoma" w:eastAsia="Times New Roman" w:hAnsi="Tahoma" w:cs="Tahoma"/>
          <w:sz w:val="24"/>
          <w:szCs w:val="24"/>
        </w:rPr>
        <w:t>combattue</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par</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la</w:t>
      </w:r>
      <w:r w:rsidRPr="002462E6">
        <w:rPr>
          <w:rFonts w:ascii="Tahoma" w:eastAsia="Times New Roman" w:hAnsi="Tahoma" w:cs="Tahoma"/>
          <w:spacing w:val="-3"/>
          <w:sz w:val="24"/>
          <w:szCs w:val="24"/>
        </w:rPr>
        <w:t xml:space="preserve"> </w:t>
      </w:r>
      <w:r w:rsidRPr="002462E6">
        <w:rPr>
          <w:rFonts w:ascii="Tahoma" w:eastAsia="Times New Roman" w:hAnsi="Tahoma" w:cs="Tahoma"/>
          <w:sz w:val="24"/>
          <w:szCs w:val="24"/>
        </w:rPr>
        <w:t>preuve</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contraire.</w:t>
      </w:r>
      <w:r w:rsidRPr="002462E6">
        <w:rPr>
          <w:rFonts w:ascii="Tahoma" w:eastAsia="Times New Roman" w:hAnsi="Tahoma" w:cs="Tahoma"/>
          <w:spacing w:val="-58"/>
          <w:sz w:val="24"/>
          <w:szCs w:val="24"/>
        </w:rPr>
        <w:t xml:space="preserve"> </w:t>
      </w:r>
      <w:r w:rsidRPr="002462E6">
        <w:rPr>
          <w:rFonts w:ascii="Tahoma" w:eastAsia="Times New Roman" w:hAnsi="Tahoma" w:cs="Tahoma"/>
          <w:sz w:val="24"/>
          <w:szCs w:val="24"/>
        </w:rPr>
        <w:t>Au cas contraire, elle est dite irréfragable ou absolue. C'est dans ce sens et concernant les biens</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forestiers qui font partie du domaine privé de l'Etat que le Dahir du 10 Octobre 1917 a introduit</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dans</w:t>
      </w:r>
      <w:r w:rsidRPr="002462E6">
        <w:rPr>
          <w:rFonts w:ascii="Tahoma" w:eastAsia="Times New Roman" w:hAnsi="Tahoma" w:cs="Tahoma"/>
          <w:spacing w:val="-4"/>
          <w:sz w:val="24"/>
          <w:szCs w:val="24"/>
        </w:rPr>
        <w:t xml:space="preserve"> </w:t>
      </w:r>
      <w:r w:rsidRPr="002462E6">
        <w:rPr>
          <w:rFonts w:ascii="Tahoma" w:eastAsia="Times New Roman" w:hAnsi="Tahoma" w:cs="Tahoma"/>
          <w:sz w:val="24"/>
          <w:szCs w:val="24"/>
        </w:rPr>
        <w:t>son</w:t>
      </w:r>
      <w:r w:rsidRPr="002462E6">
        <w:rPr>
          <w:rFonts w:ascii="Tahoma" w:eastAsia="Times New Roman" w:hAnsi="Tahoma" w:cs="Tahoma"/>
          <w:spacing w:val="-3"/>
          <w:sz w:val="24"/>
          <w:szCs w:val="24"/>
        </w:rPr>
        <w:t xml:space="preserve"> </w:t>
      </w:r>
      <w:r w:rsidRPr="002462E6">
        <w:rPr>
          <w:rFonts w:ascii="Tahoma" w:eastAsia="Times New Roman" w:hAnsi="Tahoma" w:cs="Tahoma"/>
          <w:sz w:val="24"/>
          <w:szCs w:val="24"/>
        </w:rPr>
        <w:t>article</w:t>
      </w:r>
      <w:r w:rsidRPr="002462E6">
        <w:rPr>
          <w:rFonts w:ascii="Tahoma" w:eastAsia="Times New Roman" w:hAnsi="Tahoma" w:cs="Tahoma"/>
          <w:spacing w:val="-6"/>
          <w:sz w:val="24"/>
          <w:szCs w:val="24"/>
        </w:rPr>
        <w:t xml:space="preserve"> </w:t>
      </w:r>
      <w:r w:rsidRPr="002462E6">
        <w:rPr>
          <w:rFonts w:ascii="Tahoma" w:eastAsia="Times New Roman" w:hAnsi="Tahoma" w:cs="Tahoma"/>
          <w:sz w:val="24"/>
          <w:szCs w:val="24"/>
        </w:rPr>
        <w:t>premier</w:t>
      </w:r>
      <w:r w:rsidRPr="002462E6">
        <w:rPr>
          <w:rFonts w:ascii="Tahoma" w:eastAsia="Times New Roman" w:hAnsi="Tahoma" w:cs="Tahoma"/>
          <w:spacing w:val="-2"/>
          <w:sz w:val="24"/>
          <w:szCs w:val="24"/>
        </w:rPr>
        <w:t xml:space="preserve"> </w:t>
      </w:r>
      <w:r w:rsidRPr="002462E6">
        <w:rPr>
          <w:rFonts w:ascii="Tahoma" w:eastAsia="Times New Roman" w:hAnsi="Tahoma" w:cs="Tahoma"/>
          <w:sz w:val="24"/>
          <w:szCs w:val="24"/>
        </w:rPr>
        <w:t>(b)</w:t>
      </w:r>
      <w:r w:rsidRPr="002462E6">
        <w:rPr>
          <w:rFonts w:ascii="Tahoma" w:eastAsia="Times New Roman" w:hAnsi="Tahoma" w:cs="Tahoma"/>
          <w:spacing w:val="-4"/>
          <w:sz w:val="24"/>
          <w:szCs w:val="24"/>
        </w:rPr>
        <w:t xml:space="preserve"> </w:t>
      </w:r>
      <w:r w:rsidRPr="002462E6">
        <w:rPr>
          <w:rFonts w:ascii="Tahoma" w:eastAsia="Times New Roman" w:hAnsi="Tahoma" w:cs="Tahoma"/>
          <w:sz w:val="24"/>
          <w:szCs w:val="24"/>
        </w:rPr>
        <w:t>la notion</w:t>
      </w:r>
      <w:r w:rsidRPr="002462E6">
        <w:rPr>
          <w:rFonts w:ascii="Tahoma" w:eastAsia="Times New Roman" w:hAnsi="Tahoma" w:cs="Tahoma"/>
          <w:spacing w:val="-5"/>
          <w:sz w:val="24"/>
          <w:szCs w:val="24"/>
        </w:rPr>
        <w:t xml:space="preserve"> </w:t>
      </w:r>
      <w:r w:rsidRPr="002462E6">
        <w:rPr>
          <w:rFonts w:ascii="Tahoma" w:eastAsia="Times New Roman" w:hAnsi="Tahoma" w:cs="Tahoma"/>
          <w:sz w:val="24"/>
          <w:szCs w:val="24"/>
        </w:rPr>
        <w:t>de</w:t>
      </w:r>
      <w:r w:rsidRPr="002462E6">
        <w:rPr>
          <w:rFonts w:ascii="Tahoma" w:eastAsia="Times New Roman" w:hAnsi="Tahoma" w:cs="Tahoma"/>
          <w:spacing w:val="-2"/>
          <w:sz w:val="24"/>
          <w:szCs w:val="24"/>
        </w:rPr>
        <w:t xml:space="preserve"> </w:t>
      </w:r>
      <w:r w:rsidRPr="002462E6">
        <w:rPr>
          <w:rFonts w:ascii="Tahoma" w:eastAsia="Times New Roman" w:hAnsi="Tahoma" w:cs="Tahoma"/>
          <w:sz w:val="24"/>
          <w:szCs w:val="24"/>
        </w:rPr>
        <w:t>présomption</w:t>
      </w:r>
      <w:r w:rsidRPr="002462E6">
        <w:rPr>
          <w:rFonts w:ascii="Tahoma" w:eastAsia="Times New Roman" w:hAnsi="Tahoma" w:cs="Tahoma"/>
          <w:spacing w:val="-4"/>
          <w:sz w:val="24"/>
          <w:szCs w:val="24"/>
        </w:rPr>
        <w:t xml:space="preserve"> </w:t>
      </w:r>
      <w:r w:rsidRPr="002462E6">
        <w:rPr>
          <w:rFonts w:ascii="Tahoma" w:eastAsia="Times New Roman" w:hAnsi="Tahoma" w:cs="Tahoma"/>
          <w:sz w:val="24"/>
          <w:szCs w:val="24"/>
        </w:rPr>
        <w:t>de</w:t>
      </w:r>
      <w:r w:rsidRPr="002462E6">
        <w:rPr>
          <w:rFonts w:ascii="Tahoma" w:eastAsia="Times New Roman" w:hAnsi="Tahoma" w:cs="Tahoma"/>
          <w:spacing w:val="-4"/>
          <w:sz w:val="24"/>
          <w:szCs w:val="24"/>
        </w:rPr>
        <w:t xml:space="preserve"> </w:t>
      </w:r>
      <w:r w:rsidRPr="002462E6">
        <w:rPr>
          <w:rFonts w:ascii="Tahoma" w:eastAsia="Times New Roman" w:hAnsi="Tahoma" w:cs="Tahoma"/>
          <w:sz w:val="24"/>
          <w:szCs w:val="24"/>
        </w:rPr>
        <w:t>domanialité</w:t>
      </w:r>
      <w:r w:rsidRPr="002462E6">
        <w:rPr>
          <w:rFonts w:ascii="Tahoma" w:eastAsia="Times New Roman" w:hAnsi="Tahoma" w:cs="Tahoma"/>
          <w:spacing w:val="-3"/>
          <w:sz w:val="24"/>
          <w:szCs w:val="24"/>
        </w:rPr>
        <w:t xml:space="preserve"> </w:t>
      </w:r>
      <w:r w:rsidRPr="002462E6">
        <w:rPr>
          <w:rFonts w:ascii="Tahoma" w:eastAsia="Times New Roman" w:hAnsi="Tahoma" w:cs="Tahoma"/>
          <w:sz w:val="24"/>
          <w:szCs w:val="24"/>
        </w:rPr>
        <w:t>qui</w:t>
      </w:r>
      <w:r w:rsidRPr="002462E6">
        <w:rPr>
          <w:rFonts w:ascii="Tahoma" w:eastAsia="Times New Roman" w:hAnsi="Tahoma" w:cs="Tahoma"/>
          <w:spacing w:val="-3"/>
          <w:sz w:val="24"/>
          <w:szCs w:val="24"/>
        </w:rPr>
        <w:t xml:space="preserve"> </w:t>
      </w:r>
      <w:r w:rsidRPr="002462E6">
        <w:rPr>
          <w:rFonts w:ascii="Tahoma" w:eastAsia="Times New Roman" w:hAnsi="Tahoma" w:cs="Tahoma"/>
          <w:sz w:val="24"/>
          <w:szCs w:val="24"/>
        </w:rPr>
        <w:t>considère</w:t>
      </w:r>
      <w:r w:rsidRPr="002462E6">
        <w:rPr>
          <w:rFonts w:ascii="Tahoma" w:eastAsia="Times New Roman" w:hAnsi="Tahoma" w:cs="Tahoma"/>
          <w:spacing w:val="-3"/>
          <w:sz w:val="24"/>
          <w:szCs w:val="24"/>
        </w:rPr>
        <w:t xml:space="preserve"> </w:t>
      </w:r>
      <w:r w:rsidRPr="002462E6">
        <w:rPr>
          <w:rFonts w:ascii="Tahoma" w:eastAsia="Times New Roman" w:hAnsi="Tahoma" w:cs="Tahoma"/>
          <w:sz w:val="24"/>
          <w:szCs w:val="24"/>
        </w:rPr>
        <w:t>comme</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forêt</w:t>
      </w:r>
      <w:r w:rsidRPr="002462E6">
        <w:rPr>
          <w:rFonts w:ascii="Tahoma" w:eastAsia="Times New Roman" w:hAnsi="Tahoma" w:cs="Tahoma"/>
          <w:spacing w:val="-57"/>
          <w:sz w:val="24"/>
          <w:szCs w:val="24"/>
        </w:rPr>
        <w:t xml:space="preserve"> </w:t>
      </w:r>
      <w:r w:rsidRPr="002462E6">
        <w:rPr>
          <w:rFonts w:ascii="Tahoma" w:eastAsia="Times New Roman" w:hAnsi="Tahoma" w:cs="Tahoma"/>
          <w:sz w:val="24"/>
          <w:szCs w:val="24"/>
        </w:rPr>
        <w:t xml:space="preserve">domaniale </w:t>
      </w:r>
      <w:r w:rsidRPr="002462E6">
        <w:rPr>
          <w:rFonts w:ascii="Tahoma" w:eastAsia="Times New Roman" w:hAnsi="Tahoma" w:cs="Tahoma"/>
          <w:i/>
          <w:sz w:val="24"/>
          <w:szCs w:val="24"/>
          <w:vertAlign w:val="superscript"/>
        </w:rPr>
        <w:t>«</w:t>
      </w:r>
      <w:r w:rsidRPr="002462E6">
        <w:rPr>
          <w:rFonts w:ascii="Tahoma" w:eastAsia="Times New Roman" w:hAnsi="Tahoma" w:cs="Tahoma"/>
          <w:i/>
          <w:sz w:val="24"/>
          <w:szCs w:val="24"/>
        </w:rPr>
        <w:t xml:space="preserve"> tout terrain occupé par une végétation ligneuse, d'origine naturelle, pourvu que ce</w:t>
      </w:r>
      <w:r w:rsidRPr="002462E6">
        <w:rPr>
          <w:rFonts w:ascii="Tahoma" w:eastAsia="Times New Roman" w:hAnsi="Tahoma" w:cs="Tahoma"/>
          <w:i/>
          <w:spacing w:val="1"/>
          <w:sz w:val="24"/>
          <w:szCs w:val="24"/>
        </w:rPr>
        <w:t xml:space="preserve"> </w:t>
      </w:r>
      <w:r w:rsidRPr="002462E6">
        <w:rPr>
          <w:rFonts w:ascii="Tahoma" w:eastAsia="Times New Roman" w:hAnsi="Tahoma" w:cs="Tahoma"/>
          <w:i/>
          <w:sz w:val="24"/>
          <w:szCs w:val="24"/>
        </w:rPr>
        <w:t>peuplement ne soit pas possédé régulièrement par un particulier, sur la base d'un titre foncier</w:t>
      </w:r>
      <w:r w:rsidRPr="002462E6">
        <w:rPr>
          <w:rFonts w:ascii="Tahoma" w:eastAsia="Times New Roman" w:hAnsi="Tahoma" w:cs="Tahoma"/>
          <w:i/>
          <w:spacing w:val="1"/>
          <w:sz w:val="24"/>
          <w:szCs w:val="24"/>
        </w:rPr>
        <w:t xml:space="preserve"> </w:t>
      </w:r>
      <w:r w:rsidRPr="002462E6">
        <w:rPr>
          <w:rFonts w:ascii="Tahoma" w:eastAsia="Times New Roman" w:hAnsi="Tahoma" w:cs="Tahoma"/>
          <w:i/>
          <w:sz w:val="24"/>
          <w:szCs w:val="24"/>
        </w:rPr>
        <w:t>ou</w:t>
      </w:r>
      <w:r w:rsidRPr="002462E6">
        <w:rPr>
          <w:rFonts w:ascii="Tahoma" w:eastAsia="Times New Roman" w:hAnsi="Tahoma" w:cs="Tahoma"/>
          <w:i/>
          <w:spacing w:val="-1"/>
          <w:sz w:val="24"/>
          <w:szCs w:val="24"/>
        </w:rPr>
        <w:t xml:space="preserve"> </w:t>
      </w:r>
      <w:r w:rsidRPr="002462E6">
        <w:rPr>
          <w:rFonts w:ascii="Tahoma" w:eastAsia="Times New Roman" w:hAnsi="Tahoma" w:cs="Tahoma"/>
          <w:i/>
          <w:sz w:val="24"/>
          <w:szCs w:val="24"/>
        </w:rPr>
        <w:t>d'une possession effective, paisible et continue</w:t>
      </w:r>
      <w:r w:rsidRPr="002462E6">
        <w:rPr>
          <w:rFonts w:ascii="Tahoma" w:eastAsia="Times New Roman" w:hAnsi="Tahoma" w:cs="Tahoma"/>
          <w:i/>
          <w:spacing w:val="2"/>
          <w:sz w:val="24"/>
          <w:szCs w:val="24"/>
        </w:rPr>
        <w:t xml:space="preserve"> </w:t>
      </w:r>
      <w:r w:rsidRPr="002462E6">
        <w:rPr>
          <w:rFonts w:ascii="Tahoma" w:eastAsia="Times New Roman" w:hAnsi="Tahoma" w:cs="Tahoma"/>
          <w:i/>
          <w:sz w:val="24"/>
          <w:szCs w:val="24"/>
          <w:vertAlign w:val="superscript"/>
        </w:rPr>
        <w:t>»</w:t>
      </w:r>
      <w:r w:rsidRPr="002462E6">
        <w:rPr>
          <w:rFonts w:ascii="Tahoma" w:eastAsia="Times New Roman" w:hAnsi="Tahoma" w:cs="Tahoma"/>
          <w:i/>
          <w:sz w:val="24"/>
          <w:szCs w:val="24"/>
        </w:rPr>
        <w:t>.</w:t>
      </w:r>
    </w:p>
    <w:p w:rsidR="00726EDC" w:rsidRPr="002462E6" w:rsidRDefault="00726EDC" w:rsidP="00726EDC">
      <w:pPr>
        <w:widowControl w:val="0"/>
        <w:autoSpaceDE w:val="0"/>
        <w:autoSpaceDN w:val="0"/>
        <w:spacing w:before="134" w:after="0" w:line="360" w:lineRule="auto"/>
        <w:ind w:left="-142"/>
        <w:jc w:val="both"/>
        <w:rPr>
          <w:rFonts w:ascii="Tahoma" w:eastAsia="Times New Roman" w:hAnsi="Tahoma" w:cs="Tahoma"/>
          <w:sz w:val="24"/>
          <w:szCs w:val="24"/>
        </w:rPr>
      </w:pPr>
      <w:r w:rsidRPr="002462E6">
        <w:rPr>
          <w:rFonts w:ascii="Tahoma" w:eastAsia="Times New Roman" w:hAnsi="Tahoma" w:cs="Tahoma"/>
          <w:sz w:val="24"/>
          <w:szCs w:val="24"/>
        </w:rPr>
        <w:t>La</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délimitation</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administrative</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est</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considérée</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par</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l’administration forestière</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comme</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un</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outil</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incontournable de lutte contre la dégradation du domaine forestier et l'occupation illégale de</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terrains domaniaux ou collectifs, une telle situation est justifiée par l'ignorance de la part des</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particuliers des limites exactes, l'absence de documents officiels établissant sans équivoque les</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droits prétendus sur ces terres.</w:t>
      </w:r>
    </w:p>
    <w:p w:rsidR="00726EDC" w:rsidRDefault="00726EDC" w:rsidP="00326A33">
      <w:pPr>
        <w:widowControl w:val="0"/>
        <w:autoSpaceDE w:val="0"/>
        <w:autoSpaceDN w:val="0"/>
        <w:spacing w:before="161" w:after="0" w:line="360" w:lineRule="auto"/>
        <w:jc w:val="both"/>
        <w:rPr>
          <w:rFonts w:ascii="Tahoma" w:eastAsia="Times New Roman" w:hAnsi="Tahoma" w:cs="Tahoma"/>
          <w:sz w:val="24"/>
          <w:szCs w:val="24"/>
        </w:rPr>
      </w:pPr>
      <w:r w:rsidRPr="002462E6">
        <w:rPr>
          <w:rFonts w:ascii="Tahoma" w:eastAsia="Times New Roman" w:hAnsi="Tahoma" w:cs="Tahoma"/>
          <w:sz w:val="24"/>
          <w:szCs w:val="24"/>
        </w:rPr>
        <w:t>En effet, la délimitation administrative est quasi-identique pour les différents immeubles qui</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peuvent en faire l'objet (domaine privé, forestier, terres collectives), et elle est axée sur les points</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suivants</w:t>
      </w:r>
      <w:r w:rsidRPr="002462E6">
        <w:rPr>
          <w:rFonts w:ascii="Tahoma" w:eastAsia="Times New Roman" w:hAnsi="Tahoma" w:cs="Tahoma"/>
          <w:spacing w:val="1"/>
          <w:sz w:val="24"/>
          <w:szCs w:val="24"/>
        </w:rPr>
        <w:t xml:space="preserve"> </w:t>
      </w:r>
      <w:r w:rsidR="00326A33">
        <w:rPr>
          <w:rFonts w:ascii="Tahoma" w:eastAsia="Times New Roman" w:hAnsi="Tahoma" w:cs="Tahoma"/>
          <w:sz w:val="24"/>
          <w:szCs w:val="24"/>
        </w:rPr>
        <w:t>:</w:t>
      </w:r>
    </w:p>
    <w:p w:rsidR="00326A33" w:rsidRPr="00326A33" w:rsidRDefault="00326A33" w:rsidP="00326A33">
      <w:pPr>
        <w:widowControl w:val="0"/>
        <w:autoSpaceDE w:val="0"/>
        <w:autoSpaceDN w:val="0"/>
        <w:spacing w:before="161" w:after="0" w:line="360" w:lineRule="auto"/>
        <w:jc w:val="both"/>
        <w:rPr>
          <w:rFonts w:ascii="Tahoma" w:eastAsia="Times New Roman" w:hAnsi="Tahoma" w:cs="Tahoma"/>
          <w:sz w:val="2"/>
          <w:szCs w:val="2"/>
        </w:rPr>
      </w:pPr>
    </w:p>
    <w:p w:rsidR="00726EDC" w:rsidRPr="00326A33" w:rsidRDefault="00726EDC" w:rsidP="00326A33">
      <w:pPr>
        <w:widowControl w:val="0"/>
        <w:numPr>
          <w:ilvl w:val="0"/>
          <w:numId w:val="27"/>
        </w:numPr>
        <w:autoSpaceDE w:val="0"/>
        <w:autoSpaceDN w:val="0"/>
        <w:spacing w:after="0" w:line="240" w:lineRule="auto"/>
        <w:ind w:left="426" w:hanging="284"/>
        <w:jc w:val="both"/>
        <w:rPr>
          <w:rFonts w:ascii="Tahoma" w:eastAsia="Arial MT" w:hAnsi="Tahoma" w:cs="Tahoma"/>
          <w:b/>
          <w:bCs/>
          <w:sz w:val="24"/>
          <w:szCs w:val="24"/>
        </w:rPr>
      </w:pPr>
      <w:r w:rsidRPr="002462E6">
        <w:rPr>
          <w:rFonts w:ascii="Tahoma" w:eastAsia="Arial MT" w:hAnsi="Tahoma" w:cs="Tahoma"/>
          <w:b/>
          <w:bCs/>
          <w:sz w:val="24"/>
          <w:szCs w:val="24"/>
        </w:rPr>
        <w:t>Délimitation provisoire</w:t>
      </w:r>
    </w:p>
    <w:p w:rsidR="00726EDC" w:rsidRPr="002462E6" w:rsidRDefault="00726EDC" w:rsidP="00726EDC">
      <w:pPr>
        <w:widowControl w:val="0"/>
        <w:autoSpaceDE w:val="0"/>
        <w:autoSpaceDN w:val="0"/>
        <w:spacing w:before="131" w:after="0" w:line="360" w:lineRule="auto"/>
        <w:jc w:val="both"/>
        <w:rPr>
          <w:rFonts w:ascii="Tahoma" w:eastAsia="Times New Roman" w:hAnsi="Tahoma" w:cs="Tahoma"/>
          <w:sz w:val="24"/>
          <w:szCs w:val="24"/>
        </w:rPr>
      </w:pPr>
      <w:r w:rsidRPr="002462E6">
        <w:rPr>
          <w:rFonts w:ascii="Tahoma" w:eastAsia="Times New Roman" w:hAnsi="Tahoma" w:cs="Tahoma"/>
          <w:sz w:val="24"/>
          <w:szCs w:val="24"/>
        </w:rPr>
        <w:t>C'est une procédure purement technique consistant à déterminer et à matérialiser les limites de la</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propriété.</w:t>
      </w:r>
      <w:r w:rsidRPr="002462E6">
        <w:rPr>
          <w:rFonts w:ascii="Tahoma" w:eastAsia="Times New Roman" w:hAnsi="Tahoma" w:cs="Tahoma"/>
          <w:spacing w:val="-12"/>
          <w:sz w:val="24"/>
          <w:szCs w:val="24"/>
        </w:rPr>
        <w:t xml:space="preserve"> </w:t>
      </w:r>
      <w:r w:rsidRPr="002462E6">
        <w:rPr>
          <w:rFonts w:ascii="Tahoma" w:eastAsia="Times New Roman" w:hAnsi="Tahoma" w:cs="Tahoma"/>
          <w:sz w:val="24"/>
          <w:szCs w:val="24"/>
        </w:rPr>
        <w:t>Ainsi,</w:t>
      </w:r>
      <w:r w:rsidRPr="002462E6">
        <w:rPr>
          <w:rFonts w:ascii="Tahoma" w:eastAsia="Times New Roman" w:hAnsi="Tahoma" w:cs="Tahoma"/>
          <w:spacing w:val="-9"/>
          <w:sz w:val="24"/>
          <w:szCs w:val="24"/>
        </w:rPr>
        <w:t xml:space="preserve"> </w:t>
      </w:r>
      <w:r w:rsidRPr="002462E6">
        <w:rPr>
          <w:rFonts w:ascii="Tahoma" w:eastAsia="Times New Roman" w:hAnsi="Tahoma" w:cs="Tahoma"/>
          <w:sz w:val="24"/>
          <w:szCs w:val="24"/>
        </w:rPr>
        <w:t>l'autorité</w:t>
      </w:r>
      <w:r w:rsidRPr="002462E6">
        <w:rPr>
          <w:rFonts w:ascii="Tahoma" w:eastAsia="Times New Roman" w:hAnsi="Tahoma" w:cs="Tahoma"/>
          <w:spacing w:val="-10"/>
          <w:sz w:val="24"/>
          <w:szCs w:val="24"/>
        </w:rPr>
        <w:t xml:space="preserve"> </w:t>
      </w:r>
      <w:r w:rsidRPr="002462E6">
        <w:rPr>
          <w:rFonts w:ascii="Tahoma" w:eastAsia="Times New Roman" w:hAnsi="Tahoma" w:cs="Tahoma"/>
          <w:sz w:val="24"/>
          <w:szCs w:val="24"/>
        </w:rPr>
        <w:t>compétente</w:t>
      </w:r>
      <w:r w:rsidRPr="002462E6">
        <w:rPr>
          <w:rFonts w:ascii="Tahoma" w:eastAsia="Times New Roman" w:hAnsi="Tahoma" w:cs="Tahoma"/>
          <w:spacing w:val="-9"/>
          <w:sz w:val="24"/>
          <w:szCs w:val="24"/>
        </w:rPr>
        <w:t xml:space="preserve"> </w:t>
      </w:r>
      <w:r w:rsidRPr="002462E6">
        <w:rPr>
          <w:rFonts w:ascii="Tahoma" w:eastAsia="Times New Roman" w:hAnsi="Tahoma" w:cs="Tahoma"/>
          <w:sz w:val="24"/>
          <w:szCs w:val="24"/>
        </w:rPr>
        <w:t>procède</w:t>
      </w:r>
      <w:r w:rsidRPr="002462E6">
        <w:rPr>
          <w:rFonts w:ascii="Tahoma" w:eastAsia="Times New Roman" w:hAnsi="Tahoma" w:cs="Tahoma"/>
          <w:spacing w:val="-10"/>
          <w:sz w:val="24"/>
          <w:szCs w:val="24"/>
        </w:rPr>
        <w:t xml:space="preserve"> </w:t>
      </w:r>
      <w:r w:rsidRPr="002462E6">
        <w:rPr>
          <w:rFonts w:ascii="Tahoma" w:eastAsia="Times New Roman" w:hAnsi="Tahoma" w:cs="Tahoma"/>
          <w:sz w:val="24"/>
          <w:szCs w:val="24"/>
        </w:rPr>
        <w:t>à</w:t>
      </w:r>
      <w:r w:rsidRPr="002462E6">
        <w:rPr>
          <w:rFonts w:ascii="Tahoma" w:eastAsia="Times New Roman" w:hAnsi="Tahoma" w:cs="Tahoma"/>
          <w:spacing w:val="-9"/>
          <w:sz w:val="24"/>
          <w:szCs w:val="24"/>
        </w:rPr>
        <w:t xml:space="preserve"> </w:t>
      </w:r>
      <w:r w:rsidRPr="002462E6">
        <w:rPr>
          <w:rFonts w:ascii="Tahoma" w:eastAsia="Times New Roman" w:hAnsi="Tahoma" w:cs="Tahoma"/>
          <w:sz w:val="24"/>
          <w:szCs w:val="24"/>
        </w:rPr>
        <w:t>une</w:t>
      </w:r>
      <w:r w:rsidRPr="002462E6">
        <w:rPr>
          <w:rFonts w:ascii="Tahoma" w:eastAsia="Times New Roman" w:hAnsi="Tahoma" w:cs="Tahoma"/>
          <w:spacing w:val="-9"/>
          <w:sz w:val="24"/>
          <w:szCs w:val="24"/>
        </w:rPr>
        <w:t xml:space="preserve"> </w:t>
      </w:r>
      <w:r w:rsidRPr="002462E6">
        <w:rPr>
          <w:rFonts w:ascii="Tahoma" w:eastAsia="Times New Roman" w:hAnsi="Tahoma" w:cs="Tahoma"/>
          <w:sz w:val="24"/>
          <w:szCs w:val="24"/>
        </w:rPr>
        <w:t>reconnaissance</w:t>
      </w:r>
      <w:r w:rsidRPr="002462E6">
        <w:rPr>
          <w:rFonts w:ascii="Tahoma" w:eastAsia="Times New Roman" w:hAnsi="Tahoma" w:cs="Tahoma"/>
          <w:spacing w:val="-12"/>
          <w:sz w:val="24"/>
          <w:szCs w:val="24"/>
        </w:rPr>
        <w:t xml:space="preserve"> </w:t>
      </w:r>
      <w:r w:rsidRPr="002462E6">
        <w:rPr>
          <w:rFonts w:ascii="Tahoma" w:eastAsia="Times New Roman" w:hAnsi="Tahoma" w:cs="Tahoma"/>
          <w:sz w:val="24"/>
          <w:szCs w:val="24"/>
        </w:rPr>
        <w:t>préalable</w:t>
      </w:r>
      <w:r w:rsidRPr="002462E6">
        <w:rPr>
          <w:rFonts w:ascii="Tahoma" w:eastAsia="Times New Roman" w:hAnsi="Tahoma" w:cs="Tahoma"/>
          <w:spacing w:val="-11"/>
          <w:sz w:val="24"/>
          <w:szCs w:val="24"/>
        </w:rPr>
        <w:t xml:space="preserve"> </w:t>
      </w:r>
      <w:r w:rsidRPr="002462E6">
        <w:rPr>
          <w:rFonts w:ascii="Tahoma" w:eastAsia="Times New Roman" w:hAnsi="Tahoma" w:cs="Tahoma"/>
          <w:sz w:val="24"/>
          <w:szCs w:val="24"/>
        </w:rPr>
        <w:t>des</w:t>
      </w:r>
      <w:r w:rsidRPr="002462E6">
        <w:rPr>
          <w:rFonts w:ascii="Tahoma" w:eastAsia="Times New Roman" w:hAnsi="Tahoma" w:cs="Tahoma"/>
          <w:spacing w:val="-8"/>
          <w:sz w:val="24"/>
          <w:szCs w:val="24"/>
        </w:rPr>
        <w:t xml:space="preserve"> </w:t>
      </w:r>
      <w:r w:rsidRPr="002462E6">
        <w:rPr>
          <w:rFonts w:ascii="Tahoma" w:eastAsia="Times New Roman" w:hAnsi="Tahoma" w:cs="Tahoma"/>
          <w:sz w:val="24"/>
          <w:szCs w:val="24"/>
        </w:rPr>
        <w:t>lieux</w:t>
      </w:r>
      <w:r w:rsidRPr="002462E6">
        <w:rPr>
          <w:rFonts w:ascii="Tahoma" w:eastAsia="Times New Roman" w:hAnsi="Tahoma" w:cs="Tahoma"/>
          <w:spacing w:val="-10"/>
          <w:sz w:val="24"/>
          <w:szCs w:val="24"/>
        </w:rPr>
        <w:t xml:space="preserve"> </w:t>
      </w:r>
      <w:r w:rsidRPr="002462E6">
        <w:rPr>
          <w:rFonts w:ascii="Tahoma" w:eastAsia="Times New Roman" w:hAnsi="Tahoma" w:cs="Tahoma"/>
          <w:sz w:val="24"/>
          <w:szCs w:val="24"/>
        </w:rPr>
        <w:t>ou</w:t>
      </w:r>
      <w:r w:rsidRPr="002462E6">
        <w:rPr>
          <w:rFonts w:ascii="Tahoma" w:eastAsia="Times New Roman" w:hAnsi="Tahoma" w:cs="Tahoma"/>
          <w:spacing w:val="-9"/>
          <w:sz w:val="24"/>
          <w:szCs w:val="24"/>
        </w:rPr>
        <w:t xml:space="preserve"> </w:t>
      </w:r>
      <w:r w:rsidRPr="002462E6">
        <w:rPr>
          <w:rFonts w:ascii="Tahoma" w:eastAsia="Times New Roman" w:hAnsi="Tahoma" w:cs="Tahoma"/>
          <w:sz w:val="24"/>
          <w:szCs w:val="24"/>
        </w:rPr>
        <w:t>enquête</w:t>
      </w:r>
      <w:r w:rsidRPr="002462E6">
        <w:rPr>
          <w:rFonts w:ascii="Tahoma" w:eastAsia="Times New Roman" w:hAnsi="Tahoma" w:cs="Tahoma"/>
          <w:spacing w:val="-57"/>
          <w:sz w:val="24"/>
          <w:szCs w:val="24"/>
        </w:rPr>
        <w:t xml:space="preserve"> </w:t>
      </w:r>
      <w:r w:rsidRPr="002462E6">
        <w:rPr>
          <w:rFonts w:ascii="Tahoma" w:eastAsia="Times New Roman" w:hAnsi="Tahoma" w:cs="Tahoma"/>
          <w:sz w:val="24"/>
          <w:szCs w:val="24"/>
        </w:rPr>
        <w:t>préliminaire pour s'informer de la situation du terrain, sa nature, sa consistance… Cette enquête</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préliminaire aboutit à l'établissement d'un croquis sommaire, et pour le domaine forestier, elle se</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matérialise</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par</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la pose</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de</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bornes sommaires</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avant</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le passage</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de la</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commission</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réglementaire.</w:t>
      </w:r>
    </w:p>
    <w:p w:rsidR="00726EDC" w:rsidRPr="002462E6" w:rsidRDefault="00726EDC" w:rsidP="00726EDC">
      <w:pPr>
        <w:widowControl w:val="0"/>
        <w:autoSpaceDE w:val="0"/>
        <w:autoSpaceDN w:val="0"/>
        <w:spacing w:after="0" w:line="230" w:lineRule="exact"/>
        <w:rPr>
          <w:rFonts w:ascii="Times New Roman" w:eastAsia="Times New Roman" w:hAnsi="Times New Roman" w:cs="Times New Roman"/>
          <w:sz w:val="20"/>
        </w:rPr>
      </w:pPr>
    </w:p>
    <w:p w:rsidR="00726EDC" w:rsidRPr="00326A33" w:rsidRDefault="00726EDC" w:rsidP="00326A33">
      <w:pPr>
        <w:widowControl w:val="0"/>
        <w:numPr>
          <w:ilvl w:val="0"/>
          <w:numId w:val="21"/>
        </w:numPr>
        <w:autoSpaceDE w:val="0"/>
        <w:autoSpaceDN w:val="0"/>
        <w:spacing w:before="163" w:after="0" w:line="240" w:lineRule="auto"/>
        <w:ind w:left="142" w:firstLine="0"/>
        <w:contextualSpacing/>
        <w:rPr>
          <w:rFonts w:ascii="Tahoma" w:eastAsia="Times New Roman" w:hAnsi="Tahoma" w:cs="Tahoma"/>
          <w:b/>
        </w:rPr>
      </w:pPr>
      <w:r w:rsidRPr="002462E6">
        <w:rPr>
          <w:rFonts w:ascii="Tahoma" w:eastAsia="Times New Roman" w:hAnsi="Tahoma" w:cs="Tahoma"/>
          <w:b/>
        </w:rPr>
        <w:t>Elaboration</w:t>
      </w:r>
      <w:r w:rsidRPr="002462E6">
        <w:rPr>
          <w:rFonts w:ascii="Tahoma" w:eastAsia="Times New Roman" w:hAnsi="Tahoma" w:cs="Tahoma"/>
          <w:b/>
          <w:spacing w:val="1"/>
        </w:rPr>
        <w:t xml:space="preserve"> </w:t>
      </w:r>
      <w:r w:rsidRPr="002462E6">
        <w:rPr>
          <w:rFonts w:ascii="Tahoma" w:eastAsia="Times New Roman" w:hAnsi="Tahoma" w:cs="Tahoma"/>
          <w:b/>
        </w:rPr>
        <w:t>et</w:t>
      </w:r>
      <w:r w:rsidRPr="002462E6">
        <w:rPr>
          <w:rFonts w:ascii="Tahoma" w:eastAsia="Times New Roman" w:hAnsi="Tahoma" w:cs="Tahoma"/>
          <w:b/>
          <w:spacing w:val="-5"/>
        </w:rPr>
        <w:t xml:space="preserve"> </w:t>
      </w:r>
      <w:r w:rsidRPr="002462E6">
        <w:rPr>
          <w:rFonts w:ascii="Tahoma" w:eastAsia="Times New Roman" w:hAnsi="Tahoma" w:cs="Tahoma"/>
          <w:b/>
        </w:rPr>
        <w:t>promulgation du</w:t>
      </w:r>
      <w:r w:rsidRPr="002462E6">
        <w:rPr>
          <w:rFonts w:ascii="Tahoma" w:eastAsia="Times New Roman" w:hAnsi="Tahoma" w:cs="Tahoma"/>
          <w:b/>
          <w:spacing w:val="-4"/>
        </w:rPr>
        <w:t xml:space="preserve"> </w:t>
      </w:r>
      <w:r w:rsidRPr="002462E6">
        <w:rPr>
          <w:rFonts w:ascii="Tahoma" w:eastAsia="Times New Roman" w:hAnsi="Tahoma" w:cs="Tahoma"/>
          <w:b/>
        </w:rPr>
        <w:t>décret</w:t>
      </w:r>
    </w:p>
    <w:p w:rsidR="00726EDC" w:rsidRPr="002462E6" w:rsidRDefault="00726EDC" w:rsidP="00726EDC">
      <w:pPr>
        <w:widowControl w:val="0"/>
        <w:autoSpaceDE w:val="0"/>
        <w:autoSpaceDN w:val="0"/>
        <w:spacing w:before="132" w:after="0" w:line="360" w:lineRule="auto"/>
        <w:jc w:val="both"/>
        <w:rPr>
          <w:rFonts w:ascii="Tahoma" w:eastAsia="Times New Roman" w:hAnsi="Tahoma" w:cs="Tahoma"/>
          <w:sz w:val="24"/>
          <w:szCs w:val="24"/>
        </w:rPr>
      </w:pPr>
      <w:r w:rsidRPr="002462E6">
        <w:rPr>
          <w:rFonts w:ascii="Tahoma" w:eastAsia="Times New Roman" w:hAnsi="Tahoma" w:cs="Tahoma"/>
          <w:sz w:val="24"/>
          <w:szCs w:val="24"/>
        </w:rPr>
        <w:t>Après l'achèvement de la période de reconnaissance des lieux, intervient juste après la phase de</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préparation du décret ordonnant le commencement de la délimitation administrative suite à une</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réquisition</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de la part de l'autorité compétente.</w:t>
      </w:r>
    </w:p>
    <w:p w:rsidR="00726EDC" w:rsidRPr="002462E6" w:rsidRDefault="00726EDC" w:rsidP="00726EDC">
      <w:pPr>
        <w:widowControl w:val="0"/>
        <w:autoSpaceDE w:val="0"/>
        <w:autoSpaceDN w:val="0"/>
        <w:spacing w:before="132" w:after="0" w:line="360" w:lineRule="auto"/>
        <w:jc w:val="both"/>
        <w:rPr>
          <w:rFonts w:ascii="Tahoma" w:eastAsia="Times New Roman" w:hAnsi="Tahoma" w:cs="Tahoma"/>
          <w:sz w:val="24"/>
          <w:szCs w:val="24"/>
        </w:rPr>
      </w:pPr>
      <w:r w:rsidRPr="002462E6">
        <w:rPr>
          <w:rFonts w:ascii="Tahoma" w:eastAsia="Times New Roman" w:hAnsi="Tahoma" w:cs="Tahoma"/>
          <w:sz w:val="24"/>
          <w:szCs w:val="24"/>
        </w:rPr>
        <w:t>Pour le domaine forestier, qui relève du domaine privé de l’État, l’intervention du ministère des Eaux et Forêts s’effectue sur la base d’une requête. Il convient de souligner que, dans ce contexte, la délimitation administrative constitue un préalable essentiel à toute initiative de mise en valeur. Cette étape est indispensable non seulement pour garantir une gestion et une protection efficaces des espaces forestiers, mais également pour en préciser les limites, souvent difficiles à identifier sur le terrain.</w:t>
      </w:r>
    </w:p>
    <w:p w:rsidR="00726EDC" w:rsidRPr="002462E6" w:rsidRDefault="00726EDC" w:rsidP="00726EDC">
      <w:pPr>
        <w:widowControl w:val="0"/>
        <w:autoSpaceDE w:val="0"/>
        <w:autoSpaceDN w:val="0"/>
        <w:spacing w:before="132" w:after="0" w:line="360" w:lineRule="auto"/>
        <w:jc w:val="both"/>
        <w:rPr>
          <w:rFonts w:ascii="Tahoma" w:eastAsia="Times New Roman" w:hAnsi="Tahoma" w:cs="Tahoma"/>
          <w:sz w:val="24"/>
          <w:szCs w:val="24"/>
        </w:rPr>
      </w:pPr>
      <w:r w:rsidRPr="002462E6">
        <w:rPr>
          <w:rFonts w:ascii="Tahoma" w:eastAsia="Times New Roman" w:hAnsi="Tahoma" w:cs="Tahoma"/>
          <w:sz w:val="24"/>
          <w:szCs w:val="24"/>
        </w:rPr>
        <w:t>Le</w:t>
      </w:r>
      <w:r w:rsidRPr="002462E6">
        <w:rPr>
          <w:rFonts w:ascii="Tahoma" w:eastAsia="Times New Roman" w:hAnsi="Tahoma" w:cs="Tahoma"/>
          <w:spacing w:val="-5"/>
          <w:sz w:val="24"/>
          <w:szCs w:val="24"/>
        </w:rPr>
        <w:t xml:space="preserve"> </w:t>
      </w:r>
      <w:r w:rsidRPr="002462E6">
        <w:rPr>
          <w:rFonts w:ascii="Tahoma" w:eastAsia="Times New Roman" w:hAnsi="Tahoma" w:cs="Tahoma"/>
          <w:sz w:val="24"/>
          <w:szCs w:val="24"/>
        </w:rPr>
        <w:t>décret</w:t>
      </w:r>
      <w:r w:rsidRPr="002462E6">
        <w:rPr>
          <w:rFonts w:ascii="Tahoma" w:eastAsia="Times New Roman" w:hAnsi="Tahoma" w:cs="Tahoma"/>
          <w:spacing w:val="-3"/>
          <w:sz w:val="24"/>
          <w:szCs w:val="24"/>
        </w:rPr>
        <w:t xml:space="preserve"> </w:t>
      </w:r>
      <w:r w:rsidRPr="002462E6">
        <w:rPr>
          <w:rFonts w:ascii="Tahoma" w:eastAsia="Times New Roman" w:hAnsi="Tahoma" w:cs="Tahoma"/>
          <w:sz w:val="24"/>
          <w:szCs w:val="24"/>
        </w:rPr>
        <w:t>autorisant</w:t>
      </w:r>
      <w:r w:rsidRPr="002462E6">
        <w:rPr>
          <w:rFonts w:ascii="Tahoma" w:eastAsia="Times New Roman" w:hAnsi="Tahoma" w:cs="Tahoma"/>
          <w:spacing w:val="-6"/>
          <w:sz w:val="24"/>
          <w:szCs w:val="24"/>
        </w:rPr>
        <w:t xml:space="preserve"> </w:t>
      </w:r>
      <w:r w:rsidRPr="002462E6">
        <w:rPr>
          <w:rFonts w:ascii="Tahoma" w:eastAsia="Times New Roman" w:hAnsi="Tahoma" w:cs="Tahoma"/>
          <w:sz w:val="24"/>
          <w:szCs w:val="24"/>
        </w:rPr>
        <w:t>la</w:t>
      </w:r>
      <w:r w:rsidRPr="002462E6">
        <w:rPr>
          <w:rFonts w:ascii="Tahoma" w:eastAsia="Times New Roman" w:hAnsi="Tahoma" w:cs="Tahoma"/>
          <w:spacing w:val="-3"/>
          <w:sz w:val="24"/>
          <w:szCs w:val="24"/>
        </w:rPr>
        <w:t xml:space="preserve"> </w:t>
      </w:r>
      <w:r w:rsidRPr="002462E6">
        <w:rPr>
          <w:rFonts w:ascii="Tahoma" w:eastAsia="Times New Roman" w:hAnsi="Tahoma" w:cs="Tahoma"/>
          <w:sz w:val="24"/>
          <w:szCs w:val="24"/>
        </w:rPr>
        <w:t>délimitation</w:t>
      </w:r>
      <w:r w:rsidRPr="002462E6">
        <w:rPr>
          <w:rFonts w:ascii="Tahoma" w:eastAsia="Times New Roman" w:hAnsi="Tahoma" w:cs="Tahoma"/>
          <w:spacing w:val="-5"/>
          <w:sz w:val="24"/>
          <w:szCs w:val="24"/>
        </w:rPr>
        <w:t xml:space="preserve"> </w:t>
      </w:r>
      <w:r w:rsidRPr="002462E6">
        <w:rPr>
          <w:rFonts w:ascii="Tahoma" w:eastAsia="Times New Roman" w:hAnsi="Tahoma" w:cs="Tahoma"/>
          <w:sz w:val="24"/>
          <w:szCs w:val="24"/>
        </w:rPr>
        <w:t>indique</w:t>
      </w:r>
      <w:r w:rsidRPr="002462E6">
        <w:rPr>
          <w:rFonts w:ascii="Tahoma" w:eastAsia="Times New Roman" w:hAnsi="Tahoma" w:cs="Tahoma"/>
          <w:spacing w:val="-5"/>
          <w:sz w:val="24"/>
          <w:szCs w:val="24"/>
        </w:rPr>
        <w:t xml:space="preserve"> </w:t>
      </w:r>
      <w:r w:rsidRPr="002462E6">
        <w:rPr>
          <w:rFonts w:ascii="Tahoma" w:eastAsia="Times New Roman" w:hAnsi="Tahoma" w:cs="Tahoma"/>
          <w:sz w:val="24"/>
          <w:szCs w:val="24"/>
        </w:rPr>
        <w:t>la</w:t>
      </w:r>
      <w:r w:rsidRPr="002462E6">
        <w:rPr>
          <w:rFonts w:ascii="Tahoma" w:eastAsia="Times New Roman" w:hAnsi="Tahoma" w:cs="Tahoma"/>
          <w:spacing w:val="-3"/>
          <w:sz w:val="24"/>
          <w:szCs w:val="24"/>
        </w:rPr>
        <w:t xml:space="preserve"> </w:t>
      </w:r>
      <w:r w:rsidRPr="002462E6">
        <w:rPr>
          <w:rFonts w:ascii="Tahoma" w:eastAsia="Times New Roman" w:hAnsi="Tahoma" w:cs="Tahoma"/>
          <w:sz w:val="24"/>
          <w:szCs w:val="24"/>
        </w:rPr>
        <w:t>date</w:t>
      </w:r>
      <w:r w:rsidRPr="002462E6">
        <w:rPr>
          <w:rFonts w:ascii="Tahoma" w:eastAsia="Times New Roman" w:hAnsi="Tahoma" w:cs="Tahoma"/>
          <w:spacing w:val="-4"/>
          <w:sz w:val="24"/>
          <w:szCs w:val="24"/>
        </w:rPr>
        <w:t xml:space="preserve"> </w:t>
      </w:r>
      <w:r w:rsidRPr="002462E6">
        <w:rPr>
          <w:rFonts w:ascii="Tahoma" w:eastAsia="Times New Roman" w:hAnsi="Tahoma" w:cs="Tahoma"/>
          <w:sz w:val="24"/>
          <w:szCs w:val="24"/>
        </w:rPr>
        <w:t>et</w:t>
      </w:r>
      <w:r w:rsidRPr="002462E6">
        <w:rPr>
          <w:rFonts w:ascii="Tahoma" w:eastAsia="Times New Roman" w:hAnsi="Tahoma" w:cs="Tahoma"/>
          <w:spacing w:val="-3"/>
          <w:sz w:val="24"/>
          <w:szCs w:val="24"/>
        </w:rPr>
        <w:t xml:space="preserve"> </w:t>
      </w:r>
      <w:r w:rsidRPr="002462E6">
        <w:rPr>
          <w:rFonts w:ascii="Tahoma" w:eastAsia="Times New Roman" w:hAnsi="Tahoma" w:cs="Tahoma"/>
          <w:sz w:val="24"/>
          <w:szCs w:val="24"/>
        </w:rPr>
        <w:t>le</w:t>
      </w:r>
      <w:r w:rsidRPr="002462E6">
        <w:rPr>
          <w:rFonts w:ascii="Tahoma" w:eastAsia="Times New Roman" w:hAnsi="Tahoma" w:cs="Tahoma"/>
          <w:spacing w:val="-3"/>
          <w:sz w:val="24"/>
          <w:szCs w:val="24"/>
        </w:rPr>
        <w:t xml:space="preserve"> </w:t>
      </w:r>
      <w:r w:rsidRPr="002462E6">
        <w:rPr>
          <w:rFonts w:ascii="Tahoma" w:eastAsia="Times New Roman" w:hAnsi="Tahoma" w:cs="Tahoma"/>
          <w:sz w:val="24"/>
          <w:szCs w:val="24"/>
        </w:rPr>
        <w:t>point</w:t>
      </w:r>
      <w:r w:rsidRPr="002462E6">
        <w:rPr>
          <w:rFonts w:ascii="Tahoma" w:eastAsia="Times New Roman" w:hAnsi="Tahoma" w:cs="Tahoma"/>
          <w:spacing w:val="-5"/>
          <w:sz w:val="24"/>
          <w:szCs w:val="24"/>
        </w:rPr>
        <w:t xml:space="preserve"> </w:t>
      </w:r>
      <w:r w:rsidRPr="002462E6">
        <w:rPr>
          <w:rFonts w:ascii="Tahoma" w:eastAsia="Times New Roman" w:hAnsi="Tahoma" w:cs="Tahoma"/>
          <w:sz w:val="24"/>
          <w:szCs w:val="24"/>
        </w:rPr>
        <w:t>de</w:t>
      </w:r>
      <w:r w:rsidRPr="002462E6">
        <w:rPr>
          <w:rFonts w:ascii="Tahoma" w:eastAsia="Times New Roman" w:hAnsi="Tahoma" w:cs="Tahoma"/>
          <w:spacing w:val="-3"/>
          <w:sz w:val="24"/>
          <w:szCs w:val="24"/>
        </w:rPr>
        <w:t xml:space="preserve"> </w:t>
      </w:r>
      <w:r w:rsidRPr="002462E6">
        <w:rPr>
          <w:rFonts w:ascii="Tahoma" w:eastAsia="Times New Roman" w:hAnsi="Tahoma" w:cs="Tahoma"/>
          <w:sz w:val="24"/>
          <w:szCs w:val="24"/>
        </w:rPr>
        <w:t>départ</w:t>
      </w:r>
      <w:r w:rsidRPr="002462E6">
        <w:rPr>
          <w:rFonts w:ascii="Tahoma" w:eastAsia="Times New Roman" w:hAnsi="Tahoma" w:cs="Tahoma"/>
          <w:spacing w:val="-5"/>
          <w:sz w:val="24"/>
          <w:szCs w:val="24"/>
        </w:rPr>
        <w:t xml:space="preserve"> </w:t>
      </w:r>
      <w:r w:rsidRPr="002462E6">
        <w:rPr>
          <w:rFonts w:ascii="Tahoma" w:eastAsia="Times New Roman" w:hAnsi="Tahoma" w:cs="Tahoma"/>
          <w:sz w:val="24"/>
          <w:szCs w:val="24"/>
        </w:rPr>
        <w:t>des</w:t>
      </w:r>
      <w:r w:rsidRPr="002462E6">
        <w:rPr>
          <w:rFonts w:ascii="Tahoma" w:eastAsia="Times New Roman" w:hAnsi="Tahoma" w:cs="Tahoma"/>
          <w:spacing w:val="-4"/>
          <w:sz w:val="24"/>
          <w:szCs w:val="24"/>
        </w:rPr>
        <w:t xml:space="preserve"> </w:t>
      </w:r>
      <w:r w:rsidRPr="002462E6">
        <w:rPr>
          <w:rFonts w:ascii="Tahoma" w:eastAsia="Times New Roman" w:hAnsi="Tahoma" w:cs="Tahoma"/>
          <w:sz w:val="24"/>
          <w:szCs w:val="24"/>
        </w:rPr>
        <w:t>opérations,</w:t>
      </w:r>
      <w:r w:rsidRPr="002462E6">
        <w:rPr>
          <w:rFonts w:ascii="Tahoma" w:eastAsia="Times New Roman" w:hAnsi="Tahoma" w:cs="Tahoma"/>
          <w:spacing w:val="-5"/>
          <w:sz w:val="24"/>
          <w:szCs w:val="24"/>
        </w:rPr>
        <w:t xml:space="preserve"> </w:t>
      </w:r>
      <w:r w:rsidRPr="002462E6">
        <w:rPr>
          <w:rFonts w:ascii="Tahoma" w:eastAsia="Times New Roman" w:hAnsi="Tahoma" w:cs="Tahoma"/>
          <w:sz w:val="24"/>
          <w:szCs w:val="24"/>
        </w:rPr>
        <w:t>il</w:t>
      </w:r>
      <w:r w:rsidRPr="002462E6">
        <w:rPr>
          <w:rFonts w:ascii="Tahoma" w:eastAsia="Times New Roman" w:hAnsi="Tahoma" w:cs="Tahoma"/>
          <w:spacing w:val="-6"/>
          <w:sz w:val="24"/>
          <w:szCs w:val="24"/>
        </w:rPr>
        <w:t xml:space="preserve"> </w:t>
      </w:r>
      <w:r w:rsidRPr="002462E6">
        <w:rPr>
          <w:rFonts w:ascii="Tahoma" w:eastAsia="Times New Roman" w:hAnsi="Tahoma" w:cs="Tahoma"/>
          <w:sz w:val="24"/>
          <w:szCs w:val="24"/>
        </w:rPr>
        <w:t>comporte</w:t>
      </w:r>
      <w:r w:rsidRPr="002462E6">
        <w:rPr>
          <w:rFonts w:ascii="Tahoma" w:eastAsia="Times New Roman" w:hAnsi="Tahoma" w:cs="Tahoma"/>
          <w:spacing w:val="-57"/>
          <w:sz w:val="24"/>
          <w:szCs w:val="24"/>
        </w:rPr>
        <w:t xml:space="preserve"> </w:t>
      </w:r>
      <w:r w:rsidRPr="002462E6">
        <w:rPr>
          <w:rFonts w:ascii="Tahoma" w:eastAsia="Times New Roman" w:hAnsi="Tahoma" w:cs="Tahoma"/>
          <w:sz w:val="24"/>
          <w:szCs w:val="24"/>
        </w:rPr>
        <w:t>également les données essentielles relatives à l'immeuble, à délimiter notamment, la situation, la</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dénomination,</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la</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consistance,</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la</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contenance,</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les</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limites,</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les</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riverains,</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les</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charges</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grevant</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l'immeuble…</w:t>
      </w:r>
    </w:p>
    <w:p w:rsidR="00974172" w:rsidRDefault="00726EDC" w:rsidP="00326A33">
      <w:pPr>
        <w:widowControl w:val="0"/>
        <w:autoSpaceDE w:val="0"/>
        <w:autoSpaceDN w:val="0"/>
        <w:spacing w:before="132" w:after="0" w:line="360" w:lineRule="auto"/>
        <w:jc w:val="both"/>
        <w:rPr>
          <w:rFonts w:ascii="Tahoma" w:eastAsia="Times New Roman" w:hAnsi="Tahoma" w:cs="Tahoma"/>
          <w:sz w:val="24"/>
          <w:szCs w:val="24"/>
        </w:rPr>
      </w:pPr>
      <w:r w:rsidRPr="002462E6">
        <w:rPr>
          <w:rFonts w:ascii="Tahoma" w:eastAsia="Times New Roman" w:hAnsi="Tahoma" w:cs="Tahoma"/>
          <w:sz w:val="24"/>
          <w:szCs w:val="24"/>
        </w:rPr>
        <w:t>Ce décret ordonnant la délimitation ainsi qu'un extrait de la requête présentée par l'autorité</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compétente doivent être publiés au moins un mois avant le début des opérations, au bulletin</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officiel. La publicité constitue une étape nécessaire pour informer les riverains qu'un bien fera</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l'objet</w:t>
      </w:r>
      <w:r w:rsidRPr="002462E6">
        <w:rPr>
          <w:rFonts w:ascii="Tahoma" w:eastAsia="Times New Roman" w:hAnsi="Tahoma" w:cs="Tahoma"/>
          <w:spacing w:val="-1"/>
          <w:sz w:val="24"/>
          <w:szCs w:val="24"/>
        </w:rPr>
        <w:t xml:space="preserve"> </w:t>
      </w:r>
      <w:r w:rsidR="00326A33">
        <w:rPr>
          <w:rFonts w:ascii="Tahoma" w:eastAsia="Times New Roman" w:hAnsi="Tahoma" w:cs="Tahoma"/>
          <w:sz w:val="24"/>
          <w:szCs w:val="24"/>
        </w:rPr>
        <w:t>d'une délimitation.</w:t>
      </w:r>
    </w:p>
    <w:p w:rsidR="00326A33" w:rsidRPr="00326A33" w:rsidRDefault="00326A33" w:rsidP="00326A33">
      <w:pPr>
        <w:widowControl w:val="0"/>
        <w:autoSpaceDE w:val="0"/>
        <w:autoSpaceDN w:val="0"/>
        <w:spacing w:before="132" w:after="0" w:line="360" w:lineRule="auto"/>
        <w:jc w:val="both"/>
        <w:rPr>
          <w:rFonts w:ascii="Tahoma" w:eastAsia="Times New Roman" w:hAnsi="Tahoma" w:cs="Tahoma"/>
          <w:sz w:val="6"/>
          <w:szCs w:val="6"/>
        </w:rPr>
      </w:pPr>
    </w:p>
    <w:p w:rsidR="00726EDC" w:rsidRPr="00326A33" w:rsidRDefault="00726EDC" w:rsidP="00326A33">
      <w:pPr>
        <w:widowControl w:val="0"/>
        <w:numPr>
          <w:ilvl w:val="0"/>
          <w:numId w:val="22"/>
        </w:numPr>
        <w:tabs>
          <w:tab w:val="left" w:pos="0"/>
        </w:tabs>
        <w:autoSpaceDE w:val="0"/>
        <w:autoSpaceDN w:val="0"/>
        <w:spacing w:before="163" w:after="0" w:line="240" w:lineRule="auto"/>
        <w:ind w:left="567" w:hanging="283"/>
        <w:contextualSpacing/>
        <w:rPr>
          <w:rFonts w:ascii="Tahoma" w:eastAsia="Times New Roman" w:hAnsi="Tahoma" w:cs="Tahoma"/>
          <w:b/>
          <w:sz w:val="24"/>
          <w:szCs w:val="24"/>
        </w:rPr>
      </w:pPr>
      <w:r w:rsidRPr="002462E6">
        <w:rPr>
          <w:rFonts w:ascii="Tahoma" w:eastAsia="Times New Roman" w:hAnsi="Tahoma" w:cs="Tahoma"/>
          <w:sz w:val="28"/>
          <w:szCs w:val="24"/>
        </w:rPr>
        <w:tab/>
      </w:r>
      <w:r w:rsidRPr="002462E6">
        <w:rPr>
          <w:rFonts w:ascii="Tahoma" w:eastAsia="Times New Roman" w:hAnsi="Tahoma" w:cs="Tahoma"/>
          <w:b/>
          <w:sz w:val="24"/>
          <w:szCs w:val="24"/>
        </w:rPr>
        <w:t>L’Homologation</w:t>
      </w:r>
    </w:p>
    <w:p w:rsidR="00726EDC" w:rsidRPr="002462E6" w:rsidRDefault="00726EDC" w:rsidP="00726EDC">
      <w:pPr>
        <w:widowControl w:val="0"/>
        <w:autoSpaceDE w:val="0"/>
        <w:autoSpaceDN w:val="0"/>
        <w:spacing w:before="131" w:after="0" w:line="360" w:lineRule="auto"/>
        <w:jc w:val="both"/>
        <w:rPr>
          <w:rFonts w:ascii="Tahoma" w:eastAsia="Times New Roman" w:hAnsi="Tahoma" w:cs="Tahoma"/>
          <w:sz w:val="24"/>
        </w:rPr>
      </w:pPr>
      <w:r w:rsidRPr="002462E6">
        <w:rPr>
          <w:rFonts w:ascii="Tahoma" w:eastAsia="Times New Roman" w:hAnsi="Tahoma" w:cs="Tahoma"/>
          <w:sz w:val="24"/>
        </w:rPr>
        <w:t>Aux termes de l'article 8 des Dahirs du 03.01.1916 et 18.02.1924, l'homologation prononcée par</w:t>
      </w:r>
      <w:r w:rsidRPr="002462E6">
        <w:rPr>
          <w:rFonts w:ascii="Tahoma" w:eastAsia="Times New Roman" w:hAnsi="Tahoma" w:cs="Tahoma"/>
          <w:spacing w:val="1"/>
          <w:sz w:val="24"/>
        </w:rPr>
        <w:t xml:space="preserve"> </w:t>
      </w:r>
      <w:r w:rsidRPr="002462E6">
        <w:rPr>
          <w:rFonts w:ascii="Tahoma" w:eastAsia="Times New Roman" w:hAnsi="Tahoma" w:cs="Tahoma"/>
          <w:sz w:val="24"/>
        </w:rPr>
        <w:t xml:space="preserve">décret et publiée au B.O </w:t>
      </w:r>
      <w:r w:rsidRPr="002462E6">
        <w:rPr>
          <w:rFonts w:ascii="Tahoma" w:eastAsia="Times New Roman" w:hAnsi="Tahoma" w:cs="Tahoma"/>
          <w:b/>
          <w:i/>
          <w:sz w:val="24"/>
        </w:rPr>
        <w:t>"fixe d'une manière irrévocable la consistance matérielle et l'état</w:t>
      </w:r>
      <w:r w:rsidRPr="002462E6">
        <w:rPr>
          <w:rFonts w:ascii="Tahoma" w:eastAsia="Times New Roman" w:hAnsi="Tahoma" w:cs="Tahoma"/>
          <w:b/>
          <w:i/>
          <w:spacing w:val="1"/>
          <w:sz w:val="24"/>
        </w:rPr>
        <w:t xml:space="preserve"> </w:t>
      </w:r>
      <w:r w:rsidRPr="002462E6">
        <w:rPr>
          <w:rFonts w:ascii="Tahoma" w:eastAsia="Times New Roman" w:hAnsi="Tahoma" w:cs="Tahoma"/>
          <w:b/>
          <w:i/>
          <w:sz w:val="24"/>
        </w:rPr>
        <w:t xml:space="preserve">juridique de l'immeuble délimité". </w:t>
      </w:r>
      <w:r w:rsidRPr="002462E6">
        <w:rPr>
          <w:rFonts w:ascii="Tahoma" w:eastAsia="Times New Roman" w:hAnsi="Tahoma" w:cs="Tahoma"/>
          <w:sz w:val="24"/>
        </w:rPr>
        <w:t>En effet, la publication de l'acte d'homologation au B.O</w:t>
      </w:r>
      <w:r w:rsidRPr="002462E6">
        <w:rPr>
          <w:rFonts w:ascii="Tahoma" w:eastAsia="Times New Roman" w:hAnsi="Tahoma" w:cs="Tahoma"/>
          <w:spacing w:val="1"/>
          <w:sz w:val="24"/>
        </w:rPr>
        <w:t xml:space="preserve"> </w:t>
      </w:r>
      <w:r w:rsidRPr="002462E6">
        <w:rPr>
          <w:rFonts w:ascii="Tahoma" w:eastAsia="Times New Roman" w:hAnsi="Tahoma" w:cs="Tahoma"/>
          <w:sz w:val="24"/>
        </w:rPr>
        <w:t xml:space="preserve">entraîne la </w:t>
      </w:r>
      <w:r w:rsidRPr="002462E6">
        <w:rPr>
          <w:rFonts w:ascii="Tahoma" w:eastAsia="Times New Roman" w:hAnsi="Tahoma" w:cs="Tahoma"/>
          <w:b/>
          <w:i/>
          <w:sz w:val="24"/>
        </w:rPr>
        <w:t xml:space="preserve">purge de tous les droits antérieurs </w:t>
      </w:r>
      <w:r w:rsidRPr="002462E6">
        <w:rPr>
          <w:rFonts w:ascii="Tahoma" w:eastAsia="Times New Roman" w:hAnsi="Tahoma" w:cs="Tahoma"/>
          <w:sz w:val="24"/>
        </w:rPr>
        <w:t>existants sur cet immeuble et fixe d'une manière</w:t>
      </w:r>
      <w:r w:rsidRPr="002462E6">
        <w:rPr>
          <w:rFonts w:ascii="Tahoma" w:eastAsia="Times New Roman" w:hAnsi="Tahoma" w:cs="Tahoma"/>
          <w:spacing w:val="1"/>
          <w:sz w:val="24"/>
        </w:rPr>
        <w:t xml:space="preserve"> </w:t>
      </w:r>
      <w:r w:rsidRPr="002462E6">
        <w:rPr>
          <w:rFonts w:ascii="Tahoma" w:eastAsia="Times New Roman" w:hAnsi="Tahoma" w:cs="Tahoma"/>
          <w:b/>
          <w:i/>
          <w:sz w:val="24"/>
        </w:rPr>
        <w:t>irrévocable l'assiette foncière de l'immeuble délimité</w:t>
      </w:r>
      <w:r w:rsidRPr="002462E6">
        <w:rPr>
          <w:rFonts w:ascii="Tahoma" w:eastAsia="Times New Roman" w:hAnsi="Tahoma" w:cs="Tahoma"/>
          <w:sz w:val="24"/>
        </w:rPr>
        <w:t>.</w:t>
      </w:r>
    </w:p>
    <w:p w:rsidR="00726EDC" w:rsidRPr="002462E6" w:rsidRDefault="00726EDC" w:rsidP="00726EDC">
      <w:pPr>
        <w:widowControl w:val="0"/>
        <w:autoSpaceDE w:val="0"/>
        <w:autoSpaceDN w:val="0"/>
        <w:spacing w:before="161" w:after="0" w:line="360" w:lineRule="auto"/>
        <w:jc w:val="both"/>
        <w:rPr>
          <w:rFonts w:ascii="Tahoma" w:eastAsia="Times New Roman" w:hAnsi="Tahoma" w:cs="Tahoma"/>
          <w:sz w:val="24"/>
          <w:szCs w:val="24"/>
        </w:rPr>
      </w:pPr>
      <w:r w:rsidRPr="002462E6">
        <w:rPr>
          <w:rFonts w:ascii="Tahoma" w:eastAsia="Times New Roman" w:hAnsi="Tahoma" w:cs="Tahoma"/>
          <w:sz w:val="24"/>
          <w:szCs w:val="24"/>
        </w:rPr>
        <w:t>Ainsi,</w:t>
      </w:r>
      <w:r w:rsidRPr="002462E6">
        <w:rPr>
          <w:rFonts w:ascii="Tahoma" w:eastAsia="Times New Roman" w:hAnsi="Tahoma" w:cs="Tahoma"/>
          <w:spacing w:val="-4"/>
          <w:sz w:val="24"/>
          <w:szCs w:val="24"/>
        </w:rPr>
        <w:t xml:space="preserve"> </w:t>
      </w:r>
      <w:r w:rsidRPr="002462E6">
        <w:rPr>
          <w:rFonts w:ascii="Tahoma" w:eastAsia="Times New Roman" w:hAnsi="Tahoma" w:cs="Tahoma"/>
          <w:sz w:val="24"/>
          <w:szCs w:val="24"/>
        </w:rPr>
        <w:t>la</w:t>
      </w:r>
      <w:r w:rsidRPr="002462E6">
        <w:rPr>
          <w:rFonts w:ascii="Tahoma" w:eastAsia="Times New Roman" w:hAnsi="Tahoma" w:cs="Tahoma"/>
          <w:spacing w:val="-3"/>
          <w:sz w:val="24"/>
          <w:szCs w:val="24"/>
        </w:rPr>
        <w:t xml:space="preserve"> </w:t>
      </w:r>
      <w:r w:rsidRPr="002462E6">
        <w:rPr>
          <w:rFonts w:ascii="Tahoma" w:eastAsia="Times New Roman" w:hAnsi="Tahoma" w:cs="Tahoma"/>
          <w:sz w:val="24"/>
          <w:szCs w:val="24"/>
        </w:rPr>
        <w:t>date</w:t>
      </w:r>
      <w:r w:rsidRPr="002462E6">
        <w:rPr>
          <w:rFonts w:ascii="Tahoma" w:eastAsia="Times New Roman" w:hAnsi="Tahoma" w:cs="Tahoma"/>
          <w:spacing w:val="-2"/>
          <w:sz w:val="24"/>
          <w:szCs w:val="24"/>
        </w:rPr>
        <w:t xml:space="preserve"> </w:t>
      </w:r>
      <w:r w:rsidRPr="002462E6">
        <w:rPr>
          <w:rFonts w:ascii="Tahoma" w:eastAsia="Times New Roman" w:hAnsi="Tahoma" w:cs="Tahoma"/>
          <w:sz w:val="24"/>
          <w:szCs w:val="24"/>
        </w:rPr>
        <w:t>d'homologation</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détermine</w:t>
      </w:r>
      <w:r w:rsidRPr="002462E6">
        <w:rPr>
          <w:rFonts w:ascii="Tahoma" w:eastAsia="Times New Roman" w:hAnsi="Tahoma" w:cs="Tahoma"/>
          <w:spacing w:val="-2"/>
          <w:sz w:val="24"/>
          <w:szCs w:val="24"/>
        </w:rPr>
        <w:t xml:space="preserve"> </w:t>
      </w:r>
      <w:r w:rsidRPr="002462E6">
        <w:rPr>
          <w:rFonts w:ascii="Tahoma" w:eastAsia="Times New Roman" w:hAnsi="Tahoma" w:cs="Tahoma"/>
          <w:sz w:val="24"/>
          <w:szCs w:val="24"/>
        </w:rPr>
        <w:t>la</w:t>
      </w:r>
      <w:r w:rsidRPr="002462E6">
        <w:rPr>
          <w:rFonts w:ascii="Tahoma" w:eastAsia="Times New Roman" w:hAnsi="Tahoma" w:cs="Tahoma"/>
          <w:spacing w:val="-2"/>
          <w:sz w:val="24"/>
          <w:szCs w:val="24"/>
        </w:rPr>
        <w:t xml:space="preserve"> </w:t>
      </w:r>
      <w:r w:rsidRPr="002462E6">
        <w:rPr>
          <w:rFonts w:ascii="Tahoma" w:eastAsia="Times New Roman" w:hAnsi="Tahoma" w:cs="Tahoma"/>
          <w:sz w:val="24"/>
          <w:szCs w:val="24"/>
        </w:rPr>
        <w:t>consistance</w:t>
      </w:r>
      <w:r w:rsidRPr="002462E6">
        <w:rPr>
          <w:rFonts w:ascii="Tahoma" w:eastAsia="Times New Roman" w:hAnsi="Tahoma" w:cs="Tahoma"/>
          <w:spacing w:val="-5"/>
          <w:sz w:val="24"/>
          <w:szCs w:val="24"/>
        </w:rPr>
        <w:t xml:space="preserve"> </w:t>
      </w:r>
      <w:r w:rsidRPr="002462E6">
        <w:rPr>
          <w:rFonts w:ascii="Tahoma" w:eastAsia="Times New Roman" w:hAnsi="Tahoma" w:cs="Tahoma"/>
          <w:sz w:val="24"/>
          <w:szCs w:val="24"/>
        </w:rPr>
        <w:t>matérielle</w:t>
      </w:r>
      <w:r w:rsidRPr="002462E6">
        <w:rPr>
          <w:rFonts w:ascii="Tahoma" w:eastAsia="Times New Roman" w:hAnsi="Tahoma" w:cs="Tahoma"/>
          <w:spacing w:val="-4"/>
          <w:sz w:val="24"/>
          <w:szCs w:val="24"/>
        </w:rPr>
        <w:t xml:space="preserve"> </w:t>
      </w:r>
      <w:r w:rsidRPr="002462E6">
        <w:rPr>
          <w:rFonts w:ascii="Tahoma" w:eastAsia="Times New Roman" w:hAnsi="Tahoma" w:cs="Tahoma"/>
          <w:sz w:val="24"/>
          <w:szCs w:val="24"/>
        </w:rPr>
        <w:t>et</w:t>
      </w:r>
      <w:r w:rsidRPr="002462E6">
        <w:rPr>
          <w:rFonts w:ascii="Tahoma" w:eastAsia="Times New Roman" w:hAnsi="Tahoma" w:cs="Tahoma"/>
          <w:spacing w:val="-2"/>
          <w:sz w:val="24"/>
          <w:szCs w:val="24"/>
        </w:rPr>
        <w:t xml:space="preserve"> </w:t>
      </w:r>
      <w:r w:rsidRPr="002462E6">
        <w:rPr>
          <w:rFonts w:ascii="Tahoma" w:eastAsia="Times New Roman" w:hAnsi="Tahoma" w:cs="Tahoma"/>
          <w:sz w:val="24"/>
          <w:szCs w:val="24"/>
        </w:rPr>
        <w:t>l'état</w:t>
      </w:r>
      <w:r w:rsidRPr="002462E6">
        <w:rPr>
          <w:rFonts w:ascii="Tahoma" w:eastAsia="Times New Roman" w:hAnsi="Tahoma" w:cs="Tahoma"/>
          <w:spacing w:val="-2"/>
          <w:sz w:val="24"/>
          <w:szCs w:val="24"/>
        </w:rPr>
        <w:t xml:space="preserve"> </w:t>
      </w:r>
      <w:r w:rsidRPr="002462E6">
        <w:rPr>
          <w:rFonts w:ascii="Tahoma" w:eastAsia="Times New Roman" w:hAnsi="Tahoma" w:cs="Tahoma"/>
          <w:sz w:val="24"/>
          <w:szCs w:val="24"/>
        </w:rPr>
        <w:t>juridique</w:t>
      </w:r>
      <w:r w:rsidRPr="002462E6">
        <w:rPr>
          <w:rFonts w:ascii="Tahoma" w:eastAsia="Times New Roman" w:hAnsi="Tahoma" w:cs="Tahoma"/>
          <w:spacing w:val="-2"/>
          <w:sz w:val="24"/>
          <w:szCs w:val="24"/>
        </w:rPr>
        <w:t xml:space="preserve"> </w:t>
      </w:r>
      <w:r w:rsidRPr="002462E6">
        <w:rPr>
          <w:rFonts w:ascii="Tahoma" w:eastAsia="Times New Roman" w:hAnsi="Tahoma" w:cs="Tahoma"/>
          <w:sz w:val="24"/>
          <w:szCs w:val="24"/>
        </w:rPr>
        <w:t>de</w:t>
      </w:r>
      <w:r w:rsidRPr="002462E6">
        <w:rPr>
          <w:rFonts w:ascii="Tahoma" w:eastAsia="Times New Roman" w:hAnsi="Tahoma" w:cs="Tahoma"/>
          <w:spacing w:val="-2"/>
          <w:sz w:val="24"/>
          <w:szCs w:val="24"/>
        </w:rPr>
        <w:t xml:space="preserve"> </w:t>
      </w:r>
      <w:r w:rsidRPr="002462E6">
        <w:rPr>
          <w:rFonts w:ascii="Tahoma" w:eastAsia="Times New Roman" w:hAnsi="Tahoma" w:cs="Tahoma"/>
          <w:sz w:val="24"/>
          <w:szCs w:val="24"/>
        </w:rPr>
        <w:t>l'immeuble,</w:t>
      </w:r>
      <w:r w:rsidRPr="002462E6">
        <w:rPr>
          <w:rFonts w:ascii="Tahoma" w:eastAsia="Times New Roman" w:hAnsi="Tahoma" w:cs="Tahoma"/>
          <w:spacing w:val="-58"/>
          <w:sz w:val="24"/>
          <w:szCs w:val="24"/>
        </w:rPr>
        <w:t xml:space="preserve"> </w:t>
      </w:r>
      <w:r w:rsidRPr="002462E6">
        <w:rPr>
          <w:rFonts w:ascii="Tahoma" w:eastAsia="Times New Roman" w:hAnsi="Tahoma" w:cs="Tahoma"/>
          <w:sz w:val="24"/>
          <w:szCs w:val="24"/>
        </w:rPr>
        <w:t>donne un effet légal à la procédure de délimitation administrative et reconnaît définitivement le</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droit de propriété à l'entité propriétaire. Outre ces garanties qu'offre la délimitation administrative</w:t>
      </w:r>
      <w:r w:rsidRPr="002462E6">
        <w:rPr>
          <w:rFonts w:ascii="Tahoma" w:eastAsia="Times New Roman" w:hAnsi="Tahoma" w:cs="Tahoma"/>
          <w:spacing w:val="-57"/>
          <w:sz w:val="24"/>
          <w:szCs w:val="24"/>
        </w:rPr>
        <w:t xml:space="preserve"> </w:t>
      </w:r>
      <w:r w:rsidRPr="002462E6">
        <w:rPr>
          <w:rFonts w:ascii="Tahoma" w:eastAsia="Times New Roman" w:hAnsi="Tahoma" w:cs="Tahoma"/>
          <w:sz w:val="24"/>
          <w:szCs w:val="24"/>
        </w:rPr>
        <w:t>à l'administration intéressée, le législateur permet à cette dernière de recourir à l'immatriculation</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pour obtenir un titre foncier.</w:t>
      </w:r>
    </w:p>
    <w:p w:rsidR="00726EDC" w:rsidRPr="002462E6" w:rsidRDefault="00726EDC" w:rsidP="00726EDC">
      <w:pPr>
        <w:widowControl w:val="0"/>
        <w:autoSpaceDE w:val="0"/>
        <w:autoSpaceDN w:val="0"/>
        <w:spacing w:before="11" w:after="0" w:line="240" w:lineRule="auto"/>
        <w:rPr>
          <w:rFonts w:ascii="Tahoma" w:eastAsia="Times New Roman" w:hAnsi="Tahoma" w:cs="Tahoma"/>
          <w:szCs w:val="24"/>
        </w:rPr>
      </w:pPr>
    </w:p>
    <w:p w:rsidR="00726EDC" w:rsidRDefault="00726EDC" w:rsidP="00326A33">
      <w:pPr>
        <w:widowControl w:val="0"/>
        <w:numPr>
          <w:ilvl w:val="0"/>
          <w:numId w:val="23"/>
        </w:numPr>
        <w:tabs>
          <w:tab w:val="left" w:pos="0"/>
        </w:tabs>
        <w:autoSpaceDE w:val="0"/>
        <w:autoSpaceDN w:val="0"/>
        <w:spacing w:after="0" w:line="240" w:lineRule="auto"/>
        <w:ind w:left="426" w:hanging="142"/>
        <w:contextualSpacing/>
        <w:rPr>
          <w:rFonts w:ascii="Tahoma" w:eastAsia="Times New Roman" w:hAnsi="Tahoma" w:cs="Tahoma"/>
          <w:b/>
        </w:rPr>
      </w:pPr>
      <w:r w:rsidRPr="002462E6">
        <w:rPr>
          <w:rFonts w:ascii="Tahoma" w:eastAsia="Times New Roman" w:hAnsi="Tahoma" w:cs="Tahoma"/>
          <w:sz w:val="24"/>
        </w:rPr>
        <w:tab/>
      </w:r>
      <w:r w:rsidRPr="002462E6">
        <w:rPr>
          <w:rFonts w:ascii="Tahoma" w:eastAsia="Times New Roman" w:hAnsi="Tahoma" w:cs="Tahoma"/>
          <w:b/>
        </w:rPr>
        <w:t>L'immatriculation</w:t>
      </w:r>
      <w:r w:rsidRPr="002462E6">
        <w:rPr>
          <w:rFonts w:ascii="Tahoma" w:eastAsia="Times New Roman" w:hAnsi="Tahoma" w:cs="Tahoma"/>
          <w:b/>
          <w:spacing w:val="1"/>
        </w:rPr>
        <w:t xml:space="preserve"> </w:t>
      </w:r>
      <w:r w:rsidRPr="002462E6">
        <w:rPr>
          <w:rFonts w:ascii="Tahoma" w:eastAsia="Times New Roman" w:hAnsi="Tahoma" w:cs="Tahoma"/>
          <w:b/>
        </w:rPr>
        <w:t>d'une</w:t>
      </w:r>
      <w:r w:rsidRPr="002462E6">
        <w:rPr>
          <w:rFonts w:ascii="Tahoma" w:eastAsia="Times New Roman" w:hAnsi="Tahoma" w:cs="Tahoma"/>
          <w:b/>
          <w:spacing w:val="-2"/>
        </w:rPr>
        <w:t xml:space="preserve"> </w:t>
      </w:r>
      <w:r w:rsidRPr="002462E6">
        <w:rPr>
          <w:rFonts w:ascii="Tahoma" w:eastAsia="Times New Roman" w:hAnsi="Tahoma" w:cs="Tahoma"/>
          <w:b/>
        </w:rPr>
        <w:t>propriété</w:t>
      </w:r>
      <w:r w:rsidRPr="002462E6">
        <w:rPr>
          <w:rFonts w:ascii="Tahoma" w:eastAsia="Times New Roman" w:hAnsi="Tahoma" w:cs="Tahoma"/>
          <w:b/>
          <w:spacing w:val="-1"/>
        </w:rPr>
        <w:t xml:space="preserve"> </w:t>
      </w:r>
      <w:r w:rsidRPr="002462E6">
        <w:rPr>
          <w:rFonts w:ascii="Tahoma" w:eastAsia="Times New Roman" w:hAnsi="Tahoma" w:cs="Tahoma"/>
          <w:b/>
        </w:rPr>
        <w:t>délimitée</w:t>
      </w:r>
    </w:p>
    <w:p w:rsidR="00326A33" w:rsidRPr="00326A33" w:rsidRDefault="00326A33" w:rsidP="00326A33">
      <w:pPr>
        <w:widowControl w:val="0"/>
        <w:tabs>
          <w:tab w:val="left" w:pos="0"/>
        </w:tabs>
        <w:autoSpaceDE w:val="0"/>
        <w:autoSpaceDN w:val="0"/>
        <w:spacing w:after="0" w:line="240" w:lineRule="auto"/>
        <w:ind w:left="426"/>
        <w:contextualSpacing/>
        <w:rPr>
          <w:rFonts w:ascii="Tahoma" w:eastAsia="Times New Roman" w:hAnsi="Tahoma" w:cs="Tahoma"/>
          <w:b/>
        </w:rPr>
      </w:pPr>
    </w:p>
    <w:p w:rsidR="00726EDC" w:rsidRPr="002462E6" w:rsidRDefault="00726EDC" w:rsidP="00726EDC">
      <w:pPr>
        <w:widowControl w:val="0"/>
        <w:autoSpaceDE w:val="0"/>
        <w:autoSpaceDN w:val="0"/>
        <w:spacing w:after="0" w:line="360" w:lineRule="auto"/>
        <w:jc w:val="both"/>
        <w:rPr>
          <w:rFonts w:ascii="Times New Roman" w:eastAsia="Times New Roman" w:hAnsi="Times New Roman" w:cs="Times New Roman"/>
          <w:sz w:val="24"/>
          <w:szCs w:val="24"/>
        </w:rPr>
      </w:pPr>
      <w:r w:rsidRPr="002462E6">
        <w:rPr>
          <w:rFonts w:ascii="Tahoma" w:eastAsia="Times New Roman" w:hAnsi="Tahoma" w:cs="Tahoma"/>
          <w:sz w:val="24"/>
          <w:szCs w:val="24"/>
        </w:rPr>
        <w:t>Après l'homologation de la délimitation administrative, l'administration intéressée peut recourir à</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l'immatriculation</w:t>
      </w:r>
      <w:r w:rsidRPr="002462E6">
        <w:rPr>
          <w:rFonts w:ascii="Tahoma" w:eastAsia="Times New Roman" w:hAnsi="Tahoma" w:cs="Tahoma"/>
          <w:spacing w:val="-12"/>
          <w:sz w:val="24"/>
          <w:szCs w:val="24"/>
        </w:rPr>
        <w:t xml:space="preserve"> </w:t>
      </w:r>
      <w:r w:rsidRPr="002462E6">
        <w:rPr>
          <w:rFonts w:ascii="Tahoma" w:eastAsia="Times New Roman" w:hAnsi="Tahoma" w:cs="Tahoma"/>
          <w:sz w:val="24"/>
          <w:szCs w:val="24"/>
        </w:rPr>
        <w:t>pour</w:t>
      </w:r>
      <w:r w:rsidRPr="002462E6">
        <w:rPr>
          <w:rFonts w:ascii="Tahoma" w:eastAsia="Times New Roman" w:hAnsi="Tahoma" w:cs="Tahoma"/>
          <w:spacing w:val="-12"/>
          <w:sz w:val="24"/>
          <w:szCs w:val="24"/>
        </w:rPr>
        <w:t xml:space="preserve"> </w:t>
      </w:r>
      <w:r w:rsidRPr="002462E6">
        <w:rPr>
          <w:rFonts w:ascii="Tahoma" w:eastAsia="Times New Roman" w:hAnsi="Tahoma" w:cs="Tahoma"/>
          <w:sz w:val="24"/>
          <w:szCs w:val="24"/>
        </w:rPr>
        <w:t>obtenir</w:t>
      </w:r>
      <w:r w:rsidRPr="002462E6">
        <w:rPr>
          <w:rFonts w:ascii="Tahoma" w:eastAsia="Times New Roman" w:hAnsi="Tahoma" w:cs="Tahoma"/>
          <w:spacing w:val="-13"/>
          <w:sz w:val="24"/>
          <w:szCs w:val="24"/>
        </w:rPr>
        <w:t xml:space="preserve"> </w:t>
      </w:r>
      <w:r w:rsidRPr="002462E6">
        <w:rPr>
          <w:rFonts w:ascii="Tahoma" w:eastAsia="Times New Roman" w:hAnsi="Tahoma" w:cs="Tahoma"/>
          <w:sz w:val="24"/>
          <w:szCs w:val="24"/>
        </w:rPr>
        <w:t>un</w:t>
      </w:r>
      <w:r w:rsidRPr="002462E6">
        <w:rPr>
          <w:rFonts w:ascii="Tahoma" w:eastAsia="Times New Roman" w:hAnsi="Tahoma" w:cs="Tahoma"/>
          <w:spacing w:val="-12"/>
          <w:sz w:val="24"/>
          <w:szCs w:val="24"/>
        </w:rPr>
        <w:t xml:space="preserve"> </w:t>
      </w:r>
      <w:r w:rsidRPr="002462E6">
        <w:rPr>
          <w:rFonts w:ascii="Tahoma" w:eastAsia="Times New Roman" w:hAnsi="Tahoma" w:cs="Tahoma"/>
          <w:sz w:val="24"/>
          <w:szCs w:val="24"/>
        </w:rPr>
        <w:t>titre</w:t>
      </w:r>
      <w:r w:rsidRPr="002462E6">
        <w:rPr>
          <w:rFonts w:ascii="Tahoma" w:eastAsia="Times New Roman" w:hAnsi="Tahoma" w:cs="Tahoma"/>
          <w:spacing w:val="-14"/>
          <w:sz w:val="24"/>
          <w:szCs w:val="24"/>
        </w:rPr>
        <w:t xml:space="preserve"> </w:t>
      </w:r>
      <w:r w:rsidRPr="002462E6">
        <w:rPr>
          <w:rFonts w:ascii="Tahoma" w:eastAsia="Times New Roman" w:hAnsi="Tahoma" w:cs="Tahoma"/>
          <w:sz w:val="24"/>
          <w:szCs w:val="24"/>
        </w:rPr>
        <w:t>foncier</w:t>
      </w:r>
      <w:r w:rsidRPr="002462E6">
        <w:rPr>
          <w:rFonts w:ascii="Tahoma" w:eastAsia="Times New Roman" w:hAnsi="Tahoma" w:cs="Tahoma"/>
          <w:spacing w:val="-12"/>
          <w:sz w:val="24"/>
          <w:szCs w:val="24"/>
        </w:rPr>
        <w:t xml:space="preserve"> </w:t>
      </w:r>
      <w:r w:rsidRPr="002462E6">
        <w:rPr>
          <w:rFonts w:ascii="Tahoma" w:eastAsia="Times New Roman" w:hAnsi="Tahoma" w:cs="Tahoma"/>
          <w:sz w:val="24"/>
          <w:szCs w:val="24"/>
        </w:rPr>
        <w:t>de</w:t>
      </w:r>
      <w:r w:rsidRPr="002462E6">
        <w:rPr>
          <w:rFonts w:ascii="Tahoma" w:eastAsia="Times New Roman" w:hAnsi="Tahoma" w:cs="Tahoma"/>
          <w:spacing w:val="-11"/>
          <w:sz w:val="24"/>
          <w:szCs w:val="24"/>
        </w:rPr>
        <w:t xml:space="preserve"> </w:t>
      </w:r>
      <w:r w:rsidRPr="002462E6">
        <w:rPr>
          <w:rFonts w:ascii="Tahoma" w:eastAsia="Times New Roman" w:hAnsi="Tahoma" w:cs="Tahoma"/>
          <w:sz w:val="24"/>
          <w:szCs w:val="24"/>
        </w:rPr>
        <w:t>propriété.</w:t>
      </w:r>
      <w:r w:rsidRPr="002462E6">
        <w:rPr>
          <w:rFonts w:ascii="Tahoma" w:eastAsia="Times New Roman" w:hAnsi="Tahoma" w:cs="Tahoma"/>
          <w:spacing w:val="-14"/>
          <w:sz w:val="24"/>
          <w:szCs w:val="24"/>
        </w:rPr>
        <w:t xml:space="preserve"> </w:t>
      </w:r>
      <w:r w:rsidRPr="002462E6">
        <w:rPr>
          <w:rFonts w:ascii="Tahoma" w:eastAsia="Times New Roman" w:hAnsi="Tahoma" w:cs="Tahoma"/>
          <w:sz w:val="24"/>
          <w:szCs w:val="24"/>
        </w:rPr>
        <w:t>En</w:t>
      </w:r>
      <w:r w:rsidRPr="002462E6">
        <w:rPr>
          <w:rFonts w:ascii="Tahoma" w:eastAsia="Times New Roman" w:hAnsi="Tahoma" w:cs="Tahoma"/>
          <w:spacing w:val="-13"/>
          <w:sz w:val="24"/>
          <w:szCs w:val="24"/>
        </w:rPr>
        <w:t xml:space="preserve"> </w:t>
      </w:r>
      <w:r w:rsidRPr="002462E6">
        <w:rPr>
          <w:rFonts w:ascii="Tahoma" w:eastAsia="Times New Roman" w:hAnsi="Tahoma" w:cs="Tahoma"/>
          <w:sz w:val="24"/>
          <w:szCs w:val="24"/>
        </w:rPr>
        <w:t>effet,</w:t>
      </w:r>
      <w:r w:rsidRPr="002462E6">
        <w:rPr>
          <w:rFonts w:ascii="Tahoma" w:eastAsia="Times New Roman" w:hAnsi="Tahoma" w:cs="Tahoma"/>
          <w:spacing w:val="-10"/>
          <w:sz w:val="24"/>
          <w:szCs w:val="24"/>
        </w:rPr>
        <w:t xml:space="preserve"> </w:t>
      </w:r>
      <w:r w:rsidRPr="002462E6">
        <w:rPr>
          <w:rFonts w:ascii="Tahoma" w:eastAsia="Times New Roman" w:hAnsi="Tahoma" w:cs="Tahoma"/>
          <w:sz w:val="24"/>
          <w:szCs w:val="24"/>
        </w:rPr>
        <w:t>le</w:t>
      </w:r>
      <w:r w:rsidRPr="002462E6">
        <w:rPr>
          <w:rFonts w:ascii="Tahoma" w:eastAsia="Times New Roman" w:hAnsi="Tahoma" w:cs="Tahoma"/>
          <w:spacing w:val="-12"/>
          <w:sz w:val="24"/>
          <w:szCs w:val="24"/>
        </w:rPr>
        <w:t xml:space="preserve"> </w:t>
      </w:r>
      <w:r w:rsidRPr="002462E6">
        <w:rPr>
          <w:rFonts w:ascii="Tahoma" w:eastAsia="Times New Roman" w:hAnsi="Tahoma" w:cs="Tahoma"/>
          <w:sz w:val="24"/>
          <w:szCs w:val="24"/>
        </w:rPr>
        <w:t>Dahir</w:t>
      </w:r>
      <w:r w:rsidRPr="002462E6">
        <w:rPr>
          <w:rFonts w:ascii="Tahoma" w:eastAsia="Times New Roman" w:hAnsi="Tahoma" w:cs="Tahoma"/>
          <w:spacing w:val="-13"/>
          <w:sz w:val="24"/>
          <w:szCs w:val="24"/>
        </w:rPr>
        <w:t xml:space="preserve"> </w:t>
      </w:r>
      <w:r w:rsidRPr="002462E6">
        <w:rPr>
          <w:rFonts w:ascii="Tahoma" w:eastAsia="Times New Roman" w:hAnsi="Tahoma" w:cs="Tahoma"/>
          <w:sz w:val="24"/>
          <w:szCs w:val="24"/>
        </w:rPr>
        <w:t>du</w:t>
      </w:r>
      <w:r w:rsidRPr="002462E6">
        <w:rPr>
          <w:rFonts w:ascii="Tahoma" w:eastAsia="Times New Roman" w:hAnsi="Tahoma" w:cs="Tahoma"/>
          <w:spacing w:val="-11"/>
          <w:sz w:val="24"/>
          <w:szCs w:val="24"/>
        </w:rPr>
        <w:t xml:space="preserve"> </w:t>
      </w:r>
      <w:r w:rsidRPr="002462E6">
        <w:rPr>
          <w:rFonts w:ascii="Tahoma" w:eastAsia="Times New Roman" w:hAnsi="Tahoma" w:cs="Tahoma"/>
          <w:sz w:val="24"/>
          <w:szCs w:val="24"/>
        </w:rPr>
        <w:t>24</w:t>
      </w:r>
      <w:r w:rsidRPr="002462E6">
        <w:rPr>
          <w:rFonts w:ascii="Tahoma" w:eastAsia="Times New Roman" w:hAnsi="Tahoma" w:cs="Tahoma"/>
          <w:spacing w:val="-12"/>
          <w:sz w:val="24"/>
          <w:szCs w:val="24"/>
        </w:rPr>
        <w:t xml:space="preserve"> </w:t>
      </w:r>
      <w:r w:rsidRPr="002462E6">
        <w:rPr>
          <w:rFonts w:ascii="Tahoma" w:eastAsia="Times New Roman" w:hAnsi="Tahoma" w:cs="Tahoma"/>
          <w:sz w:val="24"/>
          <w:szCs w:val="24"/>
        </w:rPr>
        <w:t>Mai</w:t>
      </w:r>
      <w:r w:rsidRPr="002462E6">
        <w:rPr>
          <w:rFonts w:ascii="Tahoma" w:eastAsia="Times New Roman" w:hAnsi="Tahoma" w:cs="Tahoma"/>
          <w:spacing w:val="-13"/>
          <w:sz w:val="24"/>
          <w:szCs w:val="24"/>
        </w:rPr>
        <w:t xml:space="preserve"> </w:t>
      </w:r>
      <w:r w:rsidRPr="002462E6">
        <w:rPr>
          <w:rFonts w:ascii="Tahoma" w:eastAsia="Times New Roman" w:hAnsi="Tahoma" w:cs="Tahoma"/>
          <w:sz w:val="24"/>
          <w:szCs w:val="24"/>
        </w:rPr>
        <w:t>1922</w:t>
      </w:r>
      <w:r w:rsidRPr="002462E6">
        <w:rPr>
          <w:rFonts w:ascii="Tahoma" w:eastAsia="Times New Roman" w:hAnsi="Tahoma" w:cs="Tahoma"/>
          <w:spacing w:val="-11"/>
          <w:sz w:val="24"/>
          <w:szCs w:val="24"/>
        </w:rPr>
        <w:t xml:space="preserve"> </w:t>
      </w:r>
      <w:r w:rsidRPr="002462E6">
        <w:rPr>
          <w:rFonts w:ascii="Tahoma" w:eastAsia="Times New Roman" w:hAnsi="Tahoma" w:cs="Tahoma"/>
          <w:sz w:val="24"/>
          <w:szCs w:val="24"/>
        </w:rPr>
        <w:t>relatif</w:t>
      </w:r>
      <w:r w:rsidRPr="002462E6">
        <w:rPr>
          <w:rFonts w:ascii="Tahoma" w:eastAsia="Times New Roman" w:hAnsi="Tahoma" w:cs="Tahoma"/>
          <w:spacing w:val="-58"/>
          <w:sz w:val="24"/>
          <w:szCs w:val="24"/>
        </w:rPr>
        <w:t xml:space="preserve"> </w:t>
      </w:r>
      <w:r w:rsidRPr="002462E6">
        <w:rPr>
          <w:rFonts w:ascii="Tahoma" w:eastAsia="Times New Roman" w:hAnsi="Tahoma" w:cs="Tahoma"/>
          <w:sz w:val="24"/>
          <w:szCs w:val="24"/>
        </w:rPr>
        <w:t>à</w:t>
      </w:r>
      <w:r w:rsidRPr="002462E6">
        <w:rPr>
          <w:rFonts w:ascii="Tahoma" w:eastAsia="Times New Roman" w:hAnsi="Tahoma" w:cs="Tahoma"/>
          <w:spacing w:val="-12"/>
          <w:sz w:val="24"/>
          <w:szCs w:val="24"/>
        </w:rPr>
        <w:t xml:space="preserve"> </w:t>
      </w:r>
      <w:r w:rsidRPr="002462E6">
        <w:rPr>
          <w:rFonts w:ascii="Tahoma" w:eastAsia="Times New Roman" w:hAnsi="Tahoma" w:cs="Tahoma"/>
          <w:sz w:val="24"/>
          <w:szCs w:val="24"/>
        </w:rPr>
        <w:t>l'immatriculation</w:t>
      </w:r>
      <w:r w:rsidRPr="002462E6">
        <w:rPr>
          <w:rFonts w:ascii="Tahoma" w:eastAsia="Times New Roman" w:hAnsi="Tahoma" w:cs="Tahoma"/>
          <w:spacing w:val="-11"/>
          <w:sz w:val="24"/>
          <w:szCs w:val="24"/>
        </w:rPr>
        <w:t xml:space="preserve"> </w:t>
      </w:r>
      <w:r w:rsidRPr="002462E6">
        <w:rPr>
          <w:rFonts w:ascii="Tahoma" w:eastAsia="Times New Roman" w:hAnsi="Tahoma" w:cs="Tahoma"/>
          <w:sz w:val="24"/>
          <w:szCs w:val="24"/>
        </w:rPr>
        <w:t>des</w:t>
      </w:r>
      <w:r w:rsidRPr="002462E6">
        <w:rPr>
          <w:rFonts w:ascii="Tahoma" w:eastAsia="Times New Roman" w:hAnsi="Tahoma" w:cs="Tahoma"/>
          <w:spacing w:val="-12"/>
          <w:sz w:val="24"/>
          <w:szCs w:val="24"/>
        </w:rPr>
        <w:t xml:space="preserve"> </w:t>
      </w:r>
      <w:r w:rsidRPr="002462E6">
        <w:rPr>
          <w:rFonts w:ascii="Tahoma" w:eastAsia="Times New Roman" w:hAnsi="Tahoma" w:cs="Tahoma"/>
          <w:sz w:val="24"/>
          <w:szCs w:val="24"/>
        </w:rPr>
        <w:t>immeubles</w:t>
      </w:r>
      <w:r w:rsidRPr="002462E6">
        <w:rPr>
          <w:rFonts w:ascii="Tahoma" w:eastAsia="Times New Roman" w:hAnsi="Tahoma" w:cs="Tahoma"/>
          <w:spacing w:val="-9"/>
          <w:sz w:val="24"/>
          <w:szCs w:val="24"/>
        </w:rPr>
        <w:t xml:space="preserve"> </w:t>
      </w:r>
      <w:r w:rsidRPr="002462E6">
        <w:rPr>
          <w:rFonts w:ascii="Tahoma" w:eastAsia="Times New Roman" w:hAnsi="Tahoma" w:cs="Tahoma"/>
          <w:sz w:val="24"/>
          <w:szCs w:val="24"/>
        </w:rPr>
        <w:t>domaniaux</w:t>
      </w:r>
      <w:r w:rsidRPr="002462E6">
        <w:rPr>
          <w:rFonts w:ascii="Tahoma" w:eastAsia="Times New Roman" w:hAnsi="Tahoma" w:cs="Tahoma"/>
          <w:spacing w:val="-11"/>
          <w:sz w:val="24"/>
          <w:szCs w:val="24"/>
        </w:rPr>
        <w:t xml:space="preserve"> </w:t>
      </w:r>
      <w:r w:rsidRPr="002462E6">
        <w:rPr>
          <w:rFonts w:ascii="Tahoma" w:eastAsia="Times New Roman" w:hAnsi="Tahoma" w:cs="Tahoma"/>
          <w:sz w:val="24"/>
          <w:szCs w:val="24"/>
        </w:rPr>
        <w:t>délimités</w:t>
      </w:r>
      <w:r w:rsidRPr="002462E6">
        <w:rPr>
          <w:rFonts w:ascii="Tahoma" w:eastAsia="Times New Roman" w:hAnsi="Tahoma" w:cs="Tahoma"/>
          <w:spacing w:val="-13"/>
          <w:sz w:val="24"/>
          <w:szCs w:val="24"/>
        </w:rPr>
        <w:t xml:space="preserve"> </w:t>
      </w:r>
      <w:r w:rsidRPr="002462E6">
        <w:rPr>
          <w:rFonts w:ascii="Tahoma" w:eastAsia="Times New Roman" w:hAnsi="Tahoma" w:cs="Tahoma"/>
          <w:sz w:val="24"/>
          <w:szCs w:val="24"/>
        </w:rPr>
        <w:t>selon</w:t>
      </w:r>
      <w:r w:rsidRPr="002462E6">
        <w:rPr>
          <w:rFonts w:ascii="Tahoma" w:eastAsia="Times New Roman" w:hAnsi="Tahoma" w:cs="Tahoma"/>
          <w:spacing w:val="-12"/>
          <w:sz w:val="24"/>
          <w:szCs w:val="24"/>
        </w:rPr>
        <w:t xml:space="preserve"> </w:t>
      </w:r>
      <w:r w:rsidRPr="002462E6">
        <w:rPr>
          <w:rFonts w:ascii="Tahoma" w:eastAsia="Times New Roman" w:hAnsi="Tahoma" w:cs="Tahoma"/>
          <w:sz w:val="24"/>
          <w:szCs w:val="24"/>
        </w:rPr>
        <w:t>la</w:t>
      </w:r>
      <w:r w:rsidRPr="002462E6">
        <w:rPr>
          <w:rFonts w:ascii="Tahoma" w:eastAsia="Times New Roman" w:hAnsi="Tahoma" w:cs="Tahoma"/>
          <w:spacing w:val="-12"/>
          <w:sz w:val="24"/>
          <w:szCs w:val="24"/>
        </w:rPr>
        <w:t xml:space="preserve"> </w:t>
      </w:r>
      <w:r w:rsidRPr="002462E6">
        <w:rPr>
          <w:rFonts w:ascii="Tahoma" w:eastAsia="Times New Roman" w:hAnsi="Tahoma" w:cs="Tahoma"/>
          <w:sz w:val="24"/>
          <w:szCs w:val="24"/>
        </w:rPr>
        <w:t>procédure</w:t>
      </w:r>
      <w:r w:rsidRPr="002462E6">
        <w:rPr>
          <w:rFonts w:ascii="Tahoma" w:eastAsia="Times New Roman" w:hAnsi="Tahoma" w:cs="Tahoma"/>
          <w:spacing w:val="-13"/>
          <w:sz w:val="24"/>
          <w:szCs w:val="24"/>
        </w:rPr>
        <w:t xml:space="preserve"> </w:t>
      </w:r>
      <w:r w:rsidRPr="002462E6">
        <w:rPr>
          <w:rFonts w:ascii="Tahoma" w:eastAsia="Times New Roman" w:hAnsi="Tahoma" w:cs="Tahoma"/>
          <w:sz w:val="24"/>
          <w:szCs w:val="24"/>
        </w:rPr>
        <w:t>du</w:t>
      </w:r>
      <w:r w:rsidRPr="002462E6">
        <w:rPr>
          <w:rFonts w:ascii="Tahoma" w:eastAsia="Times New Roman" w:hAnsi="Tahoma" w:cs="Tahoma"/>
          <w:spacing w:val="-11"/>
          <w:sz w:val="24"/>
          <w:szCs w:val="24"/>
        </w:rPr>
        <w:t xml:space="preserve"> </w:t>
      </w:r>
      <w:r w:rsidRPr="002462E6">
        <w:rPr>
          <w:rFonts w:ascii="Tahoma" w:eastAsia="Times New Roman" w:hAnsi="Tahoma" w:cs="Tahoma"/>
          <w:sz w:val="24"/>
          <w:szCs w:val="24"/>
        </w:rPr>
        <w:t>Dahir</w:t>
      </w:r>
      <w:r w:rsidRPr="002462E6">
        <w:rPr>
          <w:rFonts w:ascii="Tahoma" w:eastAsia="Times New Roman" w:hAnsi="Tahoma" w:cs="Tahoma"/>
          <w:spacing w:val="-13"/>
          <w:sz w:val="24"/>
          <w:szCs w:val="24"/>
        </w:rPr>
        <w:t xml:space="preserve"> </w:t>
      </w:r>
      <w:r w:rsidRPr="002462E6">
        <w:rPr>
          <w:rFonts w:ascii="Tahoma" w:eastAsia="Times New Roman" w:hAnsi="Tahoma" w:cs="Tahoma"/>
          <w:sz w:val="24"/>
          <w:szCs w:val="24"/>
        </w:rPr>
        <w:t>du</w:t>
      </w:r>
      <w:r w:rsidRPr="002462E6">
        <w:rPr>
          <w:rFonts w:ascii="Tahoma" w:eastAsia="Times New Roman" w:hAnsi="Tahoma" w:cs="Tahoma"/>
          <w:spacing w:val="-10"/>
          <w:sz w:val="24"/>
          <w:szCs w:val="24"/>
        </w:rPr>
        <w:t xml:space="preserve"> </w:t>
      </w:r>
      <w:r w:rsidRPr="002462E6">
        <w:rPr>
          <w:rFonts w:ascii="Tahoma" w:eastAsia="Times New Roman" w:hAnsi="Tahoma" w:cs="Tahoma"/>
          <w:sz w:val="24"/>
          <w:szCs w:val="24"/>
        </w:rPr>
        <w:t>03.01.1916</w:t>
      </w:r>
      <w:r w:rsidRPr="002462E6">
        <w:rPr>
          <w:rFonts w:ascii="Tahoma" w:eastAsia="Times New Roman" w:hAnsi="Tahoma" w:cs="Tahoma"/>
          <w:spacing w:val="-58"/>
          <w:sz w:val="24"/>
          <w:szCs w:val="24"/>
        </w:rPr>
        <w:t xml:space="preserve"> </w:t>
      </w:r>
      <w:r w:rsidRPr="002462E6">
        <w:rPr>
          <w:rFonts w:ascii="Tahoma" w:eastAsia="Times New Roman" w:hAnsi="Tahoma" w:cs="Tahoma"/>
          <w:spacing w:val="-1"/>
          <w:sz w:val="24"/>
          <w:szCs w:val="24"/>
        </w:rPr>
        <w:t>prévoit</w:t>
      </w:r>
      <w:r w:rsidRPr="002462E6">
        <w:rPr>
          <w:rFonts w:ascii="Tahoma" w:eastAsia="Times New Roman" w:hAnsi="Tahoma" w:cs="Tahoma"/>
          <w:spacing w:val="-14"/>
          <w:sz w:val="24"/>
          <w:szCs w:val="24"/>
        </w:rPr>
        <w:t xml:space="preserve"> </w:t>
      </w:r>
      <w:r w:rsidRPr="002462E6">
        <w:rPr>
          <w:rFonts w:ascii="Tahoma" w:eastAsia="Times New Roman" w:hAnsi="Tahoma" w:cs="Tahoma"/>
          <w:spacing w:val="-1"/>
          <w:sz w:val="24"/>
          <w:szCs w:val="24"/>
        </w:rPr>
        <w:t>que</w:t>
      </w:r>
      <w:r w:rsidRPr="002462E6">
        <w:rPr>
          <w:rFonts w:ascii="Tahoma" w:eastAsia="Times New Roman" w:hAnsi="Tahoma" w:cs="Tahoma"/>
          <w:spacing w:val="-13"/>
          <w:sz w:val="24"/>
          <w:szCs w:val="24"/>
        </w:rPr>
        <w:t xml:space="preserve"> </w:t>
      </w:r>
      <w:r w:rsidRPr="002462E6">
        <w:rPr>
          <w:rFonts w:ascii="Tahoma" w:eastAsia="Times New Roman" w:hAnsi="Tahoma" w:cs="Tahoma"/>
          <w:spacing w:val="-1"/>
          <w:sz w:val="24"/>
          <w:szCs w:val="24"/>
        </w:rPr>
        <w:t>lorsqu'une</w:t>
      </w:r>
      <w:r w:rsidRPr="002462E6">
        <w:rPr>
          <w:rFonts w:ascii="Tahoma" w:eastAsia="Times New Roman" w:hAnsi="Tahoma" w:cs="Tahoma"/>
          <w:spacing w:val="-11"/>
          <w:sz w:val="24"/>
          <w:szCs w:val="24"/>
        </w:rPr>
        <w:t xml:space="preserve"> </w:t>
      </w:r>
      <w:r w:rsidRPr="002462E6">
        <w:rPr>
          <w:rFonts w:ascii="Tahoma" w:eastAsia="Times New Roman" w:hAnsi="Tahoma" w:cs="Tahoma"/>
          <w:sz w:val="24"/>
          <w:szCs w:val="24"/>
        </w:rPr>
        <w:t>opposition</w:t>
      </w:r>
      <w:r w:rsidRPr="002462E6">
        <w:rPr>
          <w:rFonts w:ascii="Tahoma" w:eastAsia="Times New Roman" w:hAnsi="Tahoma" w:cs="Tahoma"/>
          <w:spacing w:val="-15"/>
          <w:sz w:val="24"/>
          <w:szCs w:val="24"/>
        </w:rPr>
        <w:t xml:space="preserve"> </w:t>
      </w:r>
      <w:r w:rsidRPr="002462E6">
        <w:rPr>
          <w:rFonts w:ascii="Tahoma" w:eastAsia="Times New Roman" w:hAnsi="Tahoma" w:cs="Tahoma"/>
          <w:sz w:val="24"/>
          <w:szCs w:val="24"/>
        </w:rPr>
        <w:t>n'avait</w:t>
      </w:r>
      <w:r w:rsidRPr="002462E6">
        <w:rPr>
          <w:rFonts w:ascii="Tahoma" w:eastAsia="Times New Roman" w:hAnsi="Tahoma" w:cs="Tahoma"/>
          <w:spacing w:val="-12"/>
          <w:sz w:val="24"/>
          <w:szCs w:val="24"/>
        </w:rPr>
        <w:t xml:space="preserve"> </w:t>
      </w:r>
      <w:r w:rsidRPr="002462E6">
        <w:rPr>
          <w:rFonts w:ascii="Tahoma" w:eastAsia="Times New Roman" w:hAnsi="Tahoma" w:cs="Tahoma"/>
          <w:sz w:val="24"/>
          <w:szCs w:val="24"/>
        </w:rPr>
        <w:t>été</w:t>
      </w:r>
      <w:r w:rsidRPr="002462E6">
        <w:rPr>
          <w:rFonts w:ascii="Tahoma" w:eastAsia="Times New Roman" w:hAnsi="Tahoma" w:cs="Tahoma"/>
          <w:spacing w:val="-13"/>
          <w:sz w:val="24"/>
          <w:szCs w:val="24"/>
        </w:rPr>
        <w:t xml:space="preserve"> </w:t>
      </w:r>
      <w:r w:rsidRPr="002462E6">
        <w:rPr>
          <w:rFonts w:ascii="Tahoma" w:eastAsia="Times New Roman" w:hAnsi="Tahoma" w:cs="Tahoma"/>
          <w:sz w:val="24"/>
          <w:szCs w:val="24"/>
        </w:rPr>
        <w:t>formulée</w:t>
      </w:r>
      <w:r w:rsidRPr="002462E6">
        <w:rPr>
          <w:rFonts w:ascii="Tahoma" w:eastAsia="Times New Roman" w:hAnsi="Tahoma" w:cs="Tahoma"/>
          <w:spacing w:val="-11"/>
          <w:sz w:val="24"/>
          <w:szCs w:val="24"/>
        </w:rPr>
        <w:t xml:space="preserve"> </w:t>
      </w:r>
      <w:r w:rsidRPr="002462E6">
        <w:rPr>
          <w:rFonts w:ascii="Tahoma" w:eastAsia="Times New Roman" w:hAnsi="Tahoma" w:cs="Tahoma"/>
          <w:sz w:val="24"/>
          <w:szCs w:val="24"/>
        </w:rPr>
        <w:t>à</w:t>
      </w:r>
      <w:r w:rsidRPr="002462E6">
        <w:rPr>
          <w:rFonts w:ascii="Tahoma" w:eastAsia="Times New Roman" w:hAnsi="Tahoma" w:cs="Tahoma"/>
          <w:spacing w:val="-12"/>
          <w:sz w:val="24"/>
          <w:szCs w:val="24"/>
        </w:rPr>
        <w:t xml:space="preserve"> </w:t>
      </w:r>
      <w:r w:rsidRPr="002462E6">
        <w:rPr>
          <w:rFonts w:ascii="Tahoma" w:eastAsia="Times New Roman" w:hAnsi="Tahoma" w:cs="Tahoma"/>
          <w:sz w:val="24"/>
          <w:szCs w:val="24"/>
        </w:rPr>
        <w:t>l'encontre</w:t>
      </w:r>
      <w:r w:rsidRPr="002462E6">
        <w:rPr>
          <w:rFonts w:ascii="Tahoma" w:eastAsia="Times New Roman" w:hAnsi="Tahoma" w:cs="Tahoma"/>
          <w:spacing w:val="-13"/>
          <w:sz w:val="24"/>
          <w:szCs w:val="24"/>
        </w:rPr>
        <w:t xml:space="preserve"> </w:t>
      </w:r>
      <w:r w:rsidRPr="002462E6">
        <w:rPr>
          <w:rFonts w:ascii="Tahoma" w:eastAsia="Times New Roman" w:hAnsi="Tahoma" w:cs="Tahoma"/>
          <w:sz w:val="24"/>
          <w:szCs w:val="24"/>
        </w:rPr>
        <w:t>de</w:t>
      </w:r>
      <w:r w:rsidRPr="002462E6">
        <w:rPr>
          <w:rFonts w:ascii="Tahoma" w:eastAsia="Times New Roman" w:hAnsi="Tahoma" w:cs="Tahoma"/>
          <w:spacing w:val="-12"/>
          <w:sz w:val="24"/>
          <w:szCs w:val="24"/>
        </w:rPr>
        <w:t xml:space="preserve"> </w:t>
      </w:r>
      <w:r w:rsidRPr="002462E6">
        <w:rPr>
          <w:rFonts w:ascii="Tahoma" w:eastAsia="Times New Roman" w:hAnsi="Tahoma" w:cs="Tahoma"/>
          <w:sz w:val="24"/>
          <w:szCs w:val="24"/>
        </w:rPr>
        <w:t>la</w:t>
      </w:r>
      <w:r w:rsidRPr="002462E6">
        <w:rPr>
          <w:rFonts w:ascii="Tahoma" w:eastAsia="Times New Roman" w:hAnsi="Tahoma" w:cs="Tahoma"/>
          <w:spacing w:val="-13"/>
          <w:sz w:val="24"/>
          <w:szCs w:val="24"/>
        </w:rPr>
        <w:t xml:space="preserve"> </w:t>
      </w:r>
      <w:r w:rsidRPr="002462E6">
        <w:rPr>
          <w:rFonts w:ascii="Tahoma" w:eastAsia="Times New Roman" w:hAnsi="Tahoma" w:cs="Tahoma"/>
          <w:sz w:val="24"/>
          <w:szCs w:val="24"/>
        </w:rPr>
        <w:t>délimitation</w:t>
      </w:r>
      <w:r w:rsidRPr="002462E6">
        <w:rPr>
          <w:rFonts w:ascii="Tahoma" w:eastAsia="Times New Roman" w:hAnsi="Tahoma" w:cs="Tahoma"/>
          <w:spacing w:val="-14"/>
          <w:sz w:val="24"/>
          <w:szCs w:val="24"/>
        </w:rPr>
        <w:t xml:space="preserve"> </w:t>
      </w:r>
      <w:r w:rsidRPr="002462E6">
        <w:rPr>
          <w:rFonts w:ascii="Tahoma" w:eastAsia="Times New Roman" w:hAnsi="Tahoma" w:cs="Tahoma"/>
          <w:sz w:val="24"/>
          <w:szCs w:val="24"/>
        </w:rPr>
        <w:t>administrative</w:t>
      </w:r>
      <w:r w:rsidRPr="002462E6">
        <w:rPr>
          <w:rFonts w:ascii="Times New Roman" w:eastAsia="Times New Roman" w:hAnsi="Times New Roman" w:cs="Times New Roman"/>
          <w:sz w:val="24"/>
          <w:szCs w:val="24"/>
        </w:rPr>
        <w:t>,</w:t>
      </w:r>
    </w:p>
    <w:p w:rsidR="00726EDC" w:rsidRPr="002462E6" w:rsidRDefault="00726EDC" w:rsidP="00C951A3">
      <w:pPr>
        <w:widowControl w:val="0"/>
        <w:autoSpaceDE w:val="0"/>
        <w:autoSpaceDN w:val="0"/>
        <w:spacing w:before="77" w:after="0" w:line="360" w:lineRule="auto"/>
        <w:jc w:val="both"/>
        <w:rPr>
          <w:rFonts w:ascii="Tahoma" w:eastAsia="Times New Roman" w:hAnsi="Tahoma" w:cs="Tahoma"/>
          <w:sz w:val="24"/>
          <w:szCs w:val="24"/>
        </w:rPr>
      </w:pPr>
      <w:r w:rsidRPr="002462E6">
        <w:rPr>
          <w:rFonts w:ascii="Tahoma" w:eastAsia="Times New Roman" w:hAnsi="Tahoma" w:cs="Tahoma"/>
          <w:sz w:val="24"/>
          <w:szCs w:val="24"/>
        </w:rPr>
        <w:t>Il</w:t>
      </w:r>
      <w:r w:rsidRPr="002462E6">
        <w:rPr>
          <w:rFonts w:ascii="Tahoma" w:eastAsia="Times New Roman" w:hAnsi="Tahoma" w:cs="Tahoma"/>
          <w:spacing w:val="-12"/>
          <w:sz w:val="24"/>
          <w:szCs w:val="24"/>
        </w:rPr>
        <w:t xml:space="preserve"> </w:t>
      </w:r>
      <w:r w:rsidRPr="002462E6">
        <w:rPr>
          <w:rFonts w:ascii="Tahoma" w:eastAsia="Times New Roman" w:hAnsi="Tahoma" w:cs="Tahoma"/>
          <w:sz w:val="24"/>
          <w:szCs w:val="24"/>
        </w:rPr>
        <w:t>était</w:t>
      </w:r>
      <w:r w:rsidRPr="002462E6">
        <w:rPr>
          <w:rFonts w:ascii="Tahoma" w:eastAsia="Times New Roman" w:hAnsi="Tahoma" w:cs="Tahoma"/>
          <w:spacing w:val="-13"/>
          <w:sz w:val="24"/>
          <w:szCs w:val="24"/>
        </w:rPr>
        <w:t xml:space="preserve"> </w:t>
      </w:r>
      <w:r w:rsidRPr="002462E6">
        <w:rPr>
          <w:rFonts w:ascii="Tahoma" w:eastAsia="Times New Roman" w:hAnsi="Tahoma" w:cs="Tahoma"/>
          <w:sz w:val="24"/>
          <w:szCs w:val="24"/>
        </w:rPr>
        <w:t>inutile</w:t>
      </w:r>
      <w:r w:rsidRPr="002462E6">
        <w:rPr>
          <w:rFonts w:ascii="Tahoma" w:eastAsia="Times New Roman" w:hAnsi="Tahoma" w:cs="Tahoma"/>
          <w:spacing w:val="-13"/>
          <w:sz w:val="24"/>
          <w:szCs w:val="24"/>
        </w:rPr>
        <w:t xml:space="preserve"> </w:t>
      </w:r>
      <w:r w:rsidRPr="002462E6">
        <w:rPr>
          <w:rFonts w:ascii="Tahoma" w:eastAsia="Times New Roman" w:hAnsi="Tahoma" w:cs="Tahoma"/>
          <w:sz w:val="24"/>
          <w:szCs w:val="24"/>
        </w:rPr>
        <w:t>d'aborder</w:t>
      </w:r>
      <w:r w:rsidRPr="002462E6">
        <w:rPr>
          <w:rFonts w:ascii="Tahoma" w:eastAsia="Times New Roman" w:hAnsi="Tahoma" w:cs="Tahoma"/>
          <w:spacing w:val="-10"/>
          <w:sz w:val="24"/>
          <w:szCs w:val="24"/>
        </w:rPr>
        <w:t xml:space="preserve"> </w:t>
      </w:r>
      <w:r w:rsidRPr="002462E6">
        <w:rPr>
          <w:rFonts w:ascii="Tahoma" w:eastAsia="Times New Roman" w:hAnsi="Tahoma" w:cs="Tahoma"/>
          <w:sz w:val="24"/>
          <w:szCs w:val="24"/>
        </w:rPr>
        <w:t>les</w:t>
      </w:r>
      <w:r w:rsidRPr="002462E6">
        <w:rPr>
          <w:rFonts w:ascii="Tahoma" w:eastAsia="Times New Roman" w:hAnsi="Tahoma" w:cs="Tahoma"/>
          <w:spacing w:val="-12"/>
          <w:sz w:val="24"/>
          <w:szCs w:val="24"/>
        </w:rPr>
        <w:t xml:space="preserve"> </w:t>
      </w:r>
      <w:r w:rsidRPr="002462E6">
        <w:rPr>
          <w:rFonts w:ascii="Tahoma" w:eastAsia="Times New Roman" w:hAnsi="Tahoma" w:cs="Tahoma"/>
          <w:sz w:val="24"/>
          <w:szCs w:val="24"/>
        </w:rPr>
        <w:t>formalités</w:t>
      </w:r>
      <w:r w:rsidRPr="002462E6">
        <w:rPr>
          <w:rFonts w:ascii="Tahoma" w:eastAsia="Times New Roman" w:hAnsi="Tahoma" w:cs="Tahoma"/>
          <w:spacing w:val="-12"/>
          <w:sz w:val="24"/>
          <w:szCs w:val="24"/>
        </w:rPr>
        <w:t xml:space="preserve"> </w:t>
      </w:r>
      <w:r w:rsidRPr="002462E6">
        <w:rPr>
          <w:rFonts w:ascii="Tahoma" w:eastAsia="Times New Roman" w:hAnsi="Tahoma" w:cs="Tahoma"/>
          <w:sz w:val="24"/>
          <w:szCs w:val="24"/>
        </w:rPr>
        <w:t>toujours</w:t>
      </w:r>
      <w:r w:rsidRPr="002462E6">
        <w:rPr>
          <w:rFonts w:ascii="Tahoma" w:eastAsia="Times New Roman" w:hAnsi="Tahoma" w:cs="Tahoma"/>
          <w:spacing w:val="-12"/>
          <w:sz w:val="24"/>
          <w:szCs w:val="24"/>
        </w:rPr>
        <w:t xml:space="preserve"> </w:t>
      </w:r>
      <w:r w:rsidRPr="002462E6">
        <w:rPr>
          <w:rFonts w:ascii="Tahoma" w:eastAsia="Times New Roman" w:hAnsi="Tahoma" w:cs="Tahoma"/>
          <w:sz w:val="24"/>
          <w:szCs w:val="24"/>
        </w:rPr>
        <w:t>longues</w:t>
      </w:r>
      <w:r w:rsidRPr="002462E6">
        <w:rPr>
          <w:rFonts w:ascii="Tahoma" w:eastAsia="Times New Roman" w:hAnsi="Tahoma" w:cs="Tahoma"/>
          <w:spacing w:val="-12"/>
          <w:sz w:val="24"/>
          <w:szCs w:val="24"/>
        </w:rPr>
        <w:t xml:space="preserve"> </w:t>
      </w:r>
      <w:r w:rsidRPr="002462E6">
        <w:rPr>
          <w:rFonts w:ascii="Tahoma" w:eastAsia="Times New Roman" w:hAnsi="Tahoma" w:cs="Tahoma"/>
          <w:sz w:val="24"/>
          <w:szCs w:val="24"/>
        </w:rPr>
        <w:t>et</w:t>
      </w:r>
      <w:r w:rsidRPr="002462E6">
        <w:rPr>
          <w:rFonts w:ascii="Tahoma" w:eastAsia="Times New Roman" w:hAnsi="Tahoma" w:cs="Tahoma"/>
          <w:spacing w:val="-11"/>
          <w:sz w:val="24"/>
          <w:szCs w:val="24"/>
        </w:rPr>
        <w:t xml:space="preserve"> </w:t>
      </w:r>
      <w:r w:rsidRPr="002462E6">
        <w:rPr>
          <w:rFonts w:ascii="Tahoma" w:eastAsia="Times New Roman" w:hAnsi="Tahoma" w:cs="Tahoma"/>
          <w:sz w:val="24"/>
          <w:szCs w:val="24"/>
        </w:rPr>
        <w:t>coûteuses,</w:t>
      </w:r>
      <w:r w:rsidRPr="002462E6">
        <w:rPr>
          <w:rFonts w:ascii="Tahoma" w:eastAsia="Times New Roman" w:hAnsi="Tahoma" w:cs="Tahoma"/>
          <w:spacing w:val="-13"/>
          <w:sz w:val="24"/>
          <w:szCs w:val="24"/>
        </w:rPr>
        <w:t xml:space="preserve"> </w:t>
      </w:r>
      <w:r w:rsidRPr="002462E6">
        <w:rPr>
          <w:rFonts w:ascii="Tahoma" w:eastAsia="Times New Roman" w:hAnsi="Tahoma" w:cs="Tahoma"/>
          <w:sz w:val="24"/>
          <w:szCs w:val="24"/>
        </w:rPr>
        <w:t>de</w:t>
      </w:r>
      <w:r w:rsidRPr="002462E6">
        <w:rPr>
          <w:rFonts w:ascii="Tahoma" w:eastAsia="Times New Roman" w:hAnsi="Tahoma" w:cs="Tahoma"/>
          <w:spacing w:val="-11"/>
          <w:sz w:val="24"/>
          <w:szCs w:val="24"/>
        </w:rPr>
        <w:t xml:space="preserve"> </w:t>
      </w:r>
      <w:r w:rsidRPr="002462E6">
        <w:rPr>
          <w:rFonts w:ascii="Tahoma" w:eastAsia="Times New Roman" w:hAnsi="Tahoma" w:cs="Tahoma"/>
          <w:sz w:val="24"/>
          <w:szCs w:val="24"/>
        </w:rPr>
        <w:t>l'immatriculation</w:t>
      </w:r>
      <w:r w:rsidRPr="002462E6">
        <w:rPr>
          <w:rFonts w:ascii="Tahoma" w:eastAsia="Times New Roman" w:hAnsi="Tahoma" w:cs="Tahoma"/>
          <w:spacing w:val="-11"/>
          <w:sz w:val="24"/>
          <w:szCs w:val="24"/>
        </w:rPr>
        <w:t xml:space="preserve"> </w:t>
      </w:r>
      <w:r w:rsidRPr="002462E6">
        <w:rPr>
          <w:rFonts w:ascii="Tahoma" w:eastAsia="Times New Roman" w:hAnsi="Tahoma" w:cs="Tahoma"/>
          <w:sz w:val="24"/>
          <w:szCs w:val="24"/>
        </w:rPr>
        <w:t>pour</w:t>
      </w:r>
      <w:r w:rsidRPr="002462E6">
        <w:rPr>
          <w:rFonts w:ascii="Tahoma" w:eastAsia="Times New Roman" w:hAnsi="Tahoma" w:cs="Tahoma"/>
          <w:spacing w:val="-11"/>
          <w:sz w:val="24"/>
          <w:szCs w:val="24"/>
        </w:rPr>
        <w:t xml:space="preserve"> </w:t>
      </w:r>
      <w:r w:rsidRPr="002462E6">
        <w:rPr>
          <w:rFonts w:ascii="Tahoma" w:eastAsia="Times New Roman" w:hAnsi="Tahoma" w:cs="Tahoma"/>
          <w:sz w:val="24"/>
          <w:szCs w:val="24"/>
        </w:rPr>
        <w:t>fixer</w:t>
      </w:r>
      <w:r w:rsidRPr="002462E6">
        <w:rPr>
          <w:rFonts w:ascii="Tahoma" w:eastAsia="Times New Roman" w:hAnsi="Tahoma" w:cs="Tahoma"/>
          <w:spacing w:val="-58"/>
          <w:sz w:val="24"/>
          <w:szCs w:val="24"/>
        </w:rPr>
        <w:t xml:space="preserve"> </w:t>
      </w:r>
      <w:r w:rsidRPr="002462E6">
        <w:rPr>
          <w:rFonts w:ascii="Tahoma" w:eastAsia="Times New Roman" w:hAnsi="Tahoma" w:cs="Tahoma"/>
          <w:sz w:val="24"/>
          <w:szCs w:val="24"/>
        </w:rPr>
        <w:t>l'état exact et définitif de la propriété. L'immatriculation des terrains domaniaux ayant fait l'objet</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 xml:space="preserve">de décret d'homologation, pourra être prononcée à la requête de l'Etat après </w:t>
      </w:r>
      <w:r w:rsidRPr="002462E6">
        <w:rPr>
          <w:rFonts w:ascii="Tahoma" w:eastAsia="Times New Roman" w:hAnsi="Tahoma" w:cs="Tahoma"/>
          <w:b/>
          <w:i/>
          <w:sz w:val="24"/>
          <w:szCs w:val="24"/>
        </w:rPr>
        <w:t>simple récolement de</w:t>
      </w:r>
      <w:r w:rsidRPr="002462E6">
        <w:rPr>
          <w:rFonts w:ascii="Tahoma" w:eastAsia="Times New Roman" w:hAnsi="Tahoma" w:cs="Tahoma"/>
          <w:b/>
          <w:i/>
          <w:spacing w:val="-57"/>
          <w:sz w:val="24"/>
          <w:szCs w:val="24"/>
        </w:rPr>
        <w:t xml:space="preserve"> </w:t>
      </w:r>
      <w:r w:rsidRPr="002462E6">
        <w:rPr>
          <w:rFonts w:ascii="Tahoma" w:eastAsia="Times New Roman" w:hAnsi="Tahoma" w:cs="Tahoma"/>
          <w:b/>
          <w:i/>
          <w:sz w:val="24"/>
          <w:szCs w:val="24"/>
        </w:rPr>
        <w:t>bornage</w:t>
      </w:r>
      <w:r w:rsidRPr="002462E6">
        <w:rPr>
          <w:rFonts w:ascii="Tahoma" w:eastAsia="Times New Roman" w:hAnsi="Tahoma" w:cs="Tahoma"/>
          <w:b/>
          <w:i/>
          <w:spacing w:val="-1"/>
          <w:sz w:val="24"/>
          <w:szCs w:val="24"/>
        </w:rPr>
        <w:t xml:space="preserve"> </w:t>
      </w:r>
      <w:r w:rsidRPr="002462E6">
        <w:rPr>
          <w:rFonts w:ascii="Tahoma" w:eastAsia="Times New Roman" w:hAnsi="Tahoma" w:cs="Tahoma"/>
          <w:b/>
          <w:i/>
          <w:sz w:val="24"/>
          <w:szCs w:val="24"/>
        </w:rPr>
        <w:t>et levé du plan foncier</w:t>
      </w:r>
      <w:r w:rsidRPr="002462E6">
        <w:rPr>
          <w:rFonts w:ascii="Tahoma" w:eastAsia="Times New Roman" w:hAnsi="Tahoma" w:cs="Tahoma"/>
          <w:b/>
          <w:i/>
          <w:spacing w:val="2"/>
          <w:sz w:val="24"/>
          <w:szCs w:val="24"/>
        </w:rPr>
        <w:t xml:space="preserve"> </w:t>
      </w:r>
      <w:r w:rsidRPr="002462E6">
        <w:rPr>
          <w:rFonts w:ascii="Tahoma" w:eastAsia="Times New Roman" w:hAnsi="Tahoma" w:cs="Tahoma"/>
          <w:sz w:val="24"/>
          <w:szCs w:val="24"/>
        </w:rPr>
        <w:t>de l'immeuble par le service de la</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conservation foncière.</w:t>
      </w:r>
    </w:p>
    <w:p w:rsidR="00726EDC" w:rsidRPr="002462E6" w:rsidRDefault="00726EDC" w:rsidP="00CC46F4">
      <w:pPr>
        <w:widowControl w:val="0"/>
        <w:autoSpaceDE w:val="0"/>
        <w:autoSpaceDN w:val="0"/>
        <w:spacing w:before="160" w:after="0" w:line="360" w:lineRule="auto"/>
        <w:jc w:val="both"/>
        <w:rPr>
          <w:rFonts w:ascii="Tahoma" w:eastAsia="Times New Roman" w:hAnsi="Tahoma" w:cs="Tahoma"/>
          <w:sz w:val="24"/>
          <w:szCs w:val="24"/>
        </w:rPr>
      </w:pPr>
      <w:r w:rsidRPr="002462E6">
        <w:rPr>
          <w:rFonts w:ascii="Tahoma" w:eastAsia="Times New Roman" w:hAnsi="Tahoma" w:cs="Tahoma"/>
          <w:sz w:val="24"/>
          <w:szCs w:val="24"/>
          <w:lang w:eastAsia="fr-FR"/>
        </w:rPr>
        <w:t>Au cours des deux dernières décennies, et plus particulièrement suite aux recommandations du colloque national sur les forêts, tenu à Ifrane en mars 1996, une importance amplifiée a été accordée à la réalisation et au parachèvement des opérations de délimitation du domaine forestier à l'horizon 2000.</w:t>
      </w:r>
    </w:p>
    <w:p w:rsidR="00726EDC" w:rsidRPr="002462E6" w:rsidRDefault="00726EDC" w:rsidP="00CC46F4">
      <w:pPr>
        <w:spacing w:before="100" w:beforeAutospacing="1" w:after="100" w:afterAutospacing="1" w:line="360" w:lineRule="auto"/>
        <w:jc w:val="both"/>
        <w:rPr>
          <w:rFonts w:ascii="Tahoma" w:eastAsia="Times New Roman" w:hAnsi="Tahoma" w:cs="Tahoma"/>
          <w:sz w:val="24"/>
          <w:szCs w:val="24"/>
          <w:lang w:eastAsia="fr-FR"/>
        </w:rPr>
      </w:pPr>
      <w:r w:rsidRPr="002462E6">
        <w:rPr>
          <w:rFonts w:ascii="Tahoma" w:eastAsia="Times New Roman" w:hAnsi="Tahoma" w:cs="Tahoma"/>
          <w:sz w:val="24"/>
          <w:szCs w:val="24"/>
          <w:lang w:eastAsia="fr-FR"/>
        </w:rPr>
        <w:t>En réponse à ces directives, le Département des Eaux et Forêts (DEF) a intensifié ses efforts en matière de délimitation, mobilisant des ressources humaines et financières, et établissant des partenariats stratégiques avec l'Agence de la Conservation Foncière, du Cadastre et de la Cartographie (ACFCC) ainsi qu'avec des bureaux d'études topographiques. Cette collaboration visait à garantir une sécurisation foncière du domaine forestier (DEF, 2001).</w:t>
      </w:r>
      <w:r w:rsidRPr="002462E6">
        <w:rPr>
          <w:rFonts w:ascii="Times New Roman" w:eastAsia="Times New Roman" w:hAnsi="Times New Roman" w:cs="Times New Roman"/>
        </w:rPr>
        <w:t xml:space="preserve"> </w:t>
      </w:r>
      <w:r w:rsidRPr="002462E6">
        <w:rPr>
          <w:rFonts w:ascii="Tahoma" w:eastAsia="Times New Roman" w:hAnsi="Tahoma" w:cs="Tahoma"/>
          <w:sz w:val="24"/>
          <w:szCs w:val="24"/>
          <w:lang w:eastAsia="fr-FR"/>
        </w:rPr>
        <w:t>Les efforts déployés ont permis l'enregistrement de 177 600 hectares de superficie forestière, représentant un taux de réalisation de 59% par rapport à l'objectif initial de 300 000 hectares.</w:t>
      </w:r>
    </w:p>
    <w:p w:rsidR="00726EDC" w:rsidRPr="002462E6" w:rsidRDefault="00726EDC" w:rsidP="00726EDC">
      <w:pPr>
        <w:widowControl w:val="0"/>
        <w:autoSpaceDE w:val="0"/>
        <w:autoSpaceDN w:val="0"/>
        <w:spacing w:before="160" w:after="0" w:line="360" w:lineRule="auto"/>
        <w:jc w:val="both"/>
        <w:rPr>
          <w:rFonts w:ascii="Tahoma" w:eastAsia="Times New Roman" w:hAnsi="Tahoma" w:cs="Tahoma"/>
          <w:sz w:val="24"/>
          <w:szCs w:val="24"/>
        </w:rPr>
      </w:pPr>
      <w:r w:rsidRPr="002462E6">
        <w:rPr>
          <w:rFonts w:ascii="Tahoma" w:eastAsia="Times New Roman" w:hAnsi="Tahoma" w:cs="Tahoma"/>
          <w:sz w:val="24"/>
          <w:szCs w:val="24"/>
          <w:lang w:eastAsia="fr-FR"/>
        </w:rPr>
        <w:t xml:space="preserve">L'administration forestière souligne que ces opérations d'immatriculation ont été conduites en conformité avec les procédures juridiques et les normes techniques en vigueur, régissant la procédure d'immatriculation foncière. L'objectif principal était de prémunir </w:t>
      </w:r>
      <w:r w:rsidRPr="002462E6">
        <w:rPr>
          <w:rFonts w:ascii="Tahoma" w:eastAsia="Times New Roman" w:hAnsi="Tahoma" w:cs="Tahoma"/>
          <w:sz w:val="24"/>
          <w:szCs w:val="24"/>
        </w:rPr>
        <w:t>domaine</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forestier</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contre</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toutes</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les</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formes</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d'empiétement, ainsi qu'un éclaircissement des limites avec les terres avoisinantes. Les actions</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prévues dans le cadre du programme de sécurisation du Patrimoine National Forestier se sont</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poursuivies, à travers notamment le parachèvement des opérations de délimitation définitive sur</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les</w:t>
      </w:r>
      <w:r w:rsidRPr="002462E6">
        <w:rPr>
          <w:rFonts w:ascii="Tahoma" w:eastAsia="Times New Roman" w:hAnsi="Tahoma" w:cs="Tahoma"/>
          <w:spacing w:val="-6"/>
          <w:sz w:val="24"/>
          <w:szCs w:val="24"/>
        </w:rPr>
        <w:t xml:space="preserve"> </w:t>
      </w:r>
      <w:r w:rsidRPr="002462E6">
        <w:rPr>
          <w:rFonts w:ascii="Tahoma" w:eastAsia="Times New Roman" w:hAnsi="Tahoma" w:cs="Tahoma"/>
          <w:sz w:val="24"/>
          <w:szCs w:val="24"/>
        </w:rPr>
        <w:t>2%</w:t>
      </w:r>
      <w:r w:rsidRPr="002462E6">
        <w:rPr>
          <w:rFonts w:ascii="Tahoma" w:eastAsia="Times New Roman" w:hAnsi="Tahoma" w:cs="Tahoma"/>
          <w:spacing w:val="-6"/>
          <w:sz w:val="24"/>
          <w:szCs w:val="24"/>
        </w:rPr>
        <w:t xml:space="preserve"> </w:t>
      </w:r>
      <w:r w:rsidRPr="002462E6">
        <w:rPr>
          <w:rFonts w:ascii="Tahoma" w:eastAsia="Times New Roman" w:hAnsi="Tahoma" w:cs="Tahoma"/>
          <w:sz w:val="24"/>
          <w:szCs w:val="24"/>
        </w:rPr>
        <w:t>du</w:t>
      </w:r>
      <w:r w:rsidRPr="002462E6">
        <w:rPr>
          <w:rFonts w:ascii="Tahoma" w:eastAsia="Times New Roman" w:hAnsi="Tahoma" w:cs="Tahoma"/>
          <w:spacing w:val="-4"/>
          <w:sz w:val="24"/>
          <w:szCs w:val="24"/>
        </w:rPr>
        <w:t xml:space="preserve"> </w:t>
      </w:r>
      <w:r w:rsidRPr="002462E6">
        <w:rPr>
          <w:rFonts w:ascii="Tahoma" w:eastAsia="Times New Roman" w:hAnsi="Tahoma" w:cs="Tahoma"/>
          <w:sz w:val="24"/>
          <w:szCs w:val="24"/>
        </w:rPr>
        <w:t>domaine</w:t>
      </w:r>
      <w:r w:rsidRPr="002462E6">
        <w:rPr>
          <w:rFonts w:ascii="Tahoma" w:eastAsia="Times New Roman" w:hAnsi="Tahoma" w:cs="Tahoma"/>
          <w:spacing w:val="-3"/>
          <w:sz w:val="24"/>
          <w:szCs w:val="24"/>
        </w:rPr>
        <w:t xml:space="preserve"> </w:t>
      </w:r>
      <w:r w:rsidRPr="002462E6">
        <w:rPr>
          <w:rFonts w:ascii="Tahoma" w:eastAsia="Times New Roman" w:hAnsi="Tahoma" w:cs="Tahoma"/>
          <w:sz w:val="24"/>
          <w:szCs w:val="24"/>
        </w:rPr>
        <w:t>forestier</w:t>
      </w:r>
      <w:r w:rsidRPr="002462E6">
        <w:rPr>
          <w:rFonts w:ascii="Tahoma" w:eastAsia="Times New Roman" w:hAnsi="Tahoma" w:cs="Tahoma"/>
          <w:spacing w:val="-6"/>
          <w:sz w:val="24"/>
          <w:szCs w:val="24"/>
        </w:rPr>
        <w:t xml:space="preserve"> </w:t>
      </w:r>
      <w:r w:rsidRPr="002462E6">
        <w:rPr>
          <w:rFonts w:ascii="Tahoma" w:eastAsia="Times New Roman" w:hAnsi="Tahoma" w:cs="Tahoma"/>
          <w:sz w:val="24"/>
          <w:szCs w:val="24"/>
        </w:rPr>
        <w:t>restant.</w:t>
      </w:r>
      <w:r w:rsidRPr="002462E6">
        <w:rPr>
          <w:rFonts w:ascii="Tahoma" w:eastAsia="Times New Roman" w:hAnsi="Tahoma" w:cs="Tahoma"/>
          <w:spacing w:val="-7"/>
          <w:sz w:val="24"/>
          <w:szCs w:val="24"/>
        </w:rPr>
        <w:t xml:space="preserve"> </w:t>
      </w:r>
      <w:r w:rsidRPr="002462E6">
        <w:rPr>
          <w:rFonts w:ascii="Tahoma" w:eastAsia="Times New Roman" w:hAnsi="Tahoma" w:cs="Tahoma"/>
          <w:sz w:val="24"/>
          <w:szCs w:val="24"/>
        </w:rPr>
        <w:t>Ainsi,</w:t>
      </w:r>
      <w:r w:rsidRPr="002462E6">
        <w:rPr>
          <w:rFonts w:ascii="Tahoma" w:eastAsia="Times New Roman" w:hAnsi="Tahoma" w:cs="Tahoma"/>
          <w:spacing w:val="-5"/>
          <w:sz w:val="24"/>
          <w:szCs w:val="24"/>
        </w:rPr>
        <w:t xml:space="preserve"> </w:t>
      </w:r>
      <w:r w:rsidRPr="002462E6">
        <w:rPr>
          <w:rFonts w:ascii="Tahoma" w:eastAsia="Times New Roman" w:hAnsi="Tahoma" w:cs="Tahoma"/>
          <w:sz w:val="24"/>
          <w:szCs w:val="24"/>
        </w:rPr>
        <w:t>la</w:t>
      </w:r>
      <w:r w:rsidRPr="002462E6">
        <w:rPr>
          <w:rFonts w:ascii="Tahoma" w:eastAsia="Times New Roman" w:hAnsi="Tahoma" w:cs="Tahoma"/>
          <w:spacing w:val="-6"/>
          <w:sz w:val="24"/>
          <w:szCs w:val="24"/>
        </w:rPr>
        <w:t xml:space="preserve"> </w:t>
      </w:r>
      <w:r w:rsidRPr="002462E6">
        <w:rPr>
          <w:rFonts w:ascii="Tahoma" w:eastAsia="Times New Roman" w:hAnsi="Tahoma" w:cs="Tahoma"/>
          <w:sz w:val="24"/>
          <w:szCs w:val="24"/>
        </w:rPr>
        <w:t>superficie</w:t>
      </w:r>
      <w:r w:rsidRPr="002462E6">
        <w:rPr>
          <w:rFonts w:ascii="Tahoma" w:eastAsia="Times New Roman" w:hAnsi="Tahoma" w:cs="Tahoma"/>
          <w:spacing w:val="-7"/>
          <w:sz w:val="24"/>
          <w:szCs w:val="24"/>
        </w:rPr>
        <w:t xml:space="preserve"> </w:t>
      </w:r>
      <w:r w:rsidRPr="002462E6">
        <w:rPr>
          <w:rFonts w:ascii="Tahoma" w:eastAsia="Times New Roman" w:hAnsi="Tahoma" w:cs="Tahoma"/>
          <w:sz w:val="24"/>
          <w:szCs w:val="24"/>
        </w:rPr>
        <w:t>totale</w:t>
      </w:r>
      <w:r w:rsidRPr="002462E6">
        <w:rPr>
          <w:rFonts w:ascii="Tahoma" w:eastAsia="Times New Roman" w:hAnsi="Tahoma" w:cs="Tahoma"/>
          <w:spacing w:val="-5"/>
          <w:sz w:val="24"/>
          <w:szCs w:val="24"/>
        </w:rPr>
        <w:t xml:space="preserve"> </w:t>
      </w:r>
      <w:r w:rsidRPr="002462E6">
        <w:rPr>
          <w:rFonts w:ascii="Tahoma" w:eastAsia="Times New Roman" w:hAnsi="Tahoma" w:cs="Tahoma"/>
          <w:sz w:val="24"/>
          <w:szCs w:val="24"/>
        </w:rPr>
        <w:t>du</w:t>
      </w:r>
      <w:r w:rsidRPr="002462E6">
        <w:rPr>
          <w:rFonts w:ascii="Tahoma" w:eastAsia="Times New Roman" w:hAnsi="Tahoma" w:cs="Tahoma"/>
          <w:spacing w:val="-6"/>
          <w:sz w:val="24"/>
          <w:szCs w:val="24"/>
        </w:rPr>
        <w:t xml:space="preserve"> </w:t>
      </w:r>
      <w:r w:rsidRPr="002462E6">
        <w:rPr>
          <w:rFonts w:ascii="Tahoma" w:eastAsia="Times New Roman" w:hAnsi="Tahoma" w:cs="Tahoma"/>
          <w:sz w:val="24"/>
          <w:szCs w:val="24"/>
        </w:rPr>
        <w:t>domaine</w:t>
      </w:r>
      <w:r w:rsidRPr="002462E6">
        <w:rPr>
          <w:rFonts w:ascii="Tahoma" w:eastAsia="Times New Roman" w:hAnsi="Tahoma" w:cs="Tahoma"/>
          <w:spacing w:val="-2"/>
          <w:sz w:val="24"/>
          <w:szCs w:val="24"/>
        </w:rPr>
        <w:t xml:space="preserve"> </w:t>
      </w:r>
      <w:r w:rsidRPr="002462E6">
        <w:rPr>
          <w:rFonts w:ascii="Tahoma" w:eastAsia="Times New Roman" w:hAnsi="Tahoma" w:cs="Tahoma"/>
          <w:sz w:val="24"/>
          <w:szCs w:val="24"/>
        </w:rPr>
        <w:t>forestier</w:t>
      </w:r>
      <w:r w:rsidRPr="002462E6">
        <w:rPr>
          <w:rFonts w:ascii="Tahoma" w:eastAsia="Times New Roman" w:hAnsi="Tahoma" w:cs="Tahoma"/>
          <w:spacing w:val="-7"/>
          <w:sz w:val="24"/>
          <w:szCs w:val="24"/>
        </w:rPr>
        <w:t xml:space="preserve"> </w:t>
      </w:r>
      <w:r w:rsidRPr="002462E6">
        <w:rPr>
          <w:rFonts w:ascii="Tahoma" w:eastAsia="Times New Roman" w:hAnsi="Tahoma" w:cs="Tahoma"/>
          <w:sz w:val="24"/>
          <w:szCs w:val="24"/>
        </w:rPr>
        <w:t>immatriculée</w:t>
      </w:r>
      <w:r w:rsidRPr="002462E6">
        <w:rPr>
          <w:rFonts w:ascii="Tahoma" w:eastAsia="Times New Roman" w:hAnsi="Tahoma" w:cs="Tahoma"/>
          <w:spacing w:val="-4"/>
          <w:sz w:val="24"/>
          <w:szCs w:val="24"/>
        </w:rPr>
        <w:t xml:space="preserve"> </w:t>
      </w:r>
      <w:r w:rsidRPr="002462E6">
        <w:rPr>
          <w:rFonts w:ascii="Tahoma" w:eastAsia="Times New Roman" w:hAnsi="Tahoma" w:cs="Tahoma"/>
          <w:sz w:val="24"/>
          <w:szCs w:val="24"/>
        </w:rPr>
        <w:t>a</w:t>
      </w:r>
      <w:r w:rsidRPr="002462E6">
        <w:rPr>
          <w:rFonts w:ascii="Tahoma" w:eastAsia="Times New Roman" w:hAnsi="Tahoma" w:cs="Tahoma"/>
          <w:spacing w:val="-58"/>
          <w:sz w:val="24"/>
          <w:szCs w:val="24"/>
        </w:rPr>
        <w:t xml:space="preserve"> </w:t>
      </w:r>
      <w:r w:rsidRPr="002462E6">
        <w:rPr>
          <w:rFonts w:ascii="Tahoma" w:eastAsia="Times New Roman" w:hAnsi="Tahoma" w:cs="Tahoma"/>
          <w:sz w:val="24"/>
          <w:szCs w:val="24"/>
        </w:rPr>
        <w:t>atteint 6.376.000 ha, soit 80% de la superficie homologuée, qui est de l'ordre de 8 millions d'ha</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(89%</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de la superficie du domaine forestier).</w:t>
      </w:r>
    </w:p>
    <w:p w:rsidR="00726EDC" w:rsidRPr="002462E6" w:rsidRDefault="00726EDC" w:rsidP="00726EDC">
      <w:pPr>
        <w:widowControl w:val="0"/>
        <w:autoSpaceDE w:val="0"/>
        <w:autoSpaceDN w:val="0"/>
        <w:spacing w:before="160" w:after="0" w:line="360" w:lineRule="auto"/>
        <w:jc w:val="both"/>
        <w:rPr>
          <w:rFonts w:ascii="Tahoma" w:eastAsia="Times New Roman" w:hAnsi="Tahoma" w:cs="Tahoma"/>
          <w:sz w:val="24"/>
          <w:szCs w:val="24"/>
        </w:rPr>
      </w:pPr>
      <w:r w:rsidRPr="002462E6">
        <w:rPr>
          <w:rFonts w:ascii="Tahoma" w:eastAsia="Times New Roman" w:hAnsi="Tahoma" w:cs="Tahoma"/>
          <w:sz w:val="24"/>
          <w:szCs w:val="24"/>
        </w:rPr>
        <w:t>Le Département des Eaux et Forêts (DEP) estime que la réalisation de ses programmes demeure</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liée foncièrement à la sécurisation du domaine forestier conditionnant à la fois l’intensité et le</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rythme. Ainsi, la mise en place des actions de sécurisation donne lieu à l'établissement d'objectifs</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communs</w:t>
      </w:r>
      <w:r w:rsidRPr="002462E6">
        <w:rPr>
          <w:rFonts w:ascii="Tahoma" w:eastAsia="Times New Roman" w:hAnsi="Tahoma" w:cs="Tahoma"/>
          <w:spacing w:val="-6"/>
          <w:sz w:val="24"/>
          <w:szCs w:val="24"/>
        </w:rPr>
        <w:t xml:space="preserve"> </w:t>
      </w:r>
      <w:r w:rsidRPr="002462E6">
        <w:rPr>
          <w:rFonts w:ascii="Tahoma" w:eastAsia="Times New Roman" w:hAnsi="Tahoma" w:cs="Tahoma"/>
          <w:sz w:val="24"/>
          <w:szCs w:val="24"/>
        </w:rPr>
        <w:t>axés sur la clarification des statuts des terres et l'amélioration des relations entre le DEP et les propriétaires des terrains adjacents au domaine forestier</w:t>
      </w:r>
      <w:r w:rsidRPr="002462E6">
        <w:rPr>
          <w:rFonts w:ascii="Tahoma" w:eastAsia="Times New Roman" w:hAnsi="Tahoma" w:cs="Tahoma"/>
          <w:sz w:val="24"/>
          <w:szCs w:val="24"/>
          <w:vertAlign w:val="superscript"/>
        </w:rPr>
        <w:footnoteReference w:id="292"/>
      </w:r>
      <w:r w:rsidRPr="002462E6">
        <w:rPr>
          <w:rFonts w:ascii="Tahoma" w:eastAsia="Times New Roman" w:hAnsi="Tahoma" w:cs="Tahoma"/>
          <w:sz w:val="24"/>
          <w:szCs w:val="24"/>
        </w:rPr>
        <w:t>.</w:t>
      </w:r>
    </w:p>
    <w:p w:rsidR="00726EDC" w:rsidRPr="002462E6" w:rsidRDefault="00726EDC" w:rsidP="008D3838">
      <w:pPr>
        <w:spacing w:before="100" w:beforeAutospacing="1" w:after="0" w:line="360" w:lineRule="auto"/>
        <w:jc w:val="both"/>
        <w:rPr>
          <w:rFonts w:ascii="Tahoma" w:eastAsia="Times New Roman" w:hAnsi="Tahoma" w:cs="Tahoma"/>
          <w:sz w:val="24"/>
          <w:szCs w:val="24"/>
        </w:rPr>
      </w:pPr>
      <w:r w:rsidRPr="002462E6">
        <w:rPr>
          <w:rFonts w:ascii="Tahoma" w:eastAsia="Times New Roman" w:hAnsi="Tahoma" w:cs="Tahoma"/>
          <w:sz w:val="24"/>
          <w:szCs w:val="24"/>
        </w:rPr>
        <w:t xml:space="preserve">Dans la zone d’étude, la délimitation administrative de la forêt de Korifla a été instaurée par l’Arrêté viziriel du 2 février 1917 (9 Rebia II 1335), portant sur la délimitation du massif forestier de Korifla. Cet arrêté, publié au Bulletin Officiel n° 225 du 12 février 1917, a fixé la date d’ouverture de l’opération au 15 avril 1917. Suite à la finalisation des procédures relatives à la délimitation administrative, prescrites par les articles 4, 5 et 6 du Dahir du 3 Janvier 1916 portant règlement spécial sur la délimitation du domaine de l’Etat, l’Arrêté viziriel du 3 Février 1925 (9 rejeb 1343) portant homologation des opérations de délimitation administrative du massif forestier du Korifla, a été publié au Bulletin Officiel n° 644 en date du 24 Février 1925. Cet acte juridique a définitivement intégré au domaine forestier de l'État l'immeuble désigné sous le nom de « Forêt de Korifla », d'une superficie approximative de 16 100 hectares.  L'Arrêté Viziriel a reconnu aux « indigènes » des tribus riveraines les droits de jouissance qui ne pourront être exercés que conformément aux règlements relatifs à la conservation et l’exploitation des forêts. </w:t>
      </w:r>
      <w:r w:rsidRPr="002462E6">
        <w:rPr>
          <w:rFonts w:ascii="Tahoma" w:eastAsia="Times New Roman" w:hAnsi="Tahoma" w:cs="Tahoma"/>
          <w:sz w:val="24"/>
          <w:szCs w:val="24"/>
          <w:lang w:eastAsia="fr-FR"/>
        </w:rPr>
        <w:t xml:space="preserve">Malgré la délimitation de Korifla, </w:t>
      </w:r>
      <w:r w:rsidRPr="002462E6">
        <w:rPr>
          <w:rFonts w:ascii="Tahoma" w:eastAsia="Times New Roman" w:hAnsi="Tahoma" w:cs="Tahoma"/>
          <w:sz w:val="24"/>
          <w:szCs w:val="24"/>
        </w:rPr>
        <w:t xml:space="preserve">la réquisition d’immatriculation de ce massif forestier n'a été initiée qu'après un intervalle temporel d'environ un siècle. </w:t>
      </w:r>
    </w:p>
    <w:p w:rsidR="00726EDC" w:rsidRPr="002462E6" w:rsidRDefault="00726EDC" w:rsidP="00B60607">
      <w:pPr>
        <w:widowControl w:val="0"/>
        <w:autoSpaceDE w:val="0"/>
        <w:autoSpaceDN w:val="0"/>
        <w:spacing w:before="158" w:after="0" w:line="360" w:lineRule="auto"/>
        <w:jc w:val="both"/>
        <w:rPr>
          <w:rFonts w:ascii="Tahoma" w:eastAsia="Times New Roman" w:hAnsi="Tahoma" w:cs="Tahoma"/>
          <w:sz w:val="24"/>
          <w:szCs w:val="24"/>
        </w:rPr>
      </w:pPr>
      <w:r w:rsidRPr="002462E6">
        <w:rPr>
          <w:rFonts w:ascii="Tahoma" w:eastAsia="Times New Roman" w:hAnsi="Tahoma" w:cs="Tahoma"/>
          <w:sz w:val="24"/>
          <w:szCs w:val="24"/>
        </w:rPr>
        <w:t xml:space="preserve">Par ailleurs, il convient de souligner que la forêt de Korifla est située sur le territoire de compétence de trois conservations foncières distinctes, à savoir celles de Témara, de Harhoura-Skhirat et de Roumani. </w:t>
      </w:r>
    </w:p>
    <w:p w:rsidR="00726EDC" w:rsidRPr="002462E6" w:rsidRDefault="00726EDC" w:rsidP="00B60607">
      <w:pPr>
        <w:widowControl w:val="0"/>
        <w:autoSpaceDE w:val="0"/>
        <w:autoSpaceDN w:val="0"/>
        <w:spacing w:before="158" w:after="0" w:line="360" w:lineRule="auto"/>
        <w:jc w:val="both"/>
        <w:rPr>
          <w:rFonts w:ascii="Tahoma" w:eastAsia="Times New Roman" w:hAnsi="Tahoma" w:cs="Tahoma"/>
          <w:sz w:val="24"/>
          <w:szCs w:val="24"/>
        </w:rPr>
      </w:pPr>
      <w:r w:rsidRPr="002462E6">
        <w:rPr>
          <w:rFonts w:ascii="Tahoma" w:eastAsia="Times New Roman" w:hAnsi="Tahoma" w:cs="Tahoma"/>
          <w:sz w:val="24"/>
          <w:szCs w:val="24"/>
        </w:rPr>
        <w:t>Au niveau de la ville de Témara, la délimitation administrative de la partie relevant de son ressort</w:t>
      </w:r>
      <w:r w:rsidRPr="002462E6">
        <w:rPr>
          <w:rFonts w:ascii="Tahoma" w:eastAsia="Times New Roman" w:hAnsi="Tahoma" w:cs="Tahoma"/>
          <w:spacing w:val="-57"/>
          <w:sz w:val="24"/>
          <w:szCs w:val="24"/>
        </w:rPr>
        <w:t xml:space="preserve"> </w:t>
      </w:r>
      <w:r w:rsidRPr="002462E6">
        <w:rPr>
          <w:rFonts w:ascii="Tahoma" w:eastAsia="Times New Roman" w:hAnsi="Tahoma" w:cs="Tahoma"/>
          <w:sz w:val="24"/>
          <w:szCs w:val="24"/>
        </w:rPr>
        <w:t>territorial, elle est en cours d’immatriculation, une réquisition est ouverte sous le numéro 2697/38</w:t>
      </w:r>
      <w:r w:rsidRPr="002462E6">
        <w:rPr>
          <w:rFonts w:ascii="Tahoma" w:eastAsia="Times New Roman" w:hAnsi="Tahoma" w:cs="Tahoma"/>
          <w:spacing w:val="-57"/>
          <w:sz w:val="24"/>
          <w:szCs w:val="24"/>
        </w:rPr>
        <w:t xml:space="preserve"> </w:t>
      </w:r>
      <w:r w:rsidRPr="002462E6">
        <w:rPr>
          <w:rFonts w:ascii="Tahoma" w:eastAsia="Times New Roman" w:hAnsi="Tahoma" w:cs="Tahoma"/>
          <w:sz w:val="24"/>
          <w:szCs w:val="24"/>
        </w:rPr>
        <w:t>pour</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une</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superficie</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de</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81</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hectares</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64</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ares</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et</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32</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Ca.</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La</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décision</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d’immatriculation</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et</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l’établissement d’un titre foncier sera prise après récolement de bornage et établissement du plan</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foncier, et ce conformément aux dispositions du Dahir du 24 Mai 1922 relatif à l'immatriculation</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des</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immeubles</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domaniaux délimités selon</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la procédure du Dahir du</w:t>
      </w:r>
      <w:r w:rsidRPr="002462E6">
        <w:rPr>
          <w:rFonts w:ascii="Tahoma" w:eastAsia="Times New Roman" w:hAnsi="Tahoma" w:cs="Tahoma"/>
          <w:spacing w:val="-1"/>
          <w:sz w:val="24"/>
          <w:szCs w:val="24"/>
        </w:rPr>
        <w:t xml:space="preserve"> </w:t>
      </w:r>
      <w:r w:rsidRPr="002462E6">
        <w:rPr>
          <w:rFonts w:ascii="Tahoma" w:eastAsia="Times New Roman" w:hAnsi="Tahoma" w:cs="Tahoma"/>
          <w:sz w:val="24"/>
          <w:szCs w:val="24"/>
        </w:rPr>
        <w:t>03.01.1916.</w:t>
      </w:r>
    </w:p>
    <w:p w:rsidR="002B28AE" w:rsidRPr="002462E6" w:rsidRDefault="002B28AE" w:rsidP="00B60607">
      <w:pPr>
        <w:widowControl w:val="0"/>
        <w:autoSpaceDE w:val="0"/>
        <w:autoSpaceDN w:val="0"/>
        <w:spacing w:before="158" w:after="0" w:line="360" w:lineRule="auto"/>
        <w:jc w:val="both"/>
        <w:rPr>
          <w:rFonts w:ascii="Tahoma" w:eastAsia="Times New Roman" w:hAnsi="Tahoma" w:cs="Tahoma"/>
          <w:sz w:val="24"/>
          <w:szCs w:val="24"/>
        </w:rPr>
      </w:pPr>
      <w:r w:rsidRPr="002462E6">
        <w:rPr>
          <w:rFonts w:ascii="Tahoma" w:eastAsia="Times New Roman" w:hAnsi="Tahoma" w:cs="Tahoma"/>
          <w:sz w:val="24"/>
          <w:szCs w:val="24"/>
        </w:rPr>
        <w:t xml:space="preserve">A la lumière de l’analyse du cadre juridique forestier marocain, il apparaît que le Dahir du 26 safar 1334 (3 janvier 1916) a été initialement conçu comme un instrument au service des objectifs de l'administration du Protectorat Français, plutôt que comme un véritable mécanisme de protection du patrimoine forestier national . Cette législation a marqué une transition fondamentale de la propriété sociale des biens environnementaux vers un régime de propriété publique par le truchement de la domanialité publique. </w:t>
      </w:r>
    </w:p>
    <w:p w:rsidR="002B28AE" w:rsidRPr="002462E6" w:rsidRDefault="002B28AE" w:rsidP="00B60607">
      <w:pPr>
        <w:widowControl w:val="0"/>
        <w:autoSpaceDE w:val="0"/>
        <w:autoSpaceDN w:val="0"/>
        <w:spacing w:before="158" w:after="0" w:line="360" w:lineRule="auto"/>
        <w:jc w:val="both"/>
        <w:rPr>
          <w:rFonts w:ascii="Tahoma" w:eastAsia="Times New Roman" w:hAnsi="Tahoma" w:cs="Tahoma"/>
          <w:sz w:val="24"/>
          <w:szCs w:val="24"/>
        </w:rPr>
      </w:pPr>
      <w:r w:rsidRPr="002462E6">
        <w:rPr>
          <w:rFonts w:ascii="Tahoma" w:eastAsia="Times New Roman" w:hAnsi="Tahoma" w:cs="Tahoma"/>
          <w:sz w:val="24"/>
          <w:szCs w:val="24"/>
        </w:rPr>
        <w:t xml:space="preserve">Ce bouleversement juridique a engendré d'importantes résistances sociales à travers le Maroc, particulièrement prononcées dans la région du nord. Ces tensions ont donné naissance à un contentieux juridique considérable, caractérisé par des procédures judiciaires excessivement longues et </w:t>
      </w:r>
      <w:r w:rsidR="00AF2BCF" w:rsidRPr="002462E6">
        <w:rPr>
          <w:rFonts w:ascii="Tahoma" w:eastAsia="Times New Roman" w:hAnsi="Tahoma" w:cs="Tahoma"/>
          <w:sz w:val="24"/>
          <w:szCs w:val="24"/>
        </w:rPr>
        <w:t>complexes.</w:t>
      </w:r>
    </w:p>
    <w:p w:rsidR="002B28AE" w:rsidRPr="002462E6" w:rsidRDefault="002B28AE" w:rsidP="00B60607">
      <w:pPr>
        <w:widowControl w:val="0"/>
        <w:autoSpaceDE w:val="0"/>
        <w:autoSpaceDN w:val="0"/>
        <w:spacing w:before="158" w:after="0" w:line="360" w:lineRule="auto"/>
        <w:jc w:val="both"/>
        <w:rPr>
          <w:rFonts w:ascii="Tahoma" w:eastAsia="Times New Roman" w:hAnsi="Tahoma" w:cs="Tahoma"/>
          <w:sz w:val="24"/>
          <w:szCs w:val="24"/>
        </w:rPr>
      </w:pPr>
      <w:r w:rsidRPr="002462E6">
        <w:rPr>
          <w:rFonts w:ascii="Tahoma" w:eastAsia="Times New Roman" w:hAnsi="Tahoma" w:cs="Tahoma"/>
          <w:sz w:val="24"/>
          <w:szCs w:val="24"/>
        </w:rPr>
        <w:t xml:space="preserve">Le principe de présomption domaniale, pivot de cette législation, révèle ses limites opérationnelles significatives. Les communautés riveraines des forêts procèdent souvent à l'élimination délibérée des marqueurs physiques et apparents sur lesquels repose l'application de ce </w:t>
      </w:r>
      <w:r w:rsidR="00AF2BCF" w:rsidRPr="002462E6">
        <w:rPr>
          <w:rFonts w:ascii="Tahoma" w:eastAsia="Times New Roman" w:hAnsi="Tahoma" w:cs="Tahoma"/>
          <w:sz w:val="24"/>
          <w:szCs w:val="24"/>
        </w:rPr>
        <w:t xml:space="preserve">principe. </w:t>
      </w:r>
      <w:r w:rsidRPr="002462E6">
        <w:rPr>
          <w:rFonts w:ascii="Tahoma" w:eastAsia="Times New Roman" w:hAnsi="Tahoma" w:cs="Tahoma"/>
          <w:sz w:val="24"/>
          <w:szCs w:val="24"/>
        </w:rPr>
        <w:t>Cette pratique de résistance tacite a exercé un impact délétère sur l'intégrité écologique des massifs forestiers, compromettant les objectifs mêmes de protection que la législation prétend servir.</w:t>
      </w:r>
    </w:p>
    <w:p w:rsidR="002B28AE" w:rsidRPr="002462E6" w:rsidRDefault="002B28AE" w:rsidP="00B60607">
      <w:pPr>
        <w:widowControl w:val="0"/>
        <w:autoSpaceDE w:val="0"/>
        <w:autoSpaceDN w:val="0"/>
        <w:spacing w:before="158" w:after="0" w:line="360" w:lineRule="auto"/>
        <w:jc w:val="both"/>
        <w:rPr>
          <w:rFonts w:ascii="Tahoma" w:eastAsia="Times New Roman" w:hAnsi="Tahoma" w:cs="Tahoma"/>
          <w:sz w:val="24"/>
          <w:szCs w:val="24"/>
        </w:rPr>
      </w:pPr>
      <w:r w:rsidRPr="002462E6">
        <w:rPr>
          <w:rFonts w:ascii="Tahoma" w:eastAsia="Times New Roman" w:hAnsi="Tahoma" w:cs="Tahoma"/>
          <w:sz w:val="24"/>
          <w:szCs w:val="24"/>
        </w:rPr>
        <w:t xml:space="preserve">La procédure de délimitation administrative, dans ses différentes phases d'exécution, se caractérise par une prédominance manifeste du pouvoir unilatéral de l'administration forestière. Cette asymétrie de pouvoir est exacerbée par l'absence notable de participation directe et significative des autres parties prenantes essentielles, notamment le conservateur de la propriété foncière, le géomètre et les représentants légitimes des </w:t>
      </w:r>
      <w:r w:rsidR="00AF2BCF" w:rsidRPr="002462E6">
        <w:rPr>
          <w:rFonts w:ascii="Tahoma" w:eastAsia="Times New Roman" w:hAnsi="Tahoma" w:cs="Tahoma"/>
          <w:sz w:val="24"/>
          <w:szCs w:val="24"/>
        </w:rPr>
        <w:t>riverains.</w:t>
      </w:r>
    </w:p>
    <w:p w:rsidR="002B28AE" w:rsidRPr="002462E6" w:rsidRDefault="002B28AE" w:rsidP="00B60607">
      <w:pPr>
        <w:widowControl w:val="0"/>
        <w:autoSpaceDE w:val="0"/>
        <w:autoSpaceDN w:val="0"/>
        <w:spacing w:before="158" w:after="0" w:line="360" w:lineRule="auto"/>
        <w:jc w:val="both"/>
        <w:rPr>
          <w:rFonts w:ascii="Tahoma" w:eastAsia="Times New Roman" w:hAnsi="Tahoma" w:cs="Tahoma"/>
          <w:sz w:val="24"/>
          <w:szCs w:val="24"/>
        </w:rPr>
      </w:pPr>
      <w:r w:rsidRPr="002462E6">
        <w:rPr>
          <w:rFonts w:ascii="Tahoma" w:eastAsia="Times New Roman" w:hAnsi="Tahoma" w:cs="Tahoma"/>
          <w:sz w:val="24"/>
          <w:szCs w:val="24"/>
        </w:rPr>
        <w:t xml:space="preserve">Cette configuration procédurale est aggravée par le caractère potentiellement inadéquat des modalités de publicité employées, telles que les publications au Bulletin Officiel et l'affichage dans les lieux publics. Ces mécanismes de notification peuvent s'avérer préjudiciables aux populations riveraines en raison de facteurs structurels comme l'analphabétisme persistant dans les zones rurales, l'éloignement géographique substantiel et l'inaccessibilité physique des lieux d'affichage officiels. Il convient également de souligner que la délimitation administrative produit des effets juridiques similaires à ceux de l'immatriculation foncière, consolidant ainsi une sécurisation juridique au profit de </w:t>
      </w:r>
      <w:r w:rsidR="00AF2BCF" w:rsidRPr="002462E6">
        <w:rPr>
          <w:rFonts w:ascii="Tahoma" w:eastAsia="Times New Roman" w:hAnsi="Tahoma" w:cs="Tahoma"/>
          <w:sz w:val="24"/>
          <w:szCs w:val="24"/>
        </w:rPr>
        <w:t>l’État.</w:t>
      </w:r>
    </w:p>
    <w:p w:rsidR="002B28AE" w:rsidRPr="002462E6" w:rsidRDefault="002B28AE" w:rsidP="00B60607">
      <w:pPr>
        <w:widowControl w:val="0"/>
        <w:autoSpaceDE w:val="0"/>
        <w:autoSpaceDN w:val="0"/>
        <w:spacing w:before="158" w:after="0" w:line="360" w:lineRule="auto"/>
        <w:jc w:val="both"/>
        <w:rPr>
          <w:rFonts w:ascii="Tahoma" w:eastAsia="Times New Roman" w:hAnsi="Tahoma" w:cs="Tahoma"/>
          <w:sz w:val="24"/>
          <w:szCs w:val="24"/>
        </w:rPr>
      </w:pPr>
      <w:r w:rsidRPr="002462E6">
        <w:rPr>
          <w:rFonts w:ascii="Tahoma" w:eastAsia="Times New Roman" w:hAnsi="Tahoma" w:cs="Tahoma"/>
          <w:sz w:val="24"/>
          <w:szCs w:val="24"/>
        </w:rPr>
        <w:t xml:space="preserve">La présomption de domanialité, fondée exclusivement sur la présence d'une végétation ligneuse d'origine naturelle, apparaît aujourd'hui comme un critère juridiquement obsolète face aux réalités écologiques </w:t>
      </w:r>
      <w:r w:rsidR="00AF2BCF" w:rsidRPr="002462E6">
        <w:rPr>
          <w:rFonts w:ascii="Tahoma" w:eastAsia="Times New Roman" w:hAnsi="Tahoma" w:cs="Tahoma"/>
          <w:sz w:val="24"/>
          <w:szCs w:val="24"/>
        </w:rPr>
        <w:t xml:space="preserve">contemporaines. </w:t>
      </w:r>
      <w:r w:rsidRPr="002462E6">
        <w:rPr>
          <w:rFonts w:ascii="Tahoma" w:eastAsia="Times New Roman" w:hAnsi="Tahoma" w:cs="Tahoma"/>
          <w:sz w:val="24"/>
          <w:szCs w:val="24"/>
        </w:rPr>
        <w:t>Néanmoins, cette présomption continue de jouir d'une application extensive dans la jurisprudence marocaine, témoignant d'un décalage entre l'évolution des connaissances écologiques et la pratique juridique.</w:t>
      </w:r>
    </w:p>
    <w:p w:rsidR="002B28AE" w:rsidRPr="002462E6" w:rsidRDefault="002B28AE" w:rsidP="00B60607">
      <w:pPr>
        <w:widowControl w:val="0"/>
        <w:autoSpaceDE w:val="0"/>
        <w:autoSpaceDN w:val="0"/>
        <w:spacing w:before="158" w:after="0" w:line="360" w:lineRule="auto"/>
        <w:jc w:val="both"/>
        <w:rPr>
          <w:rFonts w:ascii="Tahoma" w:eastAsia="Times New Roman" w:hAnsi="Tahoma" w:cs="Tahoma"/>
          <w:sz w:val="24"/>
          <w:szCs w:val="24"/>
        </w:rPr>
      </w:pPr>
      <w:r w:rsidRPr="002462E6">
        <w:rPr>
          <w:rFonts w:ascii="Tahoma" w:eastAsia="Times New Roman" w:hAnsi="Tahoma" w:cs="Tahoma"/>
          <w:sz w:val="24"/>
          <w:szCs w:val="24"/>
        </w:rPr>
        <w:t xml:space="preserve">Il importe de souligner que le concept de domanialité s'accompagne d'un ensemble de garanties juridiques dont les principes fondamentaux affirment la primauté de l'intérêt public sur les intérêts </w:t>
      </w:r>
      <w:r w:rsidR="00AF2BCF" w:rsidRPr="002462E6">
        <w:rPr>
          <w:rFonts w:ascii="Tahoma" w:eastAsia="Times New Roman" w:hAnsi="Tahoma" w:cs="Tahoma"/>
          <w:sz w:val="24"/>
          <w:szCs w:val="24"/>
        </w:rPr>
        <w:t xml:space="preserve">particuliers. </w:t>
      </w:r>
      <w:r w:rsidRPr="002462E6">
        <w:rPr>
          <w:rFonts w:ascii="Tahoma" w:eastAsia="Times New Roman" w:hAnsi="Tahoma" w:cs="Tahoma"/>
          <w:sz w:val="24"/>
          <w:szCs w:val="24"/>
        </w:rPr>
        <w:t xml:space="preserve">Cependant, cette configuration juridique peut engendrer une multiplicité de problèmes d'ordre social, technique et juridique dans le contexte de la gestion forestière </w:t>
      </w:r>
      <w:r w:rsidR="00AF2BCF" w:rsidRPr="002462E6">
        <w:rPr>
          <w:rFonts w:ascii="Tahoma" w:eastAsia="Times New Roman" w:hAnsi="Tahoma" w:cs="Tahoma"/>
          <w:sz w:val="24"/>
          <w:szCs w:val="24"/>
        </w:rPr>
        <w:t xml:space="preserve">moderne. </w:t>
      </w:r>
    </w:p>
    <w:p w:rsidR="002B28AE" w:rsidRPr="002462E6" w:rsidRDefault="002B28AE" w:rsidP="00B60607">
      <w:pPr>
        <w:widowControl w:val="0"/>
        <w:autoSpaceDE w:val="0"/>
        <w:autoSpaceDN w:val="0"/>
        <w:spacing w:before="158" w:after="0" w:line="360" w:lineRule="auto"/>
        <w:jc w:val="both"/>
        <w:rPr>
          <w:rFonts w:ascii="Tahoma" w:eastAsia="Times New Roman" w:hAnsi="Tahoma" w:cs="Tahoma"/>
          <w:sz w:val="24"/>
          <w:szCs w:val="24"/>
        </w:rPr>
      </w:pPr>
      <w:r w:rsidRPr="002462E6">
        <w:rPr>
          <w:rFonts w:ascii="Tahoma" w:eastAsia="Times New Roman" w:hAnsi="Tahoma" w:cs="Tahoma"/>
          <w:sz w:val="24"/>
          <w:szCs w:val="24"/>
        </w:rPr>
        <w:t xml:space="preserve">Dans cette perspective analytique, il convient de mettre en exergue que le régime de la domanialité n'a pas pour vocation primordiale d'assurer une gestion écologiquement rationnelle des biens naturels, mais vise principalement à les préserver de tout risque d'appropriation à des fins d'usage </w:t>
      </w:r>
      <w:r w:rsidR="009B7A64" w:rsidRPr="002462E6">
        <w:rPr>
          <w:rFonts w:ascii="Tahoma" w:eastAsia="Times New Roman" w:hAnsi="Tahoma" w:cs="Tahoma"/>
          <w:sz w:val="24"/>
          <w:szCs w:val="24"/>
        </w:rPr>
        <w:t>privé.</w:t>
      </w:r>
    </w:p>
    <w:p w:rsidR="002B28AE" w:rsidRPr="002462E6" w:rsidRDefault="002B28AE" w:rsidP="00B60607">
      <w:pPr>
        <w:widowControl w:val="0"/>
        <w:autoSpaceDE w:val="0"/>
        <w:autoSpaceDN w:val="0"/>
        <w:spacing w:before="158" w:after="0" w:line="360" w:lineRule="auto"/>
        <w:jc w:val="both"/>
        <w:rPr>
          <w:rFonts w:ascii="Tahoma" w:eastAsia="Times New Roman" w:hAnsi="Tahoma" w:cs="Tahoma"/>
          <w:sz w:val="24"/>
          <w:szCs w:val="24"/>
        </w:rPr>
      </w:pPr>
      <w:r w:rsidRPr="002462E6">
        <w:rPr>
          <w:rFonts w:ascii="Tahoma" w:eastAsia="Times New Roman" w:hAnsi="Tahoma" w:cs="Tahoma"/>
          <w:sz w:val="24"/>
          <w:szCs w:val="24"/>
        </w:rPr>
        <w:t xml:space="preserve">Cette conception de la domanialité puise ses fondements dans une logique juridique abstraite et non dans une compréhension de la nature intrinsèque des écosystèmes forestiers. Sa justification principale réside dans la destination d'usage des biens plutôt que dans leur nature spécifique, considérant que tous les biens sont potentiellement susceptibles de propriété et d'affectation à l'usage public. Cette approche tend à négliger les caractéristiques physiques et écologiques distinctives du domaine </w:t>
      </w:r>
      <w:r w:rsidR="009B7A64" w:rsidRPr="002462E6">
        <w:rPr>
          <w:rFonts w:ascii="Tahoma" w:eastAsia="Times New Roman" w:hAnsi="Tahoma" w:cs="Tahoma"/>
          <w:sz w:val="24"/>
          <w:szCs w:val="24"/>
        </w:rPr>
        <w:t>forestier.</w:t>
      </w:r>
    </w:p>
    <w:p w:rsidR="002B28AE" w:rsidRPr="002462E6" w:rsidRDefault="002B28AE" w:rsidP="00B60607">
      <w:pPr>
        <w:widowControl w:val="0"/>
        <w:autoSpaceDE w:val="0"/>
        <w:autoSpaceDN w:val="0"/>
        <w:spacing w:before="158" w:after="0" w:line="360" w:lineRule="auto"/>
        <w:jc w:val="both"/>
        <w:rPr>
          <w:rFonts w:ascii="Tahoma" w:eastAsia="Times New Roman" w:hAnsi="Tahoma" w:cs="Tahoma"/>
          <w:sz w:val="24"/>
          <w:szCs w:val="24"/>
        </w:rPr>
      </w:pPr>
      <w:r w:rsidRPr="002462E6">
        <w:rPr>
          <w:rFonts w:ascii="Tahoma" w:eastAsia="Times New Roman" w:hAnsi="Tahoma" w:cs="Tahoma"/>
          <w:sz w:val="24"/>
          <w:szCs w:val="24"/>
        </w:rPr>
        <w:t>Face aux insuffisances juridiques identifiées dans le droit forestier marocain, la loi-cadre n° 99-12 portant Charte Nationale de l'Environnement et du Développement Durable a préconisé une révision substantielle de la législation forestière (Ministère de l'Énergie, des Mines et de l'Environnement, 2014). Il est toutefois préoccupant de constater que les textes juridiques concernés demeurent souvent laconiques, réduits à leur expression minimale, et dépourvus des précisions procédurales et des délais nécessaires à leur application efficace, octroyant ainsi à l'administration une marge discrétionnaire considérable.</w:t>
      </w:r>
    </w:p>
    <w:p w:rsidR="002B28AE" w:rsidRPr="002462E6" w:rsidRDefault="002B28AE" w:rsidP="00B60607">
      <w:pPr>
        <w:widowControl w:val="0"/>
        <w:autoSpaceDE w:val="0"/>
        <w:autoSpaceDN w:val="0"/>
        <w:spacing w:before="158" w:after="0" w:line="360" w:lineRule="auto"/>
        <w:jc w:val="both"/>
        <w:rPr>
          <w:rFonts w:ascii="Tahoma" w:eastAsia="Times New Roman" w:hAnsi="Tahoma" w:cs="Tahoma"/>
          <w:sz w:val="24"/>
          <w:szCs w:val="24"/>
        </w:rPr>
      </w:pPr>
      <w:r w:rsidRPr="002462E6">
        <w:rPr>
          <w:rFonts w:ascii="Tahoma" w:eastAsia="Times New Roman" w:hAnsi="Tahoma" w:cs="Tahoma"/>
          <w:sz w:val="24"/>
          <w:szCs w:val="24"/>
        </w:rPr>
        <w:t xml:space="preserve">En résumé, la domanialité offre théoriquement des garanties pour la protection de l'environnement. Ses principes fondamentaux, tels que l'inaliénabilité et l'imprescriptibilité, visent à assurer la prédominance de l'intérêt public sur l'intérêt privé. Cependant, la confrontation de ces principes avec la réalité révèle que les valeurs sous-jacentes sont parfois virtuelles et peuvent entraîner des effets négatifs </w:t>
      </w:r>
    </w:p>
    <w:p w:rsidR="002B28AE" w:rsidRPr="002462E6" w:rsidRDefault="002B28AE" w:rsidP="00B60607">
      <w:pPr>
        <w:widowControl w:val="0"/>
        <w:autoSpaceDE w:val="0"/>
        <w:autoSpaceDN w:val="0"/>
        <w:spacing w:before="158" w:after="0" w:line="360" w:lineRule="auto"/>
        <w:jc w:val="both"/>
        <w:rPr>
          <w:rFonts w:ascii="Tahoma" w:eastAsia="Times New Roman" w:hAnsi="Tahoma" w:cs="Tahoma"/>
          <w:sz w:val="28"/>
          <w:szCs w:val="28"/>
        </w:rPr>
      </w:pPr>
      <w:r w:rsidRPr="002462E6">
        <w:rPr>
          <w:rFonts w:ascii="Tahoma" w:eastAsia="Times New Roman" w:hAnsi="Tahoma" w:cs="Tahoma"/>
          <w:sz w:val="24"/>
          <w:szCs w:val="24"/>
        </w:rPr>
        <w:t xml:space="preserve">Un décalage substantiel peut ainsi être observé entre le droit de la domanialité, dans sa conception et son application, et les exigences concrètes de la gestion forestière soutenable, conduisant à une efficacité limitée des mesures de protection environnementale. Par ailleurs, les contraintes inhérentes à l'application du pouvoir de police administrative peuvent entraver l'émergence d'une gouvernance participative du </w:t>
      </w:r>
      <w:r w:rsidRPr="002462E6">
        <w:rPr>
          <w:rFonts w:ascii="Tahoma" w:eastAsia="Times New Roman" w:hAnsi="Tahoma" w:cs="Tahoma"/>
          <w:sz w:val="28"/>
          <w:szCs w:val="28"/>
        </w:rPr>
        <w:t>domaine forestier et, par voie de conséquence, compromettre sa protection effective.</w:t>
      </w:r>
    </w:p>
    <w:p w:rsidR="002B28AE" w:rsidRPr="002462E6" w:rsidRDefault="002B28AE" w:rsidP="00B60607">
      <w:pPr>
        <w:widowControl w:val="0"/>
        <w:autoSpaceDE w:val="0"/>
        <w:autoSpaceDN w:val="0"/>
        <w:spacing w:before="158" w:after="0" w:line="360" w:lineRule="auto"/>
        <w:jc w:val="both"/>
        <w:rPr>
          <w:rFonts w:ascii="Tahoma" w:eastAsia="Times New Roman" w:hAnsi="Tahoma" w:cs="Tahoma"/>
          <w:sz w:val="24"/>
          <w:szCs w:val="24"/>
        </w:rPr>
      </w:pPr>
      <w:r w:rsidRPr="002462E6">
        <w:rPr>
          <w:rFonts w:ascii="Tahoma" w:eastAsia="Times New Roman" w:hAnsi="Tahoma" w:cs="Tahoma"/>
          <w:sz w:val="24"/>
          <w:szCs w:val="24"/>
        </w:rPr>
        <w:t>L'indifférence relative de la domanialité aux impératifs de protection environnementale traduit un retard significatif dans l'intégration des préoccupations écologiques contemporaines dans la gouvernance du domaine forestier. Cette situation découle principalement de l'inadaptation des instruments juridiques classiques offerts par le régime de la domanialité aux exigences spécifiques de la protection des écosystèmes forestiers.</w:t>
      </w:r>
    </w:p>
    <w:p w:rsidR="002B28AE" w:rsidRPr="002462E6" w:rsidRDefault="002B28AE" w:rsidP="00B60607">
      <w:pPr>
        <w:widowControl w:val="0"/>
        <w:autoSpaceDE w:val="0"/>
        <w:autoSpaceDN w:val="0"/>
        <w:spacing w:before="158" w:after="0" w:line="360" w:lineRule="auto"/>
        <w:jc w:val="both"/>
        <w:rPr>
          <w:rFonts w:ascii="Tahoma" w:eastAsia="Times New Roman" w:hAnsi="Tahoma" w:cs="Tahoma"/>
          <w:sz w:val="24"/>
          <w:szCs w:val="24"/>
        </w:rPr>
      </w:pPr>
      <w:r w:rsidRPr="002462E6">
        <w:rPr>
          <w:rFonts w:ascii="Tahoma" w:eastAsia="Times New Roman" w:hAnsi="Tahoma" w:cs="Tahoma"/>
          <w:sz w:val="24"/>
          <w:szCs w:val="24"/>
        </w:rPr>
        <w:t xml:space="preserve">Enfin, les pouvoirs de police et de gestion dévolus à l'administration domaniale demeurent caractérisés, tant dans leur conception théorique que dans leur mise en œuvre pratique, par l'absence de mécanismes de dialogue et de concertation authentiques avec les populations concernées. Les usagers traditionnels de la forêt ne sont pas considérés comme des partenaires légitimes d'une gestion véritablement collaborative et efficiente du patrimoine </w:t>
      </w:r>
      <w:r w:rsidR="009B7A64" w:rsidRPr="002462E6">
        <w:rPr>
          <w:rFonts w:ascii="Tahoma" w:eastAsia="Times New Roman" w:hAnsi="Tahoma" w:cs="Tahoma"/>
          <w:sz w:val="24"/>
          <w:szCs w:val="24"/>
        </w:rPr>
        <w:t>forestier.</w:t>
      </w:r>
    </w:p>
    <w:p w:rsidR="002B28AE" w:rsidRPr="002462E6" w:rsidRDefault="002B28AE" w:rsidP="00B60607">
      <w:pPr>
        <w:widowControl w:val="0"/>
        <w:autoSpaceDE w:val="0"/>
        <w:autoSpaceDN w:val="0"/>
        <w:spacing w:before="158" w:after="0" w:line="360" w:lineRule="auto"/>
        <w:jc w:val="both"/>
        <w:rPr>
          <w:rFonts w:ascii="Tahoma" w:eastAsia="Times New Roman" w:hAnsi="Tahoma" w:cs="Tahoma"/>
          <w:sz w:val="24"/>
          <w:szCs w:val="24"/>
        </w:rPr>
      </w:pPr>
      <w:r w:rsidRPr="002462E6">
        <w:rPr>
          <w:rFonts w:ascii="Tahoma" w:eastAsia="Times New Roman" w:hAnsi="Tahoma" w:cs="Tahoma"/>
          <w:sz w:val="24"/>
          <w:szCs w:val="24"/>
        </w:rPr>
        <w:t xml:space="preserve">En conclusion de cette première section, il apparaît que le patrimoine forestier marocain, tant à l'échelle nationale que spécifiquement dans la zone d'étude de la forêt de Korifla, se distingue par sa richesse floristique et sa multifonctionnalité intrinsèque qui justifient pleinement sa protection juridique renforcée. Cependant, l'examen approfondi des spécificités du régime domanial forestier marocain, notamment son caractère inaliénable, insaisissable et imprescriptible, ainsi que les nuances juridiques introduites par les mécanismes d'expropriation et d'occupation temporaire, révèle une complexité juridique qui pourrait, paradoxalement, fragiliser cette protection. </w:t>
      </w:r>
    </w:p>
    <w:p w:rsidR="002B28AE" w:rsidRPr="002462E6" w:rsidRDefault="002B28AE" w:rsidP="00B60607">
      <w:pPr>
        <w:widowControl w:val="0"/>
        <w:autoSpaceDE w:val="0"/>
        <w:autoSpaceDN w:val="0"/>
        <w:spacing w:before="158" w:after="0" w:line="360" w:lineRule="auto"/>
        <w:jc w:val="both"/>
        <w:rPr>
          <w:rFonts w:ascii="Tahoma" w:eastAsia="Times New Roman" w:hAnsi="Tahoma" w:cs="Tahoma"/>
          <w:sz w:val="24"/>
          <w:szCs w:val="24"/>
        </w:rPr>
      </w:pPr>
      <w:r w:rsidRPr="002462E6">
        <w:rPr>
          <w:rFonts w:ascii="Tahoma" w:eastAsia="Times New Roman" w:hAnsi="Tahoma" w:cs="Tahoma"/>
          <w:sz w:val="24"/>
          <w:szCs w:val="24"/>
        </w:rPr>
        <w:t xml:space="preserve">Bien que la délimitation administrative, fondée sur la présomption de domanialité, soit conçue comme un instrument fondamental pour la sauvegarde du patrimoine forestier, cette procédure souffre de déficiences structurelles majeures : prédominance unilatérale de l'administration forestière, participation restreinte des parties prenantes concernées et modalités de publicité inadaptées aux réalités socioculturelles des populations rurales. </w:t>
      </w:r>
    </w:p>
    <w:p w:rsidR="002B28AE" w:rsidRPr="002462E6" w:rsidRDefault="002B28AE" w:rsidP="00B60607">
      <w:pPr>
        <w:widowControl w:val="0"/>
        <w:autoSpaceDE w:val="0"/>
        <w:autoSpaceDN w:val="0"/>
        <w:spacing w:before="158" w:after="0" w:line="360" w:lineRule="auto"/>
        <w:jc w:val="both"/>
        <w:rPr>
          <w:rFonts w:ascii="Tahoma" w:eastAsia="Times New Roman" w:hAnsi="Tahoma" w:cs="Tahoma"/>
          <w:sz w:val="24"/>
          <w:szCs w:val="24"/>
        </w:rPr>
      </w:pPr>
      <w:r w:rsidRPr="002462E6">
        <w:rPr>
          <w:rFonts w:ascii="Tahoma" w:eastAsia="Times New Roman" w:hAnsi="Tahoma" w:cs="Tahoma"/>
          <w:sz w:val="24"/>
          <w:szCs w:val="24"/>
        </w:rPr>
        <w:t xml:space="preserve">Ces facteurs, conjugués aux difficultés d'ordre social, technique et juridique découlant de l'application du régime de domanialité, ainsi qu'à la priorité accordée à la prévention de l'appropriation privée au détriment d'une gestion écologiquement rationnelle, témoignent d'un décalage considérable entre les objectifs théoriques de la domanialité publique et les impératifs contemporains de la protection environnementale. L'absence de mécanismes de dialogue et de concertation véritablement inclusifs avec les populations locales dans l'exercice des pouvoirs administratifs contribue significativement à l'inefficacité des mesures de protection, reflétant un retard substantiel dans l'intégration des préoccupations écologiques et des approches participatives au sein de la gouvernance du domaine forestier marocain. </w:t>
      </w:r>
    </w:p>
    <w:p w:rsidR="00DE6D6C" w:rsidRPr="00326A33" w:rsidRDefault="002B28AE" w:rsidP="00326A33">
      <w:pPr>
        <w:widowControl w:val="0"/>
        <w:autoSpaceDE w:val="0"/>
        <w:autoSpaceDN w:val="0"/>
        <w:spacing w:before="158" w:after="0" w:line="360" w:lineRule="auto"/>
        <w:jc w:val="both"/>
        <w:rPr>
          <w:rFonts w:ascii="Tahoma" w:eastAsia="Times New Roman" w:hAnsi="Tahoma" w:cs="Tahoma"/>
          <w:sz w:val="24"/>
          <w:szCs w:val="24"/>
        </w:rPr>
      </w:pPr>
      <w:r w:rsidRPr="002462E6">
        <w:rPr>
          <w:rFonts w:ascii="Tahoma" w:eastAsia="Times New Roman" w:hAnsi="Tahoma" w:cs="Tahoma"/>
          <w:sz w:val="24"/>
          <w:szCs w:val="24"/>
        </w:rPr>
        <w:t>Cette situation appelle impérativement une refonte profonde des approches juridiques et administratives actuelles afin de garantir une protection plus effective et socialement équitable du patrimoine forestier national, particulièrement dans des zones écologiquement vulnérables comme la forêt de Korifla, où les enjeux de conservation s'entrecroisent avec des dynamiques socioéconomiques complexes susceptibles d'alimenter des phénomènes migratoires.</w:t>
      </w:r>
    </w:p>
    <w:p w:rsidR="00DE6D6C" w:rsidRPr="002462E6" w:rsidRDefault="00DA2522" w:rsidP="00DE6D6C">
      <w:pPr>
        <w:spacing w:line="360" w:lineRule="auto"/>
        <w:jc w:val="both"/>
        <w:rPr>
          <w:rFonts w:ascii="Tahoma" w:hAnsi="Tahoma" w:cs="Tahoma"/>
          <w:sz w:val="24"/>
          <w:szCs w:val="24"/>
        </w:rPr>
      </w:pPr>
      <w:r w:rsidRPr="002462E6">
        <w:rPr>
          <w:rFonts w:ascii="Tahoma" w:hAnsi="Tahoma" w:cs="Tahoma"/>
          <w:sz w:val="24"/>
          <w:szCs w:val="24"/>
        </w:rPr>
        <w:t>En somme, l</w:t>
      </w:r>
      <w:r w:rsidR="00DE6D6C" w:rsidRPr="002462E6">
        <w:rPr>
          <w:rFonts w:ascii="Tahoma" w:hAnsi="Tahoma" w:cs="Tahoma"/>
          <w:sz w:val="24"/>
          <w:szCs w:val="24"/>
        </w:rPr>
        <w:t>'examen analytique du patrimoine floral forestier marocain met en évidence une dialectique complexe entre la valeur intrinsèque de ce capital naturel et les défaillances structurelles du dispositif juridico-institutionnel censé en assurer la préservation.</w:t>
      </w:r>
    </w:p>
    <w:p w:rsidR="00DE6D6C" w:rsidRPr="002462E6" w:rsidRDefault="00DE6D6C" w:rsidP="00DE6D6C">
      <w:pPr>
        <w:spacing w:line="360" w:lineRule="auto"/>
        <w:jc w:val="both"/>
        <w:rPr>
          <w:rFonts w:ascii="Tahoma" w:hAnsi="Tahoma" w:cs="Tahoma"/>
          <w:sz w:val="24"/>
          <w:szCs w:val="24"/>
        </w:rPr>
      </w:pPr>
      <w:r w:rsidRPr="002462E6">
        <w:rPr>
          <w:rFonts w:ascii="Tahoma" w:hAnsi="Tahoma" w:cs="Tahoma"/>
          <w:sz w:val="24"/>
          <w:szCs w:val="24"/>
        </w:rPr>
        <w:t xml:space="preserve">En effet, le domaine forestier marocain, couvrant 9 millions d'hectares et comptabilisant une quarantaine d'écosystèmes terrestres distincts, constitue un patrimoine naturel d'une diversité biologique exceptionnelle. Cette richesse s'objective à travers plusieurs indicateurs : 4 000 plantes vasculaires, 550 espèces de vertébrés et 1 000 espèces d'invertébrés. Sur le plan fonctionnel, ces écosystèmes s'inscrivent dans une logique de multifonctionnalité territoriale, articulant fonctions productives (30% des besoins nationaux en bois), énergétiques (18% du bilan énergétique national), écologiques (lutte contre l'érosion de 5 000 tonnes/km²/an dans le Rif) et sociales (subsistance de près de 7 millions d'habitants ruraux). La forêt de Korifla, avec ses 15 140 hectares </w:t>
      </w:r>
      <w:r w:rsidR="00A87C34" w:rsidRPr="002462E6">
        <w:rPr>
          <w:rFonts w:ascii="Tahoma" w:hAnsi="Tahoma" w:cs="Tahoma"/>
          <w:sz w:val="24"/>
          <w:szCs w:val="24"/>
        </w:rPr>
        <w:t>dominés par Tetraclinis articulata</w:t>
      </w:r>
      <w:r w:rsidRPr="002462E6">
        <w:rPr>
          <w:rFonts w:ascii="Tahoma" w:hAnsi="Tahoma" w:cs="Tahoma"/>
          <w:sz w:val="24"/>
          <w:szCs w:val="24"/>
        </w:rPr>
        <w:t xml:space="preserve"> et son statut de SIBE, illustre cette multifonctionnalité à l'échelle mésologique, démontrant l'interconnexion entre diversité floristique et services écosystémiques.</w:t>
      </w:r>
    </w:p>
    <w:p w:rsidR="00DE6D6C" w:rsidRPr="002462E6" w:rsidRDefault="00DE6D6C" w:rsidP="00DE6D6C">
      <w:pPr>
        <w:spacing w:line="360" w:lineRule="auto"/>
        <w:jc w:val="both"/>
        <w:rPr>
          <w:rFonts w:ascii="Tahoma" w:hAnsi="Tahoma" w:cs="Tahoma"/>
          <w:sz w:val="24"/>
          <w:szCs w:val="24"/>
        </w:rPr>
      </w:pPr>
      <w:r w:rsidRPr="002462E6">
        <w:rPr>
          <w:rFonts w:ascii="Tahoma" w:hAnsi="Tahoma" w:cs="Tahoma"/>
          <w:sz w:val="24"/>
          <w:szCs w:val="24"/>
        </w:rPr>
        <w:t>L'architecture juridique forestière, structurée autour du Dahir de 1917 et du régime de domanialité publique, révèle des dysfonctionnements épistémologiques et opérationnels majeurs. L'analyse critique de la procédure de délimitation administrative expose une gestion technocratique caractérisée par l'unilatéralisme administratif et l'exclusion systémique des parties prenantes locales. La présomption de domanialité, fondée sur le seul critère de végétation ligneuse naturelle, constitue un paradigme juridique obsolète, inadapté aux avancées contemporaines de l'écologie scientifique et de la gestion adaptative des ressources naturelles.</w:t>
      </w:r>
    </w:p>
    <w:p w:rsidR="00DE6D6C" w:rsidRPr="002462E6" w:rsidRDefault="00DE6D6C" w:rsidP="00DE6D6C">
      <w:pPr>
        <w:spacing w:line="360" w:lineRule="auto"/>
        <w:jc w:val="both"/>
        <w:rPr>
          <w:rFonts w:ascii="Tahoma" w:hAnsi="Tahoma" w:cs="Tahoma"/>
          <w:sz w:val="24"/>
          <w:szCs w:val="24"/>
        </w:rPr>
      </w:pPr>
      <w:r w:rsidRPr="002462E6">
        <w:rPr>
          <w:rFonts w:ascii="Tahoma" w:hAnsi="Tahoma" w:cs="Tahoma"/>
          <w:sz w:val="24"/>
          <w:szCs w:val="24"/>
        </w:rPr>
        <w:t>L'examen approfondi du régime domanial révèle une antinomie fondamentale entre ses objectifs originels - prévention de l'appropriation privée - et les impératifs contemporains de gestion écosystémique. Cette configuration normative génère un paradoxe opérationnel : loin de protéger effectivement le patrimoine forestier, elle suscite des résistances sociales qui se matérialisent par des pratiques de dégradation anthropique, notamment l'élimination délibérée des marqueurs de domanialité. Cette dynamique conflictuelle témoigne de l'inadéquation entre un modèle de gouvernance descendante, hérité de l'administration coloniale, et les exigences d'une gestion participative et écologiquement rationnelle.</w:t>
      </w:r>
    </w:p>
    <w:p w:rsidR="00DE6D6C" w:rsidRPr="002462E6" w:rsidRDefault="00DE6D6C" w:rsidP="00DE6D6C">
      <w:pPr>
        <w:spacing w:line="360" w:lineRule="auto"/>
        <w:jc w:val="both"/>
        <w:rPr>
          <w:rFonts w:ascii="Tahoma" w:hAnsi="Tahoma" w:cs="Tahoma"/>
          <w:sz w:val="24"/>
          <w:szCs w:val="24"/>
        </w:rPr>
      </w:pPr>
      <w:r w:rsidRPr="002462E6">
        <w:rPr>
          <w:rFonts w:ascii="Tahoma" w:hAnsi="Tahoma" w:cs="Tahoma"/>
          <w:sz w:val="24"/>
          <w:szCs w:val="24"/>
        </w:rPr>
        <w:t>L'absence de mécanismes institutionnalisés de concertation et de co-gestion avec les populations riveraines constitue une lacune structurelle majeure du dispositif juridique actuel. Cette défaillance de la gouvernance participative compromet non seulement l'efficacité des mesures de protection, mais génère également des effets pervers en termes de cohésion sociale et de durabilité écologique. Le caractère lacunaire des textes normatifs, conjugué à la marge discrétionnaire excessive accordée à l'administration forestière, perpétue un modèle de gestion autoritaire incompatible avec les principes de la gouvernance environnementale moderne.</w:t>
      </w:r>
    </w:p>
    <w:p w:rsidR="00DE6D6C" w:rsidRPr="002462E6" w:rsidRDefault="00DE6D6C" w:rsidP="00DE6D6C">
      <w:pPr>
        <w:spacing w:line="360" w:lineRule="auto"/>
        <w:jc w:val="both"/>
        <w:rPr>
          <w:rFonts w:ascii="Tahoma" w:hAnsi="Tahoma" w:cs="Tahoma"/>
          <w:sz w:val="24"/>
          <w:szCs w:val="24"/>
        </w:rPr>
      </w:pPr>
      <w:r w:rsidRPr="002462E6">
        <w:rPr>
          <w:rFonts w:ascii="Tahoma" w:hAnsi="Tahoma" w:cs="Tahoma"/>
          <w:sz w:val="24"/>
          <w:szCs w:val="24"/>
        </w:rPr>
        <w:t>Cette analyse critique appelle une refondation épistémologique et méthodologique du cadre juridico-institutionnel forestier. Une telle démarche nécessite l'intégration de quatre dimensions fondamentales : l'adoption d'une approche écosystémique intégrant les avancées de l'écologie du paysage ; la reconnaissance juridique des savoirs locaux et des droits d'usage traditionnels ; l'institutionnalisation de mécanismes de gestion participative et adaptative ; et enfin, l'élaboration d'un corpus normatif fondé sur des critères scientifiques actualisés plutôt que sur des présomptions juridiques anachroniques.</w:t>
      </w:r>
    </w:p>
    <w:p w:rsidR="00F540C5" w:rsidRPr="002462E6" w:rsidRDefault="00DE6D6C" w:rsidP="00326A33">
      <w:pPr>
        <w:spacing w:line="360" w:lineRule="auto"/>
        <w:jc w:val="both"/>
        <w:rPr>
          <w:rFonts w:ascii="Tahoma" w:hAnsi="Tahoma" w:cs="Tahoma"/>
          <w:sz w:val="24"/>
          <w:szCs w:val="24"/>
        </w:rPr>
      </w:pPr>
      <w:r w:rsidRPr="002462E6">
        <w:rPr>
          <w:rFonts w:ascii="Tahoma" w:hAnsi="Tahoma" w:cs="Tahoma"/>
          <w:sz w:val="24"/>
          <w:szCs w:val="24"/>
        </w:rPr>
        <w:t>Cette transformation paradigmatique s'impose comme condition nécessaire à l'émergence d'un modèle de gestion forestière véritablement durable, capable de concilier impératifs de conservation, exigences socio-économiques et dynamiques territoriales dans un contexte de mutations environnementales globales et de pressions anthropiques croissantes.</w:t>
      </w:r>
    </w:p>
    <w:p w:rsidR="00664463" w:rsidRPr="002462E6" w:rsidRDefault="00664463" w:rsidP="007A71CC">
      <w:pPr>
        <w:pStyle w:val="Titre3"/>
      </w:pPr>
      <w:bookmarkStart w:id="256" w:name="_Toc203643042"/>
      <w:r w:rsidRPr="002462E6">
        <w:t>Deuxième section : Dynamique de la dégradation des forêts au Maroc et impacts sur la biodiversité</w:t>
      </w:r>
      <w:bookmarkEnd w:id="256"/>
      <w:r w:rsidRPr="002462E6">
        <w:t xml:space="preserve"> </w:t>
      </w:r>
    </w:p>
    <w:p w:rsidR="00664463" w:rsidRPr="00326A33" w:rsidRDefault="00664463" w:rsidP="00664463">
      <w:pPr>
        <w:rPr>
          <w:rFonts w:ascii="Calibri" w:eastAsia="Calibri" w:hAnsi="Calibri" w:cs="Arial"/>
          <w:sz w:val="10"/>
          <w:szCs w:val="10"/>
        </w:rPr>
      </w:pPr>
    </w:p>
    <w:p w:rsidR="00664463" w:rsidRPr="002462E6" w:rsidRDefault="00664463" w:rsidP="00664463">
      <w:pPr>
        <w:spacing w:line="360" w:lineRule="auto"/>
        <w:jc w:val="both"/>
        <w:rPr>
          <w:rFonts w:ascii="Tahoma" w:eastAsia="Calibri" w:hAnsi="Tahoma" w:cs="Tahoma"/>
          <w:sz w:val="24"/>
          <w:szCs w:val="24"/>
        </w:rPr>
      </w:pPr>
      <w:r w:rsidRPr="002462E6">
        <w:rPr>
          <w:rFonts w:ascii="Tahoma" w:eastAsia="Calibri" w:hAnsi="Tahoma" w:cs="Tahoma"/>
          <w:sz w:val="24"/>
          <w:szCs w:val="24"/>
        </w:rPr>
        <w:t>L'analyse contemporaine de la dégradation forestière au Maroc s'inscrit dans une problématique environnementale complexe qui nécessite une contextualisation historique rigoureuse intégrant les transformations structurelles induites par la période coloniale. Cette démarche méthodologique constitue un prérequis épistémologique</w:t>
      </w:r>
      <w:r w:rsidR="008D3838">
        <w:rPr>
          <w:rFonts w:ascii="Tahoma" w:eastAsia="Calibri" w:hAnsi="Tahoma" w:cs="Tahoma"/>
          <w:sz w:val="24"/>
          <w:szCs w:val="24"/>
        </w:rPr>
        <w:t xml:space="preserve"> </w:t>
      </w:r>
      <w:r w:rsidRPr="002462E6">
        <w:rPr>
          <w:rFonts w:ascii="Tahoma" w:eastAsia="Calibri" w:hAnsi="Tahoma" w:cs="Tahoma"/>
          <w:sz w:val="24"/>
          <w:szCs w:val="24"/>
        </w:rPr>
        <w:t>fondamental pour comprendre les mécanismes actuels de dégradation des écosystèmes forestiers marocains</w:t>
      </w:r>
      <w:r w:rsidRPr="002462E6">
        <w:rPr>
          <w:rFonts w:ascii="Tahoma" w:eastAsia="Calibri" w:hAnsi="Tahoma" w:cs="Tahoma"/>
          <w:sz w:val="24"/>
          <w:szCs w:val="24"/>
          <w:vertAlign w:val="superscript"/>
        </w:rPr>
        <w:footnoteReference w:id="293"/>
      </w:r>
      <w:r w:rsidRPr="002462E6">
        <w:rPr>
          <w:rFonts w:ascii="Tahoma" w:eastAsia="Calibri" w:hAnsi="Tahoma" w:cs="Tahoma"/>
          <w:sz w:val="24"/>
          <w:szCs w:val="24"/>
        </w:rPr>
        <w:t xml:space="preserve">. </w:t>
      </w:r>
    </w:p>
    <w:p w:rsidR="00664463" w:rsidRPr="002462E6" w:rsidRDefault="00664463" w:rsidP="003F4104">
      <w:pPr>
        <w:spacing w:line="360" w:lineRule="auto"/>
        <w:jc w:val="both"/>
        <w:rPr>
          <w:rFonts w:ascii="Tahoma" w:eastAsia="Calibri" w:hAnsi="Tahoma" w:cs="Tahoma"/>
          <w:sz w:val="24"/>
          <w:szCs w:val="24"/>
        </w:rPr>
      </w:pPr>
      <w:r w:rsidRPr="002462E6">
        <w:rPr>
          <w:rFonts w:ascii="Tahoma" w:eastAsia="Calibri" w:hAnsi="Tahoma" w:cs="Tahoma"/>
          <w:sz w:val="24"/>
          <w:szCs w:val="24"/>
        </w:rPr>
        <w:t>L'état actuel de dégradation des forêts marocaines révèle une surexploitation systémique, conséquence directe des pratiques extractives intensives mises en œuvre durant les périodes coloniale et post-coloniale</w:t>
      </w:r>
      <w:r w:rsidRPr="002462E6">
        <w:rPr>
          <w:rFonts w:ascii="Tahoma" w:eastAsia="Calibri" w:hAnsi="Tahoma" w:cs="Tahoma"/>
          <w:sz w:val="24"/>
          <w:szCs w:val="24"/>
          <w:vertAlign w:val="superscript"/>
        </w:rPr>
        <w:footnoteReference w:id="294"/>
      </w:r>
      <w:r w:rsidR="003F4104">
        <w:rPr>
          <w:rFonts w:ascii="Tahoma" w:eastAsia="Calibri" w:hAnsi="Tahoma" w:cs="Tahoma"/>
          <w:sz w:val="24"/>
          <w:szCs w:val="24"/>
        </w:rPr>
        <w:t xml:space="preserve">. </w:t>
      </w:r>
      <w:r w:rsidRPr="002462E6">
        <w:rPr>
          <w:rFonts w:ascii="Tahoma" w:eastAsia="Calibri" w:hAnsi="Tahoma" w:cs="Tahoma"/>
          <w:sz w:val="24"/>
          <w:szCs w:val="24"/>
        </w:rPr>
        <w:t>Cette situation résulte d'un processus historique complexe associant non seulement une exploitation directe des ressources ligneuses, mais également des transformations profondes des modes d'utilisation des terres et des pratiques agricoles, souvent induites par des politiques de développement économique privilégiant l'extraction des ressources au détriment de leur conservation</w:t>
      </w:r>
      <w:r w:rsidRPr="002462E6">
        <w:rPr>
          <w:rFonts w:ascii="Tahoma" w:eastAsia="Calibri" w:hAnsi="Tahoma" w:cs="Tahoma"/>
          <w:sz w:val="24"/>
          <w:szCs w:val="24"/>
          <w:vertAlign w:val="superscript"/>
        </w:rPr>
        <w:footnoteReference w:id="295"/>
      </w:r>
      <w:r w:rsidRPr="002462E6">
        <w:rPr>
          <w:rFonts w:ascii="Tahoma" w:eastAsia="Calibri" w:hAnsi="Tahoma" w:cs="Tahoma"/>
          <w:sz w:val="24"/>
          <w:szCs w:val="24"/>
        </w:rPr>
        <w:t>.</w:t>
      </w:r>
    </w:p>
    <w:p w:rsidR="00664463" w:rsidRPr="002462E6" w:rsidRDefault="00664463" w:rsidP="00664463">
      <w:pPr>
        <w:spacing w:line="360" w:lineRule="auto"/>
        <w:jc w:val="both"/>
        <w:rPr>
          <w:rFonts w:ascii="Tahoma" w:eastAsia="Calibri" w:hAnsi="Tahoma" w:cs="Tahoma"/>
          <w:sz w:val="24"/>
          <w:szCs w:val="24"/>
        </w:rPr>
      </w:pPr>
      <w:r w:rsidRPr="002462E6">
        <w:rPr>
          <w:rFonts w:ascii="Tahoma" w:eastAsia="Calibri" w:hAnsi="Tahoma" w:cs="Tahoma"/>
          <w:sz w:val="24"/>
          <w:szCs w:val="24"/>
        </w:rPr>
        <w:t>Dans ce sens la forêt du Rif, mutilée sur de vastes surfaces, constitue un exemple paradigmatique de cette dégradation historique à long terme</w:t>
      </w:r>
      <w:r w:rsidRPr="002462E6">
        <w:rPr>
          <w:rFonts w:ascii="Tahoma" w:eastAsia="Calibri" w:hAnsi="Tahoma" w:cs="Tahoma"/>
          <w:sz w:val="24"/>
          <w:szCs w:val="24"/>
          <w:vertAlign w:val="superscript"/>
        </w:rPr>
        <w:footnoteReference w:id="296"/>
      </w:r>
      <w:r w:rsidRPr="002462E6">
        <w:rPr>
          <w:rFonts w:ascii="Tahoma" w:eastAsia="Calibri" w:hAnsi="Tahoma" w:cs="Tahoma"/>
          <w:sz w:val="24"/>
          <w:szCs w:val="24"/>
        </w:rPr>
        <w:t>. L'analyse de cette région révèle comment les politiques coloniales d'aménagement du territoire ont contribué à fragmenter les écosystèmes forestiers, créant des conditions favorables à leur dégradation ultérieure. Des études approfondies s'avèrent nécessaires pour quantifier l'impact précis de ces différentes variables sur la santé des écosystèmes forestiers contemporains, particulièrement dans le contexte du changement climatique actuel</w:t>
      </w:r>
      <w:r w:rsidRPr="002462E6">
        <w:rPr>
          <w:rFonts w:ascii="Tahoma" w:eastAsia="Calibri" w:hAnsi="Tahoma" w:cs="Tahoma"/>
          <w:sz w:val="24"/>
          <w:szCs w:val="24"/>
          <w:vertAlign w:val="superscript"/>
        </w:rPr>
        <w:footnoteReference w:id="297"/>
      </w:r>
      <w:r w:rsidRPr="002462E6">
        <w:rPr>
          <w:rFonts w:ascii="Tahoma" w:eastAsia="Calibri" w:hAnsi="Tahoma" w:cs="Tahoma"/>
          <w:sz w:val="24"/>
          <w:szCs w:val="24"/>
        </w:rPr>
        <w:t>.</w:t>
      </w:r>
    </w:p>
    <w:p w:rsidR="00664463" w:rsidRPr="00326A33" w:rsidRDefault="00664463" w:rsidP="00326A33">
      <w:pPr>
        <w:spacing w:line="360" w:lineRule="auto"/>
        <w:jc w:val="both"/>
        <w:rPr>
          <w:rFonts w:ascii="Tahoma" w:eastAsia="Calibri" w:hAnsi="Tahoma" w:cs="Tahoma"/>
          <w:sz w:val="24"/>
          <w:szCs w:val="24"/>
        </w:rPr>
      </w:pPr>
      <w:r w:rsidRPr="002462E6">
        <w:rPr>
          <w:rFonts w:ascii="Tahoma" w:eastAsia="Calibri" w:hAnsi="Tahoma" w:cs="Tahoma"/>
          <w:sz w:val="24"/>
          <w:szCs w:val="24"/>
        </w:rPr>
        <w:t>L'évolution des infractions forestières - coupes illégales, écimage, émondage, défrichement - au cours des dernières décennies, corrélée à une croissance démographique soutenue, a précipité la disparition de certaines formations forestières, notamment dans le Rif et le Souss</w:t>
      </w:r>
      <w:r w:rsidRPr="002462E6">
        <w:rPr>
          <w:rFonts w:ascii="Tahoma" w:eastAsia="Calibri" w:hAnsi="Tahoma" w:cs="Tahoma"/>
          <w:sz w:val="24"/>
          <w:szCs w:val="24"/>
          <w:vertAlign w:val="superscript"/>
        </w:rPr>
        <w:footnoteReference w:id="298"/>
      </w:r>
      <w:r w:rsidRPr="002462E6">
        <w:rPr>
          <w:rFonts w:ascii="Tahoma" w:eastAsia="Calibri" w:hAnsi="Tahoma" w:cs="Tahoma"/>
          <w:sz w:val="24"/>
          <w:szCs w:val="24"/>
        </w:rPr>
        <w:t>. Cette dynamique destructrice s'inscrit dans un contexte socio-économique marqué par la pauvreté rurale et l'absence d'alternatives économiques viables pour les populations locales, créant un cercle vicieux de dégradation environnementale</w:t>
      </w:r>
      <w:r w:rsidRPr="002462E6">
        <w:rPr>
          <w:rFonts w:ascii="Tahoma" w:eastAsia="Calibri" w:hAnsi="Tahoma" w:cs="Tahoma"/>
          <w:sz w:val="24"/>
          <w:szCs w:val="24"/>
          <w:vertAlign w:val="superscript"/>
        </w:rPr>
        <w:footnoteReference w:id="299"/>
      </w:r>
      <w:r w:rsidR="00326A33">
        <w:rPr>
          <w:rFonts w:ascii="Tahoma" w:eastAsia="Calibri" w:hAnsi="Tahoma" w:cs="Tahoma"/>
          <w:sz w:val="24"/>
          <w:szCs w:val="24"/>
        </w:rPr>
        <w:t>.</w:t>
      </w:r>
    </w:p>
    <w:p w:rsidR="00664463" w:rsidRDefault="00C503B4" w:rsidP="00326A33">
      <w:pPr>
        <w:pStyle w:val="Titre4"/>
        <w:numPr>
          <w:ilvl w:val="0"/>
          <w:numId w:val="62"/>
        </w:numPr>
        <w:rPr>
          <w:rFonts w:eastAsia="Calibri"/>
        </w:rPr>
      </w:pPr>
      <w:r w:rsidRPr="002462E6">
        <w:rPr>
          <w:rFonts w:eastAsia="Calibri"/>
        </w:rPr>
        <w:t xml:space="preserve">  </w:t>
      </w:r>
      <w:bookmarkStart w:id="257" w:name="_Toc203643043"/>
      <w:r w:rsidR="00664463" w:rsidRPr="002462E6">
        <w:rPr>
          <w:rFonts w:eastAsia="Calibri"/>
        </w:rPr>
        <w:t>Manifestations de la dégradation forestière : une analyse multifactorielle approfondie</w:t>
      </w:r>
      <w:bookmarkEnd w:id="257"/>
    </w:p>
    <w:p w:rsidR="00326A33" w:rsidRPr="00326A33" w:rsidRDefault="00326A33" w:rsidP="00326A33">
      <w:pPr>
        <w:pStyle w:val="Titre4"/>
        <w:numPr>
          <w:ilvl w:val="0"/>
          <w:numId w:val="0"/>
        </w:numPr>
        <w:ind w:left="720"/>
        <w:rPr>
          <w:rFonts w:eastAsia="Calibri"/>
          <w:sz w:val="4"/>
          <w:szCs w:val="2"/>
        </w:rPr>
      </w:pPr>
    </w:p>
    <w:p w:rsidR="00664463" w:rsidRPr="002462E6" w:rsidRDefault="00664463" w:rsidP="00664463">
      <w:pPr>
        <w:spacing w:line="360" w:lineRule="auto"/>
        <w:jc w:val="both"/>
        <w:rPr>
          <w:rFonts w:ascii="Tahoma" w:eastAsia="Calibri" w:hAnsi="Tahoma" w:cs="Tahoma"/>
          <w:sz w:val="24"/>
          <w:szCs w:val="24"/>
        </w:rPr>
      </w:pPr>
      <w:r w:rsidRPr="002462E6">
        <w:rPr>
          <w:rFonts w:ascii="Tahoma" w:eastAsia="Calibri" w:hAnsi="Tahoma" w:cs="Tahoma"/>
          <w:sz w:val="24"/>
          <w:szCs w:val="24"/>
        </w:rPr>
        <w:t>L'état actuel des écosystèmes forestiers marocains résulte d'interactions complexes entre facteurs naturels et anthropiques, s'inscrivant dans une perspective systémique qui nécessite une approche interdisciplinaire</w:t>
      </w:r>
      <w:r w:rsidRPr="002462E6">
        <w:rPr>
          <w:rFonts w:ascii="Tahoma" w:eastAsia="Calibri" w:hAnsi="Tahoma" w:cs="Tahoma"/>
          <w:sz w:val="24"/>
          <w:szCs w:val="24"/>
          <w:vertAlign w:val="superscript"/>
        </w:rPr>
        <w:footnoteReference w:id="300"/>
      </w:r>
      <w:r w:rsidRPr="002462E6">
        <w:rPr>
          <w:rFonts w:ascii="Tahoma" w:eastAsia="Calibri" w:hAnsi="Tahoma" w:cs="Tahoma"/>
          <w:sz w:val="24"/>
          <w:szCs w:val="24"/>
        </w:rPr>
        <w:t>. La biodiversité forestière subit une pression anthropozoogène croissante, dont l'intensité varie selon les régions géographiques et les contextes socio-économiques, et qui tend à s'accentuer sous l'effet combiné du changement climatique et de l'accroissement démographique</w:t>
      </w:r>
      <w:r w:rsidRPr="002462E6">
        <w:rPr>
          <w:rFonts w:ascii="Tahoma" w:eastAsia="Calibri" w:hAnsi="Tahoma" w:cs="Tahoma"/>
          <w:sz w:val="24"/>
          <w:szCs w:val="24"/>
          <w:vertAlign w:val="superscript"/>
        </w:rPr>
        <w:footnoteReference w:id="301"/>
      </w:r>
      <w:r w:rsidRPr="002462E6">
        <w:rPr>
          <w:rFonts w:ascii="Tahoma" w:eastAsia="Calibri" w:hAnsi="Tahoma" w:cs="Tahoma"/>
          <w:sz w:val="24"/>
          <w:szCs w:val="24"/>
        </w:rPr>
        <w:t>.</w:t>
      </w:r>
    </w:p>
    <w:p w:rsidR="00664463" w:rsidRPr="002462E6" w:rsidRDefault="00664463" w:rsidP="00664463">
      <w:pPr>
        <w:spacing w:line="360" w:lineRule="auto"/>
        <w:jc w:val="both"/>
        <w:rPr>
          <w:rFonts w:ascii="Tahoma" w:eastAsia="Calibri" w:hAnsi="Tahoma" w:cs="Tahoma"/>
          <w:sz w:val="24"/>
          <w:szCs w:val="24"/>
        </w:rPr>
      </w:pPr>
      <w:r w:rsidRPr="002462E6">
        <w:rPr>
          <w:rFonts w:ascii="Tahoma" w:eastAsia="Calibri" w:hAnsi="Tahoma" w:cs="Tahoma"/>
          <w:sz w:val="24"/>
          <w:szCs w:val="24"/>
        </w:rPr>
        <w:t>Cette pression atteint une intensité telle que même les écorégions des forêts humides, traditionnellement considérées comme des refuges de biodiversité, connaissent des phénomènes de désertification, soulignant la gravité et l'étendue de la crise écologique actuelle</w:t>
      </w:r>
      <w:r w:rsidRPr="002462E6">
        <w:rPr>
          <w:rFonts w:ascii="Tahoma" w:eastAsia="Calibri" w:hAnsi="Tahoma" w:cs="Tahoma"/>
          <w:sz w:val="24"/>
          <w:szCs w:val="24"/>
          <w:vertAlign w:val="superscript"/>
        </w:rPr>
        <w:footnoteReference w:id="302"/>
      </w:r>
      <w:r w:rsidRPr="002462E6">
        <w:rPr>
          <w:rFonts w:ascii="Tahoma" w:eastAsia="Calibri" w:hAnsi="Tahoma" w:cs="Tahoma"/>
          <w:sz w:val="24"/>
          <w:szCs w:val="24"/>
        </w:rPr>
        <w:t>. La situation est d'autant plus préoccupante que ces écosystèmes constituent des réservoirs de carbone majeurs et jouent un rôle crucial dans la régulation du cycle hydrologique régional</w:t>
      </w:r>
      <w:r w:rsidRPr="002462E6">
        <w:rPr>
          <w:rFonts w:ascii="Tahoma" w:eastAsia="Calibri" w:hAnsi="Tahoma" w:cs="Tahoma"/>
          <w:sz w:val="24"/>
          <w:szCs w:val="24"/>
          <w:vertAlign w:val="superscript"/>
        </w:rPr>
        <w:footnoteReference w:id="303"/>
      </w:r>
      <w:r w:rsidRPr="002462E6">
        <w:rPr>
          <w:rFonts w:ascii="Tahoma" w:eastAsia="Calibri" w:hAnsi="Tahoma" w:cs="Tahoma"/>
          <w:sz w:val="24"/>
          <w:szCs w:val="24"/>
        </w:rPr>
        <w:t>.</w:t>
      </w:r>
    </w:p>
    <w:p w:rsidR="00664463" w:rsidRPr="002462E6" w:rsidRDefault="00664463" w:rsidP="00664463">
      <w:pPr>
        <w:spacing w:line="360" w:lineRule="auto"/>
        <w:jc w:val="both"/>
        <w:rPr>
          <w:rFonts w:ascii="Tahoma" w:eastAsia="Calibri" w:hAnsi="Tahoma" w:cs="Tahoma"/>
          <w:sz w:val="24"/>
          <w:szCs w:val="24"/>
        </w:rPr>
      </w:pPr>
      <w:r w:rsidRPr="002462E6">
        <w:rPr>
          <w:rFonts w:ascii="Tahoma" w:eastAsia="Calibri" w:hAnsi="Tahoma" w:cs="Tahoma"/>
          <w:sz w:val="24"/>
          <w:szCs w:val="24"/>
        </w:rPr>
        <w:t>La surexploitation systémique des écosystèmes et de leurs ressources naturelles constitue le facteur majeur de dégradation, s'articulant autour de plusieurs modalités destructrices. Elle se manifeste par des prélèvements abusifs de ressources ligneuses dépassant largement la capacité de régénération naturelle des forêts, un surpâturage excessif exercé par un cheptel en expansion constante, et des pratiques de défrichement extensif destinées à l'extension des cultures ou à l'établissement de plantations forestières exotiques</w:t>
      </w:r>
      <w:r w:rsidRPr="002462E6">
        <w:rPr>
          <w:rFonts w:ascii="Tahoma" w:eastAsia="Calibri" w:hAnsi="Tahoma" w:cs="Tahoma"/>
          <w:sz w:val="24"/>
          <w:szCs w:val="24"/>
          <w:vertAlign w:val="superscript"/>
        </w:rPr>
        <w:footnoteReference w:id="304"/>
      </w:r>
      <w:r w:rsidRPr="002462E6">
        <w:rPr>
          <w:rFonts w:ascii="Tahoma" w:eastAsia="Calibri" w:hAnsi="Tahoma" w:cs="Tahoma"/>
          <w:sz w:val="24"/>
          <w:szCs w:val="24"/>
        </w:rPr>
        <w:t>. Ces pratiques entraînent une simplification importante des communautés biologiques, une diminution substantielle de la diversité génétique et une altération irréversible des fonctions écologiques essentielles des forêts</w:t>
      </w:r>
      <w:r w:rsidRPr="002462E6">
        <w:rPr>
          <w:rFonts w:ascii="Tahoma" w:eastAsia="Calibri" w:hAnsi="Tahoma" w:cs="Tahoma"/>
          <w:sz w:val="24"/>
          <w:szCs w:val="24"/>
          <w:vertAlign w:val="superscript"/>
        </w:rPr>
        <w:footnoteReference w:id="305"/>
      </w:r>
      <w:r w:rsidRPr="002462E6">
        <w:rPr>
          <w:rFonts w:ascii="Tahoma" w:eastAsia="Calibri" w:hAnsi="Tahoma" w:cs="Tahoma"/>
          <w:sz w:val="24"/>
          <w:szCs w:val="24"/>
        </w:rPr>
        <w:t>.</w:t>
      </w:r>
    </w:p>
    <w:p w:rsidR="00CD63E9" w:rsidRPr="002462E6" w:rsidRDefault="00664463" w:rsidP="00F540C5">
      <w:pPr>
        <w:spacing w:line="360" w:lineRule="auto"/>
        <w:jc w:val="both"/>
        <w:rPr>
          <w:rFonts w:ascii="Tahoma" w:eastAsia="Calibri" w:hAnsi="Tahoma" w:cs="Tahoma"/>
          <w:sz w:val="24"/>
          <w:szCs w:val="24"/>
        </w:rPr>
      </w:pPr>
      <w:r w:rsidRPr="002462E6">
        <w:rPr>
          <w:rFonts w:ascii="Tahoma" w:eastAsia="Calibri" w:hAnsi="Tahoma" w:cs="Tahoma"/>
          <w:sz w:val="24"/>
          <w:szCs w:val="24"/>
        </w:rPr>
        <w:t>Il convient de souligner que la fragilisation des écosystèmes forestiers résulte également de l'application de traitements et de techniques sylvicoles inadaptés qui entravent leur fonctionnement naturel</w:t>
      </w:r>
      <w:r w:rsidRPr="002462E6">
        <w:rPr>
          <w:rFonts w:ascii="Tahoma" w:eastAsia="Calibri" w:hAnsi="Tahoma" w:cs="Tahoma"/>
          <w:sz w:val="24"/>
          <w:szCs w:val="24"/>
          <w:vertAlign w:val="superscript"/>
        </w:rPr>
        <w:footnoteReference w:id="306"/>
      </w:r>
      <w:r w:rsidRPr="002462E6">
        <w:rPr>
          <w:rFonts w:ascii="Tahoma" w:eastAsia="Calibri" w:hAnsi="Tahoma" w:cs="Tahoma"/>
          <w:sz w:val="24"/>
          <w:szCs w:val="24"/>
        </w:rPr>
        <w:t>. Ces pratiques incluent l'utilisation excessive de pesticides perturbant les équilibres biologiques, l'adoption de monocultures appauvrissant la diversité spécifique, le drainage inapproprié des zones humides forestières, et surtout l'absence de prise en compte des processus écologiques fondamentaux dans les politiques de gestion forestière</w:t>
      </w:r>
      <w:r w:rsidRPr="002462E6">
        <w:rPr>
          <w:rFonts w:ascii="Tahoma" w:eastAsia="Calibri" w:hAnsi="Tahoma" w:cs="Tahoma"/>
          <w:sz w:val="24"/>
          <w:szCs w:val="24"/>
          <w:vertAlign w:val="superscript"/>
        </w:rPr>
        <w:footnoteReference w:id="307"/>
      </w:r>
      <w:r w:rsidRPr="002462E6">
        <w:rPr>
          <w:rFonts w:ascii="Tahoma" w:eastAsia="Calibri" w:hAnsi="Tahoma" w:cs="Tahoma"/>
          <w:sz w:val="24"/>
          <w:szCs w:val="24"/>
        </w:rPr>
        <w:t>.</w:t>
      </w:r>
    </w:p>
    <w:p w:rsidR="00664463" w:rsidRPr="002462E6" w:rsidRDefault="00664463" w:rsidP="00D051D7">
      <w:pPr>
        <w:pStyle w:val="Titre5"/>
        <w:numPr>
          <w:ilvl w:val="0"/>
          <w:numId w:val="87"/>
        </w:numPr>
        <w:rPr>
          <w:rFonts w:eastAsia="Calibri"/>
        </w:rPr>
      </w:pPr>
      <w:bookmarkStart w:id="258" w:name="_Toc203643044"/>
      <w:r w:rsidRPr="002462E6">
        <w:t>Modélisation conceptuelle des dynamiques de dégradation des écosystèmes forestiers</w:t>
      </w:r>
      <w:bookmarkEnd w:id="258"/>
    </w:p>
    <w:p w:rsidR="00664463" w:rsidRPr="002462E6" w:rsidRDefault="00664463" w:rsidP="00664463">
      <w:pPr>
        <w:spacing w:line="360" w:lineRule="auto"/>
        <w:jc w:val="both"/>
        <w:rPr>
          <w:rFonts w:ascii="Tahoma" w:eastAsia="Calibri" w:hAnsi="Tahoma" w:cs="Tahoma"/>
          <w:sz w:val="24"/>
          <w:szCs w:val="24"/>
        </w:rPr>
      </w:pPr>
      <w:r w:rsidRPr="002462E6">
        <w:rPr>
          <w:rFonts w:ascii="Tahoma" w:eastAsia="Calibri" w:hAnsi="Tahoma" w:cs="Tahoma"/>
          <w:sz w:val="24"/>
          <w:szCs w:val="24"/>
        </w:rPr>
        <w:t>Le Maroc constitue un laboratoire naturel exceptionnel pour l'élaboration de modèles de dégradation des écosystèmes, permettant d'établir une hiérarchisation scientifiquement fondée des différents stades de dégradation affectant ces systèmes complexes</w:t>
      </w:r>
      <w:r w:rsidRPr="002462E6">
        <w:rPr>
          <w:rFonts w:ascii="Tahoma" w:eastAsia="Calibri" w:hAnsi="Tahoma" w:cs="Tahoma"/>
          <w:sz w:val="24"/>
          <w:szCs w:val="24"/>
          <w:vertAlign w:val="superscript"/>
        </w:rPr>
        <w:footnoteReference w:id="308"/>
      </w:r>
      <w:r w:rsidRPr="002462E6">
        <w:rPr>
          <w:rFonts w:ascii="Tahoma" w:eastAsia="Calibri" w:hAnsi="Tahoma" w:cs="Tahoma"/>
          <w:sz w:val="24"/>
          <w:szCs w:val="24"/>
        </w:rPr>
        <w:t>. Les modèles développés par Barbero et al. (1990) et affinés par Benabid (2000) mettent en évidence une progression typique et prévisible, débutant par une phase de matorralisation des écosystèmes forestiers et évoluant, via une séquence dégradative comprenant successivement la dématorralisation, la steppisation et la thérophytisation, vers un état final de désertification irréversible</w:t>
      </w:r>
      <w:r w:rsidRPr="002462E6">
        <w:rPr>
          <w:rFonts w:ascii="Tahoma" w:eastAsia="Calibri" w:hAnsi="Tahoma" w:cs="Tahoma"/>
          <w:sz w:val="24"/>
          <w:szCs w:val="24"/>
          <w:vertAlign w:val="superscript"/>
        </w:rPr>
        <w:footnoteReference w:id="309"/>
      </w:r>
      <w:r w:rsidRPr="002462E6">
        <w:rPr>
          <w:rFonts w:ascii="Tahoma" w:eastAsia="Calibri" w:hAnsi="Tahoma" w:cs="Tahoma"/>
          <w:sz w:val="24"/>
          <w:szCs w:val="24"/>
        </w:rPr>
        <w:t>.</w:t>
      </w:r>
    </w:p>
    <w:p w:rsidR="00664463" w:rsidRDefault="00664463" w:rsidP="00326A33">
      <w:pPr>
        <w:spacing w:line="360" w:lineRule="auto"/>
        <w:jc w:val="both"/>
        <w:rPr>
          <w:rFonts w:ascii="Tahoma" w:eastAsia="Calibri" w:hAnsi="Tahoma" w:cs="Tahoma"/>
          <w:sz w:val="24"/>
          <w:szCs w:val="24"/>
        </w:rPr>
      </w:pPr>
      <w:r w:rsidRPr="002462E6">
        <w:rPr>
          <w:rFonts w:ascii="Tahoma" w:eastAsia="Calibri" w:hAnsi="Tahoma" w:cs="Tahoma"/>
          <w:sz w:val="24"/>
          <w:szCs w:val="24"/>
        </w:rPr>
        <w:t>Cette approche éco-biologique, fondée sur des observations empiriques rigoureuses et des analyses phytosociologiques approfondies, permet une compréhension plus fine des mécanismes sous-jacents de dégradation et présente des outils conceptuels et méthodologiques pour l'évaluation et la gestion des écosystèmes menacés</w:t>
      </w:r>
      <w:r w:rsidRPr="002462E6">
        <w:rPr>
          <w:rFonts w:ascii="Tahoma" w:eastAsia="Calibri" w:hAnsi="Tahoma" w:cs="Tahoma"/>
          <w:sz w:val="24"/>
          <w:szCs w:val="24"/>
          <w:vertAlign w:val="superscript"/>
        </w:rPr>
        <w:footnoteReference w:id="310"/>
      </w:r>
      <w:r w:rsidR="00326A33">
        <w:rPr>
          <w:rFonts w:ascii="Tahoma" w:eastAsia="Calibri" w:hAnsi="Tahoma" w:cs="Tahoma"/>
          <w:sz w:val="24"/>
          <w:szCs w:val="24"/>
        </w:rPr>
        <w:t xml:space="preserve">. </w:t>
      </w:r>
    </w:p>
    <w:p w:rsidR="00326A33" w:rsidRPr="00326A33" w:rsidRDefault="00326A33" w:rsidP="00326A33">
      <w:pPr>
        <w:spacing w:line="360" w:lineRule="auto"/>
        <w:jc w:val="both"/>
        <w:rPr>
          <w:rFonts w:ascii="Tahoma" w:eastAsia="Calibri" w:hAnsi="Tahoma" w:cs="Tahoma"/>
          <w:sz w:val="2"/>
          <w:szCs w:val="2"/>
        </w:rPr>
      </w:pPr>
    </w:p>
    <w:p w:rsidR="00664463" w:rsidRPr="002462E6" w:rsidRDefault="00664463" w:rsidP="008D3838">
      <w:pPr>
        <w:pStyle w:val="Titre6"/>
        <w:numPr>
          <w:ilvl w:val="0"/>
          <w:numId w:val="63"/>
        </w:numPr>
      </w:pPr>
      <w:bookmarkStart w:id="259" w:name="_Toc203643045"/>
      <w:r w:rsidRPr="002462E6">
        <w:t>La matorralisation : premier stade de transformation écosystémique</w:t>
      </w:r>
      <w:bookmarkEnd w:id="259"/>
    </w:p>
    <w:p w:rsidR="00664463" w:rsidRPr="002462E6" w:rsidRDefault="00664463" w:rsidP="00664463">
      <w:pPr>
        <w:rPr>
          <w:rFonts w:ascii="Calibri" w:eastAsia="Calibri" w:hAnsi="Calibri" w:cs="Arial"/>
        </w:rPr>
      </w:pPr>
    </w:p>
    <w:p w:rsidR="00664463" w:rsidRPr="002462E6" w:rsidRDefault="00664463" w:rsidP="003F4104">
      <w:pPr>
        <w:spacing w:line="360" w:lineRule="auto"/>
        <w:jc w:val="both"/>
        <w:rPr>
          <w:rFonts w:ascii="Tahoma" w:eastAsia="Calibri" w:hAnsi="Tahoma" w:cs="Tahoma"/>
          <w:sz w:val="24"/>
          <w:szCs w:val="24"/>
        </w:rPr>
      </w:pPr>
      <w:r w:rsidRPr="002462E6">
        <w:rPr>
          <w:rFonts w:ascii="Tahoma" w:eastAsia="Calibri" w:hAnsi="Tahoma" w:cs="Tahoma"/>
          <w:sz w:val="24"/>
          <w:szCs w:val="24"/>
        </w:rPr>
        <w:t>Le phénomène de matorralisation constitue le premier stade visible de dégradation des écosystèmes forestiers, s'observant particulièrement dans les écorégions des forêts humides où des formations sclérophylles se substituent progressivement aux formations caducifoliées ou de conifères mésophiles</w:t>
      </w:r>
      <w:r w:rsidRPr="002462E6">
        <w:rPr>
          <w:rFonts w:ascii="Tahoma" w:eastAsia="Calibri" w:hAnsi="Tahoma" w:cs="Tahoma"/>
          <w:sz w:val="24"/>
          <w:szCs w:val="24"/>
          <w:vertAlign w:val="superscript"/>
        </w:rPr>
        <w:footnoteReference w:id="311"/>
      </w:r>
      <w:r w:rsidRPr="002462E6">
        <w:rPr>
          <w:rFonts w:ascii="Tahoma" w:eastAsia="Calibri" w:hAnsi="Tahoma" w:cs="Tahoma"/>
          <w:sz w:val="24"/>
          <w:szCs w:val="24"/>
        </w:rPr>
        <w:t>. Cette transformation témoigne d'une adaptation forcée de la végétation à des conditions environnementales plus xériques, potentiellement induites par des modifications climatiques graduelles ou par des activités anthropiques ayant favorisé la dégradation progressive des sols</w:t>
      </w:r>
      <w:r w:rsidRPr="002462E6">
        <w:rPr>
          <w:rFonts w:ascii="Tahoma" w:eastAsia="Calibri" w:hAnsi="Tahoma" w:cs="Tahoma"/>
          <w:sz w:val="24"/>
          <w:szCs w:val="24"/>
          <w:vertAlign w:val="superscript"/>
        </w:rPr>
        <w:footnoteReference w:id="312"/>
      </w:r>
      <w:r w:rsidR="003F4104">
        <w:rPr>
          <w:rFonts w:ascii="Tahoma" w:eastAsia="Calibri" w:hAnsi="Tahoma" w:cs="Tahoma"/>
          <w:sz w:val="24"/>
          <w:szCs w:val="24"/>
        </w:rPr>
        <w:t>.</w:t>
      </w:r>
    </w:p>
    <w:p w:rsidR="00664463" w:rsidRPr="002462E6" w:rsidRDefault="00664463" w:rsidP="00664463">
      <w:pPr>
        <w:spacing w:line="360" w:lineRule="auto"/>
        <w:jc w:val="both"/>
        <w:rPr>
          <w:rFonts w:ascii="Tahoma" w:eastAsia="Calibri" w:hAnsi="Tahoma" w:cs="Tahoma"/>
          <w:sz w:val="24"/>
          <w:szCs w:val="24"/>
        </w:rPr>
      </w:pPr>
      <w:r w:rsidRPr="002462E6">
        <w:rPr>
          <w:rFonts w:ascii="Tahoma" w:eastAsia="Calibri" w:hAnsi="Tahoma" w:cs="Tahoma"/>
          <w:sz w:val="24"/>
          <w:szCs w:val="24"/>
        </w:rPr>
        <w:t>L'analyse phytosociologique révèle que cette substitution ne s'effectue pas de manière aléatoire, mais suit des patterns écologiques précis liés aux capacités d'adaptation différentielle des espèces végétales</w:t>
      </w:r>
      <w:r w:rsidRPr="002462E6">
        <w:rPr>
          <w:rFonts w:ascii="Tahoma" w:eastAsia="Calibri" w:hAnsi="Tahoma" w:cs="Tahoma"/>
          <w:sz w:val="24"/>
          <w:szCs w:val="24"/>
          <w:vertAlign w:val="superscript"/>
        </w:rPr>
        <w:footnoteReference w:id="313"/>
      </w:r>
      <w:r w:rsidRPr="002462E6">
        <w:rPr>
          <w:rFonts w:ascii="Tahoma" w:eastAsia="Calibri" w:hAnsi="Tahoma" w:cs="Tahoma"/>
          <w:sz w:val="24"/>
          <w:szCs w:val="24"/>
        </w:rPr>
        <w:t>. Les formations sclérophylles, caractérisées par leurs feuilles coriaces et leur système racinaire profond, présentent un avantage compétitif dans les conditions de stress hydrique croissant</w:t>
      </w:r>
      <w:r w:rsidRPr="002462E6">
        <w:rPr>
          <w:rFonts w:ascii="Tahoma" w:eastAsia="Calibri" w:hAnsi="Tahoma" w:cs="Tahoma"/>
          <w:sz w:val="24"/>
          <w:szCs w:val="24"/>
          <w:vertAlign w:val="superscript"/>
        </w:rPr>
        <w:footnoteReference w:id="314"/>
      </w:r>
      <w:r w:rsidRPr="002462E6">
        <w:rPr>
          <w:rFonts w:ascii="Tahoma" w:eastAsia="Calibri" w:hAnsi="Tahoma" w:cs="Tahoma"/>
          <w:sz w:val="24"/>
          <w:szCs w:val="24"/>
        </w:rPr>
        <w:t>. Cette transformation s'accompagne d'une modification substantielle de la structure verticale de la végétation, avec une diminution de la strate arborée au profit d'une strate arbustive plus dense</w:t>
      </w:r>
      <w:r w:rsidRPr="002462E6">
        <w:rPr>
          <w:rFonts w:ascii="Tahoma" w:eastAsia="Calibri" w:hAnsi="Tahoma" w:cs="Tahoma"/>
          <w:sz w:val="24"/>
          <w:szCs w:val="24"/>
          <w:vertAlign w:val="superscript"/>
        </w:rPr>
        <w:footnoteReference w:id="315"/>
      </w:r>
      <w:r w:rsidRPr="002462E6">
        <w:rPr>
          <w:rFonts w:ascii="Tahoma" w:eastAsia="Calibri" w:hAnsi="Tahoma" w:cs="Tahoma"/>
          <w:sz w:val="24"/>
          <w:szCs w:val="24"/>
        </w:rPr>
        <w:t>.</w:t>
      </w:r>
    </w:p>
    <w:p w:rsidR="00664463" w:rsidRPr="002462E6" w:rsidRDefault="00664463" w:rsidP="00664463">
      <w:pPr>
        <w:spacing w:line="360" w:lineRule="auto"/>
        <w:jc w:val="both"/>
        <w:rPr>
          <w:rFonts w:ascii="Tahoma" w:eastAsia="Calibri" w:hAnsi="Tahoma" w:cs="Tahoma"/>
          <w:sz w:val="24"/>
          <w:szCs w:val="24"/>
        </w:rPr>
      </w:pPr>
      <w:r w:rsidRPr="002462E6">
        <w:rPr>
          <w:rFonts w:ascii="Tahoma" w:eastAsia="Calibri" w:hAnsi="Tahoma" w:cs="Tahoma"/>
          <w:sz w:val="24"/>
          <w:szCs w:val="24"/>
        </w:rPr>
        <w:t>Dans les bioclimats semi-arides et arides, la matorralisation se manifeste par l'invasion progressive des peuplements préforestiers et présteppiques par des espèces plus hélioxérophiles et mieux adaptées aux sols érodés</w:t>
      </w:r>
      <w:r w:rsidRPr="002462E6">
        <w:rPr>
          <w:rFonts w:ascii="Tahoma" w:eastAsia="Calibri" w:hAnsi="Tahoma" w:cs="Tahoma"/>
          <w:sz w:val="24"/>
          <w:szCs w:val="24"/>
          <w:vertAlign w:val="superscript"/>
        </w:rPr>
        <w:footnoteReference w:id="316"/>
      </w:r>
      <w:r w:rsidRPr="002462E6">
        <w:rPr>
          <w:rFonts w:ascii="Tahoma" w:eastAsia="Calibri" w:hAnsi="Tahoma" w:cs="Tahoma"/>
          <w:sz w:val="24"/>
          <w:szCs w:val="24"/>
        </w:rPr>
        <w:t>. On observe notamment une extension géographique significative de *Pinus halepensis*, de *Cistus* spp. et de *Calycotome* spp., ces espèces opportunistes colonisant rapidement les espaces ouverts et les sols dégradés, contribuant ainsi à une modification profonde de la composition floristique et de la structure des communautés végétales</w:t>
      </w:r>
      <w:r w:rsidRPr="002462E6">
        <w:rPr>
          <w:rFonts w:ascii="Tahoma" w:eastAsia="Calibri" w:hAnsi="Tahoma" w:cs="Tahoma"/>
          <w:sz w:val="24"/>
          <w:szCs w:val="24"/>
          <w:vertAlign w:val="superscript"/>
        </w:rPr>
        <w:footnoteReference w:id="317"/>
      </w:r>
      <w:r w:rsidRPr="002462E6">
        <w:rPr>
          <w:rFonts w:ascii="Tahoma" w:eastAsia="Calibri" w:hAnsi="Tahoma" w:cs="Tahoma"/>
          <w:sz w:val="24"/>
          <w:szCs w:val="24"/>
        </w:rPr>
        <w:t>.</w:t>
      </w:r>
    </w:p>
    <w:p w:rsidR="00664463" w:rsidRPr="002462E6" w:rsidRDefault="00664463" w:rsidP="00664463">
      <w:pPr>
        <w:spacing w:line="360" w:lineRule="auto"/>
        <w:jc w:val="both"/>
        <w:rPr>
          <w:rFonts w:ascii="Tahoma" w:eastAsia="Calibri" w:hAnsi="Tahoma" w:cs="Tahoma"/>
          <w:sz w:val="24"/>
          <w:szCs w:val="24"/>
        </w:rPr>
      </w:pPr>
      <w:r w:rsidRPr="002462E6">
        <w:rPr>
          <w:rFonts w:ascii="Tahoma" w:eastAsia="Calibri" w:hAnsi="Tahoma" w:cs="Tahoma"/>
          <w:sz w:val="24"/>
          <w:szCs w:val="24"/>
        </w:rPr>
        <w:t>Les études dendrochronologiques récentes confirment que ce processus s'est accéléré au cours des dernières décennies, corrélativement à l'intensification des pressions anthropiques et aux modifications du régime climatique</w:t>
      </w:r>
      <w:r w:rsidRPr="002462E6">
        <w:rPr>
          <w:rFonts w:ascii="Tahoma" w:eastAsia="Calibri" w:hAnsi="Tahoma" w:cs="Tahoma"/>
          <w:sz w:val="24"/>
          <w:szCs w:val="24"/>
          <w:vertAlign w:val="superscript"/>
        </w:rPr>
        <w:footnoteReference w:id="318"/>
      </w:r>
      <w:r w:rsidRPr="002462E6">
        <w:rPr>
          <w:rFonts w:ascii="Tahoma" w:eastAsia="Calibri" w:hAnsi="Tahoma" w:cs="Tahoma"/>
          <w:sz w:val="24"/>
          <w:szCs w:val="24"/>
        </w:rPr>
        <w:t>. L'analyse des cernes de croissance révèle une diminution progressive de la croissance radiale des espèces forestières originelles, tandis que les espèces caractéristiques du matorral montrent une expansion rapide</w:t>
      </w:r>
      <w:r w:rsidRPr="002462E6">
        <w:rPr>
          <w:rFonts w:ascii="Tahoma" w:eastAsia="Calibri" w:hAnsi="Tahoma" w:cs="Tahoma"/>
          <w:sz w:val="24"/>
          <w:szCs w:val="24"/>
          <w:vertAlign w:val="superscript"/>
        </w:rPr>
        <w:footnoteReference w:id="319"/>
      </w:r>
      <w:r w:rsidRPr="002462E6">
        <w:rPr>
          <w:rFonts w:ascii="Tahoma" w:eastAsia="Calibri" w:hAnsi="Tahoma" w:cs="Tahoma"/>
          <w:sz w:val="24"/>
          <w:szCs w:val="24"/>
        </w:rPr>
        <w:t>.</w:t>
      </w:r>
    </w:p>
    <w:p w:rsidR="00664463" w:rsidRPr="002462E6" w:rsidRDefault="00664463" w:rsidP="00664463">
      <w:pPr>
        <w:rPr>
          <w:rFonts w:ascii="Calibri" w:eastAsia="Calibri" w:hAnsi="Calibri" w:cs="Arial"/>
        </w:rPr>
      </w:pPr>
    </w:p>
    <w:p w:rsidR="00664463" w:rsidRPr="002462E6" w:rsidRDefault="00664463" w:rsidP="008D3838">
      <w:pPr>
        <w:pStyle w:val="Titre6"/>
      </w:pPr>
      <w:r w:rsidRPr="002462E6">
        <w:t xml:space="preserve"> </w:t>
      </w:r>
      <w:bookmarkStart w:id="260" w:name="_Toc203643046"/>
      <w:r w:rsidRPr="002462E6">
        <w:t>La dématorralisation : accélération du processus dégradatif</w:t>
      </w:r>
      <w:bookmarkEnd w:id="260"/>
    </w:p>
    <w:p w:rsidR="00664463" w:rsidRPr="002462E6" w:rsidRDefault="00664463" w:rsidP="00664463">
      <w:pPr>
        <w:rPr>
          <w:rFonts w:ascii="Calibri" w:eastAsia="Calibri" w:hAnsi="Calibri" w:cs="Arial"/>
        </w:rPr>
      </w:pPr>
    </w:p>
    <w:p w:rsidR="00664463" w:rsidRPr="002462E6" w:rsidRDefault="00664463" w:rsidP="00664463">
      <w:pPr>
        <w:spacing w:line="360" w:lineRule="auto"/>
        <w:jc w:val="both"/>
        <w:rPr>
          <w:rFonts w:ascii="Tahoma" w:eastAsia="Calibri" w:hAnsi="Tahoma" w:cs="Tahoma"/>
          <w:sz w:val="24"/>
          <w:szCs w:val="24"/>
        </w:rPr>
      </w:pPr>
      <w:r w:rsidRPr="002462E6">
        <w:rPr>
          <w:rFonts w:ascii="Tahoma" w:eastAsia="Calibri" w:hAnsi="Tahoma" w:cs="Tahoma"/>
          <w:sz w:val="24"/>
          <w:szCs w:val="24"/>
        </w:rPr>
        <w:t>Le processus de dématorralisation représente une phase critique dans la séquence de dégradation, conduisant à une substitution progressive du matorral arboré par un second type de matorral, indicatif d'une dégradation écosystémique plus avancée</w:t>
      </w:r>
      <w:r w:rsidRPr="002462E6">
        <w:rPr>
          <w:rFonts w:ascii="Tahoma" w:eastAsia="Calibri" w:hAnsi="Tahoma" w:cs="Tahoma"/>
          <w:sz w:val="24"/>
          <w:szCs w:val="24"/>
          <w:vertAlign w:val="superscript"/>
        </w:rPr>
        <w:footnoteReference w:id="320"/>
      </w:r>
      <w:r w:rsidRPr="002462E6">
        <w:rPr>
          <w:rFonts w:ascii="Tahoma" w:eastAsia="Calibri" w:hAnsi="Tahoma" w:cs="Tahoma"/>
          <w:sz w:val="24"/>
          <w:szCs w:val="24"/>
        </w:rPr>
        <w:t>. Ce stade se caractérise par une dominance croissante d'espèces de petite taille, à cycle biologique raccourci, appartenant notamment aux familles des Cistacées, Fabacées et Lamiacées</w:t>
      </w:r>
      <w:r w:rsidRPr="002462E6">
        <w:rPr>
          <w:rFonts w:ascii="Tahoma" w:eastAsia="Calibri" w:hAnsi="Tahoma" w:cs="Tahoma"/>
          <w:sz w:val="24"/>
          <w:szCs w:val="24"/>
          <w:vertAlign w:val="superscript"/>
        </w:rPr>
        <w:footnoteReference w:id="321"/>
      </w:r>
      <w:r w:rsidRPr="002462E6">
        <w:rPr>
          <w:rFonts w:ascii="Tahoma" w:eastAsia="Calibri" w:hAnsi="Tahoma" w:cs="Tahoma"/>
          <w:sz w:val="24"/>
          <w:szCs w:val="24"/>
        </w:rPr>
        <w:t>.</w:t>
      </w:r>
    </w:p>
    <w:p w:rsidR="00664463" w:rsidRPr="002462E6" w:rsidRDefault="00664463" w:rsidP="00664463">
      <w:pPr>
        <w:spacing w:line="360" w:lineRule="auto"/>
        <w:jc w:val="both"/>
        <w:rPr>
          <w:rFonts w:ascii="Tahoma" w:eastAsia="Calibri" w:hAnsi="Tahoma" w:cs="Tahoma"/>
          <w:sz w:val="24"/>
          <w:szCs w:val="24"/>
        </w:rPr>
      </w:pPr>
      <w:r w:rsidRPr="002462E6">
        <w:rPr>
          <w:rFonts w:ascii="Tahoma" w:eastAsia="Calibri" w:hAnsi="Tahoma" w:cs="Tahoma"/>
          <w:sz w:val="24"/>
          <w:szCs w:val="24"/>
        </w:rPr>
        <w:t>L'occupation rapide du terrain par ces espèces pionnières résulte de leur remarquable adaptation aux conditions des milieux ouverts et perturbés</w:t>
      </w:r>
      <w:r w:rsidRPr="002462E6">
        <w:rPr>
          <w:rFonts w:ascii="Tahoma" w:eastAsia="Calibri" w:hAnsi="Tahoma" w:cs="Tahoma"/>
          <w:sz w:val="24"/>
          <w:szCs w:val="24"/>
          <w:vertAlign w:val="superscript"/>
        </w:rPr>
        <w:footnoteReference w:id="322"/>
      </w:r>
      <w:r w:rsidRPr="002462E6">
        <w:rPr>
          <w:rFonts w:ascii="Tahoma" w:eastAsia="Calibri" w:hAnsi="Tahoma" w:cs="Tahoma"/>
          <w:sz w:val="24"/>
          <w:szCs w:val="24"/>
        </w:rPr>
        <w:t xml:space="preserve">. Leurs stratégies de survie incluent une croissance rapide permettant une colonisation efficace des espaces disponibles, une production abondante de semences assurant une dissémination large, </w:t>
      </w:r>
    </w:p>
    <w:p w:rsidR="00664463" w:rsidRPr="004F5D3F" w:rsidRDefault="00664463" w:rsidP="004F5D3F">
      <w:pPr>
        <w:spacing w:line="360" w:lineRule="auto"/>
        <w:jc w:val="both"/>
        <w:rPr>
          <w:rFonts w:ascii="Tahoma" w:eastAsia="Calibri" w:hAnsi="Tahoma" w:cs="Tahoma"/>
          <w:sz w:val="24"/>
          <w:szCs w:val="24"/>
        </w:rPr>
      </w:pPr>
      <w:r w:rsidRPr="002462E6">
        <w:rPr>
          <w:rFonts w:ascii="Tahoma" w:eastAsia="Calibri" w:hAnsi="Tahoma" w:cs="Tahoma"/>
          <w:sz w:val="24"/>
          <w:szCs w:val="24"/>
        </w:rPr>
        <w:t>et une tolérance élevée au stress hydrique leur conférant un avantage compétitif décisif dans les environnements dégradés</w:t>
      </w:r>
      <w:r w:rsidRPr="002462E6">
        <w:rPr>
          <w:rFonts w:ascii="Tahoma" w:eastAsia="Calibri" w:hAnsi="Tahoma" w:cs="Tahoma"/>
          <w:sz w:val="24"/>
          <w:szCs w:val="24"/>
          <w:vertAlign w:val="superscript"/>
        </w:rPr>
        <w:footnoteReference w:id="323"/>
      </w:r>
      <w:r w:rsidR="004F5D3F">
        <w:rPr>
          <w:rFonts w:ascii="Tahoma" w:eastAsia="Calibri" w:hAnsi="Tahoma" w:cs="Tahoma"/>
          <w:sz w:val="24"/>
          <w:szCs w:val="24"/>
        </w:rPr>
        <w:t>.</w:t>
      </w:r>
    </w:p>
    <w:p w:rsidR="00664463" w:rsidRPr="002462E6" w:rsidRDefault="00664463" w:rsidP="00664463">
      <w:pPr>
        <w:spacing w:line="360" w:lineRule="auto"/>
        <w:jc w:val="both"/>
        <w:rPr>
          <w:rFonts w:ascii="Tahoma" w:eastAsia="Calibri" w:hAnsi="Tahoma" w:cs="Tahoma"/>
          <w:sz w:val="24"/>
          <w:szCs w:val="24"/>
        </w:rPr>
      </w:pPr>
      <w:r w:rsidRPr="002462E6">
        <w:rPr>
          <w:rFonts w:ascii="Tahoma" w:eastAsia="Calibri" w:hAnsi="Tahoma" w:cs="Tahoma"/>
          <w:sz w:val="24"/>
          <w:szCs w:val="24"/>
        </w:rPr>
        <w:t>Cette transformation de la composition floristique peut être interprétée comme une réponse adaptative à des pressions environnementales accrues, telles que le surpâturage chronique, les incendies répétés, ou l'érosion progressive des sols</w:t>
      </w:r>
      <w:r w:rsidRPr="002462E6">
        <w:rPr>
          <w:rFonts w:ascii="Tahoma" w:eastAsia="Calibri" w:hAnsi="Tahoma" w:cs="Tahoma"/>
          <w:sz w:val="24"/>
          <w:szCs w:val="24"/>
          <w:vertAlign w:val="superscript"/>
        </w:rPr>
        <w:footnoteReference w:id="324"/>
      </w:r>
      <w:r w:rsidRPr="002462E6">
        <w:rPr>
          <w:rFonts w:ascii="Tahoma" w:eastAsia="Calibri" w:hAnsi="Tahoma" w:cs="Tahoma"/>
          <w:sz w:val="24"/>
          <w:szCs w:val="24"/>
        </w:rPr>
        <w:t>. Cependant, cette adaptation se fait au détriment de la diversité spécifique et de la complexité structurelle de l'écosystème, entraînant une simplification dramatique des réseaux trophiques et des cycles biogéochimiques</w:t>
      </w:r>
      <w:r w:rsidRPr="002462E6">
        <w:rPr>
          <w:rFonts w:ascii="Tahoma" w:eastAsia="Calibri" w:hAnsi="Tahoma" w:cs="Tahoma"/>
          <w:sz w:val="24"/>
          <w:szCs w:val="24"/>
          <w:vertAlign w:val="superscript"/>
        </w:rPr>
        <w:footnoteReference w:id="325"/>
      </w:r>
      <w:r w:rsidRPr="002462E6">
        <w:rPr>
          <w:rFonts w:ascii="Tahoma" w:eastAsia="Calibri" w:hAnsi="Tahoma" w:cs="Tahoma"/>
          <w:sz w:val="24"/>
          <w:szCs w:val="24"/>
        </w:rPr>
        <w:t>.</w:t>
      </w:r>
    </w:p>
    <w:p w:rsidR="00664463" w:rsidRPr="002462E6" w:rsidRDefault="00664463" w:rsidP="00664463">
      <w:pPr>
        <w:spacing w:line="360" w:lineRule="auto"/>
        <w:jc w:val="both"/>
        <w:rPr>
          <w:rFonts w:ascii="Tahoma" w:eastAsia="Calibri" w:hAnsi="Tahoma" w:cs="Tahoma"/>
          <w:sz w:val="24"/>
          <w:szCs w:val="24"/>
        </w:rPr>
      </w:pPr>
      <w:r w:rsidRPr="002462E6">
        <w:rPr>
          <w:rFonts w:ascii="Tahoma" w:eastAsia="Calibri" w:hAnsi="Tahoma" w:cs="Tahoma"/>
          <w:sz w:val="24"/>
          <w:szCs w:val="24"/>
        </w:rPr>
        <w:t>Des études approfondies menées par télédétection et analyses spectrales révèlent que cette simplification de la structure et de la composition du matorral a des répercussions majeures sur la biodiversité, la régulation hydrologique, et la vulnérabilité des écosystèmes au changement climatique</w:t>
      </w:r>
      <w:r w:rsidRPr="002462E6">
        <w:rPr>
          <w:rFonts w:ascii="Tahoma" w:eastAsia="Calibri" w:hAnsi="Tahoma" w:cs="Tahoma"/>
          <w:sz w:val="24"/>
          <w:szCs w:val="24"/>
          <w:vertAlign w:val="superscript"/>
        </w:rPr>
        <w:footnoteReference w:id="326"/>
      </w:r>
      <w:r w:rsidRPr="002462E6">
        <w:rPr>
          <w:rFonts w:ascii="Tahoma" w:eastAsia="Calibri" w:hAnsi="Tahoma" w:cs="Tahoma"/>
          <w:sz w:val="24"/>
          <w:szCs w:val="24"/>
        </w:rPr>
        <w:t>. La diminution de la biomasse aérienne et souterraine réduit significativement la capacité de stockage du carbone, contribuant paradoxalement à l'accélération du changement climatique</w:t>
      </w:r>
      <w:r w:rsidRPr="002462E6">
        <w:rPr>
          <w:rFonts w:ascii="Tahoma" w:eastAsia="Calibri" w:hAnsi="Tahoma" w:cs="Tahoma"/>
          <w:sz w:val="24"/>
          <w:szCs w:val="24"/>
          <w:vertAlign w:val="superscript"/>
        </w:rPr>
        <w:footnoteReference w:id="327"/>
      </w:r>
      <w:r w:rsidRPr="002462E6">
        <w:rPr>
          <w:rFonts w:ascii="Tahoma" w:eastAsia="Calibri" w:hAnsi="Tahoma" w:cs="Tahoma"/>
          <w:sz w:val="24"/>
          <w:szCs w:val="24"/>
        </w:rPr>
        <w:t>.</w:t>
      </w:r>
    </w:p>
    <w:p w:rsidR="00664463" w:rsidRPr="002462E6" w:rsidRDefault="00664463" w:rsidP="00664463">
      <w:pPr>
        <w:rPr>
          <w:rFonts w:ascii="Calibri" w:eastAsia="Calibri" w:hAnsi="Calibri" w:cs="Arial"/>
        </w:rPr>
      </w:pPr>
    </w:p>
    <w:p w:rsidR="00664463" w:rsidRPr="002462E6" w:rsidRDefault="00664463" w:rsidP="008D3838">
      <w:pPr>
        <w:pStyle w:val="Titre6"/>
      </w:pPr>
      <w:bookmarkStart w:id="261" w:name="_Toc203643047"/>
      <w:r w:rsidRPr="002462E6">
        <w:t>La thérophytisation : vers une simplification extrême</w:t>
      </w:r>
      <w:bookmarkEnd w:id="261"/>
    </w:p>
    <w:p w:rsidR="00664463" w:rsidRPr="002462E6" w:rsidRDefault="00664463" w:rsidP="00664463">
      <w:pPr>
        <w:rPr>
          <w:rFonts w:ascii="Calibri" w:eastAsia="Calibri" w:hAnsi="Calibri" w:cs="Arial"/>
        </w:rPr>
      </w:pPr>
    </w:p>
    <w:p w:rsidR="00664463" w:rsidRPr="002462E6" w:rsidRDefault="00664463" w:rsidP="00664463">
      <w:pPr>
        <w:spacing w:line="360" w:lineRule="auto"/>
        <w:jc w:val="both"/>
        <w:rPr>
          <w:rFonts w:ascii="Tahoma" w:eastAsia="Calibri" w:hAnsi="Tahoma" w:cs="Tahoma"/>
          <w:sz w:val="24"/>
          <w:szCs w:val="24"/>
        </w:rPr>
      </w:pPr>
      <w:r w:rsidRPr="002462E6">
        <w:rPr>
          <w:rFonts w:ascii="Tahoma" w:eastAsia="Calibri" w:hAnsi="Tahoma" w:cs="Tahoma"/>
          <w:sz w:val="24"/>
          <w:szCs w:val="24"/>
        </w:rPr>
        <w:t>La thérophytisation constitue l'avant-dernier stade de la séquence dégradative, caractérisé par une dominance marquée des espèces annuelles (thérophytes) au détriment des formations pérennes</w:t>
      </w:r>
      <w:r w:rsidRPr="002462E6">
        <w:rPr>
          <w:rFonts w:ascii="Tahoma" w:eastAsia="Calibri" w:hAnsi="Tahoma" w:cs="Tahoma"/>
          <w:sz w:val="24"/>
          <w:szCs w:val="24"/>
          <w:vertAlign w:val="superscript"/>
        </w:rPr>
        <w:footnoteReference w:id="328"/>
      </w:r>
      <w:r w:rsidRPr="002462E6">
        <w:rPr>
          <w:rFonts w:ascii="Tahoma" w:eastAsia="Calibri" w:hAnsi="Tahoma" w:cs="Tahoma"/>
          <w:sz w:val="24"/>
          <w:szCs w:val="24"/>
        </w:rPr>
        <w:t>. Le faible recouvrement des groupements ligneux dégradés exacerbe les effets de l'érosion des sols, entraînant le déchaussement progressif des chaméphytes et hémicryptophytes, espèces pérennes dont la persistance est compromise par la perte continue de sol et l'exposition croissante des systèmes racinaires</w:t>
      </w:r>
      <w:r w:rsidRPr="002462E6">
        <w:rPr>
          <w:rFonts w:ascii="Tahoma" w:eastAsia="Calibri" w:hAnsi="Tahoma" w:cs="Tahoma"/>
          <w:sz w:val="24"/>
          <w:szCs w:val="24"/>
          <w:vertAlign w:val="superscript"/>
        </w:rPr>
        <w:footnoteReference w:id="329"/>
      </w:r>
      <w:r w:rsidRPr="002462E6">
        <w:rPr>
          <w:rFonts w:ascii="Tahoma" w:eastAsia="Calibri" w:hAnsi="Tahoma" w:cs="Tahoma"/>
          <w:sz w:val="24"/>
          <w:szCs w:val="24"/>
        </w:rPr>
        <w:t>.</w:t>
      </w:r>
    </w:p>
    <w:p w:rsidR="00664463" w:rsidRPr="002462E6" w:rsidRDefault="00664463" w:rsidP="00664463">
      <w:pPr>
        <w:spacing w:line="360" w:lineRule="auto"/>
        <w:jc w:val="both"/>
        <w:rPr>
          <w:rFonts w:ascii="Tahoma" w:eastAsia="Calibri" w:hAnsi="Tahoma" w:cs="Tahoma"/>
          <w:sz w:val="24"/>
          <w:szCs w:val="24"/>
        </w:rPr>
      </w:pPr>
      <w:r w:rsidRPr="002462E6">
        <w:rPr>
          <w:rFonts w:ascii="Tahoma" w:eastAsia="Calibri" w:hAnsi="Tahoma" w:cs="Tahoma"/>
          <w:sz w:val="24"/>
          <w:szCs w:val="24"/>
        </w:rPr>
        <w:t>Au-delà des arbres épars qui subsistent grâce à leurs systèmes racinaires profonds, l'ensemble des autres éléments floristiques caractéristiques de l'écosystème forestier original tendent à disparaître, laissant place à un processus de thérophytisation marqué par une invasion généralisée d'espèces annuelles</w:t>
      </w:r>
      <w:r w:rsidRPr="002462E6">
        <w:rPr>
          <w:rFonts w:ascii="Tahoma" w:eastAsia="Calibri" w:hAnsi="Tahoma" w:cs="Tahoma"/>
          <w:sz w:val="24"/>
          <w:szCs w:val="24"/>
          <w:vertAlign w:val="superscript"/>
        </w:rPr>
        <w:footnoteReference w:id="330"/>
      </w:r>
      <w:r w:rsidRPr="002462E6">
        <w:rPr>
          <w:rFonts w:ascii="Tahoma" w:eastAsia="Calibri" w:hAnsi="Tahoma" w:cs="Tahoma"/>
          <w:sz w:val="24"/>
          <w:szCs w:val="24"/>
        </w:rPr>
        <w:t>. Ces espèces présentent l'avantage adaptatif de cycles biologiques courts, leur permettant d'occuper et d'exploiter efficacement le sol durant les périodes limitées favorables à leur développement, avant de se reproduire et de laisser des graines dormantes jusqu'à la prochaine saison propice</w:t>
      </w:r>
      <w:r w:rsidRPr="002462E6">
        <w:rPr>
          <w:rFonts w:ascii="Tahoma" w:eastAsia="Calibri" w:hAnsi="Tahoma" w:cs="Tahoma"/>
          <w:sz w:val="24"/>
          <w:szCs w:val="24"/>
          <w:vertAlign w:val="superscript"/>
        </w:rPr>
        <w:footnoteReference w:id="331"/>
      </w:r>
      <w:r w:rsidRPr="002462E6">
        <w:rPr>
          <w:rFonts w:ascii="Tahoma" w:eastAsia="Calibri" w:hAnsi="Tahoma" w:cs="Tahoma"/>
          <w:sz w:val="24"/>
          <w:szCs w:val="24"/>
        </w:rPr>
        <w:t>.</w:t>
      </w:r>
    </w:p>
    <w:p w:rsidR="00664463" w:rsidRPr="004F5D3F" w:rsidRDefault="00664463" w:rsidP="004F5D3F">
      <w:pPr>
        <w:spacing w:line="360" w:lineRule="auto"/>
        <w:jc w:val="both"/>
        <w:rPr>
          <w:rFonts w:ascii="Tahoma" w:eastAsia="Calibri" w:hAnsi="Tahoma" w:cs="Tahoma"/>
          <w:sz w:val="24"/>
          <w:szCs w:val="24"/>
        </w:rPr>
      </w:pPr>
      <w:r w:rsidRPr="002462E6">
        <w:rPr>
          <w:rFonts w:ascii="Tahoma" w:eastAsia="Calibri" w:hAnsi="Tahoma" w:cs="Tahoma"/>
          <w:sz w:val="24"/>
          <w:szCs w:val="24"/>
        </w:rPr>
        <w:t>La thérophytisation représente une simplification extrême de la diversité floristique, traduisant une perte dramatique de complexité structurelle et fonctionnelle de l'écosystème forestier</w:t>
      </w:r>
      <w:r w:rsidRPr="002462E6">
        <w:rPr>
          <w:rFonts w:ascii="Tahoma" w:eastAsia="Calibri" w:hAnsi="Tahoma" w:cs="Tahoma"/>
          <w:sz w:val="24"/>
          <w:szCs w:val="24"/>
          <w:vertAlign w:val="superscript"/>
        </w:rPr>
        <w:footnoteReference w:id="332"/>
      </w:r>
      <w:r w:rsidRPr="002462E6">
        <w:rPr>
          <w:rFonts w:ascii="Tahoma" w:eastAsia="Calibri" w:hAnsi="Tahoma" w:cs="Tahoma"/>
          <w:sz w:val="24"/>
          <w:szCs w:val="24"/>
        </w:rPr>
        <w:t>. Cette transformation s'accompagne d'une diminution drastique de la productivité primaire, d'une altération des cycles de nutriments, et d'une vulnérabilité accrue aux perturbations externes</w:t>
      </w:r>
      <w:r w:rsidRPr="002462E6">
        <w:rPr>
          <w:rFonts w:ascii="Tahoma" w:eastAsia="Calibri" w:hAnsi="Tahoma" w:cs="Tahoma"/>
          <w:sz w:val="24"/>
          <w:szCs w:val="24"/>
          <w:vertAlign w:val="superscript"/>
        </w:rPr>
        <w:footnoteReference w:id="333"/>
      </w:r>
      <w:r w:rsidRPr="002462E6">
        <w:rPr>
          <w:rFonts w:ascii="Tahoma" w:eastAsia="Calibri" w:hAnsi="Tahoma" w:cs="Tahoma"/>
          <w:sz w:val="24"/>
          <w:szCs w:val="24"/>
        </w:rPr>
        <w:t>. Les communautés thérophytiques, bien qu'adaptées aux conditions de stress, présentent une résilience limitée face aux perturbations majeures</w:t>
      </w:r>
      <w:r w:rsidRPr="002462E6">
        <w:rPr>
          <w:rFonts w:ascii="Tahoma" w:eastAsia="Calibri" w:hAnsi="Tahoma" w:cs="Tahoma"/>
          <w:sz w:val="24"/>
          <w:szCs w:val="24"/>
          <w:vertAlign w:val="superscript"/>
        </w:rPr>
        <w:footnoteReference w:id="334"/>
      </w:r>
      <w:r w:rsidR="004F5D3F">
        <w:rPr>
          <w:rFonts w:ascii="Tahoma" w:eastAsia="Calibri" w:hAnsi="Tahoma" w:cs="Tahoma"/>
          <w:sz w:val="24"/>
          <w:szCs w:val="24"/>
        </w:rPr>
        <w:t>.</w:t>
      </w:r>
    </w:p>
    <w:p w:rsidR="00664463" w:rsidRPr="002462E6" w:rsidRDefault="00664463" w:rsidP="00BF1F48">
      <w:pPr>
        <w:pStyle w:val="Titre5"/>
        <w:rPr>
          <w:rFonts w:eastAsia="Calibri"/>
        </w:rPr>
      </w:pPr>
      <w:r w:rsidRPr="002462E6">
        <w:rPr>
          <w:rFonts w:eastAsia="Calibri"/>
        </w:rPr>
        <w:t xml:space="preserve"> </w:t>
      </w:r>
      <w:bookmarkStart w:id="262" w:name="_Toc203643048"/>
      <w:r w:rsidRPr="002462E6">
        <w:rPr>
          <w:rFonts w:eastAsia="Calibri"/>
        </w:rPr>
        <w:t>Analyse systémique des facteurs de dégradation des écosystèmes forestiers</w:t>
      </w:r>
      <w:bookmarkEnd w:id="262"/>
      <w:r w:rsidRPr="002462E6">
        <w:rPr>
          <w:rFonts w:eastAsia="Calibri"/>
        </w:rPr>
        <w:t> </w:t>
      </w:r>
    </w:p>
    <w:p w:rsidR="00664463" w:rsidRPr="002462E6" w:rsidRDefault="00664463" w:rsidP="00664463">
      <w:pPr>
        <w:spacing w:before="100" w:beforeAutospacing="1" w:after="100" w:afterAutospacing="1" w:line="360" w:lineRule="auto"/>
        <w:jc w:val="both"/>
        <w:rPr>
          <w:rFonts w:ascii="Tahoma" w:eastAsia="Times New Roman" w:hAnsi="Tahoma" w:cs="Tahoma"/>
          <w:sz w:val="24"/>
          <w:szCs w:val="24"/>
          <w:lang w:eastAsia="fr-FR"/>
        </w:rPr>
      </w:pPr>
      <w:r w:rsidRPr="002462E6">
        <w:rPr>
          <w:rFonts w:ascii="Tahoma" w:eastAsia="Times New Roman" w:hAnsi="Tahoma" w:cs="Tahoma"/>
          <w:sz w:val="24"/>
          <w:szCs w:val="24"/>
          <w:lang w:eastAsia="fr-FR"/>
        </w:rPr>
        <w:t xml:space="preserve">La dégradation des forêts marocaines résulte d’une dynamique multifactorielle où s’entrelacent pressions anthropiques et contraintes climatiques. Le surpâturage, principalement imputable à l’accroissement significatif des populations caprines, exerce une pression sélective majeure qui fragilise la régénération naturelle. Parallèlement, les incendies, amplifiés par le réchauffement climatique et l’allongement des périodes de sécheresse, accentuent la vulnérabilité des formations forestières, compromettant leur capacité de résilience. L’exploitation forestière illégale, quant à elle, constitue une menace directe en ciblant les essences précieuses, engendrant une déforestation accélérée et la dégradation des habitats. Enfin, le changement climatique agit comme un facteur aggravant, en perturbant les cycles hydrologiques et en intensifiant le stress hydrique, ce qui accroît la fragilité des écosystèmes forestiers. </w:t>
      </w:r>
    </w:p>
    <w:p w:rsidR="004F5D3F" w:rsidRDefault="00664463" w:rsidP="008D3838">
      <w:pPr>
        <w:pStyle w:val="Titre6"/>
        <w:numPr>
          <w:ilvl w:val="0"/>
          <w:numId w:val="64"/>
        </w:numPr>
      </w:pPr>
      <w:r w:rsidRPr="002462E6">
        <w:t xml:space="preserve"> </w:t>
      </w:r>
      <w:bookmarkStart w:id="263" w:name="_Toc203643049"/>
      <w:r w:rsidRPr="002462E6">
        <w:t>Pression pastorale et surpâturage</w:t>
      </w:r>
      <w:bookmarkEnd w:id="263"/>
    </w:p>
    <w:p w:rsidR="004F5D3F" w:rsidRPr="004F5D3F" w:rsidRDefault="004F5D3F" w:rsidP="004F5D3F">
      <w:pPr>
        <w:rPr>
          <w:sz w:val="2"/>
          <w:szCs w:val="2"/>
          <w:lang w:eastAsia="fr-FR"/>
        </w:rPr>
      </w:pPr>
    </w:p>
    <w:p w:rsidR="00664463" w:rsidRPr="004F5D3F" w:rsidRDefault="00664463" w:rsidP="00664463">
      <w:pPr>
        <w:spacing w:line="360" w:lineRule="auto"/>
        <w:jc w:val="both"/>
        <w:rPr>
          <w:rFonts w:ascii="Tahoma" w:eastAsia="Calibri" w:hAnsi="Tahoma" w:cs="Tahoma"/>
          <w:sz w:val="24"/>
          <w:szCs w:val="24"/>
        </w:rPr>
      </w:pPr>
      <w:r w:rsidRPr="004F5D3F">
        <w:rPr>
          <w:rFonts w:ascii="Tahoma" w:eastAsia="Calibri" w:hAnsi="Tahoma" w:cs="Tahoma"/>
          <w:sz w:val="24"/>
          <w:szCs w:val="24"/>
        </w:rPr>
        <w:t>Le surpâturage constitue l'un des facteurs anthropiques les plus déterminants dans la dégradation des écosystèmes forestiers marocains</w:t>
      </w:r>
      <w:r w:rsidRPr="004F5D3F">
        <w:rPr>
          <w:rFonts w:ascii="Tahoma" w:eastAsia="Calibri" w:hAnsi="Tahoma" w:cs="Tahoma"/>
          <w:sz w:val="24"/>
          <w:szCs w:val="24"/>
          <w:vertAlign w:val="superscript"/>
        </w:rPr>
        <w:footnoteReference w:id="335"/>
      </w:r>
      <w:r w:rsidRPr="004F5D3F">
        <w:rPr>
          <w:rFonts w:ascii="Tahoma" w:eastAsia="Calibri" w:hAnsi="Tahoma" w:cs="Tahoma"/>
          <w:sz w:val="24"/>
          <w:szCs w:val="24"/>
        </w:rPr>
        <w:t>. Cette pression, exercée principalement par les caprins dont les effectifs ont considérablement augmenté au cours des dernières décennies, induit une pression sélective qui favorise mécaniquement les espèces annuelles, moins appétentes ou capables de se régénérer rapidement après le broutag</w:t>
      </w:r>
      <w:r w:rsidRPr="004F5D3F">
        <w:rPr>
          <w:rFonts w:ascii="Tahoma" w:eastAsia="Calibri" w:hAnsi="Tahoma" w:cs="Tahoma"/>
          <w:sz w:val="24"/>
          <w:szCs w:val="24"/>
          <w:vertAlign w:val="superscript"/>
        </w:rPr>
        <w:footnoteReference w:id="336"/>
      </w:r>
      <w:r w:rsidRPr="004F5D3F">
        <w:rPr>
          <w:rFonts w:ascii="Tahoma" w:eastAsia="Calibri" w:hAnsi="Tahoma" w:cs="Tahoma"/>
          <w:sz w:val="24"/>
          <w:szCs w:val="24"/>
        </w:rPr>
        <w:t>. Parallèlement, cette pression entrave significativement la régénération naturelle des essences forestières, créant un déficit de renouvellement qui compromet la pérennité des peuplements</w:t>
      </w:r>
      <w:r w:rsidRPr="004F5D3F">
        <w:rPr>
          <w:rFonts w:ascii="Tahoma" w:eastAsia="Calibri" w:hAnsi="Tahoma" w:cs="Tahoma"/>
          <w:sz w:val="24"/>
          <w:szCs w:val="24"/>
          <w:vertAlign w:val="superscript"/>
        </w:rPr>
        <w:footnoteReference w:id="337"/>
      </w:r>
      <w:r w:rsidRPr="004F5D3F">
        <w:rPr>
          <w:rFonts w:ascii="Tahoma" w:eastAsia="Calibri" w:hAnsi="Tahoma" w:cs="Tahoma"/>
          <w:sz w:val="24"/>
          <w:szCs w:val="24"/>
        </w:rPr>
        <w:t>.</w:t>
      </w:r>
    </w:p>
    <w:p w:rsidR="00664463" w:rsidRDefault="00664463" w:rsidP="004F5D3F">
      <w:pPr>
        <w:spacing w:line="360" w:lineRule="auto"/>
        <w:jc w:val="both"/>
        <w:rPr>
          <w:rFonts w:ascii="Tahoma" w:eastAsia="Calibri" w:hAnsi="Tahoma" w:cs="Tahoma"/>
          <w:sz w:val="24"/>
          <w:szCs w:val="24"/>
        </w:rPr>
      </w:pPr>
      <w:r w:rsidRPr="004F5D3F">
        <w:rPr>
          <w:rFonts w:ascii="Tahoma" w:eastAsia="Calibri" w:hAnsi="Tahoma" w:cs="Tahoma"/>
          <w:sz w:val="24"/>
          <w:szCs w:val="24"/>
        </w:rPr>
        <w:t>L'impact du surpâturage ne se limite pas à la seule consommation de biomasse végétale, mais s'étend à la compaction des sols par le piétinement, à l'altération de la structure pédologique, et à la modification des cycles biogéochimiques</w:t>
      </w:r>
      <w:r w:rsidRPr="004F5D3F">
        <w:rPr>
          <w:rFonts w:ascii="Tahoma" w:eastAsia="Calibri" w:hAnsi="Tahoma" w:cs="Tahoma"/>
          <w:sz w:val="24"/>
          <w:szCs w:val="24"/>
          <w:vertAlign w:val="superscript"/>
        </w:rPr>
        <w:footnoteReference w:id="338"/>
      </w:r>
      <w:r w:rsidRPr="004F5D3F">
        <w:rPr>
          <w:rFonts w:ascii="Tahoma" w:eastAsia="Calibri" w:hAnsi="Tahoma" w:cs="Tahoma"/>
          <w:sz w:val="24"/>
          <w:szCs w:val="24"/>
        </w:rPr>
        <w:t>. Les études pédologiques montrent que le piétinement répété par le bétail réduit la porosité des sols, diminue leur capacité d'infiltration, et favorise les phénomènes d'érosion hydrique et éolienne</w:t>
      </w:r>
      <w:r w:rsidRPr="004F5D3F">
        <w:rPr>
          <w:rFonts w:ascii="Tahoma" w:eastAsia="Calibri" w:hAnsi="Tahoma" w:cs="Tahoma"/>
          <w:sz w:val="24"/>
          <w:szCs w:val="24"/>
          <w:vertAlign w:val="superscript"/>
        </w:rPr>
        <w:footnoteReference w:id="339"/>
      </w:r>
      <w:r w:rsidRPr="004F5D3F">
        <w:rPr>
          <w:rFonts w:ascii="Tahoma" w:eastAsia="Calibri" w:hAnsi="Tahoma" w:cs="Tahoma"/>
          <w:sz w:val="24"/>
          <w:szCs w:val="24"/>
        </w:rPr>
        <w:t>. Cette dégradation physique des sols s'accompagne d'une altération de leurs propriétés chimiques et biologiques, réduisant leur fertilité et leur capacité à soutenir une végétation diversifiée</w:t>
      </w:r>
      <w:r w:rsidRPr="004F5D3F">
        <w:rPr>
          <w:rFonts w:ascii="Tahoma" w:eastAsia="Calibri" w:hAnsi="Tahoma" w:cs="Tahoma"/>
          <w:sz w:val="24"/>
          <w:szCs w:val="24"/>
          <w:vertAlign w:val="superscript"/>
        </w:rPr>
        <w:footnoteReference w:id="340"/>
      </w:r>
      <w:r w:rsidR="004F5D3F" w:rsidRPr="004F5D3F">
        <w:rPr>
          <w:rFonts w:ascii="Tahoma" w:eastAsia="Calibri" w:hAnsi="Tahoma" w:cs="Tahoma"/>
          <w:sz w:val="24"/>
          <w:szCs w:val="24"/>
        </w:rPr>
        <w:t>.</w:t>
      </w:r>
    </w:p>
    <w:p w:rsidR="00C54FA4" w:rsidRPr="00C54FA4" w:rsidRDefault="00C54FA4" w:rsidP="004F5D3F">
      <w:pPr>
        <w:spacing w:line="360" w:lineRule="auto"/>
        <w:jc w:val="both"/>
        <w:rPr>
          <w:rFonts w:ascii="Tahoma" w:eastAsia="Calibri" w:hAnsi="Tahoma" w:cs="Tahoma"/>
          <w:sz w:val="2"/>
          <w:szCs w:val="2"/>
        </w:rPr>
      </w:pPr>
    </w:p>
    <w:p w:rsidR="00664463" w:rsidRPr="002462E6" w:rsidRDefault="00664463" w:rsidP="008D3838">
      <w:pPr>
        <w:pStyle w:val="Titre6"/>
      </w:pPr>
      <w:r w:rsidRPr="002462E6">
        <w:t xml:space="preserve"> </w:t>
      </w:r>
      <w:bookmarkStart w:id="264" w:name="_Toc203643050"/>
      <w:r w:rsidRPr="002462E6">
        <w:t>Incendies et perturbations pyrogènes</w:t>
      </w:r>
      <w:bookmarkEnd w:id="264"/>
    </w:p>
    <w:p w:rsidR="00664463" w:rsidRPr="004F5D3F" w:rsidRDefault="00664463" w:rsidP="00664463">
      <w:pPr>
        <w:rPr>
          <w:rFonts w:ascii="Calibri" w:eastAsia="Calibri" w:hAnsi="Calibri" w:cs="Arial"/>
          <w:sz w:val="10"/>
          <w:szCs w:val="10"/>
        </w:rPr>
      </w:pPr>
    </w:p>
    <w:p w:rsidR="00664463" w:rsidRPr="002462E6" w:rsidRDefault="00664463" w:rsidP="00664463">
      <w:pPr>
        <w:spacing w:line="360" w:lineRule="auto"/>
        <w:jc w:val="both"/>
        <w:rPr>
          <w:rFonts w:ascii="Tahoma" w:eastAsia="Calibri" w:hAnsi="Tahoma" w:cs="Tahoma"/>
        </w:rPr>
      </w:pPr>
      <w:r w:rsidRPr="004F5D3F">
        <w:rPr>
          <w:rFonts w:ascii="Tahoma" w:eastAsia="Calibri" w:hAnsi="Tahoma" w:cs="Tahoma"/>
          <w:sz w:val="24"/>
          <w:szCs w:val="24"/>
        </w:rPr>
        <w:t>Les incendies constituent une menace majeure pour les écosystèmes forestiers marocains, particulièrement dans un contexte de réchauffement climatique qui prolonge les périodes de sécheresse et augmente la vulnérabilité des formations végétales</w:t>
      </w:r>
      <w:r w:rsidRPr="004F5D3F">
        <w:rPr>
          <w:rFonts w:ascii="Tahoma" w:eastAsia="Calibri" w:hAnsi="Tahoma" w:cs="Tahoma"/>
          <w:sz w:val="24"/>
          <w:szCs w:val="24"/>
          <w:vertAlign w:val="superscript"/>
        </w:rPr>
        <w:footnoteReference w:id="341"/>
      </w:r>
      <w:r w:rsidRPr="004F5D3F">
        <w:rPr>
          <w:rFonts w:ascii="Tahoma" w:eastAsia="Calibri" w:hAnsi="Tahoma" w:cs="Tahoma"/>
          <w:sz w:val="24"/>
          <w:szCs w:val="24"/>
        </w:rPr>
        <w:t xml:space="preserve">. Ces incendies, souvent d'origine anthropique et liés aux pratiques agricoles traditionnelles ou à des actes volontaires, </w:t>
      </w:r>
      <w:r w:rsidRPr="002462E6">
        <w:rPr>
          <w:rFonts w:ascii="Tahoma" w:eastAsia="Calibri" w:hAnsi="Tahoma" w:cs="Tahoma"/>
        </w:rPr>
        <w:t>causent des dommages directs considérables aux arbres et induisent des modifications écologiques profondes et durables</w:t>
      </w:r>
      <w:r w:rsidRPr="002462E6">
        <w:rPr>
          <w:rFonts w:ascii="Tahoma" w:eastAsia="Calibri" w:hAnsi="Tahoma" w:cs="Tahoma"/>
          <w:vertAlign w:val="superscript"/>
        </w:rPr>
        <w:footnoteReference w:id="342"/>
      </w:r>
      <w:r w:rsidRPr="002462E6">
        <w:rPr>
          <w:rFonts w:ascii="Tahoma" w:eastAsia="Calibri" w:hAnsi="Tahoma" w:cs="Tahoma"/>
        </w:rPr>
        <w:t>.</w:t>
      </w:r>
    </w:p>
    <w:p w:rsidR="00664463" w:rsidRPr="002462E6" w:rsidRDefault="00664463" w:rsidP="00664463">
      <w:pPr>
        <w:spacing w:line="360" w:lineRule="auto"/>
        <w:jc w:val="both"/>
        <w:rPr>
          <w:rFonts w:ascii="Tahoma" w:eastAsia="Calibri" w:hAnsi="Tahoma" w:cs="Tahoma"/>
        </w:rPr>
      </w:pPr>
      <w:r w:rsidRPr="002462E6">
        <w:rPr>
          <w:rFonts w:ascii="Tahoma" w:eastAsia="Calibri" w:hAnsi="Tahoma" w:cs="Tahoma"/>
        </w:rPr>
        <w:t>L'impact des incendies dépasse la simple destruction de biomasse pour inclure des modifications substantielles des propriétés physico-chimiques des sols</w:t>
      </w:r>
      <w:r w:rsidRPr="002462E6">
        <w:rPr>
          <w:rFonts w:ascii="Tahoma" w:eastAsia="Calibri" w:hAnsi="Tahoma" w:cs="Tahoma"/>
          <w:vertAlign w:val="superscript"/>
        </w:rPr>
        <w:footnoteReference w:id="343"/>
      </w:r>
      <w:r w:rsidRPr="002462E6">
        <w:rPr>
          <w:rFonts w:ascii="Tahoma" w:eastAsia="Calibri" w:hAnsi="Tahoma" w:cs="Tahoma"/>
        </w:rPr>
        <w:t>. Les hautes températures modifient la structure des argiles, altèrent la matière organique, et peuvent créer des couches hydrophobes qui réduisent l'infiltration de l'eau</w:t>
      </w:r>
      <w:r w:rsidRPr="002462E6">
        <w:rPr>
          <w:rFonts w:ascii="Tahoma" w:eastAsia="Calibri" w:hAnsi="Tahoma" w:cs="Tahoma"/>
          <w:vertAlign w:val="superscript"/>
        </w:rPr>
        <w:footnoteReference w:id="344"/>
      </w:r>
      <w:r w:rsidRPr="002462E6">
        <w:rPr>
          <w:rFonts w:ascii="Tahoma" w:eastAsia="Calibri" w:hAnsi="Tahoma" w:cs="Tahoma"/>
        </w:rPr>
        <w:t>. Ces modifications pédologiques favorisent l'installation d'espèces pionnières et annuelles au détriment des espèces pérennes, accélérant ainsi le processus de thérophytisation</w:t>
      </w:r>
      <w:r w:rsidRPr="002462E6">
        <w:rPr>
          <w:rFonts w:ascii="Tahoma" w:eastAsia="Calibri" w:hAnsi="Tahoma" w:cs="Tahoma"/>
          <w:vertAlign w:val="superscript"/>
        </w:rPr>
        <w:footnoteReference w:id="345"/>
      </w:r>
      <w:r w:rsidRPr="002462E6">
        <w:rPr>
          <w:rFonts w:ascii="Tahoma" w:eastAsia="Calibri" w:hAnsi="Tahoma" w:cs="Tahoma"/>
        </w:rPr>
        <w:t>.</w:t>
      </w:r>
    </w:p>
    <w:p w:rsidR="00664463" w:rsidRPr="00C54FA4" w:rsidRDefault="00664463" w:rsidP="00C54FA4">
      <w:pPr>
        <w:spacing w:line="360" w:lineRule="auto"/>
        <w:jc w:val="both"/>
        <w:rPr>
          <w:rFonts w:ascii="Tahoma" w:eastAsia="Calibri" w:hAnsi="Tahoma" w:cs="Tahoma"/>
          <w:sz w:val="24"/>
          <w:szCs w:val="24"/>
        </w:rPr>
      </w:pPr>
      <w:r w:rsidRPr="002462E6">
        <w:rPr>
          <w:rFonts w:ascii="Tahoma" w:eastAsia="Calibri" w:hAnsi="Tahoma" w:cs="Tahoma"/>
          <w:sz w:val="24"/>
          <w:szCs w:val="24"/>
        </w:rPr>
        <w:t>La fréquence croissante des incendies dans certaines régions crée un régime de perturbation chronique qui empêche la reconstitution des formations forestières originelles</w:t>
      </w:r>
      <w:r w:rsidRPr="002462E6">
        <w:rPr>
          <w:rFonts w:ascii="Tahoma" w:eastAsia="Calibri" w:hAnsi="Tahoma" w:cs="Tahoma"/>
          <w:sz w:val="24"/>
          <w:szCs w:val="24"/>
          <w:vertAlign w:val="superscript"/>
        </w:rPr>
        <w:footnoteReference w:id="346"/>
      </w:r>
      <w:r w:rsidRPr="002462E6">
        <w:rPr>
          <w:rFonts w:ascii="Tahoma" w:eastAsia="Calibri" w:hAnsi="Tahoma" w:cs="Tahoma"/>
          <w:sz w:val="24"/>
          <w:szCs w:val="24"/>
        </w:rPr>
        <w:t>. Cette situation est particulièrement préoccupante dans les écosystèmes méditerranéens du Maroc, où certaines espèces ont développé des adaptations au feu, mais où l'augmentation de la fréquence des incendies dépasse leurs capacités de résilience</w:t>
      </w:r>
      <w:r w:rsidRPr="002462E6">
        <w:rPr>
          <w:rFonts w:ascii="Tahoma" w:eastAsia="Calibri" w:hAnsi="Tahoma" w:cs="Tahoma"/>
          <w:sz w:val="24"/>
          <w:szCs w:val="24"/>
          <w:vertAlign w:val="superscript"/>
        </w:rPr>
        <w:footnoteReference w:id="347"/>
      </w:r>
      <w:r w:rsidR="00C54FA4">
        <w:rPr>
          <w:rFonts w:ascii="Tahoma" w:eastAsia="Calibri" w:hAnsi="Tahoma" w:cs="Tahoma"/>
          <w:sz w:val="24"/>
          <w:szCs w:val="24"/>
        </w:rPr>
        <w:t>.</w:t>
      </w:r>
    </w:p>
    <w:p w:rsidR="00664463" w:rsidRPr="002462E6" w:rsidRDefault="00664463" w:rsidP="008D3838">
      <w:pPr>
        <w:pStyle w:val="Titre6"/>
      </w:pPr>
      <w:bookmarkStart w:id="265" w:name="_Toc203643051"/>
      <w:r w:rsidRPr="002462E6">
        <w:t>Exploitation forestière illégale et prélèvements abusifs</w:t>
      </w:r>
      <w:bookmarkEnd w:id="265"/>
    </w:p>
    <w:p w:rsidR="00664463" w:rsidRPr="002462E6" w:rsidRDefault="00664463" w:rsidP="00664463">
      <w:pPr>
        <w:spacing w:line="360" w:lineRule="auto"/>
        <w:ind w:left="720"/>
        <w:contextualSpacing/>
        <w:jc w:val="both"/>
        <w:rPr>
          <w:rFonts w:ascii="Tahoma" w:eastAsia="Calibri" w:hAnsi="Tahoma" w:cs="Tahoma"/>
        </w:rPr>
      </w:pPr>
    </w:p>
    <w:p w:rsidR="00664463" w:rsidRPr="002462E6" w:rsidRDefault="00664463" w:rsidP="00664463">
      <w:pPr>
        <w:spacing w:line="360" w:lineRule="auto"/>
        <w:jc w:val="both"/>
        <w:rPr>
          <w:rFonts w:ascii="Tahoma" w:eastAsia="Calibri" w:hAnsi="Tahoma" w:cs="Tahoma"/>
        </w:rPr>
      </w:pPr>
      <w:r w:rsidRPr="002462E6">
        <w:rPr>
          <w:rFonts w:ascii="Tahoma" w:eastAsia="Calibri" w:hAnsi="Tahoma" w:cs="Tahoma"/>
        </w:rPr>
        <w:t>L'exploitation forestière illégale constitue un facteur majeur de dégradation, ciblant particulièrement les espèces de bois précieuses et contribuant significativement à la déforestation et à la dégradation des habitats</w:t>
      </w:r>
      <w:r w:rsidRPr="002462E6">
        <w:rPr>
          <w:rFonts w:ascii="Tahoma" w:eastAsia="Calibri" w:hAnsi="Tahoma" w:cs="Tahoma"/>
          <w:vertAlign w:val="superscript"/>
        </w:rPr>
        <w:footnoteReference w:id="348"/>
      </w:r>
      <w:r w:rsidRPr="002462E6">
        <w:rPr>
          <w:rFonts w:ascii="Tahoma" w:eastAsia="Calibri" w:hAnsi="Tahoma" w:cs="Tahoma"/>
        </w:rPr>
        <w:t>. Cette exploitation se distingue par son caractère non soutenable, privilégiant les profits immédiats au détriment de la régénération forestière et de la conservation de la biodiversité</w:t>
      </w:r>
      <w:r w:rsidRPr="002462E6">
        <w:rPr>
          <w:rFonts w:ascii="Tahoma" w:eastAsia="Calibri" w:hAnsi="Tahoma" w:cs="Tahoma"/>
          <w:vertAlign w:val="superscript"/>
        </w:rPr>
        <w:footnoteReference w:id="349"/>
      </w:r>
      <w:r w:rsidRPr="002462E6">
        <w:rPr>
          <w:rFonts w:ascii="Tahoma" w:eastAsia="Calibri" w:hAnsi="Tahoma" w:cs="Tahoma"/>
        </w:rPr>
        <w:t>. Les prélèvements portent non seulement sur le bois d'œuvre, mais également sur le bois de chauffage, l'écorce, les résines et autres produits forestiers non ligneux</w:t>
      </w:r>
      <w:r w:rsidRPr="002462E6">
        <w:rPr>
          <w:rFonts w:ascii="Tahoma" w:eastAsia="Calibri" w:hAnsi="Tahoma" w:cs="Tahoma"/>
          <w:vertAlign w:val="superscript"/>
        </w:rPr>
        <w:footnoteReference w:id="350"/>
      </w:r>
      <w:r w:rsidRPr="002462E6">
        <w:rPr>
          <w:rFonts w:ascii="Tahoma" w:eastAsia="Calibri" w:hAnsi="Tahoma" w:cs="Tahoma"/>
        </w:rPr>
        <w:t>.</w:t>
      </w:r>
    </w:p>
    <w:p w:rsidR="00664463" w:rsidRPr="00C54FA4" w:rsidRDefault="00664463" w:rsidP="00C54FA4">
      <w:pPr>
        <w:spacing w:line="360" w:lineRule="auto"/>
        <w:jc w:val="both"/>
        <w:rPr>
          <w:rFonts w:ascii="Tahoma" w:eastAsia="Calibri" w:hAnsi="Tahoma" w:cs="Tahoma"/>
        </w:rPr>
      </w:pPr>
      <w:r w:rsidRPr="002462E6">
        <w:rPr>
          <w:rFonts w:ascii="Tahoma" w:eastAsia="Calibri" w:hAnsi="Tahoma" w:cs="Tahoma"/>
        </w:rPr>
        <w:t>L'impact de cette exploitation dépasse la simple réduction du nombre d'arbres pour inclure une altération de la structure démographique des populations forestières</w:t>
      </w:r>
      <w:r w:rsidRPr="002462E6">
        <w:rPr>
          <w:rFonts w:ascii="Tahoma" w:eastAsia="Calibri" w:hAnsi="Tahoma" w:cs="Tahoma"/>
          <w:vertAlign w:val="superscript"/>
        </w:rPr>
        <w:footnoteReference w:id="351"/>
      </w:r>
      <w:r w:rsidRPr="002462E6">
        <w:rPr>
          <w:rFonts w:ascii="Tahoma" w:eastAsia="Calibri" w:hAnsi="Tahoma" w:cs="Tahoma"/>
        </w:rPr>
        <w:t>. La coupe sélective des plus gros individus modifie la pyramide des âges, réduit le potentiel reproducteur des populations, et peut conduire à une érosion génétique à long terme</w:t>
      </w:r>
      <w:r w:rsidRPr="002462E6">
        <w:rPr>
          <w:rFonts w:ascii="Tahoma" w:eastAsia="Calibri" w:hAnsi="Tahoma" w:cs="Tahoma"/>
          <w:vertAlign w:val="superscript"/>
        </w:rPr>
        <w:footnoteReference w:id="352"/>
      </w:r>
      <w:r w:rsidRPr="002462E6">
        <w:rPr>
          <w:rFonts w:ascii="Tahoma" w:eastAsia="Calibri" w:hAnsi="Tahoma" w:cs="Tahoma"/>
        </w:rPr>
        <w:t>. Cette situation est particulièrement préoccupante pour les espèces endémiques ou rares, dont les populations déjà fragiles subissent une press</w:t>
      </w:r>
      <w:r w:rsidR="00C54FA4">
        <w:rPr>
          <w:rFonts w:ascii="Tahoma" w:eastAsia="Calibri" w:hAnsi="Tahoma" w:cs="Tahoma"/>
        </w:rPr>
        <w:t>ion supplémentaire.</w:t>
      </w:r>
    </w:p>
    <w:p w:rsidR="008D3838" w:rsidRDefault="008D3838">
      <w:pPr>
        <w:rPr>
          <w:rFonts w:ascii="Tahoma" w:eastAsia="Calibri" w:hAnsi="Tahoma" w:cstheme="majorBidi"/>
          <w:b/>
          <w:bCs/>
          <w:color w:val="000000" w:themeColor="text1"/>
          <w:sz w:val="24"/>
          <w:szCs w:val="24"/>
          <w:lang w:eastAsia="fr-FR"/>
          <w14:scene3d>
            <w14:camera w14:prst="orthographicFront"/>
            <w14:lightRig w14:rig="threePt" w14:dir="t">
              <w14:rot w14:lat="0" w14:lon="0" w14:rev="0"/>
            </w14:lightRig>
          </w14:scene3d>
        </w:rPr>
      </w:pPr>
    </w:p>
    <w:p w:rsidR="00664463" w:rsidRPr="002462E6" w:rsidRDefault="00664463" w:rsidP="008D3838">
      <w:pPr>
        <w:pStyle w:val="Titre6"/>
      </w:pPr>
      <w:bookmarkStart w:id="266" w:name="_Toc203643052"/>
      <w:r w:rsidRPr="002462E6">
        <w:t>Changement climatique et contraintes hydriques</w:t>
      </w:r>
      <w:bookmarkEnd w:id="266"/>
    </w:p>
    <w:p w:rsidR="00664463" w:rsidRPr="002462E6" w:rsidRDefault="00664463" w:rsidP="00664463">
      <w:pPr>
        <w:rPr>
          <w:rFonts w:ascii="Calibri" w:eastAsia="Calibri" w:hAnsi="Calibri" w:cs="Arial"/>
        </w:rPr>
      </w:pPr>
    </w:p>
    <w:p w:rsidR="00664463" w:rsidRPr="002462E6" w:rsidRDefault="00664463" w:rsidP="00664463">
      <w:pPr>
        <w:spacing w:line="360" w:lineRule="auto"/>
        <w:jc w:val="both"/>
        <w:rPr>
          <w:rFonts w:ascii="Tahoma" w:eastAsia="Calibri" w:hAnsi="Tahoma" w:cs="Tahoma"/>
          <w:sz w:val="24"/>
          <w:szCs w:val="24"/>
        </w:rPr>
      </w:pPr>
      <w:r w:rsidRPr="002462E6">
        <w:rPr>
          <w:rFonts w:ascii="Tahoma" w:eastAsia="Calibri" w:hAnsi="Tahoma" w:cs="Tahoma"/>
          <w:sz w:val="24"/>
          <w:szCs w:val="24"/>
        </w:rPr>
        <w:t>Le changement climatique intensifie considérablement la dégradation des forêts marocaines par son impact multiforme sur les régimes de précipitations, l'augmentation des températures moyennes, et l'accroissement de l'évapotranspiration</w:t>
      </w:r>
      <w:r w:rsidRPr="002462E6">
        <w:rPr>
          <w:rFonts w:ascii="Tahoma" w:eastAsia="Calibri" w:hAnsi="Tahoma" w:cs="Tahoma"/>
          <w:sz w:val="24"/>
          <w:szCs w:val="24"/>
          <w:vertAlign w:val="superscript"/>
        </w:rPr>
        <w:footnoteReference w:id="353"/>
      </w:r>
      <w:r w:rsidRPr="002462E6">
        <w:rPr>
          <w:rFonts w:ascii="Tahoma" w:eastAsia="Calibri" w:hAnsi="Tahoma" w:cs="Tahoma"/>
          <w:sz w:val="24"/>
          <w:szCs w:val="24"/>
        </w:rPr>
        <w:t>. Ces modifications climatiques conduisent à des sécheresses plus fréquentes et plus sévères, à une réduction substantielle de la disponibilité de l'eau, et à une vulnérabilité accrue des arbres aux ravageurs et aux maladies</w:t>
      </w:r>
      <w:r w:rsidRPr="002462E6">
        <w:rPr>
          <w:rFonts w:ascii="Tahoma" w:eastAsia="Calibri" w:hAnsi="Tahoma" w:cs="Tahoma"/>
          <w:sz w:val="24"/>
          <w:szCs w:val="24"/>
          <w:vertAlign w:val="superscript"/>
        </w:rPr>
        <w:footnoteReference w:id="354"/>
      </w:r>
      <w:r w:rsidRPr="002462E6">
        <w:rPr>
          <w:rFonts w:ascii="Tahoma" w:eastAsia="Calibri" w:hAnsi="Tahoma" w:cs="Tahoma"/>
          <w:sz w:val="24"/>
          <w:szCs w:val="24"/>
        </w:rPr>
        <w:t>.</w:t>
      </w:r>
    </w:p>
    <w:p w:rsidR="00664463" w:rsidRPr="002462E6" w:rsidRDefault="00664463" w:rsidP="00664463">
      <w:pPr>
        <w:spacing w:line="360" w:lineRule="auto"/>
        <w:jc w:val="both"/>
        <w:rPr>
          <w:rFonts w:ascii="Tahoma" w:eastAsia="Calibri" w:hAnsi="Tahoma" w:cs="Tahoma"/>
          <w:sz w:val="24"/>
          <w:szCs w:val="24"/>
        </w:rPr>
      </w:pPr>
      <w:r w:rsidRPr="002462E6">
        <w:rPr>
          <w:rFonts w:ascii="Tahoma" w:eastAsia="Calibri" w:hAnsi="Tahoma" w:cs="Tahoma"/>
          <w:sz w:val="24"/>
          <w:szCs w:val="24"/>
        </w:rPr>
        <w:t>Les données météorologiques des quarante-cinq dernières années révèlent une tendance claire vers l'aridification, avec une régression des zones climatiques humides et subhumides au profit des zones semi-arides et arides</w:t>
      </w:r>
      <w:r w:rsidRPr="002462E6">
        <w:rPr>
          <w:rFonts w:ascii="Tahoma" w:eastAsia="Calibri" w:hAnsi="Tahoma" w:cs="Tahoma"/>
          <w:sz w:val="24"/>
          <w:szCs w:val="24"/>
          <w:vertAlign w:val="superscript"/>
        </w:rPr>
        <w:footnoteReference w:id="355"/>
      </w:r>
      <w:r w:rsidRPr="002462E6">
        <w:rPr>
          <w:rFonts w:ascii="Tahoma" w:eastAsia="Calibri" w:hAnsi="Tahoma" w:cs="Tahoma"/>
          <w:sz w:val="24"/>
          <w:szCs w:val="24"/>
        </w:rPr>
        <w:t>. Cette évolution se traduit par une augmentation de la température annuelle moyenne estimée à 0,16°C par décennie et une diminution dramatique des précipitations printanières de 47% à l'échelle nationale</w:t>
      </w:r>
      <w:r w:rsidRPr="002462E6">
        <w:rPr>
          <w:rFonts w:ascii="Tahoma" w:eastAsia="Calibri" w:hAnsi="Tahoma" w:cs="Tahoma"/>
          <w:sz w:val="24"/>
          <w:szCs w:val="24"/>
          <w:vertAlign w:val="superscript"/>
        </w:rPr>
        <w:footnoteReference w:id="356"/>
      </w:r>
      <w:r w:rsidRPr="002462E6">
        <w:rPr>
          <w:rFonts w:ascii="Tahoma" w:eastAsia="Calibri" w:hAnsi="Tahoma" w:cs="Tahoma"/>
          <w:sz w:val="24"/>
          <w:szCs w:val="24"/>
        </w:rPr>
        <w:t>. Les projections établies par la Direction de la Météorologie Nationale prévoient une aggravation de cette tendance, avec une augmentation des températures moyennes estivales de 2 à 6°C et une diminution moyenne des précipitations de 20% d'ici la fin du siècle</w:t>
      </w:r>
      <w:r w:rsidRPr="002462E6">
        <w:rPr>
          <w:rFonts w:ascii="Tahoma" w:eastAsia="Calibri" w:hAnsi="Tahoma" w:cs="Tahoma"/>
          <w:sz w:val="24"/>
          <w:szCs w:val="24"/>
          <w:vertAlign w:val="superscript"/>
        </w:rPr>
        <w:footnoteReference w:id="357"/>
      </w:r>
      <w:r w:rsidRPr="002462E6">
        <w:rPr>
          <w:rFonts w:ascii="Tahoma" w:eastAsia="Calibri" w:hAnsi="Tahoma" w:cs="Tahoma"/>
          <w:sz w:val="24"/>
          <w:szCs w:val="24"/>
        </w:rPr>
        <w:t>.</w:t>
      </w:r>
    </w:p>
    <w:p w:rsidR="00664463" w:rsidRPr="002462E6" w:rsidRDefault="00664463" w:rsidP="00664463">
      <w:pPr>
        <w:spacing w:line="360" w:lineRule="auto"/>
        <w:jc w:val="both"/>
        <w:rPr>
          <w:rFonts w:ascii="Tahoma" w:eastAsia="Calibri" w:hAnsi="Tahoma" w:cs="Tahoma"/>
        </w:rPr>
      </w:pPr>
      <w:r w:rsidRPr="002462E6">
        <w:rPr>
          <w:rFonts w:ascii="Tahoma" w:eastAsia="Calibri" w:hAnsi="Tahoma" w:cs="Tahoma"/>
        </w:rPr>
        <w:t>Ces perturbations climatiques accentuent le déficit hydrique des écosystèmes forestiers, altèrent profondément les cycles biogéochimiques, et favorisent la propagation d'organismes pathogènes, compromettant ainsi la santé et la résilience des forêts</w:t>
      </w:r>
      <w:r w:rsidRPr="002462E6">
        <w:rPr>
          <w:rFonts w:ascii="Tahoma" w:eastAsia="Calibri" w:hAnsi="Tahoma" w:cs="Tahoma"/>
          <w:vertAlign w:val="superscript"/>
        </w:rPr>
        <w:footnoteReference w:id="358"/>
      </w:r>
      <w:r w:rsidRPr="002462E6">
        <w:rPr>
          <w:rFonts w:ascii="Tahoma" w:eastAsia="Calibri" w:hAnsi="Tahoma" w:cs="Tahoma"/>
        </w:rPr>
        <w:t>. L'augmentation de la fréquence et de l'intensité des épisodes de sécheresse dépasse les capacités d'adaptation de nombreuses espèces forestières, particulièrement celles adaptées aux conditions humides et subhumides</w:t>
      </w:r>
      <w:r w:rsidRPr="002462E6">
        <w:rPr>
          <w:rFonts w:ascii="Tahoma" w:eastAsia="Calibri" w:hAnsi="Tahoma" w:cs="Tahoma"/>
          <w:vertAlign w:val="superscript"/>
        </w:rPr>
        <w:footnoteReference w:id="359"/>
      </w:r>
      <w:r w:rsidRPr="002462E6">
        <w:rPr>
          <w:rFonts w:ascii="Tahoma" w:eastAsia="Calibri" w:hAnsi="Tahoma" w:cs="Tahoma"/>
        </w:rPr>
        <w:t>.</w:t>
      </w:r>
    </w:p>
    <w:p w:rsidR="00664463" w:rsidRPr="002462E6" w:rsidRDefault="00664463" w:rsidP="00664463">
      <w:pPr>
        <w:spacing w:line="360" w:lineRule="auto"/>
        <w:jc w:val="both"/>
        <w:rPr>
          <w:rFonts w:ascii="Tahoma" w:eastAsia="Calibri" w:hAnsi="Tahoma" w:cs="Tahoma"/>
        </w:rPr>
      </w:pPr>
      <w:r w:rsidRPr="002462E6">
        <w:rPr>
          <w:rFonts w:ascii="Tahoma" w:eastAsia="Calibri" w:hAnsi="Tahoma" w:cs="Tahoma"/>
        </w:rPr>
        <w:t>Par ailleurs, les modifications du régime hydrologique constituent un aspect crucial mais souvent sous-estimé de la dégradation forestière</w:t>
      </w:r>
      <w:r w:rsidRPr="002462E6">
        <w:rPr>
          <w:rFonts w:ascii="Tahoma" w:eastAsia="Calibri" w:hAnsi="Tahoma" w:cs="Tahoma"/>
          <w:vertAlign w:val="superscript"/>
        </w:rPr>
        <w:footnoteReference w:id="360"/>
      </w:r>
      <w:r w:rsidRPr="002462E6">
        <w:rPr>
          <w:rFonts w:ascii="Tahoma" w:eastAsia="Calibri" w:hAnsi="Tahoma" w:cs="Tahoma"/>
        </w:rPr>
        <w:t>. La diminution des précipitations, conjuguée à l'augmentation de l'évapotranspiration, réduit significativement les ressources en eau disponibles pour les écosystèmes forestiers</w:t>
      </w:r>
      <w:r w:rsidRPr="002462E6">
        <w:rPr>
          <w:rFonts w:ascii="Tahoma" w:eastAsia="Calibri" w:hAnsi="Tahoma" w:cs="Tahoma"/>
          <w:vertAlign w:val="superscript"/>
        </w:rPr>
        <w:footnoteReference w:id="361"/>
      </w:r>
      <w:r w:rsidRPr="002462E6">
        <w:rPr>
          <w:rFonts w:ascii="Tahoma" w:eastAsia="Calibri" w:hAnsi="Tahoma" w:cs="Tahoma"/>
        </w:rPr>
        <w:t>. Cette situation est aggravée par les modifications de la répartition saisonnière des pluies, avec une concentration accrue sur des périodes courtes et une extension des périodes sèches</w:t>
      </w:r>
      <w:r w:rsidRPr="002462E6">
        <w:rPr>
          <w:rFonts w:ascii="Tahoma" w:eastAsia="Calibri" w:hAnsi="Tahoma" w:cs="Tahoma"/>
          <w:vertAlign w:val="superscript"/>
        </w:rPr>
        <w:footnoteReference w:id="362"/>
      </w:r>
      <w:r w:rsidRPr="002462E6">
        <w:rPr>
          <w:rFonts w:ascii="Tahoma" w:eastAsia="Calibri" w:hAnsi="Tahoma" w:cs="Tahoma"/>
        </w:rPr>
        <w:t>.</w:t>
      </w:r>
    </w:p>
    <w:p w:rsidR="00664463" w:rsidRPr="002462E6" w:rsidRDefault="00664463" w:rsidP="00C54FA4">
      <w:pPr>
        <w:spacing w:line="360" w:lineRule="auto"/>
        <w:jc w:val="both"/>
        <w:rPr>
          <w:rFonts w:ascii="Tahoma" w:eastAsia="Calibri" w:hAnsi="Tahoma" w:cs="Tahoma"/>
        </w:rPr>
      </w:pPr>
      <w:r w:rsidRPr="002462E6">
        <w:rPr>
          <w:rFonts w:ascii="Tahoma" w:eastAsia="Calibri" w:hAnsi="Tahoma" w:cs="Tahoma"/>
        </w:rPr>
        <w:t>L'impact de ces modifications hydrologiques se manifeste de plusieurs manières. Premièrement, la réduction de l'humidité du sol affecte directement la croissance et la survie des arbres, particulièrement des espèces à système racinaire superficiel</w:t>
      </w:r>
      <w:r w:rsidRPr="002462E6">
        <w:rPr>
          <w:rFonts w:ascii="Tahoma" w:eastAsia="Calibri" w:hAnsi="Tahoma" w:cs="Tahoma"/>
          <w:vertAlign w:val="superscript"/>
        </w:rPr>
        <w:footnoteReference w:id="363"/>
      </w:r>
      <w:r w:rsidRPr="002462E6">
        <w:rPr>
          <w:rFonts w:ascii="Tahoma" w:eastAsia="Calibri" w:hAnsi="Tahoma" w:cs="Tahoma"/>
        </w:rPr>
        <w:t>. Deuxièmement, la diminution du ruissellement et de l'infiltration modifie la recharge des nappes phréatiques, affectant l'approvisionnement en eau des formations ripariales</w:t>
      </w:r>
      <w:r w:rsidRPr="002462E6">
        <w:rPr>
          <w:rFonts w:ascii="Tahoma" w:eastAsia="Calibri" w:hAnsi="Tahoma" w:cs="Tahoma"/>
          <w:vertAlign w:val="superscript"/>
        </w:rPr>
        <w:footnoteReference w:id="364"/>
      </w:r>
      <w:r w:rsidRPr="002462E6">
        <w:rPr>
          <w:rFonts w:ascii="Tahoma" w:eastAsia="Calibri" w:hAnsi="Tahoma" w:cs="Tahoma"/>
        </w:rPr>
        <w:t>. Troisièmement, l'intensification des épisodes pluvieux augmente les risques d'érosion sur les sols dénudés, accélérant la perte de terre arable</w:t>
      </w:r>
      <w:r w:rsidRPr="002462E6">
        <w:rPr>
          <w:rFonts w:ascii="Tahoma" w:eastAsia="Calibri" w:hAnsi="Tahoma" w:cs="Tahoma"/>
          <w:vertAlign w:val="superscript"/>
        </w:rPr>
        <w:footnoteReference w:id="365"/>
      </w:r>
      <w:r w:rsidR="00C54FA4">
        <w:rPr>
          <w:rFonts w:ascii="Tahoma" w:eastAsia="Calibri" w:hAnsi="Tahoma" w:cs="Tahoma"/>
        </w:rPr>
        <w:t>.</w:t>
      </w:r>
    </w:p>
    <w:p w:rsidR="00664463" w:rsidRPr="00C54FA4" w:rsidRDefault="00664463" w:rsidP="00C54FA4">
      <w:pPr>
        <w:pStyle w:val="Titre5"/>
        <w:rPr>
          <w:rFonts w:eastAsia="Calibri"/>
        </w:rPr>
      </w:pPr>
      <w:bookmarkStart w:id="267" w:name="_Toc203643053"/>
      <w:r w:rsidRPr="002462E6">
        <w:rPr>
          <w:rFonts w:eastAsia="Calibri"/>
        </w:rPr>
        <w:t>Migration des écosystèmes forestiers et déséquilibre de la biodiversité</w:t>
      </w:r>
      <w:bookmarkEnd w:id="267"/>
    </w:p>
    <w:p w:rsidR="00664463" w:rsidRPr="002462E6" w:rsidRDefault="00664463" w:rsidP="00664463">
      <w:pPr>
        <w:spacing w:line="360" w:lineRule="auto"/>
        <w:jc w:val="both"/>
        <w:rPr>
          <w:rFonts w:ascii="Tahoma" w:eastAsia="Calibri" w:hAnsi="Tahoma" w:cs="Tahoma"/>
          <w:sz w:val="24"/>
          <w:szCs w:val="24"/>
        </w:rPr>
      </w:pPr>
      <w:r w:rsidRPr="002462E6">
        <w:rPr>
          <w:rFonts w:ascii="Tahoma" w:eastAsia="Calibri" w:hAnsi="Tahoma" w:cs="Tahoma"/>
          <w:sz w:val="24"/>
          <w:szCs w:val="24"/>
        </w:rPr>
        <w:t>La migration des espèces forestières se définit comme le déplacement spatial et temporel d'organismes vivants d'un territoire vers un autre, en réponse à des modifications graduelles ou brutales des conditions environnementales</w:t>
      </w:r>
      <w:r w:rsidRPr="002462E6">
        <w:rPr>
          <w:rFonts w:ascii="Tahoma" w:eastAsia="Calibri" w:hAnsi="Tahoma" w:cs="Tahoma"/>
          <w:sz w:val="24"/>
          <w:szCs w:val="24"/>
          <w:vertAlign w:val="superscript"/>
        </w:rPr>
        <w:footnoteReference w:id="366"/>
      </w:r>
      <w:r w:rsidRPr="002462E6">
        <w:rPr>
          <w:rFonts w:ascii="Tahoma" w:eastAsia="Calibri" w:hAnsi="Tahoma" w:cs="Tahoma"/>
          <w:sz w:val="24"/>
          <w:szCs w:val="24"/>
        </w:rPr>
        <w:t>. Dans le contexte des écosystèmes forestiers marocains, ce phénomène revêt une importance particulière en raison des effets synergiques du changement climatique et des pressions anthropiques, créant des conditions environnementales nouvelles qui dépassent souvent les capacités d'adaptation des espèces</w:t>
      </w:r>
      <w:r w:rsidRPr="002462E6">
        <w:rPr>
          <w:rFonts w:ascii="Tahoma" w:eastAsia="Calibri" w:hAnsi="Tahoma" w:cs="Tahoma"/>
          <w:sz w:val="24"/>
          <w:szCs w:val="24"/>
          <w:vertAlign w:val="superscript"/>
        </w:rPr>
        <w:footnoteReference w:id="367"/>
      </w:r>
      <w:r w:rsidRPr="002462E6">
        <w:rPr>
          <w:rFonts w:ascii="Tahoma" w:eastAsia="Calibri" w:hAnsi="Tahoma" w:cs="Tahoma"/>
          <w:sz w:val="24"/>
          <w:szCs w:val="24"/>
        </w:rPr>
        <w:t>.</w:t>
      </w:r>
    </w:p>
    <w:p w:rsidR="00FC4FA8" w:rsidRPr="00326A33" w:rsidRDefault="00664463" w:rsidP="00326A33">
      <w:pPr>
        <w:spacing w:line="360" w:lineRule="auto"/>
        <w:jc w:val="both"/>
        <w:rPr>
          <w:rFonts w:ascii="Tahoma" w:eastAsia="Calibri" w:hAnsi="Tahoma" w:cs="Tahoma"/>
          <w:sz w:val="24"/>
          <w:szCs w:val="24"/>
        </w:rPr>
      </w:pPr>
      <w:r w:rsidRPr="002462E6">
        <w:rPr>
          <w:rFonts w:ascii="Tahoma" w:eastAsia="Calibri" w:hAnsi="Tahoma" w:cs="Tahoma"/>
          <w:sz w:val="24"/>
          <w:szCs w:val="24"/>
        </w:rPr>
        <w:t>Cette migration ne concerne pas seulement les déplacements d'individus, mais englobe des transformations plus complexes de la structure et de la composition des communautés végétales</w:t>
      </w:r>
      <w:r w:rsidRPr="002462E6">
        <w:rPr>
          <w:rFonts w:ascii="Tahoma" w:eastAsia="Calibri" w:hAnsi="Tahoma" w:cs="Tahoma"/>
          <w:sz w:val="24"/>
          <w:szCs w:val="24"/>
          <w:vertAlign w:val="superscript"/>
        </w:rPr>
        <w:footnoteReference w:id="368"/>
      </w:r>
      <w:r w:rsidRPr="002462E6">
        <w:rPr>
          <w:rFonts w:ascii="Tahoma" w:eastAsia="Calibri" w:hAnsi="Tahoma" w:cs="Tahoma"/>
          <w:sz w:val="24"/>
          <w:szCs w:val="24"/>
        </w:rPr>
        <w:t>. Elle inclut des phénomènes d'extinction locale, de colonisation de nouveaux habitats, et de modification des aires de répartition des espèces</w:t>
      </w:r>
      <w:r w:rsidRPr="002462E6">
        <w:rPr>
          <w:rFonts w:ascii="Tahoma" w:eastAsia="Calibri" w:hAnsi="Tahoma" w:cs="Tahoma"/>
          <w:sz w:val="24"/>
          <w:szCs w:val="24"/>
          <w:vertAlign w:val="superscript"/>
        </w:rPr>
        <w:footnoteReference w:id="369"/>
      </w:r>
      <w:r w:rsidRPr="002462E6">
        <w:rPr>
          <w:rFonts w:ascii="Tahoma" w:eastAsia="Calibri" w:hAnsi="Tahoma" w:cs="Tahoma"/>
          <w:sz w:val="24"/>
          <w:szCs w:val="24"/>
        </w:rPr>
        <w:t>. La migration forestière s'inscrit alors dans une dynamique systémique qui affecte l'ensemble des niveaux d'organisation biologique, depuis les populations locales jusqu'aux méta-communautés régionales</w:t>
      </w:r>
      <w:r w:rsidRPr="002462E6">
        <w:rPr>
          <w:rFonts w:ascii="Tahoma" w:eastAsia="Calibri" w:hAnsi="Tahoma" w:cs="Tahoma"/>
          <w:sz w:val="24"/>
          <w:szCs w:val="24"/>
          <w:vertAlign w:val="superscript"/>
        </w:rPr>
        <w:footnoteReference w:id="370"/>
      </w:r>
      <w:r w:rsidR="00326A33">
        <w:rPr>
          <w:rFonts w:ascii="Tahoma" w:eastAsia="Calibri" w:hAnsi="Tahoma" w:cs="Tahoma"/>
          <w:sz w:val="24"/>
          <w:szCs w:val="24"/>
        </w:rPr>
        <w:t>.</w:t>
      </w:r>
    </w:p>
    <w:p w:rsidR="00664463" w:rsidRDefault="00664463" w:rsidP="008D3838">
      <w:pPr>
        <w:pStyle w:val="Titre6"/>
        <w:numPr>
          <w:ilvl w:val="0"/>
          <w:numId w:val="65"/>
        </w:numPr>
      </w:pPr>
      <w:bookmarkStart w:id="268" w:name="_Toc203643054"/>
      <w:r w:rsidRPr="002462E6">
        <w:t>Mécanismes écologiques sous-jacents</w:t>
      </w:r>
      <w:bookmarkEnd w:id="268"/>
    </w:p>
    <w:p w:rsidR="00326A33" w:rsidRPr="00326A33" w:rsidRDefault="00326A33" w:rsidP="00326A33">
      <w:pPr>
        <w:rPr>
          <w:sz w:val="2"/>
          <w:szCs w:val="2"/>
          <w:lang w:eastAsia="fr-FR"/>
        </w:rPr>
      </w:pPr>
    </w:p>
    <w:p w:rsidR="00664463" w:rsidRPr="002462E6" w:rsidRDefault="00664463" w:rsidP="00664463">
      <w:pPr>
        <w:spacing w:line="360" w:lineRule="auto"/>
        <w:jc w:val="both"/>
        <w:rPr>
          <w:rFonts w:ascii="Tahoma" w:eastAsia="Calibri" w:hAnsi="Tahoma" w:cs="Tahoma"/>
          <w:sz w:val="24"/>
          <w:szCs w:val="24"/>
        </w:rPr>
      </w:pPr>
      <w:r w:rsidRPr="002462E6">
        <w:rPr>
          <w:rFonts w:ascii="Tahoma" w:eastAsia="Calibri" w:hAnsi="Tahoma" w:cs="Tahoma"/>
          <w:sz w:val="24"/>
          <w:szCs w:val="24"/>
        </w:rPr>
        <w:t>Les mécanismes écologiques qui sous-tendent la migration des espèces forestières sont multiples et interconnectés</w:t>
      </w:r>
      <w:r w:rsidRPr="002462E6">
        <w:rPr>
          <w:rFonts w:ascii="Tahoma" w:eastAsia="Calibri" w:hAnsi="Tahoma" w:cs="Tahoma"/>
          <w:sz w:val="24"/>
          <w:szCs w:val="24"/>
          <w:vertAlign w:val="superscript"/>
        </w:rPr>
        <w:footnoteReference w:id="371"/>
      </w:r>
      <w:r w:rsidRPr="002462E6">
        <w:rPr>
          <w:rFonts w:ascii="Tahoma" w:eastAsia="Calibri" w:hAnsi="Tahoma" w:cs="Tahoma"/>
          <w:sz w:val="24"/>
          <w:szCs w:val="24"/>
        </w:rPr>
        <w:t>. Le changement climatique constitue le moteur principal de ces déplacements, agissant à travers plusieurs voies causales. L'augmentation des températures modifie directement les bilans énergétiques des organismes et peut dépasser les seuils de tolérance thermique de certaines espèces</w:t>
      </w:r>
      <w:r w:rsidRPr="002462E6">
        <w:rPr>
          <w:rFonts w:ascii="Tahoma" w:eastAsia="Calibri" w:hAnsi="Tahoma" w:cs="Tahoma"/>
          <w:sz w:val="24"/>
          <w:szCs w:val="24"/>
          <w:vertAlign w:val="superscript"/>
        </w:rPr>
        <w:footnoteReference w:id="372"/>
      </w:r>
      <w:r w:rsidRPr="002462E6">
        <w:rPr>
          <w:rFonts w:ascii="Tahoma" w:eastAsia="Calibri" w:hAnsi="Tahoma" w:cs="Tahoma"/>
          <w:sz w:val="24"/>
          <w:szCs w:val="24"/>
        </w:rPr>
        <w:t>. Les modifications du régime hydrique affectent la disponibilité en eau, ressource critique pour les espèces forestières, particulièrement dans les écosystèmes méditerranéens et semi-arides</w:t>
      </w:r>
      <w:r w:rsidRPr="002462E6">
        <w:rPr>
          <w:rFonts w:ascii="Tahoma" w:eastAsia="Calibri" w:hAnsi="Tahoma" w:cs="Tahoma"/>
          <w:sz w:val="24"/>
          <w:szCs w:val="24"/>
          <w:vertAlign w:val="superscript"/>
        </w:rPr>
        <w:footnoteReference w:id="373"/>
      </w:r>
      <w:r w:rsidRPr="002462E6">
        <w:rPr>
          <w:rFonts w:ascii="Tahoma" w:eastAsia="Calibri" w:hAnsi="Tahoma" w:cs="Tahoma"/>
          <w:sz w:val="24"/>
          <w:szCs w:val="24"/>
        </w:rPr>
        <w:t>.</w:t>
      </w:r>
    </w:p>
    <w:p w:rsidR="00664463" w:rsidRDefault="00664463" w:rsidP="00C54FA4">
      <w:pPr>
        <w:spacing w:line="360" w:lineRule="auto"/>
        <w:jc w:val="both"/>
        <w:rPr>
          <w:rFonts w:ascii="Tahoma" w:eastAsia="Calibri" w:hAnsi="Tahoma" w:cs="Tahoma"/>
          <w:sz w:val="24"/>
          <w:szCs w:val="24"/>
        </w:rPr>
      </w:pPr>
      <w:r w:rsidRPr="002462E6">
        <w:rPr>
          <w:rFonts w:ascii="Tahoma" w:eastAsia="Calibri" w:hAnsi="Tahoma" w:cs="Tahoma"/>
          <w:sz w:val="24"/>
          <w:szCs w:val="24"/>
        </w:rPr>
        <w:t>La fragmentation des habitats constitue un second mécanisme crucial, créant des barrières physiques qui limitent les capacités de dispersion des espèces et réduisent les flux génétiques entre populations</w:t>
      </w:r>
      <w:r w:rsidRPr="002462E6">
        <w:rPr>
          <w:rFonts w:ascii="Tahoma" w:eastAsia="Calibri" w:hAnsi="Tahoma" w:cs="Tahoma"/>
          <w:sz w:val="24"/>
          <w:szCs w:val="24"/>
          <w:vertAlign w:val="superscript"/>
        </w:rPr>
        <w:footnoteReference w:id="374"/>
      </w:r>
      <w:r w:rsidRPr="002462E6">
        <w:rPr>
          <w:rFonts w:ascii="Tahoma" w:eastAsia="Calibri" w:hAnsi="Tahoma" w:cs="Tahoma"/>
          <w:sz w:val="24"/>
          <w:szCs w:val="24"/>
        </w:rPr>
        <w:t>. Cette fragmentation peut empêcher certaines espèces de suivre le déplacement de leurs conditions climatiques optimales, conduisant à des déséquilibres démographiques et à terme à des extinctions locales</w:t>
      </w:r>
      <w:r w:rsidRPr="002462E6">
        <w:rPr>
          <w:rFonts w:ascii="Tahoma" w:eastAsia="Calibri" w:hAnsi="Tahoma" w:cs="Tahoma"/>
          <w:sz w:val="24"/>
          <w:szCs w:val="24"/>
          <w:vertAlign w:val="superscript"/>
        </w:rPr>
        <w:footnoteReference w:id="375"/>
      </w:r>
      <w:r w:rsidR="00C54FA4">
        <w:rPr>
          <w:rFonts w:ascii="Tahoma" w:eastAsia="Calibri" w:hAnsi="Tahoma" w:cs="Tahoma"/>
          <w:sz w:val="24"/>
          <w:szCs w:val="24"/>
        </w:rPr>
        <w:t>.</w:t>
      </w:r>
    </w:p>
    <w:p w:rsidR="000A33B4" w:rsidRDefault="000A33B4" w:rsidP="00C54FA4">
      <w:pPr>
        <w:spacing w:line="360" w:lineRule="auto"/>
        <w:jc w:val="both"/>
        <w:rPr>
          <w:rFonts w:ascii="Tahoma" w:eastAsia="Calibri" w:hAnsi="Tahoma" w:cs="Tahoma"/>
          <w:sz w:val="24"/>
          <w:szCs w:val="24"/>
        </w:rPr>
      </w:pPr>
    </w:p>
    <w:p w:rsidR="000A33B4" w:rsidRDefault="000A33B4" w:rsidP="00C54FA4">
      <w:pPr>
        <w:spacing w:line="360" w:lineRule="auto"/>
        <w:jc w:val="both"/>
        <w:rPr>
          <w:rFonts w:ascii="Tahoma" w:eastAsia="Calibri" w:hAnsi="Tahoma" w:cs="Tahoma"/>
          <w:sz w:val="24"/>
          <w:szCs w:val="24"/>
        </w:rPr>
      </w:pPr>
    </w:p>
    <w:p w:rsidR="000A33B4" w:rsidRPr="002462E6" w:rsidRDefault="000A33B4" w:rsidP="00C54FA4">
      <w:pPr>
        <w:spacing w:line="360" w:lineRule="auto"/>
        <w:jc w:val="both"/>
        <w:rPr>
          <w:rFonts w:ascii="Tahoma" w:eastAsia="Calibri" w:hAnsi="Tahoma" w:cs="Tahoma"/>
          <w:sz w:val="24"/>
          <w:szCs w:val="24"/>
        </w:rPr>
      </w:pPr>
    </w:p>
    <w:p w:rsidR="00664463" w:rsidRPr="002462E6" w:rsidRDefault="00664463" w:rsidP="008D3838">
      <w:pPr>
        <w:pStyle w:val="Titre6"/>
      </w:pPr>
      <w:bookmarkStart w:id="269" w:name="_Toc203643055"/>
      <w:r w:rsidRPr="002462E6">
        <w:t>Dynamiques climatiques et migration forestière au Maroc</w:t>
      </w:r>
      <w:bookmarkEnd w:id="269"/>
    </w:p>
    <w:p w:rsidR="00664463" w:rsidRPr="002462E6" w:rsidRDefault="00664463" w:rsidP="00664463">
      <w:pPr>
        <w:ind w:left="720"/>
        <w:contextualSpacing/>
        <w:rPr>
          <w:rFonts w:ascii="Tahoma" w:eastAsia="Calibri" w:hAnsi="Tahoma" w:cs="Tahoma"/>
          <w:sz w:val="28"/>
          <w:szCs w:val="28"/>
        </w:rPr>
      </w:pPr>
    </w:p>
    <w:p w:rsidR="00664463" w:rsidRPr="002462E6" w:rsidRDefault="00664463" w:rsidP="00664463">
      <w:pPr>
        <w:spacing w:line="360" w:lineRule="auto"/>
        <w:jc w:val="both"/>
        <w:rPr>
          <w:rFonts w:ascii="Tahoma" w:eastAsia="Calibri" w:hAnsi="Tahoma" w:cs="Tahoma"/>
          <w:sz w:val="24"/>
          <w:szCs w:val="24"/>
        </w:rPr>
      </w:pPr>
      <w:r w:rsidRPr="002462E6">
        <w:rPr>
          <w:rFonts w:ascii="Tahoma" w:eastAsia="Calibri" w:hAnsi="Tahoma" w:cs="Tahoma"/>
          <w:sz w:val="24"/>
          <w:szCs w:val="24"/>
        </w:rPr>
        <w:t>Le Maroc connaît des transformations climatiques majeures qui se traduisent par des modifications substantielles des conditions écologiques</w:t>
      </w:r>
      <w:r w:rsidRPr="002462E6">
        <w:rPr>
          <w:rFonts w:ascii="Tahoma" w:eastAsia="Calibri" w:hAnsi="Tahoma" w:cs="Tahoma"/>
          <w:sz w:val="24"/>
          <w:szCs w:val="24"/>
          <w:vertAlign w:val="superscript"/>
        </w:rPr>
        <w:footnoteReference w:id="376"/>
      </w:r>
      <w:r w:rsidRPr="002462E6">
        <w:rPr>
          <w:rFonts w:ascii="Tahoma" w:eastAsia="Calibri" w:hAnsi="Tahoma" w:cs="Tahoma"/>
          <w:sz w:val="24"/>
          <w:szCs w:val="24"/>
        </w:rPr>
        <w:t>. Selon les données de l'Institut National de la Recherche Agronomique, la température moyenne du pays a augmenté de 1,4°C entre 1950 et 2020, avec des projections de hausse de 2,5°C à 3°C d'ici 2050</w:t>
      </w:r>
      <w:r w:rsidRPr="002462E6">
        <w:rPr>
          <w:rFonts w:ascii="Tahoma" w:eastAsia="Calibri" w:hAnsi="Tahoma" w:cs="Tahoma"/>
          <w:sz w:val="24"/>
          <w:szCs w:val="24"/>
          <w:vertAlign w:val="superscript"/>
        </w:rPr>
        <w:footnoteReference w:id="377"/>
      </w:r>
      <w:r w:rsidRPr="002462E6">
        <w:rPr>
          <w:rFonts w:ascii="Tahoma" w:eastAsia="Calibri" w:hAnsi="Tahoma" w:cs="Tahoma"/>
          <w:sz w:val="24"/>
          <w:szCs w:val="24"/>
        </w:rPr>
        <w:t>. Cette évolution thermique s'accompagne de modifications significatives du régime pluviométrique, caractérisées par une diminution de la pluviométrie annuelle et une modification de sa répartition saisonnière</w:t>
      </w:r>
      <w:r w:rsidRPr="002462E6">
        <w:rPr>
          <w:rFonts w:ascii="Tahoma" w:eastAsia="Calibri" w:hAnsi="Tahoma" w:cs="Tahoma"/>
          <w:sz w:val="24"/>
          <w:szCs w:val="24"/>
          <w:vertAlign w:val="superscript"/>
        </w:rPr>
        <w:footnoteReference w:id="378"/>
      </w:r>
      <w:r w:rsidRPr="002462E6">
        <w:rPr>
          <w:rFonts w:ascii="Tahoma" w:eastAsia="Calibri" w:hAnsi="Tahoma" w:cs="Tahoma"/>
          <w:sz w:val="24"/>
          <w:szCs w:val="24"/>
        </w:rPr>
        <w:t>.</w:t>
      </w:r>
    </w:p>
    <w:p w:rsidR="00664463" w:rsidRPr="002462E6" w:rsidRDefault="00664463" w:rsidP="00664463">
      <w:pPr>
        <w:spacing w:line="360" w:lineRule="auto"/>
        <w:jc w:val="both"/>
        <w:rPr>
          <w:rFonts w:ascii="Tahoma" w:eastAsia="Calibri" w:hAnsi="Tahoma" w:cs="Tahoma"/>
          <w:sz w:val="24"/>
          <w:szCs w:val="24"/>
        </w:rPr>
      </w:pPr>
      <w:r w:rsidRPr="002462E6">
        <w:rPr>
          <w:rFonts w:ascii="Tahoma" w:eastAsia="Calibri" w:hAnsi="Tahoma" w:cs="Tahoma"/>
          <w:sz w:val="24"/>
          <w:szCs w:val="24"/>
        </w:rPr>
        <w:t>Les projections climatiques régionales, établies selon différents scénarios d'émissions de gaz à effet de serre, convergent vers une intensification de l'aridification du territoire marocain</w:t>
      </w:r>
      <w:r w:rsidRPr="002462E6">
        <w:rPr>
          <w:rFonts w:ascii="Tahoma" w:eastAsia="Calibri" w:hAnsi="Tahoma" w:cs="Tahoma"/>
          <w:sz w:val="24"/>
          <w:szCs w:val="24"/>
          <w:vertAlign w:val="superscript"/>
        </w:rPr>
        <w:footnoteReference w:id="379"/>
      </w:r>
      <w:r w:rsidRPr="002462E6">
        <w:rPr>
          <w:rFonts w:ascii="Tahoma" w:eastAsia="Calibri" w:hAnsi="Tahoma" w:cs="Tahoma"/>
          <w:sz w:val="24"/>
          <w:szCs w:val="24"/>
        </w:rPr>
        <w:t>. La Direction de la Météorologie Nationale prévoit une augmentation des températures moyennes estivales pouvant atteindre 6°C dans certaines régions et une diminution des précipitations de 20% en moyenne d'ici la fin du siècle</w:t>
      </w:r>
      <w:r w:rsidRPr="002462E6">
        <w:rPr>
          <w:rFonts w:ascii="Tahoma" w:eastAsia="Calibri" w:hAnsi="Tahoma" w:cs="Tahoma"/>
          <w:sz w:val="24"/>
          <w:szCs w:val="24"/>
          <w:vertAlign w:val="superscript"/>
        </w:rPr>
        <w:footnoteReference w:id="380"/>
      </w:r>
      <w:r w:rsidRPr="002462E6">
        <w:rPr>
          <w:rFonts w:ascii="Tahoma" w:eastAsia="Calibri" w:hAnsi="Tahoma" w:cs="Tahoma"/>
          <w:sz w:val="24"/>
          <w:szCs w:val="24"/>
        </w:rPr>
        <w:t>. Ces modifications climatiques dépassent largement les variations naturelles observées historiquement et imposent aux écosystèmes forestiers des contraintes adaptatives sans précédent</w:t>
      </w:r>
      <w:r w:rsidRPr="002462E6">
        <w:rPr>
          <w:rFonts w:ascii="Tahoma" w:eastAsia="Calibri" w:hAnsi="Tahoma" w:cs="Tahoma"/>
          <w:sz w:val="24"/>
          <w:szCs w:val="24"/>
          <w:vertAlign w:val="superscript"/>
        </w:rPr>
        <w:footnoteReference w:id="381"/>
      </w:r>
      <w:r w:rsidRPr="002462E6">
        <w:rPr>
          <w:rFonts w:ascii="Tahoma" w:eastAsia="Calibri" w:hAnsi="Tahoma" w:cs="Tahoma"/>
          <w:sz w:val="24"/>
          <w:szCs w:val="24"/>
        </w:rPr>
        <w:t>.</w:t>
      </w:r>
    </w:p>
    <w:p w:rsidR="00664463" w:rsidRPr="002462E6" w:rsidRDefault="00664463" w:rsidP="008D3838">
      <w:pPr>
        <w:pStyle w:val="Titre6"/>
      </w:pPr>
      <w:r w:rsidRPr="002462E6">
        <w:t xml:space="preserve"> </w:t>
      </w:r>
      <w:bookmarkStart w:id="270" w:name="_Toc203643056"/>
      <w:r w:rsidRPr="002462E6">
        <w:t>Règles biogéographiques et déplacements altitudinaux</w:t>
      </w:r>
      <w:bookmarkEnd w:id="270"/>
    </w:p>
    <w:p w:rsidR="00664463" w:rsidRPr="002462E6" w:rsidRDefault="00664463" w:rsidP="00664463">
      <w:pPr>
        <w:ind w:left="720"/>
        <w:contextualSpacing/>
        <w:rPr>
          <w:rFonts w:ascii="Tahoma" w:eastAsia="Calibri" w:hAnsi="Tahoma" w:cs="Tahoma"/>
          <w:sz w:val="28"/>
          <w:szCs w:val="28"/>
        </w:rPr>
      </w:pPr>
    </w:p>
    <w:p w:rsidR="00664463" w:rsidRPr="002462E6" w:rsidRDefault="00664463" w:rsidP="00664463">
      <w:pPr>
        <w:spacing w:line="360" w:lineRule="auto"/>
        <w:jc w:val="both"/>
        <w:rPr>
          <w:rFonts w:ascii="Tahoma" w:eastAsia="Calibri" w:hAnsi="Tahoma" w:cs="Tahoma"/>
          <w:sz w:val="24"/>
          <w:szCs w:val="24"/>
        </w:rPr>
      </w:pPr>
      <w:r w:rsidRPr="002462E6">
        <w:rPr>
          <w:rFonts w:ascii="Tahoma" w:eastAsia="Calibri" w:hAnsi="Tahoma" w:cs="Tahoma"/>
          <w:sz w:val="24"/>
          <w:szCs w:val="24"/>
        </w:rPr>
        <w:t>La règle biogéographique généralement admise établit une corrélation directe entre l'augmentation de la température et la nécessité de compensation altitudinale, quantifiant cette relation à environ 500 mètres de diminution altitudinale pour chaque augmentation de 3°C</w:t>
      </w:r>
      <w:r w:rsidRPr="002462E6">
        <w:rPr>
          <w:rFonts w:ascii="Tahoma" w:eastAsia="Calibri" w:hAnsi="Tahoma" w:cs="Tahoma"/>
          <w:sz w:val="24"/>
          <w:szCs w:val="24"/>
          <w:vertAlign w:val="superscript"/>
        </w:rPr>
        <w:footnoteReference w:id="382"/>
      </w:r>
      <w:r w:rsidRPr="002462E6">
        <w:rPr>
          <w:rFonts w:ascii="Tahoma" w:eastAsia="Calibri" w:hAnsi="Tahoma" w:cs="Tahoma"/>
          <w:sz w:val="24"/>
          <w:szCs w:val="24"/>
        </w:rPr>
        <w:t>. Cette règle, bien qu'empirique, fournit un cadre prédictif utile pour anticiper les déplacements des ceintures de végétation en réponse au réchauffement climatique</w:t>
      </w:r>
      <w:r w:rsidRPr="002462E6">
        <w:rPr>
          <w:rFonts w:ascii="Tahoma" w:eastAsia="Calibri" w:hAnsi="Tahoma" w:cs="Tahoma"/>
          <w:sz w:val="24"/>
          <w:szCs w:val="24"/>
          <w:vertAlign w:val="superscript"/>
        </w:rPr>
        <w:footnoteReference w:id="383"/>
      </w:r>
      <w:r w:rsidRPr="002462E6">
        <w:rPr>
          <w:rFonts w:ascii="Tahoma" w:eastAsia="Calibri" w:hAnsi="Tahoma" w:cs="Tahoma"/>
          <w:sz w:val="24"/>
          <w:szCs w:val="24"/>
        </w:rPr>
        <w:t>.</w:t>
      </w:r>
    </w:p>
    <w:p w:rsidR="00664463" w:rsidRPr="002462E6" w:rsidRDefault="00664463" w:rsidP="00664463">
      <w:pPr>
        <w:spacing w:line="360" w:lineRule="auto"/>
        <w:jc w:val="both"/>
        <w:rPr>
          <w:rFonts w:ascii="Tahoma" w:eastAsia="Calibri" w:hAnsi="Tahoma" w:cs="Tahoma"/>
          <w:sz w:val="24"/>
          <w:szCs w:val="24"/>
        </w:rPr>
      </w:pPr>
      <w:r w:rsidRPr="002462E6">
        <w:rPr>
          <w:rFonts w:ascii="Tahoma" w:eastAsia="Calibri" w:hAnsi="Tahoma" w:cs="Tahoma"/>
          <w:sz w:val="24"/>
          <w:szCs w:val="24"/>
        </w:rPr>
        <w:t>Cette dynamique pourrait engendrer une érosion progressive des zones climatiques froides d'altitude et un déplacement généralisé des ceintures de végétation vers les sommets, en réponse à l'impératif de compensation thermique</w:t>
      </w:r>
      <w:r w:rsidRPr="002462E6">
        <w:rPr>
          <w:rFonts w:ascii="Tahoma" w:eastAsia="Calibri" w:hAnsi="Tahoma" w:cs="Tahoma"/>
          <w:sz w:val="24"/>
          <w:szCs w:val="24"/>
          <w:vertAlign w:val="superscript"/>
        </w:rPr>
        <w:footnoteReference w:id="384"/>
      </w:r>
      <w:r w:rsidRPr="002462E6">
        <w:rPr>
          <w:rFonts w:ascii="Tahoma" w:eastAsia="Calibri" w:hAnsi="Tahoma" w:cs="Tahoma"/>
          <w:sz w:val="24"/>
          <w:szCs w:val="24"/>
        </w:rPr>
        <w:t>. Parallèlement, une augmentation de 2°C des températures moyennes pourrait induire un déplacement latitudinal de la végétation, estimé entre 150 et 200 km vers le nord</w:t>
      </w:r>
      <w:r w:rsidRPr="002462E6">
        <w:rPr>
          <w:rFonts w:ascii="Tahoma" w:eastAsia="Calibri" w:hAnsi="Tahoma" w:cs="Tahoma"/>
          <w:sz w:val="24"/>
          <w:szCs w:val="24"/>
          <w:vertAlign w:val="superscript"/>
        </w:rPr>
        <w:footnoteReference w:id="385"/>
      </w:r>
      <w:r w:rsidRPr="002462E6">
        <w:rPr>
          <w:rFonts w:ascii="Tahoma" w:eastAsia="Calibri" w:hAnsi="Tahoma" w:cs="Tahoma"/>
          <w:sz w:val="24"/>
          <w:szCs w:val="24"/>
        </w:rPr>
        <w:t>. Cette évolution se traduirait par une migration nordique des étages bioclimatiques, favorisant ainsi l'expansion des zones arides et désertiques au détriment des formations forestières tempérées</w:t>
      </w:r>
      <w:r w:rsidRPr="002462E6">
        <w:rPr>
          <w:rFonts w:ascii="Tahoma" w:eastAsia="Calibri" w:hAnsi="Tahoma" w:cs="Tahoma"/>
          <w:sz w:val="24"/>
          <w:szCs w:val="24"/>
          <w:vertAlign w:val="superscript"/>
        </w:rPr>
        <w:footnoteReference w:id="386"/>
      </w:r>
      <w:r w:rsidRPr="002462E6">
        <w:rPr>
          <w:rFonts w:ascii="Tahoma" w:eastAsia="Calibri" w:hAnsi="Tahoma" w:cs="Tahoma"/>
          <w:sz w:val="24"/>
          <w:szCs w:val="24"/>
        </w:rPr>
        <w:t>.</w:t>
      </w:r>
    </w:p>
    <w:p w:rsidR="00664463" w:rsidRPr="002462E6" w:rsidRDefault="00664463" w:rsidP="00664463">
      <w:pPr>
        <w:spacing w:line="360" w:lineRule="auto"/>
        <w:jc w:val="both"/>
        <w:rPr>
          <w:rFonts w:ascii="Tahoma" w:eastAsia="Calibri" w:hAnsi="Tahoma" w:cs="Tahoma"/>
          <w:sz w:val="24"/>
          <w:szCs w:val="24"/>
        </w:rPr>
      </w:pPr>
      <w:r w:rsidRPr="002462E6">
        <w:rPr>
          <w:rFonts w:ascii="Tahoma" w:eastAsia="Calibri" w:hAnsi="Tahoma" w:cs="Tahoma"/>
          <w:sz w:val="24"/>
          <w:szCs w:val="24"/>
        </w:rPr>
        <w:t>Cependant, il convient de préciser que ces règles biogéographiques, établies dans des contextes géographiques spécifiques, peuvent présenter des limites dans leur application au contexte marocain, caractérisé par une topographie complexe et des gradients climatiques prononcés</w:t>
      </w:r>
      <w:r w:rsidRPr="002462E6">
        <w:rPr>
          <w:rFonts w:ascii="Tahoma" w:eastAsia="Calibri" w:hAnsi="Tahoma" w:cs="Tahoma"/>
          <w:sz w:val="24"/>
          <w:szCs w:val="24"/>
          <w:vertAlign w:val="superscript"/>
        </w:rPr>
        <w:footnoteReference w:id="387"/>
      </w:r>
      <w:r w:rsidRPr="002462E6">
        <w:rPr>
          <w:rFonts w:ascii="Tahoma" w:eastAsia="Calibri" w:hAnsi="Tahoma" w:cs="Tahoma"/>
          <w:sz w:val="24"/>
          <w:szCs w:val="24"/>
        </w:rPr>
        <w:t>. Les contraintes topographiques, particulièrement dans les systèmes montagneux de l'Atlas, peuvent limiter les possibilités de migration altitudinale et créer des refuges climatiques locaux</w:t>
      </w:r>
      <w:r w:rsidRPr="002462E6">
        <w:rPr>
          <w:rFonts w:ascii="Tahoma" w:eastAsia="Calibri" w:hAnsi="Tahoma" w:cs="Tahoma"/>
          <w:sz w:val="24"/>
          <w:szCs w:val="24"/>
          <w:vertAlign w:val="superscript"/>
        </w:rPr>
        <w:footnoteReference w:id="388"/>
      </w:r>
      <w:r w:rsidRPr="002462E6">
        <w:rPr>
          <w:rFonts w:ascii="Tahoma" w:eastAsia="Calibri" w:hAnsi="Tahoma" w:cs="Tahoma"/>
          <w:sz w:val="24"/>
          <w:szCs w:val="24"/>
        </w:rPr>
        <w:t>^132^.</w:t>
      </w:r>
    </w:p>
    <w:p w:rsidR="00664463" w:rsidRPr="002462E6" w:rsidRDefault="00664463" w:rsidP="008D3838">
      <w:pPr>
        <w:pStyle w:val="Titre6"/>
      </w:pPr>
      <w:r w:rsidRPr="002462E6">
        <w:t xml:space="preserve"> </w:t>
      </w:r>
      <w:bookmarkStart w:id="271" w:name="_Toc203643057"/>
      <w:r w:rsidRPr="002462E6">
        <w:t>Manifestations concrètes de la migration forestière</w:t>
      </w:r>
      <w:bookmarkEnd w:id="271"/>
    </w:p>
    <w:p w:rsidR="007E502F" w:rsidRPr="002462E6" w:rsidRDefault="007E502F" w:rsidP="007E502F"/>
    <w:p w:rsidR="00664463" w:rsidRPr="002462E6" w:rsidRDefault="00664463" w:rsidP="00664463">
      <w:pPr>
        <w:spacing w:line="360" w:lineRule="auto"/>
        <w:jc w:val="both"/>
        <w:rPr>
          <w:rFonts w:ascii="Tahoma" w:eastAsia="Calibri" w:hAnsi="Tahoma" w:cs="Tahoma"/>
          <w:sz w:val="24"/>
          <w:szCs w:val="24"/>
        </w:rPr>
      </w:pPr>
      <w:r w:rsidRPr="002462E6">
        <w:rPr>
          <w:rFonts w:ascii="Tahoma" w:eastAsia="Calibri" w:hAnsi="Tahoma" w:cs="Tahoma"/>
          <w:sz w:val="24"/>
          <w:szCs w:val="24"/>
        </w:rPr>
        <w:t>Les forêts de cèdre du Moyen Atlas constituent un exemple paradigmatique des conséquences de la migration des espèces en réponse aux changements environnementaux</w:t>
      </w:r>
      <w:r w:rsidRPr="002462E6">
        <w:rPr>
          <w:rFonts w:ascii="Tahoma" w:eastAsia="Calibri" w:hAnsi="Tahoma" w:cs="Tahoma"/>
          <w:sz w:val="24"/>
          <w:szCs w:val="24"/>
          <w:vertAlign w:val="superscript"/>
        </w:rPr>
        <w:footnoteReference w:id="389"/>
      </w:r>
      <w:r w:rsidRPr="002462E6">
        <w:rPr>
          <w:rFonts w:ascii="Tahoma" w:eastAsia="Calibri" w:hAnsi="Tahoma" w:cs="Tahoma"/>
          <w:sz w:val="24"/>
          <w:szCs w:val="24"/>
        </w:rPr>
        <w:t>. Ces écosystèmes, dominés par le cèdre de l'Atlas (Cedrus atlantica), espèce endémique des montagnes nord-africaines, subissent des transformations profondes sous l'effet conjugué du réchauffement climatique et des sécheresses récurrentes</w:t>
      </w:r>
      <w:r w:rsidRPr="002462E6">
        <w:rPr>
          <w:rFonts w:ascii="Tahoma" w:eastAsia="Calibri" w:hAnsi="Tahoma" w:cs="Tahoma"/>
          <w:sz w:val="24"/>
          <w:szCs w:val="24"/>
          <w:vertAlign w:val="superscript"/>
        </w:rPr>
        <w:footnoteReference w:id="390"/>
      </w:r>
      <w:r w:rsidRPr="002462E6">
        <w:rPr>
          <w:rFonts w:ascii="Tahoma" w:eastAsia="Calibri" w:hAnsi="Tahoma" w:cs="Tahoma"/>
          <w:sz w:val="24"/>
          <w:szCs w:val="24"/>
        </w:rPr>
        <w:t>.</w:t>
      </w:r>
    </w:p>
    <w:p w:rsidR="00664463" w:rsidRPr="002462E6" w:rsidRDefault="00664463" w:rsidP="00664463">
      <w:pPr>
        <w:spacing w:line="360" w:lineRule="auto"/>
        <w:jc w:val="both"/>
        <w:rPr>
          <w:rFonts w:ascii="Tahoma" w:eastAsia="Calibri" w:hAnsi="Tahoma" w:cs="Tahoma"/>
          <w:sz w:val="24"/>
          <w:szCs w:val="24"/>
        </w:rPr>
      </w:pPr>
      <w:r w:rsidRPr="002462E6">
        <w:rPr>
          <w:rFonts w:ascii="Tahoma" w:eastAsia="Calibri" w:hAnsi="Tahoma" w:cs="Tahoma"/>
          <w:sz w:val="24"/>
          <w:szCs w:val="24"/>
        </w:rPr>
        <w:t>En raison des sécheresses fréquentes et des températures plus élevées, les cèdres, qui dominent historiquement ces forêts d'altitude, sont progressivement remplacés par des espèces plus tolérantes à la chaleur et au déficit hydrique, notamment le pin d'Alep (Pinus halepensis)</w:t>
      </w:r>
      <w:r w:rsidRPr="002462E6">
        <w:rPr>
          <w:rFonts w:ascii="Tahoma" w:eastAsia="Calibri" w:hAnsi="Tahoma" w:cs="Tahoma"/>
          <w:sz w:val="24"/>
          <w:szCs w:val="24"/>
          <w:vertAlign w:val="superscript"/>
        </w:rPr>
        <w:footnoteReference w:id="391"/>
      </w:r>
      <w:r w:rsidRPr="002462E6">
        <w:rPr>
          <w:rFonts w:ascii="Tahoma" w:eastAsia="Calibri" w:hAnsi="Tahoma" w:cs="Tahoma"/>
          <w:sz w:val="24"/>
          <w:szCs w:val="24"/>
        </w:rPr>
        <w:t>. Cette dynamique de substitution a été documentée par l'Université Hassan II de Casablanca, dont les études révèlent que depuis les années 1990, les forêts de cèdre ont perdu 15% de leur surface, tandis que le pin d'Alep a progressé de 20 à 30 km vers le nord au cours des deux dernières décennies</w:t>
      </w:r>
      <w:r w:rsidRPr="002462E6">
        <w:rPr>
          <w:rFonts w:ascii="Tahoma" w:eastAsia="Calibri" w:hAnsi="Tahoma" w:cs="Tahoma"/>
          <w:sz w:val="24"/>
          <w:szCs w:val="24"/>
          <w:vertAlign w:val="superscript"/>
        </w:rPr>
        <w:footnoteReference w:id="392"/>
      </w:r>
      <w:r w:rsidRPr="002462E6">
        <w:rPr>
          <w:rFonts w:ascii="Tahoma" w:eastAsia="Calibri" w:hAnsi="Tahoma" w:cs="Tahoma"/>
          <w:sz w:val="24"/>
          <w:szCs w:val="24"/>
        </w:rPr>
        <w:t>.</w:t>
      </w:r>
    </w:p>
    <w:p w:rsidR="00664463" w:rsidRPr="002462E6" w:rsidRDefault="00664463" w:rsidP="00664463">
      <w:pPr>
        <w:spacing w:line="360" w:lineRule="auto"/>
        <w:jc w:val="both"/>
        <w:rPr>
          <w:rFonts w:ascii="Tahoma" w:eastAsia="Calibri" w:hAnsi="Tahoma" w:cs="Tahoma"/>
          <w:sz w:val="24"/>
          <w:szCs w:val="24"/>
        </w:rPr>
      </w:pPr>
      <w:r w:rsidRPr="002462E6">
        <w:rPr>
          <w:rFonts w:ascii="Tahoma" w:eastAsia="Calibri" w:hAnsi="Tahoma" w:cs="Tahoma"/>
          <w:sz w:val="24"/>
          <w:szCs w:val="24"/>
        </w:rPr>
        <w:t>Cette transformation ne se limite pas à un simple remplacement d'espèces, mais entraîne une modification profonde de la structure et du fonctionnement de l'écosystème</w:t>
      </w:r>
      <w:r w:rsidRPr="002462E6">
        <w:rPr>
          <w:rFonts w:ascii="Tahoma" w:eastAsia="Calibri" w:hAnsi="Tahoma" w:cs="Tahoma"/>
          <w:sz w:val="24"/>
          <w:szCs w:val="24"/>
          <w:vertAlign w:val="superscript"/>
        </w:rPr>
        <w:footnoteReference w:id="393"/>
      </w:r>
      <w:r w:rsidRPr="002462E6">
        <w:rPr>
          <w:rFonts w:ascii="Tahoma" w:eastAsia="Calibri" w:hAnsi="Tahoma" w:cs="Tahoma"/>
          <w:sz w:val="24"/>
          <w:szCs w:val="24"/>
        </w:rPr>
        <w:t>. Les cédraies matures, caractérisées par une structure verticale complexe et une biodiversité associée riche, sont remplacées par des formations de pins plus homogènes et moins diversifiées</w:t>
      </w:r>
      <w:r w:rsidRPr="002462E6">
        <w:rPr>
          <w:rFonts w:ascii="Tahoma" w:eastAsia="Calibri" w:hAnsi="Tahoma" w:cs="Tahoma"/>
          <w:sz w:val="24"/>
          <w:szCs w:val="24"/>
          <w:vertAlign w:val="superscript"/>
        </w:rPr>
        <w:footnoteReference w:id="394"/>
      </w:r>
      <w:r w:rsidRPr="002462E6">
        <w:rPr>
          <w:rFonts w:ascii="Tahoma" w:eastAsia="Calibri" w:hAnsi="Tahoma" w:cs="Tahoma"/>
          <w:sz w:val="24"/>
          <w:szCs w:val="24"/>
        </w:rPr>
        <w:t>. Cette simplification structurelle s'accompagne d'une diminution de la capacité de l'écosystème à fournir certains services écologiques, notamment la régulation du cycle hydrologique et le stockage du carbone</w:t>
      </w:r>
      <w:r w:rsidRPr="002462E6">
        <w:rPr>
          <w:rFonts w:ascii="Tahoma" w:eastAsia="Calibri" w:hAnsi="Tahoma" w:cs="Tahoma"/>
          <w:sz w:val="24"/>
          <w:szCs w:val="24"/>
          <w:vertAlign w:val="superscript"/>
        </w:rPr>
        <w:footnoteReference w:id="395"/>
      </w:r>
      <w:r w:rsidRPr="002462E6">
        <w:rPr>
          <w:rFonts w:ascii="Tahoma" w:eastAsia="Calibri" w:hAnsi="Tahoma" w:cs="Tahoma"/>
          <w:sz w:val="24"/>
          <w:szCs w:val="24"/>
        </w:rPr>
        <w:t>.</w:t>
      </w:r>
    </w:p>
    <w:p w:rsidR="00664463" w:rsidRDefault="00664463" w:rsidP="00664463">
      <w:pPr>
        <w:spacing w:line="360" w:lineRule="auto"/>
        <w:jc w:val="both"/>
        <w:rPr>
          <w:rFonts w:ascii="Tahoma" w:eastAsia="Calibri" w:hAnsi="Tahoma" w:cs="Tahoma"/>
          <w:sz w:val="24"/>
          <w:szCs w:val="24"/>
        </w:rPr>
      </w:pPr>
      <w:r w:rsidRPr="002462E6">
        <w:rPr>
          <w:rFonts w:ascii="Tahoma" w:eastAsia="Calibri" w:hAnsi="Tahoma" w:cs="Tahoma"/>
          <w:sz w:val="24"/>
          <w:szCs w:val="24"/>
        </w:rPr>
        <w:t>Par ailleurs, une étude approfondie de la végétation dans le Haut Atlas et l'Anti-Atlas marocains révèle une progression alarmante des groupements végétaux désertiques vers le nord</w:t>
      </w:r>
      <w:r w:rsidRPr="002462E6">
        <w:rPr>
          <w:rFonts w:ascii="Tahoma" w:eastAsia="Calibri" w:hAnsi="Tahoma" w:cs="Tahoma"/>
          <w:sz w:val="24"/>
          <w:szCs w:val="24"/>
          <w:vertAlign w:val="superscript"/>
        </w:rPr>
        <w:footnoteReference w:id="396"/>
      </w:r>
      <w:r w:rsidRPr="002462E6">
        <w:rPr>
          <w:rFonts w:ascii="Tahoma" w:eastAsia="Calibri" w:hAnsi="Tahoma" w:cs="Tahoma"/>
          <w:sz w:val="24"/>
          <w:szCs w:val="24"/>
        </w:rPr>
        <w:t>. En 1991, la limite septentrionale de ces groupements coïncidait avec l'isohyète de 150 mm de précipitations annuelles, contrastant significativement avec la situation du début des années 1960, où cette même limite correspondait à l'isohyète de 100 mm</w:t>
      </w:r>
      <w:r w:rsidRPr="002462E6">
        <w:rPr>
          <w:rFonts w:ascii="Tahoma" w:eastAsia="Calibri" w:hAnsi="Tahoma" w:cs="Tahoma"/>
          <w:sz w:val="24"/>
          <w:szCs w:val="24"/>
          <w:vertAlign w:val="superscript"/>
        </w:rPr>
        <w:footnoteReference w:id="397"/>
      </w:r>
      <w:r w:rsidRPr="002462E6">
        <w:rPr>
          <w:rFonts w:ascii="Tahoma" w:eastAsia="Calibri" w:hAnsi="Tahoma" w:cs="Tahoma"/>
          <w:sz w:val="24"/>
          <w:szCs w:val="24"/>
        </w:rPr>
        <w:t>. Cette observation suggère une expansion des associations végétales des milieux désertiques sur une distance estimée à plusieurs dizaines, voire une centaine de kilomètres en seulement trois décennies</w:t>
      </w:r>
      <w:r w:rsidRPr="002462E6">
        <w:rPr>
          <w:rFonts w:ascii="Tahoma" w:eastAsia="Calibri" w:hAnsi="Tahoma" w:cs="Tahoma"/>
          <w:sz w:val="24"/>
          <w:szCs w:val="24"/>
          <w:vertAlign w:val="superscript"/>
        </w:rPr>
        <w:footnoteReference w:id="398"/>
      </w:r>
      <w:r w:rsidRPr="002462E6">
        <w:rPr>
          <w:rFonts w:ascii="Tahoma" w:eastAsia="Calibri" w:hAnsi="Tahoma" w:cs="Tahoma"/>
          <w:sz w:val="24"/>
          <w:szCs w:val="24"/>
        </w:rPr>
        <w:t>.</w:t>
      </w:r>
    </w:p>
    <w:p w:rsidR="00C54FA4" w:rsidRPr="00C54FA4" w:rsidRDefault="00C54FA4" w:rsidP="00664463">
      <w:pPr>
        <w:spacing w:line="360" w:lineRule="auto"/>
        <w:jc w:val="both"/>
        <w:rPr>
          <w:rFonts w:ascii="Tahoma" w:eastAsia="Calibri" w:hAnsi="Tahoma" w:cs="Tahoma"/>
          <w:sz w:val="2"/>
          <w:szCs w:val="2"/>
        </w:rPr>
      </w:pPr>
    </w:p>
    <w:p w:rsidR="00664463" w:rsidRPr="002462E6" w:rsidRDefault="00664463" w:rsidP="00664463">
      <w:pPr>
        <w:spacing w:line="360" w:lineRule="auto"/>
        <w:jc w:val="both"/>
        <w:rPr>
          <w:rFonts w:ascii="Tahoma" w:eastAsia="Calibri" w:hAnsi="Tahoma" w:cs="Tahoma"/>
          <w:sz w:val="24"/>
          <w:szCs w:val="24"/>
        </w:rPr>
      </w:pPr>
      <w:r w:rsidRPr="002462E6">
        <w:rPr>
          <w:rFonts w:ascii="Tahoma" w:eastAsia="Calibri" w:hAnsi="Tahoma" w:cs="Tahoma"/>
          <w:sz w:val="24"/>
          <w:szCs w:val="24"/>
        </w:rPr>
        <w:t>Les conséquences écologiques de cette expansion sont multiples et préoccupantes</w:t>
      </w:r>
      <w:r w:rsidRPr="002462E6">
        <w:rPr>
          <w:rFonts w:ascii="Tahoma" w:eastAsia="Calibri" w:hAnsi="Tahoma" w:cs="Tahoma"/>
          <w:sz w:val="24"/>
          <w:szCs w:val="24"/>
          <w:vertAlign w:val="superscript"/>
        </w:rPr>
        <w:footnoteReference w:id="399"/>
      </w:r>
      <w:r w:rsidRPr="002462E6">
        <w:rPr>
          <w:rFonts w:ascii="Tahoma" w:eastAsia="Calibri" w:hAnsi="Tahoma" w:cs="Tahoma"/>
          <w:sz w:val="24"/>
          <w:szCs w:val="24"/>
        </w:rPr>
        <w:t>. Premièrement, elle se traduit par une réduction substantielle de la biodiversité floristique et faunistique, les espèces adaptées aux conditions semi-arides étant progressivement remplacées par des taxons adaptés aux conditions désertiques</w:t>
      </w:r>
      <w:r w:rsidRPr="002462E6">
        <w:rPr>
          <w:rFonts w:ascii="Tahoma" w:eastAsia="Calibri" w:hAnsi="Tahoma" w:cs="Tahoma"/>
          <w:sz w:val="24"/>
          <w:szCs w:val="24"/>
          <w:vertAlign w:val="superscript"/>
        </w:rPr>
        <w:footnoteReference w:id="400"/>
      </w:r>
      <w:r w:rsidRPr="002462E6">
        <w:rPr>
          <w:rFonts w:ascii="Tahoma" w:eastAsia="Calibri" w:hAnsi="Tahoma" w:cs="Tahoma"/>
          <w:sz w:val="24"/>
          <w:szCs w:val="24"/>
        </w:rPr>
        <w:t>. Deuxièmement, cette expansion entraîne la destruction d'habitats spécialisés et la fragmentation des populations d'espèces endémiques ou rares</w:t>
      </w:r>
      <w:r w:rsidRPr="002462E6">
        <w:rPr>
          <w:rFonts w:ascii="Tahoma" w:eastAsia="Calibri" w:hAnsi="Tahoma" w:cs="Tahoma"/>
          <w:sz w:val="24"/>
          <w:szCs w:val="24"/>
          <w:vertAlign w:val="superscript"/>
        </w:rPr>
        <w:footnoteReference w:id="401"/>
      </w:r>
      <w:r w:rsidRPr="002462E6">
        <w:rPr>
          <w:rFonts w:ascii="Tahoma" w:eastAsia="Calibri" w:hAnsi="Tahoma" w:cs="Tahoma"/>
          <w:sz w:val="24"/>
          <w:szCs w:val="24"/>
        </w:rPr>
        <w:t>. Troisièmement, elle modifie les cycles biogéochimiques régionaux et réduit la productivité primaire des écosystèmes</w:t>
      </w:r>
      <w:r w:rsidRPr="002462E6">
        <w:rPr>
          <w:rFonts w:ascii="Tahoma" w:eastAsia="Calibri" w:hAnsi="Tahoma" w:cs="Tahoma"/>
          <w:sz w:val="24"/>
          <w:szCs w:val="24"/>
          <w:vertAlign w:val="superscript"/>
        </w:rPr>
        <w:footnoteReference w:id="402"/>
      </w:r>
      <w:r w:rsidRPr="002462E6">
        <w:rPr>
          <w:rFonts w:ascii="Tahoma" w:eastAsia="Calibri" w:hAnsi="Tahoma" w:cs="Tahoma"/>
          <w:sz w:val="24"/>
          <w:szCs w:val="24"/>
        </w:rPr>
        <w:t>.</w:t>
      </w:r>
    </w:p>
    <w:p w:rsidR="00664463" w:rsidRPr="002462E6" w:rsidRDefault="00664463" w:rsidP="00664463">
      <w:pPr>
        <w:spacing w:line="360" w:lineRule="auto"/>
        <w:jc w:val="both"/>
        <w:rPr>
          <w:rFonts w:ascii="Tahoma" w:eastAsia="Calibri" w:hAnsi="Tahoma" w:cs="Tahoma"/>
          <w:sz w:val="24"/>
          <w:szCs w:val="24"/>
        </w:rPr>
      </w:pPr>
      <w:r w:rsidRPr="002462E6">
        <w:rPr>
          <w:rFonts w:ascii="Tahoma" w:eastAsia="Calibri" w:hAnsi="Tahoma" w:cs="Tahoma"/>
          <w:sz w:val="24"/>
          <w:szCs w:val="24"/>
        </w:rPr>
        <w:t>Au Moyen Atlas, une dynamique similaire s'observe avec l'expansion des cédraies (Cedrus atlantica) dans l'aire de répartition historique de la thuriféraie (Tetraclinis articulata), qui occupait autrefois des tranches altitudinales comprises entre 2400 et 3300 mètres</w:t>
      </w:r>
      <w:r w:rsidRPr="002462E6">
        <w:rPr>
          <w:rFonts w:ascii="Tahoma" w:eastAsia="Calibri" w:hAnsi="Tahoma" w:cs="Tahoma"/>
          <w:sz w:val="24"/>
          <w:szCs w:val="24"/>
          <w:vertAlign w:val="superscript"/>
        </w:rPr>
        <w:footnoteReference w:id="403"/>
      </w:r>
      <w:r w:rsidRPr="002462E6">
        <w:rPr>
          <w:rFonts w:ascii="Tahoma" w:eastAsia="Calibri" w:hAnsi="Tahoma" w:cs="Tahoma"/>
          <w:sz w:val="24"/>
          <w:szCs w:val="24"/>
        </w:rPr>
        <w:t>. Cette dernière est progressivement remplacée par des chênaies vertes (Quercus ilex) dans les zones d'altitude moyenne, illustrant un processus de réorganisation verticale des ceintures de végétation</w:t>
      </w:r>
      <w:r w:rsidRPr="002462E6">
        <w:rPr>
          <w:rFonts w:ascii="Tahoma" w:eastAsia="Calibri" w:hAnsi="Tahoma" w:cs="Tahoma"/>
          <w:sz w:val="24"/>
          <w:szCs w:val="24"/>
          <w:vertAlign w:val="superscript"/>
        </w:rPr>
        <w:footnoteReference w:id="404"/>
      </w:r>
      <w:r w:rsidRPr="002462E6">
        <w:rPr>
          <w:rFonts w:ascii="Tahoma" w:eastAsia="Calibri" w:hAnsi="Tahoma" w:cs="Tahoma"/>
          <w:sz w:val="24"/>
          <w:szCs w:val="24"/>
        </w:rPr>
        <w:t>.</w:t>
      </w:r>
    </w:p>
    <w:p w:rsidR="00664463" w:rsidRPr="002462E6" w:rsidRDefault="00664463" w:rsidP="00664463">
      <w:pPr>
        <w:spacing w:line="360" w:lineRule="auto"/>
        <w:jc w:val="both"/>
        <w:rPr>
          <w:rFonts w:ascii="Tahoma" w:eastAsia="Calibri" w:hAnsi="Tahoma" w:cs="Tahoma"/>
          <w:sz w:val="24"/>
          <w:szCs w:val="24"/>
        </w:rPr>
      </w:pPr>
      <w:r w:rsidRPr="002462E6">
        <w:rPr>
          <w:rFonts w:ascii="Tahoma" w:eastAsia="Calibri" w:hAnsi="Tahoma" w:cs="Tahoma"/>
          <w:sz w:val="24"/>
          <w:szCs w:val="24"/>
        </w:rPr>
        <w:t>Cette réorganisation altitudinale des formations végétales témoigne d'une adaptation complexe aux nouvelles conditions climatiques</w:t>
      </w:r>
      <w:r w:rsidRPr="002462E6">
        <w:rPr>
          <w:rFonts w:ascii="Tahoma" w:eastAsia="Calibri" w:hAnsi="Tahoma" w:cs="Tahoma"/>
          <w:sz w:val="24"/>
          <w:szCs w:val="24"/>
          <w:vertAlign w:val="superscript"/>
        </w:rPr>
        <w:footnoteReference w:id="405"/>
      </w:r>
      <w:r w:rsidRPr="002462E6">
        <w:rPr>
          <w:rFonts w:ascii="Tahoma" w:eastAsia="Calibri" w:hAnsi="Tahoma" w:cs="Tahoma"/>
          <w:sz w:val="24"/>
          <w:szCs w:val="24"/>
        </w:rPr>
        <w:t>. Cependant, ce processus n'est pas sans conséquences écologiques négatives. La thuriféraie, formation endémique des montagnes nord-africaines, abrite une biodiversité spécialisée qui risque de disparaître avec la régression de son habitat</w:t>
      </w:r>
      <w:r w:rsidRPr="002462E6">
        <w:rPr>
          <w:rFonts w:ascii="Tahoma" w:eastAsia="Calibri" w:hAnsi="Tahoma" w:cs="Tahoma"/>
          <w:sz w:val="24"/>
          <w:szCs w:val="24"/>
          <w:vertAlign w:val="superscript"/>
        </w:rPr>
        <w:footnoteReference w:id="406"/>
      </w:r>
      <w:r w:rsidRPr="002462E6">
        <w:rPr>
          <w:rFonts w:ascii="Tahoma" w:eastAsia="Calibri" w:hAnsi="Tahoma" w:cs="Tahoma"/>
          <w:sz w:val="24"/>
          <w:szCs w:val="24"/>
        </w:rPr>
        <w:t>. De plus, cette espèce présente une croissance extrêmement lente et une capacité de régénération limitée, ce qui rend sa conservation particulièrement problématique</w:t>
      </w:r>
      <w:r w:rsidRPr="002462E6">
        <w:rPr>
          <w:rFonts w:ascii="Tahoma" w:eastAsia="Calibri" w:hAnsi="Tahoma" w:cs="Tahoma"/>
          <w:sz w:val="24"/>
          <w:szCs w:val="24"/>
          <w:vertAlign w:val="superscript"/>
        </w:rPr>
        <w:footnoteReference w:id="407"/>
      </w:r>
      <w:r w:rsidRPr="002462E6">
        <w:rPr>
          <w:rFonts w:ascii="Tahoma" w:eastAsia="Calibri" w:hAnsi="Tahoma" w:cs="Tahoma"/>
          <w:sz w:val="24"/>
          <w:szCs w:val="24"/>
        </w:rPr>
        <w:t>.</w:t>
      </w:r>
    </w:p>
    <w:p w:rsidR="00664463" w:rsidRPr="002462E6" w:rsidRDefault="00664463" w:rsidP="00664463">
      <w:pPr>
        <w:spacing w:line="360" w:lineRule="auto"/>
        <w:jc w:val="both"/>
        <w:rPr>
          <w:rFonts w:ascii="Tahoma" w:eastAsia="Calibri" w:hAnsi="Tahoma" w:cs="Tahoma"/>
          <w:sz w:val="24"/>
          <w:szCs w:val="24"/>
        </w:rPr>
      </w:pPr>
      <w:r w:rsidRPr="002462E6">
        <w:rPr>
          <w:rFonts w:ascii="Tahoma" w:eastAsia="Calibri" w:hAnsi="Tahoma" w:cs="Tahoma"/>
          <w:sz w:val="24"/>
          <w:szCs w:val="24"/>
        </w:rPr>
        <w:t>En effet, le phénomène de migration des espèces est particulièrement visible sur les versants sud du Haut Atlas, de l'Anti-Atlas et du Moyen Atlas oriental, où les écosystèmes forestiers tendent à se réfugier sur les versants nord et ouest, caractérisés par des conditions microclimatiques plus favorables</w:t>
      </w:r>
      <w:r w:rsidRPr="002462E6">
        <w:rPr>
          <w:rFonts w:ascii="Tahoma" w:eastAsia="Calibri" w:hAnsi="Tahoma" w:cs="Tahoma"/>
          <w:sz w:val="24"/>
          <w:szCs w:val="24"/>
          <w:vertAlign w:val="superscript"/>
        </w:rPr>
        <w:footnoteReference w:id="408"/>
      </w:r>
      <w:r w:rsidRPr="002462E6">
        <w:rPr>
          <w:rFonts w:ascii="Tahoma" w:eastAsia="Calibri" w:hAnsi="Tahoma" w:cs="Tahoma"/>
          <w:sz w:val="24"/>
          <w:szCs w:val="24"/>
        </w:rPr>
        <w:t>. Cette migration différentielle selon l'exposition géographique illustre l'importance des facteurs topographiques dans la détermination de la vulnérabilité des écosystèmes au changement climatique</w:t>
      </w:r>
      <w:r w:rsidRPr="002462E6">
        <w:rPr>
          <w:rFonts w:ascii="Tahoma" w:eastAsia="Calibri" w:hAnsi="Tahoma" w:cs="Tahoma"/>
          <w:sz w:val="24"/>
          <w:szCs w:val="24"/>
          <w:vertAlign w:val="superscript"/>
        </w:rPr>
        <w:footnoteReference w:id="409"/>
      </w:r>
      <w:r w:rsidRPr="002462E6">
        <w:rPr>
          <w:rFonts w:ascii="Tahoma" w:eastAsia="Calibri" w:hAnsi="Tahoma" w:cs="Tahoma"/>
          <w:sz w:val="24"/>
          <w:szCs w:val="24"/>
        </w:rPr>
        <w:t>.</w:t>
      </w:r>
    </w:p>
    <w:p w:rsidR="00664463" w:rsidRPr="002462E6" w:rsidRDefault="00664463" w:rsidP="00664463">
      <w:pPr>
        <w:spacing w:line="360" w:lineRule="auto"/>
        <w:jc w:val="both"/>
        <w:rPr>
          <w:rFonts w:ascii="Tahoma" w:eastAsia="Calibri" w:hAnsi="Tahoma" w:cs="Tahoma"/>
          <w:sz w:val="24"/>
          <w:szCs w:val="24"/>
        </w:rPr>
      </w:pPr>
      <w:r w:rsidRPr="002462E6">
        <w:rPr>
          <w:rFonts w:ascii="Tahoma" w:eastAsia="Calibri" w:hAnsi="Tahoma" w:cs="Tahoma"/>
          <w:sz w:val="24"/>
          <w:szCs w:val="24"/>
        </w:rPr>
        <w:t>Cette situation se traduit par une fragilité accrue et une perte de productivité des écosystèmes situés sur les versants sud et est, ainsi que par la fragmentation progressive et la destruction des milieux et des habitats</w:t>
      </w:r>
      <w:r w:rsidRPr="002462E6">
        <w:rPr>
          <w:rFonts w:ascii="Tahoma" w:eastAsia="Calibri" w:hAnsi="Tahoma" w:cs="Tahoma"/>
          <w:sz w:val="24"/>
          <w:szCs w:val="24"/>
          <w:vertAlign w:val="superscript"/>
        </w:rPr>
        <w:footnoteReference w:id="410"/>
      </w:r>
      <w:r w:rsidRPr="002462E6">
        <w:rPr>
          <w:rFonts w:ascii="Tahoma" w:eastAsia="Calibri" w:hAnsi="Tahoma" w:cs="Tahoma"/>
          <w:sz w:val="24"/>
          <w:szCs w:val="24"/>
        </w:rPr>
        <w:t>. L'exposition sud, caractérisée par un ensoleillement plus intense et des températures plus élevées, devient progressivement incompatible avec le maintien de formations forestières mésophiles</w:t>
      </w:r>
      <w:r w:rsidRPr="002462E6">
        <w:rPr>
          <w:rFonts w:ascii="Tahoma" w:eastAsia="Calibri" w:hAnsi="Tahoma" w:cs="Tahoma"/>
          <w:sz w:val="24"/>
          <w:szCs w:val="24"/>
          <w:vertAlign w:val="superscript"/>
        </w:rPr>
        <w:footnoteReference w:id="411"/>
      </w:r>
      <w:r w:rsidRPr="002462E6">
        <w:rPr>
          <w:rFonts w:ascii="Tahoma" w:eastAsia="Calibri" w:hAnsi="Tahoma" w:cs="Tahoma"/>
          <w:sz w:val="24"/>
          <w:szCs w:val="24"/>
        </w:rPr>
        <w:t>. Cette évolution conduit à l'extinction locale de nombreuses espèces et à la migration forcée des communautés végétales vers des zones refuges</w:t>
      </w:r>
      <w:r w:rsidRPr="002462E6">
        <w:rPr>
          <w:rFonts w:ascii="Tahoma" w:eastAsia="Calibri" w:hAnsi="Tahoma" w:cs="Tahoma"/>
          <w:sz w:val="24"/>
          <w:szCs w:val="24"/>
          <w:vertAlign w:val="superscript"/>
        </w:rPr>
        <w:footnoteReference w:id="412"/>
      </w:r>
      <w:r w:rsidRPr="002462E6">
        <w:rPr>
          <w:rFonts w:ascii="Tahoma" w:eastAsia="Calibri" w:hAnsi="Tahoma" w:cs="Tahoma"/>
          <w:sz w:val="24"/>
          <w:szCs w:val="24"/>
        </w:rPr>
        <w:t>.</w:t>
      </w:r>
    </w:p>
    <w:p w:rsidR="00664463" w:rsidRPr="002462E6" w:rsidRDefault="00664463" w:rsidP="008D3838">
      <w:pPr>
        <w:pStyle w:val="Titre6"/>
      </w:pPr>
      <w:r w:rsidRPr="002462E6">
        <w:t xml:space="preserve"> </w:t>
      </w:r>
      <w:bookmarkStart w:id="272" w:name="_Toc203643058"/>
      <w:r w:rsidRPr="002462E6">
        <w:t>Analyse par écosystème forestier</w:t>
      </w:r>
      <w:bookmarkEnd w:id="272"/>
    </w:p>
    <w:p w:rsidR="00607994" w:rsidRPr="002462E6" w:rsidRDefault="00607994" w:rsidP="00607994"/>
    <w:p w:rsidR="00664463" w:rsidRPr="002462E6" w:rsidRDefault="00664463" w:rsidP="00664463">
      <w:pPr>
        <w:spacing w:line="360" w:lineRule="auto"/>
        <w:jc w:val="both"/>
        <w:rPr>
          <w:rFonts w:ascii="Tahoma" w:eastAsia="Calibri" w:hAnsi="Tahoma" w:cs="Tahoma"/>
          <w:sz w:val="24"/>
          <w:szCs w:val="24"/>
        </w:rPr>
      </w:pPr>
      <w:r w:rsidRPr="002462E6">
        <w:rPr>
          <w:rFonts w:ascii="Tahoma" w:eastAsia="Calibri" w:hAnsi="Tahoma" w:cs="Tahoma"/>
          <w:sz w:val="24"/>
          <w:szCs w:val="24"/>
        </w:rPr>
        <w:t>L'analyse différenciée par type d'écosystème révèle des patterns de dégradation variables selon les formations végétales</w:t>
      </w:r>
      <w:r w:rsidRPr="002462E6">
        <w:rPr>
          <w:rFonts w:ascii="Tahoma" w:eastAsia="Calibri" w:hAnsi="Tahoma" w:cs="Tahoma"/>
          <w:sz w:val="24"/>
          <w:szCs w:val="24"/>
          <w:vertAlign w:val="superscript"/>
        </w:rPr>
        <w:footnoteReference w:id="413"/>
      </w:r>
      <w:r w:rsidRPr="002462E6">
        <w:rPr>
          <w:rFonts w:ascii="Tahoma" w:eastAsia="Calibri" w:hAnsi="Tahoma" w:cs="Tahoma"/>
          <w:sz w:val="24"/>
          <w:szCs w:val="24"/>
        </w:rPr>
        <w:t>. La subéraie, écosystème emblématique des régions littorales, a subi une perte particulièrement sévère de 13% de sa superficie en l'espace de 60 ans (1938-2000), représentant une perte nette de 60 000 hectares</w:t>
      </w:r>
      <w:r w:rsidRPr="002462E6">
        <w:rPr>
          <w:rFonts w:ascii="Tahoma" w:eastAsia="Calibri" w:hAnsi="Tahoma" w:cs="Tahoma"/>
          <w:sz w:val="24"/>
          <w:szCs w:val="24"/>
          <w:vertAlign w:val="superscript"/>
        </w:rPr>
        <w:footnoteReference w:id="414"/>
      </w:r>
      <w:r w:rsidRPr="002462E6">
        <w:rPr>
          <w:rFonts w:ascii="Tahoma" w:eastAsia="Calibri" w:hAnsi="Tahoma" w:cs="Tahoma"/>
          <w:sz w:val="24"/>
          <w:szCs w:val="24"/>
        </w:rPr>
        <w:t>. Cette évolution est d'autant plus préoccupante que le chêne-liège présente une croissance lente et nécessite plusieurs décennies pour atteindre sa maturité.</w:t>
      </w:r>
    </w:p>
    <w:p w:rsidR="00664463" w:rsidRPr="002462E6" w:rsidRDefault="00664463" w:rsidP="00664463">
      <w:pPr>
        <w:spacing w:line="360" w:lineRule="auto"/>
        <w:jc w:val="both"/>
        <w:rPr>
          <w:rFonts w:ascii="Tahoma" w:eastAsia="Calibri" w:hAnsi="Tahoma" w:cs="Tahoma"/>
          <w:sz w:val="24"/>
          <w:szCs w:val="24"/>
        </w:rPr>
      </w:pPr>
      <w:r w:rsidRPr="002462E6">
        <w:rPr>
          <w:rFonts w:ascii="Tahoma" w:eastAsia="Calibri" w:hAnsi="Tahoma" w:cs="Tahoma"/>
          <w:sz w:val="24"/>
          <w:szCs w:val="24"/>
        </w:rPr>
        <w:t>L'arganeraie, formation endémique du sud-ouest marocain, présente un bilan encore plus dramatique avec la perte d'environ un tiers de sa superficie historique</w:t>
      </w:r>
      <w:r w:rsidRPr="002462E6">
        <w:rPr>
          <w:rFonts w:ascii="Tahoma" w:eastAsia="Calibri" w:hAnsi="Tahoma" w:cs="Tahoma"/>
          <w:sz w:val="24"/>
          <w:szCs w:val="24"/>
          <w:vertAlign w:val="superscript"/>
        </w:rPr>
        <w:footnoteReference w:id="415"/>
      </w:r>
      <w:r w:rsidRPr="002462E6">
        <w:rPr>
          <w:rFonts w:ascii="Tahoma" w:eastAsia="Calibri" w:hAnsi="Tahoma" w:cs="Tahoma"/>
          <w:sz w:val="24"/>
          <w:szCs w:val="24"/>
        </w:rPr>
        <w:t>. Cette régression s'accompagne d'une diminution drastique de la densité moyenne, passant de 100 à 30 arbres par hectare, illustrant une dégradation à la fois quantitative et qualitative. L'exemple de la forêt d'Admine, avec une perte de 10 000 hectares en dix-sept ans, soit 582 hectares par an, exemplifie la rapidité de cette dégradation.</w:t>
      </w:r>
    </w:p>
    <w:p w:rsidR="00664463" w:rsidRPr="002462E6" w:rsidRDefault="00664463" w:rsidP="00664463">
      <w:pPr>
        <w:spacing w:line="360" w:lineRule="auto"/>
        <w:jc w:val="both"/>
        <w:rPr>
          <w:rFonts w:ascii="Tahoma" w:eastAsia="Calibri" w:hAnsi="Tahoma" w:cs="Tahoma"/>
          <w:sz w:val="24"/>
          <w:szCs w:val="24"/>
        </w:rPr>
      </w:pPr>
      <w:r w:rsidRPr="002462E6">
        <w:rPr>
          <w:rFonts w:ascii="Tahoma" w:eastAsia="Calibri" w:hAnsi="Tahoma" w:cs="Tahoma"/>
          <w:sz w:val="24"/>
          <w:szCs w:val="24"/>
        </w:rPr>
        <w:t>Du point de vue faunistique, les données compilées par Aulagnier et Thévenot révèlent une situation critique avec quatre espèces de mammifères au bord de l'extinction (Panthère, Lynx caracal, Gazelle dama et Guépard) et cinq autres espèces en danger imminent de disparition</w:t>
      </w:r>
      <w:r w:rsidRPr="002462E6">
        <w:rPr>
          <w:rFonts w:ascii="Tahoma" w:eastAsia="Calibri" w:hAnsi="Tahoma" w:cs="Tahoma"/>
          <w:sz w:val="24"/>
          <w:szCs w:val="24"/>
          <w:vertAlign w:val="superscript"/>
        </w:rPr>
        <w:footnoteReference w:id="416"/>
      </w:r>
      <w:r w:rsidRPr="002462E6">
        <w:rPr>
          <w:rFonts w:ascii="Tahoma" w:eastAsia="Calibri" w:hAnsi="Tahoma" w:cs="Tahoma"/>
          <w:sz w:val="24"/>
          <w:szCs w:val="24"/>
        </w:rPr>
        <w:t>. Cette situation témoigne d'une crise de biodiversité majeure qui dépasse largement le cadre des seuls écosystèmes forestiers pour affecter l'ensemble des formations naturelles du pays</w:t>
      </w:r>
      <w:r w:rsidRPr="002462E6">
        <w:rPr>
          <w:rFonts w:ascii="Tahoma" w:eastAsia="Calibri" w:hAnsi="Tahoma" w:cs="Tahoma"/>
          <w:sz w:val="24"/>
          <w:szCs w:val="24"/>
          <w:vertAlign w:val="superscript"/>
        </w:rPr>
        <w:footnoteReference w:id="417"/>
      </w:r>
      <w:r w:rsidRPr="002462E6">
        <w:rPr>
          <w:rFonts w:ascii="Tahoma" w:eastAsia="Calibri" w:hAnsi="Tahoma" w:cs="Tahoma"/>
          <w:sz w:val="24"/>
          <w:szCs w:val="24"/>
        </w:rPr>
        <w:t>.</w:t>
      </w:r>
    </w:p>
    <w:p w:rsidR="00664463" w:rsidRPr="002462E6" w:rsidRDefault="00664463" w:rsidP="00664463">
      <w:pPr>
        <w:spacing w:line="360" w:lineRule="auto"/>
        <w:jc w:val="both"/>
        <w:rPr>
          <w:rFonts w:ascii="Tahoma" w:eastAsia="Calibri" w:hAnsi="Tahoma" w:cs="Tahoma"/>
          <w:sz w:val="24"/>
          <w:szCs w:val="24"/>
        </w:rPr>
      </w:pPr>
      <w:r w:rsidRPr="002462E6">
        <w:rPr>
          <w:rFonts w:ascii="Tahoma" w:eastAsia="Calibri" w:hAnsi="Tahoma" w:cs="Tahoma"/>
          <w:sz w:val="24"/>
          <w:szCs w:val="24"/>
        </w:rPr>
        <w:t>L'avifaune présente un bilan tout aussi préoccupant avec plusieurs espèces d'oiseaux en danger de disparition, incluant des espèces emblématiques comme l'Ibis chauve, la Sarcelle marbrée, la Nette rousse, le Filigule nyroca, le Milan royal, le Vautour sombre, l'Aigle ravisseur, le Vautour fauve, le Faucon d'Eléonore, la Grande Outarde, l'Outarde canepetière et l'Outarde houbara</w:t>
      </w:r>
      <w:r w:rsidRPr="002462E6">
        <w:rPr>
          <w:rFonts w:ascii="Tahoma" w:eastAsia="Calibri" w:hAnsi="Tahoma" w:cs="Tahoma"/>
          <w:sz w:val="24"/>
          <w:szCs w:val="24"/>
          <w:vertAlign w:val="superscript"/>
        </w:rPr>
        <w:footnoteReference w:id="418"/>
      </w:r>
      <w:r w:rsidRPr="002462E6">
        <w:rPr>
          <w:rFonts w:ascii="Tahoma" w:eastAsia="Calibri" w:hAnsi="Tahoma" w:cs="Tahoma"/>
          <w:sz w:val="24"/>
          <w:szCs w:val="24"/>
        </w:rPr>
        <w:t>. Ces espèces, souvent endémiques ou présentant des populations relictuelles, constituent des indicateurs sensibles de la santé des écosystèmes</w:t>
      </w:r>
      <w:r w:rsidRPr="002462E6">
        <w:rPr>
          <w:rFonts w:ascii="Tahoma" w:eastAsia="Calibri" w:hAnsi="Tahoma" w:cs="Tahoma"/>
          <w:sz w:val="24"/>
          <w:szCs w:val="24"/>
          <w:vertAlign w:val="superscript"/>
        </w:rPr>
        <w:footnoteReference w:id="419"/>
      </w:r>
      <w:r w:rsidRPr="002462E6">
        <w:rPr>
          <w:rFonts w:ascii="Tahoma" w:eastAsia="Calibri" w:hAnsi="Tahoma" w:cs="Tahoma"/>
          <w:sz w:val="24"/>
          <w:szCs w:val="24"/>
        </w:rPr>
        <w:t>.</w:t>
      </w:r>
    </w:p>
    <w:p w:rsidR="00664463" w:rsidRPr="002462E6" w:rsidRDefault="00664463" w:rsidP="00664463">
      <w:pPr>
        <w:spacing w:line="360" w:lineRule="auto"/>
        <w:jc w:val="both"/>
        <w:rPr>
          <w:rFonts w:ascii="Tahoma" w:eastAsia="Calibri" w:hAnsi="Tahoma" w:cs="Tahoma"/>
          <w:sz w:val="24"/>
          <w:szCs w:val="24"/>
        </w:rPr>
      </w:pPr>
      <w:r w:rsidRPr="002462E6">
        <w:rPr>
          <w:rFonts w:ascii="Tahoma" w:eastAsia="Calibri" w:hAnsi="Tahoma" w:cs="Tahoma"/>
          <w:sz w:val="24"/>
          <w:szCs w:val="24"/>
        </w:rPr>
        <w:t>La période historique (1925-1956) a été marquée par la disparition de cinq espèces, dont quatre ongulés (Oryx, Addax, Gazelle leptocère, Bubal) et un carnivore (Lion de l'Atlas), témoignant de l'ancienneté du processus de dégradation faunistique</w:t>
      </w:r>
      <w:r w:rsidRPr="002462E6">
        <w:rPr>
          <w:rFonts w:ascii="Tahoma" w:eastAsia="Calibri" w:hAnsi="Tahoma" w:cs="Tahoma"/>
          <w:sz w:val="24"/>
          <w:szCs w:val="24"/>
          <w:vertAlign w:val="superscript"/>
        </w:rPr>
        <w:footnoteReference w:id="420"/>
      </w:r>
      <w:r w:rsidRPr="002462E6">
        <w:rPr>
          <w:rFonts w:ascii="Tahoma" w:eastAsia="Calibri" w:hAnsi="Tahoma" w:cs="Tahoma"/>
          <w:sz w:val="24"/>
          <w:szCs w:val="24"/>
        </w:rPr>
        <w:t>. Ces extinctions historiques illustrent la vulnérabilité particulière de la grande faune face aux transformations anthropiques des écosystèmes</w:t>
      </w:r>
      <w:r w:rsidRPr="002462E6">
        <w:rPr>
          <w:rFonts w:ascii="Tahoma" w:eastAsia="Calibri" w:hAnsi="Tahoma" w:cs="Tahoma"/>
          <w:sz w:val="24"/>
          <w:szCs w:val="24"/>
          <w:vertAlign w:val="superscript"/>
        </w:rPr>
        <w:footnoteReference w:id="421"/>
      </w:r>
      <w:r w:rsidRPr="002462E6">
        <w:rPr>
          <w:rFonts w:ascii="Tahoma" w:eastAsia="Calibri" w:hAnsi="Tahoma" w:cs="Tahoma"/>
          <w:sz w:val="24"/>
          <w:szCs w:val="24"/>
        </w:rPr>
        <w:t>.</w:t>
      </w:r>
    </w:p>
    <w:p w:rsidR="00664463" w:rsidRPr="002462E6" w:rsidRDefault="00664463" w:rsidP="00664463">
      <w:pPr>
        <w:spacing w:line="360" w:lineRule="auto"/>
        <w:jc w:val="both"/>
        <w:rPr>
          <w:rFonts w:ascii="Tahoma" w:eastAsia="Calibri" w:hAnsi="Tahoma" w:cs="Tahoma"/>
          <w:sz w:val="24"/>
          <w:szCs w:val="24"/>
        </w:rPr>
      </w:pPr>
      <w:r w:rsidRPr="002462E6">
        <w:rPr>
          <w:rFonts w:ascii="Tahoma" w:eastAsia="Calibri" w:hAnsi="Tahoma" w:cs="Tahoma"/>
          <w:sz w:val="24"/>
          <w:szCs w:val="24"/>
        </w:rPr>
        <w:t>Au moins une dizaine d'espèces nidificatrices d'oiseaux a disparu depuis le début du siècle, comme l'Autruche à cou rouge, soulignant la continuité du processus d'érosion de la biodiversité avifaunistique</w:t>
      </w:r>
      <w:r w:rsidRPr="002462E6">
        <w:rPr>
          <w:rFonts w:ascii="Tahoma" w:eastAsia="Calibri" w:hAnsi="Tahoma" w:cs="Tahoma"/>
          <w:sz w:val="24"/>
          <w:szCs w:val="24"/>
          <w:vertAlign w:val="superscript"/>
        </w:rPr>
        <w:footnoteReference w:id="422"/>
      </w:r>
      <w:r w:rsidRPr="002462E6">
        <w:rPr>
          <w:rFonts w:ascii="Tahoma" w:eastAsia="Calibri" w:hAnsi="Tahoma" w:cs="Tahoma"/>
          <w:sz w:val="24"/>
          <w:szCs w:val="24"/>
        </w:rPr>
        <w:t>. Ces disparitions affectent particulièrement les espèces spécialisées des milieux forestiers, dont les exigences écologiques strictes les rendent vulnérables aux modifications de leur habitat</w:t>
      </w:r>
      <w:r w:rsidRPr="002462E6">
        <w:rPr>
          <w:rFonts w:ascii="Tahoma" w:eastAsia="Calibri" w:hAnsi="Tahoma" w:cs="Tahoma"/>
          <w:sz w:val="24"/>
          <w:szCs w:val="24"/>
          <w:vertAlign w:val="superscript"/>
        </w:rPr>
        <w:footnoteReference w:id="423"/>
      </w:r>
      <w:r w:rsidRPr="002462E6">
        <w:rPr>
          <w:rFonts w:ascii="Tahoma" w:eastAsia="Calibri" w:hAnsi="Tahoma" w:cs="Tahoma"/>
          <w:sz w:val="24"/>
          <w:szCs w:val="24"/>
        </w:rPr>
        <w:t>.</w:t>
      </w:r>
    </w:p>
    <w:p w:rsidR="00664463" w:rsidRPr="002462E6" w:rsidRDefault="00664463" w:rsidP="00664463">
      <w:pPr>
        <w:spacing w:line="360" w:lineRule="auto"/>
        <w:jc w:val="both"/>
        <w:rPr>
          <w:rFonts w:ascii="Tahoma" w:eastAsia="Calibri" w:hAnsi="Tahoma" w:cs="Tahoma"/>
          <w:sz w:val="24"/>
          <w:szCs w:val="24"/>
        </w:rPr>
      </w:pPr>
      <w:r w:rsidRPr="002462E6">
        <w:rPr>
          <w:rFonts w:ascii="Tahoma" w:eastAsia="Calibri" w:hAnsi="Tahoma" w:cs="Tahoma"/>
          <w:sz w:val="24"/>
          <w:szCs w:val="24"/>
        </w:rPr>
        <w:t>L'exemple du singe magot (Macaca sylvanus) dans le Moyen Atlas illustre de manière saisissante les interactions complexes entre dégradation des écosystèmes et comportement animal</w:t>
      </w:r>
      <w:r w:rsidRPr="002462E6">
        <w:rPr>
          <w:rFonts w:ascii="Tahoma" w:eastAsia="Calibri" w:hAnsi="Tahoma" w:cs="Tahoma"/>
          <w:sz w:val="24"/>
          <w:szCs w:val="24"/>
          <w:vertAlign w:val="superscript"/>
        </w:rPr>
        <w:footnoteReference w:id="424"/>
      </w:r>
      <w:r w:rsidRPr="002462E6">
        <w:rPr>
          <w:rFonts w:ascii="Tahoma" w:eastAsia="Calibri" w:hAnsi="Tahoma" w:cs="Tahoma"/>
          <w:sz w:val="24"/>
          <w:szCs w:val="24"/>
        </w:rPr>
        <w:t>. La compétition entre le cheptel domestique et cette espèce endémique pour l'accès aux ressources naturelles, exacerbée par l'appauvrissement de la strate herbacée, contraint le singe magot à modifier ses habitudes alimentaires</w:t>
      </w:r>
      <w:r w:rsidRPr="002462E6">
        <w:rPr>
          <w:rFonts w:ascii="Tahoma" w:eastAsia="Calibri" w:hAnsi="Tahoma" w:cs="Tahoma"/>
          <w:sz w:val="24"/>
          <w:szCs w:val="24"/>
          <w:vertAlign w:val="superscript"/>
        </w:rPr>
        <w:footnoteReference w:id="425"/>
      </w:r>
      <w:r w:rsidRPr="002462E6">
        <w:rPr>
          <w:rFonts w:ascii="Tahoma" w:eastAsia="Calibri" w:hAnsi="Tahoma" w:cs="Tahoma"/>
          <w:sz w:val="24"/>
          <w:szCs w:val="24"/>
        </w:rPr>
        <w:t>. Privé de l'accès aux points d'eau naturels et aux espèces végétales traditionnellement consommées, l'animal se trouve contraint de s'attaquer à l'écorce des jeunes cèdres et aux branches des arbres adultes, riches en eau et en sels minéraux</w:t>
      </w:r>
      <w:r w:rsidRPr="002462E6">
        <w:rPr>
          <w:rFonts w:ascii="Tahoma" w:eastAsia="Calibri" w:hAnsi="Tahoma" w:cs="Tahoma"/>
          <w:sz w:val="24"/>
          <w:szCs w:val="24"/>
          <w:vertAlign w:val="superscript"/>
        </w:rPr>
        <w:footnoteReference w:id="426"/>
      </w:r>
      <w:r w:rsidRPr="002462E6">
        <w:rPr>
          <w:rFonts w:ascii="Tahoma" w:eastAsia="Calibri" w:hAnsi="Tahoma" w:cs="Tahoma"/>
          <w:sz w:val="24"/>
          <w:szCs w:val="24"/>
        </w:rPr>
        <w:t>. Ce comportement adaptatif, bien que témoignant de la plasticité comportementale de l'espèce, contribue paradoxalement à la dégradation des cédraies et illustre les effets en cascade de la dégradation écosystémique</w:t>
      </w:r>
      <w:r w:rsidRPr="002462E6">
        <w:rPr>
          <w:rFonts w:ascii="Tahoma" w:eastAsia="Calibri" w:hAnsi="Tahoma" w:cs="Tahoma"/>
          <w:sz w:val="24"/>
          <w:szCs w:val="24"/>
          <w:vertAlign w:val="superscript"/>
        </w:rPr>
        <w:footnoteReference w:id="427"/>
      </w:r>
      <w:r w:rsidRPr="002462E6">
        <w:rPr>
          <w:rFonts w:ascii="Tahoma" w:eastAsia="Calibri" w:hAnsi="Tahoma" w:cs="Tahoma"/>
          <w:sz w:val="24"/>
          <w:szCs w:val="24"/>
        </w:rPr>
        <w:t>.</w:t>
      </w:r>
    </w:p>
    <w:p w:rsidR="00664463" w:rsidRPr="002462E6" w:rsidRDefault="00664463" w:rsidP="00664463">
      <w:pPr>
        <w:spacing w:line="360" w:lineRule="auto"/>
        <w:jc w:val="both"/>
        <w:rPr>
          <w:rFonts w:ascii="Tahoma" w:eastAsia="Calibri" w:hAnsi="Tahoma" w:cs="Tahoma"/>
          <w:sz w:val="24"/>
          <w:szCs w:val="24"/>
        </w:rPr>
      </w:pPr>
      <w:r w:rsidRPr="002462E6">
        <w:rPr>
          <w:rFonts w:ascii="Tahoma" w:eastAsia="Calibri" w:hAnsi="Tahoma" w:cs="Tahoma"/>
          <w:sz w:val="24"/>
          <w:szCs w:val="24"/>
        </w:rPr>
        <w:t>L'évaluation de la biodiversité floristique révèle une situation préoccupante avec, sur les quelque 7 000 taxons inventoriés au niveau national, un quart considéré comme rare ou menacé</w:t>
      </w:r>
      <w:r w:rsidRPr="002462E6">
        <w:rPr>
          <w:rFonts w:ascii="Tahoma" w:eastAsia="Calibri" w:hAnsi="Tahoma" w:cs="Tahoma"/>
          <w:sz w:val="24"/>
          <w:szCs w:val="24"/>
          <w:vertAlign w:val="superscript"/>
        </w:rPr>
        <w:footnoteReference w:id="428"/>
      </w:r>
      <w:r w:rsidRPr="002462E6">
        <w:rPr>
          <w:rFonts w:ascii="Tahoma" w:eastAsia="Calibri" w:hAnsi="Tahoma" w:cs="Tahoma"/>
          <w:sz w:val="24"/>
          <w:szCs w:val="24"/>
        </w:rPr>
        <w:t>. Cette proportion, particulièrement élevée, témoigne de la vulnérabilité de la flore marocaine face aux pressions environnementales actuelles</w:t>
      </w:r>
      <w:r w:rsidRPr="002462E6">
        <w:rPr>
          <w:rFonts w:ascii="Tahoma" w:eastAsia="Calibri" w:hAnsi="Tahoma" w:cs="Tahoma"/>
          <w:sz w:val="24"/>
          <w:szCs w:val="24"/>
          <w:vertAlign w:val="superscript"/>
        </w:rPr>
        <w:footnoteReference w:id="429"/>
      </w:r>
      <w:r w:rsidRPr="002462E6">
        <w:rPr>
          <w:rFonts w:ascii="Tahoma" w:eastAsia="Calibri" w:hAnsi="Tahoma" w:cs="Tahoma"/>
          <w:sz w:val="24"/>
          <w:szCs w:val="24"/>
        </w:rPr>
        <w:t>. Les espèces de la flore de haute montagne, caractéristiques des zones froides qui hébergent un nombre important d'espèces rares, menacées et endémiques, sont les plus affectées par les changements climatiques</w:t>
      </w:r>
      <w:r w:rsidRPr="002462E6">
        <w:rPr>
          <w:rFonts w:ascii="Tahoma" w:eastAsia="Calibri" w:hAnsi="Tahoma" w:cs="Tahoma"/>
          <w:sz w:val="24"/>
          <w:szCs w:val="24"/>
          <w:vertAlign w:val="superscript"/>
        </w:rPr>
        <w:footnoteReference w:id="430"/>
      </w:r>
      <w:r w:rsidRPr="002462E6">
        <w:rPr>
          <w:rFonts w:ascii="Tahoma" w:eastAsia="Calibri" w:hAnsi="Tahoma" w:cs="Tahoma"/>
          <w:sz w:val="24"/>
          <w:szCs w:val="24"/>
        </w:rPr>
        <w:t>.</w:t>
      </w:r>
    </w:p>
    <w:p w:rsidR="00664463" w:rsidRPr="002462E6" w:rsidRDefault="00664463" w:rsidP="00664463">
      <w:pPr>
        <w:spacing w:line="360" w:lineRule="auto"/>
        <w:jc w:val="both"/>
        <w:rPr>
          <w:rFonts w:ascii="Tahoma" w:eastAsia="Calibri" w:hAnsi="Tahoma" w:cs="Tahoma"/>
          <w:sz w:val="24"/>
          <w:szCs w:val="24"/>
        </w:rPr>
      </w:pPr>
      <w:r w:rsidRPr="002462E6">
        <w:rPr>
          <w:rFonts w:ascii="Tahoma" w:eastAsia="Calibri" w:hAnsi="Tahoma" w:cs="Tahoma"/>
          <w:sz w:val="24"/>
          <w:szCs w:val="24"/>
        </w:rPr>
        <w:t>Ces espèces d'altitude, souvent relictuelles et présentant des aires de répartition restreintes, constituent des indicateurs particulièrement sensibles du changement climatique</w:t>
      </w:r>
      <w:r w:rsidRPr="002462E6">
        <w:rPr>
          <w:rFonts w:ascii="Tahoma" w:eastAsia="Calibri" w:hAnsi="Tahoma" w:cs="Tahoma"/>
          <w:sz w:val="24"/>
          <w:szCs w:val="24"/>
          <w:vertAlign w:val="superscript"/>
        </w:rPr>
        <w:footnoteReference w:id="431"/>
      </w:r>
      <w:r w:rsidRPr="002462E6">
        <w:rPr>
          <w:rFonts w:ascii="Tahoma" w:eastAsia="Calibri" w:hAnsi="Tahoma" w:cs="Tahoma"/>
          <w:sz w:val="24"/>
          <w:szCs w:val="24"/>
        </w:rPr>
        <w:t>. Leur position géographique en sommet de montagne limite leurs possibilités de migration altitudinale, créant une situation de piège écologique qui peut conduire à leur extinction locale</w:t>
      </w:r>
      <w:r w:rsidRPr="002462E6">
        <w:rPr>
          <w:rFonts w:ascii="Tahoma" w:eastAsia="Calibri" w:hAnsi="Tahoma" w:cs="Tahoma"/>
          <w:sz w:val="24"/>
          <w:szCs w:val="24"/>
          <w:vertAlign w:val="superscript"/>
        </w:rPr>
        <w:footnoteReference w:id="432"/>
      </w:r>
      <w:r w:rsidRPr="002462E6">
        <w:rPr>
          <w:rFonts w:ascii="Tahoma" w:eastAsia="Calibri" w:hAnsi="Tahoma" w:cs="Tahoma"/>
          <w:sz w:val="24"/>
          <w:szCs w:val="24"/>
        </w:rPr>
        <w:t>. À l'horizon 2050, les projections suggèrent que 22% de la flore marocaine pourrait ainsi disparaître, représentant une perte irréversible de patrimoine génétique</w:t>
      </w:r>
      <w:r w:rsidRPr="002462E6">
        <w:rPr>
          <w:rFonts w:ascii="Tahoma" w:eastAsia="Calibri" w:hAnsi="Tahoma" w:cs="Tahoma"/>
          <w:sz w:val="24"/>
          <w:szCs w:val="24"/>
          <w:vertAlign w:val="superscript"/>
        </w:rPr>
        <w:footnoteReference w:id="433"/>
      </w:r>
      <w:r w:rsidRPr="002462E6">
        <w:rPr>
          <w:rFonts w:ascii="Tahoma" w:eastAsia="Calibri" w:hAnsi="Tahoma" w:cs="Tahoma"/>
          <w:sz w:val="24"/>
          <w:szCs w:val="24"/>
        </w:rPr>
        <w:t>.</w:t>
      </w:r>
    </w:p>
    <w:p w:rsidR="00664463" w:rsidRPr="002462E6" w:rsidRDefault="00664463" w:rsidP="00664463">
      <w:pPr>
        <w:spacing w:line="360" w:lineRule="auto"/>
        <w:jc w:val="both"/>
        <w:rPr>
          <w:rFonts w:ascii="Tahoma" w:eastAsia="Calibri" w:hAnsi="Tahoma" w:cs="Tahoma"/>
          <w:sz w:val="24"/>
          <w:szCs w:val="24"/>
        </w:rPr>
      </w:pPr>
      <w:r w:rsidRPr="002462E6">
        <w:rPr>
          <w:rFonts w:ascii="Tahoma" w:eastAsia="Calibri" w:hAnsi="Tahoma" w:cs="Tahoma"/>
          <w:sz w:val="24"/>
          <w:szCs w:val="24"/>
        </w:rPr>
        <w:t>En effet, le dysfonctionnement de nombreux écosystèmes spécialisés, comme la subéraie, la cédraie, la thuriféraie et la junipéraie, ainsi que la destruction de certains habitats qui constituent un milieu favorable pour l'installation et le développement d'une flore et d'une faune riches et diversifiées, ont conduit à la raréfaction de certaines espèces et à la disparition d'autres</w:t>
      </w:r>
      <w:r w:rsidRPr="002462E6">
        <w:rPr>
          <w:rFonts w:ascii="Tahoma" w:eastAsia="Calibri" w:hAnsi="Tahoma" w:cs="Tahoma"/>
          <w:sz w:val="24"/>
          <w:szCs w:val="24"/>
          <w:vertAlign w:val="superscript"/>
        </w:rPr>
        <w:footnoteReference w:id="434"/>
      </w:r>
      <w:r w:rsidRPr="002462E6">
        <w:rPr>
          <w:rFonts w:ascii="Tahoma" w:eastAsia="Calibri" w:hAnsi="Tahoma" w:cs="Tahoma"/>
          <w:sz w:val="24"/>
          <w:szCs w:val="24"/>
        </w:rPr>
        <w:t>. Ces écosystèmes, malgré leur diversité remarquable, se révèlent particulièrement fragiles en raison d'une pression accrue due à la poussée démographique et au faible niveau de vie des populations rurales</w:t>
      </w:r>
      <w:r w:rsidRPr="002462E6">
        <w:rPr>
          <w:rFonts w:ascii="Tahoma" w:eastAsia="Calibri" w:hAnsi="Tahoma" w:cs="Tahoma"/>
          <w:sz w:val="24"/>
          <w:szCs w:val="24"/>
          <w:vertAlign w:val="superscript"/>
        </w:rPr>
        <w:footnoteReference w:id="435"/>
      </w:r>
      <w:r w:rsidRPr="002462E6">
        <w:rPr>
          <w:rFonts w:ascii="Tahoma" w:eastAsia="Calibri" w:hAnsi="Tahoma" w:cs="Tahoma"/>
          <w:sz w:val="24"/>
          <w:szCs w:val="24"/>
        </w:rPr>
        <w:t>.</w:t>
      </w:r>
    </w:p>
    <w:p w:rsidR="00664463" w:rsidRPr="002462E6" w:rsidRDefault="00664463" w:rsidP="00CB22E0">
      <w:pPr>
        <w:spacing w:line="360" w:lineRule="auto"/>
        <w:jc w:val="both"/>
        <w:rPr>
          <w:rFonts w:ascii="Tahoma" w:eastAsia="Calibri" w:hAnsi="Tahoma" w:cs="Tahoma"/>
          <w:sz w:val="24"/>
          <w:szCs w:val="24"/>
        </w:rPr>
      </w:pPr>
      <w:r w:rsidRPr="002462E6">
        <w:rPr>
          <w:rFonts w:ascii="Tahoma" w:eastAsia="Calibri" w:hAnsi="Tahoma" w:cs="Tahoma"/>
          <w:sz w:val="24"/>
          <w:szCs w:val="24"/>
        </w:rPr>
        <w:t>La fragilité de ces écosystèmes spécialisés résulte de leur adaptation à des conditions environnementales spécifiques qui les rendent vulnérables aux modifications climatiques et anthropiques</w:t>
      </w:r>
      <w:r w:rsidRPr="002462E6">
        <w:rPr>
          <w:rFonts w:ascii="Tahoma" w:eastAsia="Calibri" w:hAnsi="Tahoma" w:cs="Tahoma"/>
          <w:sz w:val="24"/>
          <w:szCs w:val="24"/>
          <w:vertAlign w:val="superscript"/>
        </w:rPr>
        <w:footnoteReference w:id="436"/>
      </w:r>
      <w:r w:rsidRPr="002462E6">
        <w:rPr>
          <w:rFonts w:ascii="Tahoma" w:eastAsia="Calibri" w:hAnsi="Tahoma" w:cs="Tahoma"/>
          <w:sz w:val="24"/>
          <w:szCs w:val="24"/>
        </w:rPr>
        <w:t>. La thuriféraie, par exemple, formation relictuelle adaptée aux conditions semi-arides d'altitude, présente une capacité de régénération limitée qui compromet sa persistance face aux perturbations</w:t>
      </w:r>
      <w:r w:rsidRPr="002462E6">
        <w:rPr>
          <w:rFonts w:ascii="Tahoma" w:eastAsia="Calibri" w:hAnsi="Tahoma" w:cs="Tahoma"/>
          <w:sz w:val="24"/>
          <w:szCs w:val="24"/>
          <w:vertAlign w:val="superscript"/>
        </w:rPr>
        <w:footnoteReference w:id="437"/>
      </w:r>
      <w:r w:rsidRPr="002462E6">
        <w:rPr>
          <w:rFonts w:ascii="Tahoma" w:eastAsia="Calibri" w:hAnsi="Tahoma" w:cs="Tahoma"/>
          <w:sz w:val="24"/>
          <w:szCs w:val="24"/>
        </w:rPr>
        <w:t>. De même, la junipéraie des hautes altitudes, caractérisée par une croissance extrêmement lente, ne peut compenser rapidement les pertes subies</w:t>
      </w:r>
      <w:r w:rsidRPr="002462E6">
        <w:rPr>
          <w:rFonts w:ascii="Tahoma" w:eastAsia="Calibri" w:hAnsi="Tahoma" w:cs="Tahoma"/>
          <w:sz w:val="24"/>
          <w:szCs w:val="24"/>
          <w:vertAlign w:val="superscript"/>
        </w:rPr>
        <w:footnoteReference w:id="438"/>
      </w:r>
      <w:r w:rsidR="00CB22E0">
        <w:rPr>
          <w:rFonts w:ascii="Tahoma" w:eastAsia="Calibri" w:hAnsi="Tahoma" w:cs="Tahoma"/>
          <w:sz w:val="24"/>
          <w:szCs w:val="24"/>
        </w:rPr>
        <w:t>.</w:t>
      </w:r>
    </w:p>
    <w:p w:rsidR="00664463" w:rsidRPr="002462E6" w:rsidRDefault="00664463" w:rsidP="00664463">
      <w:pPr>
        <w:spacing w:line="360" w:lineRule="auto"/>
        <w:jc w:val="both"/>
        <w:rPr>
          <w:rFonts w:ascii="Tahoma" w:eastAsia="Calibri" w:hAnsi="Tahoma" w:cs="Tahoma"/>
          <w:sz w:val="24"/>
          <w:szCs w:val="24"/>
        </w:rPr>
      </w:pPr>
      <w:r w:rsidRPr="002462E6">
        <w:rPr>
          <w:rFonts w:ascii="Tahoma" w:eastAsia="Calibri" w:hAnsi="Tahoma" w:cs="Tahoma"/>
          <w:sz w:val="24"/>
          <w:szCs w:val="24"/>
        </w:rPr>
        <w:t>En définitive, l'analyse de la dégradation des forêts marocaines révèle un phénomène complexe et multifactoriel qui nécessite une approche systémique et interdisciplinaire</w:t>
      </w:r>
      <w:r w:rsidRPr="002462E6">
        <w:rPr>
          <w:rFonts w:ascii="Tahoma" w:eastAsia="Calibri" w:hAnsi="Tahoma" w:cs="Tahoma"/>
          <w:sz w:val="24"/>
          <w:szCs w:val="24"/>
          <w:vertAlign w:val="superscript"/>
        </w:rPr>
        <w:footnoteReference w:id="439"/>
      </w:r>
      <w:r w:rsidRPr="002462E6">
        <w:rPr>
          <w:rFonts w:ascii="Tahoma" w:eastAsia="Calibri" w:hAnsi="Tahoma" w:cs="Tahoma"/>
          <w:sz w:val="24"/>
          <w:szCs w:val="24"/>
        </w:rPr>
        <w:t>. Les processus de matorralisation, dématorralisation et thérophytisation identifiés constituent des indicateurs utiles de la dégradation, mais leur application nécessite une adaptation aux spécificités locales et une intégration des facteurs climatiques et anthropiques</w:t>
      </w:r>
      <w:r w:rsidRPr="002462E6">
        <w:rPr>
          <w:rFonts w:ascii="Tahoma" w:eastAsia="Calibri" w:hAnsi="Tahoma" w:cs="Tahoma"/>
          <w:sz w:val="24"/>
          <w:szCs w:val="24"/>
          <w:vertAlign w:val="superscript"/>
        </w:rPr>
        <w:footnoteReference w:id="440"/>
      </w:r>
      <w:r w:rsidRPr="002462E6">
        <w:rPr>
          <w:rFonts w:ascii="Tahoma" w:eastAsia="Calibri" w:hAnsi="Tahoma" w:cs="Tahoma"/>
          <w:sz w:val="24"/>
          <w:szCs w:val="24"/>
        </w:rPr>
        <w:t>.</w:t>
      </w:r>
    </w:p>
    <w:p w:rsidR="00726EDC" w:rsidRPr="009141BF" w:rsidRDefault="00664463" w:rsidP="009141BF">
      <w:pPr>
        <w:spacing w:line="360" w:lineRule="auto"/>
        <w:jc w:val="both"/>
        <w:rPr>
          <w:rFonts w:ascii="Tahoma" w:eastAsia="Calibri" w:hAnsi="Tahoma" w:cs="Tahoma"/>
          <w:sz w:val="24"/>
          <w:szCs w:val="24"/>
        </w:rPr>
      </w:pPr>
      <w:r w:rsidRPr="002462E6">
        <w:rPr>
          <w:rFonts w:ascii="Tahoma" w:eastAsia="Calibri" w:hAnsi="Tahoma" w:cs="Tahoma"/>
          <w:sz w:val="24"/>
          <w:szCs w:val="24"/>
        </w:rPr>
        <w:t>La migration des écosystèmes forestiers, observable à travers les déplacements altitudinaux et latitudinaux des formations végétales, témoigne de la rapidité des changements en cours</w:t>
      </w:r>
      <w:r w:rsidRPr="002462E6">
        <w:rPr>
          <w:rFonts w:ascii="Tahoma" w:eastAsia="Calibri" w:hAnsi="Tahoma" w:cs="Tahoma"/>
          <w:sz w:val="24"/>
          <w:szCs w:val="24"/>
          <w:vertAlign w:val="superscript"/>
        </w:rPr>
        <w:footnoteReference w:id="441"/>
      </w:r>
      <w:r w:rsidRPr="002462E6">
        <w:rPr>
          <w:rFonts w:ascii="Tahoma" w:eastAsia="Calibri" w:hAnsi="Tahoma" w:cs="Tahoma"/>
          <w:sz w:val="24"/>
          <w:szCs w:val="24"/>
        </w:rPr>
        <w:t>. Cette migration, bien qu'illustrant la capacité d'adaptation des écosystèmes, s'accompagne d'une perte de biodiversité et de fonctionnalité écologique qui compromet la durabilité à long terme</w:t>
      </w:r>
      <w:r w:rsidRPr="002462E6">
        <w:rPr>
          <w:rFonts w:ascii="Tahoma" w:eastAsia="Calibri" w:hAnsi="Tahoma" w:cs="Tahoma"/>
          <w:sz w:val="24"/>
          <w:szCs w:val="24"/>
          <w:vertAlign w:val="superscript"/>
        </w:rPr>
        <w:footnoteReference w:id="442"/>
      </w:r>
      <w:bookmarkStart w:id="273" w:name="_Toc186533829"/>
      <w:r w:rsidR="00975815" w:rsidRPr="002462E6">
        <w:rPr>
          <w:rFonts w:ascii="Tahoma" w:eastAsia="Calibri" w:hAnsi="Tahoma" w:cs="Tahoma"/>
          <w:sz w:val="24"/>
          <w:szCs w:val="24"/>
        </w:rPr>
        <w:t>.</w:t>
      </w:r>
      <w:bookmarkEnd w:id="273"/>
      <w:r w:rsidR="00611F74" w:rsidRPr="002462E6">
        <w:rPr>
          <w:rFonts w:ascii="Tahoma" w:eastAsia="Calibri Light" w:hAnsi="Tahoma" w:cs="Tahoma"/>
          <w:sz w:val="28"/>
          <w:szCs w:val="28"/>
        </w:rPr>
        <w:tab/>
      </w:r>
    </w:p>
    <w:p w:rsidR="00712860" w:rsidRPr="002462E6" w:rsidRDefault="007E502F" w:rsidP="007E399B">
      <w:pPr>
        <w:pStyle w:val="Titre4"/>
      </w:pPr>
      <w:bookmarkStart w:id="274" w:name="_Toc201570903"/>
      <w:bookmarkStart w:id="275" w:name="_Toc201655486"/>
      <w:r w:rsidRPr="002462E6">
        <w:t xml:space="preserve"> </w:t>
      </w:r>
      <w:bookmarkStart w:id="276" w:name="_Toc203643059"/>
      <w:r w:rsidR="00712860" w:rsidRPr="002462E6">
        <w:t>Dynamiques de dégradation des écosystèmes forestiers de Korifla : enjeux environnementaux et socio-économiques</w:t>
      </w:r>
      <w:bookmarkEnd w:id="274"/>
      <w:bookmarkEnd w:id="275"/>
      <w:bookmarkEnd w:id="276"/>
      <w:r w:rsidR="00712860" w:rsidRPr="002462E6">
        <w:t xml:space="preserve"> </w:t>
      </w:r>
    </w:p>
    <w:p w:rsidR="00712860" w:rsidRPr="002462E6" w:rsidRDefault="00712860" w:rsidP="00712860">
      <w:pPr>
        <w:spacing w:before="100" w:beforeAutospacing="1" w:after="100" w:afterAutospacing="1" w:line="360" w:lineRule="auto"/>
        <w:jc w:val="both"/>
        <w:rPr>
          <w:rFonts w:ascii="Tahoma" w:eastAsia="Times New Roman" w:hAnsi="Tahoma" w:cs="Tahoma"/>
          <w:sz w:val="24"/>
          <w:szCs w:val="24"/>
          <w:lang w:eastAsia="fr-FR"/>
        </w:rPr>
      </w:pPr>
      <w:r w:rsidRPr="002462E6">
        <w:rPr>
          <w:rFonts w:ascii="Tahoma" w:eastAsia="Times New Roman" w:hAnsi="Tahoma" w:cs="Tahoma"/>
          <w:sz w:val="24"/>
          <w:szCs w:val="24"/>
          <w:lang w:eastAsia="fr-FR"/>
        </w:rPr>
        <w:t>La forêt de Korifla constitue un écosystème d'une richesse biologique et écologique considérable, assumant des fonctions écosystémiques essentielles dans la régulation des cycles hydriques, la conservation de la biodiversité, ainsi que dans le maintien des moyens de subsistance des populations riveraines</w:t>
      </w:r>
      <w:r w:rsidRPr="002462E6">
        <w:rPr>
          <w:rFonts w:ascii="Tahoma" w:eastAsia="Times New Roman" w:hAnsi="Tahoma" w:cs="Tahoma"/>
          <w:sz w:val="24"/>
          <w:szCs w:val="24"/>
          <w:vertAlign w:val="superscript"/>
          <w:lang w:eastAsia="fr-FR"/>
        </w:rPr>
        <w:footnoteReference w:id="443"/>
      </w:r>
      <w:r w:rsidRPr="002462E6">
        <w:rPr>
          <w:rFonts w:ascii="Tahoma" w:eastAsia="Times New Roman" w:hAnsi="Tahoma" w:cs="Tahoma"/>
          <w:sz w:val="24"/>
          <w:szCs w:val="24"/>
          <w:lang w:eastAsia="fr-FR"/>
        </w:rPr>
        <w:t>. Cependant, depuis plusieurs décennies, cet écosystème subit une pression anthropique croissante, conjuguée aux effets exacerbés du changement climatique, engendrant une dégradation progressive de ses composantes fondamentales</w:t>
      </w:r>
      <w:r w:rsidRPr="002462E6">
        <w:rPr>
          <w:rFonts w:ascii="Tahoma" w:eastAsia="Times New Roman" w:hAnsi="Tahoma" w:cs="Tahoma"/>
          <w:sz w:val="24"/>
          <w:szCs w:val="24"/>
          <w:vertAlign w:val="superscript"/>
          <w:lang w:eastAsia="fr-FR"/>
        </w:rPr>
        <w:footnoteReference w:id="444"/>
      </w:r>
      <w:r w:rsidRPr="002462E6">
        <w:rPr>
          <w:rFonts w:ascii="Tahoma" w:eastAsia="Times New Roman" w:hAnsi="Tahoma" w:cs="Tahoma"/>
          <w:sz w:val="24"/>
          <w:szCs w:val="24"/>
          <w:lang w:eastAsia="fr-FR"/>
        </w:rPr>
        <w:t>. Cette dynamique de dégradation compromet non seulement la pérennité des fonctions écologiques de la forêt, mais aussi la stabilité économique et sociale des communautés locales qui en dépendent</w:t>
      </w:r>
      <w:r w:rsidRPr="002462E6">
        <w:rPr>
          <w:rFonts w:ascii="Tahoma" w:eastAsia="Times New Roman" w:hAnsi="Tahoma" w:cs="Tahoma"/>
          <w:sz w:val="24"/>
          <w:szCs w:val="24"/>
          <w:vertAlign w:val="superscript"/>
          <w:lang w:eastAsia="fr-FR"/>
        </w:rPr>
        <w:footnoteReference w:id="445"/>
      </w:r>
      <w:r w:rsidRPr="002462E6">
        <w:rPr>
          <w:rFonts w:ascii="Tahoma" w:eastAsia="Times New Roman" w:hAnsi="Tahoma" w:cs="Tahoma"/>
          <w:sz w:val="24"/>
          <w:szCs w:val="24"/>
          <w:lang w:eastAsia="fr-FR"/>
        </w:rPr>
        <w:t>.</w:t>
      </w:r>
    </w:p>
    <w:p w:rsidR="00712860" w:rsidRPr="002462E6" w:rsidRDefault="00712860" w:rsidP="00712860">
      <w:pPr>
        <w:spacing w:before="100" w:beforeAutospacing="1" w:after="100" w:afterAutospacing="1" w:line="360" w:lineRule="auto"/>
        <w:jc w:val="both"/>
        <w:rPr>
          <w:rFonts w:ascii="Tahoma" w:eastAsia="Times New Roman" w:hAnsi="Tahoma" w:cs="Tahoma"/>
          <w:sz w:val="24"/>
          <w:szCs w:val="24"/>
          <w:lang w:eastAsia="fr-FR"/>
        </w:rPr>
      </w:pPr>
      <w:r w:rsidRPr="002462E6">
        <w:rPr>
          <w:rFonts w:ascii="Tahoma" w:eastAsia="Times New Roman" w:hAnsi="Tahoma" w:cs="Tahoma"/>
          <w:sz w:val="24"/>
          <w:szCs w:val="24"/>
          <w:lang w:eastAsia="fr-FR"/>
        </w:rPr>
        <w:t>En effet, la dégradation résulte d'interactions complexes entre facteurs naturels et anthropiques, se traduisant par des impacts écologiques, économiques et sociaux étroitement imbriqués</w:t>
      </w:r>
      <w:r w:rsidRPr="002462E6">
        <w:rPr>
          <w:rFonts w:ascii="Tahoma" w:eastAsia="Times New Roman" w:hAnsi="Tahoma" w:cs="Tahoma"/>
          <w:sz w:val="24"/>
          <w:szCs w:val="24"/>
          <w:vertAlign w:val="superscript"/>
          <w:lang w:eastAsia="fr-FR"/>
        </w:rPr>
        <w:footnoteReference w:id="446"/>
      </w:r>
      <w:r w:rsidRPr="002462E6">
        <w:rPr>
          <w:rFonts w:ascii="Tahoma" w:eastAsia="Times New Roman" w:hAnsi="Tahoma" w:cs="Tahoma"/>
          <w:sz w:val="24"/>
          <w:szCs w:val="24"/>
          <w:lang w:eastAsia="fr-FR"/>
        </w:rPr>
        <w:t>. Cette sous-section propose d'analyser les manifestations de la dégradation au sein de la forêt de Korifla, en explicitant ses dimensions écologique, économique et sociale, et en examinant les interdépendances qui les unissent.</w:t>
      </w:r>
    </w:p>
    <w:p w:rsidR="00712860" w:rsidRPr="002462E6" w:rsidRDefault="00712860" w:rsidP="00D051D7">
      <w:pPr>
        <w:pStyle w:val="Titre5"/>
        <w:numPr>
          <w:ilvl w:val="0"/>
          <w:numId w:val="88"/>
        </w:numPr>
      </w:pPr>
      <w:bookmarkStart w:id="277" w:name="_Toc201655487"/>
      <w:bookmarkStart w:id="278" w:name="_Toc203643060"/>
      <w:r w:rsidRPr="002462E6">
        <w:t>Les facteurs de dégradation de la forêt de Korifla</w:t>
      </w:r>
      <w:bookmarkEnd w:id="277"/>
      <w:bookmarkEnd w:id="278"/>
    </w:p>
    <w:p w:rsidR="00712860" w:rsidRPr="002462E6" w:rsidRDefault="00712860" w:rsidP="00712860">
      <w:pPr>
        <w:spacing w:before="100" w:beforeAutospacing="1" w:after="100" w:afterAutospacing="1" w:line="360" w:lineRule="auto"/>
        <w:jc w:val="both"/>
        <w:rPr>
          <w:rFonts w:ascii="Tahoma" w:eastAsia="Times New Roman" w:hAnsi="Tahoma" w:cs="Tahoma"/>
          <w:sz w:val="24"/>
          <w:szCs w:val="24"/>
          <w:lang w:eastAsia="fr-FR"/>
        </w:rPr>
      </w:pPr>
      <w:r w:rsidRPr="002462E6">
        <w:rPr>
          <w:rFonts w:ascii="Tahoma" w:eastAsia="Times New Roman" w:hAnsi="Tahoma" w:cs="Tahoma"/>
          <w:sz w:val="24"/>
          <w:szCs w:val="24"/>
          <w:lang w:eastAsia="fr-FR"/>
        </w:rPr>
        <w:t>La compréhension des dynamiques de dégradation de la forêt de Korifla nécessite une analyse systémique des différents facteurs qui contribuent à cette détérioration progressive. Ces facteurs peuvent être classés en deux grandes catégories interdépendantes : les facteurs naturels et climatiques, qui constituent le cadre environnemental dans lequel s'inscrit la dégradation, et les facteurs anthropiques, qui résultent des activités humaines et de leurs interactions avec l'écosystème forestier. Cette distinction, bien qu'analytiquement utile, ne doit pas occulter les interactions complexes et les effets de rétroaction qui caractérisent ces processus de dégradation.</w:t>
      </w:r>
    </w:p>
    <w:p w:rsidR="00712860" w:rsidRPr="002462E6" w:rsidRDefault="00712860" w:rsidP="008D3838">
      <w:pPr>
        <w:pStyle w:val="Titre6"/>
        <w:numPr>
          <w:ilvl w:val="0"/>
          <w:numId w:val="48"/>
        </w:numPr>
      </w:pPr>
      <w:r w:rsidRPr="002462E6">
        <w:t xml:space="preserve"> </w:t>
      </w:r>
      <w:bookmarkStart w:id="279" w:name="_Toc201655488"/>
      <w:bookmarkStart w:id="280" w:name="_Toc203643061"/>
      <w:r w:rsidRPr="002462E6">
        <w:t>Facteurs naturels et climatiques</w:t>
      </w:r>
      <w:bookmarkEnd w:id="279"/>
      <w:bookmarkEnd w:id="280"/>
    </w:p>
    <w:p w:rsidR="00712860" w:rsidRPr="002462E6" w:rsidRDefault="00712860" w:rsidP="00712860">
      <w:pPr>
        <w:spacing w:before="100" w:beforeAutospacing="1" w:after="100" w:afterAutospacing="1" w:line="360" w:lineRule="auto"/>
        <w:jc w:val="both"/>
        <w:rPr>
          <w:rFonts w:ascii="Tahoma" w:eastAsia="Times New Roman" w:hAnsi="Tahoma" w:cs="Tahoma"/>
          <w:sz w:val="24"/>
          <w:szCs w:val="24"/>
          <w:lang w:eastAsia="fr-FR"/>
        </w:rPr>
      </w:pPr>
      <w:r w:rsidRPr="002462E6">
        <w:rPr>
          <w:rFonts w:ascii="Tahoma" w:eastAsia="Times New Roman" w:hAnsi="Tahoma" w:cs="Tahoma"/>
          <w:sz w:val="24"/>
          <w:szCs w:val="24"/>
          <w:lang w:eastAsia="fr-FR"/>
        </w:rPr>
        <w:t>La forêt de Korifla évolue dans un environnement bioclimatique particulièrement contraignant qui constitue le cadre naturel de sa dégradation. Située dans un bioclimat semi-aride à variante tempérée, cette forêt se caractérise par un climat méditerranéen type littoral à semi-continental</w:t>
      </w:r>
      <w:r w:rsidRPr="002462E6">
        <w:rPr>
          <w:rFonts w:ascii="Tahoma" w:eastAsia="Times New Roman" w:hAnsi="Tahoma" w:cs="Tahoma"/>
          <w:sz w:val="24"/>
          <w:szCs w:val="24"/>
          <w:vertAlign w:val="superscript"/>
          <w:lang w:eastAsia="fr-FR"/>
        </w:rPr>
        <w:footnoteReference w:id="447"/>
      </w:r>
      <w:r w:rsidRPr="002462E6">
        <w:rPr>
          <w:rFonts w:ascii="Tahoma" w:eastAsia="Times New Roman" w:hAnsi="Tahoma" w:cs="Tahoma"/>
          <w:sz w:val="24"/>
          <w:szCs w:val="24"/>
          <w:lang w:eastAsia="fr-FR"/>
        </w:rPr>
        <w:t>. Ce contexte climatique, marqué par des conditions thermophiles, favorise le développement d'écosystèmes forestiers et pré-forestiers spécifiques mais fragiles face aux variations environnementales</w:t>
      </w:r>
      <w:r w:rsidRPr="002462E6">
        <w:rPr>
          <w:rFonts w:ascii="Tahoma" w:eastAsia="Times New Roman" w:hAnsi="Tahoma" w:cs="Tahoma"/>
          <w:sz w:val="24"/>
          <w:szCs w:val="24"/>
          <w:vertAlign w:val="superscript"/>
          <w:lang w:eastAsia="fr-FR"/>
        </w:rPr>
        <w:footnoteReference w:id="448"/>
      </w:r>
      <w:r w:rsidRPr="002462E6">
        <w:rPr>
          <w:rFonts w:ascii="Tahoma" w:eastAsia="Times New Roman" w:hAnsi="Tahoma" w:cs="Tahoma"/>
          <w:sz w:val="24"/>
          <w:szCs w:val="24"/>
          <w:lang w:eastAsia="fr-FR"/>
        </w:rPr>
        <w:t>.</w:t>
      </w:r>
    </w:p>
    <w:p w:rsidR="00712860" w:rsidRPr="002462E6" w:rsidRDefault="00712860" w:rsidP="00712860">
      <w:pPr>
        <w:spacing w:before="100" w:beforeAutospacing="1" w:after="100" w:afterAutospacing="1" w:line="360" w:lineRule="auto"/>
        <w:jc w:val="both"/>
        <w:rPr>
          <w:rFonts w:ascii="Tahoma" w:eastAsia="Times New Roman" w:hAnsi="Tahoma" w:cs="Tahoma"/>
          <w:sz w:val="24"/>
          <w:szCs w:val="24"/>
          <w:lang w:eastAsia="fr-FR"/>
        </w:rPr>
      </w:pPr>
      <w:r w:rsidRPr="002462E6">
        <w:rPr>
          <w:rFonts w:ascii="Tahoma" w:eastAsia="Times New Roman" w:hAnsi="Tahoma" w:cs="Tahoma"/>
          <w:sz w:val="24"/>
          <w:szCs w:val="24"/>
          <w:lang w:eastAsia="fr-FR"/>
        </w:rPr>
        <w:t>La diversité des conditions écologiques spatiales et temporelles - conjuguant climat méditerranéen, altitudes variables, expositions diversifiées, roches mères et types de sols hétérogènes - crée un environnement naturellement instable où les formations végétales demeurent vulnérables aux perturbations</w:t>
      </w:r>
      <w:r w:rsidRPr="002462E6">
        <w:rPr>
          <w:rFonts w:ascii="Tahoma" w:eastAsia="Times New Roman" w:hAnsi="Tahoma" w:cs="Tahoma"/>
          <w:sz w:val="24"/>
          <w:szCs w:val="24"/>
          <w:vertAlign w:val="superscript"/>
          <w:lang w:eastAsia="fr-FR"/>
        </w:rPr>
        <w:footnoteReference w:id="449"/>
      </w:r>
      <w:r w:rsidRPr="002462E6">
        <w:rPr>
          <w:rFonts w:ascii="Tahoma" w:eastAsia="Times New Roman" w:hAnsi="Tahoma" w:cs="Tahoma"/>
          <w:sz w:val="24"/>
          <w:szCs w:val="24"/>
          <w:lang w:eastAsia="fr-FR"/>
        </w:rPr>
        <w:t>. Cette variabilité écologique, bien qu'elle constitue un atout pour la biodiversité, représente également un facteur de fragilité intrinsèque des écosystèmes forestiers.</w:t>
      </w:r>
    </w:p>
    <w:p w:rsidR="00712860" w:rsidRPr="002462E6" w:rsidRDefault="00712860" w:rsidP="00712860">
      <w:pPr>
        <w:spacing w:before="100" w:beforeAutospacing="1" w:after="100" w:afterAutospacing="1" w:line="360" w:lineRule="auto"/>
        <w:jc w:val="both"/>
        <w:rPr>
          <w:rFonts w:ascii="Tahoma" w:eastAsia="Calibri" w:hAnsi="Tahoma" w:cs="Tahoma"/>
          <w:sz w:val="24"/>
          <w:szCs w:val="24"/>
        </w:rPr>
      </w:pPr>
      <w:r w:rsidRPr="002462E6">
        <w:rPr>
          <w:rFonts w:ascii="Tahoma" w:eastAsia="Times New Roman" w:hAnsi="Tahoma" w:cs="Tahoma"/>
          <w:sz w:val="24"/>
          <w:szCs w:val="24"/>
          <w:lang w:eastAsia="fr-FR"/>
        </w:rPr>
        <w:t xml:space="preserve">Durant les quatre dernières décennies, le couvert forestier de Korifla a diminué approximativement de 3 120,20 ha comme en témoigne la figure ci-dessous. Cette perte se traduit par une perte d'environ 15,9 % de la surface forestière initiale en 40 ans, soit un taux annuel moyen de déforestation qui peut être estimé à 78,01 </w:t>
      </w:r>
      <w:r w:rsidRPr="002462E6">
        <w:rPr>
          <w:rFonts w:ascii="Tahoma" w:eastAsia="Calibri" w:hAnsi="Tahoma" w:cs="Tahoma"/>
          <w:sz w:val="24"/>
          <w:szCs w:val="24"/>
        </w:rPr>
        <w:t>ha/an</w:t>
      </w:r>
      <w:r w:rsidRPr="002462E6">
        <w:rPr>
          <w:rFonts w:ascii="Tahoma" w:eastAsia="Calibri" w:hAnsi="Tahoma" w:cs="Tahoma"/>
          <w:sz w:val="24"/>
          <w:szCs w:val="24"/>
          <w:vertAlign w:val="superscript"/>
        </w:rPr>
        <w:footnoteReference w:id="450"/>
      </w:r>
      <w:r w:rsidRPr="002462E6">
        <w:rPr>
          <w:rFonts w:ascii="Tahoma" w:eastAsia="Calibri" w:hAnsi="Tahoma" w:cs="Tahoma"/>
          <w:sz w:val="24"/>
          <w:szCs w:val="24"/>
        </w:rPr>
        <w:t>.  Les variations de la superficie forestière par année sont détaillées et présentées dans la figure, ci-dessous.</w:t>
      </w:r>
    </w:p>
    <w:p w:rsidR="007E502F" w:rsidRPr="002462E6" w:rsidRDefault="007E502F">
      <w:pPr>
        <w:rPr>
          <w:rFonts w:ascii="Tahoma" w:eastAsia="Times New Roman" w:hAnsi="Tahoma" w:cs="Tahoma"/>
          <w:b/>
          <w:bCs/>
          <w:sz w:val="20"/>
          <w:szCs w:val="20"/>
        </w:rPr>
      </w:pPr>
      <w:bookmarkStart w:id="281" w:name="_Toc201571206"/>
      <w:r w:rsidRPr="002462E6">
        <w:br w:type="page"/>
      </w:r>
    </w:p>
    <w:p w:rsidR="00AA5E72" w:rsidRPr="002462E6" w:rsidRDefault="00B51C09" w:rsidP="00B51C09">
      <w:pPr>
        <w:pStyle w:val="Sous-titre"/>
        <w:spacing w:after="0"/>
        <w:rPr>
          <w:rFonts w:eastAsia="Calibri"/>
        </w:rPr>
      </w:pPr>
      <w:bookmarkStart w:id="282" w:name="_Toc203642805"/>
      <w:r w:rsidRPr="00B51C09">
        <w:rPr>
          <w:noProof/>
          <w:lang w:eastAsia="fr-FR"/>
        </w:rPr>
        <w:drawing>
          <wp:anchor distT="0" distB="0" distL="114300" distR="114300" simplePos="0" relativeHeight="251791360" behindDoc="0" locked="0" layoutInCell="1" allowOverlap="1" wp14:anchorId="4D9D7C5E" wp14:editId="2DB8FACA">
            <wp:simplePos x="0" y="0"/>
            <wp:positionH relativeFrom="column">
              <wp:posOffset>-3175</wp:posOffset>
            </wp:positionH>
            <wp:positionV relativeFrom="paragraph">
              <wp:posOffset>625475</wp:posOffset>
            </wp:positionV>
            <wp:extent cx="6293485" cy="6530975"/>
            <wp:effectExtent l="0" t="0" r="0" b="3175"/>
            <wp:wrapTopAndBottom/>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293485" cy="6530975"/>
                    </a:xfrm>
                    <a:prstGeom prst="rect">
                      <a:avLst/>
                    </a:prstGeom>
                    <a:noFill/>
                  </pic:spPr>
                </pic:pic>
              </a:graphicData>
            </a:graphic>
            <wp14:sizeRelH relativeFrom="page">
              <wp14:pctWidth>0</wp14:pctWidth>
            </wp14:sizeRelH>
            <wp14:sizeRelV relativeFrom="page">
              <wp14:pctHeight>0</wp14:pctHeight>
            </wp14:sizeRelV>
          </wp:anchor>
        </w:drawing>
      </w:r>
      <w:r w:rsidR="00AA5E72" w:rsidRPr="002462E6">
        <w:t xml:space="preserve">Figure </w:t>
      </w:r>
      <w:r w:rsidR="00225ED1">
        <w:rPr>
          <w:noProof/>
        </w:rPr>
        <w:fldChar w:fldCharType="begin"/>
      </w:r>
      <w:r w:rsidR="00225ED1">
        <w:rPr>
          <w:noProof/>
        </w:rPr>
        <w:instrText xml:space="preserve"> SEQ Figure \* ARABIC </w:instrText>
      </w:r>
      <w:r w:rsidR="00225ED1">
        <w:rPr>
          <w:noProof/>
        </w:rPr>
        <w:fldChar w:fldCharType="separate"/>
      </w:r>
      <w:r w:rsidR="00124AFB">
        <w:rPr>
          <w:noProof/>
        </w:rPr>
        <w:t>13</w:t>
      </w:r>
      <w:r w:rsidR="00225ED1">
        <w:rPr>
          <w:noProof/>
        </w:rPr>
        <w:fldChar w:fldCharType="end"/>
      </w:r>
      <w:r w:rsidR="00AA5E72" w:rsidRPr="002462E6">
        <w:t> </w:t>
      </w:r>
      <w:r w:rsidR="00AA5E72" w:rsidRPr="002462E6">
        <w:rPr>
          <w:rFonts w:eastAsia="Calibri"/>
        </w:rPr>
        <w:t>: Evolution de la dégradation du couvert forestier de Korifla sur la période 1984-2024</w:t>
      </w:r>
      <w:bookmarkEnd w:id="281"/>
      <w:bookmarkEnd w:id="282"/>
    </w:p>
    <w:p w:rsidR="00AA5E72" w:rsidRPr="002462E6" w:rsidRDefault="00AA5E72" w:rsidP="00AA5E72">
      <w:pPr>
        <w:pStyle w:val="Lgende"/>
        <w:keepNext/>
        <w:jc w:val="both"/>
        <w:rPr>
          <w:sz w:val="8"/>
          <w:szCs w:val="8"/>
        </w:rPr>
      </w:pPr>
    </w:p>
    <w:p w:rsidR="00B51C09" w:rsidRDefault="00B51C09" w:rsidP="00B51C09">
      <w:pPr>
        <w:widowControl w:val="0"/>
        <w:autoSpaceDE w:val="0"/>
        <w:autoSpaceDN w:val="0"/>
        <w:spacing w:after="0" w:line="360" w:lineRule="auto"/>
        <w:jc w:val="center"/>
        <w:rPr>
          <w:rFonts w:ascii="Tahoma" w:eastAsia="Times New Roman" w:hAnsi="Tahoma" w:cs="Tahoma"/>
          <w:sz w:val="24"/>
          <w:szCs w:val="20"/>
          <w:lang w:eastAsia="fr-FR"/>
        </w:rPr>
      </w:pPr>
      <w:r w:rsidRPr="001E5503">
        <w:rPr>
          <w:rFonts w:ascii="Tahoma" w:eastAsia="Times New Roman" w:hAnsi="Tahoma" w:cs="Tahoma"/>
          <w:b/>
          <w:bCs/>
          <w:sz w:val="24"/>
          <w:szCs w:val="20"/>
          <w:lang w:eastAsia="fr-FR"/>
        </w:rPr>
        <w:t>Source :</w:t>
      </w:r>
      <w:r w:rsidRPr="001E5503">
        <w:rPr>
          <w:rFonts w:ascii="Tahoma" w:eastAsia="Times New Roman" w:hAnsi="Tahoma" w:cs="Tahoma"/>
          <w:sz w:val="24"/>
          <w:szCs w:val="20"/>
          <w:lang w:eastAsia="fr-FR"/>
        </w:rPr>
        <w:t xml:space="preserve"> </w:t>
      </w:r>
      <w:hyperlink r:id="rId34" w:history="1">
        <w:r w:rsidRPr="009141BF">
          <w:rPr>
            <w:rStyle w:val="Lienhypertexte"/>
            <w:color w:val="auto"/>
            <w:sz w:val="24"/>
            <w:szCs w:val="20"/>
            <w:u w:val="none"/>
            <w:lang w:eastAsia="fr-FR"/>
          </w:rPr>
          <w:t>www.global</w:t>
        </w:r>
      </w:hyperlink>
      <w:r w:rsidRPr="009141BF">
        <w:rPr>
          <w:rFonts w:ascii="Tahoma" w:eastAsia="Times New Roman" w:hAnsi="Tahoma" w:cs="Tahoma"/>
          <w:sz w:val="24"/>
          <w:szCs w:val="20"/>
          <w:lang w:eastAsia="fr-FR"/>
        </w:rPr>
        <w:t xml:space="preserve"> forestwatch</w:t>
      </w:r>
      <w:r>
        <w:rPr>
          <w:rFonts w:ascii="Tahoma" w:eastAsia="Times New Roman" w:hAnsi="Tahoma" w:cs="Tahoma"/>
          <w:sz w:val="24"/>
          <w:szCs w:val="20"/>
          <w:lang w:eastAsia="fr-FR"/>
        </w:rPr>
        <w:t>.org</w:t>
      </w:r>
      <w:r>
        <w:rPr>
          <w:rStyle w:val="Appelnotedebasdep"/>
          <w:rFonts w:eastAsia="Times New Roman" w:cs="Tahoma"/>
          <w:sz w:val="24"/>
          <w:szCs w:val="20"/>
          <w:lang w:eastAsia="fr-FR"/>
        </w:rPr>
        <w:footnoteReference w:id="451"/>
      </w:r>
    </w:p>
    <w:p w:rsidR="00712860" w:rsidRPr="002462E6" w:rsidRDefault="00712860" w:rsidP="00712860">
      <w:pPr>
        <w:spacing w:before="100" w:beforeAutospacing="1" w:after="100" w:afterAutospacing="1" w:line="360" w:lineRule="auto"/>
        <w:jc w:val="both"/>
        <w:rPr>
          <w:rFonts w:ascii="Tahoma" w:eastAsia="Times New Roman" w:hAnsi="Tahoma" w:cs="Tahoma"/>
          <w:sz w:val="24"/>
          <w:szCs w:val="24"/>
          <w:lang w:eastAsia="fr-FR"/>
        </w:rPr>
      </w:pPr>
      <w:r w:rsidRPr="002462E6">
        <w:rPr>
          <w:rFonts w:ascii="Tahoma" w:eastAsia="Times New Roman" w:hAnsi="Tahoma" w:cs="Tahoma"/>
          <w:sz w:val="24"/>
          <w:szCs w:val="24"/>
          <w:lang w:eastAsia="fr-FR"/>
        </w:rPr>
        <w:t xml:space="preserve">La figure, ci-dessus présente quatre cartes de la zone de Korifla, chacune représentant l'étendue du couvert forestier pour une année spécifique (1984, 1994, 2004 et 2024). La surface forestière est indiquée en hectares (ha) pour chaque carte. </w:t>
      </w:r>
    </w:p>
    <w:p w:rsidR="00712860" w:rsidRPr="002462E6" w:rsidRDefault="00712860" w:rsidP="00712860">
      <w:pPr>
        <w:spacing w:before="100" w:beforeAutospacing="1" w:after="100" w:afterAutospacing="1" w:line="360" w:lineRule="auto"/>
        <w:jc w:val="both"/>
        <w:rPr>
          <w:rFonts w:ascii="Tahoma" w:eastAsia="Times New Roman" w:hAnsi="Tahoma" w:cs="Tahoma"/>
          <w:sz w:val="24"/>
          <w:szCs w:val="24"/>
          <w:lang w:eastAsia="fr-FR"/>
        </w:rPr>
      </w:pPr>
      <w:r w:rsidRPr="002462E6">
        <w:rPr>
          <w:rFonts w:ascii="Tahoma" w:eastAsia="Times New Roman" w:hAnsi="Tahoma" w:cs="Tahoma"/>
          <w:sz w:val="24"/>
          <w:szCs w:val="24"/>
          <w:lang w:eastAsia="fr-FR"/>
        </w:rPr>
        <w:t>En 1984 : La carte initiale montre une surface forestière étendue de 19 617,46 ha. C'est la surface la plus importante observée sur les quatre cartes, servant de point de référence pour évaluer la dégradation au fil du temps.</w:t>
      </w:r>
    </w:p>
    <w:p w:rsidR="00712860" w:rsidRPr="002462E6" w:rsidRDefault="00712860" w:rsidP="00712860">
      <w:pPr>
        <w:spacing w:before="100" w:beforeAutospacing="1" w:after="100" w:afterAutospacing="1" w:line="360" w:lineRule="auto"/>
        <w:jc w:val="both"/>
        <w:rPr>
          <w:rFonts w:ascii="Tahoma" w:eastAsia="Times New Roman" w:hAnsi="Tahoma" w:cs="Tahoma"/>
          <w:sz w:val="24"/>
          <w:szCs w:val="24"/>
          <w:lang w:eastAsia="fr-FR"/>
        </w:rPr>
      </w:pPr>
      <w:r w:rsidRPr="002462E6">
        <w:rPr>
          <w:rFonts w:ascii="Tahoma" w:eastAsia="Times New Roman" w:hAnsi="Tahoma" w:cs="Tahoma"/>
          <w:sz w:val="24"/>
          <w:szCs w:val="24"/>
          <w:lang w:eastAsia="fr-FR"/>
        </w:rPr>
        <w:t>En 1994 : On observe une diminution de la superficie forestière à 18 766,99 ha. Cela représente une perte d'environ 850 ha en une décennie. Visuellement, la carte montre une fragmentation accrue du couvert forestier par rapport à 1984, indiquant probablement des zones de déforestation localisées.</w:t>
      </w:r>
    </w:p>
    <w:p w:rsidR="00712860" w:rsidRPr="002462E6" w:rsidRDefault="00712860" w:rsidP="00712860">
      <w:pPr>
        <w:spacing w:before="100" w:beforeAutospacing="1" w:after="100" w:afterAutospacing="1" w:line="360" w:lineRule="auto"/>
        <w:jc w:val="both"/>
        <w:rPr>
          <w:rFonts w:ascii="Tahoma" w:eastAsia="Times New Roman" w:hAnsi="Tahoma" w:cs="Tahoma"/>
          <w:sz w:val="24"/>
          <w:szCs w:val="24"/>
          <w:lang w:eastAsia="fr-FR"/>
        </w:rPr>
      </w:pPr>
      <w:r w:rsidRPr="002462E6">
        <w:rPr>
          <w:rFonts w:ascii="Tahoma" w:eastAsia="Times New Roman" w:hAnsi="Tahoma" w:cs="Tahoma"/>
          <w:sz w:val="24"/>
          <w:szCs w:val="24"/>
          <w:lang w:eastAsia="fr-FR"/>
        </w:rPr>
        <w:t>En 2004 : la surface forestière continue de diminuer, atteignant 17 670,45 ha. La perte par rapport à 1994 est d'environ 1 096 ha. La fragmentation du couvert forestier semble plus prononcée, avec une diminution de la connectivité entre les différentes zones forestières.</w:t>
      </w:r>
    </w:p>
    <w:p w:rsidR="00712860" w:rsidRPr="002462E6" w:rsidRDefault="00712860" w:rsidP="00712860">
      <w:pPr>
        <w:spacing w:before="100" w:beforeAutospacing="1" w:after="100" w:afterAutospacing="1" w:line="360" w:lineRule="auto"/>
        <w:jc w:val="both"/>
        <w:rPr>
          <w:rFonts w:ascii="Tahoma" w:eastAsia="Times New Roman" w:hAnsi="Tahoma" w:cs="Tahoma"/>
          <w:sz w:val="24"/>
          <w:szCs w:val="24"/>
          <w:lang w:eastAsia="fr-FR"/>
        </w:rPr>
      </w:pPr>
      <w:r w:rsidRPr="002462E6">
        <w:rPr>
          <w:rFonts w:ascii="Tahoma" w:eastAsia="Times New Roman" w:hAnsi="Tahoma" w:cs="Tahoma"/>
          <w:sz w:val="24"/>
          <w:szCs w:val="24"/>
          <w:lang w:eastAsia="fr-FR"/>
        </w:rPr>
        <w:t>En 2024 : La dernière carte indique une superficie forestière de 16 497,26 ha, la plus faible des quatre années. Ceci représente une perte supplémentaire d'environ 1 173 ha par rapport à 2004. La fragmentation du couvert est encore plus marquée, avec des zones forestières réduites à des îlots isolés dans un paysage plus largement déboisé.</w:t>
      </w:r>
    </w:p>
    <w:p w:rsidR="00712860" w:rsidRPr="002462E6" w:rsidRDefault="00712860" w:rsidP="00712860">
      <w:pPr>
        <w:spacing w:before="100" w:beforeAutospacing="1" w:after="100" w:afterAutospacing="1" w:line="360" w:lineRule="auto"/>
        <w:jc w:val="both"/>
        <w:rPr>
          <w:rFonts w:ascii="Tahoma" w:eastAsia="Times New Roman" w:hAnsi="Tahoma" w:cs="Tahoma"/>
          <w:sz w:val="24"/>
          <w:szCs w:val="24"/>
          <w:lang w:eastAsia="fr-FR"/>
        </w:rPr>
      </w:pPr>
      <w:r w:rsidRPr="002462E6">
        <w:rPr>
          <w:rFonts w:ascii="Tahoma" w:eastAsia="Times New Roman" w:hAnsi="Tahoma" w:cs="Tahoma"/>
          <w:sz w:val="24"/>
          <w:szCs w:val="24"/>
          <w:lang w:eastAsia="fr-FR"/>
        </w:rPr>
        <w:t>Une diminution de la superficie forestière globale traduit une réduction des services écosystémiques associés, tels que la séquestration du carbone, la régulation des ressources en eau, la conservation de la biodiversité et la protection des sols.</w:t>
      </w:r>
    </w:p>
    <w:p w:rsidR="00712860" w:rsidRPr="00236D1C" w:rsidRDefault="009141BF" w:rsidP="009141BF">
      <w:pPr>
        <w:spacing w:before="100" w:beforeAutospacing="1" w:after="100" w:afterAutospacing="1" w:line="360" w:lineRule="auto"/>
        <w:rPr>
          <w:rFonts w:ascii="Tahoma" w:eastAsia="Times New Roman" w:hAnsi="Tahoma" w:cs="Tahoma"/>
          <w:lang w:eastAsia="fr-FR"/>
        </w:rPr>
      </w:pPr>
      <w:r>
        <w:rPr>
          <w:rFonts w:ascii="Tahoma" w:eastAsia="Times New Roman" w:hAnsi="Tahoma" w:cs="Tahoma"/>
          <w:sz w:val="24"/>
          <w:szCs w:val="24"/>
          <w:lang w:eastAsia="fr-FR"/>
        </w:rPr>
        <w:t>La</w:t>
      </w:r>
      <w:r w:rsidR="00712860" w:rsidRPr="002462E6">
        <w:rPr>
          <w:rFonts w:ascii="Tahoma" w:eastAsia="Times New Roman" w:hAnsi="Tahoma" w:cs="Tahoma"/>
          <w:sz w:val="24"/>
          <w:szCs w:val="24"/>
          <w:lang w:eastAsia="fr-FR"/>
        </w:rPr>
        <w:t xml:space="preserve"> fragmentation du couvert forestier peut entraîner une perte de connectivité entre les populations animales et végétales, limitant leur capacité à migrer et à se reproduire, ce qui</w:t>
      </w:r>
      <w:r w:rsidR="00D22DF4" w:rsidRPr="002462E6">
        <w:rPr>
          <w:rFonts w:ascii="Tahoma" w:eastAsia="Times New Roman" w:hAnsi="Tahoma" w:cs="Tahoma"/>
          <w:sz w:val="24"/>
          <w:szCs w:val="24"/>
          <w:lang w:eastAsia="fr-FR"/>
        </w:rPr>
        <w:t xml:space="preserve"> peut affecter la biodiversité.</w:t>
      </w:r>
      <w:r w:rsidR="00712860" w:rsidRPr="002462E6">
        <w:rPr>
          <w:rFonts w:ascii="Tahoma" w:eastAsia="Times New Roman" w:hAnsi="Tahoma" w:cs="Tahoma"/>
          <w:sz w:val="24"/>
          <w:szCs w:val="24"/>
          <w:lang w:eastAsia="fr-FR"/>
        </w:rPr>
        <w:br w:type="page"/>
      </w:r>
      <w:bookmarkStart w:id="283" w:name="_Toc201655489"/>
      <w:r w:rsidR="00712860" w:rsidRPr="00236D1C">
        <w:rPr>
          <w:rFonts w:ascii="Tahoma" w:hAnsi="Tahoma" w:cs="Tahoma"/>
          <w:sz w:val="24"/>
          <w:szCs w:val="24"/>
        </w:rPr>
        <w:t>Contraintes topographiques et édaphiques :</w:t>
      </w:r>
      <w:bookmarkEnd w:id="283"/>
      <w:r w:rsidR="00712860" w:rsidRPr="00236D1C">
        <w:rPr>
          <w:sz w:val="20"/>
          <w:szCs w:val="20"/>
        </w:rPr>
        <w:t xml:space="preserve"> </w:t>
      </w:r>
    </w:p>
    <w:p w:rsidR="00712860" w:rsidRPr="002462E6" w:rsidRDefault="00712860" w:rsidP="00D051D7">
      <w:pPr>
        <w:widowControl w:val="0"/>
        <w:numPr>
          <w:ilvl w:val="0"/>
          <w:numId w:val="90"/>
        </w:numPr>
        <w:autoSpaceDE w:val="0"/>
        <w:autoSpaceDN w:val="0"/>
        <w:spacing w:before="100" w:beforeAutospacing="1" w:after="100" w:afterAutospacing="1" w:line="240" w:lineRule="auto"/>
        <w:jc w:val="both"/>
        <w:rPr>
          <w:rFonts w:ascii="Tahoma" w:eastAsia="Times New Roman" w:hAnsi="Tahoma" w:cs="Tahoma"/>
          <w:sz w:val="24"/>
          <w:szCs w:val="24"/>
          <w:lang w:eastAsia="fr-FR"/>
        </w:rPr>
      </w:pPr>
      <w:r w:rsidRPr="002462E6">
        <w:rPr>
          <w:rFonts w:ascii="Tahoma" w:eastAsia="Times New Roman" w:hAnsi="Tahoma" w:cs="Tahoma"/>
          <w:b/>
          <w:bCs/>
          <w:sz w:val="24"/>
          <w:szCs w:val="24"/>
          <w:lang w:eastAsia="fr-FR"/>
        </w:rPr>
        <w:t>Relief et exposition</w:t>
      </w:r>
    </w:p>
    <w:p w:rsidR="00712860" w:rsidRPr="002462E6" w:rsidRDefault="00712860" w:rsidP="00974172">
      <w:pPr>
        <w:spacing w:before="100" w:beforeAutospacing="1" w:after="100" w:afterAutospacing="1" w:line="360" w:lineRule="auto"/>
        <w:jc w:val="both"/>
        <w:rPr>
          <w:rFonts w:ascii="Tahoma" w:eastAsia="Times New Roman" w:hAnsi="Tahoma" w:cs="Tahoma"/>
          <w:sz w:val="24"/>
          <w:szCs w:val="24"/>
          <w:lang w:eastAsia="fr-FR"/>
        </w:rPr>
      </w:pPr>
      <w:r w:rsidRPr="002462E6">
        <w:rPr>
          <w:rFonts w:ascii="Tahoma" w:eastAsia="Times New Roman" w:hAnsi="Tahoma" w:cs="Tahoma"/>
          <w:sz w:val="24"/>
          <w:szCs w:val="24"/>
          <w:lang w:eastAsia="fr-FR"/>
        </w:rPr>
        <w:t>Le relief de la forêt de Korifla présente des caractéristiques topographiques qui influencent directement les processus de dégradation. Les altitudes, généralement inférieures à 500 mètres, se répartissent principalement dans les tranches de 100 à 300 mètres, couvrant 63% de la série de thuya</w:t>
      </w:r>
      <w:r w:rsidRPr="002462E6">
        <w:rPr>
          <w:rFonts w:ascii="Tahoma" w:eastAsia="Times New Roman" w:hAnsi="Tahoma" w:cs="Tahoma"/>
          <w:sz w:val="24"/>
          <w:szCs w:val="24"/>
          <w:vertAlign w:val="superscript"/>
          <w:lang w:eastAsia="fr-FR"/>
        </w:rPr>
        <w:footnoteReference w:id="452"/>
      </w:r>
      <w:r w:rsidRPr="002462E6">
        <w:rPr>
          <w:rFonts w:ascii="Tahoma" w:eastAsia="Times New Roman" w:hAnsi="Tahoma" w:cs="Tahoma"/>
          <w:sz w:val="24"/>
          <w:szCs w:val="24"/>
          <w:lang w:eastAsia="fr-FR"/>
        </w:rPr>
        <w:t>. Les classes de pentes dominantes oscillent entre 15 et 30%, suivies par les pentes faibles (0-15%) représentant 37% et 27% respectivement de l'étendue forestière (</w:t>
      </w:r>
      <w:r w:rsidRPr="002462E6">
        <w:rPr>
          <w:rFonts w:ascii="Tahoma" w:eastAsia="Times New Roman" w:hAnsi="Tahoma" w:cs="Tahoma"/>
          <w:b/>
          <w:bCs/>
          <w:sz w:val="24"/>
          <w:szCs w:val="24"/>
          <w:lang w:eastAsia="fr-FR"/>
        </w:rPr>
        <w:t>carte </w:t>
      </w:r>
      <w:r w:rsidR="00974172" w:rsidRPr="002462E6">
        <w:rPr>
          <w:rFonts w:ascii="Tahoma" w:eastAsia="Times New Roman" w:hAnsi="Tahoma" w:cs="Tahoma"/>
          <w:b/>
          <w:bCs/>
          <w:sz w:val="24"/>
          <w:szCs w:val="24"/>
          <w:lang w:eastAsia="fr-FR"/>
        </w:rPr>
        <w:t>N° 8</w:t>
      </w:r>
      <w:r w:rsidRPr="002462E6">
        <w:rPr>
          <w:rFonts w:ascii="Tahoma" w:eastAsia="Times New Roman" w:hAnsi="Tahoma" w:cs="Tahoma"/>
          <w:sz w:val="24"/>
          <w:szCs w:val="24"/>
          <w:lang w:eastAsia="fr-FR"/>
        </w:rPr>
        <w:t>)</w:t>
      </w:r>
      <w:r w:rsidRPr="002462E6">
        <w:rPr>
          <w:rFonts w:ascii="Tahoma" w:eastAsia="Times New Roman" w:hAnsi="Tahoma" w:cs="Tahoma"/>
          <w:sz w:val="24"/>
          <w:szCs w:val="24"/>
          <w:vertAlign w:val="superscript"/>
          <w:lang w:eastAsia="fr-FR"/>
        </w:rPr>
        <w:footnoteReference w:id="453"/>
      </w:r>
      <w:r w:rsidRPr="002462E6">
        <w:rPr>
          <w:rFonts w:ascii="Tahoma" w:eastAsia="Times New Roman" w:hAnsi="Tahoma" w:cs="Tahoma"/>
          <w:sz w:val="24"/>
          <w:szCs w:val="24"/>
          <w:lang w:eastAsia="fr-FR"/>
        </w:rPr>
        <w:t>.</w:t>
      </w:r>
    </w:p>
    <w:p w:rsidR="00724A66" w:rsidRPr="002462E6" w:rsidRDefault="00724A66">
      <w:pPr>
        <w:rPr>
          <w:rFonts w:ascii="Tahoma" w:eastAsia="Times New Roman" w:hAnsi="Tahoma" w:cstheme="majorBidi"/>
          <w:b/>
          <w:iCs/>
          <w:noProof/>
          <w:color w:val="000000" w:themeColor="text1"/>
          <w:spacing w:val="15"/>
          <w:sz w:val="20"/>
          <w:szCs w:val="24"/>
          <w:lang w:eastAsia="fr-FR"/>
        </w:rPr>
      </w:pPr>
      <w:r w:rsidRPr="002462E6">
        <w:br w:type="page"/>
      </w:r>
    </w:p>
    <w:p w:rsidR="00724A66" w:rsidRPr="002462E6" w:rsidRDefault="00724A66" w:rsidP="000D57A1">
      <w:pPr>
        <w:pStyle w:val="Sous-titre"/>
      </w:pPr>
      <w:bookmarkStart w:id="284" w:name="_Toc201571259"/>
      <w:bookmarkStart w:id="285" w:name="_Toc203642682"/>
      <w:r w:rsidRPr="002462E6">
        <w:t xml:space="preserve">Carte </w:t>
      </w:r>
      <w:r w:rsidR="00225ED1">
        <w:rPr>
          <w:noProof/>
        </w:rPr>
        <w:fldChar w:fldCharType="begin"/>
      </w:r>
      <w:r w:rsidR="00225ED1">
        <w:rPr>
          <w:noProof/>
        </w:rPr>
        <w:instrText xml:space="preserve"> SEQ Carte \* ARABIC </w:instrText>
      </w:r>
      <w:r w:rsidR="00225ED1">
        <w:rPr>
          <w:noProof/>
        </w:rPr>
        <w:fldChar w:fldCharType="separate"/>
      </w:r>
      <w:r w:rsidR="00124AFB">
        <w:rPr>
          <w:noProof/>
        </w:rPr>
        <w:t>8</w:t>
      </w:r>
      <w:r w:rsidR="00225ED1">
        <w:rPr>
          <w:noProof/>
        </w:rPr>
        <w:fldChar w:fldCharType="end"/>
      </w:r>
      <w:r w:rsidR="00EC5E5B" w:rsidRPr="002462E6">
        <w:t xml:space="preserve"> </w:t>
      </w:r>
      <w:r w:rsidRPr="002462E6">
        <w:t>: Carte des altitudes de la forêt de Korifla</w:t>
      </w:r>
      <w:bookmarkEnd w:id="284"/>
      <w:bookmarkEnd w:id="285"/>
    </w:p>
    <w:p w:rsidR="00712860" w:rsidRPr="002462E6" w:rsidRDefault="00712860" w:rsidP="00712860">
      <w:pPr>
        <w:spacing w:before="100" w:beforeAutospacing="1" w:after="100" w:afterAutospacing="1" w:line="360" w:lineRule="auto"/>
        <w:jc w:val="center"/>
        <w:rPr>
          <w:rFonts w:ascii="Times New Roman" w:eastAsia="Times New Roman" w:hAnsi="Times New Roman" w:cs="Times New Roman"/>
          <w:noProof/>
          <w:sz w:val="24"/>
          <w:szCs w:val="24"/>
          <w:lang w:eastAsia="fr-FR"/>
        </w:rPr>
      </w:pPr>
      <w:r w:rsidRPr="002462E6">
        <w:rPr>
          <w:rFonts w:ascii="Times New Roman" w:eastAsia="Times New Roman" w:hAnsi="Times New Roman" w:cs="Times New Roman"/>
          <w:noProof/>
          <w:sz w:val="24"/>
          <w:szCs w:val="24"/>
          <w:lang w:eastAsia="fr-FR"/>
        </w:rPr>
        <w:drawing>
          <wp:inline distT="0" distB="0" distL="0" distR="0" wp14:anchorId="2C79ECA7" wp14:editId="5C789144">
            <wp:extent cx="6188209" cy="7639050"/>
            <wp:effectExtent l="0" t="0" r="3175" b="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6197088" cy="7650011"/>
                    </a:xfrm>
                    <a:prstGeom prst="rect">
                      <a:avLst/>
                    </a:prstGeom>
                    <a:noFill/>
                  </pic:spPr>
                </pic:pic>
              </a:graphicData>
            </a:graphic>
          </wp:inline>
        </w:drawing>
      </w:r>
    </w:p>
    <w:p w:rsidR="00712860" w:rsidRPr="002462E6" w:rsidRDefault="00712860" w:rsidP="00712860">
      <w:pPr>
        <w:spacing w:before="100" w:beforeAutospacing="1" w:after="100" w:afterAutospacing="1" w:line="360" w:lineRule="auto"/>
        <w:jc w:val="center"/>
        <w:rPr>
          <w:rFonts w:ascii="Tahoma" w:eastAsia="Times New Roman" w:hAnsi="Tahoma" w:cs="Tahoma"/>
          <w:sz w:val="20"/>
          <w:szCs w:val="20"/>
          <w:lang w:eastAsia="fr-FR"/>
        </w:rPr>
      </w:pPr>
      <w:r w:rsidRPr="002462E6">
        <w:rPr>
          <w:rFonts w:ascii="Tahoma" w:eastAsia="Times New Roman" w:hAnsi="Tahoma" w:cs="Tahoma"/>
          <w:b/>
          <w:bCs/>
          <w:sz w:val="20"/>
          <w:szCs w:val="20"/>
          <w:lang w:eastAsia="fr-FR"/>
        </w:rPr>
        <w:t>Source</w:t>
      </w:r>
      <w:r w:rsidRPr="002462E6">
        <w:rPr>
          <w:rFonts w:ascii="Tahoma" w:eastAsia="Times New Roman" w:hAnsi="Tahoma" w:cs="Tahoma"/>
          <w:sz w:val="20"/>
          <w:szCs w:val="20"/>
          <w:lang w:eastAsia="fr-FR"/>
        </w:rPr>
        <w:t> : procès d’aménagement de la forêt de Korifla 2017</w:t>
      </w:r>
    </w:p>
    <w:p w:rsidR="00712860" w:rsidRPr="002462E6" w:rsidRDefault="00712860" w:rsidP="00712860">
      <w:pPr>
        <w:spacing w:before="100" w:beforeAutospacing="1" w:after="100" w:afterAutospacing="1" w:line="360" w:lineRule="auto"/>
        <w:jc w:val="both"/>
        <w:rPr>
          <w:rFonts w:ascii="Times New Roman" w:eastAsia="Times New Roman" w:hAnsi="Times New Roman" w:cs="Times New Roman"/>
          <w:sz w:val="24"/>
          <w:szCs w:val="24"/>
          <w:lang w:eastAsia="fr-FR"/>
        </w:rPr>
      </w:pPr>
      <w:r w:rsidRPr="002462E6">
        <w:rPr>
          <w:rFonts w:ascii="Times New Roman" w:eastAsia="Times New Roman" w:hAnsi="Times New Roman" w:cs="Times New Roman"/>
          <w:sz w:val="24"/>
          <w:szCs w:val="24"/>
          <w:lang w:eastAsia="fr-FR"/>
        </w:rPr>
        <w:t>Cette configuration topographique génère une vulnérabilité particulière aux processus érosifs, notamment au niveau des fortes pentes (supérieures à 30%) qui représentent environ 36% de la superficie de la série de thuya⁶. La diversité des expositions accentue l'hétérogénéité des conditions microclimatiques, créant des zones de déficit hydrique différentiel qui fragilisent la cohésion des peuplements forestiers</w:t>
      </w:r>
      <w:r w:rsidRPr="002462E6">
        <w:rPr>
          <w:rFonts w:ascii="Times New Roman" w:eastAsia="Times New Roman" w:hAnsi="Times New Roman" w:cs="Times New Roman"/>
          <w:sz w:val="24"/>
          <w:szCs w:val="24"/>
          <w:vertAlign w:val="superscript"/>
          <w:lang w:eastAsia="fr-FR"/>
        </w:rPr>
        <w:footnoteReference w:id="454"/>
      </w:r>
      <w:r w:rsidRPr="002462E6">
        <w:rPr>
          <w:rFonts w:ascii="Times New Roman" w:eastAsia="Times New Roman" w:hAnsi="Times New Roman" w:cs="Times New Roman"/>
          <w:sz w:val="24"/>
          <w:szCs w:val="24"/>
          <w:lang w:eastAsia="fr-FR"/>
        </w:rPr>
        <w:t>.</w:t>
      </w:r>
    </w:p>
    <w:p w:rsidR="00712860" w:rsidRPr="002462E6" w:rsidRDefault="00712860" w:rsidP="00D051D7">
      <w:pPr>
        <w:widowControl w:val="0"/>
        <w:numPr>
          <w:ilvl w:val="1"/>
          <w:numId w:val="89"/>
        </w:numPr>
        <w:autoSpaceDE w:val="0"/>
        <w:autoSpaceDN w:val="0"/>
        <w:spacing w:before="100" w:beforeAutospacing="1" w:after="100" w:afterAutospacing="1" w:line="360" w:lineRule="auto"/>
        <w:jc w:val="both"/>
        <w:rPr>
          <w:rFonts w:ascii="Tahoma" w:eastAsia="Times New Roman" w:hAnsi="Tahoma" w:cs="Tahoma"/>
          <w:sz w:val="24"/>
          <w:szCs w:val="24"/>
          <w:lang w:eastAsia="fr-FR"/>
        </w:rPr>
      </w:pPr>
      <w:r w:rsidRPr="002462E6">
        <w:rPr>
          <w:rFonts w:ascii="Tahoma" w:eastAsia="Times New Roman" w:hAnsi="Tahoma" w:cs="Tahoma"/>
          <w:b/>
          <w:bCs/>
          <w:sz w:val="24"/>
          <w:szCs w:val="24"/>
          <w:lang w:eastAsia="fr-FR"/>
        </w:rPr>
        <w:t>Substrat géologique et sols</w:t>
      </w:r>
    </w:p>
    <w:p w:rsidR="00712860" w:rsidRPr="002462E6" w:rsidRDefault="00712860" w:rsidP="00712860">
      <w:pPr>
        <w:spacing w:before="100" w:beforeAutospacing="1" w:after="100" w:afterAutospacing="1" w:line="360" w:lineRule="auto"/>
        <w:jc w:val="both"/>
        <w:rPr>
          <w:rFonts w:ascii="Tahoma" w:eastAsia="Times New Roman" w:hAnsi="Tahoma" w:cs="Tahoma"/>
          <w:sz w:val="24"/>
          <w:szCs w:val="24"/>
          <w:lang w:eastAsia="fr-FR"/>
        </w:rPr>
      </w:pPr>
      <w:r w:rsidRPr="002462E6">
        <w:rPr>
          <w:rFonts w:ascii="Tahoma" w:eastAsia="Times New Roman" w:hAnsi="Tahoma" w:cs="Tahoma"/>
          <w:sz w:val="24"/>
          <w:szCs w:val="24"/>
          <w:lang w:eastAsia="fr-FR"/>
        </w:rPr>
        <w:t>La diversité du substrat géologique sur lequel se développent les formations forestières contribue à l'instabilité naturelle des écosystèmes</w:t>
      </w:r>
      <w:r w:rsidRPr="002462E6">
        <w:rPr>
          <w:rFonts w:ascii="Tahoma" w:eastAsia="Times New Roman" w:hAnsi="Tahoma" w:cs="Tahoma"/>
          <w:sz w:val="24"/>
          <w:szCs w:val="24"/>
          <w:vertAlign w:val="superscript"/>
          <w:lang w:eastAsia="fr-FR"/>
        </w:rPr>
        <w:footnoteReference w:id="455"/>
      </w:r>
      <w:r w:rsidRPr="002462E6">
        <w:rPr>
          <w:rFonts w:ascii="Tahoma" w:eastAsia="Times New Roman" w:hAnsi="Tahoma" w:cs="Tahoma"/>
          <w:sz w:val="24"/>
          <w:szCs w:val="24"/>
          <w:lang w:eastAsia="fr-FR"/>
        </w:rPr>
        <w:t>. Cette hétérogénéité géologique, combinée aux variations topographiques, génère une mosaïque de conditions édaphiques qui limitent l'homogénéité et la stabilité des peuplements forestiers.</w:t>
      </w:r>
    </w:p>
    <w:p w:rsidR="00712860" w:rsidRPr="002462E6" w:rsidRDefault="00712860" w:rsidP="00C23CB8">
      <w:pPr>
        <w:pStyle w:val="Titre7"/>
      </w:pPr>
      <w:r w:rsidRPr="002462E6">
        <w:t xml:space="preserve"> </w:t>
      </w:r>
      <w:bookmarkStart w:id="286" w:name="_Toc201655490"/>
      <w:bookmarkStart w:id="287" w:name="_Toc203643062"/>
      <w:r w:rsidRPr="002462E6">
        <w:t>Déficit hydrique et régime pluviométrique</w:t>
      </w:r>
      <w:bookmarkEnd w:id="286"/>
      <w:bookmarkEnd w:id="287"/>
    </w:p>
    <w:p w:rsidR="00712860" w:rsidRPr="002462E6" w:rsidRDefault="00712860" w:rsidP="00712860">
      <w:pPr>
        <w:spacing w:before="100" w:beforeAutospacing="1" w:after="100" w:afterAutospacing="1" w:line="360" w:lineRule="auto"/>
        <w:jc w:val="both"/>
        <w:rPr>
          <w:rFonts w:ascii="Tahoma" w:eastAsia="Times New Roman" w:hAnsi="Tahoma" w:cs="Tahoma"/>
          <w:sz w:val="24"/>
          <w:szCs w:val="24"/>
          <w:lang w:eastAsia="fr-FR"/>
        </w:rPr>
      </w:pPr>
      <w:r w:rsidRPr="002462E6">
        <w:rPr>
          <w:rFonts w:ascii="Tahoma" w:eastAsia="Times New Roman" w:hAnsi="Tahoma" w:cs="Tahoma"/>
          <w:sz w:val="24"/>
          <w:szCs w:val="24"/>
          <w:lang w:eastAsia="fr-FR"/>
        </w:rPr>
        <w:t>Le régime pluviométrique constitue le facteur limitant principal dans la dynamique forestière de Korifla. Le climat semi-aride se caractérise par une irrégularité marquée des précipitations et des épisodes récurrents de sécheresse qui compromettent la capacité de régénération naturelle des peuplements</w:t>
      </w:r>
      <w:r w:rsidRPr="002462E6">
        <w:rPr>
          <w:rFonts w:ascii="Tahoma" w:eastAsia="Times New Roman" w:hAnsi="Tahoma" w:cs="Tahoma"/>
          <w:sz w:val="24"/>
          <w:szCs w:val="24"/>
          <w:vertAlign w:val="superscript"/>
          <w:lang w:eastAsia="fr-FR"/>
        </w:rPr>
        <w:footnoteReference w:id="456"/>
      </w:r>
      <w:r w:rsidRPr="002462E6">
        <w:rPr>
          <w:rFonts w:ascii="Tahoma" w:eastAsia="Times New Roman" w:hAnsi="Tahoma" w:cs="Tahoma"/>
          <w:sz w:val="24"/>
          <w:szCs w:val="24"/>
          <w:lang w:eastAsia="fr-FR"/>
        </w:rPr>
        <w:t>. Cette contrainte hydrique structurelle affecte particulièrement la vitalité des formations de thuya, essence pourtant adaptée aux conditions méditerranéennes.</w:t>
      </w:r>
    </w:p>
    <w:p w:rsidR="00712860" w:rsidRPr="002462E6" w:rsidRDefault="00712860" w:rsidP="00712860">
      <w:pPr>
        <w:spacing w:before="100" w:beforeAutospacing="1" w:after="100" w:afterAutospacing="1" w:line="360" w:lineRule="auto"/>
        <w:jc w:val="both"/>
        <w:rPr>
          <w:rFonts w:ascii="Tahoma" w:eastAsia="Times New Roman" w:hAnsi="Tahoma" w:cs="Tahoma"/>
          <w:sz w:val="24"/>
          <w:szCs w:val="24"/>
          <w:lang w:eastAsia="fr-FR"/>
        </w:rPr>
      </w:pPr>
      <w:r w:rsidRPr="002462E6">
        <w:rPr>
          <w:rFonts w:ascii="Tahoma" w:eastAsia="Times New Roman" w:hAnsi="Tahoma" w:cs="Tahoma"/>
          <w:sz w:val="24"/>
          <w:szCs w:val="24"/>
          <w:lang w:eastAsia="fr-FR"/>
        </w:rPr>
        <w:t>L'analyse des données dendrométriques révèle l'impact de ce stress hydrique sur la structure des peuplements. Les formations de thuya du groupe de régénération présentent une densité moyenne de seulement 82 tiges/ha, 41,6 brins/ha et 4 357,8 dm³/ha</w:t>
      </w:r>
      <w:r w:rsidRPr="002462E6">
        <w:rPr>
          <w:rFonts w:ascii="Tahoma" w:eastAsia="Times New Roman" w:hAnsi="Tahoma" w:cs="Tahoma"/>
          <w:sz w:val="24"/>
          <w:szCs w:val="24"/>
          <w:vertAlign w:val="superscript"/>
          <w:lang w:eastAsia="fr-FR"/>
        </w:rPr>
        <w:footnoteReference w:id="457"/>
      </w:r>
      <w:r w:rsidRPr="002462E6">
        <w:rPr>
          <w:rFonts w:ascii="Tahoma" w:eastAsia="Times New Roman" w:hAnsi="Tahoma" w:cs="Tahoma"/>
          <w:sz w:val="24"/>
          <w:szCs w:val="24"/>
          <w:lang w:eastAsia="fr-FR"/>
        </w:rPr>
        <w:t>, témoignant d'une capacité de charge limitée de l'environnement. Même dans le groupe de conservation, considéré comme plus stable, la densité ne dépasse pas 122,5 tiges/ha, 88,9 brins/ha et 8 120,8 dm³/ha</w:t>
      </w:r>
      <w:r w:rsidRPr="002462E6">
        <w:rPr>
          <w:rFonts w:ascii="Tahoma" w:eastAsia="Times New Roman" w:hAnsi="Tahoma" w:cs="Tahoma"/>
          <w:sz w:val="24"/>
          <w:szCs w:val="24"/>
          <w:vertAlign w:val="superscript"/>
          <w:lang w:eastAsia="fr-FR"/>
        </w:rPr>
        <w:footnoteReference w:id="458"/>
      </w:r>
      <w:r w:rsidRPr="002462E6">
        <w:rPr>
          <w:rFonts w:ascii="Tahoma" w:eastAsia="Times New Roman" w:hAnsi="Tahoma" w:cs="Tahoma"/>
          <w:sz w:val="24"/>
          <w:szCs w:val="24"/>
          <w:lang w:eastAsia="fr-FR"/>
        </w:rPr>
        <w:t>.</w:t>
      </w:r>
    </w:p>
    <w:p w:rsidR="00712860" w:rsidRPr="002462E6" w:rsidRDefault="00712860" w:rsidP="00712860">
      <w:pPr>
        <w:spacing w:before="100" w:beforeAutospacing="1" w:after="100" w:afterAutospacing="1" w:line="360" w:lineRule="auto"/>
        <w:jc w:val="both"/>
        <w:rPr>
          <w:rFonts w:ascii="Tahoma" w:eastAsia="Times New Roman" w:hAnsi="Tahoma" w:cs="Tahoma"/>
          <w:sz w:val="24"/>
          <w:szCs w:val="24"/>
          <w:lang w:eastAsia="fr-FR"/>
        </w:rPr>
      </w:pPr>
      <w:r w:rsidRPr="002462E6">
        <w:rPr>
          <w:rFonts w:ascii="Tahoma" w:eastAsia="Times New Roman" w:hAnsi="Tahoma" w:cs="Tahoma"/>
          <w:sz w:val="24"/>
          <w:szCs w:val="24"/>
          <w:lang w:eastAsia="fr-FR"/>
        </w:rPr>
        <w:t>La forêt de Korifla s'inscrit dans le grand bassin versant de l'oued Grou et constitue une partie intégrante du bassin versant de l'Oued Bouregreg en amont du barrage Sidi Mohamed Ben Abdellah</w:t>
      </w:r>
      <w:r w:rsidRPr="002462E6">
        <w:rPr>
          <w:rFonts w:ascii="Tahoma" w:eastAsia="Times New Roman" w:hAnsi="Tahoma" w:cs="Tahoma"/>
          <w:sz w:val="24"/>
          <w:szCs w:val="24"/>
          <w:vertAlign w:val="superscript"/>
          <w:lang w:eastAsia="fr-FR"/>
        </w:rPr>
        <w:footnoteReference w:id="459"/>
      </w:r>
      <w:r w:rsidRPr="002462E6">
        <w:rPr>
          <w:rFonts w:ascii="Tahoma" w:eastAsia="Times New Roman" w:hAnsi="Tahoma" w:cs="Tahoma"/>
          <w:sz w:val="24"/>
          <w:szCs w:val="24"/>
          <w:lang w:eastAsia="fr-FR"/>
        </w:rPr>
        <w:t>.  Le réseau hydrographique local comprend plusieurs cours d'eau aux régimes contrastés (carte ?) :</w:t>
      </w:r>
    </w:p>
    <w:p w:rsidR="00712860" w:rsidRPr="002462E6" w:rsidRDefault="00712860" w:rsidP="00D051D7">
      <w:pPr>
        <w:numPr>
          <w:ilvl w:val="0"/>
          <w:numId w:val="38"/>
        </w:numPr>
        <w:spacing w:before="100" w:beforeAutospacing="1" w:after="100" w:afterAutospacing="1" w:line="360" w:lineRule="auto"/>
        <w:jc w:val="both"/>
        <w:rPr>
          <w:rFonts w:ascii="Tahoma" w:eastAsia="Times New Roman" w:hAnsi="Tahoma" w:cs="Tahoma"/>
          <w:sz w:val="24"/>
          <w:szCs w:val="24"/>
          <w:lang w:eastAsia="fr-FR"/>
        </w:rPr>
      </w:pPr>
      <w:r w:rsidRPr="002462E6">
        <w:rPr>
          <w:rFonts w:ascii="Tahoma" w:eastAsia="Times New Roman" w:hAnsi="Tahoma" w:cs="Tahoma"/>
          <w:b/>
          <w:bCs/>
          <w:sz w:val="24"/>
          <w:szCs w:val="24"/>
          <w:lang w:eastAsia="fr-FR"/>
        </w:rPr>
        <w:t>Oued Korifla</w:t>
      </w:r>
      <w:r w:rsidRPr="002462E6">
        <w:rPr>
          <w:rFonts w:ascii="Tahoma" w:eastAsia="Times New Roman" w:hAnsi="Tahoma" w:cs="Tahoma"/>
          <w:sz w:val="24"/>
          <w:szCs w:val="24"/>
          <w:lang w:eastAsia="fr-FR"/>
        </w:rPr>
        <w:t xml:space="preserve"> : cours d'eau principal avec un bassin versant de 1 900 km², présentant un potentiel en eau de surface de 36 Mm³/an et un écoulement moyen de 1,14 m³/s</w:t>
      </w:r>
      <w:r w:rsidRPr="002462E6">
        <w:rPr>
          <w:rFonts w:ascii="Tahoma" w:eastAsia="Times New Roman" w:hAnsi="Tahoma" w:cs="Tahoma"/>
          <w:sz w:val="24"/>
          <w:szCs w:val="24"/>
          <w:vertAlign w:val="superscript"/>
          <w:lang w:eastAsia="fr-FR"/>
        </w:rPr>
        <w:footnoteReference w:id="460"/>
      </w:r>
      <w:r w:rsidRPr="002462E6">
        <w:rPr>
          <w:rFonts w:ascii="Tahoma" w:eastAsia="Times New Roman" w:hAnsi="Tahoma" w:cs="Tahoma"/>
          <w:sz w:val="24"/>
          <w:szCs w:val="24"/>
          <w:lang w:eastAsia="fr-FR"/>
        </w:rPr>
        <w:t>. Son réseau hydrographique, entièrement contrôlé par les structures tectoniques majeures, est encaissé d'environ 200 mètres avec un écartement des affluents variant de 200 à 400 mètres</w:t>
      </w:r>
      <w:r w:rsidRPr="002462E6">
        <w:rPr>
          <w:rFonts w:ascii="Tahoma" w:eastAsia="Times New Roman" w:hAnsi="Tahoma" w:cs="Tahoma"/>
          <w:sz w:val="24"/>
          <w:szCs w:val="24"/>
          <w:vertAlign w:val="superscript"/>
          <w:lang w:eastAsia="fr-FR"/>
        </w:rPr>
        <w:footnoteReference w:id="461"/>
      </w:r>
      <w:r w:rsidRPr="002462E6">
        <w:rPr>
          <w:rFonts w:ascii="Tahoma" w:eastAsia="Times New Roman" w:hAnsi="Tahoma" w:cs="Tahoma"/>
          <w:sz w:val="24"/>
          <w:szCs w:val="24"/>
          <w:lang w:eastAsia="fr-FR"/>
        </w:rPr>
        <w:t>.</w:t>
      </w:r>
    </w:p>
    <w:p w:rsidR="00712860" w:rsidRPr="002462E6" w:rsidRDefault="00712860" w:rsidP="00D051D7">
      <w:pPr>
        <w:numPr>
          <w:ilvl w:val="0"/>
          <w:numId w:val="38"/>
        </w:numPr>
        <w:spacing w:before="100" w:beforeAutospacing="1" w:after="100" w:afterAutospacing="1" w:line="360" w:lineRule="auto"/>
        <w:jc w:val="both"/>
        <w:rPr>
          <w:rFonts w:ascii="Tahoma" w:eastAsia="Times New Roman" w:hAnsi="Tahoma" w:cs="Tahoma"/>
          <w:sz w:val="24"/>
          <w:szCs w:val="24"/>
          <w:lang w:eastAsia="fr-FR"/>
        </w:rPr>
      </w:pPr>
      <w:r w:rsidRPr="002462E6">
        <w:rPr>
          <w:rFonts w:ascii="Tahoma" w:eastAsia="Times New Roman" w:hAnsi="Tahoma" w:cs="Tahoma"/>
          <w:b/>
          <w:bCs/>
          <w:sz w:val="24"/>
          <w:szCs w:val="24"/>
          <w:lang w:eastAsia="fr-FR"/>
        </w:rPr>
        <w:t>Oued Grou</w:t>
      </w:r>
      <w:r w:rsidRPr="002462E6">
        <w:rPr>
          <w:rFonts w:ascii="Tahoma" w:eastAsia="Times New Roman" w:hAnsi="Tahoma" w:cs="Tahoma"/>
          <w:sz w:val="24"/>
          <w:szCs w:val="24"/>
          <w:lang w:eastAsia="fr-FR"/>
        </w:rPr>
        <w:t xml:space="preserve"> : d'une superficie de 3 600 km², ce cours d'eau joue un rôle important dans le bilan hydrique régional malgré la traversée de régions accidentées à substratum imperméable</w:t>
      </w:r>
      <w:r w:rsidRPr="002462E6">
        <w:rPr>
          <w:rFonts w:ascii="Tahoma" w:eastAsia="Times New Roman" w:hAnsi="Tahoma" w:cs="Tahoma"/>
          <w:sz w:val="24"/>
          <w:szCs w:val="24"/>
          <w:vertAlign w:val="superscript"/>
          <w:lang w:eastAsia="fr-FR"/>
        </w:rPr>
        <w:footnoteReference w:id="462"/>
      </w:r>
      <w:r w:rsidRPr="002462E6">
        <w:rPr>
          <w:rFonts w:ascii="Tahoma" w:eastAsia="Times New Roman" w:hAnsi="Tahoma" w:cs="Tahoma"/>
          <w:sz w:val="24"/>
          <w:szCs w:val="24"/>
          <w:lang w:eastAsia="fr-FR"/>
        </w:rPr>
        <w:t>.</w:t>
      </w:r>
    </w:p>
    <w:p w:rsidR="00712860" w:rsidRPr="002462E6" w:rsidRDefault="00712860" w:rsidP="00D051D7">
      <w:pPr>
        <w:numPr>
          <w:ilvl w:val="0"/>
          <w:numId w:val="38"/>
        </w:numPr>
        <w:spacing w:before="100" w:beforeAutospacing="1" w:after="100" w:afterAutospacing="1" w:line="360" w:lineRule="auto"/>
        <w:jc w:val="both"/>
        <w:rPr>
          <w:rFonts w:ascii="Tahoma" w:eastAsia="Times New Roman" w:hAnsi="Tahoma" w:cs="Tahoma"/>
          <w:sz w:val="24"/>
          <w:szCs w:val="24"/>
          <w:lang w:eastAsia="fr-FR"/>
        </w:rPr>
      </w:pPr>
      <w:r w:rsidRPr="002462E6">
        <w:rPr>
          <w:rFonts w:ascii="Tahoma" w:eastAsia="Times New Roman" w:hAnsi="Tahoma" w:cs="Tahoma"/>
          <w:b/>
          <w:bCs/>
          <w:sz w:val="24"/>
          <w:szCs w:val="24"/>
          <w:lang w:eastAsia="fr-FR"/>
        </w:rPr>
        <w:t>Oued Khanoussa</w:t>
      </w:r>
      <w:r w:rsidRPr="002462E6">
        <w:rPr>
          <w:rFonts w:ascii="Tahoma" w:eastAsia="Times New Roman" w:hAnsi="Tahoma" w:cs="Tahoma"/>
          <w:sz w:val="24"/>
          <w:szCs w:val="24"/>
          <w:lang w:eastAsia="fr-FR"/>
        </w:rPr>
        <w:t xml:space="preserve"> : formant le cours d'eau supérieur de l'oued Mechrâa, caractérisé par une profondeur limitée due au caractère imperméable de la roche granitique</w:t>
      </w:r>
      <w:r w:rsidRPr="002462E6">
        <w:rPr>
          <w:rFonts w:ascii="Tahoma" w:eastAsia="Times New Roman" w:hAnsi="Tahoma" w:cs="Tahoma"/>
          <w:sz w:val="24"/>
          <w:szCs w:val="24"/>
          <w:vertAlign w:val="superscript"/>
          <w:lang w:eastAsia="fr-FR"/>
        </w:rPr>
        <w:footnoteReference w:id="463"/>
      </w:r>
      <w:r w:rsidRPr="002462E6">
        <w:rPr>
          <w:rFonts w:ascii="Tahoma" w:eastAsia="Times New Roman" w:hAnsi="Tahoma" w:cs="Tahoma"/>
          <w:sz w:val="24"/>
          <w:szCs w:val="24"/>
          <w:lang w:eastAsia="fr-FR"/>
        </w:rPr>
        <w:t>.</w:t>
      </w:r>
    </w:p>
    <w:p w:rsidR="00712860" w:rsidRPr="002462E6" w:rsidRDefault="00712860" w:rsidP="00712860">
      <w:pPr>
        <w:spacing w:before="100" w:beforeAutospacing="1" w:after="100" w:afterAutospacing="1" w:line="360" w:lineRule="auto"/>
        <w:jc w:val="both"/>
        <w:rPr>
          <w:rFonts w:ascii="Tahoma" w:eastAsia="Times New Roman" w:hAnsi="Tahoma" w:cs="Tahoma"/>
          <w:sz w:val="24"/>
          <w:szCs w:val="24"/>
          <w:lang w:eastAsia="fr-FR"/>
        </w:rPr>
      </w:pPr>
    </w:p>
    <w:p w:rsidR="00712860" w:rsidRPr="002462E6" w:rsidRDefault="00712860" w:rsidP="00712860">
      <w:pPr>
        <w:spacing w:before="100" w:beforeAutospacing="1" w:after="100" w:afterAutospacing="1" w:line="360" w:lineRule="auto"/>
        <w:jc w:val="both"/>
        <w:rPr>
          <w:rFonts w:ascii="Tahoma" w:eastAsia="Times New Roman" w:hAnsi="Tahoma" w:cs="Tahoma"/>
          <w:sz w:val="24"/>
          <w:szCs w:val="24"/>
          <w:lang w:eastAsia="fr-FR"/>
        </w:rPr>
      </w:pPr>
    </w:p>
    <w:p w:rsidR="00712860" w:rsidRPr="002462E6" w:rsidRDefault="00712860" w:rsidP="00712860">
      <w:pPr>
        <w:spacing w:before="100" w:beforeAutospacing="1" w:after="100" w:afterAutospacing="1" w:line="360" w:lineRule="auto"/>
        <w:jc w:val="both"/>
        <w:rPr>
          <w:rFonts w:ascii="Tahoma" w:eastAsia="Times New Roman" w:hAnsi="Tahoma" w:cs="Tahoma"/>
          <w:sz w:val="24"/>
          <w:szCs w:val="24"/>
          <w:lang w:eastAsia="fr-FR"/>
        </w:rPr>
      </w:pPr>
    </w:p>
    <w:p w:rsidR="00712860" w:rsidRPr="002462E6" w:rsidRDefault="00712860" w:rsidP="00712860">
      <w:pPr>
        <w:spacing w:before="100" w:beforeAutospacing="1" w:after="100" w:afterAutospacing="1" w:line="360" w:lineRule="auto"/>
        <w:jc w:val="both"/>
        <w:rPr>
          <w:rFonts w:ascii="Tahoma" w:eastAsia="Times New Roman" w:hAnsi="Tahoma" w:cs="Tahoma"/>
          <w:sz w:val="24"/>
          <w:szCs w:val="24"/>
          <w:lang w:eastAsia="fr-FR"/>
        </w:rPr>
      </w:pPr>
    </w:p>
    <w:p w:rsidR="00712860" w:rsidRPr="002462E6" w:rsidRDefault="00712860" w:rsidP="00712860">
      <w:pPr>
        <w:spacing w:before="100" w:beforeAutospacing="1" w:after="100" w:afterAutospacing="1" w:line="360" w:lineRule="auto"/>
        <w:jc w:val="both"/>
        <w:rPr>
          <w:rFonts w:ascii="Tahoma" w:eastAsia="Times New Roman" w:hAnsi="Tahoma" w:cs="Tahoma"/>
          <w:sz w:val="24"/>
          <w:szCs w:val="24"/>
          <w:lang w:eastAsia="fr-FR"/>
        </w:rPr>
      </w:pPr>
    </w:p>
    <w:p w:rsidR="00712860" w:rsidRPr="002462E6" w:rsidRDefault="00712860" w:rsidP="00712860">
      <w:pPr>
        <w:spacing w:before="100" w:beforeAutospacing="1" w:after="100" w:afterAutospacing="1" w:line="360" w:lineRule="auto"/>
        <w:jc w:val="both"/>
        <w:rPr>
          <w:rFonts w:ascii="Tahoma" w:eastAsia="Times New Roman" w:hAnsi="Tahoma" w:cs="Tahoma"/>
          <w:sz w:val="24"/>
          <w:szCs w:val="24"/>
          <w:lang w:eastAsia="fr-FR"/>
        </w:rPr>
      </w:pPr>
    </w:p>
    <w:p w:rsidR="00712860" w:rsidRPr="002462E6" w:rsidRDefault="00712860" w:rsidP="00712860">
      <w:pPr>
        <w:spacing w:before="100" w:beforeAutospacing="1" w:after="100" w:afterAutospacing="1" w:line="360" w:lineRule="auto"/>
        <w:jc w:val="both"/>
        <w:rPr>
          <w:rFonts w:ascii="Tahoma" w:eastAsia="Times New Roman" w:hAnsi="Tahoma" w:cs="Tahoma"/>
          <w:sz w:val="24"/>
          <w:szCs w:val="24"/>
          <w:lang w:eastAsia="fr-FR"/>
        </w:rPr>
      </w:pPr>
    </w:p>
    <w:p w:rsidR="00724A66" w:rsidRPr="002462E6" w:rsidRDefault="00724A66" w:rsidP="000D57A1">
      <w:pPr>
        <w:pStyle w:val="Sous-titre"/>
      </w:pPr>
      <w:bookmarkStart w:id="288" w:name="_Toc201571260"/>
      <w:bookmarkStart w:id="289" w:name="_Toc203642683"/>
      <w:r w:rsidRPr="002462E6">
        <w:t xml:space="preserve">Carte </w:t>
      </w:r>
      <w:r w:rsidR="00225ED1">
        <w:rPr>
          <w:noProof/>
        </w:rPr>
        <w:fldChar w:fldCharType="begin"/>
      </w:r>
      <w:r w:rsidR="00225ED1">
        <w:rPr>
          <w:noProof/>
        </w:rPr>
        <w:instrText xml:space="preserve"> SEQ Carte \* ARABIC </w:instrText>
      </w:r>
      <w:r w:rsidR="00225ED1">
        <w:rPr>
          <w:noProof/>
        </w:rPr>
        <w:fldChar w:fldCharType="separate"/>
      </w:r>
      <w:r w:rsidR="00124AFB">
        <w:rPr>
          <w:noProof/>
        </w:rPr>
        <w:t>9</w:t>
      </w:r>
      <w:r w:rsidR="00225ED1">
        <w:rPr>
          <w:noProof/>
        </w:rPr>
        <w:fldChar w:fldCharType="end"/>
      </w:r>
      <w:r w:rsidRPr="002462E6">
        <w:t> : Réseau Hydrographique du terrain d’analyse</w:t>
      </w:r>
      <w:bookmarkEnd w:id="288"/>
      <w:bookmarkEnd w:id="289"/>
    </w:p>
    <w:p w:rsidR="00712860" w:rsidRPr="002462E6" w:rsidRDefault="00580D43" w:rsidP="00712860">
      <w:pPr>
        <w:spacing w:before="100" w:beforeAutospacing="1" w:after="100" w:afterAutospacing="1" w:line="360" w:lineRule="auto"/>
        <w:jc w:val="both"/>
        <w:rPr>
          <w:rFonts w:ascii="Tahoma" w:eastAsia="Times New Roman" w:hAnsi="Tahoma" w:cs="Tahoma"/>
          <w:sz w:val="24"/>
          <w:szCs w:val="24"/>
          <w:lang w:eastAsia="fr-FR"/>
        </w:rPr>
      </w:pPr>
      <w:r w:rsidRPr="002462E6">
        <w:rPr>
          <w:rFonts w:ascii="Calibri" w:eastAsia="Calibri" w:hAnsi="Calibri" w:cs="Arial"/>
          <w:noProof/>
          <w:lang w:eastAsia="fr-FR"/>
        </w:rPr>
        <mc:AlternateContent>
          <mc:Choice Requires="wps">
            <w:drawing>
              <wp:anchor distT="0" distB="0" distL="114300" distR="114300" simplePos="0" relativeHeight="251767808" behindDoc="0" locked="0" layoutInCell="1" allowOverlap="1" wp14:anchorId="1869CC4D" wp14:editId="2DCF5D59">
                <wp:simplePos x="0" y="0"/>
                <wp:positionH relativeFrom="column">
                  <wp:posOffset>151641</wp:posOffset>
                </wp:positionH>
                <wp:positionV relativeFrom="paragraph">
                  <wp:posOffset>212313</wp:posOffset>
                </wp:positionV>
                <wp:extent cx="1448526" cy="0"/>
                <wp:effectExtent l="0" t="0" r="18415" b="19050"/>
                <wp:wrapNone/>
                <wp:docPr id="20" name="Connecteur droit 20"/>
                <wp:cNvGraphicFramePr/>
                <a:graphic xmlns:a="http://schemas.openxmlformats.org/drawingml/2006/main">
                  <a:graphicData uri="http://schemas.microsoft.com/office/word/2010/wordprocessingShape">
                    <wps:wsp>
                      <wps:cNvCnPr/>
                      <wps:spPr>
                        <a:xfrm>
                          <a:off x="0" y="0"/>
                          <a:ext cx="1448526" cy="0"/>
                        </a:xfrm>
                        <a:prstGeom prst="line">
                          <a:avLst/>
                        </a:prstGeom>
                      </wps:spPr>
                      <wps:style>
                        <a:lnRef idx="3">
                          <a:schemeClr val="accent4"/>
                        </a:lnRef>
                        <a:fillRef idx="0">
                          <a:schemeClr val="accent4"/>
                        </a:fillRef>
                        <a:effectRef idx="2">
                          <a:schemeClr val="accent4"/>
                        </a:effectRef>
                        <a:fontRef idx="minor">
                          <a:schemeClr val="tx1"/>
                        </a:fontRef>
                      </wps:style>
                      <wps:bodyPr/>
                    </wps:wsp>
                  </a:graphicData>
                </a:graphic>
                <wp14:sizeRelH relativeFrom="margin">
                  <wp14:pctWidth>0</wp14:pctWidth>
                </wp14:sizeRelH>
              </wp:anchor>
            </w:drawing>
          </mc:Choice>
          <mc:Fallback>
            <w:pict>
              <v:line w14:anchorId="5EAC4B96" id="Connecteur droit 20" o:spid="_x0000_s1026" style="position:absolute;z-index:2517678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1.95pt,16.7pt" to="126pt,1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" strokecolor="#909465 [3207]" strokeweight="1.5pt">
                <v:stroke joinstyle="miter"/>
              </v:line>
            </w:pict>
          </mc:Fallback>
        </mc:AlternateContent>
      </w:r>
      <w:r w:rsidR="002A2A8B" w:rsidRPr="002462E6">
        <w:rPr>
          <w:rFonts w:ascii="Calibri" w:eastAsia="Calibri" w:hAnsi="Calibri" w:cs="Arial"/>
          <w:noProof/>
          <w:lang w:eastAsia="fr-FR"/>
        </w:rPr>
        <mc:AlternateContent>
          <mc:Choice Requires="wps">
            <w:drawing>
              <wp:anchor distT="0" distB="0" distL="114300" distR="114300" simplePos="0" relativeHeight="251762688" behindDoc="0" locked="0" layoutInCell="1" allowOverlap="1" wp14:anchorId="073CDBBA" wp14:editId="44C6317B">
                <wp:simplePos x="0" y="0"/>
                <wp:positionH relativeFrom="column">
                  <wp:posOffset>540220</wp:posOffset>
                </wp:positionH>
                <wp:positionV relativeFrom="paragraph">
                  <wp:posOffset>209105</wp:posOffset>
                </wp:positionV>
                <wp:extent cx="1057133" cy="0"/>
                <wp:effectExtent l="0" t="0" r="10160" b="19050"/>
                <wp:wrapNone/>
                <wp:docPr id="956995648" name="Connecteur droit 956995648"/>
                <wp:cNvGraphicFramePr/>
                <a:graphic xmlns:a="http://schemas.openxmlformats.org/drawingml/2006/main">
                  <a:graphicData uri="http://schemas.microsoft.com/office/word/2010/wordprocessingShape">
                    <wps:wsp>
                      <wps:cNvCnPr/>
                      <wps:spPr>
                        <a:xfrm>
                          <a:off x="0" y="0"/>
                          <a:ext cx="1057133" cy="0"/>
                        </a:xfrm>
                        <a:prstGeom prst="line">
                          <a:avLst/>
                        </a:prstGeom>
                        <a:ln w="12700">
                          <a:solidFill>
                            <a:schemeClr val="accent4">
                              <a:lumMod val="60000"/>
                              <a:lumOff val="40000"/>
                            </a:schemeClr>
                          </a:solidFill>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2F95900" id="Connecteur droit 956995648" o:spid="_x0000_s1026" style="position:absolute;z-index:251762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2.55pt,16.45pt" to="125.8pt,1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" strokecolor="#bcbfa1 [1943]" strokeweight="1pt">
                <v:stroke joinstyle="miter"/>
              </v:line>
            </w:pict>
          </mc:Fallback>
        </mc:AlternateContent>
      </w:r>
      <w:r w:rsidR="00712860" w:rsidRPr="002462E6">
        <w:rPr>
          <w:rFonts w:ascii="Calibri" w:eastAsia="Calibri" w:hAnsi="Calibri" w:cs="Arial"/>
          <w:noProof/>
          <w:lang w:eastAsia="fr-FR"/>
        </w:rPr>
        <w:drawing>
          <wp:inline distT="0" distB="0" distL="0" distR="0" wp14:anchorId="02651D65" wp14:editId="7C2559C5">
            <wp:extent cx="6305550" cy="7486650"/>
            <wp:effectExtent l="0" t="0" r="0" b="0"/>
            <wp:docPr id="29" name="Imag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6315733" cy="7498740"/>
                    </a:xfrm>
                    <a:prstGeom prst="rect">
                      <a:avLst/>
                    </a:prstGeom>
                    <a:noFill/>
                    <a:ln>
                      <a:noFill/>
                    </a:ln>
                  </pic:spPr>
                </pic:pic>
              </a:graphicData>
            </a:graphic>
          </wp:inline>
        </w:drawing>
      </w:r>
    </w:p>
    <w:p w:rsidR="00712860" w:rsidRPr="002462E6" w:rsidRDefault="00712860" w:rsidP="00712860">
      <w:pPr>
        <w:spacing w:before="100" w:beforeAutospacing="1" w:after="100" w:afterAutospacing="1" w:line="360" w:lineRule="auto"/>
        <w:jc w:val="center"/>
        <w:rPr>
          <w:rFonts w:ascii="Tahoma" w:eastAsia="Times New Roman" w:hAnsi="Tahoma" w:cs="Tahoma"/>
          <w:sz w:val="20"/>
          <w:szCs w:val="20"/>
          <w:lang w:eastAsia="fr-FR"/>
        </w:rPr>
      </w:pPr>
      <w:r w:rsidRPr="002462E6">
        <w:rPr>
          <w:rFonts w:ascii="Tahoma" w:eastAsia="Times New Roman" w:hAnsi="Tahoma" w:cs="Tahoma"/>
          <w:b/>
          <w:bCs/>
          <w:sz w:val="20"/>
          <w:szCs w:val="20"/>
          <w:lang w:eastAsia="fr-FR"/>
        </w:rPr>
        <w:t>Source :</w:t>
      </w:r>
      <w:r w:rsidRPr="002462E6">
        <w:rPr>
          <w:rFonts w:ascii="Tahoma" w:eastAsia="Times New Roman" w:hAnsi="Tahoma" w:cs="Tahoma"/>
          <w:sz w:val="20"/>
          <w:szCs w:val="20"/>
          <w:lang w:eastAsia="fr-FR"/>
        </w:rPr>
        <w:t xml:space="preserve"> procès d’aménagement de la forêt de Korifla 2017</w:t>
      </w:r>
    </w:p>
    <w:p w:rsidR="00712860" w:rsidRPr="002462E6" w:rsidRDefault="00712860" w:rsidP="00712860">
      <w:pPr>
        <w:spacing w:before="100" w:beforeAutospacing="1" w:after="100" w:afterAutospacing="1" w:line="360" w:lineRule="auto"/>
        <w:jc w:val="both"/>
        <w:rPr>
          <w:rFonts w:ascii="Tahoma" w:eastAsia="Times New Roman" w:hAnsi="Tahoma" w:cs="Tahoma"/>
          <w:sz w:val="24"/>
          <w:szCs w:val="24"/>
          <w:lang w:eastAsia="fr-FR"/>
        </w:rPr>
      </w:pPr>
      <w:r w:rsidRPr="002462E6">
        <w:rPr>
          <w:rFonts w:ascii="Tahoma" w:eastAsia="Times New Roman" w:hAnsi="Tahoma" w:cs="Tahoma"/>
          <w:sz w:val="24"/>
          <w:szCs w:val="24"/>
          <w:lang w:eastAsia="fr-FR"/>
        </w:rPr>
        <w:t>L'étude des processus érosifs révèle la présence de multiples formes de dégradation naturelle qui témoignent de l'ampleur des activités érosives. Ces processus comprennent l'érosion en nappe, en rigole, le ravinement, les éboulements et glissements de terrain, ainsi que l'alluvionnement</w:t>
      </w:r>
      <w:r w:rsidRPr="002462E6">
        <w:rPr>
          <w:rFonts w:ascii="Tahoma" w:eastAsia="Times New Roman" w:hAnsi="Tahoma" w:cs="Tahoma"/>
          <w:sz w:val="24"/>
          <w:szCs w:val="24"/>
          <w:vertAlign w:val="superscript"/>
          <w:lang w:eastAsia="fr-FR"/>
        </w:rPr>
        <w:footnoteReference w:id="464"/>
      </w:r>
      <w:r w:rsidRPr="002462E6">
        <w:rPr>
          <w:rFonts w:ascii="Tahoma" w:eastAsia="Times New Roman" w:hAnsi="Tahoma" w:cs="Tahoma"/>
          <w:sz w:val="24"/>
          <w:szCs w:val="24"/>
          <w:lang w:eastAsia="fr-FR"/>
        </w:rPr>
        <w:t>.</w:t>
      </w:r>
    </w:p>
    <w:p w:rsidR="00712860" w:rsidRPr="002462E6" w:rsidRDefault="00712860" w:rsidP="00712860">
      <w:pPr>
        <w:spacing w:before="100" w:beforeAutospacing="1" w:after="100" w:afterAutospacing="1" w:line="360" w:lineRule="auto"/>
        <w:jc w:val="both"/>
        <w:rPr>
          <w:rFonts w:ascii="Tahoma" w:eastAsia="Times New Roman" w:hAnsi="Tahoma" w:cs="Tahoma"/>
          <w:sz w:val="24"/>
          <w:szCs w:val="24"/>
          <w:lang w:eastAsia="fr-FR"/>
        </w:rPr>
      </w:pPr>
      <w:r w:rsidRPr="002462E6">
        <w:rPr>
          <w:rFonts w:ascii="Tahoma" w:eastAsia="Times New Roman" w:hAnsi="Tahoma" w:cs="Tahoma"/>
          <w:sz w:val="24"/>
          <w:szCs w:val="24"/>
          <w:lang w:eastAsia="fr-FR"/>
        </w:rPr>
        <w:t>L'érosion du réseau hydrographique constitue une source principale de détérioration des terres et de production de sédiments, particulièrement visible sur les faciès lithologiques tendres à moyennement tendres</w:t>
      </w:r>
      <w:r w:rsidRPr="002462E6">
        <w:rPr>
          <w:rFonts w:ascii="Tahoma" w:eastAsia="Times New Roman" w:hAnsi="Tahoma" w:cs="Tahoma"/>
          <w:sz w:val="24"/>
          <w:szCs w:val="24"/>
          <w:vertAlign w:val="superscript"/>
          <w:lang w:eastAsia="fr-FR"/>
        </w:rPr>
        <w:footnoteReference w:id="465"/>
      </w:r>
      <w:r w:rsidRPr="002462E6">
        <w:rPr>
          <w:rFonts w:ascii="Tahoma" w:eastAsia="Times New Roman" w:hAnsi="Tahoma" w:cs="Tahoma"/>
          <w:sz w:val="24"/>
          <w:szCs w:val="24"/>
          <w:lang w:eastAsia="fr-FR"/>
        </w:rPr>
        <w:t>. Cette érosion se manifeste au niveau de toutes les occupations du sol avec une accentuation notable sur les terrains accidentés à faible taux de couverture végétale</w:t>
      </w:r>
      <w:r w:rsidRPr="002462E6">
        <w:rPr>
          <w:rFonts w:ascii="Tahoma" w:eastAsia="Times New Roman" w:hAnsi="Tahoma" w:cs="Tahoma"/>
          <w:sz w:val="24"/>
          <w:szCs w:val="24"/>
          <w:vertAlign w:val="superscript"/>
          <w:lang w:eastAsia="fr-FR"/>
        </w:rPr>
        <w:footnoteReference w:id="466"/>
      </w:r>
      <w:r w:rsidRPr="002462E6">
        <w:rPr>
          <w:rFonts w:ascii="Tahoma" w:eastAsia="Times New Roman" w:hAnsi="Tahoma" w:cs="Tahoma"/>
          <w:sz w:val="24"/>
          <w:szCs w:val="24"/>
          <w:lang w:eastAsia="fr-FR"/>
        </w:rPr>
        <w:t>.</w:t>
      </w:r>
    </w:p>
    <w:p w:rsidR="00712860" w:rsidRPr="002462E6" w:rsidRDefault="00712860" w:rsidP="00712860">
      <w:pPr>
        <w:spacing w:before="100" w:beforeAutospacing="1" w:after="100" w:afterAutospacing="1" w:line="360" w:lineRule="auto"/>
        <w:jc w:val="both"/>
        <w:rPr>
          <w:rFonts w:ascii="Tahoma" w:eastAsia="Times New Roman" w:hAnsi="Tahoma" w:cs="Tahoma"/>
          <w:sz w:val="24"/>
          <w:szCs w:val="24"/>
          <w:lang w:eastAsia="fr-FR"/>
        </w:rPr>
      </w:pPr>
      <w:r w:rsidRPr="002462E6">
        <w:rPr>
          <w:rFonts w:ascii="Tahoma" w:eastAsia="Times New Roman" w:hAnsi="Tahoma" w:cs="Tahoma"/>
          <w:sz w:val="24"/>
          <w:szCs w:val="24"/>
          <w:lang w:eastAsia="fr-FR"/>
        </w:rPr>
        <w:t>Le dynamisme érosif évolue dans le sens d'un approfondissement des lits, d'un élargissement des berges et d'un prolongement vers l'amont</w:t>
      </w:r>
      <w:r w:rsidRPr="002462E6">
        <w:rPr>
          <w:rFonts w:ascii="Tahoma" w:eastAsia="Times New Roman" w:hAnsi="Tahoma" w:cs="Tahoma"/>
          <w:sz w:val="24"/>
          <w:szCs w:val="24"/>
          <w:vertAlign w:val="superscript"/>
          <w:lang w:eastAsia="fr-FR"/>
        </w:rPr>
        <w:footnoteReference w:id="467"/>
      </w:r>
      <w:r w:rsidRPr="002462E6">
        <w:rPr>
          <w:rFonts w:ascii="Tahoma" w:eastAsia="Times New Roman" w:hAnsi="Tahoma" w:cs="Tahoma"/>
          <w:sz w:val="24"/>
          <w:szCs w:val="24"/>
          <w:lang w:eastAsia="fr-FR"/>
        </w:rPr>
        <w:t>. L'approfondissement, particulièrement rapide dans les terrains meubles, provoque une déstabilisation des berges et génère de nombreux petits glissements dont les produits sont rapidement transportés vers l'aval</w:t>
      </w:r>
      <w:r w:rsidRPr="002462E6">
        <w:rPr>
          <w:rFonts w:ascii="Tahoma" w:eastAsia="Times New Roman" w:hAnsi="Tahoma" w:cs="Tahoma"/>
          <w:sz w:val="24"/>
          <w:szCs w:val="24"/>
          <w:vertAlign w:val="superscript"/>
          <w:lang w:eastAsia="fr-FR"/>
        </w:rPr>
        <w:footnoteReference w:id="468"/>
      </w:r>
      <w:r w:rsidRPr="002462E6">
        <w:rPr>
          <w:rFonts w:ascii="Tahoma" w:eastAsia="Times New Roman" w:hAnsi="Tahoma" w:cs="Tahoma"/>
          <w:sz w:val="24"/>
          <w:szCs w:val="24"/>
          <w:lang w:eastAsia="fr-FR"/>
        </w:rPr>
        <w:t>.</w:t>
      </w:r>
    </w:p>
    <w:p w:rsidR="00712860" w:rsidRPr="002462E6" w:rsidRDefault="00712860" w:rsidP="008D3838">
      <w:pPr>
        <w:pStyle w:val="Titre6"/>
      </w:pPr>
      <w:bookmarkStart w:id="290" w:name="_Toc201655491"/>
      <w:bookmarkStart w:id="291" w:name="_Toc203643063"/>
      <w:r w:rsidRPr="002462E6">
        <w:t>Impacts sur la régénération naturelle</w:t>
      </w:r>
      <w:bookmarkEnd w:id="290"/>
      <w:bookmarkEnd w:id="291"/>
    </w:p>
    <w:p w:rsidR="00712860" w:rsidRPr="002462E6" w:rsidRDefault="00712860" w:rsidP="00D051D7">
      <w:pPr>
        <w:pStyle w:val="Titre7"/>
        <w:numPr>
          <w:ilvl w:val="0"/>
          <w:numId w:val="91"/>
        </w:numPr>
      </w:pPr>
      <w:r w:rsidRPr="002462E6">
        <w:t xml:space="preserve"> </w:t>
      </w:r>
      <w:bookmarkStart w:id="292" w:name="_Toc201655492"/>
      <w:bookmarkStart w:id="293" w:name="_Toc203643064"/>
      <w:r w:rsidRPr="002462E6">
        <w:t>Limitation de la capacité de charge</w:t>
      </w:r>
      <w:bookmarkEnd w:id="292"/>
      <w:bookmarkEnd w:id="293"/>
    </w:p>
    <w:p w:rsidR="00712860" w:rsidRPr="002462E6" w:rsidRDefault="00712860" w:rsidP="00712860">
      <w:pPr>
        <w:spacing w:before="100" w:beforeAutospacing="1" w:after="100" w:afterAutospacing="1" w:line="360" w:lineRule="auto"/>
        <w:jc w:val="both"/>
        <w:rPr>
          <w:rFonts w:ascii="Tahoma" w:eastAsia="Times New Roman" w:hAnsi="Tahoma" w:cs="Tahoma"/>
          <w:sz w:val="24"/>
          <w:szCs w:val="24"/>
          <w:lang w:eastAsia="fr-FR"/>
        </w:rPr>
      </w:pPr>
      <w:r w:rsidRPr="002462E6">
        <w:rPr>
          <w:rFonts w:ascii="Tahoma" w:eastAsia="Times New Roman" w:hAnsi="Tahoma" w:cs="Tahoma"/>
          <w:sz w:val="24"/>
          <w:szCs w:val="24"/>
          <w:lang w:eastAsia="fr-FR"/>
        </w:rPr>
        <w:t>Les contraintes climatiques et édaphiques se traduisent par une limitation naturelle de la capacité de charge des écosystèmes forestiers. Cette limitation s'observe particulièrement au niveau des peuplements de reboisement qui, malgré les interventions anthropiques, présentent des densités relativement faibles : 158,6 tiges/ha et 198 brins/ha pour le pin d'Alep, avec un volume moyen de 21 980,45 dm³/ha</w:t>
      </w:r>
      <w:r w:rsidRPr="002462E6">
        <w:rPr>
          <w:rFonts w:ascii="Tahoma" w:eastAsia="Times New Roman" w:hAnsi="Tahoma" w:cs="Tahoma"/>
          <w:sz w:val="24"/>
          <w:szCs w:val="24"/>
          <w:vertAlign w:val="superscript"/>
          <w:lang w:eastAsia="fr-FR"/>
        </w:rPr>
        <w:footnoteReference w:id="469"/>
      </w:r>
      <w:r w:rsidRPr="002462E6">
        <w:rPr>
          <w:rFonts w:ascii="Tahoma" w:eastAsia="Times New Roman" w:hAnsi="Tahoma" w:cs="Tahoma"/>
          <w:sz w:val="24"/>
          <w:szCs w:val="24"/>
          <w:lang w:eastAsia="fr-FR"/>
        </w:rPr>
        <w:t>.</w:t>
      </w:r>
    </w:p>
    <w:p w:rsidR="00712860" w:rsidRPr="002462E6" w:rsidRDefault="00712860" w:rsidP="00712860">
      <w:pPr>
        <w:spacing w:before="100" w:beforeAutospacing="1" w:after="100" w:afterAutospacing="1" w:line="360" w:lineRule="auto"/>
        <w:jc w:val="both"/>
        <w:rPr>
          <w:rFonts w:ascii="Tahoma" w:eastAsia="Times New Roman" w:hAnsi="Tahoma" w:cs="Tahoma"/>
          <w:sz w:val="24"/>
          <w:szCs w:val="24"/>
          <w:lang w:eastAsia="fr-FR"/>
        </w:rPr>
      </w:pPr>
      <w:r w:rsidRPr="002462E6">
        <w:rPr>
          <w:rFonts w:ascii="Tahoma" w:eastAsia="Times New Roman" w:hAnsi="Tahoma" w:cs="Tahoma"/>
          <w:sz w:val="24"/>
          <w:szCs w:val="24"/>
          <w:lang w:eastAsia="fr-FR"/>
        </w:rPr>
        <w:t>Les eucalyptus, pourtant réputés pour leur adaptation aux conditions difficiles, affichent une densité moyenne de 176,4 tiges/ha avec un volume de seulement 6 745,89 dm³/ha</w:t>
      </w:r>
      <w:r w:rsidRPr="002462E6">
        <w:rPr>
          <w:rFonts w:ascii="Tahoma" w:eastAsia="Times New Roman" w:hAnsi="Tahoma" w:cs="Tahoma"/>
          <w:sz w:val="24"/>
          <w:szCs w:val="24"/>
          <w:vertAlign w:val="superscript"/>
          <w:lang w:eastAsia="fr-FR"/>
        </w:rPr>
        <w:footnoteReference w:id="470"/>
      </w:r>
      <w:r w:rsidRPr="002462E6">
        <w:rPr>
          <w:rFonts w:ascii="Tahoma" w:eastAsia="Times New Roman" w:hAnsi="Tahoma" w:cs="Tahoma"/>
          <w:sz w:val="24"/>
          <w:szCs w:val="24"/>
          <w:lang w:eastAsia="fr-FR"/>
        </w:rPr>
        <w:t>, illustrant les contraintes environnementales sévères qui pèsent sur la productivité forestière.</w:t>
      </w:r>
    </w:p>
    <w:p w:rsidR="00712860" w:rsidRPr="002462E6" w:rsidRDefault="00712860" w:rsidP="00C23CB8">
      <w:pPr>
        <w:pStyle w:val="Titre7"/>
      </w:pPr>
      <w:bookmarkStart w:id="294" w:name="_Toc201655493"/>
      <w:bookmarkStart w:id="295" w:name="_Toc203643065"/>
      <w:r w:rsidRPr="002462E6">
        <w:t>Vulnérabilité des processus de régénération</w:t>
      </w:r>
      <w:bookmarkEnd w:id="294"/>
      <w:bookmarkEnd w:id="295"/>
    </w:p>
    <w:p w:rsidR="00712860" w:rsidRPr="002462E6" w:rsidRDefault="00712860" w:rsidP="00712860">
      <w:pPr>
        <w:spacing w:before="100" w:beforeAutospacing="1" w:after="100" w:afterAutospacing="1" w:line="360" w:lineRule="auto"/>
        <w:jc w:val="both"/>
        <w:rPr>
          <w:rFonts w:ascii="Tahoma" w:eastAsia="Times New Roman" w:hAnsi="Tahoma" w:cs="Tahoma"/>
          <w:sz w:val="24"/>
          <w:szCs w:val="24"/>
          <w:lang w:eastAsia="fr-FR"/>
        </w:rPr>
      </w:pPr>
      <w:r w:rsidRPr="002462E6">
        <w:rPr>
          <w:rFonts w:ascii="Tahoma" w:eastAsia="Times New Roman" w:hAnsi="Tahoma" w:cs="Tahoma"/>
          <w:sz w:val="24"/>
          <w:szCs w:val="24"/>
          <w:lang w:eastAsia="fr-FR"/>
        </w:rPr>
        <w:t>La régénération naturelle se trouve compromise par la combinaison des facteurs climatiques défavorables et des contraintes édaphiques. La structure décroissante des peuplements de thuya, dominée par des individus de calibre moyen (circonférence comprise entre 20 et 60 cm)</w:t>
      </w:r>
      <w:r w:rsidRPr="002462E6">
        <w:rPr>
          <w:rFonts w:ascii="Tahoma" w:eastAsia="Times New Roman" w:hAnsi="Tahoma" w:cs="Tahoma"/>
          <w:sz w:val="24"/>
          <w:szCs w:val="24"/>
          <w:vertAlign w:val="superscript"/>
          <w:lang w:eastAsia="fr-FR"/>
        </w:rPr>
        <w:footnoteReference w:id="471"/>
      </w:r>
      <w:r w:rsidRPr="002462E6">
        <w:rPr>
          <w:rFonts w:ascii="Tahoma" w:eastAsia="Times New Roman" w:hAnsi="Tahoma" w:cs="Tahoma"/>
          <w:sz w:val="24"/>
          <w:szCs w:val="24"/>
          <w:lang w:eastAsia="fr-FR"/>
        </w:rPr>
        <w:t>, témoigne des difficultés de recrutement et de croissance dans les conditions environnementales actuelles.</w:t>
      </w:r>
    </w:p>
    <w:p w:rsidR="00712860" w:rsidRPr="002462E6" w:rsidRDefault="00712860" w:rsidP="00712860">
      <w:pPr>
        <w:spacing w:before="100" w:beforeAutospacing="1" w:after="100" w:afterAutospacing="1" w:line="360" w:lineRule="auto"/>
        <w:jc w:val="both"/>
        <w:rPr>
          <w:rFonts w:ascii="Tahoma" w:eastAsia="Times New Roman" w:hAnsi="Tahoma" w:cs="Tahoma"/>
          <w:sz w:val="24"/>
          <w:szCs w:val="24"/>
          <w:lang w:eastAsia="fr-FR"/>
        </w:rPr>
      </w:pPr>
      <w:r w:rsidRPr="002462E6">
        <w:rPr>
          <w:rFonts w:ascii="Tahoma" w:eastAsia="Times New Roman" w:hAnsi="Tahoma" w:cs="Tahoma"/>
          <w:sz w:val="24"/>
          <w:szCs w:val="24"/>
          <w:lang w:eastAsia="fr-FR"/>
        </w:rPr>
        <w:t>Cette situation révèle que, bien que les contextes écologiques de la région ne constituent pas des contraintes majeures insurmontables - comme en témoignent certains succès de reconstitution et de réhabilitation</w:t>
      </w:r>
      <w:r w:rsidRPr="002462E6">
        <w:rPr>
          <w:rFonts w:ascii="Tahoma" w:eastAsia="Times New Roman" w:hAnsi="Tahoma" w:cs="Tahoma"/>
          <w:sz w:val="24"/>
          <w:szCs w:val="24"/>
          <w:vertAlign w:val="superscript"/>
          <w:lang w:eastAsia="fr-FR"/>
        </w:rPr>
        <w:footnoteReference w:id="472"/>
      </w:r>
      <w:r w:rsidRPr="002462E6">
        <w:rPr>
          <w:rFonts w:ascii="Tahoma" w:eastAsia="Times New Roman" w:hAnsi="Tahoma" w:cs="Tahoma"/>
          <w:sz w:val="24"/>
          <w:szCs w:val="24"/>
          <w:lang w:eastAsia="fr-FR"/>
        </w:rPr>
        <w:t xml:space="preserve"> - les facteurs naturels créent néanmoins un environnement où les écosystèmes forestiers demeurent intrinsèquement vulnérables aux perturbations et présentent une résilience limitée face aux pressions additionnelles.</w:t>
      </w:r>
    </w:p>
    <w:p w:rsidR="00712860" w:rsidRPr="002462E6" w:rsidRDefault="00712860" w:rsidP="00D051D7">
      <w:pPr>
        <w:widowControl w:val="0"/>
        <w:numPr>
          <w:ilvl w:val="0"/>
          <w:numId w:val="43"/>
        </w:numPr>
        <w:autoSpaceDE w:val="0"/>
        <w:autoSpaceDN w:val="0"/>
        <w:spacing w:before="100" w:beforeAutospacing="1" w:after="100" w:afterAutospacing="1" w:line="360" w:lineRule="auto"/>
        <w:jc w:val="both"/>
        <w:outlineLvl w:val="3"/>
        <w:rPr>
          <w:rFonts w:ascii="Tahoma" w:eastAsia="Times New Roman" w:hAnsi="Tahoma" w:cs="Tahoma"/>
          <w:b/>
          <w:bCs/>
          <w:sz w:val="24"/>
          <w:szCs w:val="24"/>
          <w:lang w:eastAsia="fr-FR"/>
        </w:rPr>
      </w:pPr>
      <w:bookmarkStart w:id="296" w:name="_Toc201655494"/>
      <w:r w:rsidRPr="002462E6">
        <w:rPr>
          <w:rFonts w:ascii="Tahoma" w:eastAsia="Times New Roman" w:hAnsi="Tahoma" w:cs="Tahoma"/>
          <w:b/>
          <w:bCs/>
          <w:sz w:val="24"/>
          <w:szCs w:val="24"/>
          <w:lang w:eastAsia="fr-FR"/>
        </w:rPr>
        <w:t>Conséquences écologiques de la dégradation</w:t>
      </w:r>
      <w:bookmarkEnd w:id="296"/>
    </w:p>
    <w:p w:rsidR="00712860" w:rsidRPr="002462E6" w:rsidRDefault="00712860" w:rsidP="00D051D7">
      <w:pPr>
        <w:widowControl w:val="0"/>
        <w:numPr>
          <w:ilvl w:val="0"/>
          <w:numId w:val="75"/>
        </w:numPr>
        <w:autoSpaceDE w:val="0"/>
        <w:autoSpaceDN w:val="0"/>
        <w:spacing w:before="100" w:beforeAutospacing="1" w:after="100" w:afterAutospacing="1" w:line="360" w:lineRule="auto"/>
        <w:jc w:val="both"/>
        <w:outlineLvl w:val="3"/>
        <w:rPr>
          <w:rFonts w:ascii="Tahoma" w:eastAsia="Times New Roman" w:hAnsi="Tahoma" w:cs="Tahoma"/>
          <w:b/>
          <w:bCs/>
          <w:sz w:val="24"/>
          <w:szCs w:val="24"/>
          <w:lang w:eastAsia="fr-FR"/>
        </w:rPr>
      </w:pPr>
      <w:bookmarkStart w:id="297" w:name="_Toc201570836"/>
      <w:r w:rsidRPr="002462E6">
        <w:rPr>
          <w:rFonts w:ascii="Tahoma" w:eastAsia="Times New Roman" w:hAnsi="Tahoma" w:cs="Tahoma"/>
          <w:b/>
          <w:bCs/>
          <w:sz w:val="24"/>
          <w:szCs w:val="24"/>
          <w:lang w:eastAsia="fr-FR"/>
        </w:rPr>
        <w:t>Impacts sur la biodiversité</w:t>
      </w:r>
      <w:bookmarkEnd w:id="297"/>
    </w:p>
    <w:p w:rsidR="00712860" w:rsidRPr="002462E6" w:rsidRDefault="00712860" w:rsidP="00A4653C">
      <w:pPr>
        <w:spacing w:before="100" w:beforeAutospacing="1" w:after="0" w:line="360" w:lineRule="auto"/>
        <w:jc w:val="both"/>
        <w:rPr>
          <w:rFonts w:ascii="Tahoma" w:eastAsia="Times New Roman" w:hAnsi="Tahoma" w:cs="Tahoma"/>
          <w:sz w:val="24"/>
          <w:szCs w:val="24"/>
          <w:lang w:eastAsia="fr-FR"/>
        </w:rPr>
      </w:pPr>
      <w:r w:rsidRPr="002462E6">
        <w:rPr>
          <w:rFonts w:ascii="Tahoma" w:eastAsia="Times New Roman" w:hAnsi="Tahoma" w:cs="Tahoma"/>
          <w:sz w:val="24"/>
          <w:szCs w:val="24"/>
          <w:lang w:eastAsia="fr-FR"/>
        </w:rPr>
        <w:t>La dégradation de la forêt de Korifla engendre une diminution significative de la biodiversité locale. La destruction et la fragmentation des habitats naturels entraînent une réduction des populations d'espèces végétales et animales, pouvant conduire à l'extinction locale d'espèces endémiques</w:t>
      </w:r>
      <w:r w:rsidRPr="002462E6">
        <w:rPr>
          <w:rFonts w:ascii="Tahoma" w:eastAsia="Times New Roman" w:hAnsi="Tahoma" w:cs="Tahoma"/>
          <w:sz w:val="24"/>
          <w:szCs w:val="24"/>
          <w:vertAlign w:val="superscript"/>
          <w:lang w:eastAsia="fr-FR"/>
        </w:rPr>
        <w:footnoteReference w:id="473"/>
      </w:r>
      <w:r w:rsidRPr="002462E6">
        <w:rPr>
          <w:rFonts w:ascii="Tahoma" w:eastAsia="Times New Roman" w:hAnsi="Tahoma" w:cs="Tahoma"/>
          <w:sz w:val="24"/>
          <w:szCs w:val="24"/>
          <w:lang w:eastAsia="fr-FR"/>
        </w:rPr>
        <w:t>. Les recherches menées par Benabid (2000) soulignent la vulnérabilité particulière de certaines essences forestières locales, notamment le chêne-liège (</w:t>
      </w:r>
      <w:r w:rsidRPr="002462E6">
        <w:rPr>
          <w:rFonts w:ascii="Tahoma" w:eastAsia="Times New Roman" w:hAnsi="Tahoma" w:cs="Tahoma"/>
          <w:i/>
          <w:iCs/>
          <w:sz w:val="24"/>
          <w:szCs w:val="24"/>
          <w:lang w:eastAsia="fr-FR"/>
        </w:rPr>
        <w:t>Quercus suber</w:t>
      </w:r>
      <w:r w:rsidRPr="002462E6">
        <w:rPr>
          <w:rFonts w:ascii="Tahoma" w:eastAsia="Times New Roman" w:hAnsi="Tahoma" w:cs="Tahoma"/>
          <w:sz w:val="24"/>
          <w:szCs w:val="24"/>
          <w:lang w:eastAsia="fr-FR"/>
        </w:rPr>
        <w:t>) et le thuya de Berbérie (</w:t>
      </w:r>
      <w:r w:rsidRPr="002462E6">
        <w:rPr>
          <w:rFonts w:ascii="Tahoma" w:eastAsia="Times New Roman" w:hAnsi="Tahoma" w:cs="Tahoma"/>
          <w:i/>
          <w:iCs/>
          <w:sz w:val="24"/>
          <w:szCs w:val="24"/>
          <w:lang w:eastAsia="fr-FR"/>
        </w:rPr>
        <w:t>Tetraclinis articulata</w:t>
      </w:r>
      <w:r w:rsidRPr="002462E6">
        <w:rPr>
          <w:rFonts w:ascii="Tahoma" w:eastAsia="Times New Roman" w:hAnsi="Tahoma" w:cs="Tahoma"/>
          <w:sz w:val="24"/>
          <w:szCs w:val="24"/>
          <w:lang w:eastAsia="fr-FR"/>
        </w:rPr>
        <w:t>), dont la régression compromet l'équilibre écologique régional</w:t>
      </w:r>
      <w:r w:rsidRPr="002462E6">
        <w:rPr>
          <w:rFonts w:ascii="Tahoma" w:eastAsia="Times New Roman" w:hAnsi="Tahoma" w:cs="Tahoma"/>
          <w:sz w:val="24"/>
          <w:szCs w:val="24"/>
          <w:vertAlign w:val="superscript"/>
          <w:lang w:eastAsia="fr-FR"/>
        </w:rPr>
        <w:footnoteReference w:id="474"/>
      </w:r>
      <w:r w:rsidRPr="002462E6">
        <w:rPr>
          <w:rFonts w:ascii="Tahoma" w:eastAsia="Times New Roman" w:hAnsi="Tahoma" w:cs="Tahoma"/>
          <w:sz w:val="24"/>
          <w:szCs w:val="24"/>
          <w:lang w:eastAsia="fr-FR"/>
        </w:rPr>
        <w:t>.</w:t>
      </w:r>
    </w:p>
    <w:p w:rsidR="00712860" w:rsidRPr="002462E6" w:rsidRDefault="00712860" w:rsidP="00712860">
      <w:pPr>
        <w:spacing w:before="100" w:beforeAutospacing="1" w:after="100" w:afterAutospacing="1" w:line="360" w:lineRule="auto"/>
        <w:jc w:val="both"/>
        <w:rPr>
          <w:rFonts w:ascii="Tahoma" w:eastAsia="Times New Roman" w:hAnsi="Tahoma" w:cs="Tahoma"/>
          <w:sz w:val="24"/>
          <w:szCs w:val="24"/>
          <w:lang w:eastAsia="fr-FR"/>
        </w:rPr>
      </w:pPr>
      <w:r w:rsidRPr="002462E6">
        <w:rPr>
          <w:rFonts w:ascii="Tahoma" w:eastAsia="Times New Roman" w:hAnsi="Tahoma" w:cs="Tahoma"/>
          <w:sz w:val="24"/>
          <w:szCs w:val="24"/>
          <w:lang w:eastAsia="fr-FR"/>
        </w:rPr>
        <w:t>La fragmentation du paysage forestier limite la connectivité entre les populations animales et végétales, réduisant leur capacité de migration et de reproduction, phénomène particulièrement critique pour les espèces à faible capacité de dispersion</w:t>
      </w:r>
      <w:r w:rsidRPr="002462E6">
        <w:rPr>
          <w:rFonts w:ascii="Tahoma" w:eastAsia="Times New Roman" w:hAnsi="Tahoma" w:cs="Tahoma"/>
          <w:sz w:val="24"/>
          <w:szCs w:val="24"/>
          <w:vertAlign w:val="superscript"/>
          <w:lang w:eastAsia="fr-FR"/>
        </w:rPr>
        <w:footnoteReference w:id="475"/>
      </w:r>
      <w:r w:rsidRPr="002462E6">
        <w:rPr>
          <w:rFonts w:ascii="Tahoma" w:eastAsia="Times New Roman" w:hAnsi="Tahoma" w:cs="Tahoma"/>
          <w:sz w:val="24"/>
          <w:szCs w:val="24"/>
          <w:lang w:eastAsia="fr-FR"/>
        </w:rPr>
        <w:t>.</w:t>
      </w:r>
    </w:p>
    <w:p w:rsidR="00712860" w:rsidRPr="002462E6" w:rsidRDefault="00712860" w:rsidP="00D051D7">
      <w:pPr>
        <w:widowControl w:val="0"/>
        <w:numPr>
          <w:ilvl w:val="0"/>
          <w:numId w:val="75"/>
        </w:numPr>
        <w:autoSpaceDE w:val="0"/>
        <w:autoSpaceDN w:val="0"/>
        <w:spacing w:before="100" w:beforeAutospacing="1" w:after="100" w:afterAutospacing="1" w:line="360" w:lineRule="auto"/>
        <w:jc w:val="both"/>
        <w:outlineLvl w:val="3"/>
        <w:rPr>
          <w:rFonts w:ascii="Tahoma" w:eastAsia="Times New Roman" w:hAnsi="Tahoma" w:cs="Tahoma"/>
          <w:b/>
          <w:bCs/>
          <w:sz w:val="24"/>
          <w:szCs w:val="24"/>
          <w:lang w:eastAsia="fr-FR"/>
        </w:rPr>
      </w:pPr>
      <w:bookmarkStart w:id="298" w:name="_Toc201570837"/>
      <w:r w:rsidRPr="002462E6">
        <w:rPr>
          <w:rFonts w:ascii="Tahoma" w:eastAsia="Times New Roman" w:hAnsi="Tahoma" w:cs="Tahoma"/>
          <w:b/>
          <w:bCs/>
          <w:sz w:val="24"/>
          <w:szCs w:val="24"/>
          <w:lang w:eastAsia="fr-FR"/>
        </w:rPr>
        <w:t>Dégradation des services écosystémiques</w:t>
      </w:r>
      <w:bookmarkEnd w:id="298"/>
    </w:p>
    <w:p w:rsidR="00712860" w:rsidRPr="002462E6" w:rsidRDefault="00712860" w:rsidP="00BD2C25">
      <w:pPr>
        <w:widowControl w:val="0"/>
        <w:autoSpaceDE w:val="0"/>
        <w:autoSpaceDN w:val="0"/>
        <w:spacing w:before="100" w:beforeAutospacing="1" w:after="100" w:afterAutospacing="1" w:line="360" w:lineRule="auto"/>
        <w:ind w:left="708"/>
        <w:jc w:val="both"/>
        <w:outlineLvl w:val="3"/>
        <w:rPr>
          <w:rFonts w:ascii="Tahoma" w:eastAsia="Times New Roman" w:hAnsi="Tahoma" w:cs="Tahoma"/>
          <w:b/>
          <w:bCs/>
          <w:sz w:val="24"/>
          <w:szCs w:val="24"/>
          <w:lang w:eastAsia="fr-FR"/>
        </w:rPr>
      </w:pPr>
      <w:r w:rsidRPr="002462E6">
        <w:rPr>
          <w:rFonts w:ascii="Tahoma" w:eastAsia="Times New Roman" w:hAnsi="Tahoma" w:cs="Tahoma"/>
          <w:b/>
          <w:bCs/>
          <w:sz w:val="24"/>
          <w:szCs w:val="24"/>
          <w:lang w:eastAsia="fr-FR"/>
        </w:rPr>
        <w:t>Régulation hydrique</w:t>
      </w:r>
    </w:p>
    <w:p w:rsidR="00712860" w:rsidRPr="002462E6" w:rsidRDefault="00712860" w:rsidP="00712860">
      <w:pPr>
        <w:spacing w:before="100" w:beforeAutospacing="1" w:after="100" w:afterAutospacing="1" w:line="360" w:lineRule="auto"/>
        <w:jc w:val="both"/>
        <w:rPr>
          <w:rFonts w:ascii="Tahoma" w:eastAsia="Times New Roman" w:hAnsi="Tahoma" w:cs="Tahoma"/>
          <w:sz w:val="24"/>
          <w:szCs w:val="24"/>
          <w:lang w:eastAsia="fr-FR"/>
        </w:rPr>
      </w:pPr>
      <w:r w:rsidRPr="002462E6">
        <w:rPr>
          <w:rFonts w:ascii="Tahoma" w:eastAsia="Times New Roman" w:hAnsi="Tahoma" w:cs="Tahoma"/>
          <w:sz w:val="24"/>
          <w:szCs w:val="24"/>
          <w:lang w:eastAsia="fr-FR"/>
        </w:rPr>
        <w:t>La déforestation affecte profondément les ressources hydriques en réduisant la capacité des sols à retenir l'humidité, aggravant ainsi les périodes de sécheresse</w:t>
      </w:r>
      <w:r w:rsidRPr="002462E6">
        <w:rPr>
          <w:rFonts w:ascii="Tahoma" w:eastAsia="Times New Roman" w:hAnsi="Tahoma" w:cs="Tahoma"/>
          <w:sz w:val="24"/>
          <w:szCs w:val="24"/>
          <w:vertAlign w:val="superscript"/>
          <w:lang w:eastAsia="fr-FR"/>
        </w:rPr>
        <w:footnoteReference w:id="476"/>
      </w:r>
      <w:r w:rsidRPr="002462E6">
        <w:rPr>
          <w:rFonts w:ascii="Tahoma" w:eastAsia="Times New Roman" w:hAnsi="Tahoma" w:cs="Tahoma"/>
          <w:sz w:val="24"/>
          <w:szCs w:val="24"/>
          <w:lang w:eastAsia="fr-FR"/>
        </w:rPr>
        <w:t>. La diminution du couvert forestier compromet l'interception des précipitations et réduit l'infiltration, favorisant le ruissellement superficiel et l'érosion des sols</w:t>
      </w:r>
      <w:r w:rsidRPr="002462E6">
        <w:rPr>
          <w:rFonts w:ascii="Tahoma" w:eastAsia="Times New Roman" w:hAnsi="Tahoma" w:cs="Tahoma"/>
          <w:sz w:val="24"/>
          <w:szCs w:val="24"/>
          <w:vertAlign w:val="superscript"/>
          <w:lang w:eastAsia="fr-FR"/>
        </w:rPr>
        <w:footnoteReference w:id="477"/>
      </w:r>
      <w:r w:rsidRPr="002462E6">
        <w:rPr>
          <w:rFonts w:ascii="Tahoma" w:eastAsia="Times New Roman" w:hAnsi="Tahoma" w:cs="Tahoma"/>
          <w:sz w:val="24"/>
          <w:szCs w:val="24"/>
          <w:lang w:eastAsia="fr-FR"/>
        </w:rPr>
        <w:t>.</w:t>
      </w:r>
    </w:p>
    <w:p w:rsidR="00712860" w:rsidRPr="002462E6" w:rsidRDefault="00712860" w:rsidP="00BD2C25">
      <w:pPr>
        <w:widowControl w:val="0"/>
        <w:autoSpaceDE w:val="0"/>
        <w:autoSpaceDN w:val="0"/>
        <w:spacing w:before="100" w:beforeAutospacing="1" w:after="100" w:afterAutospacing="1" w:line="360" w:lineRule="auto"/>
        <w:ind w:left="708"/>
        <w:jc w:val="both"/>
        <w:outlineLvl w:val="3"/>
        <w:rPr>
          <w:rFonts w:ascii="Tahoma" w:eastAsia="Times New Roman" w:hAnsi="Tahoma" w:cs="Tahoma"/>
          <w:b/>
          <w:bCs/>
          <w:sz w:val="24"/>
          <w:szCs w:val="24"/>
          <w:lang w:eastAsia="fr-FR"/>
        </w:rPr>
      </w:pPr>
      <w:r w:rsidRPr="002462E6">
        <w:rPr>
          <w:rFonts w:ascii="Tahoma" w:eastAsia="Times New Roman" w:hAnsi="Tahoma" w:cs="Tahoma"/>
          <w:b/>
          <w:bCs/>
          <w:sz w:val="24"/>
          <w:szCs w:val="24"/>
          <w:lang w:eastAsia="fr-FR"/>
        </w:rPr>
        <w:t>Séquestration du carbone</w:t>
      </w:r>
    </w:p>
    <w:p w:rsidR="00712860" w:rsidRPr="002462E6" w:rsidRDefault="00712860" w:rsidP="00712860">
      <w:pPr>
        <w:spacing w:before="100" w:beforeAutospacing="1" w:after="100" w:afterAutospacing="1" w:line="360" w:lineRule="auto"/>
        <w:jc w:val="both"/>
        <w:rPr>
          <w:rFonts w:ascii="Tahoma" w:eastAsia="Times New Roman" w:hAnsi="Tahoma" w:cs="Tahoma"/>
          <w:sz w:val="24"/>
          <w:szCs w:val="24"/>
          <w:lang w:eastAsia="fr-FR"/>
        </w:rPr>
      </w:pPr>
      <w:r w:rsidRPr="002462E6">
        <w:rPr>
          <w:rFonts w:ascii="Tahoma" w:eastAsia="Times New Roman" w:hAnsi="Tahoma" w:cs="Tahoma"/>
          <w:sz w:val="24"/>
          <w:szCs w:val="24"/>
          <w:lang w:eastAsia="fr-FR"/>
        </w:rPr>
        <w:t>D'un point de vue climatique, la dégradation de la forêt de Korifla contribue au changement climatique par la libération du dioxyde de carbone précédemment séquestré dans la biomasse ligneuse</w:t>
      </w:r>
      <w:r w:rsidRPr="002462E6">
        <w:rPr>
          <w:rFonts w:ascii="Tahoma" w:eastAsia="Times New Roman" w:hAnsi="Tahoma" w:cs="Tahoma"/>
          <w:sz w:val="24"/>
          <w:szCs w:val="24"/>
          <w:vertAlign w:val="superscript"/>
          <w:lang w:eastAsia="fr-FR"/>
        </w:rPr>
        <w:footnoteReference w:id="478"/>
      </w:r>
      <w:r w:rsidRPr="002462E6">
        <w:rPr>
          <w:rFonts w:ascii="Tahoma" w:eastAsia="Times New Roman" w:hAnsi="Tahoma" w:cs="Tahoma"/>
          <w:sz w:val="24"/>
          <w:szCs w:val="24"/>
          <w:lang w:eastAsia="fr-FR"/>
        </w:rPr>
        <w:t>. Parallèlement, la réduction des surfaces forestières diminue la capacité globale d'absorption du CO₂ atmosphérique, créant un effet de rétroaction positive qui amplifie les changements climatiques</w:t>
      </w:r>
      <w:r w:rsidRPr="002462E6">
        <w:rPr>
          <w:rFonts w:ascii="Tahoma" w:eastAsia="Times New Roman" w:hAnsi="Tahoma" w:cs="Tahoma"/>
          <w:sz w:val="24"/>
          <w:szCs w:val="24"/>
          <w:vertAlign w:val="superscript"/>
          <w:lang w:eastAsia="fr-FR"/>
        </w:rPr>
        <w:footnoteReference w:id="479"/>
      </w:r>
      <w:r w:rsidRPr="002462E6">
        <w:rPr>
          <w:rFonts w:ascii="Tahoma" w:eastAsia="Times New Roman" w:hAnsi="Tahoma" w:cs="Tahoma"/>
          <w:sz w:val="24"/>
          <w:szCs w:val="24"/>
          <w:lang w:eastAsia="fr-FR"/>
        </w:rPr>
        <w:t>.</w:t>
      </w:r>
    </w:p>
    <w:p w:rsidR="00A4653C" w:rsidRPr="002462E6" w:rsidRDefault="00712860" w:rsidP="00A4653C">
      <w:pPr>
        <w:widowControl w:val="0"/>
        <w:autoSpaceDE w:val="0"/>
        <w:autoSpaceDN w:val="0"/>
        <w:spacing w:after="0" w:line="360" w:lineRule="auto"/>
        <w:ind w:left="708"/>
        <w:jc w:val="both"/>
        <w:outlineLvl w:val="3"/>
        <w:rPr>
          <w:rFonts w:ascii="Tahoma" w:eastAsia="Times New Roman" w:hAnsi="Tahoma" w:cs="Tahoma"/>
          <w:b/>
          <w:bCs/>
          <w:sz w:val="24"/>
          <w:szCs w:val="24"/>
          <w:lang w:eastAsia="fr-FR"/>
        </w:rPr>
      </w:pPr>
      <w:r w:rsidRPr="002462E6">
        <w:rPr>
          <w:rFonts w:ascii="Tahoma" w:eastAsia="Times New Roman" w:hAnsi="Tahoma" w:cs="Tahoma"/>
          <w:b/>
          <w:bCs/>
          <w:sz w:val="24"/>
          <w:szCs w:val="24"/>
          <w:lang w:eastAsia="fr-FR"/>
        </w:rPr>
        <w:t>Protection des sols</w:t>
      </w:r>
    </w:p>
    <w:p w:rsidR="00712860" w:rsidRPr="002462E6" w:rsidRDefault="00712860" w:rsidP="00A4653C">
      <w:pPr>
        <w:widowControl w:val="0"/>
        <w:autoSpaceDE w:val="0"/>
        <w:autoSpaceDN w:val="0"/>
        <w:spacing w:after="0" w:line="360" w:lineRule="auto"/>
        <w:jc w:val="both"/>
        <w:outlineLvl w:val="3"/>
        <w:rPr>
          <w:rFonts w:ascii="Tahoma" w:eastAsia="Times New Roman" w:hAnsi="Tahoma" w:cs="Tahoma"/>
          <w:b/>
          <w:bCs/>
          <w:sz w:val="24"/>
          <w:szCs w:val="24"/>
          <w:lang w:eastAsia="fr-FR"/>
        </w:rPr>
      </w:pPr>
      <w:r w:rsidRPr="002462E6">
        <w:rPr>
          <w:rFonts w:ascii="Tahoma" w:eastAsia="Times New Roman" w:hAnsi="Tahoma" w:cs="Tahoma"/>
          <w:sz w:val="24"/>
          <w:szCs w:val="24"/>
          <w:lang w:eastAsia="fr-FR"/>
        </w:rPr>
        <w:t>La déforestation favorise l'érosion des sols, compromettant leur structure et leur fertilité</w:t>
      </w:r>
      <w:r w:rsidRPr="002462E6">
        <w:rPr>
          <w:rFonts w:ascii="Tahoma" w:eastAsia="Times New Roman" w:hAnsi="Tahoma" w:cs="Tahoma"/>
          <w:sz w:val="24"/>
          <w:szCs w:val="24"/>
          <w:vertAlign w:val="superscript"/>
          <w:lang w:eastAsia="fr-FR"/>
        </w:rPr>
        <w:footnoteReference w:id="480"/>
      </w:r>
      <w:r w:rsidRPr="002462E6">
        <w:rPr>
          <w:rFonts w:ascii="Tahoma" w:eastAsia="Times New Roman" w:hAnsi="Tahoma" w:cs="Tahoma"/>
          <w:sz w:val="24"/>
          <w:szCs w:val="24"/>
          <w:lang w:eastAsia="fr-FR"/>
        </w:rPr>
        <w:t>. Cette dégradation édaphique augmente la vulnérabilité aux glissements de terrain et aux inondations, phénomènes aux conséquences socio-économiques considérables</w:t>
      </w:r>
      <w:r w:rsidRPr="002462E6">
        <w:rPr>
          <w:rFonts w:ascii="Tahoma" w:eastAsia="Times New Roman" w:hAnsi="Tahoma" w:cs="Tahoma"/>
          <w:sz w:val="24"/>
          <w:szCs w:val="24"/>
          <w:vertAlign w:val="superscript"/>
          <w:lang w:eastAsia="fr-FR"/>
        </w:rPr>
        <w:footnoteReference w:id="481"/>
      </w:r>
      <w:r w:rsidRPr="002462E6">
        <w:rPr>
          <w:rFonts w:ascii="Tahoma" w:eastAsia="Times New Roman" w:hAnsi="Tahoma" w:cs="Tahoma"/>
          <w:sz w:val="24"/>
          <w:szCs w:val="24"/>
          <w:lang w:eastAsia="fr-FR"/>
        </w:rPr>
        <w:t>.</w:t>
      </w:r>
    </w:p>
    <w:p w:rsidR="00712860" w:rsidRPr="002462E6" w:rsidRDefault="00712860" w:rsidP="00724A66">
      <w:pPr>
        <w:spacing w:before="100" w:beforeAutospacing="1" w:after="100" w:afterAutospacing="1" w:line="360" w:lineRule="auto"/>
        <w:jc w:val="both"/>
        <w:rPr>
          <w:rFonts w:ascii="Tahoma" w:eastAsia="Times New Roman" w:hAnsi="Tahoma" w:cs="Tahoma"/>
          <w:sz w:val="24"/>
          <w:szCs w:val="24"/>
          <w:lang w:eastAsia="fr-FR"/>
        </w:rPr>
      </w:pPr>
      <w:r w:rsidRPr="002462E6">
        <w:rPr>
          <w:rFonts w:ascii="Tahoma" w:eastAsia="Times New Roman" w:hAnsi="Tahoma" w:cs="Tahoma"/>
          <w:sz w:val="24"/>
          <w:szCs w:val="24"/>
          <w:lang w:eastAsia="fr-FR"/>
        </w:rPr>
        <w:t>La dégradation forestière impacte directement les populations locales dont les moyens de subsistance dépendent des ressources forestières. La raréfaction des ressources en bois et en produits forestiers non ligneux (plantes médicinales, fruits, champignons) engendre une diminution substantielle des revenus pour les communautés rurales</w:t>
      </w:r>
      <w:r w:rsidRPr="002462E6">
        <w:rPr>
          <w:rFonts w:ascii="Tahoma" w:eastAsia="Times New Roman" w:hAnsi="Tahoma" w:cs="Tahoma"/>
          <w:sz w:val="24"/>
          <w:szCs w:val="24"/>
          <w:vertAlign w:val="superscript"/>
          <w:lang w:eastAsia="fr-FR"/>
        </w:rPr>
        <w:footnoteReference w:id="482"/>
      </w:r>
      <w:r w:rsidRPr="002462E6">
        <w:rPr>
          <w:rFonts w:ascii="Tahoma" w:eastAsia="Times New Roman" w:hAnsi="Tahoma" w:cs="Tahoma"/>
          <w:sz w:val="24"/>
          <w:szCs w:val="24"/>
          <w:lang w:eastAsia="fr-FR"/>
        </w:rPr>
        <w:t>. Cette situation économique précaire accentue la vulnérabilité des populations face aux chocs externes et limite leurs capacités d'adaptation</w:t>
      </w:r>
      <w:r w:rsidRPr="002462E6">
        <w:rPr>
          <w:rFonts w:ascii="Tahoma" w:eastAsia="Times New Roman" w:hAnsi="Tahoma" w:cs="Tahoma"/>
          <w:sz w:val="24"/>
          <w:szCs w:val="24"/>
          <w:vertAlign w:val="superscript"/>
          <w:lang w:eastAsia="fr-FR"/>
        </w:rPr>
        <w:footnoteReference w:id="483"/>
      </w:r>
      <w:r w:rsidRPr="002462E6">
        <w:rPr>
          <w:rFonts w:ascii="Tahoma" w:eastAsia="Times New Roman" w:hAnsi="Tahoma" w:cs="Tahoma"/>
          <w:sz w:val="24"/>
          <w:szCs w:val="24"/>
          <w:lang w:eastAsia="fr-FR"/>
        </w:rPr>
        <w:t>.</w:t>
      </w:r>
    </w:p>
    <w:p w:rsidR="00712860" w:rsidRPr="002462E6" w:rsidRDefault="00712860" w:rsidP="008D3838">
      <w:pPr>
        <w:pStyle w:val="Titre6"/>
      </w:pPr>
      <w:bookmarkStart w:id="299" w:name="_Toc201655495"/>
      <w:bookmarkStart w:id="300" w:name="_Toc203643066"/>
      <w:r w:rsidRPr="002462E6">
        <w:t>Facteurs anthropiques de la dégradation de la forêt de Korifla</w:t>
      </w:r>
      <w:bookmarkEnd w:id="299"/>
      <w:bookmarkEnd w:id="300"/>
    </w:p>
    <w:p w:rsidR="00712860" w:rsidRPr="002462E6" w:rsidRDefault="00712860" w:rsidP="00712860">
      <w:pPr>
        <w:spacing w:before="100" w:beforeAutospacing="1" w:after="100" w:afterAutospacing="1" w:line="360" w:lineRule="auto"/>
        <w:jc w:val="both"/>
        <w:rPr>
          <w:rFonts w:ascii="Times New Roman" w:eastAsia="Times New Roman" w:hAnsi="Times New Roman" w:cs="Times New Roman"/>
          <w:sz w:val="24"/>
          <w:szCs w:val="24"/>
          <w:lang w:eastAsia="fr-FR"/>
        </w:rPr>
      </w:pPr>
      <w:r w:rsidRPr="002462E6">
        <w:rPr>
          <w:rFonts w:ascii="Times New Roman" w:eastAsia="Times New Roman" w:hAnsi="Times New Roman" w:cs="Times New Roman"/>
          <w:sz w:val="24"/>
          <w:szCs w:val="24"/>
          <w:lang w:eastAsia="fr-FR"/>
        </w:rPr>
        <w:t>La forêt de Korifla fait face à des pressions anthropiques multiformes qui constituent les vecteurs principaux de sa dégradation écologique. L'analyse des données du plan de gestion forestier et des dynamiques socio-démographiques territoriales révèle une situation préoccupante, caractérisée par l'intensification des interactions homme-nature dans un contexte de vulnérabilité socio-économique accrue</w:t>
      </w:r>
      <w:r w:rsidRPr="002462E6">
        <w:rPr>
          <w:rFonts w:ascii="Times New Roman" w:eastAsia="Times New Roman" w:hAnsi="Times New Roman" w:cs="Times New Roman"/>
          <w:sz w:val="24"/>
          <w:szCs w:val="24"/>
          <w:vertAlign w:val="superscript"/>
          <w:lang w:eastAsia="fr-FR"/>
        </w:rPr>
        <w:footnoteReference w:id="484"/>
      </w:r>
      <w:r w:rsidRPr="002462E6">
        <w:rPr>
          <w:rFonts w:ascii="Times New Roman" w:eastAsia="Times New Roman" w:hAnsi="Times New Roman" w:cs="Times New Roman"/>
          <w:sz w:val="24"/>
          <w:szCs w:val="24"/>
          <w:lang w:eastAsia="fr-FR"/>
        </w:rPr>
        <w:t>.</w:t>
      </w:r>
    </w:p>
    <w:p w:rsidR="00712860" w:rsidRPr="002462E6" w:rsidRDefault="00712860" w:rsidP="00D051D7">
      <w:pPr>
        <w:pStyle w:val="Titre7"/>
        <w:numPr>
          <w:ilvl w:val="0"/>
          <w:numId w:val="76"/>
        </w:numPr>
      </w:pPr>
      <w:r w:rsidRPr="002462E6">
        <w:t xml:space="preserve"> </w:t>
      </w:r>
      <w:bookmarkStart w:id="301" w:name="_Toc201655496"/>
      <w:bookmarkStart w:id="302" w:name="_Toc203643067"/>
      <w:r w:rsidRPr="002462E6">
        <w:t>Dynamiques démographiques contrastées et leurs implications écologiques</w:t>
      </w:r>
      <w:bookmarkEnd w:id="301"/>
      <w:bookmarkEnd w:id="302"/>
    </w:p>
    <w:p w:rsidR="00712860" w:rsidRPr="002462E6" w:rsidRDefault="00712860" w:rsidP="00E35254">
      <w:pPr>
        <w:spacing w:before="100" w:beforeAutospacing="1" w:after="100" w:afterAutospacing="1" w:line="360" w:lineRule="auto"/>
        <w:jc w:val="both"/>
        <w:rPr>
          <w:rFonts w:ascii="Times New Roman" w:eastAsia="Times New Roman" w:hAnsi="Times New Roman" w:cs="Times New Roman"/>
          <w:sz w:val="24"/>
          <w:szCs w:val="24"/>
          <w:lang w:eastAsia="fr-FR"/>
        </w:rPr>
      </w:pPr>
      <w:r w:rsidRPr="002462E6">
        <w:rPr>
          <w:rFonts w:ascii="Times New Roman" w:eastAsia="Times New Roman" w:hAnsi="Times New Roman" w:cs="Times New Roman"/>
          <w:sz w:val="24"/>
          <w:szCs w:val="24"/>
          <w:lang w:eastAsia="fr-FR"/>
        </w:rPr>
        <w:t xml:space="preserve">Le territoire forestier de Korifla, s'étendant sur les communes rurales de Sidi Yahya Zaeer, Oumazza, Brachoua et Marchouch, présente des trajectoires démographiques hétérogènes </w:t>
      </w:r>
      <w:r w:rsidRPr="002462E6">
        <w:rPr>
          <w:rFonts w:ascii="Tahoma" w:eastAsia="Times New Roman" w:hAnsi="Tahoma" w:cs="Tahoma"/>
          <w:sz w:val="24"/>
          <w:szCs w:val="24"/>
          <w:lang w:eastAsia="fr-FR"/>
        </w:rPr>
        <w:t>(</w:t>
      </w:r>
      <w:r w:rsidR="00386575" w:rsidRPr="002462E6">
        <w:rPr>
          <w:rFonts w:ascii="Tahoma" w:eastAsia="Times New Roman" w:hAnsi="Tahoma" w:cs="Tahoma"/>
          <w:b/>
          <w:bCs/>
          <w:sz w:val="24"/>
          <w:szCs w:val="24"/>
          <w:lang w:eastAsia="fr-FR"/>
        </w:rPr>
        <w:t xml:space="preserve">Carte N° </w:t>
      </w:r>
      <w:r w:rsidR="00E35254" w:rsidRPr="002462E6">
        <w:rPr>
          <w:rFonts w:ascii="Tahoma" w:eastAsia="Times New Roman" w:hAnsi="Tahoma" w:cs="Tahoma"/>
          <w:b/>
          <w:bCs/>
          <w:sz w:val="24"/>
          <w:szCs w:val="24"/>
          <w:lang w:eastAsia="fr-FR"/>
        </w:rPr>
        <w:t>10</w:t>
      </w:r>
      <w:r w:rsidRPr="002462E6">
        <w:rPr>
          <w:rFonts w:ascii="Tahoma" w:eastAsia="Times New Roman" w:hAnsi="Tahoma" w:cs="Tahoma"/>
          <w:sz w:val="24"/>
          <w:szCs w:val="24"/>
          <w:lang w:eastAsia="fr-FR"/>
        </w:rPr>
        <w:t>)</w:t>
      </w:r>
      <w:r w:rsidRPr="002462E6">
        <w:rPr>
          <w:rFonts w:ascii="Times New Roman" w:eastAsia="Times New Roman" w:hAnsi="Times New Roman" w:cs="Times New Roman"/>
          <w:sz w:val="24"/>
          <w:szCs w:val="24"/>
          <w:lang w:eastAsia="fr-FR"/>
        </w:rPr>
        <w:t xml:space="preserve"> dont les répercussions sur les écosystèmes forestiers s'avèrent particulièrement contrastées</w:t>
      </w:r>
      <w:r w:rsidRPr="002462E6">
        <w:rPr>
          <w:rFonts w:ascii="Times New Roman" w:eastAsia="Times New Roman" w:hAnsi="Times New Roman" w:cs="Times New Roman"/>
          <w:sz w:val="24"/>
          <w:szCs w:val="24"/>
          <w:vertAlign w:val="superscript"/>
          <w:lang w:eastAsia="fr-FR"/>
        </w:rPr>
        <w:footnoteReference w:id="485"/>
      </w:r>
      <w:r w:rsidRPr="002462E6">
        <w:rPr>
          <w:rFonts w:ascii="Times New Roman" w:eastAsia="Times New Roman" w:hAnsi="Times New Roman" w:cs="Times New Roman"/>
          <w:sz w:val="24"/>
          <w:szCs w:val="24"/>
          <w:lang w:eastAsia="fr-FR"/>
        </w:rPr>
        <w:t>.</w:t>
      </w:r>
    </w:p>
    <w:p w:rsidR="00712860" w:rsidRPr="002462E6" w:rsidRDefault="00712860" w:rsidP="00712860">
      <w:pPr>
        <w:spacing w:before="100" w:beforeAutospacing="1" w:after="100" w:afterAutospacing="1" w:line="360" w:lineRule="auto"/>
        <w:jc w:val="both"/>
        <w:rPr>
          <w:rFonts w:ascii="Times New Roman" w:eastAsia="Times New Roman" w:hAnsi="Times New Roman" w:cs="Times New Roman"/>
          <w:sz w:val="24"/>
          <w:szCs w:val="24"/>
          <w:lang w:eastAsia="fr-FR"/>
        </w:rPr>
      </w:pPr>
    </w:p>
    <w:p w:rsidR="00712860" w:rsidRPr="002462E6" w:rsidRDefault="00247FE0" w:rsidP="00222161">
      <w:pPr>
        <w:spacing w:before="100" w:beforeAutospacing="1" w:after="100" w:afterAutospacing="1" w:line="360" w:lineRule="auto"/>
        <w:jc w:val="both"/>
        <w:rPr>
          <w:rFonts w:ascii="Times New Roman" w:eastAsia="Times New Roman" w:hAnsi="Times New Roman" w:cs="Times New Roman"/>
          <w:sz w:val="24"/>
          <w:szCs w:val="24"/>
          <w:lang w:eastAsia="fr-FR"/>
        </w:rPr>
      </w:pPr>
      <w:r w:rsidRPr="002462E6">
        <w:rPr>
          <w:rFonts w:ascii="Times New Roman" w:eastAsia="Times New Roman" w:hAnsi="Times New Roman" w:cs="Times New Roman"/>
          <w:noProof/>
          <w:sz w:val="24"/>
          <w:szCs w:val="24"/>
          <w:lang w:eastAsia="fr-FR"/>
        </w:rPr>
        <mc:AlternateContent>
          <mc:Choice Requires="wps">
            <w:drawing>
              <wp:anchor distT="0" distB="0" distL="114300" distR="114300" simplePos="0" relativeHeight="251701248" behindDoc="1" locked="0" layoutInCell="1" allowOverlap="1" wp14:anchorId="3FF1CF9B" wp14:editId="3AB65370">
                <wp:simplePos x="0" y="0"/>
                <wp:positionH relativeFrom="column">
                  <wp:posOffset>-3771900</wp:posOffset>
                </wp:positionH>
                <wp:positionV relativeFrom="paragraph">
                  <wp:posOffset>3694430</wp:posOffset>
                </wp:positionV>
                <wp:extent cx="7647940" cy="607695"/>
                <wp:effectExtent l="0" t="4128" r="6033" b="6032"/>
                <wp:wrapTight wrapText="bothSides">
                  <wp:wrapPolygon edited="0">
                    <wp:start x="21612" y="147"/>
                    <wp:lineTo x="37" y="147"/>
                    <wp:lineTo x="37" y="21137"/>
                    <wp:lineTo x="21612" y="21137"/>
                    <wp:lineTo x="21612" y="147"/>
                  </wp:wrapPolygon>
                </wp:wrapTight>
                <wp:docPr id="30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6200000">
                          <a:off x="0" y="0"/>
                          <a:ext cx="7647940" cy="607695"/>
                        </a:xfrm>
                        <a:prstGeom prst="rect">
                          <a:avLst/>
                        </a:prstGeom>
                        <a:solidFill>
                          <a:srgbClr val="FFFFFF"/>
                        </a:solidFill>
                        <a:ln w="9525">
                          <a:noFill/>
                          <a:miter lim="800000"/>
                          <a:headEnd/>
                          <a:tailEnd/>
                        </a:ln>
                      </wps:spPr>
                      <wps:txbx>
                        <w:txbxContent>
                          <w:p w:rsidR="0083519B" w:rsidRDefault="0083519B" w:rsidP="000D57A1">
                            <w:pPr>
                              <w:pStyle w:val="Sous-titre"/>
                            </w:pPr>
                            <w:bookmarkStart w:id="303" w:name="_Toc203642684"/>
                            <w:r>
                              <w:t xml:space="preserve">Carte </w:t>
                            </w:r>
                            <w:r w:rsidR="00225ED1">
                              <w:rPr>
                                <w:noProof/>
                              </w:rPr>
                              <w:fldChar w:fldCharType="begin"/>
                            </w:r>
                            <w:r w:rsidR="00225ED1">
                              <w:rPr>
                                <w:noProof/>
                              </w:rPr>
                              <w:instrText xml:space="preserve"> SEQ Carte \* ARABIC </w:instrText>
                            </w:r>
                            <w:r w:rsidR="00225ED1">
                              <w:rPr>
                                <w:noProof/>
                              </w:rPr>
                              <w:fldChar w:fldCharType="separate"/>
                            </w:r>
                            <w:r w:rsidR="00124AFB">
                              <w:rPr>
                                <w:noProof/>
                              </w:rPr>
                              <w:t>10</w:t>
                            </w:r>
                            <w:r w:rsidR="00225ED1">
                              <w:rPr>
                                <w:noProof/>
                              </w:rPr>
                              <w:fldChar w:fldCharType="end"/>
                            </w:r>
                            <w:r>
                              <w:t xml:space="preserve"> : </w:t>
                            </w:r>
                            <w:r w:rsidRPr="002D5062">
                              <w:t>Impact des dynamiques démographiques et socioéconomiques sur la dégradation de la forêt de Korifla</w:t>
                            </w:r>
                            <w:bookmarkEnd w:id="303"/>
                          </w:p>
                          <w:p w:rsidR="0083519B" w:rsidRDefault="0083519B" w:rsidP="0022216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FF1CF9B" id="_x0000_s1059" type="#_x0000_t202" style="position:absolute;left:0;text-align:left;margin-left:-297pt;margin-top:290.9pt;width:602.2pt;height:47.85pt;rotation:-90;z-index:-251615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" stroked="f">
                <v:textbox>
                  <w:txbxContent>
                    <w:p w:rsidR="0083519B" w:rsidRDefault="0083519B" w:rsidP="000D57A1">
                      <w:pPr>
                        <w:pStyle w:val="Sous-titre"/>
                      </w:pPr>
                      <w:bookmarkStart w:id="311" w:name="_Toc203642684"/>
                      <w:r>
                        <w:t xml:space="preserve">Carte </w:t>
                      </w:r>
                      <w:r w:rsidR="00225ED1">
                        <w:rPr>
                          <w:noProof/>
                        </w:rPr>
                        <w:fldChar w:fldCharType="begin"/>
                      </w:r>
                      <w:r w:rsidR="00225ED1">
                        <w:rPr>
                          <w:noProof/>
                        </w:rPr>
                        <w:instrText xml:space="preserve"> SEQ Carte \* ARABIC </w:instrText>
                      </w:r>
                      <w:r w:rsidR="00225ED1">
                        <w:rPr>
                          <w:noProof/>
                        </w:rPr>
                        <w:fldChar w:fldCharType="separate"/>
                      </w:r>
                      <w:r w:rsidR="00124AFB">
                        <w:rPr>
                          <w:noProof/>
                        </w:rPr>
                        <w:t>10</w:t>
                      </w:r>
                      <w:r w:rsidR="00225ED1">
                        <w:rPr>
                          <w:noProof/>
                        </w:rPr>
                        <w:fldChar w:fldCharType="end"/>
                      </w:r>
                      <w:r>
                        <w:t xml:space="preserve"> : </w:t>
                      </w:r>
                      <w:r w:rsidRPr="002D5062">
                        <w:t>Impact des dynamiques démographiques et socioéconomiques sur la dégradation de la forêt de Korifla</w:t>
                      </w:r>
                      <w:bookmarkEnd w:id="311"/>
                    </w:p>
                    <w:p w:rsidR="0083519B" w:rsidRDefault="0083519B" w:rsidP="00222161"/>
                  </w:txbxContent>
                </v:textbox>
                <w10:wrap type="tight"/>
              </v:shape>
            </w:pict>
          </mc:Fallback>
        </mc:AlternateContent>
      </w:r>
      <w:r w:rsidR="00222161" w:rsidRPr="002462E6">
        <w:rPr>
          <w:rFonts w:ascii="Times New Roman" w:eastAsia="Times New Roman" w:hAnsi="Times New Roman" w:cs="Times New Roman"/>
          <w:noProof/>
          <w:sz w:val="24"/>
          <w:szCs w:val="24"/>
          <w:lang w:eastAsia="fr-FR"/>
        </w:rPr>
        <mc:AlternateContent>
          <mc:Choice Requires="wps">
            <w:drawing>
              <wp:anchor distT="0" distB="0" distL="114300" distR="114300" simplePos="0" relativeHeight="251703296" behindDoc="1" locked="0" layoutInCell="1" allowOverlap="1" wp14:anchorId="7FABB943" wp14:editId="79EF4DC6">
                <wp:simplePos x="0" y="0"/>
                <wp:positionH relativeFrom="column">
                  <wp:posOffset>2425065</wp:posOffset>
                </wp:positionH>
                <wp:positionV relativeFrom="paragraph">
                  <wp:posOffset>3769995</wp:posOffset>
                </wp:positionV>
                <wp:extent cx="7645400" cy="466090"/>
                <wp:effectExtent l="8255" t="0" r="1905" b="1905"/>
                <wp:wrapTight wrapText="bothSides">
                  <wp:wrapPolygon edited="0">
                    <wp:start x="21577" y="-383"/>
                    <wp:lineTo x="48" y="-383"/>
                    <wp:lineTo x="48" y="20805"/>
                    <wp:lineTo x="21577" y="20805"/>
                    <wp:lineTo x="21577" y="-383"/>
                  </wp:wrapPolygon>
                </wp:wrapTight>
                <wp:docPr id="15"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6200000">
                          <a:off x="0" y="0"/>
                          <a:ext cx="7645400" cy="466090"/>
                        </a:xfrm>
                        <a:prstGeom prst="rect">
                          <a:avLst/>
                        </a:prstGeom>
                        <a:solidFill>
                          <a:srgbClr val="FFFFFF"/>
                        </a:solidFill>
                        <a:ln w="9525">
                          <a:noFill/>
                          <a:miter lim="800000"/>
                          <a:headEnd/>
                          <a:tailEnd/>
                        </a:ln>
                      </wps:spPr>
                      <wps:txbx>
                        <w:txbxContent>
                          <w:p w:rsidR="0083519B" w:rsidRPr="0057505F" w:rsidRDefault="0083519B" w:rsidP="0057505F">
                            <w:pPr>
                              <w:spacing w:before="100" w:beforeAutospacing="1" w:after="100" w:afterAutospacing="1" w:line="360" w:lineRule="auto"/>
                              <w:jc w:val="center"/>
                              <w:rPr>
                                <w:rFonts w:ascii="Tahoma" w:eastAsia="Times New Roman" w:hAnsi="Tahoma" w:cs="Tahoma"/>
                                <w:sz w:val="24"/>
                                <w:szCs w:val="24"/>
                                <w:lang w:eastAsia="fr-FR"/>
                              </w:rPr>
                            </w:pPr>
                            <w:r w:rsidRPr="0057505F">
                              <w:rPr>
                                <w:rFonts w:ascii="Tahoma" w:eastAsia="Times New Roman" w:hAnsi="Tahoma" w:cs="Tahoma"/>
                                <w:b/>
                                <w:bCs/>
                                <w:sz w:val="24"/>
                                <w:szCs w:val="24"/>
                                <w:lang w:eastAsia="fr-FR"/>
                              </w:rPr>
                              <w:t>Source</w:t>
                            </w:r>
                            <w:r>
                              <w:rPr>
                                <w:rFonts w:ascii="Tahoma" w:eastAsia="Times New Roman" w:hAnsi="Tahoma" w:cs="Tahoma"/>
                                <w:sz w:val="24"/>
                                <w:szCs w:val="24"/>
                                <w:lang w:eastAsia="fr-FR"/>
                              </w:rPr>
                              <w:t xml:space="preserve"> : </w:t>
                            </w:r>
                            <w:r w:rsidRPr="0057505F">
                              <w:rPr>
                                <w:rFonts w:ascii="Tahoma" w:eastAsia="Times New Roman" w:hAnsi="Tahoma" w:cs="Tahoma"/>
                                <w:sz w:val="24"/>
                                <w:szCs w:val="24"/>
                                <w:lang w:eastAsia="fr-FR"/>
                              </w:rPr>
                              <w:t>Elaboration de l’auteur</w:t>
                            </w:r>
                          </w:p>
                          <w:p w:rsidR="0083519B" w:rsidRDefault="0083519B" w:rsidP="0022216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FABB943" id="_x0000_s1060" type="#_x0000_t202" style="position:absolute;left:0;text-align:left;margin-left:190.95pt;margin-top:296.85pt;width:602pt;height:36.7pt;rotation:-90;z-index:-251613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" stroked="f">
                <v:textbox>
                  <w:txbxContent>
                    <w:p w:rsidR="0083519B" w:rsidRPr="0057505F" w:rsidRDefault="0083519B" w:rsidP="0057505F">
                      <w:pPr>
                        <w:spacing w:before="100" w:beforeAutospacing="1" w:after="100" w:afterAutospacing="1" w:line="360" w:lineRule="auto"/>
                        <w:jc w:val="center"/>
                        <w:rPr>
                          <w:rFonts w:ascii="Tahoma" w:eastAsia="Times New Roman" w:hAnsi="Tahoma" w:cs="Tahoma"/>
                          <w:sz w:val="24"/>
                          <w:szCs w:val="24"/>
                          <w:lang w:eastAsia="fr-FR"/>
                        </w:rPr>
                      </w:pPr>
                      <w:r w:rsidRPr="0057505F">
                        <w:rPr>
                          <w:rFonts w:ascii="Tahoma" w:eastAsia="Times New Roman" w:hAnsi="Tahoma" w:cs="Tahoma"/>
                          <w:b/>
                          <w:bCs/>
                          <w:sz w:val="24"/>
                          <w:szCs w:val="24"/>
                          <w:lang w:eastAsia="fr-FR"/>
                        </w:rPr>
                        <w:t>Source</w:t>
                      </w:r>
                      <w:r>
                        <w:rPr>
                          <w:rFonts w:ascii="Tahoma" w:eastAsia="Times New Roman" w:hAnsi="Tahoma" w:cs="Tahoma"/>
                          <w:sz w:val="24"/>
                          <w:szCs w:val="24"/>
                          <w:lang w:eastAsia="fr-FR"/>
                        </w:rPr>
                        <w:t xml:space="preserve"> : </w:t>
                      </w:r>
                      <w:r w:rsidRPr="0057505F">
                        <w:rPr>
                          <w:rFonts w:ascii="Tahoma" w:eastAsia="Times New Roman" w:hAnsi="Tahoma" w:cs="Tahoma"/>
                          <w:sz w:val="24"/>
                          <w:szCs w:val="24"/>
                          <w:lang w:eastAsia="fr-FR"/>
                        </w:rPr>
                        <w:t>Elaboration de l’auteur</w:t>
                      </w:r>
                    </w:p>
                    <w:p w:rsidR="0083519B" w:rsidRDefault="0083519B" w:rsidP="00222161"/>
                  </w:txbxContent>
                </v:textbox>
                <w10:wrap type="tight"/>
              </v:shape>
            </w:pict>
          </mc:Fallback>
        </mc:AlternateContent>
      </w:r>
      <w:r w:rsidR="00712860" w:rsidRPr="002462E6">
        <w:rPr>
          <w:rFonts w:ascii="Times New Roman" w:eastAsia="Times New Roman" w:hAnsi="Times New Roman" w:cs="Times New Roman"/>
          <w:noProof/>
          <w:sz w:val="24"/>
          <w:szCs w:val="24"/>
          <w:lang w:eastAsia="fr-FR"/>
        </w:rPr>
        <w:drawing>
          <wp:anchor distT="0" distB="0" distL="114300" distR="114300" simplePos="0" relativeHeight="251699200" behindDoc="1" locked="0" layoutInCell="1" allowOverlap="1" wp14:anchorId="6C87B0AB" wp14:editId="2C91872F">
            <wp:simplePos x="0" y="0"/>
            <wp:positionH relativeFrom="column">
              <wp:posOffset>-739140</wp:posOffset>
            </wp:positionH>
            <wp:positionV relativeFrom="paragraph">
              <wp:posOffset>1226185</wp:posOffset>
            </wp:positionV>
            <wp:extent cx="7939405" cy="5611495"/>
            <wp:effectExtent l="1905" t="0" r="6350" b="6350"/>
            <wp:wrapTight wrapText="bothSides">
              <wp:wrapPolygon edited="0">
                <wp:start x="21595" y="-7"/>
                <wp:lineTo x="35" y="-7"/>
                <wp:lineTo x="35" y="21551"/>
                <wp:lineTo x="21595" y="21551"/>
                <wp:lineTo x="21595" y="-7"/>
              </wp:wrapPolygon>
            </wp:wrapTight>
            <wp:docPr id="30" name="Imag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rot="16200000">
                      <a:off x="0" y="0"/>
                      <a:ext cx="7939405" cy="5611495"/>
                    </a:xfrm>
                    <a:prstGeom prst="rect">
                      <a:avLst/>
                    </a:prstGeom>
                    <a:noFill/>
                  </pic:spPr>
                </pic:pic>
              </a:graphicData>
            </a:graphic>
            <wp14:sizeRelH relativeFrom="page">
              <wp14:pctWidth>0</wp14:pctWidth>
            </wp14:sizeRelH>
            <wp14:sizeRelV relativeFrom="page">
              <wp14:pctHeight>0</wp14:pctHeight>
            </wp14:sizeRelV>
          </wp:anchor>
        </w:drawing>
      </w:r>
    </w:p>
    <w:p w:rsidR="00752A91" w:rsidRPr="00247FE0" w:rsidRDefault="00712860" w:rsidP="001726A1">
      <w:pPr>
        <w:spacing w:before="100" w:beforeAutospacing="1" w:after="100" w:afterAutospacing="1" w:line="360" w:lineRule="auto"/>
        <w:jc w:val="both"/>
        <w:rPr>
          <w:rFonts w:ascii="Tahoma" w:eastAsia="Times New Roman" w:hAnsi="Tahoma" w:cs="Tahoma"/>
          <w:sz w:val="24"/>
          <w:szCs w:val="24"/>
          <w:lang w:eastAsia="fr-FR"/>
        </w:rPr>
      </w:pPr>
      <w:r w:rsidRPr="00247FE0">
        <w:rPr>
          <w:rFonts w:ascii="Tahoma" w:eastAsia="Times New Roman" w:hAnsi="Tahoma" w:cs="Tahoma"/>
          <w:sz w:val="24"/>
          <w:szCs w:val="24"/>
          <w:lang w:eastAsia="fr-FR"/>
        </w:rPr>
        <w:t>La théorie de la transition démographique, développée par Warren Thompson</w:t>
      </w:r>
      <w:r w:rsidRPr="00247FE0">
        <w:rPr>
          <w:rFonts w:ascii="Tahoma" w:eastAsia="Times New Roman" w:hAnsi="Tahoma" w:cs="Tahoma"/>
          <w:sz w:val="24"/>
          <w:szCs w:val="24"/>
          <w:vertAlign w:val="superscript"/>
          <w:lang w:eastAsia="fr-FR"/>
        </w:rPr>
        <w:footnoteReference w:id="486"/>
      </w:r>
      <w:r w:rsidRPr="00247FE0">
        <w:rPr>
          <w:rFonts w:ascii="Tahoma" w:eastAsia="Times New Roman" w:hAnsi="Tahoma" w:cs="Tahoma"/>
          <w:sz w:val="24"/>
          <w:szCs w:val="24"/>
          <w:lang w:eastAsia="fr-FR"/>
        </w:rPr>
        <w:t>, trouve ici une illustration particulière dans le cas de la commune de Sidi Yahya Zaeer, qui connaît une croissance démographique exceptionnelle. Cette commune a enregistré une évolution démographique remarquable, passant de 19 285 habitants en 1994 à 116 694 habitants en 2024, soit un Taux d'Accroissement Moyen Annuel (TAMA) de 7,4% sur la période 2014-2024</w:t>
      </w:r>
      <w:r w:rsidRPr="00247FE0">
        <w:rPr>
          <w:rFonts w:ascii="Tahoma" w:eastAsia="Times New Roman" w:hAnsi="Tahoma" w:cs="Tahoma"/>
          <w:sz w:val="24"/>
          <w:szCs w:val="24"/>
          <w:vertAlign w:val="superscript"/>
          <w:lang w:eastAsia="fr-FR"/>
        </w:rPr>
        <w:footnoteReference w:id="487"/>
      </w:r>
      <w:r w:rsidRPr="00247FE0">
        <w:rPr>
          <w:rFonts w:ascii="Tahoma" w:eastAsia="Times New Roman" w:hAnsi="Tahoma" w:cs="Tahoma"/>
          <w:sz w:val="24"/>
          <w:szCs w:val="24"/>
          <w:lang w:eastAsia="fr-FR"/>
        </w:rPr>
        <w:t>. Les projections démographiques établissent que cette population pourrait atteindre 255 816 habitants d'ici 2034</w:t>
      </w:r>
      <w:r w:rsidRPr="00247FE0">
        <w:rPr>
          <w:rFonts w:ascii="Tahoma" w:eastAsia="Times New Roman" w:hAnsi="Tahoma" w:cs="Tahoma"/>
          <w:sz w:val="24"/>
          <w:szCs w:val="24"/>
          <w:vertAlign w:val="superscript"/>
          <w:lang w:eastAsia="fr-FR"/>
        </w:rPr>
        <w:footnoteReference w:id="488"/>
      </w:r>
      <w:r w:rsidR="001726A1">
        <w:rPr>
          <w:rFonts w:ascii="Tahoma" w:eastAsia="Times New Roman" w:hAnsi="Tahoma" w:cs="Tahoma"/>
          <w:sz w:val="24"/>
          <w:szCs w:val="24"/>
          <w:lang w:eastAsia="fr-FR"/>
        </w:rPr>
        <w:t>.</w:t>
      </w:r>
    </w:p>
    <w:p w:rsidR="00712860" w:rsidRPr="0057505F" w:rsidRDefault="00712860" w:rsidP="0057505F">
      <w:pPr>
        <w:spacing w:before="100" w:beforeAutospacing="1" w:after="100" w:afterAutospacing="1" w:line="360" w:lineRule="auto"/>
        <w:jc w:val="both"/>
        <w:rPr>
          <w:rFonts w:ascii="Times New Roman" w:eastAsia="Times New Roman" w:hAnsi="Times New Roman" w:cs="Times New Roman"/>
          <w:sz w:val="24"/>
          <w:szCs w:val="24"/>
          <w:lang w:eastAsia="fr-FR"/>
        </w:rPr>
      </w:pPr>
      <w:r w:rsidRPr="00247FE0">
        <w:rPr>
          <w:rFonts w:ascii="Tahoma" w:eastAsia="Times New Roman" w:hAnsi="Tahoma" w:cs="Tahoma"/>
          <w:sz w:val="24"/>
          <w:szCs w:val="24"/>
          <w:lang w:eastAsia="fr-FR"/>
        </w:rPr>
        <w:t>Cette croissance démographique explosive s'inscrit dans le paradigme néo-malthusien</w:t>
      </w:r>
      <w:r w:rsidRPr="00247FE0">
        <w:rPr>
          <w:rFonts w:ascii="Tahoma" w:eastAsia="Times New Roman" w:hAnsi="Tahoma" w:cs="Tahoma"/>
          <w:sz w:val="24"/>
          <w:szCs w:val="24"/>
          <w:vertAlign w:val="superscript"/>
          <w:lang w:eastAsia="fr-FR"/>
        </w:rPr>
        <w:footnoteReference w:id="489"/>
      </w:r>
      <w:r w:rsidRPr="00247FE0">
        <w:rPr>
          <w:rFonts w:ascii="Tahoma" w:eastAsia="Times New Roman" w:hAnsi="Tahoma" w:cs="Tahoma"/>
          <w:sz w:val="24"/>
          <w:szCs w:val="24"/>
          <w:lang w:eastAsia="fr-FR"/>
        </w:rPr>
        <w:t xml:space="preserve"> qui postule une corrélation directe entre l'accroissement démographique et la pression exercée sur les ressources naturelles. La croissance exponentielle de la population génère des besoins accrus en ressources forestières, induisant une intensification de l'exploitation des formations végétales et une extension de l'urbanisation aux dépens des espaces forestiers</w:t>
      </w:r>
      <w:r w:rsidRPr="00247FE0">
        <w:rPr>
          <w:rFonts w:ascii="Tahoma" w:eastAsia="Times New Roman" w:hAnsi="Tahoma" w:cs="Tahoma"/>
          <w:sz w:val="24"/>
          <w:szCs w:val="24"/>
          <w:vertAlign w:val="superscript"/>
          <w:lang w:eastAsia="fr-FR"/>
        </w:rPr>
        <w:footnoteReference w:id="490"/>
      </w:r>
      <w:r w:rsidRPr="00247FE0">
        <w:rPr>
          <w:rFonts w:ascii="Tahoma" w:eastAsia="Times New Roman" w:hAnsi="Tahoma" w:cs="Tahoma"/>
          <w:sz w:val="24"/>
          <w:szCs w:val="24"/>
          <w:lang w:eastAsia="fr-FR"/>
        </w:rPr>
        <w:t>.</w:t>
      </w:r>
      <w:r w:rsidR="001726A1">
        <w:rPr>
          <w:rFonts w:ascii="Tahoma" w:eastAsia="Times New Roman" w:hAnsi="Tahoma" w:cs="Tahoma"/>
          <w:sz w:val="24"/>
          <w:szCs w:val="24"/>
          <w:lang w:eastAsia="fr-FR"/>
        </w:rPr>
        <w:t xml:space="preserve"> </w:t>
      </w:r>
      <w:r w:rsidR="001726A1" w:rsidRPr="0053443A">
        <w:rPr>
          <w:rFonts w:ascii="Tahoma" w:eastAsia="Times New Roman" w:hAnsi="Tahoma" w:cs="Tahoma"/>
          <w:b/>
          <w:bCs/>
          <w:sz w:val="24"/>
          <w:szCs w:val="24"/>
          <w:lang w:eastAsia="fr-FR"/>
        </w:rPr>
        <w:t xml:space="preserve">(Cf. photos en </w:t>
      </w:r>
      <w:r w:rsidR="00236D1C" w:rsidRPr="0053443A">
        <w:rPr>
          <w:rFonts w:ascii="Tahoma" w:eastAsia="Times New Roman" w:hAnsi="Tahoma" w:cs="Tahoma"/>
          <w:b/>
          <w:bCs/>
          <w:sz w:val="24"/>
          <w:szCs w:val="24"/>
          <w:lang w:eastAsia="fr-FR"/>
        </w:rPr>
        <w:t xml:space="preserve">ANNEXE </w:t>
      </w:r>
      <w:r w:rsidR="001726A1">
        <w:rPr>
          <w:rFonts w:ascii="Tahoma" w:eastAsia="Times New Roman" w:hAnsi="Tahoma" w:cs="Tahoma"/>
          <w:b/>
          <w:bCs/>
          <w:sz w:val="24"/>
          <w:szCs w:val="24"/>
          <w:lang w:eastAsia="fr-FR"/>
        </w:rPr>
        <w:t>6</w:t>
      </w:r>
      <w:r w:rsidR="001726A1" w:rsidRPr="0053443A">
        <w:rPr>
          <w:rFonts w:ascii="Tahoma" w:eastAsia="Times New Roman" w:hAnsi="Tahoma" w:cs="Tahoma"/>
          <w:b/>
          <w:bCs/>
          <w:sz w:val="24"/>
          <w:szCs w:val="24"/>
          <w:lang w:eastAsia="fr-FR"/>
        </w:rPr>
        <w:t>)</w:t>
      </w:r>
    </w:p>
    <w:p w:rsidR="00752A91" w:rsidRPr="0057505F" w:rsidRDefault="00712860" w:rsidP="0057505F">
      <w:pPr>
        <w:widowControl w:val="0"/>
        <w:numPr>
          <w:ilvl w:val="0"/>
          <w:numId w:val="44"/>
        </w:numPr>
        <w:autoSpaceDE w:val="0"/>
        <w:autoSpaceDN w:val="0"/>
        <w:spacing w:before="100" w:beforeAutospacing="1" w:after="100" w:afterAutospacing="1" w:line="240" w:lineRule="auto"/>
        <w:jc w:val="both"/>
        <w:outlineLvl w:val="2"/>
        <w:rPr>
          <w:rFonts w:ascii="Times New Roman" w:eastAsia="Times New Roman" w:hAnsi="Times New Roman" w:cs="Times New Roman"/>
          <w:b/>
          <w:bCs/>
          <w:sz w:val="27"/>
          <w:szCs w:val="27"/>
          <w:lang w:eastAsia="fr-FR"/>
        </w:rPr>
      </w:pPr>
      <w:bookmarkStart w:id="304" w:name="_Toc201570838"/>
      <w:r w:rsidRPr="002462E6">
        <w:rPr>
          <w:rFonts w:ascii="Times New Roman" w:eastAsia="Times New Roman" w:hAnsi="Times New Roman" w:cs="Times New Roman"/>
          <w:b/>
          <w:bCs/>
          <w:sz w:val="27"/>
          <w:szCs w:val="27"/>
          <w:lang w:eastAsia="fr-FR"/>
        </w:rPr>
        <w:t>Le paradoxe du déclin démographique</w:t>
      </w:r>
      <w:bookmarkEnd w:id="304"/>
    </w:p>
    <w:p w:rsidR="008077EE" w:rsidRPr="002462E6" w:rsidRDefault="00712860" w:rsidP="00752A91">
      <w:pPr>
        <w:spacing w:before="100" w:beforeAutospacing="1" w:after="0" w:line="360" w:lineRule="auto"/>
        <w:jc w:val="both"/>
        <w:rPr>
          <w:rFonts w:ascii="Tahoma" w:eastAsia="Times New Roman" w:hAnsi="Tahoma" w:cs="Tahoma"/>
          <w:sz w:val="24"/>
          <w:szCs w:val="24"/>
          <w:lang w:eastAsia="fr-FR"/>
        </w:rPr>
      </w:pPr>
      <w:r w:rsidRPr="002462E6">
        <w:rPr>
          <w:rFonts w:ascii="Tahoma" w:eastAsia="Times New Roman" w:hAnsi="Tahoma" w:cs="Tahoma"/>
          <w:sz w:val="24"/>
          <w:szCs w:val="24"/>
          <w:lang w:eastAsia="fr-FR"/>
        </w:rPr>
        <w:t>Paradoxalement, les communes d'Oumazza et Brachoua, affichant respectivement des TAMA de -3,5% et -0,1%</w:t>
      </w:r>
      <w:r w:rsidRPr="002462E6">
        <w:rPr>
          <w:rFonts w:ascii="Tahoma" w:eastAsia="Times New Roman" w:hAnsi="Tahoma" w:cs="Tahoma"/>
          <w:sz w:val="24"/>
          <w:szCs w:val="24"/>
          <w:vertAlign w:val="superscript"/>
          <w:lang w:eastAsia="fr-FR"/>
        </w:rPr>
        <w:footnoteReference w:id="491"/>
      </w:r>
      <w:r w:rsidRPr="002462E6">
        <w:rPr>
          <w:rFonts w:ascii="Tahoma" w:eastAsia="Times New Roman" w:hAnsi="Tahoma" w:cs="Tahoma"/>
          <w:sz w:val="24"/>
          <w:szCs w:val="24"/>
          <w:lang w:eastAsia="fr-FR"/>
        </w:rPr>
        <w:t>, continuent de subir des pressions environnementales significatives. Ce phénomène contredit l'hypothèse simpliste selon laquelle la décroissance démographique entraîne mécaniquement une réduction de la pression anthropique</w:t>
      </w:r>
      <w:r w:rsidRPr="002462E6">
        <w:rPr>
          <w:rFonts w:ascii="Tahoma" w:eastAsia="Times New Roman" w:hAnsi="Tahoma" w:cs="Tahoma"/>
          <w:sz w:val="24"/>
          <w:szCs w:val="24"/>
          <w:vertAlign w:val="superscript"/>
          <w:lang w:eastAsia="fr-FR"/>
        </w:rPr>
        <w:footnoteReference w:id="492"/>
      </w:r>
      <w:r w:rsidRPr="002462E6">
        <w:rPr>
          <w:rFonts w:ascii="Tahoma" w:eastAsia="Times New Roman" w:hAnsi="Tahoma" w:cs="Tahoma"/>
          <w:sz w:val="24"/>
          <w:szCs w:val="24"/>
          <w:lang w:eastAsia="fr-FR"/>
        </w:rPr>
        <w:t>. Les pratiques d'exploitation forestière illégale persistent, témoignant de la complexité des interactions entre démographie et dégradation environnementale</w:t>
      </w:r>
      <w:r w:rsidRPr="002462E6">
        <w:rPr>
          <w:rFonts w:ascii="Tahoma" w:eastAsia="Times New Roman" w:hAnsi="Tahoma" w:cs="Tahoma"/>
          <w:sz w:val="24"/>
          <w:szCs w:val="24"/>
          <w:vertAlign w:val="superscript"/>
          <w:lang w:eastAsia="fr-FR"/>
        </w:rPr>
        <w:footnoteReference w:id="493"/>
      </w:r>
      <w:r w:rsidRPr="002462E6">
        <w:rPr>
          <w:rFonts w:ascii="Tahoma" w:eastAsia="Times New Roman" w:hAnsi="Tahoma" w:cs="Tahoma"/>
          <w:sz w:val="24"/>
          <w:szCs w:val="24"/>
          <w:lang w:eastAsia="fr-FR"/>
        </w:rPr>
        <w:t>.</w:t>
      </w:r>
      <w:bookmarkStart w:id="305" w:name="_Toc201570839"/>
      <w:r w:rsidR="008077EE" w:rsidRPr="002462E6">
        <w:rPr>
          <w:rFonts w:ascii="Tahoma" w:eastAsia="Times New Roman" w:hAnsi="Tahoma" w:cs="Tahoma"/>
          <w:b/>
          <w:bCs/>
          <w:sz w:val="24"/>
          <w:szCs w:val="24"/>
          <w:lang w:eastAsia="fr-FR"/>
        </w:rPr>
        <w:br w:type="page"/>
      </w:r>
    </w:p>
    <w:p w:rsidR="009D1F56" w:rsidRPr="002462E6" w:rsidRDefault="00712860" w:rsidP="00C23CB8">
      <w:pPr>
        <w:pStyle w:val="Titre7"/>
      </w:pPr>
      <w:bookmarkStart w:id="306" w:name="_Toc203643068"/>
      <w:r w:rsidRPr="002462E6">
        <w:t>Fragmentation sociale et pression sur l'espace forestier</w:t>
      </w:r>
      <w:bookmarkEnd w:id="305"/>
      <w:bookmarkEnd w:id="306"/>
    </w:p>
    <w:p w:rsidR="009D1F56" w:rsidRPr="002462E6" w:rsidRDefault="00712860" w:rsidP="00D051D7">
      <w:pPr>
        <w:widowControl w:val="0"/>
        <w:numPr>
          <w:ilvl w:val="0"/>
          <w:numId w:val="44"/>
        </w:numPr>
        <w:autoSpaceDE w:val="0"/>
        <w:autoSpaceDN w:val="0"/>
        <w:spacing w:before="100" w:beforeAutospacing="1" w:after="100" w:afterAutospacing="1" w:line="240" w:lineRule="auto"/>
        <w:jc w:val="both"/>
        <w:outlineLvl w:val="2"/>
        <w:rPr>
          <w:rFonts w:ascii="Times New Roman" w:eastAsia="Times New Roman" w:hAnsi="Times New Roman" w:cs="Times New Roman"/>
          <w:b/>
          <w:bCs/>
          <w:sz w:val="27"/>
          <w:szCs w:val="27"/>
          <w:lang w:eastAsia="fr-FR"/>
        </w:rPr>
      </w:pPr>
      <w:bookmarkStart w:id="307" w:name="_Toc201570840"/>
      <w:r w:rsidRPr="002462E6">
        <w:rPr>
          <w:rFonts w:ascii="Times New Roman" w:eastAsia="Times New Roman" w:hAnsi="Times New Roman" w:cs="Times New Roman"/>
          <w:b/>
          <w:bCs/>
          <w:sz w:val="27"/>
          <w:szCs w:val="27"/>
          <w:lang w:eastAsia="fr-FR"/>
        </w:rPr>
        <w:t>L'éclatement ethnique et territorial</w:t>
      </w:r>
      <w:bookmarkEnd w:id="307"/>
    </w:p>
    <w:p w:rsidR="00712860" w:rsidRPr="002462E6" w:rsidRDefault="00712860" w:rsidP="00712860">
      <w:pPr>
        <w:spacing w:before="100" w:beforeAutospacing="1" w:after="100" w:afterAutospacing="1" w:line="360" w:lineRule="auto"/>
        <w:jc w:val="both"/>
        <w:rPr>
          <w:rFonts w:ascii="Tahoma" w:eastAsia="Times New Roman" w:hAnsi="Tahoma" w:cs="Tahoma"/>
          <w:sz w:val="24"/>
          <w:szCs w:val="24"/>
          <w:lang w:eastAsia="fr-FR"/>
        </w:rPr>
      </w:pPr>
      <w:r w:rsidRPr="002462E6">
        <w:rPr>
          <w:rFonts w:ascii="Tahoma" w:eastAsia="Times New Roman" w:hAnsi="Tahoma" w:cs="Tahoma"/>
          <w:sz w:val="24"/>
          <w:szCs w:val="24"/>
          <w:lang w:eastAsia="fr-FR"/>
        </w:rPr>
        <w:t>L'analyse sociologique de la région révèle une fragmentation ethno-territoriale caractérisée par "une multitude de fractions usagères"</w:t>
      </w:r>
      <w:r w:rsidRPr="002462E6">
        <w:rPr>
          <w:rFonts w:ascii="Tahoma" w:eastAsia="Times New Roman" w:hAnsi="Tahoma" w:cs="Tahoma"/>
          <w:sz w:val="24"/>
          <w:szCs w:val="24"/>
          <w:vertAlign w:val="superscript"/>
          <w:lang w:eastAsia="fr-FR"/>
        </w:rPr>
        <w:footnoteReference w:id="494"/>
      </w:r>
      <w:r w:rsidRPr="002462E6">
        <w:rPr>
          <w:rFonts w:ascii="Tahoma" w:eastAsia="Times New Roman" w:hAnsi="Tahoma" w:cs="Tahoma"/>
          <w:sz w:val="24"/>
          <w:szCs w:val="24"/>
          <w:lang w:eastAsia="fr-FR"/>
        </w:rPr>
        <w:t>. Cette fragmentation, associée à une forte densité humaine, "entraîne un débordement de la part des usagers pour l'utilisation de l'espace forestier au delà des limites"</w:t>
      </w:r>
      <w:r w:rsidRPr="002462E6">
        <w:rPr>
          <w:rFonts w:ascii="Tahoma" w:eastAsia="Times New Roman" w:hAnsi="Tahoma" w:cs="Tahoma"/>
          <w:sz w:val="24"/>
          <w:szCs w:val="24"/>
          <w:vertAlign w:val="superscript"/>
          <w:lang w:eastAsia="fr-FR"/>
        </w:rPr>
        <w:footnoteReference w:id="495"/>
      </w:r>
      <w:r w:rsidRPr="002462E6">
        <w:rPr>
          <w:rFonts w:ascii="Tahoma" w:eastAsia="Times New Roman" w:hAnsi="Tahoma" w:cs="Tahoma"/>
          <w:sz w:val="24"/>
          <w:szCs w:val="24"/>
          <w:lang w:eastAsia="fr-FR"/>
        </w:rPr>
        <w:t>.</w:t>
      </w:r>
    </w:p>
    <w:p w:rsidR="00712860" w:rsidRPr="002462E6" w:rsidRDefault="00712860" w:rsidP="00712860">
      <w:pPr>
        <w:spacing w:before="100" w:beforeAutospacing="1" w:after="100" w:afterAutospacing="1" w:line="360" w:lineRule="auto"/>
        <w:jc w:val="both"/>
        <w:rPr>
          <w:rFonts w:ascii="Times New Roman" w:eastAsia="Times New Roman" w:hAnsi="Times New Roman" w:cs="Times New Roman"/>
          <w:sz w:val="24"/>
          <w:szCs w:val="24"/>
          <w:lang w:eastAsia="fr-FR"/>
        </w:rPr>
      </w:pPr>
      <w:r w:rsidRPr="002462E6">
        <w:rPr>
          <w:rFonts w:ascii="Times New Roman" w:eastAsia="Times New Roman" w:hAnsi="Times New Roman" w:cs="Times New Roman"/>
          <w:sz w:val="24"/>
          <w:szCs w:val="24"/>
          <w:lang w:eastAsia="fr-FR"/>
        </w:rPr>
        <w:t>Cette situation s'inscrit dans la théorie des biens communs développée par Elinor Ostrom</w:t>
      </w:r>
      <w:r w:rsidRPr="002462E6">
        <w:rPr>
          <w:rFonts w:ascii="Times New Roman" w:eastAsia="Times New Roman" w:hAnsi="Times New Roman" w:cs="Times New Roman"/>
          <w:sz w:val="24"/>
          <w:szCs w:val="24"/>
          <w:vertAlign w:val="superscript"/>
          <w:lang w:eastAsia="fr-FR"/>
        </w:rPr>
        <w:footnoteReference w:id="496"/>
      </w:r>
      <w:r w:rsidRPr="002462E6">
        <w:rPr>
          <w:rFonts w:ascii="Times New Roman" w:eastAsia="Times New Roman" w:hAnsi="Times New Roman" w:cs="Times New Roman"/>
          <w:sz w:val="24"/>
          <w:szCs w:val="24"/>
          <w:lang w:eastAsia="fr-FR"/>
        </w:rPr>
        <w:t>, qui met en évidence les défis de gestion collective des ressources naturelles. L'absence de mécanismes de régulation efficaces favorise la surexploitation des ressources forestières</w:t>
      </w:r>
      <w:r w:rsidRPr="002462E6">
        <w:rPr>
          <w:rFonts w:ascii="Times New Roman" w:eastAsia="Times New Roman" w:hAnsi="Times New Roman" w:cs="Times New Roman"/>
          <w:sz w:val="24"/>
          <w:szCs w:val="24"/>
          <w:vertAlign w:val="superscript"/>
          <w:lang w:eastAsia="fr-FR"/>
        </w:rPr>
        <w:footnoteReference w:id="497"/>
      </w:r>
      <w:r w:rsidRPr="002462E6">
        <w:rPr>
          <w:rFonts w:ascii="Times New Roman" w:eastAsia="Times New Roman" w:hAnsi="Times New Roman" w:cs="Times New Roman"/>
          <w:sz w:val="24"/>
          <w:szCs w:val="24"/>
          <w:lang w:eastAsia="fr-FR"/>
        </w:rPr>
        <w:t>.</w:t>
      </w:r>
    </w:p>
    <w:p w:rsidR="00712860" w:rsidRPr="002462E6" w:rsidRDefault="00712860" w:rsidP="00712860">
      <w:pPr>
        <w:spacing w:before="100" w:beforeAutospacing="1" w:after="100" w:afterAutospacing="1" w:line="360" w:lineRule="auto"/>
        <w:jc w:val="both"/>
        <w:rPr>
          <w:rFonts w:ascii="Times New Roman" w:eastAsia="Times New Roman" w:hAnsi="Times New Roman" w:cs="Times New Roman"/>
          <w:sz w:val="24"/>
          <w:szCs w:val="24"/>
          <w:lang w:eastAsia="fr-FR"/>
        </w:rPr>
      </w:pPr>
      <w:r w:rsidRPr="002462E6">
        <w:rPr>
          <w:rFonts w:ascii="Times New Roman" w:eastAsia="Times New Roman" w:hAnsi="Times New Roman" w:cs="Times New Roman"/>
          <w:sz w:val="24"/>
          <w:szCs w:val="24"/>
          <w:lang w:eastAsia="fr-FR"/>
        </w:rPr>
        <w:t>La population usagère se répartit sur deux terroirs principaux présentant des densités démographiques homogènes :</w:t>
      </w:r>
    </w:p>
    <w:p w:rsidR="00712860" w:rsidRPr="002462E6" w:rsidRDefault="00712860" w:rsidP="00D051D7">
      <w:pPr>
        <w:numPr>
          <w:ilvl w:val="0"/>
          <w:numId w:val="39"/>
        </w:numPr>
        <w:spacing w:before="100" w:beforeAutospacing="1" w:after="100" w:afterAutospacing="1" w:line="240" w:lineRule="auto"/>
        <w:jc w:val="both"/>
        <w:rPr>
          <w:rFonts w:ascii="Tahoma" w:eastAsia="Times New Roman" w:hAnsi="Tahoma" w:cs="Tahoma"/>
          <w:sz w:val="24"/>
          <w:szCs w:val="24"/>
          <w:lang w:eastAsia="fr-FR"/>
        </w:rPr>
      </w:pPr>
      <w:r w:rsidRPr="002462E6">
        <w:rPr>
          <w:rFonts w:ascii="Tahoma" w:eastAsia="Times New Roman" w:hAnsi="Tahoma" w:cs="Tahoma"/>
          <w:b/>
          <w:bCs/>
          <w:sz w:val="24"/>
          <w:szCs w:val="24"/>
          <w:lang w:eastAsia="fr-FR"/>
        </w:rPr>
        <w:t>Terroir Zaeer</w:t>
      </w:r>
      <w:r w:rsidRPr="002462E6">
        <w:rPr>
          <w:rFonts w:ascii="Tahoma" w:eastAsia="Times New Roman" w:hAnsi="Tahoma" w:cs="Tahoma"/>
          <w:sz w:val="24"/>
          <w:szCs w:val="24"/>
          <w:lang w:eastAsia="fr-FR"/>
        </w:rPr>
        <w:t xml:space="preserve"> : 5 489 habitants répartis sur 975 ménages (5,6 habitants/ménage)</w:t>
      </w:r>
    </w:p>
    <w:p w:rsidR="00712860" w:rsidRPr="002462E6" w:rsidRDefault="00712860" w:rsidP="00D051D7">
      <w:pPr>
        <w:numPr>
          <w:ilvl w:val="0"/>
          <w:numId w:val="39"/>
        </w:numPr>
        <w:spacing w:before="100" w:beforeAutospacing="1" w:after="100" w:afterAutospacing="1" w:line="240" w:lineRule="auto"/>
        <w:jc w:val="both"/>
        <w:rPr>
          <w:rFonts w:ascii="Tahoma" w:eastAsia="Times New Roman" w:hAnsi="Tahoma" w:cs="Tahoma"/>
          <w:sz w:val="24"/>
          <w:szCs w:val="24"/>
          <w:lang w:eastAsia="fr-FR"/>
        </w:rPr>
      </w:pPr>
      <w:r w:rsidRPr="002462E6">
        <w:rPr>
          <w:rFonts w:ascii="Tahoma" w:eastAsia="Times New Roman" w:hAnsi="Tahoma" w:cs="Tahoma"/>
          <w:b/>
          <w:bCs/>
          <w:sz w:val="24"/>
          <w:szCs w:val="24"/>
          <w:lang w:eastAsia="fr-FR"/>
        </w:rPr>
        <w:t>Terroir Oulad Khlifa</w:t>
      </w:r>
      <w:r w:rsidRPr="002462E6">
        <w:rPr>
          <w:rFonts w:ascii="Tahoma" w:eastAsia="Times New Roman" w:hAnsi="Tahoma" w:cs="Tahoma"/>
          <w:sz w:val="24"/>
          <w:szCs w:val="24"/>
          <w:lang w:eastAsia="fr-FR"/>
        </w:rPr>
        <w:t xml:space="preserve"> : 7 156 habitants répartis sur 1 273 ménages (5,6 habitants/ménage)</w:t>
      </w:r>
      <w:r w:rsidRPr="002462E6">
        <w:rPr>
          <w:rFonts w:ascii="Tahoma" w:eastAsia="Times New Roman" w:hAnsi="Tahoma" w:cs="Tahoma"/>
          <w:sz w:val="24"/>
          <w:szCs w:val="24"/>
          <w:vertAlign w:val="superscript"/>
          <w:lang w:eastAsia="fr-FR"/>
        </w:rPr>
        <w:footnoteReference w:id="498"/>
      </w:r>
    </w:p>
    <w:p w:rsidR="008077EE" w:rsidRPr="002462E6" w:rsidRDefault="008077EE" w:rsidP="008077EE">
      <w:pPr>
        <w:spacing w:before="100" w:beforeAutospacing="1" w:after="100" w:afterAutospacing="1" w:line="240" w:lineRule="auto"/>
        <w:ind w:left="720"/>
        <w:jc w:val="both"/>
        <w:rPr>
          <w:rFonts w:ascii="Tahoma" w:eastAsia="Times New Roman" w:hAnsi="Tahoma" w:cs="Tahoma"/>
          <w:sz w:val="12"/>
          <w:szCs w:val="12"/>
          <w:lang w:eastAsia="fr-FR"/>
        </w:rPr>
      </w:pPr>
    </w:p>
    <w:p w:rsidR="00712860" w:rsidRPr="002462E6" w:rsidRDefault="00712860" w:rsidP="00C23CB8">
      <w:pPr>
        <w:pStyle w:val="Titre7"/>
      </w:pPr>
      <w:bookmarkStart w:id="308" w:name="_Toc201570841"/>
      <w:bookmarkStart w:id="309" w:name="_Toc203643069"/>
      <w:r w:rsidRPr="002462E6">
        <w:t>Vulnérabilité socio-économique et exploitation des ressources forestières</w:t>
      </w:r>
      <w:bookmarkEnd w:id="308"/>
      <w:bookmarkEnd w:id="309"/>
    </w:p>
    <w:p w:rsidR="00712860" w:rsidRPr="002462E6" w:rsidRDefault="00712860" w:rsidP="00D051D7">
      <w:pPr>
        <w:widowControl w:val="0"/>
        <w:numPr>
          <w:ilvl w:val="0"/>
          <w:numId w:val="44"/>
        </w:numPr>
        <w:autoSpaceDE w:val="0"/>
        <w:autoSpaceDN w:val="0"/>
        <w:spacing w:before="100" w:beforeAutospacing="1" w:after="100" w:afterAutospacing="1" w:line="240" w:lineRule="auto"/>
        <w:jc w:val="both"/>
        <w:outlineLvl w:val="2"/>
        <w:rPr>
          <w:rFonts w:ascii="Tahoma" w:eastAsia="Times New Roman" w:hAnsi="Tahoma" w:cs="Tahoma"/>
          <w:b/>
          <w:bCs/>
          <w:sz w:val="27"/>
          <w:szCs w:val="27"/>
          <w:lang w:eastAsia="fr-FR"/>
        </w:rPr>
      </w:pPr>
      <w:bookmarkStart w:id="310" w:name="_Toc201570842"/>
      <w:r w:rsidRPr="002462E6">
        <w:rPr>
          <w:rFonts w:ascii="Tahoma" w:eastAsia="Times New Roman" w:hAnsi="Tahoma" w:cs="Tahoma"/>
          <w:b/>
          <w:bCs/>
          <w:sz w:val="27"/>
          <w:szCs w:val="27"/>
          <w:lang w:eastAsia="fr-FR"/>
        </w:rPr>
        <w:t>La pauvreté comme déterminant de l'exploitation forestière</w:t>
      </w:r>
      <w:bookmarkEnd w:id="310"/>
    </w:p>
    <w:p w:rsidR="00712860" w:rsidRPr="002462E6" w:rsidRDefault="00712860" w:rsidP="00712860">
      <w:pPr>
        <w:spacing w:before="100" w:beforeAutospacing="1" w:after="100" w:afterAutospacing="1" w:line="360" w:lineRule="auto"/>
        <w:jc w:val="both"/>
        <w:rPr>
          <w:rFonts w:ascii="Tahoma" w:eastAsia="Times New Roman" w:hAnsi="Tahoma" w:cs="Tahoma"/>
          <w:sz w:val="24"/>
          <w:szCs w:val="24"/>
          <w:lang w:eastAsia="fr-FR"/>
        </w:rPr>
      </w:pPr>
      <w:r w:rsidRPr="002462E6">
        <w:rPr>
          <w:rFonts w:ascii="Tahoma" w:eastAsia="Times New Roman" w:hAnsi="Tahoma" w:cs="Tahoma"/>
          <w:sz w:val="24"/>
          <w:szCs w:val="24"/>
          <w:lang w:eastAsia="fr-FR"/>
        </w:rPr>
        <w:t>La corrélation entre pauvreté et dégradation environnementale, conceptualisée par l'hypothèse de Kuznets environnementale</w:t>
      </w:r>
      <w:r w:rsidRPr="002462E6">
        <w:rPr>
          <w:rFonts w:ascii="Tahoma" w:eastAsia="Times New Roman" w:hAnsi="Tahoma" w:cs="Tahoma"/>
          <w:sz w:val="24"/>
          <w:szCs w:val="24"/>
          <w:vertAlign w:val="superscript"/>
          <w:lang w:eastAsia="fr-FR"/>
        </w:rPr>
        <w:footnoteReference w:id="499"/>
      </w:r>
      <w:r w:rsidRPr="002462E6">
        <w:rPr>
          <w:rFonts w:ascii="Tahoma" w:eastAsia="Times New Roman" w:hAnsi="Tahoma" w:cs="Tahoma"/>
          <w:sz w:val="24"/>
          <w:szCs w:val="24"/>
          <w:lang w:eastAsia="fr-FR"/>
        </w:rPr>
        <w:t>, trouve une illustration empirique dans les communes étudiées. Les taux de pauvreté différenciés révèlent une géographie de la vulnérabilité :</w:t>
      </w:r>
    </w:p>
    <w:p w:rsidR="00712860" w:rsidRPr="002462E6" w:rsidRDefault="00712860" w:rsidP="00D051D7">
      <w:pPr>
        <w:numPr>
          <w:ilvl w:val="0"/>
          <w:numId w:val="40"/>
        </w:numPr>
        <w:spacing w:before="100" w:beforeAutospacing="1" w:after="100" w:afterAutospacing="1" w:line="360" w:lineRule="auto"/>
        <w:jc w:val="both"/>
        <w:rPr>
          <w:rFonts w:ascii="Tahoma" w:eastAsia="Times New Roman" w:hAnsi="Tahoma" w:cs="Tahoma"/>
          <w:sz w:val="24"/>
          <w:szCs w:val="24"/>
          <w:lang w:eastAsia="fr-FR"/>
        </w:rPr>
      </w:pPr>
      <w:r w:rsidRPr="002462E6">
        <w:rPr>
          <w:rFonts w:ascii="Tahoma" w:eastAsia="Times New Roman" w:hAnsi="Tahoma" w:cs="Tahoma"/>
          <w:b/>
          <w:bCs/>
          <w:sz w:val="24"/>
          <w:szCs w:val="24"/>
          <w:lang w:eastAsia="fr-FR"/>
        </w:rPr>
        <w:t>Oumazza</w:t>
      </w:r>
      <w:r w:rsidRPr="002462E6">
        <w:rPr>
          <w:rFonts w:ascii="Tahoma" w:eastAsia="Times New Roman" w:hAnsi="Tahoma" w:cs="Tahoma"/>
          <w:sz w:val="24"/>
          <w:szCs w:val="24"/>
          <w:lang w:eastAsia="fr-FR"/>
        </w:rPr>
        <w:t xml:space="preserve"> : 11,4%</w:t>
      </w:r>
    </w:p>
    <w:p w:rsidR="00712860" w:rsidRPr="002462E6" w:rsidRDefault="00712860" w:rsidP="00D051D7">
      <w:pPr>
        <w:numPr>
          <w:ilvl w:val="0"/>
          <w:numId w:val="40"/>
        </w:numPr>
        <w:spacing w:before="100" w:beforeAutospacing="1" w:after="100" w:afterAutospacing="1" w:line="360" w:lineRule="auto"/>
        <w:jc w:val="both"/>
        <w:rPr>
          <w:rFonts w:ascii="Tahoma" w:eastAsia="Times New Roman" w:hAnsi="Tahoma" w:cs="Tahoma"/>
          <w:sz w:val="24"/>
          <w:szCs w:val="24"/>
          <w:lang w:eastAsia="fr-FR"/>
        </w:rPr>
      </w:pPr>
      <w:r w:rsidRPr="002462E6">
        <w:rPr>
          <w:rFonts w:ascii="Tahoma" w:eastAsia="Times New Roman" w:hAnsi="Tahoma" w:cs="Tahoma"/>
          <w:b/>
          <w:bCs/>
          <w:sz w:val="24"/>
          <w:szCs w:val="24"/>
          <w:lang w:eastAsia="fr-FR"/>
        </w:rPr>
        <w:t>Marchouch</w:t>
      </w:r>
      <w:r w:rsidRPr="002462E6">
        <w:rPr>
          <w:rFonts w:ascii="Tahoma" w:eastAsia="Times New Roman" w:hAnsi="Tahoma" w:cs="Tahoma"/>
          <w:sz w:val="24"/>
          <w:szCs w:val="24"/>
          <w:lang w:eastAsia="fr-FR"/>
        </w:rPr>
        <w:t xml:space="preserve"> : 9,1%</w:t>
      </w:r>
    </w:p>
    <w:p w:rsidR="00712860" w:rsidRPr="002462E6" w:rsidRDefault="00712860" w:rsidP="00D051D7">
      <w:pPr>
        <w:numPr>
          <w:ilvl w:val="0"/>
          <w:numId w:val="40"/>
        </w:numPr>
        <w:spacing w:before="100" w:beforeAutospacing="1" w:after="100" w:afterAutospacing="1" w:line="360" w:lineRule="auto"/>
        <w:jc w:val="both"/>
        <w:rPr>
          <w:rFonts w:ascii="Tahoma" w:eastAsia="Times New Roman" w:hAnsi="Tahoma" w:cs="Tahoma"/>
          <w:sz w:val="24"/>
          <w:szCs w:val="24"/>
          <w:lang w:eastAsia="fr-FR"/>
        </w:rPr>
      </w:pPr>
      <w:r w:rsidRPr="002462E6">
        <w:rPr>
          <w:rFonts w:ascii="Tahoma" w:eastAsia="Times New Roman" w:hAnsi="Tahoma" w:cs="Tahoma"/>
          <w:b/>
          <w:bCs/>
          <w:sz w:val="24"/>
          <w:szCs w:val="24"/>
          <w:lang w:eastAsia="fr-FR"/>
        </w:rPr>
        <w:t>Brachoua</w:t>
      </w:r>
      <w:r w:rsidRPr="002462E6">
        <w:rPr>
          <w:rFonts w:ascii="Tahoma" w:eastAsia="Times New Roman" w:hAnsi="Tahoma" w:cs="Tahoma"/>
          <w:sz w:val="24"/>
          <w:szCs w:val="24"/>
          <w:lang w:eastAsia="fr-FR"/>
        </w:rPr>
        <w:t xml:space="preserve"> : 5,5%</w:t>
      </w:r>
    </w:p>
    <w:p w:rsidR="00712860" w:rsidRPr="002462E6" w:rsidRDefault="00712860" w:rsidP="00D051D7">
      <w:pPr>
        <w:numPr>
          <w:ilvl w:val="0"/>
          <w:numId w:val="40"/>
        </w:numPr>
        <w:spacing w:before="100" w:beforeAutospacing="1" w:after="100" w:afterAutospacing="1" w:line="360" w:lineRule="auto"/>
        <w:jc w:val="both"/>
        <w:rPr>
          <w:rFonts w:ascii="Tahoma" w:eastAsia="Times New Roman" w:hAnsi="Tahoma" w:cs="Tahoma"/>
          <w:sz w:val="24"/>
          <w:szCs w:val="24"/>
          <w:lang w:eastAsia="fr-FR"/>
        </w:rPr>
      </w:pPr>
      <w:r w:rsidRPr="002462E6">
        <w:rPr>
          <w:rFonts w:ascii="Tahoma" w:eastAsia="Times New Roman" w:hAnsi="Tahoma" w:cs="Tahoma"/>
          <w:b/>
          <w:bCs/>
          <w:sz w:val="24"/>
          <w:szCs w:val="24"/>
          <w:lang w:eastAsia="fr-FR"/>
        </w:rPr>
        <w:t>Sidi Yahya Zaeer</w:t>
      </w:r>
      <w:r w:rsidRPr="002462E6">
        <w:rPr>
          <w:rFonts w:ascii="Tahoma" w:eastAsia="Times New Roman" w:hAnsi="Tahoma" w:cs="Tahoma"/>
          <w:sz w:val="24"/>
          <w:szCs w:val="24"/>
          <w:lang w:eastAsia="fr-FR"/>
        </w:rPr>
        <w:t xml:space="preserve"> : 3,6%</w:t>
      </w:r>
      <w:r w:rsidRPr="002462E6">
        <w:rPr>
          <w:rFonts w:ascii="Tahoma" w:eastAsia="Times New Roman" w:hAnsi="Tahoma" w:cs="Tahoma"/>
          <w:sz w:val="24"/>
          <w:szCs w:val="24"/>
          <w:vertAlign w:val="superscript"/>
          <w:lang w:eastAsia="fr-FR"/>
        </w:rPr>
        <w:footnoteReference w:id="500"/>
      </w:r>
    </w:p>
    <w:p w:rsidR="00712860" w:rsidRPr="002462E6" w:rsidRDefault="00712860" w:rsidP="00712860">
      <w:pPr>
        <w:spacing w:before="100" w:beforeAutospacing="1" w:after="100" w:afterAutospacing="1" w:line="360" w:lineRule="auto"/>
        <w:jc w:val="both"/>
        <w:rPr>
          <w:rFonts w:ascii="Tahoma" w:eastAsia="Times New Roman" w:hAnsi="Tahoma" w:cs="Tahoma"/>
          <w:sz w:val="24"/>
          <w:szCs w:val="24"/>
          <w:lang w:eastAsia="fr-FR"/>
        </w:rPr>
      </w:pPr>
      <w:r w:rsidRPr="002462E6">
        <w:rPr>
          <w:rFonts w:ascii="Tahoma" w:eastAsia="Times New Roman" w:hAnsi="Tahoma" w:cs="Tahoma"/>
          <w:sz w:val="24"/>
          <w:szCs w:val="24"/>
          <w:lang w:eastAsia="fr-FR"/>
        </w:rPr>
        <w:t>Cette précarité économique induit une dépendance accrue aux ressources naturelles, les populations recourant à l'exploitation intensive des formations forestières pour satisfaire leurs besoins primaires</w:t>
      </w:r>
      <w:r w:rsidRPr="002462E6">
        <w:rPr>
          <w:rFonts w:ascii="Tahoma" w:eastAsia="Times New Roman" w:hAnsi="Tahoma" w:cs="Tahoma"/>
          <w:sz w:val="24"/>
          <w:szCs w:val="24"/>
          <w:vertAlign w:val="superscript"/>
          <w:lang w:eastAsia="fr-FR"/>
        </w:rPr>
        <w:footnoteReference w:id="501"/>
      </w:r>
      <w:r w:rsidRPr="002462E6">
        <w:rPr>
          <w:rFonts w:ascii="Tahoma" w:eastAsia="Times New Roman" w:hAnsi="Tahoma" w:cs="Tahoma"/>
          <w:sz w:val="24"/>
          <w:szCs w:val="24"/>
          <w:lang w:eastAsia="fr-FR"/>
        </w:rPr>
        <w:t>. Les stratégies de survie incluent la coupe de bois de feu et l'intensification du pâturage, pratiques qui compromettent la régénération naturelle des écosystèmes</w:t>
      </w:r>
      <w:r w:rsidRPr="002462E6">
        <w:rPr>
          <w:rFonts w:ascii="Tahoma" w:eastAsia="Times New Roman" w:hAnsi="Tahoma" w:cs="Tahoma"/>
          <w:sz w:val="24"/>
          <w:szCs w:val="24"/>
          <w:vertAlign w:val="superscript"/>
          <w:lang w:eastAsia="fr-FR"/>
        </w:rPr>
        <w:footnoteReference w:id="502"/>
      </w:r>
      <w:r w:rsidRPr="002462E6">
        <w:rPr>
          <w:rFonts w:ascii="Tahoma" w:eastAsia="Times New Roman" w:hAnsi="Tahoma" w:cs="Tahoma"/>
          <w:sz w:val="24"/>
          <w:szCs w:val="24"/>
          <w:lang w:eastAsia="fr-FR"/>
        </w:rPr>
        <w:t>.</w:t>
      </w:r>
    </w:p>
    <w:p w:rsidR="00712860" w:rsidRPr="002462E6" w:rsidRDefault="00712860" w:rsidP="00D051D7">
      <w:pPr>
        <w:widowControl w:val="0"/>
        <w:numPr>
          <w:ilvl w:val="0"/>
          <w:numId w:val="44"/>
        </w:numPr>
        <w:autoSpaceDE w:val="0"/>
        <w:autoSpaceDN w:val="0"/>
        <w:spacing w:before="100" w:beforeAutospacing="1" w:after="100" w:afterAutospacing="1" w:line="240" w:lineRule="auto"/>
        <w:jc w:val="both"/>
        <w:outlineLvl w:val="2"/>
        <w:rPr>
          <w:rFonts w:ascii="Tahoma" w:eastAsia="Times New Roman" w:hAnsi="Tahoma" w:cs="Tahoma"/>
          <w:b/>
          <w:bCs/>
          <w:sz w:val="27"/>
          <w:szCs w:val="27"/>
          <w:lang w:eastAsia="fr-FR"/>
        </w:rPr>
      </w:pPr>
      <w:bookmarkStart w:id="311" w:name="_Toc201570843"/>
      <w:r w:rsidRPr="002462E6">
        <w:rPr>
          <w:rFonts w:ascii="Tahoma" w:eastAsia="Times New Roman" w:hAnsi="Tahoma" w:cs="Tahoma"/>
          <w:b/>
          <w:bCs/>
          <w:sz w:val="27"/>
          <w:szCs w:val="27"/>
          <w:lang w:eastAsia="fr-FR"/>
        </w:rPr>
        <w:t>La vulnérabilité multidimensionnelle</w:t>
      </w:r>
      <w:bookmarkEnd w:id="311"/>
    </w:p>
    <w:p w:rsidR="00712860" w:rsidRPr="002462E6" w:rsidRDefault="00712860" w:rsidP="00712860">
      <w:pPr>
        <w:spacing w:before="100" w:beforeAutospacing="1" w:after="100" w:afterAutospacing="1" w:line="360" w:lineRule="auto"/>
        <w:jc w:val="both"/>
        <w:rPr>
          <w:rFonts w:ascii="Tahoma" w:eastAsia="Times New Roman" w:hAnsi="Tahoma" w:cs="Tahoma"/>
          <w:sz w:val="24"/>
          <w:szCs w:val="24"/>
          <w:lang w:eastAsia="fr-FR"/>
        </w:rPr>
      </w:pPr>
      <w:r w:rsidRPr="002462E6">
        <w:rPr>
          <w:rFonts w:ascii="Tahoma" w:eastAsia="Times New Roman" w:hAnsi="Tahoma" w:cs="Tahoma"/>
          <w:sz w:val="24"/>
          <w:szCs w:val="24"/>
          <w:lang w:eastAsia="fr-FR"/>
        </w:rPr>
        <w:t>Au-delà de la pauvreté monétaire, l'analyse de la vulnérabilité socio-économique révèle des fragilités structurelles particulièrement marquées dans les communes de Marchouch (21,2%) et Brachoua (19,7%)</w:t>
      </w:r>
      <w:r w:rsidRPr="002462E6">
        <w:rPr>
          <w:rFonts w:ascii="Tahoma" w:eastAsia="Times New Roman" w:hAnsi="Tahoma" w:cs="Tahoma"/>
          <w:sz w:val="24"/>
          <w:szCs w:val="24"/>
          <w:vertAlign w:val="superscript"/>
          <w:lang w:eastAsia="fr-FR"/>
        </w:rPr>
        <w:footnoteReference w:id="503"/>
      </w:r>
      <w:r w:rsidRPr="002462E6">
        <w:rPr>
          <w:rFonts w:ascii="Tahoma" w:eastAsia="Times New Roman" w:hAnsi="Tahoma" w:cs="Tahoma"/>
          <w:sz w:val="24"/>
          <w:szCs w:val="24"/>
          <w:lang w:eastAsia="fr-FR"/>
        </w:rPr>
        <w:t>. Cette vulnérabilité multidimensionnelle, conceptualisée par Amartya Sen dans son approche des capabilités</w:t>
      </w:r>
      <w:r w:rsidRPr="002462E6">
        <w:rPr>
          <w:rFonts w:ascii="Tahoma" w:eastAsia="Times New Roman" w:hAnsi="Tahoma" w:cs="Tahoma"/>
          <w:sz w:val="24"/>
          <w:szCs w:val="24"/>
          <w:vertAlign w:val="superscript"/>
          <w:lang w:eastAsia="fr-FR"/>
        </w:rPr>
        <w:footnoteReference w:id="504"/>
      </w:r>
      <w:r w:rsidRPr="002462E6">
        <w:rPr>
          <w:rFonts w:ascii="Tahoma" w:eastAsia="Times New Roman" w:hAnsi="Tahoma" w:cs="Tahoma"/>
          <w:sz w:val="24"/>
          <w:szCs w:val="24"/>
          <w:lang w:eastAsia="fr-FR"/>
        </w:rPr>
        <w:t>, reflète l'incapacité des populations à faire face aux chocs économiques et environnementaux.</w:t>
      </w:r>
    </w:p>
    <w:p w:rsidR="008077EE" w:rsidRPr="002462E6" w:rsidRDefault="00712860" w:rsidP="009D1F56">
      <w:pPr>
        <w:spacing w:before="100" w:beforeAutospacing="1" w:after="100" w:afterAutospacing="1" w:line="360" w:lineRule="auto"/>
        <w:jc w:val="both"/>
        <w:rPr>
          <w:rFonts w:ascii="Tahoma" w:eastAsia="Times New Roman" w:hAnsi="Tahoma" w:cs="Tahoma"/>
          <w:sz w:val="24"/>
          <w:szCs w:val="24"/>
          <w:lang w:eastAsia="fr-FR"/>
        </w:rPr>
      </w:pPr>
      <w:r w:rsidRPr="002462E6">
        <w:rPr>
          <w:rFonts w:ascii="Tahoma" w:eastAsia="Times New Roman" w:hAnsi="Tahoma" w:cs="Tahoma"/>
          <w:sz w:val="24"/>
          <w:szCs w:val="24"/>
          <w:lang w:eastAsia="fr-FR"/>
        </w:rPr>
        <w:t>La vulnérabilité économique pousse les populations vers la surexploitation des ressources forestières comme stratégie d'adaptation à court terme, créant un cercle vicieux de dégradation environnementale et de précarité socio-économique</w:t>
      </w:r>
      <w:r w:rsidRPr="002462E6">
        <w:rPr>
          <w:rFonts w:ascii="Tahoma" w:eastAsia="Times New Roman" w:hAnsi="Tahoma" w:cs="Tahoma"/>
          <w:sz w:val="24"/>
          <w:szCs w:val="24"/>
          <w:vertAlign w:val="superscript"/>
          <w:lang w:eastAsia="fr-FR"/>
        </w:rPr>
        <w:footnoteReference w:id="505"/>
      </w:r>
      <w:bookmarkStart w:id="312" w:name="_Toc201655497"/>
      <w:r w:rsidR="009D1F56" w:rsidRPr="002462E6">
        <w:rPr>
          <w:rFonts w:ascii="Tahoma" w:eastAsia="Times New Roman" w:hAnsi="Tahoma" w:cs="Tahoma"/>
          <w:sz w:val="24"/>
          <w:szCs w:val="24"/>
          <w:lang w:eastAsia="fr-FR"/>
        </w:rPr>
        <w:t>.</w:t>
      </w:r>
    </w:p>
    <w:p w:rsidR="00712860" w:rsidRPr="002462E6" w:rsidRDefault="00712860" w:rsidP="00D051D7">
      <w:pPr>
        <w:widowControl w:val="0"/>
        <w:numPr>
          <w:ilvl w:val="0"/>
          <w:numId w:val="44"/>
        </w:numPr>
        <w:autoSpaceDE w:val="0"/>
        <w:autoSpaceDN w:val="0"/>
        <w:spacing w:before="100" w:beforeAutospacing="1" w:after="100" w:afterAutospacing="1" w:line="360" w:lineRule="auto"/>
        <w:jc w:val="both"/>
        <w:outlineLvl w:val="2"/>
        <w:rPr>
          <w:rFonts w:ascii="Tahoma" w:eastAsia="Times New Roman" w:hAnsi="Tahoma" w:cs="Tahoma"/>
          <w:b/>
          <w:bCs/>
          <w:sz w:val="24"/>
          <w:szCs w:val="24"/>
          <w:lang w:eastAsia="fr-FR"/>
        </w:rPr>
      </w:pPr>
      <w:r w:rsidRPr="002462E6">
        <w:rPr>
          <w:rFonts w:ascii="Tahoma" w:eastAsia="Times New Roman" w:hAnsi="Tahoma" w:cs="Tahoma"/>
          <w:b/>
          <w:bCs/>
          <w:sz w:val="24"/>
          <w:szCs w:val="24"/>
          <w:lang w:eastAsia="fr-FR"/>
        </w:rPr>
        <w:t>Pression pastorale et dégradation des écosystèmes</w:t>
      </w:r>
      <w:bookmarkEnd w:id="312"/>
    </w:p>
    <w:p w:rsidR="009D1F56" w:rsidRPr="002462E6" w:rsidRDefault="00712860" w:rsidP="00C23CB8">
      <w:pPr>
        <w:widowControl w:val="0"/>
        <w:autoSpaceDE w:val="0"/>
        <w:autoSpaceDN w:val="0"/>
        <w:spacing w:before="100" w:beforeAutospacing="1" w:after="100" w:afterAutospacing="1" w:line="360" w:lineRule="auto"/>
        <w:jc w:val="both"/>
        <w:outlineLvl w:val="2"/>
        <w:rPr>
          <w:rFonts w:ascii="Tahoma" w:eastAsia="Times New Roman" w:hAnsi="Tahoma" w:cs="Tahoma"/>
          <w:b/>
          <w:bCs/>
          <w:sz w:val="24"/>
          <w:szCs w:val="24"/>
          <w:lang w:eastAsia="fr-FR"/>
        </w:rPr>
      </w:pPr>
      <w:bookmarkStart w:id="313" w:name="_Toc201570844"/>
      <w:r w:rsidRPr="002462E6">
        <w:rPr>
          <w:rFonts w:ascii="Tahoma" w:eastAsia="Times New Roman" w:hAnsi="Tahoma" w:cs="Tahoma"/>
          <w:b/>
          <w:bCs/>
          <w:sz w:val="24"/>
          <w:szCs w:val="24"/>
          <w:lang w:eastAsia="fr-FR"/>
        </w:rPr>
        <w:t>Le surpâturage : un facteur critique de dégradation</w:t>
      </w:r>
      <w:bookmarkEnd w:id="313"/>
    </w:p>
    <w:p w:rsidR="00DD1BED" w:rsidRPr="00DD1BED" w:rsidRDefault="00712860" w:rsidP="00DD1BED">
      <w:pPr>
        <w:widowControl w:val="0"/>
        <w:autoSpaceDE w:val="0"/>
        <w:autoSpaceDN w:val="0"/>
        <w:spacing w:before="100" w:beforeAutospacing="1" w:after="100" w:afterAutospacing="1" w:line="360" w:lineRule="auto"/>
        <w:jc w:val="both"/>
        <w:outlineLvl w:val="2"/>
        <w:rPr>
          <w:rFonts w:ascii="Tahoma" w:eastAsia="Times New Roman" w:hAnsi="Tahoma" w:cs="Tahoma"/>
          <w:sz w:val="24"/>
          <w:szCs w:val="24"/>
          <w:lang w:eastAsia="fr-FR"/>
        </w:rPr>
      </w:pPr>
      <w:r w:rsidRPr="002462E6">
        <w:rPr>
          <w:rFonts w:ascii="Tahoma" w:eastAsia="Times New Roman" w:hAnsi="Tahoma" w:cs="Tahoma"/>
          <w:sz w:val="24"/>
          <w:szCs w:val="24"/>
          <w:lang w:eastAsia="fr-FR"/>
        </w:rPr>
        <w:t>L'analyse des charges pastorales révèle un déséquilibre systémique entre les capacités de charge des parcours et l'effectif du cheptel. Les données quantitatives témoignent d'une surexploitation généralisée :</w:t>
      </w:r>
    </w:p>
    <w:p w:rsidR="009D1F56" w:rsidRPr="002462E6" w:rsidRDefault="00712860" w:rsidP="009D1F56">
      <w:pPr>
        <w:spacing w:before="100" w:beforeAutospacing="1" w:after="100" w:afterAutospacing="1" w:line="360" w:lineRule="auto"/>
        <w:rPr>
          <w:rFonts w:ascii="Tahoma" w:eastAsia="Times New Roman" w:hAnsi="Tahoma" w:cs="Tahoma"/>
          <w:sz w:val="24"/>
          <w:szCs w:val="24"/>
          <w:lang w:eastAsia="fr-FR"/>
        </w:rPr>
      </w:pPr>
      <w:r w:rsidRPr="002462E6">
        <w:rPr>
          <w:rFonts w:ascii="Tahoma" w:eastAsia="Times New Roman" w:hAnsi="Tahoma" w:cs="Tahoma"/>
          <w:b/>
          <w:bCs/>
          <w:sz w:val="24"/>
          <w:szCs w:val="24"/>
          <w:lang w:eastAsia="fr-FR"/>
        </w:rPr>
        <w:t>Terroir Zaeer</w:t>
      </w:r>
      <w:r w:rsidRPr="002462E6">
        <w:rPr>
          <w:rFonts w:ascii="Tahoma" w:eastAsia="Times New Roman" w:hAnsi="Tahoma" w:cs="Tahoma"/>
          <w:sz w:val="24"/>
          <w:szCs w:val="24"/>
          <w:lang w:eastAsia="fr-FR"/>
        </w:rPr>
        <w:t xml:space="preserve"> :</w:t>
      </w:r>
    </w:p>
    <w:p w:rsidR="00712860" w:rsidRPr="002462E6" w:rsidRDefault="00712860" w:rsidP="00D051D7">
      <w:pPr>
        <w:numPr>
          <w:ilvl w:val="0"/>
          <w:numId w:val="98"/>
        </w:numPr>
        <w:spacing w:before="100" w:beforeAutospacing="1" w:after="100" w:afterAutospacing="1" w:line="360" w:lineRule="auto"/>
        <w:rPr>
          <w:rFonts w:ascii="Tahoma" w:eastAsia="Times New Roman" w:hAnsi="Tahoma" w:cs="Tahoma"/>
          <w:sz w:val="24"/>
          <w:szCs w:val="24"/>
          <w:lang w:eastAsia="fr-FR"/>
        </w:rPr>
      </w:pPr>
      <w:r w:rsidRPr="002462E6">
        <w:rPr>
          <w:rFonts w:ascii="Tahoma" w:eastAsia="Times New Roman" w:hAnsi="Tahoma" w:cs="Tahoma"/>
          <w:b/>
          <w:bCs/>
          <w:sz w:val="24"/>
          <w:szCs w:val="24"/>
          <w:lang w:eastAsia="fr-FR"/>
        </w:rPr>
        <w:t>Charge apparente</w:t>
      </w:r>
      <w:r w:rsidRPr="002462E6">
        <w:rPr>
          <w:rFonts w:ascii="Tahoma" w:eastAsia="Times New Roman" w:hAnsi="Tahoma" w:cs="Tahoma"/>
          <w:sz w:val="24"/>
          <w:szCs w:val="24"/>
          <w:lang w:eastAsia="fr-FR"/>
        </w:rPr>
        <w:t xml:space="preserve"> : 0,79%</w:t>
      </w:r>
    </w:p>
    <w:p w:rsidR="00712860" w:rsidRPr="002462E6" w:rsidRDefault="00712860" w:rsidP="00D051D7">
      <w:pPr>
        <w:numPr>
          <w:ilvl w:val="0"/>
          <w:numId w:val="98"/>
        </w:numPr>
        <w:spacing w:before="100" w:beforeAutospacing="1" w:after="100" w:afterAutospacing="1" w:line="360" w:lineRule="auto"/>
        <w:rPr>
          <w:rFonts w:ascii="Tahoma" w:eastAsia="Times New Roman" w:hAnsi="Tahoma" w:cs="Tahoma"/>
          <w:sz w:val="24"/>
          <w:szCs w:val="24"/>
          <w:lang w:eastAsia="fr-FR"/>
        </w:rPr>
      </w:pPr>
      <w:r w:rsidRPr="002462E6">
        <w:rPr>
          <w:rFonts w:ascii="Tahoma" w:eastAsia="Times New Roman" w:hAnsi="Tahoma" w:cs="Tahoma"/>
          <w:b/>
          <w:bCs/>
          <w:sz w:val="24"/>
          <w:szCs w:val="24"/>
          <w:lang w:eastAsia="fr-FR"/>
        </w:rPr>
        <w:t>Charge réelle</w:t>
      </w:r>
      <w:r w:rsidRPr="002462E6">
        <w:rPr>
          <w:rFonts w:ascii="Tahoma" w:eastAsia="Times New Roman" w:hAnsi="Tahoma" w:cs="Tahoma"/>
          <w:sz w:val="24"/>
          <w:szCs w:val="24"/>
          <w:lang w:eastAsia="fr-FR"/>
        </w:rPr>
        <w:t xml:space="preserve"> : 0,47%</w:t>
      </w:r>
    </w:p>
    <w:p w:rsidR="00712860" w:rsidRPr="002462E6" w:rsidRDefault="00712860" w:rsidP="00D051D7">
      <w:pPr>
        <w:numPr>
          <w:ilvl w:val="0"/>
          <w:numId w:val="98"/>
        </w:numPr>
        <w:spacing w:before="100" w:beforeAutospacing="1" w:after="100" w:afterAutospacing="1" w:line="360" w:lineRule="auto"/>
        <w:rPr>
          <w:rFonts w:ascii="Tahoma" w:eastAsia="Times New Roman" w:hAnsi="Tahoma" w:cs="Tahoma"/>
          <w:sz w:val="24"/>
          <w:szCs w:val="24"/>
          <w:lang w:eastAsia="fr-FR"/>
        </w:rPr>
      </w:pPr>
      <w:r w:rsidRPr="002462E6">
        <w:rPr>
          <w:rFonts w:ascii="Tahoma" w:eastAsia="Times New Roman" w:hAnsi="Tahoma" w:cs="Tahoma"/>
          <w:b/>
          <w:bCs/>
          <w:sz w:val="24"/>
          <w:szCs w:val="24"/>
          <w:lang w:eastAsia="fr-FR"/>
        </w:rPr>
        <w:t>Charge d'équilibre</w:t>
      </w:r>
      <w:r w:rsidRPr="002462E6">
        <w:rPr>
          <w:rFonts w:ascii="Tahoma" w:eastAsia="Times New Roman" w:hAnsi="Tahoma" w:cs="Tahoma"/>
          <w:sz w:val="24"/>
          <w:szCs w:val="24"/>
          <w:lang w:eastAsia="fr-FR"/>
        </w:rPr>
        <w:t xml:space="preserve"> : 0,66%</w:t>
      </w:r>
    </w:p>
    <w:p w:rsidR="00712860" w:rsidRPr="002462E6" w:rsidRDefault="00712860" w:rsidP="00D051D7">
      <w:pPr>
        <w:numPr>
          <w:ilvl w:val="0"/>
          <w:numId w:val="98"/>
        </w:numPr>
        <w:spacing w:before="100" w:beforeAutospacing="1" w:after="100" w:afterAutospacing="1" w:line="360" w:lineRule="auto"/>
        <w:rPr>
          <w:rFonts w:ascii="Tahoma" w:eastAsia="Times New Roman" w:hAnsi="Tahoma" w:cs="Tahoma"/>
          <w:sz w:val="24"/>
          <w:szCs w:val="24"/>
          <w:lang w:eastAsia="fr-FR"/>
        </w:rPr>
      </w:pPr>
      <w:r w:rsidRPr="002462E6">
        <w:rPr>
          <w:rFonts w:ascii="Tahoma" w:eastAsia="Times New Roman" w:hAnsi="Tahoma" w:cs="Tahoma"/>
          <w:b/>
          <w:bCs/>
          <w:sz w:val="24"/>
          <w:szCs w:val="24"/>
          <w:lang w:eastAsia="fr-FR"/>
        </w:rPr>
        <w:t>Degré de surpâturage</w:t>
      </w:r>
      <w:r w:rsidRPr="002462E6">
        <w:rPr>
          <w:rFonts w:ascii="Tahoma" w:eastAsia="Times New Roman" w:hAnsi="Tahoma" w:cs="Tahoma"/>
          <w:sz w:val="24"/>
          <w:szCs w:val="24"/>
          <w:lang w:eastAsia="fr-FR"/>
        </w:rPr>
        <w:t xml:space="preserve"> : 40,4%</w:t>
      </w:r>
      <w:r w:rsidRPr="002462E6">
        <w:rPr>
          <w:rFonts w:ascii="Tahoma" w:eastAsia="Times New Roman" w:hAnsi="Tahoma" w:cs="Tahoma"/>
          <w:sz w:val="24"/>
          <w:szCs w:val="24"/>
          <w:vertAlign w:val="superscript"/>
          <w:lang w:eastAsia="fr-FR"/>
        </w:rPr>
        <w:footnoteReference w:id="506"/>
      </w:r>
    </w:p>
    <w:p w:rsidR="00712860" w:rsidRPr="002462E6" w:rsidRDefault="00712860" w:rsidP="00712860">
      <w:pPr>
        <w:spacing w:before="100" w:beforeAutospacing="1" w:after="100" w:afterAutospacing="1" w:line="360" w:lineRule="auto"/>
        <w:rPr>
          <w:rFonts w:ascii="Tahoma" w:eastAsia="Times New Roman" w:hAnsi="Tahoma" w:cs="Tahoma"/>
          <w:sz w:val="24"/>
          <w:szCs w:val="24"/>
          <w:lang w:eastAsia="fr-FR"/>
        </w:rPr>
      </w:pPr>
      <w:r w:rsidRPr="002462E6">
        <w:rPr>
          <w:rFonts w:ascii="Tahoma" w:eastAsia="Times New Roman" w:hAnsi="Tahoma" w:cs="Tahoma"/>
          <w:b/>
          <w:bCs/>
          <w:sz w:val="24"/>
          <w:szCs w:val="24"/>
          <w:lang w:eastAsia="fr-FR"/>
        </w:rPr>
        <w:t>Terroir Oulad Khlifa</w:t>
      </w:r>
      <w:r w:rsidRPr="002462E6">
        <w:rPr>
          <w:rFonts w:ascii="Tahoma" w:eastAsia="Times New Roman" w:hAnsi="Tahoma" w:cs="Tahoma"/>
          <w:sz w:val="24"/>
          <w:szCs w:val="24"/>
          <w:lang w:eastAsia="fr-FR"/>
        </w:rPr>
        <w:t xml:space="preserve"> :</w:t>
      </w:r>
    </w:p>
    <w:p w:rsidR="00712860" w:rsidRPr="002462E6" w:rsidRDefault="00712860" w:rsidP="00D051D7">
      <w:pPr>
        <w:numPr>
          <w:ilvl w:val="0"/>
          <w:numId w:val="97"/>
        </w:numPr>
        <w:spacing w:before="100" w:beforeAutospacing="1" w:after="100" w:afterAutospacing="1" w:line="360" w:lineRule="auto"/>
        <w:rPr>
          <w:rFonts w:ascii="Tahoma" w:eastAsia="Times New Roman" w:hAnsi="Tahoma" w:cs="Tahoma"/>
          <w:sz w:val="24"/>
          <w:szCs w:val="24"/>
          <w:lang w:eastAsia="fr-FR"/>
        </w:rPr>
      </w:pPr>
      <w:r w:rsidRPr="002462E6">
        <w:rPr>
          <w:rFonts w:ascii="Tahoma" w:eastAsia="Times New Roman" w:hAnsi="Tahoma" w:cs="Tahoma"/>
          <w:b/>
          <w:bCs/>
          <w:sz w:val="24"/>
          <w:szCs w:val="24"/>
          <w:lang w:eastAsia="fr-FR"/>
        </w:rPr>
        <w:t>Charge apparente</w:t>
      </w:r>
      <w:r w:rsidRPr="002462E6">
        <w:rPr>
          <w:rFonts w:ascii="Tahoma" w:eastAsia="Times New Roman" w:hAnsi="Tahoma" w:cs="Tahoma"/>
          <w:sz w:val="24"/>
          <w:szCs w:val="24"/>
          <w:lang w:eastAsia="fr-FR"/>
        </w:rPr>
        <w:t xml:space="preserve"> : 0,77%</w:t>
      </w:r>
    </w:p>
    <w:p w:rsidR="00712860" w:rsidRPr="002462E6" w:rsidRDefault="00712860" w:rsidP="00D051D7">
      <w:pPr>
        <w:numPr>
          <w:ilvl w:val="0"/>
          <w:numId w:val="97"/>
        </w:numPr>
        <w:spacing w:before="100" w:beforeAutospacing="1" w:after="100" w:afterAutospacing="1" w:line="360" w:lineRule="auto"/>
        <w:rPr>
          <w:rFonts w:ascii="Tahoma" w:eastAsia="Times New Roman" w:hAnsi="Tahoma" w:cs="Tahoma"/>
          <w:sz w:val="24"/>
          <w:szCs w:val="24"/>
          <w:lang w:eastAsia="fr-FR"/>
        </w:rPr>
      </w:pPr>
      <w:r w:rsidRPr="002462E6">
        <w:rPr>
          <w:rFonts w:ascii="Tahoma" w:eastAsia="Times New Roman" w:hAnsi="Tahoma" w:cs="Tahoma"/>
          <w:b/>
          <w:bCs/>
          <w:sz w:val="24"/>
          <w:szCs w:val="24"/>
          <w:lang w:eastAsia="fr-FR"/>
        </w:rPr>
        <w:t>Charge réelle</w:t>
      </w:r>
      <w:r w:rsidRPr="002462E6">
        <w:rPr>
          <w:rFonts w:ascii="Tahoma" w:eastAsia="Times New Roman" w:hAnsi="Tahoma" w:cs="Tahoma"/>
          <w:sz w:val="24"/>
          <w:szCs w:val="24"/>
          <w:lang w:eastAsia="fr-FR"/>
        </w:rPr>
        <w:t xml:space="preserve"> : 0,46%</w:t>
      </w:r>
    </w:p>
    <w:p w:rsidR="00712860" w:rsidRPr="002462E6" w:rsidRDefault="00712860" w:rsidP="00D051D7">
      <w:pPr>
        <w:numPr>
          <w:ilvl w:val="0"/>
          <w:numId w:val="97"/>
        </w:numPr>
        <w:spacing w:before="100" w:beforeAutospacing="1" w:after="100" w:afterAutospacing="1" w:line="360" w:lineRule="auto"/>
        <w:rPr>
          <w:rFonts w:ascii="Tahoma" w:eastAsia="Times New Roman" w:hAnsi="Tahoma" w:cs="Tahoma"/>
          <w:sz w:val="24"/>
          <w:szCs w:val="24"/>
          <w:lang w:eastAsia="fr-FR"/>
        </w:rPr>
      </w:pPr>
      <w:r w:rsidRPr="002462E6">
        <w:rPr>
          <w:rFonts w:ascii="Tahoma" w:eastAsia="Times New Roman" w:hAnsi="Tahoma" w:cs="Tahoma"/>
          <w:b/>
          <w:bCs/>
          <w:sz w:val="24"/>
          <w:szCs w:val="24"/>
          <w:lang w:eastAsia="fr-FR"/>
        </w:rPr>
        <w:t>Charge d'équilibre</w:t>
      </w:r>
      <w:r w:rsidRPr="002462E6">
        <w:rPr>
          <w:rFonts w:ascii="Tahoma" w:eastAsia="Times New Roman" w:hAnsi="Tahoma" w:cs="Tahoma"/>
          <w:sz w:val="24"/>
          <w:szCs w:val="24"/>
          <w:lang w:eastAsia="fr-FR"/>
        </w:rPr>
        <w:t xml:space="preserve"> : 0,66%</w:t>
      </w:r>
    </w:p>
    <w:p w:rsidR="00712860" w:rsidRPr="002462E6" w:rsidRDefault="00712860" w:rsidP="00D051D7">
      <w:pPr>
        <w:numPr>
          <w:ilvl w:val="0"/>
          <w:numId w:val="97"/>
        </w:numPr>
        <w:spacing w:before="100" w:beforeAutospacing="1" w:after="100" w:afterAutospacing="1" w:line="360" w:lineRule="auto"/>
        <w:rPr>
          <w:rFonts w:ascii="Tahoma" w:eastAsia="Times New Roman" w:hAnsi="Tahoma" w:cs="Tahoma"/>
          <w:sz w:val="24"/>
          <w:szCs w:val="24"/>
          <w:lang w:eastAsia="fr-FR"/>
        </w:rPr>
      </w:pPr>
      <w:r w:rsidRPr="002462E6">
        <w:rPr>
          <w:rFonts w:ascii="Tahoma" w:eastAsia="Times New Roman" w:hAnsi="Tahoma" w:cs="Tahoma"/>
          <w:b/>
          <w:bCs/>
          <w:sz w:val="24"/>
          <w:szCs w:val="24"/>
          <w:lang w:eastAsia="fr-FR"/>
        </w:rPr>
        <w:t>Degré de surpâturage</w:t>
      </w:r>
      <w:r w:rsidRPr="002462E6">
        <w:rPr>
          <w:rFonts w:ascii="Tahoma" w:eastAsia="Times New Roman" w:hAnsi="Tahoma" w:cs="Tahoma"/>
          <w:sz w:val="24"/>
          <w:szCs w:val="24"/>
          <w:lang w:eastAsia="fr-FR"/>
        </w:rPr>
        <w:t xml:space="preserve"> : 42,3%</w:t>
      </w:r>
      <w:r w:rsidRPr="002462E6">
        <w:rPr>
          <w:rFonts w:ascii="Tahoma" w:eastAsia="Times New Roman" w:hAnsi="Tahoma" w:cs="Tahoma"/>
          <w:sz w:val="24"/>
          <w:szCs w:val="24"/>
          <w:vertAlign w:val="superscript"/>
          <w:lang w:eastAsia="fr-FR"/>
        </w:rPr>
        <w:footnoteReference w:id="507"/>
      </w:r>
    </w:p>
    <w:p w:rsidR="00712860" w:rsidRPr="002462E6" w:rsidRDefault="00712860" w:rsidP="00D051D7">
      <w:pPr>
        <w:widowControl w:val="0"/>
        <w:numPr>
          <w:ilvl w:val="0"/>
          <w:numId w:val="44"/>
        </w:numPr>
        <w:autoSpaceDE w:val="0"/>
        <w:autoSpaceDN w:val="0"/>
        <w:spacing w:before="100" w:beforeAutospacing="1" w:after="100" w:afterAutospacing="1" w:line="360" w:lineRule="auto"/>
        <w:jc w:val="both"/>
        <w:outlineLvl w:val="2"/>
        <w:rPr>
          <w:rFonts w:ascii="Tahoma" w:eastAsia="Times New Roman" w:hAnsi="Tahoma" w:cs="Tahoma"/>
          <w:b/>
          <w:bCs/>
          <w:sz w:val="24"/>
          <w:szCs w:val="24"/>
          <w:lang w:eastAsia="fr-FR"/>
        </w:rPr>
      </w:pPr>
      <w:bookmarkStart w:id="314" w:name="_Toc201570845"/>
      <w:r w:rsidRPr="002462E6">
        <w:rPr>
          <w:rFonts w:ascii="Tahoma" w:eastAsia="Times New Roman" w:hAnsi="Tahoma" w:cs="Tahoma"/>
          <w:b/>
          <w:bCs/>
          <w:sz w:val="24"/>
          <w:szCs w:val="24"/>
          <w:lang w:eastAsia="fr-FR"/>
        </w:rPr>
        <w:t>L'effectif du cheptel et ses implications écologiques</w:t>
      </w:r>
      <w:bookmarkEnd w:id="314"/>
    </w:p>
    <w:p w:rsidR="00712860" w:rsidRPr="002462E6" w:rsidRDefault="00712860" w:rsidP="00112B79">
      <w:pPr>
        <w:spacing w:before="100" w:beforeAutospacing="1" w:after="100" w:afterAutospacing="1" w:line="360" w:lineRule="auto"/>
        <w:jc w:val="both"/>
        <w:rPr>
          <w:rFonts w:ascii="Tahoma" w:eastAsia="Times New Roman" w:hAnsi="Tahoma" w:cs="Tahoma"/>
          <w:sz w:val="24"/>
          <w:szCs w:val="24"/>
          <w:lang w:eastAsia="fr-FR"/>
        </w:rPr>
      </w:pPr>
      <w:r w:rsidRPr="002462E6">
        <w:rPr>
          <w:rFonts w:ascii="Tahoma" w:eastAsia="Times New Roman" w:hAnsi="Tahoma" w:cs="Tahoma"/>
          <w:sz w:val="24"/>
          <w:szCs w:val="24"/>
          <w:lang w:eastAsia="fr-FR"/>
        </w:rPr>
        <w:t>La pression exercée par le cheptel sur la végétation s'avère considérable, avec des effectifs dépassant largement les capacités de charge des écosystèmes :</w:t>
      </w:r>
    </w:p>
    <w:p w:rsidR="00712860" w:rsidRPr="002462E6" w:rsidRDefault="00712860" w:rsidP="00D051D7">
      <w:pPr>
        <w:numPr>
          <w:ilvl w:val="0"/>
          <w:numId w:val="41"/>
        </w:numPr>
        <w:spacing w:before="100" w:beforeAutospacing="1" w:after="100" w:afterAutospacing="1" w:line="360" w:lineRule="auto"/>
        <w:jc w:val="both"/>
        <w:rPr>
          <w:rFonts w:ascii="Tahoma" w:eastAsia="Times New Roman" w:hAnsi="Tahoma" w:cs="Tahoma"/>
          <w:sz w:val="24"/>
          <w:szCs w:val="24"/>
          <w:lang w:eastAsia="fr-FR"/>
        </w:rPr>
      </w:pPr>
      <w:r w:rsidRPr="002462E6">
        <w:rPr>
          <w:rFonts w:ascii="Tahoma" w:eastAsia="Times New Roman" w:hAnsi="Tahoma" w:cs="Tahoma"/>
          <w:b/>
          <w:bCs/>
          <w:sz w:val="24"/>
          <w:szCs w:val="24"/>
          <w:lang w:eastAsia="fr-FR"/>
        </w:rPr>
        <w:t>Terroir Zaeer</w:t>
      </w:r>
      <w:r w:rsidRPr="002462E6">
        <w:rPr>
          <w:rFonts w:ascii="Tahoma" w:eastAsia="Times New Roman" w:hAnsi="Tahoma" w:cs="Tahoma"/>
          <w:sz w:val="24"/>
          <w:szCs w:val="24"/>
          <w:lang w:eastAsia="fr-FR"/>
        </w:rPr>
        <w:t xml:space="preserve"> : 5 297 UPB (533 bovins, 2 277 ovins, 355 caprins)</w:t>
      </w:r>
    </w:p>
    <w:p w:rsidR="00712860" w:rsidRDefault="00712860" w:rsidP="00D051D7">
      <w:pPr>
        <w:numPr>
          <w:ilvl w:val="0"/>
          <w:numId w:val="41"/>
        </w:numPr>
        <w:spacing w:before="100" w:beforeAutospacing="1" w:after="100" w:afterAutospacing="1" w:line="360" w:lineRule="auto"/>
        <w:jc w:val="both"/>
        <w:rPr>
          <w:rFonts w:ascii="Tahoma" w:eastAsia="Times New Roman" w:hAnsi="Tahoma" w:cs="Tahoma"/>
          <w:sz w:val="24"/>
          <w:szCs w:val="24"/>
          <w:lang w:eastAsia="fr-FR"/>
        </w:rPr>
      </w:pPr>
      <w:r w:rsidRPr="002462E6">
        <w:rPr>
          <w:rFonts w:ascii="Tahoma" w:eastAsia="Times New Roman" w:hAnsi="Tahoma" w:cs="Tahoma"/>
          <w:b/>
          <w:bCs/>
          <w:sz w:val="24"/>
          <w:szCs w:val="24"/>
          <w:lang w:eastAsia="fr-FR"/>
        </w:rPr>
        <w:t>Terroir Oulad Khlifa</w:t>
      </w:r>
      <w:r w:rsidRPr="002462E6">
        <w:rPr>
          <w:rFonts w:ascii="Tahoma" w:eastAsia="Times New Roman" w:hAnsi="Tahoma" w:cs="Tahoma"/>
          <w:sz w:val="24"/>
          <w:szCs w:val="24"/>
          <w:lang w:eastAsia="fr-FR"/>
        </w:rPr>
        <w:t xml:space="preserve"> : 6 516 UPB (727 bovins, 2 268 ovins, 613 caprins)</w:t>
      </w:r>
      <w:r w:rsidRPr="002462E6">
        <w:rPr>
          <w:rFonts w:ascii="Tahoma" w:eastAsia="Times New Roman" w:hAnsi="Tahoma" w:cs="Tahoma"/>
          <w:sz w:val="24"/>
          <w:szCs w:val="24"/>
          <w:vertAlign w:val="superscript"/>
          <w:lang w:eastAsia="fr-FR"/>
        </w:rPr>
        <w:footnoteReference w:id="508"/>
      </w:r>
    </w:p>
    <w:p w:rsidR="009141BF" w:rsidRDefault="00712860" w:rsidP="00C96FDE">
      <w:pPr>
        <w:spacing w:before="100" w:beforeAutospacing="1" w:after="100" w:afterAutospacing="1" w:line="360" w:lineRule="auto"/>
        <w:jc w:val="both"/>
        <w:rPr>
          <w:rFonts w:ascii="Tahoma" w:eastAsia="Times New Roman" w:hAnsi="Tahoma" w:cs="Tahoma"/>
          <w:sz w:val="24"/>
          <w:szCs w:val="24"/>
          <w:lang w:eastAsia="fr-FR"/>
        </w:rPr>
      </w:pPr>
      <w:r w:rsidRPr="002462E6">
        <w:rPr>
          <w:rFonts w:ascii="Tahoma" w:eastAsia="Times New Roman" w:hAnsi="Tahoma" w:cs="Tahoma"/>
          <w:sz w:val="24"/>
          <w:szCs w:val="24"/>
          <w:lang w:eastAsia="fr-FR"/>
        </w:rPr>
        <w:t>Cette surcharge pastorale induit une dégradation de la structure et de la composition floristique des formations végétales, compromettant les processus de régénération naturelle</w:t>
      </w:r>
      <w:r w:rsidRPr="002462E6">
        <w:rPr>
          <w:rFonts w:ascii="Tahoma" w:eastAsia="Times New Roman" w:hAnsi="Tahoma" w:cs="Tahoma"/>
          <w:sz w:val="24"/>
          <w:szCs w:val="24"/>
          <w:vertAlign w:val="superscript"/>
          <w:lang w:eastAsia="fr-FR"/>
        </w:rPr>
        <w:footnoteReference w:id="509"/>
      </w:r>
      <w:r w:rsidR="00C96FDE" w:rsidRPr="002462E6">
        <w:rPr>
          <w:rFonts w:ascii="Tahoma" w:eastAsia="Times New Roman" w:hAnsi="Tahoma" w:cs="Tahoma"/>
          <w:sz w:val="24"/>
          <w:szCs w:val="24"/>
          <w:lang w:eastAsia="fr-FR"/>
        </w:rPr>
        <w:t>.</w:t>
      </w:r>
    </w:p>
    <w:p w:rsidR="00236D1C" w:rsidRDefault="00236D1C">
      <w:pPr>
        <w:rPr>
          <w:rFonts w:ascii="Tahoma" w:eastAsia="Times New Roman" w:hAnsi="Tahoma" w:cstheme="majorBidi"/>
          <w:b/>
          <w:iCs/>
          <w:color w:val="000000" w:themeColor="text1"/>
          <w:sz w:val="24"/>
          <w:lang w:eastAsia="fr-FR"/>
        </w:rPr>
      </w:pPr>
      <w:bookmarkStart w:id="315" w:name="_Toc201655498"/>
      <w:r>
        <w:br w:type="page"/>
      </w:r>
    </w:p>
    <w:p w:rsidR="00712860" w:rsidRPr="002462E6" w:rsidRDefault="00712860" w:rsidP="00112B79">
      <w:pPr>
        <w:pStyle w:val="Titre7"/>
        <w:spacing w:line="360" w:lineRule="auto"/>
      </w:pPr>
      <w:bookmarkStart w:id="316" w:name="_Toc203643070"/>
      <w:r w:rsidRPr="002462E6">
        <w:t>Vulnérabilité spatiale et fragmentation des espaces forestiers</w:t>
      </w:r>
      <w:bookmarkEnd w:id="315"/>
      <w:bookmarkEnd w:id="316"/>
    </w:p>
    <w:p w:rsidR="00712860" w:rsidRDefault="00712860" w:rsidP="00236D1C">
      <w:pPr>
        <w:widowControl w:val="0"/>
        <w:numPr>
          <w:ilvl w:val="0"/>
          <w:numId w:val="44"/>
        </w:numPr>
        <w:autoSpaceDE w:val="0"/>
        <w:autoSpaceDN w:val="0"/>
        <w:spacing w:before="100" w:beforeAutospacing="1" w:after="0" w:line="360" w:lineRule="auto"/>
        <w:jc w:val="both"/>
        <w:outlineLvl w:val="2"/>
        <w:rPr>
          <w:rFonts w:ascii="Tahoma" w:eastAsia="Times New Roman" w:hAnsi="Tahoma" w:cs="Tahoma"/>
          <w:b/>
          <w:bCs/>
          <w:sz w:val="24"/>
          <w:szCs w:val="24"/>
          <w:lang w:eastAsia="fr-FR"/>
        </w:rPr>
      </w:pPr>
      <w:bookmarkStart w:id="317" w:name="_Toc201570846"/>
      <w:r w:rsidRPr="002462E6">
        <w:rPr>
          <w:rFonts w:ascii="Tahoma" w:eastAsia="Times New Roman" w:hAnsi="Tahoma" w:cs="Tahoma"/>
          <w:b/>
          <w:bCs/>
          <w:sz w:val="24"/>
          <w:szCs w:val="24"/>
          <w:lang w:eastAsia="fr-FR"/>
        </w:rPr>
        <w:t>L'inégalité de la répartition forestière</w:t>
      </w:r>
      <w:bookmarkEnd w:id="317"/>
    </w:p>
    <w:p w:rsidR="00712860" w:rsidRPr="002462E6" w:rsidRDefault="00712860" w:rsidP="00112B79">
      <w:pPr>
        <w:spacing w:before="100" w:beforeAutospacing="1" w:after="100" w:afterAutospacing="1" w:line="360" w:lineRule="auto"/>
        <w:rPr>
          <w:rFonts w:ascii="Tahoma" w:eastAsia="Times New Roman" w:hAnsi="Tahoma" w:cs="Tahoma"/>
          <w:sz w:val="24"/>
          <w:szCs w:val="24"/>
          <w:lang w:eastAsia="fr-FR"/>
        </w:rPr>
      </w:pPr>
      <w:r w:rsidRPr="002462E6">
        <w:rPr>
          <w:rFonts w:ascii="Tahoma" w:eastAsia="Times New Roman" w:hAnsi="Tahoma" w:cs="Tahoma"/>
          <w:sz w:val="24"/>
          <w:szCs w:val="24"/>
          <w:lang w:eastAsia="fr-FR"/>
        </w:rPr>
        <w:t>La répartition spatiale des superficies forestières révèle une vulnérabilité différentielle des communes :</w:t>
      </w:r>
    </w:p>
    <w:p w:rsidR="00712860" w:rsidRPr="002462E6" w:rsidRDefault="00712860" w:rsidP="00D051D7">
      <w:pPr>
        <w:numPr>
          <w:ilvl w:val="0"/>
          <w:numId w:val="42"/>
        </w:numPr>
        <w:spacing w:before="100" w:beforeAutospacing="1" w:after="100" w:afterAutospacing="1" w:line="360" w:lineRule="auto"/>
        <w:rPr>
          <w:rFonts w:ascii="Tahoma" w:eastAsia="Times New Roman" w:hAnsi="Tahoma" w:cs="Tahoma"/>
          <w:sz w:val="24"/>
          <w:szCs w:val="24"/>
          <w:lang w:eastAsia="fr-FR"/>
        </w:rPr>
      </w:pPr>
      <w:r w:rsidRPr="002462E6">
        <w:rPr>
          <w:rFonts w:ascii="Tahoma" w:eastAsia="Times New Roman" w:hAnsi="Tahoma" w:cs="Tahoma"/>
          <w:b/>
          <w:bCs/>
          <w:sz w:val="24"/>
          <w:szCs w:val="24"/>
          <w:lang w:eastAsia="fr-FR"/>
        </w:rPr>
        <w:t>Brachoua</w:t>
      </w:r>
      <w:r w:rsidRPr="002462E6">
        <w:rPr>
          <w:rFonts w:ascii="Tahoma" w:eastAsia="Times New Roman" w:hAnsi="Tahoma" w:cs="Tahoma"/>
          <w:sz w:val="24"/>
          <w:szCs w:val="24"/>
          <w:lang w:eastAsia="fr-FR"/>
        </w:rPr>
        <w:t xml:space="preserve"> : 6 986,71 ha</w:t>
      </w:r>
    </w:p>
    <w:p w:rsidR="00712860" w:rsidRPr="002462E6" w:rsidRDefault="00712860" w:rsidP="00D051D7">
      <w:pPr>
        <w:numPr>
          <w:ilvl w:val="0"/>
          <w:numId w:val="42"/>
        </w:numPr>
        <w:spacing w:before="100" w:beforeAutospacing="1" w:after="100" w:afterAutospacing="1" w:line="360" w:lineRule="auto"/>
        <w:rPr>
          <w:rFonts w:ascii="Tahoma" w:eastAsia="Times New Roman" w:hAnsi="Tahoma" w:cs="Tahoma"/>
          <w:sz w:val="24"/>
          <w:szCs w:val="24"/>
          <w:lang w:eastAsia="fr-FR"/>
        </w:rPr>
      </w:pPr>
      <w:r w:rsidRPr="002462E6">
        <w:rPr>
          <w:rFonts w:ascii="Tahoma" w:eastAsia="Times New Roman" w:hAnsi="Tahoma" w:cs="Tahoma"/>
          <w:b/>
          <w:bCs/>
          <w:sz w:val="24"/>
          <w:szCs w:val="24"/>
          <w:lang w:eastAsia="fr-FR"/>
        </w:rPr>
        <w:t>Sidi Yahya Zaeer</w:t>
      </w:r>
      <w:r w:rsidRPr="002462E6">
        <w:rPr>
          <w:rFonts w:ascii="Tahoma" w:eastAsia="Times New Roman" w:hAnsi="Tahoma" w:cs="Tahoma"/>
          <w:sz w:val="24"/>
          <w:szCs w:val="24"/>
          <w:lang w:eastAsia="fr-FR"/>
        </w:rPr>
        <w:t xml:space="preserve"> : 6 161,19 ha</w:t>
      </w:r>
    </w:p>
    <w:p w:rsidR="00712860" w:rsidRPr="002462E6" w:rsidRDefault="00712860" w:rsidP="00D051D7">
      <w:pPr>
        <w:numPr>
          <w:ilvl w:val="0"/>
          <w:numId w:val="42"/>
        </w:numPr>
        <w:spacing w:before="100" w:beforeAutospacing="1" w:after="100" w:afterAutospacing="1" w:line="360" w:lineRule="auto"/>
        <w:rPr>
          <w:rFonts w:ascii="Tahoma" w:eastAsia="Times New Roman" w:hAnsi="Tahoma" w:cs="Tahoma"/>
          <w:sz w:val="24"/>
          <w:szCs w:val="24"/>
          <w:lang w:eastAsia="fr-FR"/>
        </w:rPr>
      </w:pPr>
      <w:r w:rsidRPr="002462E6">
        <w:rPr>
          <w:rFonts w:ascii="Tahoma" w:eastAsia="Times New Roman" w:hAnsi="Tahoma" w:cs="Tahoma"/>
          <w:b/>
          <w:bCs/>
          <w:sz w:val="24"/>
          <w:szCs w:val="24"/>
          <w:lang w:eastAsia="fr-FR"/>
        </w:rPr>
        <w:t>Oumazza</w:t>
      </w:r>
      <w:r w:rsidRPr="002462E6">
        <w:rPr>
          <w:rFonts w:ascii="Tahoma" w:eastAsia="Times New Roman" w:hAnsi="Tahoma" w:cs="Tahoma"/>
          <w:sz w:val="24"/>
          <w:szCs w:val="24"/>
          <w:lang w:eastAsia="fr-FR"/>
        </w:rPr>
        <w:t xml:space="preserve"> : 1 817,35 ha</w:t>
      </w:r>
    </w:p>
    <w:p w:rsidR="00712860" w:rsidRPr="002462E6" w:rsidRDefault="00712860" w:rsidP="00D051D7">
      <w:pPr>
        <w:numPr>
          <w:ilvl w:val="0"/>
          <w:numId w:val="42"/>
        </w:numPr>
        <w:spacing w:before="100" w:beforeAutospacing="1" w:after="100" w:afterAutospacing="1" w:line="360" w:lineRule="auto"/>
        <w:rPr>
          <w:rFonts w:ascii="Tahoma" w:eastAsia="Times New Roman" w:hAnsi="Tahoma" w:cs="Tahoma"/>
          <w:sz w:val="24"/>
          <w:szCs w:val="24"/>
          <w:lang w:eastAsia="fr-FR"/>
        </w:rPr>
      </w:pPr>
      <w:r w:rsidRPr="002462E6">
        <w:rPr>
          <w:rFonts w:ascii="Tahoma" w:eastAsia="Times New Roman" w:hAnsi="Tahoma" w:cs="Tahoma"/>
          <w:b/>
          <w:bCs/>
          <w:sz w:val="24"/>
          <w:szCs w:val="24"/>
          <w:lang w:eastAsia="fr-FR"/>
        </w:rPr>
        <w:t>Marchouch</w:t>
      </w:r>
      <w:r w:rsidRPr="002462E6">
        <w:rPr>
          <w:rFonts w:ascii="Tahoma" w:eastAsia="Times New Roman" w:hAnsi="Tahoma" w:cs="Tahoma"/>
          <w:sz w:val="24"/>
          <w:szCs w:val="24"/>
          <w:lang w:eastAsia="fr-FR"/>
        </w:rPr>
        <w:t xml:space="preserve"> : 1 784,35 ha</w:t>
      </w:r>
      <w:r w:rsidRPr="002462E6">
        <w:rPr>
          <w:rFonts w:ascii="Tahoma" w:eastAsia="Times New Roman" w:hAnsi="Tahoma" w:cs="Tahoma"/>
          <w:sz w:val="24"/>
          <w:szCs w:val="24"/>
          <w:vertAlign w:val="superscript"/>
          <w:lang w:eastAsia="fr-FR"/>
        </w:rPr>
        <w:footnoteReference w:id="510"/>
      </w:r>
    </w:p>
    <w:p w:rsidR="00712860" w:rsidRPr="002462E6" w:rsidRDefault="00712860" w:rsidP="00112B79">
      <w:pPr>
        <w:spacing w:before="100" w:beforeAutospacing="1" w:after="100" w:afterAutospacing="1" w:line="360" w:lineRule="auto"/>
        <w:jc w:val="both"/>
        <w:rPr>
          <w:rFonts w:ascii="Tahoma" w:eastAsia="Times New Roman" w:hAnsi="Tahoma" w:cs="Tahoma"/>
          <w:sz w:val="24"/>
          <w:szCs w:val="24"/>
          <w:lang w:eastAsia="fr-FR"/>
        </w:rPr>
      </w:pPr>
      <w:r w:rsidRPr="002462E6">
        <w:rPr>
          <w:rFonts w:ascii="Tahoma" w:eastAsia="Times New Roman" w:hAnsi="Tahoma" w:cs="Tahoma"/>
          <w:sz w:val="24"/>
          <w:szCs w:val="24"/>
          <w:lang w:eastAsia="fr-FR"/>
        </w:rPr>
        <w:t>Les communes de Marchouch et Oumazza, disposant de superficies forestières limitées, présentent une vulnérabilité écologique accrue. Cette limitation spatiale amplifie l'impact de toute perturbation anthropique, même modeste, sur l'intégrité des écosystèmes forestiers</w:t>
      </w:r>
      <w:r w:rsidRPr="002462E6">
        <w:rPr>
          <w:rFonts w:ascii="Tahoma" w:eastAsia="Times New Roman" w:hAnsi="Tahoma" w:cs="Tahoma"/>
          <w:sz w:val="24"/>
          <w:szCs w:val="24"/>
          <w:vertAlign w:val="superscript"/>
          <w:lang w:eastAsia="fr-FR"/>
        </w:rPr>
        <w:footnoteReference w:id="511"/>
      </w:r>
      <w:r w:rsidRPr="002462E6">
        <w:rPr>
          <w:rFonts w:ascii="Tahoma" w:eastAsia="Times New Roman" w:hAnsi="Tahoma" w:cs="Tahoma"/>
          <w:sz w:val="24"/>
          <w:szCs w:val="24"/>
          <w:lang w:eastAsia="fr-FR"/>
        </w:rPr>
        <w:t>.</w:t>
      </w:r>
    </w:p>
    <w:p w:rsidR="00712860" w:rsidRPr="002462E6" w:rsidRDefault="00712860" w:rsidP="00112B79">
      <w:pPr>
        <w:pStyle w:val="Titre7"/>
        <w:spacing w:line="360" w:lineRule="auto"/>
      </w:pPr>
      <w:r w:rsidRPr="002462E6">
        <w:t xml:space="preserve"> </w:t>
      </w:r>
      <w:bookmarkStart w:id="318" w:name="_Toc201655499"/>
      <w:bookmarkStart w:id="319" w:name="_Toc203643071"/>
      <w:r w:rsidRPr="002462E6">
        <w:t>Exploitation énergétique et pression sur les ressources ligneuses</w:t>
      </w:r>
      <w:bookmarkEnd w:id="318"/>
      <w:bookmarkEnd w:id="319"/>
    </w:p>
    <w:p w:rsidR="00712860" w:rsidRPr="002462E6" w:rsidRDefault="00712860" w:rsidP="00D051D7">
      <w:pPr>
        <w:widowControl w:val="0"/>
        <w:numPr>
          <w:ilvl w:val="0"/>
          <w:numId w:val="99"/>
        </w:numPr>
        <w:autoSpaceDE w:val="0"/>
        <w:autoSpaceDN w:val="0"/>
        <w:spacing w:before="100" w:beforeAutospacing="1" w:after="100" w:afterAutospacing="1" w:line="360" w:lineRule="auto"/>
        <w:jc w:val="both"/>
        <w:outlineLvl w:val="2"/>
        <w:rPr>
          <w:rFonts w:ascii="Tahoma" w:eastAsia="Times New Roman" w:hAnsi="Tahoma" w:cs="Tahoma"/>
          <w:b/>
          <w:bCs/>
          <w:sz w:val="24"/>
          <w:szCs w:val="24"/>
          <w:lang w:eastAsia="fr-FR"/>
        </w:rPr>
      </w:pPr>
      <w:bookmarkStart w:id="320" w:name="_Toc201570847"/>
      <w:r w:rsidRPr="002462E6">
        <w:rPr>
          <w:rFonts w:ascii="Tahoma" w:eastAsia="Times New Roman" w:hAnsi="Tahoma" w:cs="Tahoma"/>
          <w:b/>
          <w:bCs/>
          <w:sz w:val="24"/>
          <w:szCs w:val="24"/>
          <w:lang w:eastAsia="fr-FR"/>
        </w:rPr>
        <w:t>La dépendance énergétique rurale</w:t>
      </w:r>
      <w:bookmarkEnd w:id="320"/>
    </w:p>
    <w:p w:rsidR="00712860" w:rsidRPr="002462E6" w:rsidRDefault="00712860" w:rsidP="00112B79">
      <w:pPr>
        <w:spacing w:before="100" w:beforeAutospacing="1" w:after="100" w:afterAutospacing="1" w:line="360" w:lineRule="auto"/>
        <w:jc w:val="both"/>
        <w:rPr>
          <w:rFonts w:ascii="Tahoma" w:eastAsia="Times New Roman" w:hAnsi="Tahoma" w:cs="Tahoma"/>
          <w:sz w:val="24"/>
          <w:szCs w:val="24"/>
          <w:lang w:eastAsia="fr-FR"/>
        </w:rPr>
      </w:pPr>
      <w:r w:rsidRPr="002462E6">
        <w:rPr>
          <w:rFonts w:ascii="Tahoma" w:eastAsia="Times New Roman" w:hAnsi="Tahoma" w:cs="Tahoma"/>
          <w:sz w:val="24"/>
          <w:szCs w:val="24"/>
          <w:lang w:eastAsia="fr-FR"/>
        </w:rPr>
        <w:t>La consommation de bois de feu, estimée entre 10 et 30 quintaux par ménage et par an</w:t>
      </w:r>
      <w:r w:rsidRPr="002462E6">
        <w:rPr>
          <w:rFonts w:ascii="Tahoma" w:eastAsia="Times New Roman" w:hAnsi="Tahoma" w:cs="Tahoma"/>
          <w:sz w:val="24"/>
          <w:szCs w:val="24"/>
          <w:vertAlign w:val="superscript"/>
          <w:lang w:eastAsia="fr-FR"/>
        </w:rPr>
        <w:footnoteReference w:id="512"/>
      </w:r>
      <w:r w:rsidRPr="002462E6">
        <w:rPr>
          <w:rFonts w:ascii="Tahoma" w:eastAsia="Times New Roman" w:hAnsi="Tahoma" w:cs="Tahoma"/>
          <w:sz w:val="24"/>
          <w:szCs w:val="24"/>
          <w:lang w:eastAsia="fr-FR"/>
        </w:rPr>
        <w:t>, constitue une pression majeure sur les ressources ligneuses. Cette dépendance énergétique s'inscrit dans un contexte de pauvreté énergétique rurale, où l'accès aux énergies modernes demeure limité</w:t>
      </w:r>
      <w:r w:rsidRPr="002462E6">
        <w:rPr>
          <w:rFonts w:ascii="Tahoma" w:eastAsia="Times New Roman" w:hAnsi="Tahoma" w:cs="Tahoma"/>
          <w:sz w:val="24"/>
          <w:szCs w:val="24"/>
          <w:vertAlign w:val="superscript"/>
          <w:lang w:eastAsia="fr-FR"/>
        </w:rPr>
        <w:footnoteReference w:id="513"/>
      </w:r>
      <w:r w:rsidRPr="002462E6">
        <w:rPr>
          <w:rFonts w:ascii="Tahoma" w:eastAsia="Times New Roman" w:hAnsi="Tahoma" w:cs="Tahoma"/>
          <w:sz w:val="24"/>
          <w:szCs w:val="24"/>
          <w:lang w:eastAsia="fr-FR"/>
        </w:rPr>
        <w:t>.</w:t>
      </w:r>
    </w:p>
    <w:p w:rsidR="00712860" w:rsidRDefault="00712860" w:rsidP="00112B79">
      <w:pPr>
        <w:spacing w:before="100" w:beforeAutospacing="1" w:after="100" w:afterAutospacing="1" w:line="360" w:lineRule="auto"/>
        <w:jc w:val="both"/>
        <w:rPr>
          <w:rFonts w:ascii="Tahoma" w:eastAsia="Times New Roman" w:hAnsi="Tahoma" w:cs="Tahoma"/>
          <w:sz w:val="24"/>
          <w:szCs w:val="24"/>
          <w:lang w:eastAsia="fr-FR"/>
        </w:rPr>
      </w:pPr>
      <w:r w:rsidRPr="002462E6">
        <w:rPr>
          <w:rFonts w:ascii="Tahoma" w:eastAsia="Times New Roman" w:hAnsi="Tahoma" w:cs="Tahoma"/>
          <w:sz w:val="24"/>
          <w:szCs w:val="24"/>
          <w:lang w:eastAsia="fr-FR"/>
        </w:rPr>
        <w:t>L'exploitation intensive du bois de feu induit une dégradation progressive de la structure forestière, affectant particulièrement les espèces à croissance lente et compromettant la capacité de régénération des écosystèmes</w:t>
      </w:r>
      <w:r w:rsidRPr="002462E6">
        <w:rPr>
          <w:rFonts w:ascii="Tahoma" w:eastAsia="Times New Roman" w:hAnsi="Tahoma" w:cs="Tahoma"/>
          <w:sz w:val="24"/>
          <w:szCs w:val="24"/>
          <w:vertAlign w:val="superscript"/>
          <w:lang w:eastAsia="fr-FR"/>
        </w:rPr>
        <w:footnoteReference w:id="514"/>
      </w:r>
      <w:r w:rsidRPr="002462E6">
        <w:rPr>
          <w:rFonts w:ascii="Tahoma" w:eastAsia="Times New Roman" w:hAnsi="Tahoma" w:cs="Tahoma"/>
          <w:sz w:val="24"/>
          <w:szCs w:val="24"/>
          <w:lang w:eastAsia="fr-FR"/>
        </w:rPr>
        <w:t>.</w:t>
      </w:r>
    </w:p>
    <w:p w:rsidR="007B06A3" w:rsidRPr="002462E6" w:rsidRDefault="00712860" w:rsidP="00112B79">
      <w:pPr>
        <w:pStyle w:val="Titre7"/>
        <w:spacing w:line="360" w:lineRule="auto"/>
      </w:pPr>
      <w:bookmarkStart w:id="321" w:name="_Toc201655500"/>
      <w:bookmarkStart w:id="322" w:name="_Toc203643072"/>
      <w:r w:rsidRPr="002462E6">
        <w:t>Dynamiques cumulatives et cercles vicieux de dégradation</w:t>
      </w:r>
      <w:bookmarkEnd w:id="321"/>
      <w:bookmarkEnd w:id="322"/>
    </w:p>
    <w:p w:rsidR="00712860" w:rsidRPr="002462E6" w:rsidRDefault="00712860" w:rsidP="00112B79">
      <w:pPr>
        <w:spacing w:before="100" w:beforeAutospacing="1" w:after="100" w:afterAutospacing="1" w:line="360" w:lineRule="auto"/>
        <w:jc w:val="both"/>
        <w:rPr>
          <w:rFonts w:ascii="Tahoma" w:eastAsia="Times New Roman" w:hAnsi="Tahoma" w:cs="Tahoma"/>
          <w:sz w:val="24"/>
          <w:szCs w:val="24"/>
          <w:lang w:eastAsia="fr-FR"/>
        </w:rPr>
      </w:pPr>
      <w:r w:rsidRPr="002462E6">
        <w:rPr>
          <w:rFonts w:ascii="Tahoma" w:eastAsia="Times New Roman" w:hAnsi="Tahoma" w:cs="Tahoma"/>
          <w:sz w:val="24"/>
          <w:szCs w:val="24"/>
          <w:lang w:eastAsia="fr-FR"/>
        </w:rPr>
        <w:t>L'analyse systémique révèle des interactions complexes entre les différents facteurs anthropiques, créant des dynamiques cumulatives de dégradation</w:t>
      </w:r>
      <w:r w:rsidRPr="002462E6">
        <w:rPr>
          <w:rFonts w:ascii="Tahoma" w:eastAsia="Times New Roman" w:hAnsi="Tahoma" w:cs="Tahoma"/>
          <w:sz w:val="24"/>
          <w:szCs w:val="24"/>
          <w:vertAlign w:val="superscript"/>
          <w:lang w:eastAsia="fr-FR"/>
        </w:rPr>
        <w:footnoteReference w:id="515"/>
      </w:r>
      <w:r w:rsidRPr="002462E6">
        <w:rPr>
          <w:rFonts w:ascii="Tahoma" w:eastAsia="Times New Roman" w:hAnsi="Tahoma" w:cs="Tahoma"/>
          <w:sz w:val="24"/>
          <w:szCs w:val="24"/>
          <w:lang w:eastAsia="fr-FR"/>
        </w:rPr>
        <w:t>. Ces interactions génèrent :</w:t>
      </w:r>
    </w:p>
    <w:p w:rsidR="00712860" w:rsidRPr="002462E6" w:rsidRDefault="00712860" w:rsidP="00112B79">
      <w:pPr>
        <w:spacing w:before="100" w:beforeAutospacing="1" w:after="100" w:afterAutospacing="1" w:line="360" w:lineRule="auto"/>
        <w:ind w:left="360"/>
        <w:jc w:val="both"/>
        <w:rPr>
          <w:rFonts w:ascii="Tahoma" w:eastAsia="Times New Roman" w:hAnsi="Tahoma" w:cs="Tahoma"/>
          <w:sz w:val="24"/>
          <w:szCs w:val="24"/>
          <w:lang w:eastAsia="fr-FR"/>
        </w:rPr>
      </w:pPr>
      <w:r w:rsidRPr="002462E6">
        <w:rPr>
          <w:rFonts w:ascii="Tahoma" w:eastAsia="Times New Roman" w:hAnsi="Tahoma" w:cs="Tahoma"/>
          <w:b/>
          <w:bCs/>
          <w:sz w:val="24"/>
          <w:szCs w:val="24"/>
          <w:lang w:eastAsia="fr-FR"/>
        </w:rPr>
        <w:t>La dégradation progressive de la couverture végétale</w:t>
      </w:r>
      <w:r w:rsidRPr="002462E6">
        <w:rPr>
          <w:rFonts w:ascii="Tahoma" w:eastAsia="Times New Roman" w:hAnsi="Tahoma" w:cs="Tahoma"/>
          <w:sz w:val="24"/>
          <w:szCs w:val="24"/>
          <w:lang w:eastAsia="fr-FR"/>
        </w:rPr>
        <w:t xml:space="preserve"> : L'action conjuguée du surpâturage et de l'exploitation ligneuse induit une réduction de la densité forestière et une modification de la composition spécifique</w:t>
      </w:r>
      <w:r w:rsidRPr="002462E6">
        <w:rPr>
          <w:rFonts w:ascii="Tahoma" w:eastAsia="Times New Roman" w:hAnsi="Tahoma" w:cs="Tahoma"/>
          <w:sz w:val="24"/>
          <w:szCs w:val="24"/>
          <w:vertAlign w:val="superscript"/>
          <w:lang w:eastAsia="fr-FR"/>
        </w:rPr>
        <w:footnoteReference w:id="516"/>
      </w:r>
      <w:r w:rsidRPr="002462E6">
        <w:rPr>
          <w:rFonts w:ascii="Tahoma" w:eastAsia="Times New Roman" w:hAnsi="Tahoma" w:cs="Tahoma"/>
          <w:sz w:val="24"/>
          <w:szCs w:val="24"/>
          <w:lang w:eastAsia="fr-FR"/>
        </w:rPr>
        <w:t>.</w:t>
      </w:r>
    </w:p>
    <w:p w:rsidR="00712860" w:rsidRPr="002462E6" w:rsidRDefault="00712860" w:rsidP="00112B79">
      <w:pPr>
        <w:spacing w:before="100" w:beforeAutospacing="1" w:after="100" w:afterAutospacing="1" w:line="360" w:lineRule="auto"/>
        <w:ind w:left="360"/>
        <w:jc w:val="both"/>
        <w:rPr>
          <w:rFonts w:ascii="Tahoma" w:eastAsia="Times New Roman" w:hAnsi="Tahoma" w:cs="Tahoma"/>
          <w:sz w:val="24"/>
          <w:szCs w:val="24"/>
          <w:lang w:eastAsia="fr-FR"/>
        </w:rPr>
      </w:pPr>
      <w:r w:rsidRPr="002462E6">
        <w:rPr>
          <w:rFonts w:ascii="Tahoma" w:eastAsia="Times New Roman" w:hAnsi="Tahoma" w:cs="Tahoma"/>
          <w:b/>
          <w:bCs/>
          <w:sz w:val="24"/>
          <w:szCs w:val="24"/>
          <w:lang w:eastAsia="fr-FR"/>
        </w:rPr>
        <w:t>L'accélération des processus érosifs</w:t>
      </w:r>
      <w:r w:rsidRPr="002462E6">
        <w:rPr>
          <w:rFonts w:ascii="Tahoma" w:eastAsia="Times New Roman" w:hAnsi="Tahoma" w:cs="Tahoma"/>
          <w:sz w:val="24"/>
          <w:szCs w:val="24"/>
          <w:lang w:eastAsia="fr-FR"/>
        </w:rPr>
        <w:t xml:space="preserve"> : La disparition du couvert végétal expose les sols aux agents d'érosion, compromettant la fertilité des terrains et la capacité de rétention hydrique</w:t>
      </w:r>
      <w:r w:rsidRPr="002462E6">
        <w:rPr>
          <w:rFonts w:ascii="Tahoma" w:eastAsia="Times New Roman" w:hAnsi="Tahoma" w:cs="Tahoma"/>
          <w:sz w:val="24"/>
          <w:szCs w:val="24"/>
          <w:vertAlign w:val="superscript"/>
          <w:lang w:eastAsia="fr-FR"/>
        </w:rPr>
        <w:footnoteReference w:id="517"/>
      </w:r>
      <w:r w:rsidRPr="002462E6">
        <w:rPr>
          <w:rFonts w:ascii="Tahoma" w:eastAsia="Times New Roman" w:hAnsi="Tahoma" w:cs="Tahoma"/>
          <w:sz w:val="24"/>
          <w:szCs w:val="24"/>
          <w:lang w:eastAsia="fr-FR"/>
        </w:rPr>
        <w:t>.</w:t>
      </w:r>
    </w:p>
    <w:p w:rsidR="00712860" w:rsidRPr="002462E6" w:rsidRDefault="00712860" w:rsidP="00112B79">
      <w:pPr>
        <w:spacing w:before="100" w:beforeAutospacing="1" w:after="100" w:afterAutospacing="1" w:line="360" w:lineRule="auto"/>
        <w:ind w:left="360"/>
        <w:jc w:val="both"/>
        <w:rPr>
          <w:rFonts w:ascii="Tahoma" w:eastAsia="Times New Roman" w:hAnsi="Tahoma" w:cs="Tahoma"/>
          <w:sz w:val="24"/>
          <w:szCs w:val="24"/>
          <w:lang w:eastAsia="fr-FR"/>
        </w:rPr>
      </w:pPr>
      <w:r w:rsidRPr="002462E6">
        <w:rPr>
          <w:rFonts w:ascii="Tahoma" w:eastAsia="Times New Roman" w:hAnsi="Tahoma" w:cs="Tahoma"/>
          <w:b/>
          <w:bCs/>
          <w:sz w:val="24"/>
          <w:szCs w:val="24"/>
          <w:lang w:eastAsia="fr-FR"/>
        </w:rPr>
        <w:t>La perte de biodiversité</w:t>
      </w:r>
      <w:r w:rsidRPr="002462E6">
        <w:rPr>
          <w:rFonts w:ascii="Tahoma" w:eastAsia="Times New Roman" w:hAnsi="Tahoma" w:cs="Tahoma"/>
          <w:sz w:val="24"/>
          <w:szCs w:val="24"/>
          <w:lang w:eastAsia="fr-FR"/>
        </w:rPr>
        <w:t xml:space="preserve"> : La fragmentation des habitats et l'intensification des pressions anthropiques menacent la richesse biologique du Site d'Intérêt Biologique et Écologique (SIBE) de Korifla</w:t>
      </w:r>
      <w:r w:rsidRPr="002462E6">
        <w:rPr>
          <w:rFonts w:ascii="Tahoma" w:eastAsia="Times New Roman" w:hAnsi="Tahoma" w:cs="Tahoma"/>
          <w:sz w:val="24"/>
          <w:szCs w:val="24"/>
          <w:vertAlign w:val="superscript"/>
          <w:lang w:eastAsia="fr-FR"/>
        </w:rPr>
        <w:footnoteReference w:id="518"/>
      </w:r>
      <w:r w:rsidRPr="002462E6">
        <w:rPr>
          <w:rFonts w:ascii="Tahoma" w:eastAsia="Times New Roman" w:hAnsi="Tahoma" w:cs="Tahoma"/>
          <w:sz w:val="24"/>
          <w:szCs w:val="24"/>
          <w:lang w:eastAsia="fr-FR"/>
        </w:rPr>
        <w:t>.</w:t>
      </w:r>
    </w:p>
    <w:p w:rsidR="00712860" w:rsidRPr="002462E6" w:rsidRDefault="00712860" w:rsidP="00112B79">
      <w:pPr>
        <w:spacing w:before="100" w:beforeAutospacing="1" w:after="100" w:afterAutospacing="1" w:line="360" w:lineRule="auto"/>
        <w:ind w:left="360"/>
        <w:jc w:val="both"/>
        <w:rPr>
          <w:rFonts w:ascii="Tahoma" w:eastAsia="Times New Roman" w:hAnsi="Tahoma" w:cs="Tahoma"/>
          <w:sz w:val="24"/>
          <w:szCs w:val="24"/>
          <w:lang w:eastAsia="fr-FR"/>
        </w:rPr>
      </w:pPr>
      <w:r w:rsidRPr="002462E6">
        <w:rPr>
          <w:rFonts w:ascii="Tahoma" w:eastAsia="Times New Roman" w:hAnsi="Tahoma" w:cs="Tahoma"/>
          <w:b/>
          <w:bCs/>
          <w:sz w:val="24"/>
          <w:szCs w:val="24"/>
          <w:lang w:eastAsia="fr-FR"/>
        </w:rPr>
        <w:t>La dégradation des services écosystémiques</w:t>
      </w:r>
      <w:r w:rsidRPr="002462E6">
        <w:rPr>
          <w:rFonts w:ascii="Tahoma" w:eastAsia="Times New Roman" w:hAnsi="Tahoma" w:cs="Tahoma"/>
          <w:sz w:val="24"/>
          <w:szCs w:val="24"/>
          <w:lang w:eastAsia="fr-FR"/>
        </w:rPr>
        <w:t xml:space="preserve"> : L'altération des fonctions forestières compromet la fourniture de services essentiels (régulation hydrique, protection contre l'érosion, séquestration carbone)</w:t>
      </w:r>
      <w:r w:rsidRPr="002462E6">
        <w:rPr>
          <w:rFonts w:ascii="Tahoma" w:eastAsia="Times New Roman" w:hAnsi="Tahoma" w:cs="Tahoma"/>
          <w:sz w:val="24"/>
          <w:szCs w:val="24"/>
          <w:vertAlign w:val="superscript"/>
          <w:lang w:eastAsia="fr-FR"/>
        </w:rPr>
        <w:footnoteReference w:id="519"/>
      </w:r>
      <w:r w:rsidRPr="002462E6">
        <w:rPr>
          <w:rFonts w:ascii="Tahoma" w:eastAsia="Times New Roman" w:hAnsi="Tahoma" w:cs="Tahoma"/>
          <w:sz w:val="24"/>
          <w:szCs w:val="24"/>
          <w:lang w:eastAsia="fr-FR"/>
        </w:rPr>
        <w:t>.</w:t>
      </w:r>
    </w:p>
    <w:p w:rsidR="00712860" w:rsidRPr="002462E6" w:rsidRDefault="00712860" w:rsidP="00DD1BED">
      <w:pPr>
        <w:spacing w:before="100" w:beforeAutospacing="1" w:after="100" w:afterAutospacing="1" w:line="360" w:lineRule="auto"/>
        <w:jc w:val="both"/>
        <w:outlineLvl w:val="1"/>
        <w:rPr>
          <w:rFonts w:ascii="Tahoma" w:eastAsia="Times New Roman" w:hAnsi="Tahoma" w:cs="Tahoma"/>
          <w:sz w:val="24"/>
          <w:szCs w:val="24"/>
          <w:lang w:eastAsia="fr-FR"/>
        </w:rPr>
      </w:pPr>
      <w:bookmarkStart w:id="323" w:name="_Toc201570848"/>
      <w:r w:rsidRPr="002462E6">
        <w:rPr>
          <w:rFonts w:ascii="Tahoma" w:eastAsia="Times New Roman" w:hAnsi="Tahoma" w:cs="Tahoma"/>
          <w:sz w:val="24"/>
          <w:szCs w:val="24"/>
          <w:lang w:eastAsia="fr-FR"/>
        </w:rPr>
        <w:t>En somme, l'analyse des facteurs anthropiques de dégradation de la forêt de Korifla révèle la complexité des interactions entre dynamiques socio-démographiques, vulnérabilité économique et pression sur les ressources naturelles. Cette situation nécessite l'élaboration de stratégies de gestion intégrée, articulant impératifs de conservation écologique et besoins socio-économiques des populations locales</w:t>
      </w:r>
      <w:r w:rsidRPr="002462E6">
        <w:rPr>
          <w:rFonts w:ascii="Tahoma" w:eastAsia="Times New Roman" w:hAnsi="Tahoma" w:cs="Tahoma"/>
          <w:sz w:val="24"/>
          <w:szCs w:val="24"/>
          <w:vertAlign w:val="superscript"/>
          <w:lang w:eastAsia="fr-FR"/>
        </w:rPr>
        <w:footnoteReference w:id="520"/>
      </w:r>
      <w:r w:rsidRPr="002462E6">
        <w:rPr>
          <w:rFonts w:ascii="Tahoma" w:eastAsia="Times New Roman" w:hAnsi="Tahoma" w:cs="Tahoma"/>
          <w:sz w:val="24"/>
          <w:szCs w:val="24"/>
          <w:lang w:eastAsia="fr-FR"/>
        </w:rPr>
        <w:t>.</w:t>
      </w:r>
      <w:bookmarkEnd w:id="323"/>
    </w:p>
    <w:p w:rsidR="00712860" w:rsidRPr="002462E6" w:rsidRDefault="00712860" w:rsidP="00BF1F48">
      <w:pPr>
        <w:pStyle w:val="Titre5"/>
      </w:pPr>
      <w:bookmarkStart w:id="324" w:name="_Toc201570849"/>
      <w:r w:rsidRPr="002462E6">
        <w:t xml:space="preserve"> </w:t>
      </w:r>
      <w:bookmarkStart w:id="325" w:name="_Toc201655501"/>
      <w:bookmarkStart w:id="326" w:name="_Toc203643073"/>
      <w:r w:rsidRPr="002462E6">
        <w:t>Scénarios prospectifs de dégradation de la forêt de Korifla : une approche systémique de l'évolution des écosystèmes forestiers marocains à l'horizon 2040</w:t>
      </w:r>
      <w:bookmarkEnd w:id="324"/>
      <w:bookmarkEnd w:id="325"/>
      <w:bookmarkEnd w:id="326"/>
    </w:p>
    <w:p w:rsidR="00712860" w:rsidRPr="002462E6" w:rsidRDefault="00712860" w:rsidP="00112B79">
      <w:pPr>
        <w:spacing w:before="100" w:beforeAutospacing="1" w:after="100" w:afterAutospacing="1" w:line="360" w:lineRule="auto"/>
        <w:jc w:val="both"/>
        <w:rPr>
          <w:rFonts w:ascii="Tahoma" w:eastAsia="Times New Roman" w:hAnsi="Tahoma" w:cs="Tahoma"/>
          <w:sz w:val="24"/>
          <w:szCs w:val="24"/>
          <w:lang w:eastAsia="fr-FR"/>
        </w:rPr>
      </w:pPr>
      <w:r w:rsidRPr="002462E6">
        <w:rPr>
          <w:rFonts w:ascii="Tahoma" w:eastAsia="Times New Roman" w:hAnsi="Tahoma" w:cs="Tahoma"/>
          <w:sz w:val="24"/>
          <w:szCs w:val="24"/>
          <w:lang w:eastAsia="fr-FR"/>
        </w:rPr>
        <w:t>La forêt de Korifla, écosystème forestier d'une superficie de 15 140 hectares</w:t>
      </w:r>
      <w:r w:rsidRPr="002462E6">
        <w:rPr>
          <w:rFonts w:ascii="Tahoma" w:eastAsia="Times New Roman" w:hAnsi="Tahoma" w:cs="Tahoma"/>
          <w:sz w:val="24"/>
          <w:szCs w:val="24"/>
          <w:vertAlign w:val="superscript"/>
          <w:lang w:eastAsia="fr-FR"/>
        </w:rPr>
        <w:footnoteReference w:id="521"/>
      </w:r>
      <w:r w:rsidRPr="002462E6">
        <w:rPr>
          <w:rFonts w:ascii="Tahoma" w:eastAsia="Times New Roman" w:hAnsi="Tahoma" w:cs="Tahoma"/>
          <w:sz w:val="24"/>
          <w:szCs w:val="24"/>
          <w:lang w:eastAsia="fr-FR"/>
        </w:rPr>
        <w:t>, constitue un cas d'étude emblématique des défis auxquels font face les formations boisées méditerranéennes dans un contexte de pression anthropique croissante et de changements climatiques. L'élaboration de scénarios prospectifs pour cet espace forestier s'inscrit dans une démarche d'anticipation scientifique visant à éclairer sur les trajectoires possibles d'évolution de ce patrimoine naturel.</w:t>
      </w:r>
    </w:p>
    <w:p w:rsidR="00712860" w:rsidRPr="002462E6" w:rsidRDefault="00712860" w:rsidP="00112B79">
      <w:pPr>
        <w:spacing w:before="100" w:beforeAutospacing="1" w:after="100" w:afterAutospacing="1" w:line="360" w:lineRule="auto"/>
        <w:jc w:val="both"/>
        <w:rPr>
          <w:rFonts w:ascii="Tahoma" w:eastAsia="Times New Roman" w:hAnsi="Tahoma" w:cs="Tahoma"/>
          <w:sz w:val="24"/>
          <w:szCs w:val="24"/>
          <w:lang w:eastAsia="fr-FR"/>
        </w:rPr>
      </w:pPr>
      <w:r w:rsidRPr="002462E6">
        <w:rPr>
          <w:rFonts w:ascii="Tahoma" w:eastAsia="Times New Roman" w:hAnsi="Tahoma" w:cs="Tahoma"/>
          <w:sz w:val="24"/>
          <w:szCs w:val="24"/>
          <w:lang w:eastAsia="fr-FR"/>
        </w:rPr>
        <w:t>Cette anlyse mobilise la méthodologie de prospective territoriale développée par Michel Godet</w:t>
      </w:r>
      <w:r w:rsidRPr="002462E6">
        <w:rPr>
          <w:rFonts w:ascii="Tahoma" w:eastAsia="Times New Roman" w:hAnsi="Tahoma" w:cs="Tahoma"/>
          <w:sz w:val="24"/>
          <w:szCs w:val="24"/>
          <w:vertAlign w:val="superscript"/>
          <w:lang w:eastAsia="fr-FR"/>
        </w:rPr>
        <w:footnoteReference w:id="522"/>
      </w:r>
      <w:r w:rsidRPr="002462E6">
        <w:rPr>
          <w:rFonts w:ascii="Tahoma" w:eastAsia="Times New Roman" w:hAnsi="Tahoma" w:cs="Tahoma"/>
          <w:sz w:val="24"/>
          <w:szCs w:val="24"/>
          <w:lang w:eastAsia="fr-FR"/>
        </w:rPr>
        <w:t>, qui privilégie une approche systémique intégrant les dynamiques socio-économiques, démographiques et écologiques. L'objectif consiste à explorer différentes trajectoires d'évolution à l'horizon 2040, en fonction de l'intensité et de la combinaison des facteurs de changement identifiés. Cette approche prospective s'avère particulièrement adaptée aux systèmes socio-écologiques complexes</w:t>
      </w:r>
      <w:r w:rsidRPr="002462E6">
        <w:rPr>
          <w:rFonts w:ascii="Tahoma" w:eastAsia="Times New Roman" w:hAnsi="Tahoma" w:cs="Tahoma"/>
          <w:sz w:val="24"/>
          <w:szCs w:val="24"/>
          <w:vertAlign w:val="superscript"/>
          <w:lang w:eastAsia="fr-FR"/>
        </w:rPr>
        <w:footnoteReference w:id="523"/>
      </w:r>
      <w:r w:rsidRPr="002462E6">
        <w:rPr>
          <w:rFonts w:ascii="Tahoma" w:eastAsia="Times New Roman" w:hAnsi="Tahoma" w:cs="Tahoma"/>
          <w:sz w:val="24"/>
          <w:szCs w:val="24"/>
          <w:lang w:eastAsia="fr-FR"/>
        </w:rPr>
        <w:t>, permettant d'anticiper les évolutions possibles et d'identifier les points de basculement critiques.</w:t>
      </w:r>
    </w:p>
    <w:p w:rsidR="00712860" w:rsidRPr="002462E6" w:rsidRDefault="00712860" w:rsidP="00112B79">
      <w:pPr>
        <w:spacing w:before="100" w:beforeAutospacing="1" w:after="100" w:afterAutospacing="1" w:line="360" w:lineRule="auto"/>
        <w:jc w:val="both"/>
        <w:rPr>
          <w:rFonts w:ascii="Tahoma" w:eastAsia="Times New Roman" w:hAnsi="Tahoma" w:cs="Tahoma"/>
          <w:sz w:val="24"/>
          <w:szCs w:val="24"/>
          <w:lang w:eastAsia="fr-FR"/>
        </w:rPr>
      </w:pPr>
      <w:r w:rsidRPr="002462E6">
        <w:rPr>
          <w:rFonts w:ascii="Tahoma" w:eastAsia="Times New Roman" w:hAnsi="Tahoma" w:cs="Tahoma"/>
          <w:sz w:val="24"/>
          <w:szCs w:val="24"/>
          <w:lang w:eastAsia="fr-FR"/>
        </w:rPr>
        <w:t>La problématique centrale de cette recherche s'articule autour de la question suivante : quelles sont les trajectoires d'évolution possibles de la forêt de Korifla face aux pressions anthropiques et naturelles, et comment les différentes modalités de mise en œuvre du plan de gestion forestière peuvent-elles influencer le devenir de cet écosystème ?</w:t>
      </w:r>
    </w:p>
    <w:p w:rsidR="00712860" w:rsidRPr="002462E6" w:rsidRDefault="00712860" w:rsidP="008D3838">
      <w:pPr>
        <w:pStyle w:val="Titre6"/>
        <w:numPr>
          <w:ilvl w:val="0"/>
          <w:numId w:val="100"/>
        </w:numPr>
      </w:pPr>
      <w:bookmarkStart w:id="327" w:name="_Toc201655502"/>
      <w:bookmarkStart w:id="328" w:name="_Toc203643074"/>
      <w:r w:rsidRPr="002462E6">
        <w:t>Fondements méthodologiques de l'analyse prospective</w:t>
      </w:r>
      <w:bookmarkEnd w:id="327"/>
      <w:bookmarkEnd w:id="328"/>
    </w:p>
    <w:p w:rsidR="00712860" w:rsidRPr="002462E6" w:rsidRDefault="00712860" w:rsidP="00112B79">
      <w:pPr>
        <w:spacing w:before="100" w:beforeAutospacing="1" w:after="100" w:afterAutospacing="1" w:line="360" w:lineRule="auto"/>
        <w:jc w:val="both"/>
        <w:rPr>
          <w:rFonts w:ascii="Tahoma" w:eastAsia="Times New Roman" w:hAnsi="Tahoma" w:cs="Tahoma"/>
          <w:sz w:val="24"/>
          <w:szCs w:val="24"/>
          <w:lang w:eastAsia="fr-FR"/>
        </w:rPr>
      </w:pPr>
      <w:r w:rsidRPr="002462E6">
        <w:rPr>
          <w:rFonts w:ascii="Tahoma" w:eastAsia="Times New Roman" w:hAnsi="Tahoma" w:cs="Tahoma"/>
          <w:sz w:val="24"/>
          <w:szCs w:val="24"/>
          <w:lang w:eastAsia="fr-FR"/>
        </w:rPr>
        <w:t>L'analyse prospective de la forêt de Korifla repose sur la méthode des scénarios contrastés</w:t>
      </w:r>
      <w:r w:rsidRPr="002462E6">
        <w:rPr>
          <w:rFonts w:ascii="Tahoma" w:eastAsia="Times New Roman" w:hAnsi="Tahoma" w:cs="Tahoma"/>
          <w:sz w:val="24"/>
          <w:szCs w:val="24"/>
          <w:vertAlign w:val="superscript"/>
          <w:lang w:eastAsia="fr-FR"/>
        </w:rPr>
        <w:footnoteReference w:id="524"/>
      </w:r>
      <w:r w:rsidRPr="002462E6">
        <w:rPr>
          <w:rFonts w:ascii="Tahoma" w:eastAsia="Times New Roman" w:hAnsi="Tahoma" w:cs="Tahoma"/>
          <w:sz w:val="24"/>
          <w:szCs w:val="24"/>
          <w:lang w:eastAsia="fr-FR"/>
        </w:rPr>
        <w:t>, qui permet d'explorer différentes trajectoires d'évolution en fonction de l'intensité et de la combinaison des facteurs de changement. Cette approche méthodologique, éprouvée dans l'analyse des systèmes complexes, présente l'avantage de structurer l'incertitude inhérente aux projections à long terme tout en maintenant la cohérence interne des scénarios développés.</w:t>
      </w:r>
    </w:p>
    <w:p w:rsidR="00712860" w:rsidRPr="002462E6" w:rsidRDefault="00712860" w:rsidP="00112B79">
      <w:pPr>
        <w:spacing w:before="100" w:beforeAutospacing="1" w:after="100" w:afterAutospacing="1" w:line="360" w:lineRule="auto"/>
        <w:jc w:val="both"/>
        <w:rPr>
          <w:rFonts w:ascii="Tahoma" w:eastAsia="Times New Roman" w:hAnsi="Tahoma" w:cs="Tahoma"/>
          <w:sz w:val="24"/>
          <w:szCs w:val="24"/>
          <w:lang w:eastAsia="fr-FR"/>
        </w:rPr>
      </w:pPr>
      <w:r w:rsidRPr="002462E6">
        <w:rPr>
          <w:rFonts w:ascii="Tahoma" w:eastAsia="Times New Roman" w:hAnsi="Tahoma" w:cs="Tahoma"/>
          <w:sz w:val="24"/>
          <w:szCs w:val="24"/>
          <w:lang w:eastAsia="fr-FR"/>
        </w:rPr>
        <w:t>L'analyse structurelle préalable</w:t>
      </w:r>
      <w:r w:rsidRPr="002462E6">
        <w:rPr>
          <w:rFonts w:ascii="Tahoma" w:eastAsia="Times New Roman" w:hAnsi="Tahoma" w:cs="Tahoma"/>
          <w:sz w:val="24"/>
          <w:szCs w:val="24"/>
          <w:vertAlign w:val="superscript"/>
          <w:lang w:eastAsia="fr-FR"/>
        </w:rPr>
        <w:footnoteReference w:id="525"/>
      </w:r>
      <w:r w:rsidRPr="002462E6">
        <w:rPr>
          <w:rFonts w:ascii="Tahoma" w:eastAsia="Times New Roman" w:hAnsi="Tahoma" w:cs="Tahoma"/>
          <w:sz w:val="24"/>
          <w:szCs w:val="24"/>
          <w:lang w:eastAsia="fr-FR"/>
        </w:rPr>
        <w:t xml:space="preserve"> a permis d'identifier six variables motrices déterminantes : l'évolution démographique différentielle des communes, les dynamiques de pauvreté et de vulnérabilité socio-économique, l'intensité de la pression pastorale, l'efficacité des politiques de gestion forestière, les changements climatiques et événements extrêmes, et le développement d'alternatives économiques. Ces variables, interdépendantes et d'influence variable, constituent le socle analytique sur lequel reposent les scénarios prospectifs.</w:t>
      </w:r>
    </w:p>
    <w:p w:rsidR="00712860" w:rsidRPr="002462E6" w:rsidRDefault="00712860" w:rsidP="00112B79">
      <w:pPr>
        <w:spacing w:before="100" w:beforeAutospacing="1" w:after="100" w:afterAutospacing="1" w:line="360" w:lineRule="auto"/>
        <w:jc w:val="both"/>
        <w:rPr>
          <w:rFonts w:ascii="Tahoma" w:eastAsia="Times New Roman" w:hAnsi="Tahoma" w:cs="Tahoma"/>
          <w:sz w:val="24"/>
          <w:szCs w:val="24"/>
          <w:lang w:eastAsia="fr-FR"/>
        </w:rPr>
      </w:pPr>
      <w:r w:rsidRPr="002462E6">
        <w:rPr>
          <w:rFonts w:ascii="Tahoma" w:eastAsia="Times New Roman" w:hAnsi="Tahoma" w:cs="Tahoma"/>
          <w:sz w:val="24"/>
          <w:szCs w:val="24"/>
          <w:lang w:eastAsia="fr-FR"/>
        </w:rPr>
        <w:t>La forêt de Korifla présente une composition forestière diversifiée, dominée par la série de thuya qui s'étend sur 12 001 hectares, soit 79,3% de la superficie totale</w:t>
      </w:r>
      <w:r w:rsidRPr="002462E6">
        <w:rPr>
          <w:rFonts w:ascii="Tahoma" w:eastAsia="Times New Roman" w:hAnsi="Tahoma" w:cs="Tahoma"/>
          <w:sz w:val="24"/>
          <w:szCs w:val="24"/>
          <w:vertAlign w:val="superscript"/>
          <w:lang w:eastAsia="fr-FR"/>
        </w:rPr>
        <w:footnoteReference w:id="526"/>
      </w:r>
      <w:r w:rsidRPr="002462E6">
        <w:rPr>
          <w:rFonts w:ascii="Tahoma" w:eastAsia="Times New Roman" w:hAnsi="Tahoma" w:cs="Tahoma"/>
          <w:sz w:val="24"/>
          <w:szCs w:val="24"/>
          <w:lang w:eastAsia="fr-FR"/>
        </w:rPr>
        <w:t>. Cette série se subdivise en deux groupes fonctionnels : le groupe de régénération (4 168 hectares, représentant 34,7% de la série) et le groupe de conservation (7 833 hectares, soit 65,3%)</w:t>
      </w:r>
      <w:r w:rsidRPr="002462E6">
        <w:rPr>
          <w:rFonts w:ascii="Tahoma" w:eastAsia="Times New Roman" w:hAnsi="Tahoma" w:cs="Tahoma"/>
          <w:sz w:val="24"/>
          <w:szCs w:val="24"/>
          <w:vertAlign w:val="superscript"/>
          <w:lang w:eastAsia="fr-FR"/>
        </w:rPr>
        <w:footnoteReference w:id="527"/>
      </w:r>
      <w:r w:rsidRPr="002462E6">
        <w:rPr>
          <w:rFonts w:ascii="Tahoma" w:eastAsia="Times New Roman" w:hAnsi="Tahoma" w:cs="Tahoma"/>
          <w:sz w:val="24"/>
          <w:szCs w:val="24"/>
          <w:lang w:eastAsia="fr-FR"/>
        </w:rPr>
        <w:t>. La série de reboisement occupe 2 842 hectares (18,8% de la superficie totale)</w:t>
      </w:r>
      <w:r w:rsidRPr="002462E6">
        <w:rPr>
          <w:rFonts w:ascii="Tahoma" w:eastAsia="Times New Roman" w:hAnsi="Tahoma" w:cs="Tahoma"/>
          <w:sz w:val="24"/>
          <w:szCs w:val="24"/>
          <w:vertAlign w:val="superscript"/>
          <w:lang w:eastAsia="fr-FR"/>
        </w:rPr>
        <w:footnoteReference w:id="528"/>
      </w:r>
      <w:r w:rsidRPr="002462E6">
        <w:rPr>
          <w:rFonts w:ascii="Tahoma" w:eastAsia="Times New Roman" w:hAnsi="Tahoma" w:cs="Tahoma"/>
          <w:sz w:val="24"/>
          <w:szCs w:val="24"/>
          <w:lang w:eastAsia="fr-FR"/>
        </w:rPr>
        <w:t>, tandis que la série de chêne-liège ne représente que 297 hectares (2%)</w:t>
      </w:r>
      <w:r w:rsidRPr="002462E6">
        <w:rPr>
          <w:rFonts w:ascii="Tahoma" w:eastAsia="Times New Roman" w:hAnsi="Tahoma" w:cs="Tahoma"/>
          <w:sz w:val="24"/>
          <w:szCs w:val="24"/>
          <w:vertAlign w:val="superscript"/>
          <w:lang w:eastAsia="fr-FR"/>
        </w:rPr>
        <w:footnoteReference w:id="529"/>
      </w:r>
      <w:r w:rsidRPr="002462E6">
        <w:rPr>
          <w:rFonts w:ascii="Tahoma" w:eastAsia="Times New Roman" w:hAnsi="Tahoma" w:cs="Tahoma"/>
          <w:sz w:val="24"/>
          <w:szCs w:val="24"/>
          <w:lang w:eastAsia="fr-FR"/>
        </w:rPr>
        <w:t>.</w:t>
      </w:r>
    </w:p>
    <w:p w:rsidR="00712860" w:rsidRPr="002462E6" w:rsidRDefault="00712860" w:rsidP="00112B79">
      <w:pPr>
        <w:spacing w:before="100" w:beforeAutospacing="1" w:after="100" w:afterAutospacing="1" w:line="360" w:lineRule="auto"/>
        <w:jc w:val="both"/>
        <w:rPr>
          <w:rFonts w:ascii="Tahoma" w:eastAsia="Times New Roman" w:hAnsi="Tahoma" w:cs="Tahoma"/>
          <w:sz w:val="24"/>
          <w:szCs w:val="24"/>
          <w:lang w:eastAsia="fr-FR"/>
        </w:rPr>
      </w:pPr>
      <w:r w:rsidRPr="002462E6">
        <w:rPr>
          <w:rFonts w:ascii="Tahoma" w:eastAsia="Times New Roman" w:hAnsi="Tahoma" w:cs="Tahoma"/>
          <w:sz w:val="24"/>
          <w:szCs w:val="24"/>
          <w:lang w:eastAsia="fr-FR"/>
        </w:rPr>
        <w:t>Cette répartition spatiale reflète l'histoire sylvicole de la forêt et les choix de gestion adoptés, mais révèle également la vulnérabilité relative des différentes formations face aux pressions anthropiques. La programmation des interventions pour la période 2019-2039 prévoit la régénération et le reboisement de 4 206 hectares</w:t>
      </w:r>
      <w:r w:rsidRPr="002462E6">
        <w:rPr>
          <w:rFonts w:ascii="Tahoma" w:eastAsia="Times New Roman" w:hAnsi="Tahoma" w:cs="Tahoma"/>
          <w:sz w:val="24"/>
          <w:szCs w:val="24"/>
          <w:vertAlign w:val="superscript"/>
          <w:lang w:eastAsia="fr-FR"/>
        </w:rPr>
        <w:footnoteReference w:id="530"/>
      </w:r>
      <w:r w:rsidRPr="002462E6">
        <w:rPr>
          <w:rFonts w:ascii="Tahoma" w:eastAsia="Times New Roman" w:hAnsi="Tahoma" w:cs="Tahoma"/>
          <w:sz w:val="24"/>
          <w:szCs w:val="24"/>
          <w:lang w:eastAsia="fr-FR"/>
        </w:rPr>
        <w:t>, avec un budget total estimé à 47,8 millions de dirhams et la création de 1 485 419 journées de travail</w:t>
      </w:r>
      <w:r w:rsidRPr="002462E6">
        <w:rPr>
          <w:rFonts w:ascii="Tahoma" w:eastAsia="Times New Roman" w:hAnsi="Tahoma" w:cs="Tahoma"/>
          <w:sz w:val="24"/>
          <w:szCs w:val="24"/>
          <w:vertAlign w:val="superscript"/>
          <w:lang w:eastAsia="fr-FR"/>
        </w:rPr>
        <w:footnoteReference w:id="531"/>
      </w:r>
      <w:r w:rsidRPr="002462E6">
        <w:rPr>
          <w:rFonts w:ascii="Tahoma" w:eastAsia="Times New Roman" w:hAnsi="Tahoma" w:cs="Tahoma"/>
          <w:sz w:val="24"/>
          <w:szCs w:val="24"/>
          <w:lang w:eastAsia="fr-FR"/>
        </w:rPr>
        <w:t>.</w:t>
      </w:r>
    </w:p>
    <w:p w:rsidR="00712860" w:rsidRPr="002462E6" w:rsidRDefault="00712860" w:rsidP="008D3838">
      <w:pPr>
        <w:pStyle w:val="Titre6"/>
      </w:pPr>
      <w:bookmarkStart w:id="329" w:name="_Toc201655503"/>
      <w:bookmarkStart w:id="330" w:name="_Toc203643075"/>
      <w:r w:rsidRPr="002462E6">
        <w:t>Analyse des scénarios de dégradation forestière</w:t>
      </w:r>
      <w:bookmarkEnd w:id="329"/>
      <w:r w:rsidR="00112B79" w:rsidRPr="002462E6">
        <w:t>.</w:t>
      </w:r>
      <w:bookmarkEnd w:id="330"/>
    </w:p>
    <w:p w:rsidR="00712860" w:rsidRPr="002462E6" w:rsidRDefault="00712860" w:rsidP="00D051D7">
      <w:pPr>
        <w:widowControl w:val="0"/>
        <w:numPr>
          <w:ilvl w:val="0"/>
          <w:numId w:val="45"/>
        </w:numPr>
        <w:autoSpaceDE w:val="0"/>
        <w:autoSpaceDN w:val="0"/>
        <w:spacing w:before="100" w:beforeAutospacing="1" w:after="100" w:afterAutospacing="1" w:line="360" w:lineRule="auto"/>
        <w:jc w:val="both"/>
        <w:outlineLvl w:val="2"/>
        <w:rPr>
          <w:rFonts w:ascii="Tahoma" w:eastAsia="Times New Roman" w:hAnsi="Tahoma" w:cs="Tahoma"/>
          <w:b/>
          <w:bCs/>
          <w:sz w:val="24"/>
          <w:szCs w:val="24"/>
          <w:lang w:eastAsia="fr-FR"/>
        </w:rPr>
      </w:pPr>
      <w:bookmarkStart w:id="331" w:name="_Toc201570850"/>
      <w:r w:rsidRPr="002462E6">
        <w:rPr>
          <w:rFonts w:ascii="Tahoma" w:eastAsia="Times New Roman" w:hAnsi="Tahoma" w:cs="Tahoma"/>
          <w:b/>
          <w:bCs/>
          <w:sz w:val="24"/>
          <w:szCs w:val="24"/>
          <w:lang w:eastAsia="fr-FR"/>
        </w:rPr>
        <w:t>Scénario pessimiste : l'échec de la mise en œuvre du plan de gestion (2025-2040)</w:t>
      </w:r>
      <w:bookmarkEnd w:id="331"/>
    </w:p>
    <w:p w:rsidR="00712860" w:rsidRPr="002462E6" w:rsidRDefault="00712860" w:rsidP="00112B79">
      <w:pPr>
        <w:spacing w:before="100" w:beforeAutospacing="1" w:after="100" w:afterAutospacing="1" w:line="360" w:lineRule="auto"/>
        <w:jc w:val="both"/>
        <w:rPr>
          <w:rFonts w:ascii="Tahoma" w:eastAsia="Times New Roman" w:hAnsi="Tahoma" w:cs="Tahoma"/>
          <w:sz w:val="24"/>
          <w:szCs w:val="24"/>
          <w:lang w:eastAsia="fr-FR"/>
        </w:rPr>
      </w:pPr>
      <w:r w:rsidRPr="002462E6">
        <w:rPr>
          <w:rFonts w:ascii="Tahoma" w:eastAsia="Times New Roman" w:hAnsi="Tahoma" w:cs="Tahoma"/>
          <w:sz w:val="24"/>
          <w:szCs w:val="24"/>
          <w:lang w:eastAsia="fr-FR"/>
        </w:rPr>
        <w:t>Le premier scénario envisage une situation d'échec partiel de la mise en œuvre du plan de gestion, caractérisée par un taux de réalisation de seulement 20% des actions programmées</w:t>
      </w:r>
      <w:r w:rsidRPr="002462E6">
        <w:rPr>
          <w:rFonts w:ascii="Tahoma" w:eastAsia="Times New Roman" w:hAnsi="Tahoma" w:cs="Tahoma"/>
          <w:sz w:val="24"/>
          <w:szCs w:val="24"/>
          <w:vertAlign w:val="superscript"/>
          <w:lang w:eastAsia="fr-FR"/>
        </w:rPr>
        <w:footnoteReference w:id="532"/>
      </w:r>
      <w:r w:rsidRPr="002462E6">
        <w:rPr>
          <w:rFonts w:ascii="Tahoma" w:eastAsia="Times New Roman" w:hAnsi="Tahoma" w:cs="Tahoma"/>
          <w:sz w:val="24"/>
          <w:szCs w:val="24"/>
          <w:lang w:eastAsia="fr-FR"/>
        </w:rPr>
        <w:t>. Cette hypothèse s'appuie sur l'analyse des contraintes structurelles susceptibles d'entraver l'exécution du plan : contraintes budgétaires limitant les financements disponibles à 10 millions de dirhams au lieu des 47,8 millions prévus</w:t>
      </w:r>
      <w:r w:rsidRPr="002462E6">
        <w:rPr>
          <w:rFonts w:ascii="Tahoma" w:eastAsia="Times New Roman" w:hAnsi="Tahoma" w:cs="Tahoma"/>
          <w:sz w:val="24"/>
          <w:szCs w:val="24"/>
          <w:vertAlign w:val="superscript"/>
          <w:lang w:eastAsia="fr-FR"/>
        </w:rPr>
        <w:footnoteReference w:id="533"/>
      </w:r>
      <w:r w:rsidRPr="002462E6">
        <w:rPr>
          <w:rFonts w:ascii="Tahoma" w:eastAsia="Times New Roman" w:hAnsi="Tahoma" w:cs="Tahoma"/>
          <w:sz w:val="24"/>
          <w:szCs w:val="24"/>
          <w:lang w:eastAsia="fr-FR"/>
        </w:rPr>
        <w:t>, résistances des usagers aux mesures de mise en défens</w:t>
      </w:r>
      <w:r w:rsidRPr="002462E6">
        <w:rPr>
          <w:rFonts w:ascii="Tahoma" w:eastAsia="Times New Roman" w:hAnsi="Tahoma" w:cs="Tahoma"/>
          <w:sz w:val="24"/>
          <w:szCs w:val="24"/>
          <w:vertAlign w:val="superscript"/>
          <w:lang w:eastAsia="fr-FR"/>
        </w:rPr>
        <w:footnoteReference w:id="534"/>
      </w:r>
      <w:r w:rsidRPr="002462E6">
        <w:rPr>
          <w:rFonts w:ascii="Tahoma" w:eastAsia="Times New Roman" w:hAnsi="Tahoma" w:cs="Tahoma"/>
          <w:sz w:val="24"/>
          <w:szCs w:val="24"/>
          <w:lang w:eastAsia="fr-FR"/>
        </w:rPr>
        <w:t>, et défaillances de coordination entre les quatre secteurs forestiers concernés</w:t>
      </w:r>
      <w:r w:rsidRPr="002462E6">
        <w:rPr>
          <w:rFonts w:ascii="Tahoma" w:eastAsia="Times New Roman" w:hAnsi="Tahoma" w:cs="Tahoma"/>
          <w:sz w:val="24"/>
          <w:szCs w:val="24"/>
          <w:vertAlign w:val="superscript"/>
          <w:lang w:eastAsia="fr-FR"/>
        </w:rPr>
        <w:footnoteReference w:id="535"/>
      </w:r>
      <w:r w:rsidRPr="002462E6">
        <w:rPr>
          <w:rFonts w:ascii="Tahoma" w:eastAsia="Times New Roman" w:hAnsi="Tahoma" w:cs="Tahoma"/>
          <w:sz w:val="24"/>
          <w:szCs w:val="24"/>
          <w:lang w:eastAsia="fr-FR"/>
        </w:rPr>
        <w:t>.</w:t>
      </w:r>
    </w:p>
    <w:p w:rsidR="00712860" w:rsidRPr="002462E6" w:rsidRDefault="00712860" w:rsidP="00112B79">
      <w:pPr>
        <w:spacing w:before="100" w:beforeAutospacing="1" w:after="100" w:afterAutospacing="1" w:line="360" w:lineRule="auto"/>
        <w:jc w:val="both"/>
        <w:rPr>
          <w:rFonts w:ascii="Tahoma" w:eastAsia="Times New Roman" w:hAnsi="Tahoma" w:cs="Tahoma"/>
          <w:sz w:val="24"/>
          <w:szCs w:val="24"/>
          <w:lang w:eastAsia="fr-FR"/>
        </w:rPr>
      </w:pPr>
      <w:r w:rsidRPr="002462E6">
        <w:rPr>
          <w:rFonts w:ascii="Tahoma" w:eastAsia="Times New Roman" w:hAnsi="Tahoma" w:cs="Tahoma"/>
          <w:sz w:val="24"/>
          <w:szCs w:val="24"/>
          <w:lang w:eastAsia="fr-FR"/>
        </w:rPr>
        <w:t>Dans ce contexte, l'évolution de la série de thuya se caractériserait par une régénération limitée à 800 hectares seulement sur les 4 168 hectares programmés</w:t>
      </w:r>
      <w:r w:rsidRPr="002462E6">
        <w:rPr>
          <w:rFonts w:ascii="Tahoma" w:eastAsia="Times New Roman" w:hAnsi="Tahoma" w:cs="Tahoma"/>
          <w:sz w:val="24"/>
          <w:szCs w:val="24"/>
          <w:vertAlign w:val="superscript"/>
          <w:lang w:eastAsia="fr-FR"/>
        </w:rPr>
        <w:footnoteReference w:id="536"/>
      </w:r>
      <w:r w:rsidRPr="002462E6">
        <w:rPr>
          <w:rFonts w:ascii="Tahoma" w:eastAsia="Times New Roman" w:hAnsi="Tahoma" w:cs="Tahoma"/>
          <w:sz w:val="24"/>
          <w:szCs w:val="24"/>
          <w:lang w:eastAsia="fr-FR"/>
        </w:rPr>
        <w:t>, tandis que le surpâturage se maintiendrait à des niveaux critiques de 40 à 42% dans les terroirs Zaeer et Oulad Khlifa</w:t>
      </w:r>
      <w:r w:rsidRPr="002462E6">
        <w:rPr>
          <w:rFonts w:ascii="Tahoma" w:eastAsia="Times New Roman" w:hAnsi="Tahoma" w:cs="Tahoma"/>
          <w:sz w:val="24"/>
          <w:szCs w:val="24"/>
          <w:vertAlign w:val="superscript"/>
          <w:lang w:eastAsia="fr-FR"/>
        </w:rPr>
        <w:footnoteReference w:id="537"/>
      </w:r>
      <w:r w:rsidRPr="002462E6">
        <w:rPr>
          <w:rFonts w:ascii="Tahoma" w:eastAsia="Times New Roman" w:hAnsi="Tahoma" w:cs="Tahoma"/>
          <w:sz w:val="24"/>
          <w:szCs w:val="24"/>
          <w:lang w:eastAsia="fr-FR"/>
        </w:rPr>
        <w:t>. La consommation de bois de feu resterait stable entre 10 et 30 quintaux par ménage et par an, en l'absence d'alternatives énergétiques viables</w:t>
      </w:r>
      <w:r w:rsidRPr="002462E6">
        <w:rPr>
          <w:rFonts w:ascii="Tahoma" w:eastAsia="Times New Roman" w:hAnsi="Tahoma" w:cs="Tahoma"/>
          <w:sz w:val="24"/>
          <w:szCs w:val="24"/>
          <w:vertAlign w:val="superscript"/>
          <w:lang w:eastAsia="fr-FR"/>
        </w:rPr>
        <w:footnoteReference w:id="538"/>
      </w:r>
      <w:r w:rsidRPr="002462E6">
        <w:rPr>
          <w:rFonts w:ascii="Tahoma" w:eastAsia="Times New Roman" w:hAnsi="Tahoma" w:cs="Tahoma"/>
          <w:sz w:val="24"/>
          <w:szCs w:val="24"/>
          <w:lang w:eastAsia="fr-FR"/>
        </w:rPr>
        <w:t>.</w:t>
      </w:r>
    </w:p>
    <w:p w:rsidR="00712860" w:rsidRPr="002462E6" w:rsidRDefault="00712860" w:rsidP="00BC7FBC">
      <w:pPr>
        <w:spacing w:before="100" w:beforeAutospacing="1" w:after="100" w:afterAutospacing="1" w:line="360" w:lineRule="auto"/>
        <w:jc w:val="both"/>
        <w:rPr>
          <w:rFonts w:ascii="Tahoma" w:eastAsia="Times New Roman" w:hAnsi="Tahoma" w:cs="Tahoma"/>
          <w:sz w:val="24"/>
          <w:szCs w:val="24"/>
          <w:lang w:eastAsia="fr-FR"/>
        </w:rPr>
      </w:pPr>
      <w:r w:rsidRPr="002462E6">
        <w:rPr>
          <w:rFonts w:ascii="Tahoma" w:eastAsia="Times New Roman" w:hAnsi="Tahoma" w:cs="Tahoma"/>
          <w:sz w:val="24"/>
          <w:szCs w:val="24"/>
          <w:lang w:eastAsia="fr-FR"/>
        </w:rPr>
        <w:t>Les conséquences de ce scénario se traduiraient par une réduction drastique de la couverture forestière effective à 11 000 hectares en 2040, soit une diminution de 27%</w:t>
      </w:r>
      <w:r w:rsidRPr="002462E6">
        <w:rPr>
          <w:rFonts w:ascii="Tahoma" w:eastAsia="Times New Roman" w:hAnsi="Tahoma" w:cs="Tahoma"/>
          <w:sz w:val="24"/>
          <w:szCs w:val="24"/>
          <w:vertAlign w:val="superscript"/>
          <w:lang w:eastAsia="fr-FR"/>
        </w:rPr>
        <w:footnoteReference w:id="539"/>
      </w:r>
      <w:r w:rsidRPr="002462E6">
        <w:rPr>
          <w:rFonts w:ascii="Tahoma" w:eastAsia="Times New Roman" w:hAnsi="Tahoma" w:cs="Tahoma"/>
          <w:sz w:val="24"/>
          <w:szCs w:val="24"/>
          <w:lang w:eastAsia="fr-FR"/>
        </w:rPr>
        <w:t>. Cette dégradation s'accompagnerait d'une détérioration de 60% du groupe de régénération de thuya</w:t>
      </w:r>
      <w:r w:rsidRPr="002462E6">
        <w:rPr>
          <w:rFonts w:ascii="Tahoma" w:eastAsia="Times New Roman" w:hAnsi="Tahoma" w:cs="Tahoma"/>
          <w:sz w:val="24"/>
          <w:szCs w:val="24"/>
          <w:vertAlign w:val="superscript"/>
          <w:lang w:eastAsia="fr-FR"/>
        </w:rPr>
        <w:footnoteReference w:id="540"/>
      </w:r>
      <w:r w:rsidRPr="002462E6">
        <w:rPr>
          <w:rFonts w:ascii="Tahoma" w:eastAsia="Times New Roman" w:hAnsi="Tahoma" w:cs="Tahoma"/>
          <w:sz w:val="24"/>
          <w:szCs w:val="24"/>
          <w:lang w:eastAsia="fr-FR"/>
        </w:rPr>
        <w:t xml:space="preserve"> et de la perte de 50% des reboisements existants</w:t>
      </w:r>
      <w:r w:rsidRPr="002462E6">
        <w:rPr>
          <w:rFonts w:ascii="Tahoma" w:eastAsia="Times New Roman" w:hAnsi="Tahoma" w:cs="Tahoma"/>
          <w:sz w:val="24"/>
          <w:szCs w:val="24"/>
          <w:vertAlign w:val="superscript"/>
          <w:lang w:eastAsia="fr-FR"/>
        </w:rPr>
        <w:footnoteReference w:id="541"/>
      </w:r>
      <w:r w:rsidRPr="002462E6">
        <w:rPr>
          <w:rFonts w:ascii="Tahoma" w:eastAsia="Times New Roman" w:hAnsi="Tahoma" w:cs="Tahoma"/>
          <w:sz w:val="24"/>
          <w:szCs w:val="24"/>
          <w:lang w:eastAsia="fr-FR"/>
        </w:rPr>
        <w:t>. L'intensification des processus érosifs conduirait à une perte annuelle de 80 000 mètres cubes de sols, contrastant avec les 53 246 mètres cubes de traitements de conservation des eaux et sols initialement prévus</w:t>
      </w:r>
      <w:r w:rsidRPr="002462E6">
        <w:rPr>
          <w:rFonts w:ascii="Tahoma" w:eastAsia="Times New Roman" w:hAnsi="Tahoma" w:cs="Tahoma"/>
          <w:sz w:val="24"/>
          <w:szCs w:val="24"/>
          <w:vertAlign w:val="superscript"/>
          <w:lang w:eastAsia="fr-FR"/>
        </w:rPr>
        <w:footnoteReference w:id="542"/>
      </w:r>
      <w:r w:rsidRPr="002462E6">
        <w:rPr>
          <w:rFonts w:ascii="Tahoma" w:eastAsia="Times New Roman" w:hAnsi="Tahoma" w:cs="Tahoma"/>
          <w:sz w:val="24"/>
          <w:szCs w:val="24"/>
          <w:lang w:eastAsia="fr-FR"/>
        </w:rPr>
        <w:t>.</w:t>
      </w:r>
    </w:p>
    <w:p w:rsidR="00712860" w:rsidRPr="002462E6" w:rsidRDefault="00712860" w:rsidP="008D3838">
      <w:pPr>
        <w:pStyle w:val="Titre6"/>
      </w:pPr>
      <w:bookmarkStart w:id="332" w:name="_Toc201570851"/>
      <w:bookmarkStart w:id="333" w:name="_Toc203643076"/>
      <w:r w:rsidRPr="002462E6">
        <w:t>Scénario intermédiaire : mise en œuvre partielle du plan de gestion</w:t>
      </w:r>
      <w:bookmarkEnd w:id="332"/>
      <w:bookmarkEnd w:id="333"/>
    </w:p>
    <w:p w:rsidR="00712860" w:rsidRPr="002462E6" w:rsidRDefault="00712860" w:rsidP="00112B79">
      <w:pPr>
        <w:spacing w:before="100" w:beforeAutospacing="1" w:after="100" w:afterAutospacing="1" w:line="360" w:lineRule="auto"/>
        <w:jc w:val="both"/>
        <w:rPr>
          <w:rFonts w:ascii="Tahoma" w:eastAsia="Times New Roman" w:hAnsi="Tahoma" w:cs="Tahoma"/>
          <w:sz w:val="24"/>
          <w:szCs w:val="24"/>
          <w:lang w:eastAsia="fr-FR"/>
        </w:rPr>
      </w:pPr>
      <w:r w:rsidRPr="002462E6">
        <w:rPr>
          <w:rFonts w:ascii="Tahoma" w:eastAsia="Times New Roman" w:hAnsi="Tahoma" w:cs="Tahoma"/>
          <w:sz w:val="24"/>
          <w:szCs w:val="24"/>
          <w:lang w:eastAsia="fr-FR"/>
        </w:rPr>
        <w:t>Le deuxième scénario envisage une mise en œuvre partielle du plan de gestion, avec un taux de réalisation de 60% des actions programmées</w:t>
      </w:r>
      <w:r w:rsidRPr="002462E6">
        <w:rPr>
          <w:rFonts w:ascii="Tahoma" w:eastAsia="Times New Roman" w:hAnsi="Tahoma" w:cs="Tahoma"/>
          <w:sz w:val="24"/>
          <w:szCs w:val="24"/>
          <w:vertAlign w:val="superscript"/>
          <w:lang w:eastAsia="fr-FR"/>
        </w:rPr>
        <w:footnoteReference w:id="543"/>
      </w:r>
      <w:r w:rsidRPr="002462E6">
        <w:rPr>
          <w:rFonts w:ascii="Tahoma" w:eastAsia="Times New Roman" w:hAnsi="Tahoma" w:cs="Tahoma"/>
          <w:sz w:val="24"/>
          <w:szCs w:val="24"/>
          <w:lang w:eastAsia="fr-FR"/>
        </w:rPr>
        <w:t>. Cette hypothèse repose sur la mobilisation de 28 millions de dirhams (60% du budget prévu)</w:t>
      </w:r>
      <w:r w:rsidRPr="002462E6">
        <w:rPr>
          <w:rFonts w:ascii="Tahoma" w:eastAsia="Times New Roman" w:hAnsi="Tahoma" w:cs="Tahoma"/>
          <w:sz w:val="24"/>
          <w:szCs w:val="24"/>
          <w:vertAlign w:val="superscript"/>
          <w:lang w:eastAsia="fr-FR"/>
        </w:rPr>
        <w:footnoteReference w:id="544"/>
      </w:r>
      <w:r w:rsidRPr="002462E6">
        <w:rPr>
          <w:rFonts w:ascii="Tahoma" w:eastAsia="Times New Roman" w:hAnsi="Tahoma" w:cs="Tahoma"/>
          <w:sz w:val="24"/>
          <w:szCs w:val="24"/>
          <w:lang w:eastAsia="fr-FR"/>
        </w:rPr>
        <w:t>, l'organisation de la moitié des éleveurs en coopératives pastorales</w:t>
      </w:r>
      <w:r w:rsidRPr="002462E6">
        <w:rPr>
          <w:rFonts w:ascii="Tahoma" w:eastAsia="Times New Roman" w:hAnsi="Tahoma" w:cs="Tahoma"/>
          <w:sz w:val="24"/>
          <w:szCs w:val="24"/>
          <w:vertAlign w:val="superscript"/>
          <w:lang w:eastAsia="fr-FR"/>
        </w:rPr>
        <w:footnoteReference w:id="545"/>
      </w:r>
      <w:r w:rsidRPr="002462E6">
        <w:rPr>
          <w:rFonts w:ascii="Tahoma" w:eastAsia="Times New Roman" w:hAnsi="Tahoma" w:cs="Tahoma"/>
          <w:sz w:val="24"/>
          <w:szCs w:val="24"/>
          <w:lang w:eastAsia="fr-FR"/>
        </w:rPr>
        <w:t>, et la mise en défens effective sur 60% des superficies programmées</w:t>
      </w:r>
      <w:r w:rsidRPr="002462E6">
        <w:rPr>
          <w:rFonts w:ascii="Tahoma" w:eastAsia="Times New Roman" w:hAnsi="Tahoma" w:cs="Tahoma"/>
          <w:sz w:val="24"/>
          <w:szCs w:val="24"/>
          <w:vertAlign w:val="superscript"/>
          <w:lang w:eastAsia="fr-FR"/>
        </w:rPr>
        <w:footnoteReference w:id="546"/>
      </w:r>
      <w:r w:rsidRPr="002462E6">
        <w:rPr>
          <w:rFonts w:ascii="Tahoma" w:eastAsia="Times New Roman" w:hAnsi="Tahoma" w:cs="Tahoma"/>
          <w:sz w:val="24"/>
          <w:szCs w:val="24"/>
          <w:lang w:eastAsia="fr-FR"/>
        </w:rPr>
        <w:t>.</w:t>
      </w:r>
    </w:p>
    <w:p w:rsidR="00712860" w:rsidRPr="002462E6" w:rsidRDefault="00712860" w:rsidP="00112B79">
      <w:pPr>
        <w:spacing w:before="100" w:beforeAutospacing="1" w:after="100" w:afterAutospacing="1" w:line="360" w:lineRule="auto"/>
        <w:jc w:val="both"/>
        <w:rPr>
          <w:rFonts w:ascii="Tahoma" w:eastAsia="Times New Roman" w:hAnsi="Tahoma" w:cs="Tahoma"/>
          <w:sz w:val="24"/>
          <w:szCs w:val="24"/>
          <w:lang w:eastAsia="fr-FR"/>
        </w:rPr>
      </w:pPr>
      <w:r w:rsidRPr="002462E6">
        <w:rPr>
          <w:rFonts w:ascii="Tahoma" w:eastAsia="Times New Roman" w:hAnsi="Tahoma" w:cs="Tahoma"/>
          <w:sz w:val="24"/>
          <w:szCs w:val="24"/>
          <w:lang w:eastAsia="fr-FR"/>
        </w:rPr>
        <w:t>La trajectoire temporelle de ce scénario se décompose en trois phases distinctes. La période 2025-2030 verrait la régénération de 2 000 hectares de thuya sur les 3 306 hectares programmés</w:t>
      </w:r>
      <w:r w:rsidRPr="002462E6">
        <w:rPr>
          <w:rFonts w:ascii="Tahoma" w:eastAsia="Times New Roman" w:hAnsi="Tahoma" w:cs="Tahoma"/>
          <w:sz w:val="24"/>
          <w:szCs w:val="24"/>
          <w:vertAlign w:val="superscript"/>
          <w:lang w:eastAsia="fr-FR"/>
        </w:rPr>
        <w:footnoteReference w:id="547"/>
      </w:r>
      <w:r w:rsidRPr="002462E6">
        <w:rPr>
          <w:rFonts w:ascii="Tahoma" w:eastAsia="Times New Roman" w:hAnsi="Tahoma" w:cs="Tahoma"/>
          <w:sz w:val="24"/>
          <w:szCs w:val="24"/>
          <w:lang w:eastAsia="fr-FR"/>
        </w:rPr>
        <w:t>, le reboisement de 280 hectares en pin d'Alep sur les 473 hectares prévus</w:t>
      </w:r>
      <w:r w:rsidRPr="002462E6">
        <w:rPr>
          <w:rFonts w:ascii="Tahoma" w:eastAsia="Times New Roman" w:hAnsi="Tahoma" w:cs="Tahoma"/>
          <w:sz w:val="24"/>
          <w:szCs w:val="24"/>
          <w:vertAlign w:val="superscript"/>
          <w:lang w:eastAsia="fr-FR"/>
        </w:rPr>
        <w:footnoteReference w:id="548"/>
      </w:r>
      <w:r w:rsidRPr="002462E6">
        <w:rPr>
          <w:rFonts w:ascii="Tahoma" w:eastAsia="Times New Roman" w:hAnsi="Tahoma" w:cs="Tahoma"/>
          <w:sz w:val="24"/>
          <w:szCs w:val="24"/>
          <w:lang w:eastAsia="fr-FR"/>
        </w:rPr>
        <w:t>, et la réhabilitation de 16 kilomètres de pistes sur les 27,5 kilomètres planifiés</w:t>
      </w:r>
      <w:r w:rsidRPr="002462E6">
        <w:rPr>
          <w:rFonts w:ascii="Tahoma" w:eastAsia="Times New Roman" w:hAnsi="Tahoma" w:cs="Tahoma"/>
          <w:sz w:val="24"/>
          <w:szCs w:val="24"/>
          <w:vertAlign w:val="superscript"/>
          <w:lang w:eastAsia="fr-FR"/>
        </w:rPr>
        <w:footnoteReference w:id="549"/>
      </w:r>
      <w:r w:rsidRPr="002462E6">
        <w:rPr>
          <w:rFonts w:ascii="Tahoma" w:eastAsia="Times New Roman" w:hAnsi="Tahoma" w:cs="Tahoma"/>
          <w:sz w:val="24"/>
          <w:szCs w:val="24"/>
          <w:lang w:eastAsia="fr-FR"/>
        </w:rPr>
        <w:t>. La période 2030-2035 se caractériserait par la consolidation des acquis sur 70% des superficies traitées</w:t>
      </w:r>
      <w:r w:rsidRPr="002462E6">
        <w:rPr>
          <w:rFonts w:ascii="Tahoma" w:eastAsia="Times New Roman" w:hAnsi="Tahoma" w:cs="Tahoma"/>
          <w:sz w:val="24"/>
          <w:szCs w:val="24"/>
          <w:vertAlign w:val="superscript"/>
          <w:lang w:eastAsia="fr-FR"/>
        </w:rPr>
        <w:footnoteReference w:id="550"/>
      </w:r>
      <w:r w:rsidRPr="002462E6">
        <w:rPr>
          <w:rFonts w:ascii="Tahoma" w:eastAsia="Times New Roman" w:hAnsi="Tahoma" w:cs="Tahoma"/>
          <w:sz w:val="24"/>
          <w:szCs w:val="24"/>
          <w:lang w:eastAsia="fr-FR"/>
        </w:rPr>
        <w:t>, une réduction du surpâturage à 25%</w:t>
      </w:r>
      <w:r w:rsidRPr="002462E6">
        <w:rPr>
          <w:rFonts w:ascii="Tahoma" w:eastAsia="Times New Roman" w:hAnsi="Tahoma" w:cs="Tahoma"/>
          <w:sz w:val="24"/>
          <w:szCs w:val="24"/>
          <w:vertAlign w:val="superscript"/>
          <w:lang w:eastAsia="fr-FR"/>
        </w:rPr>
        <w:footnoteReference w:id="551"/>
      </w:r>
      <w:r w:rsidRPr="002462E6">
        <w:rPr>
          <w:rFonts w:ascii="Tahoma" w:eastAsia="Times New Roman" w:hAnsi="Tahoma" w:cs="Tahoma"/>
          <w:sz w:val="24"/>
          <w:szCs w:val="24"/>
          <w:lang w:eastAsia="fr-FR"/>
        </w:rPr>
        <w:t>, et le développement de l'écotourisme dans la zone du Site d'Intérêt Biologique et Écologique (SIBE) s'étendant sur 3 755 hectares</w:t>
      </w:r>
      <w:r w:rsidRPr="002462E6">
        <w:rPr>
          <w:rFonts w:ascii="Tahoma" w:eastAsia="Times New Roman" w:hAnsi="Tahoma" w:cs="Tahoma"/>
          <w:sz w:val="24"/>
          <w:szCs w:val="24"/>
          <w:vertAlign w:val="superscript"/>
          <w:lang w:eastAsia="fr-FR"/>
        </w:rPr>
        <w:footnoteReference w:id="552"/>
      </w:r>
      <w:r w:rsidRPr="002462E6">
        <w:rPr>
          <w:rFonts w:ascii="Tahoma" w:eastAsia="Times New Roman" w:hAnsi="Tahoma" w:cs="Tahoma"/>
          <w:sz w:val="24"/>
          <w:szCs w:val="24"/>
          <w:lang w:eastAsia="fr-FR"/>
        </w:rPr>
        <w:t>.</w:t>
      </w:r>
    </w:p>
    <w:p w:rsidR="00712860" w:rsidRPr="002462E6" w:rsidRDefault="00712860" w:rsidP="00112B79">
      <w:pPr>
        <w:spacing w:before="100" w:beforeAutospacing="1" w:after="100" w:afterAutospacing="1" w:line="360" w:lineRule="auto"/>
        <w:jc w:val="both"/>
        <w:rPr>
          <w:rFonts w:ascii="Tahoma" w:eastAsia="Times New Roman" w:hAnsi="Tahoma" w:cs="Tahoma"/>
          <w:sz w:val="24"/>
          <w:szCs w:val="24"/>
          <w:lang w:eastAsia="fr-FR"/>
        </w:rPr>
      </w:pPr>
      <w:r w:rsidRPr="002462E6">
        <w:rPr>
          <w:rFonts w:ascii="Tahoma" w:eastAsia="Times New Roman" w:hAnsi="Tahoma" w:cs="Tahoma"/>
          <w:sz w:val="24"/>
          <w:szCs w:val="24"/>
          <w:lang w:eastAsia="fr-FR"/>
        </w:rPr>
        <w:t>La période finale (2035-2040) aboutirait à la stabilisation de la couverture forestière à 14 000 hectares</w:t>
      </w:r>
      <w:r w:rsidRPr="002462E6">
        <w:rPr>
          <w:rFonts w:ascii="Tahoma" w:eastAsia="Times New Roman" w:hAnsi="Tahoma" w:cs="Tahoma"/>
          <w:sz w:val="24"/>
          <w:szCs w:val="24"/>
          <w:vertAlign w:val="superscript"/>
          <w:lang w:eastAsia="fr-FR"/>
        </w:rPr>
        <w:footnoteReference w:id="553"/>
      </w:r>
      <w:r w:rsidRPr="002462E6">
        <w:rPr>
          <w:rFonts w:ascii="Tahoma" w:eastAsia="Times New Roman" w:hAnsi="Tahoma" w:cs="Tahoma"/>
          <w:sz w:val="24"/>
          <w:szCs w:val="24"/>
          <w:lang w:eastAsia="fr-FR"/>
        </w:rPr>
        <w:t xml:space="preserve"> et à l'atteinte d'un équilibre entre charges pastorales et ressources sur 60% des parcours</w:t>
      </w:r>
      <w:r w:rsidRPr="002462E6">
        <w:rPr>
          <w:rFonts w:ascii="Tahoma" w:eastAsia="Times New Roman" w:hAnsi="Tahoma" w:cs="Tahoma"/>
          <w:sz w:val="24"/>
          <w:szCs w:val="24"/>
          <w:vertAlign w:val="superscript"/>
          <w:lang w:eastAsia="fr-FR"/>
        </w:rPr>
        <w:footnoteReference w:id="554"/>
      </w:r>
      <w:r w:rsidRPr="002462E6">
        <w:rPr>
          <w:rFonts w:ascii="Tahoma" w:eastAsia="Times New Roman" w:hAnsi="Tahoma" w:cs="Tahoma"/>
          <w:sz w:val="24"/>
          <w:szCs w:val="24"/>
          <w:lang w:eastAsia="fr-FR"/>
        </w:rPr>
        <w:t>. Les bénéfices économiques de ce scénario incluraient la création de 890 000 journées de travail</w:t>
      </w:r>
      <w:r w:rsidRPr="002462E6">
        <w:rPr>
          <w:rFonts w:ascii="Tahoma" w:eastAsia="Times New Roman" w:hAnsi="Tahoma" w:cs="Tahoma"/>
          <w:sz w:val="24"/>
          <w:szCs w:val="24"/>
          <w:vertAlign w:val="superscript"/>
          <w:lang w:eastAsia="fr-FR"/>
        </w:rPr>
        <w:footnoteReference w:id="555"/>
      </w:r>
      <w:r w:rsidRPr="002462E6">
        <w:rPr>
          <w:rFonts w:ascii="Tahoma" w:eastAsia="Times New Roman" w:hAnsi="Tahoma" w:cs="Tahoma"/>
          <w:sz w:val="24"/>
          <w:szCs w:val="24"/>
          <w:lang w:eastAsia="fr-FR"/>
        </w:rPr>
        <w:t>, des compensations de mise en défens s'élevant à 4,6 millions de dirhams</w:t>
      </w:r>
      <w:r w:rsidRPr="002462E6">
        <w:rPr>
          <w:rFonts w:ascii="Tahoma" w:eastAsia="Times New Roman" w:hAnsi="Tahoma" w:cs="Tahoma"/>
          <w:sz w:val="24"/>
          <w:szCs w:val="24"/>
          <w:vertAlign w:val="superscript"/>
          <w:lang w:eastAsia="fr-FR"/>
        </w:rPr>
        <w:footnoteReference w:id="556"/>
      </w:r>
      <w:r w:rsidRPr="002462E6">
        <w:rPr>
          <w:rFonts w:ascii="Tahoma" w:eastAsia="Times New Roman" w:hAnsi="Tahoma" w:cs="Tahoma"/>
          <w:sz w:val="24"/>
          <w:szCs w:val="24"/>
          <w:lang w:eastAsia="fr-FR"/>
        </w:rPr>
        <w:t>, et des recettes ligneuses de 435 000 dirhams</w:t>
      </w:r>
      <w:r w:rsidRPr="002462E6">
        <w:rPr>
          <w:rFonts w:ascii="Tahoma" w:eastAsia="Times New Roman" w:hAnsi="Tahoma" w:cs="Tahoma"/>
          <w:sz w:val="24"/>
          <w:szCs w:val="24"/>
          <w:vertAlign w:val="superscript"/>
          <w:lang w:eastAsia="fr-FR"/>
        </w:rPr>
        <w:footnoteReference w:id="557"/>
      </w:r>
      <w:r w:rsidRPr="002462E6">
        <w:rPr>
          <w:rFonts w:ascii="Tahoma" w:eastAsia="Times New Roman" w:hAnsi="Tahoma" w:cs="Tahoma"/>
          <w:sz w:val="24"/>
          <w:szCs w:val="24"/>
          <w:lang w:eastAsia="fr-FR"/>
        </w:rPr>
        <w:t>.</w:t>
      </w:r>
    </w:p>
    <w:p w:rsidR="00712860" w:rsidRPr="002462E6" w:rsidRDefault="00712860" w:rsidP="008D3838">
      <w:pPr>
        <w:pStyle w:val="Titre6"/>
      </w:pPr>
      <w:bookmarkStart w:id="334" w:name="_Toc201570852"/>
      <w:bookmarkStart w:id="335" w:name="_Toc203643077"/>
      <w:r w:rsidRPr="002462E6">
        <w:t>Scénario optimiste : réussite intégrale du plan de gestion</w:t>
      </w:r>
      <w:bookmarkEnd w:id="334"/>
      <w:bookmarkEnd w:id="335"/>
    </w:p>
    <w:p w:rsidR="00712860" w:rsidRPr="002462E6" w:rsidRDefault="00712860" w:rsidP="00112B79">
      <w:pPr>
        <w:spacing w:before="100" w:beforeAutospacing="1" w:after="100" w:afterAutospacing="1" w:line="360" w:lineRule="auto"/>
        <w:jc w:val="both"/>
        <w:rPr>
          <w:rFonts w:ascii="Tahoma" w:eastAsia="Times New Roman" w:hAnsi="Tahoma" w:cs="Tahoma"/>
          <w:sz w:val="24"/>
          <w:szCs w:val="24"/>
          <w:lang w:eastAsia="fr-FR"/>
        </w:rPr>
      </w:pPr>
      <w:r w:rsidRPr="002462E6">
        <w:rPr>
          <w:rFonts w:ascii="Tahoma" w:eastAsia="Times New Roman" w:hAnsi="Tahoma" w:cs="Tahoma"/>
          <w:sz w:val="24"/>
          <w:szCs w:val="24"/>
          <w:lang w:eastAsia="fr-FR"/>
        </w:rPr>
        <w:t>Le troisième scénario postule la mise en œuvre intégrale du plan de gestion, avec un taux de réalisation de 100% des actions programmées</w:t>
      </w:r>
      <w:r w:rsidRPr="002462E6">
        <w:rPr>
          <w:rFonts w:ascii="Tahoma" w:eastAsia="Times New Roman" w:hAnsi="Tahoma" w:cs="Tahoma"/>
          <w:sz w:val="24"/>
          <w:szCs w:val="24"/>
          <w:vertAlign w:val="superscript"/>
          <w:lang w:eastAsia="fr-FR"/>
        </w:rPr>
        <w:footnoteReference w:id="558"/>
      </w:r>
      <w:r w:rsidRPr="002462E6">
        <w:rPr>
          <w:rFonts w:ascii="Tahoma" w:eastAsia="Times New Roman" w:hAnsi="Tahoma" w:cs="Tahoma"/>
          <w:sz w:val="24"/>
          <w:szCs w:val="24"/>
          <w:lang w:eastAsia="fr-FR"/>
        </w:rPr>
        <w:t>. Cette hypothèse repose sur la mobilisation complète du budget de 47,8 millions de dirhams</w:t>
      </w:r>
      <w:r w:rsidRPr="002462E6">
        <w:rPr>
          <w:rFonts w:ascii="Tahoma" w:eastAsia="Times New Roman" w:hAnsi="Tahoma" w:cs="Tahoma"/>
          <w:sz w:val="24"/>
          <w:szCs w:val="24"/>
          <w:vertAlign w:val="superscript"/>
          <w:lang w:eastAsia="fr-FR"/>
        </w:rPr>
        <w:footnoteReference w:id="559"/>
      </w:r>
      <w:r w:rsidRPr="002462E6">
        <w:rPr>
          <w:rFonts w:ascii="Tahoma" w:eastAsia="Times New Roman" w:hAnsi="Tahoma" w:cs="Tahoma"/>
          <w:sz w:val="24"/>
          <w:szCs w:val="24"/>
          <w:lang w:eastAsia="fr-FR"/>
        </w:rPr>
        <w:t>, le respect du calendrier d'intervention établi pour la période 2019-2039</w:t>
      </w:r>
      <w:r w:rsidRPr="002462E6">
        <w:rPr>
          <w:rFonts w:ascii="Tahoma" w:eastAsia="Times New Roman" w:hAnsi="Tahoma" w:cs="Tahoma"/>
          <w:sz w:val="24"/>
          <w:szCs w:val="24"/>
          <w:vertAlign w:val="superscript"/>
          <w:lang w:eastAsia="fr-FR"/>
        </w:rPr>
        <w:footnoteReference w:id="560"/>
      </w:r>
      <w:r w:rsidRPr="002462E6">
        <w:rPr>
          <w:rFonts w:ascii="Tahoma" w:eastAsia="Times New Roman" w:hAnsi="Tahoma" w:cs="Tahoma"/>
          <w:sz w:val="24"/>
          <w:szCs w:val="24"/>
          <w:lang w:eastAsia="fr-FR"/>
        </w:rPr>
        <w:t>, et l'adhésion totale des 2 248 ménages des terroirs Zaeer et Oulad Khlifa</w:t>
      </w:r>
      <w:r w:rsidRPr="002462E6">
        <w:rPr>
          <w:rFonts w:ascii="Tahoma" w:eastAsia="Times New Roman" w:hAnsi="Tahoma" w:cs="Tahoma"/>
          <w:sz w:val="24"/>
          <w:szCs w:val="24"/>
          <w:vertAlign w:val="superscript"/>
          <w:lang w:eastAsia="fr-FR"/>
        </w:rPr>
        <w:footnoteReference w:id="561"/>
      </w:r>
      <w:r w:rsidRPr="002462E6">
        <w:rPr>
          <w:rFonts w:ascii="Tahoma" w:eastAsia="Times New Roman" w:hAnsi="Tahoma" w:cs="Tahoma"/>
          <w:sz w:val="24"/>
          <w:szCs w:val="24"/>
          <w:lang w:eastAsia="fr-FR"/>
        </w:rPr>
        <w:t>.</w:t>
      </w:r>
    </w:p>
    <w:p w:rsidR="00712860" w:rsidRPr="002462E6" w:rsidRDefault="00712860" w:rsidP="00112B79">
      <w:pPr>
        <w:spacing w:before="100" w:beforeAutospacing="1" w:after="100" w:afterAutospacing="1" w:line="360" w:lineRule="auto"/>
        <w:jc w:val="both"/>
        <w:rPr>
          <w:rFonts w:ascii="Tahoma" w:eastAsia="Times New Roman" w:hAnsi="Tahoma" w:cs="Tahoma"/>
          <w:sz w:val="24"/>
          <w:szCs w:val="24"/>
          <w:lang w:eastAsia="fr-FR"/>
        </w:rPr>
      </w:pPr>
      <w:r w:rsidRPr="002462E6">
        <w:rPr>
          <w:rFonts w:ascii="Tahoma" w:eastAsia="Times New Roman" w:hAnsi="Tahoma" w:cs="Tahoma"/>
          <w:sz w:val="24"/>
          <w:szCs w:val="24"/>
          <w:lang w:eastAsia="fr-FR"/>
        </w:rPr>
        <w:t>La programmation temporelle des interventions suivrait le phasage prévu : régénération de 2 200 hectares de thuya entre 2025 et 2030</w:t>
      </w:r>
      <w:r w:rsidRPr="002462E6">
        <w:rPr>
          <w:rFonts w:ascii="Tahoma" w:eastAsia="Times New Roman" w:hAnsi="Tahoma" w:cs="Tahoma"/>
          <w:sz w:val="24"/>
          <w:szCs w:val="24"/>
          <w:vertAlign w:val="superscript"/>
          <w:lang w:eastAsia="fr-FR"/>
        </w:rPr>
        <w:footnoteReference w:id="562"/>
      </w:r>
      <w:r w:rsidRPr="002462E6">
        <w:rPr>
          <w:rFonts w:ascii="Tahoma" w:eastAsia="Times New Roman" w:hAnsi="Tahoma" w:cs="Tahoma"/>
          <w:sz w:val="24"/>
          <w:szCs w:val="24"/>
          <w:lang w:eastAsia="fr-FR"/>
        </w:rPr>
        <w:t>, poursuite sur 1 500 hectares entre 2030 et 2035</w:t>
      </w:r>
      <w:r w:rsidRPr="002462E6">
        <w:rPr>
          <w:rFonts w:ascii="Tahoma" w:eastAsia="Times New Roman" w:hAnsi="Tahoma" w:cs="Tahoma"/>
          <w:sz w:val="24"/>
          <w:szCs w:val="24"/>
          <w:vertAlign w:val="superscript"/>
          <w:lang w:eastAsia="fr-FR"/>
        </w:rPr>
        <w:footnoteReference w:id="563"/>
      </w:r>
      <w:r w:rsidRPr="002462E6">
        <w:rPr>
          <w:rFonts w:ascii="Tahoma" w:eastAsia="Times New Roman" w:hAnsi="Tahoma" w:cs="Tahoma"/>
          <w:sz w:val="24"/>
          <w:szCs w:val="24"/>
          <w:lang w:eastAsia="fr-FR"/>
        </w:rPr>
        <w:t>, et finalisation sur les 606 hectares restants entre 2035 et 2039</w:t>
      </w:r>
      <w:r w:rsidRPr="002462E6">
        <w:rPr>
          <w:rFonts w:ascii="Tahoma" w:eastAsia="Times New Roman" w:hAnsi="Tahoma" w:cs="Tahoma"/>
          <w:sz w:val="24"/>
          <w:szCs w:val="24"/>
          <w:vertAlign w:val="superscript"/>
          <w:lang w:eastAsia="fr-FR"/>
        </w:rPr>
        <w:footnoteReference w:id="564"/>
      </w:r>
      <w:r w:rsidRPr="002462E6">
        <w:rPr>
          <w:rFonts w:ascii="Tahoma" w:eastAsia="Times New Roman" w:hAnsi="Tahoma" w:cs="Tahoma"/>
          <w:sz w:val="24"/>
          <w:szCs w:val="24"/>
          <w:lang w:eastAsia="fr-FR"/>
        </w:rPr>
        <w:t>. La série de reboisement bénéficierait de traitements sylvicoles sur les 2 380 hectares existants</w:t>
      </w:r>
      <w:r w:rsidRPr="002462E6">
        <w:rPr>
          <w:rFonts w:ascii="Tahoma" w:eastAsia="Times New Roman" w:hAnsi="Tahoma" w:cs="Tahoma"/>
          <w:sz w:val="24"/>
          <w:szCs w:val="24"/>
          <w:vertAlign w:val="superscript"/>
          <w:lang w:eastAsia="fr-FR"/>
        </w:rPr>
        <w:footnoteReference w:id="565"/>
      </w:r>
      <w:r w:rsidRPr="002462E6">
        <w:rPr>
          <w:rFonts w:ascii="Tahoma" w:eastAsia="Times New Roman" w:hAnsi="Tahoma" w:cs="Tahoma"/>
          <w:sz w:val="24"/>
          <w:szCs w:val="24"/>
          <w:lang w:eastAsia="fr-FR"/>
        </w:rPr>
        <w:t xml:space="preserve"> et de nouveaux reboisements sur 462 hectares</w:t>
      </w:r>
      <w:r w:rsidRPr="002462E6">
        <w:rPr>
          <w:rFonts w:ascii="Tahoma" w:eastAsia="Times New Roman" w:hAnsi="Tahoma" w:cs="Tahoma"/>
          <w:sz w:val="24"/>
          <w:szCs w:val="24"/>
          <w:vertAlign w:val="superscript"/>
          <w:lang w:eastAsia="fr-FR"/>
        </w:rPr>
        <w:footnoteReference w:id="566"/>
      </w:r>
      <w:r w:rsidRPr="002462E6">
        <w:rPr>
          <w:rFonts w:ascii="Tahoma" w:eastAsia="Times New Roman" w:hAnsi="Tahoma" w:cs="Tahoma"/>
          <w:sz w:val="24"/>
          <w:szCs w:val="24"/>
          <w:lang w:eastAsia="fr-FR"/>
        </w:rPr>
        <w:t>. La série de chêne-liège ferait l'objet d'une régénération intégrale sur les 297 hectares</w:t>
      </w:r>
      <w:r w:rsidRPr="002462E6">
        <w:rPr>
          <w:rFonts w:ascii="Tahoma" w:eastAsia="Times New Roman" w:hAnsi="Tahoma" w:cs="Tahoma"/>
          <w:sz w:val="24"/>
          <w:szCs w:val="24"/>
          <w:vertAlign w:val="superscript"/>
          <w:lang w:eastAsia="fr-FR"/>
        </w:rPr>
        <w:footnoteReference w:id="567"/>
      </w:r>
      <w:r w:rsidRPr="002462E6">
        <w:rPr>
          <w:rFonts w:ascii="Tahoma" w:eastAsia="Times New Roman" w:hAnsi="Tahoma" w:cs="Tahoma"/>
          <w:sz w:val="24"/>
          <w:szCs w:val="24"/>
          <w:lang w:eastAsia="fr-FR"/>
        </w:rPr>
        <w:t>, permettant la reconstitution de la subéraie historique</w:t>
      </w:r>
      <w:r w:rsidRPr="002462E6">
        <w:rPr>
          <w:rFonts w:ascii="Tahoma" w:eastAsia="Times New Roman" w:hAnsi="Tahoma" w:cs="Tahoma"/>
          <w:sz w:val="24"/>
          <w:szCs w:val="24"/>
          <w:vertAlign w:val="superscript"/>
          <w:lang w:eastAsia="fr-FR"/>
        </w:rPr>
        <w:footnoteReference w:id="568"/>
      </w:r>
      <w:r w:rsidRPr="002462E6">
        <w:rPr>
          <w:rFonts w:ascii="Tahoma" w:eastAsia="Times New Roman" w:hAnsi="Tahoma" w:cs="Tahoma"/>
          <w:sz w:val="24"/>
          <w:szCs w:val="24"/>
          <w:lang w:eastAsia="fr-FR"/>
        </w:rPr>
        <w:t>.</w:t>
      </w:r>
    </w:p>
    <w:p w:rsidR="00712860" w:rsidRPr="002462E6" w:rsidRDefault="00712860" w:rsidP="00112B79">
      <w:pPr>
        <w:spacing w:before="100" w:beforeAutospacing="1" w:after="100" w:afterAutospacing="1" w:line="360" w:lineRule="auto"/>
        <w:jc w:val="both"/>
        <w:rPr>
          <w:rFonts w:ascii="Tahoma" w:eastAsia="Times New Roman" w:hAnsi="Tahoma" w:cs="Tahoma"/>
          <w:sz w:val="24"/>
          <w:szCs w:val="24"/>
          <w:lang w:eastAsia="fr-FR"/>
        </w:rPr>
      </w:pPr>
      <w:r w:rsidRPr="002462E6">
        <w:rPr>
          <w:rFonts w:ascii="Tahoma" w:eastAsia="Times New Roman" w:hAnsi="Tahoma" w:cs="Tahoma"/>
          <w:sz w:val="24"/>
          <w:szCs w:val="24"/>
          <w:lang w:eastAsia="fr-FR"/>
        </w:rPr>
        <w:t>Ce scénario optimal aboutirait au maintien de la couverture forestière à 15 140 hectares avec une amélioration qualitative substantielle</w:t>
      </w:r>
      <w:r w:rsidRPr="002462E6">
        <w:rPr>
          <w:rFonts w:ascii="Tahoma" w:eastAsia="Times New Roman" w:hAnsi="Tahoma" w:cs="Tahoma"/>
          <w:sz w:val="24"/>
          <w:szCs w:val="24"/>
          <w:vertAlign w:val="superscript"/>
          <w:lang w:eastAsia="fr-FR"/>
        </w:rPr>
        <w:footnoteReference w:id="569"/>
      </w:r>
      <w:r w:rsidRPr="002462E6">
        <w:rPr>
          <w:rFonts w:ascii="Tahoma" w:eastAsia="Times New Roman" w:hAnsi="Tahoma" w:cs="Tahoma"/>
          <w:sz w:val="24"/>
          <w:szCs w:val="24"/>
          <w:lang w:eastAsia="fr-FR"/>
        </w:rPr>
        <w:t>, à la préservation de la biodiversité du SIBE</w:t>
      </w:r>
      <w:r w:rsidRPr="002462E6">
        <w:rPr>
          <w:rFonts w:ascii="Tahoma" w:eastAsia="Times New Roman" w:hAnsi="Tahoma" w:cs="Tahoma"/>
          <w:sz w:val="24"/>
          <w:szCs w:val="24"/>
          <w:vertAlign w:val="superscript"/>
          <w:lang w:eastAsia="fr-FR"/>
        </w:rPr>
        <w:footnoteReference w:id="570"/>
      </w:r>
      <w:r w:rsidRPr="002462E6">
        <w:rPr>
          <w:rFonts w:ascii="Tahoma" w:eastAsia="Times New Roman" w:hAnsi="Tahoma" w:cs="Tahoma"/>
          <w:sz w:val="24"/>
          <w:szCs w:val="24"/>
          <w:lang w:eastAsia="fr-FR"/>
        </w:rPr>
        <w:t>, à l'atteinte d'un équilibre pastoral durable</w:t>
      </w:r>
      <w:r w:rsidRPr="002462E6">
        <w:rPr>
          <w:rFonts w:ascii="Tahoma" w:eastAsia="Times New Roman" w:hAnsi="Tahoma" w:cs="Tahoma"/>
          <w:sz w:val="24"/>
          <w:szCs w:val="24"/>
          <w:vertAlign w:val="superscript"/>
          <w:lang w:eastAsia="fr-FR"/>
        </w:rPr>
        <w:footnoteReference w:id="571"/>
      </w:r>
      <w:r w:rsidRPr="002462E6">
        <w:rPr>
          <w:rFonts w:ascii="Tahoma" w:eastAsia="Times New Roman" w:hAnsi="Tahoma" w:cs="Tahoma"/>
          <w:sz w:val="24"/>
          <w:szCs w:val="24"/>
          <w:lang w:eastAsia="fr-FR"/>
        </w:rPr>
        <w:t>, et à la création de l'ensemble des 1 485 419 journées de travail prévues</w:t>
      </w:r>
      <w:r w:rsidRPr="002462E6">
        <w:rPr>
          <w:rFonts w:ascii="Tahoma" w:eastAsia="Times New Roman" w:hAnsi="Tahoma" w:cs="Tahoma"/>
          <w:sz w:val="24"/>
          <w:szCs w:val="24"/>
          <w:vertAlign w:val="superscript"/>
          <w:lang w:eastAsia="fr-FR"/>
        </w:rPr>
        <w:footnoteReference w:id="572"/>
      </w:r>
      <w:r w:rsidRPr="002462E6">
        <w:rPr>
          <w:rFonts w:ascii="Tahoma" w:eastAsia="Times New Roman" w:hAnsi="Tahoma" w:cs="Tahoma"/>
          <w:sz w:val="24"/>
          <w:szCs w:val="24"/>
          <w:lang w:eastAsia="fr-FR"/>
        </w:rPr>
        <w:t>, constituant un modèle de gestion durable reproductible</w:t>
      </w:r>
      <w:r w:rsidRPr="002462E6">
        <w:rPr>
          <w:rFonts w:ascii="Tahoma" w:eastAsia="Times New Roman" w:hAnsi="Tahoma" w:cs="Tahoma"/>
          <w:sz w:val="24"/>
          <w:szCs w:val="24"/>
          <w:vertAlign w:val="superscript"/>
          <w:lang w:eastAsia="fr-FR"/>
        </w:rPr>
        <w:footnoteReference w:id="573"/>
      </w:r>
      <w:r w:rsidRPr="002462E6">
        <w:rPr>
          <w:rFonts w:ascii="Tahoma" w:eastAsia="Times New Roman" w:hAnsi="Tahoma" w:cs="Tahoma"/>
          <w:sz w:val="24"/>
          <w:szCs w:val="24"/>
          <w:lang w:eastAsia="fr-FR"/>
        </w:rPr>
        <w:t>.</w:t>
      </w:r>
    </w:p>
    <w:p w:rsidR="00712860" w:rsidRPr="002462E6" w:rsidRDefault="00712860" w:rsidP="008D3838">
      <w:pPr>
        <w:pStyle w:val="Titre6"/>
      </w:pPr>
      <w:bookmarkStart w:id="336" w:name="_Toc201570853"/>
      <w:bookmarkStart w:id="337" w:name="_Toc203643078"/>
      <w:r w:rsidRPr="002462E6">
        <w:t>Scénario de crise : dépassement des capacités du plan initial</w:t>
      </w:r>
      <w:bookmarkEnd w:id="336"/>
      <w:bookmarkEnd w:id="337"/>
    </w:p>
    <w:p w:rsidR="00712860" w:rsidRPr="002462E6" w:rsidRDefault="00712860" w:rsidP="00112B79">
      <w:pPr>
        <w:spacing w:before="100" w:beforeAutospacing="1" w:after="100" w:afterAutospacing="1" w:line="360" w:lineRule="auto"/>
        <w:jc w:val="both"/>
        <w:rPr>
          <w:rFonts w:ascii="Tahoma" w:eastAsia="Times New Roman" w:hAnsi="Tahoma" w:cs="Tahoma"/>
          <w:sz w:val="24"/>
          <w:szCs w:val="24"/>
          <w:lang w:eastAsia="fr-FR"/>
        </w:rPr>
      </w:pPr>
      <w:r w:rsidRPr="002462E6">
        <w:rPr>
          <w:rFonts w:ascii="Tahoma" w:eastAsia="Times New Roman" w:hAnsi="Tahoma" w:cs="Tahoma"/>
          <w:sz w:val="24"/>
          <w:szCs w:val="24"/>
          <w:lang w:eastAsia="fr-FR"/>
        </w:rPr>
        <w:t>Le quatrième scénario envisage une situation où les pressions anthropiques dépassent les capacités d'absorption du plan initial</w:t>
      </w:r>
      <w:r w:rsidRPr="002462E6">
        <w:rPr>
          <w:rFonts w:ascii="Tahoma" w:eastAsia="Times New Roman" w:hAnsi="Tahoma" w:cs="Tahoma"/>
          <w:sz w:val="24"/>
          <w:szCs w:val="24"/>
          <w:vertAlign w:val="superscript"/>
          <w:lang w:eastAsia="fr-FR"/>
        </w:rPr>
        <w:footnoteReference w:id="574"/>
      </w:r>
      <w:r w:rsidRPr="002462E6">
        <w:rPr>
          <w:rFonts w:ascii="Tahoma" w:eastAsia="Times New Roman" w:hAnsi="Tahoma" w:cs="Tahoma"/>
          <w:sz w:val="24"/>
          <w:szCs w:val="24"/>
          <w:lang w:eastAsia="fr-FR"/>
        </w:rPr>
        <w:t>. Cette hypothèse s'appuie sur une projection démographique portant la population de Sidi Yahya Zaeer à 255 816 habitants en 2034</w:t>
      </w:r>
      <w:r w:rsidRPr="002462E6">
        <w:rPr>
          <w:rFonts w:ascii="Tahoma" w:eastAsia="Times New Roman" w:hAnsi="Tahoma" w:cs="Tahoma"/>
          <w:sz w:val="24"/>
          <w:szCs w:val="24"/>
          <w:vertAlign w:val="superscript"/>
          <w:lang w:eastAsia="fr-FR"/>
        </w:rPr>
        <w:footnoteReference w:id="575"/>
      </w:r>
      <w:r w:rsidRPr="002462E6">
        <w:rPr>
          <w:rFonts w:ascii="Tahoma" w:eastAsia="Times New Roman" w:hAnsi="Tahoma" w:cs="Tahoma"/>
          <w:sz w:val="24"/>
          <w:szCs w:val="24"/>
          <w:lang w:eastAsia="fr-FR"/>
        </w:rPr>
        <w:t>, une augmentation de 50% de la pression pastorale due aux nouveaux arrivants</w:t>
      </w:r>
      <w:r w:rsidRPr="002462E6">
        <w:rPr>
          <w:rFonts w:ascii="Tahoma" w:eastAsia="Times New Roman" w:hAnsi="Tahoma" w:cs="Tahoma"/>
          <w:sz w:val="24"/>
          <w:szCs w:val="24"/>
          <w:vertAlign w:val="superscript"/>
          <w:lang w:eastAsia="fr-FR"/>
        </w:rPr>
        <w:footnoteReference w:id="576"/>
      </w:r>
      <w:r w:rsidRPr="002462E6">
        <w:rPr>
          <w:rFonts w:ascii="Tahoma" w:eastAsia="Times New Roman" w:hAnsi="Tahoma" w:cs="Tahoma"/>
          <w:sz w:val="24"/>
          <w:szCs w:val="24"/>
          <w:lang w:eastAsia="fr-FR"/>
        </w:rPr>
        <w:t>, et la survenue d'événements climatiques extrêmes</w:t>
      </w:r>
      <w:r w:rsidRPr="002462E6">
        <w:rPr>
          <w:rFonts w:ascii="Tahoma" w:eastAsia="Times New Roman" w:hAnsi="Tahoma" w:cs="Tahoma"/>
          <w:sz w:val="24"/>
          <w:szCs w:val="24"/>
          <w:vertAlign w:val="superscript"/>
          <w:lang w:eastAsia="fr-FR"/>
        </w:rPr>
        <w:footnoteReference w:id="577"/>
      </w:r>
      <w:r w:rsidRPr="002462E6">
        <w:rPr>
          <w:rFonts w:ascii="Tahoma" w:eastAsia="Times New Roman" w:hAnsi="Tahoma" w:cs="Tahoma"/>
          <w:sz w:val="24"/>
          <w:szCs w:val="24"/>
          <w:lang w:eastAsia="fr-FR"/>
        </w:rPr>
        <w:t>.</w:t>
      </w:r>
    </w:p>
    <w:p w:rsidR="00712860" w:rsidRPr="002462E6" w:rsidRDefault="00712860" w:rsidP="00112B79">
      <w:pPr>
        <w:spacing w:before="100" w:beforeAutospacing="1" w:after="100" w:afterAutospacing="1" w:line="360" w:lineRule="auto"/>
        <w:jc w:val="both"/>
        <w:rPr>
          <w:rFonts w:ascii="Tahoma" w:eastAsia="Times New Roman" w:hAnsi="Tahoma" w:cs="Tahoma"/>
          <w:sz w:val="24"/>
          <w:szCs w:val="24"/>
          <w:lang w:eastAsia="fr-FR"/>
        </w:rPr>
      </w:pPr>
      <w:r w:rsidRPr="002462E6">
        <w:rPr>
          <w:rFonts w:ascii="Tahoma" w:eastAsia="Times New Roman" w:hAnsi="Tahoma" w:cs="Tahoma"/>
          <w:sz w:val="24"/>
          <w:szCs w:val="24"/>
          <w:lang w:eastAsia="fr-FR"/>
        </w:rPr>
        <w:t>Face à ces pressions accrues, des adaptations majeures du plan initial s'avéreraient nécessaires : révision budgétaire à la hausse portant l'enveloppe à 70 millions de dirhams</w:t>
      </w:r>
      <w:r w:rsidRPr="002462E6">
        <w:rPr>
          <w:rFonts w:ascii="Tahoma" w:eastAsia="Times New Roman" w:hAnsi="Tahoma" w:cs="Tahoma"/>
          <w:sz w:val="24"/>
          <w:szCs w:val="24"/>
          <w:vertAlign w:val="superscript"/>
          <w:lang w:eastAsia="fr-FR"/>
        </w:rPr>
        <w:footnoteReference w:id="578"/>
      </w:r>
      <w:r w:rsidRPr="002462E6">
        <w:rPr>
          <w:rFonts w:ascii="Tahoma" w:eastAsia="Times New Roman" w:hAnsi="Tahoma" w:cs="Tahoma"/>
          <w:sz w:val="24"/>
          <w:szCs w:val="24"/>
          <w:lang w:eastAsia="fr-FR"/>
        </w:rPr>
        <w:t>, extension de la superficie de régénération à 6 000 hectares</w:t>
      </w:r>
      <w:r w:rsidRPr="002462E6">
        <w:rPr>
          <w:rFonts w:ascii="Tahoma" w:eastAsia="Times New Roman" w:hAnsi="Tahoma" w:cs="Tahoma"/>
          <w:sz w:val="24"/>
          <w:szCs w:val="24"/>
          <w:vertAlign w:val="superscript"/>
          <w:lang w:eastAsia="fr-FR"/>
        </w:rPr>
        <w:footnoteReference w:id="579"/>
      </w:r>
      <w:r w:rsidRPr="002462E6">
        <w:rPr>
          <w:rFonts w:ascii="Tahoma" w:eastAsia="Times New Roman" w:hAnsi="Tahoma" w:cs="Tahoma"/>
          <w:sz w:val="24"/>
          <w:szCs w:val="24"/>
          <w:lang w:eastAsia="fr-FR"/>
        </w:rPr>
        <w:t>, mise en défens sur 30% des parcours</w:t>
      </w:r>
      <w:r w:rsidRPr="002462E6">
        <w:rPr>
          <w:rFonts w:ascii="Tahoma" w:eastAsia="Times New Roman" w:hAnsi="Tahoma" w:cs="Tahoma"/>
          <w:sz w:val="24"/>
          <w:szCs w:val="24"/>
          <w:vertAlign w:val="superscript"/>
          <w:lang w:eastAsia="fr-FR"/>
        </w:rPr>
        <w:footnoteReference w:id="580"/>
      </w:r>
      <w:r w:rsidRPr="002462E6">
        <w:rPr>
          <w:rFonts w:ascii="Tahoma" w:eastAsia="Times New Roman" w:hAnsi="Tahoma" w:cs="Tahoma"/>
          <w:sz w:val="24"/>
          <w:szCs w:val="24"/>
          <w:lang w:eastAsia="fr-FR"/>
        </w:rPr>
        <w:t>, et renforcement des infrastructures de lutte contre les incendies</w:t>
      </w:r>
      <w:r w:rsidRPr="002462E6">
        <w:rPr>
          <w:rFonts w:ascii="Tahoma" w:eastAsia="Times New Roman" w:hAnsi="Tahoma" w:cs="Tahoma"/>
          <w:sz w:val="24"/>
          <w:szCs w:val="24"/>
          <w:vertAlign w:val="superscript"/>
          <w:lang w:eastAsia="fr-FR"/>
        </w:rPr>
        <w:footnoteReference w:id="581"/>
      </w:r>
      <w:r w:rsidRPr="002462E6">
        <w:rPr>
          <w:rFonts w:ascii="Tahoma" w:eastAsia="Times New Roman" w:hAnsi="Tahoma" w:cs="Tahoma"/>
          <w:sz w:val="24"/>
          <w:szCs w:val="24"/>
          <w:lang w:eastAsia="fr-FR"/>
        </w:rPr>
        <w:t>. Ces adaptations s'accompagneraient de mesures d'urgence incluant la création de corridors écologiques</w:t>
      </w:r>
      <w:r w:rsidRPr="002462E6">
        <w:rPr>
          <w:rFonts w:ascii="Tahoma" w:eastAsia="Times New Roman" w:hAnsi="Tahoma" w:cs="Tahoma"/>
          <w:sz w:val="24"/>
          <w:szCs w:val="24"/>
          <w:vertAlign w:val="superscript"/>
          <w:lang w:eastAsia="fr-FR"/>
        </w:rPr>
        <w:footnoteReference w:id="582"/>
      </w:r>
      <w:r w:rsidRPr="002462E6">
        <w:rPr>
          <w:rFonts w:ascii="Tahoma" w:eastAsia="Times New Roman" w:hAnsi="Tahoma" w:cs="Tahoma"/>
          <w:sz w:val="24"/>
          <w:szCs w:val="24"/>
          <w:lang w:eastAsia="fr-FR"/>
        </w:rPr>
        <w:t>, l'établissement d'un système d'alerte précoce</w:t>
      </w:r>
      <w:r w:rsidRPr="002462E6">
        <w:rPr>
          <w:rFonts w:ascii="Tahoma" w:eastAsia="Times New Roman" w:hAnsi="Tahoma" w:cs="Tahoma"/>
          <w:sz w:val="24"/>
          <w:szCs w:val="24"/>
          <w:vertAlign w:val="superscript"/>
          <w:lang w:eastAsia="fr-FR"/>
        </w:rPr>
        <w:footnoteReference w:id="583"/>
      </w:r>
      <w:r w:rsidRPr="002462E6">
        <w:rPr>
          <w:rFonts w:ascii="Tahoma" w:eastAsia="Times New Roman" w:hAnsi="Tahoma" w:cs="Tahoma"/>
          <w:sz w:val="24"/>
          <w:szCs w:val="24"/>
          <w:lang w:eastAsia="fr-FR"/>
        </w:rPr>
        <w:t>, un programme de diversification économique</w:t>
      </w:r>
      <w:r w:rsidRPr="002462E6">
        <w:rPr>
          <w:rFonts w:ascii="Tahoma" w:eastAsia="Times New Roman" w:hAnsi="Tahoma" w:cs="Tahoma"/>
          <w:sz w:val="24"/>
          <w:szCs w:val="24"/>
          <w:vertAlign w:val="superscript"/>
          <w:lang w:eastAsia="fr-FR"/>
        </w:rPr>
        <w:footnoteReference w:id="584"/>
      </w:r>
      <w:r w:rsidRPr="002462E6">
        <w:rPr>
          <w:rFonts w:ascii="Tahoma" w:eastAsia="Times New Roman" w:hAnsi="Tahoma" w:cs="Tahoma"/>
          <w:sz w:val="24"/>
          <w:szCs w:val="24"/>
          <w:lang w:eastAsia="fr-FR"/>
        </w:rPr>
        <w:t>, et la relocalisation assistée de populations vulnérables</w:t>
      </w:r>
      <w:r w:rsidRPr="002462E6">
        <w:rPr>
          <w:rFonts w:ascii="Tahoma" w:eastAsia="Times New Roman" w:hAnsi="Tahoma" w:cs="Tahoma"/>
          <w:sz w:val="24"/>
          <w:szCs w:val="24"/>
          <w:vertAlign w:val="superscript"/>
          <w:lang w:eastAsia="fr-FR"/>
        </w:rPr>
        <w:footnoteReference w:id="585"/>
      </w:r>
      <w:r w:rsidRPr="002462E6">
        <w:rPr>
          <w:rFonts w:ascii="Tahoma" w:eastAsia="Times New Roman" w:hAnsi="Tahoma" w:cs="Tahoma"/>
          <w:sz w:val="24"/>
          <w:szCs w:val="24"/>
          <w:lang w:eastAsia="fr-FR"/>
        </w:rPr>
        <w:t>.</w:t>
      </w:r>
    </w:p>
    <w:p w:rsidR="00712860" w:rsidRPr="002462E6" w:rsidRDefault="00712860" w:rsidP="00112B79">
      <w:pPr>
        <w:spacing w:before="100" w:beforeAutospacing="1" w:after="100" w:afterAutospacing="1" w:line="360" w:lineRule="auto"/>
        <w:jc w:val="both"/>
        <w:rPr>
          <w:rFonts w:ascii="Tahoma" w:eastAsia="Times New Roman" w:hAnsi="Tahoma" w:cs="Tahoma"/>
          <w:sz w:val="24"/>
          <w:szCs w:val="24"/>
          <w:lang w:eastAsia="fr-FR"/>
        </w:rPr>
      </w:pPr>
      <w:r w:rsidRPr="002462E6">
        <w:rPr>
          <w:rFonts w:ascii="Tahoma" w:eastAsia="Times New Roman" w:hAnsi="Tahoma" w:cs="Tahoma"/>
          <w:sz w:val="24"/>
          <w:szCs w:val="24"/>
          <w:lang w:eastAsia="fr-FR"/>
        </w:rPr>
        <w:t>L'absence de ces adaptations conduirait à un basculement vers une dégradation irréversible, malgré l'investissement initial de 47,8 millions de dirhams</w:t>
      </w:r>
      <w:r w:rsidRPr="002462E6">
        <w:rPr>
          <w:rFonts w:ascii="Tahoma" w:eastAsia="Times New Roman" w:hAnsi="Tahoma" w:cs="Tahoma"/>
          <w:sz w:val="24"/>
          <w:szCs w:val="24"/>
          <w:vertAlign w:val="superscript"/>
          <w:lang w:eastAsia="fr-FR"/>
        </w:rPr>
        <w:footnoteReference w:id="586"/>
      </w:r>
      <w:r w:rsidRPr="002462E6">
        <w:rPr>
          <w:rFonts w:ascii="Tahoma" w:eastAsia="Times New Roman" w:hAnsi="Tahoma" w:cs="Tahoma"/>
          <w:sz w:val="24"/>
          <w:szCs w:val="24"/>
          <w:lang w:eastAsia="fr-FR"/>
        </w:rPr>
        <w:t>, illustrant la non-linéarité des processus de dégradation écologique et l'existence de seuils critiques.</w:t>
      </w:r>
    </w:p>
    <w:p w:rsidR="00712860" w:rsidRPr="002462E6" w:rsidRDefault="00712860" w:rsidP="00112B79">
      <w:pPr>
        <w:spacing w:before="100" w:beforeAutospacing="1" w:after="100" w:afterAutospacing="1" w:line="360" w:lineRule="auto"/>
        <w:jc w:val="both"/>
        <w:rPr>
          <w:rFonts w:ascii="Tahoma" w:eastAsia="Times New Roman" w:hAnsi="Tahoma" w:cs="Tahoma"/>
          <w:sz w:val="24"/>
          <w:szCs w:val="24"/>
          <w:lang w:eastAsia="fr-FR"/>
        </w:rPr>
      </w:pPr>
      <w:r w:rsidRPr="002462E6">
        <w:rPr>
          <w:rFonts w:ascii="Tahoma" w:eastAsia="Times New Roman" w:hAnsi="Tahoma" w:cs="Tahoma"/>
          <w:sz w:val="24"/>
          <w:szCs w:val="24"/>
          <w:lang w:eastAsia="fr-FR"/>
        </w:rPr>
        <w:t>L'analyse prospective révèle cinq variables critiques déterminant le succès ou l'échec des interventions : le financement effectif des 47,8 millions de dirhams</w:t>
      </w:r>
      <w:r w:rsidRPr="002462E6">
        <w:rPr>
          <w:rFonts w:ascii="Tahoma" w:eastAsia="Times New Roman" w:hAnsi="Tahoma" w:cs="Tahoma"/>
          <w:sz w:val="24"/>
          <w:szCs w:val="24"/>
          <w:vertAlign w:val="superscript"/>
          <w:lang w:eastAsia="fr-FR"/>
        </w:rPr>
        <w:footnoteReference w:id="587"/>
      </w:r>
      <w:r w:rsidRPr="002462E6">
        <w:rPr>
          <w:rFonts w:ascii="Tahoma" w:eastAsia="Times New Roman" w:hAnsi="Tahoma" w:cs="Tahoma"/>
          <w:sz w:val="24"/>
          <w:szCs w:val="24"/>
          <w:lang w:eastAsia="fr-FR"/>
        </w:rPr>
        <w:t>, la coordination entre les quatre secteurs forestiers</w:t>
      </w:r>
      <w:r w:rsidRPr="002462E6">
        <w:rPr>
          <w:rFonts w:ascii="Tahoma" w:eastAsia="Times New Roman" w:hAnsi="Tahoma" w:cs="Tahoma"/>
          <w:sz w:val="24"/>
          <w:szCs w:val="24"/>
          <w:vertAlign w:val="superscript"/>
          <w:lang w:eastAsia="fr-FR"/>
        </w:rPr>
        <w:footnoteReference w:id="588"/>
      </w:r>
      <w:r w:rsidRPr="002462E6">
        <w:rPr>
          <w:rFonts w:ascii="Tahoma" w:eastAsia="Times New Roman" w:hAnsi="Tahoma" w:cs="Tahoma"/>
          <w:sz w:val="24"/>
          <w:szCs w:val="24"/>
          <w:lang w:eastAsia="fr-FR"/>
        </w:rPr>
        <w:t>, l'adhésion des 2 248 ménages usagers</w:t>
      </w:r>
      <w:r w:rsidRPr="002462E6">
        <w:rPr>
          <w:rFonts w:ascii="Tahoma" w:eastAsia="Times New Roman" w:hAnsi="Tahoma" w:cs="Tahoma"/>
          <w:sz w:val="24"/>
          <w:szCs w:val="24"/>
          <w:vertAlign w:val="superscript"/>
          <w:lang w:eastAsia="fr-FR"/>
        </w:rPr>
        <w:footnoteReference w:id="589"/>
      </w:r>
      <w:r w:rsidRPr="002462E6">
        <w:rPr>
          <w:rFonts w:ascii="Tahoma" w:eastAsia="Times New Roman" w:hAnsi="Tahoma" w:cs="Tahoma"/>
          <w:sz w:val="24"/>
          <w:szCs w:val="24"/>
          <w:lang w:eastAsia="fr-FR"/>
        </w:rPr>
        <w:t>, le respect de la programmation temporelle</w:t>
      </w:r>
      <w:r w:rsidRPr="002462E6">
        <w:rPr>
          <w:rFonts w:ascii="Tahoma" w:eastAsia="Times New Roman" w:hAnsi="Tahoma" w:cs="Tahoma"/>
          <w:sz w:val="24"/>
          <w:szCs w:val="24"/>
          <w:vertAlign w:val="superscript"/>
          <w:lang w:eastAsia="fr-FR"/>
        </w:rPr>
        <w:footnoteReference w:id="590"/>
      </w:r>
      <w:r w:rsidRPr="002462E6">
        <w:rPr>
          <w:rFonts w:ascii="Tahoma" w:eastAsia="Times New Roman" w:hAnsi="Tahoma" w:cs="Tahoma"/>
          <w:sz w:val="24"/>
          <w:szCs w:val="24"/>
          <w:lang w:eastAsia="fr-FR"/>
        </w:rPr>
        <w:t>, et la mise en place d'un système de monitoring par télédétection sur l'ensemble des 15 140 hectares</w:t>
      </w:r>
      <w:r w:rsidRPr="002462E6">
        <w:rPr>
          <w:rFonts w:ascii="Tahoma" w:eastAsia="Times New Roman" w:hAnsi="Tahoma" w:cs="Tahoma"/>
          <w:sz w:val="24"/>
          <w:szCs w:val="24"/>
          <w:vertAlign w:val="superscript"/>
          <w:lang w:eastAsia="fr-FR"/>
        </w:rPr>
        <w:footnoteReference w:id="591"/>
      </w:r>
      <w:r w:rsidRPr="002462E6">
        <w:rPr>
          <w:rFonts w:ascii="Tahoma" w:eastAsia="Times New Roman" w:hAnsi="Tahoma" w:cs="Tahoma"/>
          <w:sz w:val="24"/>
          <w:szCs w:val="24"/>
          <w:lang w:eastAsia="fr-FR"/>
        </w:rPr>
        <w:t>.</w:t>
      </w:r>
    </w:p>
    <w:p w:rsidR="00712860" w:rsidRPr="002462E6" w:rsidRDefault="00712860" w:rsidP="00112B79">
      <w:pPr>
        <w:spacing w:before="100" w:beforeAutospacing="1" w:after="100" w:afterAutospacing="1" w:line="360" w:lineRule="auto"/>
        <w:jc w:val="both"/>
        <w:rPr>
          <w:rFonts w:ascii="Tahoma" w:eastAsia="Times New Roman" w:hAnsi="Tahoma" w:cs="Tahoma"/>
          <w:sz w:val="24"/>
          <w:szCs w:val="24"/>
          <w:lang w:eastAsia="fr-FR"/>
        </w:rPr>
      </w:pPr>
      <w:r w:rsidRPr="002462E6">
        <w:rPr>
          <w:rFonts w:ascii="Tahoma" w:eastAsia="Times New Roman" w:hAnsi="Tahoma" w:cs="Tahoma"/>
          <w:sz w:val="24"/>
          <w:szCs w:val="24"/>
          <w:lang w:eastAsia="fr-FR"/>
        </w:rPr>
        <w:t>Trois seuils de basculement quantifiés émergent de cette analyse. Le seuil budgétaire critique se situe à 25 millions de dirhams, en deçà duquel l'échec du plan devient probable</w:t>
      </w:r>
      <w:r w:rsidRPr="002462E6">
        <w:rPr>
          <w:rFonts w:ascii="Tahoma" w:eastAsia="Times New Roman" w:hAnsi="Tahoma" w:cs="Tahoma"/>
          <w:sz w:val="24"/>
          <w:szCs w:val="24"/>
          <w:vertAlign w:val="superscript"/>
          <w:lang w:eastAsia="fr-FR"/>
        </w:rPr>
        <w:footnoteReference w:id="592"/>
      </w:r>
      <w:r w:rsidRPr="002462E6">
        <w:rPr>
          <w:rFonts w:ascii="Tahoma" w:eastAsia="Times New Roman" w:hAnsi="Tahoma" w:cs="Tahoma"/>
          <w:sz w:val="24"/>
          <w:szCs w:val="24"/>
          <w:lang w:eastAsia="fr-FR"/>
        </w:rPr>
        <w:t>. Le seuil participatif requiert l'adhésion d'au moins 60% des usagers pour assurer l'efficacité des mesures de mise en défens</w:t>
      </w:r>
      <w:r w:rsidRPr="002462E6">
        <w:rPr>
          <w:rFonts w:ascii="Tahoma" w:eastAsia="Times New Roman" w:hAnsi="Tahoma" w:cs="Tahoma"/>
          <w:sz w:val="24"/>
          <w:szCs w:val="24"/>
          <w:vertAlign w:val="superscript"/>
          <w:lang w:eastAsia="fr-FR"/>
        </w:rPr>
        <w:footnoteReference w:id="593"/>
      </w:r>
      <w:r w:rsidRPr="002462E6">
        <w:rPr>
          <w:rFonts w:ascii="Tahoma" w:eastAsia="Times New Roman" w:hAnsi="Tahoma" w:cs="Tahoma"/>
          <w:sz w:val="24"/>
          <w:szCs w:val="24"/>
          <w:lang w:eastAsia="fr-FR"/>
        </w:rPr>
        <w:t>. Enfin, le seuil temporal indique qu'un retard de plus de cinq ans dans l'exécution entraîne une perte d'efficacité de 40%</w:t>
      </w:r>
      <w:r w:rsidRPr="002462E6">
        <w:rPr>
          <w:rFonts w:ascii="Tahoma" w:eastAsia="Times New Roman" w:hAnsi="Tahoma" w:cs="Tahoma"/>
          <w:sz w:val="24"/>
          <w:szCs w:val="24"/>
          <w:vertAlign w:val="superscript"/>
          <w:lang w:eastAsia="fr-FR"/>
        </w:rPr>
        <w:footnoteReference w:id="594"/>
      </w:r>
      <w:r w:rsidRPr="002462E6">
        <w:rPr>
          <w:rFonts w:ascii="Tahoma" w:eastAsia="Times New Roman" w:hAnsi="Tahoma" w:cs="Tahoma"/>
          <w:sz w:val="24"/>
          <w:szCs w:val="24"/>
          <w:lang w:eastAsia="fr-FR"/>
        </w:rPr>
        <w:t>.</w:t>
      </w:r>
    </w:p>
    <w:p w:rsidR="00712860" w:rsidRPr="002462E6" w:rsidRDefault="00712860" w:rsidP="00112B79">
      <w:pPr>
        <w:spacing w:before="100" w:beforeAutospacing="1" w:after="100" w:afterAutospacing="1" w:line="360" w:lineRule="auto"/>
        <w:jc w:val="both"/>
        <w:rPr>
          <w:rFonts w:ascii="Tahoma" w:eastAsia="Times New Roman" w:hAnsi="Tahoma" w:cs="Tahoma"/>
          <w:sz w:val="24"/>
          <w:szCs w:val="24"/>
          <w:lang w:eastAsia="fr-FR"/>
        </w:rPr>
      </w:pPr>
      <w:r w:rsidRPr="002462E6">
        <w:rPr>
          <w:rFonts w:ascii="Tahoma" w:eastAsia="Times New Roman" w:hAnsi="Tahoma" w:cs="Tahoma"/>
          <w:sz w:val="24"/>
          <w:szCs w:val="24"/>
          <w:lang w:eastAsia="fr-FR"/>
        </w:rPr>
        <w:t>En conclusion, l'analyse prospective de la forêt de Korifla révèle la complexité des interactions entre facteurs anthropiques, économiques et écologiques dans la détermination des trajectoires d'évolution des écosystèmes forestiers méditerranéens. Les quatre scénarios développés illustrent l'éventail des possibles, depuis la dégradation irréversible jusqu'à la réussite d'un modèle de gestion durable, en passant par des situations intermédiaires de stabilisation précaire.</w:t>
      </w:r>
    </w:p>
    <w:p w:rsidR="00712860" w:rsidRPr="002462E6" w:rsidRDefault="00712860" w:rsidP="00112B79">
      <w:pPr>
        <w:spacing w:before="100" w:beforeAutospacing="1" w:after="100" w:afterAutospacing="1" w:line="360" w:lineRule="auto"/>
        <w:jc w:val="both"/>
        <w:rPr>
          <w:rFonts w:ascii="Tahoma" w:eastAsia="Times New Roman" w:hAnsi="Tahoma" w:cs="Tahoma"/>
          <w:sz w:val="24"/>
          <w:szCs w:val="24"/>
          <w:lang w:eastAsia="fr-FR"/>
        </w:rPr>
      </w:pPr>
      <w:r w:rsidRPr="002462E6">
        <w:rPr>
          <w:rFonts w:ascii="Tahoma" w:eastAsia="Times New Roman" w:hAnsi="Tahoma" w:cs="Tahoma"/>
          <w:sz w:val="24"/>
          <w:szCs w:val="24"/>
          <w:lang w:eastAsia="fr-FR"/>
        </w:rPr>
        <w:t>Cette recherche met en évidence l'importance critique des choix de politique publique et de leur mise en œuvre effective. Les seuils de basculement identifiés - budgétaire, participatif et temporal - constituent autant de leviers d'action pour les acteurs. Ils soulignent également la nécessité d'une démarche adaptative capable de réajuster les interventions face à l'évolution des pressions.</w:t>
      </w:r>
    </w:p>
    <w:p w:rsidR="004E107B" w:rsidRPr="009215AF" w:rsidRDefault="00712860" w:rsidP="009215AF">
      <w:pPr>
        <w:spacing w:before="100" w:beforeAutospacing="1" w:after="100" w:afterAutospacing="1" w:line="360" w:lineRule="auto"/>
        <w:jc w:val="both"/>
        <w:rPr>
          <w:rFonts w:ascii="Tahoma" w:eastAsia="Times New Roman" w:hAnsi="Tahoma" w:cs="Tahoma"/>
          <w:sz w:val="24"/>
          <w:szCs w:val="24"/>
          <w:lang w:eastAsia="fr-FR"/>
        </w:rPr>
      </w:pPr>
      <w:r w:rsidRPr="002462E6">
        <w:rPr>
          <w:rFonts w:ascii="Tahoma" w:eastAsia="Times New Roman" w:hAnsi="Tahoma" w:cs="Tahoma"/>
          <w:sz w:val="24"/>
          <w:szCs w:val="24"/>
          <w:lang w:eastAsia="fr-FR"/>
        </w:rPr>
        <w:t xml:space="preserve">Au-delà du cas spécifique de Korifla, cette étude peut contribuer à la réflexion plus large sur la </w:t>
      </w:r>
      <w:r w:rsidR="006F501D" w:rsidRPr="002462E6">
        <w:rPr>
          <w:rFonts w:ascii="Tahoma" w:eastAsia="Times New Roman" w:hAnsi="Tahoma" w:cs="Tahoma"/>
          <w:sz w:val="24"/>
          <w:szCs w:val="24"/>
          <w:lang w:eastAsia="fr-FR"/>
        </w:rPr>
        <w:t>gestion des</w:t>
      </w:r>
      <w:r w:rsidRPr="002462E6">
        <w:rPr>
          <w:rFonts w:ascii="Tahoma" w:eastAsia="Times New Roman" w:hAnsi="Tahoma" w:cs="Tahoma"/>
          <w:sz w:val="24"/>
          <w:szCs w:val="24"/>
          <w:lang w:eastAsia="fr-FR"/>
        </w:rPr>
        <w:t xml:space="preserve"> ressources forestières dans les pays du Maghreb, confrontés à des défis similaires de conciliation entre développement socio-économique et préservation des écosystèmes. </w:t>
      </w:r>
    </w:p>
    <w:p w:rsidR="00B451EA" w:rsidRPr="002462E6" w:rsidRDefault="000F4262" w:rsidP="00112B79">
      <w:pPr>
        <w:spacing w:line="360" w:lineRule="auto"/>
        <w:jc w:val="both"/>
        <w:rPr>
          <w:rFonts w:ascii="Tahoma" w:eastAsia="Calibri" w:hAnsi="Tahoma" w:cs="Tahoma"/>
          <w:sz w:val="24"/>
          <w:szCs w:val="24"/>
        </w:rPr>
      </w:pPr>
      <w:r w:rsidRPr="002462E6">
        <w:rPr>
          <w:rFonts w:ascii="Tahoma" w:eastAsia="Calibri" w:hAnsi="Tahoma" w:cs="Tahoma"/>
          <w:sz w:val="24"/>
          <w:szCs w:val="24"/>
        </w:rPr>
        <w:t>En défitive,</w:t>
      </w:r>
      <w:r w:rsidR="009215AF">
        <w:rPr>
          <w:rFonts w:ascii="Tahoma" w:eastAsia="Calibri" w:hAnsi="Tahoma" w:cs="Tahoma"/>
          <w:sz w:val="24"/>
          <w:szCs w:val="24"/>
        </w:rPr>
        <w:t xml:space="preserve"> </w:t>
      </w:r>
      <w:r w:rsidRPr="002462E6">
        <w:rPr>
          <w:rFonts w:ascii="Tahoma" w:eastAsia="Calibri" w:hAnsi="Tahoma" w:cs="Tahoma"/>
          <w:sz w:val="24"/>
          <w:szCs w:val="24"/>
        </w:rPr>
        <w:t>l</w:t>
      </w:r>
      <w:r w:rsidR="00B451EA" w:rsidRPr="002462E6">
        <w:rPr>
          <w:rFonts w:ascii="Tahoma" w:eastAsia="Calibri" w:hAnsi="Tahoma" w:cs="Tahoma"/>
          <w:sz w:val="24"/>
          <w:szCs w:val="24"/>
        </w:rPr>
        <w:t>'analyse des dynamiques de dégradation de la forêt de Korifla révèle la complexité systémique des processus d'altération des écosystèmes forestiers méditerranéens, où s'entremêlent facteurs naturels contraignants et pressions anthropiques croissantes. Cette analyse démontre que la dégradation forestière, loin de constituer un phénomène unifactoriel, résulte d'interactions multiples et non-linéaires entre variables climatiques, édaphiques, démographiques et socio-économiques, confirmant ainsi les analyses de Geist et Lambin (2002) sur la multicausalité des processus de déforestation.</w:t>
      </w:r>
    </w:p>
    <w:p w:rsidR="00B451EA" w:rsidRPr="002462E6" w:rsidRDefault="00B451EA" w:rsidP="00112B79">
      <w:pPr>
        <w:spacing w:line="360" w:lineRule="auto"/>
        <w:jc w:val="both"/>
        <w:rPr>
          <w:rFonts w:ascii="Tahoma" w:eastAsia="Calibri" w:hAnsi="Tahoma" w:cs="Tahoma"/>
          <w:sz w:val="24"/>
          <w:szCs w:val="24"/>
        </w:rPr>
      </w:pPr>
      <w:r w:rsidRPr="002462E6">
        <w:rPr>
          <w:rFonts w:ascii="Tahoma" w:eastAsia="Calibri" w:hAnsi="Tahoma" w:cs="Tahoma"/>
          <w:sz w:val="24"/>
          <w:szCs w:val="24"/>
        </w:rPr>
        <w:t>La vulnérabilité intrinsèque de l'écosystème de Korifla, inscrit dans un bioclimat semi-aride caractérisé par un déficit hydrique structurel et des contraintes topographiques marquées, constitue le cadre environnemental dans lequel s'exercent des pressions anthropiques d'intensité variable. La perte de 3 120,20 hectares de couvert forestier sur quatre décennies (1984-2024), soit un taux de déforestation annuel moyen de 78,01 ha/an, illustre l'ampleur du phénomène et confirme les tendances alarmantes observées dans d'autres régions méditerranéennes (Hansen et al., 2013).</w:t>
      </w:r>
    </w:p>
    <w:p w:rsidR="00B451EA" w:rsidRPr="002462E6" w:rsidRDefault="00B451EA" w:rsidP="00112B79">
      <w:pPr>
        <w:spacing w:line="360" w:lineRule="auto"/>
        <w:jc w:val="both"/>
        <w:rPr>
          <w:rFonts w:ascii="Tahoma" w:eastAsia="Calibri" w:hAnsi="Tahoma" w:cs="Tahoma"/>
          <w:sz w:val="24"/>
          <w:szCs w:val="24"/>
        </w:rPr>
      </w:pPr>
      <w:r w:rsidRPr="002462E6">
        <w:rPr>
          <w:rFonts w:ascii="Tahoma" w:eastAsia="Calibri" w:hAnsi="Tahoma" w:cs="Tahoma"/>
          <w:sz w:val="24"/>
          <w:szCs w:val="24"/>
        </w:rPr>
        <w:t>L'examen des facteurs anthropiques révèle une géographie différentielle de la vulnérabilité, où les dynamiques démographiques contrastées - croissance explosive à Sidi Yahya Zaeer (TAMA de 7,4%) versus déclin à Oumazza et Brachoua - génèrent des pressions spatiales hétérogènes sur les ressources forestières. Cette hétérogénéité remet en question les approches gestionnaires uniformes et plaide pour des stratégies territorialisées, adaptées aux spécificités locales. Le surpâturage systémique, atteignant 40,4% dans le terroir Zaeer et 42,3% dans le terroir Oulad Khlifa, conjugué à la dépendance énergétique rurale (10 à 30 quintaux de bois de feu par ménage annuellement), illustre le cercle vicieux pauvreté-dégradation environnementale conceptualisé par l'hypothèse de Kuznets environnementale.</w:t>
      </w:r>
    </w:p>
    <w:p w:rsidR="00BC7FBC" w:rsidRPr="002462E6" w:rsidRDefault="00B451EA" w:rsidP="00A240B0">
      <w:pPr>
        <w:spacing w:line="360" w:lineRule="auto"/>
        <w:jc w:val="both"/>
        <w:rPr>
          <w:rFonts w:ascii="Tahoma" w:eastAsia="Calibri" w:hAnsi="Tahoma" w:cs="Tahoma"/>
          <w:sz w:val="24"/>
          <w:szCs w:val="24"/>
        </w:rPr>
      </w:pPr>
      <w:r w:rsidRPr="002462E6">
        <w:rPr>
          <w:rFonts w:ascii="Tahoma" w:eastAsia="Calibri" w:hAnsi="Tahoma" w:cs="Tahoma"/>
          <w:sz w:val="24"/>
          <w:szCs w:val="24"/>
        </w:rPr>
        <w:t>La fragmentation sociale et ethnique du territoire, caractérisée par une "multitude de fractions usagères" évoluant dans un contexte de faible coordination institutionnelle, amplifie les défaillances de gestion des ressources communes identifiées par Ostrom (1990). Cette situation génère une tragédie des biens communs (Hardin, 1968) où l'absence de mécanismes de régulation efficaces favorise la surexploitat</w:t>
      </w:r>
      <w:r w:rsidR="00A240B0">
        <w:rPr>
          <w:rFonts w:ascii="Tahoma" w:eastAsia="Calibri" w:hAnsi="Tahoma" w:cs="Tahoma"/>
          <w:sz w:val="24"/>
          <w:szCs w:val="24"/>
        </w:rPr>
        <w:t>ion des formations forestières.</w:t>
      </w:r>
    </w:p>
    <w:p w:rsidR="003D00A3" w:rsidRPr="002462E6" w:rsidRDefault="00B451EA" w:rsidP="00112B79">
      <w:pPr>
        <w:spacing w:line="360" w:lineRule="auto"/>
        <w:jc w:val="both"/>
        <w:rPr>
          <w:rFonts w:ascii="Tahoma" w:eastAsia="Calibri" w:hAnsi="Tahoma" w:cs="Tahoma"/>
          <w:sz w:val="24"/>
          <w:szCs w:val="24"/>
        </w:rPr>
      </w:pPr>
      <w:r w:rsidRPr="002462E6">
        <w:rPr>
          <w:rFonts w:ascii="Tahoma" w:eastAsia="Calibri" w:hAnsi="Tahoma" w:cs="Tahoma"/>
          <w:sz w:val="24"/>
          <w:szCs w:val="24"/>
        </w:rPr>
        <w:t>L'analyse prospective à l'horizon 2040 révèle l'existence de seuils critiques de basculement écologique, notamment un seuil budgétaire à 25 millions de dirhams et un seuil participatif requérant l'adhésion de 60% des usagers. Ces seuils soulignent la non-linéarité des processus de dégradation et la nécessité d'interventions dépassant les capacités de résilience naturelle des écosystèmes. Les quatre scénarios développés - du pessimiste au scénario de crise - illustrent l'éventail des trajectoires possibles, depuis la dégradation irréversible jusqu'à l'émergence d'un modèle de gestion soutenable, en fonction de l'efficacité des politiques publiques et de leur mise en œuvre effective.</w:t>
      </w:r>
    </w:p>
    <w:p w:rsidR="003D00A3" w:rsidRPr="002462E6" w:rsidRDefault="003D00A3" w:rsidP="00112B79">
      <w:pPr>
        <w:spacing w:line="360" w:lineRule="auto"/>
        <w:rPr>
          <w:rFonts w:ascii="Tahoma" w:eastAsia="Calibri" w:hAnsi="Tahoma" w:cs="Tahoma"/>
          <w:sz w:val="24"/>
          <w:szCs w:val="24"/>
        </w:rPr>
      </w:pPr>
    </w:p>
    <w:p w:rsidR="00BC7FBC" w:rsidRPr="002462E6" w:rsidRDefault="00BC7FBC">
      <w:pPr>
        <w:rPr>
          <w:rFonts w:ascii="Tahoma" w:eastAsia="Calibri Light" w:hAnsi="Tahoma" w:cs="Calibri Light"/>
          <w:b/>
          <w:color w:val="000000" w:themeColor="text1"/>
          <w:sz w:val="32"/>
          <w:szCs w:val="32"/>
        </w:rPr>
      </w:pPr>
      <w:r w:rsidRPr="002462E6">
        <w:br w:type="page"/>
      </w:r>
    </w:p>
    <w:p w:rsidR="00933097" w:rsidRPr="002462E6" w:rsidRDefault="00994955" w:rsidP="007A71CC">
      <w:pPr>
        <w:pStyle w:val="Titre3"/>
      </w:pPr>
      <w:bookmarkStart w:id="338" w:name="_Toc203643079"/>
      <w:r w:rsidRPr="002462E6">
        <w:t xml:space="preserve">Conclusion du </w:t>
      </w:r>
      <w:r w:rsidR="000B5FD2" w:rsidRPr="002462E6">
        <w:t xml:space="preserve">deuxième </w:t>
      </w:r>
      <w:r w:rsidRPr="002462E6">
        <w:t xml:space="preserve">chapitre </w:t>
      </w:r>
      <w:r w:rsidR="00021712" w:rsidRPr="002462E6">
        <w:t>:</w:t>
      </w:r>
      <w:bookmarkEnd w:id="338"/>
      <w:r w:rsidR="00021712" w:rsidRPr="002462E6">
        <w:t xml:space="preserve"> </w:t>
      </w:r>
    </w:p>
    <w:p w:rsidR="00FC18DD" w:rsidRPr="002462E6" w:rsidRDefault="00FC18DD" w:rsidP="00FC18DD">
      <w:pPr>
        <w:spacing w:before="100" w:beforeAutospacing="1" w:after="100" w:afterAutospacing="1" w:line="360" w:lineRule="auto"/>
        <w:jc w:val="both"/>
        <w:rPr>
          <w:rFonts w:ascii="Tahoma" w:eastAsia="Times New Roman" w:hAnsi="Tahoma" w:cs="Tahoma"/>
          <w:sz w:val="24"/>
          <w:szCs w:val="24"/>
          <w:lang w:eastAsia="fr-FR"/>
        </w:rPr>
      </w:pPr>
      <w:r w:rsidRPr="002462E6">
        <w:rPr>
          <w:rFonts w:ascii="Tahoma" w:eastAsia="Times New Roman" w:hAnsi="Tahoma" w:cs="Tahoma"/>
          <w:sz w:val="24"/>
          <w:szCs w:val="24"/>
          <w:lang w:eastAsia="fr-FR"/>
        </w:rPr>
        <w:t>A la fin de ce deuxième chapitre, l'analyse des écosystèmes forestiers marocains dévoile la complexité systémique des défis contemporains de la gestion des ressources naturelles, appréhendée à travers la dialectique entre protection juridique des forêts et dynamiques de dégradation anthropique. Cette analyse met en lumière l'existence d'un double hiatus - épistémologique et opérationnel - entre les dispositifs institutionnels de protection et les réalités socio-écologiques des territoires forestiers.</w:t>
      </w:r>
    </w:p>
    <w:p w:rsidR="00FC18DD" w:rsidRPr="002462E6" w:rsidRDefault="00FC18DD" w:rsidP="00FC18DD">
      <w:pPr>
        <w:spacing w:before="100" w:beforeAutospacing="1" w:after="100" w:afterAutospacing="1" w:line="360" w:lineRule="auto"/>
        <w:jc w:val="both"/>
        <w:rPr>
          <w:rFonts w:ascii="Tahoma" w:eastAsia="Times New Roman" w:hAnsi="Tahoma" w:cs="Tahoma"/>
          <w:sz w:val="24"/>
          <w:szCs w:val="24"/>
          <w:lang w:eastAsia="fr-FR"/>
        </w:rPr>
      </w:pPr>
      <w:r w:rsidRPr="002462E6">
        <w:rPr>
          <w:rFonts w:ascii="Tahoma" w:eastAsia="Times New Roman" w:hAnsi="Tahoma" w:cs="Tahoma"/>
          <w:sz w:val="24"/>
          <w:szCs w:val="24"/>
          <w:lang w:eastAsia="fr-FR"/>
        </w:rPr>
        <w:t>L'analyse critique du cadre normatif forestier expose les limites structurelles d'un paradigme juridique anachronique, hérité de l'administration coloniale et inadapté aux exigences contemporaines de gestion écosystémique. Le régime de domanialité publique, articulé autour du Dahir de 1917, génère un paradoxe opérationnel majeur en suscitant des résistances sociales qui se matérialisent par des pratiques de dégradation anthropique délibérée, illustrant ainsi le concept de "tragédie des biens communs" (Hardin, 1968).</w:t>
      </w:r>
    </w:p>
    <w:p w:rsidR="00FC18DD" w:rsidRPr="002462E6" w:rsidRDefault="00FC18DD" w:rsidP="00FC18DD">
      <w:pPr>
        <w:spacing w:before="100" w:beforeAutospacing="1" w:after="100" w:afterAutospacing="1" w:line="360" w:lineRule="auto"/>
        <w:jc w:val="both"/>
        <w:rPr>
          <w:rFonts w:ascii="Tahoma" w:eastAsia="Times New Roman" w:hAnsi="Tahoma" w:cs="Tahoma"/>
          <w:sz w:val="24"/>
          <w:szCs w:val="24"/>
          <w:lang w:eastAsia="fr-FR"/>
        </w:rPr>
      </w:pPr>
      <w:r w:rsidRPr="002462E6">
        <w:rPr>
          <w:rFonts w:ascii="Tahoma" w:eastAsia="Times New Roman" w:hAnsi="Tahoma" w:cs="Tahoma"/>
          <w:sz w:val="24"/>
          <w:szCs w:val="24"/>
          <w:lang w:eastAsia="fr-FR"/>
        </w:rPr>
        <w:t>En définitive, les analyses convergent vers la nécessité d'une refondation épistémologique et institutionnelle du modèle de gestion forestière marocain, requérant l'intégration simultanée de quatre dimensions fondamentales : l'adoption d'une approche écosystémique intégrant les avancées de l'écologie du paysage, la reconnaissance juridique des savoirs locaux et des droits d'usage traditionnels, l'institutionnalisation de mécanismes de gestion participative et adaptative, et l'élaboration d'un corpus normatif fondé sur des critères scientifiques actualisés.</w:t>
      </w:r>
    </w:p>
    <w:p w:rsidR="00AB299B" w:rsidRPr="002462E6" w:rsidRDefault="00FC18DD" w:rsidP="00FF7634">
      <w:pPr>
        <w:rPr>
          <w:rFonts w:ascii="Tahoma" w:hAnsi="Tahoma" w:cs="Tahoma"/>
          <w:sz w:val="24"/>
          <w:szCs w:val="24"/>
        </w:rPr>
      </w:pPr>
      <w:r w:rsidRPr="002462E6">
        <w:rPr>
          <w:rFonts w:ascii="Tahoma" w:hAnsi="Tahoma" w:cs="Tahoma"/>
          <w:sz w:val="24"/>
          <w:szCs w:val="24"/>
        </w:rPr>
        <w:br w:type="page"/>
      </w:r>
    </w:p>
    <w:p w:rsidR="00AB299B" w:rsidRPr="002462E6" w:rsidRDefault="00AB299B" w:rsidP="007A71CC">
      <w:pPr>
        <w:pStyle w:val="Titre3"/>
      </w:pPr>
      <w:bookmarkStart w:id="339" w:name="_Toc201570856"/>
      <w:bookmarkStart w:id="340" w:name="_Toc201570906"/>
      <w:bookmarkStart w:id="341" w:name="_Toc201655506"/>
      <w:bookmarkStart w:id="342" w:name="_Toc203643080"/>
      <w:r w:rsidRPr="002462E6">
        <w:t>Conclusion de la première partie :</w:t>
      </w:r>
      <w:bookmarkEnd w:id="339"/>
      <w:bookmarkEnd w:id="340"/>
      <w:bookmarkEnd w:id="341"/>
      <w:bookmarkEnd w:id="342"/>
    </w:p>
    <w:p w:rsidR="00AB299B" w:rsidRPr="002462E6" w:rsidRDefault="00AB299B" w:rsidP="00112B79">
      <w:pPr>
        <w:pStyle w:val="NormalWeb"/>
        <w:spacing w:line="360" w:lineRule="auto"/>
        <w:jc w:val="both"/>
        <w:rPr>
          <w:rFonts w:ascii="Tahoma" w:hAnsi="Tahoma" w:cs="Tahoma"/>
        </w:rPr>
      </w:pPr>
      <w:r w:rsidRPr="002462E6">
        <w:rPr>
          <w:rFonts w:ascii="Tahoma" w:hAnsi="Tahoma" w:cs="Tahoma"/>
        </w:rPr>
        <w:t>Cette première partie a entrepris la déconstruction analytique de la complexité systémique inhérente à la gouvernance des écosystèmes forestiers marocains, dévoilant un processus socio-historique caractérisé par des discontinuités paradigmatiques majeures et des tensions dialectiques persistantes entre logiques territoriales endogènes et matrices institutionnelles exogènes. L'architecture théorico-méthodologique déployée, articulant analyses diachroniques et synchroniques, révèle l'existence d'une crise multidimensionnelle de la gestion forestière, objectivée par une inadéquation structurelle entre les dispositifs institutionnels fossilisés et les impératifs contemporains de durabilité socio-écologique.</w:t>
      </w:r>
    </w:p>
    <w:p w:rsidR="00AB299B" w:rsidRPr="002462E6" w:rsidRDefault="00AB299B" w:rsidP="00112B79">
      <w:pPr>
        <w:pStyle w:val="NormalWeb"/>
        <w:spacing w:line="360" w:lineRule="auto"/>
        <w:jc w:val="both"/>
        <w:rPr>
          <w:rFonts w:ascii="Tahoma" w:hAnsi="Tahoma" w:cs="Tahoma"/>
        </w:rPr>
      </w:pPr>
      <w:r w:rsidRPr="002462E6">
        <w:rPr>
          <w:rFonts w:ascii="Tahoma" w:hAnsi="Tahoma" w:cs="Tahoma"/>
        </w:rPr>
        <w:t>Cette recherche apporte quatre contributions théoriques fondamentales à l'épistémologie de la gestion des ressources naturelles. Premièrement, elle valide empiriquement la pertinence heuristique du paradigme des systèmes socio-écologiques (Berkes &amp; Folke, 1998 ; Ostrom, 2009) dans l'appréhension des mécanismes complexes de dégradation environnementale, démontrant l'inadéquation des approches sectorielles traditionnelles face à l'intrication systémique des facteurs anthropiques et biophysiques. Deuxièmement, elle confirme la validité explicative de la théorie de la multicausalité proximate-underlying des processus de déforestation (Geist &amp; Lambin, 2002), en révélant l'articulation non-linéaire entre contraintes environnementales structurelles et pressions anthropiques spatialement différenciées. Troisièmement, elle enrichit la conceptualisation de la "tragédie des biens communs" (Hardin, 1968) en démontrant comment les dispositifs institutionnels inadaptés peuvent paradoxalement catalyser les phénomènes qu'ils prétendent prévenir. Quatrièmement, elle contribue à l'épistémologie de la gouvernance environnementale en théorisant l'existence d'un double hiatus - épistémologique et praxéologique - entre dispositifs normatifs et réalités socio-territoriales.</w:t>
      </w:r>
    </w:p>
    <w:p w:rsidR="00AB299B" w:rsidRPr="002462E6" w:rsidRDefault="00AB299B" w:rsidP="00112B79">
      <w:pPr>
        <w:pStyle w:val="NormalWeb"/>
        <w:spacing w:line="360" w:lineRule="auto"/>
        <w:jc w:val="both"/>
        <w:rPr>
          <w:rFonts w:ascii="Tahoma" w:hAnsi="Tahoma" w:cs="Tahoma"/>
        </w:rPr>
      </w:pPr>
      <w:r w:rsidRPr="002462E6">
        <w:rPr>
          <w:rFonts w:ascii="Tahoma" w:hAnsi="Tahoma" w:cs="Tahoma"/>
        </w:rPr>
        <w:t>L'analyse généalogique des dysfonctionnements contemporains révèle la profondeur de la rupture épistémologique introduite par la colonisation dans les systèmes traditionnels de gouvernance territoriale. La perpétuation du cadre juridico-institutionnel colonial (Dahir de 1917, régime de domanialité publique) constitue un facteur explicatif majeur de l'inefficacité contemporaine des politiques forestières. Cette recherche démontre l'existence d'un paradoxe opérationnel fondamental : contrairement à leurs objectifs déclarés de protection patrimoniale, ces dispositifs normatifs ont généré des effets pervers systémiques, catalysant l'émergence de résistances sociales et l'institutionnalisation de pratiques de dégradation anthropique délibérée. Cette observation corrobore empiriquement les développements théoriques post-coloniaux sur la persistance des structures de domination épistémique (Spivak, 1988 ; Said, 1978) et leurs implications dans la gouvernance des ressources naturelles.</w:t>
      </w:r>
    </w:p>
    <w:p w:rsidR="00AB299B" w:rsidRPr="002462E6" w:rsidRDefault="00AB299B" w:rsidP="00112B79">
      <w:pPr>
        <w:pStyle w:val="NormalWeb"/>
        <w:spacing w:line="360" w:lineRule="auto"/>
        <w:jc w:val="both"/>
        <w:rPr>
          <w:rFonts w:ascii="Tahoma" w:hAnsi="Tahoma" w:cs="Tahoma"/>
        </w:rPr>
      </w:pPr>
      <w:r w:rsidRPr="002462E6">
        <w:rPr>
          <w:rFonts w:ascii="Tahoma" w:hAnsi="Tahoma" w:cs="Tahoma"/>
        </w:rPr>
        <w:t>Le diagnostic contemporain, exemplifié par l'investigation du cas paradigmatique de la forêt de Korifla, révèle l'architecture complexe de la vulnérabilité territoriale. La quantification d'une déforestation de 3 120,20 hectares sur une période quadridécennale (taux annuel de 78,01 ha/an) témoigne de l'ampleur des processus de dégradation en cours. Cette recherche démontre l'intrication systémique entre contraintes bioclimatiques (semi-aridité, déficit hydrique chronique), contraintes édaphiques et topographiques, et pressions anthropiques multiformes (dynamiques démographiques différentielles, surpâturage systémique, dépendance énergétique rurale).</w:t>
      </w:r>
    </w:p>
    <w:p w:rsidR="00AB299B" w:rsidRPr="002462E6" w:rsidRDefault="00AB299B" w:rsidP="00112B79">
      <w:pPr>
        <w:pStyle w:val="NormalWeb"/>
        <w:spacing w:line="360" w:lineRule="auto"/>
        <w:jc w:val="both"/>
        <w:rPr>
          <w:rFonts w:ascii="Tahoma" w:hAnsi="Tahoma" w:cs="Tahoma"/>
        </w:rPr>
      </w:pPr>
      <w:r w:rsidRPr="002462E6">
        <w:rPr>
          <w:rFonts w:ascii="Tahoma" w:hAnsi="Tahoma" w:cs="Tahoma"/>
        </w:rPr>
        <w:t>L'identification de seuils critiques de basculement écologique (seuil budgétaire à 25 millions de dirhams, seuil participatif de 60% d'adhésion) confirme la non-linéarité intrinsèque des processus de dégradation et valide les développements théoriques récents sur les systèmes adaptatifs complexes (Gunderson &amp; Holling, 2002 ; Walker et al., 2004). Cette caractérisation des dynamiques de basculement enrichit significativement la compréhension des mécanismes de résilience écosystémique et confirme l'importance épistémologique des approches de gestion adaptative dans un contexte d'incertitude structurelle.</w:t>
      </w:r>
    </w:p>
    <w:p w:rsidR="00AB299B" w:rsidRPr="002462E6" w:rsidRDefault="00AB299B" w:rsidP="00112B79">
      <w:pPr>
        <w:pStyle w:val="NormalWeb"/>
        <w:spacing w:line="360" w:lineRule="auto"/>
        <w:jc w:val="both"/>
        <w:rPr>
          <w:rFonts w:ascii="Tahoma" w:hAnsi="Tahoma" w:cs="Tahoma"/>
        </w:rPr>
      </w:pPr>
      <w:r w:rsidRPr="002462E6">
        <w:rPr>
          <w:rFonts w:ascii="Tahoma" w:hAnsi="Tahoma" w:cs="Tahoma"/>
        </w:rPr>
        <w:t>Cette investigation démontre empiriquement l'hétérogénéité spatiale marquée des pressions anthropiques, objectivée par les disparités démographiques significatives entre territoires (taux d'accroissement moyen annuel de 7,4% à Sidi Yahya Zaeer versus déclin démographique à Oumazza et Brachoua). Cette observation invalide l'efficacité des approches gestionnaires standardisées et plaide pour l'adoption de stratégies territorialisées, intégrant de manière systémique les spécificités biophysiques, socio-économiques et ethno-culturelles locales. Cette conclusion rejoint les développements théoriques récents sur la nécessité de contextualiser les politiques environnementales (Agrawal, 2005 ; Batterbury &amp; Fernando, 2006) et confirme l'importance de l'échelle locale dans l'efficacité des interventions de conservation.</w:t>
      </w:r>
    </w:p>
    <w:p w:rsidR="00AB299B" w:rsidRPr="00247FE0" w:rsidRDefault="00AB299B" w:rsidP="00112B79">
      <w:pPr>
        <w:pStyle w:val="NormalWeb"/>
        <w:spacing w:line="360" w:lineRule="auto"/>
        <w:jc w:val="both"/>
        <w:rPr>
          <w:rFonts w:ascii="Tahoma" w:hAnsi="Tahoma" w:cs="Tahoma"/>
        </w:rPr>
      </w:pPr>
      <w:r w:rsidRPr="00247FE0">
        <w:rPr>
          <w:rFonts w:ascii="Tahoma" w:hAnsi="Tahoma" w:cs="Tahoma"/>
        </w:rPr>
        <w:t>En réponse aux dysfonctionnements identifiés, cette recherche théorise la nécessité d'une refondation paradigmatique de la gouvernance forestière marocaine, articulée autour de quatre dimensions stratégiques interdépendantes. Premièrement, l'adoption d'une approche écosystémique intégrant les avancées conceptuelles de l'écologie du paysage, de la biologie de la conservation et de la science de la durabilité. Deuxièmement, la reconnaissance juridique et la valorisation institutionnelle des savoirs écologiques traditionnels (Traditional Ecological Knowledge) et des droits d'usage coutumiers, notamment les pratiques ancestrales de l'AGDAL. Troisièmement, l'institutionnalisation de mécanismes de gouvernance participative et adaptative, intégrant organiquement les communautés locales dans les processus décisionnels. Quatrièmement, l'élaboration d'un corpus normatif refondé sur des bases scientifiques actualisées, intégrant le pluralisme juridique et les principes du droit coutumier.</w:t>
      </w:r>
    </w:p>
    <w:p w:rsidR="00AB299B" w:rsidRPr="002462E6" w:rsidRDefault="00AB299B" w:rsidP="00112B79">
      <w:pPr>
        <w:pStyle w:val="NormalWeb"/>
        <w:spacing w:line="360" w:lineRule="auto"/>
        <w:jc w:val="both"/>
        <w:rPr>
          <w:rFonts w:ascii="Tahoma" w:hAnsi="Tahoma" w:cs="Tahoma"/>
        </w:rPr>
      </w:pPr>
      <w:r w:rsidRPr="002462E6">
        <w:rPr>
          <w:rFonts w:ascii="Tahoma" w:hAnsi="Tahoma" w:cs="Tahoma"/>
        </w:rPr>
        <w:t>Cette refondation s'inscrit dans la perspective théorique du "legal pluralism" (Merry, 1988 ; von Benda-Beckmann, 2002) et de la "legal ecology" (Naess, 1989), proposant une articulation synergique entre systèmes normatifs formels et informels. Elle contribue également aux développements récents sur la "co-governance" (Armitage et al., 2009) et la "adaptive governance" (Folke et al., 2005) en proposant un modèle opérationnel d'intégration des logiques participatives dans la gestion des ressources naturelles.</w:t>
      </w:r>
    </w:p>
    <w:p w:rsidR="00AB299B" w:rsidRPr="002462E6" w:rsidRDefault="00AB299B" w:rsidP="00112B79">
      <w:pPr>
        <w:pStyle w:val="NormalWeb"/>
        <w:spacing w:line="360" w:lineRule="auto"/>
        <w:jc w:val="both"/>
        <w:rPr>
          <w:rFonts w:ascii="Tahoma" w:hAnsi="Tahoma" w:cs="Tahoma"/>
        </w:rPr>
      </w:pPr>
      <w:r w:rsidRPr="002462E6">
        <w:rPr>
          <w:rFonts w:ascii="Tahoma" w:hAnsi="Tahoma" w:cs="Tahoma"/>
        </w:rPr>
        <w:t>Cette refondation paradigmatique implique nécessairement une transformation radicale des modalités de formation des gestionnaires forestiers. L'analyse critique des curricula de l'École Nationale Forestière d'Ingénieurs (ENFI) révèle l'inadéquation des approches pédagogiques actuelles face aux exigences contemporaines de la gestion participative. Cette recherche préconise l'intégration systématique de compétences transdisciplinaires : gestion participative, médiation interculturelle, anthropologie appliquée, co-construction des savoirs, et articulation dialectique entre epistemes scientifiques et traditionnelles. Cette transformation curriculaire s'inscrit dans la perspective de la "transdisciplinary education" (Klein, 2004 ; Max-Neef, 2005) et de la "sustainability science education" (Wiek et al., 2011).</w:t>
      </w:r>
    </w:p>
    <w:p w:rsidR="00AA5E72" w:rsidRPr="002462E6" w:rsidRDefault="00AB299B" w:rsidP="00112B79">
      <w:pPr>
        <w:pStyle w:val="NormalWeb"/>
        <w:spacing w:line="360" w:lineRule="auto"/>
        <w:jc w:val="both"/>
        <w:rPr>
          <w:rFonts w:ascii="Tahoma" w:hAnsi="Tahoma" w:cs="Tahoma"/>
        </w:rPr>
      </w:pPr>
      <w:r w:rsidRPr="002462E6">
        <w:rPr>
          <w:rFonts w:ascii="Tahoma" w:hAnsi="Tahoma" w:cs="Tahoma"/>
        </w:rPr>
        <w:t>Cette investigation démontre la fécondité heuristique d'une approche transdisciplinaire articulant analyse juridique, géographie critique, écologie politique et anthropologie environnementale. L'articulation méthodologique entre analyses macro-structurelles et investigations micro-sociologiques révèle des mécanismes générateurs de vulnérabilité territoriale qui demeurent invisibles dans les approches mono-disciplinaires. Cette recherche contribue ainsi aux développements récents de la "political ecology" (Robbins, 2012 ; Perreault et al., 2015) et de l'"environmental anthropology" (Dove &amp; Carpenter, 2008) en proposant un cadre analytique intégratif pour l'étude des interactions société-environnement.</w:t>
      </w:r>
    </w:p>
    <w:p w:rsidR="004D5F61" w:rsidRPr="002462E6" w:rsidRDefault="00AA5E72">
      <w:pPr>
        <w:rPr>
          <w:rFonts w:ascii="Tahoma" w:hAnsi="Tahoma" w:cs="Tahoma"/>
        </w:rPr>
      </w:pPr>
      <w:r w:rsidRPr="002462E6">
        <w:rPr>
          <w:rFonts w:ascii="Tahoma" w:hAnsi="Tahoma" w:cs="Tahoma"/>
        </w:rPr>
        <w:br w:type="page"/>
      </w:r>
      <w:r w:rsidR="004D5F61" w:rsidRPr="002462E6">
        <w:rPr>
          <w:rFonts w:ascii="Tahoma" w:eastAsia="Calibri" w:hAnsi="Tahoma" w:cs="Tahoma"/>
          <w:b/>
          <w:bCs/>
          <w:noProof/>
          <w:color w:val="00B050"/>
          <w:spacing w:val="5"/>
          <w:kern w:val="28"/>
          <w:sz w:val="32"/>
          <w:szCs w:val="32"/>
          <w:lang w:eastAsia="fr-FR"/>
        </w:rPr>
        <mc:AlternateContent>
          <mc:Choice Requires="wps">
            <w:drawing>
              <wp:anchor distT="0" distB="0" distL="114300" distR="114300" simplePos="0" relativeHeight="251759616" behindDoc="0" locked="0" layoutInCell="1" allowOverlap="1" wp14:anchorId="65FBE1AD" wp14:editId="0B0D8E41">
                <wp:simplePos x="0" y="0"/>
                <wp:positionH relativeFrom="column">
                  <wp:posOffset>46990</wp:posOffset>
                </wp:positionH>
                <wp:positionV relativeFrom="paragraph">
                  <wp:posOffset>-215900</wp:posOffset>
                </wp:positionV>
                <wp:extent cx="6379845" cy="9544050"/>
                <wp:effectExtent l="19050" t="19050" r="40005" b="38100"/>
                <wp:wrapNone/>
                <wp:docPr id="18" name="Rectangle 18"/>
                <wp:cNvGraphicFramePr/>
                <a:graphic xmlns:a="http://schemas.openxmlformats.org/drawingml/2006/main">
                  <a:graphicData uri="http://schemas.microsoft.com/office/word/2010/wordprocessingShape">
                    <wps:wsp>
                      <wps:cNvSpPr/>
                      <wps:spPr>
                        <a:xfrm>
                          <a:off x="0" y="0"/>
                          <a:ext cx="6379845" cy="9544050"/>
                        </a:xfrm>
                        <a:prstGeom prst="rect">
                          <a:avLst/>
                        </a:prstGeom>
                        <a:solidFill>
                          <a:sysClr val="window" lastClr="FFFFFF"/>
                        </a:solidFill>
                        <a:ln w="57150" cap="flat" cmpd="thinThick" algn="ctr">
                          <a:solidFill>
                            <a:sysClr val="windowText" lastClr="000000"/>
                          </a:solidFill>
                          <a:prstDash val="solid"/>
                          <a:miter lim="800000"/>
                        </a:ln>
                        <a:effectLst/>
                      </wps:spPr>
                      <wps:txbx>
                        <w:txbxContent>
                          <w:p w:rsidR="0083519B" w:rsidRPr="00EB21FD" w:rsidRDefault="0083519B" w:rsidP="004D5F61">
                            <w:pPr>
                              <w:jc w:val="center"/>
                              <w:rPr>
                                <w:rFonts w:ascii="Tahoma" w:eastAsia="Calibri" w:hAnsi="Tahoma" w:cs="Times New Roman"/>
                                <w:b/>
                                <w:bCs/>
                                <w:iCs/>
                                <w:noProof/>
                                <w:sz w:val="48"/>
                                <w:szCs w:val="48"/>
                                <w:lang w:eastAsia="fr-FR"/>
                              </w:rPr>
                            </w:pPr>
                            <w:r>
                              <w:rPr>
                                <w:rFonts w:ascii="Tahoma" w:eastAsia="Calibri" w:hAnsi="Tahoma" w:cs="Times New Roman"/>
                                <w:b/>
                                <w:bCs/>
                                <w:iCs/>
                                <w:noProof/>
                                <w:sz w:val="48"/>
                                <w:szCs w:val="48"/>
                                <w:lang w:eastAsia="fr-FR"/>
                              </w:rPr>
                              <w:t>Deuxième partie </w:t>
                            </w:r>
                          </w:p>
                          <w:p w:rsidR="0083519B" w:rsidRPr="00EB21FD" w:rsidRDefault="0083519B" w:rsidP="004D5F61">
                            <w:pPr>
                              <w:rPr>
                                <w:rFonts w:ascii="Tahoma" w:eastAsia="Calibri" w:hAnsi="Tahoma" w:cs="Times New Roman"/>
                                <w:b/>
                                <w:bCs/>
                                <w:iCs/>
                                <w:noProof/>
                                <w:sz w:val="48"/>
                                <w:szCs w:val="48"/>
                                <w:lang w:eastAsia="fr-FR"/>
                              </w:rPr>
                            </w:pPr>
                          </w:p>
                          <w:p w:rsidR="0083519B" w:rsidRPr="004D5F61" w:rsidRDefault="0083519B" w:rsidP="004D5F61">
                            <w:pPr>
                              <w:widowControl w:val="0"/>
                              <w:autoSpaceDE w:val="0"/>
                              <w:autoSpaceDN w:val="0"/>
                              <w:spacing w:before="16" w:after="0" w:line="240" w:lineRule="auto"/>
                              <w:jc w:val="center"/>
                              <w:outlineLvl w:val="0"/>
                              <w:rPr>
                                <w:rFonts w:ascii="Tahoma" w:eastAsia="Calibri" w:hAnsi="Tahoma" w:cs="Times New Roman"/>
                                <w:b/>
                                <w:bCs/>
                                <w:iCs/>
                                <w:noProof/>
                                <w:sz w:val="48"/>
                                <w:szCs w:val="48"/>
                                <w:lang w:eastAsia="fr-FR"/>
                              </w:rPr>
                            </w:pPr>
                            <w:r w:rsidRPr="004D5F61">
                              <w:rPr>
                                <w:rFonts w:ascii="Tahoma" w:eastAsia="Calibri" w:hAnsi="Tahoma" w:cs="Times New Roman"/>
                                <w:b/>
                                <w:bCs/>
                                <w:iCs/>
                                <w:noProof/>
                                <w:sz w:val="48"/>
                                <w:szCs w:val="48"/>
                                <w:lang w:eastAsia="fr-FR"/>
                              </w:rPr>
                              <w:t>Transformation structurelle du territoire marocain et risque accélératif migratoire de la population rurale</w:t>
                            </w:r>
                          </w:p>
                          <w:p w:rsidR="0083519B" w:rsidRDefault="0083519B" w:rsidP="004D5F61">
                            <w:pPr>
                              <w:jc w:val="center"/>
                              <w:rPr>
                                <w:rFonts w:ascii="Tahoma" w:eastAsia="Calibri" w:hAnsi="Tahoma" w:cs="Times New Roman"/>
                                <w:b/>
                                <w:bCs/>
                                <w:iCs/>
                                <w:noProof/>
                                <w:sz w:val="48"/>
                                <w:szCs w:val="48"/>
                                <w:lang w:eastAsia="fr-FR"/>
                              </w:rPr>
                            </w:pPr>
                          </w:p>
                          <w:p w:rsidR="0083519B" w:rsidRPr="00EB21FD" w:rsidRDefault="0083519B" w:rsidP="004D5F61">
                            <w:pPr>
                              <w:rPr>
                                <w:rFonts w:ascii="Tahoma" w:eastAsia="Calibri" w:hAnsi="Tahoma" w:cs="Times New Roman"/>
                                <w:b/>
                                <w:bCs/>
                                <w:iCs/>
                                <w:noProof/>
                                <w:sz w:val="32"/>
                                <w:szCs w:val="32"/>
                                <w:lang w:eastAsia="fr-FR"/>
                              </w:rPr>
                            </w:pPr>
                          </w:p>
                          <w:p w:rsidR="0083519B" w:rsidRPr="007E1EC8" w:rsidRDefault="0083519B" w:rsidP="006A51AE">
                            <w:pPr>
                              <w:pStyle w:val="TM1"/>
                              <w:rPr>
                                <w:rFonts w:eastAsia="Calibri" w:cs="Times New Roman"/>
                                <w:caps w:val="0"/>
                                <w:webHidden/>
                                <w:sz w:val="32"/>
                                <w:lang w:eastAsia="fr-FR"/>
                              </w:rPr>
                            </w:pPr>
                            <w:r w:rsidRPr="006A51AE">
                              <w:rPr>
                                <w:rFonts w:eastAsia="Calibri" w:cs="Times New Roman"/>
                                <w:sz w:val="32"/>
                                <w:lang w:eastAsia="fr-FR"/>
                              </w:rPr>
                              <w:t xml:space="preserve">Chapitre 1 : </w:t>
                            </w:r>
                            <w:r w:rsidRPr="007E1EC8">
                              <w:rPr>
                                <w:rFonts w:eastAsia="Calibri" w:cs="Times New Roman"/>
                                <w:caps w:val="0"/>
                                <w:sz w:val="32"/>
                                <w:lang w:eastAsia="fr-FR"/>
                              </w:rPr>
                              <w:t>Analyse de la configuration territoriale du Maroc rural</w:t>
                            </w:r>
                            <w:r w:rsidRPr="007E1EC8">
                              <w:rPr>
                                <w:rFonts w:eastAsia="Calibri" w:cs="Times New Roman"/>
                                <w:caps w:val="0"/>
                                <w:webHidden/>
                                <w:sz w:val="32"/>
                                <w:lang w:eastAsia="fr-FR"/>
                              </w:rPr>
                              <w:t xml:space="preserve"> </w:t>
                            </w:r>
                          </w:p>
                          <w:p w:rsidR="0083519B" w:rsidRPr="006A51AE" w:rsidRDefault="0083519B" w:rsidP="006A51AE">
                            <w:pPr>
                              <w:pStyle w:val="TM1"/>
                              <w:rPr>
                                <w:rFonts w:eastAsia="Calibri" w:cs="Times New Roman"/>
                                <w:sz w:val="32"/>
                                <w:lang w:eastAsia="fr-FR"/>
                              </w:rPr>
                            </w:pPr>
                          </w:p>
                          <w:p w:rsidR="0083519B" w:rsidRPr="007E1EC8" w:rsidRDefault="0083519B" w:rsidP="006A51AE">
                            <w:pPr>
                              <w:pStyle w:val="TM1"/>
                              <w:rPr>
                                <w:rFonts w:eastAsia="Calibri" w:cs="Times New Roman"/>
                                <w:caps w:val="0"/>
                                <w:webHidden/>
                                <w:sz w:val="32"/>
                                <w:lang w:eastAsia="fr-FR"/>
                              </w:rPr>
                            </w:pPr>
                            <w:r w:rsidRPr="006A51AE">
                              <w:rPr>
                                <w:rFonts w:eastAsia="Calibri" w:cs="Times New Roman"/>
                                <w:sz w:val="32"/>
                                <w:lang w:eastAsia="fr-FR"/>
                              </w:rPr>
                              <w:t xml:space="preserve">Chapitre 2 : </w:t>
                            </w:r>
                            <w:r w:rsidRPr="007E1EC8">
                              <w:rPr>
                                <w:rFonts w:eastAsia="Calibri" w:cs="Times New Roman"/>
                                <w:caps w:val="0"/>
                                <w:sz w:val="32"/>
                                <w:lang w:eastAsia="fr-FR"/>
                              </w:rPr>
                              <w:t>Risque accélératif migratoire et dégradation forestière au Maroc : analyse systémique</w:t>
                            </w:r>
                            <w:r w:rsidRPr="007E1EC8">
                              <w:rPr>
                                <w:rFonts w:eastAsia="Calibri" w:cs="Times New Roman"/>
                                <w:caps w:val="0"/>
                                <w:webHidden/>
                                <w:sz w:val="32"/>
                                <w:lang w:eastAsia="fr-FR"/>
                              </w:rPr>
                              <w:t xml:space="preserve"> </w:t>
                            </w:r>
                          </w:p>
                          <w:p w:rsidR="0083519B" w:rsidRPr="00EB21FD" w:rsidRDefault="0083519B" w:rsidP="006A51AE">
                            <w:pPr>
                              <w:rPr>
                                <w:rFonts w:ascii="Tahoma" w:eastAsia="Calibri" w:hAnsi="Tahoma" w:cs="Times New Roman"/>
                                <w:b/>
                                <w:bCs/>
                                <w:iCs/>
                                <w:noProof/>
                                <w:sz w:val="32"/>
                                <w:szCs w:val="32"/>
                                <w:lang w:eastAsia="fr-FR"/>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5FBE1AD" id="Rectangle 18" o:spid="_x0000_s1061" style="position:absolute;margin-left:3.7pt;margin-top:-17pt;width:502.35pt;height:751.5pt;z-index:2517596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" fillcolor="window" strokecolor="windowText" strokeweight="4.5pt">
                <v:stroke linestyle="thinThick"/>
                <v:textbox>
                  <w:txbxContent>
                    <w:p w:rsidR="0083519B" w:rsidRPr="00EB21FD" w:rsidRDefault="0083519B" w:rsidP="004D5F61">
                      <w:pPr>
                        <w:jc w:val="center"/>
                        <w:rPr>
                          <w:rFonts w:ascii="Tahoma" w:eastAsia="Calibri" w:hAnsi="Tahoma" w:cs="Times New Roman"/>
                          <w:b/>
                          <w:bCs/>
                          <w:iCs/>
                          <w:noProof/>
                          <w:sz w:val="48"/>
                          <w:szCs w:val="48"/>
                          <w:lang w:eastAsia="fr-FR"/>
                        </w:rPr>
                      </w:pPr>
                      <w:r>
                        <w:rPr>
                          <w:rFonts w:ascii="Tahoma" w:eastAsia="Calibri" w:hAnsi="Tahoma" w:cs="Times New Roman"/>
                          <w:b/>
                          <w:bCs/>
                          <w:iCs/>
                          <w:noProof/>
                          <w:sz w:val="48"/>
                          <w:szCs w:val="48"/>
                          <w:lang w:eastAsia="fr-FR"/>
                        </w:rPr>
                        <w:t>Deuxième partie </w:t>
                      </w:r>
                    </w:p>
                    <w:p w:rsidR="0083519B" w:rsidRPr="00EB21FD" w:rsidRDefault="0083519B" w:rsidP="004D5F61">
                      <w:pPr>
                        <w:rPr>
                          <w:rFonts w:ascii="Tahoma" w:eastAsia="Calibri" w:hAnsi="Tahoma" w:cs="Times New Roman"/>
                          <w:b/>
                          <w:bCs/>
                          <w:iCs/>
                          <w:noProof/>
                          <w:sz w:val="48"/>
                          <w:szCs w:val="48"/>
                          <w:lang w:eastAsia="fr-FR"/>
                        </w:rPr>
                      </w:pPr>
                    </w:p>
                    <w:p w:rsidR="0083519B" w:rsidRPr="004D5F61" w:rsidRDefault="0083519B" w:rsidP="004D5F61">
                      <w:pPr>
                        <w:widowControl w:val="0"/>
                        <w:autoSpaceDE w:val="0"/>
                        <w:autoSpaceDN w:val="0"/>
                        <w:spacing w:before="16" w:after="0" w:line="240" w:lineRule="auto"/>
                        <w:jc w:val="center"/>
                        <w:outlineLvl w:val="0"/>
                        <w:rPr>
                          <w:rFonts w:ascii="Tahoma" w:eastAsia="Calibri" w:hAnsi="Tahoma" w:cs="Times New Roman"/>
                          <w:b/>
                          <w:bCs/>
                          <w:iCs/>
                          <w:noProof/>
                          <w:sz w:val="48"/>
                          <w:szCs w:val="48"/>
                          <w:lang w:eastAsia="fr-FR"/>
                        </w:rPr>
                      </w:pPr>
                      <w:r w:rsidRPr="004D5F61">
                        <w:rPr>
                          <w:rFonts w:ascii="Tahoma" w:eastAsia="Calibri" w:hAnsi="Tahoma" w:cs="Times New Roman"/>
                          <w:b/>
                          <w:bCs/>
                          <w:iCs/>
                          <w:noProof/>
                          <w:sz w:val="48"/>
                          <w:szCs w:val="48"/>
                          <w:lang w:eastAsia="fr-FR"/>
                        </w:rPr>
                        <w:t>Transformation structurelle du territoire marocain et risque accélératif migratoire de la population rurale</w:t>
                      </w:r>
                    </w:p>
                    <w:p w:rsidR="0083519B" w:rsidRDefault="0083519B" w:rsidP="004D5F61">
                      <w:pPr>
                        <w:jc w:val="center"/>
                        <w:rPr>
                          <w:rFonts w:ascii="Tahoma" w:eastAsia="Calibri" w:hAnsi="Tahoma" w:cs="Times New Roman"/>
                          <w:b/>
                          <w:bCs/>
                          <w:iCs/>
                          <w:noProof/>
                          <w:sz w:val="48"/>
                          <w:szCs w:val="48"/>
                          <w:lang w:eastAsia="fr-FR"/>
                        </w:rPr>
                      </w:pPr>
                    </w:p>
                    <w:p w:rsidR="0083519B" w:rsidRPr="00EB21FD" w:rsidRDefault="0083519B" w:rsidP="004D5F61">
                      <w:pPr>
                        <w:rPr>
                          <w:rFonts w:ascii="Tahoma" w:eastAsia="Calibri" w:hAnsi="Tahoma" w:cs="Times New Roman"/>
                          <w:b/>
                          <w:bCs/>
                          <w:iCs/>
                          <w:noProof/>
                          <w:sz w:val="32"/>
                          <w:szCs w:val="32"/>
                          <w:lang w:eastAsia="fr-FR"/>
                        </w:rPr>
                      </w:pPr>
                    </w:p>
                    <w:p w:rsidR="0083519B" w:rsidRPr="007E1EC8" w:rsidRDefault="0083519B" w:rsidP="006A51AE">
                      <w:pPr>
                        <w:pStyle w:val="TM1"/>
                        <w:rPr>
                          <w:rFonts w:eastAsia="Calibri" w:cs="Times New Roman"/>
                          <w:caps w:val="0"/>
                          <w:webHidden/>
                          <w:sz w:val="32"/>
                          <w:lang w:eastAsia="fr-FR"/>
                        </w:rPr>
                      </w:pPr>
                      <w:r w:rsidRPr="006A51AE">
                        <w:rPr>
                          <w:rFonts w:eastAsia="Calibri" w:cs="Times New Roman"/>
                          <w:sz w:val="32"/>
                          <w:lang w:eastAsia="fr-FR"/>
                        </w:rPr>
                        <w:t xml:space="preserve">Chapitre 1 : </w:t>
                      </w:r>
                      <w:r w:rsidRPr="007E1EC8">
                        <w:rPr>
                          <w:rFonts w:eastAsia="Calibri" w:cs="Times New Roman"/>
                          <w:caps w:val="0"/>
                          <w:sz w:val="32"/>
                          <w:lang w:eastAsia="fr-FR"/>
                        </w:rPr>
                        <w:t>Analyse de la configuration territoriale du Maroc rural</w:t>
                      </w:r>
                      <w:r w:rsidRPr="007E1EC8">
                        <w:rPr>
                          <w:rFonts w:eastAsia="Calibri" w:cs="Times New Roman"/>
                          <w:caps w:val="0"/>
                          <w:webHidden/>
                          <w:sz w:val="32"/>
                          <w:lang w:eastAsia="fr-FR"/>
                        </w:rPr>
                        <w:t xml:space="preserve"> </w:t>
                      </w:r>
                    </w:p>
                    <w:p w:rsidR="0083519B" w:rsidRPr="006A51AE" w:rsidRDefault="0083519B" w:rsidP="006A51AE">
                      <w:pPr>
                        <w:pStyle w:val="TM1"/>
                        <w:rPr>
                          <w:rFonts w:eastAsia="Calibri" w:cs="Times New Roman"/>
                          <w:sz w:val="32"/>
                          <w:lang w:eastAsia="fr-FR"/>
                        </w:rPr>
                      </w:pPr>
                    </w:p>
                    <w:p w:rsidR="0083519B" w:rsidRPr="007E1EC8" w:rsidRDefault="0083519B" w:rsidP="006A51AE">
                      <w:pPr>
                        <w:pStyle w:val="TM1"/>
                        <w:rPr>
                          <w:rFonts w:eastAsia="Calibri" w:cs="Times New Roman"/>
                          <w:caps w:val="0"/>
                          <w:webHidden/>
                          <w:sz w:val="32"/>
                          <w:lang w:eastAsia="fr-FR"/>
                        </w:rPr>
                      </w:pPr>
                      <w:r w:rsidRPr="006A51AE">
                        <w:rPr>
                          <w:rFonts w:eastAsia="Calibri" w:cs="Times New Roman"/>
                          <w:sz w:val="32"/>
                          <w:lang w:eastAsia="fr-FR"/>
                        </w:rPr>
                        <w:t xml:space="preserve">Chapitre 2 : </w:t>
                      </w:r>
                      <w:r w:rsidRPr="007E1EC8">
                        <w:rPr>
                          <w:rFonts w:eastAsia="Calibri" w:cs="Times New Roman"/>
                          <w:caps w:val="0"/>
                          <w:sz w:val="32"/>
                          <w:lang w:eastAsia="fr-FR"/>
                        </w:rPr>
                        <w:t>Risque accélératif migratoire et dégradation forestière au Maroc : analyse systémique</w:t>
                      </w:r>
                      <w:r w:rsidRPr="007E1EC8">
                        <w:rPr>
                          <w:rFonts w:eastAsia="Calibri" w:cs="Times New Roman"/>
                          <w:caps w:val="0"/>
                          <w:webHidden/>
                          <w:sz w:val="32"/>
                          <w:lang w:eastAsia="fr-FR"/>
                        </w:rPr>
                        <w:t xml:space="preserve"> </w:t>
                      </w:r>
                    </w:p>
                    <w:p w:rsidR="0083519B" w:rsidRPr="00EB21FD" w:rsidRDefault="0083519B" w:rsidP="006A51AE">
                      <w:pPr>
                        <w:rPr>
                          <w:rFonts w:ascii="Tahoma" w:eastAsia="Calibri" w:hAnsi="Tahoma" w:cs="Times New Roman"/>
                          <w:b/>
                          <w:bCs/>
                          <w:iCs/>
                          <w:noProof/>
                          <w:sz w:val="32"/>
                          <w:szCs w:val="32"/>
                          <w:lang w:eastAsia="fr-FR"/>
                        </w:rPr>
                      </w:pPr>
                    </w:p>
                  </w:txbxContent>
                </v:textbox>
              </v:rect>
            </w:pict>
          </mc:Fallback>
        </mc:AlternateContent>
      </w:r>
      <w:r w:rsidR="004D5F61" w:rsidRPr="002462E6">
        <w:rPr>
          <w:rFonts w:ascii="Tahoma" w:hAnsi="Tahoma" w:cs="Tahoma"/>
        </w:rPr>
        <w:br w:type="page"/>
      </w:r>
    </w:p>
    <w:p w:rsidR="00FA6C95" w:rsidRPr="002462E6" w:rsidRDefault="00FA6C95" w:rsidP="004A7654">
      <w:pPr>
        <w:pStyle w:val="Titre1"/>
      </w:pPr>
      <w:bookmarkStart w:id="343" w:name="_Toc201570857"/>
      <w:bookmarkStart w:id="344" w:name="_Toc201570907"/>
      <w:bookmarkStart w:id="345" w:name="_Toc201655507"/>
      <w:bookmarkStart w:id="346" w:name="_Toc201655557"/>
      <w:bookmarkStart w:id="347" w:name="_Toc203643081"/>
      <w:r w:rsidRPr="002462E6">
        <w:t>Deuxième partie :</w:t>
      </w:r>
      <w:bookmarkEnd w:id="343"/>
      <w:bookmarkEnd w:id="344"/>
      <w:r w:rsidR="00B302D5" w:rsidRPr="002462E6">
        <w:t xml:space="preserve"> </w:t>
      </w:r>
      <w:r w:rsidRPr="002462E6">
        <w:t>Transformation structurelle du territoire marocain et risque accélératif migratoire de la population rurale</w:t>
      </w:r>
      <w:bookmarkEnd w:id="345"/>
      <w:bookmarkEnd w:id="346"/>
      <w:bookmarkEnd w:id="347"/>
      <w:r w:rsidRPr="002462E6">
        <w:t xml:space="preserve"> </w:t>
      </w:r>
    </w:p>
    <w:p w:rsidR="00FA6C95" w:rsidRPr="002462E6" w:rsidRDefault="00FA6C95" w:rsidP="002914C6">
      <w:pPr>
        <w:spacing w:after="0" w:line="360" w:lineRule="auto"/>
        <w:rPr>
          <w:rFonts w:ascii="Tahoma" w:eastAsia="Times New Roman" w:hAnsi="Tahoma" w:cs="Tahoma"/>
          <w:b/>
          <w:bCs/>
          <w:color w:val="000000" w:themeColor="text1"/>
          <w:sz w:val="28"/>
          <w:szCs w:val="28"/>
        </w:rPr>
      </w:pPr>
    </w:p>
    <w:p w:rsidR="00FA6C95" w:rsidRPr="002462E6" w:rsidRDefault="00FA6C95" w:rsidP="00FA6C95">
      <w:pPr>
        <w:spacing w:after="0" w:line="360" w:lineRule="auto"/>
        <w:jc w:val="both"/>
        <w:rPr>
          <w:rFonts w:ascii="Tahoma" w:eastAsia="Times New Roman" w:hAnsi="Tahoma" w:cs="Tahoma"/>
          <w:sz w:val="24"/>
          <w:szCs w:val="24"/>
          <w:lang w:eastAsia="fr-FR"/>
        </w:rPr>
      </w:pPr>
      <w:r w:rsidRPr="002462E6">
        <w:rPr>
          <w:rFonts w:ascii="Tahoma" w:eastAsia="Times New Roman" w:hAnsi="Tahoma" w:cs="Tahoma"/>
          <w:sz w:val="24"/>
          <w:szCs w:val="24"/>
          <w:lang w:eastAsia="fr-FR"/>
        </w:rPr>
        <w:t>La littérature sur les migrations couvre amplement le volet relatif à l'exode rural. Néanmoins, le rythme accéléré de la dégradation de l’environnement naturel et les compromis économiques résultant de la transformation structurelle reconfigure la dynamique de la mobilité des populations</w:t>
      </w:r>
      <w:r w:rsidRPr="002462E6">
        <w:rPr>
          <w:rFonts w:ascii="Tahoma" w:eastAsia="Times New Roman" w:hAnsi="Tahoma" w:cs="Tahoma"/>
          <w:sz w:val="24"/>
          <w:szCs w:val="24"/>
          <w:vertAlign w:val="superscript"/>
          <w:lang w:eastAsia="fr-FR"/>
        </w:rPr>
        <w:footnoteReference w:id="595"/>
      </w:r>
      <w:r w:rsidRPr="002462E6">
        <w:rPr>
          <w:rFonts w:ascii="Tahoma" w:eastAsia="Times New Roman" w:hAnsi="Tahoma" w:cs="Tahoma"/>
          <w:sz w:val="24"/>
          <w:szCs w:val="24"/>
          <w:lang w:eastAsia="fr-FR"/>
        </w:rPr>
        <w:t>.  Ceci s’impose à l’observation et interroge les actions publiques adoptées en matière de développement rural, de migration, de gestion des risques etc.  En effet, la conjonction et l'intensification de ces tendances soulèvent de sérieuses questions liées à la capacité de résistance des populations</w:t>
      </w:r>
      <w:r w:rsidRPr="002462E6">
        <w:rPr>
          <w:rFonts w:ascii="Tahoma" w:eastAsia="Times New Roman" w:hAnsi="Tahoma" w:cs="Tahoma"/>
          <w:sz w:val="24"/>
          <w:szCs w:val="24"/>
          <w:vertAlign w:val="superscript"/>
          <w:lang w:eastAsia="fr-FR"/>
        </w:rPr>
        <w:footnoteReference w:id="596"/>
      </w:r>
      <w:r w:rsidRPr="002462E6">
        <w:rPr>
          <w:rFonts w:ascii="Tahoma" w:eastAsia="Times New Roman" w:hAnsi="Tahoma" w:cs="Tahoma"/>
          <w:sz w:val="24"/>
          <w:szCs w:val="24"/>
          <w:lang w:eastAsia="fr-FR"/>
        </w:rPr>
        <w:t>.</w:t>
      </w:r>
    </w:p>
    <w:p w:rsidR="002914C6" w:rsidRPr="002462E6" w:rsidRDefault="00FA6C95" w:rsidP="002914C6">
      <w:pPr>
        <w:tabs>
          <w:tab w:val="left" w:pos="10348"/>
          <w:tab w:val="left" w:pos="10490"/>
          <w:tab w:val="left" w:pos="11340"/>
        </w:tabs>
        <w:spacing w:line="360" w:lineRule="auto"/>
        <w:ind w:right="6"/>
        <w:jc w:val="both"/>
        <w:rPr>
          <w:rFonts w:ascii="Tahoma" w:eastAsia="Times New Roman" w:hAnsi="Tahoma" w:cs="Tahoma"/>
          <w:sz w:val="24"/>
          <w:szCs w:val="24"/>
          <w:lang w:eastAsia="fr-FR"/>
        </w:rPr>
      </w:pPr>
      <w:r w:rsidRPr="002462E6">
        <w:rPr>
          <w:rFonts w:ascii="Tahoma" w:eastAsia="Times New Roman" w:hAnsi="Tahoma" w:cs="Tahoma"/>
          <w:sz w:val="24"/>
          <w:szCs w:val="24"/>
          <w:lang w:eastAsia="fr-FR"/>
        </w:rPr>
        <w:t>Dans cette optique, il convient d’interpeller la politique d’aménagement du territoire vu qu’il s’agit d’une politique de prévention dont l’objectif est d’anticiper la manifestation éventuelle d’un risque en limitant ses effets destructeurs</w:t>
      </w:r>
      <w:r w:rsidRPr="002462E6">
        <w:rPr>
          <w:rFonts w:ascii="Tahoma" w:eastAsia="Times New Roman" w:hAnsi="Tahoma" w:cs="Tahoma"/>
          <w:sz w:val="24"/>
          <w:szCs w:val="24"/>
          <w:vertAlign w:val="superscript"/>
          <w:lang w:eastAsia="fr-FR"/>
        </w:rPr>
        <w:footnoteReference w:id="597"/>
      </w:r>
      <w:r w:rsidRPr="002462E6">
        <w:rPr>
          <w:rFonts w:ascii="Tahoma" w:eastAsia="Times New Roman" w:hAnsi="Tahoma" w:cs="Tahoma"/>
          <w:sz w:val="24"/>
          <w:szCs w:val="24"/>
          <w:lang w:eastAsia="fr-FR"/>
        </w:rPr>
        <w:t xml:space="preserve">. </w:t>
      </w:r>
    </w:p>
    <w:p w:rsidR="00FA6C95" w:rsidRPr="002462E6" w:rsidRDefault="00FA6C95" w:rsidP="002914C6">
      <w:pPr>
        <w:tabs>
          <w:tab w:val="left" w:pos="10348"/>
          <w:tab w:val="left" w:pos="10490"/>
          <w:tab w:val="left" w:pos="11340"/>
        </w:tabs>
        <w:spacing w:line="360" w:lineRule="auto"/>
        <w:ind w:right="6"/>
        <w:jc w:val="both"/>
        <w:rPr>
          <w:rFonts w:ascii="Tahoma" w:eastAsia="Times New Roman" w:hAnsi="Tahoma" w:cs="Tahoma"/>
          <w:sz w:val="24"/>
          <w:szCs w:val="24"/>
          <w:lang w:eastAsia="fr-FR"/>
        </w:rPr>
      </w:pPr>
      <w:r w:rsidRPr="002462E6">
        <w:rPr>
          <w:rFonts w:ascii="Tahoma" w:eastAsia="Times New Roman" w:hAnsi="Tahoma" w:cs="Tahoma"/>
          <w:sz w:val="24"/>
          <w:szCs w:val="24"/>
          <w:lang w:eastAsia="fr-FR"/>
        </w:rPr>
        <w:t>A ce propos, il convient de rappeler la réponse de Rousseau à Voltaire, qui interprétait le tremblement de terre de Lisbonne de 1755 (ayant fait plus de 40 000 victimes) comme une pure fatalité. Dans une lettre datée du 18 août 1756, il soulignait que : « la nature n'avait point rassemblé là 20 000 maisons de 6 ou 7 étages, et que si les habitants de cette grande ville eussent été dispersés plus également et plus légèrement logés, le dégât eût été beaucoup moindre, et peut-être nul</w:t>
      </w:r>
      <w:r w:rsidRPr="002462E6">
        <w:rPr>
          <w:rFonts w:ascii="Tahoma" w:eastAsia="Times New Roman" w:hAnsi="Tahoma" w:cs="Tahoma"/>
          <w:sz w:val="24"/>
          <w:szCs w:val="24"/>
          <w:vertAlign w:val="superscript"/>
          <w:lang w:eastAsia="fr-FR"/>
        </w:rPr>
        <w:footnoteReference w:id="598"/>
      </w:r>
      <w:r w:rsidRPr="002462E6">
        <w:rPr>
          <w:rFonts w:ascii="Tahoma" w:eastAsia="Times New Roman" w:hAnsi="Tahoma" w:cs="Tahoma"/>
          <w:sz w:val="24"/>
          <w:szCs w:val="24"/>
          <w:vertAlign w:val="superscript"/>
          <w:lang w:eastAsia="fr-FR"/>
        </w:rPr>
        <w:t> </w:t>
      </w:r>
      <w:r w:rsidRPr="002462E6">
        <w:rPr>
          <w:rFonts w:ascii="Tahoma" w:eastAsia="Times New Roman" w:hAnsi="Tahoma" w:cs="Tahoma"/>
          <w:sz w:val="24"/>
          <w:szCs w:val="24"/>
          <w:lang w:eastAsia="fr-FR"/>
        </w:rPr>
        <w:t>».</w:t>
      </w:r>
    </w:p>
    <w:p w:rsidR="00FA6C95" w:rsidRPr="002462E6" w:rsidRDefault="00FA6C95" w:rsidP="00FA6C95">
      <w:pPr>
        <w:tabs>
          <w:tab w:val="left" w:pos="10348"/>
          <w:tab w:val="left" w:pos="10490"/>
          <w:tab w:val="left" w:pos="11340"/>
        </w:tabs>
        <w:spacing w:line="360" w:lineRule="auto"/>
        <w:ind w:right="6"/>
        <w:jc w:val="both"/>
        <w:rPr>
          <w:rFonts w:ascii="Tahoma" w:eastAsia="Verdana" w:hAnsi="Tahoma" w:cs="Tahoma"/>
          <w:color w:val="000000" w:themeColor="text1"/>
          <w:w w:val="85"/>
          <w:sz w:val="24"/>
          <w:szCs w:val="24"/>
        </w:rPr>
      </w:pPr>
      <w:r w:rsidRPr="002462E6">
        <w:rPr>
          <w:rFonts w:ascii="Tahoma" w:eastAsia="Times New Roman" w:hAnsi="Tahoma" w:cs="Tahoma"/>
          <w:sz w:val="24"/>
          <w:szCs w:val="24"/>
          <w:lang w:eastAsia="fr-FR"/>
        </w:rPr>
        <w:t xml:space="preserve">Aborder le risque sous l’angle de l’aménagement du territoire implique le passage d’une logique de probabilité principalement temporelle à une logique de probabilité </w:t>
      </w:r>
      <w:r w:rsidR="004A426F" w:rsidRPr="002462E6">
        <w:rPr>
          <w:rFonts w:ascii="Tahoma" w:eastAsia="Times New Roman" w:hAnsi="Tahoma" w:cs="Tahoma"/>
          <w:sz w:val="24"/>
          <w:szCs w:val="24"/>
          <w:lang w:eastAsia="fr-FR"/>
        </w:rPr>
        <w:t>spatiale</w:t>
      </w:r>
      <w:r w:rsidRPr="002462E6">
        <w:rPr>
          <w:rFonts w:ascii="Tahoma" w:eastAsia="Times New Roman" w:hAnsi="Tahoma" w:cs="Tahoma"/>
          <w:sz w:val="24"/>
          <w:szCs w:val="24"/>
          <w:vertAlign w:val="superscript"/>
          <w:lang w:eastAsia="fr-FR"/>
        </w:rPr>
        <w:footnoteReference w:id="599"/>
      </w:r>
      <w:r w:rsidRPr="002462E6">
        <w:rPr>
          <w:rFonts w:ascii="Tahoma" w:eastAsia="Times New Roman" w:hAnsi="Tahoma" w:cs="Tahoma"/>
          <w:sz w:val="24"/>
          <w:szCs w:val="24"/>
          <w:lang w:eastAsia="fr-FR"/>
        </w:rPr>
        <w:t xml:space="preserve">. Cette démarche constitue un élément essentiel de la gestion territoriale du risque. Toutefois, plusieurs défis peuvent émerger, notamment ceux liés aux arbitrages entre la continuité relative des phénomènes spatiaux associés aux risques (variable selon le type de risque) et la gestion territoriale, souvent discontinue, de ces phénomènes : délimitation de zones réglementées, protégées, de zones bénéficiant d’aides, ou encore </w:t>
      </w:r>
      <w:r w:rsidRPr="002462E6">
        <w:rPr>
          <w:rFonts w:ascii="Tahoma" w:eastAsia="Verdana" w:hAnsi="Tahoma" w:cs="Tahoma"/>
          <w:color w:val="000000" w:themeColor="text1"/>
          <w:w w:val="85"/>
          <w:sz w:val="24"/>
          <w:szCs w:val="24"/>
        </w:rPr>
        <w:t xml:space="preserve">des aires déclarées en « catastrophe naturelle », etc. Il convient également de prendre en compte l’obligation de gérer des emboîtements d’échelles et de responsabilités, qui, selon le risque en question, s’étendent du niveau local au niveau global. </w:t>
      </w:r>
    </w:p>
    <w:p w:rsidR="00FA6C95" w:rsidRPr="002462E6" w:rsidRDefault="00FA6C95" w:rsidP="00FA6C95">
      <w:pPr>
        <w:tabs>
          <w:tab w:val="left" w:pos="10348"/>
          <w:tab w:val="left" w:pos="10490"/>
          <w:tab w:val="left" w:pos="11340"/>
        </w:tabs>
        <w:spacing w:line="360" w:lineRule="auto"/>
        <w:ind w:right="6"/>
        <w:jc w:val="both"/>
        <w:rPr>
          <w:rFonts w:ascii="Tahoma" w:eastAsia="Verdana" w:hAnsi="Tahoma" w:cs="Tahoma"/>
          <w:color w:val="000000" w:themeColor="text1"/>
          <w:w w:val="85"/>
          <w:sz w:val="24"/>
          <w:szCs w:val="24"/>
        </w:rPr>
      </w:pPr>
      <w:r w:rsidRPr="002462E6">
        <w:rPr>
          <w:rFonts w:ascii="Tahoma" w:eastAsia="Verdana" w:hAnsi="Tahoma" w:cs="Tahoma"/>
          <w:color w:val="000000" w:themeColor="text1"/>
          <w:w w:val="85"/>
          <w:sz w:val="24"/>
          <w:szCs w:val="24"/>
        </w:rPr>
        <w:t>La deuxième partie de cette thèse s’attache à une exploration rigoureuse, d’une part, de la configuration territoriale du Maroc rural (Chapitre I), et, d’autre part, à l’examen facteurs accélérateurs d’ébranler la stabilité démographique et socio-économique des populations relevant du territoire rural forestier de Korifla (Chapitre II).</w:t>
      </w:r>
    </w:p>
    <w:p w:rsidR="002F168E" w:rsidRPr="002462E6" w:rsidRDefault="00FA6C95" w:rsidP="00041AE8">
      <w:pPr>
        <w:tabs>
          <w:tab w:val="left" w:pos="10348"/>
          <w:tab w:val="left" w:pos="10490"/>
          <w:tab w:val="left" w:pos="11340"/>
        </w:tabs>
        <w:spacing w:line="360" w:lineRule="auto"/>
        <w:ind w:right="6"/>
        <w:jc w:val="both"/>
        <w:rPr>
          <w:rFonts w:ascii="Tahoma" w:eastAsia="Verdana" w:hAnsi="Tahoma" w:cs="Tahoma"/>
          <w:color w:val="000000" w:themeColor="text1"/>
          <w:w w:val="85"/>
          <w:sz w:val="24"/>
          <w:szCs w:val="24"/>
        </w:rPr>
      </w:pPr>
      <w:r w:rsidRPr="002462E6">
        <w:rPr>
          <w:rFonts w:ascii="Tahoma" w:eastAsia="Verdana" w:hAnsi="Tahoma" w:cs="Tahoma"/>
          <w:color w:val="000000" w:themeColor="text1"/>
          <w:w w:val="85"/>
          <w:sz w:val="24"/>
          <w:szCs w:val="24"/>
        </w:rPr>
        <w:t>Cette démarche analytique vise à déconstruire les mécanismes socio-spatiaux qui sous-tendent la dynamique des flux migratoires au sein d’un territoire situé à la croisée des exigences de conservation écologique et des mutations socio-économiques contemporaines.</w:t>
      </w:r>
    </w:p>
    <w:p w:rsidR="00FA6C95" w:rsidRPr="002462E6" w:rsidRDefault="002F168E" w:rsidP="002F168E">
      <w:pPr>
        <w:rPr>
          <w:rFonts w:ascii="Tahoma" w:eastAsia="Verdana" w:hAnsi="Tahoma" w:cs="Tahoma"/>
          <w:color w:val="000000" w:themeColor="text1"/>
          <w:w w:val="85"/>
          <w:sz w:val="24"/>
          <w:szCs w:val="24"/>
        </w:rPr>
      </w:pPr>
      <w:r w:rsidRPr="002462E6">
        <w:rPr>
          <w:rFonts w:ascii="Tahoma" w:eastAsia="Verdana" w:hAnsi="Tahoma" w:cs="Tahoma"/>
          <w:color w:val="000000" w:themeColor="text1"/>
          <w:w w:val="85"/>
          <w:sz w:val="24"/>
          <w:szCs w:val="24"/>
        </w:rPr>
        <w:br w:type="page"/>
      </w:r>
    </w:p>
    <w:p w:rsidR="00FA6C95" w:rsidRPr="002462E6" w:rsidRDefault="00FA6C95" w:rsidP="00F65F16">
      <w:pPr>
        <w:pStyle w:val="Titre2"/>
      </w:pPr>
      <w:bookmarkStart w:id="348" w:name="_Toc201570858"/>
      <w:bookmarkStart w:id="349" w:name="_Toc201570908"/>
      <w:bookmarkStart w:id="350" w:name="_Toc201655508"/>
      <w:bookmarkStart w:id="351" w:name="_Toc203643082"/>
      <w:r w:rsidRPr="002462E6">
        <w:t>Chapitre 1 : Analyse de la configuration territoriale du Maroc rural</w:t>
      </w:r>
      <w:bookmarkEnd w:id="348"/>
      <w:bookmarkEnd w:id="349"/>
      <w:bookmarkEnd w:id="350"/>
      <w:bookmarkEnd w:id="351"/>
      <w:r w:rsidRPr="002462E6">
        <w:t xml:space="preserve"> </w:t>
      </w:r>
    </w:p>
    <w:p w:rsidR="002914C6" w:rsidRPr="002462E6" w:rsidRDefault="002914C6" w:rsidP="00F65F16">
      <w:pPr>
        <w:pStyle w:val="Titre2"/>
      </w:pPr>
    </w:p>
    <w:p w:rsidR="00FA6C95" w:rsidRPr="002462E6" w:rsidRDefault="00FA6C95" w:rsidP="002914C6">
      <w:pPr>
        <w:spacing w:after="360" w:line="360" w:lineRule="auto"/>
        <w:jc w:val="both"/>
        <w:rPr>
          <w:color w:val="000000"/>
          <w:sz w:val="24"/>
          <w:szCs w:val="24"/>
          <w:shd w:val="clear" w:color="auto" w:fill="FFFFFF"/>
        </w:rPr>
      </w:pPr>
      <w:r w:rsidRPr="002462E6">
        <w:rPr>
          <w:rFonts w:ascii="Tahoma" w:eastAsia="Times New Roman" w:hAnsi="Tahoma" w:cs="Tahoma"/>
          <w:color w:val="000000" w:themeColor="text1"/>
          <w:sz w:val="24"/>
          <w:szCs w:val="24"/>
        </w:rPr>
        <w:t>Le territoire marocain couvre une superficie supérieure à 710 000 km², constituant ainsi l’espace de vie de ses habitants, le fondement physique de son enracinement historique et le pivot de ses activités. Les citoyens exploitent leurs ressources naturelles qu’ils valorisent par leur savoir-faire afin de satisfaire leurs besoins et de garantir leur bien-être et la prospérité à leur descendance</w:t>
      </w:r>
      <w:r w:rsidRPr="002462E6">
        <w:rPr>
          <w:rStyle w:val="Appelnotedebasdep"/>
          <w:color w:val="000000"/>
          <w:sz w:val="24"/>
          <w:szCs w:val="24"/>
          <w:shd w:val="clear" w:color="auto" w:fill="FFFFFF"/>
        </w:rPr>
        <w:footnoteReference w:id="600"/>
      </w:r>
      <w:r w:rsidRPr="002462E6">
        <w:rPr>
          <w:color w:val="000000"/>
          <w:sz w:val="24"/>
          <w:szCs w:val="24"/>
          <w:shd w:val="clear" w:color="auto" w:fill="FFFFFF"/>
        </w:rPr>
        <w:t>.</w:t>
      </w:r>
    </w:p>
    <w:p w:rsidR="00FA6C95" w:rsidRPr="002462E6" w:rsidRDefault="00FA6C95" w:rsidP="002914C6">
      <w:pPr>
        <w:spacing w:after="360" w:line="360" w:lineRule="auto"/>
        <w:jc w:val="both"/>
        <w:rPr>
          <w:rFonts w:ascii="Tahoma" w:eastAsia="Times New Roman" w:hAnsi="Tahoma" w:cs="Tahoma"/>
          <w:sz w:val="24"/>
          <w:szCs w:val="24"/>
          <w:lang w:eastAsia="fr-FR"/>
        </w:rPr>
      </w:pPr>
      <w:r w:rsidRPr="002462E6">
        <w:rPr>
          <w:rFonts w:ascii="Tahoma" w:eastAsia="Times New Roman" w:hAnsi="Tahoma" w:cs="Tahoma"/>
          <w:sz w:val="24"/>
          <w:szCs w:val="24"/>
          <w:lang w:eastAsia="fr-FR"/>
        </w:rPr>
        <w:t xml:space="preserve">Le territoire marocain se distingue par </w:t>
      </w:r>
      <w:r w:rsidRPr="002462E6">
        <w:rPr>
          <w:rFonts w:ascii="Tahoma" w:hAnsi="Tahoma" w:cs="Tahoma"/>
          <w:sz w:val="24"/>
          <w:szCs w:val="24"/>
        </w:rPr>
        <w:t>une diversité géographique</w:t>
      </w:r>
      <w:r w:rsidRPr="002462E6">
        <w:rPr>
          <w:rFonts w:ascii="Tahoma" w:eastAsia="Times New Roman" w:hAnsi="Tahoma" w:cs="Tahoma"/>
          <w:sz w:val="24"/>
          <w:szCs w:val="24"/>
          <w:lang w:eastAsia="fr-FR"/>
        </w:rPr>
        <w:t>, allant des plaines littorales méditerranéennes aux sommets montagneux de l'Atlas, en passant par de vastes étendues désertiques du Sahara</w:t>
      </w:r>
      <w:r w:rsidRPr="002462E6">
        <w:rPr>
          <w:rStyle w:val="Appelnotedebasdep"/>
          <w:rFonts w:ascii="Tahoma" w:eastAsia="Times New Roman" w:hAnsi="Tahoma" w:cs="Tahoma"/>
          <w:sz w:val="24"/>
          <w:szCs w:val="24"/>
          <w:lang w:eastAsia="fr-FR"/>
        </w:rPr>
        <w:footnoteReference w:id="601"/>
      </w:r>
      <w:r w:rsidRPr="002462E6">
        <w:rPr>
          <w:rFonts w:ascii="Tahoma" w:eastAsia="Times New Roman" w:hAnsi="Tahoma" w:cs="Tahoma"/>
          <w:sz w:val="24"/>
          <w:szCs w:val="24"/>
          <w:lang w:eastAsia="fr-FR"/>
        </w:rPr>
        <w:t>. Cette mosaïque de paysages naturels abrite une population dont l'identité est profondément ancrée dans la dualité entre espaces urbains et ruraux.</w:t>
      </w:r>
    </w:p>
    <w:p w:rsidR="00FA6C95" w:rsidRPr="002462E6" w:rsidRDefault="00FA6C95" w:rsidP="002914C6">
      <w:pPr>
        <w:spacing w:after="360" w:line="360" w:lineRule="auto"/>
        <w:jc w:val="both"/>
        <w:rPr>
          <w:rFonts w:ascii="Tahoma" w:eastAsia="Times New Roman" w:hAnsi="Tahoma" w:cs="Tahoma"/>
          <w:sz w:val="24"/>
          <w:szCs w:val="24"/>
          <w:lang w:eastAsia="fr-FR"/>
        </w:rPr>
      </w:pPr>
      <w:r w:rsidRPr="002462E6">
        <w:rPr>
          <w:rFonts w:ascii="Tahoma" w:eastAsia="Times New Roman" w:hAnsi="Tahoma" w:cs="Tahoma"/>
          <w:sz w:val="24"/>
          <w:szCs w:val="24"/>
          <w:lang w:eastAsia="fr-FR"/>
        </w:rPr>
        <w:t>Durant la période du protectorat français, l'espace rural marocain fut désigné sous le vocable de "Maroc inutile" (Lyautey, 1921). Cette terminologie, loin d'être neutre, a engendré des répercussions structurelles et socio-économiques durables, dont l'influence se manifeste aujourd'hui dans les dynamiques sociales et le développement rural contemporains. L'analyse de cet héritage colonial s'avère cruciale pour appréhender les défis actuels en matière d'aménagement du territoire et de réduction des disparités régionales au Maroc (Pacson, 1977)</w:t>
      </w:r>
      <w:r w:rsidRPr="002462E6">
        <w:rPr>
          <w:rStyle w:val="Appelnotedebasdep"/>
          <w:rFonts w:ascii="Tahoma" w:eastAsia="Times New Roman" w:hAnsi="Tahoma" w:cs="Tahoma"/>
          <w:sz w:val="24"/>
          <w:szCs w:val="24"/>
          <w:lang w:eastAsia="fr-FR"/>
        </w:rPr>
        <w:footnoteReference w:id="602"/>
      </w:r>
      <w:r w:rsidRPr="002462E6">
        <w:rPr>
          <w:rFonts w:ascii="Tahoma" w:eastAsia="Times New Roman" w:hAnsi="Tahoma" w:cs="Tahoma"/>
          <w:sz w:val="24"/>
          <w:szCs w:val="24"/>
          <w:lang w:eastAsia="fr-FR"/>
        </w:rPr>
        <w:t>.</w:t>
      </w:r>
    </w:p>
    <w:p w:rsidR="00FA6C95" w:rsidRPr="002462E6" w:rsidRDefault="00FA6C95" w:rsidP="00933097">
      <w:pPr>
        <w:spacing w:after="360" w:line="360" w:lineRule="auto"/>
        <w:jc w:val="both"/>
        <w:rPr>
          <w:rFonts w:ascii="Tahoma" w:eastAsia="Times New Roman" w:hAnsi="Tahoma" w:cs="Tahoma"/>
          <w:sz w:val="24"/>
          <w:szCs w:val="24"/>
          <w:lang w:eastAsia="fr-FR"/>
        </w:rPr>
      </w:pPr>
      <w:r w:rsidRPr="002462E6">
        <w:rPr>
          <w:rFonts w:ascii="Tahoma" w:eastAsia="Times New Roman" w:hAnsi="Tahoma" w:cs="Tahoma"/>
          <w:sz w:val="24"/>
          <w:szCs w:val="24"/>
          <w:lang w:eastAsia="fr-FR"/>
        </w:rPr>
        <w:t>Cette perspective historique permet de contextualiser les enjeux socio-économiques et spatiaux contemporains et de mieux orienter les politiques publiques ciblant un développement rural plus inclusif et équitable</w:t>
      </w:r>
      <w:r w:rsidRPr="002462E6">
        <w:rPr>
          <w:rStyle w:val="Appelnotedebasdep"/>
          <w:rFonts w:ascii="Tahoma" w:hAnsi="Tahoma" w:cs="Tahoma"/>
          <w:sz w:val="24"/>
          <w:szCs w:val="24"/>
        </w:rPr>
        <w:footnoteReference w:id="603"/>
      </w:r>
      <w:r w:rsidRPr="002462E6">
        <w:rPr>
          <w:rFonts w:ascii="Tahoma" w:hAnsi="Tahoma" w:cs="Tahoma"/>
          <w:sz w:val="24"/>
          <w:szCs w:val="24"/>
        </w:rPr>
        <w:t xml:space="preserve">. Cette dichotomie entre l'espace occupé et la densité démographique révèle les déséquilibres territoriaux qui caractérisent actuellement le développement au Maroc. </w:t>
      </w:r>
      <w:r w:rsidRPr="002462E6">
        <w:rPr>
          <w:rFonts w:ascii="Tahoma" w:eastAsia="Times New Roman" w:hAnsi="Tahoma" w:cs="Tahoma"/>
          <w:color w:val="000000" w:themeColor="text1"/>
          <w:sz w:val="24"/>
          <w:szCs w:val="24"/>
        </w:rPr>
        <w:t xml:space="preserve">A cet égard, une analyse approfondie de la question de l'aménagement territorial s'avère nécessaire pour comprendre ces dynamiques spatiales et leurs implications socio-économiques ayant contribué à façonner le paysage rural marocain.  </w:t>
      </w:r>
    </w:p>
    <w:p w:rsidR="00FA6C95" w:rsidRPr="002462E6" w:rsidRDefault="00FA6C95" w:rsidP="007A71CC">
      <w:pPr>
        <w:pStyle w:val="Titre3"/>
      </w:pPr>
      <w:bookmarkStart w:id="352" w:name="_Toc201570859"/>
      <w:bookmarkStart w:id="353" w:name="_Toc201570909"/>
      <w:bookmarkStart w:id="354" w:name="_Toc201655509"/>
      <w:bookmarkStart w:id="355" w:name="_Toc203643083"/>
      <w:r w:rsidRPr="002462E6">
        <w:t>Première section : Conceptualisation du territoire et évolution de l’aménagement au Maroc</w:t>
      </w:r>
      <w:bookmarkEnd w:id="352"/>
      <w:bookmarkEnd w:id="353"/>
      <w:bookmarkEnd w:id="354"/>
      <w:bookmarkEnd w:id="355"/>
      <w:r w:rsidRPr="002462E6">
        <w:t xml:space="preserve"> </w:t>
      </w:r>
    </w:p>
    <w:p w:rsidR="00FA6C95" w:rsidRPr="002462E6" w:rsidRDefault="00FA6C95" w:rsidP="00FA6C95">
      <w:pPr>
        <w:spacing w:after="0" w:line="360" w:lineRule="auto"/>
        <w:jc w:val="both"/>
        <w:rPr>
          <w:rFonts w:ascii="Tahoma" w:eastAsia="Times New Roman" w:hAnsi="Tahoma" w:cs="Tahoma"/>
          <w:sz w:val="24"/>
          <w:szCs w:val="24"/>
          <w:lang w:eastAsia="fr-FR"/>
        </w:rPr>
      </w:pPr>
    </w:p>
    <w:p w:rsidR="00FA6C95" w:rsidRPr="002462E6" w:rsidRDefault="00FA6C95" w:rsidP="00FA6C95">
      <w:pPr>
        <w:spacing w:after="0" w:line="360" w:lineRule="auto"/>
        <w:jc w:val="both"/>
        <w:rPr>
          <w:rFonts w:ascii="Tahoma" w:eastAsia="Times New Roman" w:hAnsi="Tahoma" w:cs="Tahoma"/>
          <w:color w:val="000000" w:themeColor="text1"/>
          <w:sz w:val="24"/>
          <w:szCs w:val="24"/>
        </w:rPr>
      </w:pPr>
      <w:r w:rsidRPr="002462E6">
        <w:rPr>
          <w:rFonts w:ascii="Tahoma" w:eastAsia="Times New Roman" w:hAnsi="Tahoma" w:cs="Tahoma"/>
          <w:color w:val="000000" w:themeColor="text1"/>
          <w:sz w:val="24"/>
          <w:szCs w:val="24"/>
        </w:rPr>
        <w:t>La notion du territoire semble être accaparée par la majeure partie des sciences humaines et sociales, celle-ci créerait « une incontestable confusion et tendr[ait] à [...] décrédibiliser [le territoire] en tant qu’objet scientifique »</w:t>
      </w:r>
      <w:r w:rsidRPr="002462E6">
        <w:rPr>
          <w:rFonts w:ascii="Tahoma" w:eastAsia="Times New Roman" w:hAnsi="Tahoma" w:cs="Tahoma"/>
          <w:color w:val="000000" w:themeColor="text1"/>
          <w:sz w:val="24"/>
          <w:szCs w:val="24"/>
          <w:vertAlign w:val="superscript"/>
        </w:rPr>
        <w:footnoteReference w:id="604"/>
      </w:r>
      <w:r w:rsidRPr="002462E6">
        <w:rPr>
          <w:rFonts w:ascii="Tahoma" w:eastAsia="Times New Roman" w:hAnsi="Tahoma" w:cs="Tahoma"/>
          <w:color w:val="000000" w:themeColor="text1"/>
          <w:sz w:val="24"/>
          <w:szCs w:val="24"/>
        </w:rPr>
        <w:t>.</w:t>
      </w:r>
    </w:p>
    <w:p w:rsidR="00FA6C95" w:rsidRPr="002462E6" w:rsidRDefault="00FA6C95" w:rsidP="00FA6C95">
      <w:pPr>
        <w:spacing w:after="0" w:line="360" w:lineRule="auto"/>
        <w:jc w:val="both"/>
        <w:rPr>
          <w:rFonts w:ascii="Tahoma" w:eastAsia="Times New Roman" w:hAnsi="Tahoma" w:cs="Tahoma"/>
          <w:color w:val="000000" w:themeColor="text1"/>
          <w:sz w:val="24"/>
          <w:szCs w:val="24"/>
        </w:rPr>
      </w:pPr>
      <w:r w:rsidRPr="002462E6">
        <w:rPr>
          <w:rFonts w:ascii="Tahoma" w:eastAsia="Times New Roman" w:hAnsi="Tahoma" w:cs="Tahoma"/>
          <w:color w:val="000000" w:themeColor="text1"/>
          <w:sz w:val="24"/>
          <w:szCs w:val="24"/>
        </w:rPr>
        <w:t>Une clarification conceptuelle préalable est alors primordiale pour mieux appréhender les diverses significations que le territoire peut revêtir, et d’éviter ainsi les écueils d'une utilisation imprécise ou ambivalente du terme. L'enjeu consiste à distinguer les différentes acceptions du territoire (géographique, politique, juridique, économique, anthropique, éthologique, urbanistique …) et à identifier les relations complexes qui les relient.</w:t>
      </w:r>
    </w:p>
    <w:p w:rsidR="00FA6C95" w:rsidRPr="002462E6" w:rsidRDefault="00FA6C95" w:rsidP="00FA6C95">
      <w:pPr>
        <w:spacing w:after="0" w:line="360" w:lineRule="auto"/>
        <w:jc w:val="both"/>
        <w:rPr>
          <w:rFonts w:ascii="Tahoma" w:eastAsia="Times New Roman" w:hAnsi="Tahoma" w:cs="Tahoma"/>
          <w:color w:val="000000" w:themeColor="text1"/>
          <w:sz w:val="24"/>
          <w:szCs w:val="24"/>
        </w:rPr>
      </w:pPr>
      <w:r w:rsidRPr="002462E6">
        <w:rPr>
          <w:rFonts w:ascii="Tahoma" w:eastAsia="Times New Roman" w:hAnsi="Tahoma" w:cs="Tahoma"/>
          <w:color w:val="000000" w:themeColor="text1"/>
          <w:sz w:val="24"/>
          <w:szCs w:val="24"/>
        </w:rPr>
        <w:t>D'un point de vue épistémologique, l'utilisation du concept de "territoire" pourrait potentiellement conférer une certaine légitimité aux recherches, tout en constituant un objet d'étude apparemment commode. Il pourrait être perçu comme une sorte de "maille totale". Ainsi, bien qu'une géographie des territoires puisse revêtir une pertinence certaine, il serait assurément réducteur de limiter la géographie à la seule science des territoires, ou de considérer le territoire comme le nouveau paradigme exclusif de la géographie humaine. Il convient de maintenir une perspective critique et nuancée quant à l'utilisation de ce concept, en reconnaissant sa valeur potentielle tout en évitant de lui accorder une centralité excessive</w:t>
      </w:r>
      <w:r w:rsidRPr="002462E6">
        <w:rPr>
          <w:rFonts w:ascii="Tahoma" w:eastAsia="Times New Roman" w:hAnsi="Tahoma" w:cs="Tahoma"/>
          <w:color w:val="000000" w:themeColor="text1"/>
          <w:sz w:val="24"/>
          <w:szCs w:val="24"/>
          <w:vertAlign w:val="superscript"/>
        </w:rPr>
        <w:footnoteReference w:id="605"/>
      </w:r>
      <w:r w:rsidRPr="002462E6">
        <w:rPr>
          <w:rFonts w:ascii="Tahoma" w:eastAsia="Times New Roman" w:hAnsi="Tahoma" w:cs="Tahoma"/>
          <w:color w:val="000000" w:themeColor="text1"/>
          <w:sz w:val="24"/>
          <w:szCs w:val="24"/>
        </w:rPr>
        <w:t>.</w:t>
      </w:r>
    </w:p>
    <w:p w:rsidR="00FA6C95" w:rsidRPr="002462E6" w:rsidRDefault="00FA6C95" w:rsidP="00FA6C95">
      <w:pPr>
        <w:spacing w:after="0" w:line="360" w:lineRule="auto"/>
        <w:jc w:val="both"/>
        <w:rPr>
          <w:rFonts w:ascii="Tahoma" w:eastAsia="Times New Roman" w:hAnsi="Tahoma" w:cs="Tahoma"/>
          <w:color w:val="000000" w:themeColor="text1"/>
          <w:sz w:val="6"/>
          <w:szCs w:val="6"/>
        </w:rPr>
      </w:pPr>
    </w:p>
    <w:p w:rsidR="00FA6C95" w:rsidRPr="002462E6" w:rsidRDefault="00420D6A" w:rsidP="00D051D7">
      <w:pPr>
        <w:pStyle w:val="Titre4"/>
        <w:numPr>
          <w:ilvl w:val="0"/>
          <w:numId w:val="66"/>
        </w:numPr>
      </w:pPr>
      <w:bookmarkStart w:id="356" w:name="_Toc201570910"/>
      <w:bookmarkStart w:id="357" w:name="_Toc201655510"/>
      <w:r w:rsidRPr="002462E6">
        <w:t xml:space="preserve"> </w:t>
      </w:r>
      <w:bookmarkStart w:id="358" w:name="_Toc203643084"/>
      <w:r w:rsidR="00FA6C95" w:rsidRPr="002462E6">
        <w:t>Approches théoriques du concept de territoire</w:t>
      </w:r>
      <w:bookmarkEnd w:id="356"/>
      <w:bookmarkEnd w:id="357"/>
      <w:bookmarkEnd w:id="358"/>
      <w:r w:rsidR="00FA6C95" w:rsidRPr="002462E6">
        <w:t xml:space="preserve">  </w:t>
      </w:r>
    </w:p>
    <w:p w:rsidR="00FA6C95" w:rsidRPr="002462E6" w:rsidRDefault="00FA6C95" w:rsidP="00FA6C95">
      <w:pPr>
        <w:pStyle w:val="Paragraphedeliste"/>
        <w:spacing w:before="55"/>
        <w:ind w:left="1019" w:firstLine="0"/>
        <w:rPr>
          <w:rFonts w:ascii="Tahoma" w:hAnsi="Tahoma" w:cs="Tahoma"/>
          <w:b/>
          <w:bCs/>
          <w:color w:val="000000" w:themeColor="text1"/>
          <w:sz w:val="24"/>
          <w:szCs w:val="24"/>
        </w:rPr>
      </w:pPr>
    </w:p>
    <w:p w:rsidR="00FA6C95" w:rsidRPr="002462E6" w:rsidRDefault="00FA6C95" w:rsidP="00FA6C95">
      <w:pPr>
        <w:pStyle w:val="Corpsdetexte"/>
        <w:spacing w:before="1" w:line="360" w:lineRule="auto"/>
        <w:ind w:right="600"/>
        <w:jc w:val="both"/>
        <w:rPr>
          <w:rFonts w:ascii="Tahoma" w:hAnsi="Tahoma" w:cs="Tahoma"/>
          <w:color w:val="000000" w:themeColor="text1"/>
        </w:rPr>
      </w:pPr>
      <w:r w:rsidRPr="002462E6">
        <w:rPr>
          <w:rFonts w:ascii="Tahoma" w:hAnsi="Tahoma" w:cs="Tahoma"/>
          <w:color w:val="000000" w:themeColor="text1"/>
        </w:rPr>
        <w:t>Le terme « territoire » est apparu dans la langue française au cours du XIIIe siècle et il ne s’est généralisé qu’au XVIIIe siècle. Dans son Grand dictionnaire universel du XIXe siècle (1875), Pierre Larousse mentionne que le mot vient du latin, territorium, dérivant de terra, « terre », qui veut dire une « étendue de pays qui ressortit à une autorité ou à une juridiction quelconque »</w:t>
      </w:r>
      <w:r w:rsidRPr="002462E6">
        <w:rPr>
          <w:color w:val="000000" w:themeColor="text1"/>
          <w:vertAlign w:val="superscript"/>
        </w:rPr>
        <w:footnoteReference w:id="606"/>
      </w:r>
      <w:r w:rsidRPr="002462E6">
        <w:rPr>
          <w:rFonts w:ascii="Tahoma" w:hAnsi="Tahoma" w:cs="Tahoma"/>
          <w:color w:val="000000" w:themeColor="text1"/>
        </w:rPr>
        <w:t>.</w:t>
      </w:r>
    </w:p>
    <w:p w:rsidR="00FA6C95" w:rsidRPr="002462E6" w:rsidRDefault="00FA6C95" w:rsidP="00A240B0">
      <w:pPr>
        <w:pStyle w:val="Corpsdetexte"/>
        <w:spacing w:before="1" w:line="360" w:lineRule="auto"/>
        <w:ind w:right="600"/>
        <w:jc w:val="both"/>
        <w:rPr>
          <w:rFonts w:ascii="Tahoma" w:hAnsi="Tahoma" w:cs="Tahoma"/>
          <w:color w:val="000000" w:themeColor="text1"/>
        </w:rPr>
      </w:pPr>
      <w:r w:rsidRPr="002462E6">
        <w:rPr>
          <w:rFonts w:ascii="Tahoma" w:hAnsi="Tahoma" w:cs="Tahoma"/>
          <w:color w:val="000000" w:themeColor="text1"/>
        </w:rPr>
        <w:t>Plus d’un siècle après, Alain Rey, dans le Dictionnaire historique de la langue française confirme que le mot français vient du latin, territorium, « étendue sur laquelle vit un groupe humain ». Les deux dictionnaristes associent à ce terme, « territorial », « territorialité », « extra-territorialité », « territorialement ». Seul Alain Rey peut faire état de « déterritorialiser » et de « déterritorialisation», concepts qui seront élaborés par Gilles Deleuze et Félix Guattari, dans Mille plateaux</w:t>
      </w:r>
      <w:r w:rsidRPr="002462E6">
        <w:rPr>
          <w:rStyle w:val="Appelnotedebasdep"/>
          <w:rFonts w:ascii="Tahoma" w:hAnsi="Tahoma" w:cs="Tahoma"/>
          <w:color w:val="000000" w:themeColor="text1"/>
        </w:rPr>
        <w:footnoteReference w:id="607"/>
      </w:r>
      <w:r w:rsidR="00A240B0">
        <w:rPr>
          <w:rFonts w:ascii="Tahoma" w:hAnsi="Tahoma" w:cs="Tahoma"/>
          <w:color w:val="000000" w:themeColor="text1"/>
        </w:rPr>
        <w:t>.</w:t>
      </w:r>
    </w:p>
    <w:p w:rsidR="00FA6C95" w:rsidRPr="00A240B0" w:rsidRDefault="00FA6C95" w:rsidP="00A240B0">
      <w:pPr>
        <w:pStyle w:val="Titre5"/>
        <w:numPr>
          <w:ilvl w:val="0"/>
          <w:numId w:val="78"/>
        </w:numPr>
      </w:pPr>
      <w:bookmarkStart w:id="359" w:name="_Toc201655511"/>
      <w:bookmarkStart w:id="360" w:name="_Toc203643085"/>
      <w:r w:rsidRPr="002462E6">
        <w:t>Polysémie du territoire : Exploration transdisciplinaire et contextualisation conceptuelle en sciences humaines et sociales</w:t>
      </w:r>
      <w:bookmarkEnd w:id="359"/>
      <w:bookmarkEnd w:id="360"/>
    </w:p>
    <w:p w:rsidR="00FA6C95" w:rsidRPr="002462E6" w:rsidRDefault="00FA6C95" w:rsidP="00FA6C95">
      <w:pPr>
        <w:pStyle w:val="Corpsdetexte"/>
        <w:spacing w:before="1" w:line="360" w:lineRule="auto"/>
        <w:ind w:right="600"/>
        <w:jc w:val="both"/>
        <w:rPr>
          <w:rFonts w:ascii="Tahoma" w:hAnsi="Tahoma" w:cs="Tahoma"/>
          <w:color w:val="000000" w:themeColor="text1"/>
        </w:rPr>
      </w:pPr>
      <w:r w:rsidRPr="002462E6">
        <w:rPr>
          <w:rFonts w:ascii="Tahoma" w:hAnsi="Tahoma" w:cs="Tahoma"/>
          <w:color w:val="000000" w:themeColor="text1"/>
        </w:rPr>
        <w:t>Dans le but d'appréhender la polysémie du concept de territoire, une exploration conceptuelle transdisciplinaire, embrassant diverses perspectives issues des sciences humaines et sociales, se révèle importante.</w:t>
      </w:r>
    </w:p>
    <w:p w:rsidR="00FA6C95" w:rsidRDefault="00FA6C95" w:rsidP="00A240B0">
      <w:pPr>
        <w:pStyle w:val="Corpsdetexte"/>
        <w:spacing w:before="1" w:line="360" w:lineRule="auto"/>
        <w:ind w:right="600"/>
        <w:jc w:val="both"/>
        <w:rPr>
          <w:rFonts w:ascii="Tahoma" w:hAnsi="Tahoma" w:cs="Tahoma"/>
          <w:color w:val="000000" w:themeColor="text1"/>
        </w:rPr>
      </w:pPr>
      <w:r w:rsidRPr="002462E6">
        <w:rPr>
          <w:rFonts w:ascii="Tahoma" w:hAnsi="Tahoma" w:cs="Tahoma"/>
          <w:color w:val="000000" w:themeColor="text1"/>
        </w:rPr>
        <w:t>Cette démarche permettra de contextualiser les différentes acceptions du terme et de mettre en lumière la richesse et la complexité de ses applications dans des champs disciplinaires variés (par exemple, la géographie, la sociologie, l'anthropolo</w:t>
      </w:r>
      <w:r w:rsidR="00A240B0">
        <w:rPr>
          <w:rFonts w:ascii="Tahoma" w:hAnsi="Tahoma" w:cs="Tahoma"/>
          <w:color w:val="000000" w:themeColor="text1"/>
        </w:rPr>
        <w:t>gie, les sciences politiques…).</w:t>
      </w:r>
    </w:p>
    <w:p w:rsidR="00A240B0" w:rsidRPr="00A240B0" w:rsidRDefault="00A240B0" w:rsidP="00A240B0">
      <w:pPr>
        <w:pStyle w:val="Corpsdetexte"/>
        <w:spacing w:before="1" w:line="360" w:lineRule="auto"/>
        <w:ind w:right="600"/>
        <w:jc w:val="both"/>
        <w:rPr>
          <w:rFonts w:ascii="Tahoma" w:hAnsi="Tahoma" w:cs="Tahoma"/>
          <w:color w:val="000000" w:themeColor="text1"/>
          <w:sz w:val="10"/>
          <w:szCs w:val="10"/>
        </w:rPr>
      </w:pPr>
    </w:p>
    <w:p w:rsidR="00FA6C95" w:rsidRPr="008D3838" w:rsidRDefault="00FA6C95" w:rsidP="008D3838">
      <w:pPr>
        <w:pStyle w:val="Titre6"/>
        <w:numPr>
          <w:ilvl w:val="0"/>
          <w:numId w:val="49"/>
        </w:numPr>
        <w:rPr>
          <w:w w:val="85"/>
        </w:rPr>
      </w:pPr>
      <w:bookmarkStart w:id="361" w:name="_Toc201655512"/>
      <w:bookmarkStart w:id="362" w:name="_Toc203643086"/>
      <w:r w:rsidRPr="008D3838">
        <w:rPr>
          <w:w w:val="85"/>
        </w:rPr>
        <w:t>Perspectives historiques et géographiques du territoire</w:t>
      </w:r>
      <w:bookmarkEnd w:id="361"/>
      <w:bookmarkEnd w:id="362"/>
      <w:r w:rsidR="00A240B0" w:rsidRPr="008D3838">
        <w:rPr>
          <w:w w:val="85"/>
        </w:rPr>
        <w:t xml:space="preserve"> </w:t>
      </w:r>
    </w:p>
    <w:p w:rsidR="00A240B0" w:rsidRPr="00A240B0" w:rsidRDefault="00A240B0" w:rsidP="00A240B0">
      <w:pPr>
        <w:rPr>
          <w:sz w:val="6"/>
          <w:szCs w:val="6"/>
          <w:lang w:eastAsia="fr-FR"/>
        </w:rPr>
      </w:pPr>
    </w:p>
    <w:p w:rsidR="00FA6C95" w:rsidRPr="002462E6" w:rsidRDefault="00FA6C95" w:rsidP="00FA6C95">
      <w:pPr>
        <w:tabs>
          <w:tab w:val="left" w:pos="1935"/>
          <w:tab w:val="left" w:pos="1936"/>
        </w:tabs>
        <w:spacing w:before="93" w:line="360" w:lineRule="auto"/>
        <w:jc w:val="both"/>
        <w:rPr>
          <w:rFonts w:ascii="Tahoma" w:eastAsia="Times New Roman" w:hAnsi="Tahoma" w:cs="Tahoma"/>
          <w:color w:val="000000" w:themeColor="text1"/>
          <w:sz w:val="24"/>
          <w:szCs w:val="24"/>
        </w:rPr>
      </w:pPr>
      <w:r w:rsidRPr="002462E6">
        <w:rPr>
          <w:rFonts w:ascii="Tahoma" w:eastAsia="Times New Roman" w:hAnsi="Tahoma" w:cs="Tahoma"/>
          <w:color w:val="000000" w:themeColor="text1"/>
          <w:sz w:val="24"/>
          <w:szCs w:val="24"/>
        </w:rPr>
        <w:t>Le territoire est un concept polysémique qui a été examiné par les historiens et les géographes. Les historiens constatent un vocabulaire foisonnant autour de ce terme, qui révèle surtout un souci d'écriture plutôt que des réalités bien définies. Les géographes, quant à eux, ont vu l'évolution du concept, passant de la "région" dans les années 1960 à "l'espace" dans les années 1970, avant d'être remplacé par "le territoire" à partir des années 1980, dans une acception dépassant l'aménagement du territoire</w:t>
      </w:r>
      <w:r w:rsidRPr="002462E6">
        <w:rPr>
          <w:vertAlign w:val="superscript"/>
        </w:rPr>
        <w:footnoteReference w:id="608"/>
      </w:r>
      <w:r w:rsidRPr="002462E6">
        <w:rPr>
          <w:rFonts w:ascii="Tahoma" w:eastAsia="Times New Roman" w:hAnsi="Tahoma" w:cs="Tahoma"/>
          <w:color w:val="000000" w:themeColor="text1"/>
          <w:sz w:val="24"/>
          <w:szCs w:val="24"/>
        </w:rPr>
        <w:t xml:space="preserve">. </w:t>
      </w:r>
    </w:p>
    <w:p w:rsidR="00FA6C95" w:rsidRPr="002462E6" w:rsidRDefault="00FA6C95" w:rsidP="00FA6C95">
      <w:pPr>
        <w:spacing w:line="360" w:lineRule="auto"/>
        <w:jc w:val="both"/>
        <w:rPr>
          <w:rFonts w:ascii="Tahoma" w:eastAsia="Times New Roman" w:hAnsi="Tahoma" w:cs="Tahoma"/>
          <w:color w:val="000000" w:themeColor="text1"/>
          <w:sz w:val="24"/>
          <w:szCs w:val="24"/>
        </w:rPr>
      </w:pPr>
      <w:r w:rsidRPr="002462E6">
        <w:rPr>
          <w:rFonts w:ascii="Tahoma" w:eastAsia="Times New Roman" w:hAnsi="Tahoma" w:cs="Tahoma"/>
          <w:color w:val="000000" w:themeColor="text1"/>
          <w:sz w:val="24"/>
          <w:szCs w:val="24"/>
        </w:rPr>
        <w:t>Le territoire est défini comme une portion de la surface terrestre appropriée par un groupe social pour assurer sa reproduction et ses besoins vitaux</w:t>
      </w:r>
      <w:r w:rsidRPr="002462E6">
        <w:footnoteReference w:id="609"/>
      </w:r>
      <w:r w:rsidRPr="002462E6">
        <w:rPr>
          <w:rFonts w:ascii="Tahoma" w:eastAsia="Times New Roman" w:hAnsi="Tahoma" w:cs="Tahoma"/>
          <w:color w:val="000000" w:themeColor="text1"/>
          <w:sz w:val="24"/>
          <w:szCs w:val="24"/>
        </w:rPr>
        <w:t>. Il résulte d'une action humaine, et devient l'enjeu de pouvoirs concurrents, légitimé par les représentations symboliques, patrimoniales et imaginaires qu'il génère au sein des populations qui l'occupent</w:t>
      </w:r>
      <w:r w:rsidRPr="002462E6">
        <w:rPr>
          <w:vertAlign w:val="superscript"/>
        </w:rPr>
        <w:footnoteReference w:id="610"/>
      </w:r>
      <w:r w:rsidRPr="002462E6">
        <w:rPr>
          <w:rFonts w:ascii="Tahoma" w:eastAsia="Times New Roman" w:hAnsi="Tahoma" w:cs="Tahoma"/>
          <w:color w:val="000000" w:themeColor="text1"/>
          <w:sz w:val="24"/>
          <w:szCs w:val="24"/>
        </w:rPr>
        <w:t>.</w:t>
      </w:r>
    </w:p>
    <w:p w:rsidR="00FA6C95" w:rsidRPr="002462E6" w:rsidRDefault="00FA6C95" w:rsidP="00FA6C95">
      <w:pPr>
        <w:tabs>
          <w:tab w:val="left" w:pos="1935"/>
          <w:tab w:val="left" w:pos="1936"/>
        </w:tabs>
        <w:spacing w:before="93" w:line="360" w:lineRule="auto"/>
        <w:jc w:val="both"/>
        <w:rPr>
          <w:rFonts w:ascii="Tahoma" w:eastAsia="Times New Roman" w:hAnsi="Tahoma" w:cs="Tahoma"/>
          <w:color w:val="000000" w:themeColor="text1"/>
          <w:sz w:val="24"/>
          <w:szCs w:val="24"/>
        </w:rPr>
      </w:pPr>
      <w:r w:rsidRPr="002462E6">
        <w:rPr>
          <w:rFonts w:ascii="Tahoma" w:eastAsia="Times New Roman" w:hAnsi="Tahoma" w:cs="Tahoma"/>
          <w:color w:val="000000" w:themeColor="text1"/>
          <w:sz w:val="24"/>
          <w:szCs w:val="24"/>
        </w:rPr>
        <w:t>La réalité géographique d'un territoire repose sur un "fait total culturel et géographique" inscrit dans une histoire spécifique. Selon Éric Dardel, le temps humain est un "temps pour" le futur, plutôt que le passé</w:t>
      </w:r>
      <w:r w:rsidRPr="002462E6">
        <w:rPr>
          <w:vertAlign w:val="superscript"/>
        </w:rPr>
        <w:footnoteReference w:id="611"/>
      </w:r>
      <w:r w:rsidRPr="002462E6">
        <w:rPr>
          <w:rFonts w:ascii="Tahoma" w:eastAsia="Times New Roman" w:hAnsi="Tahoma" w:cs="Tahoma"/>
          <w:color w:val="000000" w:themeColor="text1"/>
          <w:sz w:val="24"/>
          <w:szCs w:val="24"/>
        </w:rPr>
        <w:t>. Toute situation affective comporte une compréhension qui s'accompagne d'une spatialisation dans des territoires géographiques et historiques</w:t>
      </w:r>
      <w:r w:rsidRPr="002462E6">
        <w:rPr>
          <w:vertAlign w:val="superscript"/>
        </w:rPr>
        <w:footnoteReference w:id="612"/>
      </w:r>
      <w:r w:rsidRPr="002462E6">
        <w:rPr>
          <w:rFonts w:ascii="Tahoma" w:eastAsia="Times New Roman" w:hAnsi="Tahoma" w:cs="Tahoma"/>
          <w:color w:val="000000" w:themeColor="text1"/>
          <w:sz w:val="24"/>
          <w:szCs w:val="24"/>
        </w:rPr>
        <w:t>. Le territoire correspond à la "patrie" au sens heideggérien de lieu d'habitation où se déploie la présence, et non au "sol natal"</w:t>
      </w:r>
      <w:r w:rsidRPr="002462E6">
        <w:rPr>
          <w:rStyle w:val="Appelnotedebasdep"/>
          <w:rFonts w:ascii="Tahoma" w:eastAsia="Times New Roman" w:hAnsi="Tahoma" w:cs="Tahoma"/>
          <w:color w:val="000000" w:themeColor="text1"/>
          <w:sz w:val="24"/>
          <w:szCs w:val="24"/>
        </w:rPr>
        <w:footnoteReference w:id="613"/>
      </w:r>
      <w:r w:rsidRPr="002462E6">
        <w:rPr>
          <w:rFonts w:ascii="Tahoma" w:eastAsia="Times New Roman" w:hAnsi="Tahoma" w:cs="Tahoma"/>
          <w:color w:val="000000" w:themeColor="text1"/>
          <w:sz w:val="24"/>
          <w:szCs w:val="24"/>
        </w:rPr>
        <w:t>. La langue y enveloppe les relations entre les individus.</w:t>
      </w:r>
    </w:p>
    <w:p w:rsidR="00FA6C95" w:rsidRPr="00A240B0" w:rsidRDefault="00FA6C95" w:rsidP="00FA6C95">
      <w:pPr>
        <w:pStyle w:val="Corpsdetexte"/>
        <w:spacing w:before="11"/>
        <w:rPr>
          <w:rFonts w:ascii="Tahoma" w:hAnsi="Tahoma" w:cs="Tahoma"/>
          <w:color w:val="231F20"/>
          <w:w w:val="85"/>
          <w:sz w:val="4"/>
          <w:szCs w:val="4"/>
        </w:rPr>
      </w:pPr>
    </w:p>
    <w:p w:rsidR="00FA6C95" w:rsidRPr="002462E6" w:rsidRDefault="00FA6C95" w:rsidP="008D3838">
      <w:pPr>
        <w:pStyle w:val="Titre6"/>
        <w:rPr>
          <w:w w:val="85"/>
        </w:rPr>
      </w:pPr>
      <w:bookmarkStart w:id="363" w:name="_Toc201655513"/>
      <w:bookmarkStart w:id="364" w:name="_Toc203643087"/>
      <w:r w:rsidRPr="002462E6">
        <w:rPr>
          <w:w w:val="85"/>
        </w:rPr>
        <w:t>Apports de l’éthologie à la compréhension territoriale</w:t>
      </w:r>
      <w:bookmarkEnd w:id="363"/>
      <w:bookmarkEnd w:id="364"/>
    </w:p>
    <w:p w:rsidR="00FA6C95" w:rsidRPr="002462E6" w:rsidRDefault="00FA6C95" w:rsidP="00FA6C95">
      <w:pPr>
        <w:pStyle w:val="Paragraphedeliste"/>
        <w:tabs>
          <w:tab w:val="left" w:pos="2503"/>
          <w:tab w:val="left" w:pos="2504"/>
        </w:tabs>
        <w:spacing w:before="10"/>
        <w:ind w:left="2503" w:firstLine="0"/>
        <w:rPr>
          <w:rFonts w:ascii="Tahoma" w:hAnsi="Tahoma" w:cs="Tahoma"/>
          <w:color w:val="231F20"/>
          <w:w w:val="85"/>
          <w:sz w:val="24"/>
          <w:szCs w:val="24"/>
        </w:rPr>
      </w:pPr>
    </w:p>
    <w:p w:rsidR="00FA6C95" w:rsidRPr="002462E6" w:rsidRDefault="00FA6C95" w:rsidP="00A240B0">
      <w:pPr>
        <w:pStyle w:val="Corpsdetexte"/>
        <w:spacing w:before="76" w:line="360" w:lineRule="auto"/>
        <w:jc w:val="both"/>
        <w:rPr>
          <w:rFonts w:ascii="Tahoma" w:hAnsi="Tahoma" w:cs="Tahoma"/>
          <w:color w:val="000000" w:themeColor="text1"/>
        </w:rPr>
      </w:pPr>
      <w:r w:rsidRPr="002462E6">
        <w:rPr>
          <w:rFonts w:ascii="Tahoma" w:hAnsi="Tahoma" w:cs="Tahoma"/>
          <w:color w:val="000000" w:themeColor="text1"/>
        </w:rPr>
        <w:t>Dans le contexte des disciplines scientifiques autres que la géographie, ce concept trouve une résonance particulière en éthologie, définie comme l'étude systématique du comportement animal dans son milieu naturel</w:t>
      </w:r>
      <w:r w:rsidRPr="002462E6">
        <w:rPr>
          <w:rStyle w:val="Appelnotedebasdep"/>
          <w:rFonts w:ascii="Tahoma" w:hAnsi="Tahoma" w:cs="Tahoma"/>
          <w:color w:val="000000" w:themeColor="text1"/>
        </w:rPr>
        <w:footnoteReference w:id="614"/>
      </w:r>
      <w:r w:rsidRPr="002462E6">
        <w:rPr>
          <w:rFonts w:ascii="Tahoma" w:hAnsi="Tahoma" w:cs="Tahoma"/>
          <w:color w:val="000000" w:themeColor="text1"/>
        </w:rPr>
        <w:t>. Cette science, qui s'intéresse aux mécanismes comportementaux des espèces animales, a intégré ce terme dans son appareil conceptuel fondamental. En effet, des scientifiques comme Uexküll, Buytendijk, Lorenz, Tinbergen et Eibl-Eibesfeldt ont approfondi cette notion à travers l'observation comparative des animaux et des plantes, dans le but de mieux comprendre le comportement humain</w:t>
      </w:r>
      <w:r w:rsidRPr="002462E6">
        <w:rPr>
          <w:rStyle w:val="Appelnotedebasdep"/>
          <w:rFonts w:ascii="Tahoma" w:hAnsi="Tahoma" w:cs="Tahoma"/>
          <w:color w:val="000000" w:themeColor="text1"/>
        </w:rPr>
        <w:footnoteReference w:id="615"/>
      </w:r>
      <w:r w:rsidRPr="002462E6">
        <w:rPr>
          <w:rFonts w:ascii="Tahoma" w:hAnsi="Tahoma" w:cs="Tahoma"/>
          <w:color w:val="000000" w:themeColor="text1"/>
        </w:rPr>
        <w:t>. Leur vocabulaire technique inclut des termes comme "habitat", "espace", "monde" et "environnement". Pour les naturalistes, le territoire est essentiel à la vie des êtres vivants. Cependant, le territoire animal n'est pas une zone délimitée, mais plutôt mobile et variable selon les circonstances. C'est surtout lors de la reproduction que l'animal délimite son territoire, généralement protégé par le mâle</w:t>
      </w:r>
      <w:r w:rsidRPr="002462E6">
        <w:rPr>
          <w:rStyle w:val="Appelnotedebasdep"/>
          <w:rFonts w:ascii="Tahoma" w:hAnsi="Tahoma" w:cs="Tahoma"/>
          <w:color w:val="000000" w:themeColor="text1"/>
        </w:rPr>
        <w:footnoteReference w:id="616"/>
      </w:r>
      <w:r w:rsidRPr="002462E6">
        <w:rPr>
          <w:rFonts w:ascii="Tahoma" w:hAnsi="Tahoma" w:cs="Tahoma"/>
          <w:color w:val="000000" w:themeColor="text1"/>
        </w:rPr>
        <w:t>. C'est à la lecture des éthologues que Félix Guattari a convaincu Gilles Deleuze de l'importance de cette notion</w:t>
      </w:r>
      <w:r w:rsidRPr="002462E6">
        <w:rPr>
          <w:rStyle w:val="Appelnotedebasdep"/>
          <w:rFonts w:ascii="Tahoma" w:hAnsi="Tahoma" w:cs="Tahoma"/>
          <w:color w:val="000000" w:themeColor="text1"/>
        </w:rPr>
        <w:footnoteReference w:id="617"/>
      </w:r>
      <w:r w:rsidRPr="002462E6">
        <w:rPr>
          <w:rFonts w:ascii="Tahoma" w:hAnsi="Tahoma" w:cs="Tahoma"/>
          <w:color w:val="000000" w:themeColor="text1"/>
        </w:rPr>
        <w:t>.</w:t>
      </w:r>
    </w:p>
    <w:p w:rsidR="00FA6C95" w:rsidRPr="002462E6" w:rsidRDefault="00FA6C95" w:rsidP="00A240B0">
      <w:pPr>
        <w:pStyle w:val="Corpsdetexte"/>
        <w:tabs>
          <w:tab w:val="left" w:pos="9356"/>
        </w:tabs>
        <w:spacing w:before="76" w:line="360" w:lineRule="auto"/>
        <w:jc w:val="both"/>
        <w:rPr>
          <w:rFonts w:ascii="Tahoma" w:hAnsi="Tahoma" w:cs="Tahoma"/>
          <w:color w:val="000000" w:themeColor="text1"/>
        </w:rPr>
      </w:pPr>
      <w:r w:rsidRPr="002462E6">
        <w:rPr>
          <w:rFonts w:ascii="Tahoma" w:hAnsi="Tahoma" w:cs="Tahoma"/>
          <w:color w:val="000000" w:themeColor="text1"/>
        </w:rPr>
        <w:t>Gilles Deleuze et Félix Guattari théorisent le concept de territoire dans leur ouvrage "Mille Plateaux". Ils l'expliquent à partir du concept de ritournelle, c'est-à-dire du chant d'un oiseau marquant son territoire</w:t>
      </w:r>
      <w:r w:rsidRPr="002462E6">
        <w:rPr>
          <w:rStyle w:val="Appelnotedebasdep"/>
          <w:rFonts w:ascii="Tahoma" w:hAnsi="Tahoma" w:cs="Tahoma"/>
          <w:color w:val="000000" w:themeColor="text1"/>
        </w:rPr>
        <w:footnoteReference w:id="618"/>
      </w:r>
      <w:r w:rsidRPr="002462E6">
        <w:rPr>
          <w:rFonts w:ascii="Tahoma" w:hAnsi="Tahoma" w:cs="Tahoma"/>
          <w:color w:val="000000" w:themeColor="text1"/>
        </w:rPr>
        <w:t>. Le territoire n'est pas une entité fixe, mais un acte qui territorialise les milieux et les rythmes. L'émergence de matières d'expression, comme les qualités sonores, définit le territoire. Les auteurs empruntent des notions à la musique et à la chronobiologie pour montrer que le territoire implique du temps, du processuel, du transitionnel et du mémoriel. Le mouvement crée un processus de déterritorialisation et de reterritorialisation continuel, d'où la préférence pour une approche rhizomatique et stratifiée du territoire</w:t>
      </w:r>
      <w:r w:rsidRPr="002462E6">
        <w:rPr>
          <w:rStyle w:val="Appelnotedebasdep"/>
          <w:rFonts w:ascii="Tahoma" w:hAnsi="Tahoma" w:cs="Tahoma"/>
          <w:color w:val="000000" w:themeColor="text1"/>
        </w:rPr>
        <w:footnoteReference w:id="619"/>
      </w:r>
      <w:r w:rsidRPr="002462E6">
        <w:rPr>
          <w:rFonts w:ascii="Tahoma" w:hAnsi="Tahoma" w:cs="Tahoma"/>
          <w:color w:val="000000" w:themeColor="text1"/>
        </w:rPr>
        <w:t>.</w:t>
      </w:r>
    </w:p>
    <w:p w:rsidR="00FA6C95" w:rsidRPr="002462E6" w:rsidRDefault="00FA6C95" w:rsidP="00FA6C95">
      <w:pPr>
        <w:pStyle w:val="Corpsdetexte"/>
        <w:spacing w:before="76" w:line="360" w:lineRule="auto"/>
        <w:ind w:right="595"/>
        <w:jc w:val="both"/>
        <w:rPr>
          <w:rFonts w:ascii="Tahoma" w:hAnsi="Tahoma" w:cs="Tahoma"/>
          <w:color w:val="000000" w:themeColor="text1"/>
        </w:rPr>
      </w:pPr>
    </w:p>
    <w:p w:rsidR="00FA6C95" w:rsidRPr="002462E6" w:rsidRDefault="00FA6C95" w:rsidP="008D3838">
      <w:pPr>
        <w:pStyle w:val="Titre6"/>
        <w:rPr>
          <w:w w:val="85"/>
        </w:rPr>
      </w:pPr>
      <w:bookmarkStart w:id="365" w:name="_Toc201655514"/>
      <w:bookmarkStart w:id="366" w:name="_Toc203643088"/>
      <w:r w:rsidRPr="002462E6">
        <w:rPr>
          <w:w w:val="85"/>
        </w:rPr>
        <w:t>Dimensions anthropologiques et juridiques du territoire</w:t>
      </w:r>
      <w:bookmarkEnd w:id="365"/>
      <w:bookmarkEnd w:id="366"/>
    </w:p>
    <w:p w:rsidR="00FA6C95" w:rsidRPr="002462E6" w:rsidRDefault="00FA6C95" w:rsidP="00FA6C95">
      <w:pPr>
        <w:pStyle w:val="Paragraphedeliste"/>
        <w:tabs>
          <w:tab w:val="left" w:pos="2503"/>
          <w:tab w:val="left" w:pos="2504"/>
        </w:tabs>
        <w:spacing w:before="124"/>
        <w:ind w:left="2503" w:firstLine="0"/>
        <w:rPr>
          <w:rFonts w:ascii="Tahoma" w:hAnsi="Tahoma" w:cs="Tahoma"/>
          <w:color w:val="231F20"/>
          <w:w w:val="85"/>
          <w:sz w:val="24"/>
          <w:szCs w:val="24"/>
        </w:rPr>
      </w:pPr>
    </w:p>
    <w:p w:rsidR="00FA6C95" w:rsidRPr="002462E6" w:rsidRDefault="00FA6C95" w:rsidP="00FA6C95">
      <w:pPr>
        <w:tabs>
          <w:tab w:val="left" w:pos="2078"/>
          <w:tab w:val="left" w:pos="2079"/>
        </w:tabs>
        <w:spacing w:before="124" w:line="360" w:lineRule="auto"/>
        <w:jc w:val="both"/>
        <w:rPr>
          <w:rFonts w:ascii="Tahoma" w:eastAsia="Times New Roman" w:hAnsi="Tahoma" w:cs="Tahoma"/>
          <w:color w:val="000000" w:themeColor="text1"/>
          <w:sz w:val="24"/>
          <w:szCs w:val="24"/>
        </w:rPr>
      </w:pPr>
      <w:r w:rsidRPr="002462E6">
        <w:rPr>
          <w:rFonts w:ascii="Tahoma" w:eastAsia="Times New Roman" w:hAnsi="Tahoma" w:cs="Tahoma"/>
          <w:color w:val="000000" w:themeColor="text1"/>
          <w:sz w:val="24"/>
          <w:szCs w:val="24"/>
        </w:rPr>
        <w:t>La mise en scène de la vie quotidienne d'Erving Goffman aborde le concept de "territoires du moi". Selon cet auteur, les territoires peuvent être fixes ou mobiles, avec des frontières changeantes</w:t>
      </w:r>
      <w:r w:rsidRPr="002462E6">
        <w:rPr>
          <w:rStyle w:val="Appelnotedebasdep"/>
          <w:rFonts w:ascii="Tahoma" w:eastAsia="Times New Roman" w:hAnsi="Tahoma" w:cs="Tahoma"/>
          <w:color w:val="000000" w:themeColor="text1"/>
          <w:sz w:val="24"/>
          <w:szCs w:val="24"/>
        </w:rPr>
        <w:footnoteReference w:id="620"/>
      </w:r>
      <w:r w:rsidRPr="002462E6">
        <w:rPr>
          <w:rFonts w:ascii="Tahoma" w:eastAsia="Times New Roman" w:hAnsi="Tahoma" w:cs="Tahoma"/>
          <w:color w:val="000000" w:themeColor="text1"/>
          <w:sz w:val="24"/>
          <w:szCs w:val="24"/>
        </w:rPr>
        <w:t>. Il s'intéresse également aux "marqueurs" qui délimitent ces territoires et aux modes d'intrusion. S'appuyant sur les travaux d'Edward Hall et de la proxémie, Goffman souligne les différences culturelles dans la perception et l'occupation de l'espace personnel. Il en conclut que chaque individu fait une expérience singulière de son territoire, habitant des "mondes sensoriels différents". La sociologie américaine a également contribué à la conceptualisation du territoire, s'inspirant de l'éthologie et de l'anthropologie</w:t>
      </w:r>
      <w:r w:rsidRPr="002462E6">
        <w:rPr>
          <w:rStyle w:val="Appelnotedebasdep"/>
          <w:rFonts w:ascii="Tahoma" w:eastAsia="Times New Roman" w:hAnsi="Tahoma" w:cs="Tahoma"/>
          <w:color w:val="000000" w:themeColor="text1"/>
          <w:sz w:val="24"/>
          <w:szCs w:val="24"/>
        </w:rPr>
        <w:footnoteReference w:id="621"/>
      </w:r>
      <w:r w:rsidRPr="002462E6">
        <w:rPr>
          <w:rFonts w:ascii="Tahoma" w:eastAsia="Times New Roman" w:hAnsi="Tahoma" w:cs="Tahoma"/>
          <w:color w:val="000000" w:themeColor="text1"/>
          <w:sz w:val="24"/>
          <w:szCs w:val="24"/>
        </w:rPr>
        <w:t>.</w:t>
      </w:r>
    </w:p>
    <w:p w:rsidR="00FA6C95" w:rsidRPr="002462E6" w:rsidRDefault="00FA6C95" w:rsidP="00FA6C95">
      <w:pPr>
        <w:tabs>
          <w:tab w:val="left" w:pos="2078"/>
          <w:tab w:val="left" w:pos="2079"/>
        </w:tabs>
        <w:spacing w:before="124" w:line="360" w:lineRule="auto"/>
        <w:jc w:val="both"/>
        <w:rPr>
          <w:rFonts w:ascii="Tahoma" w:eastAsia="Times New Roman" w:hAnsi="Tahoma" w:cs="Tahoma"/>
          <w:color w:val="000000" w:themeColor="text1"/>
          <w:sz w:val="24"/>
          <w:szCs w:val="24"/>
        </w:rPr>
      </w:pPr>
      <w:r w:rsidRPr="002462E6">
        <w:rPr>
          <w:rFonts w:ascii="Tahoma" w:eastAsia="Times New Roman" w:hAnsi="Tahoma" w:cs="Tahoma"/>
          <w:color w:val="000000" w:themeColor="text1"/>
          <w:sz w:val="24"/>
          <w:szCs w:val="24"/>
        </w:rPr>
        <w:t>Le droit fait face à de nouvelles configurations territoriales, avec l'émergence d'un ordre juridique spatial déconnecté des ancrages géographiques traditionnels. Les entreprises choisissent désormais leurs statuts juridiques en fonction de la compétition entre les normes nationales (law shopping), traitant les droits comme des produits sur un marché international</w:t>
      </w:r>
      <w:r w:rsidRPr="002462E6">
        <w:rPr>
          <w:rStyle w:val="Appelnotedebasdep"/>
          <w:rFonts w:ascii="Tahoma" w:eastAsia="Times New Roman" w:hAnsi="Tahoma" w:cs="Tahoma"/>
          <w:color w:val="000000" w:themeColor="text1"/>
          <w:sz w:val="24"/>
          <w:szCs w:val="24"/>
        </w:rPr>
        <w:footnoteReference w:id="622"/>
      </w:r>
      <w:r w:rsidRPr="002462E6">
        <w:rPr>
          <w:rFonts w:ascii="Tahoma" w:eastAsia="Times New Roman" w:hAnsi="Tahoma" w:cs="Tahoma"/>
          <w:color w:val="000000" w:themeColor="text1"/>
          <w:sz w:val="24"/>
          <w:szCs w:val="24"/>
        </w:rPr>
        <w:t>. Cette évolution s'accompagne de techniques de scoring qui évaluent les villes, nations et territoires comme des marques commerciales en compétition</w:t>
      </w:r>
      <w:r w:rsidRPr="002462E6">
        <w:rPr>
          <w:rStyle w:val="Appelnotedebasdep"/>
          <w:rFonts w:ascii="Tahoma" w:eastAsia="Times New Roman" w:hAnsi="Tahoma" w:cs="Tahoma"/>
          <w:color w:val="000000" w:themeColor="text1"/>
          <w:sz w:val="24"/>
          <w:szCs w:val="24"/>
        </w:rPr>
        <w:footnoteReference w:id="623"/>
      </w:r>
      <w:r w:rsidRPr="002462E6">
        <w:rPr>
          <w:rFonts w:ascii="Tahoma" w:eastAsia="Times New Roman" w:hAnsi="Tahoma" w:cs="Tahoma"/>
          <w:color w:val="000000" w:themeColor="text1"/>
          <w:sz w:val="24"/>
          <w:szCs w:val="24"/>
        </w:rPr>
        <w:t>. Ainsi, on passe progressivement d'un droit identique pour tous les sujets d'un même territoire, à des droits liés à de nouvelles entités "hors-sol" engagées dans une compétition inter-territoriale. Les territoires se superposent, s'encastrent et s'entre-réseautent, exprimant de nouveaux modes de vie citoyens</w:t>
      </w:r>
      <w:r w:rsidRPr="002462E6">
        <w:rPr>
          <w:rStyle w:val="Appelnotedebasdep"/>
          <w:rFonts w:ascii="Tahoma" w:eastAsia="Times New Roman" w:hAnsi="Tahoma" w:cs="Tahoma"/>
          <w:color w:val="000000" w:themeColor="text1"/>
          <w:sz w:val="24"/>
          <w:szCs w:val="24"/>
        </w:rPr>
        <w:footnoteReference w:id="624"/>
      </w:r>
      <w:r w:rsidRPr="002462E6">
        <w:rPr>
          <w:rFonts w:ascii="Tahoma" w:eastAsia="Times New Roman" w:hAnsi="Tahoma" w:cs="Tahoma"/>
          <w:color w:val="000000" w:themeColor="text1"/>
          <w:sz w:val="24"/>
          <w:szCs w:val="24"/>
        </w:rPr>
        <w:t>.</w:t>
      </w:r>
    </w:p>
    <w:p w:rsidR="00FA6C95" w:rsidRPr="002462E6" w:rsidRDefault="00FA6C95" w:rsidP="008D3838">
      <w:pPr>
        <w:pStyle w:val="Titre6"/>
        <w:rPr>
          <w:w w:val="85"/>
        </w:rPr>
      </w:pPr>
      <w:bookmarkStart w:id="367" w:name="_Toc201655515"/>
      <w:bookmarkStart w:id="368" w:name="_Toc203643089"/>
      <w:r w:rsidRPr="002462E6">
        <w:rPr>
          <w:w w:val="85"/>
        </w:rPr>
        <w:t>Conceptions urbanistiques et aménagistes du territoire</w:t>
      </w:r>
      <w:bookmarkEnd w:id="367"/>
      <w:bookmarkEnd w:id="368"/>
      <w:r w:rsidRPr="002462E6">
        <w:rPr>
          <w:w w:val="85"/>
        </w:rPr>
        <w:t xml:space="preserve"> </w:t>
      </w:r>
    </w:p>
    <w:p w:rsidR="00FA6C95" w:rsidRPr="002462E6" w:rsidRDefault="00FA6C95" w:rsidP="00FA6C95">
      <w:pPr>
        <w:tabs>
          <w:tab w:val="left" w:pos="2503"/>
          <w:tab w:val="left" w:pos="2504"/>
        </w:tabs>
        <w:spacing w:before="10"/>
        <w:ind w:left="1380"/>
        <w:rPr>
          <w:rFonts w:ascii="Tahoma" w:hAnsi="Tahoma" w:cs="Tahoma"/>
          <w:b/>
          <w:bCs/>
          <w:color w:val="231F20"/>
          <w:w w:val="85"/>
          <w:sz w:val="24"/>
          <w:szCs w:val="24"/>
        </w:rPr>
      </w:pPr>
    </w:p>
    <w:p w:rsidR="00FA6C95" w:rsidRPr="002462E6" w:rsidRDefault="00FA6C95" w:rsidP="00FA6C95">
      <w:pPr>
        <w:tabs>
          <w:tab w:val="left" w:pos="2078"/>
          <w:tab w:val="left" w:pos="2079"/>
        </w:tabs>
        <w:spacing w:before="164" w:line="360" w:lineRule="auto"/>
        <w:jc w:val="both"/>
        <w:rPr>
          <w:rFonts w:ascii="Tahoma" w:eastAsia="Times New Roman" w:hAnsi="Tahoma" w:cs="Tahoma"/>
          <w:color w:val="000000" w:themeColor="text1"/>
          <w:sz w:val="24"/>
          <w:szCs w:val="24"/>
        </w:rPr>
      </w:pPr>
      <w:r w:rsidRPr="002462E6">
        <w:rPr>
          <w:rFonts w:ascii="Tahoma" w:eastAsia="Times New Roman" w:hAnsi="Tahoma" w:cs="Tahoma"/>
          <w:color w:val="000000" w:themeColor="text1"/>
          <w:sz w:val="24"/>
          <w:szCs w:val="24"/>
        </w:rPr>
        <w:t>La sociologie urbaine est une discipline intégrée depuis longtemps à l'aménagement territorial, servant d'outil d'analyse des pratiques sociales dans l'espace urbain</w:t>
      </w:r>
      <w:r w:rsidRPr="002462E6">
        <w:rPr>
          <w:rStyle w:val="Appelnotedebasdep"/>
          <w:rFonts w:ascii="Tahoma" w:eastAsia="Times New Roman" w:hAnsi="Tahoma" w:cs="Tahoma"/>
          <w:color w:val="000000" w:themeColor="text1"/>
          <w:sz w:val="24"/>
          <w:szCs w:val="24"/>
        </w:rPr>
        <w:footnoteReference w:id="625"/>
      </w:r>
      <w:r w:rsidRPr="002462E6">
        <w:rPr>
          <w:rFonts w:ascii="Tahoma" w:eastAsia="Times New Roman" w:hAnsi="Tahoma" w:cs="Tahoma"/>
          <w:color w:val="000000" w:themeColor="text1"/>
          <w:sz w:val="24"/>
          <w:szCs w:val="24"/>
        </w:rPr>
        <w:t>. En fait, les urbanistes considèrent le territoire comme une dimension essentielle du projet urbain, permettant d'articuler les dimensions sociales et spatiales. La démarche sociologique dans l'urbanisme vise à prendre en compte le vécu et les aspirations des habitants, établissant des passerelles entre la conception technique de l'espace et les usages réels</w:t>
      </w:r>
      <w:r w:rsidRPr="002462E6">
        <w:rPr>
          <w:rStyle w:val="Appelnotedebasdep"/>
          <w:rFonts w:ascii="Tahoma" w:eastAsia="Times New Roman" w:hAnsi="Tahoma" w:cs="Tahoma"/>
          <w:color w:val="000000" w:themeColor="text1"/>
          <w:sz w:val="24"/>
          <w:szCs w:val="24"/>
        </w:rPr>
        <w:footnoteReference w:id="626"/>
      </w:r>
      <w:r w:rsidRPr="002462E6">
        <w:rPr>
          <w:rFonts w:ascii="Tahoma" w:eastAsia="Times New Roman" w:hAnsi="Tahoma" w:cs="Tahoma"/>
          <w:color w:val="000000" w:themeColor="text1"/>
          <w:sz w:val="24"/>
          <w:szCs w:val="24"/>
        </w:rPr>
        <w:t>. L'approche territoriale permet ainsi d'ancrer les interventions urbaines dans les réalités locales et de garantir la pertinence des aménagements proposés</w:t>
      </w:r>
      <w:r w:rsidRPr="002462E6">
        <w:rPr>
          <w:rStyle w:val="Appelnotedebasdep"/>
          <w:rFonts w:ascii="Tahoma" w:eastAsia="Times New Roman" w:hAnsi="Tahoma" w:cs="Tahoma"/>
          <w:color w:val="000000" w:themeColor="text1"/>
          <w:sz w:val="24"/>
          <w:szCs w:val="24"/>
        </w:rPr>
        <w:footnoteReference w:id="627"/>
      </w:r>
      <w:r w:rsidRPr="002462E6">
        <w:rPr>
          <w:rFonts w:ascii="Tahoma" w:eastAsia="Times New Roman" w:hAnsi="Tahoma" w:cs="Tahoma"/>
          <w:color w:val="000000" w:themeColor="text1"/>
          <w:sz w:val="24"/>
          <w:szCs w:val="24"/>
        </w:rPr>
        <w:t>.</w:t>
      </w:r>
    </w:p>
    <w:p w:rsidR="00FA6C95" w:rsidRPr="002462E6" w:rsidRDefault="00FA6C95" w:rsidP="00FA6C95">
      <w:pPr>
        <w:spacing w:line="360" w:lineRule="auto"/>
        <w:jc w:val="both"/>
        <w:rPr>
          <w:rFonts w:ascii="Tahoma" w:eastAsia="Times New Roman" w:hAnsi="Tahoma" w:cs="Tahoma"/>
          <w:color w:val="000000" w:themeColor="text1"/>
          <w:sz w:val="24"/>
          <w:szCs w:val="24"/>
        </w:rPr>
      </w:pPr>
      <w:r w:rsidRPr="002462E6">
        <w:rPr>
          <w:rFonts w:ascii="Tahoma" w:eastAsia="Times New Roman" w:hAnsi="Tahoma" w:cs="Tahoma"/>
          <w:color w:val="000000" w:themeColor="text1"/>
          <w:sz w:val="24"/>
          <w:szCs w:val="24"/>
        </w:rPr>
        <w:t xml:space="preserve">Dans le </w:t>
      </w:r>
      <w:r w:rsidRPr="002462E6">
        <w:rPr>
          <w:rFonts w:ascii="Tahoma" w:eastAsia="Times New Roman" w:hAnsi="Tahoma" w:cs="Tahoma"/>
          <w:i/>
          <w:iCs/>
          <w:color w:val="000000" w:themeColor="text1"/>
          <w:sz w:val="24"/>
          <w:szCs w:val="24"/>
        </w:rPr>
        <w:t>Dictionnaire de l'urbanisme et de l'aménagement</w:t>
      </w:r>
      <w:r w:rsidRPr="002462E6">
        <w:rPr>
          <w:rFonts w:ascii="Tahoma" w:eastAsia="Times New Roman" w:hAnsi="Tahoma" w:cs="Tahoma"/>
          <w:color w:val="000000" w:themeColor="text1"/>
          <w:sz w:val="24"/>
          <w:szCs w:val="24"/>
        </w:rPr>
        <w:t>, l'entrée consacrée au terme « Territoire » renvoie le lecteur vers la notion d'« Aménagement du... », laquelle s'inscrit dans le champ de l'intervention étatique et se trouve conceptuellement adjacente aux notions d'« aménagement rural » et d'« aménagement touristique ». Il convient de noter que l'expression « aménagement du territoire » apparaît pour la première fois dans un document à caractère officiel, en 1947, sous l'égide d'Eugène Claudius-Petit, ministre de la Reconstruction</w:t>
      </w:r>
      <w:r w:rsidRPr="002462E6">
        <w:rPr>
          <w:rStyle w:val="Appelnotedebasdep"/>
          <w:rFonts w:ascii="Tahoma" w:eastAsia="Times New Roman" w:hAnsi="Tahoma" w:cs="Tahoma"/>
          <w:color w:val="000000" w:themeColor="text1"/>
          <w:sz w:val="24"/>
          <w:szCs w:val="24"/>
        </w:rPr>
        <w:footnoteReference w:id="628"/>
      </w:r>
      <w:r w:rsidRPr="002462E6">
        <w:rPr>
          <w:rFonts w:ascii="Tahoma" w:eastAsia="Times New Roman" w:hAnsi="Tahoma" w:cs="Tahoma"/>
          <w:color w:val="000000" w:themeColor="text1"/>
          <w:sz w:val="24"/>
          <w:szCs w:val="24"/>
        </w:rPr>
        <w:t>.</w:t>
      </w:r>
    </w:p>
    <w:p w:rsidR="00FA6C95" w:rsidRPr="002462E6" w:rsidRDefault="00FA6C95" w:rsidP="00FA6C95">
      <w:pPr>
        <w:spacing w:line="360" w:lineRule="auto"/>
        <w:jc w:val="both"/>
        <w:rPr>
          <w:rFonts w:ascii="Tahoma" w:eastAsia="Times New Roman" w:hAnsi="Tahoma" w:cs="Tahoma"/>
          <w:color w:val="000000" w:themeColor="text1"/>
          <w:sz w:val="24"/>
          <w:szCs w:val="24"/>
        </w:rPr>
      </w:pPr>
      <w:r w:rsidRPr="002462E6">
        <w:rPr>
          <w:rFonts w:ascii="Tahoma" w:eastAsia="Times New Roman" w:hAnsi="Tahoma" w:cs="Tahoma"/>
          <w:color w:val="000000" w:themeColor="text1"/>
          <w:sz w:val="24"/>
          <w:szCs w:val="24"/>
        </w:rPr>
        <w:t>Dans le « Dictionnaire, la ville et l'urbain », le concept de « territoire » fait l'objet d'une conceptualisation élaborée par le géographe Richard Kleinschmager. Sa définition présente une dualité épistémologique significative. D'une part, elle s'inscrit dans une perspective conventionnelle en postulant que « Le territoire fait figure de support concret de l'État qu'il revient à ce dernier de préserver contre toute intrusion étrangère et de développer en l'aménageant»</w:t>
      </w:r>
      <w:r w:rsidRPr="002462E6">
        <w:rPr>
          <w:rStyle w:val="Appelnotedebasdep"/>
          <w:rFonts w:ascii="Tahoma" w:eastAsia="Times New Roman" w:hAnsi="Tahoma" w:cs="Tahoma"/>
          <w:color w:val="000000" w:themeColor="text1"/>
          <w:sz w:val="24"/>
          <w:szCs w:val="24"/>
        </w:rPr>
        <w:footnoteReference w:id="629"/>
      </w:r>
      <w:r w:rsidRPr="002462E6">
        <w:rPr>
          <w:rFonts w:ascii="Tahoma" w:eastAsia="Times New Roman" w:hAnsi="Tahoma" w:cs="Tahoma"/>
          <w:color w:val="000000" w:themeColor="text1"/>
          <w:sz w:val="24"/>
          <w:szCs w:val="24"/>
        </w:rPr>
        <w:t>. D'autre part, elle propose une approche plus novatrice en suggérant que « La tendance est nettement à identifier les notions de territorialisation et de spatialisation, s'agissant de nombre de processus sociaux comme la criminalité, la pauvreté, la ségrégation sociale, les appartenances nationales ou le vote par exemple»</w:t>
      </w:r>
      <w:r w:rsidRPr="002462E6">
        <w:rPr>
          <w:rStyle w:val="Appelnotedebasdep"/>
          <w:rFonts w:ascii="Tahoma" w:eastAsia="Times New Roman" w:hAnsi="Tahoma" w:cs="Tahoma"/>
          <w:color w:val="000000" w:themeColor="text1"/>
          <w:sz w:val="24"/>
          <w:szCs w:val="24"/>
        </w:rPr>
        <w:footnoteReference w:id="630"/>
      </w:r>
      <w:r w:rsidRPr="002462E6">
        <w:rPr>
          <w:rFonts w:ascii="Tahoma" w:eastAsia="Times New Roman" w:hAnsi="Tahoma" w:cs="Tahoma"/>
          <w:color w:val="000000" w:themeColor="text1"/>
          <w:sz w:val="24"/>
          <w:szCs w:val="24"/>
        </w:rPr>
        <w:t>.</w:t>
      </w:r>
    </w:p>
    <w:p w:rsidR="00FA6C95" w:rsidRPr="002462E6" w:rsidRDefault="00FA6C95" w:rsidP="00FA6C95">
      <w:pPr>
        <w:spacing w:line="360" w:lineRule="auto"/>
        <w:jc w:val="both"/>
        <w:rPr>
          <w:rFonts w:ascii="Tahoma" w:eastAsia="Times New Roman" w:hAnsi="Tahoma" w:cs="Tahoma"/>
          <w:color w:val="000000" w:themeColor="text1"/>
          <w:sz w:val="24"/>
          <w:szCs w:val="24"/>
        </w:rPr>
      </w:pPr>
      <w:r w:rsidRPr="002462E6">
        <w:rPr>
          <w:rFonts w:ascii="Tahoma" w:eastAsia="Times New Roman" w:hAnsi="Tahoma" w:cs="Tahoma"/>
          <w:color w:val="000000" w:themeColor="text1"/>
          <w:sz w:val="24"/>
          <w:szCs w:val="24"/>
        </w:rPr>
        <w:t>Cette conceptualisation transcende la dimension purement physique du territoire, reconnaissant que les avancées technologiques et la compression spatio-temporelle ont fondamentalement altéré notre rapport à l'espace. La mobilité généralisée des populations contemporaines tend à dissoudre les liens physiques avec les lieux, privilégiant la destination finale au détriment du parcours intermédiaire. Le territoire se présente alors comme un palimpseste complexe, une stratification historique témoignant des interactions multiples entre les sociétés humaines et leur environnement naturel</w:t>
      </w:r>
      <w:r w:rsidRPr="002462E6">
        <w:rPr>
          <w:rStyle w:val="Appelnotedebasdep"/>
          <w:rFonts w:ascii="Tahoma" w:eastAsia="Times New Roman" w:hAnsi="Tahoma" w:cs="Tahoma"/>
          <w:color w:val="000000" w:themeColor="text1"/>
          <w:sz w:val="24"/>
          <w:szCs w:val="24"/>
        </w:rPr>
        <w:footnoteReference w:id="631"/>
      </w:r>
      <w:r w:rsidRPr="002462E6">
        <w:rPr>
          <w:rFonts w:ascii="Tahoma" w:eastAsia="Times New Roman" w:hAnsi="Tahoma" w:cs="Tahoma"/>
          <w:color w:val="000000" w:themeColor="text1"/>
          <w:sz w:val="24"/>
          <w:szCs w:val="24"/>
        </w:rPr>
        <w:t>. Cette construction socio-spatiale, comparable à une « œuvre d'art » collective, se trouve néanmoins menacée par les processus de déterritorialisation inhérents au développement technologique et à la globalisation économique, lesquels contribuent à l'effacement progressif des strates constitutives de ce palimpseste territorial</w:t>
      </w:r>
      <w:r w:rsidRPr="002462E6">
        <w:rPr>
          <w:rStyle w:val="Appelnotedebasdep"/>
          <w:rFonts w:ascii="Tahoma" w:eastAsia="Times New Roman" w:hAnsi="Tahoma" w:cs="Tahoma"/>
          <w:color w:val="000000" w:themeColor="text1"/>
          <w:sz w:val="24"/>
          <w:szCs w:val="24"/>
        </w:rPr>
        <w:footnoteReference w:id="632"/>
      </w:r>
      <w:r w:rsidRPr="002462E6">
        <w:rPr>
          <w:rFonts w:ascii="Tahoma" w:eastAsia="Times New Roman" w:hAnsi="Tahoma" w:cs="Tahoma"/>
          <w:color w:val="000000" w:themeColor="text1"/>
          <w:sz w:val="24"/>
          <w:szCs w:val="24"/>
        </w:rPr>
        <w:t>.</w:t>
      </w:r>
    </w:p>
    <w:p w:rsidR="00FA6C95" w:rsidRPr="002462E6" w:rsidRDefault="00FA6C95" w:rsidP="00FA6C95">
      <w:pPr>
        <w:spacing w:line="360" w:lineRule="auto"/>
        <w:jc w:val="both"/>
        <w:rPr>
          <w:rFonts w:ascii="Tahoma" w:eastAsia="Times New Roman" w:hAnsi="Tahoma" w:cs="Tahoma"/>
          <w:color w:val="000000" w:themeColor="text1"/>
          <w:sz w:val="24"/>
          <w:szCs w:val="24"/>
        </w:rPr>
      </w:pPr>
      <w:r w:rsidRPr="002462E6">
        <w:rPr>
          <w:rFonts w:ascii="Tahoma" w:hAnsi="Tahoma" w:cs="Tahoma"/>
          <w:sz w:val="24"/>
          <w:szCs w:val="24"/>
        </w:rPr>
        <w:t>Les citadins ne sont plus attachés subjectivement et existentiellement, à un territoire, ils en sont déconnectés. Il est envisageable de contrer une telle tendance – pourtant « lourde » et planétaire – en misant sur un « projet local » auto-soutenable. Alberto Magnaghi explique que « Le développement local conçu comme développement d’une "constellation de villes solidaires", n’est donc qu’un des scénarios ou des avenirs possibles de la ville : celle-ci peut désormais naître d’une rencontre vertueuse des institutions locales en marche vers le fédéralisme, le néomunicipalisme ou le développement local avec les mouvements issus de la base»</w:t>
      </w:r>
      <w:r w:rsidRPr="002462E6">
        <w:rPr>
          <w:rStyle w:val="Appelnotedebasdep"/>
          <w:rFonts w:ascii="Tahoma" w:hAnsi="Tahoma" w:cs="Tahoma"/>
          <w:sz w:val="24"/>
          <w:szCs w:val="24"/>
        </w:rPr>
        <w:footnoteReference w:id="633"/>
      </w:r>
      <w:r w:rsidRPr="002462E6">
        <w:rPr>
          <w:rFonts w:ascii="Tahoma" w:hAnsi="Tahoma" w:cs="Tahoma"/>
          <w:sz w:val="24"/>
          <w:szCs w:val="24"/>
        </w:rPr>
        <w:t>.</w:t>
      </w:r>
    </w:p>
    <w:p w:rsidR="00FA6C95" w:rsidRPr="002462E6" w:rsidRDefault="00FA6C95" w:rsidP="00FA6C95">
      <w:pPr>
        <w:spacing w:line="360" w:lineRule="auto"/>
        <w:jc w:val="both"/>
        <w:rPr>
          <w:rFonts w:ascii="Tahoma" w:eastAsia="Times New Roman" w:hAnsi="Tahoma" w:cs="Tahoma"/>
          <w:color w:val="000000" w:themeColor="text1"/>
          <w:sz w:val="24"/>
          <w:szCs w:val="24"/>
        </w:rPr>
      </w:pPr>
      <w:r w:rsidRPr="002462E6">
        <w:rPr>
          <w:rFonts w:ascii="Tahoma" w:hAnsi="Tahoma" w:cs="Tahoma"/>
          <w:sz w:val="24"/>
          <w:szCs w:val="24"/>
        </w:rPr>
        <w:t>Il cite certains objectifs, dont la « diversification des activités », « le développement des savoirs contextuels », le passage de l’habitant-usager à l’habitant-producteur, « l’intégration des projets locaux dans un cadre transversal ».  Le territoire se mue alors en un « écosystème territorial », qui porte les villes et les transforme en « bio-région », pour reprendre l’expression de Patrick Geddes et de Lewis Mumford. L’Ecopolis qu’envisage Alberto Magnaghi associe l’autogestion, la démocratie participative, l’auto-soutenabilité (qui sous-entend d’autres manières de produire et de consommer localement et écologiquement) et la territorialité. Celle-ci ne correspond pas à un repli stratégique sur une portion d’un pays - comme le village d’Astérix -mais à une « globalisation par le bas », qui ne brade pas le local au nom d’un impératif économique dicté d’ailleurs, et assure à chaque citadin la possibilité d’expérimenter une utopie concrète</w:t>
      </w:r>
      <w:r w:rsidRPr="002462E6">
        <w:rPr>
          <w:rStyle w:val="Appelnotedebasdep"/>
          <w:rFonts w:ascii="Tahoma" w:hAnsi="Tahoma" w:cs="Tahoma"/>
          <w:sz w:val="24"/>
          <w:szCs w:val="24"/>
        </w:rPr>
        <w:footnoteReference w:id="634"/>
      </w:r>
      <w:r w:rsidRPr="002462E6">
        <w:rPr>
          <w:rFonts w:ascii="Tahoma" w:hAnsi="Tahoma" w:cs="Tahoma"/>
          <w:sz w:val="24"/>
          <w:szCs w:val="24"/>
        </w:rPr>
        <w:t>.</w:t>
      </w:r>
    </w:p>
    <w:p w:rsidR="00FA6C95" w:rsidRPr="002462E6" w:rsidRDefault="00FA6C95" w:rsidP="00FA6C95">
      <w:pPr>
        <w:spacing w:line="360" w:lineRule="auto"/>
        <w:jc w:val="both"/>
        <w:rPr>
          <w:rFonts w:ascii="Tahoma" w:eastAsia="Times New Roman" w:hAnsi="Tahoma" w:cs="Tahoma"/>
          <w:color w:val="000000" w:themeColor="text1"/>
          <w:sz w:val="24"/>
          <w:szCs w:val="24"/>
        </w:rPr>
      </w:pPr>
      <w:r w:rsidRPr="002462E6">
        <w:rPr>
          <w:rFonts w:ascii="Tahoma" w:eastAsia="Times New Roman" w:hAnsi="Tahoma" w:cs="Tahoma"/>
          <w:color w:val="000000" w:themeColor="text1"/>
          <w:sz w:val="24"/>
          <w:szCs w:val="24"/>
        </w:rPr>
        <w:t>En somme, il convient de préciser que chaque champ disciplinaire opère une appropriation épistémologique et méthodologique de l'objet « territoire », le reconfigurant ainsi selon ses paradigmes constitutifs et ses problématiques intrinsèques. La notion territoriale constitue dès lors une dimension transversale significative, transcendant les frontières disciplinaires conventionnelles puisqu'elle incarne un espace socialement investi et porteur de valeurs collectives qui échappe à toute réduction algorithmique ou équationnelle. Cette irréductibilité du territoire à une approche purement quantitative illustre sa complexité inhérente et justifie les approches plurielles dont il fait l'objet.</w:t>
      </w:r>
    </w:p>
    <w:p w:rsidR="00FA6C95" w:rsidRPr="002462E6" w:rsidRDefault="00FA6C95" w:rsidP="00FA6C95">
      <w:pPr>
        <w:spacing w:line="360" w:lineRule="auto"/>
        <w:jc w:val="both"/>
        <w:rPr>
          <w:rFonts w:ascii="Tahoma" w:eastAsia="Times New Roman" w:hAnsi="Tahoma" w:cs="Tahoma"/>
          <w:color w:val="000000" w:themeColor="text1"/>
          <w:sz w:val="24"/>
          <w:szCs w:val="24"/>
        </w:rPr>
      </w:pPr>
      <w:r w:rsidRPr="002462E6">
        <w:rPr>
          <w:rFonts w:ascii="Tahoma" w:eastAsia="Times New Roman" w:hAnsi="Tahoma" w:cs="Tahoma"/>
          <w:color w:val="000000" w:themeColor="text1"/>
          <w:sz w:val="24"/>
          <w:szCs w:val="24"/>
        </w:rPr>
        <w:t>Par ailleurs, il importe de souligner la nature fondamentalement sociogénétique du territoire, celui-ci résultant d'une construction sociale, politique et idéologique</w:t>
      </w:r>
      <w:r w:rsidRPr="002462E6">
        <w:rPr>
          <w:rStyle w:val="Appelnotedebasdep"/>
          <w:rFonts w:ascii="Tahoma" w:eastAsia="Times New Roman" w:hAnsi="Tahoma" w:cs="Tahoma"/>
          <w:color w:val="000000" w:themeColor="text1"/>
          <w:sz w:val="24"/>
          <w:szCs w:val="24"/>
        </w:rPr>
        <w:footnoteReference w:id="635"/>
      </w:r>
      <w:r w:rsidRPr="002462E6">
        <w:rPr>
          <w:rFonts w:ascii="Tahoma" w:eastAsia="Times New Roman" w:hAnsi="Tahoma" w:cs="Tahoma"/>
          <w:color w:val="000000" w:themeColor="text1"/>
          <w:sz w:val="24"/>
          <w:szCs w:val="24"/>
        </w:rPr>
        <w:t>. Cette dimension constructiviste le distingue d'un simple bien économique susceptible d'être soumis aux mécanismes marchands</w:t>
      </w:r>
      <w:r w:rsidRPr="002462E6">
        <w:rPr>
          <w:rStyle w:val="Appelnotedebasdep"/>
          <w:rFonts w:ascii="Tahoma" w:eastAsia="Times New Roman" w:hAnsi="Tahoma" w:cs="Tahoma"/>
          <w:color w:val="000000" w:themeColor="text1"/>
          <w:sz w:val="24"/>
          <w:szCs w:val="24"/>
        </w:rPr>
        <w:footnoteReference w:id="636"/>
      </w:r>
      <w:r w:rsidRPr="002462E6">
        <w:rPr>
          <w:rFonts w:ascii="Tahoma" w:eastAsia="Times New Roman" w:hAnsi="Tahoma" w:cs="Tahoma"/>
          <w:color w:val="000000" w:themeColor="text1"/>
          <w:sz w:val="24"/>
          <w:szCs w:val="24"/>
        </w:rPr>
        <w:t>. Sa compréhension nécessite conséquemment l'intégration des dynamiques organisationnelles et aménagistes qui le structurent et participent à sa gouvernance</w:t>
      </w:r>
      <w:r w:rsidRPr="002462E6">
        <w:rPr>
          <w:rStyle w:val="Appelnotedebasdep"/>
          <w:rFonts w:ascii="Tahoma" w:eastAsia="Times New Roman" w:hAnsi="Tahoma" w:cs="Tahoma"/>
          <w:color w:val="000000" w:themeColor="text1"/>
          <w:sz w:val="24"/>
          <w:szCs w:val="24"/>
        </w:rPr>
        <w:footnoteReference w:id="637"/>
      </w:r>
      <w:r w:rsidRPr="002462E6">
        <w:rPr>
          <w:rFonts w:ascii="Tahoma" w:eastAsia="Times New Roman" w:hAnsi="Tahoma" w:cs="Tahoma"/>
          <w:color w:val="000000" w:themeColor="text1"/>
          <w:sz w:val="24"/>
          <w:szCs w:val="24"/>
        </w:rPr>
        <w:t>. L'analyse territoriale s'inscrit donc dans une herméneutique des processus historiques, sociaux et politiques qui déterminent ses configurations spatiales et ses modalités d'appropriation collectives.</w:t>
      </w:r>
    </w:p>
    <w:p w:rsidR="00FA6C95" w:rsidRPr="002462E6" w:rsidRDefault="00FA6C95" w:rsidP="00FA6C95">
      <w:pPr>
        <w:spacing w:line="360" w:lineRule="auto"/>
        <w:jc w:val="both"/>
        <w:rPr>
          <w:rFonts w:ascii="Tahoma" w:eastAsia="Times New Roman" w:hAnsi="Tahoma" w:cs="Tahoma"/>
          <w:color w:val="000000" w:themeColor="text1"/>
          <w:sz w:val="24"/>
          <w:szCs w:val="24"/>
        </w:rPr>
      </w:pPr>
      <w:r w:rsidRPr="002462E6">
        <w:rPr>
          <w:rFonts w:ascii="Tahoma" w:eastAsia="Times New Roman" w:hAnsi="Tahoma" w:cs="Tahoma"/>
          <w:color w:val="000000" w:themeColor="text1"/>
          <w:sz w:val="24"/>
          <w:szCs w:val="24"/>
        </w:rPr>
        <w:t>En outre, le territoire se caractérise par une composante économique, fréquemment associée à une expertise économique particulière, ainsi qu'une composante politique, puisqu'il représente le cadre spatial dans lequel s'exerce l'autorité.</w:t>
      </w:r>
    </w:p>
    <w:p w:rsidR="00FA6C95" w:rsidRPr="002462E6" w:rsidRDefault="00FA6C95" w:rsidP="00FA6C95">
      <w:pPr>
        <w:spacing w:line="360" w:lineRule="auto"/>
        <w:jc w:val="both"/>
        <w:rPr>
          <w:rFonts w:ascii="Tahoma" w:eastAsia="Times New Roman" w:hAnsi="Tahoma" w:cs="Tahoma"/>
          <w:color w:val="000000" w:themeColor="text1"/>
          <w:sz w:val="24"/>
          <w:szCs w:val="24"/>
        </w:rPr>
      </w:pPr>
      <w:r w:rsidRPr="002462E6">
        <w:rPr>
          <w:rFonts w:ascii="Tahoma" w:eastAsia="Times New Roman" w:hAnsi="Tahoma" w:cs="Tahoma"/>
          <w:color w:val="000000" w:themeColor="text1"/>
          <w:sz w:val="24"/>
          <w:szCs w:val="24"/>
        </w:rPr>
        <w:t>En définitive, comprendre alors le territoire nécessite de le considérer comme un espace social vécu, façonné par l'appropriation d'un ensemble de possibilités. Cette perspective met en lumière l'importance d'analyser les processus relationnels qui se déploient entre les acteurs territoriaux. Le territoire, par son usage, son aménagement et les représentations qui lui sont associées, devient alors un vecteur de socialisation et d'humanisation</w:t>
      </w:r>
      <w:r w:rsidRPr="002462E6">
        <w:rPr>
          <w:rStyle w:val="Appelnotedebasdep"/>
          <w:rFonts w:ascii="Tahoma" w:eastAsia="Times New Roman" w:hAnsi="Tahoma" w:cs="Tahoma"/>
          <w:color w:val="000000" w:themeColor="text1"/>
          <w:sz w:val="24"/>
          <w:szCs w:val="24"/>
        </w:rPr>
        <w:footnoteReference w:id="638"/>
      </w:r>
      <w:r w:rsidRPr="002462E6">
        <w:rPr>
          <w:rFonts w:ascii="Tahoma" w:eastAsia="Times New Roman" w:hAnsi="Tahoma" w:cs="Tahoma"/>
          <w:color w:val="000000" w:themeColor="text1"/>
          <w:sz w:val="24"/>
          <w:szCs w:val="24"/>
        </w:rPr>
        <w:t>. Cependant, pour dépasser la conception purement géographique, le territoire doit être envisagé comme une construction sociale active, une œuvre humaine qui s'appuie sur l'appropriation collective et constitue le fondement géographique de l'existence sociale. Cette transformation revêt une importance particulière dans le contexte actuel, marqué par les limites des politiques publiques en matière de régulation sociale, d'intégration et de proximité</w:t>
      </w:r>
      <w:r w:rsidRPr="002462E6">
        <w:rPr>
          <w:rStyle w:val="Appelnotedebasdep"/>
          <w:rFonts w:ascii="Tahoma" w:eastAsia="Times New Roman" w:hAnsi="Tahoma" w:cs="Tahoma"/>
          <w:color w:val="000000" w:themeColor="text1"/>
          <w:sz w:val="24"/>
          <w:szCs w:val="24"/>
        </w:rPr>
        <w:footnoteReference w:id="639"/>
      </w:r>
      <w:r w:rsidRPr="002462E6">
        <w:rPr>
          <w:rFonts w:ascii="Tahoma" w:eastAsia="Times New Roman" w:hAnsi="Tahoma" w:cs="Tahoma"/>
          <w:color w:val="000000" w:themeColor="text1"/>
          <w:sz w:val="24"/>
          <w:szCs w:val="24"/>
        </w:rPr>
        <w:t>. De plus, la mise en œuvre de démarches territoriales exige une action concertée et une coordination des acteurs, comme l'illustrent les difficultés rencontrées dans le territoire forestier de Korifla, où le manque de coopération entrave le développement local. En fait, le développement d'un territoire approprié et humanisé dépend de la capacité des acteurs à construire un projet commun, à élaborer des stratégies de développement adaptées aux spécificités locales.</w:t>
      </w:r>
    </w:p>
    <w:p w:rsidR="00FA6C95" w:rsidRPr="002462E6" w:rsidRDefault="00FA6C95" w:rsidP="00FA6C95">
      <w:pPr>
        <w:spacing w:line="360" w:lineRule="auto"/>
        <w:jc w:val="both"/>
        <w:rPr>
          <w:rFonts w:ascii="Tahoma" w:eastAsia="Times New Roman" w:hAnsi="Tahoma" w:cs="Tahoma"/>
          <w:color w:val="000000" w:themeColor="text1"/>
          <w:sz w:val="24"/>
          <w:szCs w:val="24"/>
        </w:rPr>
      </w:pPr>
      <w:r w:rsidRPr="002462E6">
        <w:rPr>
          <w:rFonts w:ascii="Tahoma" w:eastAsia="Times New Roman" w:hAnsi="Tahoma" w:cs="Tahoma"/>
          <w:color w:val="000000" w:themeColor="text1"/>
          <w:sz w:val="24"/>
          <w:szCs w:val="24"/>
        </w:rPr>
        <w:t>Au Maroc, la notion de territoire a connu une évolution significative, marquée par différentes influences historiques et culturelles. En effet, le territoire marocain, avant le protectorat, était conceptualisé selon des logiques tribales et religieuses, avec une distinction fondamentale entre le "Bled el-Makhzen" (terres sous contrôle direct du sultan) et le "Bled es-Siba" (terres dissidentes où l'autorité centrale était contestée)</w:t>
      </w:r>
      <w:r w:rsidRPr="002462E6">
        <w:rPr>
          <w:rStyle w:val="Appelnotedebasdep"/>
          <w:rFonts w:ascii="Tahoma" w:eastAsia="Times New Roman" w:hAnsi="Tahoma" w:cs="Tahoma"/>
          <w:color w:val="000000" w:themeColor="text1"/>
          <w:sz w:val="24"/>
          <w:szCs w:val="24"/>
        </w:rPr>
        <w:footnoteReference w:id="640"/>
      </w:r>
      <w:r w:rsidRPr="002462E6">
        <w:rPr>
          <w:rFonts w:ascii="Tahoma" w:eastAsia="Times New Roman" w:hAnsi="Tahoma" w:cs="Tahoma"/>
          <w:color w:val="000000" w:themeColor="text1"/>
          <w:sz w:val="24"/>
          <w:szCs w:val="24"/>
        </w:rPr>
        <w:t>. Cette dualité territoriale a profondément marqué l'organisation spatiale et politique du pays.</w:t>
      </w:r>
    </w:p>
    <w:p w:rsidR="00FA6C95" w:rsidRPr="002462E6" w:rsidRDefault="00FA6C95" w:rsidP="00FA6C95">
      <w:pPr>
        <w:spacing w:line="360" w:lineRule="auto"/>
        <w:jc w:val="both"/>
        <w:rPr>
          <w:rFonts w:ascii="Tahoma" w:eastAsia="Times New Roman" w:hAnsi="Tahoma" w:cs="Tahoma"/>
          <w:color w:val="000000" w:themeColor="text1"/>
          <w:sz w:val="24"/>
          <w:szCs w:val="24"/>
        </w:rPr>
      </w:pPr>
      <w:r w:rsidRPr="002462E6">
        <w:rPr>
          <w:rFonts w:ascii="Tahoma" w:eastAsia="Times New Roman" w:hAnsi="Tahoma" w:cs="Tahoma"/>
          <w:color w:val="000000" w:themeColor="text1"/>
          <w:sz w:val="24"/>
          <w:szCs w:val="24"/>
        </w:rPr>
        <w:t xml:space="preserve">Dans le Maroc contemporain, l'appréhension du territoire se manifeste à travers une pluralité d'approches, chacune contribuant à une compréhension nuancée et multidimensionnelle de l'espace national : </w:t>
      </w:r>
    </w:p>
    <w:p w:rsidR="00FA6C95" w:rsidRPr="002462E6" w:rsidRDefault="00FA6C95" w:rsidP="00D051D7">
      <w:pPr>
        <w:pStyle w:val="Paragraphedeliste"/>
        <w:numPr>
          <w:ilvl w:val="0"/>
          <w:numId w:val="33"/>
        </w:numPr>
        <w:spacing w:before="100" w:beforeAutospacing="1" w:after="100" w:afterAutospacing="1" w:line="360" w:lineRule="auto"/>
        <w:rPr>
          <w:rFonts w:ascii="Tahoma" w:hAnsi="Tahoma" w:cs="Tahoma"/>
          <w:sz w:val="24"/>
          <w:szCs w:val="24"/>
          <w:lang w:eastAsia="fr-FR"/>
        </w:rPr>
      </w:pPr>
      <w:r w:rsidRPr="002462E6">
        <w:rPr>
          <w:rFonts w:ascii="Tahoma" w:hAnsi="Tahoma" w:cs="Tahoma"/>
          <w:sz w:val="24"/>
          <w:szCs w:val="24"/>
          <w:lang w:eastAsia="fr-FR"/>
        </w:rPr>
        <w:t>L'approche administrative, ancrée dans une tradition de gouvernance centralisée, conçoit le territoire comme une entité administrative découpée en régions, provinces, préfectures et communes. Cette structuration, dont les racines remontent en partie à la période coloniale et qui a été remaniée après l'indépendance, privilégie une organisation verticale et hiérarchique. Elle est axée sur la gestion et le contrôle du territoire par l'État, à travers une distribution de compétences et de responsabilités entre les différents niveaux administratifs. Cependant, cette approche est parfois critiquée pour son caractère descendant et son manque d'adaptation aux spécificités locales</w:t>
      </w:r>
      <w:r w:rsidRPr="002462E6">
        <w:rPr>
          <w:rStyle w:val="Appelnotedebasdep"/>
          <w:rFonts w:ascii="Tahoma" w:hAnsi="Tahoma" w:cs="Tahoma"/>
          <w:sz w:val="24"/>
          <w:szCs w:val="24"/>
          <w:lang w:eastAsia="fr-FR"/>
        </w:rPr>
        <w:footnoteReference w:id="641"/>
      </w:r>
      <w:r w:rsidRPr="002462E6">
        <w:rPr>
          <w:rFonts w:ascii="Tahoma" w:hAnsi="Tahoma" w:cs="Tahoma"/>
          <w:sz w:val="24"/>
          <w:szCs w:val="24"/>
          <w:lang w:eastAsia="fr-FR"/>
        </w:rPr>
        <w:t>.</w:t>
      </w:r>
    </w:p>
    <w:p w:rsidR="00FA6C95" w:rsidRPr="002462E6" w:rsidRDefault="00FA6C95" w:rsidP="00D051D7">
      <w:pPr>
        <w:pStyle w:val="Corpsdetexte"/>
        <w:numPr>
          <w:ilvl w:val="0"/>
          <w:numId w:val="34"/>
        </w:numPr>
        <w:spacing w:before="161" w:line="360" w:lineRule="auto"/>
        <w:ind w:right="596"/>
        <w:jc w:val="both"/>
        <w:rPr>
          <w:rFonts w:ascii="Tahoma" w:hAnsi="Tahoma" w:cs="Tahoma"/>
          <w:color w:val="000000" w:themeColor="text1"/>
        </w:rPr>
      </w:pPr>
      <w:r w:rsidRPr="002462E6">
        <w:rPr>
          <w:rFonts w:ascii="Tahoma" w:hAnsi="Tahoma" w:cs="Tahoma"/>
          <w:color w:val="000000" w:themeColor="text1"/>
        </w:rPr>
        <w:t>L'approche économique et fonctionnelle : elle appréhende le territoire comme un espace de production, d'échange et de développement économique en se focalisant sur les ressources naturelles, les infrastructures, les potentialités économiques et les dynamiques sectorielles. Cette vision, qui a longtemps prédominé les politiques publiques marocaines</w:t>
      </w:r>
      <w:r w:rsidRPr="002462E6">
        <w:rPr>
          <w:rStyle w:val="Appelnotedebasdep"/>
          <w:rFonts w:ascii="Tahoma" w:hAnsi="Tahoma" w:cs="Tahoma"/>
          <w:color w:val="000000" w:themeColor="text1"/>
        </w:rPr>
        <w:footnoteReference w:id="642"/>
      </w:r>
      <w:r w:rsidRPr="002462E6">
        <w:rPr>
          <w:rFonts w:ascii="Tahoma" w:hAnsi="Tahoma" w:cs="Tahoma"/>
          <w:color w:val="000000" w:themeColor="text1"/>
        </w:rPr>
        <w:t>, s'est notamment traduite par la mise en œuvre de plans quinquennaux et de stratégies sectorielles dites ambitieuses, tels que le Plan Maroc Vert (pour le secteur agricole) et le Plan Halieutis (pour le secteur de la pêche) (Ministère de l'Agriculture, 2008 ; Ministère de la Pêche Maritime, 2009). L'objectif principal est de stimuler la croissance économique, de créer des emplois et d'améliorer la compétitivité du pays. Toutefois, cette approche est parfois critiquée pour son impact environnemental et son manque d'attention aux inégalités territoriales</w:t>
      </w:r>
      <w:r w:rsidRPr="002462E6">
        <w:rPr>
          <w:rStyle w:val="Appelnotedebasdep"/>
          <w:rFonts w:ascii="Tahoma" w:hAnsi="Tahoma" w:cs="Tahoma"/>
          <w:color w:val="000000" w:themeColor="text1"/>
        </w:rPr>
        <w:footnoteReference w:id="643"/>
      </w:r>
      <w:r w:rsidRPr="002462E6">
        <w:rPr>
          <w:rFonts w:ascii="Tahoma" w:hAnsi="Tahoma" w:cs="Tahoma"/>
          <w:color w:val="000000" w:themeColor="text1"/>
        </w:rPr>
        <w:t>.</w:t>
      </w:r>
    </w:p>
    <w:p w:rsidR="00DC06AE" w:rsidRPr="002462E6" w:rsidRDefault="00DC06AE">
      <w:pPr>
        <w:rPr>
          <w:rFonts w:ascii="Tahoma" w:eastAsia="Times New Roman" w:hAnsi="Tahoma" w:cs="Tahoma"/>
          <w:color w:val="000000" w:themeColor="text1"/>
          <w:sz w:val="24"/>
          <w:szCs w:val="24"/>
        </w:rPr>
      </w:pPr>
    </w:p>
    <w:p w:rsidR="00FA6C95" w:rsidRPr="002462E6" w:rsidRDefault="00FA6C95" w:rsidP="00D051D7">
      <w:pPr>
        <w:pStyle w:val="Corpsdetexte"/>
        <w:numPr>
          <w:ilvl w:val="0"/>
          <w:numId w:val="35"/>
        </w:numPr>
        <w:spacing w:before="161" w:line="360" w:lineRule="auto"/>
        <w:ind w:right="596"/>
        <w:jc w:val="both"/>
        <w:rPr>
          <w:rFonts w:ascii="Tahoma" w:hAnsi="Tahoma" w:cs="Tahoma"/>
          <w:color w:val="000000" w:themeColor="text1"/>
        </w:rPr>
      </w:pPr>
      <w:r w:rsidRPr="002462E6">
        <w:rPr>
          <w:rFonts w:ascii="Tahoma" w:hAnsi="Tahoma" w:cs="Tahoma"/>
          <w:color w:val="000000" w:themeColor="text1"/>
        </w:rPr>
        <w:t>L'approche identitaire et culturelle : elle considère le territoire comme un espace d'appartenance, porteur d'identités, de mémoires et de pratiques culturelles spécifiques. Cette dimension, longtemps négligée, a été valorisée depuis la Constitution de 2011, qui reconnaît officiellement la diversité culturelle et linguistique du Maroc</w:t>
      </w:r>
      <w:r w:rsidRPr="002462E6">
        <w:rPr>
          <w:rStyle w:val="Appelnotedebasdep"/>
          <w:rFonts w:ascii="Tahoma" w:hAnsi="Tahoma" w:cs="Tahoma"/>
          <w:color w:val="000000" w:themeColor="text1"/>
        </w:rPr>
        <w:footnoteReference w:id="644"/>
      </w:r>
      <w:r w:rsidRPr="002462E6">
        <w:rPr>
          <w:rFonts w:ascii="Tahoma" w:hAnsi="Tahoma" w:cs="Tahoma"/>
          <w:color w:val="000000" w:themeColor="text1"/>
        </w:rPr>
        <w:t>. La promotion de la culture et du patrimoine local est désormais considérée comme un levier de développement territorial, contribuant à renforcer le sentiment d'appartenance et à valoriser les spécificités de chaque région</w:t>
      </w:r>
      <w:r w:rsidRPr="002462E6">
        <w:rPr>
          <w:rStyle w:val="Appelnotedebasdep"/>
          <w:rFonts w:ascii="Tahoma" w:hAnsi="Tahoma" w:cs="Tahoma"/>
          <w:color w:val="000000" w:themeColor="text1"/>
        </w:rPr>
        <w:footnoteReference w:id="645"/>
      </w:r>
      <w:r w:rsidRPr="002462E6">
        <w:rPr>
          <w:rFonts w:ascii="Tahoma" w:hAnsi="Tahoma" w:cs="Tahoma"/>
          <w:color w:val="000000" w:themeColor="text1"/>
        </w:rPr>
        <w:t>.</w:t>
      </w:r>
    </w:p>
    <w:p w:rsidR="00FA6C95" w:rsidRPr="002462E6" w:rsidRDefault="00FA6C95" w:rsidP="00D051D7">
      <w:pPr>
        <w:pStyle w:val="Corpsdetexte"/>
        <w:numPr>
          <w:ilvl w:val="0"/>
          <w:numId w:val="36"/>
        </w:numPr>
        <w:spacing w:before="161" w:line="360" w:lineRule="auto"/>
        <w:ind w:right="596"/>
        <w:jc w:val="both"/>
        <w:rPr>
          <w:rFonts w:ascii="Tahoma" w:hAnsi="Tahoma" w:cs="Tahoma"/>
          <w:color w:val="000000" w:themeColor="text1"/>
        </w:rPr>
      </w:pPr>
      <w:r w:rsidRPr="002462E6">
        <w:rPr>
          <w:rFonts w:ascii="Tahoma" w:hAnsi="Tahoma" w:cs="Tahoma"/>
          <w:color w:val="000000" w:themeColor="text1"/>
        </w:rPr>
        <w:t>L'approche environnementale et écosystémique : d’apparition récente, cette approche appréhende le territoire comme un socio-écosystème complexe, où les dimensions écologiques, sociales et économiques sont intrinsèquement liées. Cette vision, influencée par les engagements internationaux du Maroc en matière de développement durable, met l'accent sur la nécessité de préserver la biodiversité, de lutter contre le changement climatique et de promouvoir une gestion durable des ressources naturelles. Elle se traduit par la mise en œuvre de politiques environnementales et forestières ambitieuses, visant à concilier développement économique et protection de l'environnement (Ministère de l'Énergie, des Mines et de l'Environnement, 2020)</w:t>
      </w:r>
      <w:r w:rsidRPr="002462E6">
        <w:rPr>
          <w:rStyle w:val="Appelnotedebasdep"/>
          <w:rFonts w:ascii="Tahoma" w:hAnsi="Tahoma" w:cs="Tahoma"/>
          <w:color w:val="000000" w:themeColor="text1"/>
        </w:rPr>
        <w:footnoteReference w:id="646"/>
      </w:r>
      <w:r w:rsidRPr="002462E6">
        <w:rPr>
          <w:rFonts w:ascii="Tahoma" w:hAnsi="Tahoma" w:cs="Tahoma"/>
          <w:color w:val="000000" w:themeColor="text1"/>
        </w:rPr>
        <w:t>.</w:t>
      </w:r>
    </w:p>
    <w:p w:rsidR="00FA6C95" w:rsidRPr="002462E6" w:rsidRDefault="00FA6C95" w:rsidP="00FA6C95">
      <w:pPr>
        <w:pStyle w:val="Corpsdetexte"/>
        <w:spacing w:before="161" w:line="360" w:lineRule="auto"/>
        <w:ind w:right="596"/>
        <w:jc w:val="both"/>
        <w:rPr>
          <w:rFonts w:ascii="Tahoma" w:hAnsi="Tahoma" w:cs="Tahoma"/>
          <w:color w:val="000000" w:themeColor="text1"/>
        </w:rPr>
      </w:pPr>
      <w:r w:rsidRPr="002462E6">
        <w:rPr>
          <w:rFonts w:ascii="Tahoma" w:hAnsi="Tahoma" w:cs="Tahoma"/>
          <w:color w:val="000000" w:themeColor="text1"/>
        </w:rPr>
        <w:t xml:space="preserve">L'hétérogénéité des approches territoriales exposées, ci-dessus, </w:t>
      </w:r>
      <w:r w:rsidRPr="002462E6">
        <w:rPr>
          <w:rFonts w:ascii="Tahoma" w:hAnsi="Tahoma" w:cs="Tahoma"/>
        </w:rPr>
        <w:t>constitue parfois une source de contradictions, mais elle peut favoriser également l'émergence de solutions novatrices, adaptées aux défis spécifiques du territoire marocain.</w:t>
      </w:r>
    </w:p>
    <w:p w:rsidR="00FA6C95" w:rsidRPr="002462E6" w:rsidRDefault="00FA6C95" w:rsidP="00FA6C95">
      <w:pPr>
        <w:spacing w:after="0" w:line="360" w:lineRule="auto"/>
        <w:jc w:val="both"/>
        <w:rPr>
          <w:rFonts w:ascii="Tahoma" w:eastAsia="Times New Roman" w:hAnsi="Tahoma" w:cs="Tahoma"/>
          <w:sz w:val="24"/>
          <w:szCs w:val="24"/>
          <w:lang w:eastAsia="fr-FR"/>
        </w:rPr>
      </w:pPr>
      <w:r w:rsidRPr="002462E6">
        <w:rPr>
          <w:rFonts w:ascii="Tahoma" w:eastAsia="Times New Roman" w:hAnsi="Tahoma" w:cs="Tahoma"/>
          <w:sz w:val="24"/>
          <w:szCs w:val="24"/>
          <w:lang w:eastAsia="fr-FR"/>
        </w:rPr>
        <w:t xml:space="preserve">Dans le prolongement de cette analyse qui envisage la territorialité comme une construction à la fois sociale et spatiale, évolutive et dynamique, il apparaît pertinent d’interroger les modalités par lesquelles cette conceptualisation théorique se matérialise à travers des pratiques concrètes au sein de l’espace territorial. C'est précisément ici que la notion d'aménagement du territoire prend toute sa signification. Plus qu'une simple mise en œuvre technique de politiques spatiales, l'aménagement du territoire se révèle être une démarche active de matérialisation et de configuration de cette construction sociale complexe qu'est le territoire. Il convient alors d'aborder l'aménagement du territoire non comme une fin en soi, mais comme un moyen d'articuler les aspirations sociales, les impératifs économiques et les considérations environnementales. </w:t>
      </w:r>
    </w:p>
    <w:p w:rsidR="00FA6C95" w:rsidRPr="002462E6" w:rsidRDefault="00FA6C95" w:rsidP="00FA6C95">
      <w:pPr>
        <w:spacing w:after="0" w:line="360" w:lineRule="auto"/>
        <w:jc w:val="both"/>
        <w:rPr>
          <w:rFonts w:ascii="Tahoma" w:eastAsia="Times New Roman" w:hAnsi="Tahoma" w:cs="Tahoma"/>
          <w:sz w:val="24"/>
          <w:szCs w:val="24"/>
          <w:lang w:eastAsia="fr-FR"/>
        </w:rPr>
      </w:pPr>
    </w:p>
    <w:p w:rsidR="00FA6C95" w:rsidRPr="002462E6" w:rsidRDefault="00FA6C95" w:rsidP="00BF1F48">
      <w:pPr>
        <w:pStyle w:val="Titre5"/>
      </w:pPr>
      <w:bookmarkStart w:id="369" w:name="_Toc201655516"/>
      <w:bookmarkStart w:id="370" w:name="_Toc203643090"/>
      <w:r w:rsidRPr="002462E6">
        <w:t>Aménagement du territoire au Maroc : évolution et défis contemporains</w:t>
      </w:r>
      <w:bookmarkEnd w:id="369"/>
      <w:bookmarkEnd w:id="370"/>
    </w:p>
    <w:p w:rsidR="00FA6C95" w:rsidRPr="002462E6" w:rsidRDefault="00FA6C95" w:rsidP="00FA6C95">
      <w:pPr>
        <w:pStyle w:val="Corpsdetexte"/>
        <w:spacing w:before="160" w:line="360" w:lineRule="auto"/>
        <w:ind w:right="600"/>
        <w:jc w:val="both"/>
        <w:rPr>
          <w:rFonts w:ascii="Tahoma" w:hAnsi="Tahoma" w:cs="Tahoma"/>
        </w:rPr>
      </w:pPr>
      <w:r w:rsidRPr="002462E6">
        <w:rPr>
          <w:rFonts w:ascii="Tahoma" w:hAnsi="Tahoma" w:cs="Tahoma"/>
        </w:rPr>
        <w:t>Généralement, l'aménagement du territoire s'inscrit dans une démarche visant à promouvoir la complémentarité territoriale</w:t>
      </w:r>
      <w:r w:rsidRPr="002462E6">
        <w:rPr>
          <w:rStyle w:val="Appelnotedebasdep"/>
          <w:rFonts w:ascii="Tahoma" w:hAnsi="Tahoma" w:cs="Tahoma"/>
        </w:rPr>
        <w:footnoteReference w:id="647"/>
      </w:r>
      <w:r w:rsidRPr="002462E6">
        <w:rPr>
          <w:rFonts w:ascii="Tahoma" w:hAnsi="Tahoma" w:cs="Tahoma"/>
        </w:rPr>
        <w:t>, tout en intégrant les dynamiques de compétitivité et de recherche de l'excellence</w:t>
      </w:r>
      <w:r w:rsidRPr="002462E6">
        <w:rPr>
          <w:rStyle w:val="Appelnotedebasdep"/>
          <w:rFonts w:ascii="Tahoma" w:hAnsi="Tahoma" w:cs="Tahoma"/>
        </w:rPr>
        <w:footnoteReference w:id="648"/>
      </w:r>
      <w:r w:rsidRPr="002462E6">
        <w:rPr>
          <w:rFonts w:ascii="Tahoma" w:hAnsi="Tahoma" w:cs="Tahoma"/>
        </w:rPr>
        <w:t>. Dans cette optique, il se présente comme un catalyseur et un moteur essentiel de toute stratégie de développement global, notamment grâce à une structuration fine et cohérente de l'espace</w:t>
      </w:r>
      <w:r w:rsidRPr="002462E6">
        <w:rPr>
          <w:rStyle w:val="Appelnotedebasdep"/>
          <w:rFonts w:ascii="Tahoma" w:hAnsi="Tahoma" w:cs="Tahoma"/>
        </w:rPr>
        <w:footnoteReference w:id="649"/>
      </w:r>
      <w:r w:rsidRPr="002462E6">
        <w:rPr>
          <w:rFonts w:ascii="Tahoma" w:hAnsi="Tahoma" w:cs="Tahoma"/>
        </w:rPr>
        <w:t>. Par ailleurs, la politique d'aménagement du territoire, dont l'histoire demeure relativement récente, aspire à instaurer des mécanismes de solidarité locale</w:t>
      </w:r>
      <w:r w:rsidRPr="002462E6">
        <w:rPr>
          <w:rStyle w:val="Appelnotedebasdep"/>
          <w:rFonts w:ascii="Tahoma" w:hAnsi="Tahoma" w:cs="Tahoma"/>
        </w:rPr>
        <w:footnoteReference w:id="650"/>
      </w:r>
      <w:r w:rsidRPr="002462E6">
        <w:rPr>
          <w:rFonts w:ascii="Tahoma" w:hAnsi="Tahoma" w:cs="Tahoma"/>
        </w:rPr>
        <w:t>. Cette approche vise à contenir les effets d'une croissance anarchique tout en favorisant l'émergence de régions équilibrées et harmonieuses</w:t>
      </w:r>
      <w:r w:rsidRPr="002462E6">
        <w:rPr>
          <w:rStyle w:val="Appelnotedebasdep"/>
          <w:rFonts w:ascii="Tahoma" w:hAnsi="Tahoma" w:cs="Tahoma"/>
        </w:rPr>
        <w:footnoteReference w:id="651"/>
      </w:r>
      <w:r w:rsidRPr="002462E6">
        <w:rPr>
          <w:rFonts w:ascii="Tahoma" w:hAnsi="Tahoma" w:cs="Tahoma"/>
        </w:rPr>
        <w:t>.</w:t>
      </w:r>
    </w:p>
    <w:p w:rsidR="00FA6C95" w:rsidRPr="002462E6" w:rsidRDefault="00FA6C95" w:rsidP="00FA6C95">
      <w:pPr>
        <w:pStyle w:val="Corpsdetexte"/>
        <w:spacing w:before="160" w:line="360" w:lineRule="auto"/>
        <w:ind w:right="600"/>
        <w:jc w:val="both"/>
        <w:rPr>
          <w:rFonts w:ascii="Tahoma" w:hAnsi="Tahoma" w:cs="Tahoma"/>
        </w:rPr>
      </w:pPr>
      <w:r w:rsidRPr="002462E6">
        <w:rPr>
          <w:rFonts w:ascii="Tahoma" w:hAnsi="Tahoma" w:cs="Tahoma"/>
        </w:rPr>
        <w:t>À cet égard, l’aménagement du territoire peut être appréhendé sous des perspectives multiples et se décliner en diverses définitions. Celles-ci peuvent être synthétisées en deux approches principales : la première met l’accent sur l’action et les cadres territoriaux, tandis que la seconde s’appuie sur l’art et la et la technique d’agir.</w:t>
      </w:r>
    </w:p>
    <w:p w:rsidR="00FA6C95" w:rsidRPr="002462E6" w:rsidRDefault="00FA6C95" w:rsidP="002914C6">
      <w:pPr>
        <w:pStyle w:val="Corpsdetexte"/>
        <w:spacing w:after="240" w:line="360" w:lineRule="auto"/>
        <w:ind w:right="595"/>
        <w:jc w:val="both"/>
        <w:rPr>
          <w:rFonts w:ascii="Tahoma" w:hAnsi="Tahoma" w:cs="Tahoma"/>
        </w:rPr>
      </w:pPr>
      <w:r w:rsidRPr="002462E6">
        <w:rPr>
          <w:rFonts w:ascii="Tahoma" w:hAnsi="Tahoma" w:cs="Tahoma"/>
        </w:rPr>
        <w:t>La première définition inspirée des sciences géographiques assimile, en effet, l’aménagement à</w:t>
      </w:r>
      <w:r w:rsidRPr="002462E6">
        <w:rPr>
          <w:rFonts w:ascii="Tahoma" w:hAnsi="Tahoma" w:cs="Tahoma"/>
          <w:spacing w:val="1"/>
        </w:rPr>
        <w:t xml:space="preserve"> </w:t>
      </w:r>
      <w:r w:rsidRPr="002462E6">
        <w:rPr>
          <w:rFonts w:ascii="Tahoma" w:hAnsi="Tahoma" w:cs="Tahoma"/>
        </w:rPr>
        <w:t>l’action</w:t>
      </w:r>
      <w:r w:rsidRPr="002462E6">
        <w:rPr>
          <w:rFonts w:ascii="Tahoma" w:hAnsi="Tahoma" w:cs="Tahoma"/>
          <w:spacing w:val="1"/>
        </w:rPr>
        <w:t xml:space="preserve"> </w:t>
      </w:r>
      <w:r w:rsidRPr="002462E6">
        <w:rPr>
          <w:rFonts w:ascii="Tahoma" w:hAnsi="Tahoma" w:cs="Tahoma"/>
        </w:rPr>
        <w:t>volontaire</w:t>
      </w:r>
      <w:r w:rsidRPr="002462E6">
        <w:rPr>
          <w:rFonts w:ascii="Tahoma" w:hAnsi="Tahoma" w:cs="Tahoma"/>
          <w:spacing w:val="1"/>
        </w:rPr>
        <w:t xml:space="preserve"> </w:t>
      </w:r>
      <w:r w:rsidRPr="002462E6">
        <w:rPr>
          <w:rFonts w:ascii="Tahoma" w:hAnsi="Tahoma" w:cs="Tahoma"/>
        </w:rPr>
        <w:t>et</w:t>
      </w:r>
      <w:r w:rsidRPr="002462E6">
        <w:rPr>
          <w:rFonts w:ascii="Tahoma" w:hAnsi="Tahoma" w:cs="Tahoma"/>
          <w:spacing w:val="1"/>
        </w:rPr>
        <w:t xml:space="preserve"> </w:t>
      </w:r>
      <w:r w:rsidRPr="002462E6">
        <w:rPr>
          <w:rFonts w:ascii="Tahoma" w:hAnsi="Tahoma" w:cs="Tahoma"/>
        </w:rPr>
        <w:t>réfléchie</w:t>
      </w:r>
      <w:r w:rsidRPr="002462E6">
        <w:rPr>
          <w:rFonts w:ascii="Tahoma" w:hAnsi="Tahoma" w:cs="Tahoma"/>
          <w:spacing w:val="1"/>
        </w:rPr>
        <w:t xml:space="preserve"> </w:t>
      </w:r>
      <w:r w:rsidRPr="002462E6">
        <w:rPr>
          <w:rFonts w:ascii="Tahoma" w:hAnsi="Tahoma" w:cs="Tahoma"/>
        </w:rPr>
        <w:t>d’une</w:t>
      </w:r>
      <w:r w:rsidRPr="002462E6">
        <w:rPr>
          <w:rFonts w:ascii="Tahoma" w:hAnsi="Tahoma" w:cs="Tahoma"/>
          <w:spacing w:val="1"/>
        </w:rPr>
        <w:t xml:space="preserve"> </w:t>
      </w:r>
      <w:r w:rsidRPr="002462E6">
        <w:rPr>
          <w:rFonts w:ascii="Tahoma" w:hAnsi="Tahoma" w:cs="Tahoma"/>
        </w:rPr>
        <w:t>collectivité</w:t>
      </w:r>
      <w:r w:rsidRPr="002462E6">
        <w:rPr>
          <w:rFonts w:ascii="Tahoma" w:hAnsi="Tahoma" w:cs="Tahoma"/>
          <w:spacing w:val="1"/>
        </w:rPr>
        <w:t xml:space="preserve"> </w:t>
      </w:r>
      <w:r w:rsidRPr="002462E6">
        <w:rPr>
          <w:rFonts w:ascii="Tahoma" w:hAnsi="Tahoma" w:cs="Tahoma"/>
        </w:rPr>
        <w:t>sur</w:t>
      </w:r>
      <w:r w:rsidRPr="002462E6">
        <w:rPr>
          <w:rFonts w:ascii="Tahoma" w:hAnsi="Tahoma" w:cs="Tahoma"/>
          <w:spacing w:val="1"/>
        </w:rPr>
        <w:t xml:space="preserve"> </w:t>
      </w:r>
      <w:r w:rsidRPr="002462E6">
        <w:rPr>
          <w:rFonts w:ascii="Tahoma" w:hAnsi="Tahoma" w:cs="Tahoma"/>
        </w:rPr>
        <w:t>son</w:t>
      </w:r>
      <w:r w:rsidRPr="002462E6">
        <w:rPr>
          <w:rFonts w:ascii="Tahoma" w:hAnsi="Tahoma" w:cs="Tahoma"/>
          <w:spacing w:val="1"/>
        </w:rPr>
        <w:t xml:space="preserve"> </w:t>
      </w:r>
      <w:r w:rsidRPr="002462E6">
        <w:rPr>
          <w:rFonts w:ascii="Tahoma" w:hAnsi="Tahoma" w:cs="Tahoma"/>
        </w:rPr>
        <w:t>territoire,</w:t>
      </w:r>
      <w:r w:rsidRPr="002462E6">
        <w:rPr>
          <w:rFonts w:ascii="Tahoma" w:hAnsi="Tahoma" w:cs="Tahoma"/>
          <w:spacing w:val="1"/>
        </w:rPr>
        <w:t xml:space="preserve"> </w:t>
      </w:r>
      <w:r w:rsidRPr="002462E6">
        <w:rPr>
          <w:rFonts w:ascii="Tahoma" w:hAnsi="Tahoma" w:cs="Tahoma"/>
        </w:rPr>
        <w:t>soit</w:t>
      </w:r>
      <w:r w:rsidRPr="002462E6">
        <w:rPr>
          <w:rFonts w:ascii="Tahoma" w:hAnsi="Tahoma" w:cs="Tahoma"/>
          <w:spacing w:val="1"/>
        </w:rPr>
        <w:t xml:space="preserve"> </w:t>
      </w:r>
      <w:r w:rsidRPr="002462E6">
        <w:rPr>
          <w:rFonts w:ascii="Tahoma" w:hAnsi="Tahoma" w:cs="Tahoma"/>
        </w:rPr>
        <w:t>au</w:t>
      </w:r>
      <w:r w:rsidRPr="002462E6">
        <w:rPr>
          <w:rFonts w:ascii="Tahoma" w:hAnsi="Tahoma" w:cs="Tahoma"/>
          <w:spacing w:val="1"/>
        </w:rPr>
        <w:t xml:space="preserve"> </w:t>
      </w:r>
      <w:r w:rsidRPr="002462E6">
        <w:rPr>
          <w:rFonts w:ascii="Tahoma" w:hAnsi="Tahoma" w:cs="Tahoma"/>
        </w:rPr>
        <w:t>niveau</w:t>
      </w:r>
      <w:r w:rsidRPr="002462E6">
        <w:rPr>
          <w:rFonts w:ascii="Tahoma" w:hAnsi="Tahoma" w:cs="Tahoma"/>
          <w:spacing w:val="1"/>
        </w:rPr>
        <w:t xml:space="preserve"> </w:t>
      </w:r>
      <w:r w:rsidRPr="002462E6">
        <w:rPr>
          <w:rFonts w:ascii="Tahoma" w:hAnsi="Tahoma" w:cs="Tahoma"/>
        </w:rPr>
        <w:t>local</w:t>
      </w:r>
      <w:r w:rsidRPr="002462E6">
        <w:rPr>
          <w:rFonts w:ascii="Tahoma" w:hAnsi="Tahoma" w:cs="Tahoma"/>
          <w:spacing w:val="1"/>
        </w:rPr>
        <w:t xml:space="preserve"> </w:t>
      </w:r>
      <w:r w:rsidRPr="002462E6">
        <w:rPr>
          <w:rFonts w:ascii="Tahoma" w:hAnsi="Tahoma" w:cs="Tahoma"/>
        </w:rPr>
        <w:t>(aménagement urbain, rural, local), soit au niveau régional (grands aménagements régionaux,</w:t>
      </w:r>
      <w:r w:rsidRPr="002462E6">
        <w:rPr>
          <w:rFonts w:ascii="Tahoma" w:hAnsi="Tahoma" w:cs="Tahoma"/>
          <w:spacing w:val="1"/>
        </w:rPr>
        <w:t xml:space="preserve"> </w:t>
      </w:r>
      <w:r w:rsidRPr="002462E6">
        <w:rPr>
          <w:rFonts w:ascii="Tahoma" w:hAnsi="Tahoma" w:cs="Tahoma"/>
        </w:rPr>
        <w:t>irrigations), soit au niveau national (aménagement du territoire). La deuxième définition est celle</w:t>
      </w:r>
      <w:r w:rsidRPr="002462E6">
        <w:rPr>
          <w:rFonts w:ascii="Tahoma" w:hAnsi="Tahoma" w:cs="Tahoma"/>
          <w:spacing w:val="1"/>
        </w:rPr>
        <w:t xml:space="preserve"> </w:t>
      </w:r>
      <w:r w:rsidRPr="002462E6">
        <w:rPr>
          <w:rFonts w:ascii="Tahoma" w:hAnsi="Tahoma" w:cs="Tahoma"/>
        </w:rPr>
        <w:t>proposée</w:t>
      </w:r>
      <w:r w:rsidRPr="002462E6">
        <w:rPr>
          <w:rFonts w:ascii="Tahoma" w:hAnsi="Tahoma" w:cs="Tahoma"/>
          <w:spacing w:val="-4"/>
        </w:rPr>
        <w:t xml:space="preserve"> </w:t>
      </w:r>
      <w:r w:rsidRPr="002462E6">
        <w:rPr>
          <w:rFonts w:ascii="Tahoma" w:hAnsi="Tahoma" w:cs="Tahoma"/>
        </w:rPr>
        <w:t>par</w:t>
      </w:r>
      <w:r w:rsidRPr="002462E6">
        <w:rPr>
          <w:rFonts w:ascii="Tahoma" w:hAnsi="Tahoma" w:cs="Tahoma"/>
          <w:spacing w:val="-3"/>
        </w:rPr>
        <w:t xml:space="preserve"> </w:t>
      </w:r>
      <w:r w:rsidRPr="002462E6">
        <w:rPr>
          <w:rFonts w:ascii="Tahoma" w:hAnsi="Tahoma" w:cs="Tahoma"/>
        </w:rPr>
        <w:t>le</w:t>
      </w:r>
      <w:r w:rsidRPr="002462E6">
        <w:rPr>
          <w:rFonts w:ascii="Tahoma" w:hAnsi="Tahoma" w:cs="Tahoma"/>
          <w:spacing w:val="-5"/>
        </w:rPr>
        <w:t xml:space="preserve"> </w:t>
      </w:r>
      <w:r w:rsidRPr="002462E6">
        <w:rPr>
          <w:rFonts w:ascii="Tahoma" w:hAnsi="Tahoma" w:cs="Tahoma"/>
        </w:rPr>
        <w:t>Dictionnaire</w:t>
      </w:r>
      <w:r w:rsidRPr="002462E6">
        <w:rPr>
          <w:rFonts w:ascii="Tahoma" w:hAnsi="Tahoma" w:cs="Tahoma"/>
          <w:spacing w:val="-3"/>
        </w:rPr>
        <w:t xml:space="preserve"> </w:t>
      </w:r>
      <w:r w:rsidRPr="002462E6">
        <w:rPr>
          <w:rFonts w:ascii="Tahoma" w:hAnsi="Tahoma" w:cs="Tahoma"/>
        </w:rPr>
        <w:t>de</w:t>
      </w:r>
      <w:r w:rsidRPr="002462E6">
        <w:rPr>
          <w:rFonts w:ascii="Tahoma" w:hAnsi="Tahoma" w:cs="Tahoma"/>
          <w:spacing w:val="-5"/>
        </w:rPr>
        <w:t xml:space="preserve"> </w:t>
      </w:r>
      <w:r w:rsidRPr="002462E6">
        <w:rPr>
          <w:rFonts w:ascii="Tahoma" w:hAnsi="Tahoma" w:cs="Tahoma"/>
        </w:rPr>
        <w:t>l’Urbanisme</w:t>
      </w:r>
      <w:r w:rsidRPr="002462E6">
        <w:rPr>
          <w:rFonts w:ascii="Tahoma" w:hAnsi="Tahoma" w:cs="Tahoma"/>
          <w:spacing w:val="-4"/>
        </w:rPr>
        <w:t xml:space="preserve"> </w:t>
      </w:r>
      <w:r w:rsidRPr="002462E6">
        <w:rPr>
          <w:rFonts w:ascii="Tahoma" w:hAnsi="Tahoma" w:cs="Tahoma"/>
        </w:rPr>
        <w:t>et</w:t>
      </w:r>
      <w:r w:rsidRPr="002462E6">
        <w:rPr>
          <w:rFonts w:ascii="Tahoma" w:hAnsi="Tahoma" w:cs="Tahoma"/>
          <w:spacing w:val="-3"/>
        </w:rPr>
        <w:t xml:space="preserve"> </w:t>
      </w:r>
      <w:r w:rsidRPr="002462E6">
        <w:rPr>
          <w:rFonts w:ascii="Tahoma" w:hAnsi="Tahoma" w:cs="Tahoma"/>
        </w:rPr>
        <w:t>de</w:t>
      </w:r>
      <w:r w:rsidRPr="002462E6">
        <w:rPr>
          <w:rFonts w:ascii="Tahoma" w:hAnsi="Tahoma" w:cs="Tahoma"/>
          <w:spacing w:val="-4"/>
        </w:rPr>
        <w:t xml:space="preserve"> </w:t>
      </w:r>
      <w:r w:rsidRPr="002462E6">
        <w:rPr>
          <w:rFonts w:ascii="Tahoma" w:hAnsi="Tahoma" w:cs="Tahoma"/>
        </w:rPr>
        <w:t>l’Aménagement</w:t>
      </w:r>
      <w:r w:rsidRPr="002462E6">
        <w:rPr>
          <w:rFonts w:ascii="Tahoma" w:hAnsi="Tahoma" w:cs="Tahoma"/>
          <w:spacing w:val="-4"/>
        </w:rPr>
        <w:t xml:space="preserve"> </w:t>
      </w:r>
      <w:r w:rsidRPr="002462E6">
        <w:rPr>
          <w:rFonts w:ascii="Tahoma" w:hAnsi="Tahoma" w:cs="Tahoma"/>
        </w:rPr>
        <w:t>où</w:t>
      </w:r>
      <w:r w:rsidRPr="002462E6">
        <w:rPr>
          <w:rFonts w:ascii="Tahoma" w:hAnsi="Tahoma" w:cs="Tahoma"/>
          <w:spacing w:val="-4"/>
        </w:rPr>
        <w:t xml:space="preserve"> </w:t>
      </w:r>
      <w:r w:rsidRPr="002462E6">
        <w:rPr>
          <w:rFonts w:ascii="Tahoma" w:hAnsi="Tahoma" w:cs="Tahoma"/>
        </w:rPr>
        <w:t>l’aménagement</w:t>
      </w:r>
      <w:r w:rsidRPr="002462E6">
        <w:rPr>
          <w:rFonts w:ascii="Tahoma" w:hAnsi="Tahoma" w:cs="Tahoma"/>
          <w:spacing w:val="-2"/>
        </w:rPr>
        <w:t xml:space="preserve"> </w:t>
      </w:r>
      <w:r w:rsidRPr="002462E6">
        <w:rPr>
          <w:rFonts w:ascii="Tahoma" w:hAnsi="Tahoma" w:cs="Tahoma"/>
        </w:rPr>
        <w:t>du</w:t>
      </w:r>
      <w:r w:rsidRPr="002462E6">
        <w:rPr>
          <w:rFonts w:ascii="Tahoma" w:hAnsi="Tahoma" w:cs="Tahoma"/>
          <w:spacing w:val="-4"/>
        </w:rPr>
        <w:t xml:space="preserve"> </w:t>
      </w:r>
      <w:r w:rsidRPr="002462E6">
        <w:rPr>
          <w:rFonts w:ascii="Tahoma" w:hAnsi="Tahoma" w:cs="Tahoma"/>
        </w:rPr>
        <w:t>territoire se présente comme l’art ou la technique de disposer avec ordre, à travers l’espace d’un pays et dans une vision</w:t>
      </w:r>
      <w:r w:rsidRPr="002462E6">
        <w:rPr>
          <w:rFonts w:ascii="Tahoma" w:hAnsi="Tahoma" w:cs="Tahoma"/>
          <w:spacing w:val="1"/>
        </w:rPr>
        <w:t xml:space="preserve"> </w:t>
      </w:r>
      <w:r w:rsidRPr="002462E6">
        <w:rPr>
          <w:rFonts w:ascii="Tahoma" w:hAnsi="Tahoma" w:cs="Tahoma"/>
        </w:rPr>
        <w:t>prospective,</w:t>
      </w:r>
      <w:r w:rsidRPr="002462E6">
        <w:rPr>
          <w:rFonts w:ascii="Tahoma" w:hAnsi="Tahoma" w:cs="Tahoma"/>
          <w:spacing w:val="-6"/>
        </w:rPr>
        <w:t xml:space="preserve"> </w:t>
      </w:r>
      <w:r w:rsidRPr="002462E6">
        <w:rPr>
          <w:rFonts w:ascii="Tahoma" w:hAnsi="Tahoma" w:cs="Tahoma"/>
        </w:rPr>
        <w:t>les</w:t>
      </w:r>
      <w:r w:rsidRPr="002462E6">
        <w:rPr>
          <w:rFonts w:ascii="Tahoma" w:hAnsi="Tahoma" w:cs="Tahoma"/>
          <w:spacing w:val="-4"/>
        </w:rPr>
        <w:t xml:space="preserve"> </w:t>
      </w:r>
      <w:r w:rsidRPr="002462E6">
        <w:rPr>
          <w:rFonts w:ascii="Tahoma" w:hAnsi="Tahoma" w:cs="Tahoma"/>
        </w:rPr>
        <w:t>hommes</w:t>
      </w:r>
      <w:r w:rsidRPr="002462E6">
        <w:rPr>
          <w:rFonts w:ascii="Tahoma" w:hAnsi="Tahoma" w:cs="Tahoma"/>
          <w:spacing w:val="-3"/>
        </w:rPr>
        <w:t xml:space="preserve"> </w:t>
      </w:r>
      <w:r w:rsidRPr="002462E6">
        <w:rPr>
          <w:rFonts w:ascii="Tahoma" w:hAnsi="Tahoma" w:cs="Tahoma"/>
        </w:rPr>
        <w:t>et</w:t>
      </w:r>
      <w:r w:rsidRPr="002462E6">
        <w:rPr>
          <w:rFonts w:ascii="Tahoma" w:hAnsi="Tahoma" w:cs="Tahoma"/>
          <w:spacing w:val="-5"/>
        </w:rPr>
        <w:t xml:space="preserve"> </w:t>
      </w:r>
      <w:r w:rsidRPr="002462E6">
        <w:rPr>
          <w:rFonts w:ascii="Tahoma" w:hAnsi="Tahoma" w:cs="Tahoma"/>
        </w:rPr>
        <w:t>leurs</w:t>
      </w:r>
      <w:r w:rsidRPr="002462E6">
        <w:rPr>
          <w:rFonts w:ascii="Tahoma" w:hAnsi="Tahoma" w:cs="Tahoma"/>
          <w:spacing w:val="-5"/>
        </w:rPr>
        <w:t xml:space="preserve"> </w:t>
      </w:r>
      <w:r w:rsidRPr="002462E6">
        <w:rPr>
          <w:rFonts w:ascii="Tahoma" w:hAnsi="Tahoma" w:cs="Tahoma"/>
        </w:rPr>
        <w:t>activités,</w:t>
      </w:r>
      <w:r w:rsidRPr="002462E6">
        <w:rPr>
          <w:rFonts w:ascii="Tahoma" w:hAnsi="Tahoma" w:cs="Tahoma"/>
          <w:spacing w:val="-5"/>
        </w:rPr>
        <w:t xml:space="preserve"> </w:t>
      </w:r>
      <w:r w:rsidRPr="002462E6">
        <w:rPr>
          <w:rFonts w:ascii="Tahoma" w:hAnsi="Tahoma" w:cs="Tahoma"/>
        </w:rPr>
        <w:t>les</w:t>
      </w:r>
      <w:r w:rsidRPr="002462E6">
        <w:rPr>
          <w:rFonts w:ascii="Tahoma" w:hAnsi="Tahoma" w:cs="Tahoma"/>
          <w:spacing w:val="-4"/>
        </w:rPr>
        <w:t xml:space="preserve"> </w:t>
      </w:r>
      <w:r w:rsidRPr="002462E6">
        <w:rPr>
          <w:rFonts w:ascii="Tahoma" w:hAnsi="Tahoma" w:cs="Tahoma"/>
        </w:rPr>
        <w:t>équipements</w:t>
      </w:r>
      <w:r w:rsidRPr="002462E6">
        <w:rPr>
          <w:rFonts w:ascii="Tahoma" w:hAnsi="Tahoma" w:cs="Tahoma"/>
          <w:spacing w:val="-5"/>
        </w:rPr>
        <w:t xml:space="preserve"> </w:t>
      </w:r>
      <w:r w:rsidRPr="002462E6">
        <w:rPr>
          <w:rFonts w:ascii="Tahoma" w:hAnsi="Tahoma" w:cs="Tahoma"/>
        </w:rPr>
        <w:t>et</w:t>
      </w:r>
      <w:r w:rsidRPr="002462E6">
        <w:rPr>
          <w:rFonts w:ascii="Tahoma" w:hAnsi="Tahoma" w:cs="Tahoma"/>
          <w:spacing w:val="-5"/>
        </w:rPr>
        <w:t xml:space="preserve"> </w:t>
      </w:r>
      <w:r w:rsidRPr="002462E6">
        <w:rPr>
          <w:rFonts w:ascii="Tahoma" w:hAnsi="Tahoma" w:cs="Tahoma"/>
        </w:rPr>
        <w:t>les</w:t>
      </w:r>
      <w:r w:rsidRPr="002462E6">
        <w:rPr>
          <w:rFonts w:ascii="Tahoma" w:hAnsi="Tahoma" w:cs="Tahoma"/>
          <w:spacing w:val="-5"/>
        </w:rPr>
        <w:t xml:space="preserve"> </w:t>
      </w:r>
      <w:r w:rsidRPr="002462E6">
        <w:rPr>
          <w:rFonts w:ascii="Tahoma" w:hAnsi="Tahoma" w:cs="Tahoma"/>
        </w:rPr>
        <w:t>moyens</w:t>
      </w:r>
      <w:r w:rsidRPr="002462E6">
        <w:rPr>
          <w:rFonts w:ascii="Tahoma" w:hAnsi="Tahoma" w:cs="Tahoma"/>
          <w:spacing w:val="-5"/>
        </w:rPr>
        <w:t xml:space="preserve"> </w:t>
      </w:r>
      <w:r w:rsidRPr="002462E6">
        <w:rPr>
          <w:rFonts w:ascii="Tahoma" w:hAnsi="Tahoma" w:cs="Tahoma"/>
        </w:rPr>
        <w:t>de</w:t>
      </w:r>
      <w:r w:rsidRPr="002462E6">
        <w:rPr>
          <w:rFonts w:ascii="Tahoma" w:hAnsi="Tahoma" w:cs="Tahoma"/>
          <w:spacing w:val="-4"/>
        </w:rPr>
        <w:t xml:space="preserve"> </w:t>
      </w:r>
      <w:r w:rsidRPr="002462E6">
        <w:rPr>
          <w:rFonts w:ascii="Tahoma" w:hAnsi="Tahoma" w:cs="Tahoma"/>
        </w:rPr>
        <w:t>communication qu’ils peuvent utiliser, en prenant en compte les contraintes naturelles, humaines et économiques, voire stratégiques.</w:t>
      </w:r>
    </w:p>
    <w:p w:rsidR="00FA6C95" w:rsidRPr="002462E6" w:rsidRDefault="00FA6C95" w:rsidP="002914C6">
      <w:pPr>
        <w:pStyle w:val="Corpsdetexte"/>
        <w:spacing w:before="1" w:after="240" w:line="360" w:lineRule="auto"/>
        <w:ind w:right="595"/>
        <w:jc w:val="both"/>
        <w:rPr>
          <w:rFonts w:ascii="Tahoma" w:hAnsi="Tahoma" w:cs="Tahoma"/>
          <w:spacing w:val="-5"/>
        </w:rPr>
      </w:pPr>
      <w:r w:rsidRPr="002462E6">
        <w:rPr>
          <w:rFonts w:ascii="Tahoma" w:hAnsi="Tahoma" w:cs="Tahoma"/>
        </w:rPr>
        <w:t>Dès lors, l’aménagement du territoire apparaît comme une intervention des hommes sur leurs</w:t>
      </w:r>
      <w:r w:rsidRPr="002462E6">
        <w:rPr>
          <w:rFonts w:ascii="Tahoma" w:hAnsi="Tahoma" w:cs="Tahoma"/>
          <w:spacing w:val="1"/>
        </w:rPr>
        <w:t xml:space="preserve"> </w:t>
      </w:r>
      <w:r w:rsidRPr="002462E6">
        <w:rPr>
          <w:rFonts w:ascii="Tahoma" w:hAnsi="Tahoma" w:cs="Tahoma"/>
        </w:rPr>
        <w:t>espaces</w:t>
      </w:r>
      <w:r w:rsidRPr="002462E6">
        <w:rPr>
          <w:rFonts w:ascii="Tahoma" w:hAnsi="Tahoma" w:cs="Tahoma"/>
          <w:spacing w:val="1"/>
        </w:rPr>
        <w:t xml:space="preserve"> </w:t>
      </w:r>
      <w:r w:rsidRPr="002462E6">
        <w:rPr>
          <w:rFonts w:ascii="Tahoma" w:hAnsi="Tahoma" w:cs="Tahoma"/>
        </w:rPr>
        <w:t>avec</w:t>
      </w:r>
      <w:r w:rsidRPr="002462E6">
        <w:rPr>
          <w:rFonts w:ascii="Tahoma" w:hAnsi="Tahoma" w:cs="Tahoma"/>
          <w:spacing w:val="1"/>
        </w:rPr>
        <w:t xml:space="preserve"> </w:t>
      </w:r>
      <w:r w:rsidRPr="002462E6">
        <w:rPr>
          <w:rFonts w:ascii="Tahoma" w:hAnsi="Tahoma" w:cs="Tahoma"/>
        </w:rPr>
        <w:t>différents</w:t>
      </w:r>
      <w:r w:rsidRPr="002462E6">
        <w:rPr>
          <w:rFonts w:ascii="Tahoma" w:hAnsi="Tahoma" w:cs="Tahoma"/>
          <w:spacing w:val="1"/>
        </w:rPr>
        <w:t xml:space="preserve"> </w:t>
      </w:r>
      <w:r w:rsidRPr="002462E6">
        <w:rPr>
          <w:rFonts w:ascii="Tahoma" w:hAnsi="Tahoma" w:cs="Tahoma"/>
        </w:rPr>
        <w:t>objectifs</w:t>
      </w:r>
      <w:r w:rsidRPr="002462E6">
        <w:rPr>
          <w:rFonts w:ascii="Tahoma" w:hAnsi="Tahoma" w:cs="Tahoma"/>
          <w:spacing w:val="1"/>
        </w:rPr>
        <w:t xml:space="preserve"> </w:t>
      </w:r>
      <w:r w:rsidRPr="002462E6">
        <w:rPr>
          <w:rFonts w:ascii="Tahoma" w:hAnsi="Tahoma" w:cs="Tahoma"/>
        </w:rPr>
        <w:t>:</w:t>
      </w:r>
      <w:r w:rsidRPr="002462E6">
        <w:rPr>
          <w:rFonts w:ascii="Tahoma" w:hAnsi="Tahoma" w:cs="Tahoma"/>
          <w:spacing w:val="1"/>
        </w:rPr>
        <w:t xml:space="preserve"> </w:t>
      </w:r>
      <w:r w:rsidRPr="002462E6">
        <w:rPr>
          <w:rFonts w:ascii="Tahoma" w:hAnsi="Tahoma" w:cs="Tahoma"/>
        </w:rPr>
        <w:t>réduire</w:t>
      </w:r>
      <w:r w:rsidRPr="002462E6">
        <w:rPr>
          <w:rFonts w:ascii="Tahoma" w:hAnsi="Tahoma" w:cs="Tahoma"/>
          <w:spacing w:val="1"/>
        </w:rPr>
        <w:t xml:space="preserve"> </w:t>
      </w:r>
      <w:r w:rsidRPr="002462E6">
        <w:rPr>
          <w:rFonts w:ascii="Tahoma" w:hAnsi="Tahoma" w:cs="Tahoma"/>
        </w:rPr>
        <w:t>les</w:t>
      </w:r>
      <w:r w:rsidRPr="002462E6">
        <w:rPr>
          <w:rFonts w:ascii="Tahoma" w:hAnsi="Tahoma" w:cs="Tahoma"/>
          <w:spacing w:val="1"/>
        </w:rPr>
        <w:t xml:space="preserve"> </w:t>
      </w:r>
      <w:r w:rsidRPr="002462E6">
        <w:rPr>
          <w:rFonts w:ascii="Tahoma" w:hAnsi="Tahoma" w:cs="Tahoma"/>
        </w:rPr>
        <w:t>disparités,</w:t>
      </w:r>
      <w:r w:rsidRPr="002462E6">
        <w:rPr>
          <w:rFonts w:ascii="Tahoma" w:hAnsi="Tahoma" w:cs="Tahoma"/>
          <w:spacing w:val="1"/>
        </w:rPr>
        <w:t xml:space="preserve"> </w:t>
      </w:r>
      <w:r w:rsidRPr="002462E6">
        <w:rPr>
          <w:rFonts w:ascii="Tahoma" w:hAnsi="Tahoma" w:cs="Tahoma"/>
        </w:rPr>
        <w:t>apporter</w:t>
      </w:r>
      <w:r w:rsidRPr="002462E6">
        <w:rPr>
          <w:rFonts w:ascii="Tahoma" w:hAnsi="Tahoma" w:cs="Tahoma"/>
          <w:spacing w:val="1"/>
        </w:rPr>
        <w:t xml:space="preserve"> </w:t>
      </w:r>
      <w:r w:rsidRPr="002462E6">
        <w:rPr>
          <w:rFonts w:ascii="Tahoma" w:hAnsi="Tahoma" w:cs="Tahoma"/>
        </w:rPr>
        <w:t>des</w:t>
      </w:r>
      <w:r w:rsidRPr="002462E6">
        <w:rPr>
          <w:rFonts w:ascii="Tahoma" w:hAnsi="Tahoma" w:cs="Tahoma"/>
          <w:spacing w:val="1"/>
        </w:rPr>
        <w:t xml:space="preserve"> </w:t>
      </w:r>
      <w:r w:rsidRPr="002462E6">
        <w:rPr>
          <w:rFonts w:ascii="Tahoma" w:hAnsi="Tahoma" w:cs="Tahoma"/>
        </w:rPr>
        <w:t>réponses</w:t>
      </w:r>
      <w:r w:rsidRPr="002462E6">
        <w:rPr>
          <w:rFonts w:ascii="Tahoma" w:hAnsi="Tahoma" w:cs="Tahoma"/>
          <w:spacing w:val="1"/>
        </w:rPr>
        <w:t xml:space="preserve"> </w:t>
      </w:r>
      <w:r w:rsidRPr="002462E6">
        <w:rPr>
          <w:rFonts w:ascii="Tahoma" w:hAnsi="Tahoma" w:cs="Tahoma"/>
        </w:rPr>
        <w:t>aux</w:t>
      </w:r>
      <w:r w:rsidRPr="002462E6">
        <w:rPr>
          <w:rFonts w:ascii="Tahoma" w:hAnsi="Tahoma" w:cs="Tahoma"/>
          <w:spacing w:val="1"/>
        </w:rPr>
        <w:t xml:space="preserve"> </w:t>
      </w:r>
      <w:r w:rsidRPr="002462E6">
        <w:rPr>
          <w:rFonts w:ascii="Tahoma" w:hAnsi="Tahoma" w:cs="Tahoma"/>
        </w:rPr>
        <w:t>dysfonctionnements,</w:t>
      </w:r>
      <w:r w:rsidRPr="002462E6">
        <w:rPr>
          <w:rFonts w:ascii="Tahoma" w:hAnsi="Tahoma" w:cs="Tahoma"/>
          <w:spacing w:val="-5"/>
        </w:rPr>
        <w:t xml:space="preserve"> </w:t>
      </w:r>
      <w:r w:rsidRPr="002462E6">
        <w:rPr>
          <w:rFonts w:ascii="Tahoma" w:hAnsi="Tahoma" w:cs="Tahoma"/>
        </w:rPr>
        <w:t>lutter</w:t>
      </w:r>
      <w:r w:rsidRPr="002462E6">
        <w:rPr>
          <w:rFonts w:ascii="Tahoma" w:hAnsi="Tahoma" w:cs="Tahoma"/>
          <w:spacing w:val="-5"/>
        </w:rPr>
        <w:t xml:space="preserve"> </w:t>
      </w:r>
      <w:r w:rsidRPr="002462E6">
        <w:rPr>
          <w:rFonts w:ascii="Tahoma" w:hAnsi="Tahoma" w:cs="Tahoma"/>
        </w:rPr>
        <w:t>contre</w:t>
      </w:r>
      <w:r w:rsidRPr="002462E6">
        <w:rPr>
          <w:rFonts w:ascii="Tahoma" w:hAnsi="Tahoma" w:cs="Tahoma"/>
          <w:spacing w:val="-6"/>
        </w:rPr>
        <w:t xml:space="preserve"> </w:t>
      </w:r>
      <w:r w:rsidRPr="002462E6">
        <w:rPr>
          <w:rFonts w:ascii="Tahoma" w:hAnsi="Tahoma" w:cs="Tahoma"/>
        </w:rPr>
        <w:t>la</w:t>
      </w:r>
      <w:r w:rsidRPr="002462E6">
        <w:rPr>
          <w:rFonts w:ascii="Tahoma" w:hAnsi="Tahoma" w:cs="Tahoma"/>
          <w:spacing w:val="-6"/>
        </w:rPr>
        <w:t xml:space="preserve"> </w:t>
      </w:r>
      <w:r w:rsidRPr="002462E6">
        <w:rPr>
          <w:rFonts w:ascii="Tahoma" w:hAnsi="Tahoma" w:cs="Tahoma"/>
        </w:rPr>
        <w:t>dégradation</w:t>
      </w:r>
      <w:r w:rsidRPr="002462E6">
        <w:rPr>
          <w:rFonts w:ascii="Tahoma" w:hAnsi="Tahoma" w:cs="Tahoma"/>
          <w:spacing w:val="-7"/>
        </w:rPr>
        <w:t xml:space="preserve"> </w:t>
      </w:r>
      <w:r w:rsidRPr="002462E6">
        <w:rPr>
          <w:rFonts w:ascii="Tahoma" w:hAnsi="Tahoma" w:cs="Tahoma"/>
        </w:rPr>
        <w:t>des</w:t>
      </w:r>
      <w:r w:rsidRPr="002462E6">
        <w:rPr>
          <w:rFonts w:ascii="Tahoma" w:hAnsi="Tahoma" w:cs="Tahoma"/>
          <w:spacing w:val="-6"/>
        </w:rPr>
        <w:t xml:space="preserve"> </w:t>
      </w:r>
      <w:r w:rsidRPr="002462E6">
        <w:rPr>
          <w:rFonts w:ascii="Tahoma" w:hAnsi="Tahoma" w:cs="Tahoma"/>
        </w:rPr>
        <w:t>cadres</w:t>
      </w:r>
      <w:r w:rsidRPr="002462E6">
        <w:rPr>
          <w:rFonts w:ascii="Tahoma" w:hAnsi="Tahoma" w:cs="Tahoma"/>
          <w:spacing w:val="-5"/>
        </w:rPr>
        <w:t xml:space="preserve"> </w:t>
      </w:r>
      <w:r w:rsidRPr="002462E6">
        <w:rPr>
          <w:rFonts w:ascii="Tahoma" w:hAnsi="Tahoma" w:cs="Tahoma"/>
        </w:rPr>
        <w:t>de</w:t>
      </w:r>
      <w:r w:rsidRPr="002462E6">
        <w:rPr>
          <w:rFonts w:ascii="Tahoma" w:hAnsi="Tahoma" w:cs="Tahoma"/>
          <w:spacing w:val="-6"/>
        </w:rPr>
        <w:t xml:space="preserve"> </w:t>
      </w:r>
      <w:r w:rsidRPr="002462E6">
        <w:rPr>
          <w:rFonts w:ascii="Tahoma" w:hAnsi="Tahoma" w:cs="Tahoma"/>
        </w:rPr>
        <w:t>vie…</w:t>
      </w:r>
      <w:r w:rsidRPr="002462E6">
        <w:rPr>
          <w:rFonts w:ascii="Tahoma" w:hAnsi="Tahoma" w:cs="Tahoma"/>
          <w:spacing w:val="-5"/>
        </w:rPr>
        <w:t xml:space="preserve"> </w:t>
      </w:r>
    </w:p>
    <w:p w:rsidR="00FA6C95" w:rsidRPr="002462E6" w:rsidRDefault="00FA6C95" w:rsidP="002914C6">
      <w:pPr>
        <w:pStyle w:val="Corpsdetexte"/>
        <w:spacing w:before="1" w:after="240" w:line="360" w:lineRule="auto"/>
        <w:ind w:right="595"/>
        <w:jc w:val="both"/>
        <w:rPr>
          <w:rFonts w:ascii="Tahoma" w:hAnsi="Tahoma" w:cs="Tahoma"/>
          <w:color w:val="000000" w:themeColor="text1"/>
          <w:spacing w:val="-5"/>
        </w:rPr>
      </w:pPr>
      <w:r w:rsidRPr="002462E6">
        <w:rPr>
          <w:rFonts w:ascii="Tahoma" w:hAnsi="Tahoma" w:cs="Tahoma"/>
          <w:color w:val="000000" w:themeColor="text1"/>
          <w:spacing w:val="-5"/>
        </w:rPr>
        <w:t>Au Maroc, la planification centralisée du développement économique et social, ainsi que de la gestion territoriale, a semblé être privilégiée depuis l'indépendance jusqu'aux années 1990, notamment à travers les recommandations des colloques sur les collectivités locales (sept colloques de 1977 à 1998), en lieu et place de l'aménagement territorial proprement dit. La succession de divers événements économiques, naturels, politiques et sociaux défavorables a conduit à une dégradation marquée des équilibres internes et externes du pays.</w:t>
      </w:r>
    </w:p>
    <w:p w:rsidR="00FA6C95" w:rsidRPr="002462E6" w:rsidRDefault="00FA6C95" w:rsidP="00FA6C95">
      <w:pPr>
        <w:pStyle w:val="Corpsdetexte"/>
        <w:spacing w:before="1" w:line="360" w:lineRule="auto"/>
        <w:ind w:right="595"/>
        <w:jc w:val="both"/>
        <w:rPr>
          <w:rFonts w:ascii="Tahoma" w:hAnsi="Tahoma" w:cs="Tahoma"/>
        </w:rPr>
      </w:pPr>
      <w:r w:rsidRPr="002462E6">
        <w:rPr>
          <w:rFonts w:ascii="Tahoma" w:hAnsi="Tahoma" w:cs="Tahoma"/>
          <w:color w:val="000000" w:themeColor="text1"/>
        </w:rPr>
        <w:t>Face à cette crise majeure, le pays a été contraint, en septembre 1983, avec le soutien du Fonds Monétaire International et de la Banque Mondiale, de mettre en œuvre un programme d'ajustement structurel visant à redresser ses déséquilibres tout en poursuivant, à terme, une croissance économique forte et soutenue. L'impact de la planification centralisée ainsi que ce programme d'ajustement a conduit à une détérioration économique et à une intensification des manifestations sociales, souligne ainsi la nécessité de réorienter les politiques économiques et sociales</w:t>
      </w:r>
      <w:r w:rsidRPr="002462E6">
        <w:rPr>
          <w:rFonts w:ascii="Tahoma" w:hAnsi="Tahoma" w:cs="Tahoma"/>
          <w:vertAlign w:val="superscript"/>
        </w:rPr>
        <w:footnoteReference w:id="652"/>
      </w:r>
      <w:r w:rsidRPr="002462E6">
        <w:rPr>
          <w:rFonts w:ascii="Tahoma" w:hAnsi="Tahoma" w:cs="Tahoma"/>
        </w:rPr>
        <w:t>.</w:t>
      </w:r>
    </w:p>
    <w:p w:rsidR="00FA6C95" w:rsidRPr="002462E6" w:rsidRDefault="00FA6C95" w:rsidP="00FA6C95">
      <w:pPr>
        <w:pStyle w:val="Corpsdetexte"/>
        <w:spacing w:before="1" w:line="360" w:lineRule="auto"/>
        <w:ind w:right="595"/>
        <w:jc w:val="both"/>
        <w:rPr>
          <w:rFonts w:ascii="Tahoma" w:hAnsi="Tahoma" w:cs="Tahoma"/>
        </w:rPr>
      </w:pPr>
    </w:p>
    <w:p w:rsidR="00FA6C95" w:rsidRPr="002462E6" w:rsidRDefault="00FA6C95" w:rsidP="00FA6C95">
      <w:pPr>
        <w:pStyle w:val="Corpsdetexte"/>
        <w:spacing w:before="1" w:line="360" w:lineRule="auto"/>
        <w:ind w:right="599"/>
        <w:jc w:val="both"/>
        <w:rPr>
          <w:rFonts w:ascii="Tahoma" w:hAnsi="Tahoma" w:cs="Tahoma"/>
        </w:rPr>
      </w:pPr>
      <w:r w:rsidRPr="002462E6">
        <w:rPr>
          <w:rFonts w:ascii="Tahoma" w:hAnsi="Tahoma" w:cs="Tahoma"/>
        </w:rPr>
        <w:t>Le Maroc a dû repenser son modèle de développement, jusque-là fondé sur une « planification sans développement »</w:t>
      </w:r>
      <w:r w:rsidRPr="002462E6">
        <w:rPr>
          <w:rStyle w:val="Appelnotedebasdep"/>
          <w:rFonts w:ascii="Tahoma" w:hAnsi="Tahoma" w:cs="Tahoma"/>
        </w:rPr>
        <w:footnoteReference w:id="653"/>
      </w:r>
      <w:r w:rsidRPr="002462E6">
        <w:rPr>
          <w:rFonts w:ascii="Tahoma" w:hAnsi="Tahoma" w:cs="Tahoma"/>
        </w:rPr>
        <w:t>. Il a ainsi adopté un modèle axé sur l'aménagement du territoire, visant un développement durable à travers un rééquilibrage territorial, favorisant l'attractivité, l'accessibilité et la connectivité des territoires</w:t>
      </w:r>
      <w:r w:rsidRPr="002462E6">
        <w:rPr>
          <w:rStyle w:val="Appelnotedebasdep"/>
          <w:rFonts w:ascii="Tahoma" w:hAnsi="Tahoma" w:cs="Tahoma"/>
        </w:rPr>
        <w:footnoteReference w:id="654"/>
      </w:r>
      <w:r w:rsidRPr="002462E6">
        <w:rPr>
          <w:rFonts w:ascii="Tahoma" w:hAnsi="Tahoma" w:cs="Tahoma"/>
        </w:rPr>
        <w:t>. Parmi les mesures mises en place, la promulgation du Dahir n° 1-92-7 du 17 juin 1992 relatif à la Loi n° 25-90 sur les lotissements, groupes d'habitations et morcellements, ainsi que du Dahir n° 1-92-31 du 17 juin 1992 portant promulgation de la Loi n° 12-90 relative à l'urbanisme</w:t>
      </w:r>
      <w:r w:rsidRPr="002462E6">
        <w:rPr>
          <w:rStyle w:val="Appelnotedebasdep"/>
          <w:rFonts w:ascii="Tahoma" w:hAnsi="Tahoma" w:cs="Tahoma"/>
        </w:rPr>
        <w:footnoteReference w:id="655"/>
      </w:r>
      <w:r w:rsidRPr="002462E6">
        <w:rPr>
          <w:rFonts w:ascii="Tahoma" w:hAnsi="Tahoma" w:cs="Tahoma"/>
        </w:rPr>
        <w:t>. Ceci a été suivi par le découpage régional de 1996</w:t>
      </w:r>
      <w:r w:rsidRPr="002462E6">
        <w:rPr>
          <w:rStyle w:val="Appelnotedebasdep"/>
          <w:rFonts w:ascii="Tahoma" w:hAnsi="Tahoma" w:cs="Tahoma"/>
        </w:rPr>
        <w:footnoteReference w:id="656"/>
      </w:r>
      <w:r w:rsidRPr="002462E6">
        <w:rPr>
          <w:rFonts w:ascii="Tahoma" w:hAnsi="Tahoma" w:cs="Tahoma"/>
        </w:rPr>
        <w:t>, puis l'établissement, en 2001, d'un Schéma National d’Aménagement</w:t>
      </w:r>
      <w:r w:rsidRPr="002462E6">
        <w:rPr>
          <w:rStyle w:val="Appelnotedebasdep"/>
          <w:rFonts w:ascii="Tahoma" w:hAnsi="Tahoma" w:cs="Tahoma"/>
        </w:rPr>
        <w:footnoteReference w:id="657"/>
      </w:r>
      <w:r w:rsidRPr="002462E6">
        <w:rPr>
          <w:rFonts w:ascii="Tahoma" w:hAnsi="Tahoma" w:cs="Tahoma"/>
        </w:rPr>
        <w:t>. L'accession du nouveau souverain au trône a introduit une approche novatrice pour la gestion du développement national, fondée sur les principes de l'aménagement du territoire</w:t>
      </w:r>
      <w:r w:rsidRPr="002462E6">
        <w:rPr>
          <w:rStyle w:val="Appelnotedebasdep"/>
          <w:rFonts w:ascii="Tahoma" w:hAnsi="Tahoma" w:cs="Tahoma"/>
        </w:rPr>
        <w:footnoteReference w:id="658"/>
      </w:r>
      <w:r w:rsidRPr="002462E6">
        <w:rPr>
          <w:rFonts w:ascii="Tahoma" w:hAnsi="Tahoma" w:cs="Tahoma"/>
        </w:rPr>
        <w:t>. Cette stratégie se structure autour de plusieurs axes fondamentaux, visant une transformation territoriale multidimensionnelle :</w:t>
      </w:r>
    </w:p>
    <w:p w:rsidR="00FA6C95" w:rsidRPr="002462E6" w:rsidRDefault="00FA6C95" w:rsidP="00FA6C95">
      <w:pPr>
        <w:pStyle w:val="Corpsdetexte"/>
        <w:spacing w:before="1" w:line="360" w:lineRule="auto"/>
        <w:ind w:right="599"/>
        <w:jc w:val="both"/>
        <w:rPr>
          <w:rFonts w:ascii="Tahoma" w:hAnsi="Tahoma" w:cs="Tahoma"/>
        </w:rPr>
      </w:pPr>
    </w:p>
    <w:p w:rsidR="00FA6C95" w:rsidRPr="002462E6" w:rsidRDefault="00FA6C95" w:rsidP="00D051D7">
      <w:pPr>
        <w:pStyle w:val="Corpsdetexte"/>
        <w:numPr>
          <w:ilvl w:val="0"/>
          <w:numId w:val="36"/>
        </w:numPr>
        <w:spacing w:before="1" w:line="360" w:lineRule="auto"/>
        <w:ind w:right="599"/>
        <w:jc w:val="both"/>
        <w:rPr>
          <w:rFonts w:ascii="Tahoma" w:hAnsi="Tahoma" w:cs="Tahoma"/>
        </w:rPr>
      </w:pPr>
      <w:r w:rsidRPr="002462E6">
        <w:rPr>
          <w:rFonts w:ascii="Tahoma" w:hAnsi="Tahoma" w:cs="Tahoma"/>
        </w:rPr>
        <w:t>Élaboration d'un projet global et cohérent : il s'agit de la définition explicite d'un projet de développement socio-économique, politique et culturel, orienté vers des objectifs précis et mesurables. La cohérence interne et externe de ce projet est essentielle pour assurer sa pertinence et son efficacité</w:t>
      </w:r>
      <w:r w:rsidRPr="002462E6">
        <w:rPr>
          <w:rStyle w:val="Appelnotedebasdep"/>
          <w:rFonts w:ascii="Tahoma" w:hAnsi="Tahoma" w:cs="Tahoma"/>
        </w:rPr>
        <w:footnoteReference w:id="659"/>
      </w:r>
      <w:r w:rsidRPr="002462E6">
        <w:rPr>
          <w:rFonts w:ascii="Tahoma" w:hAnsi="Tahoma" w:cs="Tahoma"/>
        </w:rPr>
        <w:t xml:space="preserve"> ;</w:t>
      </w:r>
    </w:p>
    <w:p w:rsidR="00FA6C95" w:rsidRPr="002462E6" w:rsidRDefault="00FA6C95" w:rsidP="00FA6C95">
      <w:pPr>
        <w:pStyle w:val="Corpsdetexte"/>
        <w:spacing w:before="1" w:line="360" w:lineRule="auto"/>
        <w:ind w:right="599"/>
        <w:jc w:val="both"/>
        <w:rPr>
          <w:rFonts w:ascii="Tahoma" w:hAnsi="Tahoma" w:cs="Tahoma"/>
        </w:rPr>
      </w:pPr>
    </w:p>
    <w:p w:rsidR="00045C15" w:rsidRPr="002462E6" w:rsidRDefault="00FA6C95" w:rsidP="00D051D7">
      <w:pPr>
        <w:pStyle w:val="Corpsdetexte"/>
        <w:numPr>
          <w:ilvl w:val="0"/>
          <w:numId w:val="36"/>
        </w:numPr>
        <w:spacing w:before="1" w:line="360" w:lineRule="auto"/>
        <w:ind w:right="599"/>
        <w:jc w:val="both"/>
        <w:rPr>
          <w:rFonts w:ascii="Tahoma" w:hAnsi="Tahoma" w:cs="Tahoma"/>
        </w:rPr>
      </w:pPr>
      <w:r w:rsidRPr="002462E6">
        <w:rPr>
          <w:rFonts w:ascii="Tahoma" w:hAnsi="Tahoma" w:cs="Tahoma"/>
        </w:rPr>
        <w:t xml:space="preserve">Redéfinition des politiques d'aménagement du territoire : la stratégie implique une refonte des politiques d'aménagement du territoire à différents niveaux, incluant les échelles nationale, régionale et communale. Cette redéfinition doit tenir compte des spécificités de chaque niveau territorial et favoriser une articulation cohérente entre </w:t>
      </w:r>
      <w:r w:rsidR="00045C15" w:rsidRPr="002462E6">
        <w:rPr>
          <w:rFonts w:ascii="Tahoma" w:hAnsi="Tahoma" w:cs="Tahoma"/>
        </w:rPr>
        <w:t>les différentes échelles de planification</w:t>
      </w:r>
      <w:r w:rsidR="00045C15" w:rsidRPr="002462E6">
        <w:rPr>
          <w:rFonts w:ascii="Tahoma" w:hAnsi="Tahoma" w:cs="Tahoma"/>
          <w:vertAlign w:val="superscript"/>
        </w:rPr>
        <w:footnoteReference w:id="660"/>
      </w:r>
      <w:r w:rsidR="00045C15" w:rsidRPr="002462E6">
        <w:rPr>
          <w:rFonts w:ascii="Tahoma" w:hAnsi="Tahoma" w:cs="Tahoma"/>
        </w:rPr>
        <w:t xml:space="preserve"> ; </w:t>
      </w:r>
    </w:p>
    <w:p w:rsidR="00045C15" w:rsidRPr="002462E6" w:rsidRDefault="00045C15" w:rsidP="00045C15">
      <w:pPr>
        <w:widowControl w:val="0"/>
        <w:autoSpaceDE w:val="0"/>
        <w:autoSpaceDN w:val="0"/>
        <w:spacing w:after="0" w:line="240" w:lineRule="auto"/>
        <w:ind w:left="1380" w:hanging="360"/>
        <w:jc w:val="both"/>
        <w:rPr>
          <w:rFonts w:ascii="Tahoma" w:eastAsia="Times New Roman" w:hAnsi="Tahoma" w:cs="Tahoma"/>
          <w:sz w:val="24"/>
          <w:szCs w:val="24"/>
        </w:rPr>
      </w:pPr>
    </w:p>
    <w:p w:rsidR="00045C15" w:rsidRPr="002462E6" w:rsidRDefault="00045C15" w:rsidP="00D051D7">
      <w:pPr>
        <w:widowControl w:val="0"/>
        <w:numPr>
          <w:ilvl w:val="0"/>
          <w:numId w:val="36"/>
        </w:numPr>
        <w:autoSpaceDE w:val="0"/>
        <w:autoSpaceDN w:val="0"/>
        <w:spacing w:before="1" w:after="0" w:line="360" w:lineRule="auto"/>
        <w:ind w:right="599"/>
        <w:jc w:val="both"/>
        <w:rPr>
          <w:rFonts w:ascii="Tahoma" w:eastAsia="Times New Roman" w:hAnsi="Tahoma" w:cs="Tahoma"/>
          <w:sz w:val="24"/>
          <w:szCs w:val="24"/>
        </w:rPr>
      </w:pPr>
      <w:r w:rsidRPr="002462E6">
        <w:rPr>
          <w:rFonts w:ascii="Tahoma" w:eastAsia="Times New Roman" w:hAnsi="Tahoma" w:cs="Tahoma"/>
          <w:sz w:val="24"/>
          <w:szCs w:val="24"/>
        </w:rPr>
        <w:t>Approche équilibrée du développement : la mise en œuvre du projet de développement repose sur une approche équilibrée, articulant de manière synergique la compétitivité économique, la cohésion sociale et la durabilité environnementale. Cette approche nécessite une prise en compte des externalités négatives potentielles de la croissance économique et la mise en œuvre de politiques compensatoires visant à réduire les inégalités sociales et à préserver l'environnement</w:t>
      </w:r>
      <w:r w:rsidRPr="002462E6">
        <w:rPr>
          <w:rFonts w:ascii="Tahoma" w:eastAsia="Times New Roman" w:hAnsi="Tahoma" w:cs="Tahoma"/>
          <w:sz w:val="24"/>
          <w:szCs w:val="24"/>
          <w:vertAlign w:val="superscript"/>
        </w:rPr>
        <w:footnoteReference w:id="661"/>
      </w:r>
      <w:r w:rsidRPr="002462E6">
        <w:rPr>
          <w:rFonts w:ascii="Tahoma" w:eastAsia="Times New Roman" w:hAnsi="Tahoma" w:cs="Tahoma"/>
          <w:sz w:val="24"/>
          <w:szCs w:val="24"/>
        </w:rPr>
        <w:t xml:space="preserve"> ; </w:t>
      </w:r>
    </w:p>
    <w:p w:rsidR="00045C15" w:rsidRPr="002462E6" w:rsidRDefault="00045C15" w:rsidP="00045C15">
      <w:pPr>
        <w:widowControl w:val="0"/>
        <w:autoSpaceDE w:val="0"/>
        <w:autoSpaceDN w:val="0"/>
        <w:spacing w:after="0" w:line="240" w:lineRule="auto"/>
        <w:ind w:left="1380" w:hanging="360"/>
        <w:jc w:val="both"/>
        <w:rPr>
          <w:rFonts w:ascii="Tahoma" w:eastAsia="Times New Roman" w:hAnsi="Tahoma" w:cs="Tahoma"/>
          <w:sz w:val="24"/>
          <w:szCs w:val="24"/>
        </w:rPr>
      </w:pPr>
    </w:p>
    <w:p w:rsidR="00045C15" w:rsidRPr="002462E6" w:rsidRDefault="00045C15" w:rsidP="00D051D7">
      <w:pPr>
        <w:widowControl w:val="0"/>
        <w:numPr>
          <w:ilvl w:val="0"/>
          <w:numId w:val="36"/>
        </w:numPr>
        <w:autoSpaceDE w:val="0"/>
        <w:autoSpaceDN w:val="0"/>
        <w:spacing w:before="1" w:after="0" w:line="360" w:lineRule="auto"/>
        <w:ind w:right="599"/>
        <w:jc w:val="both"/>
        <w:rPr>
          <w:rFonts w:ascii="Tahoma" w:eastAsia="Times New Roman" w:hAnsi="Tahoma" w:cs="Tahoma"/>
          <w:sz w:val="24"/>
          <w:szCs w:val="24"/>
        </w:rPr>
      </w:pPr>
      <w:r w:rsidRPr="002462E6">
        <w:rPr>
          <w:rFonts w:ascii="Tahoma" w:eastAsia="Times New Roman" w:hAnsi="Tahoma" w:cs="Tahoma"/>
          <w:sz w:val="24"/>
          <w:szCs w:val="24"/>
        </w:rPr>
        <w:t>Initiative Nationale pour le Développement Humain (INDH) : le lancement de l'INDH en 2005 est présenté comme un levier majeur de transformation sociale. Cette initiative vise à améliorer les conditions de vie des populations les plus vulnérables et à réduire les disparités territoriales en matière d'accès aux services de base</w:t>
      </w:r>
      <w:r w:rsidRPr="002462E6">
        <w:rPr>
          <w:rFonts w:ascii="Tahoma" w:eastAsia="Times New Roman" w:hAnsi="Tahoma" w:cs="Tahoma"/>
          <w:sz w:val="24"/>
          <w:szCs w:val="24"/>
          <w:vertAlign w:val="superscript"/>
        </w:rPr>
        <w:footnoteReference w:id="662"/>
      </w:r>
      <w:r w:rsidRPr="002462E6">
        <w:rPr>
          <w:rFonts w:ascii="Tahoma" w:eastAsia="Times New Roman" w:hAnsi="Tahoma" w:cs="Tahoma"/>
          <w:sz w:val="24"/>
          <w:szCs w:val="24"/>
        </w:rPr>
        <w:t xml:space="preserve">; </w:t>
      </w:r>
    </w:p>
    <w:p w:rsidR="00045C15" w:rsidRPr="002462E6" w:rsidRDefault="00045C15" w:rsidP="00045C15">
      <w:pPr>
        <w:widowControl w:val="0"/>
        <w:autoSpaceDE w:val="0"/>
        <w:autoSpaceDN w:val="0"/>
        <w:spacing w:after="0" w:line="240" w:lineRule="auto"/>
        <w:ind w:left="1380" w:hanging="360"/>
        <w:jc w:val="both"/>
        <w:rPr>
          <w:rFonts w:ascii="Tahoma" w:eastAsia="Times New Roman" w:hAnsi="Tahoma" w:cs="Tahoma"/>
          <w:sz w:val="24"/>
          <w:szCs w:val="24"/>
        </w:rPr>
      </w:pPr>
    </w:p>
    <w:p w:rsidR="00045C15" w:rsidRPr="002462E6" w:rsidRDefault="00045C15" w:rsidP="00D051D7">
      <w:pPr>
        <w:widowControl w:val="0"/>
        <w:numPr>
          <w:ilvl w:val="0"/>
          <w:numId w:val="36"/>
        </w:numPr>
        <w:autoSpaceDE w:val="0"/>
        <w:autoSpaceDN w:val="0"/>
        <w:spacing w:before="1" w:after="0" w:line="360" w:lineRule="auto"/>
        <w:ind w:right="599"/>
        <w:jc w:val="both"/>
        <w:rPr>
          <w:rFonts w:ascii="Tahoma" w:eastAsia="Times New Roman" w:hAnsi="Tahoma" w:cs="Tahoma"/>
          <w:sz w:val="24"/>
          <w:szCs w:val="24"/>
        </w:rPr>
      </w:pPr>
      <w:r w:rsidRPr="002462E6">
        <w:rPr>
          <w:rFonts w:ascii="Tahoma" w:eastAsia="Times New Roman" w:hAnsi="Tahoma" w:cs="Tahoma"/>
          <w:sz w:val="24"/>
          <w:szCs w:val="24"/>
        </w:rPr>
        <w:t>Prise en compte des implications spatiales : la stratégie souligne l'importance de considérer les implications spatiales du projet de développement dans une perspective de long terme. Cette dimension prospective nécessite une analyse fine des dynamiques territoriales et la mise en œuvre de politiques d'aménagement visant à anticiper et à gérer les transformations spatiales induites par le développement</w:t>
      </w:r>
      <w:r w:rsidRPr="002462E6">
        <w:rPr>
          <w:rFonts w:ascii="Tahoma" w:eastAsia="Times New Roman" w:hAnsi="Tahoma" w:cs="Tahoma"/>
          <w:sz w:val="24"/>
          <w:szCs w:val="24"/>
          <w:vertAlign w:val="superscript"/>
        </w:rPr>
        <w:footnoteReference w:id="663"/>
      </w:r>
      <w:r w:rsidRPr="002462E6">
        <w:rPr>
          <w:rFonts w:ascii="Tahoma" w:eastAsia="Times New Roman" w:hAnsi="Tahoma" w:cs="Tahoma"/>
          <w:sz w:val="24"/>
          <w:szCs w:val="24"/>
        </w:rPr>
        <w:t xml:space="preserve"> ; </w:t>
      </w:r>
    </w:p>
    <w:p w:rsidR="00045C15" w:rsidRPr="002462E6" w:rsidRDefault="00045C15" w:rsidP="00045C15">
      <w:pPr>
        <w:widowControl w:val="0"/>
        <w:autoSpaceDE w:val="0"/>
        <w:autoSpaceDN w:val="0"/>
        <w:spacing w:after="0" w:line="240" w:lineRule="auto"/>
        <w:ind w:left="1380" w:hanging="360"/>
        <w:jc w:val="both"/>
        <w:rPr>
          <w:rFonts w:ascii="Tahoma" w:eastAsia="Times New Roman" w:hAnsi="Tahoma" w:cs="Tahoma"/>
          <w:sz w:val="24"/>
          <w:szCs w:val="24"/>
        </w:rPr>
      </w:pPr>
    </w:p>
    <w:p w:rsidR="00045C15" w:rsidRPr="002462E6" w:rsidRDefault="00045C15" w:rsidP="00D051D7">
      <w:pPr>
        <w:widowControl w:val="0"/>
        <w:numPr>
          <w:ilvl w:val="0"/>
          <w:numId w:val="36"/>
        </w:numPr>
        <w:autoSpaceDE w:val="0"/>
        <w:autoSpaceDN w:val="0"/>
        <w:spacing w:before="1" w:after="0" w:line="360" w:lineRule="auto"/>
        <w:ind w:right="599"/>
        <w:jc w:val="both"/>
        <w:rPr>
          <w:rFonts w:ascii="Tahoma" w:eastAsia="Times New Roman" w:hAnsi="Tahoma" w:cs="Tahoma"/>
          <w:sz w:val="24"/>
          <w:szCs w:val="24"/>
        </w:rPr>
      </w:pPr>
      <w:r w:rsidRPr="002462E6">
        <w:rPr>
          <w:rFonts w:ascii="Tahoma" w:eastAsia="Times New Roman" w:hAnsi="Tahoma" w:cs="Tahoma"/>
          <w:sz w:val="24"/>
          <w:szCs w:val="24"/>
        </w:rPr>
        <w:t>Volonté politique et détermination : la mise en œuvre de la stratégie repose sur une volonté politique claire et une détermination affirmée à relever les défis territoriaux auxquels le pays est confronté. Cette volonté politique doit se traduire par des engagements budgétaires et des mesures législatives concrètes</w:t>
      </w:r>
      <w:r w:rsidRPr="002462E6">
        <w:rPr>
          <w:rFonts w:ascii="Tahoma" w:eastAsia="Times New Roman" w:hAnsi="Tahoma" w:cs="Tahoma"/>
          <w:sz w:val="24"/>
          <w:szCs w:val="24"/>
          <w:vertAlign w:val="superscript"/>
        </w:rPr>
        <w:footnoteReference w:id="664"/>
      </w:r>
      <w:r w:rsidRPr="002462E6">
        <w:rPr>
          <w:rFonts w:ascii="Tahoma" w:eastAsia="Times New Roman" w:hAnsi="Tahoma" w:cs="Tahoma"/>
          <w:sz w:val="24"/>
          <w:szCs w:val="24"/>
        </w:rPr>
        <w:t xml:space="preserve">. </w:t>
      </w:r>
    </w:p>
    <w:p w:rsidR="00045C15" w:rsidRPr="002462E6" w:rsidRDefault="00045C15" w:rsidP="00045C15">
      <w:pPr>
        <w:widowControl w:val="0"/>
        <w:autoSpaceDE w:val="0"/>
        <w:autoSpaceDN w:val="0"/>
        <w:spacing w:before="1" w:after="0" w:line="360" w:lineRule="auto"/>
        <w:ind w:right="599"/>
        <w:jc w:val="both"/>
        <w:rPr>
          <w:rFonts w:ascii="Tahoma" w:eastAsia="Times New Roman" w:hAnsi="Tahoma" w:cs="Tahoma"/>
          <w:sz w:val="24"/>
          <w:szCs w:val="24"/>
        </w:rPr>
      </w:pPr>
    </w:p>
    <w:p w:rsidR="00236D1C" w:rsidRDefault="00236D1C">
      <w:pPr>
        <w:rPr>
          <w:rFonts w:ascii="Tahoma" w:eastAsia="Times New Roman" w:hAnsi="Tahoma" w:cs="Tahoma"/>
          <w:sz w:val="24"/>
          <w:szCs w:val="24"/>
        </w:rPr>
      </w:pPr>
      <w:r>
        <w:rPr>
          <w:rFonts w:ascii="Tahoma" w:eastAsia="Times New Roman" w:hAnsi="Tahoma" w:cs="Tahoma"/>
          <w:sz w:val="24"/>
          <w:szCs w:val="24"/>
        </w:rPr>
        <w:br w:type="page"/>
      </w:r>
    </w:p>
    <w:p w:rsidR="00045C15" w:rsidRPr="002462E6" w:rsidRDefault="00045C15" w:rsidP="005979B4">
      <w:pPr>
        <w:widowControl w:val="0"/>
        <w:autoSpaceDE w:val="0"/>
        <w:autoSpaceDN w:val="0"/>
        <w:spacing w:before="1" w:after="0" w:line="360" w:lineRule="auto"/>
        <w:ind w:right="599"/>
        <w:jc w:val="both"/>
        <w:rPr>
          <w:rFonts w:ascii="Tahoma" w:eastAsia="Times New Roman" w:hAnsi="Tahoma" w:cs="Tahoma"/>
          <w:sz w:val="24"/>
          <w:szCs w:val="24"/>
        </w:rPr>
      </w:pPr>
      <w:r w:rsidRPr="002462E6">
        <w:rPr>
          <w:rFonts w:ascii="Tahoma" w:eastAsia="Times New Roman" w:hAnsi="Tahoma" w:cs="Tahoma"/>
          <w:sz w:val="24"/>
          <w:szCs w:val="24"/>
        </w:rPr>
        <w:t>Dans ce contexte, il convient de souligner que la conjoncture internationale a conduit de nombreux pays moins avancés à abandonner la politique d'aménagement du territoire, pour plusieurs raisons</w:t>
      </w:r>
      <w:r w:rsidRPr="002462E6">
        <w:rPr>
          <w:rFonts w:ascii="Tahoma" w:eastAsia="Times New Roman" w:hAnsi="Tahoma" w:cs="Tahoma"/>
          <w:sz w:val="24"/>
          <w:szCs w:val="24"/>
          <w:vertAlign w:val="superscript"/>
        </w:rPr>
        <w:footnoteReference w:id="665"/>
      </w:r>
      <w:r w:rsidRPr="002462E6">
        <w:rPr>
          <w:rFonts w:ascii="Tahoma" w:eastAsia="Times New Roman" w:hAnsi="Tahoma" w:cs="Tahoma"/>
          <w:sz w:val="24"/>
          <w:szCs w:val="24"/>
        </w:rPr>
        <w:t>. Ceux-ci considéraient que cette démarche comportait davantage de risques et d'inconvénients que d'opportunités et d'avantages, et estimaient qu'il valait mieux éviter de dévoiler à l'avance les projets de l'État, de crainte de susciter des réactions de rejet ou de désapprobation de la part des parties prenantes</w:t>
      </w:r>
      <w:r w:rsidRPr="002462E6">
        <w:rPr>
          <w:rFonts w:ascii="Tahoma" w:eastAsia="Times New Roman" w:hAnsi="Tahoma" w:cs="Tahoma"/>
          <w:sz w:val="24"/>
          <w:szCs w:val="24"/>
          <w:vertAlign w:val="superscript"/>
        </w:rPr>
        <w:footnoteReference w:id="666"/>
      </w:r>
      <w:r w:rsidR="005979B4">
        <w:rPr>
          <w:rFonts w:ascii="Tahoma" w:eastAsia="Times New Roman" w:hAnsi="Tahoma" w:cs="Tahoma"/>
          <w:sz w:val="24"/>
          <w:szCs w:val="24"/>
        </w:rPr>
        <w:t>.</w:t>
      </w:r>
    </w:p>
    <w:p w:rsidR="00045C15" w:rsidRPr="002462E6" w:rsidRDefault="00045C15" w:rsidP="00045C15">
      <w:pPr>
        <w:widowControl w:val="0"/>
        <w:autoSpaceDE w:val="0"/>
        <w:autoSpaceDN w:val="0"/>
        <w:spacing w:before="1" w:after="0" w:line="360" w:lineRule="auto"/>
        <w:ind w:right="599"/>
        <w:jc w:val="both"/>
        <w:rPr>
          <w:rFonts w:ascii="Tahoma" w:eastAsia="Times New Roman" w:hAnsi="Tahoma" w:cs="Tahoma"/>
          <w:sz w:val="24"/>
          <w:szCs w:val="24"/>
        </w:rPr>
      </w:pPr>
      <w:r w:rsidRPr="002462E6">
        <w:rPr>
          <w:rFonts w:ascii="Tahoma" w:eastAsia="Times New Roman" w:hAnsi="Tahoma" w:cs="Tahoma"/>
          <w:sz w:val="24"/>
          <w:szCs w:val="24"/>
        </w:rPr>
        <w:t>Conscient de ce risque, le Maroc s'engagea dans un dialogue, en ouvrant un débat aux échelles nationale, régionale et communale, suscitant une participation citoyenne active, pour aboutir à l'élaboration de son SNAT</w:t>
      </w:r>
      <w:r w:rsidRPr="002462E6">
        <w:rPr>
          <w:rFonts w:ascii="Tahoma" w:eastAsia="Times New Roman" w:hAnsi="Tahoma" w:cs="Tahoma"/>
          <w:sz w:val="24"/>
          <w:szCs w:val="24"/>
          <w:vertAlign w:val="superscript"/>
        </w:rPr>
        <w:footnoteReference w:id="667"/>
      </w:r>
      <w:r w:rsidRPr="002462E6">
        <w:rPr>
          <w:rFonts w:ascii="Tahoma" w:eastAsia="Times New Roman" w:hAnsi="Tahoma" w:cs="Tahoma"/>
          <w:sz w:val="24"/>
          <w:szCs w:val="24"/>
        </w:rPr>
        <w:t>. Il vise l'instauration d'une vision claire de la réalité du territoire national, qui soit utile aux acteurs et intervenants socio-économiques, en affichant clairement les problèmes, les difficultés, les défis à affronter, mettant en évidence les risques et les potentialités, tout en proposant un cheminement pour réduire les premiers et développer les secondes</w:t>
      </w:r>
      <w:r w:rsidRPr="002462E6">
        <w:rPr>
          <w:rFonts w:ascii="Tahoma" w:eastAsia="Times New Roman" w:hAnsi="Tahoma" w:cs="Tahoma"/>
          <w:sz w:val="24"/>
          <w:szCs w:val="24"/>
          <w:vertAlign w:val="superscript"/>
        </w:rPr>
        <w:footnoteReference w:id="668"/>
      </w:r>
      <w:r w:rsidRPr="002462E6">
        <w:rPr>
          <w:rFonts w:ascii="Tahoma" w:eastAsia="Times New Roman" w:hAnsi="Tahoma" w:cs="Tahoma"/>
          <w:sz w:val="24"/>
          <w:szCs w:val="24"/>
        </w:rPr>
        <w:t>.</w:t>
      </w:r>
    </w:p>
    <w:p w:rsidR="00045C15" w:rsidRPr="002462E6" w:rsidRDefault="00045C15" w:rsidP="00045C15">
      <w:pPr>
        <w:widowControl w:val="0"/>
        <w:autoSpaceDE w:val="0"/>
        <w:autoSpaceDN w:val="0"/>
        <w:spacing w:before="1" w:after="0" w:line="360" w:lineRule="auto"/>
        <w:ind w:right="599"/>
        <w:jc w:val="both"/>
        <w:rPr>
          <w:rFonts w:ascii="Tahoma" w:eastAsia="Times New Roman" w:hAnsi="Tahoma" w:cs="Tahoma"/>
          <w:sz w:val="24"/>
          <w:szCs w:val="24"/>
        </w:rPr>
      </w:pPr>
      <w:r w:rsidRPr="002462E6">
        <w:rPr>
          <w:rFonts w:ascii="Tahoma" w:eastAsia="Times New Roman" w:hAnsi="Tahoma" w:cs="Tahoma"/>
          <w:sz w:val="24"/>
          <w:szCs w:val="24"/>
        </w:rPr>
        <w:t>Le Maroc se trouve actuellement à un tournant décisif en matière d'aménagement du territoire, face à une convergence de défis multidimensionnels</w:t>
      </w:r>
      <w:r w:rsidRPr="002462E6">
        <w:rPr>
          <w:rFonts w:ascii="Tahoma" w:eastAsia="Times New Roman" w:hAnsi="Tahoma" w:cs="Tahoma"/>
          <w:sz w:val="24"/>
          <w:szCs w:val="24"/>
          <w:vertAlign w:val="superscript"/>
        </w:rPr>
        <w:footnoteReference w:id="669"/>
      </w:r>
      <w:r w:rsidRPr="002462E6">
        <w:rPr>
          <w:rFonts w:ascii="Tahoma" w:eastAsia="Times New Roman" w:hAnsi="Tahoma" w:cs="Tahoma"/>
          <w:sz w:val="24"/>
          <w:szCs w:val="24"/>
        </w:rPr>
        <w:t>. L'urbanisation rapide, qui aggrave les inégalités spatiales déjà existantes, associée à la dégradation de l'environnement et aux pressions migratoires croissantes, impose une révision fondamentale des paradigmes traditionnels d'aménagement</w:t>
      </w:r>
      <w:r w:rsidRPr="002462E6">
        <w:rPr>
          <w:rFonts w:ascii="Tahoma" w:eastAsia="Times New Roman" w:hAnsi="Tahoma" w:cs="Tahoma"/>
          <w:sz w:val="24"/>
          <w:szCs w:val="24"/>
          <w:vertAlign w:val="superscript"/>
        </w:rPr>
        <w:footnoteReference w:id="670"/>
      </w:r>
      <w:r w:rsidRPr="002462E6">
        <w:rPr>
          <w:rFonts w:ascii="Tahoma" w:eastAsia="Times New Roman" w:hAnsi="Tahoma" w:cs="Tahoma"/>
          <w:sz w:val="24"/>
          <w:szCs w:val="24"/>
        </w:rPr>
        <w:t>. Cette transition apparaît comme essentielle pour assurer un développement territorial équitable, capable de répondre aux enjeux socio-économiques et environnementaux actuels</w:t>
      </w:r>
      <w:r w:rsidRPr="002462E6">
        <w:rPr>
          <w:rFonts w:ascii="Tahoma" w:eastAsia="Times New Roman" w:hAnsi="Tahoma" w:cs="Tahoma"/>
          <w:sz w:val="24"/>
          <w:szCs w:val="24"/>
          <w:vertAlign w:val="superscript"/>
        </w:rPr>
        <w:footnoteReference w:id="671"/>
      </w:r>
      <w:r w:rsidRPr="002462E6">
        <w:rPr>
          <w:rFonts w:ascii="Tahoma" w:eastAsia="Times New Roman" w:hAnsi="Tahoma" w:cs="Tahoma"/>
          <w:sz w:val="24"/>
          <w:szCs w:val="24"/>
        </w:rPr>
        <w:t>.</w:t>
      </w:r>
    </w:p>
    <w:p w:rsidR="00045C15" w:rsidRPr="002462E6" w:rsidRDefault="00045C15" w:rsidP="00045C15">
      <w:pPr>
        <w:widowControl w:val="0"/>
        <w:autoSpaceDE w:val="0"/>
        <w:autoSpaceDN w:val="0"/>
        <w:spacing w:before="1" w:after="0" w:line="360" w:lineRule="auto"/>
        <w:ind w:right="599"/>
        <w:jc w:val="both"/>
        <w:rPr>
          <w:rFonts w:ascii="Tahoma" w:eastAsia="Times New Roman" w:hAnsi="Tahoma" w:cs="Tahoma"/>
          <w:sz w:val="24"/>
          <w:szCs w:val="24"/>
        </w:rPr>
      </w:pPr>
    </w:p>
    <w:p w:rsidR="00045C15" w:rsidRPr="002462E6" w:rsidRDefault="00045C15" w:rsidP="00D051D7">
      <w:pPr>
        <w:widowControl w:val="0"/>
        <w:numPr>
          <w:ilvl w:val="0"/>
          <w:numId w:val="59"/>
        </w:numPr>
        <w:tabs>
          <w:tab w:val="num" w:pos="360"/>
        </w:tabs>
        <w:autoSpaceDE w:val="0"/>
        <w:autoSpaceDN w:val="0"/>
        <w:spacing w:before="120" w:after="120" w:line="240" w:lineRule="auto"/>
        <w:ind w:left="0" w:firstLine="0"/>
        <w:jc w:val="both"/>
        <w:outlineLvl w:val="3"/>
        <w:rPr>
          <w:rFonts w:ascii="Tahoma" w:eastAsia="Times New Roman" w:hAnsi="Tahoma" w:cs="Tahoma"/>
          <w:b/>
          <w:bCs/>
          <w:color w:val="000000" w:themeColor="text1"/>
          <w:sz w:val="32"/>
          <w:szCs w:val="28"/>
        </w:rPr>
      </w:pPr>
      <w:bookmarkStart w:id="371" w:name="_Toc201570911"/>
      <w:bookmarkStart w:id="372" w:name="_Toc201655517"/>
      <w:r w:rsidRPr="002462E6">
        <w:rPr>
          <w:rFonts w:ascii="Tahoma" w:eastAsia="Times New Roman" w:hAnsi="Tahoma" w:cs="Tahoma"/>
          <w:b/>
          <w:bCs/>
          <w:color w:val="000000" w:themeColor="text1"/>
          <w:sz w:val="32"/>
          <w:szCs w:val="28"/>
        </w:rPr>
        <w:t>L'aménagement du développement territorial: quelles implications pour le rural ?</w:t>
      </w:r>
      <w:bookmarkEnd w:id="371"/>
      <w:bookmarkEnd w:id="372"/>
      <w:r w:rsidRPr="002462E6">
        <w:rPr>
          <w:rFonts w:ascii="Tahoma" w:eastAsia="Times New Roman" w:hAnsi="Tahoma" w:cs="Tahoma"/>
          <w:b/>
          <w:bCs/>
          <w:color w:val="000000" w:themeColor="text1"/>
          <w:sz w:val="32"/>
          <w:szCs w:val="28"/>
        </w:rPr>
        <w:t xml:space="preserve"> </w:t>
      </w:r>
    </w:p>
    <w:p w:rsidR="00045C15" w:rsidRPr="00080322" w:rsidRDefault="00045C15" w:rsidP="00045C15">
      <w:pPr>
        <w:widowControl w:val="0"/>
        <w:autoSpaceDE w:val="0"/>
        <w:autoSpaceDN w:val="0"/>
        <w:spacing w:before="120" w:after="120" w:line="240" w:lineRule="auto"/>
        <w:ind w:left="720"/>
        <w:jc w:val="both"/>
        <w:outlineLvl w:val="3"/>
        <w:rPr>
          <w:rFonts w:ascii="Tahoma" w:eastAsia="Times New Roman" w:hAnsi="Tahoma" w:cs="Tahoma"/>
          <w:b/>
          <w:bCs/>
          <w:color w:val="000000" w:themeColor="text1"/>
          <w:sz w:val="8"/>
          <w:szCs w:val="6"/>
        </w:rPr>
      </w:pPr>
    </w:p>
    <w:p w:rsidR="00FA6C95" w:rsidRPr="00080322" w:rsidRDefault="00045C15" w:rsidP="00080322">
      <w:pPr>
        <w:pStyle w:val="Corpsdetexte"/>
        <w:spacing w:before="1" w:line="360" w:lineRule="auto"/>
        <w:jc w:val="both"/>
        <w:rPr>
          <w:rFonts w:ascii="Tahoma" w:hAnsi="Tahoma" w:cs="Tahoma"/>
        </w:rPr>
      </w:pPr>
      <w:r w:rsidRPr="00080322">
        <w:rPr>
          <w:rFonts w:ascii="Tahoma" w:eastAsiaTheme="minorHAnsi" w:hAnsi="Tahoma" w:cs="Tahoma"/>
        </w:rPr>
        <w:t>L'État marocain semble actuellement traverser une période de transition multidimensionnelle, caractérisée par des mutations profondes affectant les sphères démographique, économique, climatique, sociale et politico-territoriale. Cette transition s'inscrit dans un contexte plus large de reconfiguration des paradigmes de développement territorial à l'échelle mondiale. Néanmoins, il convient de souligner que l'aménagement et le développement du territoire national demeurent assujettis à une double contrainte : d'une part, la nécessité de surmonter les obstacles structurels issus des déterminismes géographiques et des contingences historiques ; d'autre part, l’impératif d’élaborer un modèle de gestion territoriale efficace et adapté aux spécificités territoriales</w:t>
      </w:r>
      <w:r w:rsidRPr="00080322">
        <w:rPr>
          <w:rFonts w:ascii="Tahoma" w:eastAsiaTheme="minorHAnsi" w:hAnsi="Tahoma" w:cs="Tahoma"/>
          <w:vertAlign w:val="superscript"/>
        </w:rPr>
        <w:footnoteReference w:id="672"/>
      </w:r>
      <w:r w:rsidRPr="00080322">
        <w:rPr>
          <w:rFonts w:ascii="Tahoma" w:eastAsiaTheme="minorHAnsi" w:hAnsi="Tahoma" w:cs="Tahoma"/>
        </w:rPr>
        <w:t xml:space="preserve">. Historiquement, la question territoriale marocaine s'inscrit dans une dialectique complexe entre centralisation étatique et aspirations à l'autonomie des espaces périphériques. Cette tension historique se manifeste particulièrement dans la marginalisation persistante des zones rurales, malgré les multiples discours et politiques visant leur intégration. Le territoire forestier de Korifla, objet central de cette thèse, constitue un révélateur des contradictions inhérentes au développement territorial marocain. Il cristallise les dynamiques de dégradation environnementale et de fragilisation socio-économique qui caractérisent de nombreux espaces ruraux forestiers au Maroc, conduisant ainsi à des phénomènes </w:t>
      </w:r>
      <w:r w:rsidR="00FA6C95" w:rsidRPr="00080322">
        <w:rPr>
          <w:rFonts w:ascii="Tahoma" w:hAnsi="Tahoma" w:cs="Tahoma"/>
        </w:rPr>
        <w:t>migratoires qui reconfigurent en profondeur les équilibres territoriaux</w:t>
      </w:r>
      <w:r w:rsidR="00FA6C95" w:rsidRPr="00080322">
        <w:rPr>
          <w:rFonts w:ascii="Tahoma" w:hAnsi="Tahoma" w:cs="Tahoma"/>
          <w:vertAlign w:val="superscript"/>
        </w:rPr>
        <w:footnoteReference w:id="673"/>
      </w:r>
      <w:r w:rsidR="00FA6C95" w:rsidRPr="00080322">
        <w:rPr>
          <w:rFonts w:ascii="Tahoma" w:hAnsi="Tahoma" w:cs="Tahoma"/>
        </w:rPr>
        <w:t>.</w:t>
      </w:r>
    </w:p>
    <w:p w:rsidR="00FA6C95" w:rsidRPr="002462E6" w:rsidRDefault="00FA6C95" w:rsidP="00FA6C95">
      <w:pPr>
        <w:pStyle w:val="Corpsdetexte"/>
        <w:spacing w:before="160" w:line="360" w:lineRule="auto"/>
        <w:ind w:right="600"/>
        <w:jc w:val="both"/>
        <w:rPr>
          <w:rFonts w:ascii="Tahoma" w:hAnsi="Tahoma" w:cs="Tahoma"/>
        </w:rPr>
      </w:pPr>
      <w:r w:rsidRPr="002462E6">
        <w:rPr>
          <w:rFonts w:ascii="Tahoma" w:hAnsi="Tahoma" w:cs="Tahoma"/>
        </w:rPr>
        <w:t>Cette sous-section propose d’étudier l'évolution des paradigmes qui ont structuré les politiques territoriales au Maroc, en interrogeant spécifiquement la place accordée aux espaces ruraux dont l'hypothèse centrale est que les mutations successives des référentiels d'action publique - du dirigisme post-colonial à la gouvernance territoriale contemporaine - n'ont pas fondamentalement remis en question les rapports de domination entre centre et périphéries, urbain et rural, État et communautés locales. Il s'agit dès lors d'examiner dans quelle mesure les nouvelles approches de développement territorial, notamment le Nouveau Modèle de Développement, sont susceptibles d'opérer une véritable rupture avec les logiques antérieures ou si elles ne constituent qu'une reformulation des mêmes principes sous un habillage conceptuel renouvelé</w:t>
      </w:r>
      <w:r w:rsidRPr="002462E6">
        <w:rPr>
          <w:rFonts w:ascii="Tahoma" w:hAnsi="Tahoma" w:cs="Tahoma"/>
          <w:vertAlign w:val="superscript"/>
        </w:rPr>
        <w:footnoteReference w:id="674"/>
      </w:r>
      <w:r w:rsidRPr="002462E6">
        <w:rPr>
          <w:rFonts w:ascii="Tahoma" w:hAnsi="Tahoma" w:cs="Tahoma"/>
        </w:rPr>
        <w:t>.</w:t>
      </w:r>
    </w:p>
    <w:p w:rsidR="00FA6C95" w:rsidRPr="002462E6" w:rsidRDefault="00FA6C95" w:rsidP="00FA6C95">
      <w:pPr>
        <w:spacing w:line="360" w:lineRule="auto"/>
        <w:jc w:val="both"/>
        <w:rPr>
          <w:rFonts w:ascii="Tahoma" w:hAnsi="Tahoma" w:cs="Tahoma"/>
          <w:sz w:val="24"/>
          <w:szCs w:val="24"/>
        </w:rPr>
      </w:pPr>
    </w:p>
    <w:p w:rsidR="00FA6C95" w:rsidRPr="002462E6" w:rsidRDefault="00FA6C95" w:rsidP="00D051D7">
      <w:pPr>
        <w:pStyle w:val="Titre5"/>
        <w:numPr>
          <w:ilvl w:val="0"/>
          <w:numId w:val="92"/>
        </w:numPr>
      </w:pPr>
      <w:r w:rsidRPr="002462E6">
        <w:t xml:space="preserve"> </w:t>
      </w:r>
      <w:bookmarkStart w:id="373" w:name="_Toc201655518"/>
      <w:bookmarkStart w:id="374" w:name="_Toc203643091"/>
      <w:r w:rsidRPr="002462E6">
        <w:t>Politiques territoriales au Maroc : trajectoires et transformations</w:t>
      </w:r>
      <w:bookmarkEnd w:id="373"/>
      <w:bookmarkEnd w:id="374"/>
    </w:p>
    <w:p w:rsidR="00FA6C95" w:rsidRPr="002462E6" w:rsidRDefault="00FA6C95" w:rsidP="00FA6C95"/>
    <w:p w:rsidR="00FA6C95" w:rsidRPr="002462E6" w:rsidRDefault="00FA6C95" w:rsidP="00FA6C95">
      <w:pPr>
        <w:spacing w:line="360" w:lineRule="auto"/>
        <w:jc w:val="both"/>
        <w:rPr>
          <w:rFonts w:ascii="Tahoma" w:hAnsi="Tahoma" w:cs="Tahoma"/>
          <w:sz w:val="24"/>
          <w:szCs w:val="24"/>
        </w:rPr>
      </w:pPr>
      <w:r w:rsidRPr="002462E6">
        <w:rPr>
          <w:rFonts w:ascii="Tahoma" w:hAnsi="Tahoma" w:cs="Tahoma"/>
        </w:rPr>
        <w:t xml:space="preserve">L'organisation territoriale marocaine contemporaine reste profondément marquée par les structures coloniales qui ont institutionnalisé une dichotomie spatiale fondamentale. Durant le protectorat français (1912-1956), l'administration coloniale a instauré un système d'aménagement du territoire fondé sur une double logique d'exploitation et de contrôle : d'une part, la modernisation sélective des zones à fort potentiel économique, principalement </w:t>
      </w:r>
      <w:r w:rsidRPr="002462E6">
        <w:rPr>
          <w:rFonts w:ascii="Tahoma" w:hAnsi="Tahoma" w:cs="Tahoma"/>
          <w:sz w:val="24"/>
          <w:szCs w:val="24"/>
        </w:rPr>
        <w:t>urbaines et agricoles (plaines atlantiques) ; d'autre part, le maintien des structures traditionnelles dans les zones rurales, notamment montagnardes et forestières, sous couvert d'un respect formel des institutions locales</w:t>
      </w:r>
      <w:r w:rsidRPr="002462E6">
        <w:rPr>
          <w:rFonts w:ascii="Tahoma" w:hAnsi="Tahoma" w:cs="Tahoma"/>
          <w:sz w:val="24"/>
          <w:szCs w:val="24"/>
          <w:vertAlign w:val="superscript"/>
        </w:rPr>
        <w:footnoteReference w:id="675"/>
      </w:r>
      <w:r w:rsidRPr="002462E6">
        <w:rPr>
          <w:rFonts w:ascii="Tahoma" w:hAnsi="Tahoma" w:cs="Tahoma"/>
          <w:sz w:val="24"/>
          <w:szCs w:val="24"/>
        </w:rPr>
        <w:t>. Cette division territoriale ne relevait pas simplement d'un pragmatisme administratif, mais constituait un dispositif central de la domination coloniale, permettant à la fois l'extraction des ressources et le confineme</w:t>
      </w:r>
      <w:r w:rsidR="0057505F">
        <w:rPr>
          <w:rFonts w:ascii="Tahoma" w:hAnsi="Tahoma" w:cs="Tahoma"/>
          <w:sz w:val="24"/>
          <w:szCs w:val="24"/>
        </w:rPr>
        <w:t xml:space="preserve">nt des résistances potentielles   </w:t>
      </w:r>
    </w:p>
    <w:p w:rsidR="00FA6C95" w:rsidRPr="002462E6" w:rsidRDefault="00FA6C95" w:rsidP="00FA6C95">
      <w:pPr>
        <w:spacing w:line="360" w:lineRule="auto"/>
        <w:jc w:val="both"/>
        <w:rPr>
          <w:rFonts w:ascii="Tahoma" w:hAnsi="Tahoma" w:cs="Tahoma"/>
          <w:sz w:val="24"/>
          <w:szCs w:val="24"/>
        </w:rPr>
      </w:pPr>
      <w:r w:rsidRPr="002462E6">
        <w:rPr>
          <w:rFonts w:ascii="Tahoma" w:hAnsi="Tahoma" w:cs="Tahoma"/>
          <w:sz w:val="24"/>
          <w:szCs w:val="24"/>
        </w:rPr>
        <w:t>Paradoxalement, l'indépendance en 1956 n'a pas entraîné une remise en cause fondamentale de cette structuration asymétrique de l'espace national. L'État post-colonial a largement reproduit les modèles d'intervention territoriale hérités, en les adaptant aux exigences de la construction nationale. Comme le souligne Naciri, "le nouvel État indépendant s'est approprié les outils de contrôle territorial colonial tout en les légitimant par un discours développementaliste"</w:t>
      </w:r>
      <w:r w:rsidRPr="002462E6">
        <w:rPr>
          <w:rFonts w:ascii="Tahoma" w:hAnsi="Tahoma" w:cs="Tahoma"/>
          <w:sz w:val="24"/>
          <w:szCs w:val="24"/>
          <w:vertAlign w:val="superscript"/>
        </w:rPr>
        <w:footnoteReference w:id="676"/>
      </w:r>
      <w:r w:rsidRPr="002462E6">
        <w:rPr>
          <w:rFonts w:ascii="Tahoma" w:hAnsi="Tahoma" w:cs="Tahoma"/>
          <w:sz w:val="24"/>
          <w:szCs w:val="24"/>
        </w:rPr>
        <w:t>. Les premières décennies post-indépendance ont été marquées par la consolidation d'un État central fort, s'appuyant sur une technostructure planificatrice qui définissait autoritairement les priorités de développement.</w:t>
      </w:r>
    </w:p>
    <w:p w:rsidR="00FA6C95" w:rsidRPr="002462E6" w:rsidRDefault="00FA6C95" w:rsidP="00FA6C95">
      <w:pPr>
        <w:spacing w:line="360" w:lineRule="auto"/>
        <w:jc w:val="both"/>
        <w:rPr>
          <w:rFonts w:ascii="Tahoma" w:hAnsi="Tahoma" w:cs="Tahoma"/>
        </w:rPr>
      </w:pPr>
      <w:r w:rsidRPr="002462E6">
        <w:rPr>
          <w:rFonts w:ascii="Tahoma" w:hAnsi="Tahoma" w:cs="Tahoma"/>
          <w:sz w:val="24"/>
          <w:szCs w:val="24"/>
        </w:rPr>
        <w:t>Cette période s'est caractérisée par une approche fondamentalement moderniste et urbano-centrée du développement, où les villes étaient considérées comme les vecteurs privilégiés de la transformation économique et sociale. Les zones rurales, particulièrement les espaces forestiers comme celui de Korifla, ont été réduits à leur fonction productive, sans considération de leurs spécificités socioculturelles et écologiques. Par ailleurs, le cadre juridique forestier colonial, fondé sur l'expropriation et la restriction des droits d'usage traditionnels, a été maintenu et parfois renforcé, aggravant l'antagonisme entre les populations locales et l'administration forestière. Ce dispositif juridico-administratif, loin de protéger efficacement les ressources forestières, a paradoxalement contribué à leur dégradation en</w:t>
      </w:r>
      <w:r w:rsidRPr="002462E6">
        <w:rPr>
          <w:rFonts w:ascii="Tahoma" w:hAnsi="Tahoma" w:cs="Tahoma"/>
        </w:rPr>
        <w:t xml:space="preserve"> déresponsabilisant les communautés locales et en les privant de leurs mécanismes traditionnels de gestion</w:t>
      </w:r>
      <w:r w:rsidRPr="002462E6">
        <w:rPr>
          <w:rFonts w:ascii="Tahoma" w:hAnsi="Tahoma" w:cs="Tahoma"/>
          <w:vertAlign w:val="superscript"/>
        </w:rPr>
        <w:footnoteReference w:id="677"/>
      </w:r>
      <w:r w:rsidRPr="002462E6">
        <w:rPr>
          <w:rFonts w:ascii="Tahoma" w:hAnsi="Tahoma" w:cs="Tahoma"/>
        </w:rPr>
        <w:t>.</w:t>
      </w:r>
    </w:p>
    <w:p w:rsidR="00FA6C95" w:rsidRPr="002462E6" w:rsidRDefault="00FA6C95" w:rsidP="00FA6C95">
      <w:pPr>
        <w:spacing w:line="360" w:lineRule="auto"/>
        <w:jc w:val="both"/>
        <w:rPr>
          <w:rFonts w:ascii="Tahoma" w:hAnsi="Tahoma" w:cs="Tahoma"/>
          <w:sz w:val="24"/>
          <w:szCs w:val="24"/>
        </w:rPr>
      </w:pPr>
      <w:r w:rsidRPr="002462E6">
        <w:rPr>
          <w:rFonts w:ascii="Tahoma" w:hAnsi="Tahoma" w:cs="Tahoma"/>
          <w:sz w:val="24"/>
          <w:szCs w:val="24"/>
        </w:rPr>
        <w:t>Face aux déséquilibres territoriaux croissants et à l'émergence de mouvements de contestation, l'État marocain a progressivement initié, à partir des années 1970, une reconfiguration de ses politiques d'aménagement du territoire. En effet, la création en 1973 de la Direction de l'Aménagement du Territoire marque une première reconnaissance institutionnelle de la nécessité d'une approche plus coordonnée et équilibrée du développement spatial. Toutefois, cette évolution s'est inscrite dans un contexte international spécifique, caractérisé par la montée en puissance des institutions financières internationales et l'imposition progressive des paradigmes néolibéraux</w:t>
      </w:r>
      <w:r w:rsidRPr="002462E6">
        <w:rPr>
          <w:rFonts w:ascii="Tahoma" w:hAnsi="Tahoma" w:cs="Tahoma"/>
          <w:sz w:val="24"/>
          <w:szCs w:val="24"/>
          <w:vertAlign w:val="superscript"/>
        </w:rPr>
        <w:footnoteReference w:id="678"/>
      </w:r>
      <w:r w:rsidRPr="002462E6">
        <w:rPr>
          <w:rFonts w:ascii="Tahoma" w:hAnsi="Tahoma" w:cs="Tahoma"/>
          <w:sz w:val="24"/>
          <w:szCs w:val="24"/>
        </w:rPr>
        <w:t>.</w:t>
      </w:r>
    </w:p>
    <w:p w:rsidR="00FA6C95" w:rsidRPr="002462E6" w:rsidRDefault="00FA6C95" w:rsidP="00FA6C95">
      <w:pPr>
        <w:spacing w:line="360" w:lineRule="auto"/>
        <w:jc w:val="both"/>
        <w:rPr>
          <w:rFonts w:ascii="Tahoma" w:hAnsi="Tahoma" w:cs="Tahoma"/>
          <w:sz w:val="24"/>
          <w:szCs w:val="24"/>
        </w:rPr>
      </w:pPr>
      <w:r w:rsidRPr="002462E6">
        <w:rPr>
          <w:rFonts w:ascii="Tahoma" w:hAnsi="Tahoma" w:cs="Tahoma"/>
          <w:sz w:val="24"/>
          <w:szCs w:val="24"/>
        </w:rPr>
        <w:t>Cette période a vu l'élaboration des premiers schémas nationaux et régionaux d'aménagement, qui tentaient d'articuler les dimensions économiques, sociales et spatiales du développement. Cependant, l'analyse de ces documents révèle une persistance des approches technocratiques et sectorielles, où les territoires restaient largement considérés comme des réceptacles passifs des politiques nationales. La participation des acteurs locaux demeurait formelle, limitée à des consultations sans réel pouvoir décisionnel, particulièrement dans les zones rurales où les populations étaient souvent perçues comme "incapables" de contribuer significativement aux processus de développement</w:t>
      </w:r>
      <w:r w:rsidRPr="002462E6">
        <w:rPr>
          <w:rFonts w:ascii="Tahoma" w:hAnsi="Tahoma" w:cs="Tahoma"/>
          <w:sz w:val="24"/>
          <w:szCs w:val="24"/>
          <w:vertAlign w:val="superscript"/>
        </w:rPr>
        <w:footnoteReference w:id="679"/>
      </w:r>
      <w:r w:rsidRPr="002462E6">
        <w:rPr>
          <w:rFonts w:ascii="Tahoma" w:hAnsi="Tahoma" w:cs="Tahoma"/>
          <w:sz w:val="24"/>
          <w:szCs w:val="24"/>
        </w:rPr>
        <w:t>.</w:t>
      </w:r>
    </w:p>
    <w:p w:rsidR="00FA6C95" w:rsidRPr="002462E6" w:rsidRDefault="00FA6C95" w:rsidP="00FA6C95">
      <w:pPr>
        <w:spacing w:line="360" w:lineRule="auto"/>
        <w:jc w:val="both"/>
        <w:rPr>
          <w:rFonts w:ascii="Tahoma" w:hAnsi="Tahoma" w:cs="Tahoma"/>
          <w:sz w:val="24"/>
          <w:szCs w:val="24"/>
        </w:rPr>
      </w:pPr>
      <w:r w:rsidRPr="002462E6">
        <w:rPr>
          <w:rFonts w:ascii="Tahoma" w:hAnsi="Tahoma" w:cs="Tahoma"/>
          <w:sz w:val="24"/>
          <w:szCs w:val="24"/>
        </w:rPr>
        <w:t>Les années 1990, marquées par l'influence croissante des paradigmes du développement durable et de la bonne gouvernance, ont vu émerger des programmes spécifiquement ciblant les zones rurales marginalisées. Cependant, ces initiatives, souvent impulsées par les bailleurs de fonds internationaux, présentaient plusieurs limites structurelles. D'une part, elles s'inscrivaient dans une logique de projets ponctuels, sans vision territoriale intégrée ni continuité temporelle, créant un "développement en archipel" qui fragmentait davantage les espaces ruraux qu'il ne les structurait. D'autre part, elles reposaient fréquemment sur des approches standardisées, insuffisamment adaptées aux spécificités locales, et s'accompagnaient de conditionnalités qui renforçaient les dépendances externes plutôt que l'autonomie des territoires</w:t>
      </w:r>
      <w:r w:rsidRPr="002462E6">
        <w:rPr>
          <w:rFonts w:ascii="Tahoma" w:hAnsi="Tahoma" w:cs="Tahoma"/>
          <w:sz w:val="24"/>
          <w:szCs w:val="24"/>
          <w:vertAlign w:val="superscript"/>
        </w:rPr>
        <w:footnoteReference w:id="680"/>
      </w:r>
      <w:r w:rsidRPr="002462E6">
        <w:rPr>
          <w:rFonts w:ascii="Tahoma" w:hAnsi="Tahoma" w:cs="Tahoma"/>
          <w:sz w:val="24"/>
          <w:szCs w:val="24"/>
        </w:rPr>
        <w:t>.</w:t>
      </w:r>
    </w:p>
    <w:p w:rsidR="00FA6C95" w:rsidRPr="002462E6" w:rsidRDefault="00FA6C95" w:rsidP="00BC7FBC">
      <w:pPr>
        <w:spacing w:line="360" w:lineRule="auto"/>
        <w:jc w:val="both"/>
        <w:rPr>
          <w:rFonts w:ascii="Tahoma" w:hAnsi="Tahoma" w:cs="Tahoma"/>
          <w:sz w:val="24"/>
          <w:szCs w:val="24"/>
        </w:rPr>
      </w:pPr>
      <w:r w:rsidRPr="002462E6">
        <w:rPr>
          <w:rFonts w:ascii="Tahoma" w:hAnsi="Tahoma" w:cs="Tahoma"/>
          <w:sz w:val="24"/>
          <w:szCs w:val="24"/>
        </w:rPr>
        <w:t>Paradoxalement, cette période de réformes a coïncidé avec les retentissements du programme d'ajustement structurel qui ont considérablement réduit les capacités d'investissement public dans les infrastructures et services ruraux. La libéralisation économique, présentée comme un levier de développement, a souvent accentué les inégalités territoriales en favorisant les espaces déjà intégrés aux circuits économiques globalisés, au détriment des zones rurales périphériques. Dans ce contexte, les territoires forestiers comme celui de Korifla ont été soumises à des pressions croissantes, prises entre les logiques de conservation bureaucratique et les impératifs de survie des populations locales paupérisées</w:t>
      </w:r>
      <w:r w:rsidRPr="002462E6">
        <w:rPr>
          <w:rFonts w:ascii="Tahoma" w:hAnsi="Tahoma" w:cs="Tahoma"/>
          <w:sz w:val="24"/>
          <w:szCs w:val="24"/>
          <w:vertAlign w:val="superscript"/>
        </w:rPr>
        <w:footnoteReference w:id="681"/>
      </w:r>
      <w:r w:rsidRPr="002462E6">
        <w:rPr>
          <w:rFonts w:ascii="Tahoma" w:hAnsi="Tahoma" w:cs="Tahoma"/>
          <w:sz w:val="24"/>
          <w:szCs w:val="24"/>
        </w:rPr>
        <w:t>.</w:t>
      </w:r>
    </w:p>
    <w:p w:rsidR="00FA6C95" w:rsidRPr="002462E6" w:rsidRDefault="00FA6C95" w:rsidP="00BC7FBC">
      <w:pPr>
        <w:spacing w:line="360" w:lineRule="auto"/>
        <w:jc w:val="both"/>
        <w:rPr>
          <w:rFonts w:ascii="Tahoma" w:hAnsi="Tahoma" w:cs="Tahoma"/>
          <w:sz w:val="24"/>
          <w:szCs w:val="24"/>
        </w:rPr>
      </w:pPr>
      <w:r w:rsidRPr="002462E6">
        <w:rPr>
          <w:rFonts w:ascii="Tahoma" w:hAnsi="Tahoma" w:cs="Tahoma"/>
          <w:sz w:val="24"/>
          <w:szCs w:val="24"/>
        </w:rPr>
        <w:t>Le début des années 2000 marque l'émergence d'un nouveau référentiel dans les politiques territoriales marocaines, caractérisé par le passage discursif d'une logique d'aménagement dirigiste à une approche de développement territorial participatif. Cette évolution s'inscrit dans un contexte national et international spécifique marqué par la montée des revendications démocratiques, processus de décentralisation administrative, et diffusion internationale des modèles de gouvernance territoriale multi-acteurs</w:t>
      </w:r>
      <w:r w:rsidRPr="002462E6">
        <w:rPr>
          <w:rFonts w:ascii="Tahoma" w:hAnsi="Tahoma" w:cs="Tahoma"/>
          <w:sz w:val="24"/>
          <w:szCs w:val="24"/>
          <w:vertAlign w:val="superscript"/>
        </w:rPr>
        <w:footnoteReference w:id="682"/>
      </w:r>
      <w:r w:rsidRPr="002462E6">
        <w:rPr>
          <w:rFonts w:ascii="Tahoma" w:hAnsi="Tahoma" w:cs="Tahoma"/>
          <w:sz w:val="24"/>
          <w:szCs w:val="24"/>
        </w:rPr>
        <w:t>.</w:t>
      </w:r>
    </w:p>
    <w:p w:rsidR="00FA6C95" w:rsidRPr="002462E6" w:rsidRDefault="00FA6C95" w:rsidP="00BC7FBC">
      <w:pPr>
        <w:spacing w:line="360" w:lineRule="auto"/>
        <w:jc w:val="both"/>
        <w:rPr>
          <w:rFonts w:ascii="Tahoma" w:hAnsi="Tahoma" w:cs="Tahoma"/>
          <w:sz w:val="24"/>
          <w:szCs w:val="24"/>
        </w:rPr>
      </w:pPr>
      <w:r w:rsidRPr="002462E6">
        <w:rPr>
          <w:rFonts w:ascii="Tahoma" w:hAnsi="Tahoma" w:cs="Tahoma"/>
          <w:sz w:val="24"/>
          <w:szCs w:val="24"/>
        </w:rPr>
        <w:t>La réforme de la Charte Communale en 2002 (révisée en 2009), suivie par la Constitution de 2011 et la régionalisation avancée de 2015, a formellement consacré les principes de libre administration des collectivités territoriales et de participation citoyenne. Cependant, l'analyse des modalités concrètes de mise en œuvre de ces réformes révèle un décalage persistant entre les discours et les pratiques. Comme le souligne Tozy, "la décentralisation marocaine s'apparente davantage à une déconcentration administrative qu'à un véritable transfert de pouvoir décisionnel aux territoires"</w:t>
      </w:r>
      <w:r w:rsidRPr="002462E6">
        <w:rPr>
          <w:rFonts w:ascii="Tahoma" w:hAnsi="Tahoma" w:cs="Tahoma"/>
          <w:sz w:val="24"/>
          <w:szCs w:val="24"/>
          <w:vertAlign w:val="superscript"/>
        </w:rPr>
        <w:footnoteReference w:id="683"/>
      </w:r>
      <w:r w:rsidRPr="002462E6">
        <w:rPr>
          <w:rFonts w:ascii="Tahoma" w:hAnsi="Tahoma" w:cs="Tahoma"/>
          <w:sz w:val="24"/>
          <w:szCs w:val="24"/>
        </w:rPr>
        <w:t>. Les collectivités territoriales, particulièrement rurales, restent confrontées à une insuffisance de ressources humaines et financières, limitant ainsi leur autonomie effective.</w:t>
      </w:r>
    </w:p>
    <w:p w:rsidR="00FA6C95" w:rsidRPr="002462E6" w:rsidRDefault="00FA6C95" w:rsidP="00BC7FBC">
      <w:pPr>
        <w:spacing w:line="360" w:lineRule="auto"/>
        <w:jc w:val="both"/>
        <w:rPr>
          <w:rFonts w:ascii="Tahoma" w:hAnsi="Tahoma" w:cs="Tahoma"/>
          <w:sz w:val="24"/>
          <w:szCs w:val="24"/>
        </w:rPr>
      </w:pPr>
      <w:r w:rsidRPr="002462E6">
        <w:rPr>
          <w:rFonts w:ascii="Tahoma" w:hAnsi="Tahoma" w:cs="Tahoma"/>
          <w:sz w:val="24"/>
          <w:szCs w:val="24"/>
        </w:rPr>
        <w:t>Parallèlement, plusieurs initiatives phares ont été lancées afin de promouvoir un développement inclusif des zones rurales : l'Initiative Nationale pour le Développement Humain (INDH) en 2005, le Plan Maroc Vert en 2008 etc. Ces programmes, s'ils témoignent d'une attention accrue aux problématiques rurales, s'inscrivent néanmoins dans des logiques complexes qui méritent d'être déconstruites. L'INDH, par exemple, si elle a permis la réalisation de nombreux projets locaux, a également été analysée comme un dispositif de "contournement" des institutions démocratiques locales, renforçant le contrôle du ministère de l'Intérieur sur les dynamiques territoriales. Le Plan Maroc Vert, quant à lui, malgré son volet "agriculture solidaire", a largement favorisé un modèle agricole entrepreneurial et exportateur, contribuant à la marginalisation des petites exploitations familiales prépondérantes dans les zones forestières</w:t>
      </w:r>
      <w:r w:rsidRPr="002462E6">
        <w:rPr>
          <w:rFonts w:ascii="Tahoma" w:hAnsi="Tahoma" w:cs="Tahoma"/>
          <w:sz w:val="24"/>
          <w:szCs w:val="24"/>
          <w:vertAlign w:val="superscript"/>
        </w:rPr>
        <w:footnoteReference w:id="684"/>
      </w:r>
      <w:r w:rsidRPr="002462E6">
        <w:rPr>
          <w:rFonts w:ascii="Tahoma" w:hAnsi="Tahoma" w:cs="Tahoma"/>
          <w:sz w:val="24"/>
          <w:szCs w:val="24"/>
        </w:rPr>
        <w:t>.</w:t>
      </w:r>
    </w:p>
    <w:p w:rsidR="00FA6C95" w:rsidRPr="002462E6" w:rsidRDefault="00FA6C95" w:rsidP="00BC7FBC">
      <w:pPr>
        <w:spacing w:line="360" w:lineRule="auto"/>
        <w:jc w:val="both"/>
        <w:rPr>
          <w:rFonts w:ascii="Tahoma" w:hAnsi="Tahoma" w:cs="Tahoma"/>
          <w:sz w:val="24"/>
          <w:szCs w:val="24"/>
        </w:rPr>
      </w:pPr>
      <w:r w:rsidRPr="002462E6">
        <w:rPr>
          <w:rFonts w:ascii="Tahoma" w:hAnsi="Tahoma" w:cs="Tahoma"/>
          <w:sz w:val="24"/>
          <w:szCs w:val="24"/>
        </w:rPr>
        <w:t>L'émergence du paradigme territorial s'est également traduite par une multiplication des acteurs et des dispositifs d'intervention, créant un paysage institutionnel particulièrement complexe et fragmenté. Cette prolifération a souvent conduit à des chevauchements de compétences, des concurrences inter-institutionnelles et une dilution des responsabilités. Dans les zones rurales forestières comme celle de Korifla, cette situation se manifeste par la juxtaposition de logiques d'intervention sectorielles parfois contradictoires (agriculture, forêts, eau, tourisme), sans réelle intégration territoriale</w:t>
      </w:r>
      <w:r w:rsidRPr="002462E6">
        <w:rPr>
          <w:rFonts w:ascii="Tahoma" w:hAnsi="Tahoma" w:cs="Tahoma"/>
          <w:sz w:val="24"/>
          <w:szCs w:val="24"/>
          <w:vertAlign w:val="superscript"/>
        </w:rPr>
        <w:footnoteReference w:id="685"/>
      </w:r>
      <w:r w:rsidRPr="002462E6">
        <w:rPr>
          <w:rFonts w:ascii="Tahoma" w:hAnsi="Tahoma" w:cs="Tahoma"/>
          <w:sz w:val="24"/>
          <w:szCs w:val="24"/>
        </w:rPr>
        <w:t>.</w:t>
      </w:r>
    </w:p>
    <w:p w:rsidR="00FA6C95" w:rsidRPr="002462E6" w:rsidRDefault="00FA6C95" w:rsidP="00BC7FBC">
      <w:pPr>
        <w:spacing w:line="360" w:lineRule="auto"/>
        <w:jc w:val="both"/>
        <w:rPr>
          <w:rFonts w:ascii="Tahoma" w:hAnsi="Tahoma" w:cs="Tahoma"/>
          <w:sz w:val="24"/>
          <w:szCs w:val="24"/>
        </w:rPr>
      </w:pPr>
      <w:r w:rsidRPr="002462E6">
        <w:rPr>
          <w:rFonts w:ascii="Tahoma" w:hAnsi="Tahoma" w:cs="Tahoma"/>
          <w:sz w:val="24"/>
          <w:szCs w:val="24"/>
        </w:rPr>
        <w:t>Le monde rural marocain, qui abrite encore près de 40% de la population nationale, a été historiquement constitué comme une périphérie au service du centre, tant dans les représentations que dans les dispositifs d'action publique. Cette périphérisation ne se réduit pas à une simple négligence, mais constitue un processus structurel qui a permis l'extraction des ressources (agricoles, forestières, hydriques, humaines …) nécessaires au développement urbain et industriel, tout en maintenant des rapports de dépendance politique et économique</w:t>
      </w:r>
      <w:r w:rsidRPr="002462E6">
        <w:rPr>
          <w:rFonts w:ascii="Tahoma" w:hAnsi="Tahoma" w:cs="Tahoma"/>
          <w:sz w:val="24"/>
          <w:szCs w:val="24"/>
          <w:vertAlign w:val="superscript"/>
        </w:rPr>
        <w:footnoteReference w:id="686"/>
      </w:r>
      <w:r w:rsidRPr="002462E6">
        <w:rPr>
          <w:rFonts w:ascii="Tahoma" w:hAnsi="Tahoma" w:cs="Tahoma"/>
          <w:sz w:val="24"/>
          <w:szCs w:val="24"/>
        </w:rPr>
        <w:t>.</w:t>
      </w:r>
    </w:p>
    <w:p w:rsidR="00933097" w:rsidRPr="002462E6" w:rsidRDefault="00FA6C95" w:rsidP="009D3AD3">
      <w:pPr>
        <w:spacing w:line="360" w:lineRule="auto"/>
        <w:jc w:val="both"/>
        <w:rPr>
          <w:rFonts w:ascii="Tahoma" w:hAnsi="Tahoma" w:cs="Tahoma"/>
          <w:sz w:val="24"/>
          <w:szCs w:val="24"/>
        </w:rPr>
      </w:pPr>
      <w:r w:rsidRPr="002462E6">
        <w:rPr>
          <w:rFonts w:ascii="Tahoma" w:hAnsi="Tahoma" w:cs="Tahoma"/>
          <w:sz w:val="24"/>
          <w:szCs w:val="24"/>
        </w:rPr>
        <w:t>Les indicateurs socio-économiques contemporains témoignent de cette marginalisation persistante. En effet, le taux de vulnérabilité s'élevait à 19,2% en milieu rural contre 9,5% en milieu urbain en 2022 (graphique ci-dessous) et l'accès aux services de base restait fortement inégal</w:t>
      </w:r>
      <w:r w:rsidRPr="002462E6">
        <w:rPr>
          <w:rFonts w:ascii="Tahoma" w:hAnsi="Tahoma" w:cs="Tahoma"/>
          <w:sz w:val="24"/>
          <w:szCs w:val="24"/>
          <w:vertAlign w:val="superscript"/>
        </w:rPr>
        <w:footnoteReference w:id="687"/>
      </w:r>
      <w:r w:rsidR="009D3AD3" w:rsidRPr="002462E6">
        <w:rPr>
          <w:rFonts w:ascii="Tahoma" w:hAnsi="Tahoma" w:cs="Tahoma"/>
          <w:sz w:val="24"/>
          <w:szCs w:val="24"/>
        </w:rPr>
        <w:t>.</w:t>
      </w:r>
    </w:p>
    <w:p w:rsidR="00FA6C95" w:rsidRDefault="00FA6C95" w:rsidP="0011420C">
      <w:pPr>
        <w:spacing w:line="360" w:lineRule="auto"/>
        <w:rPr>
          <w:rFonts w:ascii="Tahoma" w:hAnsi="Tahoma" w:cs="Tahoma"/>
          <w:sz w:val="24"/>
          <w:szCs w:val="24"/>
          <w:u w:val="single"/>
        </w:rPr>
      </w:pPr>
    </w:p>
    <w:p w:rsidR="005979B4" w:rsidRDefault="005979B4" w:rsidP="0011420C">
      <w:pPr>
        <w:spacing w:line="360" w:lineRule="auto"/>
        <w:rPr>
          <w:rFonts w:ascii="Tahoma" w:hAnsi="Tahoma" w:cs="Tahoma"/>
          <w:sz w:val="24"/>
          <w:szCs w:val="24"/>
          <w:u w:val="single"/>
        </w:rPr>
      </w:pPr>
    </w:p>
    <w:p w:rsidR="005979B4" w:rsidRPr="002462E6" w:rsidRDefault="005979B4" w:rsidP="0011420C">
      <w:pPr>
        <w:spacing w:line="360" w:lineRule="auto"/>
        <w:rPr>
          <w:rFonts w:ascii="Tahoma" w:hAnsi="Tahoma" w:cs="Tahoma"/>
          <w:sz w:val="24"/>
          <w:szCs w:val="24"/>
          <w:u w:val="single"/>
        </w:rPr>
      </w:pPr>
    </w:p>
    <w:p w:rsidR="00933097" w:rsidRPr="002462E6" w:rsidRDefault="0011420C" w:rsidP="000D57A1">
      <w:pPr>
        <w:pStyle w:val="Sous-titre"/>
      </w:pPr>
      <w:bookmarkStart w:id="375" w:name="_Toc203642507"/>
      <w:r w:rsidRPr="002462E6">
        <w:t xml:space="preserve">Tableau </w:t>
      </w:r>
      <w:r w:rsidR="00225ED1">
        <w:rPr>
          <w:noProof/>
        </w:rPr>
        <w:fldChar w:fldCharType="begin"/>
      </w:r>
      <w:r w:rsidR="00225ED1">
        <w:rPr>
          <w:noProof/>
        </w:rPr>
        <w:instrText xml:space="preserve"> SEQ Tableau \* ARABIC </w:instrText>
      </w:r>
      <w:r w:rsidR="00225ED1">
        <w:rPr>
          <w:noProof/>
        </w:rPr>
        <w:fldChar w:fldCharType="separate"/>
      </w:r>
      <w:r w:rsidR="00124AFB">
        <w:rPr>
          <w:noProof/>
        </w:rPr>
        <w:t>8</w:t>
      </w:r>
      <w:r w:rsidR="00225ED1">
        <w:rPr>
          <w:noProof/>
        </w:rPr>
        <w:fldChar w:fldCharType="end"/>
      </w:r>
      <w:r w:rsidR="00EC5E5B" w:rsidRPr="002462E6">
        <w:t xml:space="preserve"> </w:t>
      </w:r>
      <w:r w:rsidRPr="002462E6">
        <w:t>: Evolution du taux de vulnérabilité  au Maroc par milieu entre</w:t>
      </w:r>
      <w:bookmarkEnd w:id="375"/>
      <w:r w:rsidRPr="002462E6">
        <w:t xml:space="preserve"> </w:t>
      </w:r>
    </w:p>
    <w:p w:rsidR="0011420C" w:rsidRPr="002462E6" w:rsidRDefault="0011420C" w:rsidP="000D57A1">
      <w:pPr>
        <w:pStyle w:val="Sous-titre"/>
      </w:pPr>
      <w:r w:rsidRPr="002462E6">
        <w:t xml:space="preserve">2001 et 2022 </w:t>
      </w:r>
      <w:r w:rsidR="00933097" w:rsidRPr="002462E6">
        <w:t xml:space="preserve"> </w:t>
      </w:r>
      <w:r w:rsidRPr="002462E6">
        <w:t>(en %)</w:t>
      </w:r>
    </w:p>
    <w:p w:rsidR="00FA6C95" w:rsidRPr="002462E6" w:rsidRDefault="00FA6C95" w:rsidP="00FA6C95">
      <w:pPr>
        <w:spacing w:line="360" w:lineRule="auto"/>
        <w:jc w:val="both"/>
        <w:rPr>
          <w:rFonts w:ascii="Tahoma" w:hAnsi="Tahoma" w:cs="Tahoma"/>
          <w:sz w:val="24"/>
          <w:szCs w:val="24"/>
        </w:rPr>
      </w:pPr>
      <w:r w:rsidRPr="002462E6">
        <w:rPr>
          <w:noProof/>
          <w:lang w:eastAsia="fr-FR"/>
        </w:rPr>
        <w:drawing>
          <wp:inline distT="0" distB="0" distL="0" distR="0" wp14:anchorId="22171660" wp14:editId="6AC234A4">
            <wp:extent cx="6056416" cy="2826327"/>
            <wp:effectExtent l="0" t="0" r="1905"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8"/>
                    <a:srcRect r="16401" b="14388"/>
                    <a:stretch/>
                  </pic:blipFill>
                  <pic:spPr bwMode="auto">
                    <a:xfrm>
                      <a:off x="0" y="0"/>
                      <a:ext cx="6063123" cy="2829457"/>
                    </a:xfrm>
                    <a:prstGeom prst="rect">
                      <a:avLst/>
                    </a:prstGeom>
                    <a:ln>
                      <a:noFill/>
                    </a:ln>
                    <a:extLst>
                      <a:ext uri="{53640926-AAD7-44D8-BBD7-CCE9431645EC}">
                        <a14:shadowObscured xmlns:a14="http://schemas.microsoft.com/office/drawing/2010/main"/>
                      </a:ext>
                    </a:extLst>
                  </pic:spPr>
                </pic:pic>
              </a:graphicData>
            </a:graphic>
          </wp:inline>
        </w:drawing>
      </w:r>
    </w:p>
    <w:p w:rsidR="00B52FB6" w:rsidRPr="002462E6" w:rsidRDefault="00B52FB6" w:rsidP="00B52FB6">
      <w:pPr>
        <w:spacing w:before="100" w:beforeAutospacing="1" w:after="100" w:afterAutospacing="1" w:line="360" w:lineRule="auto"/>
        <w:jc w:val="center"/>
        <w:rPr>
          <w:rFonts w:ascii="Tahoma" w:eastAsia="Times New Roman" w:hAnsi="Tahoma" w:cs="Tahoma"/>
          <w:sz w:val="20"/>
          <w:szCs w:val="20"/>
          <w:lang w:eastAsia="fr-FR"/>
        </w:rPr>
      </w:pPr>
      <w:r w:rsidRPr="002462E6">
        <w:rPr>
          <w:rFonts w:ascii="Tahoma" w:eastAsia="Times New Roman" w:hAnsi="Tahoma" w:cs="Tahoma"/>
          <w:b/>
          <w:bCs/>
          <w:sz w:val="20"/>
          <w:szCs w:val="20"/>
          <w:lang w:eastAsia="fr-FR"/>
        </w:rPr>
        <w:t>Source :</w:t>
      </w:r>
      <w:r w:rsidRPr="002462E6">
        <w:rPr>
          <w:rFonts w:ascii="Tahoma" w:eastAsia="Times New Roman" w:hAnsi="Tahoma" w:cs="Tahoma"/>
          <w:sz w:val="20"/>
          <w:szCs w:val="20"/>
          <w:lang w:eastAsia="fr-FR"/>
        </w:rPr>
        <w:t xml:space="preserve"> ENVDM 2011, ENVDM 2007, ENVDM 2014, ENVDM 2019 et ENVDM 2022</w:t>
      </w:r>
    </w:p>
    <w:p w:rsidR="00FA6C95" w:rsidRPr="002462E6" w:rsidRDefault="00FA6C95" w:rsidP="00FA6C95">
      <w:pPr>
        <w:spacing w:line="360" w:lineRule="auto"/>
        <w:jc w:val="both"/>
        <w:rPr>
          <w:rFonts w:ascii="Tahoma" w:hAnsi="Tahoma" w:cs="Tahoma"/>
          <w:sz w:val="24"/>
          <w:szCs w:val="24"/>
        </w:rPr>
      </w:pPr>
      <w:r w:rsidRPr="002462E6">
        <w:rPr>
          <w:rFonts w:ascii="Tahoma" w:hAnsi="Tahoma" w:cs="Tahoma"/>
          <w:sz w:val="24"/>
          <w:szCs w:val="24"/>
        </w:rPr>
        <w:t xml:space="preserve">Cette situation est le résultat de plusieurs mécanismes interdépendants. </w:t>
      </w:r>
      <w:r w:rsidR="00B52FB6" w:rsidRPr="002462E6">
        <w:rPr>
          <w:rFonts w:ascii="Tahoma" w:eastAsia="Times New Roman" w:hAnsi="Tahoma" w:cs="Tahoma"/>
          <w:sz w:val="20"/>
          <w:szCs w:val="20"/>
          <w:lang w:eastAsia="fr-FR"/>
        </w:rPr>
        <w:t>ENVDM 2011</w:t>
      </w:r>
      <w:r w:rsidRPr="002462E6">
        <w:rPr>
          <w:rFonts w:ascii="Tahoma" w:hAnsi="Tahoma" w:cs="Tahoma"/>
          <w:sz w:val="24"/>
          <w:szCs w:val="24"/>
        </w:rPr>
        <w:t>D'abord, une vision développementaliste réductrice qui a systématiquement privilégié les investissements urbains et industriels, considérés comme plus "modernes" et productifs. Ensuite, une approche essentiellement extractive des ressources rurales, sans mécanismes adéquats de compensation ou de réinvestissement local. Enfin, une représentation culturelle dévalorisante de la ruralité, associée au "retard" et à "l'archaïsme", justifiant implicitement les interventions paternalistes de l'État et des agences de développement</w:t>
      </w:r>
      <w:r w:rsidRPr="002462E6">
        <w:rPr>
          <w:rFonts w:ascii="Tahoma" w:hAnsi="Tahoma" w:cs="Tahoma"/>
          <w:sz w:val="24"/>
          <w:szCs w:val="24"/>
          <w:vertAlign w:val="superscript"/>
        </w:rPr>
        <w:footnoteReference w:id="688"/>
      </w:r>
      <w:r w:rsidRPr="002462E6">
        <w:rPr>
          <w:rFonts w:ascii="Tahoma" w:hAnsi="Tahoma" w:cs="Tahoma"/>
          <w:sz w:val="24"/>
          <w:szCs w:val="24"/>
        </w:rPr>
        <w:t>.</w:t>
      </w:r>
    </w:p>
    <w:p w:rsidR="00FA6C95" w:rsidRPr="002462E6" w:rsidRDefault="00FA6C95" w:rsidP="00FA6C95">
      <w:pPr>
        <w:spacing w:line="360" w:lineRule="auto"/>
        <w:jc w:val="both"/>
        <w:rPr>
          <w:rFonts w:ascii="Tahoma" w:hAnsi="Tahoma" w:cs="Tahoma"/>
          <w:sz w:val="24"/>
          <w:szCs w:val="24"/>
        </w:rPr>
      </w:pPr>
      <w:r w:rsidRPr="002462E6">
        <w:rPr>
          <w:rFonts w:ascii="Tahoma" w:hAnsi="Tahoma" w:cs="Tahoma"/>
          <w:sz w:val="24"/>
          <w:szCs w:val="24"/>
        </w:rPr>
        <w:t>Face aux tensions sociales croissantes et aux déséquilibres territoriaux, plusieurs initiatives ont été lancées depuis les années 1990 pour "revaloriser" le monde rural. Cependant, l’analyse de ces politiques révèle qu'elles oscillent généralement entre deux approches problématiques : d'une part, un assistanat qui traite les zones rurales comme des espaces à "secourir" plutôt qu'à développer ; d'autre part, un productivisme qui réduit le développement rural à sa dimension économique, négligeant les aspects sociaux, culturels et environnementaux</w:t>
      </w:r>
      <w:r w:rsidRPr="002462E6">
        <w:rPr>
          <w:rFonts w:ascii="Tahoma" w:hAnsi="Tahoma" w:cs="Tahoma"/>
          <w:sz w:val="24"/>
          <w:szCs w:val="24"/>
          <w:vertAlign w:val="superscript"/>
        </w:rPr>
        <w:footnoteReference w:id="689"/>
      </w:r>
      <w:r w:rsidRPr="002462E6">
        <w:rPr>
          <w:rFonts w:ascii="Tahoma" w:hAnsi="Tahoma" w:cs="Tahoma"/>
          <w:sz w:val="24"/>
          <w:szCs w:val="24"/>
        </w:rPr>
        <w:t>.</w:t>
      </w:r>
    </w:p>
    <w:p w:rsidR="00FA6C95" w:rsidRPr="002462E6" w:rsidRDefault="00FA6C95" w:rsidP="00FA6C95">
      <w:pPr>
        <w:spacing w:line="360" w:lineRule="auto"/>
        <w:jc w:val="both"/>
        <w:rPr>
          <w:rFonts w:ascii="Tahoma" w:hAnsi="Tahoma" w:cs="Tahoma"/>
          <w:sz w:val="24"/>
          <w:szCs w:val="24"/>
        </w:rPr>
      </w:pPr>
      <w:r w:rsidRPr="002462E6">
        <w:rPr>
          <w:rFonts w:ascii="Tahoma" w:hAnsi="Tahoma" w:cs="Tahoma"/>
          <w:sz w:val="24"/>
          <w:szCs w:val="24"/>
        </w:rPr>
        <w:t>En fait, le Programme de Développement Rural Intégré (PDRI), initié dans les années 1990, illustre les limites de l'approche assistancielle. Concentré sur des interventions ponctuelles d'infrastructure et d'équipement, il a souvent créé des "îlots de modernité" déconnectés des dynamiques territoriales plus larges, sans réelle appropriation locale. L'INDH, malgré son ambition participative, a largement reproduit cette logique de "microprojets" définis selon des critères standardisés, insuffisamment articulés aux spécificités et potentialités territoriales. Ces approches, tout en améliorant ponctuellement les conditions de vie, n'ont pas substantiellement transformé les rapports de dépendance entre centre et périphéries</w:t>
      </w:r>
      <w:r w:rsidRPr="002462E6">
        <w:rPr>
          <w:rFonts w:ascii="Tahoma" w:hAnsi="Tahoma" w:cs="Tahoma"/>
          <w:sz w:val="24"/>
          <w:szCs w:val="24"/>
          <w:vertAlign w:val="superscript"/>
        </w:rPr>
        <w:footnoteReference w:id="690"/>
      </w:r>
      <w:r w:rsidRPr="002462E6">
        <w:rPr>
          <w:rFonts w:ascii="Tahoma" w:hAnsi="Tahoma" w:cs="Tahoma"/>
          <w:sz w:val="24"/>
          <w:szCs w:val="24"/>
        </w:rPr>
        <w:t>.</w:t>
      </w:r>
    </w:p>
    <w:p w:rsidR="00FA6C95" w:rsidRPr="002462E6" w:rsidRDefault="00FA6C95" w:rsidP="00FA6C95">
      <w:pPr>
        <w:spacing w:line="360" w:lineRule="auto"/>
        <w:jc w:val="both"/>
        <w:rPr>
          <w:rFonts w:ascii="Tahoma" w:hAnsi="Tahoma" w:cs="Tahoma"/>
          <w:sz w:val="24"/>
          <w:szCs w:val="24"/>
        </w:rPr>
      </w:pPr>
      <w:r w:rsidRPr="002462E6">
        <w:rPr>
          <w:rFonts w:ascii="Tahoma" w:hAnsi="Tahoma" w:cs="Tahoma"/>
          <w:sz w:val="24"/>
          <w:szCs w:val="24"/>
        </w:rPr>
        <w:t>Quant au Plan Maroc Vert (PMV), il représente l'archétype de l'approche productiviste. Sa structure duale -distinguant une agriculture "moderne" à forte valeur ajoutée (Pilier I) et une agriculture "solidaire" dans les zones difficiles (Pilier II)- a formalisé plutôt que résolu la fracture territoriale agricole. Malgré les ressources allouées au second pilier, l'analyse des projets réalisés montre une prédominance des logiques sectorielles sur les approches territoriales intégrées, et une concentration des investissements sur les filières à potentiel commercial au détriment des systèmes agrosylvopastoraux traditionnels prépondérants dans les zones forestières</w:t>
      </w:r>
      <w:r w:rsidRPr="002462E6">
        <w:rPr>
          <w:rFonts w:ascii="Tahoma" w:hAnsi="Tahoma" w:cs="Tahoma"/>
          <w:sz w:val="24"/>
          <w:szCs w:val="24"/>
          <w:vertAlign w:val="superscript"/>
        </w:rPr>
        <w:footnoteReference w:id="691"/>
      </w:r>
      <w:r w:rsidRPr="002462E6">
        <w:rPr>
          <w:rFonts w:ascii="Tahoma" w:hAnsi="Tahoma" w:cs="Tahoma"/>
          <w:sz w:val="24"/>
          <w:szCs w:val="24"/>
        </w:rPr>
        <w:t>.</w:t>
      </w:r>
    </w:p>
    <w:p w:rsidR="00FA6C95" w:rsidRPr="002462E6" w:rsidRDefault="00FA6C95" w:rsidP="00FA6C95">
      <w:pPr>
        <w:spacing w:line="360" w:lineRule="auto"/>
        <w:jc w:val="both"/>
        <w:rPr>
          <w:rFonts w:ascii="Tahoma" w:hAnsi="Tahoma" w:cs="Tahoma"/>
          <w:sz w:val="24"/>
          <w:szCs w:val="24"/>
        </w:rPr>
      </w:pPr>
      <w:r w:rsidRPr="002462E6">
        <w:rPr>
          <w:rFonts w:ascii="Tahoma" w:hAnsi="Tahoma" w:cs="Tahoma"/>
          <w:sz w:val="24"/>
          <w:szCs w:val="24"/>
        </w:rPr>
        <w:t>Récemment, la stratégie forestière a tenté d'adopter une approche équilibrée, reconnaissant la nécessité d'impliquer les populations locales dans la gestion forestière. Toutefois, la perpétuation du cadre juridique hérité du protectorat et la persistance de la culture administrative centralisatrice peuvent limiter considérablement la portée transformative de cette stratégie. Comme le notent Auclair et Alifriqui, "la participation locale reste largement instrumentalisée, utilisée pour légitimer des objectifs prédéfinis par l'administration plutôt que pour construire collectivement des solutions adaptées aux contextes locaux"</w:t>
      </w:r>
      <w:r w:rsidRPr="002462E6">
        <w:rPr>
          <w:rFonts w:ascii="Tahoma" w:hAnsi="Tahoma" w:cs="Tahoma"/>
          <w:sz w:val="24"/>
          <w:szCs w:val="24"/>
          <w:vertAlign w:val="superscript"/>
        </w:rPr>
        <w:footnoteReference w:id="692"/>
      </w:r>
      <w:r w:rsidRPr="002462E6">
        <w:rPr>
          <w:rFonts w:ascii="Tahoma" w:hAnsi="Tahoma" w:cs="Tahoma"/>
          <w:sz w:val="24"/>
          <w:szCs w:val="24"/>
        </w:rPr>
        <w:t>.</w:t>
      </w:r>
    </w:p>
    <w:p w:rsidR="00FA6C95" w:rsidRPr="002462E6" w:rsidRDefault="00FA6C95" w:rsidP="00FA6C95">
      <w:pPr>
        <w:spacing w:line="360" w:lineRule="auto"/>
        <w:jc w:val="both"/>
        <w:rPr>
          <w:rFonts w:ascii="Tahoma" w:hAnsi="Tahoma" w:cs="Tahoma"/>
          <w:sz w:val="24"/>
          <w:szCs w:val="24"/>
        </w:rPr>
      </w:pPr>
      <w:r w:rsidRPr="002462E6">
        <w:rPr>
          <w:rFonts w:ascii="Tahoma" w:hAnsi="Tahoma" w:cs="Tahoma"/>
          <w:sz w:val="24"/>
          <w:szCs w:val="24"/>
        </w:rPr>
        <w:t>L'analyse des politiques territoriales rurales au Maroc révèle l’existence de plusieurs facteurs structurels qui limitent leur efficacité transformative. Le premier concerne la question foncière, systématiquement marginalisée dans les interventions publiques malgré son caractère fondamental pour les dynamiques territoriales rurales. Le statut précaire de nombreuses terres, particulièrement dans les zones forestières et péri-forestières, entretient une insécurité juridique qui décourage les investissements et perpétue les conflits d'usage. Les tentatives de réforme (comme la privatisation des terres collectives) ont souvent accentué les inégalités d'accès aux ressources, favorisant les acteurs déjà privilégiés au détriment des groupes vulnérables, notamment les femmes et les jeunes</w:t>
      </w:r>
      <w:r w:rsidRPr="002462E6">
        <w:rPr>
          <w:rFonts w:ascii="Tahoma" w:hAnsi="Tahoma" w:cs="Tahoma"/>
          <w:sz w:val="24"/>
          <w:szCs w:val="24"/>
          <w:vertAlign w:val="superscript"/>
        </w:rPr>
        <w:footnoteReference w:id="693"/>
      </w:r>
      <w:r w:rsidRPr="002462E6">
        <w:rPr>
          <w:rFonts w:ascii="Tahoma" w:hAnsi="Tahoma" w:cs="Tahoma"/>
          <w:sz w:val="24"/>
          <w:szCs w:val="24"/>
        </w:rPr>
        <w:t>.</w:t>
      </w:r>
    </w:p>
    <w:p w:rsidR="00FA6C95" w:rsidRPr="002462E6" w:rsidRDefault="00FA6C95" w:rsidP="00FA6C95">
      <w:pPr>
        <w:spacing w:line="360" w:lineRule="auto"/>
        <w:jc w:val="both"/>
        <w:rPr>
          <w:rFonts w:ascii="Tahoma" w:hAnsi="Tahoma" w:cs="Tahoma"/>
          <w:sz w:val="24"/>
          <w:szCs w:val="24"/>
        </w:rPr>
      </w:pPr>
      <w:r w:rsidRPr="002462E6">
        <w:rPr>
          <w:rFonts w:ascii="Tahoma" w:hAnsi="Tahoma" w:cs="Tahoma"/>
          <w:sz w:val="24"/>
          <w:szCs w:val="24"/>
        </w:rPr>
        <w:t>Le deuxième facteur concerne la question de la justice environnementale, particulièrement critique dans les territoires forestiers. Les politiques de conservation, tout en invoquant l'intérêt général, imposent des restrictions d'usage qui affectent disproportionnellement les populations rurales pauvres dépendantes des ressources naturelles pour leur subsistance. Paradoxalement, ces mêmes populations subissent les conséquences les plus sévères de la dégradation environnementale, sans bénéficier équitablement des retombées économiques générées par les ressources de leurs territoires. Cette situation s'apparente à ce que Martinez-Alier qualifie de "racisme environnemental", où certains groupes sociaux supportent des coûts environnementaux disproportionnés par rapport aux bénéfices qu'ils en tirent</w:t>
      </w:r>
      <w:r w:rsidRPr="002462E6">
        <w:rPr>
          <w:rFonts w:ascii="Tahoma" w:hAnsi="Tahoma" w:cs="Tahoma"/>
          <w:sz w:val="24"/>
          <w:szCs w:val="24"/>
          <w:vertAlign w:val="superscript"/>
        </w:rPr>
        <w:footnoteReference w:id="694"/>
      </w:r>
      <w:r w:rsidRPr="002462E6">
        <w:rPr>
          <w:rFonts w:ascii="Tahoma" w:hAnsi="Tahoma" w:cs="Tahoma"/>
          <w:sz w:val="24"/>
          <w:szCs w:val="24"/>
        </w:rPr>
        <w:t>.</w:t>
      </w:r>
    </w:p>
    <w:p w:rsidR="00FA6C95" w:rsidRPr="002462E6" w:rsidRDefault="00FA6C95" w:rsidP="00FA6C95">
      <w:pPr>
        <w:spacing w:line="360" w:lineRule="auto"/>
        <w:jc w:val="both"/>
        <w:rPr>
          <w:rFonts w:ascii="Tahoma" w:hAnsi="Tahoma" w:cs="Tahoma"/>
          <w:sz w:val="24"/>
          <w:szCs w:val="24"/>
        </w:rPr>
      </w:pPr>
      <w:r w:rsidRPr="002462E6">
        <w:rPr>
          <w:rFonts w:ascii="Tahoma" w:hAnsi="Tahoma" w:cs="Tahoma"/>
          <w:sz w:val="24"/>
          <w:szCs w:val="24"/>
        </w:rPr>
        <w:t>Enfin, le troisième facteur concerne la reconnaissance des savoirs et pratiques traditionnels dans la gestion des ressources naturelles. Malgré une rhétorique croissante sur la participation, les interventions restent largement dominées par une expertise technocratique qui dévalorise implicitement les connaissances locales. Dans le cas de la forêt de Korifla, comme dans de nombreux territoires similaires, cette négation des savoirs vernaculaires prive les politiques publiques d'un capital cognitif précieux, adapté aux spécificités écologiques locales et potentiellement crucial pour la conception de modèles de développement véritablement soutenables</w:t>
      </w:r>
      <w:r w:rsidRPr="002462E6">
        <w:rPr>
          <w:rFonts w:ascii="Tahoma" w:hAnsi="Tahoma" w:cs="Tahoma"/>
          <w:sz w:val="24"/>
          <w:szCs w:val="24"/>
          <w:vertAlign w:val="superscript"/>
        </w:rPr>
        <w:footnoteReference w:id="695"/>
      </w:r>
      <w:r w:rsidRPr="002462E6">
        <w:rPr>
          <w:rFonts w:ascii="Tahoma" w:hAnsi="Tahoma" w:cs="Tahoma"/>
          <w:sz w:val="24"/>
          <w:szCs w:val="24"/>
        </w:rPr>
        <w:t>.</w:t>
      </w:r>
    </w:p>
    <w:p w:rsidR="00FA6C95" w:rsidRPr="002462E6" w:rsidRDefault="00FA6C95" w:rsidP="00FA6C95"/>
    <w:p w:rsidR="00FA6C95" w:rsidRPr="002462E6" w:rsidRDefault="00FA6C95" w:rsidP="00BF1F48">
      <w:pPr>
        <w:pStyle w:val="Titre5"/>
      </w:pPr>
      <w:bookmarkStart w:id="376" w:name="_Toc201655519"/>
      <w:bookmarkStart w:id="377" w:name="_Toc203643092"/>
      <w:r w:rsidRPr="002462E6">
        <w:t>Nouveau Modèle de Développement entre ruptures conceptuelles et continuités structurelles</w:t>
      </w:r>
      <w:bookmarkEnd w:id="376"/>
      <w:bookmarkEnd w:id="377"/>
    </w:p>
    <w:p w:rsidR="00FA6C95" w:rsidRPr="002462E6" w:rsidRDefault="00FA6C95" w:rsidP="00FA6C95">
      <w:pPr>
        <w:pStyle w:val="Paragraphedeliste"/>
        <w:ind w:left="720" w:firstLine="0"/>
      </w:pPr>
    </w:p>
    <w:p w:rsidR="00FA6C95" w:rsidRPr="002462E6" w:rsidRDefault="00FA6C95" w:rsidP="00A42C98">
      <w:pPr>
        <w:spacing w:line="360" w:lineRule="auto"/>
        <w:jc w:val="both"/>
        <w:rPr>
          <w:rFonts w:ascii="Tahoma" w:hAnsi="Tahoma" w:cs="Tahoma"/>
          <w:sz w:val="24"/>
          <w:szCs w:val="24"/>
        </w:rPr>
      </w:pPr>
      <w:r w:rsidRPr="002462E6">
        <w:rPr>
          <w:rFonts w:ascii="Tahoma" w:hAnsi="Tahoma" w:cs="Tahoma"/>
          <w:sz w:val="24"/>
          <w:szCs w:val="24"/>
        </w:rPr>
        <w:t>Le Nouveau Modèle de Développement (NMD), présenté en mai 2021 par la Commission Spéciale sur le Modèle de Développement (CSMD), se présente comme une refondation majeure de la conception du développement au Maroc. L’analyse de ce document peut révéler cependant des tensions fondamentales entre ses ambitions transformatrices et ses présupposés idéologiques. En effet, le NMD reconnaît les limites du modèle antérieur, notamment en termes d'inégalités territoriales et d'exclusion sociale, mais son diagnostic reste</w:t>
      </w:r>
      <w:r w:rsidR="00A42C98" w:rsidRPr="002462E6">
        <w:rPr>
          <w:rFonts w:ascii="Tahoma" w:hAnsi="Tahoma" w:cs="Tahoma"/>
          <w:sz w:val="24"/>
          <w:szCs w:val="24"/>
        </w:rPr>
        <w:t xml:space="preserve"> fondamentalement ancré dans un </w:t>
      </w:r>
      <w:r w:rsidRPr="002462E6">
        <w:rPr>
          <w:rFonts w:ascii="Tahoma" w:hAnsi="Tahoma" w:cs="Tahoma"/>
          <w:sz w:val="24"/>
          <w:szCs w:val="24"/>
        </w:rPr>
        <w:t>paradigme néolibéral qui privilégie la croissance économique, la compétitivité et l'attractivité des territoires comme principaux leviers de développement</w:t>
      </w:r>
      <w:r w:rsidRPr="002462E6">
        <w:rPr>
          <w:rFonts w:ascii="Tahoma" w:hAnsi="Tahoma" w:cs="Tahoma"/>
          <w:sz w:val="24"/>
          <w:szCs w:val="24"/>
          <w:vertAlign w:val="superscript"/>
        </w:rPr>
        <w:footnoteReference w:id="696"/>
      </w:r>
      <w:r w:rsidRPr="002462E6">
        <w:rPr>
          <w:rFonts w:ascii="Tahoma" w:hAnsi="Tahoma" w:cs="Tahoma"/>
          <w:sz w:val="24"/>
          <w:szCs w:val="24"/>
        </w:rPr>
        <w:t xml:space="preserve"> .</w:t>
      </w:r>
    </w:p>
    <w:p w:rsidR="00FA6C95" w:rsidRPr="002462E6" w:rsidRDefault="00FA6C95" w:rsidP="00FA6C95">
      <w:pPr>
        <w:spacing w:line="360" w:lineRule="auto"/>
        <w:jc w:val="both"/>
        <w:rPr>
          <w:rFonts w:ascii="Tahoma" w:hAnsi="Tahoma" w:cs="Tahoma"/>
          <w:sz w:val="24"/>
          <w:szCs w:val="24"/>
        </w:rPr>
      </w:pPr>
      <w:r w:rsidRPr="002462E6">
        <w:rPr>
          <w:rFonts w:ascii="Tahoma" w:hAnsi="Tahoma" w:cs="Tahoma"/>
          <w:sz w:val="24"/>
          <w:szCs w:val="24"/>
        </w:rPr>
        <w:t>Cette orientation se manifeste notamment dans l'emphase mise sur "la libération des énergies" et "l'initiative privée" comme moteurs du développement territorial, reléguant implicitement l'État à un rôle de facilitateur plutôt que de régulateur ou de redistributeur. Une telle approche, si elle peut stimuler le dynamisme économique dans les territoires déjà bien dotés en capital humain et infrastructure, risque d'accentuer les disparités avec les zones rurales marginalisées</w:t>
      </w:r>
      <w:r w:rsidRPr="002462E6">
        <w:rPr>
          <w:rFonts w:ascii="Tahoma" w:hAnsi="Tahoma" w:cs="Tahoma"/>
          <w:sz w:val="24"/>
          <w:szCs w:val="24"/>
          <w:vertAlign w:val="superscript"/>
        </w:rPr>
        <w:footnoteReference w:id="697"/>
      </w:r>
      <w:r w:rsidRPr="002462E6">
        <w:rPr>
          <w:rFonts w:ascii="Tahoma" w:hAnsi="Tahoma" w:cs="Tahoma"/>
          <w:sz w:val="24"/>
          <w:szCs w:val="24"/>
        </w:rPr>
        <w:t>.</w:t>
      </w:r>
    </w:p>
    <w:p w:rsidR="00FA6C95" w:rsidRPr="002462E6" w:rsidRDefault="00FA6C95" w:rsidP="00FA6C95">
      <w:pPr>
        <w:spacing w:line="360" w:lineRule="auto"/>
        <w:jc w:val="both"/>
        <w:rPr>
          <w:rFonts w:ascii="Tahoma" w:hAnsi="Tahoma" w:cs="Tahoma"/>
          <w:sz w:val="24"/>
          <w:szCs w:val="24"/>
        </w:rPr>
      </w:pPr>
      <w:r w:rsidRPr="002462E6">
        <w:rPr>
          <w:rFonts w:ascii="Tahoma" w:hAnsi="Tahoma" w:cs="Tahoma"/>
          <w:sz w:val="24"/>
          <w:szCs w:val="24"/>
        </w:rPr>
        <w:t>Par ailleurs, bien que le NMD affirme placer le citoyen "au centre" des politiques publiques, son élaboration même illustre les limites de cette ambition. La Commission, composée principalement d'experts urbains issus des élites économiques et intellectuelles, a certes organisé des consultations, mais les modalités de celles-ci et surtout l'intégration effective des contributions citoyennes dans le document final demeurent opaques. Cette dissonance entre discours participatif et pratiques technocratiques soulève des questions légitimes sur la représentativité du diagnostic et la pertinence des solutions proposées pour les réalités rurales complexes</w:t>
      </w:r>
      <w:r w:rsidRPr="002462E6">
        <w:rPr>
          <w:rFonts w:ascii="Tahoma" w:hAnsi="Tahoma" w:cs="Tahoma"/>
          <w:sz w:val="24"/>
          <w:szCs w:val="24"/>
          <w:vertAlign w:val="superscript"/>
        </w:rPr>
        <w:footnoteReference w:id="698"/>
      </w:r>
      <w:r w:rsidRPr="002462E6">
        <w:rPr>
          <w:rFonts w:ascii="Tahoma" w:hAnsi="Tahoma" w:cs="Tahoma"/>
          <w:sz w:val="24"/>
          <w:szCs w:val="24"/>
        </w:rPr>
        <w:t>.</w:t>
      </w:r>
    </w:p>
    <w:p w:rsidR="00FA6C95" w:rsidRPr="002462E6" w:rsidRDefault="00FA6C95" w:rsidP="00FA6C95">
      <w:pPr>
        <w:spacing w:line="360" w:lineRule="auto"/>
        <w:jc w:val="both"/>
        <w:rPr>
          <w:rFonts w:ascii="Tahoma" w:hAnsi="Tahoma" w:cs="Tahoma"/>
          <w:sz w:val="24"/>
          <w:szCs w:val="24"/>
        </w:rPr>
      </w:pPr>
      <w:r w:rsidRPr="002462E6">
        <w:rPr>
          <w:rFonts w:ascii="Tahoma" w:hAnsi="Tahoma" w:cs="Tahoma"/>
          <w:sz w:val="24"/>
          <w:szCs w:val="24"/>
        </w:rPr>
        <w:t>En matière territoriale, le NMD introduit plusieurs inflexions conceptuelles significatives, notamment le passage d'une vision hiérarchique et sectorielle du développement à une approche plus territorialisée et intégrée. Il préconise explicitement la "différenciation territoriale" des politiques publiques, reconnaissant la diversité des contextes et des trajectoires de développement possibles. Cette orientation pourrait théoriquement permettre une meilleure prise en compte des spécificités des zones rurales forestières comme celle de Korifla, longtemps soumises à des interventions inadaptées à leurs réalités</w:t>
      </w:r>
      <w:r w:rsidRPr="002462E6">
        <w:rPr>
          <w:rFonts w:ascii="Tahoma" w:hAnsi="Tahoma" w:cs="Tahoma"/>
          <w:sz w:val="24"/>
          <w:szCs w:val="24"/>
          <w:vertAlign w:val="superscript"/>
        </w:rPr>
        <w:footnoteReference w:id="699"/>
      </w:r>
      <w:r w:rsidRPr="002462E6">
        <w:rPr>
          <w:rFonts w:ascii="Tahoma" w:hAnsi="Tahoma" w:cs="Tahoma"/>
          <w:sz w:val="24"/>
          <w:szCs w:val="24"/>
        </w:rPr>
        <w:t>.</w:t>
      </w:r>
    </w:p>
    <w:p w:rsidR="00FA6C95" w:rsidRPr="002462E6" w:rsidRDefault="00FA6C95" w:rsidP="00FA6C95">
      <w:pPr>
        <w:spacing w:line="360" w:lineRule="auto"/>
        <w:jc w:val="both"/>
        <w:rPr>
          <w:rFonts w:ascii="Tahoma" w:hAnsi="Tahoma" w:cs="Tahoma"/>
          <w:sz w:val="24"/>
          <w:szCs w:val="24"/>
        </w:rPr>
      </w:pPr>
      <w:r w:rsidRPr="002462E6">
        <w:rPr>
          <w:rFonts w:ascii="Tahoma" w:hAnsi="Tahoma" w:cs="Tahoma"/>
          <w:sz w:val="24"/>
          <w:szCs w:val="24"/>
        </w:rPr>
        <w:t>Le modèle propose également de renforcer les "centres ruraux émergents" comme interfaces entre espaces ruraux et urbains, et de développer des mécanismes de péréquation territoriale plus efficaces. Ces orientations, si elles étaient pleinement mises en œuvre, pourraient contribuer à réduire les fractures territoriales historiques et à améliorer l'accès aux services essentiels dans les zones rurales isolées. De même, l'accent mis sur la valorisation des ressources territoriales spécifiques ouvre potentiellement la voie à des modèles de développement plus endogènes, moins dépendants des logiques exogènes qui ont historiquement déstructuré les économies rurales</w:t>
      </w:r>
      <w:r w:rsidRPr="002462E6">
        <w:rPr>
          <w:rFonts w:ascii="Tahoma" w:hAnsi="Tahoma" w:cs="Tahoma"/>
          <w:sz w:val="24"/>
          <w:szCs w:val="24"/>
          <w:vertAlign w:val="superscript"/>
        </w:rPr>
        <w:footnoteReference w:id="700"/>
      </w:r>
      <w:r w:rsidRPr="002462E6">
        <w:rPr>
          <w:rFonts w:ascii="Tahoma" w:hAnsi="Tahoma" w:cs="Tahoma"/>
          <w:sz w:val="24"/>
          <w:szCs w:val="24"/>
        </w:rPr>
        <w:t>.</w:t>
      </w:r>
    </w:p>
    <w:p w:rsidR="00FA6C95" w:rsidRPr="002462E6" w:rsidRDefault="00FA6C95" w:rsidP="00FA6C95">
      <w:pPr>
        <w:spacing w:line="360" w:lineRule="auto"/>
        <w:jc w:val="both"/>
        <w:rPr>
          <w:rFonts w:ascii="Tahoma" w:hAnsi="Tahoma" w:cs="Tahoma"/>
          <w:sz w:val="24"/>
          <w:szCs w:val="24"/>
        </w:rPr>
      </w:pPr>
      <w:r w:rsidRPr="002462E6">
        <w:rPr>
          <w:rFonts w:ascii="Tahoma" w:hAnsi="Tahoma" w:cs="Tahoma"/>
          <w:sz w:val="24"/>
          <w:szCs w:val="24"/>
        </w:rPr>
        <w:t>Cependant, ces potentialités se heurtent à plusieurs contradictions internes. D’une part, la tension entre la logique de compétitivité territoriale et l'impératif de cohésion nationale, insuffisamment résolue dans le document. La promotion des "vocations territoriales" et des "avantages comparatifs" risque, sans mécanismes correctifs robustes, d'accentuer les dynamiques cumulatives favorisant les territoires déjà bien dotés. D’autre part, l'ambiguïté concernant la question environnementale, traitée simultanément comme une contrainte à intégrer et une opportunité économique à saisir, sans réelle remise en question du modèle de développement extractiviste qui a contribué à la dégradation des écosystèmes forestiers</w:t>
      </w:r>
      <w:r w:rsidRPr="002462E6">
        <w:rPr>
          <w:rStyle w:val="Appelnotedebasdep"/>
          <w:rFonts w:ascii="Tahoma" w:hAnsi="Tahoma" w:cs="Tahoma"/>
          <w:sz w:val="24"/>
          <w:szCs w:val="24"/>
        </w:rPr>
        <w:footnoteReference w:id="701"/>
      </w:r>
      <w:r w:rsidRPr="002462E6">
        <w:rPr>
          <w:rFonts w:ascii="Tahoma" w:hAnsi="Tahoma" w:cs="Tahoma"/>
          <w:sz w:val="24"/>
          <w:szCs w:val="24"/>
        </w:rPr>
        <w:t>.</w:t>
      </w:r>
    </w:p>
    <w:p w:rsidR="00FA6C95" w:rsidRPr="002462E6" w:rsidRDefault="00FA6C95" w:rsidP="00FA6C95">
      <w:pPr>
        <w:spacing w:line="360" w:lineRule="auto"/>
        <w:jc w:val="both"/>
        <w:rPr>
          <w:rFonts w:ascii="Tahoma" w:hAnsi="Tahoma" w:cs="Tahoma"/>
          <w:sz w:val="24"/>
          <w:szCs w:val="24"/>
        </w:rPr>
      </w:pPr>
      <w:r w:rsidRPr="002462E6">
        <w:rPr>
          <w:rFonts w:ascii="Tahoma" w:hAnsi="Tahoma" w:cs="Tahoma"/>
          <w:sz w:val="24"/>
          <w:szCs w:val="24"/>
        </w:rPr>
        <w:t>L'opérationnalisation du NMD dans les zones rurales forestières comme celle de Korifla peut se heurter à plusieurs défis structurels que le modèle n'aborde que partiellement. Le premier défi concerne l'articulation entre vision stratégique et réalités locales. Si le NMD définit des orientations générales ambitieuses, leur traduction en actions concrètes nécessite une contextualisation fine que les institutions existantes, marquées par une culture administrative centralisée et sectorielle, peinent à réaliser. Le diagnostic territorial participatif, pourtant essentiel à cette contextualisation, reste largement un exercice formel dans de nombreuses zones rurales, insuffisamment intégré aux processus décisionnels</w:t>
      </w:r>
      <w:r w:rsidRPr="002462E6">
        <w:rPr>
          <w:rStyle w:val="Appelnotedebasdep"/>
          <w:rFonts w:ascii="Tahoma" w:hAnsi="Tahoma" w:cs="Tahoma"/>
          <w:sz w:val="24"/>
          <w:szCs w:val="24"/>
        </w:rPr>
        <w:footnoteReference w:id="702"/>
      </w:r>
      <w:r w:rsidRPr="002462E6">
        <w:rPr>
          <w:rFonts w:ascii="Tahoma" w:hAnsi="Tahoma" w:cs="Tahoma"/>
          <w:sz w:val="24"/>
          <w:szCs w:val="24"/>
        </w:rPr>
        <w:t>.</w:t>
      </w:r>
    </w:p>
    <w:p w:rsidR="00FA6C95" w:rsidRPr="002462E6" w:rsidRDefault="00FA6C95" w:rsidP="00FA6C95">
      <w:pPr>
        <w:spacing w:line="360" w:lineRule="auto"/>
        <w:jc w:val="both"/>
        <w:rPr>
          <w:rFonts w:ascii="Tahoma" w:hAnsi="Tahoma" w:cs="Tahoma"/>
          <w:sz w:val="24"/>
          <w:szCs w:val="24"/>
        </w:rPr>
      </w:pPr>
      <w:r w:rsidRPr="002462E6">
        <w:rPr>
          <w:rFonts w:ascii="Tahoma" w:hAnsi="Tahoma" w:cs="Tahoma"/>
          <w:sz w:val="24"/>
          <w:szCs w:val="24"/>
        </w:rPr>
        <w:t>Le deuxième défi porte sur la mobilisation et la coordination des acteurs. La mise en œuvre du NMD dans les territoires ruraux forestiers implique une multiplicité d'intervenants aux logiques et intérêts divergents. Le modèle, tout en reconnaissant cette complexité, ne propose pas de mécanismes concrets pour dépasser les cloisonnements institutionnels historiques, particulièrement problématiques dans des contextes comme celui de Korifla où les questions forestières, agricoles, hydriques et foncières sont intrinsèquement liées mais administrativement séparées</w:t>
      </w:r>
      <w:r w:rsidRPr="002462E6">
        <w:rPr>
          <w:rStyle w:val="Appelnotedebasdep"/>
          <w:rFonts w:ascii="Tahoma" w:hAnsi="Tahoma" w:cs="Tahoma"/>
          <w:sz w:val="24"/>
          <w:szCs w:val="24"/>
        </w:rPr>
        <w:footnoteReference w:id="703"/>
      </w:r>
      <w:r w:rsidRPr="002462E6">
        <w:rPr>
          <w:rFonts w:ascii="Tahoma" w:hAnsi="Tahoma" w:cs="Tahoma"/>
          <w:sz w:val="24"/>
          <w:szCs w:val="24"/>
        </w:rPr>
        <w:t>.</w:t>
      </w:r>
    </w:p>
    <w:p w:rsidR="00FA6C95" w:rsidRPr="002462E6" w:rsidRDefault="00FA6C95" w:rsidP="00FA6C95">
      <w:pPr>
        <w:spacing w:line="360" w:lineRule="auto"/>
        <w:jc w:val="both"/>
        <w:rPr>
          <w:rFonts w:ascii="Tahoma" w:hAnsi="Tahoma" w:cs="Tahoma"/>
        </w:rPr>
      </w:pPr>
      <w:r w:rsidRPr="002462E6">
        <w:rPr>
          <w:rFonts w:ascii="Tahoma" w:hAnsi="Tahoma" w:cs="Tahoma"/>
          <w:sz w:val="24"/>
          <w:szCs w:val="24"/>
        </w:rPr>
        <w:t>Le troisième défi concerne le financement des actions de développement territorial rural. Le NMD propose certes des mécanismes innovants comme le Fonds d'appui aux initiatives territoriales ou les contrats-programmes État-Régions, mais reste ambigu sur leur dimensionnement financier et leurs modalités d'accès. Cette ambiguïté est particulièrement problématique pour les zones rurales, caractérisées par une faible capacité d'ingénierie de projet et une attractivité limitée pour les investissements privés que le modèle place pourtant au cœur de sa stratégie de financement</w:t>
      </w:r>
      <w:r w:rsidRPr="002462E6">
        <w:rPr>
          <w:rStyle w:val="Appelnotedebasdep"/>
          <w:rFonts w:ascii="Tahoma" w:hAnsi="Tahoma" w:cs="Tahoma"/>
          <w:sz w:val="24"/>
          <w:szCs w:val="24"/>
        </w:rPr>
        <w:footnoteReference w:id="704"/>
      </w:r>
      <w:r w:rsidRPr="002462E6">
        <w:rPr>
          <w:rFonts w:ascii="Tahoma" w:hAnsi="Tahoma" w:cs="Tahoma"/>
          <w:sz w:val="24"/>
          <w:szCs w:val="24"/>
        </w:rPr>
        <w:t>.</w:t>
      </w:r>
    </w:p>
    <w:p w:rsidR="00FA6C95" w:rsidRPr="002462E6" w:rsidRDefault="00FA6C95" w:rsidP="00FA6C95">
      <w:pPr>
        <w:spacing w:line="360" w:lineRule="auto"/>
        <w:jc w:val="both"/>
        <w:rPr>
          <w:rFonts w:ascii="Tahoma" w:hAnsi="Tahoma" w:cs="Tahoma"/>
          <w:sz w:val="24"/>
          <w:szCs w:val="24"/>
        </w:rPr>
      </w:pPr>
      <w:r w:rsidRPr="002462E6">
        <w:rPr>
          <w:rFonts w:ascii="Tahoma" w:hAnsi="Tahoma" w:cs="Tahoma"/>
          <w:sz w:val="24"/>
          <w:szCs w:val="24"/>
        </w:rPr>
        <w:t>Enfin, le quatrième défi, peut-être le plus fondamental, concerne l'évolution des modes de gouvernance territoriale. Le NMD préconise une transformation profonde des rapports entre administration et citoyens, mais ne questionne pas suffisamment les relations de pouvoir asymétriques qui structurent historiquement ces rapports, particulièrement dans les zones rurales. L'expérience des réformes antérieures montre que, sans remise en question explicite de ces asymétries, les dispositifs participatifs tendent à reproduire, voire à légitimer, les rapports de domination existants plutôt qu'à les transformer</w:t>
      </w:r>
      <w:r w:rsidRPr="002462E6">
        <w:rPr>
          <w:rStyle w:val="Appelnotedebasdep"/>
          <w:rFonts w:ascii="Tahoma" w:hAnsi="Tahoma" w:cs="Tahoma"/>
          <w:sz w:val="24"/>
          <w:szCs w:val="24"/>
        </w:rPr>
        <w:footnoteReference w:id="705"/>
      </w:r>
      <w:r w:rsidRPr="002462E6">
        <w:rPr>
          <w:rFonts w:ascii="Tahoma" w:hAnsi="Tahoma" w:cs="Tahoma"/>
          <w:sz w:val="24"/>
          <w:szCs w:val="24"/>
        </w:rPr>
        <w:t>.</w:t>
      </w:r>
    </w:p>
    <w:p w:rsidR="00FA6C95" w:rsidRPr="002462E6" w:rsidRDefault="00FA6C95" w:rsidP="00FA6C95">
      <w:pPr>
        <w:spacing w:line="360" w:lineRule="auto"/>
        <w:jc w:val="both"/>
        <w:rPr>
          <w:rFonts w:ascii="Tahoma" w:hAnsi="Tahoma" w:cs="Tahoma"/>
          <w:sz w:val="24"/>
          <w:szCs w:val="24"/>
        </w:rPr>
      </w:pPr>
      <w:r w:rsidRPr="002462E6">
        <w:rPr>
          <w:rFonts w:ascii="Tahoma" w:hAnsi="Tahoma" w:cs="Tahoma"/>
          <w:sz w:val="24"/>
          <w:szCs w:val="24"/>
        </w:rPr>
        <w:t>Vu les différentes limites des approches dominantes, y compris celles du NMD, il apparaît nécessaire de repenser radicalement les fondements du développement territorial rural au Maroc. Cette refondation implique d'abord de reconnaître explicitement les rapports de pouvoir qui structurent les territoires et déterminent l'accès aux ressources. Comme le souligne Raffestin, "le territoire est un produit du pouvoir", et toute transformation territoriale implique nécessairement une reconfiguration des relations de pouvoir entre acteurs</w:t>
      </w:r>
      <w:r w:rsidRPr="002462E6">
        <w:rPr>
          <w:rStyle w:val="Appelnotedebasdep"/>
          <w:rFonts w:ascii="Tahoma" w:hAnsi="Tahoma" w:cs="Tahoma"/>
          <w:sz w:val="24"/>
          <w:szCs w:val="24"/>
        </w:rPr>
        <w:footnoteReference w:id="706"/>
      </w:r>
      <w:r w:rsidRPr="002462E6">
        <w:rPr>
          <w:rFonts w:ascii="Tahoma" w:hAnsi="Tahoma" w:cs="Tahoma"/>
          <w:sz w:val="24"/>
          <w:szCs w:val="24"/>
        </w:rPr>
        <w:t>.</w:t>
      </w:r>
    </w:p>
    <w:p w:rsidR="00FA6C95" w:rsidRPr="002462E6" w:rsidRDefault="00FA6C95" w:rsidP="00FA6C95">
      <w:pPr>
        <w:spacing w:line="360" w:lineRule="auto"/>
        <w:jc w:val="both"/>
        <w:rPr>
          <w:rFonts w:ascii="Tahoma" w:hAnsi="Tahoma" w:cs="Tahoma"/>
          <w:sz w:val="24"/>
          <w:szCs w:val="24"/>
        </w:rPr>
      </w:pPr>
      <w:r w:rsidRPr="002462E6">
        <w:rPr>
          <w:rFonts w:ascii="Tahoma" w:hAnsi="Tahoma" w:cs="Tahoma"/>
          <w:sz w:val="24"/>
          <w:szCs w:val="24"/>
        </w:rPr>
        <w:t>Dans le contexte spécifique des zones forestières comme celui de Korifla, cette perspective critique nécessite de questionner la légitimité même du cadre juridique et institutionnel hérité de la période coloniale, qui continue de régir les rapports entre l'État et les communautés locales. La domanialisation forestière, présentée comme un impératif conservationniste, a historiquement servi d'instrument de contrôle territorial et d'extraction de ressources au détriment des populations rurales. Une véritable transformation territoriale exigerait donc une révision profonde de ce cadre, reconnaissant explicitement les droits historiques et les capacités de gestion des communautés locales</w:t>
      </w:r>
      <w:r w:rsidRPr="002462E6">
        <w:rPr>
          <w:rStyle w:val="Appelnotedebasdep"/>
          <w:rFonts w:ascii="Tahoma" w:hAnsi="Tahoma" w:cs="Tahoma"/>
          <w:sz w:val="24"/>
          <w:szCs w:val="24"/>
        </w:rPr>
        <w:footnoteReference w:id="707"/>
      </w:r>
      <w:r w:rsidRPr="002462E6">
        <w:rPr>
          <w:rFonts w:ascii="Tahoma" w:hAnsi="Tahoma" w:cs="Tahoma"/>
          <w:sz w:val="24"/>
          <w:szCs w:val="24"/>
        </w:rPr>
        <w:t>.</w:t>
      </w:r>
    </w:p>
    <w:p w:rsidR="00A21E0A" w:rsidRPr="002462E6" w:rsidRDefault="00FA6C95" w:rsidP="00605E9F">
      <w:pPr>
        <w:spacing w:line="360" w:lineRule="auto"/>
        <w:jc w:val="both"/>
        <w:rPr>
          <w:rFonts w:ascii="Tahoma" w:hAnsi="Tahoma" w:cs="Tahoma"/>
          <w:sz w:val="24"/>
          <w:szCs w:val="24"/>
        </w:rPr>
      </w:pPr>
      <w:r w:rsidRPr="002462E6">
        <w:rPr>
          <w:rFonts w:ascii="Tahoma" w:hAnsi="Tahoma" w:cs="Tahoma"/>
          <w:sz w:val="24"/>
          <w:szCs w:val="24"/>
        </w:rPr>
        <w:t>Par ailleurs, le développement territorial rural doit être reconceptualisé non plus comme un processus linéaire de "modernisation" imposée de l'extérieur, mais comme une dynamique endogène fondée sur la valorisation des ressources spécifiques des territoires. Ces ressources ne se limitent pas aux capitaux naturels ou économiques, mais englobent également les savoirs locaux, les réseaux sociaux, les pratiques culturelles et les institutions informelles qui constituent le "capital territorial" distinct de chaque espace rural. Cette approche implique de dépasser les dichotomies réductrices entre tradition et modernité, conservation et développement, qui ont longtemps paralysé la pensée sur le développement rural forestier</w:t>
      </w:r>
      <w:r w:rsidRPr="002462E6">
        <w:rPr>
          <w:rStyle w:val="Appelnotedebasdep"/>
          <w:rFonts w:ascii="Tahoma" w:hAnsi="Tahoma" w:cs="Tahoma"/>
          <w:sz w:val="24"/>
          <w:szCs w:val="24"/>
        </w:rPr>
        <w:footnoteReference w:id="708"/>
      </w:r>
      <w:r w:rsidRPr="002462E6">
        <w:rPr>
          <w:rFonts w:ascii="Tahoma" w:hAnsi="Tahoma" w:cs="Tahoma"/>
          <w:sz w:val="24"/>
          <w:szCs w:val="24"/>
        </w:rPr>
        <w:t>. Dans ce contexte, il apparaît pertinent d'interroger les paradigmes contemporains de gouvernance territoriale appliqués au terrain de la présente recherche.</w:t>
      </w:r>
    </w:p>
    <w:p w:rsidR="00FA6C95" w:rsidRPr="002462E6" w:rsidRDefault="00FA6C95" w:rsidP="00FA6C95">
      <w:pPr>
        <w:spacing w:line="360" w:lineRule="auto"/>
        <w:jc w:val="both"/>
        <w:rPr>
          <w:rFonts w:ascii="Tahoma" w:hAnsi="Tahoma" w:cs="Tahoma"/>
          <w:sz w:val="24"/>
          <w:szCs w:val="24"/>
        </w:rPr>
      </w:pPr>
      <w:r w:rsidRPr="002462E6">
        <w:rPr>
          <w:rFonts w:ascii="Tahoma" w:hAnsi="Tahoma" w:cs="Tahoma"/>
          <w:sz w:val="24"/>
          <w:szCs w:val="24"/>
        </w:rPr>
        <w:t>Au terme de cette première section, il apparaît que le territoire constitue un concept éminemment polysémique dont l'analyse requiert une approche transdisciplinaire. Les perspectives géographiques, éthologiques, anthropologiques, juridiques et urbanistiques révèlent la complexité intrinsèque de cette notion, à la fois matérielle et idéelle, support et produit des interactions sociales. Cette richesse conceptuelle trouve une résonance particulière dans le contexte marocain, où les politiques d'aménagement territorial ont connu une évolution depuis l'indépendance.</w:t>
      </w:r>
    </w:p>
    <w:p w:rsidR="00FA6C95" w:rsidRPr="002462E6" w:rsidRDefault="00FA6C95" w:rsidP="00FA6C95">
      <w:pPr>
        <w:spacing w:line="360" w:lineRule="auto"/>
        <w:jc w:val="both"/>
        <w:rPr>
          <w:rFonts w:ascii="Tahoma" w:hAnsi="Tahoma" w:cs="Tahoma"/>
          <w:sz w:val="24"/>
          <w:szCs w:val="24"/>
        </w:rPr>
      </w:pPr>
      <w:r w:rsidRPr="002462E6">
        <w:rPr>
          <w:rFonts w:ascii="Tahoma" w:hAnsi="Tahoma" w:cs="Tahoma"/>
          <w:sz w:val="24"/>
          <w:szCs w:val="24"/>
        </w:rPr>
        <w:t>La trajectoire des interventions publiques témoigne d'une transition progressive d'une vision centralisée et sectorielle vers une approche plus territorialisée et participative, bien que cette évolution demeure inachevée et traversée de tensions. Le passage conceptuel de l'aménagement au développement territorial marque un tournant paradigmatique important, particulièrement pour les espaces ruraux longtemps considérés comme périphériques. Cette inflexion se matérialise aujourd'hui dans le Nouveau Modèle de Développement qui, malgré ses ruptures conceptuelles, reste confronté à d'importantes continuités structurelles.</w:t>
      </w:r>
    </w:p>
    <w:p w:rsidR="00FA6C95" w:rsidRPr="002462E6" w:rsidRDefault="00FA6C95" w:rsidP="00FA6C95">
      <w:pPr>
        <w:spacing w:line="360" w:lineRule="auto"/>
        <w:jc w:val="both"/>
        <w:rPr>
          <w:rFonts w:ascii="Tahoma" w:hAnsi="Tahoma" w:cs="Tahoma"/>
          <w:sz w:val="24"/>
          <w:szCs w:val="24"/>
        </w:rPr>
      </w:pPr>
      <w:r w:rsidRPr="002462E6">
        <w:rPr>
          <w:rFonts w:ascii="Tahoma" w:hAnsi="Tahoma" w:cs="Tahoma"/>
          <w:sz w:val="24"/>
          <w:szCs w:val="24"/>
        </w:rPr>
        <w:t>L'analyse développée dans cette section constitue ainsi un préalable nécessaire pour appréhender les reconfigurations contemporaines des rapports entre territoire, développement et gouvernance dans le Maroc rural, et pour saisir les enjeux de la mise en œuvre du NMD dans des contextes territoriaux diversifiés.</w:t>
      </w:r>
    </w:p>
    <w:p w:rsidR="00A21E0A" w:rsidRPr="002462E6" w:rsidRDefault="00FA6C95" w:rsidP="00933097">
      <w:pPr>
        <w:spacing w:line="360" w:lineRule="auto"/>
        <w:jc w:val="both"/>
        <w:rPr>
          <w:rFonts w:ascii="Tahoma" w:hAnsi="Tahoma" w:cs="Tahoma"/>
          <w:sz w:val="24"/>
          <w:szCs w:val="24"/>
        </w:rPr>
      </w:pPr>
      <w:r w:rsidRPr="002462E6">
        <w:rPr>
          <w:rFonts w:ascii="Tahoma" w:hAnsi="Tahoma" w:cs="Tahoma"/>
          <w:sz w:val="24"/>
          <w:szCs w:val="24"/>
        </w:rPr>
        <w:t xml:space="preserve">Quant à la section suivante propose d'examiner le territoire forestier de Korifla comme laboratoire d'analyse des paradigmes de gestion territoriale. Ce territoire, à la fois espace naturel à préserver et support de multiples usages sociaux, constitue un cas emblématique des tensions entre différentes logiques d'appropriation et de gestion. </w:t>
      </w:r>
      <w:bookmarkStart w:id="378" w:name="_Toc201570861"/>
      <w:bookmarkStart w:id="379" w:name="_Toc201570913"/>
      <w:bookmarkStart w:id="380" w:name="_Toc201655521"/>
    </w:p>
    <w:p w:rsidR="00933097" w:rsidRPr="002462E6" w:rsidRDefault="00933097" w:rsidP="00933097">
      <w:pPr>
        <w:spacing w:line="360" w:lineRule="auto"/>
        <w:jc w:val="both"/>
        <w:rPr>
          <w:rFonts w:ascii="Tahoma" w:hAnsi="Tahoma" w:cs="Tahoma"/>
          <w:sz w:val="24"/>
          <w:szCs w:val="24"/>
        </w:rPr>
      </w:pPr>
    </w:p>
    <w:p w:rsidR="00FA6C95" w:rsidRPr="002462E6" w:rsidRDefault="003D00A3" w:rsidP="007A71CC">
      <w:pPr>
        <w:pStyle w:val="Titre3"/>
      </w:pPr>
      <w:bookmarkStart w:id="381" w:name="_Toc203643093"/>
      <w:r w:rsidRPr="002462E6">
        <w:t xml:space="preserve">Deuxième </w:t>
      </w:r>
      <w:r w:rsidR="004E107B" w:rsidRPr="002462E6">
        <w:t xml:space="preserve">Section : </w:t>
      </w:r>
      <w:r w:rsidR="00FA6C95" w:rsidRPr="002462E6">
        <w:t>Le territoire forestier de Korifla : analyse des paradigmes de gestion territoriale</w:t>
      </w:r>
      <w:bookmarkEnd w:id="378"/>
      <w:bookmarkEnd w:id="379"/>
      <w:bookmarkEnd w:id="380"/>
      <w:bookmarkEnd w:id="381"/>
      <w:r w:rsidR="00FA6C95" w:rsidRPr="002462E6">
        <w:t xml:space="preserve"> </w:t>
      </w:r>
    </w:p>
    <w:p w:rsidR="004E107B" w:rsidRPr="002462E6" w:rsidRDefault="004E107B" w:rsidP="007A71CC">
      <w:pPr>
        <w:pStyle w:val="Titre3"/>
      </w:pPr>
    </w:p>
    <w:p w:rsidR="00FA6C95" w:rsidRPr="002462E6" w:rsidRDefault="00FA6C95" w:rsidP="00FA6C95">
      <w:pPr>
        <w:spacing w:line="360" w:lineRule="auto"/>
        <w:jc w:val="both"/>
        <w:rPr>
          <w:rFonts w:ascii="Tahoma" w:hAnsi="Tahoma" w:cs="Tahoma"/>
          <w:sz w:val="24"/>
          <w:szCs w:val="24"/>
        </w:rPr>
      </w:pPr>
      <w:r w:rsidRPr="002462E6">
        <w:rPr>
          <w:rFonts w:ascii="Tahoma" w:hAnsi="Tahoma" w:cs="Tahoma"/>
          <w:sz w:val="24"/>
          <w:szCs w:val="24"/>
        </w:rPr>
        <w:t>Comme il a été précédemment souligné, la gestion des espaces forestiers au Maroc s’inscrit dans une trajectoire historique marquée par l’imbrication de rapports de pouvoir institutionnels complexes, souvent hérités du contexte colonial et réactivés dans les politiques postcoloniales de gestion territoriale</w:t>
      </w:r>
      <w:r w:rsidRPr="002462E6">
        <w:rPr>
          <w:rFonts w:ascii="Tahoma" w:hAnsi="Tahoma" w:cs="Tahoma"/>
          <w:sz w:val="24"/>
          <w:szCs w:val="24"/>
          <w:vertAlign w:val="superscript"/>
        </w:rPr>
        <w:footnoteReference w:id="709"/>
      </w:r>
      <w:r w:rsidRPr="002462E6">
        <w:rPr>
          <w:rFonts w:ascii="Tahoma" w:hAnsi="Tahoma" w:cs="Tahoma"/>
          <w:sz w:val="24"/>
          <w:szCs w:val="24"/>
        </w:rPr>
        <w:t>.</w:t>
      </w:r>
    </w:p>
    <w:p w:rsidR="00FA6C95" w:rsidRPr="002462E6" w:rsidRDefault="00FA6C95" w:rsidP="00FA6C95">
      <w:pPr>
        <w:spacing w:line="360" w:lineRule="auto"/>
        <w:jc w:val="both"/>
        <w:rPr>
          <w:rFonts w:ascii="Tahoma" w:hAnsi="Tahoma" w:cs="Tahoma"/>
          <w:sz w:val="24"/>
          <w:szCs w:val="24"/>
        </w:rPr>
      </w:pPr>
      <w:r w:rsidRPr="002462E6">
        <w:rPr>
          <w:rFonts w:ascii="Tahoma" w:hAnsi="Tahoma" w:cs="Tahoma"/>
          <w:sz w:val="24"/>
          <w:szCs w:val="24"/>
        </w:rPr>
        <w:t>Elle met en lumière les tensions structurelles entre les dispositifs de gouvernance centralisée, fondés sur des logiques étatiques de rationalisation et de contrôle technocratique des ressources, et les pratiques territoriales autochtones, portées par des régimes de savoirs locaux, des droits coutumiers et des rationalités socio-économiques enracinées dans les cultures rurales</w:t>
      </w:r>
      <w:r w:rsidRPr="002462E6">
        <w:rPr>
          <w:rFonts w:ascii="Tahoma" w:hAnsi="Tahoma" w:cs="Tahoma"/>
          <w:sz w:val="24"/>
          <w:szCs w:val="24"/>
          <w:vertAlign w:val="superscript"/>
        </w:rPr>
        <w:footnoteReference w:id="710"/>
      </w:r>
      <w:r w:rsidRPr="002462E6">
        <w:rPr>
          <w:rFonts w:ascii="Tahoma" w:hAnsi="Tahoma" w:cs="Tahoma"/>
          <w:sz w:val="24"/>
          <w:szCs w:val="24"/>
        </w:rPr>
        <w:t>. Cette configuration conflictuelle révèle une dialectique entre normativités étatiques et modes d’appropriation endogènes du territoire, soulignant ainsi les enjeux politiques, sociaux et symboliques qui sous-tendent la gestion des ressources naturelles dans les périphéries rurales.</w:t>
      </w:r>
    </w:p>
    <w:p w:rsidR="00FA6C95" w:rsidRPr="002462E6" w:rsidRDefault="00FA6C95" w:rsidP="00FA6C95">
      <w:pPr>
        <w:spacing w:line="360" w:lineRule="auto"/>
        <w:jc w:val="both"/>
        <w:rPr>
          <w:rFonts w:ascii="Tahoma" w:hAnsi="Tahoma" w:cs="Tahoma"/>
          <w:sz w:val="24"/>
          <w:szCs w:val="24"/>
        </w:rPr>
      </w:pPr>
      <w:r w:rsidRPr="002462E6">
        <w:rPr>
          <w:rFonts w:ascii="Tahoma" w:hAnsi="Tahoma" w:cs="Tahoma"/>
          <w:sz w:val="24"/>
          <w:szCs w:val="24"/>
        </w:rPr>
        <w:t>Cette dialectique marquée souvent par des tensions, met en lumière les contradictions structurelles propres aux politiques publiques de conservation et de développement mises en œuvre dans les territoires forestiers du Maroc. La forêt de Korifla, située à l'interface de plusieurs entités administratives dans la région de Rabat-Salé-Kénitra, représente un exemple paradigmatique pour interroger les modalités de gestion territoriale ainsi que l'efficacité des dispositifs de gestion des ressources forestières.</w:t>
      </w:r>
    </w:p>
    <w:p w:rsidR="004E107B" w:rsidRPr="005979B4" w:rsidRDefault="00FA6C95" w:rsidP="005979B4">
      <w:pPr>
        <w:spacing w:line="360" w:lineRule="auto"/>
        <w:jc w:val="both"/>
        <w:rPr>
          <w:rFonts w:ascii="Tahoma" w:hAnsi="Tahoma" w:cs="Tahoma"/>
          <w:sz w:val="24"/>
          <w:szCs w:val="24"/>
        </w:rPr>
      </w:pPr>
      <w:r w:rsidRPr="002462E6">
        <w:rPr>
          <w:rFonts w:ascii="Tahoma" w:hAnsi="Tahoma" w:cs="Tahoma"/>
          <w:sz w:val="24"/>
          <w:szCs w:val="24"/>
        </w:rPr>
        <w:t>Cette deuxième section propose d’analyser les cadres conceptuels et opérationnels qui structurent l'action territoriale dans cet espace forestier. Il s'agit d'examiner la pertinence et les limites des approches dominantes, de questionner les mécanismes de coordination entre acteurs institutionnels, et d'évaluer les possibilités d'émergence de modèles alternatifs d</w:t>
      </w:r>
      <w:r w:rsidR="005979B4">
        <w:rPr>
          <w:rFonts w:ascii="Tahoma" w:hAnsi="Tahoma" w:cs="Tahoma"/>
          <w:sz w:val="24"/>
          <w:szCs w:val="24"/>
        </w:rPr>
        <w:t xml:space="preserve">e gestion forestière efficace. </w:t>
      </w:r>
    </w:p>
    <w:p w:rsidR="00FA6C95" w:rsidRPr="002462E6" w:rsidRDefault="00B52FB6" w:rsidP="00D051D7">
      <w:pPr>
        <w:pStyle w:val="Titre4"/>
        <w:numPr>
          <w:ilvl w:val="0"/>
          <w:numId w:val="67"/>
        </w:numPr>
      </w:pPr>
      <w:bookmarkStart w:id="382" w:name="_Toc201570914"/>
      <w:bookmarkStart w:id="383" w:name="_Toc201655522"/>
      <w:r w:rsidRPr="002462E6">
        <w:t xml:space="preserve"> </w:t>
      </w:r>
      <w:bookmarkStart w:id="384" w:name="_Toc203643094"/>
      <w:r w:rsidR="00FA6C95" w:rsidRPr="002462E6">
        <w:t>Analyse critique des paradigmes de gestion territoriale des forêts au Maroc</w:t>
      </w:r>
      <w:bookmarkEnd w:id="382"/>
      <w:bookmarkEnd w:id="383"/>
      <w:bookmarkEnd w:id="384"/>
    </w:p>
    <w:p w:rsidR="00FA6C95" w:rsidRPr="002462E6" w:rsidRDefault="00FA6C95" w:rsidP="00FA6C95">
      <w:pPr>
        <w:spacing w:before="100" w:beforeAutospacing="1" w:after="100" w:afterAutospacing="1" w:line="360" w:lineRule="auto"/>
        <w:jc w:val="both"/>
        <w:rPr>
          <w:rFonts w:ascii="Tahoma" w:hAnsi="Tahoma" w:cs="Tahoma"/>
          <w:sz w:val="24"/>
          <w:szCs w:val="24"/>
        </w:rPr>
      </w:pPr>
      <w:r w:rsidRPr="002462E6">
        <w:rPr>
          <w:rFonts w:ascii="Tahoma" w:hAnsi="Tahoma" w:cs="Tahoma"/>
          <w:sz w:val="24"/>
          <w:szCs w:val="24"/>
        </w:rPr>
        <w:t>L’analyse des paradigmes contemporains de la gestion territoriale met en évidence les tensions épistémologiques et politiques inhérentes aux instruments conceptuels qui les fondent. En effet, le "projet de territoire", fréquemment présenté comme un vecteur d’inclusion sociale et territoriale, apparaît en réalité traversé par des logiques de pouvoir qui en limitent la portée démocratique. Loin de constituer un outil neutre, il tend à reproduire, voire à renforcer, les asymétries socio-spatiales préexistantes, interrogeant ainsi sa légitimité au regard des principes d’équité et de participation.</w:t>
      </w:r>
    </w:p>
    <w:p w:rsidR="00FA6C95" w:rsidRPr="002462E6" w:rsidRDefault="00FA6C95" w:rsidP="00FA6C95">
      <w:pPr>
        <w:spacing w:line="360" w:lineRule="auto"/>
        <w:jc w:val="both"/>
        <w:rPr>
          <w:rFonts w:ascii="Tahoma" w:hAnsi="Tahoma" w:cs="Tahoma"/>
          <w:sz w:val="24"/>
          <w:szCs w:val="24"/>
        </w:rPr>
      </w:pPr>
      <w:r w:rsidRPr="002462E6">
        <w:rPr>
          <w:rFonts w:ascii="Tahoma" w:hAnsi="Tahoma" w:cs="Tahoma"/>
          <w:sz w:val="24"/>
          <w:szCs w:val="24"/>
        </w:rPr>
        <w:t>Par ailleurs, le concept de "territoire de projet", bien qu’inscrit dans une logique de rationalisation instrumentale orientée vers l’efficience administrative et la gouvernance par objectifs, fait l’objet de critiques émanant des approches postcoloniales. Celles-ci en questionnent la légitimité et la pertinence dans des contextes historiquement périphérisés, où les dynamiques d’exclusion et les asymétries structurelles demeurent prégnantes. Dans cette perspective, le paradigme émergent de la "réconciliation territoriale" mérite une analyse municieuse afin d’évaluer s’il constitue une rupture paradigmatique porteuse d’innovation conceptuelle, ou s’il se limite à une reformulation discursive de dispositifs antérieurs, sans réels effets transformateurs sur les rapports centre/périphérie.</w:t>
      </w:r>
    </w:p>
    <w:p w:rsidR="00FA6C95" w:rsidRPr="002462E6" w:rsidRDefault="00FA6C95" w:rsidP="00D051D7">
      <w:pPr>
        <w:pStyle w:val="Titre5"/>
        <w:numPr>
          <w:ilvl w:val="0"/>
          <w:numId w:val="93"/>
        </w:numPr>
      </w:pPr>
      <w:bookmarkStart w:id="385" w:name="_Toc201655523"/>
      <w:bookmarkStart w:id="386" w:name="_Toc203643095"/>
      <w:r w:rsidRPr="002462E6">
        <w:t>Le projet de développement au Maroc : idéal partic</w:t>
      </w:r>
      <w:r w:rsidR="00A65003" w:rsidRPr="002462E6">
        <w:t>ipatif ou illusion démocratique</w:t>
      </w:r>
      <w:r w:rsidRPr="002462E6">
        <w:t>?</w:t>
      </w:r>
      <w:bookmarkEnd w:id="385"/>
      <w:bookmarkEnd w:id="386"/>
      <w:r w:rsidRPr="002462E6">
        <w:t xml:space="preserve"> </w:t>
      </w:r>
    </w:p>
    <w:p w:rsidR="00FA6C95" w:rsidRPr="002462E6" w:rsidRDefault="00FA6C95" w:rsidP="00FA6C95">
      <w:pPr>
        <w:spacing w:line="360" w:lineRule="auto"/>
        <w:jc w:val="both"/>
      </w:pPr>
      <w:r w:rsidRPr="002462E6">
        <w:rPr>
          <w:rFonts w:ascii="Tahoma" w:hAnsi="Tahoma" w:cs="Tahoma"/>
          <w:sz w:val="24"/>
          <w:szCs w:val="24"/>
        </w:rPr>
        <w:t>Le concept de projet de territoire, largement mobilisé dans la littérature relative au développement local et l'aménagement, mérite d'être soumis à une analyse rigoureuse. Cette notion, qui renvoie à une démarche collective de définition et de mise en œuvre d'une vision partagée du développement territorial, repose sur plusieurs postulats qui doivent être interrogés à la lumière des réalités observées dans le terrain de la recherche.</w:t>
      </w:r>
      <w:r w:rsidRPr="002462E6">
        <w:t xml:space="preserve"> </w:t>
      </w:r>
    </w:p>
    <w:p w:rsidR="00FA6C95" w:rsidRPr="002462E6" w:rsidRDefault="00FA6C95" w:rsidP="00FA6C95">
      <w:pPr>
        <w:spacing w:line="360" w:lineRule="auto"/>
        <w:jc w:val="both"/>
        <w:rPr>
          <w:rFonts w:ascii="Tahoma" w:hAnsi="Tahoma" w:cs="Tahoma"/>
          <w:sz w:val="24"/>
          <w:szCs w:val="24"/>
        </w:rPr>
      </w:pPr>
      <w:r w:rsidRPr="002462E6">
        <w:rPr>
          <w:rFonts w:ascii="Tahoma" w:hAnsi="Tahoma" w:cs="Tahoma"/>
          <w:sz w:val="24"/>
          <w:szCs w:val="24"/>
        </w:rPr>
        <w:t>Le concept de « projet de territoire », largement mobilisé dans les champs du développement local et de l’aménagement du territoire</w:t>
      </w:r>
      <w:r w:rsidRPr="002462E6">
        <w:rPr>
          <w:rFonts w:ascii="Tahoma" w:hAnsi="Tahoma" w:cs="Tahoma"/>
          <w:sz w:val="24"/>
          <w:szCs w:val="24"/>
          <w:vertAlign w:val="superscript"/>
        </w:rPr>
        <w:footnoteReference w:id="711"/>
      </w:r>
      <w:r w:rsidRPr="002462E6">
        <w:rPr>
          <w:rFonts w:ascii="Tahoma" w:hAnsi="Tahoma" w:cs="Tahoma"/>
          <w:sz w:val="24"/>
          <w:szCs w:val="24"/>
        </w:rPr>
        <w:t xml:space="preserve">, mérite d’être soumis à une analyse approfondie. </w:t>
      </w:r>
    </w:p>
    <w:p w:rsidR="00FA6C95" w:rsidRPr="002462E6" w:rsidRDefault="00FA6C95" w:rsidP="00FA6C95">
      <w:pPr>
        <w:spacing w:line="360" w:lineRule="auto"/>
        <w:jc w:val="both"/>
        <w:rPr>
          <w:rFonts w:ascii="Tahoma" w:hAnsi="Tahoma" w:cs="Tahoma"/>
          <w:sz w:val="24"/>
          <w:szCs w:val="24"/>
        </w:rPr>
      </w:pPr>
      <w:r w:rsidRPr="002462E6">
        <w:rPr>
          <w:rFonts w:ascii="Tahoma" w:hAnsi="Tahoma" w:cs="Tahoma"/>
          <w:sz w:val="24"/>
          <w:szCs w:val="24"/>
        </w:rPr>
        <w:t>Défini comme une démarche participative et concertée visant à construire une vision partagée du développement territorial et à la mettre en œuvre de manière opérationnelle</w:t>
      </w:r>
      <w:r w:rsidRPr="002462E6">
        <w:rPr>
          <w:rFonts w:ascii="Tahoma" w:hAnsi="Tahoma" w:cs="Tahoma"/>
          <w:sz w:val="24"/>
          <w:szCs w:val="24"/>
          <w:vertAlign w:val="superscript"/>
        </w:rPr>
        <w:footnoteReference w:id="712"/>
      </w:r>
      <w:r w:rsidRPr="002462E6">
        <w:rPr>
          <w:rFonts w:ascii="Tahoma" w:hAnsi="Tahoma" w:cs="Tahoma"/>
          <w:sz w:val="24"/>
          <w:szCs w:val="24"/>
        </w:rPr>
        <w:t>. Ce concept s’inscrit dans une logique ascendante de gouvernance territoriale. Toutefois, il repose sur un ensemble de postulats normatifs - tels que la capacité des acteurs locaux à coopérer efficacement, la pertinence d’un cadre territorial délimité, ou encore la possibilité d’une convergence d’intérêts - qui doivent être rigoureusement interrogés à la lumière des dynamiques empiriques observées sur le terrain d’enquête. Une telle analyse permet notamment de mieux appréhender les tensions entre logiques institutionnelles et pratiques sociales dans les processus de construction territoriale.</w:t>
      </w:r>
    </w:p>
    <w:p w:rsidR="00FA6C95" w:rsidRPr="002462E6" w:rsidRDefault="00FA6C95" w:rsidP="00FA6C95">
      <w:pPr>
        <w:spacing w:line="360" w:lineRule="auto"/>
        <w:jc w:val="both"/>
        <w:rPr>
          <w:rFonts w:ascii="Tahoma" w:hAnsi="Tahoma" w:cs="Tahoma"/>
          <w:sz w:val="24"/>
          <w:szCs w:val="24"/>
        </w:rPr>
      </w:pPr>
      <w:r w:rsidRPr="002462E6">
        <w:rPr>
          <w:rFonts w:ascii="Tahoma" w:hAnsi="Tahoma" w:cs="Tahoma"/>
          <w:sz w:val="24"/>
          <w:szCs w:val="24"/>
        </w:rPr>
        <w:t>En effet, l'idéal participatif qui sous-tend cette démarche présuppose l'existence d'une "communauté territoriale" homogène, capable de définir un intérêt collectif transcendant les clivages sociaux, économiques et politiques. Or, les territoires ruraux marocains, et particulièrement les zones forestières comme celle de Korifla, sont dominés par des rapports de pouvoir asymétriques et des inégalités structurelles qui conditionnent fortement les capacités d'action et d'expression des différents groupes sociaux. L'accès différencié aux ressources, aux instances de décision constitue un facteur déterminant dans la définition des priorités du développement territorial.</w:t>
      </w:r>
    </w:p>
    <w:p w:rsidR="00FA6C95" w:rsidRPr="002462E6" w:rsidRDefault="00FA6C95" w:rsidP="00FA6C95">
      <w:pPr>
        <w:spacing w:line="360" w:lineRule="auto"/>
        <w:jc w:val="both"/>
        <w:rPr>
          <w:rFonts w:ascii="Tahoma" w:hAnsi="Tahoma" w:cs="Tahoma"/>
          <w:sz w:val="24"/>
          <w:szCs w:val="24"/>
        </w:rPr>
      </w:pPr>
      <w:r w:rsidRPr="002462E6">
        <w:rPr>
          <w:rFonts w:ascii="Tahoma" w:hAnsi="Tahoma" w:cs="Tahoma"/>
          <w:sz w:val="24"/>
          <w:szCs w:val="24"/>
        </w:rPr>
        <w:t>La rhétorique du "projet partagé" tend également à occulter les conflits d'intérêts et les divergences de vision entre acteurs territoriaux. Dans le cas de la forêt de Korifla, les usages traditionnels des ressources forestières par les populations riveraines (pâturage, collecte de bois, cueillette) entrent fréquemment en contradiction avec les objectifs de conservation définis par l'administration forestière et avec les intérêts économiques portés par certains acteurs. Ces tensions, loin d'être résolues par le simple appel à la participation, nécessitent une reconnaissance explicite et des mécanismes institutionnels adaptés pour leur médiation.</w:t>
      </w:r>
    </w:p>
    <w:p w:rsidR="00FA6C95" w:rsidRPr="002462E6" w:rsidRDefault="00FA6C95" w:rsidP="00FA6C95">
      <w:pPr>
        <w:spacing w:line="360" w:lineRule="auto"/>
        <w:jc w:val="both"/>
        <w:rPr>
          <w:rFonts w:ascii="Tahoma" w:hAnsi="Tahoma" w:cs="Tahoma"/>
          <w:sz w:val="24"/>
          <w:szCs w:val="24"/>
        </w:rPr>
      </w:pPr>
      <w:r w:rsidRPr="002462E6">
        <w:rPr>
          <w:rFonts w:ascii="Tahoma" w:hAnsi="Tahoma" w:cs="Tahoma"/>
          <w:sz w:val="24"/>
          <w:szCs w:val="24"/>
        </w:rPr>
        <w:t>Dans cette optique, Pierre-Marie Aubert (2014) explique que la plupart des projets de développement forestier au Maroc sont majoritairement financés par l’aide publique au développement. Ces projets représentent un instrument spécifique de l’action publique visant à introduire des transformations tant dans les pratiques administratives que dans les rapports entre l’État et les populations locales</w:t>
      </w:r>
      <w:r w:rsidRPr="002462E6">
        <w:rPr>
          <w:rFonts w:ascii="Tahoma" w:hAnsi="Tahoma" w:cs="Tahoma"/>
          <w:sz w:val="24"/>
          <w:szCs w:val="24"/>
          <w:vertAlign w:val="superscript"/>
        </w:rPr>
        <w:footnoteReference w:id="713"/>
      </w:r>
      <w:r w:rsidRPr="002462E6">
        <w:rPr>
          <w:rFonts w:ascii="Tahoma" w:hAnsi="Tahoma" w:cs="Tahoma"/>
          <w:sz w:val="24"/>
          <w:szCs w:val="24"/>
        </w:rPr>
        <w:t>. Il considère que l’instrument du projet joue également, dans le cadre de la politique forestière marocaine, un rôle de vecteur de modernisation de l’administration elle-même. En effet, Les projets de développement se présentent comme des instruments porteurs d’innovations à la fois cognitives et procédurales.  Ils participent à l’évolution des référentiels de l’action publique en introduisant de nouvelles représentations, normes et valeurs, tout en renouvelant les modes de gouvernance et les pratiques administratives. Ces transformations traduisent une recomposition des logiques d’intervention, marquée par un glissement des approches hiérarchiques vers des dispositifs plus flexibles, négociés et axés sur la performance.</w:t>
      </w:r>
    </w:p>
    <w:p w:rsidR="00FA6C95" w:rsidRPr="002462E6" w:rsidRDefault="00FA6C95" w:rsidP="00FA6C95">
      <w:pPr>
        <w:spacing w:line="360" w:lineRule="auto"/>
        <w:jc w:val="both"/>
      </w:pPr>
      <w:r w:rsidRPr="002462E6">
        <w:rPr>
          <w:rFonts w:ascii="Tahoma" w:hAnsi="Tahoma" w:cs="Tahoma"/>
          <w:sz w:val="24"/>
          <w:szCs w:val="24"/>
        </w:rPr>
        <w:t>Cette dynamique de modernisation demeure toutefois incomplète et largement superficielle. Les agents de l’administration dite « régulière »</w:t>
      </w:r>
      <w:r w:rsidRPr="002462E6">
        <w:rPr>
          <w:rFonts w:ascii="Tahoma" w:hAnsi="Tahoma" w:cs="Tahoma"/>
          <w:sz w:val="24"/>
          <w:szCs w:val="24"/>
          <w:vertAlign w:val="superscript"/>
        </w:rPr>
        <w:footnoteReference w:id="714"/>
      </w:r>
      <w:r w:rsidRPr="002462E6">
        <w:rPr>
          <w:rFonts w:ascii="Tahoma" w:hAnsi="Tahoma" w:cs="Tahoma"/>
          <w:sz w:val="24"/>
          <w:szCs w:val="24"/>
        </w:rPr>
        <w:t xml:space="preserve"> sont fréquemment marginalisés dans les processus de mise en œuvre des projets, ce qui freine la circulation et l’appropriation des innovations à l’échelle de l’institution. Il en résulte une forme d’« administration à deux vitesses » : d’une part, une administration de projet, porteuse de dispositifs modernisés et fondée sur des logiques participatives ; d’autre part, une administration conventionnelle, qui reste structurée par des référentiels bureaucratiques plus traditionnels</w:t>
      </w:r>
      <w:r w:rsidRPr="002462E6">
        <w:rPr>
          <w:rFonts w:ascii="Tahoma" w:hAnsi="Tahoma" w:cs="Tahoma"/>
          <w:sz w:val="24"/>
          <w:szCs w:val="24"/>
          <w:vertAlign w:val="superscript"/>
        </w:rPr>
        <w:footnoteReference w:id="715"/>
      </w:r>
      <w:r w:rsidRPr="002462E6">
        <w:rPr>
          <w:rFonts w:ascii="Tahoma" w:hAnsi="Tahoma" w:cs="Tahoma"/>
          <w:sz w:val="24"/>
          <w:szCs w:val="24"/>
        </w:rPr>
        <w:t xml:space="preserve">. </w:t>
      </w:r>
    </w:p>
    <w:p w:rsidR="00FA6C95" w:rsidRPr="002462E6" w:rsidRDefault="00FA6C95" w:rsidP="00FA6C95">
      <w:pPr>
        <w:spacing w:line="360" w:lineRule="auto"/>
        <w:jc w:val="both"/>
        <w:rPr>
          <w:rFonts w:ascii="Tahoma" w:hAnsi="Tahoma" w:cs="Tahoma"/>
          <w:sz w:val="24"/>
          <w:szCs w:val="24"/>
        </w:rPr>
      </w:pPr>
      <w:r w:rsidRPr="002462E6">
        <w:rPr>
          <w:rFonts w:ascii="Tahoma" w:hAnsi="Tahoma" w:cs="Tahoma"/>
          <w:sz w:val="24"/>
          <w:szCs w:val="24"/>
        </w:rPr>
        <w:t xml:space="preserve">En somme, l’analyse d’Aubert, centrée sur l’instrumentation par le projet, met en lumière les dynamiques de transformation ainsi que les tensions internes qui traversent la politique forestière marocaine contemporaine. Si cet instrument permet de révéler certaines inflexions dans les modes de gouvernance, il apparaît néanmoins insuffisant pour engager une reconfiguration structurelle de cette politique publique. Dans cette perspective, l’auteur plaide en faveur d’un accompagnement du projet par des réformes législatives et institutionnelles d’envergure, couplées à une reconnaissance effective des savoirs et capacités de </w:t>
      </w:r>
      <w:r w:rsidR="00236D1C" w:rsidRPr="002462E6">
        <w:rPr>
          <w:rFonts w:ascii="Tahoma" w:hAnsi="Tahoma" w:cs="Tahoma"/>
          <w:sz w:val="24"/>
          <w:szCs w:val="24"/>
        </w:rPr>
        <w:t>gestion portée</w:t>
      </w:r>
      <w:r w:rsidRPr="002462E6">
        <w:rPr>
          <w:rFonts w:ascii="Tahoma" w:hAnsi="Tahoma" w:cs="Tahoma"/>
          <w:sz w:val="24"/>
          <w:szCs w:val="24"/>
        </w:rPr>
        <w:t xml:space="preserve"> par les populations locales</w:t>
      </w:r>
      <w:r w:rsidRPr="002462E6">
        <w:rPr>
          <w:rFonts w:ascii="Tahoma" w:hAnsi="Tahoma" w:cs="Tahoma"/>
          <w:sz w:val="24"/>
          <w:szCs w:val="24"/>
          <w:vertAlign w:val="superscript"/>
        </w:rPr>
        <w:footnoteReference w:id="716"/>
      </w:r>
      <w:r w:rsidRPr="002462E6">
        <w:rPr>
          <w:rFonts w:ascii="Tahoma" w:hAnsi="Tahoma" w:cs="Tahoma"/>
          <w:sz w:val="24"/>
          <w:szCs w:val="24"/>
        </w:rPr>
        <w:t>.</w:t>
      </w:r>
    </w:p>
    <w:p w:rsidR="00FA6C95" w:rsidRPr="002462E6" w:rsidRDefault="00FA6C95" w:rsidP="00FA6C95">
      <w:pPr>
        <w:spacing w:line="360" w:lineRule="auto"/>
        <w:jc w:val="both"/>
        <w:rPr>
          <w:rFonts w:ascii="Tahoma" w:hAnsi="Tahoma" w:cs="Tahoma"/>
          <w:sz w:val="24"/>
          <w:szCs w:val="24"/>
        </w:rPr>
      </w:pPr>
      <w:r w:rsidRPr="002462E6">
        <w:rPr>
          <w:rFonts w:ascii="Tahoma" w:hAnsi="Tahoma" w:cs="Tahoma"/>
          <w:sz w:val="24"/>
          <w:szCs w:val="24"/>
        </w:rPr>
        <w:t>Il est crucial de souligner que la temporalité des projets de développement territorial, souvent structurée autour des cycles électoraux des collectivités territoriales</w:t>
      </w:r>
      <w:r w:rsidRPr="002462E6">
        <w:rPr>
          <w:rFonts w:ascii="Tahoma" w:hAnsi="Tahoma" w:cs="Tahoma"/>
          <w:sz w:val="24"/>
          <w:szCs w:val="24"/>
          <w:vertAlign w:val="superscript"/>
        </w:rPr>
        <w:footnoteReference w:id="717"/>
      </w:r>
      <w:r w:rsidRPr="002462E6">
        <w:rPr>
          <w:rFonts w:ascii="Tahoma" w:hAnsi="Tahoma" w:cs="Tahoma"/>
          <w:sz w:val="24"/>
          <w:szCs w:val="24"/>
        </w:rPr>
        <w:t>, se trouve fréquemment en décalage avec les dynamiques écologiques propres aux formations forestières marocaines, qui se déploient sur des échelles temporelles bien plus longues</w:t>
      </w:r>
      <w:r w:rsidRPr="002462E6">
        <w:rPr>
          <w:rFonts w:ascii="Tahoma" w:hAnsi="Tahoma" w:cs="Tahoma"/>
          <w:sz w:val="24"/>
          <w:szCs w:val="24"/>
          <w:vertAlign w:val="superscript"/>
        </w:rPr>
        <w:footnoteReference w:id="718"/>
      </w:r>
      <w:r w:rsidRPr="002462E6">
        <w:rPr>
          <w:rFonts w:ascii="Tahoma" w:hAnsi="Tahoma" w:cs="Tahoma"/>
          <w:sz w:val="24"/>
          <w:szCs w:val="24"/>
        </w:rPr>
        <w:t>. Cette dissonance temporelle constitue, comme l'indiquent les travaux empiriques de M'Hirit et Benchekroun (2006), un obstacle majeur tant sur le plan épistémologique que praxéologique à l'intégration effective des impératifs de soutenabilité environnementale dans la conception et la mise en œuvre des stratégies de développement territorial</w:t>
      </w:r>
      <w:r w:rsidRPr="002462E6">
        <w:rPr>
          <w:rFonts w:ascii="Tahoma" w:hAnsi="Tahoma" w:cs="Tahoma"/>
          <w:sz w:val="24"/>
          <w:szCs w:val="24"/>
          <w:vertAlign w:val="superscript"/>
        </w:rPr>
        <w:footnoteReference w:id="719"/>
      </w:r>
      <w:r w:rsidRPr="002462E6">
        <w:rPr>
          <w:rFonts w:ascii="Tahoma" w:hAnsi="Tahoma" w:cs="Tahoma"/>
          <w:sz w:val="24"/>
          <w:szCs w:val="24"/>
        </w:rPr>
        <w:t>. Naciri (2018) souligne également que cette dissociation entre temporalité politique et temporalité écologique engendre des ruptures paradigmatiques qui compromettent l'efficacité des politiques publiques environnementales, notamment dans le cadre spécifique des écosystèmes forestiers du Maroc</w:t>
      </w:r>
      <w:r w:rsidRPr="002462E6">
        <w:rPr>
          <w:rFonts w:ascii="Tahoma" w:hAnsi="Tahoma" w:cs="Tahoma"/>
          <w:sz w:val="24"/>
          <w:szCs w:val="24"/>
          <w:vertAlign w:val="superscript"/>
        </w:rPr>
        <w:footnoteReference w:id="720"/>
      </w:r>
      <w:r w:rsidRPr="002462E6">
        <w:rPr>
          <w:rFonts w:ascii="Tahoma" w:hAnsi="Tahoma" w:cs="Tahoma"/>
          <w:sz w:val="24"/>
          <w:szCs w:val="24"/>
        </w:rPr>
        <w:t>.</w:t>
      </w:r>
    </w:p>
    <w:p w:rsidR="00A21E0A" w:rsidRPr="005979B4" w:rsidRDefault="00A21E0A">
      <w:pPr>
        <w:rPr>
          <w:rFonts w:ascii="Tahoma" w:eastAsia="Times New Roman" w:hAnsi="Tahoma" w:cs="Times New Roman"/>
          <w:b/>
          <w:bCs/>
          <w:iCs/>
          <w:sz w:val="2"/>
          <w:szCs w:val="2"/>
        </w:rPr>
      </w:pPr>
      <w:bookmarkStart w:id="387" w:name="_Toc201655524"/>
    </w:p>
    <w:p w:rsidR="00FA6C95" w:rsidRPr="002462E6" w:rsidRDefault="00FA6C95" w:rsidP="00BF1F48">
      <w:pPr>
        <w:pStyle w:val="Titre5"/>
      </w:pPr>
      <w:bookmarkStart w:id="388" w:name="_Toc203643096"/>
      <w:r w:rsidRPr="002462E6">
        <w:t xml:space="preserve">Le "territoire de </w:t>
      </w:r>
      <w:r w:rsidR="009E0898" w:rsidRPr="002462E6">
        <w:t>projet »</w:t>
      </w:r>
      <w:r w:rsidRPr="002462E6">
        <w:t> : efficacité technique ou néocolonialisme territorial ?</w:t>
      </w:r>
      <w:bookmarkEnd w:id="387"/>
      <w:bookmarkEnd w:id="388"/>
      <w:r w:rsidRPr="002462E6">
        <w:t xml:space="preserve"> </w:t>
      </w:r>
    </w:p>
    <w:p w:rsidR="00FA6C95" w:rsidRPr="002462E6" w:rsidRDefault="00FA6C95" w:rsidP="00FA6C95">
      <w:pPr>
        <w:spacing w:line="360" w:lineRule="auto"/>
        <w:jc w:val="both"/>
        <w:rPr>
          <w:rFonts w:ascii="Tahoma" w:hAnsi="Tahoma" w:cs="Tahoma"/>
          <w:sz w:val="2"/>
          <w:szCs w:val="2"/>
        </w:rPr>
      </w:pPr>
    </w:p>
    <w:p w:rsidR="00FA6C95" w:rsidRPr="002462E6" w:rsidRDefault="00FA6C95" w:rsidP="00FA6C95">
      <w:pPr>
        <w:spacing w:line="360" w:lineRule="auto"/>
        <w:jc w:val="both"/>
        <w:rPr>
          <w:rFonts w:ascii="Tahoma" w:hAnsi="Tahoma" w:cs="Tahoma"/>
          <w:sz w:val="24"/>
          <w:szCs w:val="24"/>
        </w:rPr>
      </w:pPr>
      <w:r w:rsidRPr="002462E6">
        <w:rPr>
          <w:rFonts w:ascii="Tahoma" w:hAnsi="Tahoma" w:cs="Tahoma"/>
          <w:sz w:val="24"/>
          <w:szCs w:val="24"/>
        </w:rPr>
        <w:t>Le "territoire de projet" s'inscrit dans une filiation théorique qui puise ses racines dans l'économie territoriale (Courlet, 2008 ; Pecqueur, 2005), la géographie sociale (Di Méo et Buléon, 2005 ; Gumuchian et al., 2003) et les sciences politiques (Jouve, 2006 ; Torre, 2018). Ce concept s'est progressivement imposé comme un paradigme structurant de l'action publique territoriale en Europe (Douillet, 2003) avant d'être transposé dans le contexte méditerranéen et maghrébin</w:t>
      </w:r>
      <w:r w:rsidRPr="002462E6">
        <w:rPr>
          <w:rFonts w:ascii="Tahoma" w:hAnsi="Tahoma" w:cs="Tahoma"/>
          <w:sz w:val="24"/>
          <w:szCs w:val="24"/>
          <w:vertAlign w:val="superscript"/>
        </w:rPr>
        <w:footnoteReference w:id="721"/>
      </w:r>
      <w:r w:rsidRPr="002462E6">
        <w:rPr>
          <w:rFonts w:ascii="Tahoma" w:hAnsi="Tahoma" w:cs="Tahoma"/>
          <w:sz w:val="24"/>
          <w:szCs w:val="24"/>
        </w:rPr>
        <w:t>.</w:t>
      </w:r>
    </w:p>
    <w:p w:rsidR="00FA6C95" w:rsidRPr="002462E6" w:rsidRDefault="00FA6C95" w:rsidP="00FA6C95">
      <w:pPr>
        <w:spacing w:line="360" w:lineRule="auto"/>
        <w:jc w:val="both"/>
        <w:rPr>
          <w:rFonts w:ascii="Tahoma" w:hAnsi="Tahoma" w:cs="Tahoma"/>
          <w:sz w:val="24"/>
          <w:szCs w:val="24"/>
        </w:rPr>
      </w:pPr>
      <w:r w:rsidRPr="002462E6">
        <w:rPr>
          <w:rFonts w:ascii="Tahoma" w:hAnsi="Tahoma" w:cs="Tahoma"/>
          <w:sz w:val="24"/>
          <w:szCs w:val="24"/>
        </w:rPr>
        <w:t>Selon la littérature spécialisée, ce modèle territorial se caractérise par plusieurs dimensions constitutives interdépendantes :</w:t>
      </w:r>
    </w:p>
    <w:p w:rsidR="00FA6C95" w:rsidRPr="002462E6" w:rsidRDefault="00FA6C95" w:rsidP="00FA6C95">
      <w:pPr>
        <w:jc w:val="both"/>
        <w:rPr>
          <w:rFonts w:ascii="Tahoma" w:hAnsi="Tahoma" w:cs="Tahoma"/>
          <w:sz w:val="24"/>
          <w:szCs w:val="24"/>
        </w:rPr>
      </w:pPr>
      <w:r w:rsidRPr="002462E6">
        <w:rPr>
          <w:rFonts w:ascii="Tahoma" w:hAnsi="Tahoma" w:cs="Tahoma"/>
          <w:sz w:val="24"/>
          <w:szCs w:val="24"/>
        </w:rPr>
        <w:t>- Une approche spatiale transcendant les délimitations administratives traditionnelles au profit d'une cohérence écosystémique et fonctionnelle (Vanier, 2015 ; Behar et al., 2009);</w:t>
      </w:r>
    </w:p>
    <w:p w:rsidR="00FA6C95" w:rsidRPr="002462E6" w:rsidRDefault="00FA6C95" w:rsidP="00FA6C95">
      <w:pPr>
        <w:jc w:val="both"/>
        <w:rPr>
          <w:rFonts w:ascii="Tahoma" w:hAnsi="Tahoma" w:cs="Tahoma"/>
          <w:sz w:val="24"/>
          <w:szCs w:val="24"/>
        </w:rPr>
      </w:pPr>
      <w:r w:rsidRPr="002462E6">
        <w:rPr>
          <w:rFonts w:ascii="Tahoma" w:hAnsi="Tahoma" w:cs="Tahoma"/>
          <w:sz w:val="24"/>
          <w:szCs w:val="24"/>
        </w:rPr>
        <w:t>- Une construction sociale fondée sur une vision partagée du développement territorial et une identité collective (Debarbieux et Lardon, 2003 ; Moine, 2006) ;</w:t>
      </w:r>
    </w:p>
    <w:p w:rsidR="00FA6C95" w:rsidRPr="002462E6" w:rsidRDefault="00FA6C95" w:rsidP="00FA6C95">
      <w:pPr>
        <w:jc w:val="both"/>
        <w:rPr>
          <w:rFonts w:ascii="Tahoma" w:hAnsi="Tahoma" w:cs="Tahoma"/>
          <w:sz w:val="24"/>
          <w:szCs w:val="24"/>
        </w:rPr>
      </w:pPr>
      <w:r w:rsidRPr="002462E6">
        <w:rPr>
          <w:rFonts w:ascii="Tahoma" w:hAnsi="Tahoma" w:cs="Tahoma"/>
          <w:sz w:val="24"/>
          <w:szCs w:val="24"/>
        </w:rPr>
        <w:t>- Une mobilisation coordonnée des acteurs locaux autour d'objectifs communs définis par un processus concertatif (Gumuchian et Pecqueur, 2007 ; Leloup, 2012) ;</w:t>
      </w:r>
    </w:p>
    <w:p w:rsidR="00FA6C95" w:rsidRPr="002462E6" w:rsidRDefault="00FA6C95" w:rsidP="00FA6C95">
      <w:pPr>
        <w:jc w:val="both"/>
        <w:rPr>
          <w:rFonts w:ascii="Tahoma" w:hAnsi="Tahoma" w:cs="Tahoma"/>
          <w:sz w:val="24"/>
          <w:szCs w:val="24"/>
        </w:rPr>
      </w:pPr>
      <w:r w:rsidRPr="002462E6">
        <w:rPr>
          <w:rFonts w:ascii="Tahoma" w:hAnsi="Tahoma" w:cs="Tahoma"/>
          <w:sz w:val="24"/>
          <w:szCs w:val="24"/>
        </w:rPr>
        <w:t>- Une gouvernance spécifique impliquant la participation multi-niveau de diverses parties prenantes - institutions publiques, collectivités territoriales, société civile, secteur privé (Gaudin, 2002 ; Pasquier et al., 2013);</w:t>
      </w:r>
    </w:p>
    <w:p w:rsidR="00FA6C95" w:rsidRPr="002462E6" w:rsidRDefault="00FA6C95" w:rsidP="00FA6C95">
      <w:pPr>
        <w:jc w:val="both"/>
        <w:rPr>
          <w:rFonts w:ascii="Tahoma" w:hAnsi="Tahoma" w:cs="Tahoma"/>
          <w:sz w:val="24"/>
          <w:szCs w:val="24"/>
        </w:rPr>
      </w:pPr>
      <w:r w:rsidRPr="002462E6">
        <w:rPr>
          <w:rFonts w:ascii="Tahoma" w:hAnsi="Tahoma" w:cs="Tahoma"/>
          <w:sz w:val="24"/>
          <w:szCs w:val="24"/>
        </w:rPr>
        <w:t xml:space="preserve">- Une dynamique d'action collective orientée vers un projet territorial structurant et intégrateur (Lajarge et Roux, 2007 ; Pinson, 2009). </w:t>
      </w:r>
    </w:p>
    <w:p w:rsidR="00FA6C95" w:rsidRPr="002462E6" w:rsidRDefault="00FA6C95" w:rsidP="00FA6C95">
      <w:pPr>
        <w:jc w:val="both"/>
        <w:rPr>
          <w:rFonts w:ascii="Tahoma" w:hAnsi="Tahoma" w:cs="Tahoma"/>
          <w:sz w:val="24"/>
          <w:szCs w:val="24"/>
        </w:rPr>
      </w:pPr>
    </w:p>
    <w:p w:rsidR="00FA6C95" w:rsidRPr="002462E6" w:rsidRDefault="00FA6C95" w:rsidP="00FA6C95">
      <w:pPr>
        <w:spacing w:line="360" w:lineRule="auto"/>
        <w:jc w:val="both"/>
        <w:rPr>
          <w:rFonts w:ascii="Tahoma" w:hAnsi="Tahoma" w:cs="Tahoma"/>
          <w:sz w:val="24"/>
          <w:szCs w:val="24"/>
        </w:rPr>
      </w:pPr>
      <w:r w:rsidRPr="002462E6">
        <w:rPr>
          <w:rFonts w:ascii="Tahoma" w:hAnsi="Tahoma" w:cs="Tahoma"/>
          <w:sz w:val="24"/>
          <w:szCs w:val="24"/>
        </w:rPr>
        <w:t>Cette conceptualisation s'inscrit dans un changement paradigmatique plus large qui marque le passage d'une gouvernance territoriale descendante et sectorielle vers une approche ascendante, participative et intégrée</w:t>
      </w:r>
      <w:r w:rsidRPr="002462E6">
        <w:rPr>
          <w:rFonts w:ascii="Tahoma" w:hAnsi="Tahoma" w:cs="Tahoma"/>
          <w:sz w:val="24"/>
          <w:szCs w:val="24"/>
        </w:rPr>
        <w:footnoteReference w:id="722"/>
      </w:r>
      <w:r w:rsidRPr="002462E6">
        <w:rPr>
          <w:rFonts w:ascii="Tahoma" w:hAnsi="Tahoma" w:cs="Tahoma"/>
          <w:sz w:val="24"/>
          <w:szCs w:val="24"/>
        </w:rPr>
        <w:t>.</w:t>
      </w:r>
    </w:p>
    <w:p w:rsidR="00FA6C95" w:rsidRPr="002462E6" w:rsidRDefault="00FA6C95" w:rsidP="00FA6C95">
      <w:pPr>
        <w:spacing w:line="360" w:lineRule="auto"/>
        <w:jc w:val="both"/>
        <w:rPr>
          <w:rFonts w:ascii="Tahoma" w:hAnsi="Tahoma" w:cs="Tahoma"/>
          <w:sz w:val="24"/>
          <w:szCs w:val="24"/>
        </w:rPr>
      </w:pPr>
      <w:r w:rsidRPr="002462E6">
        <w:rPr>
          <w:rFonts w:ascii="Tahoma" w:hAnsi="Tahoma" w:cs="Tahoma"/>
          <w:sz w:val="24"/>
          <w:szCs w:val="24"/>
        </w:rPr>
        <w:t>Au Maroc, l’introduction du concept de « territoire de projet » dans le champ de la gestion forestière s’inscrit dans un contexte marqué par des réformes institutionnelles et une redéfinition stratégique des orientations du secteur sylvicole (Aubert et al., 2009 ; Berriane et Aderghal, 2012). Depuis l’adoption du Plan Directeur des Aires Protégées (PDAP) en 1996, suivie par la mise en place du Programme Forestier National (PFN) en 1999, la politique forestière marocaine a connu une dynamique évolutive. Cette trajectoire a récemment culminé avec le lancement de la stratégie « Forêts du Maroc 2020-2030 », qui constitue un jalon majeur dans l’histoire de la gestion forestière nationale. Cette nouvelle orientation stratégique semble marquer une rupture avec les logiques antérieures, essentiellement technocratiques et conservationnistes, en introduisant une approche territoriale intégrée et participative</w:t>
      </w:r>
      <w:r w:rsidRPr="002462E6">
        <w:rPr>
          <w:rFonts w:ascii="Tahoma" w:hAnsi="Tahoma" w:cs="Tahoma"/>
          <w:sz w:val="24"/>
          <w:szCs w:val="24"/>
          <w:vertAlign w:val="superscript"/>
        </w:rPr>
        <w:footnoteReference w:id="723"/>
      </w:r>
      <w:r w:rsidRPr="002462E6">
        <w:rPr>
          <w:rFonts w:ascii="Tahoma" w:hAnsi="Tahoma" w:cs="Tahoma"/>
          <w:sz w:val="24"/>
          <w:szCs w:val="24"/>
        </w:rPr>
        <w:t>.</w:t>
      </w:r>
    </w:p>
    <w:p w:rsidR="00FA6C95" w:rsidRPr="002462E6" w:rsidRDefault="00FA6C95" w:rsidP="00FA6C95">
      <w:pPr>
        <w:spacing w:line="360" w:lineRule="auto"/>
        <w:jc w:val="both"/>
        <w:rPr>
          <w:rFonts w:ascii="Tahoma" w:hAnsi="Tahoma" w:cs="Tahoma"/>
          <w:sz w:val="24"/>
          <w:szCs w:val="24"/>
        </w:rPr>
      </w:pPr>
      <w:r w:rsidRPr="002462E6">
        <w:rPr>
          <w:rFonts w:ascii="Tahoma" w:hAnsi="Tahoma" w:cs="Tahoma"/>
          <w:sz w:val="24"/>
          <w:szCs w:val="24"/>
        </w:rPr>
        <w:t>Ce repositionnement stratégique s'articule autour de plusieurs axes complémentaires :</w:t>
      </w:r>
    </w:p>
    <w:p w:rsidR="00FA6C95" w:rsidRPr="002462E6" w:rsidRDefault="00FA6C95" w:rsidP="00FA6C95">
      <w:pPr>
        <w:spacing w:line="360" w:lineRule="auto"/>
        <w:ind w:firstLine="708"/>
        <w:jc w:val="both"/>
        <w:rPr>
          <w:rFonts w:ascii="Tahoma" w:hAnsi="Tahoma" w:cs="Tahoma"/>
          <w:sz w:val="24"/>
          <w:szCs w:val="24"/>
        </w:rPr>
      </w:pPr>
      <w:r w:rsidRPr="002462E6">
        <w:rPr>
          <w:rFonts w:ascii="Tahoma" w:hAnsi="Tahoma" w:cs="Tahoma"/>
          <w:sz w:val="24"/>
          <w:szCs w:val="24"/>
        </w:rPr>
        <w:t>- La territorialisation des politiques forestières adaptées aux spécificités écologiques et socio-économiques locales (Boujrouf, 2014 ; Romagny et al., 2018);</w:t>
      </w:r>
    </w:p>
    <w:p w:rsidR="00FA6C95" w:rsidRPr="002462E6" w:rsidRDefault="00FA6C95" w:rsidP="00FA6C95">
      <w:pPr>
        <w:spacing w:line="360" w:lineRule="auto"/>
        <w:ind w:firstLine="708"/>
        <w:jc w:val="both"/>
        <w:rPr>
          <w:rFonts w:ascii="Tahoma" w:hAnsi="Tahoma" w:cs="Tahoma"/>
          <w:sz w:val="24"/>
          <w:szCs w:val="24"/>
        </w:rPr>
      </w:pPr>
      <w:r w:rsidRPr="002462E6">
        <w:rPr>
          <w:rFonts w:ascii="Tahoma" w:hAnsi="Tahoma" w:cs="Tahoma"/>
          <w:sz w:val="24"/>
          <w:szCs w:val="24"/>
        </w:rPr>
        <w:t>- La valorisation économique des ressources sylvicoles dans une perspective de développement durable (El Fasskaoui, 2017 ; Cordier et Genin, 2008) ;</w:t>
      </w:r>
    </w:p>
    <w:p w:rsidR="00FA6C95" w:rsidRPr="002462E6" w:rsidRDefault="00FA6C95" w:rsidP="00FA6C95">
      <w:pPr>
        <w:spacing w:line="360" w:lineRule="auto"/>
        <w:ind w:firstLine="708"/>
        <w:jc w:val="both"/>
        <w:rPr>
          <w:rFonts w:ascii="Tahoma" w:hAnsi="Tahoma" w:cs="Tahoma"/>
          <w:sz w:val="24"/>
          <w:szCs w:val="24"/>
        </w:rPr>
      </w:pPr>
      <w:r w:rsidRPr="002462E6">
        <w:rPr>
          <w:rFonts w:ascii="Tahoma" w:hAnsi="Tahoma" w:cs="Tahoma"/>
          <w:sz w:val="24"/>
          <w:szCs w:val="24"/>
        </w:rPr>
        <w:t>- L'implication des communautés usagères dans les processus de prise de décision et de gestion (Auclair et Alifriqui, 2012 ; Genin et al., 2011);</w:t>
      </w:r>
    </w:p>
    <w:p w:rsidR="00FA6C95" w:rsidRPr="002462E6" w:rsidRDefault="00FA6C95" w:rsidP="00FA6C95">
      <w:pPr>
        <w:spacing w:line="360" w:lineRule="auto"/>
        <w:ind w:firstLine="708"/>
        <w:jc w:val="both"/>
        <w:rPr>
          <w:rFonts w:ascii="Tahoma" w:hAnsi="Tahoma" w:cs="Tahoma"/>
          <w:sz w:val="24"/>
          <w:szCs w:val="24"/>
        </w:rPr>
      </w:pPr>
      <w:r w:rsidRPr="002462E6">
        <w:rPr>
          <w:rFonts w:ascii="Tahoma" w:hAnsi="Tahoma" w:cs="Tahoma"/>
          <w:sz w:val="24"/>
          <w:szCs w:val="24"/>
        </w:rPr>
        <w:t>- La contractualisation des rapports entre l'administration forestière et les acteurs territoriaux (El Bouzidi, 2015 ; Bourbouze et El Aich, 2005) ;</w:t>
      </w:r>
    </w:p>
    <w:p w:rsidR="00FA6C95" w:rsidRPr="002462E6" w:rsidRDefault="00FA6C95" w:rsidP="00FA6C95">
      <w:pPr>
        <w:spacing w:line="360" w:lineRule="auto"/>
        <w:ind w:firstLine="708"/>
        <w:jc w:val="both"/>
        <w:rPr>
          <w:rFonts w:ascii="Tahoma" w:hAnsi="Tahoma" w:cs="Tahoma"/>
          <w:sz w:val="24"/>
          <w:szCs w:val="24"/>
        </w:rPr>
      </w:pPr>
      <w:r w:rsidRPr="002462E6">
        <w:rPr>
          <w:rFonts w:ascii="Tahoma" w:hAnsi="Tahoma" w:cs="Tahoma"/>
          <w:sz w:val="24"/>
          <w:szCs w:val="24"/>
        </w:rPr>
        <w:t>- L'intégration intersectorielle avec les autres politiques de développement rural (Monkachi et al., 2018; Simenel et al., 2009).</w:t>
      </w:r>
    </w:p>
    <w:p w:rsidR="00FA6C95" w:rsidRPr="002462E6" w:rsidRDefault="00FA6C95" w:rsidP="00FA6C95">
      <w:pPr>
        <w:spacing w:line="360" w:lineRule="auto"/>
        <w:jc w:val="both"/>
        <w:rPr>
          <w:rFonts w:ascii="Tahoma" w:hAnsi="Tahoma" w:cs="Tahoma"/>
          <w:sz w:val="24"/>
          <w:szCs w:val="24"/>
        </w:rPr>
      </w:pPr>
      <w:r w:rsidRPr="002462E6">
        <w:rPr>
          <w:rFonts w:ascii="Tahoma" w:hAnsi="Tahoma" w:cs="Tahoma"/>
          <w:sz w:val="24"/>
          <w:szCs w:val="24"/>
        </w:rPr>
        <w:t>Cette évolution traduit une volonté politique affichée de concilier conservation des écosystèmes forestiers, développement économique local et inclusion sociale des populations riveraines, historiquement marginalisées dans les processus décisionnels relatifs à la gestion de ces espaces</w:t>
      </w:r>
      <w:r w:rsidRPr="002462E6">
        <w:rPr>
          <w:rFonts w:ascii="Tahoma" w:hAnsi="Tahoma" w:cs="Tahoma"/>
          <w:sz w:val="24"/>
          <w:szCs w:val="24"/>
          <w:vertAlign w:val="superscript"/>
        </w:rPr>
        <w:footnoteReference w:id="724"/>
      </w:r>
      <w:r w:rsidRPr="002462E6">
        <w:rPr>
          <w:rFonts w:ascii="Tahoma" w:hAnsi="Tahoma" w:cs="Tahoma"/>
          <w:sz w:val="24"/>
          <w:szCs w:val="24"/>
        </w:rPr>
        <w:t>. Cette démarche s'inscrit également dans un contexte international marqué par la promotion de la gouvernance participative des ressources naturelles et l'émergence du paradigme de la gestion forestière communautaire</w:t>
      </w:r>
      <w:r w:rsidRPr="002462E6">
        <w:rPr>
          <w:rFonts w:ascii="Tahoma" w:hAnsi="Tahoma" w:cs="Tahoma"/>
          <w:sz w:val="24"/>
          <w:szCs w:val="24"/>
          <w:vertAlign w:val="superscript"/>
        </w:rPr>
        <w:footnoteReference w:id="725"/>
      </w:r>
      <w:r w:rsidRPr="002462E6">
        <w:rPr>
          <w:rFonts w:ascii="Tahoma" w:hAnsi="Tahoma" w:cs="Tahoma"/>
          <w:sz w:val="24"/>
          <w:szCs w:val="24"/>
        </w:rPr>
        <w:t xml:space="preserve">. </w:t>
      </w:r>
    </w:p>
    <w:p w:rsidR="00FA6C95" w:rsidRPr="002462E6" w:rsidRDefault="00FA6C95" w:rsidP="00DC06AE">
      <w:pPr>
        <w:spacing w:line="360" w:lineRule="auto"/>
        <w:jc w:val="both"/>
        <w:rPr>
          <w:rFonts w:ascii="Tahoma" w:hAnsi="Tahoma" w:cs="Tahoma"/>
          <w:sz w:val="24"/>
          <w:szCs w:val="24"/>
        </w:rPr>
      </w:pPr>
      <w:r w:rsidRPr="002462E6">
        <w:rPr>
          <w:rFonts w:ascii="Tahoma" w:hAnsi="Tahoma" w:cs="Tahoma"/>
          <w:sz w:val="24"/>
          <w:szCs w:val="24"/>
        </w:rPr>
        <w:t>La matérialisation du "territoire de projet" s'effectue à travers différents instruments opératoires qui structurent l'action publique forestière</w:t>
      </w:r>
      <w:r w:rsidRPr="002462E6">
        <w:rPr>
          <w:rFonts w:ascii="Tahoma" w:hAnsi="Tahoma" w:cs="Tahoma"/>
          <w:sz w:val="24"/>
          <w:szCs w:val="24"/>
          <w:vertAlign w:val="superscript"/>
        </w:rPr>
        <w:footnoteReference w:id="726"/>
      </w:r>
      <w:r w:rsidR="00DC06AE" w:rsidRPr="002462E6">
        <w:rPr>
          <w:rFonts w:ascii="Tahoma" w:hAnsi="Tahoma" w:cs="Tahoma"/>
          <w:sz w:val="24"/>
          <w:szCs w:val="24"/>
        </w:rPr>
        <w:t xml:space="preserve"> :</w:t>
      </w:r>
    </w:p>
    <w:p w:rsidR="00FA6C95" w:rsidRPr="002462E6" w:rsidRDefault="00FA6C95" w:rsidP="00FA6C95">
      <w:pPr>
        <w:spacing w:line="360" w:lineRule="auto"/>
        <w:ind w:firstLine="708"/>
        <w:jc w:val="both"/>
        <w:rPr>
          <w:rFonts w:ascii="Tahoma" w:hAnsi="Tahoma" w:cs="Tahoma"/>
          <w:sz w:val="24"/>
          <w:szCs w:val="24"/>
        </w:rPr>
      </w:pPr>
      <w:r w:rsidRPr="002462E6">
        <w:rPr>
          <w:rFonts w:ascii="Tahoma" w:hAnsi="Tahoma" w:cs="Tahoma"/>
          <w:sz w:val="24"/>
          <w:szCs w:val="24"/>
        </w:rPr>
        <w:t>- Les Plans d'Aménagement Concerté des Forêts (PACF), documents-cadres définissant les orientations stratégiques et les modalités d'intervention à l'échelle d'un massif forestier ;</w:t>
      </w:r>
    </w:p>
    <w:p w:rsidR="00FA6C95" w:rsidRPr="002462E6" w:rsidRDefault="00FA6C95" w:rsidP="00FA6C95">
      <w:pPr>
        <w:spacing w:line="360" w:lineRule="auto"/>
        <w:ind w:firstLine="708"/>
        <w:jc w:val="both"/>
        <w:rPr>
          <w:rFonts w:ascii="Tahoma" w:hAnsi="Tahoma" w:cs="Tahoma"/>
          <w:sz w:val="24"/>
          <w:szCs w:val="24"/>
        </w:rPr>
      </w:pPr>
      <w:r w:rsidRPr="002462E6">
        <w:rPr>
          <w:rFonts w:ascii="Tahoma" w:hAnsi="Tahoma" w:cs="Tahoma"/>
          <w:sz w:val="24"/>
          <w:szCs w:val="24"/>
        </w:rPr>
        <w:t>- Les Contrats Territoriaux de Valorisation Forestière (CTVF), conventions partenariales fixant les droits et obligations des parties prenantes impliquées ;</w:t>
      </w:r>
    </w:p>
    <w:p w:rsidR="00FA6C95" w:rsidRPr="002462E6" w:rsidRDefault="00FA6C95" w:rsidP="00FA6C95">
      <w:pPr>
        <w:spacing w:line="360" w:lineRule="auto"/>
        <w:ind w:firstLine="708"/>
        <w:jc w:val="both"/>
        <w:rPr>
          <w:rFonts w:ascii="Tahoma" w:hAnsi="Tahoma" w:cs="Tahoma"/>
          <w:sz w:val="24"/>
          <w:szCs w:val="24"/>
        </w:rPr>
      </w:pPr>
      <w:r w:rsidRPr="002462E6">
        <w:rPr>
          <w:rFonts w:ascii="Tahoma" w:hAnsi="Tahoma" w:cs="Tahoma"/>
          <w:sz w:val="24"/>
          <w:szCs w:val="24"/>
        </w:rPr>
        <w:t>- Les Projets de Développement Sylvo-Pastoral Intégré (PDSPI), visant la synergie entre gestion forestière et développement local ;</w:t>
      </w:r>
    </w:p>
    <w:p w:rsidR="00FA6C95" w:rsidRPr="002462E6" w:rsidRDefault="00FA6C95" w:rsidP="00FA6C95">
      <w:pPr>
        <w:spacing w:line="360" w:lineRule="auto"/>
        <w:ind w:firstLine="708"/>
        <w:jc w:val="both"/>
        <w:rPr>
          <w:rFonts w:ascii="Tahoma" w:hAnsi="Tahoma" w:cs="Tahoma"/>
          <w:sz w:val="24"/>
          <w:szCs w:val="24"/>
        </w:rPr>
      </w:pPr>
      <w:r w:rsidRPr="002462E6">
        <w:rPr>
          <w:rFonts w:ascii="Tahoma" w:hAnsi="Tahoma" w:cs="Tahoma"/>
          <w:sz w:val="24"/>
          <w:szCs w:val="24"/>
        </w:rPr>
        <w:t>- Les mécanismes de Paiement pour Services Écosystémiques (PSE), rémunérant les communautés pour leur contribution à la préservation des fonctions écologiques des forêts.</w:t>
      </w:r>
    </w:p>
    <w:p w:rsidR="00FA6C95" w:rsidRPr="002462E6" w:rsidRDefault="00FA6C95" w:rsidP="00FA6C95">
      <w:pPr>
        <w:spacing w:line="360" w:lineRule="auto"/>
        <w:jc w:val="both"/>
        <w:rPr>
          <w:rFonts w:ascii="Tahoma" w:hAnsi="Tahoma" w:cs="Tahoma"/>
          <w:sz w:val="24"/>
          <w:szCs w:val="24"/>
        </w:rPr>
      </w:pPr>
      <w:r w:rsidRPr="002462E6">
        <w:rPr>
          <w:rFonts w:ascii="Tahoma" w:hAnsi="Tahoma" w:cs="Tahoma"/>
          <w:sz w:val="24"/>
          <w:szCs w:val="24"/>
        </w:rPr>
        <w:t>Ces instruments reflètent l'influence des modèles internationaux de gestion collaborative des ressources naturelles</w:t>
      </w:r>
      <w:r w:rsidRPr="002462E6">
        <w:rPr>
          <w:rFonts w:ascii="Tahoma" w:hAnsi="Tahoma" w:cs="Tahoma"/>
          <w:sz w:val="24"/>
          <w:szCs w:val="24"/>
          <w:vertAlign w:val="superscript"/>
        </w:rPr>
        <w:footnoteReference w:id="727"/>
      </w:r>
      <w:r w:rsidRPr="002462E6">
        <w:rPr>
          <w:rFonts w:ascii="Tahoma" w:hAnsi="Tahoma" w:cs="Tahoma"/>
          <w:sz w:val="24"/>
          <w:szCs w:val="24"/>
        </w:rPr>
        <w:t xml:space="preserve"> et témoignent d'une volonté d'articulation entre régulation publique, incitations économiques et mobilisation communautaire, conformément aux principes de la "nouvelle économie institutionnelle" appliquée à la gestion des ressources naturelles</w:t>
      </w:r>
      <w:r w:rsidRPr="002462E6">
        <w:rPr>
          <w:rFonts w:ascii="Tahoma" w:hAnsi="Tahoma" w:cs="Tahoma"/>
          <w:sz w:val="24"/>
          <w:szCs w:val="24"/>
          <w:vertAlign w:val="superscript"/>
        </w:rPr>
        <w:footnoteReference w:id="728"/>
      </w:r>
      <w:r w:rsidRPr="002462E6">
        <w:rPr>
          <w:rFonts w:ascii="Tahoma" w:hAnsi="Tahoma" w:cs="Tahoma"/>
          <w:sz w:val="24"/>
          <w:szCs w:val="24"/>
        </w:rPr>
        <w:t>. Cette approche instrumentale s'inspire également des expériences internationales de décentralisation forestière et des principes de la gestion adaptative des ressources naturelles</w:t>
      </w:r>
      <w:r w:rsidRPr="002462E6">
        <w:rPr>
          <w:rFonts w:ascii="Tahoma" w:hAnsi="Tahoma" w:cs="Tahoma"/>
          <w:sz w:val="24"/>
          <w:szCs w:val="24"/>
          <w:vertAlign w:val="superscript"/>
        </w:rPr>
        <w:footnoteReference w:id="729"/>
      </w:r>
      <w:r w:rsidRPr="002462E6">
        <w:rPr>
          <w:rFonts w:ascii="Tahoma" w:hAnsi="Tahoma" w:cs="Tahoma"/>
          <w:sz w:val="24"/>
          <w:szCs w:val="24"/>
        </w:rPr>
        <w:t>.</w:t>
      </w:r>
    </w:p>
    <w:p w:rsidR="00FA6C95" w:rsidRPr="002462E6" w:rsidRDefault="00FA6C95" w:rsidP="00FA6C95">
      <w:pPr>
        <w:spacing w:line="360" w:lineRule="auto"/>
        <w:jc w:val="both"/>
        <w:rPr>
          <w:rFonts w:ascii="Tahoma" w:hAnsi="Tahoma" w:cs="Tahoma"/>
          <w:sz w:val="24"/>
          <w:szCs w:val="24"/>
        </w:rPr>
      </w:pPr>
      <w:r w:rsidRPr="002462E6">
        <w:rPr>
          <w:rFonts w:ascii="Tahoma" w:hAnsi="Tahoma" w:cs="Tahoma"/>
          <w:sz w:val="24"/>
          <w:szCs w:val="24"/>
        </w:rPr>
        <w:t>Le modèle du "territoire de projet" forestier au Maroc présente incontestablement des potentialités significatives en termes d'efficacité technique et de gouvernance adaptative comme l'ont montré plusieurs évaluations récentes</w:t>
      </w:r>
      <w:r w:rsidRPr="002462E6">
        <w:rPr>
          <w:rFonts w:ascii="Tahoma" w:hAnsi="Tahoma" w:cs="Tahoma"/>
          <w:sz w:val="24"/>
          <w:szCs w:val="24"/>
          <w:vertAlign w:val="superscript"/>
        </w:rPr>
        <w:footnoteReference w:id="730"/>
      </w:r>
      <w:r w:rsidRPr="002462E6">
        <w:rPr>
          <w:rFonts w:ascii="Tahoma" w:hAnsi="Tahoma" w:cs="Tahoma"/>
          <w:sz w:val="24"/>
          <w:szCs w:val="24"/>
        </w:rPr>
        <w:t xml:space="preserve">. </w:t>
      </w:r>
    </w:p>
    <w:p w:rsidR="00FA6C95" w:rsidRPr="002462E6" w:rsidRDefault="00FA6C95" w:rsidP="00FA6C95">
      <w:pPr>
        <w:ind w:firstLine="708"/>
        <w:jc w:val="both"/>
        <w:rPr>
          <w:rFonts w:ascii="Tahoma" w:hAnsi="Tahoma" w:cs="Tahoma"/>
          <w:sz w:val="24"/>
          <w:szCs w:val="24"/>
        </w:rPr>
      </w:pPr>
      <w:r w:rsidRPr="002462E6">
        <w:rPr>
          <w:rFonts w:ascii="Tahoma" w:hAnsi="Tahoma" w:cs="Tahoma"/>
          <w:sz w:val="24"/>
          <w:szCs w:val="24"/>
        </w:rPr>
        <w:t>- L'approche spatiale intégrée permet une meilleure prise en compte des interactions écosystémiques et des dynamiques socio-écologiques complexes ;</w:t>
      </w:r>
    </w:p>
    <w:p w:rsidR="00FA6C95" w:rsidRPr="002462E6" w:rsidRDefault="00FA6C95" w:rsidP="00FA6C95">
      <w:pPr>
        <w:ind w:firstLine="708"/>
        <w:jc w:val="both"/>
        <w:rPr>
          <w:rFonts w:ascii="Tahoma" w:hAnsi="Tahoma" w:cs="Tahoma"/>
          <w:sz w:val="24"/>
          <w:szCs w:val="24"/>
        </w:rPr>
      </w:pPr>
      <w:r w:rsidRPr="002462E6">
        <w:rPr>
          <w:rFonts w:ascii="Tahoma" w:hAnsi="Tahoma" w:cs="Tahoma"/>
          <w:sz w:val="24"/>
          <w:szCs w:val="24"/>
        </w:rPr>
        <w:t xml:space="preserve">- Les mécanismes participatifs favorisent théoriquement l'intégration des savoirs locaux et des pratiques traditionnelles dans les dispositifs de gestion ;  </w:t>
      </w:r>
    </w:p>
    <w:p w:rsidR="00FA6C95" w:rsidRPr="002462E6" w:rsidRDefault="00FA6C95" w:rsidP="00FA6C95">
      <w:pPr>
        <w:ind w:firstLine="708"/>
        <w:jc w:val="both"/>
        <w:rPr>
          <w:rFonts w:ascii="Tahoma" w:hAnsi="Tahoma" w:cs="Tahoma"/>
          <w:sz w:val="24"/>
          <w:szCs w:val="24"/>
        </w:rPr>
      </w:pPr>
      <w:r w:rsidRPr="002462E6">
        <w:rPr>
          <w:rFonts w:ascii="Tahoma" w:hAnsi="Tahoma" w:cs="Tahoma"/>
          <w:sz w:val="24"/>
          <w:szCs w:val="24"/>
        </w:rPr>
        <w:t>- La contractualisation des rapports entre acteurs clarifie les responsabilités et engagements réciproques, réduisant potentiellement les incertitudes juridiques ;</w:t>
      </w:r>
    </w:p>
    <w:p w:rsidR="00FA6C95" w:rsidRPr="002462E6" w:rsidRDefault="00FA6C95" w:rsidP="00FA6C95">
      <w:pPr>
        <w:ind w:firstLine="708"/>
        <w:jc w:val="both"/>
        <w:rPr>
          <w:rFonts w:ascii="Tahoma" w:hAnsi="Tahoma" w:cs="Tahoma"/>
          <w:sz w:val="24"/>
          <w:szCs w:val="24"/>
        </w:rPr>
      </w:pPr>
      <w:r w:rsidRPr="002462E6">
        <w:rPr>
          <w:rFonts w:ascii="Tahoma" w:hAnsi="Tahoma" w:cs="Tahoma"/>
          <w:sz w:val="24"/>
          <w:szCs w:val="24"/>
        </w:rPr>
        <w:t xml:space="preserve">- L'articulation entre conservation et valorisation économique ouvre des perspectives de financement durable et d'appropriation locale des enjeux environnementaux. </w:t>
      </w:r>
    </w:p>
    <w:p w:rsidR="00FA6C95" w:rsidRPr="002462E6" w:rsidRDefault="00FA6C95" w:rsidP="00FA6C95">
      <w:pPr>
        <w:jc w:val="both"/>
        <w:rPr>
          <w:rFonts w:ascii="Tahoma" w:hAnsi="Tahoma" w:cs="Tahoma"/>
          <w:sz w:val="24"/>
          <w:szCs w:val="24"/>
        </w:rPr>
      </w:pPr>
    </w:p>
    <w:p w:rsidR="00FA6C95" w:rsidRPr="002462E6" w:rsidRDefault="00FA6C95" w:rsidP="00FA6C95">
      <w:pPr>
        <w:spacing w:line="360" w:lineRule="auto"/>
        <w:jc w:val="both"/>
        <w:rPr>
          <w:rFonts w:ascii="Tahoma" w:hAnsi="Tahoma" w:cs="Tahoma"/>
          <w:sz w:val="24"/>
          <w:szCs w:val="24"/>
        </w:rPr>
      </w:pPr>
      <w:r w:rsidRPr="002462E6">
        <w:rPr>
          <w:rFonts w:ascii="Tahoma" w:hAnsi="Tahoma" w:cs="Tahoma"/>
          <w:sz w:val="24"/>
          <w:szCs w:val="24"/>
        </w:rPr>
        <w:t>Ces potentialités ont été particulièrement mises en évidence dans certaines régions comme l'arganeraie du Sud-Ouest marocain, les écosystèmes forestiers du Rif ou encore les zones sylvo-pastorales du Moyen Atlas. Ces avancées s'inscrivent dans une évolution paradigmatique globale des politiques environnementales vers une plus grande intégration des dimensions sociales et économiques dans la conservation des écosystèmes</w:t>
      </w:r>
      <w:r w:rsidRPr="002462E6">
        <w:rPr>
          <w:rFonts w:ascii="Tahoma" w:hAnsi="Tahoma" w:cs="Tahoma"/>
          <w:sz w:val="24"/>
          <w:szCs w:val="24"/>
          <w:vertAlign w:val="superscript"/>
        </w:rPr>
        <w:footnoteReference w:id="731"/>
      </w:r>
      <w:r w:rsidRPr="002462E6">
        <w:rPr>
          <w:rFonts w:ascii="Tahoma" w:hAnsi="Tahoma" w:cs="Tahoma"/>
          <w:sz w:val="24"/>
          <w:szCs w:val="24"/>
        </w:rPr>
        <w:t>.</w:t>
      </w:r>
    </w:p>
    <w:p w:rsidR="00FA6C95" w:rsidRPr="002462E6" w:rsidRDefault="00FA6C95" w:rsidP="00FA6C95">
      <w:pPr>
        <w:spacing w:line="360" w:lineRule="auto"/>
        <w:jc w:val="both"/>
        <w:rPr>
          <w:rFonts w:ascii="Tahoma" w:hAnsi="Tahoma" w:cs="Tahoma"/>
          <w:sz w:val="24"/>
          <w:szCs w:val="24"/>
        </w:rPr>
      </w:pPr>
      <w:r w:rsidRPr="002462E6">
        <w:rPr>
          <w:rFonts w:ascii="Tahoma" w:hAnsi="Tahoma" w:cs="Tahoma"/>
          <w:sz w:val="24"/>
          <w:szCs w:val="24"/>
        </w:rPr>
        <w:t>Malgré ces potentialités, l'analyse critique du "territoire de projet" forestier au Maroc révèle plusieurs limites, contradictions et risques qui questionnent sa pertinence et sa légitimité sociopolitique</w:t>
      </w:r>
      <w:r w:rsidRPr="002462E6">
        <w:rPr>
          <w:rFonts w:ascii="Tahoma" w:hAnsi="Tahoma" w:cs="Tahoma"/>
          <w:sz w:val="24"/>
          <w:szCs w:val="24"/>
          <w:vertAlign w:val="superscript"/>
        </w:rPr>
        <w:footnoteReference w:id="732"/>
      </w:r>
      <w:r w:rsidRPr="002462E6">
        <w:rPr>
          <w:rFonts w:ascii="Tahoma" w:hAnsi="Tahoma" w:cs="Tahoma"/>
          <w:sz w:val="24"/>
          <w:szCs w:val="24"/>
        </w:rPr>
        <w:t xml:space="preserve"> :</w:t>
      </w:r>
    </w:p>
    <w:p w:rsidR="00FA6C95" w:rsidRPr="002462E6" w:rsidRDefault="00FA6C95" w:rsidP="00DC06AE">
      <w:pPr>
        <w:spacing w:line="360" w:lineRule="auto"/>
        <w:jc w:val="both"/>
        <w:rPr>
          <w:rFonts w:ascii="Tahoma" w:hAnsi="Tahoma" w:cs="Tahoma"/>
          <w:sz w:val="24"/>
          <w:szCs w:val="24"/>
        </w:rPr>
      </w:pPr>
      <w:r w:rsidRPr="002462E6">
        <w:rPr>
          <w:rFonts w:ascii="Tahoma" w:hAnsi="Tahoma" w:cs="Tahoma"/>
          <w:sz w:val="24"/>
          <w:szCs w:val="24"/>
        </w:rPr>
        <w:t>Le découpage des "territoires de projet" et les mécanismes de contractualisation associés peuvent paradoxalement renforcer une logique d'appropriation et de contrôle des espaces forestiers par des acteurs exogènes (investisseurs privés, experts internationaux), au détriment des usages locaux traditionnels</w:t>
      </w:r>
      <w:r w:rsidRPr="002462E6">
        <w:rPr>
          <w:rFonts w:ascii="Tahoma" w:hAnsi="Tahoma" w:cs="Tahoma"/>
          <w:sz w:val="24"/>
          <w:szCs w:val="24"/>
          <w:vertAlign w:val="superscript"/>
        </w:rPr>
        <w:footnoteReference w:id="733"/>
      </w:r>
      <w:r w:rsidRPr="002462E6">
        <w:rPr>
          <w:rFonts w:ascii="Tahoma" w:hAnsi="Tahoma" w:cs="Tahoma"/>
          <w:sz w:val="24"/>
          <w:szCs w:val="24"/>
        </w:rPr>
        <w:t>. Cette dynamique s'apparente à ce que certains auteurs qualifient de "néocolonialisme territorial"</w:t>
      </w:r>
      <w:r w:rsidRPr="002462E6">
        <w:rPr>
          <w:rFonts w:ascii="Tahoma" w:hAnsi="Tahoma" w:cs="Tahoma"/>
          <w:sz w:val="24"/>
          <w:szCs w:val="24"/>
          <w:vertAlign w:val="superscript"/>
        </w:rPr>
        <w:footnoteReference w:id="734"/>
      </w:r>
      <w:r w:rsidR="00DC06AE" w:rsidRPr="002462E6">
        <w:rPr>
          <w:rFonts w:ascii="Tahoma" w:hAnsi="Tahoma" w:cs="Tahoma"/>
          <w:sz w:val="24"/>
          <w:szCs w:val="24"/>
        </w:rPr>
        <w:t>, caractérisé par :</w:t>
      </w:r>
    </w:p>
    <w:p w:rsidR="00FA6C95" w:rsidRPr="002462E6" w:rsidRDefault="00FA6C95" w:rsidP="00FA6C95">
      <w:pPr>
        <w:spacing w:line="360" w:lineRule="auto"/>
        <w:ind w:firstLine="708"/>
        <w:jc w:val="both"/>
        <w:rPr>
          <w:rFonts w:ascii="Tahoma" w:hAnsi="Tahoma" w:cs="Tahoma"/>
          <w:sz w:val="24"/>
          <w:szCs w:val="24"/>
        </w:rPr>
      </w:pPr>
      <w:r w:rsidRPr="002462E6">
        <w:rPr>
          <w:rFonts w:ascii="Tahoma" w:hAnsi="Tahoma" w:cs="Tahoma"/>
          <w:sz w:val="24"/>
          <w:szCs w:val="24"/>
        </w:rPr>
        <w:t>- Une dépossession subtile des communautés de leurs prérogatives décisionnelles sur les ressources dont elles dépendent ;</w:t>
      </w:r>
    </w:p>
    <w:p w:rsidR="00FA6C95" w:rsidRPr="002462E6" w:rsidRDefault="00FA6C95" w:rsidP="00FA6C95">
      <w:pPr>
        <w:spacing w:line="360" w:lineRule="auto"/>
        <w:ind w:firstLine="708"/>
        <w:jc w:val="both"/>
        <w:rPr>
          <w:rFonts w:ascii="Tahoma" w:hAnsi="Tahoma" w:cs="Tahoma"/>
          <w:sz w:val="24"/>
          <w:szCs w:val="24"/>
        </w:rPr>
      </w:pPr>
      <w:r w:rsidRPr="002462E6">
        <w:rPr>
          <w:rFonts w:ascii="Tahoma" w:hAnsi="Tahoma" w:cs="Tahoma"/>
          <w:sz w:val="24"/>
          <w:szCs w:val="24"/>
        </w:rPr>
        <w:t>- Une technicisation des problématiques forestières qui marginalise les savoirs vernaculaires au profit d'une expertise scientifique dominante ;</w:t>
      </w:r>
    </w:p>
    <w:p w:rsidR="00FA6C95" w:rsidRPr="002462E6" w:rsidRDefault="00FA6C95" w:rsidP="00FA6C95">
      <w:pPr>
        <w:spacing w:line="360" w:lineRule="auto"/>
        <w:ind w:firstLine="708"/>
        <w:jc w:val="both"/>
        <w:rPr>
          <w:rFonts w:ascii="Tahoma" w:hAnsi="Tahoma" w:cs="Tahoma"/>
          <w:sz w:val="24"/>
          <w:szCs w:val="24"/>
        </w:rPr>
      </w:pPr>
      <w:r w:rsidRPr="002462E6">
        <w:rPr>
          <w:rFonts w:ascii="Tahoma" w:hAnsi="Tahoma" w:cs="Tahoma"/>
          <w:sz w:val="24"/>
          <w:szCs w:val="24"/>
        </w:rPr>
        <w:t>- Une instrumentalisation de la participation locale, souvent réduite à une consultation formelle sans réelle délégation de pouvoir ;</w:t>
      </w:r>
    </w:p>
    <w:p w:rsidR="00FA6C95" w:rsidRPr="002462E6" w:rsidRDefault="00FA6C95" w:rsidP="00FA6C95">
      <w:pPr>
        <w:spacing w:line="360" w:lineRule="auto"/>
        <w:ind w:firstLine="708"/>
        <w:jc w:val="both"/>
        <w:rPr>
          <w:rFonts w:ascii="Tahoma" w:hAnsi="Tahoma" w:cs="Tahoma"/>
          <w:sz w:val="24"/>
          <w:szCs w:val="24"/>
        </w:rPr>
      </w:pPr>
      <w:r w:rsidRPr="002462E6">
        <w:rPr>
          <w:rFonts w:ascii="Tahoma" w:hAnsi="Tahoma" w:cs="Tahoma"/>
          <w:sz w:val="24"/>
          <w:szCs w:val="24"/>
        </w:rPr>
        <w:t>- Une marchandisation croissante des ressources naturelles sous couvert de "développement durable".</w:t>
      </w:r>
    </w:p>
    <w:p w:rsidR="00FA6C95" w:rsidRPr="002462E6" w:rsidRDefault="00FA6C95" w:rsidP="00FA6C95">
      <w:pPr>
        <w:spacing w:line="360" w:lineRule="auto"/>
        <w:jc w:val="both"/>
        <w:rPr>
          <w:rFonts w:ascii="Tahoma" w:hAnsi="Tahoma" w:cs="Tahoma"/>
          <w:sz w:val="24"/>
          <w:szCs w:val="24"/>
        </w:rPr>
      </w:pPr>
      <w:r w:rsidRPr="002462E6">
        <w:rPr>
          <w:rFonts w:ascii="Tahoma" w:hAnsi="Tahoma" w:cs="Tahoma"/>
          <w:sz w:val="24"/>
          <w:szCs w:val="24"/>
        </w:rPr>
        <w:t>Ces phénomènes s'inscrivent dans ce que Foucault (1994) qualifierait de "gouvernementalité environnementale"</w:t>
      </w:r>
      <w:r w:rsidRPr="002462E6">
        <w:rPr>
          <w:rFonts w:ascii="Tahoma" w:hAnsi="Tahoma" w:cs="Tahoma"/>
          <w:sz w:val="24"/>
          <w:szCs w:val="24"/>
          <w:vertAlign w:val="superscript"/>
        </w:rPr>
        <w:footnoteReference w:id="735"/>
      </w:r>
      <w:r w:rsidRPr="002462E6">
        <w:rPr>
          <w:rFonts w:ascii="Tahoma" w:hAnsi="Tahoma" w:cs="Tahoma"/>
          <w:sz w:val="24"/>
          <w:szCs w:val="24"/>
        </w:rPr>
        <w:t>, où les dispositifs techniques de gestion forestière constituent des technologies de pouvoir reconfigurant les rapports sociaux à l'environnement. Cette analyse s'inscrit dans le courant critique de l'écologie politique</w:t>
      </w:r>
      <w:r w:rsidRPr="002462E6">
        <w:rPr>
          <w:rFonts w:ascii="Tahoma" w:hAnsi="Tahoma" w:cs="Tahoma"/>
          <w:sz w:val="24"/>
          <w:szCs w:val="24"/>
          <w:vertAlign w:val="superscript"/>
        </w:rPr>
        <w:footnoteReference w:id="736"/>
      </w:r>
      <w:r w:rsidRPr="002462E6">
        <w:rPr>
          <w:rFonts w:ascii="Tahoma" w:hAnsi="Tahoma" w:cs="Tahoma"/>
          <w:sz w:val="24"/>
          <w:szCs w:val="24"/>
        </w:rPr>
        <w:t xml:space="preserve"> qui examine les dimensions politiques des interventions environnementales et leurs effets en termes de (re)distribution du pouvoir et des ressources.</w:t>
      </w:r>
    </w:p>
    <w:p w:rsidR="00FA6C95" w:rsidRPr="002462E6" w:rsidRDefault="00FA6C95" w:rsidP="00FA6C95">
      <w:pPr>
        <w:spacing w:line="360" w:lineRule="auto"/>
        <w:jc w:val="both"/>
        <w:rPr>
          <w:rFonts w:ascii="Tahoma" w:hAnsi="Tahoma" w:cs="Tahoma"/>
          <w:sz w:val="24"/>
          <w:szCs w:val="24"/>
        </w:rPr>
      </w:pPr>
      <w:r w:rsidRPr="002462E6">
        <w:rPr>
          <w:rFonts w:ascii="Tahoma" w:hAnsi="Tahoma" w:cs="Tahoma"/>
          <w:sz w:val="24"/>
          <w:szCs w:val="24"/>
        </w:rPr>
        <w:t>L'instauration des "territoires de projet" engendre paradoxalement de nouvelles conflictualités territoriales </w:t>
      </w:r>
      <w:r w:rsidRPr="002462E6">
        <w:rPr>
          <w:rFonts w:ascii="Tahoma" w:hAnsi="Tahoma" w:cs="Tahoma"/>
          <w:sz w:val="24"/>
          <w:szCs w:val="24"/>
          <w:vertAlign w:val="superscript"/>
        </w:rPr>
        <w:footnoteReference w:id="737"/>
      </w:r>
      <w:r w:rsidRPr="002462E6">
        <w:rPr>
          <w:rFonts w:ascii="Tahoma" w:hAnsi="Tahoma" w:cs="Tahoma"/>
          <w:sz w:val="24"/>
          <w:szCs w:val="24"/>
        </w:rPr>
        <w:t>:</w:t>
      </w:r>
    </w:p>
    <w:p w:rsidR="00FA6C95" w:rsidRPr="002462E6" w:rsidRDefault="00FA6C95" w:rsidP="00FA6C95">
      <w:pPr>
        <w:spacing w:line="360" w:lineRule="auto"/>
        <w:ind w:firstLine="708"/>
        <w:jc w:val="both"/>
        <w:rPr>
          <w:rFonts w:ascii="Tahoma" w:hAnsi="Tahoma" w:cs="Tahoma"/>
          <w:sz w:val="24"/>
          <w:szCs w:val="24"/>
        </w:rPr>
      </w:pPr>
      <w:r w:rsidRPr="002462E6">
        <w:rPr>
          <w:rFonts w:ascii="Tahoma" w:hAnsi="Tahoma" w:cs="Tahoma"/>
          <w:sz w:val="24"/>
          <w:szCs w:val="24"/>
        </w:rPr>
        <w:t>- Des tensions entre collectivités territoriales concernant la délimitation des compétences et l'accès aux ressources fiscales générées par l'exploitation forestière ;</w:t>
      </w:r>
    </w:p>
    <w:p w:rsidR="00FA6C95" w:rsidRPr="002462E6" w:rsidRDefault="00FA6C95" w:rsidP="00FA6C95">
      <w:pPr>
        <w:spacing w:line="360" w:lineRule="auto"/>
        <w:ind w:firstLine="708"/>
        <w:jc w:val="both"/>
        <w:rPr>
          <w:rFonts w:ascii="Tahoma" w:hAnsi="Tahoma" w:cs="Tahoma"/>
          <w:sz w:val="24"/>
          <w:szCs w:val="24"/>
        </w:rPr>
      </w:pPr>
      <w:r w:rsidRPr="002462E6">
        <w:rPr>
          <w:rFonts w:ascii="Tahoma" w:hAnsi="Tahoma" w:cs="Tahoma"/>
          <w:sz w:val="24"/>
          <w:szCs w:val="24"/>
        </w:rPr>
        <w:t>- Des compétitions entre groupes communautaires pour le contrôle des instances participatives et l'accès privilégié aux bénéfices des projets ;</w:t>
      </w:r>
    </w:p>
    <w:p w:rsidR="00FA6C95" w:rsidRPr="002462E6" w:rsidRDefault="00FA6C95" w:rsidP="00FA6C95">
      <w:pPr>
        <w:spacing w:line="360" w:lineRule="auto"/>
        <w:ind w:firstLine="708"/>
        <w:jc w:val="both"/>
        <w:rPr>
          <w:rFonts w:ascii="Tahoma" w:hAnsi="Tahoma" w:cs="Tahoma"/>
          <w:sz w:val="24"/>
          <w:szCs w:val="24"/>
        </w:rPr>
      </w:pPr>
      <w:r w:rsidRPr="002462E6">
        <w:rPr>
          <w:rFonts w:ascii="Tahoma" w:hAnsi="Tahoma" w:cs="Tahoma"/>
          <w:sz w:val="24"/>
          <w:szCs w:val="24"/>
        </w:rPr>
        <w:t>- Des divergences entre logiques conservationnistes portées par l'administration et aspirations développementalistes exprimées par les populations locales ;</w:t>
      </w:r>
    </w:p>
    <w:p w:rsidR="00FA6C95" w:rsidRPr="002462E6" w:rsidRDefault="00FA6C95" w:rsidP="00FA6C95">
      <w:pPr>
        <w:spacing w:line="360" w:lineRule="auto"/>
        <w:ind w:firstLine="708"/>
        <w:jc w:val="both"/>
        <w:rPr>
          <w:rFonts w:ascii="Tahoma" w:hAnsi="Tahoma" w:cs="Tahoma"/>
          <w:sz w:val="24"/>
          <w:szCs w:val="24"/>
        </w:rPr>
      </w:pPr>
      <w:r w:rsidRPr="002462E6">
        <w:rPr>
          <w:rFonts w:ascii="Tahoma" w:hAnsi="Tahoma" w:cs="Tahoma"/>
          <w:sz w:val="24"/>
          <w:szCs w:val="24"/>
        </w:rPr>
        <w:t>- Des conflits intergénérationnels et de genre au sein des communautés concernant la redéfinition des modalités d'accès aux ressources.</w:t>
      </w:r>
    </w:p>
    <w:p w:rsidR="00FA6C95" w:rsidRPr="002462E6" w:rsidRDefault="00FA6C95" w:rsidP="00FA6C95">
      <w:pPr>
        <w:spacing w:line="360" w:lineRule="auto"/>
        <w:jc w:val="both"/>
        <w:rPr>
          <w:rFonts w:ascii="Tahoma" w:hAnsi="Tahoma" w:cs="Tahoma"/>
          <w:sz w:val="24"/>
          <w:szCs w:val="24"/>
        </w:rPr>
      </w:pPr>
      <w:r w:rsidRPr="002462E6">
        <w:rPr>
          <w:rFonts w:ascii="Tahoma" w:hAnsi="Tahoma" w:cs="Tahoma"/>
          <w:sz w:val="24"/>
          <w:szCs w:val="24"/>
        </w:rPr>
        <w:t>Ces conflictualités témoignent de la dimension fondamentalement politique des interventions environnementales, souvent masquée derrière une rhétorique techniciste et consensualiste. Elles s'inscrivent dans une longue histoire de tensions socio-écologiques dans les zones forestières marocaines et révèlent les limites d'une approche territoriale insuffisamment attentive aux rapports de pouvoir préexistants</w:t>
      </w:r>
      <w:r w:rsidRPr="002462E6">
        <w:rPr>
          <w:rFonts w:ascii="Tahoma" w:hAnsi="Tahoma" w:cs="Tahoma"/>
          <w:sz w:val="24"/>
          <w:szCs w:val="24"/>
          <w:vertAlign w:val="superscript"/>
        </w:rPr>
        <w:footnoteReference w:id="738"/>
      </w:r>
      <w:r w:rsidRPr="002462E6">
        <w:rPr>
          <w:rFonts w:ascii="Tahoma" w:hAnsi="Tahoma" w:cs="Tahoma"/>
          <w:sz w:val="24"/>
          <w:szCs w:val="24"/>
        </w:rPr>
        <w:t>.</w:t>
      </w:r>
    </w:p>
    <w:p w:rsidR="00FA6C95" w:rsidRPr="002462E6" w:rsidRDefault="00FA6C95" w:rsidP="00FA6C95">
      <w:pPr>
        <w:ind w:firstLine="708"/>
        <w:jc w:val="both"/>
        <w:rPr>
          <w:rFonts w:ascii="Tahoma" w:hAnsi="Tahoma" w:cs="Tahoma"/>
          <w:sz w:val="24"/>
          <w:szCs w:val="24"/>
        </w:rPr>
      </w:pPr>
      <w:r w:rsidRPr="002462E6">
        <w:rPr>
          <w:rFonts w:ascii="Tahoma" w:hAnsi="Tahoma" w:cs="Tahoma"/>
          <w:sz w:val="24"/>
          <w:szCs w:val="24"/>
        </w:rPr>
        <w:t>- Des divergences entre logiques conservationnistes portées par l'administration et aspirations développementalistes exprimées par les populations locales ;</w:t>
      </w:r>
    </w:p>
    <w:p w:rsidR="00FA6C95" w:rsidRPr="002462E6" w:rsidRDefault="00FA6C95" w:rsidP="00FA6C95">
      <w:pPr>
        <w:ind w:firstLine="708"/>
        <w:jc w:val="both"/>
        <w:rPr>
          <w:rFonts w:ascii="Tahoma" w:hAnsi="Tahoma" w:cs="Tahoma"/>
          <w:sz w:val="24"/>
          <w:szCs w:val="24"/>
        </w:rPr>
      </w:pPr>
      <w:r w:rsidRPr="002462E6">
        <w:rPr>
          <w:rFonts w:ascii="Tahoma" w:hAnsi="Tahoma" w:cs="Tahoma"/>
          <w:sz w:val="24"/>
          <w:szCs w:val="24"/>
        </w:rPr>
        <w:t>- Des conflits intergénérationnels et de genre au sein des communautés concernant la redéfinition des modalités d'accès aux ressources.</w:t>
      </w:r>
    </w:p>
    <w:p w:rsidR="00FA6C95" w:rsidRPr="002462E6" w:rsidRDefault="00FA6C95" w:rsidP="00FA6C95">
      <w:pPr>
        <w:spacing w:line="360" w:lineRule="auto"/>
        <w:jc w:val="both"/>
        <w:rPr>
          <w:rFonts w:ascii="Tahoma" w:hAnsi="Tahoma" w:cs="Tahoma"/>
          <w:sz w:val="24"/>
          <w:szCs w:val="24"/>
        </w:rPr>
      </w:pPr>
      <w:r w:rsidRPr="002462E6">
        <w:rPr>
          <w:rFonts w:ascii="Tahoma" w:hAnsi="Tahoma" w:cs="Tahoma"/>
          <w:sz w:val="24"/>
          <w:szCs w:val="24"/>
        </w:rPr>
        <w:t>Ces conflictualités témoignent de la dimension fondamentalement politique des interventions environnementales, souvent masquée derrière une rhétorique techniciste et consensualiste</w:t>
      </w:r>
      <w:r w:rsidRPr="002462E6">
        <w:rPr>
          <w:rFonts w:ascii="Tahoma" w:hAnsi="Tahoma" w:cs="Tahoma"/>
          <w:sz w:val="24"/>
          <w:szCs w:val="24"/>
          <w:vertAlign w:val="superscript"/>
        </w:rPr>
        <w:footnoteReference w:id="739"/>
      </w:r>
      <w:r w:rsidRPr="002462E6">
        <w:rPr>
          <w:rFonts w:ascii="Tahoma" w:hAnsi="Tahoma" w:cs="Tahoma"/>
          <w:sz w:val="24"/>
          <w:szCs w:val="24"/>
        </w:rPr>
        <w:t>.</w:t>
      </w:r>
    </w:p>
    <w:p w:rsidR="00FA6C95" w:rsidRPr="002462E6" w:rsidRDefault="00FA6C95" w:rsidP="00FA6C95">
      <w:pPr>
        <w:spacing w:line="360" w:lineRule="auto"/>
        <w:jc w:val="both"/>
        <w:rPr>
          <w:rFonts w:ascii="Tahoma" w:hAnsi="Tahoma" w:cs="Tahoma"/>
          <w:sz w:val="24"/>
          <w:szCs w:val="24"/>
        </w:rPr>
      </w:pPr>
      <w:r w:rsidRPr="002462E6">
        <w:rPr>
          <w:rFonts w:ascii="Tahoma" w:hAnsi="Tahoma" w:cs="Tahoma"/>
          <w:sz w:val="24"/>
          <w:szCs w:val="24"/>
        </w:rPr>
        <w:t xml:space="preserve">Au-delà des questionnements politiques, l'efficacité technique même du modèle est remise en question par plusieurs facteurs : </w:t>
      </w:r>
    </w:p>
    <w:p w:rsidR="00FA6C95" w:rsidRPr="002462E6" w:rsidRDefault="00FA6C95" w:rsidP="00FA6C95">
      <w:pPr>
        <w:spacing w:line="360" w:lineRule="auto"/>
        <w:ind w:firstLine="708"/>
        <w:jc w:val="both"/>
        <w:rPr>
          <w:rFonts w:ascii="Tahoma" w:hAnsi="Tahoma" w:cs="Tahoma"/>
          <w:sz w:val="24"/>
          <w:szCs w:val="24"/>
        </w:rPr>
      </w:pPr>
      <w:r w:rsidRPr="002462E6">
        <w:rPr>
          <w:rFonts w:ascii="Tahoma" w:hAnsi="Tahoma" w:cs="Tahoma"/>
          <w:sz w:val="24"/>
          <w:szCs w:val="24"/>
        </w:rPr>
        <w:t>- La faible application effective des dispositions législatives et réglementaires forestières, révélant un écart substantiel entre cadre normatif et pratiques réelles ;</w:t>
      </w:r>
    </w:p>
    <w:p w:rsidR="00FA6C95" w:rsidRPr="002462E6" w:rsidRDefault="00FA6C95" w:rsidP="00FA6C95">
      <w:pPr>
        <w:spacing w:line="360" w:lineRule="auto"/>
        <w:ind w:firstLine="708"/>
        <w:jc w:val="both"/>
        <w:rPr>
          <w:rFonts w:ascii="Tahoma" w:hAnsi="Tahoma" w:cs="Tahoma"/>
          <w:sz w:val="24"/>
          <w:szCs w:val="24"/>
        </w:rPr>
      </w:pPr>
      <w:r w:rsidRPr="002462E6">
        <w:rPr>
          <w:rFonts w:ascii="Tahoma" w:hAnsi="Tahoma" w:cs="Tahoma"/>
          <w:sz w:val="24"/>
          <w:szCs w:val="24"/>
        </w:rPr>
        <w:t>- Le manque de coordination intersectorielle et inter-institutionnelle, fragmentant l'action publique territoriale ;</w:t>
      </w:r>
    </w:p>
    <w:p w:rsidR="00FA6C95" w:rsidRPr="002462E6" w:rsidRDefault="00FA6C95" w:rsidP="00FA6C95">
      <w:pPr>
        <w:spacing w:line="360" w:lineRule="auto"/>
        <w:ind w:firstLine="708"/>
        <w:jc w:val="both"/>
        <w:rPr>
          <w:rFonts w:ascii="Tahoma" w:hAnsi="Tahoma" w:cs="Tahoma"/>
          <w:sz w:val="24"/>
          <w:szCs w:val="24"/>
        </w:rPr>
      </w:pPr>
      <w:r w:rsidRPr="002462E6">
        <w:rPr>
          <w:rFonts w:ascii="Tahoma" w:hAnsi="Tahoma" w:cs="Tahoma"/>
          <w:sz w:val="24"/>
          <w:szCs w:val="24"/>
        </w:rPr>
        <w:t>- L'insuffisance des moyens humains et financiers alloués aux instances participatives locales, limitant leur opérationnalité ;</w:t>
      </w:r>
    </w:p>
    <w:p w:rsidR="00FA6C95" w:rsidRPr="002462E6" w:rsidRDefault="00FA6C95" w:rsidP="00FA6C95">
      <w:pPr>
        <w:spacing w:line="360" w:lineRule="auto"/>
        <w:ind w:firstLine="708"/>
        <w:jc w:val="both"/>
        <w:rPr>
          <w:rFonts w:ascii="Tahoma" w:hAnsi="Tahoma" w:cs="Tahoma"/>
          <w:sz w:val="24"/>
          <w:szCs w:val="24"/>
        </w:rPr>
      </w:pPr>
      <w:r w:rsidRPr="002462E6">
        <w:rPr>
          <w:rFonts w:ascii="Tahoma" w:hAnsi="Tahoma" w:cs="Tahoma"/>
          <w:sz w:val="24"/>
          <w:szCs w:val="24"/>
        </w:rPr>
        <w:t>- La persistance de pratiques informelles et d'arrangements coutumiers parallèles aux dispositifs formels, témoignant d'une résistance passive aux logiques imposées.</w:t>
      </w:r>
    </w:p>
    <w:p w:rsidR="00FA6C95" w:rsidRPr="002462E6" w:rsidRDefault="00FA6C95" w:rsidP="00FA6C95">
      <w:pPr>
        <w:spacing w:line="360" w:lineRule="auto"/>
        <w:jc w:val="both"/>
        <w:rPr>
          <w:rFonts w:ascii="Tahoma" w:hAnsi="Tahoma" w:cs="Tahoma"/>
          <w:sz w:val="24"/>
          <w:szCs w:val="24"/>
        </w:rPr>
      </w:pPr>
      <w:r w:rsidRPr="002462E6">
        <w:rPr>
          <w:rFonts w:ascii="Tahoma" w:hAnsi="Tahoma" w:cs="Tahoma"/>
          <w:sz w:val="24"/>
          <w:szCs w:val="24"/>
        </w:rPr>
        <w:t>Ces insuffisances révèlent les limites d'une approche trop mécaniste de l'ingénierie institutionnelle, négligeant la complexité des systèmes socio-écologiques et la profondeur historique des rapports sociaux à l'environnement. Elles mettent également en évidence les contradictions inhérentes aux politiques de décentralisation forestière au Maroc et dans d'autres contextes similaires</w:t>
      </w:r>
      <w:r w:rsidRPr="002462E6">
        <w:rPr>
          <w:rFonts w:ascii="Tahoma" w:hAnsi="Tahoma" w:cs="Tahoma"/>
          <w:sz w:val="24"/>
          <w:szCs w:val="24"/>
          <w:vertAlign w:val="superscript"/>
        </w:rPr>
        <w:footnoteReference w:id="740"/>
      </w:r>
      <w:r w:rsidRPr="002462E6">
        <w:rPr>
          <w:rFonts w:ascii="Tahoma" w:hAnsi="Tahoma" w:cs="Tahoma"/>
          <w:sz w:val="24"/>
          <w:szCs w:val="24"/>
        </w:rPr>
        <w:t>.</w:t>
      </w:r>
    </w:p>
    <w:p w:rsidR="00FA6C95" w:rsidRPr="002462E6" w:rsidRDefault="00FA6C95" w:rsidP="00FA6C95">
      <w:pPr>
        <w:spacing w:line="360" w:lineRule="auto"/>
        <w:jc w:val="both"/>
        <w:rPr>
          <w:rFonts w:ascii="Tahoma" w:hAnsi="Tahoma" w:cs="Tahoma"/>
          <w:sz w:val="24"/>
          <w:szCs w:val="24"/>
        </w:rPr>
      </w:pPr>
      <w:r w:rsidRPr="002462E6">
        <w:rPr>
          <w:rFonts w:ascii="Tahoma" w:hAnsi="Tahoma" w:cs="Tahoma"/>
          <w:sz w:val="24"/>
          <w:szCs w:val="24"/>
        </w:rPr>
        <w:t>Enfin, malgré sa prétention à l'adaptabilité contextuelle, le modèle du "territoire de projet" tend à homogénéiser les approches interventionnistes, négligeant la diversité des configurations socio-écologiques marocaines</w:t>
      </w:r>
      <w:r w:rsidRPr="002462E6">
        <w:rPr>
          <w:rFonts w:ascii="Tahoma" w:hAnsi="Tahoma" w:cs="Tahoma"/>
          <w:sz w:val="24"/>
          <w:szCs w:val="24"/>
          <w:vertAlign w:val="superscript"/>
        </w:rPr>
        <w:footnoteReference w:id="741"/>
      </w:r>
      <w:r w:rsidRPr="002462E6">
        <w:rPr>
          <w:rFonts w:ascii="Tahoma" w:hAnsi="Tahoma" w:cs="Tahoma"/>
          <w:sz w:val="24"/>
          <w:szCs w:val="24"/>
        </w:rPr>
        <w:t xml:space="preserve"> :</w:t>
      </w:r>
    </w:p>
    <w:p w:rsidR="00FA6C95" w:rsidRPr="002462E6" w:rsidRDefault="00FA6C95" w:rsidP="00FA6C95">
      <w:pPr>
        <w:spacing w:line="360" w:lineRule="auto"/>
        <w:ind w:firstLine="708"/>
        <w:jc w:val="both"/>
        <w:rPr>
          <w:rFonts w:ascii="Tahoma" w:hAnsi="Tahoma" w:cs="Tahoma"/>
          <w:sz w:val="24"/>
          <w:szCs w:val="24"/>
        </w:rPr>
      </w:pPr>
      <w:r w:rsidRPr="002462E6">
        <w:rPr>
          <w:rFonts w:ascii="Tahoma" w:hAnsi="Tahoma" w:cs="Tahoma"/>
          <w:sz w:val="24"/>
          <w:szCs w:val="24"/>
        </w:rPr>
        <w:t xml:space="preserve">- La variété des écosystèmes forestiers (cédraies du Moyen Atlas, arganeraies du Sud-Ouest, subéraies du Rif, etc.) implique des modes de gestion différenciés ; </w:t>
      </w:r>
    </w:p>
    <w:p w:rsidR="00FA6C95" w:rsidRPr="002462E6" w:rsidRDefault="00FA6C95" w:rsidP="00FA6C95">
      <w:pPr>
        <w:spacing w:line="360" w:lineRule="auto"/>
        <w:ind w:firstLine="708"/>
        <w:jc w:val="both"/>
        <w:rPr>
          <w:rFonts w:ascii="Tahoma" w:hAnsi="Tahoma" w:cs="Tahoma"/>
          <w:sz w:val="24"/>
          <w:szCs w:val="24"/>
        </w:rPr>
      </w:pPr>
      <w:r w:rsidRPr="002462E6">
        <w:rPr>
          <w:rFonts w:ascii="Tahoma" w:hAnsi="Tahoma" w:cs="Tahoma"/>
          <w:sz w:val="24"/>
          <w:szCs w:val="24"/>
        </w:rPr>
        <w:t>- La diversité des systèmes agro-sylvo-pastoraux traditionnels (agdal, azroug, etc.) reflète des adaptations socio-écologiques séculaires insuffisamment reconnues ;</w:t>
      </w:r>
    </w:p>
    <w:p w:rsidR="00FA6C95" w:rsidRPr="002462E6" w:rsidRDefault="00FA6C95" w:rsidP="00FA6C95">
      <w:pPr>
        <w:spacing w:line="360" w:lineRule="auto"/>
        <w:ind w:firstLine="708"/>
        <w:jc w:val="both"/>
        <w:rPr>
          <w:rFonts w:ascii="Tahoma" w:hAnsi="Tahoma" w:cs="Tahoma"/>
          <w:sz w:val="24"/>
          <w:szCs w:val="24"/>
        </w:rPr>
      </w:pPr>
      <w:r w:rsidRPr="002462E6">
        <w:rPr>
          <w:rFonts w:ascii="Tahoma" w:hAnsi="Tahoma" w:cs="Tahoma"/>
          <w:sz w:val="24"/>
          <w:szCs w:val="24"/>
        </w:rPr>
        <w:t>- L'hétérogénéité des structures sociales communautaires (tribales, lignagères, associatives) nécessite des approches participatives différenciées ;</w:t>
      </w:r>
    </w:p>
    <w:p w:rsidR="00FA6C95" w:rsidRPr="002462E6" w:rsidRDefault="00FA6C95" w:rsidP="00FA6C95">
      <w:pPr>
        <w:spacing w:line="360" w:lineRule="auto"/>
        <w:jc w:val="both"/>
        <w:rPr>
          <w:rFonts w:ascii="Tahoma" w:hAnsi="Tahoma" w:cs="Tahoma"/>
          <w:sz w:val="24"/>
          <w:szCs w:val="24"/>
        </w:rPr>
      </w:pPr>
      <w:r w:rsidRPr="002462E6">
        <w:rPr>
          <w:rFonts w:ascii="Tahoma" w:hAnsi="Tahoma" w:cs="Tahoma"/>
          <w:sz w:val="24"/>
          <w:szCs w:val="24"/>
        </w:rPr>
        <w:t>- La pluralité des rapports culturels et symboliques aux espaces forestiers constitue une dimension souvent négligée des projets d'aménagement.</w:t>
      </w:r>
    </w:p>
    <w:p w:rsidR="00FA6C95" w:rsidRPr="002462E6" w:rsidRDefault="00FA6C95" w:rsidP="00FA6C95">
      <w:pPr>
        <w:spacing w:line="360" w:lineRule="auto"/>
        <w:jc w:val="both"/>
        <w:rPr>
          <w:rFonts w:ascii="Tahoma" w:hAnsi="Tahoma" w:cs="Tahoma"/>
          <w:sz w:val="24"/>
          <w:szCs w:val="24"/>
        </w:rPr>
      </w:pPr>
      <w:r w:rsidRPr="002462E6">
        <w:rPr>
          <w:rFonts w:ascii="Tahoma" w:hAnsi="Tahoma" w:cs="Tahoma"/>
          <w:sz w:val="24"/>
          <w:szCs w:val="24"/>
        </w:rPr>
        <w:t>Cette standardisation tendancielle des interventions révèle les limites d'un modèle encore insuffisamment émancipé d'une conception technocratique et uniformisante du développement territorial. Elle reflète également les contraintes opérationnelles imposées par les cadres nationaux et internationaux de financement du développement ainsi que l'influence persistante des paradigmes techno-scientifiques occidentaux dans la gestion environnementale au Maghreb.</w:t>
      </w:r>
    </w:p>
    <w:p w:rsidR="00FA6C95" w:rsidRPr="002462E6" w:rsidRDefault="00FA6C95" w:rsidP="00FA6C95">
      <w:pPr>
        <w:spacing w:line="360" w:lineRule="auto"/>
        <w:jc w:val="both"/>
        <w:rPr>
          <w:rFonts w:ascii="Tahoma" w:hAnsi="Tahoma" w:cs="Tahoma"/>
          <w:sz w:val="24"/>
          <w:szCs w:val="24"/>
        </w:rPr>
      </w:pPr>
      <w:r w:rsidRPr="002462E6">
        <w:rPr>
          <w:rFonts w:ascii="Tahoma" w:hAnsi="Tahoma" w:cs="Tahoma"/>
          <w:sz w:val="24"/>
          <w:szCs w:val="24"/>
        </w:rPr>
        <w:t>En définitive, sous l'apparence d'une neutralité technique et d'un consensus participatif, le "territoire de projet" reconfigure profondément les rapports sociopolitiques aux espaces forestiers, induisant potentiellement de nouvelles formes de domination territoriale qui s'apparentent à un néocolonialisme environnemental interne. La technicisation des problématiques forestières, la marchandisation croissante des ressources naturelles et l'instrumentalisation de la participation locale constituent des mécanismes subtils de dépossession qui méritent une attention critique soutenue.</w:t>
      </w:r>
    </w:p>
    <w:p w:rsidR="00FA6C95" w:rsidRPr="002462E6" w:rsidRDefault="00FA6C95" w:rsidP="005979B4">
      <w:pPr>
        <w:spacing w:line="360" w:lineRule="auto"/>
        <w:jc w:val="both"/>
        <w:rPr>
          <w:rFonts w:ascii="Tahoma" w:hAnsi="Tahoma" w:cs="Tahoma"/>
          <w:sz w:val="24"/>
          <w:szCs w:val="24"/>
        </w:rPr>
      </w:pPr>
      <w:r w:rsidRPr="002462E6">
        <w:rPr>
          <w:rFonts w:ascii="Tahoma" w:hAnsi="Tahoma" w:cs="Tahoma"/>
          <w:sz w:val="24"/>
          <w:szCs w:val="24"/>
        </w:rPr>
        <w:t xml:space="preserve">L'efficacité du "territoire de projet" forestier marocain dépendra ultimement de sa capacité à transcender cette tension dialectique en instaurant un équilibre dynamique entre expertise technique et souveraineté communautaire, entre valorisation économique et préservation écologique, entre modernisation institutionnelle et respect des spécificités </w:t>
      </w:r>
      <w:r w:rsidR="005979B4">
        <w:rPr>
          <w:rFonts w:ascii="Tahoma" w:hAnsi="Tahoma" w:cs="Tahoma"/>
          <w:sz w:val="24"/>
          <w:szCs w:val="24"/>
        </w:rPr>
        <w:t>socioculturelles territoriales.</w:t>
      </w:r>
    </w:p>
    <w:p w:rsidR="00FA6C95" w:rsidRPr="002462E6" w:rsidRDefault="00FA6C95" w:rsidP="00BF1F48">
      <w:pPr>
        <w:pStyle w:val="Titre5"/>
      </w:pPr>
      <w:r w:rsidRPr="002462E6">
        <w:t xml:space="preserve"> </w:t>
      </w:r>
      <w:bookmarkStart w:id="389" w:name="_Toc201655525"/>
      <w:bookmarkStart w:id="390" w:name="_Toc203643097"/>
      <w:r w:rsidRPr="002462E6">
        <w:t>La réconciliation comme nouveau paradigme : rupture conceptuelle ou réajustement superficiel ?</w:t>
      </w:r>
      <w:bookmarkEnd w:id="389"/>
      <w:bookmarkEnd w:id="390"/>
    </w:p>
    <w:p w:rsidR="00FA6C95" w:rsidRPr="002462E6" w:rsidRDefault="00FA6C95" w:rsidP="00FA6C95">
      <w:pPr>
        <w:spacing w:line="360" w:lineRule="auto"/>
        <w:jc w:val="both"/>
        <w:rPr>
          <w:rFonts w:ascii="Tahoma" w:hAnsi="Tahoma" w:cs="Tahoma"/>
          <w:sz w:val="24"/>
          <w:szCs w:val="24"/>
        </w:rPr>
      </w:pPr>
      <w:r w:rsidRPr="002462E6">
        <w:rPr>
          <w:rFonts w:ascii="Tahoma" w:hAnsi="Tahoma" w:cs="Tahoma"/>
          <w:sz w:val="24"/>
          <w:szCs w:val="24"/>
        </w:rPr>
        <w:t>La stratégie "Forêts du Maroc 2020-2030", en proposant de "réconcilier le marocain avec son espace forestier", introduit un nouveau paradigme dans le discours officiel sur la gestion forestière au Maroc. Cette évolution lexicale et conceptuelle mérite d'interroger la portée épistémologique et praxéologique de cette notion, en questionnant sa dimension potentiellement transformative ou, au contraire, son caractère éventuellement cosmétique dans le contexte spécifique de la stratégie "Forêts du Maroc 2020-2030"</w:t>
      </w:r>
      <w:r w:rsidRPr="002462E6">
        <w:rPr>
          <w:rFonts w:ascii="Tahoma" w:hAnsi="Tahoma" w:cs="Tahoma"/>
          <w:sz w:val="24"/>
          <w:szCs w:val="24"/>
          <w:vertAlign w:val="superscript"/>
        </w:rPr>
        <w:footnoteReference w:id="742"/>
      </w:r>
      <w:r w:rsidRPr="002462E6">
        <w:rPr>
          <w:rFonts w:ascii="Tahoma" w:hAnsi="Tahoma" w:cs="Tahoma"/>
          <w:sz w:val="24"/>
          <w:szCs w:val="24"/>
        </w:rPr>
        <w:t>. L'hypothèse principale soutient que l'émergence de ce paradigme réconciliateur s'inscrit dans une dialectique complexe entre rupture conceptuelle et continuité instrumentale des politiques forestières antérieures</w:t>
      </w:r>
      <w:r w:rsidRPr="002462E6">
        <w:rPr>
          <w:rFonts w:ascii="Tahoma" w:hAnsi="Tahoma" w:cs="Tahoma"/>
          <w:sz w:val="24"/>
          <w:szCs w:val="24"/>
          <w:vertAlign w:val="superscript"/>
        </w:rPr>
        <w:footnoteReference w:id="743"/>
      </w:r>
      <w:r w:rsidRPr="002462E6">
        <w:rPr>
          <w:rFonts w:ascii="Tahoma" w:hAnsi="Tahoma" w:cs="Tahoma"/>
          <w:sz w:val="24"/>
          <w:szCs w:val="24"/>
        </w:rPr>
        <w:t>.</w:t>
      </w:r>
    </w:p>
    <w:p w:rsidR="00FA6C95" w:rsidRPr="002462E6" w:rsidRDefault="00FA6C95" w:rsidP="00FA6C95">
      <w:pPr>
        <w:spacing w:line="360" w:lineRule="auto"/>
        <w:jc w:val="both"/>
        <w:rPr>
          <w:rFonts w:ascii="Tahoma" w:hAnsi="Tahoma" w:cs="Tahoma"/>
          <w:sz w:val="24"/>
          <w:szCs w:val="24"/>
        </w:rPr>
      </w:pPr>
      <w:r w:rsidRPr="002462E6">
        <w:rPr>
          <w:rFonts w:ascii="Tahoma" w:hAnsi="Tahoma" w:cs="Tahoma"/>
          <w:sz w:val="24"/>
          <w:szCs w:val="24"/>
        </w:rPr>
        <w:t>La notion de réconciliation présuppose l'existence d'un conflit antérieur, reconnaissant implicitement l'échec des approches précédentes fondées sur l'exclusion et la répression</w:t>
      </w:r>
      <w:r w:rsidRPr="002462E6">
        <w:rPr>
          <w:rFonts w:ascii="Tahoma" w:hAnsi="Tahoma" w:cs="Tahoma"/>
          <w:sz w:val="24"/>
          <w:szCs w:val="24"/>
          <w:vertAlign w:val="superscript"/>
        </w:rPr>
        <w:footnoteReference w:id="744"/>
      </w:r>
      <w:r w:rsidRPr="002462E6">
        <w:rPr>
          <w:rFonts w:ascii="Tahoma" w:hAnsi="Tahoma" w:cs="Tahoma"/>
          <w:sz w:val="24"/>
          <w:szCs w:val="24"/>
        </w:rPr>
        <w:t>. Elle constitue en ce sens une avancée significative dans la représentation institutionnelle des rapports entre État, forêts et populations. Cependant, cette reconnaissance reste partielle et ambiguë, ne s'accompagnant pas d'une analyse historique et politique des origines de ce conflit, notamment dans ses dimensions coloniales et postcoloniales</w:t>
      </w:r>
      <w:r w:rsidRPr="002462E6">
        <w:rPr>
          <w:rFonts w:ascii="Tahoma" w:hAnsi="Tahoma" w:cs="Tahoma"/>
          <w:sz w:val="24"/>
          <w:szCs w:val="24"/>
          <w:vertAlign w:val="superscript"/>
        </w:rPr>
        <w:footnoteReference w:id="745"/>
      </w:r>
      <w:r w:rsidRPr="002462E6">
        <w:rPr>
          <w:rFonts w:ascii="Tahoma" w:hAnsi="Tahoma" w:cs="Tahoma"/>
          <w:sz w:val="24"/>
          <w:szCs w:val="24"/>
        </w:rPr>
        <w:t>.</w:t>
      </w:r>
    </w:p>
    <w:p w:rsidR="00FA6C95" w:rsidRPr="002462E6" w:rsidRDefault="00FA6C95" w:rsidP="00FA6C95">
      <w:pPr>
        <w:spacing w:line="360" w:lineRule="auto"/>
        <w:jc w:val="both"/>
        <w:rPr>
          <w:rFonts w:ascii="Tahoma" w:hAnsi="Tahoma" w:cs="Tahoma"/>
          <w:sz w:val="24"/>
          <w:szCs w:val="24"/>
        </w:rPr>
      </w:pPr>
      <w:r w:rsidRPr="002462E6">
        <w:rPr>
          <w:rFonts w:ascii="Tahoma" w:hAnsi="Tahoma" w:cs="Tahoma"/>
          <w:sz w:val="24"/>
          <w:szCs w:val="24"/>
        </w:rPr>
        <w:t>L'approche participative, présentée comme le principal vecteur de cette réconciliation, n'est pas nouvelle dans le contexte marocain</w:t>
      </w:r>
      <w:r w:rsidRPr="002462E6">
        <w:rPr>
          <w:rFonts w:ascii="Tahoma" w:hAnsi="Tahoma" w:cs="Tahoma"/>
          <w:sz w:val="24"/>
          <w:szCs w:val="24"/>
          <w:vertAlign w:val="superscript"/>
        </w:rPr>
        <w:footnoteReference w:id="746"/>
      </w:r>
      <w:r w:rsidRPr="002462E6">
        <w:rPr>
          <w:rFonts w:ascii="Tahoma" w:hAnsi="Tahoma" w:cs="Tahoma"/>
          <w:sz w:val="24"/>
          <w:szCs w:val="24"/>
        </w:rPr>
        <w:t>. Plusieurs générations de projets forestiers ont mobilisé cette rhétorique depuis les années 1990, avec des résultats souvent mitigés</w:t>
      </w:r>
      <w:r w:rsidRPr="002462E6">
        <w:rPr>
          <w:rFonts w:ascii="Tahoma" w:hAnsi="Tahoma" w:cs="Tahoma"/>
          <w:sz w:val="24"/>
          <w:szCs w:val="24"/>
          <w:vertAlign w:val="superscript"/>
        </w:rPr>
        <w:footnoteReference w:id="747"/>
      </w:r>
      <w:r w:rsidRPr="002462E6">
        <w:rPr>
          <w:rFonts w:ascii="Tahoma" w:hAnsi="Tahoma" w:cs="Tahoma"/>
          <w:sz w:val="24"/>
          <w:szCs w:val="24"/>
        </w:rPr>
        <w:t>.</w:t>
      </w:r>
    </w:p>
    <w:p w:rsidR="00FA6C95" w:rsidRPr="002462E6" w:rsidRDefault="00FA6C95" w:rsidP="00FA6C95">
      <w:pPr>
        <w:spacing w:line="360" w:lineRule="auto"/>
        <w:jc w:val="both"/>
        <w:rPr>
          <w:rFonts w:ascii="Tahoma" w:hAnsi="Tahoma" w:cs="Tahoma"/>
          <w:sz w:val="24"/>
          <w:szCs w:val="24"/>
        </w:rPr>
      </w:pPr>
      <w:r w:rsidRPr="002462E6">
        <w:rPr>
          <w:rFonts w:ascii="Tahoma" w:hAnsi="Tahoma" w:cs="Tahoma"/>
          <w:sz w:val="24"/>
          <w:szCs w:val="24"/>
        </w:rPr>
        <w:t>La stratégie actuelle propose de "réinventer" cette approche, reconnaissant tacitement ses limites passées, mais sans interroger fondamentalement les rapports de pouvoir qui ont entravé sa mise en œuvre effective. La création d'un corps composé approximativement de plus de 500 d'animateurs territoriaux, si elle peut constituer une innovation organisationnelle intéressante ne garantit pas en soi une transformation des relations de pouvoir entre administration forestière et populations locales</w:t>
      </w:r>
      <w:r w:rsidRPr="002462E6">
        <w:rPr>
          <w:rFonts w:ascii="Tahoma" w:hAnsi="Tahoma" w:cs="Tahoma"/>
          <w:sz w:val="24"/>
          <w:szCs w:val="24"/>
          <w:vertAlign w:val="superscript"/>
        </w:rPr>
        <w:footnoteReference w:id="748"/>
      </w:r>
      <w:r w:rsidRPr="002462E6">
        <w:rPr>
          <w:rFonts w:ascii="Tahoma" w:hAnsi="Tahoma" w:cs="Tahoma"/>
          <w:sz w:val="24"/>
          <w:szCs w:val="24"/>
        </w:rPr>
        <w:t>.</w:t>
      </w:r>
    </w:p>
    <w:p w:rsidR="00FA6C95" w:rsidRPr="002462E6" w:rsidRDefault="00FA6C95" w:rsidP="00FA6C95">
      <w:pPr>
        <w:spacing w:line="360" w:lineRule="auto"/>
        <w:jc w:val="both"/>
        <w:rPr>
          <w:rFonts w:ascii="Tahoma" w:hAnsi="Tahoma" w:cs="Tahoma"/>
          <w:sz w:val="24"/>
          <w:szCs w:val="24"/>
        </w:rPr>
      </w:pPr>
      <w:r w:rsidRPr="002462E6">
        <w:rPr>
          <w:rFonts w:ascii="Tahoma" w:hAnsi="Tahoma" w:cs="Tahoma"/>
          <w:sz w:val="24"/>
          <w:szCs w:val="24"/>
        </w:rPr>
        <w:t>La contractualisation, autre pilier de cette stratégie de réconciliation, présente également des ambiguïtés importantes</w:t>
      </w:r>
      <w:r w:rsidRPr="002462E6">
        <w:rPr>
          <w:rFonts w:ascii="Tahoma" w:hAnsi="Tahoma" w:cs="Tahoma"/>
          <w:sz w:val="24"/>
          <w:szCs w:val="24"/>
          <w:vertAlign w:val="superscript"/>
        </w:rPr>
        <w:footnoteReference w:id="749"/>
      </w:r>
      <w:r w:rsidRPr="002462E6">
        <w:rPr>
          <w:rFonts w:ascii="Tahoma" w:hAnsi="Tahoma" w:cs="Tahoma"/>
          <w:sz w:val="24"/>
          <w:szCs w:val="24"/>
        </w:rPr>
        <w:t>. Les contrats proposés restent largement définis par l'administration forestière, dans un cadre juridique qui maintient l'asymétrie fondamentale entre l'État, propriétaire légal de la forêt, et les usagers, bénéficiaires conditionnels de droits précaires</w:t>
      </w:r>
      <w:r w:rsidRPr="002462E6">
        <w:rPr>
          <w:rFonts w:ascii="Tahoma" w:hAnsi="Tahoma" w:cs="Tahoma"/>
          <w:sz w:val="24"/>
          <w:szCs w:val="24"/>
          <w:vertAlign w:val="superscript"/>
        </w:rPr>
        <w:footnoteReference w:id="750"/>
      </w:r>
      <w:r w:rsidRPr="002462E6">
        <w:rPr>
          <w:rFonts w:ascii="Tahoma" w:hAnsi="Tahoma" w:cs="Tahoma"/>
          <w:sz w:val="24"/>
          <w:szCs w:val="24"/>
        </w:rPr>
        <w:t xml:space="preserve"> . La question cruciale de la sécurisation des droits d'usage et d'une reconnaissance juridique plus forte des communautés locales dans la gestion forestière reste largement éludée</w:t>
      </w:r>
      <w:r w:rsidRPr="002462E6">
        <w:rPr>
          <w:rFonts w:ascii="Tahoma" w:hAnsi="Tahoma" w:cs="Tahoma"/>
          <w:sz w:val="24"/>
          <w:szCs w:val="24"/>
          <w:vertAlign w:val="superscript"/>
        </w:rPr>
        <w:footnoteReference w:id="751"/>
      </w:r>
      <w:r w:rsidRPr="002462E6">
        <w:rPr>
          <w:rFonts w:ascii="Tahoma" w:hAnsi="Tahoma" w:cs="Tahoma"/>
          <w:sz w:val="24"/>
          <w:szCs w:val="24"/>
        </w:rPr>
        <w:t xml:space="preserve"> .</w:t>
      </w:r>
    </w:p>
    <w:p w:rsidR="00FA6C95" w:rsidRPr="002462E6" w:rsidRDefault="00FA6C95" w:rsidP="00FA6C95">
      <w:pPr>
        <w:spacing w:line="360" w:lineRule="auto"/>
        <w:jc w:val="both"/>
        <w:rPr>
          <w:rFonts w:ascii="Tahoma" w:hAnsi="Tahoma" w:cs="Tahoma"/>
          <w:sz w:val="24"/>
          <w:szCs w:val="24"/>
        </w:rPr>
      </w:pPr>
      <w:r w:rsidRPr="002462E6">
        <w:rPr>
          <w:rFonts w:ascii="Tahoma" w:hAnsi="Tahoma" w:cs="Tahoma"/>
          <w:sz w:val="24"/>
          <w:szCs w:val="24"/>
        </w:rPr>
        <w:t>Enfin, l'approche économique qui sous-tend cette stratégie de réconciliation mérite d'être questionnée</w:t>
      </w:r>
      <w:r w:rsidRPr="002462E6">
        <w:rPr>
          <w:rFonts w:ascii="Tahoma" w:hAnsi="Tahoma" w:cs="Tahoma"/>
          <w:sz w:val="24"/>
          <w:szCs w:val="24"/>
          <w:vertAlign w:val="superscript"/>
        </w:rPr>
        <w:footnoteReference w:id="752"/>
      </w:r>
      <w:r w:rsidRPr="002462E6">
        <w:rPr>
          <w:rFonts w:ascii="Tahoma" w:hAnsi="Tahoma" w:cs="Tahoma"/>
          <w:sz w:val="24"/>
          <w:szCs w:val="24"/>
        </w:rPr>
        <w:t xml:space="preserve"> .</w:t>
      </w:r>
    </w:p>
    <w:p w:rsidR="00FA6C95" w:rsidRPr="002462E6" w:rsidRDefault="00FA6C95" w:rsidP="00FA6C95">
      <w:pPr>
        <w:spacing w:line="360" w:lineRule="auto"/>
        <w:jc w:val="both"/>
        <w:rPr>
          <w:rFonts w:ascii="Tahoma" w:hAnsi="Tahoma" w:cs="Tahoma"/>
          <w:sz w:val="24"/>
          <w:szCs w:val="24"/>
        </w:rPr>
      </w:pPr>
      <w:r w:rsidRPr="002462E6">
        <w:rPr>
          <w:rFonts w:ascii="Tahoma" w:hAnsi="Tahoma" w:cs="Tahoma"/>
          <w:sz w:val="24"/>
          <w:szCs w:val="24"/>
        </w:rPr>
        <w:t>La valorisation marchande des ressources forestières, présentée comme un levier de développement local</w:t>
      </w:r>
      <w:r w:rsidRPr="002462E6">
        <w:rPr>
          <w:rFonts w:ascii="Tahoma" w:hAnsi="Tahoma" w:cs="Tahoma"/>
          <w:sz w:val="24"/>
          <w:szCs w:val="24"/>
          <w:vertAlign w:val="superscript"/>
        </w:rPr>
        <w:footnoteReference w:id="753"/>
      </w:r>
      <w:r w:rsidRPr="002462E6">
        <w:rPr>
          <w:rFonts w:ascii="Tahoma" w:hAnsi="Tahoma" w:cs="Tahoma"/>
          <w:sz w:val="24"/>
          <w:szCs w:val="24"/>
        </w:rPr>
        <w:t xml:space="preserve"> s'inscrit dans une logique de capitalisation de la nature qui comporte des risques importants : marchandisation excessive des biens communs, captation des bénéfices par les acteurs les mieux dotés en capital social et économique, exclusion des groupes les plus vulnérables</w:t>
      </w:r>
      <w:r w:rsidRPr="002462E6">
        <w:rPr>
          <w:rFonts w:ascii="Tahoma" w:hAnsi="Tahoma" w:cs="Tahoma"/>
          <w:sz w:val="24"/>
          <w:szCs w:val="24"/>
          <w:vertAlign w:val="superscript"/>
        </w:rPr>
        <w:footnoteReference w:id="754"/>
      </w:r>
      <w:r w:rsidRPr="002462E6">
        <w:rPr>
          <w:rFonts w:ascii="Tahoma" w:hAnsi="Tahoma" w:cs="Tahoma"/>
          <w:sz w:val="24"/>
          <w:szCs w:val="24"/>
        </w:rPr>
        <w:t>. L'objectif affiché de générer 5 milliards de dirhams de valeur annuelle à l'horizon 2030 soulève la question de la distribution sociale et territoriale de cette valeur, et des mécanismes institutionnels garantissant son équité</w:t>
      </w:r>
      <w:r w:rsidRPr="002462E6">
        <w:rPr>
          <w:rFonts w:ascii="Tahoma" w:hAnsi="Tahoma" w:cs="Tahoma"/>
          <w:sz w:val="24"/>
          <w:szCs w:val="24"/>
          <w:vertAlign w:val="superscript"/>
        </w:rPr>
        <w:footnoteReference w:id="755"/>
      </w:r>
      <w:r w:rsidRPr="002462E6">
        <w:rPr>
          <w:rFonts w:ascii="Tahoma" w:hAnsi="Tahoma" w:cs="Tahoma"/>
          <w:sz w:val="24"/>
          <w:szCs w:val="24"/>
        </w:rPr>
        <w:t>.</w:t>
      </w:r>
    </w:p>
    <w:p w:rsidR="00FA6C95" w:rsidRPr="002462E6" w:rsidRDefault="00FA6C95" w:rsidP="00FA6C95">
      <w:pPr>
        <w:spacing w:line="360" w:lineRule="auto"/>
        <w:jc w:val="both"/>
        <w:rPr>
          <w:rFonts w:ascii="Tahoma" w:hAnsi="Tahoma" w:cs="Tahoma"/>
          <w:sz w:val="24"/>
          <w:szCs w:val="24"/>
        </w:rPr>
      </w:pPr>
      <w:r w:rsidRPr="002462E6">
        <w:rPr>
          <w:rFonts w:ascii="Tahoma" w:hAnsi="Tahoma" w:cs="Tahoma"/>
          <w:sz w:val="24"/>
          <w:szCs w:val="24"/>
        </w:rPr>
        <w:t>L'analyse du paradigme réconciliateur dans le secteur forestier marocain révèle une réalité complexe, irréductible à une dichotomie simpliste entre rupture et continuité</w:t>
      </w:r>
      <w:r w:rsidRPr="002462E6">
        <w:rPr>
          <w:rFonts w:ascii="Tahoma" w:hAnsi="Tahoma" w:cs="Tahoma"/>
          <w:sz w:val="24"/>
          <w:szCs w:val="24"/>
          <w:vertAlign w:val="superscript"/>
        </w:rPr>
        <w:footnoteReference w:id="756"/>
      </w:r>
      <w:r w:rsidRPr="002462E6">
        <w:rPr>
          <w:rFonts w:ascii="Tahoma" w:hAnsi="Tahoma" w:cs="Tahoma"/>
          <w:sz w:val="24"/>
          <w:szCs w:val="24"/>
        </w:rPr>
        <w:t>. Cette approche émergente présente indéniablement des éléments de transformation conceptuelle, notamment dans la reconnaissance formelle des droits et des savoirs des communautés usagères</w:t>
      </w:r>
      <w:r w:rsidRPr="002462E6">
        <w:rPr>
          <w:rFonts w:ascii="Tahoma" w:hAnsi="Tahoma" w:cs="Tahoma"/>
          <w:sz w:val="24"/>
          <w:szCs w:val="24"/>
          <w:vertAlign w:val="superscript"/>
        </w:rPr>
        <w:footnoteReference w:id="757"/>
      </w:r>
      <w:r w:rsidRPr="002462E6">
        <w:rPr>
          <w:rFonts w:ascii="Tahoma" w:hAnsi="Tahoma" w:cs="Tahoma"/>
          <w:sz w:val="24"/>
          <w:szCs w:val="24"/>
        </w:rPr>
        <w:t>. Néanmoins, sa traduction opérationnelle demeure caractérisée par des inerties structurelles et des résistances institutionnelles qui limitent sa portée transformative</w:t>
      </w:r>
      <w:r w:rsidRPr="002462E6">
        <w:rPr>
          <w:rFonts w:ascii="Tahoma" w:hAnsi="Tahoma" w:cs="Tahoma"/>
          <w:sz w:val="24"/>
          <w:szCs w:val="24"/>
          <w:vertAlign w:val="superscript"/>
        </w:rPr>
        <w:footnoteReference w:id="758"/>
      </w:r>
      <w:r w:rsidRPr="002462E6">
        <w:rPr>
          <w:rFonts w:ascii="Tahoma" w:hAnsi="Tahoma" w:cs="Tahoma"/>
          <w:sz w:val="24"/>
          <w:szCs w:val="24"/>
        </w:rPr>
        <w:t>.</w:t>
      </w:r>
    </w:p>
    <w:p w:rsidR="00A21E0A" w:rsidRPr="002462E6" w:rsidRDefault="00FA6C95" w:rsidP="005979B4">
      <w:pPr>
        <w:spacing w:line="360" w:lineRule="auto"/>
        <w:jc w:val="both"/>
        <w:rPr>
          <w:rFonts w:ascii="Tahoma" w:hAnsi="Tahoma" w:cs="Tahoma"/>
          <w:sz w:val="24"/>
          <w:szCs w:val="24"/>
        </w:rPr>
      </w:pPr>
      <w:r w:rsidRPr="002462E6">
        <w:rPr>
          <w:rFonts w:ascii="Tahoma" w:hAnsi="Tahoma" w:cs="Tahoma"/>
          <w:sz w:val="24"/>
          <w:szCs w:val="24"/>
        </w:rPr>
        <w:t>La réconciliation, telle qu'elle se déploie actuellement dans le paysage forestier marocain, apparaît ainsi comme un processus hybride, combinant innovations paradigmatiques et persistances praxéologiques. Son évolution dépendra largement de la capacité des acteurs institutionnels à transcender les contradictions internes qui caractérisent sa conceptualisation actuelle pour établir un dialogue authentique avec les réalités socio-territoriales des espaces forestiers marocains</w:t>
      </w:r>
      <w:r w:rsidRPr="002462E6">
        <w:rPr>
          <w:rFonts w:ascii="Tahoma" w:hAnsi="Tahoma" w:cs="Tahoma"/>
          <w:sz w:val="24"/>
          <w:szCs w:val="24"/>
          <w:vertAlign w:val="superscript"/>
        </w:rPr>
        <w:footnoteReference w:id="759"/>
      </w:r>
      <w:r w:rsidR="005979B4">
        <w:rPr>
          <w:rFonts w:ascii="Tahoma" w:hAnsi="Tahoma" w:cs="Tahoma"/>
          <w:sz w:val="24"/>
          <w:szCs w:val="24"/>
        </w:rPr>
        <w:t>.</w:t>
      </w:r>
    </w:p>
    <w:p w:rsidR="00FA6C95" w:rsidRPr="002462E6" w:rsidRDefault="00A21E0A" w:rsidP="007E399B">
      <w:pPr>
        <w:pStyle w:val="Titre4"/>
      </w:pPr>
      <w:bookmarkStart w:id="391" w:name="_Toc201570915"/>
      <w:bookmarkStart w:id="392" w:name="_Toc201655526"/>
      <w:r w:rsidRPr="002462E6">
        <w:rPr>
          <w:rStyle w:val="lev"/>
          <w:b/>
          <w:bCs/>
        </w:rPr>
        <w:t xml:space="preserve"> </w:t>
      </w:r>
      <w:r w:rsidR="00FA6C95" w:rsidRPr="002462E6">
        <w:rPr>
          <w:rStyle w:val="lev"/>
          <w:b/>
          <w:bCs/>
        </w:rPr>
        <w:t xml:space="preserve"> </w:t>
      </w:r>
      <w:bookmarkStart w:id="393" w:name="_Toc203643098"/>
      <w:r w:rsidR="00FA6C95" w:rsidRPr="002462E6">
        <w:rPr>
          <w:rStyle w:val="lev"/>
          <w:b/>
          <w:bCs/>
        </w:rPr>
        <w:t>Le territoire forestier de Korifla : une configuration administrative fragmentée</w:t>
      </w:r>
      <w:bookmarkEnd w:id="391"/>
      <w:bookmarkEnd w:id="392"/>
      <w:bookmarkEnd w:id="393"/>
    </w:p>
    <w:p w:rsidR="00FA6C95" w:rsidRPr="002462E6" w:rsidRDefault="00FA6C95" w:rsidP="00FA6C95">
      <w:pPr>
        <w:pStyle w:val="NormalWeb"/>
        <w:spacing w:line="360" w:lineRule="auto"/>
        <w:jc w:val="both"/>
        <w:rPr>
          <w:rFonts w:ascii="Tahoma" w:hAnsi="Tahoma" w:cs="Tahoma"/>
        </w:rPr>
      </w:pPr>
      <w:r w:rsidRPr="002462E6">
        <w:rPr>
          <w:rFonts w:ascii="Tahoma" w:hAnsi="Tahoma" w:cs="Tahoma"/>
        </w:rPr>
        <w:t>La gestion des territoires forestiers au Maroc, en particulier celui de Korifla, s'inscrit dans un contexte administratif marqué par une forte fragmentation. Cette configuration, loin d’être un simple détail organisationnel, engendre des défis considérables pour la gestion intégrée des ressources forestières et la mise en œuvre de politiques publiques efficaces. Le territoire de Korifla, riche par sa biodiversité et ses ressources naturelles, se trouve cependant sous l’emprise d’une structure administrative qui peine à répondre aux besoins de gestion cohérente et globale.</w:t>
      </w:r>
    </w:p>
    <w:p w:rsidR="00FA6C95" w:rsidRPr="002462E6" w:rsidRDefault="00FA6C95" w:rsidP="00FA6C95">
      <w:pPr>
        <w:pStyle w:val="NormalWeb"/>
        <w:spacing w:line="360" w:lineRule="auto"/>
        <w:jc w:val="both"/>
        <w:rPr>
          <w:rFonts w:ascii="Tahoma" w:hAnsi="Tahoma" w:cs="Tahoma"/>
        </w:rPr>
      </w:pPr>
      <w:r w:rsidRPr="002462E6">
        <w:rPr>
          <w:rFonts w:ascii="Tahoma" w:hAnsi="Tahoma" w:cs="Tahoma"/>
        </w:rPr>
        <w:t>Dans cette sous-section, l’accent est mis sur les principaux facteurs qui expliquent cette fragmentation, à travers trois angles. En premier lieu, nous abordons les obstacles relatifs à la gestion intégrée dus à cette division administrative, et comment elle complique la coordination entre les différents acteurs. Ensuite, nous nous intéressons à l’administration forestière, souvent caractérisée par une logique hiérarchique rigide qui, en dépit de son efficacité théorique, rencontre des difficultés face aux réalités territoriales complexes du terrain. Enfin, nous analysons le concept d'intercommunalité, et comment ce modèle de coopération entre communes se heurte aux spécificités géographiques et sociales du territoire.</w:t>
      </w:r>
    </w:p>
    <w:p w:rsidR="00A21E0A" w:rsidRPr="005979B4" w:rsidRDefault="00FA6C95" w:rsidP="005979B4">
      <w:pPr>
        <w:pStyle w:val="NormalWeb"/>
        <w:spacing w:line="360" w:lineRule="auto"/>
        <w:jc w:val="both"/>
        <w:rPr>
          <w:rFonts w:ascii="Tahoma" w:hAnsi="Tahoma" w:cs="Tahoma"/>
        </w:rPr>
      </w:pPr>
      <w:r w:rsidRPr="002462E6">
        <w:rPr>
          <w:rFonts w:ascii="Tahoma" w:hAnsi="Tahoma" w:cs="Tahoma"/>
        </w:rPr>
        <w:t>A travers cette analyse, nous mettons en lumière les défis majeurs posés par une configuration administrative fragmentée, et les pistes possibles pour une gestion plus harmonieuse et ada</w:t>
      </w:r>
      <w:bookmarkStart w:id="394" w:name="_Toc201655527"/>
      <w:r w:rsidR="005979B4">
        <w:rPr>
          <w:rFonts w:ascii="Tahoma" w:hAnsi="Tahoma" w:cs="Tahoma"/>
        </w:rPr>
        <w:t>ptable aux réalités du terrain.</w:t>
      </w:r>
    </w:p>
    <w:p w:rsidR="00FA6C95" w:rsidRPr="002462E6" w:rsidRDefault="00FA6C95" w:rsidP="00D051D7">
      <w:pPr>
        <w:pStyle w:val="Titre5"/>
        <w:numPr>
          <w:ilvl w:val="0"/>
          <w:numId w:val="94"/>
        </w:numPr>
      </w:pPr>
      <w:bookmarkStart w:id="395" w:name="_Toc203643099"/>
      <w:r w:rsidRPr="002462E6">
        <w:t>La fragmentation administrative : obstacle à la gestion intégrée</w:t>
      </w:r>
      <w:bookmarkEnd w:id="394"/>
      <w:bookmarkEnd w:id="395"/>
    </w:p>
    <w:p w:rsidR="00FA6C95" w:rsidRPr="002462E6" w:rsidRDefault="00FA6C95" w:rsidP="00FA6C95">
      <w:pPr>
        <w:spacing w:line="360" w:lineRule="auto"/>
        <w:jc w:val="both"/>
        <w:rPr>
          <w:rFonts w:ascii="Tahoma" w:hAnsi="Tahoma" w:cs="Tahoma"/>
          <w:sz w:val="24"/>
          <w:szCs w:val="24"/>
        </w:rPr>
      </w:pPr>
      <w:r w:rsidRPr="002462E6">
        <w:rPr>
          <w:rFonts w:ascii="Tahoma" w:hAnsi="Tahoma" w:cs="Tahoma"/>
          <w:sz w:val="24"/>
          <w:szCs w:val="24"/>
        </w:rPr>
        <w:t>La fragmentation administrative des espaces naturels constitue un défi majeur pour la gestion soutenable des écosystèmes forestiers, particulièrement dans les contextes de transition institutionnelle caractéristiques des pays du Sud méditerranéen</w:t>
      </w:r>
      <w:r w:rsidRPr="002462E6">
        <w:rPr>
          <w:rStyle w:val="Appelnotedebasdep"/>
          <w:rFonts w:ascii="Tahoma" w:hAnsi="Tahoma" w:cs="Tahoma"/>
          <w:sz w:val="24"/>
          <w:szCs w:val="24"/>
        </w:rPr>
        <w:footnoteReference w:id="760"/>
      </w:r>
      <w:r w:rsidRPr="002462E6">
        <w:rPr>
          <w:rFonts w:ascii="Tahoma" w:hAnsi="Tahoma" w:cs="Tahoma"/>
          <w:sz w:val="24"/>
          <w:szCs w:val="24"/>
        </w:rPr>
        <w:t>. Le cas du territoire forestier de Korifla illustre de manière paradigmatique cette problématique, révélant les tensions structurelles entre cohérence écosystémique et morcellement administratif. Comme l'observe Ostrom dans son analyse des systèmes socio-écologiques complexes, « la non-concordance entre les limites administratives et les frontières des écosystèmes crée des défis institutionnels significatifs pour la gestion durable des ressources naturelles »</w:t>
      </w:r>
      <w:r w:rsidRPr="002462E6">
        <w:rPr>
          <w:rStyle w:val="Appelnotedebasdep"/>
          <w:rFonts w:ascii="Tahoma" w:hAnsi="Tahoma" w:cs="Tahoma"/>
          <w:sz w:val="24"/>
          <w:szCs w:val="24"/>
        </w:rPr>
        <w:footnoteReference w:id="761"/>
      </w:r>
      <w:r w:rsidRPr="002462E6">
        <w:rPr>
          <w:rFonts w:ascii="Tahoma" w:hAnsi="Tahoma" w:cs="Tahoma"/>
          <w:sz w:val="24"/>
          <w:szCs w:val="24"/>
        </w:rPr>
        <w:t>.</w:t>
      </w:r>
    </w:p>
    <w:p w:rsidR="00FA6C95" w:rsidRPr="002462E6" w:rsidRDefault="00FA6C95" w:rsidP="00FA6C95">
      <w:pPr>
        <w:spacing w:line="360" w:lineRule="auto"/>
        <w:jc w:val="both"/>
        <w:rPr>
          <w:rFonts w:ascii="Tahoma" w:hAnsi="Tahoma" w:cs="Tahoma"/>
          <w:sz w:val="24"/>
          <w:szCs w:val="24"/>
        </w:rPr>
      </w:pPr>
      <w:r w:rsidRPr="002462E6">
        <w:rPr>
          <w:rFonts w:ascii="Tahoma" w:hAnsi="Tahoma" w:cs="Tahoma"/>
          <w:sz w:val="24"/>
          <w:szCs w:val="24"/>
        </w:rPr>
        <w:t>Le territoire forestier de Korifla, s'étendant sur approximativement 15 140 hectares</w:t>
      </w:r>
      <w:r w:rsidRPr="002462E6">
        <w:rPr>
          <w:rStyle w:val="Appelnotedebasdep"/>
          <w:rFonts w:ascii="Tahoma" w:hAnsi="Tahoma" w:cs="Tahoma"/>
          <w:sz w:val="24"/>
          <w:szCs w:val="24"/>
        </w:rPr>
        <w:footnoteReference w:id="762"/>
      </w:r>
      <w:r w:rsidRPr="002462E6">
        <w:rPr>
          <w:rFonts w:ascii="Tahoma" w:hAnsi="Tahoma" w:cs="Tahoma"/>
          <w:sz w:val="24"/>
          <w:szCs w:val="24"/>
        </w:rPr>
        <w:t xml:space="preserve">, présente une configuration administrative particulièrement complexe, caractérisée par une superposition d'échelons administratifs et une multiplication des centres décisionnels. D'après les travaux cartographiques, cette forêt s'inscrit dans un maillage administratif fragmenté entre deux entités provinciales (Rabat et Khémisset), deux cercles administratifs, quatre caïdats et quatre communes rurales (Sidi Yahia Zaeer, OumAzza, Brachoua et Marchouch). </w:t>
      </w:r>
    </w:p>
    <w:p w:rsidR="00FA6C95" w:rsidRPr="002462E6" w:rsidRDefault="00FA6C95" w:rsidP="00FA6C95">
      <w:pPr>
        <w:spacing w:line="360" w:lineRule="auto"/>
        <w:jc w:val="both"/>
        <w:rPr>
          <w:rFonts w:ascii="Tahoma" w:hAnsi="Tahoma" w:cs="Tahoma"/>
          <w:sz w:val="24"/>
          <w:szCs w:val="24"/>
        </w:rPr>
      </w:pPr>
      <w:r w:rsidRPr="002462E6">
        <w:rPr>
          <w:rFonts w:ascii="Tahoma" w:hAnsi="Tahoma" w:cs="Tahoma"/>
          <w:sz w:val="24"/>
          <w:szCs w:val="24"/>
        </w:rPr>
        <w:t>Cette complexité se trouve amplifiée par le fait que la gestion forestière elle-même est répartie entre plusieurs structures institutionnelles : la Direction Régionale des Eaux et Forêts et de la Lutte Contre la Désertification (DREFLCD) de Rabat-Salé-Zemmour-Zaer, les Directions Provinciales des Eaux et Forêts et de la Lutte Contre la Désertification (DPEFLCD) de Rabat et Khémisset, et les Centres de Conservation et de Développement des Ressources Forestières (CCDRF) de Rabat-Temara et Rommani</w:t>
      </w:r>
      <w:r w:rsidRPr="002462E6">
        <w:rPr>
          <w:rStyle w:val="Appelnotedebasdep"/>
          <w:rFonts w:ascii="Tahoma" w:hAnsi="Tahoma" w:cs="Tahoma"/>
          <w:sz w:val="24"/>
          <w:szCs w:val="24"/>
        </w:rPr>
        <w:footnoteReference w:id="763"/>
      </w:r>
      <w:r w:rsidRPr="002462E6">
        <w:rPr>
          <w:rFonts w:ascii="Tahoma" w:hAnsi="Tahoma" w:cs="Tahoma"/>
          <w:sz w:val="24"/>
          <w:szCs w:val="24"/>
        </w:rPr>
        <w:t>.</w:t>
      </w:r>
    </w:p>
    <w:p w:rsidR="00FA6C95" w:rsidRPr="002462E6" w:rsidRDefault="00FA6C95" w:rsidP="00FA6C95">
      <w:pPr>
        <w:spacing w:line="360" w:lineRule="auto"/>
        <w:jc w:val="both"/>
        <w:rPr>
          <w:rFonts w:ascii="Tahoma" w:hAnsi="Tahoma" w:cs="Tahoma"/>
          <w:sz w:val="24"/>
          <w:szCs w:val="24"/>
        </w:rPr>
      </w:pPr>
      <w:r w:rsidRPr="002462E6">
        <w:rPr>
          <w:rFonts w:ascii="Tahoma" w:hAnsi="Tahoma" w:cs="Tahoma"/>
          <w:sz w:val="24"/>
          <w:szCs w:val="24"/>
        </w:rPr>
        <w:t>Sur le plan administratif général, cette forêt relève simultanément de la Wilaya de Rabat-Salé-Kénitra, de la préfecture de Skhirate-Temara et de la province de Khémisset. Cette configuration complexe s'inscrit dans ce que Naciri qualifie de « palimpseste administratif », où les réformes successives ont superposé différentes couches de découpage territorial sans effacer complètement les précédentes, créant ainsi des zones d'enchevêtrement et de chevauchement juridictionnel.</w:t>
      </w:r>
    </w:p>
    <w:p w:rsidR="00FA6C95" w:rsidRPr="002462E6" w:rsidRDefault="00FA6C95" w:rsidP="00FA6C95">
      <w:pPr>
        <w:spacing w:line="360" w:lineRule="auto"/>
        <w:jc w:val="both"/>
        <w:rPr>
          <w:rFonts w:ascii="Tahoma" w:hAnsi="Tahoma" w:cs="Tahoma"/>
          <w:sz w:val="24"/>
          <w:szCs w:val="24"/>
        </w:rPr>
      </w:pPr>
      <w:r w:rsidRPr="002462E6">
        <w:rPr>
          <w:rFonts w:ascii="Tahoma" w:hAnsi="Tahoma" w:cs="Tahoma"/>
          <w:sz w:val="24"/>
          <w:szCs w:val="24"/>
        </w:rPr>
        <w:t>L'analyse historique de cette fragmentation révèle des dynamiques profondes dans la construction territoriale marocaine. Comme l'ont démontré Naciri et Bono dans leurs travaux respectifs, le découpage administratif actuel résulte d'une sédimentation progressive de réformes territoriales partielles, implémentées sans vision intégrée des cohérences écologiques</w:t>
      </w:r>
      <w:r w:rsidRPr="002462E6">
        <w:rPr>
          <w:rStyle w:val="Appelnotedebasdep"/>
          <w:rFonts w:ascii="Tahoma" w:hAnsi="Tahoma" w:cs="Tahoma"/>
          <w:sz w:val="24"/>
          <w:szCs w:val="24"/>
        </w:rPr>
        <w:footnoteReference w:id="764"/>
      </w:r>
      <w:r w:rsidRPr="002462E6">
        <w:rPr>
          <w:rFonts w:ascii="Tahoma" w:hAnsi="Tahoma" w:cs="Tahoma"/>
          <w:sz w:val="24"/>
          <w:szCs w:val="24"/>
        </w:rPr>
        <w:t>. Selon l'analyse de Tozy, cette approche fragmentée de l'aménagement du territoire trouve ses racines dans la période coloniale, où le contrôle administratif primait sur les logiques environnementales, établissant ainsi une « path dependency » institutionnelle qui continue d'influencer les configurations territoriales contemporaines</w:t>
      </w:r>
      <w:r w:rsidRPr="002462E6">
        <w:rPr>
          <w:rStyle w:val="Appelnotedebasdep"/>
          <w:rFonts w:ascii="Tahoma" w:hAnsi="Tahoma" w:cs="Tahoma"/>
          <w:sz w:val="24"/>
          <w:szCs w:val="24"/>
        </w:rPr>
        <w:footnoteReference w:id="765"/>
      </w:r>
      <w:r w:rsidRPr="002462E6">
        <w:rPr>
          <w:rFonts w:ascii="Tahoma" w:hAnsi="Tahoma" w:cs="Tahoma"/>
          <w:sz w:val="24"/>
          <w:szCs w:val="24"/>
        </w:rPr>
        <w:t>.</w:t>
      </w:r>
    </w:p>
    <w:p w:rsidR="00FA6C95" w:rsidRPr="002462E6" w:rsidRDefault="00FA6C95" w:rsidP="00FA6C95">
      <w:pPr>
        <w:spacing w:line="360" w:lineRule="auto"/>
        <w:jc w:val="both"/>
        <w:rPr>
          <w:rFonts w:ascii="Tahoma" w:hAnsi="Tahoma" w:cs="Tahoma"/>
          <w:sz w:val="24"/>
          <w:szCs w:val="24"/>
        </w:rPr>
      </w:pPr>
      <w:r w:rsidRPr="002462E6">
        <w:rPr>
          <w:rFonts w:ascii="Tahoma" w:hAnsi="Tahoma" w:cs="Tahoma"/>
          <w:sz w:val="24"/>
          <w:szCs w:val="24"/>
        </w:rPr>
        <w:t>El Morchid et Hourmat Allah soulignent que malgré les réformes successives de décentralisation initiées depuis les années 1990, notamment avec la régionalisation avancée consacrée par la Constitution de 2011, la prédominance des logiques administratives sur les cohérences écosystémiques persiste, particulièrement dans les zones forestières périurbaines</w:t>
      </w:r>
      <w:r w:rsidRPr="002462E6">
        <w:rPr>
          <w:rStyle w:val="Appelnotedebasdep"/>
          <w:rFonts w:ascii="Tahoma" w:hAnsi="Tahoma" w:cs="Tahoma"/>
          <w:sz w:val="24"/>
          <w:szCs w:val="24"/>
        </w:rPr>
        <w:footnoteReference w:id="766"/>
      </w:r>
      <w:r w:rsidRPr="002462E6">
        <w:rPr>
          <w:rFonts w:ascii="Tahoma" w:hAnsi="Tahoma" w:cs="Tahoma"/>
          <w:sz w:val="24"/>
          <w:szCs w:val="24"/>
        </w:rPr>
        <w:t>. Cette continuité s'explique par ce que Bouderbala identifie comme une inertie institutionnelle qui maintient les structures héritées malgré les réformes formelles</w:t>
      </w:r>
      <w:r w:rsidRPr="002462E6">
        <w:rPr>
          <w:rStyle w:val="Appelnotedebasdep"/>
          <w:rFonts w:ascii="Tahoma" w:hAnsi="Tahoma" w:cs="Tahoma"/>
          <w:sz w:val="24"/>
          <w:szCs w:val="24"/>
        </w:rPr>
        <w:footnoteReference w:id="767"/>
      </w:r>
      <w:r w:rsidRPr="002462E6">
        <w:rPr>
          <w:rFonts w:ascii="Tahoma" w:hAnsi="Tahoma" w:cs="Tahoma"/>
          <w:sz w:val="24"/>
          <w:szCs w:val="24"/>
        </w:rPr>
        <w:t>. Ce phénomène peut correspondre à ce que les néo-institutionnalistes qualifient de « dépendance au sentier » (path dependency), où les configurations institutionnelles passées conditionnent fortement les évolutions futures, limitant ainsi les possibilités de transformation radicale des modes de gouvernance territoriale</w:t>
      </w:r>
      <w:r w:rsidRPr="002462E6">
        <w:rPr>
          <w:rStyle w:val="Appelnotedebasdep"/>
          <w:rFonts w:ascii="Tahoma" w:hAnsi="Tahoma" w:cs="Tahoma"/>
          <w:sz w:val="24"/>
          <w:szCs w:val="24"/>
        </w:rPr>
        <w:footnoteReference w:id="768"/>
      </w:r>
      <w:r w:rsidRPr="002462E6">
        <w:rPr>
          <w:rFonts w:ascii="Tahoma" w:hAnsi="Tahoma" w:cs="Tahoma"/>
          <w:sz w:val="24"/>
          <w:szCs w:val="24"/>
        </w:rPr>
        <w:t>.</w:t>
      </w:r>
    </w:p>
    <w:p w:rsidR="00FA6C95" w:rsidRPr="002462E6" w:rsidRDefault="00FA6C95" w:rsidP="00FA6C95">
      <w:pPr>
        <w:spacing w:line="360" w:lineRule="auto"/>
        <w:jc w:val="both"/>
        <w:rPr>
          <w:rFonts w:ascii="Tahoma" w:hAnsi="Tahoma" w:cs="Tahoma"/>
          <w:sz w:val="24"/>
          <w:szCs w:val="24"/>
        </w:rPr>
      </w:pPr>
      <w:r w:rsidRPr="002462E6">
        <w:rPr>
          <w:rFonts w:ascii="Tahoma" w:hAnsi="Tahoma" w:cs="Tahoma"/>
          <w:sz w:val="24"/>
          <w:szCs w:val="24"/>
        </w:rPr>
        <w:t>Les conséquences de cette fragmentation administrative sont multiples et significatives pour la gouvernance forestière. D'après des recherches empiriques conduites dans la région, cette configuration crée une opacité institutionnelle qui limite considérablement l'autonomie décisionnelle des acteurs locaux</w:t>
      </w:r>
      <w:r w:rsidRPr="002462E6">
        <w:rPr>
          <w:rStyle w:val="Appelnotedebasdep"/>
          <w:rFonts w:ascii="Tahoma" w:hAnsi="Tahoma" w:cs="Tahoma"/>
          <w:sz w:val="24"/>
          <w:szCs w:val="24"/>
        </w:rPr>
        <w:footnoteReference w:id="769"/>
      </w:r>
      <w:r w:rsidRPr="002462E6">
        <w:rPr>
          <w:rFonts w:ascii="Tahoma" w:hAnsi="Tahoma" w:cs="Tahoma"/>
          <w:sz w:val="24"/>
          <w:szCs w:val="24"/>
        </w:rPr>
        <w:t>. Les usagers de la forêt (populations riveraines, éleveurs, cueilleurs) se trouvent confrontés à une multiplicité d'interlocuteurs institutionnels aux compétences mal définies et parfois contradictoires, ce qui engendre une situation de confusion, d’insécurité juridique et de désengagement citoyen.</w:t>
      </w:r>
    </w:p>
    <w:p w:rsidR="00FA6C95" w:rsidRPr="002462E6" w:rsidRDefault="00FA6C95" w:rsidP="00FA6C95">
      <w:pPr>
        <w:spacing w:line="360" w:lineRule="auto"/>
        <w:jc w:val="both"/>
        <w:rPr>
          <w:rFonts w:ascii="Tahoma" w:hAnsi="Tahoma" w:cs="Tahoma"/>
          <w:sz w:val="24"/>
          <w:szCs w:val="24"/>
        </w:rPr>
      </w:pPr>
      <w:r w:rsidRPr="002462E6">
        <w:rPr>
          <w:rFonts w:ascii="Tahoma" w:hAnsi="Tahoma" w:cs="Tahoma"/>
          <w:sz w:val="24"/>
          <w:szCs w:val="24"/>
        </w:rPr>
        <w:t>Vermeren et Bennani-Chraïbi ont documenté comment la fragmentation renforce des logiques centripètes dans l'allocation des ressources et des pouvoirs décisionnels, concentrant de facto l'autorité aux niveaux provincial et régional</w:t>
      </w:r>
      <w:r w:rsidRPr="002462E6">
        <w:rPr>
          <w:rStyle w:val="Appelnotedebasdep"/>
          <w:rFonts w:ascii="Tahoma" w:hAnsi="Tahoma" w:cs="Tahoma"/>
          <w:sz w:val="24"/>
          <w:szCs w:val="24"/>
        </w:rPr>
        <w:footnoteReference w:id="770"/>
      </w:r>
      <w:r w:rsidRPr="002462E6">
        <w:rPr>
          <w:rFonts w:ascii="Tahoma" w:hAnsi="Tahoma" w:cs="Tahoma"/>
          <w:sz w:val="24"/>
          <w:szCs w:val="24"/>
        </w:rPr>
        <w:t>. Cette centralisation contraste avec le discours officiel sur la décentralisation, illustrant ce que Catusse et Karam ont qualifié de « décentralisation sans autonomisation » des échelons locaux</w:t>
      </w:r>
      <w:r w:rsidRPr="002462E6">
        <w:rPr>
          <w:rStyle w:val="Appelnotedebasdep"/>
          <w:rFonts w:ascii="Tahoma" w:hAnsi="Tahoma" w:cs="Tahoma"/>
          <w:sz w:val="24"/>
          <w:szCs w:val="24"/>
        </w:rPr>
        <w:footnoteReference w:id="771"/>
      </w:r>
      <w:r w:rsidRPr="002462E6">
        <w:rPr>
          <w:rFonts w:ascii="Tahoma" w:hAnsi="Tahoma" w:cs="Tahoma"/>
          <w:sz w:val="24"/>
          <w:szCs w:val="24"/>
        </w:rPr>
        <w:t>. Cette situation peut créer un « vide de gouvernance » au niveau local, où les acteurs territoriaux (communes rurales, associations villageoises) disposent formellement de compétences en matière de développement local sans bénéficier des ressources et de l'autorité nécessaires pour les exercer efficacement</w:t>
      </w:r>
      <w:r w:rsidRPr="002462E6">
        <w:rPr>
          <w:rStyle w:val="Appelnotedebasdep"/>
          <w:rFonts w:ascii="Tahoma" w:hAnsi="Tahoma" w:cs="Tahoma"/>
          <w:sz w:val="24"/>
          <w:szCs w:val="24"/>
        </w:rPr>
        <w:footnoteReference w:id="772"/>
      </w:r>
      <w:r w:rsidRPr="002462E6">
        <w:rPr>
          <w:rFonts w:ascii="Tahoma" w:hAnsi="Tahoma" w:cs="Tahoma"/>
          <w:sz w:val="24"/>
          <w:szCs w:val="24"/>
        </w:rPr>
        <w:t>.</w:t>
      </w:r>
    </w:p>
    <w:p w:rsidR="00FA6C95" w:rsidRPr="002462E6" w:rsidRDefault="00FA6C95" w:rsidP="00FA6C95">
      <w:pPr>
        <w:spacing w:line="360" w:lineRule="auto"/>
        <w:jc w:val="both"/>
        <w:rPr>
          <w:rFonts w:ascii="Tahoma" w:hAnsi="Tahoma" w:cs="Tahoma"/>
          <w:sz w:val="24"/>
          <w:szCs w:val="24"/>
        </w:rPr>
      </w:pPr>
      <w:r w:rsidRPr="002462E6">
        <w:rPr>
          <w:rFonts w:ascii="Tahoma" w:hAnsi="Tahoma" w:cs="Tahoma"/>
          <w:sz w:val="24"/>
          <w:szCs w:val="24"/>
        </w:rPr>
        <w:t>Les travaux de terrain de Bergh dans des contextes similaires au Maroc ont démontré que cette dilution de responsabilités entre multiples acteurs institutionnels compromet significativement l'efficacité des initiatives de gestion participative des ressources naturelles</w:t>
      </w:r>
      <w:r w:rsidRPr="002462E6">
        <w:rPr>
          <w:rStyle w:val="Appelnotedebasdep"/>
          <w:rFonts w:ascii="Tahoma" w:hAnsi="Tahoma" w:cs="Tahoma"/>
          <w:sz w:val="24"/>
          <w:szCs w:val="24"/>
        </w:rPr>
        <w:footnoteReference w:id="773"/>
      </w:r>
      <w:r w:rsidRPr="002462E6">
        <w:rPr>
          <w:rFonts w:ascii="Tahoma" w:hAnsi="Tahoma" w:cs="Tahoma"/>
          <w:sz w:val="24"/>
          <w:szCs w:val="24"/>
        </w:rPr>
        <w:t>. En effet, la multiplication des centres décisionnels et l'absence de mécanismes de coordination efficaces engendrent des blocages administratifs, des délais procéduraux excessifs et des coûts de transaction élevés qui découragent les initiatives locales. Comme le confirment les analyses quantitatives du Royaume du Maroc et PNUD, cette situation limite l'implication des populations locales et diminue leur confiance envers les institutions publiques, compromettant ainsi les objectifs de participation citoyenne portés par les réformes de décentralisation</w:t>
      </w:r>
      <w:r w:rsidRPr="002462E6">
        <w:rPr>
          <w:rStyle w:val="Appelnotedebasdep"/>
          <w:rFonts w:ascii="Tahoma" w:hAnsi="Tahoma" w:cs="Tahoma"/>
          <w:sz w:val="24"/>
          <w:szCs w:val="24"/>
        </w:rPr>
        <w:footnoteReference w:id="774"/>
      </w:r>
      <w:r w:rsidRPr="002462E6">
        <w:rPr>
          <w:rFonts w:ascii="Tahoma" w:hAnsi="Tahoma" w:cs="Tahoma"/>
          <w:sz w:val="24"/>
          <w:szCs w:val="24"/>
        </w:rPr>
        <w:t>.</w:t>
      </w:r>
    </w:p>
    <w:p w:rsidR="00A21E0A" w:rsidRDefault="00FA6C95" w:rsidP="002B500C">
      <w:pPr>
        <w:spacing w:line="360" w:lineRule="auto"/>
        <w:jc w:val="both"/>
        <w:rPr>
          <w:rFonts w:ascii="Tahoma" w:hAnsi="Tahoma" w:cs="Tahoma"/>
          <w:sz w:val="24"/>
          <w:szCs w:val="24"/>
        </w:rPr>
      </w:pPr>
      <w:r w:rsidRPr="002462E6">
        <w:rPr>
          <w:rFonts w:ascii="Tahoma" w:hAnsi="Tahoma" w:cs="Tahoma"/>
          <w:sz w:val="24"/>
          <w:szCs w:val="24"/>
        </w:rPr>
        <w:t>En définitive, la fragmentation administrative du territoire forestier de Korifla exemplifie les défis persistants de la gouvernance environnementale au Maroc. Elle illustre ce que Gibson et al. ont conceptualisé comme un « misfit » (inadéquation) entre structures administratives et réalités écologiques, où les découpages institutionnels ne correspondent pas aux dynamiques fonctionnelles des écosystèmes</w:t>
      </w:r>
      <w:r w:rsidRPr="002462E6">
        <w:rPr>
          <w:rStyle w:val="Appelnotedebasdep"/>
          <w:rFonts w:ascii="Tahoma" w:hAnsi="Tahoma" w:cs="Tahoma"/>
          <w:sz w:val="24"/>
          <w:szCs w:val="24"/>
        </w:rPr>
        <w:footnoteReference w:id="775"/>
      </w:r>
      <w:r w:rsidRPr="002462E6">
        <w:rPr>
          <w:rFonts w:ascii="Tahoma" w:hAnsi="Tahoma" w:cs="Tahoma"/>
          <w:sz w:val="24"/>
          <w:szCs w:val="24"/>
        </w:rPr>
        <w:t>. Pour dépasser ces contraintes, plusieurs chercheurs proposent des</w:t>
      </w:r>
      <w:r w:rsidRPr="002462E6">
        <w:rPr>
          <w:rFonts w:ascii="Tahoma" w:hAnsi="Tahoma" w:cs="Tahoma"/>
          <w:b/>
          <w:bCs/>
          <w:sz w:val="24"/>
          <w:szCs w:val="24"/>
        </w:rPr>
        <w:t xml:space="preserve"> </w:t>
      </w:r>
      <w:r w:rsidRPr="002462E6">
        <w:rPr>
          <w:rFonts w:ascii="Tahoma" w:hAnsi="Tahoma" w:cs="Tahoma"/>
          <w:sz w:val="24"/>
          <w:szCs w:val="24"/>
        </w:rPr>
        <w:t>approches alternatives. Ostrom et Cox suggèrent par exemple, l'adoption de cadres de gouvernance polycentrique, adaptés aux réalités écosystémiques plutôt qu'aux délimitations administratives. Dans le contexte marocain spécifique, El Farah plaide pour une refonte du découpage territorial intégrant les notions de bassins versants et d'unités écologiques fonctionnelles comme principes structurants de l'organisation administrative</w:t>
      </w:r>
      <w:r w:rsidRPr="002462E6">
        <w:rPr>
          <w:rStyle w:val="Appelnotedebasdep"/>
          <w:rFonts w:ascii="Tahoma" w:hAnsi="Tahoma" w:cs="Tahoma"/>
          <w:sz w:val="24"/>
          <w:szCs w:val="24"/>
        </w:rPr>
        <w:footnoteReference w:id="776"/>
      </w:r>
      <w:r w:rsidRPr="002462E6">
        <w:rPr>
          <w:rFonts w:ascii="Tahoma" w:hAnsi="Tahoma" w:cs="Tahoma"/>
          <w:sz w:val="24"/>
          <w:szCs w:val="24"/>
        </w:rPr>
        <w:t>.</w:t>
      </w:r>
    </w:p>
    <w:p w:rsidR="00540FF7" w:rsidRPr="002462E6" w:rsidRDefault="00540FF7" w:rsidP="002B500C">
      <w:pPr>
        <w:spacing w:line="360" w:lineRule="auto"/>
        <w:jc w:val="both"/>
        <w:rPr>
          <w:rFonts w:ascii="Tahoma" w:hAnsi="Tahoma" w:cs="Tahoma"/>
          <w:sz w:val="24"/>
          <w:szCs w:val="24"/>
        </w:rPr>
      </w:pPr>
    </w:p>
    <w:p w:rsidR="00FA6C95" w:rsidRPr="002462E6" w:rsidRDefault="00FA6C95" w:rsidP="00BF1F48">
      <w:pPr>
        <w:pStyle w:val="Titre5"/>
      </w:pPr>
      <w:bookmarkStart w:id="396" w:name="_Toc201655528"/>
      <w:bookmarkStart w:id="397" w:name="_Toc203643100"/>
      <w:r w:rsidRPr="002462E6">
        <w:t>L'administration forestière : logique hiérarchique et réalités territoriales</w:t>
      </w:r>
      <w:bookmarkEnd w:id="396"/>
      <w:bookmarkEnd w:id="397"/>
    </w:p>
    <w:p w:rsidR="00FA6C95" w:rsidRPr="002462E6" w:rsidRDefault="00FA6C95" w:rsidP="00FA6C95">
      <w:pPr>
        <w:spacing w:line="360" w:lineRule="auto"/>
        <w:jc w:val="both"/>
        <w:rPr>
          <w:rFonts w:ascii="Tahoma" w:hAnsi="Tahoma" w:cs="Tahoma"/>
          <w:sz w:val="24"/>
          <w:szCs w:val="24"/>
        </w:rPr>
      </w:pPr>
      <w:r w:rsidRPr="002462E6">
        <w:rPr>
          <w:rFonts w:ascii="Tahoma" w:hAnsi="Tahoma" w:cs="Tahoma"/>
          <w:sz w:val="24"/>
          <w:szCs w:val="24"/>
        </w:rPr>
        <w:t>Parallèlement à cette fragmentation administrative territoriale, la structure organisationnelle de l'administration forestière marocaine ajoute un niveau supplémentaire de complexité institutionnelle qui mérite une analyse approfondie. Cette configuration administrative, superposée à la fragmentation territoriale précédemment décrite, constitue ce que Bache et Flinders qualifieraient de « gouvernance multi-niveaux asymétrique », engendrant des discontinuités significatives entre l'architecture institutionnelle et les réalités socio-écologiques locales</w:t>
      </w:r>
      <w:r w:rsidRPr="002462E6">
        <w:rPr>
          <w:rStyle w:val="Appelnotedebasdep"/>
          <w:rFonts w:ascii="Tahoma" w:hAnsi="Tahoma" w:cs="Tahoma"/>
          <w:sz w:val="24"/>
          <w:szCs w:val="24"/>
        </w:rPr>
        <w:footnoteReference w:id="777"/>
      </w:r>
      <w:r w:rsidRPr="002462E6">
        <w:rPr>
          <w:rFonts w:ascii="Tahoma" w:hAnsi="Tahoma" w:cs="Tahoma"/>
          <w:sz w:val="24"/>
          <w:szCs w:val="24"/>
        </w:rPr>
        <w:t>.</w:t>
      </w:r>
    </w:p>
    <w:p w:rsidR="00FA6C95" w:rsidRPr="002462E6" w:rsidRDefault="00FA6C95" w:rsidP="00FA6C95">
      <w:pPr>
        <w:spacing w:line="360" w:lineRule="auto"/>
        <w:jc w:val="both"/>
        <w:rPr>
          <w:rFonts w:ascii="Tahoma" w:hAnsi="Tahoma" w:cs="Tahoma"/>
          <w:sz w:val="24"/>
          <w:szCs w:val="24"/>
        </w:rPr>
      </w:pPr>
      <w:r w:rsidRPr="002462E6">
        <w:rPr>
          <w:rFonts w:ascii="Tahoma" w:hAnsi="Tahoma" w:cs="Tahoma"/>
          <w:sz w:val="24"/>
          <w:szCs w:val="24"/>
        </w:rPr>
        <w:t>L'administration forestière marocaine présente une organisation pyramidale caractéristique des bureaucraties environnementales post-coloniales, comme l'ont conceptualisé Ribot et al. dans leur analyse comparative des administrations forestières africaines</w:t>
      </w:r>
      <w:r w:rsidRPr="002462E6">
        <w:rPr>
          <w:rStyle w:val="Appelnotedebasdep"/>
          <w:rFonts w:ascii="Tahoma" w:hAnsi="Tahoma" w:cs="Tahoma"/>
          <w:sz w:val="24"/>
          <w:szCs w:val="24"/>
        </w:rPr>
        <w:footnoteReference w:id="778"/>
      </w:r>
      <w:r w:rsidRPr="002462E6">
        <w:rPr>
          <w:rFonts w:ascii="Tahoma" w:hAnsi="Tahoma" w:cs="Tahoma"/>
          <w:sz w:val="24"/>
          <w:szCs w:val="24"/>
        </w:rPr>
        <w:t xml:space="preserve">. </w:t>
      </w:r>
    </w:p>
    <w:p w:rsidR="00FA6C95" w:rsidRPr="002462E6" w:rsidRDefault="00FA6C95" w:rsidP="00FA6C95">
      <w:pPr>
        <w:spacing w:line="360" w:lineRule="auto"/>
        <w:jc w:val="both"/>
        <w:rPr>
          <w:rFonts w:ascii="Tahoma" w:hAnsi="Tahoma" w:cs="Tahoma"/>
          <w:sz w:val="24"/>
          <w:szCs w:val="24"/>
        </w:rPr>
      </w:pPr>
      <w:r w:rsidRPr="002462E6">
        <w:rPr>
          <w:rFonts w:ascii="Tahoma" w:hAnsi="Tahoma" w:cs="Tahoma"/>
          <w:sz w:val="24"/>
          <w:szCs w:val="24"/>
        </w:rPr>
        <w:t>Selon les analyses institutionnelles d'El Jihad, cette structure se compose de multiples échelons emboîtés, depuis la Direction Nationale (devenue Agence Nationale des Eaux et Forêts par le par le Dahir n° 1-21-71 du 14 juillet 2021, promulguant la loi n° 52-20 relative à sa création) jusqu'aux Secteurs Forestiers, en passant par les Directions Régionales, les Directions Provinciales et les Centres de Conservation et Développement des Ressources Forestières</w:t>
      </w:r>
      <w:r w:rsidRPr="002462E6">
        <w:rPr>
          <w:rStyle w:val="Appelnotedebasdep"/>
          <w:rFonts w:ascii="Tahoma" w:hAnsi="Tahoma" w:cs="Tahoma"/>
          <w:sz w:val="24"/>
          <w:szCs w:val="24"/>
        </w:rPr>
        <w:footnoteReference w:id="779"/>
      </w:r>
      <w:r w:rsidRPr="002462E6">
        <w:rPr>
          <w:rFonts w:ascii="Tahoma" w:hAnsi="Tahoma" w:cs="Tahoma"/>
          <w:sz w:val="24"/>
          <w:szCs w:val="24"/>
        </w:rPr>
        <w:t>. Comme l'ont démontré Benjaminsen et Ba dans leur étude comparative des administrations forestières maghrébines, cette architecture reflète une conception verticale et centralisée de la gestion forestière, issue d'une tradition forestière française que Buttoud qualifie de « dirigiste-technique »</w:t>
      </w:r>
      <w:r w:rsidRPr="002462E6">
        <w:rPr>
          <w:rStyle w:val="Appelnotedebasdep"/>
          <w:rFonts w:ascii="Tahoma" w:hAnsi="Tahoma" w:cs="Tahoma"/>
          <w:sz w:val="24"/>
          <w:szCs w:val="24"/>
        </w:rPr>
        <w:footnoteReference w:id="780"/>
      </w:r>
      <w:r w:rsidRPr="002462E6">
        <w:rPr>
          <w:rFonts w:ascii="Tahoma" w:hAnsi="Tahoma" w:cs="Tahoma"/>
          <w:sz w:val="24"/>
          <w:szCs w:val="24"/>
        </w:rPr>
        <w:t>.</w:t>
      </w:r>
    </w:p>
    <w:p w:rsidR="00FA6C95" w:rsidRPr="002462E6" w:rsidRDefault="00FA6C95" w:rsidP="00FA6C95">
      <w:pPr>
        <w:spacing w:line="360" w:lineRule="auto"/>
        <w:jc w:val="both"/>
        <w:rPr>
          <w:rFonts w:ascii="Tahoma" w:hAnsi="Tahoma" w:cs="Tahoma"/>
          <w:sz w:val="24"/>
          <w:szCs w:val="24"/>
        </w:rPr>
      </w:pPr>
      <w:r w:rsidRPr="002462E6">
        <w:rPr>
          <w:rFonts w:ascii="Tahoma" w:hAnsi="Tahoma" w:cs="Tahoma"/>
          <w:sz w:val="24"/>
          <w:szCs w:val="24"/>
        </w:rPr>
        <w:t>Cette organisation hiérarchique, avec ses multiples échelons emboîtés, reflète une conception verticale et centralisée de la gestion forestière qui entre souvent en contradiction avec les réalités territoriales complexes de forêts comme celle de Korifla. L'agencement institutionnel de ce dispositif administratif s'articule autour du principe de déconcentration administrative qui, comme l'explique El Fasskaoui, maintient les centres décisionnels effectifs aux échelons supérieurs de la hiérarchie</w:t>
      </w:r>
      <w:r w:rsidRPr="002462E6">
        <w:rPr>
          <w:rStyle w:val="Appelnotedebasdep"/>
          <w:rFonts w:ascii="Tahoma" w:hAnsi="Tahoma" w:cs="Tahoma"/>
          <w:sz w:val="24"/>
          <w:szCs w:val="24"/>
        </w:rPr>
        <w:footnoteReference w:id="781"/>
      </w:r>
      <w:r w:rsidRPr="002462E6">
        <w:rPr>
          <w:rFonts w:ascii="Tahoma" w:hAnsi="Tahoma" w:cs="Tahoma"/>
          <w:sz w:val="24"/>
          <w:szCs w:val="24"/>
        </w:rPr>
        <w:t>. Les recherches empiriques menées par M'Hirit et Benchekroun dans différentes régions forestières marocaines ont démontré comment cette centralisation décisionnelle limite significativement l'autonomie opérationnelle des agents de terrain</w:t>
      </w:r>
      <w:r w:rsidRPr="002462E6">
        <w:rPr>
          <w:rStyle w:val="Appelnotedebasdep"/>
          <w:rFonts w:ascii="Tahoma" w:hAnsi="Tahoma" w:cs="Tahoma"/>
          <w:sz w:val="24"/>
          <w:szCs w:val="24"/>
        </w:rPr>
        <w:footnoteReference w:id="782"/>
      </w:r>
      <w:r w:rsidRPr="002462E6">
        <w:rPr>
          <w:rFonts w:ascii="Tahoma" w:hAnsi="Tahoma" w:cs="Tahoma"/>
          <w:sz w:val="24"/>
          <w:szCs w:val="24"/>
        </w:rPr>
        <w:t>.  Ce phénomène s'apparente à ce que Scott a conceptualisé comme la prédominance d'une « vision synoptique étatique » sur les savoirs contextualisés des acteurs locaux.</w:t>
      </w:r>
    </w:p>
    <w:p w:rsidR="00FA6C95" w:rsidRPr="002462E6" w:rsidRDefault="00FA6C95" w:rsidP="00FA6C95">
      <w:pPr>
        <w:spacing w:line="360" w:lineRule="auto"/>
        <w:jc w:val="both"/>
        <w:rPr>
          <w:rFonts w:ascii="Tahoma" w:hAnsi="Tahoma" w:cs="Tahoma"/>
          <w:sz w:val="24"/>
          <w:szCs w:val="24"/>
        </w:rPr>
      </w:pPr>
      <w:r w:rsidRPr="002462E6">
        <w:rPr>
          <w:rFonts w:ascii="Tahoma" w:hAnsi="Tahoma" w:cs="Tahoma"/>
          <w:sz w:val="24"/>
          <w:szCs w:val="24"/>
        </w:rPr>
        <w:t>Le principe de déconcentration qui structure cette organisation maintient une forte dépendance des échelons inférieurs vis-à-vis des niveaux supérieurs, limitant l'autonomie décisionnelle des agents de terrain. Les secteurs forestiers, qui constituent l'interface directe avec les populations riveraines, disposent de marges de manœuvre restreintes pour adapter les directives nationales aux contextes locaux spécifiques. Cette rigidité hiérarchique entrave la réactivité de l'administration face aux dynamiques territoriales et aux besoins exprimés par les communautés locales, créant ce que Lipsky a théorisé comme des « dilemmes du fonctionnaire de terrain » (street-level bureaucrat's dilemmas)</w:t>
      </w:r>
      <w:r w:rsidRPr="002462E6">
        <w:rPr>
          <w:rStyle w:val="Appelnotedebasdep"/>
          <w:rFonts w:ascii="Tahoma" w:hAnsi="Tahoma" w:cs="Tahoma"/>
          <w:sz w:val="24"/>
          <w:szCs w:val="24"/>
        </w:rPr>
        <w:footnoteReference w:id="783"/>
      </w:r>
      <w:r w:rsidRPr="002462E6">
        <w:rPr>
          <w:rFonts w:ascii="Tahoma" w:hAnsi="Tahoma" w:cs="Tahoma"/>
          <w:sz w:val="24"/>
          <w:szCs w:val="24"/>
        </w:rPr>
        <w:t>.</w:t>
      </w:r>
    </w:p>
    <w:p w:rsidR="00FA6C95" w:rsidRPr="002462E6" w:rsidRDefault="00FA6C95" w:rsidP="00FA6C95">
      <w:pPr>
        <w:spacing w:line="360" w:lineRule="auto"/>
        <w:jc w:val="both"/>
        <w:rPr>
          <w:rFonts w:ascii="Tahoma" w:hAnsi="Tahoma" w:cs="Tahoma"/>
          <w:sz w:val="24"/>
          <w:szCs w:val="24"/>
        </w:rPr>
      </w:pPr>
      <w:r w:rsidRPr="002462E6">
        <w:rPr>
          <w:rFonts w:ascii="Tahoma" w:hAnsi="Tahoma" w:cs="Tahoma"/>
          <w:sz w:val="24"/>
          <w:szCs w:val="24"/>
        </w:rPr>
        <w:t>La territorialisation de l'administration forestière révèle d'importantes discordances avec les autres découpages administratifs. Des recherches cartographiques ont mis en évidence que les unités de gestion forestière, définies selon des critères sylvicoles et administratifs, ne correspondent généralement pas aux limites des collectivités territoriales</w:t>
      </w:r>
      <w:r w:rsidRPr="002462E6">
        <w:rPr>
          <w:rStyle w:val="Appelnotedebasdep"/>
          <w:rFonts w:ascii="Tahoma" w:hAnsi="Tahoma" w:cs="Tahoma"/>
          <w:sz w:val="24"/>
          <w:szCs w:val="24"/>
        </w:rPr>
        <w:footnoteReference w:id="784"/>
      </w:r>
      <w:r w:rsidRPr="002462E6">
        <w:rPr>
          <w:rFonts w:ascii="Tahoma" w:hAnsi="Tahoma" w:cs="Tahoma"/>
          <w:sz w:val="24"/>
          <w:szCs w:val="24"/>
        </w:rPr>
        <w:t>. Comme l'ont théorisé</w:t>
      </w:r>
      <w:r w:rsidRPr="002462E6">
        <w:rPr>
          <w:rFonts w:ascii="Tahoma" w:hAnsi="Tahoma" w:cs="Tahoma"/>
          <w:b/>
          <w:bCs/>
          <w:sz w:val="24"/>
          <w:szCs w:val="24"/>
        </w:rPr>
        <w:t xml:space="preserve"> </w:t>
      </w:r>
      <w:r w:rsidRPr="002462E6">
        <w:rPr>
          <w:rFonts w:ascii="Tahoma" w:hAnsi="Tahoma" w:cs="Tahoma"/>
          <w:sz w:val="24"/>
          <w:szCs w:val="24"/>
        </w:rPr>
        <w:t>Cash et al., ces « misfits » ou inadéquations spatiales entre institutions et écosystèmes constituent un obstacle majeur à la gestion durable des ressources naturelles</w:t>
      </w:r>
      <w:r w:rsidRPr="002462E6">
        <w:rPr>
          <w:rStyle w:val="Appelnotedebasdep"/>
          <w:rFonts w:ascii="Tahoma" w:hAnsi="Tahoma" w:cs="Tahoma"/>
          <w:sz w:val="24"/>
          <w:szCs w:val="24"/>
        </w:rPr>
        <w:footnoteReference w:id="785"/>
      </w:r>
      <w:r w:rsidRPr="002462E6">
        <w:rPr>
          <w:rFonts w:ascii="Tahoma" w:hAnsi="Tahoma" w:cs="Tahoma"/>
          <w:sz w:val="24"/>
          <w:szCs w:val="24"/>
        </w:rPr>
        <w:t>. Cette non-congruence des périmètres d'action génère ce que Nahrath et al. ont identifié comme des « problèmes d'interterritorialité » dans la gouvernance environnementale</w:t>
      </w:r>
      <w:r w:rsidRPr="002462E6">
        <w:rPr>
          <w:rStyle w:val="Appelnotedebasdep"/>
          <w:rFonts w:ascii="Tahoma" w:hAnsi="Tahoma" w:cs="Tahoma"/>
          <w:sz w:val="24"/>
          <w:szCs w:val="24"/>
        </w:rPr>
        <w:footnoteReference w:id="786"/>
      </w:r>
      <w:r w:rsidRPr="002462E6">
        <w:rPr>
          <w:rFonts w:ascii="Tahoma" w:hAnsi="Tahoma" w:cs="Tahoma"/>
          <w:sz w:val="24"/>
          <w:szCs w:val="24"/>
        </w:rPr>
        <w:t>. Les analyses juridiques d'El Amrani ont documenté comment ces chevauchements créent des zones d'incertitude normative où les attributions respectives des différentes autorités deviennent ambiguës</w:t>
      </w:r>
      <w:r w:rsidRPr="002462E6">
        <w:rPr>
          <w:rStyle w:val="Appelnotedebasdep"/>
          <w:rFonts w:ascii="Tahoma" w:hAnsi="Tahoma" w:cs="Tahoma"/>
          <w:sz w:val="24"/>
          <w:szCs w:val="24"/>
        </w:rPr>
        <w:footnoteReference w:id="787"/>
      </w:r>
      <w:r w:rsidRPr="002462E6">
        <w:rPr>
          <w:rFonts w:ascii="Tahoma" w:hAnsi="Tahoma" w:cs="Tahoma"/>
          <w:sz w:val="24"/>
          <w:szCs w:val="24"/>
        </w:rPr>
        <w:t>. Cette situation correspond à ce que Hooghe et Marks qualifient de « fragmentation institutionnelle horizontale »</w:t>
      </w:r>
      <w:r w:rsidRPr="002462E6">
        <w:rPr>
          <w:rStyle w:val="Appelnotedebasdep"/>
          <w:rFonts w:ascii="Tahoma" w:hAnsi="Tahoma" w:cs="Tahoma"/>
          <w:sz w:val="24"/>
          <w:szCs w:val="24"/>
        </w:rPr>
        <w:footnoteReference w:id="788"/>
      </w:r>
      <w:r w:rsidRPr="002462E6">
        <w:rPr>
          <w:rFonts w:ascii="Tahoma" w:hAnsi="Tahoma" w:cs="Tahoma"/>
          <w:sz w:val="24"/>
          <w:szCs w:val="24"/>
        </w:rPr>
        <w:t>.</w:t>
      </w:r>
    </w:p>
    <w:p w:rsidR="00FA6C95" w:rsidRPr="002462E6" w:rsidRDefault="00FA6C95" w:rsidP="00FA6C95">
      <w:pPr>
        <w:spacing w:line="360" w:lineRule="auto"/>
        <w:jc w:val="both"/>
        <w:rPr>
          <w:rFonts w:ascii="Tahoma" w:hAnsi="Tahoma" w:cs="Tahoma"/>
          <w:sz w:val="24"/>
          <w:szCs w:val="24"/>
        </w:rPr>
      </w:pPr>
      <w:r w:rsidRPr="002462E6">
        <w:rPr>
          <w:rFonts w:ascii="Tahoma" w:hAnsi="Tahoma" w:cs="Tahoma"/>
          <w:sz w:val="24"/>
          <w:szCs w:val="24"/>
        </w:rPr>
        <w:t>Par ailleurs, le découpage territorial propre à l'administration forestière, qui définit des unités de gestion selon des critères sylvicoles et administratifs, ne correspond généralement pas aux limites des collectivités territoriales ni aux territoires vécus par les populations. Dans le cas spécifique de Korifla, cette discordance spatiale est particulièrement marquée au niveau des limites entre les provinces de Rabat et de Khémisset, créant des situations où une même unité forestière est gérée par deux entités administratives différentes</w:t>
      </w:r>
      <w:r w:rsidRPr="002462E6">
        <w:rPr>
          <w:rStyle w:val="Appelnotedebasdep"/>
          <w:rFonts w:ascii="Tahoma" w:hAnsi="Tahoma" w:cs="Tahoma"/>
          <w:sz w:val="24"/>
          <w:szCs w:val="24"/>
        </w:rPr>
        <w:footnoteReference w:id="789"/>
      </w:r>
      <w:r w:rsidRPr="002462E6">
        <w:rPr>
          <w:rFonts w:ascii="Tahoma" w:hAnsi="Tahoma" w:cs="Tahoma"/>
          <w:sz w:val="24"/>
          <w:szCs w:val="24"/>
        </w:rPr>
        <w:t>. Cette discordance spatiale peut génèrer des chevauchements de compétences et des zones d'incertitude juridique et administrative qui compliquent la coordination des actions sur le terrain.</w:t>
      </w:r>
    </w:p>
    <w:p w:rsidR="00FA6C95" w:rsidRPr="002462E6" w:rsidRDefault="00FA6C95" w:rsidP="00F853EC">
      <w:pPr>
        <w:spacing w:line="360" w:lineRule="auto"/>
        <w:jc w:val="both"/>
        <w:rPr>
          <w:rFonts w:ascii="Tahoma" w:hAnsi="Tahoma" w:cs="Tahoma"/>
          <w:sz w:val="24"/>
          <w:szCs w:val="24"/>
        </w:rPr>
      </w:pPr>
      <w:r w:rsidRPr="002462E6">
        <w:rPr>
          <w:rFonts w:ascii="Tahoma" w:hAnsi="Tahoma" w:cs="Tahoma"/>
          <w:sz w:val="24"/>
          <w:szCs w:val="24"/>
        </w:rPr>
        <w:t>La structure organisationnelle de l'administration forestière se caractérise également par une forte prévalence de l'expertise technique forestière, phénomène que Masson-Vincent et Dubus ont qualifié de « technocentrisme » dans la gestion environnementale</w:t>
      </w:r>
      <w:r w:rsidRPr="002462E6">
        <w:rPr>
          <w:rStyle w:val="Appelnotedebasdep"/>
          <w:rFonts w:ascii="Tahoma" w:hAnsi="Tahoma" w:cs="Tahoma"/>
          <w:sz w:val="24"/>
          <w:szCs w:val="24"/>
        </w:rPr>
        <w:footnoteReference w:id="790"/>
      </w:r>
      <w:r w:rsidRPr="002462E6">
        <w:rPr>
          <w:rFonts w:ascii="Tahoma" w:hAnsi="Tahoma" w:cs="Tahoma"/>
          <w:sz w:val="24"/>
          <w:szCs w:val="24"/>
        </w:rPr>
        <w:t>. Selon les analyses curriculaires effectuées par Kouba et al., la formation des ingénieurs forestiers marocains demeure principalement ancrée dans les sciences forestières classiques, avec une intégration limitée des dimensions sociales et économiques de la gestion des ressources naturelles</w:t>
      </w:r>
      <w:r w:rsidRPr="002462E6">
        <w:rPr>
          <w:rStyle w:val="Appelnotedebasdep"/>
          <w:rFonts w:ascii="Tahoma" w:hAnsi="Tahoma" w:cs="Tahoma"/>
          <w:sz w:val="24"/>
          <w:szCs w:val="24"/>
        </w:rPr>
        <w:footnoteReference w:id="791"/>
      </w:r>
      <w:r w:rsidRPr="002462E6">
        <w:rPr>
          <w:rFonts w:ascii="Tahoma" w:hAnsi="Tahoma" w:cs="Tahoma"/>
          <w:sz w:val="24"/>
          <w:szCs w:val="24"/>
        </w:rPr>
        <w:t>. Cette prédominance disciplinaire s'inscrit dans ce que Forsyth conceptualise comme un « régime de vérité</w:t>
      </w:r>
      <w:r w:rsidRPr="002462E6">
        <w:rPr>
          <w:rFonts w:ascii="Tahoma" w:hAnsi="Tahoma" w:cs="Tahoma"/>
          <w:b/>
          <w:bCs/>
          <w:sz w:val="24"/>
          <w:szCs w:val="24"/>
        </w:rPr>
        <w:t xml:space="preserve"> </w:t>
      </w:r>
      <w:r w:rsidRPr="002462E6">
        <w:rPr>
          <w:rFonts w:ascii="Tahoma" w:hAnsi="Tahoma" w:cs="Tahoma"/>
          <w:sz w:val="24"/>
          <w:szCs w:val="24"/>
        </w:rPr>
        <w:t>technico-scientifique » qui privilégie certaines formes de savoir au détriment d'autres</w:t>
      </w:r>
      <w:r w:rsidRPr="002462E6">
        <w:rPr>
          <w:rStyle w:val="Appelnotedebasdep"/>
          <w:rFonts w:ascii="Tahoma" w:hAnsi="Tahoma" w:cs="Tahoma"/>
          <w:sz w:val="24"/>
          <w:szCs w:val="24"/>
        </w:rPr>
        <w:footnoteReference w:id="792"/>
      </w:r>
      <w:r w:rsidRPr="002462E6">
        <w:rPr>
          <w:rFonts w:ascii="Tahoma" w:hAnsi="Tahoma" w:cs="Tahoma"/>
          <w:sz w:val="24"/>
          <w:szCs w:val="24"/>
        </w:rPr>
        <w:t>. Cette prédominance de l'expertise technique forestière, au détriment d'approches pluridisciplinaires intégrant les dimensions sociales, économiques et culturelles de la gestion des ressources naturelles, limite considérablement la capacité des agents à appréhender les dynamiques socio-économiques complexes des territoires forestiers. Comme l'a théorisé Adams dans son analyse critique des institutions environnementales, cette approche reflète un paradigme de « conservation forteresse » (fortress conservation) qui peine à intégrer les dimensions humaines de la conservation</w:t>
      </w:r>
      <w:r w:rsidRPr="002462E6">
        <w:rPr>
          <w:rStyle w:val="Appelnotedebasdep"/>
          <w:rFonts w:ascii="Tahoma" w:hAnsi="Tahoma" w:cs="Tahoma"/>
          <w:sz w:val="24"/>
          <w:szCs w:val="24"/>
        </w:rPr>
        <w:footnoteReference w:id="793"/>
      </w:r>
      <w:r w:rsidRPr="002462E6">
        <w:rPr>
          <w:rFonts w:ascii="Tahoma" w:hAnsi="Tahoma" w:cs="Tahoma"/>
          <w:sz w:val="24"/>
          <w:szCs w:val="24"/>
        </w:rPr>
        <w:t>.</w:t>
      </w:r>
    </w:p>
    <w:p w:rsidR="00FA6C95" w:rsidRPr="002462E6" w:rsidRDefault="00FA6C95" w:rsidP="00FA6C95">
      <w:pPr>
        <w:spacing w:line="360" w:lineRule="auto"/>
        <w:jc w:val="both"/>
        <w:rPr>
          <w:rFonts w:ascii="Tahoma" w:hAnsi="Tahoma" w:cs="Tahoma"/>
          <w:sz w:val="24"/>
          <w:szCs w:val="24"/>
        </w:rPr>
      </w:pPr>
      <w:r w:rsidRPr="002462E6">
        <w:rPr>
          <w:rFonts w:ascii="Tahoma" w:hAnsi="Tahoma" w:cs="Tahoma"/>
          <w:sz w:val="24"/>
          <w:szCs w:val="24"/>
        </w:rPr>
        <w:t>La formation des agents forestiers, centrée sur les sciences forestières classiques, les prépare insuffisamment aux défis de la médiation territoriale et de l'animation participative qui sont au cœur des nouvelles orientations stratégiques. Cette lacune est particulièrement problématique dans le contexte de la forêt de Korifla, où les enjeux socio-économiques (pression urbaine, usages récréatifs, pratiques agro-sylvo-pastorales) sont aussi importants que les défis écologiques (conservation de la biodiversité, lutte contre l'érosion)</w:t>
      </w:r>
      <w:r w:rsidRPr="002462E6">
        <w:rPr>
          <w:rStyle w:val="Appelnotedebasdep"/>
          <w:rFonts w:ascii="Tahoma" w:hAnsi="Tahoma" w:cs="Tahoma"/>
          <w:sz w:val="24"/>
          <w:szCs w:val="24"/>
        </w:rPr>
        <w:footnoteReference w:id="794"/>
      </w:r>
      <w:r w:rsidRPr="002462E6">
        <w:rPr>
          <w:rFonts w:ascii="Tahoma" w:hAnsi="Tahoma" w:cs="Tahoma"/>
          <w:sz w:val="24"/>
          <w:szCs w:val="24"/>
        </w:rPr>
        <w:t>.</w:t>
      </w:r>
    </w:p>
    <w:p w:rsidR="00FA6C95" w:rsidRPr="002462E6" w:rsidRDefault="00FA6C95" w:rsidP="00FA6C95">
      <w:pPr>
        <w:spacing w:line="360" w:lineRule="auto"/>
        <w:jc w:val="both"/>
        <w:rPr>
          <w:rFonts w:ascii="Tahoma" w:hAnsi="Tahoma" w:cs="Tahoma"/>
          <w:sz w:val="24"/>
          <w:szCs w:val="24"/>
        </w:rPr>
      </w:pPr>
      <w:r w:rsidRPr="002462E6">
        <w:rPr>
          <w:rFonts w:ascii="Tahoma" w:hAnsi="Tahoma" w:cs="Tahoma"/>
          <w:sz w:val="24"/>
          <w:szCs w:val="24"/>
        </w:rPr>
        <w:t>La dualité fonctionnelle des agents forestiers constitue une problématique institutionnelle significative. Comme l'ont démontré empiriquement Aubert et al. dans le Haut Atlas, les préposés forestiers assument simultanément des missions de police forestière et d'accompagnement du développement local, générant ce que Lipsky a conceptualisé comme des « dilemmes du fonctionnaire de terrain »</w:t>
      </w:r>
      <w:r w:rsidRPr="002462E6">
        <w:rPr>
          <w:rStyle w:val="Appelnotedebasdep"/>
          <w:rFonts w:ascii="Tahoma" w:hAnsi="Tahoma" w:cs="Tahoma"/>
          <w:sz w:val="24"/>
          <w:szCs w:val="24"/>
        </w:rPr>
        <w:footnoteReference w:id="795"/>
      </w:r>
      <w:r w:rsidRPr="002462E6">
        <w:rPr>
          <w:rFonts w:ascii="Tahoma" w:hAnsi="Tahoma" w:cs="Tahoma"/>
          <w:sz w:val="24"/>
          <w:szCs w:val="24"/>
        </w:rPr>
        <w:t>. Selon les analyses sociologiques de Goeury, cette ambiguïté statutaire entretient des rapports complexes avec les populations riveraines, oscillant entre répression et coopération</w:t>
      </w:r>
      <w:r w:rsidRPr="002462E6">
        <w:rPr>
          <w:rStyle w:val="Appelnotedebasdep"/>
          <w:rFonts w:ascii="Tahoma" w:hAnsi="Tahoma" w:cs="Tahoma"/>
          <w:sz w:val="24"/>
          <w:szCs w:val="24"/>
        </w:rPr>
        <w:footnoteReference w:id="796"/>
      </w:r>
      <w:r w:rsidRPr="002462E6">
        <w:rPr>
          <w:rFonts w:ascii="Tahoma" w:hAnsi="Tahoma" w:cs="Tahoma"/>
          <w:sz w:val="24"/>
          <w:szCs w:val="24"/>
        </w:rPr>
        <w:t>.</w:t>
      </w:r>
    </w:p>
    <w:p w:rsidR="00FA6C95" w:rsidRPr="002462E6" w:rsidRDefault="00FA6C95" w:rsidP="00FA6C95">
      <w:pPr>
        <w:spacing w:line="360" w:lineRule="auto"/>
        <w:jc w:val="both"/>
        <w:rPr>
          <w:rFonts w:ascii="Tahoma" w:hAnsi="Tahoma" w:cs="Tahoma"/>
          <w:sz w:val="24"/>
          <w:szCs w:val="24"/>
        </w:rPr>
      </w:pPr>
      <w:r w:rsidRPr="002462E6">
        <w:rPr>
          <w:rFonts w:ascii="Tahoma" w:hAnsi="Tahoma" w:cs="Tahoma"/>
          <w:sz w:val="24"/>
          <w:szCs w:val="24"/>
        </w:rPr>
        <w:t>Cette situation correspond à ce que Peluso a identifié comme un « conflict of accountability » dans la gestion forestière, où les agents sont tiraillés entre leur responsabilité hiérarchique et les attentes des communautés locales</w:t>
      </w:r>
      <w:r w:rsidRPr="002462E6">
        <w:rPr>
          <w:rStyle w:val="Appelnotedebasdep"/>
          <w:rFonts w:ascii="Tahoma" w:hAnsi="Tahoma" w:cs="Tahoma"/>
          <w:sz w:val="24"/>
          <w:szCs w:val="24"/>
        </w:rPr>
        <w:footnoteReference w:id="797"/>
      </w:r>
      <w:r w:rsidRPr="002462E6">
        <w:rPr>
          <w:rFonts w:ascii="Tahoma" w:hAnsi="Tahoma" w:cs="Tahoma"/>
          <w:sz w:val="24"/>
          <w:szCs w:val="24"/>
        </w:rPr>
        <w:t>. Les études ethnographiques de Montanari et Bergh dans les forêts périurbaines illustrent comment cette configuration institutionnelle génère une méfiance persistante des usagers locaux vis-à-vis de l'administration forestière</w:t>
      </w:r>
      <w:r w:rsidRPr="002462E6">
        <w:rPr>
          <w:rStyle w:val="Appelnotedebasdep"/>
          <w:rFonts w:ascii="Tahoma" w:hAnsi="Tahoma" w:cs="Tahoma"/>
          <w:sz w:val="24"/>
          <w:szCs w:val="24"/>
        </w:rPr>
        <w:footnoteReference w:id="798"/>
      </w:r>
      <w:r w:rsidRPr="002462E6">
        <w:rPr>
          <w:rFonts w:ascii="Tahoma" w:hAnsi="Tahoma" w:cs="Tahoma"/>
          <w:sz w:val="24"/>
          <w:szCs w:val="24"/>
        </w:rPr>
        <w:t>. Comme l'a démontré Ribot dans son analyse comparative des réformes forestières africaines, cette défiance constitue un obstacle majeur à l'efficacité des initiatives participatives</w:t>
      </w:r>
      <w:r w:rsidRPr="002462E6">
        <w:rPr>
          <w:rStyle w:val="Appelnotedebasdep"/>
          <w:rFonts w:ascii="Tahoma" w:hAnsi="Tahoma" w:cs="Tahoma"/>
          <w:sz w:val="24"/>
          <w:szCs w:val="24"/>
        </w:rPr>
        <w:footnoteReference w:id="799"/>
      </w:r>
      <w:r w:rsidRPr="002462E6">
        <w:rPr>
          <w:rFonts w:ascii="Tahoma" w:hAnsi="Tahoma" w:cs="Tahoma"/>
          <w:sz w:val="24"/>
          <w:szCs w:val="24"/>
        </w:rPr>
        <w:t>.</w:t>
      </w:r>
    </w:p>
    <w:p w:rsidR="00FA6C95" w:rsidRPr="002462E6" w:rsidRDefault="00FA6C95" w:rsidP="00FA6C95">
      <w:pPr>
        <w:spacing w:line="360" w:lineRule="auto"/>
        <w:jc w:val="both"/>
        <w:rPr>
          <w:rFonts w:ascii="Tahoma" w:hAnsi="Tahoma" w:cs="Tahoma"/>
          <w:sz w:val="24"/>
          <w:szCs w:val="24"/>
        </w:rPr>
      </w:pPr>
      <w:r w:rsidRPr="002462E6">
        <w:rPr>
          <w:rFonts w:ascii="Tahoma" w:hAnsi="Tahoma" w:cs="Tahoma"/>
          <w:sz w:val="24"/>
          <w:szCs w:val="24"/>
        </w:rPr>
        <w:t>Enfin, le statut ambigu des agents forestiers, à la fois chargés de missions de police forestière (répression des infractions) et d'accompagnement du développement local, crée des situations de conflit de rôles qui entretiennent la méfiance des populations riveraines. Cette dualité fonctionnelle constitue un obstacle majeur à l'établissement de relations de confiance nécessaires à une gestion participative effective.</w:t>
      </w:r>
    </w:p>
    <w:p w:rsidR="00FA6C95" w:rsidRPr="002462E6" w:rsidRDefault="00FA6C95" w:rsidP="00FA6C95">
      <w:pPr>
        <w:spacing w:line="360" w:lineRule="auto"/>
        <w:jc w:val="both"/>
        <w:rPr>
          <w:rFonts w:ascii="Tahoma" w:hAnsi="Tahoma" w:cs="Tahoma"/>
          <w:sz w:val="24"/>
          <w:szCs w:val="24"/>
        </w:rPr>
      </w:pPr>
      <w:r w:rsidRPr="002462E6">
        <w:rPr>
          <w:rFonts w:ascii="Tahoma" w:hAnsi="Tahoma" w:cs="Tahoma"/>
          <w:sz w:val="24"/>
          <w:szCs w:val="24"/>
        </w:rPr>
        <w:t>Face à ces dysfonctionnements, la stratégie « Forêts du Maroc 2020-2030 » propose une réorganisation institutionnelle du secteur forestier. Cette réforme, notamment à travers la création d'agences spécialisées comme l'Agence Nationale des Eaux et Forêts (créée par la loi 52-20), privilégie une logique de spécialisation fonctionnelle plutôt qu'une véritable territorialisation de la gestion forestière</w:t>
      </w:r>
      <w:r w:rsidRPr="002462E6">
        <w:rPr>
          <w:rStyle w:val="Appelnotedebasdep"/>
          <w:rFonts w:ascii="Tahoma" w:hAnsi="Tahoma" w:cs="Tahoma"/>
          <w:sz w:val="24"/>
          <w:szCs w:val="24"/>
        </w:rPr>
        <w:footnoteReference w:id="800"/>
      </w:r>
      <w:r w:rsidRPr="002462E6">
        <w:rPr>
          <w:rFonts w:ascii="Tahoma" w:hAnsi="Tahoma" w:cs="Tahoma"/>
          <w:sz w:val="24"/>
          <w:szCs w:val="24"/>
        </w:rPr>
        <w:t>. Ce constat rejoint l'analyse de Ribot et al. sur les « tendances re-centralisatrices » qui accompagnent paradoxalement les réformes de décentralisation dans la gestion des ressources naturelles</w:t>
      </w:r>
      <w:r w:rsidRPr="002462E6">
        <w:rPr>
          <w:rStyle w:val="Appelnotedebasdep"/>
          <w:rFonts w:ascii="Tahoma" w:hAnsi="Tahoma" w:cs="Tahoma"/>
          <w:sz w:val="24"/>
          <w:szCs w:val="24"/>
        </w:rPr>
        <w:footnoteReference w:id="801"/>
      </w:r>
      <w:r w:rsidRPr="002462E6">
        <w:rPr>
          <w:rFonts w:ascii="Tahoma" w:hAnsi="Tahoma" w:cs="Tahoma"/>
          <w:sz w:val="24"/>
          <w:szCs w:val="24"/>
        </w:rPr>
        <w:t>.</w:t>
      </w:r>
    </w:p>
    <w:p w:rsidR="00A21E0A" w:rsidRPr="002462E6" w:rsidRDefault="00FA6C95" w:rsidP="005979B4">
      <w:pPr>
        <w:spacing w:line="360" w:lineRule="auto"/>
        <w:jc w:val="both"/>
        <w:rPr>
          <w:rFonts w:ascii="Tahoma" w:hAnsi="Tahoma" w:cs="Tahoma"/>
          <w:sz w:val="24"/>
          <w:szCs w:val="24"/>
        </w:rPr>
      </w:pPr>
      <w:r w:rsidRPr="002462E6">
        <w:rPr>
          <w:rFonts w:ascii="Tahoma" w:hAnsi="Tahoma" w:cs="Tahoma"/>
          <w:sz w:val="24"/>
          <w:szCs w:val="24"/>
        </w:rPr>
        <w:t>Comme l'a théorisé Agrawal dans son analyse de la « gouvernementalité environnementale », ces réformes tendent à reconfigurer les modes d'intervention étatique sans nécessairement transformer les relations fondamentales de pouvoir sur les ressources</w:t>
      </w:r>
      <w:r w:rsidRPr="002462E6">
        <w:rPr>
          <w:rStyle w:val="Appelnotedebasdep"/>
          <w:rFonts w:ascii="Tahoma" w:hAnsi="Tahoma" w:cs="Tahoma"/>
          <w:sz w:val="24"/>
          <w:szCs w:val="24"/>
        </w:rPr>
        <w:footnoteReference w:id="802"/>
      </w:r>
      <w:r w:rsidRPr="002462E6">
        <w:rPr>
          <w:rFonts w:ascii="Tahoma" w:hAnsi="Tahoma" w:cs="Tahoma"/>
          <w:sz w:val="24"/>
          <w:szCs w:val="24"/>
        </w:rPr>
        <w:t>. Les analyses prospectives de Boisvert et Vivien suggèrent que cette approche sectorielle, que Jessop qualifierait de « dépendance au sentier institutionnel », pourrait perpétuer les discontinuités entre logiques administratives et réalités territoriales</w:t>
      </w:r>
      <w:r w:rsidRPr="002462E6">
        <w:rPr>
          <w:rStyle w:val="Appelnotedebasdep"/>
          <w:rFonts w:ascii="Tahoma" w:hAnsi="Tahoma" w:cs="Tahoma"/>
          <w:sz w:val="24"/>
          <w:szCs w:val="24"/>
        </w:rPr>
        <w:footnoteReference w:id="803"/>
      </w:r>
      <w:r w:rsidRPr="002462E6">
        <w:rPr>
          <w:rFonts w:ascii="Tahoma" w:hAnsi="Tahoma" w:cs="Tahoma"/>
          <w:sz w:val="24"/>
          <w:szCs w:val="24"/>
        </w:rPr>
        <w:t>.</w:t>
      </w:r>
      <w:bookmarkStart w:id="398" w:name="_Toc201655529"/>
    </w:p>
    <w:p w:rsidR="00FA6C95" w:rsidRPr="002462E6" w:rsidRDefault="00FA6C95" w:rsidP="00BF1F48">
      <w:pPr>
        <w:pStyle w:val="Titre5"/>
      </w:pPr>
      <w:bookmarkStart w:id="399" w:name="_Toc203643101"/>
      <w:r w:rsidRPr="002462E6">
        <w:t>L'intercommunalité à l'épreuve des réalités territoriales</w:t>
      </w:r>
      <w:bookmarkEnd w:id="398"/>
      <w:bookmarkEnd w:id="399"/>
    </w:p>
    <w:p w:rsidR="00FA6C95" w:rsidRPr="002462E6" w:rsidRDefault="00FA6C95" w:rsidP="00FA6C95">
      <w:pPr>
        <w:spacing w:line="360" w:lineRule="auto"/>
        <w:jc w:val="both"/>
        <w:rPr>
          <w:rFonts w:ascii="Tahoma" w:hAnsi="Tahoma" w:cs="Tahoma"/>
          <w:sz w:val="24"/>
          <w:szCs w:val="24"/>
        </w:rPr>
      </w:pPr>
      <w:r w:rsidRPr="002462E6">
        <w:rPr>
          <w:rFonts w:ascii="Tahoma" w:hAnsi="Tahoma" w:cs="Tahoma"/>
          <w:sz w:val="24"/>
          <w:szCs w:val="24"/>
        </w:rPr>
        <w:t>Face à la fragmentation administrative du territoire forestier de Korifla, l'intercommunalité apparaît comme une solution institutionnelle potentiellement prometteuse dans le contexte des réformes de décentralisation au Maroc. Cette forme de coopération entre communes, renforcée par la loi organique n° 113-14 relative aux communes de 2015, offre théoriquement un cadre adapté pour dépasser les limites des approches communales isolées et construire une gouvernance territoriale cohérente à l'échelle de l'espace forestier. La littérature scientifique contemporaine, notamment les travaux de Torre sur les dynamiques de proximité dans la gouvernance territoriale, souligne le potentiel de l'intercommunalité comme vecteur d'intégration des politiques publiques environnementales à l'échelle des territoires fonctionnels</w:t>
      </w:r>
      <w:r w:rsidRPr="002462E6">
        <w:rPr>
          <w:rStyle w:val="Appelnotedebasdep"/>
          <w:rFonts w:ascii="Tahoma" w:hAnsi="Tahoma" w:cs="Tahoma"/>
          <w:sz w:val="24"/>
          <w:szCs w:val="24"/>
        </w:rPr>
        <w:footnoteReference w:id="804"/>
      </w:r>
      <w:r w:rsidRPr="002462E6">
        <w:rPr>
          <w:rFonts w:ascii="Tahoma" w:hAnsi="Tahoma" w:cs="Tahoma"/>
          <w:sz w:val="24"/>
          <w:szCs w:val="24"/>
        </w:rPr>
        <w:t>.</w:t>
      </w:r>
    </w:p>
    <w:p w:rsidR="00FA6C95" w:rsidRPr="002462E6" w:rsidRDefault="00FA6C95" w:rsidP="00FA6C95">
      <w:pPr>
        <w:spacing w:line="360" w:lineRule="auto"/>
        <w:jc w:val="both"/>
        <w:rPr>
          <w:rFonts w:ascii="Tahoma" w:hAnsi="Tahoma" w:cs="Tahoma"/>
          <w:sz w:val="24"/>
          <w:szCs w:val="24"/>
        </w:rPr>
      </w:pPr>
      <w:r w:rsidRPr="002462E6">
        <w:rPr>
          <w:rFonts w:ascii="Tahoma" w:hAnsi="Tahoma" w:cs="Tahoma"/>
          <w:sz w:val="24"/>
          <w:szCs w:val="24"/>
        </w:rPr>
        <w:t>Les établissements de coopération intercommunale (ECI), prévus par le cadre juridique marocain, offrent diverses modalités d'organisation susceptibles de s'adapter aux réalités territoriales spécifiques de Korifla</w:t>
      </w:r>
      <w:r w:rsidRPr="002462E6">
        <w:rPr>
          <w:rStyle w:val="Appelnotedebasdep"/>
          <w:rFonts w:ascii="Tahoma" w:hAnsi="Tahoma" w:cs="Tahoma"/>
          <w:sz w:val="24"/>
          <w:szCs w:val="24"/>
        </w:rPr>
        <w:footnoteReference w:id="805"/>
      </w:r>
      <w:r w:rsidRPr="002462E6">
        <w:rPr>
          <w:rFonts w:ascii="Tahoma" w:hAnsi="Tahoma" w:cs="Tahoma"/>
          <w:sz w:val="24"/>
          <w:szCs w:val="24"/>
        </w:rPr>
        <w:t>. Comme le souligne Zair dans son analyse du cadre juridique de l'intercommunalité au Maroc, ces structures permettent théoriquement une mutualisation des ressources, une harmonisation des planifications territoriales et une coordination des interventions sur des espaces écologiquement cohérents</w:t>
      </w:r>
      <w:r w:rsidRPr="002462E6">
        <w:rPr>
          <w:rStyle w:val="Appelnotedebasdep"/>
          <w:rFonts w:ascii="Tahoma" w:hAnsi="Tahoma" w:cs="Tahoma"/>
          <w:sz w:val="24"/>
          <w:szCs w:val="24"/>
        </w:rPr>
        <w:footnoteReference w:id="806"/>
      </w:r>
      <w:r w:rsidRPr="002462E6">
        <w:rPr>
          <w:rFonts w:ascii="Tahoma" w:hAnsi="Tahoma" w:cs="Tahoma"/>
          <w:sz w:val="24"/>
          <w:szCs w:val="24"/>
        </w:rPr>
        <w:t>. Le modèle de « territoire de projet » intercommunal a démontré sa pertinence dans plusieurs contextes similaires au Maghreb, comme l'illustrent les travaux de Taabni et Kouti sur les expériences algériennes de gestion intercommunale des espaces naturels</w:t>
      </w:r>
      <w:r w:rsidRPr="002462E6">
        <w:rPr>
          <w:rStyle w:val="Appelnotedebasdep"/>
          <w:rFonts w:ascii="Tahoma" w:hAnsi="Tahoma" w:cs="Tahoma"/>
          <w:sz w:val="24"/>
          <w:szCs w:val="24"/>
        </w:rPr>
        <w:footnoteReference w:id="807"/>
      </w:r>
      <w:r w:rsidRPr="002462E6">
        <w:rPr>
          <w:rFonts w:ascii="Tahoma" w:hAnsi="Tahoma" w:cs="Tahoma"/>
          <w:sz w:val="24"/>
          <w:szCs w:val="24"/>
        </w:rPr>
        <w:t>.</w:t>
      </w:r>
    </w:p>
    <w:p w:rsidR="00FA6C95" w:rsidRPr="002462E6" w:rsidRDefault="00FA6C95" w:rsidP="00FA6C95">
      <w:pPr>
        <w:spacing w:line="360" w:lineRule="auto"/>
        <w:jc w:val="both"/>
        <w:rPr>
          <w:rFonts w:ascii="Tahoma" w:hAnsi="Tahoma" w:cs="Tahoma"/>
          <w:sz w:val="24"/>
          <w:szCs w:val="24"/>
        </w:rPr>
      </w:pPr>
      <w:r w:rsidRPr="002462E6">
        <w:rPr>
          <w:rFonts w:ascii="Tahoma" w:hAnsi="Tahoma" w:cs="Tahoma"/>
          <w:sz w:val="24"/>
          <w:szCs w:val="24"/>
        </w:rPr>
        <w:t>Cependant, une analyse approfondie révèle d'importantes barrières structurelles à la mise en œuvre effective de l'intercommunalité dans ce territoire. Premièrement, comme l'ont démontré les recherches empiriques de Planel et Iraki dans les zones rurales marocaines, les asymétries de pouvoir et de ressources entre communes limitent considérablement les possibilités de coopération équilibrée</w:t>
      </w:r>
      <w:r w:rsidRPr="002462E6">
        <w:rPr>
          <w:rFonts w:ascii="Tahoma" w:hAnsi="Tahoma" w:cs="Tahoma"/>
          <w:sz w:val="24"/>
          <w:szCs w:val="24"/>
          <w:vertAlign w:val="superscript"/>
        </w:rPr>
        <w:t>104</w:t>
      </w:r>
      <w:r w:rsidRPr="002462E6">
        <w:rPr>
          <w:rFonts w:ascii="Tahoma" w:hAnsi="Tahoma" w:cs="Tahoma"/>
          <w:sz w:val="24"/>
          <w:szCs w:val="24"/>
        </w:rPr>
        <w:t>. Dans le cas de Korifla, ces asymétries sont particulièrement marquées entre les communes périurbaines (Aïn Aouda) et les communes rurales plus enclavées (Brachoua, Marchouch), créant des déséquilibres de négociation où les communes les mieux dotées peuvent imposer leurs priorités aux plus vulnérables</w:t>
      </w:r>
      <w:r w:rsidRPr="002462E6">
        <w:rPr>
          <w:rFonts w:ascii="Tahoma" w:hAnsi="Tahoma" w:cs="Tahoma"/>
          <w:sz w:val="24"/>
          <w:szCs w:val="24"/>
          <w:vertAlign w:val="superscript"/>
        </w:rPr>
        <w:t>105</w:t>
      </w:r>
      <w:r w:rsidRPr="002462E6">
        <w:rPr>
          <w:rFonts w:ascii="Tahoma" w:hAnsi="Tahoma" w:cs="Tahoma"/>
          <w:sz w:val="24"/>
          <w:szCs w:val="24"/>
        </w:rPr>
        <w:t>.</w:t>
      </w:r>
    </w:p>
    <w:p w:rsidR="00FA6C95" w:rsidRPr="002462E6" w:rsidRDefault="00FA6C95" w:rsidP="00FA6C95">
      <w:pPr>
        <w:spacing w:line="360" w:lineRule="auto"/>
        <w:jc w:val="both"/>
        <w:rPr>
          <w:rFonts w:ascii="Tahoma" w:hAnsi="Tahoma" w:cs="Tahoma"/>
          <w:sz w:val="24"/>
          <w:szCs w:val="24"/>
        </w:rPr>
      </w:pPr>
      <w:r w:rsidRPr="002462E6">
        <w:rPr>
          <w:rFonts w:ascii="Tahoma" w:hAnsi="Tahoma" w:cs="Tahoma"/>
          <w:sz w:val="24"/>
          <w:szCs w:val="24"/>
        </w:rPr>
        <w:t>Par ailleurs, la culture politique locale reste marquée par des logiques de concurrence territoriale plutôt que de coopération, reflétant des rivalités historiques entre communautés et des stratégies d'accaparement des ressources publiques. Comme l'a analysé Bono dans ses travaux sur les dynamiques politiques locales au Maroc, ces logiques concurrentielles s'enracinent dans une histoire longue de compétition pour les ressources et s'articulent avec des systèmes clientélistes qui structurent fortement les rapports politiques locaux</w:t>
      </w:r>
      <w:r w:rsidRPr="002462E6">
        <w:rPr>
          <w:rStyle w:val="Appelnotedebasdep"/>
          <w:rFonts w:ascii="Tahoma" w:hAnsi="Tahoma" w:cs="Tahoma"/>
          <w:sz w:val="24"/>
          <w:szCs w:val="24"/>
        </w:rPr>
        <w:footnoteReference w:id="808"/>
      </w:r>
      <w:r w:rsidRPr="002462E6">
        <w:rPr>
          <w:rFonts w:ascii="Tahoma" w:hAnsi="Tahoma" w:cs="Tahoma"/>
          <w:sz w:val="24"/>
          <w:szCs w:val="24"/>
        </w:rPr>
        <w:t>. Les élus locaux, souvent engagés dans des stratégies de consolidation de leur base électorale, peuvent percevoir l'intercommunalité comme une dilution de leur pouvoir et une menace pour leur autonomie politique, générant des résistances tacites ou explicites à sa mise en œuvre</w:t>
      </w:r>
      <w:r w:rsidRPr="002462E6">
        <w:rPr>
          <w:rStyle w:val="Appelnotedebasdep"/>
          <w:rFonts w:ascii="Tahoma" w:hAnsi="Tahoma" w:cs="Tahoma"/>
          <w:sz w:val="24"/>
          <w:szCs w:val="24"/>
        </w:rPr>
        <w:footnoteReference w:id="809"/>
      </w:r>
      <w:r w:rsidRPr="002462E6">
        <w:rPr>
          <w:rFonts w:ascii="Tahoma" w:hAnsi="Tahoma" w:cs="Tahoma"/>
          <w:sz w:val="24"/>
          <w:szCs w:val="24"/>
        </w:rPr>
        <w:t>.</w:t>
      </w:r>
    </w:p>
    <w:p w:rsidR="00FA6C95" w:rsidRPr="002462E6" w:rsidRDefault="00FA6C95" w:rsidP="00FA6C95">
      <w:pPr>
        <w:spacing w:line="360" w:lineRule="auto"/>
        <w:jc w:val="both"/>
        <w:rPr>
          <w:rFonts w:ascii="Tahoma" w:hAnsi="Tahoma" w:cs="Tahoma"/>
          <w:sz w:val="24"/>
          <w:szCs w:val="24"/>
        </w:rPr>
      </w:pPr>
      <w:r w:rsidRPr="002462E6">
        <w:rPr>
          <w:rFonts w:ascii="Tahoma" w:hAnsi="Tahoma" w:cs="Tahoma"/>
          <w:sz w:val="24"/>
          <w:szCs w:val="24"/>
        </w:rPr>
        <w:t>Le cadre juridique et financier de l'intercommunalité présente également des ambiguïtés et des insuffisances qui limitent son attractivité pour les acteurs territoriaux. Selon l'analyse juridique approfondie réalisée par Harsi, l'absence de fiscalité propre pour les établissements de coopération intercommunale constitue une contrainte majeure à leur autonomie et leur efficacité</w:t>
      </w:r>
      <w:r w:rsidRPr="002462E6">
        <w:rPr>
          <w:rStyle w:val="Appelnotedebasdep"/>
          <w:rFonts w:ascii="Tahoma" w:hAnsi="Tahoma" w:cs="Tahoma"/>
          <w:sz w:val="24"/>
          <w:szCs w:val="24"/>
        </w:rPr>
        <w:footnoteReference w:id="810"/>
      </w:r>
      <w:r w:rsidRPr="002462E6">
        <w:rPr>
          <w:rFonts w:ascii="Tahoma" w:hAnsi="Tahoma" w:cs="Tahoma"/>
          <w:sz w:val="24"/>
          <w:szCs w:val="24"/>
        </w:rPr>
        <w:t>. La complexité des procédures de création et de fonctionnement, documentée par El Yaâgoubi, ainsi que les incertitudes sur la répartition des compétences entre communes et structures intercommunales constituent autant d'obstacles pratiques à l'émergence d'une coopération intercommunale efficiente</w:t>
      </w:r>
      <w:r w:rsidRPr="002462E6">
        <w:rPr>
          <w:rStyle w:val="Appelnotedebasdep"/>
          <w:rFonts w:ascii="Tahoma" w:hAnsi="Tahoma" w:cs="Tahoma"/>
          <w:sz w:val="24"/>
          <w:szCs w:val="24"/>
        </w:rPr>
        <w:footnoteReference w:id="811"/>
      </w:r>
      <w:r w:rsidRPr="002462E6">
        <w:rPr>
          <w:rFonts w:ascii="Tahoma" w:hAnsi="Tahoma" w:cs="Tahoma"/>
          <w:sz w:val="24"/>
          <w:szCs w:val="24"/>
        </w:rPr>
        <w:t>. Cette situation contraste avec les modèles plus affirmés de coopération intercommunale développés dans d'autres contextes nationaux, notamment en France où les établissements publics de coopération intercommunale (EPCI) bénéficient d'une fiscalité propre et de compétences clairement définies</w:t>
      </w:r>
      <w:r w:rsidRPr="002462E6">
        <w:rPr>
          <w:rStyle w:val="Appelnotedebasdep"/>
          <w:rFonts w:ascii="Tahoma" w:hAnsi="Tahoma" w:cs="Tahoma"/>
          <w:sz w:val="24"/>
          <w:szCs w:val="24"/>
        </w:rPr>
        <w:footnoteReference w:id="812"/>
      </w:r>
      <w:r w:rsidRPr="002462E6">
        <w:rPr>
          <w:rFonts w:ascii="Tahoma" w:hAnsi="Tahoma" w:cs="Tahoma"/>
          <w:sz w:val="24"/>
          <w:szCs w:val="24"/>
        </w:rPr>
        <w:t>.</w:t>
      </w:r>
    </w:p>
    <w:p w:rsidR="00FA6C95" w:rsidRPr="002462E6" w:rsidRDefault="00FA6C95" w:rsidP="00FA6C95">
      <w:pPr>
        <w:spacing w:line="360" w:lineRule="auto"/>
        <w:jc w:val="both"/>
        <w:rPr>
          <w:rFonts w:ascii="Tahoma" w:hAnsi="Tahoma" w:cs="Tahoma"/>
          <w:sz w:val="24"/>
          <w:szCs w:val="24"/>
        </w:rPr>
      </w:pPr>
      <w:r w:rsidRPr="002462E6">
        <w:rPr>
          <w:rFonts w:ascii="Tahoma" w:hAnsi="Tahoma" w:cs="Tahoma"/>
          <w:sz w:val="24"/>
          <w:szCs w:val="24"/>
        </w:rPr>
        <w:t>Enfin, les relations entre les structures intercommunales potentielles et l'administration forestière restent insuffisamment définies dans le cadre juridique actuel. Les compétences légales des communes en matière de gestion forestière demeurent limitées par la prééminence du régime forestier national, réduisant l'attrait de l'intercommunalité comme outil de gestion des ressources naturelles</w:t>
      </w:r>
      <w:r w:rsidRPr="002462E6">
        <w:rPr>
          <w:rStyle w:val="Appelnotedebasdep"/>
          <w:rFonts w:ascii="Tahoma" w:hAnsi="Tahoma" w:cs="Tahoma"/>
          <w:sz w:val="24"/>
          <w:szCs w:val="24"/>
        </w:rPr>
        <w:footnoteReference w:id="813"/>
      </w:r>
      <w:r w:rsidRPr="002462E6">
        <w:rPr>
          <w:rFonts w:ascii="Tahoma" w:hAnsi="Tahoma" w:cs="Tahoma"/>
          <w:sz w:val="24"/>
          <w:szCs w:val="24"/>
        </w:rPr>
        <w:t>. Cette situation d'asymétrie juridique maintient une dépendance structurelle des collectivités territoriales vis-à-vis de l'administration sectorielle, malgré le discours sur la décentralisation. Dans le cas de Korifla, cette ambiguïté est particulièrement problématique concernant la gestion des interfaces forêt-agriculture et des usages récréatifs, domaines où les compétences communales et forestières se chevauchent sans dispositif clair de coordination</w:t>
      </w:r>
      <w:r w:rsidRPr="002462E6">
        <w:rPr>
          <w:rStyle w:val="Appelnotedebasdep"/>
          <w:rFonts w:ascii="Tahoma" w:hAnsi="Tahoma" w:cs="Tahoma"/>
          <w:sz w:val="24"/>
          <w:szCs w:val="24"/>
        </w:rPr>
        <w:footnoteReference w:id="814"/>
      </w:r>
      <w:r w:rsidRPr="002462E6">
        <w:rPr>
          <w:rFonts w:ascii="Tahoma" w:hAnsi="Tahoma" w:cs="Tahoma"/>
          <w:sz w:val="24"/>
          <w:szCs w:val="24"/>
        </w:rPr>
        <w:t>.</w:t>
      </w:r>
    </w:p>
    <w:p w:rsidR="00FA6C95" w:rsidRPr="002462E6" w:rsidRDefault="00FA6C95" w:rsidP="00FA6C95">
      <w:pPr>
        <w:spacing w:line="360" w:lineRule="auto"/>
        <w:jc w:val="both"/>
        <w:rPr>
          <w:rFonts w:ascii="Tahoma" w:hAnsi="Tahoma" w:cs="Tahoma"/>
          <w:sz w:val="24"/>
          <w:szCs w:val="24"/>
        </w:rPr>
      </w:pPr>
      <w:r w:rsidRPr="002462E6">
        <w:rPr>
          <w:rFonts w:ascii="Tahoma" w:hAnsi="Tahoma" w:cs="Tahoma"/>
          <w:sz w:val="24"/>
          <w:szCs w:val="24"/>
        </w:rPr>
        <w:t>Pour le territoire de Korifla, plusieurs analyses convergent sur la nécessité d'adopter une approche pragmatique et progressive de l'intercommunalité, privilégiant des mécanismes flexibles de coordination avant d'envisager des structures institutionnelles plus formalisées. Les travaux de Naciri sur la décentralisation territoriale au Maroc suggèrent de commencer par des conventions thématiques ciblées sur des problématiques consensuelles (gestion des risques d'incendie, valorisation écotouristique) avant d'étendre progressivement le champ de la coopération</w:t>
      </w:r>
      <w:r w:rsidRPr="002462E6">
        <w:rPr>
          <w:rStyle w:val="Appelnotedebasdep"/>
          <w:rFonts w:ascii="Tahoma" w:hAnsi="Tahoma" w:cs="Tahoma"/>
          <w:sz w:val="24"/>
          <w:szCs w:val="24"/>
        </w:rPr>
        <w:footnoteReference w:id="815"/>
      </w:r>
      <w:r w:rsidRPr="002462E6">
        <w:rPr>
          <w:rFonts w:ascii="Tahoma" w:hAnsi="Tahoma" w:cs="Tahoma"/>
          <w:sz w:val="24"/>
          <w:szCs w:val="24"/>
        </w:rPr>
        <w:t>. Les recherches de Bergh sur les dynamiques de coopération intercommunale dans le Nord du Maroc soulignent également l'importance d'un accompagnement adapté aux réalités locales, permettant de renforcer les capacités des acteurs territoriaux tout en préservant leur autonomie décisionnelle</w:t>
      </w:r>
      <w:r w:rsidRPr="002462E6">
        <w:rPr>
          <w:rStyle w:val="Appelnotedebasdep"/>
          <w:rFonts w:ascii="Tahoma" w:hAnsi="Tahoma" w:cs="Tahoma"/>
          <w:sz w:val="24"/>
          <w:szCs w:val="24"/>
        </w:rPr>
        <w:footnoteReference w:id="816"/>
      </w:r>
      <w:r w:rsidRPr="002462E6">
        <w:rPr>
          <w:rFonts w:ascii="Tahoma" w:hAnsi="Tahoma" w:cs="Tahoma"/>
          <w:sz w:val="24"/>
          <w:szCs w:val="24"/>
        </w:rPr>
        <w:t>.</w:t>
      </w:r>
    </w:p>
    <w:p w:rsidR="00FA6C95" w:rsidRPr="002462E6" w:rsidRDefault="00FA6C95" w:rsidP="00FA6C95">
      <w:pPr>
        <w:spacing w:line="360" w:lineRule="auto"/>
        <w:jc w:val="both"/>
        <w:rPr>
          <w:rFonts w:ascii="Tahoma" w:hAnsi="Tahoma" w:cs="Tahoma"/>
          <w:sz w:val="24"/>
          <w:szCs w:val="24"/>
        </w:rPr>
      </w:pPr>
      <w:r w:rsidRPr="002462E6">
        <w:rPr>
          <w:rFonts w:ascii="Tahoma" w:hAnsi="Tahoma" w:cs="Tahoma"/>
          <w:sz w:val="24"/>
          <w:szCs w:val="24"/>
        </w:rPr>
        <w:t>Les expériences documentées par Romagny et al. dans d'autres contextes forestiers marocains montrent que l'émergence de dynamiques intercommunales efficaces repose souvent sur des « entrepreneurs institutionnels » – élus visionnaires, cadres administratifs engagés, leaders associatifs – capables de transcender les clivages existants et de construire des coalitions territoriales innovantes</w:t>
      </w:r>
      <w:r w:rsidRPr="002462E6">
        <w:rPr>
          <w:rStyle w:val="Appelnotedebasdep"/>
          <w:rFonts w:ascii="Tahoma" w:hAnsi="Tahoma" w:cs="Tahoma"/>
          <w:sz w:val="24"/>
          <w:szCs w:val="24"/>
        </w:rPr>
        <w:footnoteReference w:id="817"/>
      </w:r>
      <w:r w:rsidRPr="002462E6">
        <w:rPr>
          <w:rFonts w:ascii="Tahoma" w:hAnsi="Tahoma" w:cs="Tahoma"/>
          <w:sz w:val="24"/>
          <w:szCs w:val="24"/>
        </w:rPr>
        <w:t>. L'identification et l'accompagnement de tels acteurs dans le territoire de Korifla pourrait constituer un levier stratégique pour impulser une dynamique intercommunale adaptée aux réalités locales.</w:t>
      </w:r>
    </w:p>
    <w:p w:rsidR="00FA6C95" w:rsidRPr="002462E6" w:rsidRDefault="00FA6C95" w:rsidP="00FA6C95">
      <w:pPr>
        <w:spacing w:line="360" w:lineRule="auto"/>
        <w:jc w:val="both"/>
        <w:rPr>
          <w:rFonts w:ascii="Tahoma" w:hAnsi="Tahoma" w:cs="Tahoma"/>
          <w:sz w:val="24"/>
          <w:szCs w:val="24"/>
        </w:rPr>
      </w:pPr>
      <w:r w:rsidRPr="002462E6">
        <w:rPr>
          <w:rFonts w:ascii="Tahoma" w:hAnsi="Tahoma" w:cs="Tahoma"/>
          <w:sz w:val="24"/>
          <w:szCs w:val="24"/>
        </w:rPr>
        <w:t>L'intercommunalité, au-delà de ses dimensions techniques et administratives, peut être envisagée comme un espace d'expérimentation pour de nouvelles formes de gouvernance territoriale des ressources forestières. Cette approche suppose de dépasser la vision instrumentale qui prévaut souvent dans les discours institutionnels.</w:t>
      </w:r>
    </w:p>
    <w:p w:rsidR="00FA6C95" w:rsidRPr="002462E6" w:rsidRDefault="00FA6C95" w:rsidP="00FA6C95">
      <w:pPr>
        <w:spacing w:line="360" w:lineRule="auto"/>
        <w:jc w:val="both"/>
        <w:rPr>
          <w:rFonts w:ascii="Tahoma" w:hAnsi="Tahoma" w:cs="Tahoma"/>
          <w:sz w:val="24"/>
          <w:szCs w:val="24"/>
        </w:rPr>
      </w:pPr>
      <w:r w:rsidRPr="002462E6">
        <w:rPr>
          <w:rFonts w:ascii="Tahoma" w:hAnsi="Tahoma" w:cs="Tahoma"/>
          <w:sz w:val="24"/>
          <w:szCs w:val="24"/>
        </w:rPr>
        <w:t>Dans cette perspective, les structures intercommunales potentielles pour la forêt de Korifla gagneraient à être conçues comme :</w:t>
      </w:r>
    </w:p>
    <w:p w:rsidR="00236D1C" w:rsidRDefault="00236D1C">
      <w:pPr>
        <w:rPr>
          <w:rFonts w:ascii="Tahoma" w:eastAsia="Times New Roman" w:hAnsi="Tahoma" w:cs="Tahoma"/>
          <w:sz w:val="24"/>
          <w:szCs w:val="24"/>
        </w:rPr>
      </w:pPr>
      <w:r>
        <w:rPr>
          <w:rFonts w:ascii="Tahoma" w:hAnsi="Tahoma" w:cs="Tahoma"/>
          <w:sz w:val="24"/>
          <w:szCs w:val="24"/>
        </w:rPr>
        <w:br w:type="page"/>
      </w:r>
    </w:p>
    <w:p w:rsidR="00FA6C95" w:rsidRPr="002462E6" w:rsidRDefault="00FA6C95" w:rsidP="00D051D7">
      <w:pPr>
        <w:pStyle w:val="Paragraphedeliste"/>
        <w:numPr>
          <w:ilvl w:val="0"/>
          <w:numId w:val="37"/>
        </w:numPr>
        <w:spacing w:before="154" w:line="360" w:lineRule="auto"/>
        <w:rPr>
          <w:rFonts w:ascii="Tahoma" w:hAnsi="Tahoma" w:cs="Tahoma"/>
          <w:sz w:val="24"/>
          <w:szCs w:val="24"/>
        </w:rPr>
      </w:pPr>
      <w:r w:rsidRPr="002462E6">
        <w:rPr>
          <w:rFonts w:ascii="Tahoma" w:hAnsi="Tahoma" w:cs="Tahoma"/>
          <w:sz w:val="24"/>
          <w:szCs w:val="24"/>
        </w:rPr>
        <w:t xml:space="preserve">Des espaces délibératifs ouverts, favorisant la participation effective des différentes catégories d'acteurs territoriaux ; </w:t>
      </w:r>
    </w:p>
    <w:p w:rsidR="00FA6C95" w:rsidRPr="002462E6" w:rsidRDefault="00FA6C95" w:rsidP="00D051D7">
      <w:pPr>
        <w:pStyle w:val="Paragraphedeliste"/>
        <w:numPr>
          <w:ilvl w:val="0"/>
          <w:numId w:val="37"/>
        </w:numPr>
        <w:spacing w:before="154" w:line="360" w:lineRule="auto"/>
        <w:rPr>
          <w:rFonts w:ascii="Tahoma" w:hAnsi="Tahoma" w:cs="Tahoma"/>
          <w:sz w:val="24"/>
          <w:szCs w:val="24"/>
        </w:rPr>
      </w:pPr>
      <w:r w:rsidRPr="002462E6">
        <w:rPr>
          <w:rFonts w:ascii="Tahoma" w:hAnsi="Tahoma" w:cs="Tahoma"/>
          <w:sz w:val="24"/>
          <w:szCs w:val="24"/>
        </w:rPr>
        <w:t xml:space="preserve">Des laboratoires pour l'expérimentation de nouveaux instruments de gestion territoriale adaptés aux spécificités locales ; </w:t>
      </w:r>
    </w:p>
    <w:p w:rsidR="00FA6C95" w:rsidRPr="005979B4" w:rsidRDefault="00FA6C95" w:rsidP="005979B4">
      <w:pPr>
        <w:pStyle w:val="Paragraphedeliste"/>
        <w:numPr>
          <w:ilvl w:val="0"/>
          <w:numId w:val="37"/>
        </w:numPr>
        <w:spacing w:before="154" w:line="360" w:lineRule="auto"/>
        <w:rPr>
          <w:rFonts w:ascii="Tahoma" w:hAnsi="Tahoma" w:cs="Tahoma"/>
          <w:sz w:val="24"/>
          <w:szCs w:val="24"/>
        </w:rPr>
      </w:pPr>
      <w:r w:rsidRPr="002462E6">
        <w:rPr>
          <w:rFonts w:ascii="Tahoma" w:hAnsi="Tahoma" w:cs="Tahoma"/>
          <w:sz w:val="24"/>
          <w:szCs w:val="24"/>
        </w:rPr>
        <w:t>Des interfaces de médiation et d'articulation entre les différentes échelles de gouvernance forestière</w:t>
      </w:r>
    </w:p>
    <w:p w:rsidR="00FA6C95" w:rsidRPr="002462E6" w:rsidRDefault="00FA6C95" w:rsidP="00FA6C95">
      <w:pPr>
        <w:spacing w:line="360" w:lineRule="auto"/>
        <w:jc w:val="both"/>
        <w:rPr>
          <w:rFonts w:ascii="Tahoma" w:hAnsi="Tahoma" w:cs="Tahoma"/>
          <w:sz w:val="24"/>
          <w:szCs w:val="24"/>
        </w:rPr>
      </w:pPr>
      <w:r w:rsidRPr="002462E6">
        <w:rPr>
          <w:rFonts w:ascii="Tahoma" w:hAnsi="Tahoma" w:cs="Tahoma"/>
          <w:sz w:val="24"/>
          <w:szCs w:val="24"/>
        </w:rPr>
        <w:t>Dans le cas spécifique de la forêt de Korifla, plusieurs filières présentent un potentiel de développement significatif :</w:t>
      </w:r>
    </w:p>
    <w:p w:rsidR="00FA6C95" w:rsidRPr="002462E6" w:rsidRDefault="00FA6C95" w:rsidP="00FA6C95">
      <w:pPr>
        <w:spacing w:line="360" w:lineRule="auto"/>
        <w:jc w:val="both"/>
        <w:rPr>
          <w:rFonts w:ascii="Tahoma" w:hAnsi="Tahoma" w:cs="Tahoma"/>
          <w:sz w:val="24"/>
          <w:szCs w:val="24"/>
        </w:rPr>
      </w:pPr>
      <w:r w:rsidRPr="002462E6">
        <w:rPr>
          <w:rFonts w:ascii="Tahoma" w:hAnsi="Tahoma" w:cs="Tahoma"/>
          <w:sz w:val="24"/>
          <w:szCs w:val="24"/>
        </w:rPr>
        <w:t>L'écotourisme, compte tenu de la proximité de l'agglomération de Rabat-Salé et de la diversité des paysages forestiers</w:t>
      </w:r>
    </w:p>
    <w:p w:rsidR="00FA6C95" w:rsidRPr="002462E6" w:rsidRDefault="00FA6C95" w:rsidP="00FA6C95">
      <w:pPr>
        <w:spacing w:line="360" w:lineRule="auto"/>
        <w:jc w:val="both"/>
        <w:rPr>
          <w:rFonts w:ascii="Tahoma" w:hAnsi="Tahoma" w:cs="Tahoma"/>
          <w:sz w:val="24"/>
          <w:szCs w:val="24"/>
        </w:rPr>
      </w:pPr>
      <w:r w:rsidRPr="002462E6">
        <w:rPr>
          <w:rFonts w:ascii="Tahoma" w:hAnsi="Tahoma" w:cs="Tahoma"/>
          <w:sz w:val="24"/>
          <w:szCs w:val="24"/>
        </w:rPr>
        <w:t>La valorisation des produits forestiers non ligneux (plantes aromatiques et médicinales, miel, champignons)</w:t>
      </w:r>
    </w:p>
    <w:p w:rsidR="00FA6C95" w:rsidRPr="002462E6" w:rsidRDefault="00FA6C95" w:rsidP="00FA6C95">
      <w:pPr>
        <w:spacing w:line="360" w:lineRule="auto"/>
        <w:jc w:val="both"/>
        <w:rPr>
          <w:rFonts w:ascii="Tahoma" w:hAnsi="Tahoma" w:cs="Tahoma"/>
          <w:sz w:val="24"/>
          <w:szCs w:val="24"/>
        </w:rPr>
      </w:pPr>
      <w:r w:rsidRPr="002462E6">
        <w:rPr>
          <w:rFonts w:ascii="Tahoma" w:hAnsi="Tahoma" w:cs="Tahoma"/>
          <w:sz w:val="24"/>
          <w:szCs w:val="24"/>
        </w:rPr>
        <w:t>La rémunération des services environnementaux fournis par la forêt (séquestration du carbone, régulation hydrique, conservation de la biodiversité).</w:t>
      </w:r>
    </w:p>
    <w:p w:rsidR="00FA6C95" w:rsidRPr="002462E6" w:rsidRDefault="00FA6C95" w:rsidP="00FA6C95">
      <w:pPr>
        <w:spacing w:line="360" w:lineRule="auto"/>
        <w:jc w:val="both"/>
        <w:rPr>
          <w:rFonts w:ascii="Tahoma" w:hAnsi="Tahoma" w:cs="Tahoma"/>
          <w:sz w:val="24"/>
          <w:szCs w:val="24"/>
        </w:rPr>
      </w:pPr>
      <w:r w:rsidRPr="002462E6">
        <w:rPr>
          <w:rFonts w:ascii="Tahoma" w:hAnsi="Tahoma" w:cs="Tahoma"/>
          <w:sz w:val="24"/>
          <w:szCs w:val="24"/>
        </w:rPr>
        <w:t>Ces différentes pistes de valorisation économique s'inscrivent pleinement dans la logique de réconciliation promue par la stratégie nationale, mais nécessitent un accompagnement adapté et un cadre réglementaire favorable.</w:t>
      </w:r>
    </w:p>
    <w:p w:rsidR="00FA6C95" w:rsidRPr="002462E6" w:rsidRDefault="00FA6C95" w:rsidP="00FA6C95">
      <w:pPr>
        <w:spacing w:line="360" w:lineRule="auto"/>
        <w:jc w:val="both"/>
        <w:rPr>
          <w:rFonts w:ascii="Tahoma" w:hAnsi="Tahoma" w:cs="Tahoma"/>
          <w:sz w:val="24"/>
          <w:szCs w:val="24"/>
        </w:rPr>
      </w:pPr>
      <w:r w:rsidRPr="002462E6">
        <w:rPr>
          <w:rFonts w:ascii="Tahoma" w:hAnsi="Tahoma" w:cs="Tahoma"/>
          <w:sz w:val="24"/>
          <w:szCs w:val="24"/>
        </w:rPr>
        <w:t>La dimension économique de la réconciliation mérite une attention particulière, au-delà des chiffres agrégés sur la création d'emplois ou la génération de valeur. Une approche d'économie politique critique permet d'interroger les mécanismes concrets de répartition des coûts et des bénéfices liés à la gestion forestière.</w:t>
      </w:r>
    </w:p>
    <w:p w:rsidR="00FA6C95" w:rsidRPr="002462E6" w:rsidRDefault="00FA6C95" w:rsidP="00FA6C95">
      <w:pPr>
        <w:spacing w:line="360" w:lineRule="auto"/>
        <w:jc w:val="both"/>
        <w:rPr>
          <w:rFonts w:ascii="Tahoma" w:hAnsi="Tahoma" w:cs="Tahoma"/>
          <w:sz w:val="24"/>
          <w:szCs w:val="24"/>
        </w:rPr>
      </w:pPr>
      <w:r w:rsidRPr="002462E6">
        <w:rPr>
          <w:rFonts w:ascii="Tahoma" w:hAnsi="Tahoma" w:cs="Tahoma"/>
          <w:sz w:val="24"/>
          <w:szCs w:val="24"/>
        </w:rPr>
        <w:t>Dans cette perspective, plusieurs mécanismes institution</w:t>
      </w:r>
      <w:r w:rsidR="004E107B" w:rsidRPr="002462E6">
        <w:rPr>
          <w:rFonts w:ascii="Tahoma" w:hAnsi="Tahoma" w:cs="Tahoma"/>
          <w:sz w:val="24"/>
          <w:szCs w:val="24"/>
        </w:rPr>
        <w:t>nels pourraient être développés</w:t>
      </w:r>
      <w:r w:rsidRPr="002462E6">
        <w:rPr>
          <w:rFonts w:ascii="Tahoma" w:hAnsi="Tahoma" w:cs="Tahoma"/>
          <w:sz w:val="24"/>
          <w:szCs w:val="24"/>
        </w:rPr>
        <w:t>:</w:t>
      </w:r>
    </w:p>
    <w:p w:rsidR="00FA6C95" w:rsidRPr="002462E6" w:rsidRDefault="00FA6C95" w:rsidP="00FA6C95">
      <w:pPr>
        <w:spacing w:line="360" w:lineRule="auto"/>
        <w:jc w:val="both"/>
        <w:rPr>
          <w:rFonts w:ascii="Tahoma" w:hAnsi="Tahoma" w:cs="Tahoma"/>
          <w:sz w:val="24"/>
          <w:szCs w:val="24"/>
        </w:rPr>
      </w:pPr>
      <w:r w:rsidRPr="002462E6">
        <w:rPr>
          <w:rFonts w:ascii="Tahoma" w:hAnsi="Tahoma" w:cs="Tahoma"/>
          <w:sz w:val="24"/>
          <w:szCs w:val="24"/>
        </w:rPr>
        <w:t>Des dispositifs garantissant une répartition équitable des bénéfices entre les différentes parties prenantes ; une diversification des filières économiques liées à la forêt pour réduire les pressions sur les ressources ligneuses.</w:t>
      </w:r>
    </w:p>
    <w:p w:rsidR="00FA6C95" w:rsidRPr="002462E6" w:rsidRDefault="00FA6C95" w:rsidP="00FA6C95">
      <w:pPr>
        <w:spacing w:line="360" w:lineRule="auto"/>
        <w:jc w:val="both"/>
        <w:rPr>
          <w:rFonts w:ascii="Tahoma" w:hAnsi="Tahoma" w:cs="Tahoma"/>
          <w:sz w:val="24"/>
          <w:szCs w:val="24"/>
        </w:rPr>
      </w:pPr>
      <w:r w:rsidRPr="002462E6">
        <w:rPr>
          <w:rFonts w:ascii="Tahoma" w:hAnsi="Tahoma" w:cs="Tahoma"/>
          <w:sz w:val="24"/>
          <w:szCs w:val="24"/>
        </w:rPr>
        <w:t>Des mécanismes innovants de financement combinant ressources publiques, contributions privées et instruments de marché.</w:t>
      </w:r>
    </w:p>
    <w:p w:rsidR="008D707A" w:rsidRPr="002462E6" w:rsidRDefault="00FA6C95" w:rsidP="005979B4">
      <w:pPr>
        <w:spacing w:line="360" w:lineRule="auto"/>
        <w:jc w:val="both"/>
        <w:rPr>
          <w:rFonts w:ascii="Tahoma" w:hAnsi="Tahoma" w:cs="Tahoma"/>
          <w:sz w:val="24"/>
          <w:szCs w:val="24"/>
        </w:rPr>
      </w:pPr>
      <w:r w:rsidRPr="002462E6">
        <w:rPr>
          <w:rFonts w:ascii="Tahoma" w:hAnsi="Tahoma" w:cs="Tahoma"/>
          <w:sz w:val="24"/>
          <w:szCs w:val="24"/>
        </w:rPr>
        <w:t>Ces mécanismes devraient toutefois être conçus avec prudence pour éviter les risques de marchandisation excessive des biens communs forestiers et d'exclusion des usagers les plus vulnérables.</w:t>
      </w:r>
    </w:p>
    <w:p w:rsidR="00FA6C95" w:rsidRPr="002462E6" w:rsidRDefault="00415817" w:rsidP="00FA6C95">
      <w:pPr>
        <w:spacing w:line="360" w:lineRule="auto"/>
        <w:jc w:val="both"/>
        <w:rPr>
          <w:rFonts w:ascii="Tahoma" w:hAnsi="Tahoma" w:cs="Tahoma"/>
          <w:sz w:val="24"/>
          <w:szCs w:val="24"/>
        </w:rPr>
      </w:pPr>
      <w:r w:rsidRPr="002462E6">
        <w:rPr>
          <w:rFonts w:ascii="Tahoma" w:hAnsi="Tahoma" w:cs="Tahoma"/>
          <w:sz w:val="24"/>
          <w:szCs w:val="24"/>
        </w:rPr>
        <w:t>En somme, l</w:t>
      </w:r>
      <w:r w:rsidR="00FA6C95" w:rsidRPr="002462E6">
        <w:rPr>
          <w:rFonts w:ascii="Tahoma" w:hAnsi="Tahoma" w:cs="Tahoma"/>
          <w:sz w:val="24"/>
          <w:szCs w:val="24"/>
        </w:rPr>
        <w:t>'examen du territoire forestier de Korifla permet de mettre en lumière les paradoxes inhérents aux paradigmes contemporains de gestion territoriale au Maroc. La rhétorique participative, bien qu'omniprésente dans les discours institutionnels, se heurte à des pratiques administratives encore largement ancrées dans une vision technocratique et sectorielle du développement. L'approche par projet, tout en constituant un vecteur potentiel d'innovation, révèle souvent ses limites face aux enjeux de durabilité et d'appropriation locale, oscillant entre efficacité technique et formes subtiles de contrôle territorial.</w:t>
      </w:r>
    </w:p>
    <w:p w:rsidR="00FA6C95" w:rsidRPr="002462E6" w:rsidRDefault="00FA6C95" w:rsidP="00FA6C95">
      <w:pPr>
        <w:spacing w:line="360" w:lineRule="auto"/>
        <w:jc w:val="both"/>
        <w:rPr>
          <w:rFonts w:ascii="Tahoma" w:hAnsi="Tahoma" w:cs="Tahoma"/>
          <w:sz w:val="24"/>
          <w:szCs w:val="24"/>
        </w:rPr>
      </w:pPr>
      <w:r w:rsidRPr="002462E6">
        <w:rPr>
          <w:rFonts w:ascii="Tahoma" w:hAnsi="Tahoma" w:cs="Tahoma"/>
          <w:sz w:val="24"/>
          <w:szCs w:val="24"/>
        </w:rPr>
        <w:t>La fragmentation administrative caractérisant ce territoire forestier illustre de manière emblématique les défis structurels de la gouvernance territoriale au Maroc. La superposition des découpages et la multiplication des instances décisionnelles engendrent des discontinuités préjudiciables à une gestion intégrée des ressources forestières. L'administration forestière, malgré ses efforts d'adaptation aux nouveaux paradigmes, demeure contrainte par une organisation hiérarchique peu propice à l'intégration des dynamiques socio-territoriales locales.</w:t>
      </w:r>
    </w:p>
    <w:p w:rsidR="00FA6C95" w:rsidRPr="002462E6" w:rsidRDefault="00FA6C95" w:rsidP="00FA6C95">
      <w:pPr>
        <w:spacing w:line="360" w:lineRule="auto"/>
        <w:jc w:val="both"/>
        <w:rPr>
          <w:rFonts w:ascii="Tahoma" w:hAnsi="Tahoma" w:cs="Tahoma"/>
          <w:sz w:val="24"/>
          <w:szCs w:val="24"/>
        </w:rPr>
      </w:pPr>
      <w:r w:rsidRPr="002462E6">
        <w:rPr>
          <w:rFonts w:ascii="Tahoma" w:hAnsi="Tahoma" w:cs="Tahoma"/>
          <w:sz w:val="24"/>
          <w:szCs w:val="24"/>
        </w:rPr>
        <w:t xml:space="preserve">Le cas de Korifla démontre ainsi la nécessité d'une approche renouvelée des territoires forestiers, articulant préservation écosystémique et développement socio-économique, savoirs experts et pratiques vernaculaires, logiques sectorielles et vision territoriale intégrée. </w:t>
      </w:r>
    </w:p>
    <w:p w:rsidR="00FA6C95" w:rsidRPr="002462E6" w:rsidRDefault="00FA6C95" w:rsidP="00FA6C95">
      <w:pPr>
        <w:pStyle w:val="NormalWeb"/>
        <w:spacing w:line="360" w:lineRule="auto"/>
        <w:jc w:val="both"/>
        <w:rPr>
          <w:rFonts w:ascii="Tahoma" w:hAnsi="Tahoma" w:cs="Tahoma"/>
        </w:rPr>
      </w:pPr>
      <w:r w:rsidRPr="002462E6">
        <w:rPr>
          <w:rFonts w:ascii="Tahoma" w:hAnsi="Tahoma" w:cs="Tahoma"/>
        </w:rPr>
        <w:t xml:space="preserve">Au terme de ce premier chapitre, il apparaît que le territoire, concept fondamentalement polysémique, nécessite une appréhension transdisciplinaire pour en saisir toutes les dimensions. Cette richesse conceptuelle trouve une résonance particulière dans le contexte marocain, où l'évolution des politiques d'aménagement territorial révèle une transition graduelle, </w:t>
      </w:r>
      <w:r w:rsidR="00540FF7" w:rsidRPr="002462E6">
        <w:rPr>
          <w:rFonts w:ascii="Tahoma" w:hAnsi="Tahoma" w:cs="Tahoma"/>
        </w:rPr>
        <w:t>quoiqu’inachevée</w:t>
      </w:r>
      <w:r w:rsidRPr="002462E6">
        <w:rPr>
          <w:rFonts w:ascii="Tahoma" w:hAnsi="Tahoma" w:cs="Tahoma"/>
        </w:rPr>
        <w:t>, d'une vision centralisée vers une approche plus territorialisée et participative.</w:t>
      </w:r>
    </w:p>
    <w:p w:rsidR="00FA6C95" w:rsidRPr="002462E6" w:rsidRDefault="00FA6C95" w:rsidP="00FA6C95">
      <w:pPr>
        <w:pStyle w:val="NormalWeb"/>
        <w:spacing w:line="360" w:lineRule="auto"/>
        <w:jc w:val="both"/>
        <w:rPr>
          <w:rFonts w:ascii="Tahoma" w:hAnsi="Tahoma" w:cs="Tahoma"/>
        </w:rPr>
      </w:pPr>
      <w:r w:rsidRPr="002462E6">
        <w:rPr>
          <w:rFonts w:ascii="Tahoma" w:hAnsi="Tahoma" w:cs="Tahoma"/>
        </w:rPr>
        <w:t>L'analyse du territoire forestier de Korifla, en tant que cas emblématique, met en lumière les contradictions inhérentes aux paradigmes contemporains de gestion territoriale au Maroc. Malgré une rhétorique participative omniprésente dans les discours institutionnels, la pratique demeure ancrée dans une vision largement technocratique et sectorielle. La fragmentation administrative et la superposition des découpages territoriaux engendrent des discontinuités préjudiciables à une gestion intégrée des ressources forestières.</w:t>
      </w:r>
    </w:p>
    <w:p w:rsidR="00765D4A" w:rsidRPr="002462E6" w:rsidRDefault="00FA6C95" w:rsidP="00FA6C95">
      <w:pPr>
        <w:pStyle w:val="NormalWeb"/>
        <w:spacing w:line="360" w:lineRule="auto"/>
        <w:jc w:val="both"/>
        <w:rPr>
          <w:rFonts w:ascii="Tahoma" w:hAnsi="Tahoma" w:cs="Tahoma"/>
        </w:rPr>
      </w:pPr>
      <w:r w:rsidRPr="002462E6">
        <w:rPr>
          <w:rFonts w:ascii="Tahoma" w:hAnsi="Tahoma" w:cs="Tahoma"/>
        </w:rPr>
        <w:t>Ce premier chapitre souligne ainsi la nécessité d'une approche renouvelée qui articulerait de manière cohérente préservation écosystémique et développement socio-économique, expertise technique et savoirs locaux, politiques sectorielles et vision territoriale intégrée. Cette perspective constitue un cadre analytique essentiel pour appréhender les reconfigurations contemporaines des rapports entre territoire, développement et gouvernance dans le Maroc rural, particulièrement dans le contexte de mise en œuvre du Nouveau Modèle de Développement face à la diversité des réalités territoriales.</w:t>
      </w:r>
    </w:p>
    <w:p w:rsidR="00765D4A" w:rsidRPr="002462E6" w:rsidRDefault="00765D4A">
      <w:pPr>
        <w:rPr>
          <w:rFonts w:ascii="Tahoma" w:eastAsia="Times New Roman" w:hAnsi="Tahoma" w:cs="Tahoma"/>
          <w:sz w:val="24"/>
          <w:szCs w:val="24"/>
          <w:lang w:eastAsia="fr-FR"/>
        </w:rPr>
      </w:pPr>
      <w:r w:rsidRPr="002462E6">
        <w:rPr>
          <w:rFonts w:ascii="Tahoma" w:hAnsi="Tahoma" w:cs="Tahoma"/>
        </w:rPr>
        <w:br w:type="page"/>
      </w:r>
    </w:p>
    <w:p w:rsidR="00050F2D" w:rsidRPr="002462E6" w:rsidRDefault="00BE1C04" w:rsidP="00BA27F4">
      <w:pPr>
        <w:pStyle w:val="Titre2"/>
      </w:pPr>
      <w:bookmarkStart w:id="400" w:name="_Toc201570864"/>
      <w:bookmarkStart w:id="401" w:name="_Toc201570918"/>
      <w:bookmarkStart w:id="402" w:name="_Toc201655532"/>
      <w:bookmarkStart w:id="403" w:name="_Toc203643102"/>
      <w:r w:rsidRPr="002462E6">
        <w:t>Chapitre 2 :</w:t>
      </w:r>
      <w:bookmarkEnd w:id="400"/>
      <w:bookmarkEnd w:id="401"/>
      <w:bookmarkEnd w:id="402"/>
      <w:r w:rsidR="00050F2D" w:rsidRPr="002462E6">
        <w:t xml:space="preserve"> </w:t>
      </w:r>
      <w:r w:rsidR="00BA27F4" w:rsidRPr="002462E6">
        <w:t>dégradation forestière au Maroc et risque accélératif migratoire : analyse systémique</w:t>
      </w:r>
      <w:bookmarkEnd w:id="403"/>
    </w:p>
    <w:p w:rsidR="00050F2D" w:rsidRPr="002462E6" w:rsidRDefault="002D04C1" w:rsidP="002D04C1">
      <w:pPr>
        <w:spacing w:before="100" w:beforeAutospacing="1" w:after="100" w:afterAutospacing="1" w:line="360" w:lineRule="auto"/>
        <w:jc w:val="both"/>
        <w:rPr>
          <w:rFonts w:ascii="Tahoma" w:hAnsi="Tahoma" w:cs="Tahoma"/>
          <w:sz w:val="24"/>
          <w:szCs w:val="24"/>
          <w:lang w:eastAsia="fr-FR"/>
        </w:rPr>
      </w:pPr>
      <w:r w:rsidRPr="002462E6">
        <w:rPr>
          <w:rFonts w:ascii="Tahoma" w:hAnsi="Tahoma" w:cs="Tahoma"/>
          <w:sz w:val="24"/>
          <w:szCs w:val="24"/>
          <w:lang w:eastAsia="fr-FR"/>
        </w:rPr>
        <w:t>Dans l'épistémologie contemporaine des sciences du risque, les sciences sociales demeurent paradoxalement marginalisées malgré leur potentiel heuristique considérable pour appréhender les dynamiques complexes de vulnérabilité territoriale. Cette relégation transcende la simple méconnaissance de leurs méthodologies ou objets d'étude ; elle constitue une véritable aporie intellectuelle occultant leur contribution fondamentale aux paradigmes de prévention et de gestion des risques</w:t>
      </w:r>
      <w:r w:rsidRPr="002462E6">
        <w:rPr>
          <w:rFonts w:ascii="Tahoma" w:hAnsi="Tahoma" w:cs="Tahoma"/>
          <w:sz w:val="24"/>
          <w:szCs w:val="24"/>
          <w:vertAlign w:val="superscript"/>
          <w:lang w:eastAsia="fr-FR"/>
        </w:rPr>
        <w:footnoteReference w:id="818"/>
      </w:r>
      <w:r w:rsidRPr="002462E6">
        <w:rPr>
          <w:rFonts w:ascii="Tahoma" w:hAnsi="Tahoma" w:cs="Tahoma"/>
          <w:sz w:val="24"/>
          <w:szCs w:val="24"/>
          <w:lang w:eastAsia="fr-FR"/>
        </w:rPr>
        <w:t>.</w:t>
      </w:r>
    </w:p>
    <w:p w:rsidR="002D04C1" w:rsidRPr="002462E6" w:rsidRDefault="002D04C1" w:rsidP="002D04C1">
      <w:pPr>
        <w:spacing w:before="100" w:beforeAutospacing="1" w:after="100" w:afterAutospacing="1" w:line="360" w:lineRule="auto"/>
        <w:jc w:val="both"/>
        <w:rPr>
          <w:rFonts w:ascii="Tahoma" w:hAnsi="Tahoma" w:cs="Tahoma"/>
          <w:sz w:val="24"/>
          <w:szCs w:val="24"/>
        </w:rPr>
      </w:pPr>
      <w:r w:rsidRPr="002462E6">
        <w:rPr>
          <w:rFonts w:ascii="Tahoma" w:hAnsi="Tahoma" w:cs="Tahoma"/>
          <w:sz w:val="24"/>
          <w:szCs w:val="24"/>
        </w:rPr>
        <w:t>La conceptualisation du risque s'inscrit dans une dialectique complexe, caractérisée par une indétermination sémantique. Borraz (2013) souligne cette ambiguïté qui traverse les sciences sociales. Il apparaît particulièrement révélateur que même les ouvrages d'Ulrich Beck, pourtant considérés comme fondateurs dans ce champ disciplinaire, ne présentent point de définition axiomatique, lacune épistémologique relevée avec acuité par Chauvel et Rameau (2002).</w:t>
      </w:r>
    </w:p>
    <w:p w:rsidR="00050F2D" w:rsidRPr="002462E6" w:rsidRDefault="00050F2D" w:rsidP="00050F2D">
      <w:pPr>
        <w:spacing w:before="100" w:beforeAutospacing="1" w:after="100" w:afterAutospacing="1" w:line="360" w:lineRule="auto"/>
        <w:jc w:val="both"/>
        <w:rPr>
          <w:rFonts w:ascii="Tahoma" w:hAnsi="Tahoma" w:cs="Tahoma"/>
          <w:sz w:val="24"/>
          <w:szCs w:val="24"/>
        </w:rPr>
      </w:pPr>
      <w:r w:rsidRPr="002462E6">
        <w:rPr>
          <w:rFonts w:ascii="Tahoma" w:hAnsi="Tahoma" w:cs="Tahoma"/>
          <w:sz w:val="24"/>
          <w:szCs w:val="24"/>
        </w:rPr>
        <w:t>La littérature scientifique privilégie une approche phénoménologique centrée sur les conséquences du risque, au détriment d'une élaboration conceptuelle rigoureuse. Theys et Fabiani (1987) mettent en exergue cette primauté de l'empirisme sur la théorisation abstraite en affirmant que « ce sont les événements, bien plus que les analyses théoriques, qui ont imposé l'idée de société vulnérable »</w:t>
      </w:r>
      <w:r w:rsidRPr="002462E6">
        <w:rPr>
          <w:rStyle w:val="Appelnotedebasdep"/>
          <w:rFonts w:ascii="Tahoma" w:hAnsi="Tahoma" w:cs="Tahoma"/>
          <w:sz w:val="24"/>
          <w:szCs w:val="24"/>
        </w:rPr>
        <w:footnoteReference w:id="819"/>
      </w:r>
      <w:r w:rsidRPr="002462E6">
        <w:rPr>
          <w:rFonts w:ascii="Tahoma" w:hAnsi="Tahoma" w:cs="Tahoma"/>
          <w:sz w:val="24"/>
          <w:szCs w:val="24"/>
        </w:rPr>
        <w:t>.</w:t>
      </w:r>
    </w:p>
    <w:p w:rsidR="00050F2D" w:rsidRPr="002462E6" w:rsidRDefault="00050F2D" w:rsidP="00050F2D">
      <w:pPr>
        <w:pStyle w:val="whitespace-normal"/>
        <w:spacing w:line="360" w:lineRule="auto"/>
        <w:jc w:val="both"/>
        <w:rPr>
          <w:rFonts w:ascii="Tahoma" w:hAnsi="Tahoma" w:cs="Tahoma"/>
        </w:rPr>
      </w:pPr>
      <w:r w:rsidRPr="002462E6">
        <w:rPr>
          <w:rFonts w:ascii="Tahoma" w:hAnsi="Tahoma" w:cs="Tahoma"/>
        </w:rPr>
        <w:t>Au-delà de l’équation réductrice « aléa × vulnérabilité », généralement prédominante en géographie mais insuffisante pour appréhender la complexité des risques, la proposition théorique de Borraz (2013) constitue une perspective enrichie intégrant les dimensions sociales et politiques du risque. Bien qu’elle ne forme pas une définition formelle explicite, la conceptualisation du risque comme une « modalité de cadrage des problèmes sociaux présentant des dangers pour la santé ou l’environnement » peut constituer un fondement théorique substantiel. Cette démarche peut être approfondie en envisageant le risque comme une « technique de gouvernement » susceptible de « reconfigurer les dimensions sociales et politiques » (Borraz, 2013)</w:t>
      </w:r>
      <w:r w:rsidRPr="002462E6">
        <w:rPr>
          <w:rStyle w:val="Appelnotedebasdep"/>
          <w:rFonts w:ascii="Tahoma" w:hAnsi="Tahoma" w:cs="Tahoma"/>
        </w:rPr>
        <w:footnoteReference w:id="820"/>
      </w:r>
      <w:r w:rsidRPr="002462E6">
        <w:rPr>
          <w:rFonts w:ascii="Tahoma" w:hAnsi="Tahoma" w:cs="Tahoma"/>
        </w:rPr>
        <w:t>.</w:t>
      </w:r>
    </w:p>
    <w:p w:rsidR="00050F2D" w:rsidRPr="002462E6" w:rsidRDefault="00050F2D" w:rsidP="00050F2D">
      <w:pPr>
        <w:spacing w:line="360" w:lineRule="auto"/>
        <w:jc w:val="both"/>
        <w:rPr>
          <w:rFonts w:ascii="Tahoma" w:hAnsi="Tahoma" w:cs="Tahoma"/>
          <w:sz w:val="24"/>
          <w:szCs w:val="24"/>
        </w:rPr>
      </w:pPr>
      <w:r w:rsidRPr="002462E6">
        <w:rPr>
          <w:rFonts w:ascii="Tahoma" w:hAnsi="Tahoma" w:cs="Tahoma"/>
          <w:sz w:val="24"/>
          <w:szCs w:val="24"/>
        </w:rPr>
        <w:t>La présente thèse se focalise sur le risque accélératif migratoire affectant les populations rurales dépendant des territoires forestiers, dans un contexte caractérisé par une dégradation multiforme, résultant d’une conjonction de facteurs interdépendants. En effet, l’érosion progressive de la couverture forestière compromet la capacité des écosystèmes à assurer leurs fonctions écologiques essentielles, notamment la régulation des cycles hydrologiques, la conservation des sols et la préservation de la biodiversité. Cette dynamique dégradative exerce des effets directs et structurants sur les moyens de subsistance des communautés rurales.</w:t>
      </w:r>
    </w:p>
    <w:p w:rsidR="00050F2D" w:rsidRDefault="00050F2D" w:rsidP="005979B4">
      <w:pPr>
        <w:spacing w:line="360" w:lineRule="auto"/>
        <w:jc w:val="both"/>
        <w:rPr>
          <w:rFonts w:ascii="Tahoma" w:hAnsi="Tahoma" w:cs="Tahoma"/>
          <w:sz w:val="24"/>
          <w:szCs w:val="24"/>
        </w:rPr>
      </w:pPr>
      <w:r w:rsidRPr="002462E6">
        <w:rPr>
          <w:rFonts w:ascii="Tahoma" w:hAnsi="Tahoma" w:cs="Tahoma"/>
          <w:sz w:val="24"/>
          <w:szCs w:val="24"/>
        </w:rPr>
        <w:t>Confrontées à la raréfaction des ressources naturelles et à la dégradation croissante de leur environnement, ainsi qu’à la vulnérabilité persistante des conditions socioéconomiques, ces populations rurales se trouvent fr</w:t>
      </w:r>
      <w:r w:rsidR="005979B4">
        <w:rPr>
          <w:rFonts w:ascii="Tahoma" w:hAnsi="Tahoma" w:cs="Tahoma"/>
          <w:sz w:val="24"/>
          <w:szCs w:val="24"/>
        </w:rPr>
        <w:t>équemment contraintes à migrer.</w:t>
      </w:r>
    </w:p>
    <w:p w:rsidR="005979B4" w:rsidRPr="005979B4" w:rsidRDefault="005979B4" w:rsidP="005979B4">
      <w:pPr>
        <w:spacing w:line="360" w:lineRule="auto"/>
        <w:jc w:val="both"/>
        <w:rPr>
          <w:rFonts w:ascii="Tahoma" w:hAnsi="Tahoma" w:cs="Tahoma"/>
          <w:sz w:val="10"/>
          <w:szCs w:val="10"/>
        </w:rPr>
      </w:pPr>
    </w:p>
    <w:p w:rsidR="00050F2D" w:rsidRPr="002462E6" w:rsidRDefault="00050F2D" w:rsidP="002D04C1">
      <w:pPr>
        <w:spacing w:line="360" w:lineRule="auto"/>
        <w:jc w:val="both"/>
        <w:rPr>
          <w:rFonts w:ascii="Tahoma" w:hAnsi="Tahoma" w:cs="Tahoma"/>
          <w:sz w:val="24"/>
          <w:szCs w:val="24"/>
        </w:rPr>
      </w:pPr>
      <w:r w:rsidRPr="002462E6">
        <w:rPr>
          <w:rFonts w:ascii="Tahoma" w:hAnsi="Tahoma" w:cs="Tahoma"/>
          <w:sz w:val="24"/>
          <w:szCs w:val="24"/>
        </w:rPr>
        <w:t xml:space="preserve">L’analyse systémique </w:t>
      </w:r>
      <w:r w:rsidRPr="002462E6">
        <w:rPr>
          <w:rStyle w:val="Appelnotedebasdep"/>
          <w:rFonts w:ascii="Tahoma" w:hAnsi="Tahoma" w:cs="Tahoma"/>
          <w:sz w:val="24"/>
          <w:szCs w:val="24"/>
        </w:rPr>
        <w:footnoteReference w:id="821"/>
      </w:r>
      <w:r w:rsidRPr="002462E6">
        <w:rPr>
          <w:rFonts w:ascii="Tahoma" w:hAnsi="Tahoma" w:cs="Tahoma"/>
          <w:sz w:val="24"/>
          <w:szCs w:val="24"/>
        </w:rPr>
        <w:t xml:space="preserve"> exposée dans le présent chapitre a pour finalité de déconstruire les interactions multidimensionnelles qui sous-tendent les phénomènes étudiés, en articulant de manière rigoureuse les dimensions environnementales, structurelles, économiques et sociales. Cette démarche holistique s’appuie sur les travaux fondateurs de Niklas Luhmann relatifs aux systèmes sociaux, lesquels conçoivent la société comme un ensemble de systèmes autopoiétiques en interaction constante et dynamique</w:t>
      </w:r>
      <w:r w:rsidRPr="002462E6">
        <w:rPr>
          <w:rStyle w:val="Appelnotedebasdep"/>
          <w:rFonts w:ascii="Tahoma" w:hAnsi="Tahoma" w:cs="Tahoma"/>
          <w:sz w:val="24"/>
          <w:szCs w:val="24"/>
        </w:rPr>
        <w:footnoteReference w:id="822"/>
      </w:r>
      <w:r w:rsidRPr="002462E6">
        <w:rPr>
          <w:rFonts w:ascii="Tahoma" w:hAnsi="Tahoma" w:cs="Tahoma"/>
          <w:sz w:val="24"/>
          <w:szCs w:val="24"/>
        </w:rPr>
        <w:t>.</w:t>
      </w:r>
      <w:r w:rsidR="002D04C1" w:rsidRPr="002462E6">
        <w:rPr>
          <w:rFonts w:ascii="Tahoma" w:hAnsi="Tahoma" w:cs="Tahoma"/>
          <w:sz w:val="24"/>
          <w:szCs w:val="24"/>
        </w:rPr>
        <w:t xml:space="preserve"> Les approches territoriales critiques, telles que celles développées par David Harvey, insistent sur l’analyse des rapports de pouvoir et des inégalités spatiales au sein des processus socio-économiques</w:t>
      </w:r>
      <w:r w:rsidR="002D04C1" w:rsidRPr="002462E6">
        <w:rPr>
          <w:rFonts w:ascii="Tahoma" w:hAnsi="Tahoma" w:cs="Tahoma"/>
          <w:sz w:val="24"/>
          <w:szCs w:val="24"/>
          <w:vertAlign w:val="superscript"/>
        </w:rPr>
        <w:footnoteReference w:id="823"/>
      </w:r>
      <w:r w:rsidR="002D04C1" w:rsidRPr="002462E6">
        <w:rPr>
          <w:rFonts w:ascii="Tahoma" w:hAnsi="Tahoma" w:cs="Tahoma"/>
          <w:sz w:val="24"/>
          <w:szCs w:val="24"/>
        </w:rPr>
        <w:t>. De même, Doreen Massey souligne la nécessité de comprendre l’espace comme produit des relations sociales dynamiques et multidimensionnelles</w:t>
      </w:r>
      <w:r w:rsidR="002D04C1" w:rsidRPr="002462E6">
        <w:rPr>
          <w:rFonts w:ascii="Tahoma" w:hAnsi="Tahoma" w:cs="Tahoma"/>
          <w:sz w:val="24"/>
          <w:szCs w:val="24"/>
          <w:vertAlign w:val="superscript"/>
        </w:rPr>
        <w:footnoteReference w:id="824"/>
      </w:r>
      <w:r w:rsidR="002D04C1" w:rsidRPr="002462E6">
        <w:rPr>
          <w:rFonts w:ascii="Tahoma" w:hAnsi="Tahoma" w:cs="Tahoma"/>
          <w:sz w:val="24"/>
          <w:szCs w:val="24"/>
        </w:rPr>
        <w:t>.</w:t>
      </w:r>
    </w:p>
    <w:p w:rsidR="00082573" w:rsidRPr="002462E6" w:rsidRDefault="002D04C1" w:rsidP="005979B4">
      <w:pPr>
        <w:spacing w:line="360" w:lineRule="auto"/>
        <w:jc w:val="both"/>
        <w:rPr>
          <w:rFonts w:ascii="Tahoma" w:hAnsi="Tahoma" w:cs="Tahoma"/>
          <w:sz w:val="24"/>
          <w:szCs w:val="24"/>
        </w:rPr>
      </w:pPr>
      <w:r w:rsidRPr="002462E6">
        <w:rPr>
          <w:rFonts w:ascii="Tahoma" w:hAnsi="Tahoma" w:cs="Tahoma"/>
          <w:sz w:val="24"/>
          <w:szCs w:val="24"/>
        </w:rPr>
        <w:t>Cette démarche poursuit un double objectif : d’une part, saisir la complexité des processus en cours en évitant toute lecture réductrice ou segmentée des phénomènes sociaux et territoriaux ; d’autre part, identifier les leviers d’action stratégiques susceptibles d’éclairer les politiques publiques et les dispositifs d’aménagement. À cet égard, la démarche systémique constitue un cadre méthodologique privilégié pour appréhender la dynamique de transformations territoriales et sociales contemporaines, notamment en contexte de mobilit</w:t>
      </w:r>
      <w:r w:rsidR="005979B4">
        <w:rPr>
          <w:rFonts w:ascii="Tahoma" w:hAnsi="Tahoma" w:cs="Tahoma"/>
          <w:sz w:val="24"/>
          <w:szCs w:val="24"/>
        </w:rPr>
        <w:t>é et de dégradation écologique.</w:t>
      </w:r>
    </w:p>
    <w:p w:rsidR="00050F2D" w:rsidRDefault="00050F2D" w:rsidP="005979B4">
      <w:pPr>
        <w:pStyle w:val="Titre3"/>
      </w:pPr>
      <w:bookmarkStart w:id="404" w:name="_Toc203643103"/>
      <w:r w:rsidRPr="002462E6">
        <w:t>Première section : Dynamiques interactives des facteurs accélérateurs de la dégradation des écosystèmes forestiers au Maroc</w:t>
      </w:r>
      <w:bookmarkEnd w:id="404"/>
      <w:r w:rsidR="005979B4">
        <w:t> </w:t>
      </w:r>
    </w:p>
    <w:p w:rsidR="005979B4" w:rsidRPr="005979B4" w:rsidRDefault="005979B4" w:rsidP="005979B4">
      <w:pPr>
        <w:pStyle w:val="Titre3"/>
        <w:rPr>
          <w:sz w:val="4"/>
          <w:szCs w:val="4"/>
        </w:rPr>
      </w:pPr>
    </w:p>
    <w:p w:rsidR="001B0345" w:rsidRPr="002462E6" w:rsidRDefault="001B0345" w:rsidP="001B0345">
      <w:pPr>
        <w:spacing w:line="360" w:lineRule="auto"/>
        <w:jc w:val="both"/>
        <w:rPr>
          <w:rFonts w:ascii="Tahoma" w:hAnsi="Tahoma" w:cs="Tahoma"/>
          <w:sz w:val="24"/>
          <w:szCs w:val="24"/>
        </w:rPr>
      </w:pPr>
      <w:r w:rsidRPr="002462E6">
        <w:rPr>
          <w:rFonts w:ascii="Tahoma" w:hAnsi="Tahoma" w:cs="Tahoma"/>
          <w:sz w:val="24"/>
          <w:szCs w:val="24"/>
        </w:rPr>
        <w:t xml:space="preserve">La problématique migratoire liée à la dégradation des écosystèmes forestiers au Maroc s'inscrit dans une dynamique complexe d'accélération mutuelle des facteurs de vulnérabilité. La présente recherche propose un modèle conceptuel novateur qui dépasse l'approche linéaire traditionnelle « dégradation → migration » pour analyser un processus d'accélération systémique générant un risque accélératif migratoire pour les populations rurales marocaines. </w:t>
      </w:r>
    </w:p>
    <w:p w:rsidR="005979B4" w:rsidRDefault="001B0345" w:rsidP="005979B4">
      <w:pPr>
        <w:spacing w:line="360" w:lineRule="auto"/>
        <w:jc w:val="both"/>
        <w:rPr>
          <w:rFonts w:ascii="Tahoma" w:hAnsi="Tahoma" w:cs="Tahoma"/>
          <w:sz w:val="24"/>
          <w:szCs w:val="24"/>
        </w:rPr>
      </w:pPr>
      <w:r w:rsidRPr="002462E6">
        <w:rPr>
          <w:rFonts w:ascii="Tahoma" w:hAnsi="Tahoma" w:cs="Tahoma"/>
          <w:sz w:val="24"/>
          <w:szCs w:val="24"/>
        </w:rPr>
        <w:t>L'exploitation conjointe des données démographiques et socio-économiques du Recensement Général de la Population et de l'Habitat (RGPH) de 2024, articulée aux travaux prospectifs récents de l'Institut Royal des Études Stratégiques (IRES) et aux recherches du Centre de Recherche Forestière (CRF), constitue un corpus susceptible de corroborer les fondement</w:t>
      </w:r>
      <w:r w:rsidR="005979B4">
        <w:rPr>
          <w:rFonts w:ascii="Tahoma" w:hAnsi="Tahoma" w:cs="Tahoma"/>
          <w:sz w:val="24"/>
          <w:szCs w:val="24"/>
        </w:rPr>
        <w:t>s théoriques du modèle proposé.</w:t>
      </w:r>
    </w:p>
    <w:p w:rsidR="005979B4" w:rsidRDefault="005979B4">
      <w:pPr>
        <w:rPr>
          <w:rFonts w:ascii="Tahoma" w:hAnsi="Tahoma" w:cs="Tahoma"/>
          <w:sz w:val="24"/>
          <w:szCs w:val="24"/>
        </w:rPr>
      </w:pPr>
      <w:r>
        <w:rPr>
          <w:rFonts w:ascii="Tahoma" w:hAnsi="Tahoma" w:cs="Tahoma"/>
          <w:sz w:val="24"/>
          <w:szCs w:val="24"/>
        </w:rPr>
        <w:br w:type="page"/>
      </w:r>
    </w:p>
    <w:p w:rsidR="00050F2D" w:rsidRPr="002462E6" w:rsidRDefault="002B500C" w:rsidP="00D051D7">
      <w:pPr>
        <w:pStyle w:val="Titre4"/>
        <w:numPr>
          <w:ilvl w:val="0"/>
          <w:numId w:val="70"/>
        </w:numPr>
        <w:rPr>
          <w:color w:val="auto"/>
          <w:lang w:eastAsia="fr-FR"/>
        </w:rPr>
      </w:pPr>
      <w:r w:rsidRPr="002462E6">
        <w:rPr>
          <w:color w:val="auto"/>
        </w:rPr>
        <w:t xml:space="preserve"> </w:t>
      </w:r>
      <w:bookmarkStart w:id="405" w:name="_Toc203643104"/>
      <w:r w:rsidR="00050F2D" w:rsidRPr="002462E6">
        <w:rPr>
          <w:color w:val="auto"/>
        </w:rPr>
        <w:t>Analyse systémique des facteurs accélérateurs de la dégradation des écosystèmes forestiers</w:t>
      </w:r>
      <w:bookmarkEnd w:id="405"/>
      <w:r w:rsidR="00050F2D" w:rsidRPr="002462E6">
        <w:rPr>
          <w:color w:val="auto"/>
        </w:rPr>
        <w:t xml:space="preserve"> </w:t>
      </w:r>
    </w:p>
    <w:p w:rsidR="00050F2D" w:rsidRPr="002462E6" w:rsidRDefault="00050F2D" w:rsidP="00050F2D">
      <w:pPr>
        <w:spacing w:line="360" w:lineRule="auto"/>
        <w:jc w:val="both"/>
        <w:rPr>
          <w:rFonts w:ascii="Tahoma" w:hAnsi="Tahoma" w:cs="Tahoma"/>
          <w:sz w:val="24"/>
          <w:szCs w:val="24"/>
        </w:rPr>
      </w:pPr>
    </w:p>
    <w:p w:rsidR="00050F2D" w:rsidRPr="002462E6" w:rsidRDefault="00050F2D" w:rsidP="00050F2D">
      <w:pPr>
        <w:spacing w:line="360" w:lineRule="auto"/>
        <w:jc w:val="both"/>
        <w:rPr>
          <w:rFonts w:ascii="Tahoma" w:hAnsi="Tahoma" w:cs="Tahoma"/>
          <w:sz w:val="24"/>
          <w:szCs w:val="24"/>
        </w:rPr>
      </w:pPr>
      <w:r w:rsidRPr="002462E6">
        <w:rPr>
          <w:rFonts w:ascii="Tahoma" w:hAnsi="Tahoma" w:cs="Tahoma"/>
          <w:sz w:val="24"/>
          <w:szCs w:val="24"/>
        </w:rPr>
        <w:t>L'évaluation de la performance environnementale du Maroc à travers l'Indice de Performance Environnementale (Environmental Performance Index - EPI) de 2022, développé conjointement par les universités de Yale et Columbia, révèle un positionnement préoccupant du pays dans le classement mondial. En effet, avec un rang de 160ᵉ sur 180 pays évalués</w:t>
      </w:r>
      <w:r w:rsidRPr="002462E6">
        <w:rPr>
          <w:rStyle w:val="Appelnotedebasdep"/>
          <w:rFonts w:ascii="Tahoma" w:hAnsi="Tahoma" w:cs="Tahoma"/>
          <w:sz w:val="24"/>
          <w:szCs w:val="24"/>
        </w:rPr>
        <w:footnoteReference w:id="825"/>
      </w:r>
      <w:r w:rsidRPr="002462E6">
        <w:rPr>
          <w:rFonts w:ascii="Tahoma" w:hAnsi="Tahoma" w:cs="Tahoma"/>
          <w:sz w:val="24"/>
          <w:szCs w:val="24"/>
        </w:rPr>
        <w:t>, cette situation interpelle à interroger l'efficacité des stratégies environnementales nationales.</w:t>
      </w:r>
    </w:p>
    <w:p w:rsidR="00050F2D" w:rsidRPr="005979B4" w:rsidRDefault="00050F2D" w:rsidP="005979B4">
      <w:pPr>
        <w:spacing w:line="360" w:lineRule="auto"/>
        <w:jc w:val="both"/>
        <w:rPr>
          <w:rFonts w:ascii="Tahoma" w:hAnsi="Tahoma" w:cs="Tahoma"/>
          <w:sz w:val="24"/>
          <w:szCs w:val="24"/>
        </w:rPr>
      </w:pPr>
      <w:r w:rsidRPr="002462E6">
        <w:rPr>
          <w:rFonts w:ascii="Tahoma" w:hAnsi="Tahoma" w:cs="Tahoma"/>
          <w:sz w:val="24"/>
          <w:szCs w:val="24"/>
        </w:rPr>
        <w:t>L'EPI constitue un instrument de mesure multidimensionnel reposant sur l'analyse de quarante indicateurs quantitatifs, structurés autour de trois axes principaux : la santé environnementale, l'atténuation du changement climatique et la préservation de la vitalité écosystémique. Cette dernière dimension englobe notamment l'évaluation des ressources forestières, élément crucial dans le contexte marocain caractérisé par une vulnérabilité particulière aux pressio</w:t>
      </w:r>
      <w:r w:rsidR="005979B4">
        <w:rPr>
          <w:rFonts w:ascii="Tahoma" w:hAnsi="Tahoma" w:cs="Tahoma"/>
          <w:sz w:val="24"/>
          <w:szCs w:val="24"/>
        </w:rPr>
        <w:t>ns anthropiques et climatiques.</w:t>
      </w:r>
    </w:p>
    <w:p w:rsidR="00050F2D" w:rsidRPr="002462E6" w:rsidRDefault="00050F2D" w:rsidP="00050F2D">
      <w:pPr>
        <w:spacing w:line="360" w:lineRule="auto"/>
        <w:jc w:val="both"/>
        <w:rPr>
          <w:rFonts w:ascii="Tahoma" w:hAnsi="Tahoma" w:cs="Tahoma"/>
          <w:sz w:val="24"/>
          <w:szCs w:val="24"/>
        </w:rPr>
      </w:pPr>
      <w:r w:rsidRPr="002462E6">
        <w:rPr>
          <w:rFonts w:ascii="Tahoma" w:hAnsi="Tahoma" w:cs="Tahoma"/>
          <w:sz w:val="24"/>
          <w:szCs w:val="24"/>
        </w:rPr>
        <w:t>Cette position défavorable s'inscrit dans une trajectoire de dégradation environnementale documentée par plusieurs institutions de recherche nationales. L'Institut Royal des Études Stratégiques (IRES) alertait dès 2017 sur les risques d'érosion de la biodiversité nationale, projetant une diminution potentielle de 22 % du patrimoine biologique à l'horizon 2050</w:t>
      </w:r>
      <w:r w:rsidRPr="002462E6">
        <w:rPr>
          <w:rStyle w:val="Appelnotedebasdep"/>
          <w:rFonts w:ascii="Tahoma" w:hAnsi="Tahoma" w:cs="Tahoma"/>
          <w:sz w:val="24"/>
          <w:szCs w:val="24"/>
        </w:rPr>
        <w:footnoteReference w:id="826"/>
      </w:r>
      <w:r w:rsidRPr="002462E6">
        <w:rPr>
          <w:rFonts w:ascii="Tahoma" w:hAnsi="Tahoma" w:cs="Tahoma"/>
          <w:sz w:val="24"/>
          <w:szCs w:val="24"/>
        </w:rPr>
        <w:t xml:space="preserve">. </w:t>
      </w:r>
    </w:p>
    <w:p w:rsidR="00050F2D" w:rsidRPr="002462E6" w:rsidRDefault="00050F2D" w:rsidP="00050F2D">
      <w:pPr>
        <w:spacing w:line="360" w:lineRule="auto"/>
        <w:jc w:val="both"/>
        <w:rPr>
          <w:rFonts w:ascii="Tahoma" w:hAnsi="Tahoma" w:cs="Tahoma"/>
          <w:sz w:val="24"/>
          <w:szCs w:val="24"/>
        </w:rPr>
      </w:pPr>
      <w:r w:rsidRPr="002462E6">
        <w:rPr>
          <w:rFonts w:ascii="Tahoma" w:hAnsi="Tahoma" w:cs="Tahoma"/>
          <w:sz w:val="24"/>
          <w:szCs w:val="24"/>
        </w:rPr>
        <w:t>De manière convergente, les travaux du Centre de Recherche Forestière (CRF) anticipaient, dès 2010, une réduction substantielle de la couverture forestière, estimée à 45 % d'ici à la même échéance</w:t>
      </w:r>
      <w:r w:rsidRPr="002462E6">
        <w:rPr>
          <w:rStyle w:val="Appelnotedebasdep"/>
          <w:rFonts w:ascii="Tahoma" w:hAnsi="Tahoma" w:cs="Tahoma"/>
          <w:sz w:val="24"/>
          <w:szCs w:val="24"/>
        </w:rPr>
        <w:footnoteReference w:id="827"/>
      </w:r>
      <w:r w:rsidRPr="002462E6">
        <w:rPr>
          <w:rFonts w:ascii="Tahoma" w:hAnsi="Tahoma" w:cs="Tahoma"/>
          <w:sz w:val="24"/>
          <w:szCs w:val="24"/>
        </w:rPr>
        <w:t>.</w:t>
      </w:r>
    </w:p>
    <w:p w:rsidR="001B0345" w:rsidRPr="002462E6" w:rsidRDefault="001B0345" w:rsidP="001B0345">
      <w:pPr>
        <w:spacing w:line="360" w:lineRule="auto"/>
        <w:jc w:val="both"/>
        <w:rPr>
          <w:rFonts w:ascii="Tahoma" w:hAnsi="Tahoma" w:cs="Tahoma"/>
          <w:sz w:val="24"/>
          <w:szCs w:val="24"/>
        </w:rPr>
      </w:pPr>
      <w:r w:rsidRPr="002462E6">
        <w:rPr>
          <w:rFonts w:ascii="Tahoma" w:hAnsi="Tahoma" w:cs="Tahoma"/>
          <w:sz w:val="24"/>
          <w:szCs w:val="24"/>
        </w:rPr>
        <w:t xml:space="preserve">Ces projections convergentes, bien qu'issues de méthodologies et d'organismes distincts, dessinent un tableau préoccupant de l'évolution des écosystèmes marocains. Toutefois, il convient de souligner que ces estimations demeurent conditionnées par les hypothèses de modélisation retenues et les scénarios d'évolution socio-économique envisagés. Dans ce contexte, une interrogation légitime émerge quant à l'adéquation entre les ambitions affichées par les politiques publiques environnementales et leur mise en œuvre opérationnelle. </w:t>
      </w:r>
    </w:p>
    <w:p w:rsidR="00050F2D" w:rsidRPr="005979B4" w:rsidRDefault="001B0345" w:rsidP="005979B4">
      <w:pPr>
        <w:spacing w:line="360" w:lineRule="auto"/>
        <w:jc w:val="both"/>
        <w:rPr>
          <w:rFonts w:ascii="Tahoma" w:hAnsi="Tahoma" w:cs="Tahoma"/>
          <w:sz w:val="24"/>
          <w:szCs w:val="24"/>
        </w:rPr>
      </w:pPr>
      <w:r w:rsidRPr="002462E6">
        <w:rPr>
          <w:rFonts w:ascii="Tahoma" w:hAnsi="Tahoma" w:cs="Tahoma"/>
          <w:sz w:val="24"/>
          <w:szCs w:val="24"/>
        </w:rPr>
        <w:t>Les dispositifs de conservation actuellement déployés méritent ainsi une évaluation approfondie, intégrant à la fois les contraintes structurelles du développement socio-économique national et les impératifs de</w:t>
      </w:r>
      <w:r w:rsidR="005979B4">
        <w:rPr>
          <w:rFonts w:ascii="Tahoma" w:hAnsi="Tahoma" w:cs="Tahoma"/>
          <w:sz w:val="24"/>
          <w:szCs w:val="24"/>
        </w:rPr>
        <w:t xml:space="preserve"> préservation environnementale.</w:t>
      </w:r>
    </w:p>
    <w:p w:rsidR="00244884" w:rsidRPr="002462E6" w:rsidRDefault="00244884" w:rsidP="00244884">
      <w:pPr>
        <w:spacing w:line="360" w:lineRule="auto"/>
        <w:jc w:val="both"/>
        <w:rPr>
          <w:rFonts w:ascii="Tahoma" w:hAnsi="Tahoma" w:cs="Tahoma"/>
          <w:sz w:val="24"/>
          <w:szCs w:val="24"/>
        </w:rPr>
      </w:pPr>
      <w:r w:rsidRPr="002462E6">
        <w:rPr>
          <w:rFonts w:ascii="Tahoma" w:hAnsi="Tahoma" w:cs="Tahoma"/>
          <w:sz w:val="24"/>
          <w:szCs w:val="24"/>
        </w:rPr>
        <w:t>L'analyse de la dégradation des écosystèmes forestiers marocains ne peut être appréhendée de manière isolée ou sectorielle. Elle requiert une approche systémique mettant en évidence l’interdépendance entre plusieurs facteurs structurels, institutionnels et environnementaux. Comme le montre la figure ci-dessous, cette complexité se manifeste par l’articulation de variables telles que l’explosion démographique, le non développement rural, l’insuffisance des budgets publics, la faible intégration de la gestion opérationnelle, l’absence d’un réseau national de recherche dédié aux forêts, ainsi que l’impact croissant du changement climatique. Ces facteurs, agissant de manière cumulative et interactive, alimentent un processus de dégradation multisectorielle des forêts, compromettant considérablement la biodiversité, les ressources hydriques, et les équilibres socio-économiques des territoires ruraux. Ce système dynamique, où les causes et les effets s'entremêlent, souligne la nécessité de repenser les politiques forestières à la lumière d’une lecture systémique et transversale des enjeux.</w:t>
      </w:r>
    </w:p>
    <w:p w:rsidR="007E0BDC" w:rsidRPr="002462E6" w:rsidRDefault="007E0BDC" w:rsidP="000D57A1">
      <w:pPr>
        <w:pStyle w:val="Sous-titre"/>
      </w:pPr>
      <w:bookmarkStart w:id="406" w:name="_Toc203642806"/>
      <w:r w:rsidRPr="002462E6">
        <w:rPr>
          <w:noProof/>
          <w:lang w:eastAsia="fr-FR"/>
        </w:rPr>
        <w:drawing>
          <wp:anchor distT="0" distB="0" distL="114300" distR="114300" simplePos="0" relativeHeight="251698176" behindDoc="0" locked="0" layoutInCell="1" allowOverlap="1" wp14:anchorId="376A7AA1" wp14:editId="0AEF406B">
            <wp:simplePos x="0" y="0"/>
            <wp:positionH relativeFrom="column">
              <wp:posOffset>229870</wp:posOffset>
            </wp:positionH>
            <wp:positionV relativeFrom="paragraph">
              <wp:posOffset>473710</wp:posOffset>
            </wp:positionV>
            <wp:extent cx="5864225" cy="7108190"/>
            <wp:effectExtent l="0" t="0" r="3175" b="0"/>
            <wp:wrapSquare wrapText="bothSides"/>
            <wp:docPr id="956995650" name="Image 9569956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9">
                      <a:extLst>
                        <a:ext uri="{28A0092B-C50C-407E-A947-70E740481C1C}">
                          <a14:useLocalDpi xmlns:a14="http://schemas.microsoft.com/office/drawing/2010/main" val="0"/>
                        </a:ext>
                      </a:extLst>
                    </a:blip>
                    <a:srcRect l="3021" r="30139" b="6171"/>
                    <a:stretch/>
                  </pic:blipFill>
                  <pic:spPr bwMode="auto">
                    <a:xfrm>
                      <a:off x="0" y="0"/>
                      <a:ext cx="5864225" cy="71081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2462E6">
        <w:t xml:space="preserve">Figure </w:t>
      </w:r>
      <w:r w:rsidR="00225ED1">
        <w:rPr>
          <w:noProof/>
        </w:rPr>
        <w:fldChar w:fldCharType="begin"/>
      </w:r>
      <w:r w:rsidR="00225ED1">
        <w:rPr>
          <w:noProof/>
        </w:rPr>
        <w:instrText xml:space="preserve"> SEQ Figure \* ARABIC </w:instrText>
      </w:r>
      <w:r w:rsidR="00225ED1">
        <w:rPr>
          <w:noProof/>
        </w:rPr>
        <w:fldChar w:fldCharType="separate"/>
      </w:r>
      <w:r w:rsidR="00124AFB">
        <w:rPr>
          <w:noProof/>
        </w:rPr>
        <w:t>14</w:t>
      </w:r>
      <w:r w:rsidR="00225ED1">
        <w:rPr>
          <w:noProof/>
        </w:rPr>
        <w:fldChar w:fldCharType="end"/>
      </w:r>
      <w:r w:rsidRPr="002462E6">
        <w:t xml:space="preserve"> : Analyse systémique des facteurs accélérateurs</w:t>
      </w:r>
      <w:bookmarkEnd w:id="406"/>
    </w:p>
    <w:p w:rsidR="007E0BDC" w:rsidRPr="002462E6" w:rsidRDefault="007E0BDC" w:rsidP="00050F2D">
      <w:pPr>
        <w:spacing w:line="360" w:lineRule="auto"/>
        <w:jc w:val="center"/>
        <w:rPr>
          <w:rFonts w:ascii="Tahoma" w:hAnsi="Tahoma" w:cs="Tahoma"/>
          <w:sz w:val="20"/>
          <w:szCs w:val="20"/>
        </w:rPr>
      </w:pPr>
    </w:p>
    <w:p w:rsidR="00050F2D" w:rsidRPr="002462E6" w:rsidRDefault="00050F2D" w:rsidP="00050F2D">
      <w:pPr>
        <w:spacing w:line="360" w:lineRule="auto"/>
        <w:jc w:val="center"/>
        <w:rPr>
          <w:rFonts w:ascii="Tahoma" w:hAnsi="Tahoma" w:cs="Tahoma"/>
          <w:sz w:val="20"/>
          <w:szCs w:val="20"/>
        </w:rPr>
      </w:pPr>
      <w:r w:rsidRPr="002462E6">
        <w:rPr>
          <w:rFonts w:ascii="Tahoma" w:hAnsi="Tahoma" w:cs="Tahoma"/>
          <w:b/>
          <w:bCs/>
          <w:sz w:val="20"/>
          <w:szCs w:val="20"/>
        </w:rPr>
        <w:t>Source :</w:t>
      </w:r>
      <w:r w:rsidR="001861BE" w:rsidRPr="002462E6">
        <w:rPr>
          <w:rFonts w:ascii="Tahoma" w:hAnsi="Tahoma" w:cs="Tahoma"/>
          <w:sz w:val="20"/>
          <w:szCs w:val="20"/>
        </w:rPr>
        <w:t xml:space="preserve"> élaboration de l’auteur</w:t>
      </w:r>
      <w:r w:rsidRPr="002462E6">
        <w:rPr>
          <w:rFonts w:ascii="Tahoma" w:hAnsi="Tahoma" w:cs="Tahoma"/>
          <w:sz w:val="20"/>
          <w:szCs w:val="20"/>
        </w:rPr>
        <w:t xml:space="preserve"> </w:t>
      </w:r>
    </w:p>
    <w:p w:rsidR="00050F2D" w:rsidRPr="002462E6" w:rsidRDefault="00050F2D" w:rsidP="00050F2D">
      <w:pPr>
        <w:spacing w:line="360" w:lineRule="auto"/>
        <w:rPr>
          <w:rFonts w:ascii="Tahoma" w:hAnsi="Tahoma" w:cs="Tahoma"/>
          <w:b/>
          <w:bCs/>
          <w:sz w:val="24"/>
          <w:szCs w:val="24"/>
        </w:rPr>
      </w:pPr>
    </w:p>
    <w:p w:rsidR="00050F2D" w:rsidRPr="002462E6" w:rsidRDefault="00050F2D" w:rsidP="00D051D7">
      <w:pPr>
        <w:pStyle w:val="Titre5"/>
        <w:numPr>
          <w:ilvl w:val="0"/>
          <w:numId w:val="95"/>
        </w:numPr>
      </w:pPr>
      <w:r w:rsidRPr="002462E6">
        <w:t xml:space="preserve"> </w:t>
      </w:r>
      <w:bookmarkStart w:id="407" w:name="_Toc203643105"/>
      <w:r w:rsidRPr="002462E6">
        <w:t>Causes directes et immédiates de la dégradation forestière au Maroc</w:t>
      </w:r>
      <w:bookmarkEnd w:id="407"/>
    </w:p>
    <w:p w:rsidR="00050F2D" w:rsidRPr="002462E6" w:rsidRDefault="0081322F" w:rsidP="00050F2D">
      <w:pPr>
        <w:spacing w:line="360" w:lineRule="auto"/>
        <w:rPr>
          <w:rFonts w:ascii="Tahoma" w:hAnsi="Tahoma" w:cs="Tahoma"/>
          <w:sz w:val="14"/>
          <w:szCs w:val="14"/>
        </w:rPr>
      </w:pPr>
      <w:r w:rsidRPr="002462E6">
        <w:rPr>
          <w:rFonts w:ascii="Tahoma" w:hAnsi="Tahoma" w:cs="Tahoma"/>
          <w:sz w:val="14"/>
          <w:szCs w:val="14"/>
        </w:rPr>
        <w:t xml:space="preserve">  </w:t>
      </w:r>
    </w:p>
    <w:p w:rsidR="00244884" w:rsidRPr="002462E6" w:rsidRDefault="00244884" w:rsidP="005979B4">
      <w:pPr>
        <w:spacing w:line="360" w:lineRule="auto"/>
        <w:rPr>
          <w:rFonts w:ascii="Tahoma" w:hAnsi="Tahoma" w:cs="Tahoma"/>
          <w:sz w:val="24"/>
          <w:szCs w:val="24"/>
        </w:rPr>
      </w:pPr>
      <w:r w:rsidRPr="002462E6">
        <w:rPr>
          <w:rFonts w:ascii="Tahoma" w:hAnsi="Tahoma" w:cs="Tahoma"/>
          <w:sz w:val="24"/>
          <w:szCs w:val="24"/>
        </w:rPr>
        <w:t>La dynamique de dégradation des écosystèmes forestiers marocains s'inscrit dans un ensemble de facteurs immédiats, dont l'action conjointe exerce une pression continue sur les ressources forestières. Ces causes directes, bien que souvent évoquées dans les politiques publiques, demeurent traitées de manière fragmentaire, sans prise en compte de leur articulation. Leur analyse systémique permet de mieux comprendre la fragilité structurelle du modèle actuel de gestion forestière.</w:t>
      </w:r>
    </w:p>
    <w:p w:rsidR="00050F2D" w:rsidRDefault="002B500C" w:rsidP="008D3838">
      <w:pPr>
        <w:pStyle w:val="Titre6"/>
        <w:numPr>
          <w:ilvl w:val="0"/>
          <w:numId w:val="50"/>
        </w:numPr>
      </w:pPr>
      <w:bookmarkStart w:id="408" w:name="_Toc203643106"/>
      <w:r w:rsidRPr="002462E6">
        <w:t>P</w:t>
      </w:r>
      <w:r w:rsidR="00050F2D" w:rsidRPr="002462E6">
        <w:t>ression démographique et la demande croissante en ressources</w:t>
      </w:r>
      <w:bookmarkEnd w:id="408"/>
    </w:p>
    <w:p w:rsidR="005979B4" w:rsidRPr="005979B4" w:rsidRDefault="005979B4" w:rsidP="005979B4">
      <w:pPr>
        <w:rPr>
          <w:lang w:eastAsia="fr-FR"/>
        </w:rPr>
      </w:pPr>
    </w:p>
    <w:p w:rsidR="00050F2D" w:rsidRPr="002462E6" w:rsidRDefault="00A05126" w:rsidP="00A05126">
      <w:pPr>
        <w:spacing w:line="360" w:lineRule="auto"/>
        <w:jc w:val="both"/>
        <w:rPr>
          <w:rFonts w:ascii="Tahoma" w:hAnsi="Tahoma" w:cs="Tahoma"/>
          <w:sz w:val="24"/>
          <w:szCs w:val="24"/>
        </w:rPr>
      </w:pPr>
      <w:r w:rsidRPr="002462E6">
        <w:rPr>
          <w:rFonts w:ascii="Tahoma" w:hAnsi="Tahoma" w:cs="Tahoma"/>
          <w:sz w:val="24"/>
          <w:szCs w:val="24"/>
        </w:rPr>
        <w:t>L’un des moteurs les plus manifestes de la dégradation forestière au Maroc réside dans la croissance démographique qui constitue un déterminant fondamental de la dégradation forestière, particulièrement dans les régions où la densité de population rurale et péri-forestière connaît une croissance soutenue</w:t>
      </w:r>
      <w:r w:rsidRPr="002462E6">
        <w:rPr>
          <w:rFonts w:ascii="Tahoma" w:hAnsi="Tahoma" w:cs="Tahoma"/>
          <w:sz w:val="24"/>
          <w:szCs w:val="24"/>
          <w:vertAlign w:val="superscript"/>
        </w:rPr>
        <w:footnoteReference w:id="828"/>
      </w:r>
      <w:r w:rsidRPr="002462E6">
        <w:rPr>
          <w:rFonts w:ascii="Tahoma" w:hAnsi="Tahoma" w:cs="Tahoma"/>
          <w:sz w:val="24"/>
          <w:szCs w:val="24"/>
        </w:rPr>
        <w:t>. Cette dynamique démographique génère une demande croissante en ressources naturelles qui excède structurellement les capacités de régénération des écosystèmes forestiers. Les données de l'enquête menée par l'Institut Royal des Études Stratégiques auprès de 277 enquêtés révèlent que le surpâturage figure en première position des facteurs de dégradation (cité par la majorité des répondants), suivi par l'exploitation forestière illicite motivée par les besoins domestiques et commerciaux</w:t>
      </w:r>
      <w:r w:rsidRPr="002462E6">
        <w:rPr>
          <w:rFonts w:ascii="Tahoma" w:hAnsi="Tahoma" w:cs="Tahoma"/>
          <w:sz w:val="24"/>
          <w:szCs w:val="24"/>
          <w:vertAlign w:val="superscript"/>
        </w:rPr>
        <w:footnoteReference w:id="829"/>
      </w:r>
      <w:r w:rsidRPr="002462E6">
        <w:rPr>
          <w:rFonts w:ascii="Tahoma" w:hAnsi="Tahoma" w:cs="Tahoma"/>
          <w:sz w:val="24"/>
          <w:szCs w:val="24"/>
        </w:rPr>
        <w:t>.</w:t>
      </w:r>
    </w:p>
    <w:p w:rsidR="00A05126" w:rsidRPr="002462E6" w:rsidRDefault="00A05126" w:rsidP="00A05126">
      <w:pPr>
        <w:spacing w:line="360" w:lineRule="auto"/>
        <w:jc w:val="both"/>
        <w:rPr>
          <w:rFonts w:ascii="Tahoma" w:hAnsi="Tahoma" w:cs="Tahoma"/>
          <w:sz w:val="24"/>
          <w:szCs w:val="24"/>
        </w:rPr>
      </w:pPr>
      <w:r w:rsidRPr="002462E6">
        <w:rPr>
          <w:rFonts w:ascii="Tahoma" w:hAnsi="Tahoma" w:cs="Tahoma"/>
          <w:sz w:val="24"/>
          <w:szCs w:val="24"/>
        </w:rPr>
        <w:t>La consommation énergétique rurale illustre cette problématique à travers le bois de feu qui demeure la source d'énergie primaire dans les zones rurales marocaines, avec une consommation estimée à plusieurs millions de tonnes annuellement</w:t>
      </w:r>
      <w:r w:rsidRPr="002462E6">
        <w:rPr>
          <w:rFonts w:ascii="Tahoma" w:hAnsi="Tahoma" w:cs="Tahoma"/>
          <w:sz w:val="24"/>
          <w:szCs w:val="24"/>
          <w:vertAlign w:val="superscript"/>
        </w:rPr>
        <w:footnoteReference w:id="830"/>
      </w:r>
      <w:r w:rsidRPr="002462E6">
        <w:rPr>
          <w:rFonts w:ascii="Tahoma" w:hAnsi="Tahoma" w:cs="Tahoma"/>
          <w:sz w:val="24"/>
          <w:szCs w:val="24"/>
        </w:rPr>
        <w:t>. Cette dépendance énergétique s'explique par l'absence d'alternatives économiquement viables et accessibles, contraignant les populations rurales à s'orienter vers des pratiques de prélèvement souvent non-réglementées qui dépassent les seuils de soutenabilité écologique.</w:t>
      </w:r>
    </w:p>
    <w:p w:rsidR="00050F2D" w:rsidRPr="002462E6" w:rsidRDefault="00A05126" w:rsidP="005979B4">
      <w:pPr>
        <w:spacing w:line="360" w:lineRule="auto"/>
        <w:jc w:val="both"/>
        <w:rPr>
          <w:rFonts w:ascii="Tahoma" w:hAnsi="Tahoma" w:cs="Tahoma"/>
          <w:sz w:val="24"/>
          <w:szCs w:val="24"/>
        </w:rPr>
      </w:pPr>
      <w:r w:rsidRPr="002462E6">
        <w:rPr>
          <w:rFonts w:ascii="Tahoma" w:hAnsi="Tahoma" w:cs="Tahoma"/>
          <w:sz w:val="24"/>
          <w:szCs w:val="24"/>
        </w:rPr>
        <w:t>L'exploitation pastorale des forêts marocaines s'inscrit dans un régime de libre accès qui favorise la surexploitation des ressources fourragères</w:t>
      </w:r>
      <w:r w:rsidRPr="002462E6">
        <w:rPr>
          <w:rFonts w:ascii="Tahoma" w:hAnsi="Tahoma" w:cs="Tahoma"/>
          <w:sz w:val="24"/>
          <w:szCs w:val="24"/>
          <w:vertAlign w:val="superscript"/>
        </w:rPr>
        <w:footnoteReference w:id="831"/>
      </w:r>
      <w:r w:rsidRPr="002462E6">
        <w:rPr>
          <w:rFonts w:ascii="Tahoma" w:hAnsi="Tahoma" w:cs="Tahoma"/>
          <w:sz w:val="24"/>
          <w:szCs w:val="24"/>
        </w:rPr>
        <w:t>. Les forêts offrent des ressources sylvopastorales accessibles gratuitement à tous types de bétail tout au long de l'année, générant une situation de tragédie des biens communs au sens de Hardin</w:t>
      </w:r>
      <w:r w:rsidRPr="002462E6">
        <w:rPr>
          <w:rFonts w:ascii="Tahoma" w:hAnsi="Tahoma" w:cs="Tahoma"/>
          <w:sz w:val="24"/>
          <w:szCs w:val="24"/>
          <w:vertAlign w:val="superscript"/>
        </w:rPr>
        <w:footnoteReference w:id="832"/>
      </w:r>
      <w:r w:rsidRPr="002462E6">
        <w:rPr>
          <w:rFonts w:ascii="Tahoma" w:hAnsi="Tahoma" w:cs="Tahoma"/>
          <w:sz w:val="24"/>
          <w:szCs w:val="24"/>
        </w:rPr>
        <w:t>. Cette dynamique est aggravée par l'émergence de contrats d'association entre les populations locales et des investisseurs externes aux communautés d'usagers, intensifiant la pression sur les écosystèmes</w:t>
      </w:r>
      <w:r w:rsidRPr="002462E6">
        <w:rPr>
          <w:rFonts w:ascii="Tahoma" w:hAnsi="Tahoma" w:cs="Tahoma"/>
          <w:sz w:val="24"/>
          <w:szCs w:val="24"/>
          <w:vertAlign w:val="superscript"/>
        </w:rPr>
        <w:footnoteReference w:id="833"/>
      </w:r>
    </w:p>
    <w:p w:rsidR="00050F2D" w:rsidRDefault="00050F2D" w:rsidP="008D3838">
      <w:pPr>
        <w:pStyle w:val="Titre6"/>
      </w:pPr>
      <w:bookmarkStart w:id="409" w:name="_Toc203643107"/>
      <w:r w:rsidRPr="002462E6">
        <w:t>Insuffisance des financements publics : obstacle majeur à la réalisation des objectifs de reboisement</w:t>
      </w:r>
      <w:bookmarkEnd w:id="409"/>
    </w:p>
    <w:p w:rsidR="005979B4" w:rsidRPr="005979B4" w:rsidRDefault="005979B4" w:rsidP="005979B4">
      <w:pPr>
        <w:rPr>
          <w:lang w:eastAsia="fr-FR"/>
        </w:rPr>
      </w:pPr>
    </w:p>
    <w:p w:rsidR="00050F2D" w:rsidRPr="002462E6" w:rsidRDefault="00DF2513" w:rsidP="00DF2513">
      <w:pPr>
        <w:spacing w:line="360" w:lineRule="auto"/>
        <w:jc w:val="both"/>
        <w:rPr>
          <w:rFonts w:ascii="Tahoma" w:hAnsi="Tahoma" w:cs="Tahoma"/>
          <w:sz w:val="24"/>
          <w:szCs w:val="24"/>
        </w:rPr>
      </w:pPr>
      <w:r w:rsidRPr="002462E6">
        <w:rPr>
          <w:rFonts w:ascii="Tahoma" w:hAnsi="Tahoma" w:cs="Tahoma"/>
          <w:sz w:val="24"/>
          <w:szCs w:val="24"/>
        </w:rPr>
        <w:t>Le bilan des programmes de reboisement met en évidence cette problématique de manière tangible. Les superficies ciblées, fixées à 15 000 hectares par an avant les années 2000, puis portées à 40 000 hectares par an par la suite, n’ont jamais atteint la moitié des surfaces programmées. Cette tendance persistante s’est maintenue malgré l’adoption de la stratégie forestière 2020-2030, puisque les superficies reboisées n’ont pas dépassé 20 000 hectares par an depuis la mise en œuvre de cette politique, soit un niveau quatre fois inférieur à l’objectif ambitieux de 100 000 hectares annuels à l’horizon 2030</w:t>
      </w:r>
      <w:r w:rsidRPr="002462E6">
        <w:rPr>
          <w:rFonts w:ascii="Tahoma" w:hAnsi="Tahoma" w:cs="Tahoma"/>
          <w:sz w:val="24"/>
          <w:szCs w:val="24"/>
          <w:vertAlign w:val="superscript"/>
        </w:rPr>
        <w:footnoteReference w:id="834"/>
      </w:r>
      <w:r w:rsidRPr="002462E6">
        <w:rPr>
          <w:rFonts w:ascii="Tahoma" w:hAnsi="Tahoma" w:cs="Tahoma"/>
          <w:sz w:val="24"/>
          <w:szCs w:val="24"/>
        </w:rPr>
        <w:t>.</w:t>
      </w:r>
    </w:p>
    <w:p w:rsidR="00A00BE5" w:rsidRPr="002462E6" w:rsidRDefault="00050F2D" w:rsidP="00A00BE5">
      <w:pPr>
        <w:spacing w:line="360" w:lineRule="auto"/>
        <w:jc w:val="both"/>
        <w:rPr>
          <w:rFonts w:ascii="Tahoma" w:hAnsi="Tahoma" w:cs="Tahoma"/>
          <w:sz w:val="24"/>
          <w:szCs w:val="24"/>
        </w:rPr>
      </w:pPr>
      <w:r w:rsidRPr="002462E6">
        <w:rPr>
          <w:rFonts w:ascii="Tahoma" w:hAnsi="Tahoma" w:cs="Tahoma"/>
          <w:sz w:val="24"/>
          <w:szCs w:val="24"/>
        </w:rPr>
        <w:t xml:space="preserve">Le financement des programmes de reboisement, de lutte contre la désertification et de suivi écologique repose largement sur des contributions extérieures et des partenariats </w:t>
      </w:r>
      <w:r w:rsidR="00A00BE5" w:rsidRPr="002462E6">
        <w:rPr>
          <w:rFonts w:ascii="Tahoma" w:hAnsi="Tahoma" w:cs="Tahoma"/>
          <w:sz w:val="24"/>
          <w:szCs w:val="24"/>
        </w:rPr>
        <w:t>internationaux ponctuels</w:t>
      </w:r>
      <w:r w:rsidR="00A00BE5" w:rsidRPr="002462E6">
        <w:rPr>
          <w:rFonts w:ascii="Tahoma" w:hAnsi="Tahoma" w:cs="Tahoma"/>
          <w:sz w:val="24"/>
          <w:szCs w:val="24"/>
          <w:vertAlign w:val="superscript"/>
        </w:rPr>
        <w:footnoteReference w:id="835"/>
      </w:r>
      <w:r w:rsidR="00A00BE5" w:rsidRPr="002462E6">
        <w:rPr>
          <w:rFonts w:ascii="Tahoma" w:hAnsi="Tahoma" w:cs="Tahoma"/>
          <w:sz w:val="24"/>
          <w:szCs w:val="24"/>
        </w:rPr>
        <w:t>, ce qui engendre une fragmentation des interventions et compromet leur pérennité. Cette dépendance aux bailleurs de fonds internationaux révèle l'insuffisance de l'effort budgétaire national et traduit une priorisation politique limitée du secteur forestier dans les stratégies de développement.</w:t>
      </w:r>
    </w:p>
    <w:p w:rsidR="002A5B6E" w:rsidRPr="002462E6" w:rsidRDefault="00A00BE5" w:rsidP="005979B4">
      <w:pPr>
        <w:spacing w:line="360" w:lineRule="auto"/>
        <w:jc w:val="both"/>
        <w:rPr>
          <w:rFonts w:ascii="Tahoma" w:hAnsi="Tahoma" w:cs="Tahoma"/>
          <w:sz w:val="24"/>
          <w:szCs w:val="24"/>
        </w:rPr>
      </w:pPr>
      <w:r w:rsidRPr="002462E6">
        <w:rPr>
          <w:rFonts w:ascii="Tahoma" w:hAnsi="Tahoma" w:cs="Tahoma"/>
          <w:sz w:val="24"/>
          <w:szCs w:val="24"/>
        </w:rPr>
        <w:t>L'absence quasi-totale d'investissements privés complique cette situation financière précaire. Hormis une initiative menée avec la Caisse de Dépôt et de Gestion dans les années 1990, les investissements privés dans la gestion forestière demeurent marginaux</w:t>
      </w:r>
      <w:r w:rsidRPr="002462E6">
        <w:rPr>
          <w:rFonts w:ascii="Tahoma" w:hAnsi="Tahoma" w:cs="Tahoma"/>
          <w:sz w:val="24"/>
          <w:szCs w:val="24"/>
          <w:vertAlign w:val="superscript"/>
        </w:rPr>
        <w:footnoteReference w:id="836"/>
      </w:r>
      <w:r w:rsidRPr="002462E6">
        <w:rPr>
          <w:rFonts w:ascii="Tahoma" w:hAnsi="Tahoma" w:cs="Tahoma"/>
          <w:sz w:val="24"/>
          <w:szCs w:val="24"/>
        </w:rPr>
        <w:t>. Cette carence du secteur privé s'explique notamment par l'absence de mécanismes incitatifs appropriés et par la faible rentabilité perçue des investisse</w:t>
      </w:r>
      <w:r w:rsidR="005979B4">
        <w:rPr>
          <w:rFonts w:ascii="Tahoma" w:hAnsi="Tahoma" w:cs="Tahoma"/>
          <w:sz w:val="24"/>
          <w:szCs w:val="24"/>
        </w:rPr>
        <w:t>ments forestiers à court terme.</w:t>
      </w:r>
    </w:p>
    <w:p w:rsidR="002A5B6E" w:rsidRPr="002462E6" w:rsidRDefault="00A00BE5" w:rsidP="002A5B6E">
      <w:pPr>
        <w:spacing w:after="0" w:line="360" w:lineRule="auto"/>
        <w:jc w:val="both"/>
        <w:rPr>
          <w:rFonts w:ascii="Tahoma" w:hAnsi="Tahoma" w:cs="Tahoma"/>
          <w:sz w:val="24"/>
          <w:szCs w:val="24"/>
        </w:rPr>
      </w:pPr>
      <w:r w:rsidRPr="002462E6">
        <w:rPr>
          <w:rFonts w:ascii="Tahoma" w:hAnsi="Tahoma" w:cs="Tahoma"/>
          <w:sz w:val="24"/>
          <w:szCs w:val="24"/>
        </w:rPr>
        <w:t>Cette contrainte budgétaire réduit considérablement la capacité des institutions à mettre en œuvre une politique forestière proactive, planifiée et territorialisée. Elle se manifeste concrètement par plusieurs dysfonctionnements structurels : la réduction d'un tiers des unités de gestion de proximité depuis 2010, conduisant à une présence limitée de gestionnaires sur le terrain</w:t>
      </w:r>
      <w:r w:rsidRPr="002462E6">
        <w:rPr>
          <w:rFonts w:ascii="Tahoma" w:hAnsi="Tahoma" w:cs="Tahoma"/>
          <w:sz w:val="24"/>
          <w:szCs w:val="24"/>
          <w:vertAlign w:val="superscript"/>
        </w:rPr>
        <w:footnoteReference w:id="837"/>
      </w:r>
      <w:r w:rsidRPr="002462E6">
        <w:rPr>
          <w:rFonts w:ascii="Tahoma" w:hAnsi="Tahoma" w:cs="Tahoma"/>
          <w:sz w:val="24"/>
          <w:szCs w:val="24"/>
        </w:rPr>
        <w:t xml:space="preserve"> ; l'insuffisance des ressources humaines tant techniques qu'administratives, compromettant la surveillance, le suivi et l'encadrement nécessaires</w:t>
      </w:r>
      <w:r w:rsidRPr="002462E6">
        <w:rPr>
          <w:rFonts w:ascii="Tahoma" w:hAnsi="Tahoma" w:cs="Tahoma"/>
          <w:sz w:val="24"/>
          <w:szCs w:val="24"/>
          <w:vertAlign w:val="superscript"/>
        </w:rPr>
        <w:footnoteReference w:id="838"/>
      </w:r>
      <w:r w:rsidRPr="002462E6">
        <w:rPr>
          <w:rFonts w:ascii="Tahoma" w:hAnsi="Tahoma" w:cs="Tahoma"/>
          <w:sz w:val="24"/>
          <w:szCs w:val="24"/>
        </w:rPr>
        <w:t xml:space="preserve"> ; et la charge excessive imposée à chaque unité de gestion qui doit désormais gérer environ 20 000 hectares, nuisant à la qualité des interventions</w:t>
      </w:r>
      <w:r w:rsidRPr="002462E6">
        <w:rPr>
          <w:rFonts w:ascii="Tahoma" w:hAnsi="Tahoma" w:cs="Tahoma"/>
          <w:sz w:val="24"/>
          <w:szCs w:val="24"/>
          <w:vertAlign w:val="superscript"/>
        </w:rPr>
        <w:footnoteReference w:id="839"/>
      </w:r>
      <w:r w:rsidRPr="002462E6">
        <w:rPr>
          <w:rFonts w:ascii="Tahoma" w:hAnsi="Tahoma" w:cs="Tahoma"/>
          <w:sz w:val="24"/>
          <w:szCs w:val="24"/>
        </w:rPr>
        <w:t>.</w:t>
      </w:r>
    </w:p>
    <w:p w:rsidR="00505C69" w:rsidRPr="002462E6" w:rsidRDefault="00050F2D" w:rsidP="005979B4">
      <w:pPr>
        <w:spacing w:after="0" w:line="360" w:lineRule="auto"/>
        <w:jc w:val="both"/>
        <w:rPr>
          <w:rFonts w:ascii="Tahoma" w:hAnsi="Tahoma" w:cs="Tahoma"/>
          <w:sz w:val="24"/>
          <w:szCs w:val="24"/>
        </w:rPr>
      </w:pPr>
      <w:r w:rsidRPr="002462E6">
        <w:rPr>
          <w:rFonts w:ascii="Tahoma" w:hAnsi="Tahoma" w:cs="Tahoma"/>
          <w:sz w:val="24"/>
          <w:szCs w:val="24"/>
        </w:rPr>
        <w:t>Cette sous-dotation budgétaire génère également une discontinuité dans la mise en œuvre des programmes, avec une insuffisance constatée dans le suivi et l'évaluation des projets réalisés, limitant ainsi l'analyse de leur efficacité et de leur efficience</w:t>
      </w:r>
      <w:r w:rsidRPr="002462E6">
        <w:rPr>
          <w:rStyle w:val="Appelnotedebasdep"/>
          <w:rFonts w:ascii="Tahoma" w:hAnsi="Tahoma" w:cs="Tahoma"/>
          <w:sz w:val="24"/>
          <w:szCs w:val="24"/>
        </w:rPr>
        <w:footnoteReference w:id="840"/>
      </w:r>
      <w:r w:rsidR="005979B4">
        <w:rPr>
          <w:rFonts w:ascii="Tahoma" w:hAnsi="Tahoma" w:cs="Tahoma"/>
          <w:sz w:val="24"/>
          <w:szCs w:val="24"/>
        </w:rPr>
        <w:t>.</w:t>
      </w:r>
    </w:p>
    <w:p w:rsidR="00050F2D" w:rsidRPr="005979B4" w:rsidRDefault="002B500C" w:rsidP="008D3838">
      <w:pPr>
        <w:pStyle w:val="Titre6"/>
      </w:pPr>
      <w:bookmarkStart w:id="410" w:name="_Toc203643108"/>
      <w:r w:rsidRPr="002462E6">
        <w:t>G</w:t>
      </w:r>
      <w:r w:rsidR="00050F2D" w:rsidRPr="002462E6">
        <w:t xml:space="preserve">estion </w:t>
      </w:r>
      <w:r w:rsidR="00022580" w:rsidRPr="002462E6">
        <w:t>Une gestion opérationnelle non intégrée et des dispositifs inadaptés</w:t>
      </w:r>
      <w:bookmarkEnd w:id="410"/>
    </w:p>
    <w:p w:rsidR="00050F2D" w:rsidRPr="002462E6" w:rsidRDefault="00050F2D" w:rsidP="00050F2D">
      <w:pPr>
        <w:spacing w:before="100" w:beforeAutospacing="1" w:after="100" w:afterAutospacing="1" w:line="360" w:lineRule="auto"/>
        <w:jc w:val="both"/>
        <w:rPr>
          <w:rFonts w:ascii="Tahoma" w:hAnsi="Tahoma" w:cs="Tahoma"/>
          <w:sz w:val="24"/>
          <w:szCs w:val="24"/>
          <w:lang w:eastAsia="fr-FR"/>
        </w:rPr>
      </w:pPr>
      <w:r w:rsidRPr="002462E6">
        <w:rPr>
          <w:rFonts w:ascii="Tahoma" w:hAnsi="Tahoma" w:cs="Tahoma"/>
          <w:sz w:val="24"/>
          <w:szCs w:val="24"/>
          <w:lang w:eastAsia="fr-FR"/>
        </w:rPr>
        <w:t>La gestion forestière au Maroc souffre d'un déficit structurel de coordination entre les différents acteurs institutionnels, révélant les limites d'une approche sectorielle qui peine à appréhender la complexité des enjeux forestiers</w:t>
      </w:r>
      <w:r w:rsidRPr="002462E6">
        <w:rPr>
          <w:rStyle w:val="Appelnotedebasdep"/>
          <w:rFonts w:ascii="Tahoma" w:hAnsi="Tahoma" w:cs="Tahoma"/>
          <w:sz w:val="24"/>
          <w:szCs w:val="24"/>
          <w:lang w:eastAsia="fr-FR"/>
        </w:rPr>
        <w:footnoteReference w:id="841"/>
      </w:r>
      <w:r w:rsidRPr="002462E6">
        <w:rPr>
          <w:rFonts w:ascii="Tahoma" w:hAnsi="Tahoma" w:cs="Tahoma"/>
          <w:sz w:val="24"/>
          <w:szCs w:val="24"/>
          <w:lang w:eastAsia="fr-FR"/>
        </w:rPr>
        <w:t>. Cette fragmentation institutionnelle se manifeste particulièrement dans les projets communs avec d'autres départements sectoriels, où l'on constate une insuffisance flagrante dans la synchronisation des interventions</w:t>
      </w:r>
      <w:r w:rsidRPr="002462E6">
        <w:rPr>
          <w:rStyle w:val="Appelnotedebasdep"/>
          <w:rFonts w:ascii="Tahoma" w:hAnsi="Tahoma" w:cs="Tahoma"/>
          <w:sz w:val="24"/>
          <w:szCs w:val="24"/>
          <w:lang w:eastAsia="fr-FR"/>
        </w:rPr>
        <w:footnoteReference w:id="842"/>
      </w:r>
      <w:r w:rsidRPr="002462E6">
        <w:rPr>
          <w:rFonts w:ascii="Tahoma" w:hAnsi="Tahoma" w:cs="Tahoma"/>
          <w:sz w:val="24"/>
          <w:szCs w:val="24"/>
          <w:lang w:eastAsia="fr-FR"/>
        </w:rPr>
        <w:t>. L'exemple de la protection phytosanitaire illustre parfaitement cette problématique : l'action, réalisée avec retard par manque de coordination, aggrave parfois les dommages sur les peuplements forestiers plutôt que de les prévenir</w:t>
      </w:r>
      <w:r w:rsidRPr="002462E6">
        <w:rPr>
          <w:rStyle w:val="Appelnotedebasdep"/>
          <w:rFonts w:ascii="Tahoma" w:hAnsi="Tahoma" w:cs="Tahoma"/>
          <w:sz w:val="24"/>
          <w:szCs w:val="24"/>
          <w:lang w:eastAsia="fr-FR"/>
        </w:rPr>
        <w:footnoteReference w:id="843"/>
      </w:r>
      <w:r w:rsidRPr="002462E6">
        <w:rPr>
          <w:rFonts w:ascii="Tahoma" w:hAnsi="Tahoma" w:cs="Tahoma"/>
          <w:sz w:val="24"/>
          <w:szCs w:val="24"/>
          <w:lang w:eastAsia="fr-FR"/>
        </w:rPr>
        <w:t>.</w:t>
      </w:r>
    </w:p>
    <w:p w:rsidR="00050F2D" w:rsidRPr="002462E6" w:rsidRDefault="00050F2D" w:rsidP="00050F2D">
      <w:pPr>
        <w:spacing w:before="100" w:beforeAutospacing="1" w:after="100" w:afterAutospacing="1" w:line="360" w:lineRule="auto"/>
        <w:jc w:val="both"/>
        <w:rPr>
          <w:rFonts w:ascii="Tahoma" w:hAnsi="Tahoma" w:cs="Tahoma"/>
          <w:sz w:val="24"/>
          <w:szCs w:val="24"/>
          <w:lang w:eastAsia="fr-FR"/>
        </w:rPr>
      </w:pPr>
      <w:r w:rsidRPr="002462E6">
        <w:rPr>
          <w:rFonts w:ascii="Tahoma" w:hAnsi="Tahoma" w:cs="Tahoma"/>
          <w:sz w:val="24"/>
          <w:szCs w:val="24"/>
          <w:lang w:eastAsia="fr-FR"/>
        </w:rPr>
        <w:t>La gestion des forêts s'opère de manière cloisonnée, sans synergie réelle avec les collectivités territoriales, les services de l'agriculture, de l'eau, de l'environnement, du tourisme ou encore les acteurs de la société civile</w:t>
      </w:r>
      <w:r w:rsidRPr="002462E6">
        <w:rPr>
          <w:rStyle w:val="Appelnotedebasdep"/>
          <w:rFonts w:ascii="Tahoma" w:hAnsi="Tahoma" w:cs="Tahoma"/>
          <w:sz w:val="24"/>
          <w:szCs w:val="24"/>
          <w:lang w:eastAsia="fr-FR"/>
        </w:rPr>
        <w:footnoteReference w:id="844"/>
      </w:r>
      <w:r w:rsidRPr="002462E6">
        <w:rPr>
          <w:rFonts w:ascii="Tahoma" w:hAnsi="Tahoma" w:cs="Tahoma"/>
          <w:sz w:val="24"/>
          <w:szCs w:val="24"/>
          <w:lang w:eastAsia="fr-FR"/>
        </w:rPr>
        <w:t>. Cette absence d'intégration institutionnelle, caractérisant le déploiement des programmes, projets et politiques forestières, pâtit d'un manque de territorialisation des politiques, des moyens et des pouvoirs, constituant un défi majeur à surmonter</w:t>
      </w:r>
      <w:r w:rsidRPr="002462E6">
        <w:rPr>
          <w:rStyle w:val="Appelnotedebasdep"/>
          <w:rFonts w:ascii="Tahoma" w:hAnsi="Tahoma" w:cs="Tahoma"/>
          <w:sz w:val="24"/>
          <w:szCs w:val="24"/>
          <w:lang w:eastAsia="fr-FR"/>
        </w:rPr>
        <w:footnoteReference w:id="845"/>
      </w:r>
      <w:r w:rsidRPr="002462E6">
        <w:rPr>
          <w:rFonts w:ascii="Tahoma" w:hAnsi="Tahoma" w:cs="Tahoma"/>
          <w:sz w:val="24"/>
          <w:szCs w:val="24"/>
          <w:lang w:eastAsia="fr-FR"/>
        </w:rPr>
        <w:t>.</w:t>
      </w:r>
    </w:p>
    <w:p w:rsidR="00050F2D" w:rsidRPr="002462E6" w:rsidRDefault="00050F2D" w:rsidP="00050F2D">
      <w:pPr>
        <w:spacing w:before="100" w:beforeAutospacing="1" w:after="100" w:afterAutospacing="1" w:line="360" w:lineRule="auto"/>
        <w:jc w:val="both"/>
        <w:rPr>
          <w:rFonts w:ascii="Tahoma" w:hAnsi="Tahoma" w:cs="Tahoma"/>
          <w:sz w:val="24"/>
          <w:szCs w:val="24"/>
          <w:lang w:eastAsia="fr-FR"/>
        </w:rPr>
      </w:pPr>
      <w:r w:rsidRPr="002462E6">
        <w:rPr>
          <w:rFonts w:ascii="Tahoma" w:hAnsi="Tahoma" w:cs="Tahoma"/>
          <w:sz w:val="24"/>
          <w:szCs w:val="24"/>
          <w:lang w:eastAsia="fr-FR"/>
        </w:rPr>
        <w:t>L'absence d'intégration opérationnelle se manifeste de manière particulièrement critique dans la participation insuffisante des communautés locales aux processus décisionnels. Les populations rurales, qui dépendent pourtant directement des ressources forestières pour leur subsistance, sont rarement incluses dans les processus de décision concernant la gestion des forêts</w:t>
      </w:r>
      <w:r w:rsidRPr="002462E6">
        <w:rPr>
          <w:rStyle w:val="Appelnotedebasdep"/>
          <w:rFonts w:ascii="Tahoma" w:hAnsi="Tahoma" w:cs="Tahoma"/>
          <w:sz w:val="24"/>
          <w:szCs w:val="24"/>
          <w:lang w:eastAsia="fr-FR"/>
        </w:rPr>
        <w:footnoteReference w:id="846"/>
      </w:r>
      <w:r w:rsidRPr="002462E6">
        <w:rPr>
          <w:rFonts w:ascii="Tahoma" w:hAnsi="Tahoma" w:cs="Tahoma"/>
          <w:sz w:val="24"/>
          <w:szCs w:val="24"/>
          <w:lang w:eastAsia="fr-FR"/>
        </w:rPr>
        <w:t>. Cette exclusion constitue un paradoxe majeur dans la mesure où l'implication active de ces communautés s'avère cruciale pour assurer la réussite des politiques de gestion soutenable</w:t>
      </w:r>
      <w:r w:rsidRPr="002462E6">
        <w:rPr>
          <w:rStyle w:val="Appelnotedebasdep"/>
          <w:rFonts w:ascii="Tahoma" w:hAnsi="Tahoma" w:cs="Tahoma"/>
          <w:sz w:val="24"/>
          <w:szCs w:val="24"/>
          <w:lang w:eastAsia="fr-FR"/>
        </w:rPr>
        <w:footnoteReference w:id="847"/>
      </w:r>
      <w:r w:rsidRPr="002462E6">
        <w:rPr>
          <w:rFonts w:ascii="Tahoma" w:hAnsi="Tahoma" w:cs="Tahoma"/>
          <w:sz w:val="24"/>
          <w:szCs w:val="24"/>
          <w:lang w:eastAsia="fr-FR"/>
        </w:rPr>
        <w:t>.</w:t>
      </w:r>
    </w:p>
    <w:p w:rsidR="00050F2D" w:rsidRPr="002462E6" w:rsidRDefault="00050F2D" w:rsidP="00050F2D">
      <w:pPr>
        <w:spacing w:before="100" w:beforeAutospacing="1" w:after="100" w:afterAutospacing="1" w:line="360" w:lineRule="auto"/>
        <w:jc w:val="both"/>
        <w:rPr>
          <w:rFonts w:ascii="Tahoma" w:hAnsi="Tahoma" w:cs="Tahoma"/>
          <w:sz w:val="24"/>
          <w:szCs w:val="24"/>
          <w:lang w:eastAsia="fr-FR"/>
        </w:rPr>
      </w:pPr>
      <w:r w:rsidRPr="002462E6">
        <w:rPr>
          <w:rFonts w:ascii="Tahoma" w:hAnsi="Tahoma" w:cs="Tahoma"/>
          <w:sz w:val="24"/>
          <w:szCs w:val="24"/>
          <w:lang w:eastAsia="fr-FR"/>
        </w:rPr>
        <w:t>Cette défaillance de la gouvernance participative se traduit concrètement dans la mise en œuvre des plans de gestion forestière, qui sont rarement conçus avec une participation effective des communautés locales. La gestion actuelle du secteur présente de nombreux dysfonctionnements, notamment en ce qui concerne la coordination avec les diverses parties prenantes, tels que les groupements d'usagers (associations, coopératives, organismes de développement forestier, groupements d'intérêt économique)</w:t>
      </w:r>
      <w:r w:rsidRPr="002462E6">
        <w:rPr>
          <w:rStyle w:val="Appelnotedebasdep"/>
          <w:rFonts w:ascii="Tahoma" w:hAnsi="Tahoma" w:cs="Tahoma"/>
          <w:sz w:val="24"/>
          <w:szCs w:val="24"/>
          <w:lang w:eastAsia="fr-FR"/>
        </w:rPr>
        <w:footnoteReference w:id="848"/>
      </w:r>
      <w:r w:rsidRPr="002462E6">
        <w:rPr>
          <w:rFonts w:ascii="Tahoma" w:hAnsi="Tahoma" w:cs="Tahoma"/>
          <w:sz w:val="24"/>
          <w:szCs w:val="24"/>
          <w:lang w:eastAsia="fr-FR"/>
        </w:rPr>
        <w:t>.</w:t>
      </w:r>
    </w:p>
    <w:p w:rsidR="00050F2D" w:rsidRPr="002462E6" w:rsidRDefault="00050F2D" w:rsidP="00050F2D">
      <w:pPr>
        <w:spacing w:before="100" w:beforeAutospacing="1" w:after="100" w:afterAutospacing="1" w:line="360" w:lineRule="auto"/>
        <w:jc w:val="both"/>
        <w:rPr>
          <w:rFonts w:ascii="Tahoma" w:hAnsi="Tahoma" w:cs="Tahoma"/>
          <w:sz w:val="24"/>
          <w:szCs w:val="24"/>
          <w:lang w:eastAsia="fr-FR"/>
        </w:rPr>
      </w:pPr>
      <w:r w:rsidRPr="002462E6">
        <w:rPr>
          <w:rFonts w:ascii="Tahoma" w:hAnsi="Tahoma" w:cs="Tahoma"/>
          <w:sz w:val="24"/>
          <w:szCs w:val="24"/>
          <w:lang w:eastAsia="fr-FR"/>
        </w:rPr>
        <w:t>Les outils de planification forestière - plans d'aménagement forestiers, chartes locales, stratégies sectorielles - demeurent largement inadaptés aux réalités socio-économiques du terrain, reproduisant une logique descendante héritée de l'époque coloniale et peu efficace dans le contexte actuel</w:t>
      </w:r>
      <w:r w:rsidRPr="002462E6">
        <w:rPr>
          <w:rStyle w:val="Appelnotedebasdep"/>
          <w:rFonts w:ascii="Tahoma" w:hAnsi="Tahoma" w:cs="Tahoma"/>
          <w:sz w:val="24"/>
          <w:szCs w:val="24"/>
          <w:lang w:eastAsia="fr-FR"/>
        </w:rPr>
        <w:footnoteReference w:id="849"/>
      </w:r>
      <w:r w:rsidRPr="002462E6">
        <w:rPr>
          <w:rFonts w:ascii="Tahoma" w:hAnsi="Tahoma" w:cs="Tahoma"/>
          <w:sz w:val="24"/>
          <w:szCs w:val="24"/>
          <w:lang w:eastAsia="fr-FR"/>
        </w:rPr>
        <w:t>. Ces instruments de planification peinent à être appliqués en raison de leur faible opposabilité aux tiers, compromettant leur efficacité sur le long terme</w:t>
      </w:r>
      <w:r w:rsidRPr="002462E6">
        <w:rPr>
          <w:rStyle w:val="Appelnotedebasdep"/>
          <w:rFonts w:ascii="Tahoma" w:hAnsi="Tahoma" w:cs="Tahoma"/>
          <w:sz w:val="24"/>
          <w:szCs w:val="24"/>
          <w:lang w:eastAsia="fr-FR"/>
        </w:rPr>
        <w:footnoteReference w:id="850"/>
      </w:r>
      <w:r w:rsidRPr="002462E6">
        <w:rPr>
          <w:rFonts w:ascii="Tahoma" w:hAnsi="Tahoma" w:cs="Tahoma"/>
          <w:sz w:val="24"/>
          <w:szCs w:val="24"/>
          <w:lang w:eastAsia="fr-FR"/>
        </w:rPr>
        <w:t>.</w:t>
      </w:r>
    </w:p>
    <w:p w:rsidR="00050F2D" w:rsidRPr="002462E6" w:rsidRDefault="00050F2D" w:rsidP="00050F2D">
      <w:pPr>
        <w:spacing w:before="100" w:beforeAutospacing="1" w:after="100" w:afterAutospacing="1" w:line="360" w:lineRule="auto"/>
        <w:jc w:val="both"/>
        <w:rPr>
          <w:rFonts w:ascii="Tahoma" w:hAnsi="Tahoma" w:cs="Tahoma"/>
          <w:sz w:val="24"/>
          <w:szCs w:val="24"/>
          <w:lang w:eastAsia="fr-FR"/>
        </w:rPr>
      </w:pPr>
      <w:r w:rsidRPr="002462E6">
        <w:rPr>
          <w:rFonts w:ascii="Tahoma" w:hAnsi="Tahoma" w:cs="Tahoma"/>
          <w:sz w:val="24"/>
          <w:szCs w:val="24"/>
          <w:lang w:eastAsia="fr-FR"/>
        </w:rPr>
        <w:t>La législation forestière elle-même, notamment les Dahirs de 1916 et 1917, bien que fondamentale, est devenue obsolète et ne reflète plus les évolutions sociales et économiques du pays</w:t>
      </w:r>
      <w:r w:rsidRPr="002462E6">
        <w:rPr>
          <w:rStyle w:val="Appelnotedebasdep"/>
          <w:rFonts w:ascii="Tahoma" w:hAnsi="Tahoma" w:cs="Tahoma"/>
          <w:sz w:val="24"/>
          <w:szCs w:val="24"/>
          <w:lang w:eastAsia="fr-FR"/>
        </w:rPr>
        <w:footnoteReference w:id="851"/>
      </w:r>
      <w:r w:rsidRPr="002462E6">
        <w:rPr>
          <w:rFonts w:ascii="Tahoma" w:hAnsi="Tahoma" w:cs="Tahoma"/>
          <w:sz w:val="24"/>
          <w:szCs w:val="24"/>
          <w:lang w:eastAsia="fr-FR"/>
        </w:rPr>
        <w:t>. Certaines dispositions, comme celles liées aux "droits d'usage", sont trop vagues et difficiles à appliquer dans le contexte contemporain</w:t>
      </w:r>
      <w:r w:rsidRPr="002462E6">
        <w:rPr>
          <w:rStyle w:val="Appelnotedebasdep"/>
          <w:rFonts w:ascii="Tahoma" w:hAnsi="Tahoma" w:cs="Tahoma"/>
          <w:sz w:val="24"/>
          <w:szCs w:val="24"/>
          <w:lang w:eastAsia="fr-FR"/>
        </w:rPr>
        <w:footnoteReference w:id="852"/>
      </w:r>
      <w:r w:rsidRPr="002462E6">
        <w:rPr>
          <w:rFonts w:ascii="Tahoma" w:hAnsi="Tahoma" w:cs="Tahoma"/>
          <w:sz w:val="24"/>
          <w:szCs w:val="24"/>
          <w:lang w:eastAsia="fr-FR"/>
        </w:rPr>
        <w:t>. Même la réforme de 1976, modifiée en 2009, qui visait à intégrer les populations locales dans l'économie forestière en leur attribuant 80% des recettes forestières, n'a pas produit les effets escomptés</w:t>
      </w:r>
      <w:r w:rsidRPr="002462E6">
        <w:rPr>
          <w:rStyle w:val="Appelnotedebasdep"/>
          <w:rFonts w:ascii="Tahoma" w:hAnsi="Tahoma" w:cs="Tahoma"/>
          <w:sz w:val="24"/>
          <w:szCs w:val="24"/>
          <w:lang w:eastAsia="fr-FR"/>
        </w:rPr>
        <w:footnoteReference w:id="853"/>
      </w:r>
      <w:r w:rsidRPr="002462E6">
        <w:rPr>
          <w:rFonts w:ascii="Tahoma" w:hAnsi="Tahoma" w:cs="Tahoma"/>
          <w:sz w:val="24"/>
          <w:szCs w:val="24"/>
          <w:lang w:eastAsia="fr-FR"/>
        </w:rPr>
        <w:t>.</w:t>
      </w:r>
    </w:p>
    <w:p w:rsidR="00050F2D" w:rsidRPr="002462E6" w:rsidRDefault="00050F2D" w:rsidP="00F93C41">
      <w:pPr>
        <w:spacing w:before="100" w:beforeAutospacing="1" w:after="0" w:line="360" w:lineRule="auto"/>
        <w:jc w:val="both"/>
        <w:rPr>
          <w:rFonts w:ascii="Tahoma" w:hAnsi="Tahoma" w:cs="Tahoma"/>
          <w:sz w:val="24"/>
          <w:szCs w:val="24"/>
          <w:lang w:eastAsia="fr-FR"/>
        </w:rPr>
      </w:pPr>
      <w:r w:rsidRPr="002462E6">
        <w:rPr>
          <w:rFonts w:ascii="Tahoma" w:hAnsi="Tahoma" w:cs="Tahoma"/>
          <w:sz w:val="24"/>
          <w:szCs w:val="24"/>
          <w:lang w:eastAsia="fr-FR"/>
        </w:rPr>
        <w:t>Il en résulte une faible appropriation locale des initiatives de conservation et un taux d'échec élevé des projets de reboisement et de restauration. Les causes de cette défaillance généralisée sont multiples et comprennent aussi bien les conditions climatiques parfois défavorables, que des approches techniques non maîtrisées et non adaptées, des modalités de gestion et de suivi non rigoureuses et non transparentes, des oppositions des communautés locales, des défaillances d'honorer leurs engagements de la part de certaines entreprises en charge des travaux, ou des pratiques d'exploitation excessive comme le surpâturage</w:t>
      </w:r>
      <w:r w:rsidRPr="002462E6">
        <w:rPr>
          <w:rStyle w:val="Appelnotedebasdep"/>
          <w:rFonts w:ascii="Tahoma" w:hAnsi="Tahoma" w:cs="Tahoma"/>
          <w:sz w:val="24"/>
          <w:szCs w:val="24"/>
          <w:lang w:eastAsia="fr-FR"/>
        </w:rPr>
        <w:footnoteReference w:id="854"/>
      </w:r>
      <w:r w:rsidRPr="002462E6">
        <w:rPr>
          <w:rFonts w:ascii="Tahoma" w:hAnsi="Tahoma" w:cs="Tahoma"/>
          <w:sz w:val="24"/>
          <w:szCs w:val="24"/>
          <w:lang w:eastAsia="fr-FR"/>
        </w:rPr>
        <w:t>.</w:t>
      </w:r>
    </w:p>
    <w:p w:rsidR="00050F2D" w:rsidRPr="002462E6" w:rsidRDefault="00050F2D" w:rsidP="00F93C41">
      <w:pPr>
        <w:spacing w:before="100" w:beforeAutospacing="1" w:after="100" w:afterAutospacing="1" w:line="360" w:lineRule="auto"/>
        <w:jc w:val="both"/>
        <w:rPr>
          <w:rFonts w:ascii="Tahoma" w:hAnsi="Tahoma" w:cs="Tahoma"/>
          <w:sz w:val="24"/>
          <w:szCs w:val="24"/>
          <w:lang w:eastAsia="fr-FR"/>
        </w:rPr>
      </w:pPr>
      <w:r w:rsidRPr="002462E6">
        <w:rPr>
          <w:rFonts w:ascii="Tahoma" w:hAnsi="Tahoma" w:cs="Tahoma"/>
          <w:sz w:val="24"/>
          <w:szCs w:val="24"/>
          <w:lang w:eastAsia="fr-FR"/>
        </w:rPr>
        <w:t>Cette désarticulation entre politique et terrain révèle l'absence d'un processus global de développement qui se devrait d'être à la fois multidimensionnel et multisectoriel, articulé avec les autres politiques pastorales, agricoles, énergétiques, hydriques ainsi que pénales</w:t>
      </w:r>
      <w:r w:rsidRPr="002462E6">
        <w:rPr>
          <w:rStyle w:val="Appelnotedebasdep"/>
          <w:rFonts w:ascii="Tahoma" w:hAnsi="Tahoma" w:cs="Tahoma"/>
          <w:sz w:val="24"/>
          <w:szCs w:val="24"/>
          <w:lang w:eastAsia="fr-FR"/>
        </w:rPr>
        <w:footnoteReference w:id="855"/>
      </w:r>
      <w:r w:rsidR="00505C69" w:rsidRPr="002462E6">
        <w:rPr>
          <w:rFonts w:ascii="Tahoma" w:hAnsi="Tahoma" w:cs="Tahoma"/>
          <w:sz w:val="24"/>
          <w:szCs w:val="24"/>
          <w:lang w:eastAsia="fr-FR"/>
        </w:rPr>
        <w:t>.</w:t>
      </w:r>
    </w:p>
    <w:p w:rsidR="00050F2D" w:rsidRPr="002462E6" w:rsidRDefault="00050F2D" w:rsidP="00BF1F48">
      <w:pPr>
        <w:pStyle w:val="Titre5"/>
      </w:pPr>
      <w:bookmarkStart w:id="411" w:name="_Toc203643109"/>
      <w:r w:rsidRPr="002462E6">
        <w:t>Facteurs structurels profonds et systémiques : une analyse des déterminants latents</w:t>
      </w:r>
      <w:bookmarkEnd w:id="411"/>
    </w:p>
    <w:p w:rsidR="00050F2D" w:rsidRPr="002462E6" w:rsidRDefault="00050F2D" w:rsidP="00280B98">
      <w:pPr>
        <w:spacing w:line="360" w:lineRule="auto"/>
        <w:jc w:val="both"/>
        <w:rPr>
          <w:rFonts w:ascii="Tahoma" w:hAnsi="Tahoma" w:cs="Tahoma"/>
          <w:sz w:val="24"/>
          <w:szCs w:val="24"/>
        </w:rPr>
      </w:pPr>
      <w:r w:rsidRPr="002462E6">
        <w:rPr>
          <w:rFonts w:ascii="Tahoma" w:hAnsi="Tahoma" w:cs="Tahoma"/>
          <w:sz w:val="24"/>
          <w:szCs w:val="24"/>
        </w:rPr>
        <w:t>Au-delà des causes immédiates, la dégradation des forêts marocaines s'enracine dans des déterminants structurels plus profonds, qui relèvent d'une organisation territoriale déséquilibrée, d'un déficit de production de savoirs et d'une faible capacité d'adaptation institutionnelle face aux mutations climatiques</w:t>
      </w:r>
      <w:r w:rsidRPr="002462E6">
        <w:rPr>
          <w:rStyle w:val="Appelnotedebasdep"/>
          <w:rFonts w:ascii="Tahoma" w:hAnsi="Tahoma" w:cs="Tahoma"/>
          <w:sz w:val="24"/>
          <w:szCs w:val="24"/>
        </w:rPr>
        <w:footnoteReference w:id="856"/>
      </w:r>
      <w:r w:rsidRPr="002462E6">
        <w:rPr>
          <w:rFonts w:ascii="Tahoma" w:hAnsi="Tahoma" w:cs="Tahoma"/>
          <w:sz w:val="24"/>
          <w:szCs w:val="24"/>
        </w:rPr>
        <w:t>. Ces facteurs, bien que moins visibles dans leur manifestation immédiate, agissent de manière latente et systémique, créant un terreau favorable à l'amplification des déséquilibres environnementaux et à l'érosion progressive des capacités de résilience des écosystèmes forestiers. Cette approche structurelle s'impose pour comprendre les mécanismes profonds qui perpétuent les dynamiques de dégradation malgré les efforts répétés de restauration et de conservation</w:t>
      </w:r>
      <w:r w:rsidRPr="002462E6">
        <w:rPr>
          <w:rStyle w:val="Appelnotedebasdep"/>
          <w:rFonts w:ascii="Tahoma" w:hAnsi="Tahoma" w:cs="Tahoma"/>
          <w:sz w:val="24"/>
          <w:szCs w:val="24"/>
        </w:rPr>
        <w:footnoteReference w:id="857"/>
      </w:r>
      <w:r w:rsidR="00280B98" w:rsidRPr="002462E6">
        <w:rPr>
          <w:rFonts w:ascii="Tahoma" w:hAnsi="Tahoma" w:cs="Tahoma"/>
          <w:sz w:val="24"/>
          <w:szCs w:val="24"/>
        </w:rPr>
        <w:t>.</w:t>
      </w:r>
    </w:p>
    <w:p w:rsidR="00094374" w:rsidRPr="002462E6" w:rsidRDefault="005B3F00" w:rsidP="008D3838">
      <w:pPr>
        <w:pStyle w:val="Titre6"/>
        <w:numPr>
          <w:ilvl w:val="0"/>
          <w:numId w:val="51"/>
        </w:numPr>
      </w:pPr>
      <w:bookmarkStart w:id="412" w:name="_Toc203643110"/>
      <w:r w:rsidRPr="002462E6">
        <w:t xml:space="preserve">Le </w:t>
      </w:r>
      <w:r w:rsidR="002B500C" w:rsidRPr="002462E6">
        <w:t>S</w:t>
      </w:r>
      <w:r w:rsidR="00050F2D" w:rsidRPr="002462E6">
        <w:t>ous-développement rural comme moteur latent de la dégradation forestière</w:t>
      </w:r>
      <w:bookmarkEnd w:id="412"/>
    </w:p>
    <w:p w:rsidR="00280B98" w:rsidRPr="002462E6" w:rsidRDefault="00280B98" w:rsidP="00280B98">
      <w:pPr>
        <w:rPr>
          <w:lang w:eastAsia="fr-FR"/>
        </w:rPr>
      </w:pPr>
    </w:p>
    <w:p w:rsidR="00050F2D" w:rsidRPr="002462E6" w:rsidRDefault="00050F2D" w:rsidP="00050F2D">
      <w:pPr>
        <w:spacing w:line="360" w:lineRule="auto"/>
        <w:jc w:val="both"/>
        <w:rPr>
          <w:rFonts w:ascii="Tahoma" w:hAnsi="Tahoma" w:cs="Tahoma"/>
          <w:sz w:val="24"/>
          <w:szCs w:val="24"/>
        </w:rPr>
      </w:pPr>
      <w:r w:rsidRPr="002462E6">
        <w:rPr>
          <w:rFonts w:ascii="Tahoma" w:hAnsi="Tahoma" w:cs="Tahoma"/>
          <w:sz w:val="24"/>
          <w:szCs w:val="24"/>
        </w:rPr>
        <w:t>Le sous-développement structurel et persistant des espaces ruraux marocains constitue un déterminant central dans la pression exercée sur les écosystèmes forestiers. Dans de nombreuses zones montagneuses et forestières, l'insuffisance des infrastructures de base, l'accès limité aux services sociaux essentiels, ainsi que l'exclusion économique des populations rurales contribuent à une dépendance accrue de ces dernières vis-à-vis des ressources naturelles locales</w:t>
      </w:r>
      <w:r w:rsidRPr="002462E6">
        <w:rPr>
          <w:rStyle w:val="Appelnotedebasdep"/>
          <w:rFonts w:ascii="Tahoma" w:hAnsi="Tahoma" w:cs="Tahoma"/>
          <w:sz w:val="24"/>
          <w:szCs w:val="24"/>
        </w:rPr>
        <w:footnoteReference w:id="858"/>
      </w:r>
      <w:r w:rsidRPr="002462E6">
        <w:rPr>
          <w:rFonts w:ascii="Tahoma" w:hAnsi="Tahoma" w:cs="Tahoma"/>
          <w:sz w:val="24"/>
          <w:szCs w:val="24"/>
        </w:rPr>
        <w:t>. Cette dynamique se manifeste notamment à travers l'exploitation intensive des produits forestiers, tant ligneux que non ligneux, révélant un cercle vicieux entre pauvreté rurale et dégradation environnementale.</w:t>
      </w:r>
    </w:p>
    <w:p w:rsidR="00050F2D" w:rsidRPr="005979B4" w:rsidRDefault="00050F2D" w:rsidP="005979B4">
      <w:pPr>
        <w:spacing w:line="360" w:lineRule="auto"/>
        <w:jc w:val="both"/>
        <w:rPr>
          <w:rFonts w:ascii="Tahoma" w:hAnsi="Tahoma" w:cs="Tahoma"/>
          <w:sz w:val="24"/>
          <w:szCs w:val="24"/>
        </w:rPr>
      </w:pPr>
      <w:r w:rsidRPr="002462E6">
        <w:rPr>
          <w:rFonts w:ascii="Tahoma" w:hAnsi="Tahoma" w:cs="Tahoma"/>
          <w:sz w:val="24"/>
          <w:szCs w:val="24"/>
        </w:rPr>
        <w:t>Les zones forestières se situent généralement dans des régions rurales où les taux de pauvreté et de chômage demeurent relativement élevés</w:t>
      </w:r>
      <w:r w:rsidRPr="002462E6">
        <w:rPr>
          <w:rStyle w:val="Appelnotedebasdep"/>
          <w:rFonts w:ascii="Tahoma" w:hAnsi="Tahoma" w:cs="Tahoma"/>
          <w:sz w:val="24"/>
          <w:szCs w:val="24"/>
        </w:rPr>
        <w:footnoteReference w:id="859"/>
      </w:r>
      <w:r w:rsidRPr="002462E6">
        <w:rPr>
          <w:rFonts w:ascii="Tahoma" w:hAnsi="Tahoma" w:cs="Tahoma"/>
          <w:sz w:val="24"/>
          <w:szCs w:val="24"/>
        </w:rPr>
        <w:t>. L'absence d'opportunités économiques alternatives pousse les populations locales vers une exploitation accrue des ressources forestières, augmentant ainsi les risques de surexploitation</w:t>
      </w:r>
      <w:r w:rsidRPr="002462E6">
        <w:rPr>
          <w:rStyle w:val="Appelnotedebasdep"/>
          <w:rFonts w:ascii="Tahoma" w:hAnsi="Tahoma" w:cs="Tahoma"/>
          <w:sz w:val="24"/>
          <w:szCs w:val="24"/>
        </w:rPr>
        <w:footnoteReference w:id="860"/>
      </w:r>
      <w:r w:rsidRPr="002462E6">
        <w:rPr>
          <w:rFonts w:ascii="Tahoma" w:hAnsi="Tahoma" w:cs="Tahoma"/>
          <w:sz w:val="24"/>
          <w:szCs w:val="24"/>
        </w:rPr>
        <w:t>. Cette situation est particulièrement préoccupante dans la mesure où elle s'inscrit dans une temporalité longue, où l'utilisation des ressources forestières par les communautés rurales pour répondre à leurs besoins quotidiens entre en conflit avec les efforts de conservation à long terme</w:t>
      </w:r>
      <w:r w:rsidRPr="002462E6">
        <w:rPr>
          <w:rStyle w:val="Appelnotedebasdep"/>
          <w:rFonts w:ascii="Tahoma" w:hAnsi="Tahoma" w:cs="Tahoma"/>
          <w:sz w:val="24"/>
          <w:szCs w:val="24"/>
        </w:rPr>
        <w:footnoteReference w:id="861"/>
      </w:r>
      <w:r w:rsidR="005979B4">
        <w:rPr>
          <w:rFonts w:ascii="Tahoma" w:hAnsi="Tahoma" w:cs="Tahoma"/>
          <w:sz w:val="24"/>
          <w:szCs w:val="24"/>
        </w:rPr>
        <w:t>.</w:t>
      </w:r>
    </w:p>
    <w:p w:rsidR="00050F2D" w:rsidRPr="005979B4" w:rsidRDefault="00050F2D" w:rsidP="005979B4">
      <w:pPr>
        <w:spacing w:line="360" w:lineRule="auto"/>
        <w:jc w:val="both"/>
        <w:rPr>
          <w:rFonts w:ascii="Tahoma" w:hAnsi="Tahoma" w:cs="Tahoma"/>
          <w:sz w:val="24"/>
          <w:szCs w:val="24"/>
        </w:rPr>
      </w:pPr>
      <w:r w:rsidRPr="002462E6">
        <w:rPr>
          <w:rFonts w:ascii="Tahoma" w:hAnsi="Tahoma" w:cs="Tahoma"/>
          <w:sz w:val="24"/>
          <w:szCs w:val="24"/>
        </w:rPr>
        <w:t>La forte dépendance des populations rurales vis-à-vis des ressources forestières, exacerbée par l'absence d'alternatives économiques durables, conduit à des pratiques d'exploitation qui excèdent fréquemment les capacités naturelles de régénération des écosystèmes. Les prélèvements intensifs de bois de feu et le pacage incontrôlé ne sauraient être interprétés comme de simples réponses aux contraintes de la survie quotidienne ; ils révèlent, plus fondamentalement, l'inadéquation des politiques publiques en matière d'aménagement du te</w:t>
      </w:r>
      <w:r w:rsidR="005979B4">
        <w:rPr>
          <w:rFonts w:ascii="Tahoma" w:hAnsi="Tahoma" w:cs="Tahoma"/>
          <w:sz w:val="24"/>
          <w:szCs w:val="24"/>
        </w:rPr>
        <w:t>rritoire et de justice sociale.</w:t>
      </w:r>
    </w:p>
    <w:p w:rsidR="00050F2D" w:rsidRPr="005979B4" w:rsidRDefault="00050F2D" w:rsidP="005979B4">
      <w:pPr>
        <w:spacing w:line="360" w:lineRule="auto"/>
        <w:jc w:val="both"/>
        <w:rPr>
          <w:rFonts w:ascii="Tahoma" w:hAnsi="Tahoma" w:cs="Tahoma"/>
          <w:sz w:val="24"/>
          <w:szCs w:val="24"/>
        </w:rPr>
      </w:pPr>
      <w:r w:rsidRPr="002462E6">
        <w:rPr>
          <w:rFonts w:ascii="Tahoma" w:hAnsi="Tahoma" w:cs="Tahoma"/>
          <w:sz w:val="24"/>
          <w:szCs w:val="24"/>
        </w:rPr>
        <w:t>Cette inadéquation se manifeste particulièrement dans la persistance de droits d'usage traditionnels dont l'exercice, bien qu'encadré par des régulations, contribue progressivement à la dégradation des forêts et à l'épuisement des ressources à cause des pratiques illicites</w:t>
      </w:r>
      <w:r w:rsidRPr="002462E6">
        <w:rPr>
          <w:rStyle w:val="Appelnotedebasdep"/>
          <w:rFonts w:ascii="Tahoma" w:hAnsi="Tahoma" w:cs="Tahoma"/>
          <w:sz w:val="24"/>
          <w:szCs w:val="24"/>
        </w:rPr>
        <w:footnoteReference w:id="862"/>
      </w:r>
      <w:r w:rsidRPr="002462E6">
        <w:rPr>
          <w:rFonts w:ascii="Tahoma" w:hAnsi="Tahoma" w:cs="Tahoma"/>
          <w:sz w:val="24"/>
          <w:szCs w:val="24"/>
        </w:rPr>
        <w:t>. Le développement d'alternatives économiques durables et viables pour ces communautés s'avère crucial afin de réduire la dépendance vis-à-vis des forêts et d'assurer un avenir plus équilibré pour ces écosystèmes et les populations qui en dépendent</w:t>
      </w:r>
      <w:r w:rsidRPr="002462E6">
        <w:rPr>
          <w:rStyle w:val="Appelnotedebasdep"/>
          <w:rFonts w:ascii="Tahoma" w:hAnsi="Tahoma" w:cs="Tahoma"/>
          <w:sz w:val="24"/>
          <w:szCs w:val="24"/>
        </w:rPr>
        <w:footnoteReference w:id="863"/>
      </w:r>
      <w:r w:rsidR="005979B4">
        <w:rPr>
          <w:rFonts w:ascii="Tahoma" w:hAnsi="Tahoma" w:cs="Tahoma"/>
          <w:sz w:val="24"/>
          <w:szCs w:val="24"/>
        </w:rPr>
        <w:t>.</w:t>
      </w:r>
    </w:p>
    <w:p w:rsidR="00050F2D" w:rsidRPr="005979B4" w:rsidRDefault="00050F2D" w:rsidP="005979B4">
      <w:pPr>
        <w:spacing w:line="360" w:lineRule="auto"/>
        <w:jc w:val="both"/>
        <w:rPr>
          <w:rFonts w:ascii="Tahoma" w:hAnsi="Tahoma" w:cs="Tahoma"/>
          <w:sz w:val="24"/>
          <w:szCs w:val="24"/>
        </w:rPr>
      </w:pPr>
      <w:r w:rsidRPr="002462E6">
        <w:rPr>
          <w:rFonts w:ascii="Tahoma" w:hAnsi="Tahoma" w:cs="Tahoma"/>
          <w:sz w:val="24"/>
          <w:szCs w:val="24"/>
        </w:rPr>
        <w:t>Ce déficit en dispositifs d'intégration territoriale renforce la précarité des populations locales, les enfermant dans une logique extractive à court terme. Dès lors, tant que les besoins socio-économiques fondamentaux des communautés rurales ne seront pas pris en compte dans le cadre de stratégies de développement endogène, équitable et durable, toute tentative de conservation des espaces forestiers restera marginale, voire illusoire, face à l'urgence</w:t>
      </w:r>
      <w:r w:rsidR="005979B4">
        <w:rPr>
          <w:rFonts w:ascii="Tahoma" w:hAnsi="Tahoma" w:cs="Tahoma"/>
          <w:sz w:val="24"/>
          <w:szCs w:val="24"/>
        </w:rPr>
        <w:t xml:space="preserve"> des impératifs de subsistance.</w:t>
      </w:r>
    </w:p>
    <w:p w:rsidR="00050F2D" w:rsidRPr="002462E6" w:rsidRDefault="007F006B" w:rsidP="008D3838">
      <w:pPr>
        <w:pStyle w:val="Titre6"/>
      </w:pPr>
      <w:bookmarkStart w:id="413" w:name="_Toc203643111"/>
      <w:r w:rsidRPr="002462E6">
        <w:t>L’a</w:t>
      </w:r>
      <w:r w:rsidR="00050F2D" w:rsidRPr="002462E6">
        <w:t>bsence d’un réseau national de recherche et d’innovation forestière</w:t>
      </w:r>
      <w:bookmarkEnd w:id="413"/>
    </w:p>
    <w:p w:rsidR="00050F2D" w:rsidRPr="005979B4" w:rsidRDefault="00050F2D" w:rsidP="00050F2D">
      <w:pPr>
        <w:spacing w:line="360" w:lineRule="auto"/>
        <w:rPr>
          <w:rFonts w:ascii="Tahoma" w:hAnsi="Tahoma" w:cs="Tahoma"/>
          <w:sz w:val="4"/>
          <w:szCs w:val="4"/>
        </w:rPr>
      </w:pPr>
    </w:p>
    <w:p w:rsidR="007F006B" w:rsidRPr="002462E6" w:rsidRDefault="007F006B" w:rsidP="007F006B">
      <w:pPr>
        <w:spacing w:line="360" w:lineRule="auto"/>
        <w:jc w:val="both"/>
        <w:rPr>
          <w:rFonts w:ascii="Tahoma" w:hAnsi="Tahoma" w:cs="Tahoma"/>
          <w:sz w:val="24"/>
          <w:szCs w:val="24"/>
        </w:rPr>
      </w:pPr>
      <w:r w:rsidRPr="002462E6">
        <w:rPr>
          <w:rFonts w:ascii="Tahoma" w:hAnsi="Tahoma" w:cs="Tahoma"/>
          <w:sz w:val="24"/>
          <w:szCs w:val="24"/>
        </w:rPr>
        <w:t>Un autre facteur structurel fondamental qui contribue à la vulnérabilité des écosystèmes forestiers marocains réside dans le déficit significatif de la recherche scientifique dédiée à leur étude et à leur gestion</w:t>
      </w:r>
      <w:r w:rsidRPr="002462E6">
        <w:rPr>
          <w:rFonts w:ascii="Tahoma" w:hAnsi="Tahoma" w:cs="Tahoma"/>
          <w:sz w:val="24"/>
          <w:szCs w:val="24"/>
          <w:vertAlign w:val="superscript"/>
        </w:rPr>
        <w:footnoteReference w:id="864"/>
      </w:r>
      <w:r w:rsidRPr="002462E6">
        <w:rPr>
          <w:rFonts w:ascii="Tahoma" w:hAnsi="Tahoma" w:cs="Tahoma"/>
          <w:sz w:val="24"/>
          <w:szCs w:val="24"/>
        </w:rPr>
        <w:t>. Contrairement à d'autres secteurs tels que l'agriculture, l'hydraulique ou l'urbanisme, où des institutions universitaires et des centres de recherche bénéficient d'un soutien institutionnel et financier conséquent, les problématiques forestières souffrent d'un manque d'investissement ciblé et d'une structuration encore embryonnaire.</w:t>
      </w:r>
    </w:p>
    <w:p w:rsidR="00050F2D" w:rsidRPr="005979B4" w:rsidRDefault="00050F2D" w:rsidP="005979B4">
      <w:pPr>
        <w:spacing w:line="360" w:lineRule="auto"/>
        <w:jc w:val="both"/>
        <w:rPr>
          <w:rFonts w:ascii="Tahoma" w:hAnsi="Tahoma" w:cs="Tahoma"/>
          <w:sz w:val="24"/>
          <w:szCs w:val="24"/>
        </w:rPr>
      </w:pPr>
      <w:r w:rsidRPr="002462E6">
        <w:rPr>
          <w:rFonts w:ascii="Tahoma" w:hAnsi="Tahoma" w:cs="Tahoma"/>
          <w:sz w:val="24"/>
          <w:szCs w:val="24"/>
        </w:rPr>
        <w:t>Cette carence se manifeste concrètement par l'insuffisance d'études sur la vulnérabilité aux impacts du changement climatique des essences forestières et des écosystèmes dans différentes régions biogéographiques du Maroc, limitant la capacité d'adaptation face aux menaces émergentes</w:t>
      </w:r>
      <w:r w:rsidRPr="002462E6">
        <w:rPr>
          <w:rStyle w:val="Appelnotedebasdep"/>
          <w:rFonts w:ascii="Tahoma" w:hAnsi="Tahoma" w:cs="Tahoma"/>
          <w:sz w:val="24"/>
          <w:szCs w:val="24"/>
        </w:rPr>
        <w:footnoteReference w:id="865"/>
      </w:r>
      <w:r w:rsidRPr="002462E6">
        <w:rPr>
          <w:rFonts w:ascii="Tahoma" w:hAnsi="Tahoma" w:cs="Tahoma"/>
          <w:sz w:val="24"/>
          <w:szCs w:val="24"/>
        </w:rPr>
        <w:t>. L'absence d'une plateforme dédiée servant d'interface entre la recherche et la gestion forestière empêche une intégration fluide des connaissances dans les politiques et pratiques</w:t>
      </w:r>
      <w:r w:rsidRPr="002462E6">
        <w:rPr>
          <w:rStyle w:val="Appelnotedebasdep"/>
          <w:rFonts w:ascii="Tahoma" w:hAnsi="Tahoma" w:cs="Tahoma"/>
          <w:sz w:val="24"/>
          <w:szCs w:val="24"/>
        </w:rPr>
        <w:footnoteReference w:id="866"/>
      </w:r>
      <w:r w:rsidR="005979B4">
        <w:rPr>
          <w:rFonts w:ascii="Tahoma" w:hAnsi="Tahoma" w:cs="Tahoma"/>
          <w:sz w:val="24"/>
          <w:szCs w:val="24"/>
        </w:rPr>
        <w:t>.</w:t>
      </w:r>
    </w:p>
    <w:p w:rsidR="00050F2D" w:rsidRPr="002462E6" w:rsidRDefault="00050F2D" w:rsidP="00603278">
      <w:pPr>
        <w:spacing w:line="360" w:lineRule="auto"/>
        <w:jc w:val="both"/>
        <w:rPr>
          <w:rFonts w:ascii="Tahoma" w:hAnsi="Tahoma" w:cs="Tahoma"/>
          <w:sz w:val="24"/>
          <w:szCs w:val="24"/>
        </w:rPr>
      </w:pPr>
      <w:r w:rsidRPr="002462E6">
        <w:rPr>
          <w:rFonts w:ascii="Tahoma" w:hAnsi="Tahoma" w:cs="Tahoma"/>
          <w:sz w:val="24"/>
          <w:szCs w:val="24"/>
        </w:rPr>
        <w:t>L'insuffisance de recherches intégrées limite la capacité à élaborer des modèles prédictifs fiables des risques liés au changement climatique, aux pressions anthropiques et aux dynamiques naturelles propres aux forêts marocaines. Ce décalage entre la recherche et la gestion sur le terrain entraîne souvent des pratiques inadaptées aux réalités écologiques locales</w:t>
      </w:r>
      <w:r w:rsidRPr="002462E6">
        <w:rPr>
          <w:rStyle w:val="Appelnotedebasdep"/>
          <w:rFonts w:ascii="Tahoma" w:hAnsi="Tahoma" w:cs="Tahoma"/>
          <w:sz w:val="24"/>
          <w:szCs w:val="24"/>
        </w:rPr>
        <w:footnoteReference w:id="867"/>
      </w:r>
      <w:r w:rsidRPr="002462E6">
        <w:rPr>
          <w:rFonts w:ascii="Tahoma" w:hAnsi="Tahoma" w:cs="Tahoma"/>
          <w:sz w:val="24"/>
          <w:szCs w:val="24"/>
        </w:rPr>
        <w:t>. Le manque de mécanismes efficaces pour transférer les résultats de la recherche aux gestionnaires forestiers et aux décideurs handicape l'utilisation optimale des connaissances disponibles, aussi limitées qu'elles soient</w:t>
      </w:r>
      <w:r w:rsidRPr="002462E6">
        <w:rPr>
          <w:rStyle w:val="Appelnotedebasdep"/>
          <w:rFonts w:ascii="Tahoma" w:hAnsi="Tahoma" w:cs="Tahoma"/>
          <w:sz w:val="24"/>
          <w:szCs w:val="24"/>
        </w:rPr>
        <w:footnoteReference w:id="868"/>
      </w:r>
      <w:r w:rsidR="00603278" w:rsidRPr="002462E6">
        <w:rPr>
          <w:rFonts w:ascii="Tahoma" w:hAnsi="Tahoma" w:cs="Tahoma"/>
          <w:sz w:val="24"/>
          <w:szCs w:val="24"/>
        </w:rPr>
        <w:t>.</w:t>
      </w:r>
    </w:p>
    <w:p w:rsidR="00050F2D" w:rsidRPr="002462E6" w:rsidRDefault="00050F2D" w:rsidP="00603278">
      <w:pPr>
        <w:spacing w:line="360" w:lineRule="auto"/>
        <w:jc w:val="both"/>
        <w:rPr>
          <w:rFonts w:ascii="Tahoma" w:hAnsi="Tahoma" w:cs="Tahoma"/>
          <w:sz w:val="24"/>
          <w:szCs w:val="24"/>
        </w:rPr>
      </w:pPr>
      <w:r w:rsidRPr="002462E6">
        <w:rPr>
          <w:rFonts w:ascii="Tahoma" w:hAnsi="Tahoma" w:cs="Tahoma"/>
          <w:sz w:val="24"/>
          <w:szCs w:val="24"/>
        </w:rPr>
        <w:t>L'absence de ce "courtage de connaissances" entrave l'échange de savoirs entre chercheurs, décideurs politiques et praticiens</w:t>
      </w:r>
      <w:r w:rsidRPr="002462E6">
        <w:rPr>
          <w:rStyle w:val="Appelnotedebasdep"/>
          <w:rFonts w:ascii="Tahoma" w:hAnsi="Tahoma" w:cs="Tahoma"/>
          <w:sz w:val="24"/>
          <w:szCs w:val="24"/>
        </w:rPr>
        <w:footnoteReference w:id="869"/>
      </w:r>
      <w:r w:rsidRPr="002462E6">
        <w:rPr>
          <w:rFonts w:ascii="Tahoma" w:hAnsi="Tahoma" w:cs="Tahoma"/>
          <w:sz w:val="24"/>
          <w:szCs w:val="24"/>
        </w:rPr>
        <w:t>. Cette rupture entre la recherche académique, les savoirs traditionnels locaux et les pratiques opérationnelles se traduit par une gestion forestière fragmentée, souvent inefficace et peu durable. Ce déficit institutionnel et scientifique a également pour effet d'entraver le développement et la diffusion de stratégies innovantes de restauration écologique, particulièrement adaptées aux spécificités éco-régionales, telles que la restauration des sols dégradés, la réhabilitation des corridors biologiques ou la reforestation avec des espèces autochtones résistantes aux aléas climatiques. L'évaluation des programmes forestiers, souvent réalisée en interne sans système de suivi indépendant, réduit la capacité à obtenir des données fiables pour évaluer l'état des écosystèmes et l'efficacité des interventions menées antérieurement</w:t>
      </w:r>
      <w:r w:rsidRPr="002462E6">
        <w:rPr>
          <w:rStyle w:val="Appelnotedebasdep"/>
          <w:rFonts w:ascii="Tahoma" w:hAnsi="Tahoma" w:cs="Tahoma"/>
          <w:sz w:val="24"/>
          <w:szCs w:val="24"/>
        </w:rPr>
        <w:footnoteReference w:id="870"/>
      </w:r>
      <w:r w:rsidR="00603278" w:rsidRPr="002462E6">
        <w:rPr>
          <w:rFonts w:ascii="Tahoma" w:hAnsi="Tahoma" w:cs="Tahoma"/>
          <w:sz w:val="24"/>
          <w:szCs w:val="24"/>
        </w:rPr>
        <w:t>.</w:t>
      </w:r>
    </w:p>
    <w:p w:rsidR="00050F2D" w:rsidRPr="002462E6" w:rsidRDefault="00050F2D" w:rsidP="00603278">
      <w:pPr>
        <w:spacing w:line="360" w:lineRule="auto"/>
        <w:jc w:val="both"/>
        <w:rPr>
          <w:rFonts w:ascii="Tahoma" w:hAnsi="Tahoma" w:cs="Tahoma"/>
          <w:sz w:val="24"/>
          <w:szCs w:val="24"/>
        </w:rPr>
      </w:pPr>
      <w:r w:rsidRPr="002462E6">
        <w:rPr>
          <w:rFonts w:ascii="Tahoma" w:hAnsi="Tahoma" w:cs="Tahoma"/>
          <w:sz w:val="24"/>
          <w:szCs w:val="24"/>
        </w:rPr>
        <w:t>Cette lacune scientifique participe également à un déficit de gouvernance territoriale intégrée. En effet, sans une base de connaissances solides et actualisées, les décideurs publics se trouvent dans l'impossibilité d'élaborer des politiques cohérentes, inclusives et fondées sur une approche écosystémique. Le manque de données complètes, précises et fiables et d'outils d'aide à la décision pour anticiper les risques climatiques, tels que des systèmes d'alerte précoce ou des modélisations climatiques, complique la planification à long terme et expose les écosystèmes forestiers à des impacts plus sévères</w:t>
      </w:r>
      <w:r w:rsidRPr="002462E6">
        <w:rPr>
          <w:rStyle w:val="Appelnotedebasdep"/>
          <w:rFonts w:ascii="Tahoma" w:hAnsi="Tahoma" w:cs="Tahoma"/>
          <w:sz w:val="24"/>
          <w:szCs w:val="24"/>
        </w:rPr>
        <w:footnoteReference w:id="871"/>
      </w:r>
      <w:r w:rsidR="00603278" w:rsidRPr="002462E6">
        <w:rPr>
          <w:rFonts w:ascii="Tahoma" w:hAnsi="Tahoma" w:cs="Tahoma"/>
          <w:sz w:val="24"/>
          <w:szCs w:val="24"/>
        </w:rPr>
        <w:t>.</w:t>
      </w:r>
    </w:p>
    <w:p w:rsidR="00050F2D" w:rsidRPr="002462E6" w:rsidRDefault="00050F2D" w:rsidP="004242A6">
      <w:pPr>
        <w:spacing w:line="360" w:lineRule="auto"/>
        <w:jc w:val="both"/>
        <w:rPr>
          <w:rFonts w:ascii="Tahoma" w:hAnsi="Tahoma" w:cs="Tahoma"/>
          <w:sz w:val="24"/>
          <w:szCs w:val="24"/>
        </w:rPr>
      </w:pPr>
      <w:r w:rsidRPr="002462E6">
        <w:rPr>
          <w:rFonts w:ascii="Tahoma" w:hAnsi="Tahoma" w:cs="Tahoma"/>
          <w:sz w:val="24"/>
          <w:szCs w:val="24"/>
        </w:rPr>
        <w:t>Ainsi, la préservation et la valorisation durable des forêts marocaines ne peuvent être envisagées qu'à travers le renforcement de la recherche multidisciplinaire, la structuration d'un réseau scientifique national et la promotion d'une collaboration effective entre les différents acteurs concernés</w:t>
      </w:r>
      <w:r w:rsidRPr="002462E6">
        <w:rPr>
          <w:rStyle w:val="Appelnotedebasdep"/>
          <w:rFonts w:ascii="Tahoma" w:hAnsi="Tahoma" w:cs="Tahoma"/>
          <w:sz w:val="24"/>
          <w:szCs w:val="24"/>
        </w:rPr>
        <w:footnoteReference w:id="872"/>
      </w:r>
      <w:r w:rsidRPr="002462E6">
        <w:rPr>
          <w:rFonts w:ascii="Tahoma" w:hAnsi="Tahoma" w:cs="Tahoma"/>
          <w:sz w:val="24"/>
          <w:szCs w:val="24"/>
        </w:rPr>
        <w:t>.</w:t>
      </w:r>
    </w:p>
    <w:p w:rsidR="00050F2D" w:rsidRPr="002462E6" w:rsidRDefault="00603278" w:rsidP="008D3838">
      <w:pPr>
        <w:pStyle w:val="Titre6"/>
      </w:pPr>
      <w:bookmarkStart w:id="414" w:name="_Toc203643112"/>
      <w:r w:rsidRPr="002462E6">
        <w:t>L’i</w:t>
      </w:r>
      <w:r w:rsidR="00050F2D" w:rsidRPr="002462E6">
        <w:t>mpact croissant du changement climatique : une menace systémique aux équilibres écologiques</w:t>
      </w:r>
      <w:bookmarkEnd w:id="414"/>
    </w:p>
    <w:p w:rsidR="00050F2D" w:rsidRPr="002462E6" w:rsidRDefault="00050F2D" w:rsidP="00050F2D">
      <w:pPr>
        <w:spacing w:line="360" w:lineRule="auto"/>
        <w:rPr>
          <w:rFonts w:ascii="Tahoma" w:hAnsi="Tahoma" w:cs="Tahoma"/>
          <w:sz w:val="24"/>
          <w:szCs w:val="24"/>
        </w:rPr>
      </w:pPr>
    </w:p>
    <w:p w:rsidR="00050F2D" w:rsidRPr="002462E6" w:rsidRDefault="00050F2D" w:rsidP="00603278">
      <w:pPr>
        <w:spacing w:line="360" w:lineRule="auto"/>
        <w:jc w:val="both"/>
        <w:rPr>
          <w:rFonts w:ascii="Tahoma" w:hAnsi="Tahoma" w:cs="Tahoma"/>
          <w:sz w:val="24"/>
          <w:szCs w:val="24"/>
        </w:rPr>
      </w:pPr>
      <w:r w:rsidRPr="002462E6">
        <w:rPr>
          <w:rFonts w:ascii="Tahoma" w:hAnsi="Tahoma" w:cs="Tahoma"/>
          <w:sz w:val="24"/>
          <w:szCs w:val="24"/>
        </w:rPr>
        <w:t>Le changement climatique agit comme un facteur aggravant des vulnérabilités déjà existantes, constituant une menace systémique pour la pérennité des écosystèmes forestiers marocains</w:t>
      </w:r>
      <w:r w:rsidRPr="002462E6">
        <w:rPr>
          <w:rStyle w:val="Appelnotedebasdep"/>
          <w:rFonts w:ascii="Tahoma" w:hAnsi="Tahoma" w:cs="Tahoma"/>
          <w:sz w:val="24"/>
          <w:szCs w:val="24"/>
        </w:rPr>
        <w:footnoteReference w:id="873"/>
      </w:r>
      <w:r w:rsidRPr="002462E6">
        <w:rPr>
          <w:rFonts w:ascii="Tahoma" w:hAnsi="Tahoma" w:cs="Tahoma"/>
          <w:sz w:val="24"/>
          <w:szCs w:val="24"/>
        </w:rPr>
        <w:t>. L'intensification des sécheresses récurrentes et la réduction des précipitations ont gravement perturbé le cycle hydrologique des écosystèmes forestiers, compromettant leur pérennité</w:t>
      </w:r>
      <w:r w:rsidRPr="002462E6">
        <w:rPr>
          <w:rStyle w:val="Appelnotedebasdep"/>
          <w:rFonts w:ascii="Tahoma" w:hAnsi="Tahoma" w:cs="Tahoma"/>
          <w:sz w:val="24"/>
          <w:szCs w:val="24"/>
        </w:rPr>
        <w:footnoteReference w:id="874"/>
      </w:r>
      <w:r w:rsidRPr="002462E6">
        <w:rPr>
          <w:rFonts w:ascii="Tahoma" w:hAnsi="Tahoma" w:cs="Tahoma"/>
          <w:sz w:val="24"/>
          <w:szCs w:val="24"/>
        </w:rPr>
        <w:t>. Les forêts marocaines, déjà fragilisées par les pressions anthropiques, peinent désormais à se régénérer naturellement, une difficulté exacerbée par la fréquence des sécheresses et le manque d'eau persistant</w:t>
      </w:r>
      <w:r w:rsidRPr="002462E6">
        <w:rPr>
          <w:rStyle w:val="Appelnotedebasdep"/>
          <w:rFonts w:ascii="Tahoma" w:hAnsi="Tahoma" w:cs="Tahoma"/>
          <w:sz w:val="24"/>
          <w:szCs w:val="24"/>
        </w:rPr>
        <w:footnoteReference w:id="875"/>
      </w:r>
      <w:r w:rsidR="00603278" w:rsidRPr="002462E6">
        <w:rPr>
          <w:rFonts w:ascii="Tahoma" w:hAnsi="Tahoma" w:cs="Tahoma"/>
          <w:sz w:val="24"/>
          <w:szCs w:val="24"/>
        </w:rPr>
        <w:t>.</w:t>
      </w:r>
    </w:p>
    <w:p w:rsidR="00050F2D" w:rsidRPr="002462E6" w:rsidRDefault="00050F2D" w:rsidP="002B500C">
      <w:pPr>
        <w:spacing w:line="360" w:lineRule="auto"/>
        <w:jc w:val="both"/>
        <w:rPr>
          <w:rFonts w:ascii="Tahoma" w:hAnsi="Tahoma" w:cs="Tahoma"/>
          <w:sz w:val="24"/>
          <w:szCs w:val="24"/>
        </w:rPr>
      </w:pPr>
      <w:r w:rsidRPr="002462E6">
        <w:rPr>
          <w:rFonts w:ascii="Tahoma" w:hAnsi="Tahoma" w:cs="Tahoma"/>
          <w:sz w:val="24"/>
          <w:szCs w:val="24"/>
        </w:rPr>
        <w:t>L'irrégularité croissante des régimes pluviométriques et l'élévation progressive des températures compromettent gravement la régénération naturelle des forêts marocaines. Les espèces forestières autochtones - telles que le cèdre de l'Atlas, les genévriers, l'arganier et le thuya, pourtant réputées pour leur résilience - subissent un stress hydrique de plus en plus sévère, fragilisant leur résistance face aux pathogènes et aux incendies</w:t>
      </w:r>
      <w:r w:rsidRPr="002462E6">
        <w:rPr>
          <w:rStyle w:val="Appelnotedebasdep"/>
          <w:rFonts w:ascii="Tahoma" w:hAnsi="Tahoma" w:cs="Tahoma"/>
          <w:sz w:val="24"/>
          <w:szCs w:val="24"/>
        </w:rPr>
        <w:footnoteReference w:id="876"/>
      </w:r>
      <w:r w:rsidRPr="002462E6">
        <w:rPr>
          <w:rFonts w:ascii="Tahoma" w:hAnsi="Tahoma" w:cs="Tahoma"/>
          <w:sz w:val="24"/>
          <w:szCs w:val="24"/>
        </w:rPr>
        <w:t>. Ces espèces endémiques, essentielles à l'équilibre des écosystèmes, subissent les conséquences directes de la baisse des précipitations et de l'augmentation des températures</w:t>
      </w:r>
      <w:r w:rsidRPr="002462E6">
        <w:rPr>
          <w:rStyle w:val="Appelnotedebasdep"/>
          <w:rFonts w:ascii="Tahoma" w:hAnsi="Tahoma" w:cs="Tahoma"/>
          <w:sz w:val="24"/>
          <w:szCs w:val="24"/>
        </w:rPr>
        <w:footnoteReference w:id="877"/>
      </w:r>
      <w:r w:rsidR="002B500C" w:rsidRPr="002462E6">
        <w:rPr>
          <w:rFonts w:ascii="Tahoma" w:hAnsi="Tahoma" w:cs="Tahoma"/>
          <w:sz w:val="24"/>
          <w:szCs w:val="24"/>
        </w:rPr>
        <w:t>.</w:t>
      </w:r>
    </w:p>
    <w:p w:rsidR="00050F2D" w:rsidRPr="002462E6" w:rsidRDefault="00050F2D" w:rsidP="00050F2D">
      <w:pPr>
        <w:spacing w:line="360" w:lineRule="auto"/>
        <w:jc w:val="both"/>
        <w:rPr>
          <w:rFonts w:ascii="Tahoma" w:hAnsi="Tahoma" w:cs="Tahoma"/>
          <w:sz w:val="24"/>
          <w:szCs w:val="24"/>
        </w:rPr>
      </w:pPr>
      <w:r w:rsidRPr="002462E6">
        <w:rPr>
          <w:rFonts w:ascii="Tahoma" w:hAnsi="Tahoma" w:cs="Tahoma"/>
          <w:sz w:val="24"/>
          <w:szCs w:val="24"/>
        </w:rPr>
        <w:t>Les altérations du régime de précipitations et les températures élevées, provoquées par le réchauffement climatique, influencent non seulement la productivité, mais aussi l'étendue géographique des forêts</w:t>
      </w:r>
      <w:r w:rsidRPr="002462E6">
        <w:rPr>
          <w:rStyle w:val="Appelnotedebasdep"/>
          <w:rFonts w:ascii="Tahoma" w:hAnsi="Tahoma" w:cs="Tahoma"/>
          <w:sz w:val="24"/>
          <w:szCs w:val="24"/>
        </w:rPr>
        <w:footnoteReference w:id="878"/>
      </w:r>
      <w:r w:rsidRPr="002462E6">
        <w:rPr>
          <w:rFonts w:ascii="Tahoma" w:hAnsi="Tahoma" w:cs="Tahoma"/>
          <w:sz w:val="24"/>
          <w:szCs w:val="24"/>
        </w:rPr>
        <w:t>. Ce phénomène fragilise la santé des forêts dans de nombreuses régions du pays, entraînant des conséquences graves comme les incendies de forêt, les infestations d'insectes ravageurs et la perte accélérée de biodiversité</w:t>
      </w:r>
      <w:r w:rsidRPr="002462E6">
        <w:rPr>
          <w:rStyle w:val="Appelnotedebasdep"/>
          <w:rFonts w:ascii="Tahoma" w:hAnsi="Tahoma" w:cs="Tahoma"/>
          <w:sz w:val="24"/>
          <w:szCs w:val="24"/>
        </w:rPr>
        <w:footnoteReference w:id="879"/>
      </w:r>
      <w:r w:rsidRPr="002462E6">
        <w:rPr>
          <w:rFonts w:ascii="Tahoma" w:hAnsi="Tahoma" w:cs="Tahoma"/>
          <w:sz w:val="24"/>
          <w:szCs w:val="24"/>
        </w:rPr>
        <w:t>.</w:t>
      </w:r>
    </w:p>
    <w:p w:rsidR="00050F2D" w:rsidRPr="002462E6" w:rsidRDefault="00050F2D" w:rsidP="004B7827">
      <w:pPr>
        <w:spacing w:line="360" w:lineRule="auto"/>
        <w:jc w:val="both"/>
        <w:rPr>
          <w:rFonts w:ascii="Tahoma" w:hAnsi="Tahoma" w:cs="Tahoma"/>
          <w:sz w:val="24"/>
          <w:szCs w:val="24"/>
        </w:rPr>
      </w:pPr>
      <w:r w:rsidRPr="002462E6">
        <w:rPr>
          <w:rFonts w:ascii="Tahoma" w:hAnsi="Tahoma" w:cs="Tahoma"/>
          <w:sz w:val="24"/>
          <w:szCs w:val="24"/>
        </w:rPr>
        <w:t>De plus, les conditions climatiques extrêmes altèrent profondément la capacité des sols à retenir l'eau, provoquant leur érosion et leur appauvrissement nutritionnel. Les tempêtes violentes, liées au changement climatique, provoquent des glissements de terrain et une érosion accrue des sols, compromettant ainsi la capacité des forêts à remplir leurs fonctions écologiques, telles que la protection des bassins versants</w:t>
      </w:r>
      <w:r w:rsidRPr="002462E6">
        <w:rPr>
          <w:rStyle w:val="Appelnotedebasdep"/>
          <w:rFonts w:ascii="Tahoma" w:hAnsi="Tahoma" w:cs="Tahoma"/>
          <w:sz w:val="24"/>
          <w:szCs w:val="24"/>
        </w:rPr>
        <w:footnoteReference w:id="880"/>
      </w:r>
      <w:r w:rsidRPr="002462E6">
        <w:rPr>
          <w:rFonts w:ascii="Tahoma" w:hAnsi="Tahoma" w:cs="Tahoma"/>
          <w:sz w:val="24"/>
          <w:szCs w:val="24"/>
        </w:rPr>
        <w:t>⁸. Cette situation accentue la dégradation des sols, rendant les forêts encore plus vulnérables à la désertification et compliquant considérablement les efforts de restauration forestière</w:t>
      </w:r>
      <w:r w:rsidRPr="002462E6">
        <w:rPr>
          <w:rStyle w:val="Appelnotedebasdep"/>
          <w:rFonts w:ascii="Tahoma" w:hAnsi="Tahoma" w:cs="Tahoma"/>
          <w:sz w:val="24"/>
          <w:szCs w:val="24"/>
        </w:rPr>
        <w:footnoteReference w:id="881"/>
      </w:r>
      <w:r w:rsidR="004B7827" w:rsidRPr="002462E6">
        <w:rPr>
          <w:rFonts w:ascii="Tahoma" w:hAnsi="Tahoma" w:cs="Tahoma"/>
          <w:sz w:val="24"/>
          <w:szCs w:val="24"/>
        </w:rPr>
        <w:t>.</w:t>
      </w:r>
    </w:p>
    <w:p w:rsidR="00050F2D" w:rsidRPr="002462E6" w:rsidRDefault="00050F2D" w:rsidP="004B7827">
      <w:pPr>
        <w:spacing w:line="360" w:lineRule="auto"/>
        <w:jc w:val="both"/>
        <w:rPr>
          <w:rFonts w:ascii="Tahoma" w:hAnsi="Tahoma" w:cs="Tahoma"/>
          <w:sz w:val="24"/>
          <w:szCs w:val="24"/>
        </w:rPr>
      </w:pPr>
      <w:r w:rsidRPr="002462E6">
        <w:rPr>
          <w:rFonts w:ascii="Tahoma" w:hAnsi="Tahoma" w:cs="Tahoma"/>
          <w:sz w:val="24"/>
          <w:szCs w:val="24"/>
        </w:rPr>
        <w:t>La modification des régimes de précipitations et l'intensification des périodes sèches augmentent également le stress hydrique des forêts, menaçant directement la survie des arbres dans un contexte où une grande partie du territoire marocain est marqué par l'aridité</w:t>
      </w:r>
      <w:r w:rsidRPr="002462E6">
        <w:rPr>
          <w:rStyle w:val="Appelnotedebasdep"/>
          <w:rFonts w:ascii="Tahoma" w:hAnsi="Tahoma" w:cs="Tahoma"/>
          <w:sz w:val="24"/>
          <w:szCs w:val="24"/>
        </w:rPr>
        <w:footnoteReference w:id="882"/>
      </w:r>
      <w:r w:rsidRPr="002462E6">
        <w:rPr>
          <w:rFonts w:ascii="Tahoma" w:hAnsi="Tahoma" w:cs="Tahoma"/>
          <w:sz w:val="24"/>
          <w:szCs w:val="24"/>
        </w:rPr>
        <w:t>. Le manque d'eau devient un facteur limitant majeur, créant une concurrence accrue entre les peuplements forestiers et les autres végétaux pour cette ressource précieuse</w:t>
      </w:r>
      <w:r w:rsidRPr="002462E6">
        <w:rPr>
          <w:rStyle w:val="Appelnotedebasdep"/>
          <w:rFonts w:ascii="Tahoma" w:hAnsi="Tahoma" w:cs="Tahoma"/>
          <w:sz w:val="24"/>
          <w:szCs w:val="24"/>
        </w:rPr>
        <w:footnoteReference w:id="883"/>
      </w:r>
      <w:r w:rsidR="004B7827" w:rsidRPr="002462E6">
        <w:rPr>
          <w:rFonts w:ascii="Tahoma" w:hAnsi="Tahoma" w:cs="Tahoma"/>
          <w:sz w:val="24"/>
          <w:szCs w:val="24"/>
        </w:rPr>
        <w:t>.</w:t>
      </w:r>
    </w:p>
    <w:p w:rsidR="00050F2D" w:rsidRPr="002462E6" w:rsidRDefault="00050F2D" w:rsidP="004B7827">
      <w:pPr>
        <w:spacing w:line="360" w:lineRule="auto"/>
        <w:jc w:val="both"/>
        <w:rPr>
          <w:rFonts w:ascii="Tahoma" w:hAnsi="Tahoma" w:cs="Tahoma"/>
          <w:sz w:val="24"/>
          <w:szCs w:val="24"/>
        </w:rPr>
      </w:pPr>
      <w:r w:rsidRPr="002462E6">
        <w:rPr>
          <w:rFonts w:ascii="Tahoma" w:hAnsi="Tahoma" w:cs="Tahoma"/>
          <w:sz w:val="24"/>
          <w:szCs w:val="24"/>
        </w:rPr>
        <w:t>Ce processus de dégradation climatique affecte simultanément la santé des peuplements forestiers et leur rôle fondamental de régulation écologique, notamment le stockage de carbone, l'infiltration des eaux et le maintien de la biodiversité. Les sols forestiers, souvent érodés et appauvris, aggravent cette situation en favorisant le ruissellement au lieu de retenir l'eau, rendant encore plus difficile l'accès des arbres à cette ressource vitale</w:t>
      </w:r>
      <w:r w:rsidRPr="002462E6">
        <w:rPr>
          <w:rStyle w:val="Appelnotedebasdep"/>
          <w:rFonts w:ascii="Tahoma" w:hAnsi="Tahoma" w:cs="Tahoma"/>
          <w:sz w:val="24"/>
          <w:szCs w:val="24"/>
        </w:rPr>
        <w:footnoteReference w:id="884"/>
      </w:r>
      <w:r w:rsidRPr="002462E6">
        <w:rPr>
          <w:rFonts w:ascii="Tahoma" w:hAnsi="Tahoma" w:cs="Tahoma"/>
          <w:sz w:val="24"/>
          <w:szCs w:val="24"/>
        </w:rPr>
        <w:t>. Les experts notent que cette pénurie d'eau ralentit considérablement la croissance des arbres et la régénération naturelle, phénomène particulièrement observé chez le cèdre de l'Atlas dans certaines zones du Moyen et du Haut Atlas</w:t>
      </w:r>
      <w:r w:rsidRPr="002462E6">
        <w:rPr>
          <w:rStyle w:val="Appelnotedebasdep"/>
          <w:rFonts w:ascii="Tahoma" w:hAnsi="Tahoma" w:cs="Tahoma"/>
          <w:sz w:val="24"/>
          <w:szCs w:val="24"/>
        </w:rPr>
        <w:footnoteReference w:id="885"/>
      </w:r>
      <w:r w:rsidR="004B7827" w:rsidRPr="002462E6">
        <w:rPr>
          <w:rFonts w:ascii="Tahoma" w:hAnsi="Tahoma" w:cs="Tahoma"/>
          <w:sz w:val="24"/>
          <w:szCs w:val="24"/>
        </w:rPr>
        <w:t>.</w:t>
      </w:r>
    </w:p>
    <w:p w:rsidR="004242A6" w:rsidRPr="002462E6" w:rsidRDefault="00050F2D" w:rsidP="004B7827">
      <w:pPr>
        <w:spacing w:line="360" w:lineRule="auto"/>
        <w:jc w:val="both"/>
        <w:rPr>
          <w:rFonts w:ascii="Tahoma" w:hAnsi="Tahoma" w:cs="Tahoma"/>
          <w:sz w:val="24"/>
          <w:szCs w:val="24"/>
        </w:rPr>
      </w:pPr>
      <w:r w:rsidRPr="002462E6">
        <w:rPr>
          <w:rFonts w:ascii="Tahoma" w:hAnsi="Tahoma" w:cs="Tahoma"/>
          <w:sz w:val="24"/>
          <w:szCs w:val="24"/>
        </w:rPr>
        <w:t>Paradoxalement, alors que les forêts marocaines jouent un rôle crucial dans la régulation du climat en stockant du carbone et atténuant ainsi les effets du réchauffement climatique, la déforestation et la dégradation de ces écosystèmes libèrent le carbone stocké, contribuant ainsi à aggraver les changements climatiques</w:t>
      </w:r>
      <w:r w:rsidRPr="002462E6">
        <w:rPr>
          <w:rStyle w:val="Appelnotedebasdep"/>
          <w:rFonts w:ascii="Tahoma" w:hAnsi="Tahoma" w:cs="Tahoma"/>
          <w:sz w:val="24"/>
          <w:szCs w:val="24"/>
        </w:rPr>
        <w:footnoteReference w:id="886"/>
      </w:r>
      <w:r w:rsidRPr="002462E6">
        <w:rPr>
          <w:rFonts w:ascii="Tahoma" w:hAnsi="Tahoma" w:cs="Tahoma"/>
          <w:sz w:val="24"/>
          <w:szCs w:val="24"/>
        </w:rPr>
        <w:t>. Cette rétroaction positive amplifie les phénomènes climatiques adverses et compromet davantage la capacité des forêts à remplir leur fonction de régulati</w:t>
      </w:r>
      <w:r w:rsidR="004B7827" w:rsidRPr="002462E6">
        <w:rPr>
          <w:rFonts w:ascii="Tahoma" w:hAnsi="Tahoma" w:cs="Tahoma"/>
          <w:sz w:val="24"/>
          <w:szCs w:val="24"/>
        </w:rPr>
        <w:t>on climatique.</w:t>
      </w:r>
    </w:p>
    <w:p w:rsidR="00050F2D" w:rsidRPr="002462E6" w:rsidRDefault="00050F2D" w:rsidP="004B7827">
      <w:pPr>
        <w:spacing w:line="360" w:lineRule="auto"/>
        <w:jc w:val="both"/>
        <w:rPr>
          <w:rFonts w:ascii="Tahoma" w:hAnsi="Tahoma" w:cs="Tahoma"/>
          <w:sz w:val="24"/>
          <w:szCs w:val="24"/>
        </w:rPr>
      </w:pPr>
      <w:r w:rsidRPr="002462E6">
        <w:rPr>
          <w:rFonts w:ascii="Tahoma" w:hAnsi="Tahoma" w:cs="Tahoma"/>
          <w:sz w:val="24"/>
          <w:szCs w:val="24"/>
        </w:rPr>
        <w:t>Dans ce contexte d'accélération du changement climatique, l'absence d'une stratégie d'adaptation forestière systémique, tenant compte des scénarios climatiques futurs, renforce dramatiquement la vulnérabilité structurelle du capital forestier national. Le changement climatique progresse plus rapidement que la capacité d'adaptation des forêts, nécessitant un renforcement urgent de leur résilience</w:t>
      </w:r>
      <w:r w:rsidRPr="002462E6">
        <w:rPr>
          <w:rStyle w:val="Appelnotedebasdep"/>
          <w:rFonts w:ascii="Tahoma" w:hAnsi="Tahoma" w:cs="Tahoma"/>
          <w:sz w:val="24"/>
          <w:szCs w:val="24"/>
        </w:rPr>
        <w:footnoteReference w:id="887"/>
      </w:r>
      <w:r w:rsidR="004B7827" w:rsidRPr="002462E6">
        <w:rPr>
          <w:rFonts w:ascii="Tahoma" w:hAnsi="Tahoma" w:cs="Tahoma"/>
          <w:sz w:val="24"/>
          <w:szCs w:val="24"/>
        </w:rPr>
        <w:t>.</w:t>
      </w:r>
    </w:p>
    <w:p w:rsidR="00050F2D" w:rsidRPr="005979B4" w:rsidRDefault="00050F2D" w:rsidP="005979B4">
      <w:pPr>
        <w:spacing w:line="360" w:lineRule="auto"/>
        <w:jc w:val="both"/>
        <w:rPr>
          <w:rFonts w:ascii="Tahoma" w:hAnsi="Tahoma" w:cs="Tahoma"/>
          <w:sz w:val="24"/>
          <w:szCs w:val="24"/>
        </w:rPr>
      </w:pPr>
      <w:r w:rsidRPr="002462E6">
        <w:rPr>
          <w:rFonts w:ascii="Tahoma" w:hAnsi="Tahoma" w:cs="Tahoma"/>
          <w:sz w:val="24"/>
          <w:szCs w:val="24"/>
        </w:rPr>
        <w:t>Bien que le Maroc ait déjà pris des mesures pour lutter contre le changement climatique, notamment en actualisant en 2021 sa contribution déterminée au niveau national (CDN) dans le cadre de l'Accord de Paris, avec une stratégie prévoyant des projets d'atténuation touchant sept secteurs dont la foresterie pour renforcer la résilience climatique du pays d'ici 2050</w:t>
      </w:r>
      <w:r w:rsidRPr="002462E6">
        <w:rPr>
          <w:vertAlign w:val="superscript"/>
        </w:rPr>
        <w:footnoteReference w:id="888"/>
      </w:r>
      <w:r w:rsidRPr="002462E6">
        <w:rPr>
          <w:rFonts w:ascii="Tahoma" w:hAnsi="Tahoma" w:cs="Tahoma"/>
          <w:sz w:val="24"/>
          <w:szCs w:val="24"/>
        </w:rPr>
        <w:t>, les impacts du changement climatique sur les forêts entraînent des répercussions socio-économiques importantes, compromettant les moyens de subsistance des populations qui dépendent des services écosystémiques fournis par les forêts</w:t>
      </w:r>
      <w:r w:rsidRPr="002462E6">
        <w:rPr>
          <w:vertAlign w:val="superscript"/>
        </w:rPr>
        <w:footnoteReference w:id="889"/>
      </w:r>
      <w:r w:rsidR="005979B4">
        <w:rPr>
          <w:rFonts w:ascii="Tahoma" w:hAnsi="Tahoma" w:cs="Tahoma"/>
          <w:sz w:val="24"/>
          <w:szCs w:val="24"/>
        </w:rPr>
        <w:t>.</w:t>
      </w:r>
    </w:p>
    <w:p w:rsidR="00050F2D" w:rsidRPr="002462E6" w:rsidRDefault="00050F2D" w:rsidP="004242A6">
      <w:pPr>
        <w:spacing w:line="360" w:lineRule="auto"/>
        <w:jc w:val="both"/>
        <w:rPr>
          <w:rFonts w:ascii="Tahoma" w:hAnsi="Tahoma" w:cs="Tahoma"/>
          <w:sz w:val="24"/>
          <w:szCs w:val="24"/>
        </w:rPr>
      </w:pPr>
      <w:r w:rsidRPr="002462E6">
        <w:rPr>
          <w:rFonts w:ascii="Tahoma" w:hAnsi="Tahoma" w:cs="Tahoma"/>
          <w:sz w:val="24"/>
          <w:szCs w:val="24"/>
        </w:rPr>
        <w:t>Le changement climatique ne constitue donc pas seulement une menace écologique pour les forêts marocaines, mais aussi un enjeu socio-économique majeur qui nécessite une intégration impérative des défis climatiques dans la gestion forestière</w:t>
      </w:r>
      <w:r w:rsidRPr="002462E6">
        <w:rPr>
          <w:rStyle w:val="Appelnotedebasdep"/>
          <w:rFonts w:ascii="Tahoma" w:hAnsi="Tahoma" w:cs="Tahoma"/>
          <w:sz w:val="24"/>
          <w:szCs w:val="24"/>
        </w:rPr>
        <w:footnoteReference w:id="890"/>
      </w:r>
      <w:r w:rsidRPr="002462E6">
        <w:rPr>
          <w:rFonts w:ascii="Tahoma" w:hAnsi="Tahoma" w:cs="Tahoma"/>
          <w:sz w:val="24"/>
          <w:szCs w:val="24"/>
        </w:rPr>
        <w:t>. Cette intégration exige des approches innovantes, des financements adéquats et l'implication des acteurs locaux pour répondre aux nouvelles exigences climatiques et préserver la résilience des forêts marocaines face à ces bouleversements environnementaux</w:t>
      </w:r>
      <w:r w:rsidRPr="002462E6">
        <w:rPr>
          <w:rStyle w:val="Appelnotedebasdep"/>
          <w:rFonts w:ascii="Tahoma" w:hAnsi="Tahoma" w:cs="Tahoma"/>
          <w:sz w:val="24"/>
          <w:szCs w:val="24"/>
        </w:rPr>
        <w:footnoteReference w:id="891"/>
      </w:r>
      <w:r w:rsidRPr="002462E6">
        <w:rPr>
          <w:rFonts w:ascii="Tahoma" w:hAnsi="Tahoma" w:cs="Tahoma"/>
          <w:sz w:val="24"/>
          <w:szCs w:val="24"/>
        </w:rPr>
        <w:t>.</w:t>
      </w:r>
    </w:p>
    <w:p w:rsidR="00050F2D" w:rsidRPr="002462E6" w:rsidRDefault="002B500C" w:rsidP="004B7827">
      <w:pPr>
        <w:pStyle w:val="Titre4"/>
      </w:pPr>
      <w:bookmarkStart w:id="415" w:name="_Toc203643113"/>
      <w:r w:rsidRPr="002462E6">
        <w:t>E</w:t>
      </w:r>
      <w:r w:rsidR="00050F2D" w:rsidRPr="002462E6">
        <w:t>ffets systémiques : vers une spirale de dégradation écologique et sociale</w:t>
      </w:r>
      <w:bookmarkEnd w:id="415"/>
    </w:p>
    <w:p w:rsidR="00050F2D" w:rsidRPr="002462E6" w:rsidRDefault="00050F2D" w:rsidP="00050F2D">
      <w:pPr>
        <w:spacing w:line="360" w:lineRule="auto"/>
        <w:rPr>
          <w:rFonts w:ascii="Tahoma" w:hAnsi="Tahoma" w:cs="Tahoma"/>
          <w:sz w:val="24"/>
          <w:szCs w:val="24"/>
        </w:rPr>
      </w:pPr>
    </w:p>
    <w:p w:rsidR="002B500C" w:rsidRPr="002462E6" w:rsidRDefault="00050F2D" w:rsidP="005979B4">
      <w:pPr>
        <w:spacing w:line="360" w:lineRule="auto"/>
        <w:jc w:val="both"/>
        <w:rPr>
          <w:rFonts w:ascii="Tahoma" w:hAnsi="Tahoma" w:cs="Tahoma"/>
          <w:sz w:val="24"/>
          <w:szCs w:val="24"/>
        </w:rPr>
      </w:pPr>
      <w:r w:rsidRPr="002462E6">
        <w:rPr>
          <w:rFonts w:ascii="Tahoma" w:hAnsi="Tahoma" w:cs="Tahoma"/>
          <w:sz w:val="24"/>
          <w:szCs w:val="24"/>
        </w:rPr>
        <w:t>L'interaction entre les facteurs directs et structurels ne produit pas des effets isolés, mais alimente au contraire un enchaînement de processus systémiques qui affectent l’ensemble des équilibres écologiques, sociaux et économiques. La dégradation des formations forestières, la perte de services écosystémiques et l’extension de la désertification forment ainsi les manifestations les plus visibles d’une spirale cumulative de vulnérabilisation du ter</w:t>
      </w:r>
      <w:r w:rsidR="005979B4">
        <w:rPr>
          <w:rFonts w:ascii="Tahoma" w:hAnsi="Tahoma" w:cs="Tahoma"/>
          <w:sz w:val="24"/>
          <w:szCs w:val="24"/>
        </w:rPr>
        <w:t>ritoire forestier marocain.</w:t>
      </w:r>
    </w:p>
    <w:p w:rsidR="00050F2D" w:rsidRPr="005979B4" w:rsidRDefault="00050F2D" w:rsidP="005979B4">
      <w:pPr>
        <w:pStyle w:val="Titre5"/>
        <w:numPr>
          <w:ilvl w:val="0"/>
          <w:numId w:val="103"/>
        </w:numPr>
      </w:pPr>
      <w:bookmarkStart w:id="416" w:name="_Toc203643114"/>
      <w:r w:rsidRPr="002462E6">
        <w:t>Dégradation multiforme des formations forestières</w:t>
      </w:r>
      <w:bookmarkEnd w:id="416"/>
    </w:p>
    <w:p w:rsidR="00050F2D" w:rsidRPr="002462E6" w:rsidRDefault="00945BC3" w:rsidP="005979B4">
      <w:pPr>
        <w:spacing w:line="360" w:lineRule="auto"/>
        <w:jc w:val="both"/>
        <w:rPr>
          <w:rFonts w:ascii="Tahoma" w:hAnsi="Tahoma" w:cs="Tahoma"/>
          <w:sz w:val="24"/>
          <w:szCs w:val="24"/>
        </w:rPr>
      </w:pPr>
      <w:r w:rsidRPr="002462E6">
        <w:rPr>
          <w:rFonts w:ascii="Tahoma" w:hAnsi="Tahoma" w:cs="Tahoma"/>
          <w:sz w:val="24"/>
          <w:szCs w:val="24"/>
        </w:rPr>
        <w:t>La pression conjointe des usages humains, des déficiences institutionnelles et des impacts climatiques conduit à une détérioration manifeste des écosystèmes forestiers. D’après les données fournies par l’administration forestière, chaque année, environ 17 000 hectares de forêts sont exposés à la dégradation, avec des conséquences immédiates sur la densité du couvert végétal, la fertilité des sols et la diversité des espèces. Les taux de réussite des campagnes de reboisement, qui avoisinent à peine 48 % après deux ans, témoignent de la difficulté à restaurer durablement ces milieux. À cela s’ajoute une surexploitation fourragère dont l’intensité dépasse deux à trois fois les capacités des pâturages forestiers, exacerbant ainsi les conflits d’usage entre les besoins pastoraux, la régénération naturelle et la conservation de la biodiversité. Ce phénomène compromet les fonctions écologiques essentielles des forêts, notamment leur rôle dans la séquestration du carbone, la stabilisation des microclimats</w:t>
      </w:r>
      <w:r w:rsidR="005979B4">
        <w:rPr>
          <w:rFonts w:ascii="Tahoma" w:hAnsi="Tahoma" w:cs="Tahoma"/>
          <w:sz w:val="24"/>
          <w:szCs w:val="24"/>
        </w:rPr>
        <w:t xml:space="preserve"> et la régulation hydrologique.</w:t>
      </w:r>
    </w:p>
    <w:p w:rsidR="00050F2D" w:rsidRPr="005979B4" w:rsidRDefault="00050F2D" w:rsidP="005979B4">
      <w:pPr>
        <w:pStyle w:val="Titre5"/>
      </w:pPr>
      <w:bookmarkStart w:id="417" w:name="_Toc203643115"/>
      <w:r w:rsidRPr="002462E6">
        <w:t>Conséquences écologiques et socio-économiques</w:t>
      </w:r>
      <w:bookmarkEnd w:id="417"/>
      <w:r w:rsidR="005979B4">
        <w:t xml:space="preserve"> </w:t>
      </w:r>
    </w:p>
    <w:p w:rsidR="00050F2D" w:rsidRPr="002462E6" w:rsidRDefault="00050F2D" w:rsidP="00050F2D">
      <w:pPr>
        <w:spacing w:line="360" w:lineRule="auto"/>
        <w:jc w:val="both"/>
        <w:rPr>
          <w:rFonts w:ascii="Tahoma" w:hAnsi="Tahoma" w:cs="Tahoma"/>
          <w:sz w:val="24"/>
          <w:szCs w:val="24"/>
        </w:rPr>
      </w:pPr>
      <w:r w:rsidRPr="002462E6">
        <w:rPr>
          <w:rFonts w:ascii="Tahoma" w:hAnsi="Tahoma" w:cs="Tahoma"/>
          <w:sz w:val="24"/>
          <w:szCs w:val="24"/>
        </w:rPr>
        <w:t>La perte continue des forêts engendre un effondrement progressif des services écosystémiques essentiels, sur lesquels reposent les économies locales, notamment dans les zones rurales enclavées. Les populations vulnérables, fortement dépendantes de la biomasse forestière pour leurs besoins énergétiques (chauffage, cuisine) et alimentaires (fourrage pour le bétail), voient leurs moyens de subsistance se réduire drastiquement. Cette dégradation contribue à aggraver l’insécurité énergétique et alimentaire, mais aussi à détériorer la qualité de vie, en amplifiant la précarité et les risques sanitaires.</w:t>
      </w:r>
    </w:p>
    <w:p w:rsidR="00050F2D" w:rsidRPr="002462E6" w:rsidRDefault="004C1329" w:rsidP="005979B4">
      <w:pPr>
        <w:spacing w:line="360" w:lineRule="auto"/>
        <w:jc w:val="both"/>
        <w:rPr>
          <w:rFonts w:ascii="Tahoma" w:hAnsi="Tahoma" w:cs="Tahoma"/>
          <w:sz w:val="24"/>
          <w:szCs w:val="24"/>
        </w:rPr>
      </w:pPr>
      <w:r w:rsidRPr="002462E6">
        <w:rPr>
          <w:rFonts w:ascii="Tahoma" w:hAnsi="Tahoma" w:cs="Tahoma"/>
          <w:sz w:val="24"/>
          <w:szCs w:val="24"/>
        </w:rPr>
        <w:t>Par ailleurs, les coûts économiques induits par cette dégradation sont rarement intégrés dans les analyses et les politiques publiques. Or, ils engendrent des pertes significatives en termes de ressources en eau potable, de terres agricoles fertiles et de potentialités liées au tourisme écologique. Cette externalisation des coûts aggrave la vulnérabilité socio-économique des territoires forestiers, favorisant des dynamiques d’exode rural et de migrations environnementales, en particulier parmi les jeunes générations, qui perçoivent un avenir incertai</w:t>
      </w:r>
      <w:r w:rsidR="005979B4">
        <w:rPr>
          <w:rFonts w:ascii="Tahoma" w:hAnsi="Tahoma" w:cs="Tahoma"/>
          <w:sz w:val="24"/>
          <w:szCs w:val="24"/>
        </w:rPr>
        <w:t>n dans ces zones marginalisées.</w:t>
      </w:r>
    </w:p>
    <w:p w:rsidR="00050F2D" w:rsidRPr="002462E6" w:rsidRDefault="004C1329" w:rsidP="00F573FE">
      <w:pPr>
        <w:pStyle w:val="Titre5"/>
      </w:pPr>
      <w:bookmarkStart w:id="418" w:name="_Toc203643116"/>
      <w:r w:rsidRPr="002462E6">
        <w:t>Le r</w:t>
      </w:r>
      <w:r w:rsidR="002B500C" w:rsidRPr="002462E6">
        <w:t xml:space="preserve">isque </w:t>
      </w:r>
      <w:r w:rsidR="00050F2D" w:rsidRPr="002462E6">
        <w:t>d’un basculement vers la désertification : scénarios et enjeux</w:t>
      </w:r>
      <w:bookmarkEnd w:id="418"/>
    </w:p>
    <w:p w:rsidR="00050F2D" w:rsidRPr="002462E6" w:rsidRDefault="00050F2D" w:rsidP="005C0BCE">
      <w:pPr>
        <w:spacing w:line="360" w:lineRule="auto"/>
        <w:jc w:val="both"/>
        <w:rPr>
          <w:rFonts w:ascii="Tahoma" w:hAnsi="Tahoma" w:cs="Tahoma"/>
          <w:bCs/>
          <w:sz w:val="2"/>
          <w:szCs w:val="2"/>
        </w:rPr>
      </w:pPr>
    </w:p>
    <w:p w:rsidR="005C0BCE" w:rsidRPr="002462E6" w:rsidRDefault="005C0BCE" w:rsidP="00F573FE">
      <w:pPr>
        <w:spacing w:line="360" w:lineRule="auto"/>
        <w:jc w:val="both"/>
        <w:rPr>
          <w:rFonts w:ascii="Tahoma" w:eastAsia="Times New Roman" w:hAnsi="Tahoma" w:cs="Tahoma"/>
          <w:sz w:val="24"/>
          <w:szCs w:val="24"/>
          <w:lang w:eastAsia="fr-FR"/>
        </w:rPr>
      </w:pPr>
      <w:r w:rsidRPr="002462E6">
        <w:rPr>
          <w:rFonts w:ascii="Tahoma" w:eastAsia="Times New Roman" w:hAnsi="Tahoma" w:cs="Tahoma"/>
          <w:sz w:val="24"/>
          <w:szCs w:val="24"/>
          <w:lang w:eastAsia="fr-FR"/>
        </w:rPr>
        <w:t>Parmi les effets systémiques les plus préoccupants figure la progression accélérée de la désertification, particulièrement dans les zones de transition entre forêts et steppes. Ce processus se traduit par une diminution drastique de la productivité biologique, une perte quasi irréversible de la couverture végétale, ainsi qu’une salinisation croissante des sols. La désertification ne constitue pas seulement un enjeu écologique ; elle porte également en germe des tensions géopolitiques autour de l’accès aux ressources naturelles et peut engendrer des déplacements forcés de populations vulnérables.</w:t>
      </w:r>
    </w:p>
    <w:p w:rsidR="005C0BCE" w:rsidRPr="002462E6" w:rsidRDefault="005C0BCE" w:rsidP="00F573FE">
      <w:pPr>
        <w:spacing w:line="360" w:lineRule="auto"/>
        <w:jc w:val="both"/>
        <w:rPr>
          <w:rFonts w:ascii="Tahoma" w:eastAsia="Times New Roman" w:hAnsi="Tahoma" w:cs="Tahoma"/>
          <w:sz w:val="24"/>
          <w:szCs w:val="24"/>
          <w:lang w:eastAsia="fr-FR"/>
        </w:rPr>
      </w:pPr>
      <w:r w:rsidRPr="002462E6">
        <w:rPr>
          <w:rFonts w:ascii="Tahoma" w:eastAsia="Times New Roman" w:hAnsi="Tahoma" w:cs="Tahoma"/>
          <w:sz w:val="24"/>
          <w:szCs w:val="24"/>
          <w:lang w:eastAsia="fr-FR"/>
        </w:rPr>
        <w:t>Cette rupture écologique majeure remet en cause les fondements mêmes de la durabilité territoriale. Dans le contexte marocain, le risque est exacerbé par la conjonction de facteurs exogènes, notamment le changement climatique global, et de défaillances endogènes telles que la gouvernance insuffisante, le sous-développement économique et l’absence d’une recherche scientifique structurée. La modélisation systémique présentée dans cette analyse met en lumière cette dynamique complexe et cumulative, soulignant la nécessité d’une approche intégrée et prospective.</w:t>
      </w:r>
    </w:p>
    <w:p w:rsidR="005C0BCE" w:rsidRPr="002462E6" w:rsidRDefault="005C0BCE" w:rsidP="00F573FE">
      <w:pPr>
        <w:spacing w:line="360" w:lineRule="auto"/>
        <w:jc w:val="both"/>
        <w:rPr>
          <w:rFonts w:ascii="Tahoma" w:eastAsia="Times New Roman" w:hAnsi="Tahoma" w:cs="Tahoma"/>
          <w:sz w:val="24"/>
          <w:szCs w:val="24"/>
          <w:lang w:eastAsia="fr-FR"/>
        </w:rPr>
      </w:pPr>
      <w:r w:rsidRPr="002462E6">
        <w:rPr>
          <w:rFonts w:ascii="Tahoma" w:eastAsia="Times New Roman" w:hAnsi="Tahoma" w:cs="Tahoma"/>
          <w:sz w:val="24"/>
          <w:szCs w:val="24"/>
          <w:lang w:eastAsia="fr-FR"/>
        </w:rPr>
        <w:t>En définitive, la dégradation des écosystèmes forestiers marocains ne peut être appréhendée de manière linéaire ni réduite à des causes isolées. L’analyse menée dans le cadre de cette modélisation systémique a permis de mettre en lumière la nature profondément multifactorielle de ce phénomène, où interagissent des déterminants immédiats, structurels et systémiques. En effet, la pression démographique, la faiblesse des budgets alloués, la gestion opérationnelle fragmentée ou encore l’insuffisance des politiques de développement rural sont autant de facteurs accélérateurs directs qui alimentent une dynamique de détérioration continue du couvert forestier national.</w:t>
      </w:r>
    </w:p>
    <w:p w:rsidR="005C0BCE" w:rsidRPr="002462E6" w:rsidRDefault="005C0BCE" w:rsidP="00F573FE">
      <w:pPr>
        <w:spacing w:line="360" w:lineRule="auto"/>
        <w:jc w:val="both"/>
        <w:rPr>
          <w:rFonts w:ascii="Tahoma" w:eastAsia="Times New Roman" w:hAnsi="Tahoma" w:cs="Tahoma"/>
          <w:sz w:val="24"/>
          <w:szCs w:val="24"/>
          <w:lang w:eastAsia="fr-FR"/>
        </w:rPr>
      </w:pPr>
      <w:r w:rsidRPr="002462E6">
        <w:rPr>
          <w:rFonts w:ascii="Tahoma" w:eastAsia="Times New Roman" w:hAnsi="Tahoma" w:cs="Tahoma"/>
          <w:sz w:val="24"/>
          <w:szCs w:val="24"/>
          <w:lang w:eastAsia="fr-FR"/>
        </w:rPr>
        <w:t>Toutefois, au-delà de ces éléments visibles, des facteurs plus profonds se révèlent déterminants : l’absence d’un réseau national de recherche forestière, le déficit d’innovation institutionnelle, ainsi que la vulnérabilité croissante face au changement climatique. Ces éléments traduisent une faiblesse de la gestion environnementale à l’échelle nationale, mais aussi une crise de modèle territorial incapable de concilier protection des ressources naturelles, équité sociale et soutenabilité économique.</w:t>
      </w:r>
    </w:p>
    <w:p w:rsidR="005C0BCE" w:rsidRPr="002462E6" w:rsidRDefault="005C0BCE" w:rsidP="00F573FE">
      <w:pPr>
        <w:spacing w:line="360" w:lineRule="auto"/>
        <w:jc w:val="both"/>
        <w:rPr>
          <w:rFonts w:ascii="Tahoma" w:eastAsia="Times New Roman" w:hAnsi="Tahoma" w:cs="Tahoma"/>
          <w:sz w:val="24"/>
          <w:szCs w:val="24"/>
          <w:lang w:eastAsia="fr-FR"/>
        </w:rPr>
      </w:pPr>
      <w:r w:rsidRPr="002462E6">
        <w:rPr>
          <w:rFonts w:ascii="Tahoma" w:eastAsia="Times New Roman" w:hAnsi="Tahoma" w:cs="Tahoma"/>
          <w:sz w:val="24"/>
          <w:szCs w:val="24"/>
          <w:lang w:eastAsia="fr-FR"/>
        </w:rPr>
        <w:t>La représentation graphique élaborée par nos soins en ouverture de ce chapitre constitue une contribution originale issue de notre propre travail d’analyse, en ce qu’elle met en lumière les effets de synergie, de rétroaction et d’amplification reliant les différentes dimensions du problème étudié. Elle démontre que la dégradation forestière, loin d’être un processus isolé, s’inscrit dans une logique de spirale écosystémique et sociale, débouchant sur la désertification, la perte de biodiversité, la précarisation des communautés locales et l’érosion des services écosystémiques essentiels.</w:t>
      </w:r>
    </w:p>
    <w:p w:rsidR="00A1704A" w:rsidRDefault="005C0BCE" w:rsidP="00F80AF3">
      <w:pPr>
        <w:spacing w:line="360" w:lineRule="auto"/>
        <w:jc w:val="both"/>
        <w:rPr>
          <w:rFonts w:ascii="Tahoma" w:eastAsia="Times New Roman" w:hAnsi="Tahoma" w:cs="Tahoma"/>
          <w:sz w:val="24"/>
          <w:szCs w:val="24"/>
          <w:lang w:eastAsia="fr-FR"/>
        </w:rPr>
      </w:pPr>
      <w:r w:rsidRPr="002462E6">
        <w:rPr>
          <w:rFonts w:ascii="Tahoma" w:eastAsia="Times New Roman" w:hAnsi="Tahoma" w:cs="Tahoma"/>
          <w:sz w:val="24"/>
          <w:szCs w:val="24"/>
          <w:lang w:eastAsia="fr-FR"/>
        </w:rPr>
        <w:t>Dès lors, toute réponse à cette problématique exige une refondation des politiques forestières à travers une approche systémique, territorialisée et intersectorielle. Elle doit reposer sur la mise en place d’un dispositif national de recherche forestière, le renforcement des capacités locales, l’intégration des savoirs endogènes et une adaptation proactive aux aléas climatiques. La préservation des forêts marocaines, en tant que patrimoine écologique stratégique et levier essentiel du développement territorial, constitue une urgence qui ne saurait être différée. Située au carrefour des enjeux environnementaux, structurels, sociaux et économiques contemporains, elle s’inscrit dans une perspective élargie de gestion des risques. En effet, la dégradation continue du couvert forestier est porteuse de menaces systémiques : aggravation du risque d’érosion des sols, intensification des phénomènes de désertification, perte de biodiversité, accentuation des déséquilibres hydrologiques, sans oublier l’augmentation de la vulnérabilité des populations locales face aux aléas climatiques.  Dans ce contexte, une interrogation centrale s’impose : dans quelle mesure la dégradation de l’écosystème forestier contribue-t-elle à La déstabilisation socio-économique des populations rurales relevant de la forêt de Korifla, terra</w:t>
      </w:r>
      <w:r w:rsidR="00F80AF3">
        <w:rPr>
          <w:rFonts w:ascii="Tahoma" w:eastAsia="Times New Roman" w:hAnsi="Tahoma" w:cs="Tahoma"/>
          <w:sz w:val="24"/>
          <w:szCs w:val="24"/>
          <w:lang w:eastAsia="fr-FR"/>
        </w:rPr>
        <w:t xml:space="preserve">in retenu pour notre analyse ? </w:t>
      </w:r>
    </w:p>
    <w:p w:rsidR="00540FF7" w:rsidRDefault="00540FF7" w:rsidP="00F80AF3">
      <w:pPr>
        <w:spacing w:line="360" w:lineRule="auto"/>
        <w:jc w:val="both"/>
        <w:rPr>
          <w:rFonts w:ascii="Tahoma" w:eastAsia="Times New Roman" w:hAnsi="Tahoma" w:cs="Tahoma"/>
          <w:sz w:val="24"/>
          <w:szCs w:val="24"/>
          <w:lang w:eastAsia="fr-FR"/>
        </w:rPr>
      </w:pPr>
    </w:p>
    <w:p w:rsidR="00540FF7" w:rsidRDefault="00540FF7" w:rsidP="00F80AF3">
      <w:pPr>
        <w:spacing w:line="360" w:lineRule="auto"/>
        <w:jc w:val="both"/>
        <w:rPr>
          <w:rFonts w:ascii="Tahoma" w:eastAsia="Times New Roman" w:hAnsi="Tahoma" w:cs="Tahoma"/>
          <w:sz w:val="24"/>
          <w:szCs w:val="24"/>
          <w:lang w:eastAsia="fr-FR"/>
        </w:rPr>
      </w:pPr>
    </w:p>
    <w:p w:rsidR="00540FF7" w:rsidRPr="00F80AF3" w:rsidRDefault="00540FF7" w:rsidP="00F80AF3">
      <w:pPr>
        <w:spacing w:line="360" w:lineRule="auto"/>
        <w:jc w:val="both"/>
        <w:rPr>
          <w:rFonts w:ascii="Tahoma" w:eastAsia="Times New Roman" w:hAnsi="Tahoma" w:cs="Tahoma"/>
          <w:sz w:val="24"/>
          <w:szCs w:val="24"/>
          <w:lang w:eastAsia="fr-FR"/>
        </w:rPr>
      </w:pPr>
    </w:p>
    <w:p w:rsidR="00A773C9" w:rsidRDefault="007E399B" w:rsidP="00F80AF3">
      <w:pPr>
        <w:pStyle w:val="Titre3"/>
      </w:pPr>
      <w:bookmarkStart w:id="419" w:name="_Toc203643117"/>
      <w:r w:rsidRPr="002462E6">
        <w:t xml:space="preserve">Deuxième section : </w:t>
      </w:r>
      <w:r w:rsidR="00DB0FE0" w:rsidRPr="002462E6">
        <w:t>analyse socioeconomique et environnementale de la degradation forestiere : cas du foret de korifla au maroc</w:t>
      </w:r>
      <w:bookmarkEnd w:id="419"/>
    </w:p>
    <w:p w:rsidR="00F80AF3" w:rsidRPr="00F80AF3" w:rsidRDefault="00F80AF3" w:rsidP="00F80AF3">
      <w:pPr>
        <w:pStyle w:val="Titre3"/>
        <w:rPr>
          <w:sz w:val="12"/>
          <w:szCs w:val="12"/>
        </w:rPr>
      </w:pPr>
    </w:p>
    <w:p w:rsidR="00A54D9A" w:rsidRPr="002462E6" w:rsidRDefault="00A54D9A" w:rsidP="00F90419">
      <w:pPr>
        <w:spacing w:line="360" w:lineRule="auto"/>
        <w:jc w:val="both"/>
        <w:rPr>
          <w:rFonts w:ascii="Tahoma" w:hAnsi="Tahoma" w:cs="Tahoma"/>
          <w:sz w:val="24"/>
          <w:szCs w:val="24"/>
        </w:rPr>
      </w:pPr>
      <w:r w:rsidRPr="002462E6">
        <w:rPr>
          <w:rFonts w:ascii="Tahoma" w:hAnsi="Tahoma" w:cs="Tahoma"/>
          <w:sz w:val="24"/>
          <w:szCs w:val="24"/>
        </w:rPr>
        <w:t>L’analyse de la dégradation forestière prend en considération les interactions complexes entre facteurs environnementaux et socioéconomiques</w:t>
      </w:r>
      <w:r w:rsidRPr="002462E6">
        <w:rPr>
          <w:rFonts w:ascii="Tahoma" w:hAnsi="Tahoma" w:cs="Tahoma"/>
          <w:sz w:val="24"/>
          <w:szCs w:val="24"/>
          <w:vertAlign w:val="superscript"/>
        </w:rPr>
        <w:footnoteReference w:id="892"/>
      </w:r>
      <w:r w:rsidRPr="002462E6">
        <w:rPr>
          <w:rFonts w:ascii="Tahoma" w:hAnsi="Tahoma" w:cs="Tahoma"/>
          <w:sz w:val="24"/>
          <w:szCs w:val="24"/>
        </w:rPr>
        <w:t>. La présente recherche met en lumière le cas de la forêt de Korifla en articulant l’examen des mécanismes de dégradation aux conditions socioéconomiques des populations riveraines</w:t>
      </w:r>
      <w:r w:rsidRPr="002462E6">
        <w:rPr>
          <w:rFonts w:ascii="Tahoma" w:hAnsi="Tahoma" w:cs="Tahoma"/>
          <w:sz w:val="24"/>
          <w:szCs w:val="24"/>
          <w:vertAlign w:val="superscript"/>
        </w:rPr>
        <w:footnoteReference w:id="893"/>
      </w:r>
      <w:r w:rsidRPr="002462E6">
        <w:rPr>
          <w:rFonts w:ascii="Tahoma" w:hAnsi="Tahoma" w:cs="Tahoma"/>
          <w:sz w:val="24"/>
          <w:szCs w:val="24"/>
        </w:rPr>
        <w:t>.</w:t>
      </w:r>
      <w:r w:rsidR="00F90419">
        <w:rPr>
          <w:rFonts w:ascii="Tahoma" w:hAnsi="Tahoma" w:cs="Tahoma"/>
          <w:sz w:val="24"/>
          <w:szCs w:val="24"/>
        </w:rPr>
        <w:t xml:space="preserve"> </w:t>
      </w:r>
      <w:r w:rsidR="00F90419" w:rsidRPr="0053443A">
        <w:rPr>
          <w:rFonts w:ascii="Tahoma" w:eastAsia="Times New Roman" w:hAnsi="Tahoma" w:cs="Tahoma"/>
          <w:b/>
          <w:bCs/>
          <w:sz w:val="24"/>
          <w:szCs w:val="24"/>
          <w:lang w:eastAsia="fr-FR"/>
        </w:rPr>
        <w:t>(Cf. photos en annexe N°</w:t>
      </w:r>
      <w:r w:rsidR="00F90419">
        <w:rPr>
          <w:rFonts w:ascii="Tahoma" w:eastAsia="Times New Roman" w:hAnsi="Tahoma" w:cs="Tahoma"/>
          <w:b/>
          <w:bCs/>
          <w:sz w:val="24"/>
          <w:szCs w:val="24"/>
          <w:lang w:eastAsia="fr-FR"/>
        </w:rPr>
        <w:t>5</w:t>
      </w:r>
      <w:r w:rsidR="00F90419" w:rsidRPr="0053443A">
        <w:rPr>
          <w:rFonts w:ascii="Tahoma" w:eastAsia="Times New Roman" w:hAnsi="Tahoma" w:cs="Tahoma"/>
          <w:b/>
          <w:bCs/>
          <w:sz w:val="24"/>
          <w:szCs w:val="24"/>
          <w:lang w:eastAsia="fr-FR"/>
        </w:rPr>
        <w:t>)</w:t>
      </w:r>
    </w:p>
    <w:p w:rsidR="00F573FE" w:rsidRPr="002462E6" w:rsidRDefault="00A54D9A" w:rsidP="00F80AF3">
      <w:pPr>
        <w:spacing w:line="360" w:lineRule="auto"/>
        <w:jc w:val="both"/>
        <w:rPr>
          <w:rFonts w:ascii="Tahoma" w:hAnsi="Tahoma" w:cs="Tahoma"/>
          <w:sz w:val="24"/>
          <w:szCs w:val="24"/>
        </w:rPr>
      </w:pPr>
      <w:r w:rsidRPr="002462E6">
        <w:rPr>
          <w:rFonts w:ascii="Tahoma" w:hAnsi="Tahoma" w:cs="Tahoma"/>
          <w:sz w:val="24"/>
          <w:szCs w:val="24"/>
        </w:rPr>
        <w:t>La méthodologie adoptée s’inspire de l’approche dite de la « political ecology », cadre interdisciplinaire associant des apports issus de la sociologie des sciences, de la géographie politique et de la cartographie critique</w:t>
      </w:r>
      <w:r w:rsidRPr="002462E6">
        <w:rPr>
          <w:rFonts w:ascii="Tahoma" w:hAnsi="Tahoma" w:cs="Tahoma"/>
          <w:sz w:val="24"/>
          <w:szCs w:val="24"/>
          <w:vertAlign w:val="superscript"/>
        </w:rPr>
        <w:footnoteReference w:id="894"/>
      </w:r>
      <w:r w:rsidR="00F80AF3">
        <w:rPr>
          <w:rFonts w:ascii="Tahoma" w:hAnsi="Tahoma" w:cs="Tahoma"/>
          <w:sz w:val="24"/>
          <w:szCs w:val="24"/>
        </w:rPr>
        <w:t xml:space="preserve"> .</w:t>
      </w:r>
    </w:p>
    <w:p w:rsidR="007E399B" w:rsidRPr="002462E6" w:rsidRDefault="00A54D9A" w:rsidP="00D051D7">
      <w:pPr>
        <w:pStyle w:val="Titre4"/>
        <w:numPr>
          <w:ilvl w:val="0"/>
          <w:numId w:val="71"/>
        </w:numPr>
      </w:pPr>
      <w:bookmarkStart w:id="420" w:name="_Toc203643118"/>
      <w:r w:rsidRPr="002462E6">
        <w:t>Santé, éducation et accès aux services de base selon la perception des populations rurales de la forêt de Korifla</w:t>
      </w:r>
      <w:bookmarkEnd w:id="420"/>
      <w:r w:rsidRPr="002462E6">
        <w:t xml:space="preserve"> </w:t>
      </w:r>
    </w:p>
    <w:p w:rsidR="00A54D9A" w:rsidRPr="002462E6" w:rsidRDefault="00A54D9A" w:rsidP="00A54D9A">
      <w:pPr>
        <w:pStyle w:val="Titre4"/>
        <w:numPr>
          <w:ilvl w:val="0"/>
          <w:numId w:val="0"/>
        </w:numPr>
        <w:spacing w:line="360" w:lineRule="auto"/>
        <w:ind w:left="720"/>
        <w:rPr>
          <w:sz w:val="16"/>
          <w:szCs w:val="14"/>
        </w:rPr>
      </w:pPr>
    </w:p>
    <w:p w:rsidR="007E399B" w:rsidRPr="00F80AF3" w:rsidRDefault="00A54D9A" w:rsidP="00F80AF3">
      <w:pPr>
        <w:spacing w:line="360" w:lineRule="auto"/>
        <w:jc w:val="both"/>
        <w:rPr>
          <w:rFonts w:ascii="Tahoma" w:hAnsi="Tahoma" w:cs="Tahoma"/>
          <w:sz w:val="24"/>
          <w:szCs w:val="24"/>
        </w:rPr>
      </w:pPr>
      <w:r w:rsidRPr="002462E6">
        <w:rPr>
          <w:rFonts w:ascii="Tahoma" w:hAnsi="Tahoma" w:cs="Tahoma"/>
          <w:sz w:val="24"/>
          <w:szCs w:val="24"/>
        </w:rPr>
        <w:t xml:space="preserve">La présente </w:t>
      </w:r>
      <w:r w:rsidR="00540FF7" w:rsidRPr="002462E6">
        <w:rPr>
          <w:rFonts w:ascii="Tahoma" w:hAnsi="Tahoma" w:cs="Tahoma"/>
          <w:sz w:val="24"/>
          <w:szCs w:val="24"/>
        </w:rPr>
        <w:t>recherche s’appuie</w:t>
      </w:r>
      <w:r w:rsidRPr="002462E6">
        <w:rPr>
          <w:rFonts w:ascii="Tahoma" w:hAnsi="Tahoma" w:cs="Tahoma"/>
          <w:sz w:val="24"/>
          <w:szCs w:val="24"/>
        </w:rPr>
        <w:t xml:space="preserve"> sur une enquête empirique menée auprès de vingt-deux douars usagers de la forêt de Korifla, répartis entre les provinces de Skhirate-Temara (neuf douars) et de Khémisset (treize douars). L’objectif principal consiste à identifier les déterminants socioéconomiques sous-jacents à la dégradat</w:t>
      </w:r>
      <w:r w:rsidR="00F80AF3">
        <w:rPr>
          <w:rFonts w:ascii="Tahoma" w:hAnsi="Tahoma" w:cs="Tahoma"/>
          <w:sz w:val="24"/>
          <w:szCs w:val="24"/>
        </w:rPr>
        <w:t>ion des ressources forestières.</w:t>
      </w:r>
    </w:p>
    <w:p w:rsidR="007E399B" w:rsidRPr="002462E6" w:rsidRDefault="007E399B" w:rsidP="00D051D7">
      <w:pPr>
        <w:pStyle w:val="Titre5"/>
        <w:numPr>
          <w:ilvl w:val="0"/>
          <w:numId w:val="96"/>
        </w:numPr>
      </w:pPr>
      <w:r w:rsidRPr="002462E6">
        <w:t xml:space="preserve"> </w:t>
      </w:r>
      <w:bookmarkStart w:id="421" w:name="_Toc203643119"/>
      <w:r w:rsidRPr="002462E6">
        <w:t>Situation Sanitaire selon la perception des enquêtés :</w:t>
      </w:r>
      <w:bookmarkEnd w:id="421"/>
      <w:r w:rsidRPr="002462E6">
        <w:t xml:space="preserve"> </w:t>
      </w:r>
    </w:p>
    <w:p w:rsidR="00BD4EF9" w:rsidRPr="00F80AF3" w:rsidRDefault="007E399B" w:rsidP="00F80AF3">
      <w:pPr>
        <w:spacing w:line="360" w:lineRule="auto"/>
        <w:jc w:val="both"/>
        <w:rPr>
          <w:rFonts w:ascii="Tahoma" w:hAnsi="Tahoma" w:cs="Tahoma"/>
          <w:sz w:val="24"/>
          <w:szCs w:val="24"/>
        </w:rPr>
      </w:pPr>
      <w:r w:rsidRPr="002462E6">
        <w:rPr>
          <w:rFonts w:ascii="Tahoma" w:hAnsi="Tahoma" w:cs="Tahoma"/>
          <w:sz w:val="24"/>
          <w:szCs w:val="24"/>
        </w:rPr>
        <w:t>L'état de santé des populations constitue un indicateur fondamental du développement humain. Selon Quenum (2015), « sans l'Homme, le développement n'a pas de raison et sans la santé le développement ne saurait trouver son assise »¹⁰. Cette assertion souligne l'importance capitale de la santé comme facteur de création de richesse et de lutte contre l</w:t>
      </w:r>
      <w:r w:rsidR="00F80AF3">
        <w:rPr>
          <w:rFonts w:ascii="Tahoma" w:hAnsi="Tahoma" w:cs="Tahoma"/>
          <w:sz w:val="24"/>
          <w:szCs w:val="24"/>
        </w:rPr>
        <w:t>a pauvreté multidimensionnelle.</w:t>
      </w:r>
    </w:p>
    <w:p w:rsidR="00F80AF3" w:rsidRDefault="007E399B" w:rsidP="008D3838">
      <w:pPr>
        <w:pStyle w:val="Titre6"/>
        <w:numPr>
          <w:ilvl w:val="0"/>
          <w:numId w:val="72"/>
        </w:numPr>
      </w:pPr>
      <w:bookmarkStart w:id="422" w:name="_Toc203643120"/>
      <w:r w:rsidRPr="002462E6">
        <w:t>Problématique de l'accès aux soins de santé</w:t>
      </w:r>
      <w:bookmarkEnd w:id="422"/>
    </w:p>
    <w:p w:rsidR="00F80AF3" w:rsidRPr="00F80AF3" w:rsidRDefault="00F80AF3" w:rsidP="00F80AF3">
      <w:pPr>
        <w:rPr>
          <w:lang w:eastAsia="fr-FR"/>
        </w:rPr>
      </w:pPr>
    </w:p>
    <w:p w:rsidR="004242A6" w:rsidRPr="002462E6" w:rsidRDefault="007E399B" w:rsidP="00247FE0">
      <w:pPr>
        <w:spacing w:line="360" w:lineRule="auto"/>
        <w:jc w:val="both"/>
        <w:rPr>
          <w:rFonts w:ascii="Tahoma" w:hAnsi="Tahoma" w:cs="Tahoma"/>
          <w:sz w:val="24"/>
          <w:szCs w:val="24"/>
        </w:rPr>
      </w:pPr>
      <w:r w:rsidRPr="002462E6">
        <w:rPr>
          <w:rFonts w:ascii="Tahoma" w:hAnsi="Tahoma" w:cs="Tahoma"/>
          <w:sz w:val="24"/>
          <w:szCs w:val="24"/>
        </w:rPr>
        <w:t>Les résultats de l'enquête révèlent des déficiences majeures dans l'accessibilité aux services de santé. Une proportion significative (95%) des personnes interrogées déplore l'éloignement des centres de santé, nécessitant un déplacement supérieur à 10 kilomètres pour accéder aux établissements sanitaires. Cette situation est exacerbée par l'indisponibilité des moyens de transport (</w:t>
      </w:r>
      <w:r w:rsidR="00A54D9A" w:rsidRPr="002462E6">
        <w:rPr>
          <w:rFonts w:ascii="Tahoma" w:hAnsi="Tahoma" w:cs="Tahoma"/>
          <w:sz w:val="24"/>
          <w:szCs w:val="24"/>
        </w:rPr>
        <w:t xml:space="preserve">Cf. </w:t>
      </w:r>
      <w:r w:rsidR="002B500C" w:rsidRPr="002462E6">
        <w:rPr>
          <w:rFonts w:ascii="Tahoma" w:hAnsi="Tahoma" w:cs="Tahoma"/>
          <w:b/>
          <w:bCs/>
          <w:sz w:val="24"/>
          <w:szCs w:val="24"/>
        </w:rPr>
        <w:t xml:space="preserve">Graphe N° </w:t>
      </w:r>
      <w:r w:rsidR="00247FE0">
        <w:rPr>
          <w:rFonts w:ascii="Tahoma" w:hAnsi="Tahoma" w:cs="Tahoma"/>
          <w:b/>
          <w:bCs/>
          <w:sz w:val="24"/>
          <w:szCs w:val="24"/>
        </w:rPr>
        <w:t>2</w:t>
      </w:r>
      <w:r w:rsidRPr="002462E6">
        <w:rPr>
          <w:rFonts w:ascii="Tahoma" w:hAnsi="Tahoma" w:cs="Tahoma"/>
          <w:sz w:val="24"/>
          <w:szCs w:val="24"/>
        </w:rPr>
        <w:t>).</w:t>
      </w:r>
    </w:p>
    <w:p w:rsidR="00795C28" w:rsidRPr="002462E6" w:rsidRDefault="00795C28" w:rsidP="000D57A1">
      <w:pPr>
        <w:pStyle w:val="Sous-titre"/>
      </w:pPr>
      <w:bookmarkStart w:id="423" w:name="_Toc203642534"/>
      <w:r w:rsidRPr="002462E6">
        <w:t xml:space="preserve">Graphe </w:t>
      </w:r>
      <w:r w:rsidR="00225ED1">
        <w:rPr>
          <w:noProof/>
        </w:rPr>
        <w:fldChar w:fldCharType="begin"/>
      </w:r>
      <w:r w:rsidR="00225ED1">
        <w:rPr>
          <w:noProof/>
        </w:rPr>
        <w:instrText xml:space="preserve"> SEQ Graphe \* ARABIC </w:instrText>
      </w:r>
      <w:r w:rsidR="00225ED1">
        <w:rPr>
          <w:noProof/>
        </w:rPr>
        <w:fldChar w:fldCharType="separate"/>
      </w:r>
      <w:r w:rsidR="00124AFB">
        <w:rPr>
          <w:noProof/>
        </w:rPr>
        <w:t>2</w:t>
      </w:r>
      <w:r w:rsidR="00225ED1">
        <w:rPr>
          <w:noProof/>
        </w:rPr>
        <w:fldChar w:fldCharType="end"/>
      </w:r>
      <w:r w:rsidRPr="002462E6">
        <w:t xml:space="preserve"> : </w:t>
      </w:r>
      <w:r w:rsidR="00713E54" w:rsidRPr="002462E6">
        <w:t>Répartition de la population enquêtée en % vivant à plus de 10 km du centre de santé</w:t>
      </w:r>
      <w:bookmarkEnd w:id="423"/>
    </w:p>
    <w:p w:rsidR="00BD4EF9" w:rsidRPr="002462E6" w:rsidRDefault="00BD4EF9" w:rsidP="002A5B6E">
      <w:pPr>
        <w:rPr>
          <w:rFonts w:ascii="Tahoma" w:hAnsi="Tahoma" w:cs="Tahoma"/>
          <w:sz w:val="24"/>
          <w:szCs w:val="24"/>
        </w:rPr>
      </w:pPr>
    </w:p>
    <w:p w:rsidR="007E399B" w:rsidRPr="002462E6" w:rsidRDefault="00713E54" w:rsidP="007E399B">
      <w:pPr>
        <w:spacing w:line="360" w:lineRule="auto"/>
        <w:jc w:val="center"/>
        <w:rPr>
          <w:rFonts w:ascii="Tahoma" w:hAnsi="Tahoma" w:cs="Tahoma"/>
          <w:sz w:val="24"/>
          <w:szCs w:val="24"/>
        </w:rPr>
      </w:pPr>
      <w:r w:rsidRPr="002462E6">
        <w:rPr>
          <w:noProof/>
          <w:lang w:eastAsia="fr-FR"/>
        </w:rPr>
        <w:drawing>
          <wp:inline distT="0" distB="0" distL="0" distR="0" wp14:anchorId="1786F8C1" wp14:editId="3001BA36">
            <wp:extent cx="4572000" cy="2609850"/>
            <wp:effectExtent l="0" t="0" r="19050" b="19050"/>
            <wp:docPr id="956995676" name="Graphique 956995676"/>
            <wp:cNvGraphicFramePr/>
            <a:graphic xmlns:a="http://schemas.openxmlformats.org/drawingml/2006/main">
              <a:graphicData uri="http://schemas.openxmlformats.org/drawingml/2006/chart">
                <c:chart xmlns:c="http://schemas.openxmlformats.org/drawingml/2006/chart" xmlns:r="http://schemas.openxmlformats.org/officeDocument/2006/relationships" r:id="rId40"/>
              </a:graphicData>
            </a:graphic>
          </wp:inline>
        </w:drawing>
      </w:r>
    </w:p>
    <w:p w:rsidR="007E399B" w:rsidRPr="002462E6" w:rsidRDefault="007E399B" w:rsidP="00F82D10">
      <w:pPr>
        <w:spacing w:line="360" w:lineRule="auto"/>
        <w:jc w:val="center"/>
        <w:rPr>
          <w:rFonts w:ascii="Tahoma" w:hAnsi="Tahoma" w:cs="Tahoma"/>
          <w:sz w:val="20"/>
          <w:szCs w:val="20"/>
        </w:rPr>
      </w:pPr>
      <w:r w:rsidRPr="002462E6">
        <w:rPr>
          <w:rFonts w:ascii="Tahoma" w:hAnsi="Tahoma" w:cs="Tahoma"/>
          <w:b/>
          <w:bCs/>
          <w:sz w:val="20"/>
          <w:szCs w:val="20"/>
        </w:rPr>
        <w:t>Source</w:t>
      </w:r>
      <w:r w:rsidRPr="002462E6">
        <w:rPr>
          <w:rFonts w:ascii="Tahoma" w:hAnsi="Tahoma" w:cs="Tahoma"/>
          <w:sz w:val="20"/>
          <w:szCs w:val="20"/>
        </w:rPr>
        <w:t> : résultats de l’enquête</w:t>
      </w:r>
    </w:p>
    <w:p w:rsidR="007E399B" w:rsidRPr="002462E6" w:rsidRDefault="007E399B" w:rsidP="007E399B">
      <w:pPr>
        <w:spacing w:line="360" w:lineRule="auto"/>
        <w:rPr>
          <w:rFonts w:ascii="Tahoma" w:hAnsi="Tahoma" w:cs="Tahoma"/>
          <w:sz w:val="24"/>
          <w:szCs w:val="24"/>
        </w:rPr>
      </w:pPr>
    </w:p>
    <w:p w:rsidR="00F82D10" w:rsidRPr="00F80AF3" w:rsidRDefault="00713E54" w:rsidP="00F80AF3">
      <w:pPr>
        <w:spacing w:line="360" w:lineRule="auto"/>
        <w:jc w:val="both"/>
        <w:rPr>
          <w:rFonts w:ascii="Tahoma" w:hAnsi="Tahoma" w:cs="Tahoma"/>
          <w:sz w:val="24"/>
          <w:szCs w:val="24"/>
        </w:rPr>
      </w:pPr>
      <w:r w:rsidRPr="002462E6">
        <w:rPr>
          <w:rFonts w:ascii="Tahoma" w:hAnsi="Tahoma" w:cs="Tahoma"/>
          <w:sz w:val="24"/>
          <w:szCs w:val="24"/>
        </w:rPr>
        <w:t>Les données du Haut-Commissariat au Plan (HCP, 2014) corroborent ces observations : 30,20% des ruraux malades parcourent entre 6 et 20 km pour accéder à un centre sanitaire de proximité, ce taux s'élevant à 47,80% lorsque la distance dépasse 20 km</w:t>
      </w:r>
      <w:r w:rsidRPr="002462E6">
        <w:rPr>
          <w:rFonts w:ascii="Tahoma" w:hAnsi="Tahoma" w:cs="Tahoma"/>
          <w:sz w:val="24"/>
          <w:szCs w:val="24"/>
          <w:vertAlign w:val="superscript"/>
        </w:rPr>
        <w:footnoteReference w:id="895"/>
      </w:r>
      <w:r w:rsidRPr="002462E6">
        <w:rPr>
          <w:rFonts w:ascii="Tahoma" w:hAnsi="Tahoma" w:cs="Tahoma"/>
          <w:sz w:val="24"/>
          <w:szCs w:val="24"/>
        </w:rPr>
        <w:t>. Selon le Conseil Économique, Social et Environnemental (CESE, 2013), le réseau des Établissements de Soins de Santé de Base (ESSB) souffre de problèmes structurels : absence de carte sanitaire, insuffisance de moyens humains et financiers, gestion inefficiente et trop centralisée</w:t>
      </w:r>
      <w:r w:rsidRPr="002462E6">
        <w:rPr>
          <w:rFonts w:ascii="Tahoma" w:hAnsi="Tahoma" w:cs="Tahoma"/>
          <w:sz w:val="24"/>
          <w:szCs w:val="24"/>
          <w:vertAlign w:val="superscript"/>
        </w:rPr>
        <w:footnoteReference w:id="896"/>
      </w:r>
      <w:r w:rsidR="00F80AF3">
        <w:rPr>
          <w:rFonts w:ascii="Tahoma" w:hAnsi="Tahoma" w:cs="Tahoma"/>
          <w:sz w:val="24"/>
          <w:szCs w:val="24"/>
        </w:rPr>
        <w:t>.</w:t>
      </w:r>
    </w:p>
    <w:p w:rsidR="007E399B" w:rsidRDefault="00713B6A" w:rsidP="008D3838">
      <w:pPr>
        <w:pStyle w:val="Titre6"/>
      </w:pPr>
      <w:bookmarkStart w:id="424" w:name="_Toc203643121"/>
      <w:r w:rsidRPr="002462E6">
        <w:t>Mortalité infantile et inégalités territoriales</w:t>
      </w:r>
      <w:bookmarkEnd w:id="424"/>
    </w:p>
    <w:p w:rsidR="00F80AF3" w:rsidRPr="00F80AF3" w:rsidRDefault="00F80AF3" w:rsidP="00F80AF3">
      <w:pPr>
        <w:rPr>
          <w:lang w:eastAsia="fr-FR"/>
        </w:rPr>
      </w:pPr>
    </w:p>
    <w:p w:rsidR="00713B6A" w:rsidRPr="002462E6" w:rsidRDefault="00713B6A" w:rsidP="00F80AF3">
      <w:pPr>
        <w:spacing w:line="360" w:lineRule="auto"/>
        <w:jc w:val="both"/>
        <w:rPr>
          <w:rFonts w:ascii="Tahoma" w:hAnsi="Tahoma" w:cs="Tahoma"/>
          <w:sz w:val="24"/>
          <w:szCs w:val="24"/>
        </w:rPr>
      </w:pPr>
      <w:r w:rsidRPr="002462E6">
        <w:rPr>
          <w:rFonts w:ascii="Tahoma" w:hAnsi="Tahoma" w:cs="Tahoma"/>
          <w:sz w:val="24"/>
          <w:szCs w:val="24"/>
        </w:rPr>
        <w:t>L'enquête révèle un taux de mortalité infantile de 21% dans la zone d'étude, reflétant les disparités sanitaires structurelles (cf. graphique n°2).  Le CESE (2013) souligne que « les taux de mortalité maternelle et infantile restent parmi les plus élevés de la région MENA, et sont fortement corrélés à la pauvreté et la ruralité »</w:t>
      </w:r>
      <w:r w:rsidRPr="002462E6">
        <w:rPr>
          <w:rFonts w:ascii="Tahoma" w:hAnsi="Tahoma" w:cs="Tahoma"/>
          <w:sz w:val="24"/>
          <w:szCs w:val="24"/>
          <w:vertAlign w:val="superscript"/>
        </w:rPr>
        <w:footnoteReference w:id="897"/>
      </w:r>
      <w:r w:rsidRPr="002462E6">
        <w:rPr>
          <w:rFonts w:ascii="Tahoma" w:hAnsi="Tahoma" w:cs="Tahoma"/>
          <w:sz w:val="24"/>
          <w:szCs w:val="24"/>
        </w:rPr>
        <w:t>. Cette corrélation met en évidence l'intersectionnalité des vulnérabilités socioéconomiques et sanitaires, conformément aux analyses de Sen sur la privation de libertés essentielles</w:t>
      </w:r>
      <w:r w:rsidRPr="002462E6">
        <w:rPr>
          <w:rFonts w:ascii="Tahoma" w:hAnsi="Tahoma" w:cs="Tahoma"/>
          <w:sz w:val="24"/>
          <w:szCs w:val="24"/>
          <w:vertAlign w:val="superscript"/>
        </w:rPr>
        <w:footnoteReference w:id="898"/>
      </w:r>
      <w:r w:rsidRPr="002462E6">
        <w:rPr>
          <w:rFonts w:ascii="Tahoma" w:hAnsi="Tahoma" w:cs="Tahoma"/>
          <w:sz w:val="24"/>
          <w:szCs w:val="24"/>
        </w:rPr>
        <w:t>.</w:t>
      </w:r>
    </w:p>
    <w:p w:rsidR="00795C28" w:rsidRPr="002462E6" w:rsidRDefault="0046063D" w:rsidP="000D57A1">
      <w:pPr>
        <w:pStyle w:val="Sous-titre"/>
      </w:pPr>
      <w:bookmarkStart w:id="425" w:name="_Toc203642535"/>
      <w:r w:rsidRPr="002462E6">
        <w:t>Graphe</w:t>
      </w:r>
      <w:r w:rsidR="00795C28" w:rsidRPr="002462E6">
        <w:t xml:space="preserve"> </w:t>
      </w:r>
      <w:r w:rsidR="00225ED1">
        <w:rPr>
          <w:noProof/>
        </w:rPr>
        <w:fldChar w:fldCharType="begin"/>
      </w:r>
      <w:r w:rsidR="00225ED1">
        <w:rPr>
          <w:noProof/>
        </w:rPr>
        <w:instrText xml:space="preserve"> SEQ Graphe \* ARABIC </w:instrText>
      </w:r>
      <w:r w:rsidR="00225ED1">
        <w:rPr>
          <w:noProof/>
        </w:rPr>
        <w:fldChar w:fldCharType="separate"/>
      </w:r>
      <w:r w:rsidR="00124AFB">
        <w:rPr>
          <w:noProof/>
        </w:rPr>
        <w:t>3</w:t>
      </w:r>
      <w:r w:rsidR="00225ED1">
        <w:rPr>
          <w:noProof/>
        </w:rPr>
        <w:fldChar w:fldCharType="end"/>
      </w:r>
      <w:r w:rsidR="00795C28" w:rsidRPr="002462E6">
        <w:t xml:space="preserve"> : Taux de mortalité infantile dans les Douars enquêtés</w:t>
      </w:r>
      <w:bookmarkEnd w:id="425"/>
    </w:p>
    <w:p w:rsidR="007E399B" w:rsidRPr="002462E6" w:rsidRDefault="007E399B" w:rsidP="007E399B">
      <w:pPr>
        <w:spacing w:line="360" w:lineRule="auto"/>
        <w:rPr>
          <w:rFonts w:ascii="Tahoma" w:hAnsi="Tahoma" w:cs="Tahoma"/>
          <w:sz w:val="24"/>
          <w:szCs w:val="24"/>
        </w:rPr>
      </w:pPr>
      <w:r w:rsidRPr="002462E6">
        <w:rPr>
          <w:rFonts w:ascii="Tahoma" w:hAnsi="Tahoma" w:cs="Tahoma"/>
          <w:noProof/>
          <w:sz w:val="24"/>
          <w:szCs w:val="24"/>
          <w:lang w:eastAsia="fr-FR"/>
        </w:rPr>
        <w:drawing>
          <wp:inline distT="0" distB="0" distL="0" distR="0" wp14:anchorId="4D518900" wp14:editId="4C01A79B">
            <wp:extent cx="5234230" cy="2695699"/>
            <wp:effectExtent l="0" t="0" r="5080" b="0"/>
            <wp:docPr id="956995653" name="Image 9569956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236845" cy="2697046"/>
                    </a:xfrm>
                    <a:prstGeom prst="rect">
                      <a:avLst/>
                    </a:prstGeom>
                    <a:noFill/>
                  </pic:spPr>
                </pic:pic>
              </a:graphicData>
            </a:graphic>
          </wp:inline>
        </w:drawing>
      </w:r>
    </w:p>
    <w:p w:rsidR="007E399B" w:rsidRPr="002462E6" w:rsidRDefault="007E399B" w:rsidP="001676D0">
      <w:pPr>
        <w:spacing w:line="360" w:lineRule="auto"/>
        <w:jc w:val="center"/>
        <w:rPr>
          <w:rFonts w:ascii="Tahoma" w:hAnsi="Tahoma" w:cs="Tahoma"/>
          <w:sz w:val="20"/>
          <w:szCs w:val="20"/>
        </w:rPr>
      </w:pPr>
      <w:r w:rsidRPr="002462E6">
        <w:rPr>
          <w:rFonts w:ascii="Tahoma" w:hAnsi="Tahoma" w:cs="Tahoma"/>
          <w:b/>
          <w:bCs/>
          <w:sz w:val="20"/>
          <w:szCs w:val="20"/>
        </w:rPr>
        <w:t>Source</w:t>
      </w:r>
      <w:r w:rsidR="001676D0" w:rsidRPr="002462E6">
        <w:rPr>
          <w:rFonts w:ascii="Tahoma" w:hAnsi="Tahoma" w:cs="Tahoma"/>
          <w:sz w:val="20"/>
          <w:szCs w:val="20"/>
        </w:rPr>
        <w:t> : résultats de l’enquête</w:t>
      </w:r>
    </w:p>
    <w:p w:rsidR="002B500C" w:rsidRPr="00F80AF3" w:rsidRDefault="001676D0" w:rsidP="00F80AF3">
      <w:pPr>
        <w:spacing w:line="360" w:lineRule="auto"/>
        <w:jc w:val="both"/>
        <w:rPr>
          <w:rFonts w:ascii="Tahoma" w:hAnsi="Tahoma" w:cs="Tahoma"/>
          <w:sz w:val="24"/>
          <w:szCs w:val="24"/>
        </w:rPr>
      </w:pPr>
      <w:r w:rsidRPr="002462E6">
        <w:rPr>
          <w:rFonts w:ascii="Tahoma" w:hAnsi="Tahoma" w:cs="Tahoma"/>
          <w:sz w:val="24"/>
          <w:szCs w:val="24"/>
        </w:rPr>
        <w:t>Dans cette perspective, la santé publique ne peut être dissociée des conditions environnementales locales. La dégradation des écosystèmes forestiers contribue à la détérioration des conditions sanitaires par la diminution de la qualité de l'air, la réduction de la disponibilité en eau potable et l'altération des servi</w:t>
      </w:r>
      <w:r w:rsidR="00F80AF3">
        <w:rPr>
          <w:rFonts w:ascii="Tahoma" w:hAnsi="Tahoma" w:cs="Tahoma"/>
          <w:sz w:val="24"/>
          <w:szCs w:val="24"/>
        </w:rPr>
        <w:t>ces écosystémiques régulateurs.</w:t>
      </w:r>
    </w:p>
    <w:p w:rsidR="007E399B" w:rsidRPr="002462E6" w:rsidRDefault="007E399B" w:rsidP="008D3838">
      <w:pPr>
        <w:pStyle w:val="Titre6"/>
      </w:pPr>
      <w:bookmarkStart w:id="426" w:name="_Toc203643122"/>
      <w:r w:rsidRPr="002462E6">
        <w:t>Couverture médicale et obstacles administratifs</w:t>
      </w:r>
      <w:bookmarkEnd w:id="426"/>
    </w:p>
    <w:p w:rsidR="007E399B" w:rsidRPr="002462E6" w:rsidRDefault="007E399B" w:rsidP="007E399B">
      <w:pPr>
        <w:spacing w:line="360" w:lineRule="auto"/>
        <w:rPr>
          <w:rFonts w:ascii="Tahoma" w:hAnsi="Tahoma" w:cs="Tahoma"/>
          <w:sz w:val="18"/>
          <w:szCs w:val="18"/>
        </w:rPr>
      </w:pPr>
    </w:p>
    <w:p w:rsidR="005A2398" w:rsidRPr="002462E6" w:rsidRDefault="005A2398" w:rsidP="005A2398">
      <w:pPr>
        <w:spacing w:line="360" w:lineRule="auto"/>
        <w:jc w:val="both"/>
        <w:rPr>
          <w:rFonts w:ascii="Tahoma" w:hAnsi="Tahoma" w:cs="Tahoma"/>
          <w:sz w:val="24"/>
          <w:szCs w:val="24"/>
        </w:rPr>
      </w:pPr>
      <w:r w:rsidRPr="002462E6">
        <w:rPr>
          <w:rFonts w:ascii="Tahoma" w:hAnsi="Tahoma" w:cs="Tahoma"/>
          <w:sz w:val="24"/>
          <w:szCs w:val="24"/>
        </w:rPr>
        <w:t>La majorité des enquêtés (63%) bénéficient du Régime d'Assistance Médicale (RAMED) comme l’illustre le graphique présenté ci-dessous. Toutefois, l'acquisition de cette couverture se heurte à des obstacles administratifs structurels, notamment les frais liés à la constitution du dossier, la distance importante séparant les usagers des caïdats, ainsi que les difficultés de communication. Selon les enquêtés, ces contraintes ont conduit certains bénéficiaires potentiels à renoncer au processus d’adhésion.</w:t>
      </w:r>
    </w:p>
    <w:p w:rsidR="00795C28" w:rsidRPr="002462E6" w:rsidRDefault="00795C28" w:rsidP="000D57A1">
      <w:pPr>
        <w:pStyle w:val="Sous-titre"/>
      </w:pPr>
      <w:bookmarkStart w:id="427" w:name="_Toc203642536"/>
      <w:r w:rsidRPr="002462E6">
        <w:t>Graphe</w:t>
      </w:r>
      <w:r w:rsidR="00247FE0">
        <w:t xml:space="preserve"> </w:t>
      </w:r>
      <w:r w:rsidR="00225ED1">
        <w:rPr>
          <w:noProof/>
        </w:rPr>
        <w:fldChar w:fldCharType="begin"/>
      </w:r>
      <w:r w:rsidR="00225ED1">
        <w:rPr>
          <w:noProof/>
        </w:rPr>
        <w:instrText xml:space="preserve"> SEQ Graphe \* ARABIC </w:instrText>
      </w:r>
      <w:r w:rsidR="00225ED1">
        <w:rPr>
          <w:noProof/>
        </w:rPr>
        <w:fldChar w:fldCharType="separate"/>
      </w:r>
      <w:r w:rsidR="00124AFB">
        <w:rPr>
          <w:noProof/>
        </w:rPr>
        <w:t>4</w:t>
      </w:r>
      <w:r w:rsidR="00225ED1">
        <w:rPr>
          <w:noProof/>
        </w:rPr>
        <w:fldChar w:fldCharType="end"/>
      </w:r>
      <w:r w:rsidRPr="002462E6">
        <w:t xml:space="preserve"> : Répartition des enquêtés par détention de la carte du Régime d’Assistance Médicale (RAMED)</w:t>
      </w:r>
      <w:bookmarkEnd w:id="427"/>
    </w:p>
    <w:p w:rsidR="007E399B" w:rsidRPr="002462E6" w:rsidRDefault="007E399B" w:rsidP="00A20D7E">
      <w:pPr>
        <w:spacing w:line="360" w:lineRule="auto"/>
        <w:jc w:val="center"/>
        <w:rPr>
          <w:rFonts w:ascii="Tahoma" w:hAnsi="Tahoma" w:cs="Tahoma"/>
          <w:sz w:val="24"/>
          <w:szCs w:val="24"/>
        </w:rPr>
      </w:pPr>
      <w:r w:rsidRPr="002462E6">
        <w:rPr>
          <w:noProof/>
          <w:lang w:eastAsia="fr-FR"/>
        </w:rPr>
        <w:drawing>
          <wp:inline distT="0" distB="0" distL="0" distR="0" wp14:anchorId="7687C0A5" wp14:editId="50F663E4">
            <wp:extent cx="4667250" cy="2181860"/>
            <wp:effectExtent l="0" t="0" r="0" b="8890"/>
            <wp:docPr id="54" name="Graphique 54"/>
            <wp:cNvGraphicFramePr/>
            <a:graphic xmlns:a="http://schemas.openxmlformats.org/drawingml/2006/main">
              <a:graphicData uri="http://schemas.openxmlformats.org/drawingml/2006/chart">
                <c:chart xmlns:c="http://schemas.openxmlformats.org/drawingml/2006/chart" xmlns:r="http://schemas.openxmlformats.org/officeDocument/2006/relationships" r:id="rId42"/>
              </a:graphicData>
            </a:graphic>
          </wp:inline>
        </w:drawing>
      </w:r>
    </w:p>
    <w:p w:rsidR="007E399B" w:rsidRPr="002462E6" w:rsidRDefault="007E399B" w:rsidP="00F82D10">
      <w:pPr>
        <w:spacing w:line="360" w:lineRule="auto"/>
        <w:jc w:val="center"/>
        <w:rPr>
          <w:rFonts w:ascii="Tahoma" w:hAnsi="Tahoma" w:cs="Tahoma"/>
          <w:sz w:val="20"/>
          <w:szCs w:val="20"/>
        </w:rPr>
      </w:pPr>
      <w:r w:rsidRPr="002462E6">
        <w:rPr>
          <w:rFonts w:ascii="Tahoma" w:hAnsi="Tahoma" w:cs="Tahoma"/>
          <w:b/>
          <w:bCs/>
          <w:sz w:val="20"/>
          <w:szCs w:val="20"/>
        </w:rPr>
        <w:t>Source</w:t>
      </w:r>
      <w:r w:rsidRPr="002462E6">
        <w:rPr>
          <w:rFonts w:ascii="Tahoma" w:hAnsi="Tahoma" w:cs="Tahoma"/>
          <w:sz w:val="20"/>
          <w:szCs w:val="20"/>
        </w:rPr>
        <w:t xml:space="preserve"> : résultats de l’enquête</w:t>
      </w:r>
    </w:p>
    <w:p w:rsidR="007E399B" w:rsidRPr="002462E6" w:rsidRDefault="007E399B" w:rsidP="007E399B">
      <w:pPr>
        <w:spacing w:line="360" w:lineRule="auto"/>
        <w:rPr>
          <w:rFonts w:ascii="Tahoma" w:hAnsi="Tahoma" w:cs="Tahoma"/>
          <w:sz w:val="20"/>
          <w:szCs w:val="20"/>
        </w:rPr>
      </w:pPr>
    </w:p>
    <w:p w:rsidR="00A20D7E" w:rsidRPr="002462E6" w:rsidRDefault="007E399B" w:rsidP="00012FFC">
      <w:pPr>
        <w:spacing w:line="360" w:lineRule="auto"/>
        <w:jc w:val="both"/>
        <w:rPr>
          <w:rFonts w:ascii="Tahoma" w:hAnsi="Tahoma" w:cs="Tahoma"/>
          <w:sz w:val="24"/>
          <w:szCs w:val="24"/>
        </w:rPr>
      </w:pPr>
      <w:r w:rsidRPr="002462E6">
        <w:rPr>
          <w:rFonts w:ascii="Tahoma" w:hAnsi="Tahoma" w:cs="Tahoma"/>
          <w:sz w:val="24"/>
          <w:szCs w:val="24"/>
        </w:rPr>
        <w:t>Le Maroc a mis en place la loi 65-00 relative à la couverture médicale en 2005, comprenant l'Assurance Maladie Obligatoire (AMO) et le RAMED. Le taux de couverture médicale est passé de 16% en 2005 à 70,2% en 2020, selon l'Agence Nationale de l'Assurance Maladie (ANAM)¹⁶. Toutefois, ces avancées quantitatives masquent des inégalités qualitatives d'accès aux soins, particulièrement marquées en milieu rural montagnard.</w:t>
      </w:r>
    </w:p>
    <w:p w:rsidR="007E399B" w:rsidRPr="002462E6" w:rsidRDefault="007E399B" w:rsidP="008D3838">
      <w:pPr>
        <w:pStyle w:val="Titre6"/>
      </w:pPr>
      <w:bookmarkStart w:id="428" w:name="_Toc203643123"/>
      <w:r w:rsidRPr="002462E6">
        <w:t>Situation nutritionnelle et sécurité alimentaire</w:t>
      </w:r>
      <w:bookmarkEnd w:id="428"/>
    </w:p>
    <w:p w:rsidR="00236D1C" w:rsidRPr="00236D1C" w:rsidRDefault="00236D1C" w:rsidP="0046063D">
      <w:pPr>
        <w:spacing w:line="360" w:lineRule="auto"/>
        <w:jc w:val="both"/>
        <w:rPr>
          <w:rFonts w:ascii="Tahoma" w:hAnsi="Tahoma" w:cs="Tahoma"/>
          <w:sz w:val="14"/>
          <w:szCs w:val="14"/>
        </w:rPr>
      </w:pPr>
    </w:p>
    <w:p w:rsidR="00012FFC" w:rsidRPr="002462E6" w:rsidRDefault="0046063D" w:rsidP="0046063D">
      <w:pPr>
        <w:spacing w:line="360" w:lineRule="auto"/>
        <w:jc w:val="both"/>
        <w:rPr>
          <w:rFonts w:ascii="Tahoma" w:hAnsi="Tahoma" w:cs="Tahoma"/>
          <w:sz w:val="24"/>
          <w:szCs w:val="24"/>
        </w:rPr>
      </w:pPr>
      <w:r w:rsidRPr="002462E6">
        <w:rPr>
          <w:rFonts w:ascii="Tahoma" w:hAnsi="Tahoma" w:cs="Tahoma"/>
          <w:sz w:val="24"/>
          <w:szCs w:val="24"/>
        </w:rPr>
        <w:t>La nutrition constitue un déterminant majeur de la santé globale et s'inscrit dans la problématique plus large de la sécurité alimentaire. L'enquête révèle que 90% des ruraux interrogés considèrent leur alimentation comme insalubre et déséquilibrée (Cf. graphe n°6). Cette situation reflète les disparités alimentaires entre milieux rural et urbain, exacerbant les inégalités sanitaires.</w:t>
      </w:r>
    </w:p>
    <w:p w:rsidR="0046063D" w:rsidRPr="002462E6" w:rsidRDefault="0046063D" w:rsidP="000D57A1">
      <w:pPr>
        <w:pStyle w:val="Sous-titre"/>
      </w:pPr>
      <w:bookmarkStart w:id="429" w:name="_Toc203642537"/>
      <w:r w:rsidRPr="002462E6">
        <w:t xml:space="preserve">Graphe </w:t>
      </w:r>
      <w:r w:rsidR="00225ED1">
        <w:rPr>
          <w:noProof/>
        </w:rPr>
        <w:fldChar w:fldCharType="begin"/>
      </w:r>
      <w:r w:rsidR="00225ED1">
        <w:rPr>
          <w:noProof/>
        </w:rPr>
        <w:instrText xml:space="preserve"> SEQ Graphe \* ARABIC </w:instrText>
      </w:r>
      <w:r w:rsidR="00225ED1">
        <w:rPr>
          <w:noProof/>
        </w:rPr>
        <w:fldChar w:fldCharType="separate"/>
      </w:r>
      <w:r w:rsidR="00124AFB">
        <w:rPr>
          <w:noProof/>
        </w:rPr>
        <w:t>5</w:t>
      </w:r>
      <w:r w:rsidR="00225ED1">
        <w:rPr>
          <w:noProof/>
        </w:rPr>
        <w:fldChar w:fldCharType="end"/>
      </w:r>
      <w:r w:rsidRPr="002462E6">
        <w:t xml:space="preserve"> : Appréciation des enquêtés en % par rapport à l’alimentation saine et équilibrée</w:t>
      </w:r>
      <w:bookmarkEnd w:id="429"/>
    </w:p>
    <w:p w:rsidR="00745D1A" w:rsidRPr="002462E6" w:rsidRDefault="007E399B" w:rsidP="006815F2">
      <w:pPr>
        <w:spacing w:line="360" w:lineRule="auto"/>
        <w:jc w:val="center"/>
        <w:rPr>
          <w:rFonts w:ascii="Tahoma" w:hAnsi="Tahoma" w:cs="Tahoma"/>
          <w:sz w:val="24"/>
          <w:szCs w:val="24"/>
        </w:rPr>
      </w:pPr>
      <w:r w:rsidRPr="002462E6">
        <w:rPr>
          <w:noProof/>
          <w:lang w:eastAsia="fr-FR"/>
        </w:rPr>
        <w:drawing>
          <wp:inline distT="0" distB="0" distL="0" distR="0" wp14:anchorId="1762F587" wp14:editId="4A71EB66">
            <wp:extent cx="5524500" cy="2781300"/>
            <wp:effectExtent l="0" t="0" r="0" b="0"/>
            <wp:docPr id="64" name="Graphique 64"/>
            <wp:cNvGraphicFramePr/>
            <a:graphic xmlns:a="http://schemas.openxmlformats.org/drawingml/2006/main">
              <a:graphicData uri="http://schemas.openxmlformats.org/drawingml/2006/chart">
                <c:chart xmlns:c="http://schemas.openxmlformats.org/drawingml/2006/chart" xmlns:r="http://schemas.openxmlformats.org/officeDocument/2006/relationships" r:id="rId43"/>
              </a:graphicData>
            </a:graphic>
          </wp:inline>
        </w:drawing>
      </w:r>
    </w:p>
    <w:p w:rsidR="007E399B" w:rsidRPr="002462E6" w:rsidRDefault="007E399B" w:rsidP="006815F2">
      <w:pPr>
        <w:spacing w:line="360" w:lineRule="auto"/>
        <w:jc w:val="center"/>
        <w:rPr>
          <w:rFonts w:ascii="Tahoma" w:hAnsi="Tahoma" w:cs="Tahoma"/>
          <w:sz w:val="20"/>
          <w:szCs w:val="20"/>
        </w:rPr>
      </w:pPr>
      <w:r w:rsidRPr="002462E6">
        <w:rPr>
          <w:rFonts w:ascii="Tahoma" w:hAnsi="Tahoma" w:cs="Tahoma"/>
          <w:b/>
          <w:bCs/>
          <w:sz w:val="20"/>
          <w:szCs w:val="20"/>
        </w:rPr>
        <w:t>Source</w:t>
      </w:r>
      <w:r w:rsidR="006815F2" w:rsidRPr="002462E6">
        <w:rPr>
          <w:rFonts w:ascii="Tahoma" w:hAnsi="Tahoma" w:cs="Tahoma"/>
          <w:sz w:val="20"/>
          <w:szCs w:val="20"/>
        </w:rPr>
        <w:t xml:space="preserve"> : résultats de l’enquête</w:t>
      </w:r>
    </w:p>
    <w:p w:rsidR="006815F2" w:rsidRPr="002462E6" w:rsidRDefault="006815F2" w:rsidP="0046063D">
      <w:pPr>
        <w:spacing w:line="360" w:lineRule="auto"/>
        <w:jc w:val="both"/>
        <w:rPr>
          <w:rFonts w:ascii="Tahoma" w:hAnsi="Tahoma" w:cs="Tahoma"/>
          <w:sz w:val="24"/>
          <w:szCs w:val="24"/>
        </w:rPr>
      </w:pPr>
      <w:r w:rsidRPr="002462E6">
        <w:rPr>
          <w:rFonts w:ascii="Tahoma" w:hAnsi="Tahoma" w:cs="Tahoma"/>
          <w:sz w:val="24"/>
          <w:szCs w:val="24"/>
        </w:rPr>
        <w:t>Par ailleurs, les résultats de l’enquête dévoilent que 42% des enquêtés allouent moins de 18% de leur budget à l'alimentation, taux inférieur aux recommandations internationales</w:t>
      </w:r>
      <w:r w:rsidRPr="002462E6">
        <w:rPr>
          <w:rFonts w:ascii="Tahoma" w:hAnsi="Tahoma" w:cs="Tahoma"/>
          <w:sz w:val="24"/>
          <w:szCs w:val="24"/>
          <w:vertAlign w:val="superscript"/>
        </w:rPr>
        <w:footnoteReference w:id="899"/>
      </w:r>
      <w:r w:rsidRPr="002462E6">
        <w:rPr>
          <w:rFonts w:ascii="Tahoma" w:hAnsi="Tahoma" w:cs="Tahoma"/>
          <w:sz w:val="24"/>
          <w:szCs w:val="24"/>
        </w:rPr>
        <w:t>. La crise Covid-19 a amplifié l'insécurité alimentaire, avec une prévalence estimée à 22,1% pour l'insécurité modérée ou grave, et 3,2% pour l'insécurité sévère</w:t>
      </w:r>
      <w:r w:rsidRPr="002462E6">
        <w:rPr>
          <w:rFonts w:ascii="Tahoma" w:hAnsi="Tahoma" w:cs="Tahoma"/>
          <w:sz w:val="24"/>
          <w:szCs w:val="24"/>
          <w:vertAlign w:val="superscript"/>
        </w:rPr>
        <w:footnoteReference w:id="900"/>
      </w:r>
      <w:r w:rsidRPr="002462E6">
        <w:rPr>
          <w:rFonts w:ascii="Tahoma" w:hAnsi="Tahoma" w:cs="Tahoma"/>
          <w:sz w:val="24"/>
          <w:szCs w:val="24"/>
        </w:rPr>
        <w:t>.</w:t>
      </w:r>
    </w:p>
    <w:p w:rsidR="002A5B6E" w:rsidRPr="002462E6" w:rsidRDefault="002A5B6E" w:rsidP="002A5B6E"/>
    <w:p w:rsidR="00745D1A" w:rsidRPr="002462E6" w:rsidRDefault="00795C28" w:rsidP="000D57A1">
      <w:pPr>
        <w:pStyle w:val="Sous-titre"/>
      </w:pPr>
      <w:bookmarkStart w:id="430" w:name="_Toc203642538"/>
      <w:r w:rsidRPr="002462E6">
        <w:t xml:space="preserve">Graphe </w:t>
      </w:r>
      <w:r w:rsidR="00225ED1">
        <w:rPr>
          <w:noProof/>
        </w:rPr>
        <w:fldChar w:fldCharType="begin"/>
      </w:r>
      <w:r w:rsidR="00225ED1">
        <w:rPr>
          <w:noProof/>
        </w:rPr>
        <w:instrText xml:space="preserve"> SEQ Graphe \* ARABIC </w:instrText>
      </w:r>
      <w:r w:rsidR="00225ED1">
        <w:rPr>
          <w:noProof/>
        </w:rPr>
        <w:fldChar w:fldCharType="separate"/>
      </w:r>
      <w:r w:rsidR="00124AFB">
        <w:rPr>
          <w:noProof/>
        </w:rPr>
        <w:t>6</w:t>
      </w:r>
      <w:r w:rsidR="00225ED1">
        <w:rPr>
          <w:noProof/>
        </w:rPr>
        <w:fldChar w:fldCharType="end"/>
      </w:r>
      <w:r w:rsidRPr="002462E6">
        <w:t xml:space="preserve"> : Part en % des enquêtés par rapport aux dépenses de l'alimentation</w:t>
      </w:r>
      <w:bookmarkEnd w:id="430"/>
    </w:p>
    <w:p w:rsidR="007E399B" w:rsidRPr="002462E6" w:rsidRDefault="007E399B" w:rsidP="00737D18">
      <w:pPr>
        <w:spacing w:line="360" w:lineRule="auto"/>
        <w:jc w:val="center"/>
        <w:rPr>
          <w:rFonts w:ascii="Tahoma" w:hAnsi="Tahoma" w:cs="Tahoma"/>
          <w:sz w:val="24"/>
          <w:szCs w:val="24"/>
        </w:rPr>
      </w:pPr>
      <w:r w:rsidRPr="002462E6">
        <w:rPr>
          <w:noProof/>
          <w:lang w:eastAsia="fr-FR"/>
        </w:rPr>
        <w:drawing>
          <wp:inline distT="0" distB="0" distL="0" distR="0" wp14:anchorId="0F607A1B" wp14:editId="03390D51">
            <wp:extent cx="6219825" cy="4124325"/>
            <wp:effectExtent l="0" t="0" r="9525" b="9525"/>
            <wp:docPr id="183" name="Graphique 183"/>
            <wp:cNvGraphicFramePr/>
            <a:graphic xmlns:a="http://schemas.openxmlformats.org/drawingml/2006/main">
              <a:graphicData uri="http://schemas.openxmlformats.org/drawingml/2006/chart">
                <c:chart xmlns:c="http://schemas.openxmlformats.org/drawingml/2006/chart" xmlns:r="http://schemas.openxmlformats.org/officeDocument/2006/relationships" r:id="rId44"/>
              </a:graphicData>
            </a:graphic>
          </wp:inline>
        </w:drawing>
      </w:r>
    </w:p>
    <w:p w:rsidR="007E399B" w:rsidRPr="002462E6" w:rsidRDefault="007E399B" w:rsidP="00F82D10">
      <w:pPr>
        <w:spacing w:line="360" w:lineRule="auto"/>
        <w:jc w:val="center"/>
        <w:rPr>
          <w:rFonts w:ascii="Tahoma" w:hAnsi="Tahoma" w:cs="Tahoma"/>
          <w:sz w:val="20"/>
          <w:szCs w:val="20"/>
        </w:rPr>
      </w:pPr>
      <w:r w:rsidRPr="002462E6">
        <w:rPr>
          <w:rFonts w:ascii="Tahoma" w:hAnsi="Tahoma" w:cs="Tahoma"/>
          <w:b/>
          <w:bCs/>
          <w:sz w:val="20"/>
          <w:szCs w:val="20"/>
        </w:rPr>
        <w:t>Source</w:t>
      </w:r>
      <w:r w:rsidRPr="002462E6">
        <w:rPr>
          <w:rFonts w:ascii="Tahoma" w:hAnsi="Tahoma" w:cs="Tahoma"/>
          <w:sz w:val="20"/>
          <w:szCs w:val="20"/>
        </w:rPr>
        <w:t xml:space="preserve"> : résultats de l’enquête</w:t>
      </w:r>
    </w:p>
    <w:p w:rsidR="007E399B" w:rsidRPr="002462E6" w:rsidRDefault="007E399B" w:rsidP="007E399B">
      <w:pPr>
        <w:spacing w:line="360" w:lineRule="auto"/>
        <w:rPr>
          <w:rFonts w:ascii="Tahoma" w:hAnsi="Tahoma" w:cs="Tahoma"/>
          <w:sz w:val="16"/>
          <w:szCs w:val="16"/>
        </w:rPr>
      </w:pPr>
    </w:p>
    <w:p w:rsidR="007E399B" w:rsidRPr="002462E6" w:rsidRDefault="007E399B" w:rsidP="007E399B">
      <w:pPr>
        <w:spacing w:line="360" w:lineRule="auto"/>
        <w:jc w:val="both"/>
        <w:rPr>
          <w:rFonts w:ascii="Tahoma" w:hAnsi="Tahoma" w:cs="Tahoma"/>
          <w:sz w:val="24"/>
          <w:szCs w:val="24"/>
        </w:rPr>
      </w:pPr>
      <w:r w:rsidRPr="002462E6">
        <w:rPr>
          <w:rFonts w:ascii="Tahoma" w:hAnsi="Tahoma" w:cs="Tahoma"/>
          <w:sz w:val="24"/>
          <w:szCs w:val="24"/>
        </w:rPr>
        <w:t>Cette problématique alimentaire s'articule directement avec l'usage des ressources forestières, notamment à travers la cueillette de plantes alimentaires, les pratiques agropastorales en lisière forestière et l'exploitation de produits forestiers non ligneux (PFNL) comme compléments nutritionnels et sources de revenus</w:t>
      </w:r>
      <w:r w:rsidR="005561B0" w:rsidRPr="002462E6">
        <w:rPr>
          <w:rFonts w:ascii="Tahoma" w:hAnsi="Tahoma" w:cs="Tahoma"/>
          <w:sz w:val="24"/>
          <w:szCs w:val="24"/>
        </w:rPr>
        <w:t>.</w:t>
      </w:r>
    </w:p>
    <w:p w:rsidR="007E399B" w:rsidRPr="002462E6" w:rsidRDefault="007E399B" w:rsidP="007E399B">
      <w:pPr>
        <w:spacing w:line="360" w:lineRule="auto"/>
        <w:rPr>
          <w:rFonts w:ascii="Tahoma" w:hAnsi="Tahoma" w:cs="Tahoma"/>
          <w:sz w:val="24"/>
          <w:szCs w:val="24"/>
        </w:rPr>
      </w:pPr>
    </w:p>
    <w:p w:rsidR="007E399B" w:rsidRPr="002462E6" w:rsidRDefault="007E399B" w:rsidP="008D3838">
      <w:pPr>
        <w:pStyle w:val="Titre6"/>
      </w:pPr>
      <w:bookmarkStart w:id="431" w:name="_Toc203643124"/>
      <w:r w:rsidRPr="002462E6">
        <w:t>Situation du handicap et vulnérabilités spécifiques</w:t>
      </w:r>
      <w:bookmarkEnd w:id="431"/>
    </w:p>
    <w:p w:rsidR="007E399B" w:rsidRPr="002462E6" w:rsidRDefault="007E399B" w:rsidP="007E399B">
      <w:pPr>
        <w:spacing w:line="360" w:lineRule="auto"/>
        <w:rPr>
          <w:rFonts w:ascii="Tahoma" w:hAnsi="Tahoma" w:cs="Tahoma"/>
          <w:sz w:val="24"/>
          <w:szCs w:val="24"/>
        </w:rPr>
      </w:pPr>
    </w:p>
    <w:p w:rsidR="007E399B" w:rsidRPr="002462E6" w:rsidRDefault="007E399B" w:rsidP="007E399B">
      <w:pPr>
        <w:spacing w:line="360" w:lineRule="auto"/>
        <w:jc w:val="both"/>
        <w:rPr>
          <w:sz w:val="24"/>
          <w:szCs w:val="24"/>
          <w:lang w:eastAsia="fr-FR"/>
        </w:rPr>
      </w:pPr>
      <w:r w:rsidRPr="002462E6">
        <w:rPr>
          <w:rFonts w:ascii="Tahoma" w:hAnsi="Tahoma" w:cs="Tahoma"/>
          <w:sz w:val="24"/>
          <w:szCs w:val="24"/>
        </w:rPr>
        <w:t xml:space="preserve">L'enquête révèle un taux de prévalence du handicap de 9% dans la zone d'étude, supérieur au taux national de 4,8% (recensement </w:t>
      </w:r>
      <w:r w:rsidR="003F2579" w:rsidRPr="002462E6">
        <w:rPr>
          <w:rFonts w:ascii="Tahoma" w:hAnsi="Tahoma" w:cs="Tahoma"/>
          <w:sz w:val="24"/>
          <w:szCs w:val="24"/>
        </w:rPr>
        <w:t>2024) ¹</w:t>
      </w:r>
      <w:r w:rsidRPr="002462E6">
        <w:rPr>
          <w:rFonts w:ascii="Tahoma" w:hAnsi="Tahoma" w:cs="Tahoma"/>
          <w:sz w:val="24"/>
          <w:szCs w:val="24"/>
        </w:rPr>
        <w:t>⁹. Cette surreprésentation peut s'expliquer par les conditions de vie précaires, l'exposition aux risques environnementaux et l'accès limité aux soins préventifs.</w:t>
      </w:r>
      <w:r w:rsidRPr="002462E6">
        <w:rPr>
          <w:sz w:val="24"/>
          <w:szCs w:val="24"/>
          <w:lang w:eastAsia="fr-FR"/>
        </w:rPr>
        <w:t xml:space="preserve"> </w:t>
      </w:r>
    </w:p>
    <w:p w:rsidR="005561B0" w:rsidRPr="002462E6" w:rsidRDefault="005561B0" w:rsidP="007E399B">
      <w:pPr>
        <w:spacing w:line="360" w:lineRule="auto"/>
        <w:jc w:val="both"/>
        <w:rPr>
          <w:rFonts w:ascii="Tahoma" w:hAnsi="Tahoma" w:cs="Tahoma"/>
          <w:sz w:val="24"/>
          <w:szCs w:val="24"/>
        </w:rPr>
      </w:pPr>
    </w:p>
    <w:p w:rsidR="00795C28" w:rsidRPr="002462E6" w:rsidRDefault="00795C28" w:rsidP="000D57A1">
      <w:pPr>
        <w:pStyle w:val="Sous-titre"/>
      </w:pPr>
      <w:bookmarkStart w:id="432" w:name="_Toc203642539"/>
      <w:r w:rsidRPr="002462E6">
        <w:t xml:space="preserve">Graphe </w:t>
      </w:r>
      <w:r w:rsidR="00225ED1">
        <w:rPr>
          <w:noProof/>
        </w:rPr>
        <w:fldChar w:fldCharType="begin"/>
      </w:r>
      <w:r w:rsidR="00225ED1">
        <w:rPr>
          <w:noProof/>
        </w:rPr>
        <w:instrText xml:space="preserve"> SEQ Graphe \* ARABIC </w:instrText>
      </w:r>
      <w:r w:rsidR="00225ED1">
        <w:rPr>
          <w:noProof/>
        </w:rPr>
        <w:fldChar w:fldCharType="separate"/>
      </w:r>
      <w:r w:rsidR="00124AFB">
        <w:rPr>
          <w:noProof/>
        </w:rPr>
        <w:t>7</w:t>
      </w:r>
      <w:r w:rsidR="00225ED1">
        <w:rPr>
          <w:noProof/>
        </w:rPr>
        <w:fldChar w:fldCharType="end"/>
      </w:r>
      <w:r w:rsidRPr="002462E6">
        <w:t xml:space="preserve"> : Répartition des ménages selon la présence d'un membre handicapé</w:t>
      </w:r>
      <w:bookmarkEnd w:id="432"/>
    </w:p>
    <w:p w:rsidR="007E399B" w:rsidRPr="002462E6" w:rsidRDefault="007E399B" w:rsidP="00737D18">
      <w:pPr>
        <w:spacing w:line="360" w:lineRule="auto"/>
        <w:jc w:val="center"/>
        <w:rPr>
          <w:rFonts w:ascii="Tahoma" w:hAnsi="Tahoma" w:cs="Tahoma"/>
          <w:sz w:val="24"/>
          <w:szCs w:val="24"/>
        </w:rPr>
      </w:pPr>
      <w:r w:rsidRPr="002462E6">
        <w:rPr>
          <w:rFonts w:ascii="Tahoma" w:hAnsi="Tahoma" w:cs="Tahoma"/>
          <w:noProof/>
          <w:sz w:val="24"/>
          <w:szCs w:val="24"/>
          <w:lang w:eastAsia="fr-FR"/>
        </w:rPr>
        <w:drawing>
          <wp:inline distT="0" distB="0" distL="0" distR="0" wp14:anchorId="3EC0960C" wp14:editId="7D4917FC">
            <wp:extent cx="4095750" cy="3979283"/>
            <wp:effectExtent l="0" t="0" r="0" b="2540"/>
            <wp:docPr id="956995654" name="Image 9569956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4097541" cy="3981023"/>
                    </a:xfrm>
                    <a:prstGeom prst="rect">
                      <a:avLst/>
                    </a:prstGeom>
                  </pic:spPr>
                </pic:pic>
              </a:graphicData>
            </a:graphic>
          </wp:inline>
        </w:drawing>
      </w:r>
    </w:p>
    <w:p w:rsidR="007E399B" w:rsidRPr="002462E6" w:rsidRDefault="007E399B" w:rsidP="00F82D10">
      <w:pPr>
        <w:spacing w:line="360" w:lineRule="auto"/>
        <w:jc w:val="center"/>
        <w:rPr>
          <w:rFonts w:ascii="Tahoma" w:hAnsi="Tahoma" w:cs="Tahoma"/>
          <w:sz w:val="20"/>
          <w:szCs w:val="20"/>
        </w:rPr>
      </w:pPr>
      <w:r w:rsidRPr="002462E6">
        <w:rPr>
          <w:rFonts w:ascii="Tahoma" w:hAnsi="Tahoma" w:cs="Tahoma"/>
          <w:b/>
          <w:bCs/>
          <w:sz w:val="20"/>
          <w:szCs w:val="20"/>
        </w:rPr>
        <w:t>Source</w:t>
      </w:r>
      <w:r w:rsidRPr="002462E6">
        <w:rPr>
          <w:rFonts w:ascii="Tahoma" w:hAnsi="Tahoma" w:cs="Tahoma"/>
          <w:sz w:val="20"/>
          <w:szCs w:val="20"/>
        </w:rPr>
        <w:t xml:space="preserve"> : résultats de l’enquête</w:t>
      </w:r>
    </w:p>
    <w:p w:rsidR="007E399B" w:rsidRPr="002462E6" w:rsidRDefault="007E399B" w:rsidP="007E399B">
      <w:pPr>
        <w:spacing w:line="360" w:lineRule="auto"/>
        <w:rPr>
          <w:rFonts w:ascii="Tahoma" w:hAnsi="Tahoma" w:cs="Tahoma"/>
          <w:sz w:val="24"/>
          <w:szCs w:val="24"/>
        </w:rPr>
      </w:pPr>
    </w:p>
    <w:p w:rsidR="007E399B" w:rsidRPr="002462E6" w:rsidRDefault="007E399B" w:rsidP="007E399B">
      <w:pPr>
        <w:spacing w:line="360" w:lineRule="auto"/>
        <w:jc w:val="both"/>
        <w:rPr>
          <w:rFonts w:ascii="Tahoma" w:hAnsi="Tahoma" w:cs="Tahoma"/>
          <w:sz w:val="24"/>
          <w:szCs w:val="24"/>
        </w:rPr>
      </w:pPr>
      <w:r w:rsidRPr="002462E6">
        <w:rPr>
          <w:rFonts w:ascii="Tahoma" w:hAnsi="Tahoma" w:cs="Tahoma"/>
          <w:sz w:val="24"/>
          <w:szCs w:val="24"/>
        </w:rPr>
        <w:t xml:space="preserve">Il est important de souligner que la Constitution marocaine de 2011 consacre les droits des personnes en situation de handicap et érige en principe fondamental la prohibition de toute discrimination fondée sur cette condition²⁰. Toutefois, l'effectivité normative de ces dispositions se heurte à d'importantes disparités territoriales, particulièrement en milieu rural où l'inadéquation chronique des infrastructures d'accessibilité et la carence structurelle en services spécialisés révèlent un déficit d'application des politiques publiques inclusives, compromettant ainsi la réalisation concrète des droits fondamentaux ainsi garantis. </w:t>
      </w:r>
    </w:p>
    <w:p w:rsidR="007E399B" w:rsidRPr="002462E6" w:rsidRDefault="007E399B" w:rsidP="00F82D10">
      <w:pPr>
        <w:spacing w:line="360" w:lineRule="auto"/>
        <w:jc w:val="both"/>
        <w:rPr>
          <w:rFonts w:ascii="Tahoma" w:hAnsi="Tahoma" w:cs="Tahoma"/>
          <w:sz w:val="24"/>
          <w:szCs w:val="24"/>
        </w:rPr>
      </w:pPr>
      <w:r w:rsidRPr="002462E6">
        <w:rPr>
          <w:rFonts w:ascii="Tahoma" w:hAnsi="Tahoma" w:cs="Tahoma"/>
          <w:sz w:val="24"/>
          <w:szCs w:val="24"/>
        </w:rPr>
        <w:t>En définitive, l'analy</w:t>
      </w:r>
      <w:r w:rsidRPr="002462E6">
        <w:rPr>
          <w:rFonts w:ascii="Tahoma" w:hAnsi="Tahoma" w:cs="Tahoma"/>
          <w:sz w:val="24"/>
          <w:szCs w:val="24"/>
          <w:lang w:eastAsia="fr-FR"/>
        </w:rPr>
        <w:t>se sanitaire de la population rurale de Korifla révèle un système de vulnérabilités interconnectées caractéristique des zones rurales marginalisées.</w:t>
      </w:r>
    </w:p>
    <w:p w:rsidR="007E399B" w:rsidRPr="002462E6" w:rsidRDefault="007E399B" w:rsidP="007E399B">
      <w:pPr>
        <w:spacing w:line="360" w:lineRule="auto"/>
        <w:jc w:val="both"/>
        <w:rPr>
          <w:rFonts w:ascii="Tahoma" w:hAnsi="Tahoma" w:cs="Tahoma"/>
          <w:sz w:val="24"/>
          <w:szCs w:val="24"/>
          <w:lang w:eastAsia="fr-FR"/>
        </w:rPr>
      </w:pPr>
      <w:r w:rsidRPr="002462E6">
        <w:rPr>
          <w:rFonts w:ascii="Tahoma" w:hAnsi="Tahoma" w:cs="Tahoma"/>
          <w:sz w:val="24"/>
          <w:szCs w:val="24"/>
          <w:lang w:eastAsia="fr-FR"/>
        </w:rPr>
        <w:t>Trois constats majeurs sont peuvent être soulevés :</w:t>
      </w:r>
    </w:p>
    <w:p w:rsidR="007E399B" w:rsidRPr="002462E6" w:rsidRDefault="007E399B" w:rsidP="009F4EC9">
      <w:pPr>
        <w:spacing w:before="100" w:beforeAutospacing="1" w:after="100" w:afterAutospacing="1" w:line="360" w:lineRule="auto"/>
        <w:jc w:val="both"/>
        <w:rPr>
          <w:rFonts w:ascii="Tahoma" w:hAnsi="Tahoma" w:cs="Tahoma"/>
          <w:sz w:val="24"/>
          <w:szCs w:val="24"/>
          <w:lang w:eastAsia="fr-FR"/>
        </w:rPr>
      </w:pPr>
      <w:r w:rsidRPr="002462E6">
        <w:rPr>
          <w:rFonts w:ascii="Tahoma" w:hAnsi="Tahoma" w:cs="Tahoma"/>
          <w:sz w:val="24"/>
          <w:szCs w:val="24"/>
          <w:lang w:eastAsia="fr-FR"/>
        </w:rPr>
        <w:t>Des défaillances structurelles critiques : 95% des habitants parcourent plus de 10 km pour accéder aux soins, un taux de mortalité infantile de 2</w:t>
      </w:r>
      <w:r w:rsidR="009F4EC9" w:rsidRPr="002462E6">
        <w:rPr>
          <w:rFonts w:ascii="Tahoma" w:hAnsi="Tahoma" w:cs="Tahoma"/>
          <w:sz w:val="24"/>
          <w:szCs w:val="24"/>
          <w:lang w:eastAsia="fr-FR"/>
        </w:rPr>
        <w:t>1</w:t>
      </w:r>
      <w:r w:rsidRPr="002462E6">
        <w:rPr>
          <w:rFonts w:ascii="Tahoma" w:hAnsi="Tahoma" w:cs="Tahoma"/>
          <w:sz w:val="24"/>
          <w:szCs w:val="24"/>
          <w:lang w:eastAsia="fr-FR"/>
        </w:rPr>
        <w:t>% et une prévalence du handicap de 9%. Ces indicateurs témoignent d'inégalités territoriales persistantes malgré l'extension de la couverture médicale (63% bénéficient du RAMED).</w:t>
      </w:r>
    </w:p>
    <w:p w:rsidR="007E399B" w:rsidRPr="002462E6" w:rsidRDefault="00FA4E19" w:rsidP="00F429CE">
      <w:pPr>
        <w:spacing w:before="100" w:beforeAutospacing="1" w:after="100" w:afterAutospacing="1" w:line="360" w:lineRule="auto"/>
        <w:jc w:val="both"/>
        <w:rPr>
          <w:rFonts w:ascii="Tahoma" w:hAnsi="Tahoma" w:cs="Tahoma"/>
          <w:sz w:val="24"/>
          <w:szCs w:val="24"/>
          <w:lang w:eastAsia="fr-FR"/>
        </w:rPr>
      </w:pPr>
      <w:r w:rsidRPr="002462E6">
        <w:rPr>
          <w:rFonts w:ascii="Tahoma" w:eastAsia="Times New Roman" w:hAnsi="Tahoma" w:cs="Tahoma"/>
          <w:sz w:val="24"/>
          <w:szCs w:val="24"/>
          <w:lang w:eastAsia="fr-FR"/>
        </w:rPr>
        <w:t>Une insécurité alimentaire préoccupante : 90% des enquêtés déclarent une alimentation déséquilibrée, 42% consacrent moins de 18% de leur budget à l'alimentation, révélant des carences nutritionnelles qui compromettent le développement humain dont les détails figurent dans le tableau relatif à l’indice synthétique sanitaire</w:t>
      </w:r>
      <w:r w:rsidRPr="002462E6">
        <w:rPr>
          <w:rFonts w:ascii="Tahoma" w:eastAsia="Times New Roman" w:hAnsi="Tahoma" w:cs="Tahoma"/>
          <w:sz w:val="24"/>
          <w:szCs w:val="24"/>
          <w:vertAlign w:val="superscript"/>
          <w:lang w:eastAsia="fr-FR"/>
        </w:rPr>
        <w:footnoteReference w:id="901"/>
      </w:r>
      <w:r w:rsidRPr="002462E6">
        <w:rPr>
          <w:rFonts w:ascii="Tahoma" w:eastAsia="Times New Roman" w:hAnsi="Tahoma" w:cs="Tahoma"/>
          <w:sz w:val="24"/>
          <w:szCs w:val="24"/>
          <w:lang w:eastAsia="fr-FR"/>
        </w:rPr>
        <w:t xml:space="preserve">, </w:t>
      </w:r>
      <w:r w:rsidR="007E399B" w:rsidRPr="002462E6">
        <w:rPr>
          <w:rFonts w:ascii="Tahoma" w:hAnsi="Tahoma" w:cs="Tahoma"/>
          <w:sz w:val="24"/>
          <w:szCs w:val="24"/>
          <w:lang w:eastAsia="fr-FR"/>
        </w:rPr>
        <w:t>(</w:t>
      </w:r>
      <w:r w:rsidR="00AB476D" w:rsidRPr="002462E6">
        <w:rPr>
          <w:rFonts w:ascii="Tahoma" w:hAnsi="Tahoma" w:cs="Tahoma"/>
          <w:sz w:val="24"/>
          <w:szCs w:val="24"/>
          <w:lang w:eastAsia="fr-FR"/>
        </w:rPr>
        <w:t xml:space="preserve">Cf. </w:t>
      </w:r>
      <w:r w:rsidR="00247FE0">
        <w:rPr>
          <w:rFonts w:ascii="Tahoma" w:hAnsi="Tahoma" w:cs="Tahoma"/>
          <w:b/>
          <w:bCs/>
          <w:sz w:val="24"/>
          <w:szCs w:val="24"/>
          <w:lang w:eastAsia="fr-FR"/>
        </w:rPr>
        <w:t>Tableau N° 9</w:t>
      </w:r>
      <w:r w:rsidR="007E399B" w:rsidRPr="002462E6">
        <w:rPr>
          <w:rFonts w:ascii="Tahoma" w:hAnsi="Tahoma" w:cs="Tahoma"/>
          <w:sz w:val="24"/>
          <w:szCs w:val="24"/>
          <w:lang w:eastAsia="fr-FR"/>
        </w:rPr>
        <w:t>).</w:t>
      </w:r>
    </w:p>
    <w:p w:rsidR="00247FE0" w:rsidRDefault="00247FE0">
      <w:pPr>
        <w:rPr>
          <w:rFonts w:ascii="Tahoma" w:eastAsia="Times New Roman" w:hAnsi="Tahoma" w:cs="Tahoma"/>
          <w:b/>
          <w:sz w:val="24"/>
          <w:szCs w:val="24"/>
        </w:rPr>
      </w:pPr>
      <w:r>
        <w:br w:type="page"/>
      </w:r>
    </w:p>
    <w:p w:rsidR="00F82D10" w:rsidRPr="002462E6" w:rsidRDefault="00F82D10" w:rsidP="00247FE0">
      <w:pPr>
        <w:pStyle w:val="Sous-titre"/>
        <w:spacing w:after="0"/>
        <w:rPr>
          <w:noProof/>
        </w:rPr>
      </w:pPr>
      <w:bookmarkStart w:id="433" w:name="_Toc203642508"/>
      <w:r w:rsidRPr="002462E6">
        <w:t xml:space="preserve">Tableau </w:t>
      </w:r>
      <w:r w:rsidR="00225ED1">
        <w:rPr>
          <w:noProof/>
        </w:rPr>
        <w:fldChar w:fldCharType="begin"/>
      </w:r>
      <w:r w:rsidR="00225ED1">
        <w:rPr>
          <w:noProof/>
        </w:rPr>
        <w:instrText xml:space="preserve"> SEQ Tableau \* ARABIC </w:instrText>
      </w:r>
      <w:r w:rsidR="00225ED1">
        <w:rPr>
          <w:noProof/>
        </w:rPr>
        <w:fldChar w:fldCharType="separate"/>
      </w:r>
      <w:r w:rsidR="00124AFB">
        <w:rPr>
          <w:noProof/>
        </w:rPr>
        <w:t>9</w:t>
      </w:r>
      <w:r w:rsidR="00225ED1">
        <w:rPr>
          <w:noProof/>
        </w:rPr>
        <w:fldChar w:fldCharType="end"/>
      </w:r>
      <w:r w:rsidRPr="002462E6">
        <w:rPr>
          <w:noProof/>
        </w:rPr>
        <w:t xml:space="preserve"> : indice synthétique sanitaire de la forêt de Korifla selon les résultats de l’enquête</w:t>
      </w:r>
      <w:bookmarkEnd w:id="433"/>
    </w:p>
    <w:tbl>
      <w:tblPr>
        <w:tblW w:w="9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637"/>
        <w:gridCol w:w="1343"/>
        <w:gridCol w:w="1276"/>
        <w:gridCol w:w="499"/>
        <w:gridCol w:w="1200"/>
        <w:gridCol w:w="1379"/>
        <w:gridCol w:w="1458"/>
        <w:gridCol w:w="606"/>
        <w:gridCol w:w="564"/>
        <w:gridCol w:w="713"/>
      </w:tblGrid>
      <w:tr w:rsidR="007E399B" w:rsidRPr="002462E6" w:rsidTr="00420134">
        <w:trPr>
          <w:trHeight w:val="679"/>
        </w:trPr>
        <w:tc>
          <w:tcPr>
            <w:tcW w:w="637" w:type="dxa"/>
            <w:shd w:val="clear" w:color="auto" w:fill="auto"/>
            <w:noWrap/>
            <w:vAlign w:val="center"/>
            <w:hideMark/>
          </w:tcPr>
          <w:p w:rsidR="007E399B" w:rsidRPr="002462E6" w:rsidRDefault="007E399B" w:rsidP="00420134">
            <w:pPr>
              <w:spacing w:after="0"/>
              <w:rPr>
                <w:rFonts w:ascii="Calibri" w:hAnsi="Calibri" w:cs="Calibri"/>
                <w:b/>
                <w:bCs/>
                <w:color w:val="000000"/>
                <w:lang w:eastAsia="fr-FR"/>
              </w:rPr>
            </w:pPr>
            <w:r w:rsidRPr="002462E6">
              <w:rPr>
                <w:rFonts w:ascii="Calibri" w:hAnsi="Calibri" w:cs="Calibri"/>
                <w:b/>
                <w:bCs/>
                <w:color w:val="000000"/>
                <w:lang w:eastAsia="fr-FR"/>
              </w:rPr>
              <w:t>Province</w:t>
            </w:r>
          </w:p>
        </w:tc>
        <w:tc>
          <w:tcPr>
            <w:tcW w:w="1343" w:type="dxa"/>
            <w:shd w:val="clear" w:color="auto" w:fill="auto"/>
            <w:noWrap/>
            <w:vAlign w:val="center"/>
            <w:hideMark/>
          </w:tcPr>
          <w:p w:rsidR="007E399B" w:rsidRPr="002462E6" w:rsidRDefault="007E399B" w:rsidP="00420134">
            <w:pPr>
              <w:spacing w:after="0"/>
              <w:rPr>
                <w:rFonts w:ascii="Calibri" w:hAnsi="Calibri" w:cs="Calibri"/>
                <w:b/>
                <w:bCs/>
                <w:color w:val="000000"/>
                <w:lang w:eastAsia="fr-FR"/>
              </w:rPr>
            </w:pPr>
            <w:r w:rsidRPr="002462E6">
              <w:rPr>
                <w:rFonts w:ascii="Calibri" w:hAnsi="Calibri" w:cs="Calibri"/>
                <w:b/>
                <w:bCs/>
                <w:color w:val="000000"/>
                <w:lang w:eastAsia="fr-FR"/>
              </w:rPr>
              <w:t>Commune</w:t>
            </w:r>
          </w:p>
        </w:tc>
        <w:tc>
          <w:tcPr>
            <w:tcW w:w="1276" w:type="dxa"/>
            <w:shd w:val="clear" w:color="auto" w:fill="auto"/>
            <w:noWrap/>
            <w:vAlign w:val="center"/>
            <w:hideMark/>
          </w:tcPr>
          <w:p w:rsidR="007E399B" w:rsidRPr="002462E6" w:rsidRDefault="007E399B" w:rsidP="00420134">
            <w:pPr>
              <w:spacing w:after="0"/>
              <w:rPr>
                <w:rFonts w:ascii="Calibri" w:hAnsi="Calibri" w:cs="Calibri"/>
                <w:b/>
                <w:bCs/>
                <w:color w:val="000000"/>
                <w:lang w:eastAsia="fr-FR"/>
              </w:rPr>
            </w:pPr>
            <w:r w:rsidRPr="002462E6">
              <w:rPr>
                <w:rFonts w:ascii="Calibri" w:hAnsi="Calibri" w:cs="Calibri"/>
                <w:b/>
                <w:bCs/>
                <w:color w:val="000000"/>
                <w:lang w:eastAsia="fr-FR"/>
              </w:rPr>
              <w:t>Douar</w:t>
            </w:r>
          </w:p>
        </w:tc>
        <w:tc>
          <w:tcPr>
            <w:tcW w:w="499" w:type="dxa"/>
            <w:shd w:val="clear" w:color="000000" w:fill="A9D08E"/>
            <w:vAlign w:val="center"/>
            <w:hideMark/>
          </w:tcPr>
          <w:p w:rsidR="007E399B" w:rsidRPr="002462E6" w:rsidRDefault="007E399B" w:rsidP="00420134">
            <w:pPr>
              <w:spacing w:after="0"/>
              <w:rPr>
                <w:rFonts w:ascii="Arial" w:hAnsi="Arial" w:cs="Arial"/>
                <w:color w:val="000000"/>
                <w:sz w:val="18"/>
                <w:szCs w:val="18"/>
                <w:lang w:eastAsia="fr-FR"/>
              </w:rPr>
            </w:pPr>
            <w:r w:rsidRPr="002462E6">
              <w:rPr>
                <w:rFonts w:ascii="Arial" w:hAnsi="Arial" w:cs="Arial"/>
                <w:color w:val="000000"/>
                <w:sz w:val="18"/>
                <w:szCs w:val="18"/>
                <w:lang w:eastAsia="fr-FR"/>
              </w:rPr>
              <w:t>Non ramédistes</w:t>
            </w:r>
          </w:p>
        </w:tc>
        <w:tc>
          <w:tcPr>
            <w:tcW w:w="1200" w:type="dxa"/>
            <w:shd w:val="clear" w:color="000000" w:fill="A9D08E"/>
            <w:vAlign w:val="center"/>
            <w:hideMark/>
          </w:tcPr>
          <w:p w:rsidR="007E399B" w:rsidRPr="002462E6" w:rsidRDefault="007E399B" w:rsidP="00420134">
            <w:pPr>
              <w:spacing w:after="0"/>
              <w:rPr>
                <w:rFonts w:ascii="Arial" w:hAnsi="Arial" w:cs="Arial"/>
                <w:color w:val="000000"/>
                <w:sz w:val="18"/>
                <w:szCs w:val="18"/>
                <w:lang w:eastAsia="fr-FR"/>
              </w:rPr>
            </w:pPr>
            <w:r w:rsidRPr="002462E6">
              <w:rPr>
                <w:rFonts w:ascii="Arial" w:hAnsi="Arial" w:cs="Arial"/>
                <w:color w:val="000000"/>
                <w:sz w:val="18"/>
                <w:szCs w:val="18"/>
                <w:lang w:eastAsia="fr-FR"/>
              </w:rPr>
              <w:t>DistanceCentreSantéPlus10Km</w:t>
            </w:r>
          </w:p>
        </w:tc>
        <w:tc>
          <w:tcPr>
            <w:tcW w:w="1379" w:type="dxa"/>
            <w:shd w:val="clear" w:color="000000" w:fill="A9D08E"/>
            <w:vAlign w:val="center"/>
            <w:hideMark/>
          </w:tcPr>
          <w:p w:rsidR="007E399B" w:rsidRPr="002462E6" w:rsidRDefault="007E399B" w:rsidP="00420134">
            <w:pPr>
              <w:spacing w:after="0"/>
              <w:rPr>
                <w:rFonts w:ascii="Arial" w:hAnsi="Arial" w:cs="Arial"/>
                <w:color w:val="000000"/>
                <w:sz w:val="18"/>
                <w:szCs w:val="18"/>
                <w:lang w:eastAsia="fr-FR"/>
              </w:rPr>
            </w:pPr>
            <w:r w:rsidRPr="002462E6">
              <w:rPr>
                <w:rFonts w:ascii="Arial" w:hAnsi="Arial" w:cs="Arial"/>
                <w:color w:val="000000"/>
                <w:sz w:val="18"/>
                <w:szCs w:val="18"/>
                <w:lang w:eastAsia="fr-FR"/>
              </w:rPr>
              <w:t>Alimentation</w:t>
            </w:r>
          </w:p>
          <w:p w:rsidR="007E399B" w:rsidRPr="002462E6" w:rsidRDefault="007E399B" w:rsidP="00420134">
            <w:pPr>
              <w:spacing w:after="0"/>
              <w:rPr>
                <w:rFonts w:ascii="Arial" w:hAnsi="Arial" w:cs="Arial"/>
                <w:color w:val="000000"/>
                <w:sz w:val="18"/>
                <w:szCs w:val="18"/>
                <w:lang w:eastAsia="fr-FR"/>
              </w:rPr>
            </w:pPr>
            <w:r w:rsidRPr="002462E6">
              <w:rPr>
                <w:rFonts w:ascii="Arial" w:hAnsi="Arial" w:cs="Arial"/>
                <w:color w:val="000000"/>
                <w:sz w:val="18"/>
                <w:szCs w:val="18"/>
                <w:lang w:eastAsia="fr-FR"/>
              </w:rPr>
              <w:t>déséquilibrée</w:t>
            </w:r>
          </w:p>
        </w:tc>
        <w:tc>
          <w:tcPr>
            <w:tcW w:w="1458" w:type="dxa"/>
            <w:shd w:val="clear" w:color="000000" w:fill="A9D08E"/>
            <w:vAlign w:val="center"/>
            <w:hideMark/>
          </w:tcPr>
          <w:p w:rsidR="007E399B" w:rsidRPr="002462E6" w:rsidRDefault="007E399B" w:rsidP="00420134">
            <w:pPr>
              <w:spacing w:after="0"/>
              <w:rPr>
                <w:rFonts w:ascii="Arial" w:hAnsi="Arial" w:cs="Arial"/>
                <w:color w:val="000000"/>
                <w:sz w:val="18"/>
                <w:szCs w:val="18"/>
                <w:lang w:eastAsia="fr-FR"/>
              </w:rPr>
            </w:pPr>
            <w:r w:rsidRPr="002462E6">
              <w:rPr>
                <w:rFonts w:ascii="Arial" w:hAnsi="Arial" w:cs="Arial"/>
                <w:color w:val="000000"/>
                <w:sz w:val="18"/>
                <w:szCs w:val="18"/>
                <w:lang w:eastAsia="fr-FR"/>
              </w:rPr>
              <w:t>AlimentationMoin37%</w:t>
            </w:r>
          </w:p>
        </w:tc>
        <w:tc>
          <w:tcPr>
            <w:tcW w:w="606" w:type="dxa"/>
            <w:shd w:val="clear" w:color="000000" w:fill="A9D08E"/>
            <w:vAlign w:val="center"/>
            <w:hideMark/>
          </w:tcPr>
          <w:p w:rsidR="007E399B" w:rsidRPr="002462E6" w:rsidRDefault="007E399B" w:rsidP="00420134">
            <w:pPr>
              <w:spacing w:after="0"/>
              <w:rPr>
                <w:rFonts w:ascii="Arial" w:hAnsi="Arial" w:cs="Arial"/>
                <w:color w:val="000000"/>
                <w:sz w:val="18"/>
                <w:szCs w:val="18"/>
                <w:lang w:eastAsia="fr-FR"/>
              </w:rPr>
            </w:pPr>
            <w:r w:rsidRPr="002462E6">
              <w:rPr>
                <w:rFonts w:ascii="Arial" w:hAnsi="Arial" w:cs="Arial"/>
                <w:color w:val="000000"/>
                <w:sz w:val="18"/>
                <w:szCs w:val="18"/>
                <w:lang w:eastAsia="fr-FR"/>
              </w:rPr>
              <w:t>Handicap</w:t>
            </w:r>
          </w:p>
        </w:tc>
        <w:tc>
          <w:tcPr>
            <w:tcW w:w="564" w:type="dxa"/>
            <w:shd w:val="clear" w:color="000000" w:fill="A9D08E"/>
            <w:vAlign w:val="center"/>
            <w:hideMark/>
          </w:tcPr>
          <w:p w:rsidR="007E399B" w:rsidRPr="002462E6" w:rsidRDefault="007E399B" w:rsidP="00420134">
            <w:pPr>
              <w:spacing w:after="0"/>
              <w:rPr>
                <w:rFonts w:ascii="Arial" w:hAnsi="Arial" w:cs="Arial"/>
                <w:color w:val="000000"/>
                <w:sz w:val="18"/>
                <w:szCs w:val="18"/>
                <w:lang w:eastAsia="fr-FR"/>
              </w:rPr>
            </w:pPr>
            <w:r w:rsidRPr="002462E6">
              <w:rPr>
                <w:rFonts w:ascii="Arial" w:hAnsi="Arial" w:cs="Arial"/>
                <w:color w:val="000000"/>
                <w:sz w:val="18"/>
                <w:szCs w:val="18"/>
                <w:lang w:eastAsia="fr-FR"/>
              </w:rPr>
              <w:t>Mortalité</w:t>
            </w:r>
          </w:p>
        </w:tc>
        <w:tc>
          <w:tcPr>
            <w:tcW w:w="713" w:type="dxa"/>
            <w:shd w:val="clear" w:color="000000" w:fill="A9D08E"/>
            <w:vAlign w:val="center"/>
            <w:hideMark/>
          </w:tcPr>
          <w:p w:rsidR="007E399B" w:rsidRPr="002462E6" w:rsidRDefault="007E399B" w:rsidP="00420134">
            <w:pPr>
              <w:spacing w:after="0"/>
              <w:rPr>
                <w:rFonts w:ascii="Arial" w:hAnsi="Arial" w:cs="Arial"/>
                <w:color w:val="000000"/>
                <w:sz w:val="18"/>
                <w:szCs w:val="18"/>
                <w:lang w:eastAsia="fr-FR"/>
              </w:rPr>
            </w:pPr>
            <w:r w:rsidRPr="002462E6">
              <w:rPr>
                <w:rFonts w:ascii="Arial" w:hAnsi="Arial" w:cs="Arial"/>
                <w:color w:val="000000"/>
                <w:sz w:val="18"/>
                <w:szCs w:val="18"/>
                <w:lang w:eastAsia="fr-FR"/>
              </w:rPr>
              <w:t>Santé</w:t>
            </w:r>
          </w:p>
        </w:tc>
      </w:tr>
      <w:tr w:rsidR="007E399B" w:rsidRPr="002462E6" w:rsidTr="00420134">
        <w:trPr>
          <w:trHeight w:val="281"/>
        </w:trPr>
        <w:tc>
          <w:tcPr>
            <w:tcW w:w="637" w:type="dxa"/>
            <w:vMerge w:val="restart"/>
            <w:shd w:val="clear" w:color="auto" w:fill="auto"/>
            <w:vAlign w:val="center"/>
            <w:hideMark/>
          </w:tcPr>
          <w:p w:rsidR="007E399B" w:rsidRPr="002462E6" w:rsidRDefault="007E399B" w:rsidP="00420134">
            <w:pPr>
              <w:spacing w:after="0"/>
              <w:rPr>
                <w:rFonts w:ascii="Arial" w:hAnsi="Arial" w:cs="Arial"/>
                <w:b/>
                <w:bCs/>
                <w:color w:val="000000"/>
                <w:sz w:val="16"/>
                <w:szCs w:val="16"/>
                <w:lang w:eastAsia="fr-FR"/>
              </w:rPr>
            </w:pPr>
            <w:r w:rsidRPr="002462E6">
              <w:rPr>
                <w:rFonts w:ascii="Arial" w:hAnsi="Arial" w:cs="Arial"/>
                <w:b/>
                <w:bCs/>
                <w:color w:val="000000"/>
                <w:sz w:val="16"/>
                <w:szCs w:val="16"/>
                <w:lang w:eastAsia="fr-FR"/>
              </w:rPr>
              <w:t xml:space="preserve">Skhirate-Temara </w:t>
            </w:r>
          </w:p>
        </w:tc>
        <w:tc>
          <w:tcPr>
            <w:tcW w:w="1343" w:type="dxa"/>
            <w:shd w:val="clear" w:color="000000" w:fill="FFFFFF"/>
            <w:noWrap/>
            <w:vAlign w:val="center"/>
            <w:hideMark/>
          </w:tcPr>
          <w:p w:rsidR="007E399B" w:rsidRPr="002462E6" w:rsidRDefault="007E399B" w:rsidP="00420134">
            <w:pPr>
              <w:spacing w:after="0"/>
              <w:rPr>
                <w:rFonts w:ascii="Arial" w:hAnsi="Arial" w:cs="Arial"/>
                <w:color w:val="000000"/>
                <w:sz w:val="16"/>
                <w:szCs w:val="16"/>
                <w:lang w:eastAsia="fr-FR"/>
              </w:rPr>
            </w:pPr>
            <w:r w:rsidRPr="002462E6">
              <w:rPr>
                <w:rFonts w:ascii="Arial" w:hAnsi="Arial" w:cs="Arial"/>
                <w:color w:val="000000"/>
                <w:sz w:val="16"/>
                <w:szCs w:val="16"/>
                <w:lang w:eastAsia="fr-FR"/>
              </w:rPr>
              <w:t>Oum Azza</w:t>
            </w:r>
          </w:p>
        </w:tc>
        <w:tc>
          <w:tcPr>
            <w:tcW w:w="1276" w:type="dxa"/>
            <w:shd w:val="clear" w:color="000000" w:fill="FFFFFF"/>
            <w:noWrap/>
            <w:vAlign w:val="center"/>
            <w:hideMark/>
          </w:tcPr>
          <w:p w:rsidR="007E399B" w:rsidRPr="002462E6" w:rsidRDefault="007E399B" w:rsidP="00420134">
            <w:pPr>
              <w:spacing w:after="0"/>
              <w:rPr>
                <w:rFonts w:ascii="Arial" w:hAnsi="Arial" w:cs="Arial"/>
                <w:color w:val="000000"/>
                <w:sz w:val="16"/>
                <w:szCs w:val="16"/>
                <w:lang w:eastAsia="fr-FR"/>
              </w:rPr>
            </w:pPr>
            <w:r w:rsidRPr="002462E6">
              <w:rPr>
                <w:rFonts w:ascii="Arial" w:hAnsi="Arial" w:cs="Arial"/>
                <w:color w:val="000000"/>
                <w:sz w:val="16"/>
                <w:szCs w:val="16"/>
                <w:lang w:eastAsia="fr-FR"/>
              </w:rPr>
              <w:t>Oulad Marzoug</w:t>
            </w:r>
          </w:p>
        </w:tc>
        <w:tc>
          <w:tcPr>
            <w:tcW w:w="499" w:type="dxa"/>
            <w:shd w:val="clear" w:color="000000" w:fill="F4F46C"/>
            <w:noWrap/>
            <w:vAlign w:val="center"/>
            <w:hideMark/>
          </w:tcPr>
          <w:p w:rsidR="007E399B" w:rsidRPr="002462E6" w:rsidRDefault="007E399B" w:rsidP="00420134">
            <w:pPr>
              <w:spacing w:after="0"/>
              <w:rPr>
                <w:rFonts w:ascii="Arial" w:hAnsi="Arial" w:cs="Arial"/>
                <w:color w:val="000000"/>
                <w:sz w:val="18"/>
                <w:szCs w:val="18"/>
                <w:lang w:eastAsia="fr-FR"/>
              </w:rPr>
            </w:pPr>
            <w:r w:rsidRPr="002462E6">
              <w:rPr>
                <w:rFonts w:ascii="Arial" w:hAnsi="Arial" w:cs="Arial"/>
                <w:color w:val="000000"/>
                <w:sz w:val="18"/>
                <w:szCs w:val="18"/>
                <w:lang w:eastAsia="fr-FR"/>
              </w:rPr>
              <w:t>40%</w:t>
            </w:r>
          </w:p>
        </w:tc>
        <w:tc>
          <w:tcPr>
            <w:tcW w:w="1200" w:type="dxa"/>
            <w:shd w:val="clear" w:color="000000" w:fill="D34B07"/>
            <w:noWrap/>
            <w:vAlign w:val="center"/>
            <w:hideMark/>
          </w:tcPr>
          <w:p w:rsidR="007E399B" w:rsidRPr="002462E6" w:rsidRDefault="007E399B" w:rsidP="00420134">
            <w:pPr>
              <w:spacing w:after="0"/>
              <w:rPr>
                <w:rFonts w:ascii="Arial" w:hAnsi="Arial" w:cs="Arial"/>
                <w:color w:val="000000"/>
                <w:sz w:val="18"/>
                <w:szCs w:val="18"/>
                <w:lang w:eastAsia="fr-FR"/>
              </w:rPr>
            </w:pPr>
            <w:r w:rsidRPr="002462E6">
              <w:rPr>
                <w:rFonts w:ascii="Arial" w:hAnsi="Arial" w:cs="Arial"/>
                <w:color w:val="000000"/>
                <w:sz w:val="18"/>
                <w:szCs w:val="18"/>
                <w:lang w:eastAsia="fr-FR"/>
              </w:rPr>
              <w:t>100%</w:t>
            </w:r>
          </w:p>
        </w:tc>
        <w:tc>
          <w:tcPr>
            <w:tcW w:w="1379" w:type="dxa"/>
            <w:shd w:val="clear" w:color="000000" w:fill="F4F46C"/>
            <w:noWrap/>
            <w:vAlign w:val="center"/>
            <w:hideMark/>
          </w:tcPr>
          <w:p w:rsidR="007E399B" w:rsidRPr="002462E6" w:rsidRDefault="007E399B" w:rsidP="00420134">
            <w:pPr>
              <w:spacing w:after="0"/>
              <w:rPr>
                <w:rFonts w:ascii="Arial" w:hAnsi="Arial" w:cs="Arial"/>
                <w:color w:val="000000"/>
                <w:sz w:val="18"/>
                <w:szCs w:val="18"/>
                <w:lang w:eastAsia="fr-FR"/>
              </w:rPr>
            </w:pPr>
            <w:r w:rsidRPr="002462E6">
              <w:rPr>
                <w:rFonts w:ascii="Arial" w:hAnsi="Arial" w:cs="Arial"/>
                <w:color w:val="000000"/>
                <w:sz w:val="18"/>
                <w:szCs w:val="18"/>
                <w:lang w:eastAsia="fr-FR"/>
              </w:rPr>
              <w:t>40%</w:t>
            </w:r>
          </w:p>
        </w:tc>
        <w:tc>
          <w:tcPr>
            <w:tcW w:w="1458" w:type="dxa"/>
            <w:shd w:val="clear" w:color="000000" w:fill="FFC000"/>
            <w:noWrap/>
            <w:vAlign w:val="center"/>
            <w:hideMark/>
          </w:tcPr>
          <w:p w:rsidR="007E399B" w:rsidRPr="002462E6" w:rsidRDefault="007E399B" w:rsidP="00420134">
            <w:pPr>
              <w:spacing w:after="0"/>
              <w:rPr>
                <w:rFonts w:ascii="Arial" w:hAnsi="Arial" w:cs="Arial"/>
                <w:color w:val="000000"/>
                <w:sz w:val="18"/>
                <w:szCs w:val="18"/>
                <w:lang w:eastAsia="fr-FR"/>
              </w:rPr>
            </w:pPr>
            <w:r w:rsidRPr="002462E6">
              <w:rPr>
                <w:rFonts w:ascii="Arial" w:hAnsi="Arial" w:cs="Arial"/>
                <w:color w:val="000000"/>
                <w:sz w:val="18"/>
                <w:szCs w:val="18"/>
                <w:lang w:eastAsia="fr-FR"/>
              </w:rPr>
              <w:t>60%</w:t>
            </w:r>
          </w:p>
        </w:tc>
        <w:tc>
          <w:tcPr>
            <w:tcW w:w="606" w:type="dxa"/>
            <w:shd w:val="clear" w:color="000000" w:fill="F4F46C"/>
            <w:noWrap/>
            <w:vAlign w:val="center"/>
            <w:hideMark/>
          </w:tcPr>
          <w:p w:rsidR="007E399B" w:rsidRPr="002462E6" w:rsidRDefault="007E399B" w:rsidP="00420134">
            <w:pPr>
              <w:spacing w:after="0"/>
              <w:rPr>
                <w:rFonts w:ascii="Arial" w:hAnsi="Arial" w:cs="Arial"/>
                <w:color w:val="000000"/>
                <w:sz w:val="18"/>
                <w:szCs w:val="18"/>
                <w:lang w:eastAsia="fr-FR"/>
              </w:rPr>
            </w:pPr>
            <w:r w:rsidRPr="002462E6">
              <w:rPr>
                <w:rFonts w:ascii="Arial" w:hAnsi="Arial" w:cs="Arial"/>
                <w:color w:val="000000"/>
                <w:sz w:val="18"/>
                <w:szCs w:val="18"/>
                <w:lang w:eastAsia="fr-FR"/>
              </w:rPr>
              <w:t>20%</w:t>
            </w:r>
          </w:p>
        </w:tc>
        <w:tc>
          <w:tcPr>
            <w:tcW w:w="564" w:type="dxa"/>
            <w:shd w:val="clear" w:color="000000" w:fill="F4F46C"/>
            <w:noWrap/>
            <w:vAlign w:val="center"/>
            <w:hideMark/>
          </w:tcPr>
          <w:p w:rsidR="007E399B" w:rsidRPr="002462E6" w:rsidRDefault="007E399B" w:rsidP="00420134">
            <w:pPr>
              <w:spacing w:after="0"/>
              <w:rPr>
                <w:rFonts w:ascii="Arial" w:hAnsi="Arial" w:cs="Arial"/>
                <w:color w:val="000000"/>
                <w:sz w:val="18"/>
                <w:szCs w:val="18"/>
                <w:lang w:eastAsia="fr-FR"/>
              </w:rPr>
            </w:pPr>
            <w:r w:rsidRPr="002462E6">
              <w:rPr>
                <w:rFonts w:ascii="Arial" w:hAnsi="Arial" w:cs="Arial"/>
                <w:color w:val="000000"/>
                <w:sz w:val="18"/>
                <w:szCs w:val="18"/>
                <w:lang w:eastAsia="fr-FR"/>
              </w:rPr>
              <w:t>20%</w:t>
            </w:r>
          </w:p>
        </w:tc>
        <w:tc>
          <w:tcPr>
            <w:tcW w:w="713" w:type="dxa"/>
            <w:shd w:val="clear" w:color="000000" w:fill="F4F46C"/>
            <w:noWrap/>
            <w:vAlign w:val="center"/>
            <w:hideMark/>
          </w:tcPr>
          <w:p w:rsidR="007E399B" w:rsidRPr="002462E6" w:rsidRDefault="007E399B" w:rsidP="00420134">
            <w:pPr>
              <w:spacing w:after="0"/>
              <w:rPr>
                <w:rFonts w:ascii="Arial" w:hAnsi="Arial" w:cs="Arial"/>
                <w:color w:val="000000"/>
                <w:sz w:val="18"/>
                <w:szCs w:val="18"/>
                <w:lang w:eastAsia="fr-FR"/>
              </w:rPr>
            </w:pPr>
            <w:r w:rsidRPr="002462E6">
              <w:rPr>
                <w:rFonts w:ascii="Arial" w:hAnsi="Arial" w:cs="Arial"/>
                <w:color w:val="000000"/>
                <w:sz w:val="18"/>
                <w:szCs w:val="18"/>
                <w:lang w:eastAsia="fr-FR"/>
              </w:rPr>
              <w:t>47%</w:t>
            </w:r>
          </w:p>
        </w:tc>
      </w:tr>
      <w:tr w:rsidR="007E399B" w:rsidRPr="002462E6" w:rsidTr="00420134">
        <w:trPr>
          <w:trHeight w:val="281"/>
        </w:trPr>
        <w:tc>
          <w:tcPr>
            <w:tcW w:w="637" w:type="dxa"/>
            <w:vMerge/>
            <w:vAlign w:val="center"/>
            <w:hideMark/>
          </w:tcPr>
          <w:p w:rsidR="007E399B" w:rsidRPr="002462E6" w:rsidRDefault="007E399B" w:rsidP="00420134">
            <w:pPr>
              <w:spacing w:after="0"/>
              <w:rPr>
                <w:rFonts w:ascii="Arial" w:hAnsi="Arial" w:cs="Arial"/>
                <w:b/>
                <w:bCs/>
                <w:color w:val="000000"/>
                <w:sz w:val="16"/>
                <w:szCs w:val="16"/>
                <w:lang w:eastAsia="fr-FR"/>
              </w:rPr>
            </w:pPr>
          </w:p>
        </w:tc>
        <w:tc>
          <w:tcPr>
            <w:tcW w:w="1343" w:type="dxa"/>
            <w:vMerge w:val="restart"/>
            <w:shd w:val="clear" w:color="auto" w:fill="auto"/>
            <w:vAlign w:val="center"/>
            <w:hideMark/>
          </w:tcPr>
          <w:p w:rsidR="007E399B" w:rsidRPr="002462E6" w:rsidRDefault="007E399B" w:rsidP="00420134">
            <w:pPr>
              <w:spacing w:after="0"/>
              <w:rPr>
                <w:rFonts w:ascii="Arial" w:hAnsi="Arial" w:cs="Arial"/>
                <w:color w:val="000000"/>
                <w:sz w:val="16"/>
                <w:szCs w:val="16"/>
                <w:lang w:eastAsia="fr-FR"/>
              </w:rPr>
            </w:pPr>
            <w:r w:rsidRPr="002462E6">
              <w:rPr>
                <w:rFonts w:ascii="Arial" w:hAnsi="Arial" w:cs="Arial"/>
                <w:color w:val="000000"/>
                <w:sz w:val="16"/>
                <w:szCs w:val="16"/>
                <w:lang w:eastAsia="fr-FR"/>
              </w:rPr>
              <w:t>Sidi Yahia Zaeer</w:t>
            </w:r>
          </w:p>
        </w:tc>
        <w:tc>
          <w:tcPr>
            <w:tcW w:w="1276" w:type="dxa"/>
            <w:shd w:val="clear" w:color="auto" w:fill="auto"/>
            <w:noWrap/>
            <w:vAlign w:val="center"/>
            <w:hideMark/>
          </w:tcPr>
          <w:p w:rsidR="007E399B" w:rsidRPr="002462E6" w:rsidRDefault="007E399B" w:rsidP="00420134">
            <w:pPr>
              <w:spacing w:after="0"/>
              <w:rPr>
                <w:rFonts w:ascii="Arial" w:hAnsi="Arial" w:cs="Arial"/>
                <w:color w:val="000000"/>
                <w:sz w:val="16"/>
                <w:szCs w:val="16"/>
                <w:lang w:eastAsia="fr-FR"/>
              </w:rPr>
            </w:pPr>
            <w:r w:rsidRPr="002462E6">
              <w:rPr>
                <w:rFonts w:ascii="Arial" w:hAnsi="Arial" w:cs="Arial"/>
                <w:color w:val="000000"/>
                <w:sz w:val="16"/>
                <w:szCs w:val="16"/>
                <w:lang w:eastAsia="fr-FR"/>
              </w:rPr>
              <w:t>Oulad Rgue</w:t>
            </w:r>
          </w:p>
        </w:tc>
        <w:tc>
          <w:tcPr>
            <w:tcW w:w="499" w:type="dxa"/>
            <w:shd w:val="clear" w:color="000000" w:fill="F4F46C"/>
            <w:noWrap/>
            <w:vAlign w:val="center"/>
            <w:hideMark/>
          </w:tcPr>
          <w:p w:rsidR="007E399B" w:rsidRPr="002462E6" w:rsidRDefault="007E399B" w:rsidP="00420134">
            <w:pPr>
              <w:spacing w:after="0"/>
              <w:rPr>
                <w:rFonts w:ascii="Arial" w:hAnsi="Arial" w:cs="Arial"/>
                <w:color w:val="000000"/>
                <w:sz w:val="18"/>
                <w:szCs w:val="18"/>
                <w:lang w:eastAsia="fr-FR"/>
              </w:rPr>
            </w:pPr>
            <w:r w:rsidRPr="002462E6">
              <w:rPr>
                <w:rFonts w:ascii="Arial" w:hAnsi="Arial" w:cs="Arial"/>
                <w:color w:val="000000"/>
                <w:sz w:val="18"/>
                <w:szCs w:val="18"/>
                <w:lang w:eastAsia="fr-FR"/>
              </w:rPr>
              <w:t>0%</w:t>
            </w:r>
          </w:p>
        </w:tc>
        <w:tc>
          <w:tcPr>
            <w:tcW w:w="1200" w:type="dxa"/>
            <w:shd w:val="clear" w:color="000000" w:fill="D34B07"/>
            <w:noWrap/>
            <w:vAlign w:val="center"/>
            <w:hideMark/>
          </w:tcPr>
          <w:p w:rsidR="007E399B" w:rsidRPr="002462E6" w:rsidRDefault="007E399B" w:rsidP="00420134">
            <w:pPr>
              <w:spacing w:after="0"/>
              <w:rPr>
                <w:rFonts w:ascii="Arial" w:hAnsi="Arial" w:cs="Arial"/>
                <w:color w:val="000000"/>
                <w:sz w:val="18"/>
                <w:szCs w:val="18"/>
                <w:lang w:eastAsia="fr-FR"/>
              </w:rPr>
            </w:pPr>
            <w:r w:rsidRPr="002462E6">
              <w:rPr>
                <w:rFonts w:ascii="Arial" w:hAnsi="Arial" w:cs="Arial"/>
                <w:color w:val="000000"/>
                <w:sz w:val="18"/>
                <w:szCs w:val="18"/>
                <w:lang w:eastAsia="fr-FR"/>
              </w:rPr>
              <w:t>100%</w:t>
            </w:r>
          </w:p>
        </w:tc>
        <w:tc>
          <w:tcPr>
            <w:tcW w:w="1379" w:type="dxa"/>
            <w:shd w:val="clear" w:color="000000" w:fill="F4F46C"/>
            <w:noWrap/>
            <w:vAlign w:val="center"/>
            <w:hideMark/>
          </w:tcPr>
          <w:p w:rsidR="007E399B" w:rsidRPr="002462E6" w:rsidRDefault="007E399B" w:rsidP="00420134">
            <w:pPr>
              <w:spacing w:after="0"/>
              <w:rPr>
                <w:rFonts w:ascii="Arial" w:hAnsi="Arial" w:cs="Arial"/>
                <w:color w:val="000000"/>
                <w:sz w:val="18"/>
                <w:szCs w:val="18"/>
                <w:lang w:eastAsia="fr-FR"/>
              </w:rPr>
            </w:pPr>
            <w:r w:rsidRPr="002462E6">
              <w:rPr>
                <w:rFonts w:ascii="Arial" w:hAnsi="Arial" w:cs="Arial"/>
                <w:color w:val="000000"/>
                <w:sz w:val="18"/>
                <w:szCs w:val="18"/>
                <w:lang w:eastAsia="fr-FR"/>
              </w:rPr>
              <w:t>40%</w:t>
            </w:r>
          </w:p>
        </w:tc>
        <w:tc>
          <w:tcPr>
            <w:tcW w:w="1458" w:type="dxa"/>
            <w:shd w:val="clear" w:color="000000" w:fill="F4F46C"/>
            <w:noWrap/>
            <w:vAlign w:val="center"/>
            <w:hideMark/>
          </w:tcPr>
          <w:p w:rsidR="007E399B" w:rsidRPr="002462E6" w:rsidRDefault="007E399B" w:rsidP="00420134">
            <w:pPr>
              <w:spacing w:after="0"/>
              <w:rPr>
                <w:rFonts w:ascii="Arial" w:hAnsi="Arial" w:cs="Arial"/>
                <w:color w:val="000000"/>
                <w:sz w:val="18"/>
                <w:szCs w:val="18"/>
                <w:lang w:eastAsia="fr-FR"/>
              </w:rPr>
            </w:pPr>
            <w:r w:rsidRPr="002462E6">
              <w:rPr>
                <w:rFonts w:ascii="Arial" w:hAnsi="Arial" w:cs="Arial"/>
                <w:color w:val="000000"/>
                <w:sz w:val="18"/>
                <w:szCs w:val="18"/>
                <w:lang w:eastAsia="fr-FR"/>
              </w:rPr>
              <w:t>0%</w:t>
            </w:r>
          </w:p>
        </w:tc>
        <w:tc>
          <w:tcPr>
            <w:tcW w:w="606" w:type="dxa"/>
            <w:shd w:val="clear" w:color="000000" w:fill="F4F46C"/>
            <w:noWrap/>
            <w:vAlign w:val="center"/>
            <w:hideMark/>
          </w:tcPr>
          <w:p w:rsidR="007E399B" w:rsidRPr="002462E6" w:rsidRDefault="007E399B" w:rsidP="00420134">
            <w:pPr>
              <w:spacing w:after="0"/>
              <w:rPr>
                <w:rFonts w:ascii="Arial" w:hAnsi="Arial" w:cs="Arial"/>
                <w:color w:val="000000"/>
                <w:sz w:val="18"/>
                <w:szCs w:val="18"/>
                <w:lang w:eastAsia="fr-FR"/>
              </w:rPr>
            </w:pPr>
            <w:r w:rsidRPr="002462E6">
              <w:rPr>
                <w:rFonts w:ascii="Arial" w:hAnsi="Arial" w:cs="Arial"/>
                <w:color w:val="000000"/>
                <w:sz w:val="18"/>
                <w:szCs w:val="18"/>
                <w:lang w:eastAsia="fr-FR"/>
              </w:rPr>
              <w:t>0%</w:t>
            </w:r>
          </w:p>
        </w:tc>
        <w:tc>
          <w:tcPr>
            <w:tcW w:w="564" w:type="dxa"/>
            <w:shd w:val="clear" w:color="000000" w:fill="F4F46C"/>
            <w:noWrap/>
            <w:vAlign w:val="center"/>
            <w:hideMark/>
          </w:tcPr>
          <w:p w:rsidR="007E399B" w:rsidRPr="002462E6" w:rsidRDefault="007E399B" w:rsidP="00420134">
            <w:pPr>
              <w:spacing w:after="0"/>
              <w:rPr>
                <w:rFonts w:ascii="Arial" w:hAnsi="Arial" w:cs="Arial"/>
                <w:color w:val="000000"/>
                <w:sz w:val="18"/>
                <w:szCs w:val="18"/>
                <w:lang w:eastAsia="fr-FR"/>
              </w:rPr>
            </w:pPr>
            <w:r w:rsidRPr="002462E6">
              <w:rPr>
                <w:rFonts w:ascii="Arial" w:hAnsi="Arial" w:cs="Arial"/>
                <w:color w:val="000000"/>
                <w:sz w:val="18"/>
                <w:szCs w:val="18"/>
                <w:lang w:eastAsia="fr-FR"/>
              </w:rPr>
              <w:t>40%</w:t>
            </w:r>
          </w:p>
        </w:tc>
        <w:tc>
          <w:tcPr>
            <w:tcW w:w="713" w:type="dxa"/>
            <w:shd w:val="clear" w:color="000000" w:fill="F4F46C"/>
            <w:noWrap/>
            <w:vAlign w:val="center"/>
            <w:hideMark/>
          </w:tcPr>
          <w:p w:rsidR="007E399B" w:rsidRPr="002462E6" w:rsidRDefault="007E399B" w:rsidP="00420134">
            <w:pPr>
              <w:spacing w:after="0"/>
              <w:rPr>
                <w:rFonts w:ascii="Arial" w:hAnsi="Arial" w:cs="Arial"/>
                <w:color w:val="000000"/>
                <w:sz w:val="18"/>
                <w:szCs w:val="18"/>
                <w:lang w:eastAsia="fr-FR"/>
              </w:rPr>
            </w:pPr>
            <w:r w:rsidRPr="002462E6">
              <w:rPr>
                <w:rFonts w:ascii="Arial" w:hAnsi="Arial" w:cs="Arial"/>
                <w:color w:val="000000"/>
                <w:sz w:val="18"/>
                <w:szCs w:val="18"/>
                <w:lang w:eastAsia="fr-FR"/>
              </w:rPr>
              <w:t>30%</w:t>
            </w:r>
          </w:p>
        </w:tc>
      </w:tr>
      <w:tr w:rsidR="007E399B" w:rsidRPr="002462E6" w:rsidTr="00420134">
        <w:trPr>
          <w:trHeight w:val="364"/>
        </w:trPr>
        <w:tc>
          <w:tcPr>
            <w:tcW w:w="637" w:type="dxa"/>
            <w:vMerge/>
            <w:vAlign w:val="center"/>
            <w:hideMark/>
          </w:tcPr>
          <w:p w:rsidR="007E399B" w:rsidRPr="002462E6" w:rsidRDefault="007E399B" w:rsidP="00420134">
            <w:pPr>
              <w:spacing w:after="0"/>
              <w:rPr>
                <w:rFonts w:ascii="Arial" w:hAnsi="Arial" w:cs="Arial"/>
                <w:b/>
                <w:bCs/>
                <w:color w:val="000000"/>
                <w:sz w:val="16"/>
                <w:szCs w:val="16"/>
                <w:lang w:eastAsia="fr-FR"/>
              </w:rPr>
            </w:pPr>
          </w:p>
        </w:tc>
        <w:tc>
          <w:tcPr>
            <w:tcW w:w="1343" w:type="dxa"/>
            <w:vMerge/>
            <w:vAlign w:val="center"/>
            <w:hideMark/>
          </w:tcPr>
          <w:p w:rsidR="007E399B" w:rsidRPr="002462E6" w:rsidRDefault="007E399B" w:rsidP="00420134">
            <w:pPr>
              <w:spacing w:after="0"/>
              <w:rPr>
                <w:rFonts w:ascii="Arial" w:hAnsi="Arial" w:cs="Arial"/>
                <w:color w:val="000000"/>
                <w:sz w:val="16"/>
                <w:szCs w:val="16"/>
                <w:lang w:eastAsia="fr-FR"/>
              </w:rPr>
            </w:pPr>
          </w:p>
        </w:tc>
        <w:tc>
          <w:tcPr>
            <w:tcW w:w="1276" w:type="dxa"/>
            <w:shd w:val="clear" w:color="auto" w:fill="auto"/>
            <w:noWrap/>
            <w:vAlign w:val="center"/>
            <w:hideMark/>
          </w:tcPr>
          <w:p w:rsidR="007E399B" w:rsidRPr="002462E6" w:rsidRDefault="007E399B" w:rsidP="00420134">
            <w:pPr>
              <w:spacing w:after="0"/>
              <w:rPr>
                <w:rFonts w:ascii="Arial" w:hAnsi="Arial" w:cs="Arial"/>
                <w:color w:val="000000"/>
                <w:sz w:val="16"/>
                <w:szCs w:val="16"/>
                <w:lang w:eastAsia="fr-FR"/>
              </w:rPr>
            </w:pPr>
            <w:r w:rsidRPr="002462E6">
              <w:rPr>
                <w:rFonts w:ascii="Arial" w:hAnsi="Arial" w:cs="Arial"/>
                <w:color w:val="000000"/>
                <w:sz w:val="16"/>
                <w:szCs w:val="16"/>
                <w:lang w:eastAsia="fr-FR"/>
              </w:rPr>
              <w:t>Oulad Saada</w:t>
            </w:r>
          </w:p>
        </w:tc>
        <w:tc>
          <w:tcPr>
            <w:tcW w:w="499" w:type="dxa"/>
            <w:shd w:val="clear" w:color="000000" w:fill="F4F46C"/>
            <w:noWrap/>
            <w:vAlign w:val="center"/>
            <w:hideMark/>
          </w:tcPr>
          <w:p w:rsidR="007E399B" w:rsidRPr="002462E6" w:rsidRDefault="007E399B" w:rsidP="00420134">
            <w:pPr>
              <w:spacing w:after="0"/>
              <w:rPr>
                <w:rFonts w:ascii="Arial" w:hAnsi="Arial" w:cs="Arial"/>
                <w:color w:val="000000"/>
                <w:sz w:val="18"/>
                <w:szCs w:val="18"/>
                <w:lang w:eastAsia="fr-FR"/>
              </w:rPr>
            </w:pPr>
            <w:r w:rsidRPr="002462E6">
              <w:rPr>
                <w:rFonts w:ascii="Arial" w:hAnsi="Arial" w:cs="Arial"/>
                <w:color w:val="000000"/>
                <w:sz w:val="18"/>
                <w:szCs w:val="18"/>
                <w:lang w:eastAsia="fr-FR"/>
              </w:rPr>
              <w:t>40%</w:t>
            </w:r>
          </w:p>
        </w:tc>
        <w:tc>
          <w:tcPr>
            <w:tcW w:w="1200" w:type="dxa"/>
            <w:shd w:val="clear" w:color="000000" w:fill="D34B07"/>
            <w:noWrap/>
            <w:vAlign w:val="center"/>
            <w:hideMark/>
          </w:tcPr>
          <w:p w:rsidR="007E399B" w:rsidRPr="002462E6" w:rsidRDefault="007E399B" w:rsidP="00420134">
            <w:pPr>
              <w:spacing w:after="0"/>
              <w:rPr>
                <w:rFonts w:ascii="Arial" w:hAnsi="Arial" w:cs="Arial"/>
                <w:color w:val="000000"/>
                <w:sz w:val="18"/>
                <w:szCs w:val="18"/>
                <w:lang w:eastAsia="fr-FR"/>
              </w:rPr>
            </w:pPr>
            <w:r w:rsidRPr="002462E6">
              <w:rPr>
                <w:rFonts w:ascii="Arial" w:hAnsi="Arial" w:cs="Arial"/>
                <w:color w:val="000000"/>
                <w:sz w:val="18"/>
                <w:szCs w:val="18"/>
                <w:lang w:eastAsia="fr-FR"/>
              </w:rPr>
              <w:t>100%</w:t>
            </w:r>
          </w:p>
        </w:tc>
        <w:tc>
          <w:tcPr>
            <w:tcW w:w="1379" w:type="dxa"/>
            <w:shd w:val="clear" w:color="000000" w:fill="F4F46C"/>
            <w:noWrap/>
            <w:vAlign w:val="center"/>
            <w:hideMark/>
          </w:tcPr>
          <w:p w:rsidR="007E399B" w:rsidRPr="002462E6" w:rsidRDefault="007E399B" w:rsidP="00420134">
            <w:pPr>
              <w:spacing w:after="0"/>
              <w:rPr>
                <w:rFonts w:ascii="Arial" w:hAnsi="Arial" w:cs="Arial"/>
                <w:color w:val="000000"/>
                <w:sz w:val="18"/>
                <w:szCs w:val="18"/>
                <w:lang w:eastAsia="fr-FR"/>
              </w:rPr>
            </w:pPr>
            <w:r w:rsidRPr="002462E6">
              <w:rPr>
                <w:rFonts w:ascii="Arial" w:hAnsi="Arial" w:cs="Arial"/>
                <w:color w:val="000000"/>
                <w:sz w:val="18"/>
                <w:szCs w:val="18"/>
                <w:lang w:eastAsia="fr-FR"/>
              </w:rPr>
              <w:t>20%</w:t>
            </w:r>
          </w:p>
        </w:tc>
        <w:tc>
          <w:tcPr>
            <w:tcW w:w="1458" w:type="dxa"/>
            <w:shd w:val="clear" w:color="000000" w:fill="F4F46C"/>
            <w:noWrap/>
            <w:vAlign w:val="center"/>
            <w:hideMark/>
          </w:tcPr>
          <w:p w:rsidR="007E399B" w:rsidRPr="002462E6" w:rsidRDefault="007E399B" w:rsidP="00420134">
            <w:pPr>
              <w:spacing w:after="0"/>
              <w:rPr>
                <w:rFonts w:ascii="Arial" w:hAnsi="Arial" w:cs="Arial"/>
                <w:color w:val="000000"/>
                <w:sz w:val="18"/>
                <w:szCs w:val="18"/>
                <w:lang w:eastAsia="fr-FR"/>
              </w:rPr>
            </w:pPr>
            <w:r w:rsidRPr="002462E6">
              <w:rPr>
                <w:rFonts w:ascii="Arial" w:hAnsi="Arial" w:cs="Arial"/>
                <w:color w:val="000000"/>
                <w:sz w:val="18"/>
                <w:szCs w:val="18"/>
                <w:lang w:eastAsia="fr-FR"/>
              </w:rPr>
              <w:t>0%</w:t>
            </w:r>
          </w:p>
        </w:tc>
        <w:tc>
          <w:tcPr>
            <w:tcW w:w="606" w:type="dxa"/>
            <w:shd w:val="clear" w:color="000000" w:fill="F4F46C"/>
            <w:noWrap/>
            <w:vAlign w:val="center"/>
            <w:hideMark/>
          </w:tcPr>
          <w:p w:rsidR="007E399B" w:rsidRPr="002462E6" w:rsidRDefault="007E399B" w:rsidP="00420134">
            <w:pPr>
              <w:spacing w:after="0"/>
              <w:rPr>
                <w:rFonts w:ascii="Arial" w:hAnsi="Arial" w:cs="Arial"/>
                <w:color w:val="000000"/>
                <w:sz w:val="18"/>
                <w:szCs w:val="18"/>
                <w:lang w:eastAsia="fr-FR"/>
              </w:rPr>
            </w:pPr>
            <w:r w:rsidRPr="002462E6">
              <w:rPr>
                <w:rFonts w:ascii="Arial" w:hAnsi="Arial" w:cs="Arial"/>
                <w:color w:val="000000"/>
                <w:sz w:val="18"/>
                <w:szCs w:val="18"/>
                <w:lang w:eastAsia="fr-FR"/>
              </w:rPr>
              <w:t>0%</w:t>
            </w:r>
          </w:p>
        </w:tc>
        <w:tc>
          <w:tcPr>
            <w:tcW w:w="564" w:type="dxa"/>
            <w:shd w:val="clear" w:color="000000" w:fill="F4F46C"/>
            <w:noWrap/>
            <w:vAlign w:val="center"/>
            <w:hideMark/>
          </w:tcPr>
          <w:p w:rsidR="007E399B" w:rsidRPr="002462E6" w:rsidRDefault="007E399B" w:rsidP="00420134">
            <w:pPr>
              <w:spacing w:after="0"/>
              <w:rPr>
                <w:rFonts w:ascii="Arial" w:hAnsi="Arial" w:cs="Arial"/>
                <w:color w:val="000000"/>
                <w:sz w:val="18"/>
                <w:szCs w:val="18"/>
                <w:lang w:eastAsia="fr-FR"/>
              </w:rPr>
            </w:pPr>
            <w:r w:rsidRPr="002462E6">
              <w:rPr>
                <w:rFonts w:ascii="Arial" w:hAnsi="Arial" w:cs="Arial"/>
                <w:color w:val="000000"/>
                <w:sz w:val="18"/>
                <w:szCs w:val="18"/>
                <w:lang w:eastAsia="fr-FR"/>
              </w:rPr>
              <w:t>0%</w:t>
            </w:r>
          </w:p>
        </w:tc>
        <w:tc>
          <w:tcPr>
            <w:tcW w:w="713" w:type="dxa"/>
            <w:shd w:val="clear" w:color="000000" w:fill="F4F46C"/>
            <w:noWrap/>
            <w:vAlign w:val="center"/>
            <w:hideMark/>
          </w:tcPr>
          <w:p w:rsidR="007E399B" w:rsidRPr="002462E6" w:rsidRDefault="007E399B" w:rsidP="00420134">
            <w:pPr>
              <w:spacing w:after="0"/>
              <w:rPr>
                <w:rFonts w:ascii="Arial" w:hAnsi="Arial" w:cs="Arial"/>
                <w:color w:val="000000"/>
                <w:sz w:val="18"/>
                <w:szCs w:val="18"/>
                <w:lang w:eastAsia="fr-FR"/>
              </w:rPr>
            </w:pPr>
            <w:r w:rsidRPr="002462E6">
              <w:rPr>
                <w:rFonts w:ascii="Arial" w:hAnsi="Arial" w:cs="Arial"/>
                <w:color w:val="000000"/>
                <w:sz w:val="18"/>
                <w:szCs w:val="18"/>
                <w:lang w:eastAsia="fr-FR"/>
              </w:rPr>
              <w:t>27%</w:t>
            </w:r>
          </w:p>
        </w:tc>
      </w:tr>
      <w:tr w:rsidR="007E399B" w:rsidRPr="002462E6" w:rsidTr="00420134">
        <w:trPr>
          <w:trHeight w:val="281"/>
        </w:trPr>
        <w:tc>
          <w:tcPr>
            <w:tcW w:w="637" w:type="dxa"/>
            <w:vMerge/>
            <w:vAlign w:val="center"/>
            <w:hideMark/>
          </w:tcPr>
          <w:p w:rsidR="007E399B" w:rsidRPr="002462E6" w:rsidRDefault="007E399B" w:rsidP="00420134">
            <w:pPr>
              <w:spacing w:after="0"/>
              <w:rPr>
                <w:rFonts w:ascii="Arial" w:hAnsi="Arial" w:cs="Arial"/>
                <w:b/>
                <w:bCs/>
                <w:color w:val="000000"/>
                <w:sz w:val="16"/>
                <w:szCs w:val="16"/>
                <w:lang w:eastAsia="fr-FR"/>
              </w:rPr>
            </w:pPr>
          </w:p>
        </w:tc>
        <w:tc>
          <w:tcPr>
            <w:tcW w:w="1343" w:type="dxa"/>
            <w:vMerge/>
            <w:vAlign w:val="center"/>
            <w:hideMark/>
          </w:tcPr>
          <w:p w:rsidR="007E399B" w:rsidRPr="002462E6" w:rsidRDefault="007E399B" w:rsidP="00420134">
            <w:pPr>
              <w:spacing w:after="0"/>
              <w:rPr>
                <w:rFonts w:ascii="Arial" w:hAnsi="Arial" w:cs="Arial"/>
                <w:color w:val="000000"/>
                <w:sz w:val="16"/>
                <w:szCs w:val="16"/>
                <w:lang w:eastAsia="fr-FR"/>
              </w:rPr>
            </w:pPr>
          </w:p>
        </w:tc>
        <w:tc>
          <w:tcPr>
            <w:tcW w:w="1276" w:type="dxa"/>
            <w:shd w:val="clear" w:color="auto" w:fill="auto"/>
            <w:noWrap/>
            <w:vAlign w:val="center"/>
            <w:hideMark/>
          </w:tcPr>
          <w:p w:rsidR="007E399B" w:rsidRPr="002462E6" w:rsidRDefault="007E399B" w:rsidP="00420134">
            <w:pPr>
              <w:spacing w:after="0"/>
              <w:rPr>
                <w:rFonts w:ascii="Arial" w:hAnsi="Arial" w:cs="Arial"/>
                <w:color w:val="000000"/>
                <w:sz w:val="16"/>
                <w:szCs w:val="16"/>
                <w:lang w:eastAsia="fr-FR"/>
              </w:rPr>
            </w:pPr>
            <w:r w:rsidRPr="002462E6">
              <w:rPr>
                <w:rFonts w:ascii="Arial" w:hAnsi="Arial" w:cs="Arial"/>
                <w:color w:val="000000"/>
                <w:sz w:val="16"/>
                <w:szCs w:val="16"/>
                <w:lang w:eastAsia="fr-FR"/>
              </w:rPr>
              <w:t>Oulad Dlim</w:t>
            </w:r>
          </w:p>
        </w:tc>
        <w:tc>
          <w:tcPr>
            <w:tcW w:w="499" w:type="dxa"/>
            <w:shd w:val="clear" w:color="000000" w:fill="F4F46C"/>
            <w:noWrap/>
            <w:vAlign w:val="center"/>
            <w:hideMark/>
          </w:tcPr>
          <w:p w:rsidR="007E399B" w:rsidRPr="002462E6" w:rsidRDefault="007E399B" w:rsidP="00420134">
            <w:pPr>
              <w:spacing w:after="0"/>
              <w:rPr>
                <w:rFonts w:ascii="Arial" w:hAnsi="Arial" w:cs="Arial"/>
                <w:color w:val="000000"/>
                <w:sz w:val="18"/>
                <w:szCs w:val="18"/>
                <w:lang w:eastAsia="fr-FR"/>
              </w:rPr>
            </w:pPr>
            <w:r w:rsidRPr="002462E6">
              <w:rPr>
                <w:rFonts w:ascii="Arial" w:hAnsi="Arial" w:cs="Arial"/>
                <w:color w:val="000000"/>
                <w:sz w:val="18"/>
                <w:szCs w:val="18"/>
                <w:lang w:eastAsia="fr-FR"/>
              </w:rPr>
              <w:t>20%</w:t>
            </w:r>
          </w:p>
        </w:tc>
        <w:tc>
          <w:tcPr>
            <w:tcW w:w="1200" w:type="dxa"/>
            <w:shd w:val="clear" w:color="000000" w:fill="D34B07"/>
            <w:noWrap/>
            <w:vAlign w:val="center"/>
            <w:hideMark/>
          </w:tcPr>
          <w:p w:rsidR="007E399B" w:rsidRPr="002462E6" w:rsidRDefault="007E399B" w:rsidP="00420134">
            <w:pPr>
              <w:spacing w:after="0"/>
              <w:rPr>
                <w:rFonts w:ascii="Arial" w:hAnsi="Arial" w:cs="Arial"/>
                <w:color w:val="000000"/>
                <w:sz w:val="18"/>
                <w:szCs w:val="18"/>
                <w:lang w:eastAsia="fr-FR"/>
              </w:rPr>
            </w:pPr>
            <w:r w:rsidRPr="002462E6">
              <w:rPr>
                <w:rFonts w:ascii="Arial" w:hAnsi="Arial" w:cs="Arial"/>
                <w:color w:val="000000"/>
                <w:sz w:val="18"/>
                <w:szCs w:val="18"/>
                <w:lang w:eastAsia="fr-FR"/>
              </w:rPr>
              <w:t>100%</w:t>
            </w:r>
          </w:p>
        </w:tc>
        <w:tc>
          <w:tcPr>
            <w:tcW w:w="1379" w:type="dxa"/>
            <w:shd w:val="clear" w:color="000000" w:fill="F4F46C"/>
            <w:noWrap/>
            <w:vAlign w:val="center"/>
            <w:hideMark/>
          </w:tcPr>
          <w:p w:rsidR="007E399B" w:rsidRPr="002462E6" w:rsidRDefault="007E399B" w:rsidP="00420134">
            <w:pPr>
              <w:spacing w:after="0"/>
              <w:rPr>
                <w:rFonts w:ascii="Arial" w:hAnsi="Arial" w:cs="Arial"/>
                <w:color w:val="000000"/>
                <w:sz w:val="18"/>
                <w:szCs w:val="18"/>
                <w:lang w:eastAsia="fr-FR"/>
              </w:rPr>
            </w:pPr>
            <w:r w:rsidRPr="002462E6">
              <w:rPr>
                <w:rFonts w:ascii="Arial" w:hAnsi="Arial" w:cs="Arial"/>
                <w:color w:val="000000"/>
                <w:sz w:val="18"/>
                <w:szCs w:val="18"/>
                <w:lang w:eastAsia="fr-FR"/>
              </w:rPr>
              <w:t>20%</w:t>
            </w:r>
          </w:p>
        </w:tc>
        <w:tc>
          <w:tcPr>
            <w:tcW w:w="1458" w:type="dxa"/>
            <w:shd w:val="clear" w:color="000000" w:fill="F4F46C"/>
            <w:noWrap/>
            <w:vAlign w:val="center"/>
            <w:hideMark/>
          </w:tcPr>
          <w:p w:rsidR="007E399B" w:rsidRPr="002462E6" w:rsidRDefault="007E399B" w:rsidP="00420134">
            <w:pPr>
              <w:spacing w:after="0"/>
              <w:rPr>
                <w:rFonts w:ascii="Arial" w:hAnsi="Arial" w:cs="Arial"/>
                <w:color w:val="000000"/>
                <w:sz w:val="18"/>
                <w:szCs w:val="18"/>
                <w:lang w:eastAsia="fr-FR"/>
              </w:rPr>
            </w:pPr>
            <w:r w:rsidRPr="002462E6">
              <w:rPr>
                <w:rFonts w:ascii="Arial" w:hAnsi="Arial" w:cs="Arial"/>
                <w:color w:val="000000"/>
                <w:sz w:val="18"/>
                <w:szCs w:val="18"/>
                <w:lang w:eastAsia="fr-FR"/>
              </w:rPr>
              <w:t>40%</w:t>
            </w:r>
          </w:p>
        </w:tc>
        <w:tc>
          <w:tcPr>
            <w:tcW w:w="606" w:type="dxa"/>
            <w:shd w:val="clear" w:color="000000" w:fill="F4F46C"/>
            <w:noWrap/>
            <w:vAlign w:val="center"/>
            <w:hideMark/>
          </w:tcPr>
          <w:p w:rsidR="007E399B" w:rsidRPr="002462E6" w:rsidRDefault="007E399B" w:rsidP="00420134">
            <w:pPr>
              <w:spacing w:after="0"/>
              <w:rPr>
                <w:rFonts w:ascii="Arial" w:hAnsi="Arial" w:cs="Arial"/>
                <w:color w:val="000000"/>
                <w:sz w:val="18"/>
                <w:szCs w:val="18"/>
                <w:lang w:eastAsia="fr-FR"/>
              </w:rPr>
            </w:pPr>
            <w:r w:rsidRPr="002462E6">
              <w:rPr>
                <w:rFonts w:ascii="Arial" w:hAnsi="Arial" w:cs="Arial"/>
                <w:color w:val="000000"/>
                <w:sz w:val="18"/>
                <w:szCs w:val="18"/>
                <w:lang w:eastAsia="fr-FR"/>
              </w:rPr>
              <w:t>0%</w:t>
            </w:r>
          </w:p>
        </w:tc>
        <w:tc>
          <w:tcPr>
            <w:tcW w:w="564" w:type="dxa"/>
            <w:shd w:val="clear" w:color="000000" w:fill="F4F46C"/>
            <w:noWrap/>
            <w:vAlign w:val="center"/>
            <w:hideMark/>
          </w:tcPr>
          <w:p w:rsidR="007E399B" w:rsidRPr="002462E6" w:rsidRDefault="007E399B" w:rsidP="00420134">
            <w:pPr>
              <w:spacing w:after="0"/>
              <w:rPr>
                <w:rFonts w:ascii="Arial" w:hAnsi="Arial" w:cs="Arial"/>
                <w:color w:val="000000"/>
                <w:sz w:val="18"/>
                <w:szCs w:val="18"/>
                <w:lang w:eastAsia="fr-FR"/>
              </w:rPr>
            </w:pPr>
            <w:r w:rsidRPr="002462E6">
              <w:rPr>
                <w:rFonts w:ascii="Arial" w:hAnsi="Arial" w:cs="Arial"/>
                <w:color w:val="000000"/>
                <w:sz w:val="18"/>
                <w:szCs w:val="18"/>
                <w:lang w:eastAsia="fr-FR"/>
              </w:rPr>
              <w:t>40%</w:t>
            </w:r>
          </w:p>
        </w:tc>
        <w:tc>
          <w:tcPr>
            <w:tcW w:w="713" w:type="dxa"/>
            <w:shd w:val="clear" w:color="000000" w:fill="F4F46C"/>
            <w:noWrap/>
            <w:vAlign w:val="center"/>
            <w:hideMark/>
          </w:tcPr>
          <w:p w:rsidR="007E399B" w:rsidRPr="002462E6" w:rsidRDefault="007E399B" w:rsidP="00420134">
            <w:pPr>
              <w:spacing w:after="0"/>
              <w:rPr>
                <w:rFonts w:ascii="Arial" w:hAnsi="Arial" w:cs="Arial"/>
                <w:color w:val="000000"/>
                <w:sz w:val="18"/>
                <w:szCs w:val="18"/>
                <w:lang w:eastAsia="fr-FR"/>
              </w:rPr>
            </w:pPr>
            <w:r w:rsidRPr="002462E6">
              <w:rPr>
                <w:rFonts w:ascii="Arial" w:hAnsi="Arial" w:cs="Arial"/>
                <w:color w:val="000000"/>
                <w:sz w:val="18"/>
                <w:szCs w:val="18"/>
                <w:lang w:eastAsia="fr-FR"/>
              </w:rPr>
              <w:t>37%</w:t>
            </w:r>
          </w:p>
        </w:tc>
      </w:tr>
      <w:tr w:rsidR="007E399B" w:rsidRPr="002462E6" w:rsidTr="00420134">
        <w:trPr>
          <w:trHeight w:val="281"/>
        </w:trPr>
        <w:tc>
          <w:tcPr>
            <w:tcW w:w="637" w:type="dxa"/>
            <w:vMerge/>
            <w:vAlign w:val="center"/>
            <w:hideMark/>
          </w:tcPr>
          <w:p w:rsidR="007E399B" w:rsidRPr="002462E6" w:rsidRDefault="007E399B" w:rsidP="00420134">
            <w:pPr>
              <w:spacing w:after="0"/>
              <w:rPr>
                <w:rFonts w:ascii="Arial" w:hAnsi="Arial" w:cs="Arial"/>
                <w:b/>
                <w:bCs/>
                <w:color w:val="000000"/>
                <w:sz w:val="16"/>
                <w:szCs w:val="16"/>
                <w:lang w:eastAsia="fr-FR"/>
              </w:rPr>
            </w:pPr>
          </w:p>
        </w:tc>
        <w:tc>
          <w:tcPr>
            <w:tcW w:w="1343" w:type="dxa"/>
            <w:vMerge/>
            <w:vAlign w:val="center"/>
            <w:hideMark/>
          </w:tcPr>
          <w:p w:rsidR="007E399B" w:rsidRPr="002462E6" w:rsidRDefault="007E399B" w:rsidP="00420134">
            <w:pPr>
              <w:spacing w:after="0"/>
              <w:rPr>
                <w:rFonts w:ascii="Arial" w:hAnsi="Arial" w:cs="Arial"/>
                <w:color w:val="000000"/>
                <w:sz w:val="16"/>
                <w:szCs w:val="16"/>
                <w:lang w:eastAsia="fr-FR"/>
              </w:rPr>
            </w:pPr>
          </w:p>
        </w:tc>
        <w:tc>
          <w:tcPr>
            <w:tcW w:w="1276" w:type="dxa"/>
            <w:shd w:val="clear" w:color="auto" w:fill="auto"/>
            <w:noWrap/>
            <w:vAlign w:val="center"/>
            <w:hideMark/>
          </w:tcPr>
          <w:p w:rsidR="007E399B" w:rsidRPr="002462E6" w:rsidRDefault="007E399B" w:rsidP="00420134">
            <w:pPr>
              <w:spacing w:after="0"/>
              <w:rPr>
                <w:rFonts w:ascii="Arial" w:hAnsi="Arial" w:cs="Arial"/>
                <w:color w:val="000000"/>
                <w:sz w:val="16"/>
                <w:szCs w:val="16"/>
                <w:lang w:eastAsia="fr-FR"/>
              </w:rPr>
            </w:pPr>
            <w:r w:rsidRPr="002462E6">
              <w:rPr>
                <w:rFonts w:ascii="Arial" w:hAnsi="Arial" w:cs="Arial"/>
                <w:color w:val="000000"/>
                <w:sz w:val="16"/>
                <w:szCs w:val="16"/>
                <w:lang w:eastAsia="fr-FR"/>
              </w:rPr>
              <w:t>Oulad Daoud</w:t>
            </w:r>
          </w:p>
        </w:tc>
        <w:tc>
          <w:tcPr>
            <w:tcW w:w="499" w:type="dxa"/>
            <w:shd w:val="clear" w:color="000000" w:fill="D34B07"/>
            <w:noWrap/>
            <w:vAlign w:val="center"/>
            <w:hideMark/>
          </w:tcPr>
          <w:p w:rsidR="007E399B" w:rsidRPr="002462E6" w:rsidRDefault="007E399B" w:rsidP="00420134">
            <w:pPr>
              <w:spacing w:after="0"/>
              <w:rPr>
                <w:rFonts w:ascii="Arial" w:hAnsi="Arial" w:cs="Arial"/>
                <w:color w:val="000000"/>
                <w:sz w:val="18"/>
                <w:szCs w:val="18"/>
                <w:lang w:eastAsia="fr-FR"/>
              </w:rPr>
            </w:pPr>
            <w:r w:rsidRPr="002462E6">
              <w:rPr>
                <w:rFonts w:ascii="Arial" w:hAnsi="Arial" w:cs="Arial"/>
                <w:color w:val="000000"/>
                <w:sz w:val="18"/>
                <w:szCs w:val="18"/>
                <w:lang w:eastAsia="fr-FR"/>
              </w:rPr>
              <w:t>80%</w:t>
            </w:r>
          </w:p>
        </w:tc>
        <w:tc>
          <w:tcPr>
            <w:tcW w:w="1200" w:type="dxa"/>
            <w:shd w:val="clear" w:color="000000" w:fill="D34B07"/>
            <w:noWrap/>
            <w:vAlign w:val="center"/>
            <w:hideMark/>
          </w:tcPr>
          <w:p w:rsidR="007E399B" w:rsidRPr="002462E6" w:rsidRDefault="007E399B" w:rsidP="00420134">
            <w:pPr>
              <w:spacing w:after="0"/>
              <w:rPr>
                <w:rFonts w:ascii="Arial" w:hAnsi="Arial" w:cs="Arial"/>
                <w:color w:val="000000"/>
                <w:sz w:val="18"/>
                <w:szCs w:val="18"/>
                <w:lang w:eastAsia="fr-FR"/>
              </w:rPr>
            </w:pPr>
            <w:r w:rsidRPr="002462E6">
              <w:rPr>
                <w:rFonts w:ascii="Arial" w:hAnsi="Arial" w:cs="Arial"/>
                <w:color w:val="000000"/>
                <w:sz w:val="18"/>
                <w:szCs w:val="18"/>
                <w:lang w:eastAsia="fr-FR"/>
              </w:rPr>
              <w:t>100%</w:t>
            </w:r>
          </w:p>
        </w:tc>
        <w:tc>
          <w:tcPr>
            <w:tcW w:w="1379" w:type="dxa"/>
            <w:shd w:val="clear" w:color="000000" w:fill="F4F46C"/>
            <w:noWrap/>
            <w:vAlign w:val="center"/>
            <w:hideMark/>
          </w:tcPr>
          <w:p w:rsidR="007E399B" w:rsidRPr="002462E6" w:rsidRDefault="007E399B" w:rsidP="00420134">
            <w:pPr>
              <w:spacing w:after="0"/>
              <w:rPr>
                <w:rFonts w:ascii="Arial" w:hAnsi="Arial" w:cs="Arial"/>
                <w:color w:val="000000"/>
                <w:sz w:val="18"/>
                <w:szCs w:val="18"/>
                <w:lang w:eastAsia="fr-FR"/>
              </w:rPr>
            </w:pPr>
            <w:r w:rsidRPr="002462E6">
              <w:rPr>
                <w:rFonts w:ascii="Arial" w:hAnsi="Arial" w:cs="Arial"/>
                <w:color w:val="000000"/>
                <w:sz w:val="18"/>
                <w:szCs w:val="18"/>
                <w:lang w:eastAsia="fr-FR"/>
              </w:rPr>
              <w:t>40%</w:t>
            </w:r>
          </w:p>
        </w:tc>
        <w:tc>
          <w:tcPr>
            <w:tcW w:w="1458" w:type="dxa"/>
            <w:shd w:val="clear" w:color="000000" w:fill="F4F46C"/>
            <w:noWrap/>
            <w:vAlign w:val="center"/>
            <w:hideMark/>
          </w:tcPr>
          <w:p w:rsidR="007E399B" w:rsidRPr="002462E6" w:rsidRDefault="007E399B" w:rsidP="00420134">
            <w:pPr>
              <w:spacing w:after="0"/>
              <w:rPr>
                <w:rFonts w:ascii="Arial" w:hAnsi="Arial" w:cs="Arial"/>
                <w:color w:val="000000"/>
                <w:sz w:val="18"/>
                <w:szCs w:val="18"/>
                <w:lang w:eastAsia="fr-FR"/>
              </w:rPr>
            </w:pPr>
            <w:r w:rsidRPr="002462E6">
              <w:rPr>
                <w:rFonts w:ascii="Arial" w:hAnsi="Arial" w:cs="Arial"/>
                <w:color w:val="000000"/>
                <w:sz w:val="18"/>
                <w:szCs w:val="18"/>
                <w:lang w:eastAsia="fr-FR"/>
              </w:rPr>
              <w:t>40%</w:t>
            </w:r>
          </w:p>
        </w:tc>
        <w:tc>
          <w:tcPr>
            <w:tcW w:w="606" w:type="dxa"/>
            <w:shd w:val="clear" w:color="000000" w:fill="F4F46C"/>
            <w:noWrap/>
            <w:vAlign w:val="center"/>
            <w:hideMark/>
          </w:tcPr>
          <w:p w:rsidR="007E399B" w:rsidRPr="002462E6" w:rsidRDefault="007E399B" w:rsidP="00420134">
            <w:pPr>
              <w:spacing w:after="0"/>
              <w:rPr>
                <w:rFonts w:ascii="Arial" w:hAnsi="Arial" w:cs="Arial"/>
                <w:color w:val="000000"/>
                <w:sz w:val="18"/>
                <w:szCs w:val="18"/>
                <w:lang w:eastAsia="fr-FR"/>
              </w:rPr>
            </w:pPr>
            <w:r w:rsidRPr="002462E6">
              <w:rPr>
                <w:rFonts w:ascii="Arial" w:hAnsi="Arial" w:cs="Arial"/>
                <w:color w:val="000000"/>
                <w:sz w:val="18"/>
                <w:szCs w:val="18"/>
                <w:lang w:eastAsia="fr-FR"/>
              </w:rPr>
              <w:t>0%</w:t>
            </w:r>
          </w:p>
        </w:tc>
        <w:tc>
          <w:tcPr>
            <w:tcW w:w="564" w:type="dxa"/>
            <w:shd w:val="clear" w:color="000000" w:fill="F4F46C"/>
            <w:noWrap/>
            <w:vAlign w:val="center"/>
            <w:hideMark/>
          </w:tcPr>
          <w:p w:rsidR="007E399B" w:rsidRPr="002462E6" w:rsidRDefault="007E399B" w:rsidP="00420134">
            <w:pPr>
              <w:spacing w:after="0"/>
              <w:rPr>
                <w:rFonts w:ascii="Arial" w:hAnsi="Arial" w:cs="Arial"/>
                <w:color w:val="000000"/>
                <w:sz w:val="18"/>
                <w:szCs w:val="18"/>
                <w:lang w:eastAsia="fr-FR"/>
              </w:rPr>
            </w:pPr>
            <w:r w:rsidRPr="002462E6">
              <w:rPr>
                <w:rFonts w:ascii="Arial" w:hAnsi="Arial" w:cs="Arial"/>
                <w:color w:val="000000"/>
                <w:sz w:val="18"/>
                <w:szCs w:val="18"/>
                <w:lang w:eastAsia="fr-FR"/>
              </w:rPr>
              <w:t>0%</w:t>
            </w:r>
          </w:p>
        </w:tc>
        <w:tc>
          <w:tcPr>
            <w:tcW w:w="713" w:type="dxa"/>
            <w:shd w:val="clear" w:color="000000" w:fill="F4F46C"/>
            <w:noWrap/>
            <w:vAlign w:val="center"/>
            <w:hideMark/>
          </w:tcPr>
          <w:p w:rsidR="007E399B" w:rsidRPr="002462E6" w:rsidRDefault="007E399B" w:rsidP="00420134">
            <w:pPr>
              <w:spacing w:after="0"/>
              <w:rPr>
                <w:rFonts w:ascii="Arial" w:hAnsi="Arial" w:cs="Arial"/>
                <w:color w:val="000000"/>
                <w:sz w:val="18"/>
                <w:szCs w:val="18"/>
                <w:lang w:eastAsia="fr-FR"/>
              </w:rPr>
            </w:pPr>
            <w:r w:rsidRPr="002462E6">
              <w:rPr>
                <w:rFonts w:ascii="Arial" w:hAnsi="Arial" w:cs="Arial"/>
                <w:color w:val="000000"/>
                <w:sz w:val="18"/>
                <w:szCs w:val="18"/>
                <w:lang w:eastAsia="fr-FR"/>
              </w:rPr>
              <w:t>43%</w:t>
            </w:r>
          </w:p>
        </w:tc>
      </w:tr>
      <w:tr w:rsidR="007E399B" w:rsidRPr="002462E6" w:rsidTr="00420134">
        <w:trPr>
          <w:trHeight w:val="281"/>
        </w:trPr>
        <w:tc>
          <w:tcPr>
            <w:tcW w:w="637" w:type="dxa"/>
            <w:vMerge/>
            <w:vAlign w:val="center"/>
            <w:hideMark/>
          </w:tcPr>
          <w:p w:rsidR="007E399B" w:rsidRPr="002462E6" w:rsidRDefault="007E399B" w:rsidP="00420134">
            <w:pPr>
              <w:spacing w:after="0"/>
              <w:rPr>
                <w:rFonts w:ascii="Arial" w:hAnsi="Arial" w:cs="Arial"/>
                <w:b/>
                <w:bCs/>
                <w:color w:val="000000"/>
                <w:sz w:val="16"/>
                <w:szCs w:val="16"/>
                <w:lang w:eastAsia="fr-FR"/>
              </w:rPr>
            </w:pPr>
          </w:p>
        </w:tc>
        <w:tc>
          <w:tcPr>
            <w:tcW w:w="1343" w:type="dxa"/>
            <w:vMerge/>
            <w:vAlign w:val="center"/>
            <w:hideMark/>
          </w:tcPr>
          <w:p w:rsidR="007E399B" w:rsidRPr="002462E6" w:rsidRDefault="007E399B" w:rsidP="00420134">
            <w:pPr>
              <w:spacing w:after="0"/>
              <w:rPr>
                <w:rFonts w:ascii="Arial" w:hAnsi="Arial" w:cs="Arial"/>
                <w:color w:val="000000"/>
                <w:sz w:val="16"/>
                <w:szCs w:val="16"/>
                <w:lang w:eastAsia="fr-FR"/>
              </w:rPr>
            </w:pPr>
          </w:p>
        </w:tc>
        <w:tc>
          <w:tcPr>
            <w:tcW w:w="1276" w:type="dxa"/>
            <w:shd w:val="clear" w:color="auto" w:fill="auto"/>
            <w:noWrap/>
            <w:vAlign w:val="center"/>
            <w:hideMark/>
          </w:tcPr>
          <w:p w:rsidR="007E399B" w:rsidRPr="002462E6" w:rsidRDefault="007E399B" w:rsidP="00420134">
            <w:pPr>
              <w:spacing w:after="0"/>
              <w:rPr>
                <w:rFonts w:ascii="Arial" w:hAnsi="Arial" w:cs="Arial"/>
                <w:color w:val="000000"/>
                <w:sz w:val="16"/>
                <w:szCs w:val="16"/>
                <w:lang w:eastAsia="fr-FR"/>
              </w:rPr>
            </w:pPr>
            <w:r w:rsidRPr="002462E6">
              <w:rPr>
                <w:rFonts w:ascii="Arial" w:hAnsi="Arial" w:cs="Arial"/>
                <w:color w:val="000000"/>
                <w:sz w:val="16"/>
                <w:szCs w:val="16"/>
                <w:lang w:eastAsia="fr-FR"/>
              </w:rPr>
              <w:t>Lâarâara</w:t>
            </w:r>
          </w:p>
        </w:tc>
        <w:tc>
          <w:tcPr>
            <w:tcW w:w="499" w:type="dxa"/>
            <w:shd w:val="clear" w:color="000000" w:fill="F4F46C"/>
            <w:noWrap/>
            <w:vAlign w:val="center"/>
            <w:hideMark/>
          </w:tcPr>
          <w:p w:rsidR="007E399B" w:rsidRPr="002462E6" w:rsidRDefault="007E399B" w:rsidP="00420134">
            <w:pPr>
              <w:spacing w:after="0"/>
              <w:rPr>
                <w:rFonts w:ascii="Arial" w:hAnsi="Arial" w:cs="Arial"/>
                <w:color w:val="000000"/>
                <w:sz w:val="18"/>
                <w:szCs w:val="18"/>
                <w:lang w:eastAsia="fr-FR"/>
              </w:rPr>
            </w:pPr>
            <w:r w:rsidRPr="002462E6">
              <w:rPr>
                <w:rFonts w:ascii="Arial" w:hAnsi="Arial" w:cs="Arial"/>
                <w:color w:val="000000"/>
                <w:sz w:val="18"/>
                <w:szCs w:val="18"/>
                <w:lang w:eastAsia="fr-FR"/>
              </w:rPr>
              <w:t>20%</w:t>
            </w:r>
          </w:p>
        </w:tc>
        <w:tc>
          <w:tcPr>
            <w:tcW w:w="1200" w:type="dxa"/>
            <w:shd w:val="clear" w:color="000000" w:fill="D34B07"/>
            <w:noWrap/>
            <w:vAlign w:val="center"/>
            <w:hideMark/>
          </w:tcPr>
          <w:p w:rsidR="007E399B" w:rsidRPr="002462E6" w:rsidRDefault="007E399B" w:rsidP="00420134">
            <w:pPr>
              <w:spacing w:after="0"/>
              <w:rPr>
                <w:rFonts w:ascii="Arial" w:hAnsi="Arial" w:cs="Arial"/>
                <w:color w:val="000000"/>
                <w:sz w:val="18"/>
                <w:szCs w:val="18"/>
                <w:lang w:eastAsia="fr-FR"/>
              </w:rPr>
            </w:pPr>
            <w:r w:rsidRPr="002462E6">
              <w:rPr>
                <w:rFonts w:ascii="Arial" w:hAnsi="Arial" w:cs="Arial"/>
                <w:color w:val="000000"/>
                <w:sz w:val="18"/>
                <w:szCs w:val="18"/>
                <w:lang w:eastAsia="fr-FR"/>
              </w:rPr>
              <w:t>100%</w:t>
            </w:r>
          </w:p>
        </w:tc>
        <w:tc>
          <w:tcPr>
            <w:tcW w:w="1379" w:type="dxa"/>
            <w:shd w:val="clear" w:color="000000" w:fill="F4F46C"/>
            <w:noWrap/>
            <w:vAlign w:val="center"/>
            <w:hideMark/>
          </w:tcPr>
          <w:p w:rsidR="007E399B" w:rsidRPr="002462E6" w:rsidRDefault="007E399B" w:rsidP="00420134">
            <w:pPr>
              <w:spacing w:after="0"/>
              <w:rPr>
                <w:rFonts w:ascii="Arial" w:hAnsi="Arial" w:cs="Arial"/>
                <w:color w:val="000000"/>
                <w:sz w:val="18"/>
                <w:szCs w:val="18"/>
                <w:lang w:eastAsia="fr-FR"/>
              </w:rPr>
            </w:pPr>
            <w:r w:rsidRPr="002462E6">
              <w:rPr>
                <w:rFonts w:ascii="Arial" w:hAnsi="Arial" w:cs="Arial"/>
                <w:color w:val="000000"/>
                <w:sz w:val="18"/>
                <w:szCs w:val="18"/>
                <w:lang w:eastAsia="fr-FR"/>
              </w:rPr>
              <w:t>20%</w:t>
            </w:r>
          </w:p>
        </w:tc>
        <w:tc>
          <w:tcPr>
            <w:tcW w:w="1458" w:type="dxa"/>
            <w:shd w:val="clear" w:color="000000" w:fill="D34B07"/>
            <w:noWrap/>
            <w:vAlign w:val="center"/>
            <w:hideMark/>
          </w:tcPr>
          <w:p w:rsidR="007E399B" w:rsidRPr="002462E6" w:rsidRDefault="007E399B" w:rsidP="00420134">
            <w:pPr>
              <w:spacing w:after="0"/>
              <w:rPr>
                <w:rFonts w:ascii="Arial" w:hAnsi="Arial" w:cs="Arial"/>
                <w:color w:val="000000"/>
                <w:sz w:val="18"/>
                <w:szCs w:val="18"/>
                <w:lang w:eastAsia="fr-FR"/>
              </w:rPr>
            </w:pPr>
            <w:r w:rsidRPr="002462E6">
              <w:rPr>
                <w:rFonts w:ascii="Arial" w:hAnsi="Arial" w:cs="Arial"/>
                <w:color w:val="000000"/>
                <w:sz w:val="18"/>
                <w:szCs w:val="18"/>
                <w:lang w:eastAsia="fr-FR"/>
              </w:rPr>
              <w:t>80%</w:t>
            </w:r>
          </w:p>
        </w:tc>
        <w:tc>
          <w:tcPr>
            <w:tcW w:w="606" w:type="dxa"/>
            <w:shd w:val="clear" w:color="000000" w:fill="F4F46C"/>
            <w:noWrap/>
            <w:vAlign w:val="center"/>
            <w:hideMark/>
          </w:tcPr>
          <w:p w:rsidR="007E399B" w:rsidRPr="002462E6" w:rsidRDefault="007E399B" w:rsidP="00420134">
            <w:pPr>
              <w:spacing w:after="0"/>
              <w:rPr>
                <w:rFonts w:ascii="Arial" w:hAnsi="Arial" w:cs="Arial"/>
                <w:color w:val="000000"/>
                <w:sz w:val="18"/>
                <w:szCs w:val="18"/>
                <w:lang w:eastAsia="fr-FR"/>
              </w:rPr>
            </w:pPr>
            <w:r w:rsidRPr="002462E6">
              <w:rPr>
                <w:rFonts w:ascii="Arial" w:hAnsi="Arial" w:cs="Arial"/>
                <w:color w:val="000000"/>
                <w:sz w:val="18"/>
                <w:szCs w:val="18"/>
                <w:lang w:eastAsia="fr-FR"/>
              </w:rPr>
              <w:t>20%</w:t>
            </w:r>
          </w:p>
        </w:tc>
        <w:tc>
          <w:tcPr>
            <w:tcW w:w="564" w:type="dxa"/>
            <w:shd w:val="clear" w:color="000000" w:fill="F4F46C"/>
            <w:noWrap/>
            <w:vAlign w:val="center"/>
            <w:hideMark/>
          </w:tcPr>
          <w:p w:rsidR="007E399B" w:rsidRPr="002462E6" w:rsidRDefault="007E399B" w:rsidP="00420134">
            <w:pPr>
              <w:spacing w:after="0"/>
              <w:rPr>
                <w:rFonts w:ascii="Arial" w:hAnsi="Arial" w:cs="Arial"/>
                <w:color w:val="000000"/>
                <w:sz w:val="18"/>
                <w:szCs w:val="18"/>
                <w:lang w:eastAsia="fr-FR"/>
              </w:rPr>
            </w:pPr>
            <w:r w:rsidRPr="002462E6">
              <w:rPr>
                <w:rFonts w:ascii="Arial" w:hAnsi="Arial" w:cs="Arial"/>
                <w:color w:val="000000"/>
                <w:sz w:val="18"/>
                <w:szCs w:val="18"/>
                <w:lang w:eastAsia="fr-FR"/>
              </w:rPr>
              <w:t>20%</w:t>
            </w:r>
          </w:p>
        </w:tc>
        <w:tc>
          <w:tcPr>
            <w:tcW w:w="713" w:type="dxa"/>
            <w:shd w:val="clear" w:color="000000" w:fill="F4F46C"/>
            <w:noWrap/>
            <w:vAlign w:val="center"/>
            <w:hideMark/>
          </w:tcPr>
          <w:p w:rsidR="007E399B" w:rsidRPr="002462E6" w:rsidRDefault="007E399B" w:rsidP="00420134">
            <w:pPr>
              <w:spacing w:after="0"/>
              <w:rPr>
                <w:rFonts w:ascii="Arial" w:hAnsi="Arial" w:cs="Arial"/>
                <w:color w:val="000000"/>
                <w:sz w:val="18"/>
                <w:szCs w:val="18"/>
                <w:lang w:eastAsia="fr-FR"/>
              </w:rPr>
            </w:pPr>
            <w:r w:rsidRPr="002462E6">
              <w:rPr>
                <w:rFonts w:ascii="Arial" w:hAnsi="Arial" w:cs="Arial"/>
                <w:color w:val="000000"/>
                <w:sz w:val="18"/>
                <w:szCs w:val="18"/>
                <w:lang w:eastAsia="fr-FR"/>
              </w:rPr>
              <w:t>43%</w:t>
            </w:r>
          </w:p>
        </w:tc>
      </w:tr>
      <w:tr w:rsidR="007E399B" w:rsidRPr="002462E6" w:rsidTr="00420134">
        <w:trPr>
          <w:trHeight w:val="281"/>
        </w:trPr>
        <w:tc>
          <w:tcPr>
            <w:tcW w:w="637" w:type="dxa"/>
            <w:vMerge/>
            <w:vAlign w:val="center"/>
            <w:hideMark/>
          </w:tcPr>
          <w:p w:rsidR="007E399B" w:rsidRPr="002462E6" w:rsidRDefault="007E399B" w:rsidP="00420134">
            <w:pPr>
              <w:spacing w:after="0"/>
              <w:rPr>
                <w:rFonts w:ascii="Arial" w:hAnsi="Arial" w:cs="Arial"/>
                <w:b/>
                <w:bCs/>
                <w:color w:val="000000"/>
                <w:sz w:val="16"/>
                <w:szCs w:val="16"/>
                <w:lang w:eastAsia="fr-FR"/>
              </w:rPr>
            </w:pPr>
          </w:p>
        </w:tc>
        <w:tc>
          <w:tcPr>
            <w:tcW w:w="1343" w:type="dxa"/>
            <w:vMerge/>
            <w:vAlign w:val="center"/>
            <w:hideMark/>
          </w:tcPr>
          <w:p w:rsidR="007E399B" w:rsidRPr="002462E6" w:rsidRDefault="007E399B" w:rsidP="00420134">
            <w:pPr>
              <w:spacing w:after="0"/>
              <w:rPr>
                <w:rFonts w:ascii="Arial" w:hAnsi="Arial" w:cs="Arial"/>
                <w:color w:val="000000"/>
                <w:sz w:val="16"/>
                <w:szCs w:val="16"/>
                <w:lang w:eastAsia="fr-FR"/>
              </w:rPr>
            </w:pPr>
          </w:p>
        </w:tc>
        <w:tc>
          <w:tcPr>
            <w:tcW w:w="1276" w:type="dxa"/>
            <w:shd w:val="clear" w:color="auto" w:fill="auto"/>
            <w:noWrap/>
            <w:vAlign w:val="center"/>
            <w:hideMark/>
          </w:tcPr>
          <w:p w:rsidR="007E399B" w:rsidRPr="002462E6" w:rsidRDefault="007E399B" w:rsidP="00420134">
            <w:pPr>
              <w:spacing w:after="0"/>
              <w:rPr>
                <w:rFonts w:ascii="Arial" w:hAnsi="Arial" w:cs="Arial"/>
                <w:color w:val="000000"/>
                <w:sz w:val="16"/>
                <w:szCs w:val="16"/>
                <w:lang w:eastAsia="fr-FR"/>
              </w:rPr>
            </w:pPr>
            <w:r w:rsidRPr="002462E6">
              <w:rPr>
                <w:rFonts w:ascii="Arial" w:hAnsi="Arial" w:cs="Arial"/>
                <w:color w:val="000000"/>
                <w:sz w:val="16"/>
                <w:szCs w:val="16"/>
                <w:lang w:eastAsia="fr-FR"/>
              </w:rPr>
              <w:t>Elklâa</w:t>
            </w:r>
          </w:p>
        </w:tc>
        <w:tc>
          <w:tcPr>
            <w:tcW w:w="499" w:type="dxa"/>
            <w:shd w:val="clear" w:color="000000" w:fill="F4F46C"/>
            <w:noWrap/>
            <w:vAlign w:val="center"/>
            <w:hideMark/>
          </w:tcPr>
          <w:p w:rsidR="007E399B" w:rsidRPr="002462E6" w:rsidRDefault="007E399B" w:rsidP="00420134">
            <w:pPr>
              <w:spacing w:after="0"/>
              <w:rPr>
                <w:rFonts w:ascii="Arial" w:hAnsi="Arial" w:cs="Arial"/>
                <w:color w:val="000000"/>
                <w:sz w:val="18"/>
                <w:szCs w:val="18"/>
                <w:lang w:eastAsia="fr-FR"/>
              </w:rPr>
            </w:pPr>
            <w:r w:rsidRPr="002462E6">
              <w:rPr>
                <w:rFonts w:ascii="Arial" w:hAnsi="Arial" w:cs="Arial"/>
                <w:color w:val="000000"/>
                <w:sz w:val="18"/>
                <w:szCs w:val="18"/>
                <w:lang w:eastAsia="fr-FR"/>
              </w:rPr>
              <w:t>40%</w:t>
            </w:r>
          </w:p>
        </w:tc>
        <w:tc>
          <w:tcPr>
            <w:tcW w:w="1200" w:type="dxa"/>
            <w:shd w:val="clear" w:color="000000" w:fill="D34B07"/>
            <w:noWrap/>
            <w:vAlign w:val="center"/>
            <w:hideMark/>
          </w:tcPr>
          <w:p w:rsidR="007E399B" w:rsidRPr="002462E6" w:rsidRDefault="007E399B" w:rsidP="00420134">
            <w:pPr>
              <w:spacing w:after="0"/>
              <w:rPr>
                <w:rFonts w:ascii="Arial" w:hAnsi="Arial" w:cs="Arial"/>
                <w:color w:val="000000"/>
                <w:sz w:val="18"/>
                <w:szCs w:val="18"/>
                <w:lang w:eastAsia="fr-FR"/>
              </w:rPr>
            </w:pPr>
            <w:r w:rsidRPr="002462E6">
              <w:rPr>
                <w:rFonts w:ascii="Arial" w:hAnsi="Arial" w:cs="Arial"/>
                <w:color w:val="000000"/>
                <w:sz w:val="18"/>
                <w:szCs w:val="18"/>
                <w:lang w:eastAsia="fr-FR"/>
              </w:rPr>
              <w:t>100%</w:t>
            </w:r>
          </w:p>
        </w:tc>
        <w:tc>
          <w:tcPr>
            <w:tcW w:w="1379" w:type="dxa"/>
            <w:shd w:val="clear" w:color="000000" w:fill="FFC000"/>
            <w:noWrap/>
            <w:vAlign w:val="center"/>
            <w:hideMark/>
          </w:tcPr>
          <w:p w:rsidR="007E399B" w:rsidRPr="002462E6" w:rsidRDefault="007E399B" w:rsidP="00420134">
            <w:pPr>
              <w:spacing w:after="0"/>
              <w:rPr>
                <w:rFonts w:ascii="Arial" w:hAnsi="Arial" w:cs="Arial"/>
                <w:color w:val="000000"/>
                <w:sz w:val="18"/>
                <w:szCs w:val="18"/>
                <w:lang w:eastAsia="fr-FR"/>
              </w:rPr>
            </w:pPr>
            <w:r w:rsidRPr="002462E6">
              <w:rPr>
                <w:rFonts w:ascii="Arial" w:hAnsi="Arial" w:cs="Arial"/>
                <w:color w:val="000000"/>
                <w:sz w:val="18"/>
                <w:szCs w:val="18"/>
                <w:lang w:eastAsia="fr-FR"/>
              </w:rPr>
              <w:t>60%</w:t>
            </w:r>
          </w:p>
        </w:tc>
        <w:tc>
          <w:tcPr>
            <w:tcW w:w="1458" w:type="dxa"/>
            <w:shd w:val="clear" w:color="000000" w:fill="F4F46C"/>
            <w:noWrap/>
            <w:vAlign w:val="center"/>
            <w:hideMark/>
          </w:tcPr>
          <w:p w:rsidR="007E399B" w:rsidRPr="002462E6" w:rsidRDefault="007E399B" w:rsidP="00420134">
            <w:pPr>
              <w:spacing w:after="0"/>
              <w:rPr>
                <w:rFonts w:ascii="Arial" w:hAnsi="Arial" w:cs="Arial"/>
                <w:color w:val="000000"/>
                <w:sz w:val="18"/>
                <w:szCs w:val="18"/>
                <w:lang w:eastAsia="fr-FR"/>
              </w:rPr>
            </w:pPr>
            <w:r w:rsidRPr="002462E6">
              <w:rPr>
                <w:rFonts w:ascii="Arial" w:hAnsi="Arial" w:cs="Arial"/>
                <w:color w:val="000000"/>
                <w:sz w:val="18"/>
                <w:szCs w:val="18"/>
                <w:lang w:eastAsia="fr-FR"/>
              </w:rPr>
              <w:t>40%</w:t>
            </w:r>
          </w:p>
        </w:tc>
        <w:tc>
          <w:tcPr>
            <w:tcW w:w="606" w:type="dxa"/>
            <w:shd w:val="clear" w:color="000000" w:fill="F4F46C"/>
            <w:noWrap/>
            <w:vAlign w:val="center"/>
            <w:hideMark/>
          </w:tcPr>
          <w:p w:rsidR="007E399B" w:rsidRPr="002462E6" w:rsidRDefault="007E399B" w:rsidP="00420134">
            <w:pPr>
              <w:spacing w:after="0"/>
              <w:rPr>
                <w:rFonts w:ascii="Arial" w:hAnsi="Arial" w:cs="Arial"/>
                <w:color w:val="000000"/>
                <w:sz w:val="18"/>
                <w:szCs w:val="18"/>
                <w:lang w:eastAsia="fr-FR"/>
              </w:rPr>
            </w:pPr>
            <w:r w:rsidRPr="002462E6">
              <w:rPr>
                <w:rFonts w:ascii="Arial" w:hAnsi="Arial" w:cs="Arial"/>
                <w:color w:val="000000"/>
                <w:sz w:val="18"/>
                <w:szCs w:val="18"/>
                <w:lang w:eastAsia="fr-FR"/>
              </w:rPr>
              <w:t>0%</w:t>
            </w:r>
          </w:p>
        </w:tc>
        <w:tc>
          <w:tcPr>
            <w:tcW w:w="564" w:type="dxa"/>
            <w:shd w:val="clear" w:color="000000" w:fill="F4F46C"/>
            <w:noWrap/>
            <w:vAlign w:val="center"/>
            <w:hideMark/>
          </w:tcPr>
          <w:p w:rsidR="007E399B" w:rsidRPr="002462E6" w:rsidRDefault="007E399B" w:rsidP="00420134">
            <w:pPr>
              <w:spacing w:after="0"/>
              <w:rPr>
                <w:rFonts w:ascii="Arial" w:hAnsi="Arial" w:cs="Arial"/>
                <w:color w:val="000000"/>
                <w:sz w:val="18"/>
                <w:szCs w:val="18"/>
                <w:lang w:eastAsia="fr-FR"/>
              </w:rPr>
            </w:pPr>
            <w:r w:rsidRPr="002462E6">
              <w:rPr>
                <w:rFonts w:ascii="Arial" w:hAnsi="Arial" w:cs="Arial"/>
                <w:color w:val="000000"/>
                <w:sz w:val="18"/>
                <w:szCs w:val="18"/>
                <w:lang w:eastAsia="fr-FR"/>
              </w:rPr>
              <w:t>20%</w:t>
            </w:r>
          </w:p>
        </w:tc>
        <w:tc>
          <w:tcPr>
            <w:tcW w:w="713" w:type="dxa"/>
            <w:shd w:val="clear" w:color="000000" w:fill="F4F46C"/>
            <w:noWrap/>
            <w:vAlign w:val="center"/>
            <w:hideMark/>
          </w:tcPr>
          <w:p w:rsidR="007E399B" w:rsidRPr="002462E6" w:rsidRDefault="007E399B" w:rsidP="00420134">
            <w:pPr>
              <w:spacing w:after="0"/>
              <w:rPr>
                <w:rFonts w:ascii="Arial" w:hAnsi="Arial" w:cs="Arial"/>
                <w:color w:val="000000"/>
                <w:sz w:val="18"/>
                <w:szCs w:val="18"/>
                <w:lang w:eastAsia="fr-FR"/>
              </w:rPr>
            </w:pPr>
            <w:r w:rsidRPr="002462E6">
              <w:rPr>
                <w:rFonts w:ascii="Arial" w:hAnsi="Arial" w:cs="Arial"/>
                <w:color w:val="000000"/>
                <w:sz w:val="18"/>
                <w:szCs w:val="18"/>
                <w:lang w:eastAsia="fr-FR"/>
              </w:rPr>
              <w:t>43%</w:t>
            </w:r>
          </w:p>
        </w:tc>
      </w:tr>
      <w:tr w:rsidR="007E399B" w:rsidRPr="002462E6" w:rsidTr="00420134">
        <w:trPr>
          <w:trHeight w:val="281"/>
        </w:trPr>
        <w:tc>
          <w:tcPr>
            <w:tcW w:w="637" w:type="dxa"/>
            <w:vMerge/>
            <w:vAlign w:val="center"/>
            <w:hideMark/>
          </w:tcPr>
          <w:p w:rsidR="007E399B" w:rsidRPr="002462E6" w:rsidRDefault="007E399B" w:rsidP="00420134">
            <w:pPr>
              <w:spacing w:after="0"/>
              <w:rPr>
                <w:rFonts w:ascii="Arial" w:hAnsi="Arial" w:cs="Arial"/>
                <w:b/>
                <w:bCs/>
                <w:color w:val="000000"/>
                <w:sz w:val="16"/>
                <w:szCs w:val="16"/>
                <w:lang w:eastAsia="fr-FR"/>
              </w:rPr>
            </w:pPr>
          </w:p>
        </w:tc>
        <w:tc>
          <w:tcPr>
            <w:tcW w:w="1343" w:type="dxa"/>
            <w:vMerge/>
            <w:vAlign w:val="center"/>
            <w:hideMark/>
          </w:tcPr>
          <w:p w:rsidR="007E399B" w:rsidRPr="002462E6" w:rsidRDefault="007E399B" w:rsidP="00420134">
            <w:pPr>
              <w:spacing w:after="0"/>
              <w:rPr>
                <w:rFonts w:ascii="Arial" w:hAnsi="Arial" w:cs="Arial"/>
                <w:color w:val="000000"/>
                <w:sz w:val="16"/>
                <w:szCs w:val="16"/>
                <w:lang w:eastAsia="fr-FR"/>
              </w:rPr>
            </w:pPr>
          </w:p>
        </w:tc>
        <w:tc>
          <w:tcPr>
            <w:tcW w:w="1276" w:type="dxa"/>
            <w:shd w:val="clear" w:color="auto" w:fill="auto"/>
            <w:noWrap/>
            <w:vAlign w:val="center"/>
            <w:hideMark/>
          </w:tcPr>
          <w:p w:rsidR="007E399B" w:rsidRPr="002462E6" w:rsidRDefault="007E399B" w:rsidP="00420134">
            <w:pPr>
              <w:spacing w:after="0"/>
              <w:rPr>
                <w:rFonts w:ascii="Arial" w:hAnsi="Arial" w:cs="Arial"/>
                <w:color w:val="000000"/>
                <w:sz w:val="16"/>
                <w:szCs w:val="16"/>
                <w:lang w:eastAsia="fr-FR"/>
              </w:rPr>
            </w:pPr>
            <w:r w:rsidRPr="002462E6">
              <w:rPr>
                <w:rFonts w:ascii="Arial" w:hAnsi="Arial" w:cs="Arial"/>
                <w:color w:val="000000"/>
                <w:sz w:val="16"/>
                <w:szCs w:val="16"/>
                <w:lang w:eastAsia="fr-FR"/>
              </w:rPr>
              <w:t>Oulad Saîd</w:t>
            </w:r>
          </w:p>
        </w:tc>
        <w:tc>
          <w:tcPr>
            <w:tcW w:w="499" w:type="dxa"/>
            <w:shd w:val="clear" w:color="000000" w:fill="D34B07"/>
            <w:noWrap/>
            <w:vAlign w:val="center"/>
            <w:hideMark/>
          </w:tcPr>
          <w:p w:rsidR="007E399B" w:rsidRPr="002462E6" w:rsidRDefault="007E399B" w:rsidP="00420134">
            <w:pPr>
              <w:spacing w:after="0"/>
              <w:rPr>
                <w:rFonts w:ascii="Arial" w:hAnsi="Arial" w:cs="Arial"/>
                <w:color w:val="000000"/>
                <w:sz w:val="18"/>
                <w:szCs w:val="18"/>
                <w:lang w:eastAsia="fr-FR"/>
              </w:rPr>
            </w:pPr>
            <w:r w:rsidRPr="002462E6">
              <w:rPr>
                <w:rFonts w:ascii="Arial" w:hAnsi="Arial" w:cs="Arial"/>
                <w:color w:val="000000"/>
                <w:sz w:val="18"/>
                <w:szCs w:val="18"/>
                <w:lang w:eastAsia="fr-FR"/>
              </w:rPr>
              <w:t>100%</w:t>
            </w:r>
          </w:p>
        </w:tc>
        <w:tc>
          <w:tcPr>
            <w:tcW w:w="1200" w:type="dxa"/>
            <w:shd w:val="clear" w:color="000000" w:fill="FFC000"/>
            <w:noWrap/>
            <w:vAlign w:val="center"/>
            <w:hideMark/>
          </w:tcPr>
          <w:p w:rsidR="007E399B" w:rsidRPr="002462E6" w:rsidRDefault="007E399B" w:rsidP="00420134">
            <w:pPr>
              <w:spacing w:after="0"/>
              <w:rPr>
                <w:rFonts w:ascii="Arial" w:hAnsi="Arial" w:cs="Arial"/>
                <w:color w:val="000000"/>
                <w:sz w:val="18"/>
                <w:szCs w:val="18"/>
                <w:lang w:eastAsia="fr-FR"/>
              </w:rPr>
            </w:pPr>
            <w:r w:rsidRPr="002462E6">
              <w:rPr>
                <w:rFonts w:ascii="Arial" w:hAnsi="Arial" w:cs="Arial"/>
                <w:color w:val="000000"/>
                <w:sz w:val="18"/>
                <w:szCs w:val="18"/>
                <w:lang w:eastAsia="fr-FR"/>
              </w:rPr>
              <w:t>60%</w:t>
            </w:r>
          </w:p>
        </w:tc>
        <w:tc>
          <w:tcPr>
            <w:tcW w:w="1379" w:type="dxa"/>
            <w:shd w:val="clear" w:color="000000" w:fill="FFC000"/>
            <w:noWrap/>
            <w:vAlign w:val="center"/>
            <w:hideMark/>
          </w:tcPr>
          <w:p w:rsidR="007E399B" w:rsidRPr="002462E6" w:rsidRDefault="007E399B" w:rsidP="00420134">
            <w:pPr>
              <w:spacing w:after="0"/>
              <w:rPr>
                <w:rFonts w:ascii="Arial" w:hAnsi="Arial" w:cs="Arial"/>
                <w:color w:val="000000"/>
                <w:sz w:val="18"/>
                <w:szCs w:val="18"/>
                <w:lang w:eastAsia="fr-FR"/>
              </w:rPr>
            </w:pPr>
            <w:r w:rsidRPr="002462E6">
              <w:rPr>
                <w:rFonts w:ascii="Arial" w:hAnsi="Arial" w:cs="Arial"/>
                <w:color w:val="000000"/>
                <w:sz w:val="18"/>
                <w:szCs w:val="18"/>
                <w:lang w:eastAsia="fr-FR"/>
              </w:rPr>
              <w:t>50%</w:t>
            </w:r>
          </w:p>
        </w:tc>
        <w:tc>
          <w:tcPr>
            <w:tcW w:w="1458" w:type="dxa"/>
            <w:shd w:val="clear" w:color="000000" w:fill="FFC000"/>
            <w:noWrap/>
            <w:vAlign w:val="center"/>
            <w:hideMark/>
          </w:tcPr>
          <w:p w:rsidR="007E399B" w:rsidRPr="002462E6" w:rsidRDefault="007E399B" w:rsidP="00420134">
            <w:pPr>
              <w:spacing w:after="0"/>
              <w:rPr>
                <w:rFonts w:ascii="Arial" w:hAnsi="Arial" w:cs="Arial"/>
                <w:color w:val="000000"/>
                <w:sz w:val="18"/>
                <w:szCs w:val="18"/>
                <w:lang w:eastAsia="fr-FR"/>
              </w:rPr>
            </w:pPr>
            <w:r w:rsidRPr="002462E6">
              <w:rPr>
                <w:rFonts w:ascii="Arial" w:hAnsi="Arial" w:cs="Arial"/>
                <w:color w:val="000000"/>
                <w:sz w:val="18"/>
                <w:szCs w:val="18"/>
                <w:lang w:eastAsia="fr-FR"/>
              </w:rPr>
              <w:t>67%</w:t>
            </w:r>
          </w:p>
        </w:tc>
        <w:tc>
          <w:tcPr>
            <w:tcW w:w="606" w:type="dxa"/>
            <w:shd w:val="clear" w:color="000000" w:fill="F4F46C"/>
            <w:noWrap/>
            <w:vAlign w:val="center"/>
            <w:hideMark/>
          </w:tcPr>
          <w:p w:rsidR="007E399B" w:rsidRPr="002462E6" w:rsidRDefault="007E399B" w:rsidP="00420134">
            <w:pPr>
              <w:spacing w:after="0"/>
              <w:rPr>
                <w:rFonts w:ascii="Arial" w:hAnsi="Arial" w:cs="Arial"/>
                <w:color w:val="000000"/>
                <w:sz w:val="18"/>
                <w:szCs w:val="18"/>
                <w:lang w:eastAsia="fr-FR"/>
              </w:rPr>
            </w:pPr>
            <w:r w:rsidRPr="002462E6">
              <w:rPr>
                <w:rFonts w:ascii="Arial" w:hAnsi="Arial" w:cs="Arial"/>
                <w:color w:val="000000"/>
                <w:sz w:val="18"/>
                <w:szCs w:val="18"/>
                <w:lang w:eastAsia="fr-FR"/>
              </w:rPr>
              <w:t>0%</w:t>
            </w:r>
          </w:p>
        </w:tc>
        <w:tc>
          <w:tcPr>
            <w:tcW w:w="564" w:type="dxa"/>
            <w:shd w:val="clear" w:color="000000" w:fill="F4F46C"/>
            <w:noWrap/>
            <w:vAlign w:val="center"/>
            <w:hideMark/>
          </w:tcPr>
          <w:p w:rsidR="007E399B" w:rsidRPr="002462E6" w:rsidRDefault="007E399B" w:rsidP="00420134">
            <w:pPr>
              <w:spacing w:after="0"/>
              <w:rPr>
                <w:rFonts w:ascii="Arial" w:hAnsi="Arial" w:cs="Arial"/>
                <w:color w:val="000000"/>
                <w:sz w:val="18"/>
                <w:szCs w:val="18"/>
                <w:lang w:eastAsia="fr-FR"/>
              </w:rPr>
            </w:pPr>
            <w:r w:rsidRPr="002462E6">
              <w:rPr>
                <w:rFonts w:ascii="Arial" w:hAnsi="Arial" w:cs="Arial"/>
                <w:color w:val="000000"/>
                <w:sz w:val="18"/>
                <w:szCs w:val="18"/>
                <w:lang w:eastAsia="fr-FR"/>
              </w:rPr>
              <w:t>0%</w:t>
            </w:r>
          </w:p>
        </w:tc>
        <w:tc>
          <w:tcPr>
            <w:tcW w:w="713" w:type="dxa"/>
            <w:shd w:val="clear" w:color="000000" w:fill="F4F46C"/>
            <w:noWrap/>
            <w:vAlign w:val="center"/>
            <w:hideMark/>
          </w:tcPr>
          <w:p w:rsidR="007E399B" w:rsidRPr="002462E6" w:rsidRDefault="007E399B" w:rsidP="00420134">
            <w:pPr>
              <w:spacing w:after="0"/>
              <w:rPr>
                <w:rFonts w:ascii="Arial" w:hAnsi="Arial" w:cs="Arial"/>
                <w:color w:val="000000"/>
                <w:sz w:val="18"/>
                <w:szCs w:val="18"/>
                <w:lang w:eastAsia="fr-FR"/>
              </w:rPr>
            </w:pPr>
            <w:r w:rsidRPr="002462E6">
              <w:rPr>
                <w:rFonts w:ascii="Arial" w:hAnsi="Arial" w:cs="Arial"/>
                <w:color w:val="000000"/>
                <w:sz w:val="18"/>
                <w:szCs w:val="18"/>
                <w:lang w:eastAsia="fr-FR"/>
              </w:rPr>
              <w:t>46%</w:t>
            </w:r>
          </w:p>
        </w:tc>
      </w:tr>
      <w:tr w:rsidR="007E399B" w:rsidRPr="002462E6" w:rsidTr="00420134">
        <w:trPr>
          <w:trHeight w:val="281"/>
        </w:trPr>
        <w:tc>
          <w:tcPr>
            <w:tcW w:w="637" w:type="dxa"/>
            <w:vMerge/>
            <w:vAlign w:val="center"/>
            <w:hideMark/>
          </w:tcPr>
          <w:p w:rsidR="007E399B" w:rsidRPr="002462E6" w:rsidRDefault="007E399B" w:rsidP="00420134">
            <w:pPr>
              <w:spacing w:after="0"/>
              <w:rPr>
                <w:rFonts w:ascii="Arial" w:hAnsi="Arial" w:cs="Arial"/>
                <w:b/>
                <w:bCs/>
                <w:color w:val="000000"/>
                <w:sz w:val="16"/>
                <w:szCs w:val="16"/>
                <w:lang w:eastAsia="fr-FR"/>
              </w:rPr>
            </w:pPr>
          </w:p>
        </w:tc>
        <w:tc>
          <w:tcPr>
            <w:tcW w:w="1343" w:type="dxa"/>
            <w:vMerge/>
            <w:vAlign w:val="center"/>
            <w:hideMark/>
          </w:tcPr>
          <w:p w:rsidR="007E399B" w:rsidRPr="002462E6" w:rsidRDefault="007E399B" w:rsidP="00420134">
            <w:pPr>
              <w:spacing w:after="0"/>
              <w:rPr>
                <w:rFonts w:ascii="Arial" w:hAnsi="Arial" w:cs="Arial"/>
                <w:color w:val="000000"/>
                <w:sz w:val="16"/>
                <w:szCs w:val="16"/>
                <w:lang w:eastAsia="fr-FR"/>
              </w:rPr>
            </w:pPr>
          </w:p>
        </w:tc>
        <w:tc>
          <w:tcPr>
            <w:tcW w:w="1276" w:type="dxa"/>
            <w:shd w:val="clear" w:color="auto" w:fill="auto"/>
            <w:noWrap/>
            <w:vAlign w:val="center"/>
            <w:hideMark/>
          </w:tcPr>
          <w:p w:rsidR="007E399B" w:rsidRPr="002462E6" w:rsidRDefault="007E399B" w:rsidP="00420134">
            <w:pPr>
              <w:spacing w:after="0"/>
              <w:rPr>
                <w:rFonts w:ascii="Arial" w:hAnsi="Arial" w:cs="Arial"/>
                <w:color w:val="000000"/>
                <w:sz w:val="16"/>
                <w:szCs w:val="16"/>
                <w:lang w:eastAsia="fr-FR"/>
              </w:rPr>
            </w:pPr>
            <w:r w:rsidRPr="002462E6">
              <w:rPr>
                <w:rFonts w:ascii="Arial" w:hAnsi="Arial" w:cs="Arial"/>
                <w:color w:val="000000"/>
                <w:sz w:val="16"/>
                <w:szCs w:val="16"/>
                <w:lang w:eastAsia="fr-FR"/>
              </w:rPr>
              <w:t>Oulad Azzouz</w:t>
            </w:r>
          </w:p>
        </w:tc>
        <w:tc>
          <w:tcPr>
            <w:tcW w:w="499" w:type="dxa"/>
            <w:shd w:val="clear" w:color="000000" w:fill="F4F46C"/>
            <w:noWrap/>
            <w:vAlign w:val="center"/>
            <w:hideMark/>
          </w:tcPr>
          <w:p w:rsidR="007E399B" w:rsidRPr="002462E6" w:rsidRDefault="007E399B" w:rsidP="00420134">
            <w:pPr>
              <w:spacing w:after="0"/>
              <w:rPr>
                <w:rFonts w:ascii="Arial" w:hAnsi="Arial" w:cs="Arial"/>
                <w:color w:val="000000"/>
                <w:sz w:val="18"/>
                <w:szCs w:val="18"/>
                <w:lang w:eastAsia="fr-FR"/>
              </w:rPr>
            </w:pPr>
            <w:r w:rsidRPr="002462E6">
              <w:rPr>
                <w:rFonts w:ascii="Arial" w:hAnsi="Arial" w:cs="Arial"/>
                <w:color w:val="000000"/>
                <w:sz w:val="18"/>
                <w:szCs w:val="18"/>
                <w:lang w:eastAsia="fr-FR"/>
              </w:rPr>
              <w:t>20%</w:t>
            </w:r>
          </w:p>
        </w:tc>
        <w:tc>
          <w:tcPr>
            <w:tcW w:w="1200" w:type="dxa"/>
            <w:shd w:val="clear" w:color="000000" w:fill="D34B07"/>
            <w:noWrap/>
            <w:vAlign w:val="center"/>
            <w:hideMark/>
          </w:tcPr>
          <w:p w:rsidR="007E399B" w:rsidRPr="002462E6" w:rsidRDefault="007E399B" w:rsidP="00420134">
            <w:pPr>
              <w:spacing w:after="0"/>
              <w:rPr>
                <w:rFonts w:ascii="Arial" w:hAnsi="Arial" w:cs="Arial"/>
                <w:color w:val="000000"/>
                <w:sz w:val="18"/>
                <w:szCs w:val="18"/>
                <w:lang w:eastAsia="fr-FR"/>
              </w:rPr>
            </w:pPr>
            <w:r w:rsidRPr="002462E6">
              <w:rPr>
                <w:rFonts w:ascii="Arial" w:hAnsi="Arial" w:cs="Arial"/>
                <w:color w:val="000000"/>
                <w:sz w:val="18"/>
                <w:szCs w:val="18"/>
                <w:lang w:eastAsia="fr-FR"/>
              </w:rPr>
              <w:t>100%</w:t>
            </w:r>
          </w:p>
        </w:tc>
        <w:tc>
          <w:tcPr>
            <w:tcW w:w="1379" w:type="dxa"/>
            <w:shd w:val="clear" w:color="000000" w:fill="F4F46C"/>
            <w:noWrap/>
            <w:vAlign w:val="center"/>
            <w:hideMark/>
          </w:tcPr>
          <w:p w:rsidR="007E399B" w:rsidRPr="002462E6" w:rsidRDefault="007E399B" w:rsidP="00420134">
            <w:pPr>
              <w:spacing w:after="0"/>
              <w:rPr>
                <w:rFonts w:ascii="Arial" w:hAnsi="Arial" w:cs="Arial"/>
                <w:color w:val="000000"/>
                <w:sz w:val="18"/>
                <w:szCs w:val="18"/>
                <w:lang w:eastAsia="fr-FR"/>
              </w:rPr>
            </w:pPr>
            <w:r w:rsidRPr="002462E6">
              <w:rPr>
                <w:rFonts w:ascii="Arial" w:hAnsi="Arial" w:cs="Arial"/>
                <w:color w:val="000000"/>
                <w:sz w:val="18"/>
                <w:szCs w:val="18"/>
                <w:lang w:eastAsia="fr-FR"/>
              </w:rPr>
              <w:t>40%</w:t>
            </w:r>
          </w:p>
        </w:tc>
        <w:tc>
          <w:tcPr>
            <w:tcW w:w="1458" w:type="dxa"/>
            <w:shd w:val="clear" w:color="000000" w:fill="F4F46C"/>
            <w:noWrap/>
            <w:vAlign w:val="center"/>
            <w:hideMark/>
          </w:tcPr>
          <w:p w:rsidR="007E399B" w:rsidRPr="002462E6" w:rsidRDefault="007E399B" w:rsidP="00420134">
            <w:pPr>
              <w:spacing w:after="0"/>
              <w:rPr>
                <w:rFonts w:ascii="Arial" w:hAnsi="Arial" w:cs="Arial"/>
                <w:color w:val="000000"/>
                <w:sz w:val="18"/>
                <w:szCs w:val="18"/>
                <w:lang w:eastAsia="fr-FR"/>
              </w:rPr>
            </w:pPr>
            <w:r w:rsidRPr="002462E6">
              <w:rPr>
                <w:rFonts w:ascii="Arial" w:hAnsi="Arial" w:cs="Arial"/>
                <w:color w:val="000000"/>
                <w:sz w:val="18"/>
                <w:szCs w:val="18"/>
                <w:lang w:eastAsia="fr-FR"/>
              </w:rPr>
              <w:t>40%</w:t>
            </w:r>
          </w:p>
        </w:tc>
        <w:tc>
          <w:tcPr>
            <w:tcW w:w="606" w:type="dxa"/>
            <w:shd w:val="clear" w:color="000000" w:fill="F4F46C"/>
            <w:noWrap/>
            <w:vAlign w:val="center"/>
            <w:hideMark/>
          </w:tcPr>
          <w:p w:rsidR="007E399B" w:rsidRPr="002462E6" w:rsidRDefault="007E399B" w:rsidP="00420134">
            <w:pPr>
              <w:spacing w:after="0"/>
              <w:rPr>
                <w:rFonts w:ascii="Arial" w:hAnsi="Arial" w:cs="Arial"/>
                <w:color w:val="000000"/>
                <w:sz w:val="18"/>
                <w:szCs w:val="18"/>
                <w:lang w:eastAsia="fr-FR"/>
              </w:rPr>
            </w:pPr>
            <w:r w:rsidRPr="002462E6">
              <w:rPr>
                <w:rFonts w:ascii="Arial" w:hAnsi="Arial" w:cs="Arial"/>
                <w:color w:val="000000"/>
                <w:sz w:val="18"/>
                <w:szCs w:val="18"/>
                <w:lang w:eastAsia="fr-FR"/>
              </w:rPr>
              <w:t>20%</w:t>
            </w:r>
          </w:p>
        </w:tc>
        <w:tc>
          <w:tcPr>
            <w:tcW w:w="564" w:type="dxa"/>
            <w:shd w:val="clear" w:color="000000" w:fill="F4F46C"/>
            <w:noWrap/>
            <w:vAlign w:val="center"/>
            <w:hideMark/>
          </w:tcPr>
          <w:p w:rsidR="007E399B" w:rsidRPr="002462E6" w:rsidRDefault="007E399B" w:rsidP="00420134">
            <w:pPr>
              <w:spacing w:after="0"/>
              <w:rPr>
                <w:rFonts w:ascii="Arial" w:hAnsi="Arial" w:cs="Arial"/>
                <w:color w:val="000000"/>
                <w:sz w:val="18"/>
                <w:szCs w:val="18"/>
                <w:lang w:eastAsia="fr-FR"/>
              </w:rPr>
            </w:pPr>
            <w:r w:rsidRPr="002462E6">
              <w:rPr>
                <w:rFonts w:ascii="Arial" w:hAnsi="Arial" w:cs="Arial"/>
                <w:color w:val="000000"/>
                <w:sz w:val="18"/>
                <w:szCs w:val="18"/>
                <w:lang w:eastAsia="fr-FR"/>
              </w:rPr>
              <w:t>0%</w:t>
            </w:r>
          </w:p>
        </w:tc>
        <w:tc>
          <w:tcPr>
            <w:tcW w:w="713" w:type="dxa"/>
            <w:shd w:val="clear" w:color="000000" w:fill="F4F46C"/>
            <w:noWrap/>
            <w:vAlign w:val="center"/>
            <w:hideMark/>
          </w:tcPr>
          <w:p w:rsidR="007E399B" w:rsidRPr="002462E6" w:rsidRDefault="007E399B" w:rsidP="00420134">
            <w:pPr>
              <w:spacing w:after="0"/>
              <w:rPr>
                <w:rFonts w:ascii="Arial" w:hAnsi="Arial" w:cs="Arial"/>
                <w:color w:val="000000"/>
                <w:sz w:val="18"/>
                <w:szCs w:val="18"/>
                <w:lang w:eastAsia="fr-FR"/>
              </w:rPr>
            </w:pPr>
            <w:r w:rsidRPr="002462E6">
              <w:rPr>
                <w:rFonts w:ascii="Arial" w:hAnsi="Arial" w:cs="Arial"/>
                <w:color w:val="000000"/>
                <w:sz w:val="18"/>
                <w:szCs w:val="18"/>
                <w:lang w:eastAsia="fr-FR"/>
              </w:rPr>
              <w:t>37%</w:t>
            </w:r>
          </w:p>
        </w:tc>
      </w:tr>
      <w:tr w:rsidR="007E399B" w:rsidRPr="002462E6" w:rsidTr="00420134">
        <w:trPr>
          <w:trHeight w:val="281"/>
        </w:trPr>
        <w:tc>
          <w:tcPr>
            <w:tcW w:w="637" w:type="dxa"/>
            <w:vMerge w:val="restart"/>
            <w:shd w:val="clear" w:color="auto" w:fill="auto"/>
            <w:vAlign w:val="center"/>
            <w:hideMark/>
          </w:tcPr>
          <w:p w:rsidR="007E399B" w:rsidRPr="002462E6" w:rsidRDefault="007E399B" w:rsidP="00420134">
            <w:pPr>
              <w:spacing w:after="0"/>
              <w:rPr>
                <w:rFonts w:ascii="Arial" w:hAnsi="Arial" w:cs="Arial"/>
                <w:b/>
                <w:bCs/>
                <w:color w:val="000000"/>
                <w:sz w:val="16"/>
                <w:szCs w:val="16"/>
                <w:lang w:eastAsia="fr-FR"/>
              </w:rPr>
            </w:pPr>
            <w:r w:rsidRPr="002462E6">
              <w:rPr>
                <w:rFonts w:ascii="Arial" w:hAnsi="Arial" w:cs="Arial"/>
                <w:b/>
                <w:bCs/>
                <w:color w:val="000000"/>
                <w:sz w:val="16"/>
                <w:szCs w:val="16"/>
                <w:lang w:eastAsia="fr-FR"/>
              </w:rPr>
              <w:t>Khémisset</w:t>
            </w:r>
          </w:p>
        </w:tc>
        <w:tc>
          <w:tcPr>
            <w:tcW w:w="1343" w:type="dxa"/>
            <w:vMerge w:val="restart"/>
            <w:shd w:val="clear" w:color="auto" w:fill="auto"/>
            <w:noWrap/>
            <w:vAlign w:val="center"/>
            <w:hideMark/>
          </w:tcPr>
          <w:p w:rsidR="007E399B" w:rsidRPr="002462E6" w:rsidRDefault="007E399B" w:rsidP="00420134">
            <w:pPr>
              <w:spacing w:after="0"/>
              <w:rPr>
                <w:rFonts w:ascii="Arial" w:hAnsi="Arial" w:cs="Arial"/>
                <w:color w:val="000000"/>
                <w:sz w:val="16"/>
                <w:szCs w:val="16"/>
                <w:lang w:eastAsia="fr-FR"/>
              </w:rPr>
            </w:pPr>
            <w:r w:rsidRPr="002462E6">
              <w:rPr>
                <w:rFonts w:ascii="Arial" w:hAnsi="Arial" w:cs="Arial"/>
                <w:color w:val="000000"/>
                <w:sz w:val="16"/>
                <w:szCs w:val="16"/>
                <w:lang w:eastAsia="fr-FR"/>
              </w:rPr>
              <w:t>Merchouch</w:t>
            </w:r>
          </w:p>
        </w:tc>
        <w:tc>
          <w:tcPr>
            <w:tcW w:w="1276" w:type="dxa"/>
            <w:shd w:val="clear" w:color="auto" w:fill="auto"/>
            <w:noWrap/>
            <w:vAlign w:val="center"/>
            <w:hideMark/>
          </w:tcPr>
          <w:p w:rsidR="007E399B" w:rsidRPr="002462E6" w:rsidRDefault="007E399B" w:rsidP="00420134">
            <w:pPr>
              <w:spacing w:after="0"/>
              <w:rPr>
                <w:rFonts w:ascii="Arial" w:hAnsi="Arial" w:cs="Arial"/>
                <w:color w:val="000000"/>
                <w:sz w:val="16"/>
                <w:szCs w:val="16"/>
                <w:lang w:eastAsia="fr-FR"/>
              </w:rPr>
            </w:pPr>
            <w:r w:rsidRPr="002462E6">
              <w:rPr>
                <w:rFonts w:ascii="Arial" w:hAnsi="Arial" w:cs="Arial"/>
                <w:color w:val="000000"/>
                <w:sz w:val="16"/>
                <w:szCs w:val="16"/>
                <w:lang w:eastAsia="fr-FR"/>
              </w:rPr>
              <w:t xml:space="preserve">Lmkhafa </w:t>
            </w:r>
          </w:p>
        </w:tc>
        <w:tc>
          <w:tcPr>
            <w:tcW w:w="499" w:type="dxa"/>
            <w:shd w:val="clear" w:color="000000" w:fill="F4F46C"/>
            <w:noWrap/>
            <w:vAlign w:val="center"/>
            <w:hideMark/>
          </w:tcPr>
          <w:p w:rsidR="007E399B" w:rsidRPr="002462E6" w:rsidRDefault="007E399B" w:rsidP="00420134">
            <w:pPr>
              <w:spacing w:after="0"/>
              <w:rPr>
                <w:rFonts w:ascii="Arial" w:hAnsi="Arial" w:cs="Arial"/>
                <w:color w:val="000000"/>
                <w:sz w:val="18"/>
                <w:szCs w:val="18"/>
                <w:lang w:eastAsia="fr-FR"/>
              </w:rPr>
            </w:pPr>
            <w:r w:rsidRPr="002462E6">
              <w:rPr>
                <w:rFonts w:ascii="Arial" w:hAnsi="Arial" w:cs="Arial"/>
                <w:color w:val="000000"/>
                <w:sz w:val="18"/>
                <w:szCs w:val="18"/>
                <w:lang w:eastAsia="fr-FR"/>
              </w:rPr>
              <w:t>20%</w:t>
            </w:r>
          </w:p>
        </w:tc>
        <w:tc>
          <w:tcPr>
            <w:tcW w:w="1200" w:type="dxa"/>
            <w:shd w:val="clear" w:color="000000" w:fill="D34B07"/>
            <w:noWrap/>
            <w:vAlign w:val="center"/>
            <w:hideMark/>
          </w:tcPr>
          <w:p w:rsidR="007E399B" w:rsidRPr="002462E6" w:rsidRDefault="007E399B" w:rsidP="00420134">
            <w:pPr>
              <w:spacing w:after="0"/>
              <w:rPr>
                <w:rFonts w:ascii="Arial" w:hAnsi="Arial" w:cs="Arial"/>
                <w:color w:val="000000"/>
                <w:sz w:val="18"/>
                <w:szCs w:val="18"/>
                <w:lang w:eastAsia="fr-FR"/>
              </w:rPr>
            </w:pPr>
            <w:r w:rsidRPr="002462E6">
              <w:rPr>
                <w:rFonts w:ascii="Arial" w:hAnsi="Arial" w:cs="Arial"/>
                <w:color w:val="000000"/>
                <w:sz w:val="18"/>
                <w:szCs w:val="18"/>
                <w:lang w:eastAsia="fr-FR"/>
              </w:rPr>
              <w:t>100%</w:t>
            </w:r>
          </w:p>
        </w:tc>
        <w:tc>
          <w:tcPr>
            <w:tcW w:w="1379" w:type="dxa"/>
            <w:shd w:val="clear" w:color="000000" w:fill="F4F46C"/>
            <w:noWrap/>
            <w:vAlign w:val="center"/>
            <w:hideMark/>
          </w:tcPr>
          <w:p w:rsidR="007E399B" w:rsidRPr="002462E6" w:rsidRDefault="007E399B" w:rsidP="00420134">
            <w:pPr>
              <w:spacing w:after="0"/>
              <w:rPr>
                <w:rFonts w:ascii="Arial" w:hAnsi="Arial" w:cs="Arial"/>
                <w:color w:val="000000"/>
                <w:sz w:val="18"/>
                <w:szCs w:val="18"/>
                <w:lang w:eastAsia="fr-FR"/>
              </w:rPr>
            </w:pPr>
            <w:r w:rsidRPr="002462E6">
              <w:rPr>
                <w:rFonts w:ascii="Arial" w:hAnsi="Arial" w:cs="Arial"/>
                <w:color w:val="000000"/>
                <w:sz w:val="18"/>
                <w:szCs w:val="18"/>
                <w:lang w:eastAsia="fr-FR"/>
              </w:rPr>
              <w:t>20%</w:t>
            </w:r>
          </w:p>
        </w:tc>
        <w:tc>
          <w:tcPr>
            <w:tcW w:w="1458" w:type="dxa"/>
            <w:shd w:val="clear" w:color="000000" w:fill="F4F46C"/>
            <w:noWrap/>
            <w:vAlign w:val="center"/>
            <w:hideMark/>
          </w:tcPr>
          <w:p w:rsidR="007E399B" w:rsidRPr="002462E6" w:rsidRDefault="007E399B" w:rsidP="00420134">
            <w:pPr>
              <w:spacing w:after="0"/>
              <w:rPr>
                <w:rFonts w:ascii="Arial" w:hAnsi="Arial" w:cs="Arial"/>
                <w:color w:val="000000"/>
                <w:sz w:val="18"/>
                <w:szCs w:val="18"/>
                <w:lang w:eastAsia="fr-FR"/>
              </w:rPr>
            </w:pPr>
            <w:r w:rsidRPr="002462E6">
              <w:rPr>
                <w:rFonts w:ascii="Arial" w:hAnsi="Arial" w:cs="Arial"/>
                <w:color w:val="000000"/>
                <w:sz w:val="18"/>
                <w:szCs w:val="18"/>
                <w:lang w:eastAsia="fr-FR"/>
              </w:rPr>
              <w:t>40%</w:t>
            </w:r>
          </w:p>
        </w:tc>
        <w:tc>
          <w:tcPr>
            <w:tcW w:w="606" w:type="dxa"/>
            <w:shd w:val="clear" w:color="000000" w:fill="F4F46C"/>
            <w:noWrap/>
            <w:vAlign w:val="center"/>
            <w:hideMark/>
          </w:tcPr>
          <w:p w:rsidR="007E399B" w:rsidRPr="002462E6" w:rsidRDefault="007E399B" w:rsidP="00420134">
            <w:pPr>
              <w:spacing w:after="0"/>
              <w:rPr>
                <w:rFonts w:ascii="Arial" w:hAnsi="Arial" w:cs="Arial"/>
                <w:color w:val="000000"/>
                <w:sz w:val="18"/>
                <w:szCs w:val="18"/>
                <w:lang w:eastAsia="fr-FR"/>
              </w:rPr>
            </w:pPr>
            <w:r w:rsidRPr="002462E6">
              <w:rPr>
                <w:rFonts w:ascii="Arial" w:hAnsi="Arial" w:cs="Arial"/>
                <w:color w:val="000000"/>
                <w:sz w:val="18"/>
                <w:szCs w:val="18"/>
                <w:lang w:eastAsia="fr-FR"/>
              </w:rPr>
              <w:t>20%</w:t>
            </w:r>
          </w:p>
        </w:tc>
        <w:tc>
          <w:tcPr>
            <w:tcW w:w="564" w:type="dxa"/>
            <w:shd w:val="clear" w:color="000000" w:fill="F4F46C"/>
            <w:noWrap/>
            <w:vAlign w:val="center"/>
            <w:hideMark/>
          </w:tcPr>
          <w:p w:rsidR="007E399B" w:rsidRPr="002462E6" w:rsidRDefault="007E399B" w:rsidP="00420134">
            <w:pPr>
              <w:spacing w:after="0"/>
              <w:rPr>
                <w:rFonts w:ascii="Arial" w:hAnsi="Arial" w:cs="Arial"/>
                <w:color w:val="000000"/>
                <w:sz w:val="18"/>
                <w:szCs w:val="18"/>
                <w:lang w:eastAsia="fr-FR"/>
              </w:rPr>
            </w:pPr>
            <w:r w:rsidRPr="002462E6">
              <w:rPr>
                <w:rFonts w:ascii="Arial" w:hAnsi="Arial" w:cs="Arial"/>
                <w:color w:val="000000"/>
                <w:sz w:val="18"/>
                <w:szCs w:val="18"/>
                <w:lang w:eastAsia="fr-FR"/>
              </w:rPr>
              <w:t>40%</w:t>
            </w:r>
          </w:p>
        </w:tc>
        <w:tc>
          <w:tcPr>
            <w:tcW w:w="713" w:type="dxa"/>
            <w:shd w:val="clear" w:color="000000" w:fill="F4F46C"/>
            <w:noWrap/>
            <w:vAlign w:val="center"/>
            <w:hideMark/>
          </w:tcPr>
          <w:p w:rsidR="007E399B" w:rsidRPr="002462E6" w:rsidRDefault="007E399B" w:rsidP="00420134">
            <w:pPr>
              <w:spacing w:after="0"/>
              <w:rPr>
                <w:rFonts w:ascii="Arial" w:hAnsi="Arial" w:cs="Arial"/>
                <w:color w:val="000000"/>
                <w:sz w:val="18"/>
                <w:szCs w:val="18"/>
                <w:lang w:eastAsia="fr-FR"/>
              </w:rPr>
            </w:pPr>
            <w:r w:rsidRPr="002462E6">
              <w:rPr>
                <w:rFonts w:ascii="Arial" w:hAnsi="Arial" w:cs="Arial"/>
                <w:color w:val="000000"/>
                <w:sz w:val="18"/>
                <w:szCs w:val="18"/>
                <w:lang w:eastAsia="fr-FR"/>
              </w:rPr>
              <w:t>40%</w:t>
            </w:r>
          </w:p>
        </w:tc>
      </w:tr>
      <w:tr w:rsidR="007E399B" w:rsidRPr="002462E6" w:rsidTr="00420134">
        <w:trPr>
          <w:trHeight w:val="281"/>
        </w:trPr>
        <w:tc>
          <w:tcPr>
            <w:tcW w:w="637" w:type="dxa"/>
            <w:vMerge/>
            <w:vAlign w:val="center"/>
            <w:hideMark/>
          </w:tcPr>
          <w:p w:rsidR="007E399B" w:rsidRPr="002462E6" w:rsidRDefault="007E399B" w:rsidP="00420134">
            <w:pPr>
              <w:spacing w:after="0"/>
              <w:rPr>
                <w:rFonts w:ascii="Arial" w:hAnsi="Arial" w:cs="Arial"/>
                <w:b/>
                <w:bCs/>
                <w:color w:val="000000"/>
                <w:sz w:val="16"/>
                <w:szCs w:val="16"/>
                <w:lang w:eastAsia="fr-FR"/>
              </w:rPr>
            </w:pPr>
          </w:p>
        </w:tc>
        <w:tc>
          <w:tcPr>
            <w:tcW w:w="1343" w:type="dxa"/>
            <w:vMerge/>
            <w:vAlign w:val="center"/>
            <w:hideMark/>
          </w:tcPr>
          <w:p w:rsidR="007E399B" w:rsidRPr="002462E6" w:rsidRDefault="007E399B" w:rsidP="00420134">
            <w:pPr>
              <w:spacing w:after="0"/>
              <w:rPr>
                <w:rFonts w:ascii="Arial" w:hAnsi="Arial" w:cs="Arial"/>
                <w:color w:val="000000"/>
                <w:sz w:val="16"/>
                <w:szCs w:val="16"/>
                <w:lang w:eastAsia="fr-FR"/>
              </w:rPr>
            </w:pPr>
          </w:p>
        </w:tc>
        <w:tc>
          <w:tcPr>
            <w:tcW w:w="1276" w:type="dxa"/>
            <w:shd w:val="clear" w:color="auto" w:fill="auto"/>
            <w:noWrap/>
            <w:vAlign w:val="center"/>
            <w:hideMark/>
          </w:tcPr>
          <w:p w:rsidR="007E399B" w:rsidRPr="002462E6" w:rsidRDefault="007E399B" w:rsidP="00420134">
            <w:pPr>
              <w:spacing w:after="0"/>
              <w:rPr>
                <w:rFonts w:ascii="Arial" w:hAnsi="Arial" w:cs="Arial"/>
                <w:color w:val="000000"/>
                <w:sz w:val="16"/>
                <w:szCs w:val="16"/>
                <w:lang w:eastAsia="fr-FR"/>
              </w:rPr>
            </w:pPr>
            <w:r w:rsidRPr="002462E6">
              <w:rPr>
                <w:rFonts w:ascii="Arial" w:hAnsi="Arial" w:cs="Arial"/>
                <w:color w:val="000000"/>
                <w:sz w:val="16"/>
                <w:szCs w:val="16"/>
                <w:lang w:eastAsia="fr-FR"/>
              </w:rPr>
              <w:t>Chlihiyine</w:t>
            </w:r>
          </w:p>
        </w:tc>
        <w:tc>
          <w:tcPr>
            <w:tcW w:w="499" w:type="dxa"/>
            <w:shd w:val="clear" w:color="000000" w:fill="FFC000"/>
            <w:noWrap/>
            <w:vAlign w:val="center"/>
            <w:hideMark/>
          </w:tcPr>
          <w:p w:rsidR="007E399B" w:rsidRPr="002462E6" w:rsidRDefault="007E399B" w:rsidP="00420134">
            <w:pPr>
              <w:spacing w:after="0"/>
              <w:rPr>
                <w:rFonts w:ascii="Arial" w:hAnsi="Arial" w:cs="Arial"/>
                <w:color w:val="000000"/>
                <w:sz w:val="18"/>
                <w:szCs w:val="18"/>
                <w:lang w:eastAsia="fr-FR"/>
              </w:rPr>
            </w:pPr>
            <w:r w:rsidRPr="002462E6">
              <w:rPr>
                <w:rFonts w:ascii="Arial" w:hAnsi="Arial" w:cs="Arial"/>
                <w:color w:val="000000"/>
                <w:sz w:val="18"/>
                <w:szCs w:val="18"/>
                <w:lang w:eastAsia="fr-FR"/>
              </w:rPr>
              <w:t>60%</w:t>
            </w:r>
          </w:p>
        </w:tc>
        <w:tc>
          <w:tcPr>
            <w:tcW w:w="1200" w:type="dxa"/>
            <w:shd w:val="clear" w:color="000000" w:fill="D34B07"/>
            <w:noWrap/>
            <w:vAlign w:val="center"/>
            <w:hideMark/>
          </w:tcPr>
          <w:p w:rsidR="007E399B" w:rsidRPr="002462E6" w:rsidRDefault="007E399B" w:rsidP="00420134">
            <w:pPr>
              <w:spacing w:after="0"/>
              <w:rPr>
                <w:rFonts w:ascii="Arial" w:hAnsi="Arial" w:cs="Arial"/>
                <w:color w:val="000000"/>
                <w:sz w:val="18"/>
                <w:szCs w:val="18"/>
                <w:lang w:eastAsia="fr-FR"/>
              </w:rPr>
            </w:pPr>
            <w:r w:rsidRPr="002462E6">
              <w:rPr>
                <w:rFonts w:ascii="Arial" w:hAnsi="Arial" w:cs="Arial"/>
                <w:color w:val="000000"/>
                <w:sz w:val="18"/>
                <w:szCs w:val="18"/>
                <w:lang w:eastAsia="fr-FR"/>
              </w:rPr>
              <w:t>100%</w:t>
            </w:r>
          </w:p>
        </w:tc>
        <w:tc>
          <w:tcPr>
            <w:tcW w:w="1379" w:type="dxa"/>
            <w:shd w:val="clear" w:color="000000" w:fill="F4F46C"/>
            <w:noWrap/>
            <w:vAlign w:val="center"/>
            <w:hideMark/>
          </w:tcPr>
          <w:p w:rsidR="007E399B" w:rsidRPr="002462E6" w:rsidRDefault="007E399B" w:rsidP="00420134">
            <w:pPr>
              <w:spacing w:after="0"/>
              <w:rPr>
                <w:rFonts w:ascii="Arial" w:hAnsi="Arial" w:cs="Arial"/>
                <w:color w:val="000000"/>
                <w:sz w:val="18"/>
                <w:szCs w:val="18"/>
                <w:lang w:eastAsia="fr-FR"/>
              </w:rPr>
            </w:pPr>
            <w:r w:rsidRPr="002462E6">
              <w:rPr>
                <w:rFonts w:ascii="Arial" w:hAnsi="Arial" w:cs="Arial"/>
                <w:color w:val="000000"/>
                <w:sz w:val="18"/>
                <w:szCs w:val="18"/>
                <w:lang w:eastAsia="fr-FR"/>
              </w:rPr>
              <w:t>0%</w:t>
            </w:r>
          </w:p>
        </w:tc>
        <w:tc>
          <w:tcPr>
            <w:tcW w:w="1458" w:type="dxa"/>
            <w:shd w:val="clear" w:color="000000" w:fill="F4F46C"/>
            <w:noWrap/>
            <w:vAlign w:val="center"/>
            <w:hideMark/>
          </w:tcPr>
          <w:p w:rsidR="007E399B" w:rsidRPr="002462E6" w:rsidRDefault="007E399B" w:rsidP="00420134">
            <w:pPr>
              <w:spacing w:after="0"/>
              <w:rPr>
                <w:rFonts w:ascii="Arial" w:hAnsi="Arial" w:cs="Arial"/>
                <w:color w:val="000000"/>
                <w:sz w:val="18"/>
                <w:szCs w:val="18"/>
                <w:lang w:eastAsia="fr-FR"/>
              </w:rPr>
            </w:pPr>
            <w:r w:rsidRPr="002462E6">
              <w:rPr>
                <w:rFonts w:ascii="Arial" w:hAnsi="Arial" w:cs="Arial"/>
                <w:color w:val="000000"/>
                <w:sz w:val="18"/>
                <w:szCs w:val="18"/>
                <w:lang w:eastAsia="fr-FR"/>
              </w:rPr>
              <w:t>40%</w:t>
            </w:r>
          </w:p>
        </w:tc>
        <w:tc>
          <w:tcPr>
            <w:tcW w:w="606" w:type="dxa"/>
            <w:shd w:val="clear" w:color="000000" w:fill="F4F46C"/>
            <w:noWrap/>
            <w:vAlign w:val="center"/>
            <w:hideMark/>
          </w:tcPr>
          <w:p w:rsidR="007E399B" w:rsidRPr="002462E6" w:rsidRDefault="007E399B" w:rsidP="00420134">
            <w:pPr>
              <w:spacing w:after="0"/>
              <w:rPr>
                <w:rFonts w:ascii="Arial" w:hAnsi="Arial" w:cs="Arial"/>
                <w:color w:val="000000"/>
                <w:sz w:val="18"/>
                <w:szCs w:val="18"/>
                <w:lang w:eastAsia="fr-FR"/>
              </w:rPr>
            </w:pPr>
            <w:r w:rsidRPr="002462E6">
              <w:rPr>
                <w:rFonts w:ascii="Arial" w:hAnsi="Arial" w:cs="Arial"/>
                <w:color w:val="000000"/>
                <w:sz w:val="18"/>
                <w:szCs w:val="18"/>
                <w:lang w:eastAsia="fr-FR"/>
              </w:rPr>
              <w:t>0%</w:t>
            </w:r>
          </w:p>
        </w:tc>
        <w:tc>
          <w:tcPr>
            <w:tcW w:w="564" w:type="dxa"/>
            <w:shd w:val="clear" w:color="000000" w:fill="F4F46C"/>
            <w:noWrap/>
            <w:vAlign w:val="center"/>
            <w:hideMark/>
          </w:tcPr>
          <w:p w:rsidR="007E399B" w:rsidRPr="002462E6" w:rsidRDefault="007E399B" w:rsidP="00420134">
            <w:pPr>
              <w:spacing w:after="0"/>
              <w:rPr>
                <w:rFonts w:ascii="Arial" w:hAnsi="Arial" w:cs="Arial"/>
                <w:color w:val="000000"/>
                <w:sz w:val="18"/>
                <w:szCs w:val="18"/>
                <w:lang w:eastAsia="fr-FR"/>
              </w:rPr>
            </w:pPr>
            <w:r w:rsidRPr="002462E6">
              <w:rPr>
                <w:rFonts w:ascii="Arial" w:hAnsi="Arial" w:cs="Arial"/>
                <w:color w:val="000000"/>
                <w:sz w:val="18"/>
                <w:szCs w:val="18"/>
                <w:lang w:eastAsia="fr-FR"/>
              </w:rPr>
              <w:t>20%</w:t>
            </w:r>
          </w:p>
        </w:tc>
        <w:tc>
          <w:tcPr>
            <w:tcW w:w="713" w:type="dxa"/>
            <w:shd w:val="clear" w:color="000000" w:fill="F4F46C"/>
            <w:noWrap/>
            <w:vAlign w:val="center"/>
            <w:hideMark/>
          </w:tcPr>
          <w:p w:rsidR="007E399B" w:rsidRPr="002462E6" w:rsidRDefault="007E399B" w:rsidP="00420134">
            <w:pPr>
              <w:spacing w:after="0"/>
              <w:rPr>
                <w:rFonts w:ascii="Arial" w:hAnsi="Arial" w:cs="Arial"/>
                <w:color w:val="000000"/>
                <w:sz w:val="18"/>
                <w:szCs w:val="18"/>
                <w:lang w:eastAsia="fr-FR"/>
              </w:rPr>
            </w:pPr>
            <w:r w:rsidRPr="002462E6">
              <w:rPr>
                <w:rFonts w:ascii="Arial" w:hAnsi="Arial" w:cs="Arial"/>
                <w:color w:val="000000"/>
                <w:sz w:val="18"/>
                <w:szCs w:val="18"/>
                <w:lang w:eastAsia="fr-FR"/>
              </w:rPr>
              <w:t>37%</w:t>
            </w:r>
          </w:p>
        </w:tc>
      </w:tr>
      <w:tr w:rsidR="007E399B" w:rsidRPr="002462E6" w:rsidTr="00420134">
        <w:trPr>
          <w:trHeight w:val="281"/>
        </w:trPr>
        <w:tc>
          <w:tcPr>
            <w:tcW w:w="637" w:type="dxa"/>
            <w:vMerge/>
            <w:vAlign w:val="center"/>
            <w:hideMark/>
          </w:tcPr>
          <w:p w:rsidR="007E399B" w:rsidRPr="002462E6" w:rsidRDefault="007E399B" w:rsidP="00420134">
            <w:pPr>
              <w:spacing w:after="0"/>
              <w:rPr>
                <w:rFonts w:ascii="Arial" w:hAnsi="Arial" w:cs="Arial"/>
                <w:b/>
                <w:bCs/>
                <w:color w:val="000000"/>
                <w:sz w:val="16"/>
                <w:szCs w:val="16"/>
                <w:lang w:eastAsia="fr-FR"/>
              </w:rPr>
            </w:pPr>
          </w:p>
        </w:tc>
        <w:tc>
          <w:tcPr>
            <w:tcW w:w="1343" w:type="dxa"/>
            <w:vMerge w:val="restart"/>
            <w:shd w:val="clear" w:color="auto" w:fill="auto"/>
            <w:noWrap/>
            <w:vAlign w:val="center"/>
            <w:hideMark/>
          </w:tcPr>
          <w:p w:rsidR="007E399B" w:rsidRPr="002462E6" w:rsidRDefault="007E399B" w:rsidP="00420134">
            <w:pPr>
              <w:spacing w:after="0"/>
              <w:rPr>
                <w:rFonts w:ascii="Arial" w:hAnsi="Arial" w:cs="Arial"/>
                <w:color w:val="000000"/>
                <w:sz w:val="16"/>
                <w:szCs w:val="16"/>
                <w:lang w:eastAsia="fr-FR"/>
              </w:rPr>
            </w:pPr>
            <w:r w:rsidRPr="002462E6">
              <w:rPr>
                <w:rFonts w:ascii="Arial" w:hAnsi="Arial" w:cs="Arial"/>
                <w:color w:val="000000"/>
                <w:sz w:val="16"/>
                <w:szCs w:val="16"/>
                <w:lang w:eastAsia="fr-FR"/>
              </w:rPr>
              <w:t xml:space="preserve">Brachoua </w:t>
            </w:r>
          </w:p>
        </w:tc>
        <w:tc>
          <w:tcPr>
            <w:tcW w:w="1276" w:type="dxa"/>
            <w:shd w:val="clear" w:color="auto" w:fill="auto"/>
            <w:noWrap/>
            <w:vAlign w:val="center"/>
            <w:hideMark/>
          </w:tcPr>
          <w:p w:rsidR="007E399B" w:rsidRPr="002462E6" w:rsidRDefault="007E399B" w:rsidP="00420134">
            <w:pPr>
              <w:spacing w:after="0"/>
              <w:rPr>
                <w:rFonts w:ascii="Arial" w:hAnsi="Arial" w:cs="Arial"/>
                <w:color w:val="000000"/>
                <w:sz w:val="16"/>
                <w:szCs w:val="16"/>
                <w:lang w:eastAsia="fr-FR"/>
              </w:rPr>
            </w:pPr>
            <w:r w:rsidRPr="002462E6">
              <w:rPr>
                <w:rFonts w:ascii="Arial" w:hAnsi="Arial" w:cs="Arial"/>
                <w:color w:val="000000"/>
                <w:sz w:val="16"/>
                <w:szCs w:val="16"/>
                <w:lang w:eastAsia="fr-FR"/>
              </w:rPr>
              <w:t>Oulad Oumrane</w:t>
            </w:r>
          </w:p>
        </w:tc>
        <w:tc>
          <w:tcPr>
            <w:tcW w:w="499" w:type="dxa"/>
            <w:shd w:val="clear" w:color="000000" w:fill="F4F46C"/>
            <w:noWrap/>
            <w:vAlign w:val="center"/>
            <w:hideMark/>
          </w:tcPr>
          <w:p w:rsidR="007E399B" w:rsidRPr="002462E6" w:rsidRDefault="007E399B" w:rsidP="00420134">
            <w:pPr>
              <w:spacing w:after="0"/>
              <w:rPr>
                <w:rFonts w:ascii="Arial" w:hAnsi="Arial" w:cs="Arial"/>
                <w:color w:val="000000"/>
                <w:sz w:val="18"/>
                <w:szCs w:val="18"/>
                <w:lang w:eastAsia="fr-FR"/>
              </w:rPr>
            </w:pPr>
            <w:r w:rsidRPr="002462E6">
              <w:rPr>
                <w:rFonts w:ascii="Arial" w:hAnsi="Arial" w:cs="Arial"/>
                <w:color w:val="000000"/>
                <w:sz w:val="18"/>
                <w:szCs w:val="18"/>
                <w:lang w:eastAsia="fr-FR"/>
              </w:rPr>
              <w:t>20%</w:t>
            </w:r>
          </w:p>
        </w:tc>
        <w:tc>
          <w:tcPr>
            <w:tcW w:w="1200" w:type="dxa"/>
            <w:shd w:val="clear" w:color="000000" w:fill="D34B07"/>
            <w:noWrap/>
            <w:vAlign w:val="center"/>
            <w:hideMark/>
          </w:tcPr>
          <w:p w:rsidR="007E399B" w:rsidRPr="002462E6" w:rsidRDefault="007E399B" w:rsidP="00420134">
            <w:pPr>
              <w:spacing w:after="0"/>
              <w:rPr>
                <w:rFonts w:ascii="Arial" w:hAnsi="Arial" w:cs="Arial"/>
                <w:color w:val="000000"/>
                <w:sz w:val="18"/>
                <w:szCs w:val="18"/>
                <w:lang w:eastAsia="fr-FR"/>
              </w:rPr>
            </w:pPr>
            <w:r w:rsidRPr="002462E6">
              <w:rPr>
                <w:rFonts w:ascii="Arial" w:hAnsi="Arial" w:cs="Arial"/>
                <w:color w:val="000000"/>
                <w:sz w:val="18"/>
                <w:szCs w:val="18"/>
                <w:lang w:eastAsia="fr-FR"/>
              </w:rPr>
              <w:t>100%</w:t>
            </w:r>
          </w:p>
        </w:tc>
        <w:tc>
          <w:tcPr>
            <w:tcW w:w="1379" w:type="dxa"/>
            <w:shd w:val="clear" w:color="000000" w:fill="F4F46C"/>
            <w:noWrap/>
            <w:vAlign w:val="center"/>
            <w:hideMark/>
          </w:tcPr>
          <w:p w:rsidR="007E399B" w:rsidRPr="002462E6" w:rsidRDefault="007E399B" w:rsidP="00420134">
            <w:pPr>
              <w:spacing w:after="0"/>
              <w:rPr>
                <w:rFonts w:ascii="Arial" w:hAnsi="Arial" w:cs="Arial"/>
                <w:color w:val="000000"/>
                <w:sz w:val="18"/>
                <w:szCs w:val="18"/>
                <w:lang w:eastAsia="fr-FR"/>
              </w:rPr>
            </w:pPr>
            <w:r w:rsidRPr="002462E6">
              <w:rPr>
                <w:rFonts w:ascii="Arial" w:hAnsi="Arial" w:cs="Arial"/>
                <w:color w:val="000000"/>
                <w:sz w:val="18"/>
                <w:szCs w:val="18"/>
                <w:lang w:eastAsia="fr-FR"/>
              </w:rPr>
              <w:t>20%</w:t>
            </w:r>
          </w:p>
        </w:tc>
        <w:tc>
          <w:tcPr>
            <w:tcW w:w="1458" w:type="dxa"/>
            <w:shd w:val="clear" w:color="000000" w:fill="F4F46C"/>
            <w:noWrap/>
            <w:vAlign w:val="center"/>
            <w:hideMark/>
          </w:tcPr>
          <w:p w:rsidR="007E399B" w:rsidRPr="002462E6" w:rsidRDefault="007E399B" w:rsidP="00420134">
            <w:pPr>
              <w:spacing w:after="0"/>
              <w:rPr>
                <w:rFonts w:ascii="Arial" w:hAnsi="Arial" w:cs="Arial"/>
                <w:color w:val="000000"/>
                <w:sz w:val="18"/>
                <w:szCs w:val="18"/>
                <w:lang w:eastAsia="fr-FR"/>
              </w:rPr>
            </w:pPr>
            <w:r w:rsidRPr="002462E6">
              <w:rPr>
                <w:rFonts w:ascii="Arial" w:hAnsi="Arial" w:cs="Arial"/>
                <w:color w:val="000000"/>
                <w:sz w:val="18"/>
                <w:szCs w:val="18"/>
                <w:lang w:eastAsia="fr-FR"/>
              </w:rPr>
              <w:t>20%</w:t>
            </w:r>
          </w:p>
        </w:tc>
        <w:tc>
          <w:tcPr>
            <w:tcW w:w="606" w:type="dxa"/>
            <w:shd w:val="clear" w:color="000000" w:fill="F4F46C"/>
            <w:noWrap/>
            <w:vAlign w:val="center"/>
            <w:hideMark/>
          </w:tcPr>
          <w:p w:rsidR="007E399B" w:rsidRPr="002462E6" w:rsidRDefault="007E399B" w:rsidP="00420134">
            <w:pPr>
              <w:spacing w:after="0"/>
              <w:rPr>
                <w:rFonts w:ascii="Arial" w:hAnsi="Arial" w:cs="Arial"/>
                <w:color w:val="000000"/>
                <w:sz w:val="18"/>
                <w:szCs w:val="18"/>
                <w:lang w:eastAsia="fr-FR"/>
              </w:rPr>
            </w:pPr>
            <w:r w:rsidRPr="002462E6">
              <w:rPr>
                <w:rFonts w:ascii="Arial" w:hAnsi="Arial" w:cs="Arial"/>
                <w:color w:val="000000"/>
                <w:sz w:val="18"/>
                <w:szCs w:val="18"/>
                <w:lang w:eastAsia="fr-FR"/>
              </w:rPr>
              <w:t>0%</w:t>
            </w:r>
          </w:p>
        </w:tc>
        <w:tc>
          <w:tcPr>
            <w:tcW w:w="564" w:type="dxa"/>
            <w:shd w:val="clear" w:color="000000" w:fill="F4F46C"/>
            <w:noWrap/>
            <w:vAlign w:val="center"/>
            <w:hideMark/>
          </w:tcPr>
          <w:p w:rsidR="007E399B" w:rsidRPr="002462E6" w:rsidRDefault="007E399B" w:rsidP="00420134">
            <w:pPr>
              <w:spacing w:after="0"/>
              <w:rPr>
                <w:rFonts w:ascii="Arial" w:hAnsi="Arial" w:cs="Arial"/>
                <w:color w:val="000000"/>
                <w:sz w:val="18"/>
                <w:szCs w:val="18"/>
                <w:lang w:eastAsia="fr-FR"/>
              </w:rPr>
            </w:pPr>
            <w:r w:rsidRPr="002462E6">
              <w:rPr>
                <w:rFonts w:ascii="Arial" w:hAnsi="Arial" w:cs="Arial"/>
                <w:color w:val="000000"/>
                <w:sz w:val="18"/>
                <w:szCs w:val="18"/>
                <w:lang w:eastAsia="fr-FR"/>
              </w:rPr>
              <w:t>0%</w:t>
            </w:r>
          </w:p>
        </w:tc>
        <w:tc>
          <w:tcPr>
            <w:tcW w:w="713" w:type="dxa"/>
            <w:shd w:val="clear" w:color="000000" w:fill="F4F46C"/>
            <w:noWrap/>
            <w:vAlign w:val="center"/>
            <w:hideMark/>
          </w:tcPr>
          <w:p w:rsidR="007E399B" w:rsidRPr="002462E6" w:rsidRDefault="007E399B" w:rsidP="00420134">
            <w:pPr>
              <w:spacing w:after="0"/>
              <w:rPr>
                <w:rFonts w:ascii="Arial" w:hAnsi="Arial" w:cs="Arial"/>
                <w:color w:val="000000"/>
                <w:sz w:val="18"/>
                <w:szCs w:val="18"/>
                <w:lang w:eastAsia="fr-FR"/>
              </w:rPr>
            </w:pPr>
            <w:r w:rsidRPr="002462E6">
              <w:rPr>
                <w:rFonts w:ascii="Arial" w:hAnsi="Arial" w:cs="Arial"/>
                <w:color w:val="000000"/>
                <w:sz w:val="18"/>
                <w:szCs w:val="18"/>
                <w:lang w:eastAsia="fr-FR"/>
              </w:rPr>
              <w:t>27%</w:t>
            </w:r>
          </w:p>
        </w:tc>
      </w:tr>
      <w:tr w:rsidR="007E399B" w:rsidRPr="002462E6" w:rsidTr="00420134">
        <w:trPr>
          <w:trHeight w:val="281"/>
        </w:trPr>
        <w:tc>
          <w:tcPr>
            <w:tcW w:w="637" w:type="dxa"/>
            <w:vMerge/>
            <w:vAlign w:val="center"/>
            <w:hideMark/>
          </w:tcPr>
          <w:p w:rsidR="007E399B" w:rsidRPr="002462E6" w:rsidRDefault="007E399B" w:rsidP="00420134">
            <w:pPr>
              <w:spacing w:after="0"/>
              <w:rPr>
                <w:rFonts w:ascii="Arial" w:hAnsi="Arial" w:cs="Arial"/>
                <w:b/>
                <w:bCs/>
                <w:color w:val="000000"/>
                <w:sz w:val="16"/>
                <w:szCs w:val="16"/>
                <w:lang w:eastAsia="fr-FR"/>
              </w:rPr>
            </w:pPr>
          </w:p>
        </w:tc>
        <w:tc>
          <w:tcPr>
            <w:tcW w:w="1343" w:type="dxa"/>
            <w:vMerge/>
            <w:vAlign w:val="center"/>
            <w:hideMark/>
          </w:tcPr>
          <w:p w:rsidR="007E399B" w:rsidRPr="002462E6" w:rsidRDefault="007E399B" w:rsidP="00420134">
            <w:pPr>
              <w:spacing w:after="0"/>
              <w:rPr>
                <w:rFonts w:ascii="Arial" w:hAnsi="Arial" w:cs="Arial"/>
                <w:color w:val="000000"/>
                <w:sz w:val="16"/>
                <w:szCs w:val="16"/>
                <w:lang w:eastAsia="fr-FR"/>
              </w:rPr>
            </w:pPr>
          </w:p>
        </w:tc>
        <w:tc>
          <w:tcPr>
            <w:tcW w:w="1276" w:type="dxa"/>
            <w:shd w:val="clear" w:color="auto" w:fill="auto"/>
            <w:noWrap/>
            <w:vAlign w:val="center"/>
            <w:hideMark/>
          </w:tcPr>
          <w:p w:rsidR="007E399B" w:rsidRPr="002462E6" w:rsidRDefault="007E399B" w:rsidP="00420134">
            <w:pPr>
              <w:spacing w:after="0"/>
              <w:rPr>
                <w:rFonts w:ascii="Arial" w:hAnsi="Arial" w:cs="Arial"/>
                <w:color w:val="000000"/>
                <w:sz w:val="16"/>
                <w:szCs w:val="16"/>
                <w:lang w:eastAsia="fr-FR"/>
              </w:rPr>
            </w:pPr>
            <w:r w:rsidRPr="002462E6">
              <w:rPr>
                <w:rFonts w:ascii="Arial" w:hAnsi="Arial" w:cs="Arial"/>
                <w:color w:val="000000"/>
                <w:sz w:val="16"/>
                <w:szCs w:val="16"/>
                <w:lang w:eastAsia="fr-FR"/>
              </w:rPr>
              <w:t>Ait Ali</w:t>
            </w:r>
          </w:p>
        </w:tc>
        <w:tc>
          <w:tcPr>
            <w:tcW w:w="499" w:type="dxa"/>
            <w:shd w:val="clear" w:color="000000" w:fill="F4F46C"/>
            <w:noWrap/>
            <w:vAlign w:val="center"/>
            <w:hideMark/>
          </w:tcPr>
          <w:p w:rsidR="007E399B" w:rsidRPr="002462E6" w:rsidRDefault="007E399B" w:rsidP="00420134">
            <w:pPr>
              <w:spacing w:after="0"/>
              <w:rPr>
                <w:rFonts w:ascii="Arial" w:hAnsi="Arial" w:cs="Arial"/>
                <w:color w:val="000000"/>
                <w:sz w:val="18"/>
                <w:szCs w:val="18"/>
                <w:lang w:eastAsia="fr-FR"/>
              </w:rPr>
            </w:pPr>
            <w:r w:rsidRPr="002462E6">
              <w:rPr>
                <w:rFonts w:ascii="Arial" w:hAnsi="Arial" w:cs="Arial"/>
                <w:color w:val="000000"/>
                <w:sz w:val="18"/>
                <w:szCs w:val="18"/>
                <w:lang w:eastAsia="fr-FR"/>
              </w:rPr>
              <w:t>40%</w:t>
            </w:r>
          </w:p>
        </w:tc>
        <w:tc>
          <w:tcPr>
            <w:tcW w:w="1200" w:type="dxa"/>
            <w:shd w:val="clear" w:color="000000" w:fill="D34B07"/>
            <w:noWrap/>
            <w:vAlign w:val="center"/>
            <w:hideMark/>
          </w:tcPr>
          <w:p w:rsidR="007E399B" w:rsidRPr="002462E6" w:rsidRDefault="007E399B" w:rsidP="00420134">
            <w:pPr>
              <w:spacing w:after="0"/>
              <w:rPr>
                <w:rFonts w:ascii="Arial" w:hAnsi="Arial" w:cs="Arial"/>
                <w:color w:val="000000"/>
                <w:sz w:val="18"/>
                <w:szCs w:val="18"/>
                <w:lang w:eastAsia="fr-FR"/>
              </w:rPr>
            </w:pPr>
            <w:r w:rsidRPr="002462E6">
              <w:rPr>
                <w:rFonts w:ascii="Arial" w:hAnsi="Arial" w:cs="Arial"/>
                <w:color w:val="000000"/>
                <w:sz w:val="18"/>
                <w:szCs w:val="18"/>
                <w:lang w:eastAsia="fr-FR"/>
              </w:rPr>
              <w:t>100%</w:t>
            </w:r>
          </w:p>
        </w:tc>
        <w:tc>
          <w:tcPr>
            <w:tcW w:w="1379" w:type="dxa"/>
            <w:shd w:val="clear" w:color="000000" w:fill="F4F46C"/>
            <w:noWrap/>
            <w:vAlign w:val="center"/>
            <w:hideMark/>
          </w:tcPr>
          <w:p w:rsidR="007E399B" w:rsidRPr="002462E6" w:rsidRDefault="007E399B" w:rsidP="00420134">
            <w:pPr>
              <w:spacing w:after="0"/>
              <w:rPr>
                <w:rFonts w:ascii="Arial" w:hAnsi="Arial" w:cs="Arial"/>
                <w:color w:val="000000"/>
                <w:sz w:val="18"/>
                <w:szCs w:val="18"/>
                <w:lang w:eastAsia="fr-FR"/>
              </w:rPr>
            </w:pPr>
            <w:r w:rsidRPr="002462E6">
              <w:rPr>
                <w:rFonts w:ascii="Arial" w:hAnsi="Arial" w:cs="Arial"/>
                <w:color w:val="000000"/>
                <w:sz w:val="18"/>
                <w:szCs w:val="18"/>
                <w:lang w:eastAsia="fr-FR"/>
              </w:rPr>
              <w:t>40%</w:t>
            </w:r>
          </w:p>
        </w:tc>
        <w:tc>
          <w:tcPr>
            <w:tcW w:w="1458" w:type="dxa"/>
            <w:shd w:val="clear" w:color="000000" w:fill="F4F46C"/>
            <w:noWrap/>
            <w:vAlign w:val="center"/>
            <w:hideMark/>
          </w:tcPr>
          <w:p w:rsidR="007E399B" w:rsidRPr="002462E6" w:rsidRDefault="007E399B" w:rsidP="00420134">
            <w:pPr>
              <w:spacing w:after="0"/>
              <w:rPr>
                <w:rFonts w:ascii="Arial" w:hAnsi="Arial" w:cs="Arial"/>
                <w:color w:val="000000"/>
                <w:sz w:val="18"/>
                <w:szCs w:val="18"/>
                <w:lang w:eastAsia="fr-FR"/>
              </w:rPr>
            </w:pPr>
            <w:r w:rsidRPr="002462E6">
              <w:rPr>
                <w:rFonts w:ascii="Arial" w:hAnsi="Arial" w:cs="Arial"/>
                <w:color w:val="000000"/>
                <w:sz w:val="18"/>
                <w:szCs w:val="18"/>
                <w:lang w:eastAsia="fr-FR"/>
              </w:rPr>
              <w:t>40%</w:t>
            </w:r>
          </w:p>
        </w:tc>
        <w:tc>
          <w:tcPr>
            <w:tcW w:w="606" w:type="dxa"/>
            <w:shd w:val="clear" w:color="000000" w:fill="F4F46C"/>
            <w:noWrap/>
            <w:vAlign w:val="center"/>
            <w:hideMark/>
          </w:tcPr>
          <w:p w:rsidR="007E399B" w:rsidRPr="002462E6" w:rsidRDefault="007E399B" w:rsidP="00420134">
            <w:pPr>
              <w:spacing w:after="0"/>
              <w:rPr>
                <w:rFonts w:ascii="Arial" w:hAnsi="Arial" w:cs="Arial"/>
                <w:color w:val="000000"/>
                <w:sz w:val="18"/>
                <w:szCs w:val="18"/>
                <w:lang w:eastAsia="fr-FR"/>
              </w:rPr>
            </w:pPr>
            <w:r w:rsidRPr="002462E6">
              <w:rPr>
                <w:rFonts w:ascii="Arial" w:hAnsi="Arial" w:cs="Arial"/>
                <w:color w:val="000000"/>
                <w:sz w:val="18"/>
                <w:szCs w:val="18"/>
                <w:lang w:eastAsia="fr-FR"/>
              </w:rPr>
              <w:t>0%</w:t>
            </w:r>
          </w:p>
        </w:tc>
        <w:tc>
          <w:tcPr>
            <w:tcW w:w="564" w:type="dxa"/>
            <w:shd w:val="clear" w:color="000000" w:fill="F4F46C"/>
            <w:noWrap/>
            <w:vAlign w:val="center"/>
            <w:hideMark/>
          </w:tcPr>
          <w:p w:rsidR="007E399B" w:rsidRPr="002462E6" w:rsidRDefault="007E399B" w:rsidP="00420134">
            <w:pPr>
              <w:spacing w:after="0"/>
              <w:rPr>
                <w:rFonts w:ascii="Arial" w:hAnsi="Arial" w:cs="Arial"/>
                <w:color w:val="000000"/>
                <w:sz w:val="18"/>
                <w:szCs w:val="18"/>
                <w:lang w:eastAsia="fr-FR"/>
              </w:rPr>
            </w:pPr>
            <w:r w:rsidRPr="002462E6">
              <w:rPr>
                <w:rFonts w:ascii="Arial" w:hAnsi="Arial" w:cs="Arial"/>
                <w:color w:val="000000"/>
                <w:sz w:val="18"/>
                <w:szCs w:val="18"/>
                <w:lang w:eastAsia="fr-FR"/>
              </w:rPr>
              <w:t>0%</w:t>
            </w:r>
          </w:p>
        </w:tc>
        <w:tc>
          <w:tcPr>
            <w:tcW w:w="713" w:type="dxa"/>
            <w:shd w:val="clear" w:color="000000" w:fill="F4F46C"/>
            <w:noWrap/>
            <w:vAlign w:val="center"/>
            <w:hideMark/>
          </w:tcPr>
          <w:p w:rsidR="007E399B" w:rsidRPr="002462E6" w:rsidRDefault="007E399B" w:rsidP="00420134">
            <w:pPr>
              <w:spacing w:after="0"/>
              <w:rPr>
                <w:rFonts w:ascii="Arial" w:hAnsi="Arial" w:cs="Arial"/>
                <w:color w:val="000000"/>
                <w:sz w:val="18"/>
                <w:szCs w:val="18"/>
                <w:lang w:eastAsia="fr-FR"/>
              </w:rPr>
            </w:pPr>
            <w:r w:rsidRPr="002462E6">
              <w:rPr>
                <w:rFonts w:ascii="Arial" w:hAnsi="Arial" w:cs="Arial"/>
                <w:color w:val="000000"/>
                <w:sz w:val="18"/>
                <w:szCs w:val="18"/>
                <w:lang w:eastAsia="fr-FR"/>
              </w:rPr>
              <w:t>37%</w:t>
            </w:r>
          </w:p>
        </w:tc>
      </w:tr>
      <w:tr w:rsidR="007E399B" w:rsidRPr="002462E6" w:rsidTr="00420134">
        <w:trPr>
          <w:trHeight w:val="281"/>
        </w:trPr>
        <w:tc>
          <w:tcPr>
            <w:tcW w:w="637" w:type="dxa"/>
            <w:vMerge/>
            <w:vAlign w:val="center"/>
            <w:hideMark/>
          </w:tcPr>
          <w:p w:rsidR="007E399B" w:rsidRPr="002462E6" w:rsidRDefault="007E399B" w:rsidP="00420134">
            <w:pPr>
              <w:spacing w:after="0"/>
              <w:rPr>
                <w:rFonts w:ascii="Arial" w:hAnsi="Arial" w:cs="Arial"/>
                <w:b/>
                <w:bCs/>
                <w:color w:val="000000"/>
                <w:sz w:val="16"/>
                <w:szCs w:val="16"/>
                <w:lang w:eastAsia="fr-FR"/>
              </w:rPr>
            </w:pPr>
          </w:p>
        </w:tc>
        <w:tc>
          <w:tcPr>
            <w:tcW w:w="1343" w:type="dxa"/>
            <w:vMerge/>
            <w:vAlign w:val="center"/>
            <w:hideMark/>
          </w:tcPr>
          <w:p w:rsidR="007E399B" w:rsidRPr="002462E6" w:rsidRDefault="007E399B" w:rsidP="00420134">
            <w:pPr>
              <w:spacing w:after="0"/>
              <w:rPr>
                <w:rFonts w:ascii="Arial" w:hAnsi="Arial" w:cs="Arial"/>
                <w:color w:val="000000"/>
                <w:sz w:val="16"/>
                <w:szCs w:val="16"/>
                <w:lang w:eastAsia="fr-FR"/>
              </w:rPr>
            </w:pPr>
          </w:p>
        </w:tc>
        <w:tc>
          <w:tcPr>
            <w:tcW w:w="1276" w:type="dxa"/>
            <w:shd w:val="clear" w:color="auto" w:fill="auto"/>
            <w:noWrap/>
            <w:vAlign w:val="center"/>
            <w:hideMark/>
          </w:tcPr>
          <w:p w:rsidR="007E399B" w:rsidRPr="002462E6" w:rsidRDefault="007E399B" w:rsidP="00420134">
            <w:pPr>
              <w:spacing w:after="0"/>
              <w:rPr>
                <w:rFonts w:ascii="Arial" w:hAnsi="Arial" w:cs="Arial"/>
                <w:color w:val="000000"/>
                <w:sz w:val="16"/>
                <w:szCs w:val="16"/>
                <w:lang w:eastAsia="fr-FR"/>
              </w:rPr>
            </w:pPr>
            <w:r w:rsidRPr="002462E6">
              <w:rPr>
                <w:rFonts w:ascii="Arial" w:hAnsi="Arial" w:cs="Arial"/>
                <w:color w:val="000000"/>
                <w:sz w:val="16"/>
                <w:szCs w:val="16"/>
                <w:lang w:eastAsia="fr-FR"/>
              </w:rPr>
              <w:t>Lbghada</w:t>
            </w:r>
          </w:p>
        </w:tc>
        <w:tc>
          <w:tcPr>
            <w:tcW w:w="499" w:type="dxa"/>
            <w:shd w:val="clear" w:color="000000" w:fill="FFC000"/>
            <w:noWrap/>
            <w:vAlign w:val="center"/>
            <w:hideMark/>
          </w:tcPr>
          <w:p w:rsidR="007E399B" w:rsidRPr="002462E6" w:rsidRDefault="007E399B" w:rsidP="00420134">
            <w:pPr>
              <w:spacing w:after="0"/>
              <w:rPr>
                <w:rFonts w:ascii="Arial" w:hAnsi="Arial" w:cs="Arial"/>
                <w:color w:val="000000"/>
                <w:sz w:val="18"/>
                <w:szCs w:val="18"/>
                <w:lang w:eastAsia="fr-FR"/>
              </w:rPr>
            </w:pPr>
            <w:r w:rsidRPr="002462E6">
              <w:rPr>
                <w:rFonts w:ascii="Arial" w:hAnsi="Arial" w:cs="Arial"/>
                <w:color w:val="000000"/>
                <w:sz w:val="18"/>
                <w:szCs w:val="18"/>
                <w:lang w:eastAsia="fr-FR"/>
              </w:rPr>
              <w:t>50%</w:t>
            </w:r>
          </w:p>
        </w:tc>
        <w:tc>
          <w:tcPr>
            <w:tcW w:w="1200" w:type="dxa"/>
            <w:shd w:val="clear" w:color="000000" w:fill="F4F46C"/>
            <w:noWrap/>
            <w:vAlign w:val="center"/>
            <w:hideMark/>
          </w:tcPr>
          <w:p w:rsidR="007E399B" w:rsidRPr="002462E6" w:rsidRDefault="007E399B" w:rsidP="00420134">
            <w:pPr>
              <w:spacing w:after="0"/>
              <w:rPr>
                <w:rFonts w:ascii="Arial" w:hAnsi="Arial" w:cs="Arial"/>
                <w:color w:val="000000"/>
                <w:sz w:val="18"/>
                <w:szCs w:val="18"/>
                <w:lang w:eastAsia="fr-FR"/>
              </w:rPr>
            </w:pPr>
            <w:r w:rsidRPr="002462E6">
              <w:rPr>
                <w:rFonts w:ascii="Arial" w:hAnsi="Arial" w:cs="Arial"/>
                <w:color w:val="000000"/>
                <w:sz w:val="18"/>
                <w:szCs w:val="18"/>
                <w:lang w:eastAsia="fr-FR"/>
              </w:rPr>
              <w:t>40%</w:t>
            </w:r>
          </w:p>
        </w:tc>
        <w:tc>
          <w:tcPr>
            <w:tcW w:w="1379" w:type="dxa"/>
            <w:shd w:val="clear" w:color="000000" w:fill="F4F46C"/>
            <w:noWrap/>
            <w:vAlign w:val="center"/>
            <w:hideMark/>
          </w:tcPr>
          <w:p w:rsidR="007E399B" w:rsidRPr="002462E6" w:rsidRDefault="007E399B" w:rsidP="00420134">
            <w:pPr>
              <w:spacing w:after="0"/>
              <w:rPr>
                <w:rFonts w:ascii="Arial" w:hAnsi="Arial" w:cs="Arial"/>
                <w:color w:val="000000"/>
                <w:sz w:val="18"/>
                <w:szCs w:val="18"/>
                <w:lang w:eastAsia="fr-FR"/>
              </w:rPr>
            </w:pPr>
            <w:r w:rsidRPr="002462E6">
              <w:rPr>
                <w:rFonts w:ascii="Arial" w:hAnsi="Arial" w:cs="Arial"/>
                <w:color w:val="000000"/>
                <w:sz w:val="18"/>
                <w:szCs w:val="18"/>
                <w:lang w:eastAsia="fr-FR"/>
              </w:rPr>
              <w:t>20%</w:t>
            </w:r>
          </w:p>
        </w:tc>
        <w:tc>
          <w:tcPr>
            <w:tcW w:w="1458" w:type="dxa"/>
            <w:shd w:val="clear" w:color="000000" w:fill="F4F46C"/>
            <w:noWrap/>
            <w:vAlign w:val="center"/>
            <w:hideMark/>
          </w:tcPr>
          <w:p w:rsidR="007E399B" w:rsidRPr="002462E6" w:rsidRDefault="007E399B" w:rsidP="00420134">
            <w:pPr>
              <w:spacing w:after="0"/>
              <w:rPr>
                <w:rFonts w:ascii="Arial" w:hAnsi="Arial" w:cs="Arial"/>
                <w:color w:val="000000"/>
                <w:sz w:val="18"/>
                <w:szCs w:val="18"/>
                <w:lang w:eastAsia="fr-FR"/>
              </w:rPr>
            </w:pPr>
            <w:r w:rsidRPr="002462E6">
              <w:rPr>
                <w:rFonts w:ascii="Arial" w:hAnsi="Arial" w:cs="Arial"/>
                <w:color w:val="000000"/>
                <w:sz w:val="18"/>
                <w:szCs w:val="18"/>
                <w:lang w:eastAsia="fr-FR"/>
              </w:rPr>
              <w:t>50%</w:t>
            </w:r>
          </w:p>
        </w:tc>
        <w:tc>
          <w:tcPr>
            <w:tcW w:w="606" w:type="dxa"/>
            <w:shd w:val="clear" w:color="000000" w:fill="F4F46C"/>
            <w:noWrap/>
            <w:vAlign w:val="center"/>
            <w:hideMark/>
          </w:tcPr>
          <w:p w:rsidR="007E399B" w:rsidRPr="002462E6" w:rsidRDefault="007E399B" w:rsidP="00420134">
            <w:pPr>
              <w:spacing w:after="0"/>
              <w:rPr>
                <w:rFonts w:ascii="Arial" w:hAnsi="Arial" w:cs="Arial"/>
                <w:color w:val="000000"/>
                <w:sz w:val="18"/>
                <w:szCs w:val="18"/>
                <w:lang w:eastAsia="fr-FR"/>
              </w:rPr>
            </w:pPr>
            <w:r w:rsidRPr="002462E6">
              <w:rPr>
                <w:rFonts w:ascii="Arial" w:hAnsi="Arial" w:cs="Arial"/>
                <w:color w:val="000000"/>
                <w:sz w:val="18"/>
                <w:szCs w:val="18"/>
                <w:lang w:eastAsia="fr-FR"/>
              </w:rPr>
              <w:t>50%</w:t>
            </w:r>
          </w:p>
        </w:tc>
        <w:tc>
          <w:tcPr>
            <w:tcW w:w="564" w:type="dxa"/>
            <w:shd w:val="clear" w:color="000000" w:fill="FFC000"/>
            <w:noWrap/>
            <w:vAlign w:val="center"/>
            <w:hideMark/>
          </w:tcPr>
          <w:p w:rsidR="007E399B" w:rsidRPr="002462E6" w:rsidRDefault="007E399B" w:rsidP="00420134">
            <w:pPr>
              <w:spacing w:after="0"/>
              <w:rPr>
                <w:rFonts w:ascii="Arial" w:hAnsi="Arial" w:cs="Arial"/>
                <w:color w:val="000000"/>
                <w:sz w:val="18"/>
                <w:szCs w:val="18"/>
                <w:lang w:eastAsia="fr-FR"/>
              </w:rPr>
            </w:pPr>
            <w:r w:rsidRPr="002462E6">
              <w:rPr>
                <w:rFonts w:ascii="Arial" w:hAnsi="Arial" w:cs="Arial"/>
                <w:color w:val="000000"/>
                <w:sz w:val="18"/>
                <w:szCs w:val="18"/>
                <w:lang w:eastAsia="fr-FR"/>
              </w:rPr>
              <w:t>50%</w:t>
            </w:r>
          </w:p>
        </w:tc>
        <w:tc>
          <w:tcPr>
            <w:tcW w:w="713" w:type="dxa"/>
            <w:shd w:val="clear" w:color="000000" w:fill="F4F46C"/>
            <w:noWrap/>
            <w:vAlign w:val="center"/>
            <w:hideMark/>
          </w:tcPr>
          <w:p w:rsidR="007E399B" w:rsidRPr="002462E6" w:rsidRDefault="007E399B" w:rsidP="00420134">
            <w:pPr>
              <w:spacing w:after="0"/>
              <w:rPr>
                <w:rFonts w:ascii="Arial" w:hAnsi="Arial" w:cs="Arial"/>
                <w:color w:val="000000"/>
                <w:sz w:val="18"/>
                <w:szCs w:val="18"/>
                <w:lang w:eastAsia="fr-FR"/>
              </w:rPr>
            </w:pPr>
            <w:r w:rsidRPr="002462E6">
              <w:rPr>
                <w:rFonts w:ascii="Arial" w:hAnsi="Arial" w:cs="Arial"/>
                <w:color w:val="000000"/>
                <w:sz w:val="18"/>
                <w:szCs w:val="18"/>
                <w:lang w:eastAsia="fr-FR"/>
              </w:rPr>
              <w:t>43%</w:t>
            </w:r>
          </w:p>
        </w:tc>
      </w:tr>
      <w:tr w:rsidR="007E399B" w:rsidRPr="002462E6" w:rsidTr="00420134">
        <w:trPr>
          <w:trHeight w:val="281"/>
        </w:trPr>
        <w:tc>
          <w:tcPr>
            <w:tcW w:w="637" w:type="dxa"/>
            <w:vMerge/>
            <w:vAlign w:val="center"/>
            <w:hideMark/>
          </w:tcPr>
          <w:p w:rsidR="007E399B" w:rsidRPr="002462E6" w:rsidRDefault="007E399B" w:rsidP="00420134">
            <w:pPr>
              <w:spacing w:after="0"/>
              <w:rPr>
                <w:rFonts w:ascii="Arial" w:hAnsi="Arial" w:cs="Arial"/>
                <w:b/>
                <w:bCs/>
                <w:color w:val="000000"/>
                <w:sz w:val="16"/>
                <w:szCs w:val="16"/>
                <w:lang w:eastAsia="fr-FR"/>
              </w:rPr>
            </w:pPr>
          </w:p>
        </w:tc>
        <w:tc>
          <w:tcPr>
            <w:tcW w:w="1343" w:type="dxa"/>
            <w:vMerge/>
            <w:vAlign w:val="center"/>
            <w:hideMark/>
          </w:tcPr>
          <w:p w:rsidR="007E399B" w:rsidRPr="002462E6" w:rsidRDefault="007E399B" w:rsidP="00420134">
            <w:pPr>
              <w:spacing w:after="0"/>
              <w:rPr>
                <w:rFonts w:ascii="Arial" w:hAnsi="Arial" w:cs="Arial"/>
                <w:color w:val="000000"/>
                <w:sz w:val="16"/>
                <w:szCs w:val="16"/>
                <w:lang w:eastAsia="fr-FR"/>
              </w:rPr>
            </w:pPr>
          </w:p>
        </w:tc>
        <w:tc>
          <w:tcPr>
            <w:tcW w:w="1276" w:type="dxa"/>
            <w:shd w:val="clear" w:color="auto" w:fill="auto"/>
            <w:noWrap/>
            <w:vAlign w:val="center"/>
            <w:hideMark/>
          </w:tcPr>
          <w:p w:rsidR="007E399B" w:rsidRPr="002462E6" w:rsidRDefault="007E399B" w:rsidP="00420134">
            <w:pPr>
              <w:spacing w:after="0"/>
              <w:rPr>
                <w:rFonts w:ascii="Arial" w:hAnsi="Arial" w:cs="Arial"/>
                <w:color w:val="000000"/>
                <w:sz w:val="16"/>
                <w:szCs w:val="16"/>
                <w:lang w:eastAsia="fr-FR"/>
              </w:rPr>
            </w:pPr>
            <w:r w:rsidRPr="002462E6">
              <w:rPr>
                <w:rFonts w:ascii="Arial" w:hAnsi="Arial" w:cs="Arial"/>
                <w:color w:val="000000"/>
                <w:sz w:val="16"/>
                <w:szCs w:val="16"/>
                <w:lang w:eastAsia="fr-FR"/>
              </w:rPr>
              <w:t>Nkaila</w:t>
            </w:r>
          </w:p>
        </w:tc>
        <w:tc>
          <w:tcPr>
            <w:tcW w:w="499" w:type="dxa"/>
            <w:shd w:val="clear" w:color="000000" w:fill="F4F46C"/>
            <w:noWrap/>
            <w:vAlign w:val="center"/>
            <w:hideMark/>
          </w:tcPr>
          <w:p w:rsidR="007E399B" w:rsidRPr="002462E6" w:rsidRDefault="007E399B" w:rsidP="00420134">
            <w:pPr>
              <w:spacing w:after="0"/>
              <w:rPr>
                <w:rFonts w:ascii="Arial" w:hAnsi="Arial" w:cs="Arial"/>
                <w:color w:val="000000"/>
                <w:sz w:val="18"/>
                <w:szCs w:val="18"/>
                <w:lang w:eastAsia="fr-FR"/>
              </w:rPr>
            </w:pPr>
            <w:r w:rsidRPr="002462E6">
              <w:rPr>
                <w:rFonts w:ascii="Arial" w:hAnsi="Arial" w:cs="Arial"/>
                <w:color w:val="000000"/>
                <w:sz w:val="18"/>
                <w:szCs w:val="18"/>
                <w:lang w:eastAsia="fr-FR"/>
              </w:rPr>
              <w:t>40%</w:t>
            </w:r>
          </w:p>
        </w:tc>
        <w:tc>
          <w:tcPr>
            <w:tcW w:w="1200" w:type="dxa"/>
            <w:shd w:val="clear" w:color="000000" w:fill="D34B07"/>
            <w:noWrap/>
            <w:vAlign w:val="center"/>
            <w:hideMark/>
          </w:tcPr>
          <w:p w:rsidR="007E399B" w:rsidRPr="002462E6" w:rsidRDefault="007E399B" w:rsidP="00420134">
            <w:pPr>
              <w:spacing w:after="0"/>
              <w:rPr>
                <w:rFonts w:ascii="Arial" w:hAnsi="Arial" w:cs="Arial"/>
                <w:color w:val="000000"/>
                <w:sz w:val="18"/>
                <w:szCs w:val="18"/>
                <w:lang w:eastAsia="fr-FR"/>
              </w:rPr>
            </w:pPr>
            <w:r w:rsidRPr="002462E6">
              <w:rPr>
                <w:rFonts w:ascii="Arial" w:hAnsi="Arial" w:cs="Arial"/>
                <w:color w:val="000000"/>
                <w:sz w:val="18"/>
                <w:szCs w:val="18"/>
                <w:lang w:eastAsia="fr-FR"/>
              </w:rPr>
              <w:t>100%</w:t>
            </w:r>
          </w:p>
        </w:tc>
        <w:tc>
          <w:tcPr>
            <w:tcW w:w="1379" w:type="dxa"/>
            <w:shd w:val="clear" w:color="000000" w:fill="D34B07"/>
            <w:noWrap/>
            <w:vAlign w:val="center"/>
            <w:hideMark/>
          </w:tcPr>
          <w:p w:rsidR="007E399B" w:rsidRPr="002462E6" w:rsidRDefault="007E399B" w:rsidP="00420134">
            <w:pPr>
              <w:spacing w:after="0"/>
              <w:rPr>
                <w:rFonts w:ascii="Arial" w:hAnsi="Arial" w:cs="Arial"/>
                <w:color w:val="000000"/>
                <w:sz w:val="18"/>
                <w:szCs w:val="18"/>
                <w:lang w:eastAsia="fr-FR"/>
              </w:rPr>
            </w:pPr>
            <w:r w:rsidRPr="002462E6">
              <w:rPr>
                <w:rFonts w:ascii="Arial" w:hAnsi="Arial" w:cs="Arial"/>
                <w:color w:val="000000"/>
                <w:sz w:val="18"/>
                <w:szCs w:val="18"/>
                <w:lang w:eastAsia="fr-FR"/>
              </w:rPr>
              <w:t>100%</w:t>
            </w:r>
          </w:p>
        </w:tc>
        <w:tc>
          <w:tcPr>
            <w:tcW w:w="1458" w:type="dxa"/>
            <w:shd w:val="clear" w:color="000000" w:fill="F4F46C"/>
            <w:noWrap/>
            <w:vAlign w:val="center"/>
            <w:hideMark/>
          </w:tcPr>
          <w:p w:rsidR="007E399B" w:rsidRPr="002462E6" w:rsidRDefault="007E399B" w:rsidP="00420134">
            <w:pPr>
              <w:spacing w:after="0"/>
              <w:rPr>
                <w:rFonts w:ascii="Arial" w:hAnsi="Arial" w:cs="Arial"/>
                <w:color w:val="000000"/>
                <w:sz w:val="18"/>
                <w:szCs w:val="18"/>
                <w:lang w:eastAsia="fr-FR"/>
              </w:rPr>
            </w:pPr>
            <w:r w:rsidRPr="002462E6">
              <w:rPr>
                <w:rFonts w:ascii="Arial" w:hAnsi="Arial" w:cs="Arial"/>
                <w:color w:val="000000"/>
                <w:sz w:val="18"/>
                <w:szCs w:val="18"/>
                <w:lang w:eastAsia="fr-FR"/>
              </w:rPr>
              <w:t>0%</w:t>
            </w:r>
          </w:p>
        </w:tc>
        <w:tc>
          <w:tcPr>
            <w:tcW w:w="606" w:type="dxa"/>
            <w:shd w:val="clear" w:color="000000" w:fill="F4F46C"/>
            <w:noWrap/>
            <w:vAlign w:val="center"/>
            <w:hideMark/>
          </w:tcPr>
          <w:p w:rsidR="007E399B" w:rsidRPr="002462E6" w:rsidRDefault="007E399B" w:rsidP="00420134">
            <w:pPr>
              <w:spacing w:after="0"/>
              <w:rPr>
                <w:rFonts w:ascii="Arial" w:hAnsi="Arial" w:cs="Arial"/>
                <w:color w:val="000000"/>
                <w:sz w:val="18"/>
                <w:szCs w:val="18"/>
                <w:lang w:eastAsia="fr-FR"/>
              </w:rPr>
            </w:pPr>
            <w:r w:rsidRPr="002462E6">
              <w:rPr>
                <w:rFonts w:ascii="Arial" w:hAnsi="Arial" w:cs="Arial"/>
                <w:color w:val="000000"/>
                <w:sz w:val="18"/>
                <w:szCs w:val="18"/>
                <w:lang w:eastAsia="fr-FR"/>
              </w:rPr>
              <w:t>20%</w:t>
            </w:r>
          </w:p>
        </w:tc>
        <w:tc>
          <w:tcPr>
            <w:tcW w:w="564" w:type="dxa"/>
            <w:shd w:val="clear" w:color="000000" w:fill="F4F46C"/>
            <w:noWrap/>
            <w:vAlign w:val="center"/>
            <w:hideMark/>
          </w:tcPr>
          <w:p w:rsidR="007E399B" w:rsidRPr="002462E6" w:rsidRDefault="007E399B" w:rsidP="00420134">
            <w:pPr>
              <w:spacing w:after="0"/>
              <w:rPr>
                <w:rFonts w:ascii="Arial" w:hAnsi="Arial" w:cs="Arial"/>
                <w:color w:val="000000"/>
                <w:sz w:val="18"/>
                <w:szCs w:val="18"/>
                <w:lang w:eastAsia="fr-FR"/>
              </w:rPr>
            </w:pPr>
            <w:r w:rsidRPr="002462E6">
              <w:rPr>
                <w:rFonts w:ascii="Arial" w:hAnsi="Arial" w:cs="Arial"/>
                <w:color w:val="000000"/>
                <w:sz w:val="18"/>
                <w:szCs w:val="18"/>
                <w:lang w:eastAsia="fr-FR"/>
              </w:rPr>
              <w:t>20%</w:t>
            </w:r>
          </w:p>
        </w:tc>
        <w:tc>
          <w:tcPr>
            <w:tcW w:w="713" w:type="dxa"/>
            <w:shd w:val="clear" w:color="000000" w:fill="F4F46C"/>
            <w:noWrap/>
            <w:vAlign w:val="center"/>
            <w:hideMark/>
          </w:tcPr>
          <w:p w:rsidR="007E399B" w:rsidRPr="002462E6" w:rsidRDefault="007E399B" w:rsidP="00420134">
            <w:pPr>
              <w:spacing w:after="0"/>
              <w:rPr>
                <w:rFonts w:ascii="Arial" w:hAnsi="Arial" w:cs="Arial"/>
                <w:color w:val="000000"/>
                <w:sz w:val="18"/>
                <w:szCs w:val="18"/>
                <w:lang w:eastAsia="fr-FR"/>
              </w:rPr>
            </w:pPr>
            <w:r w:rsidRPr="002462E6">
              <w:rPr>
                <w:rFonts w:ascii="Arial" w:hAnsi="Arial" w:cs="Arial"/>
                <w:color w:val="000000"/>
                <w:sz w:val="18"/>
                <w:szCs w:val="18"/>
                <w:lang w:eastAsia="fr-FR"/>
              </w:rPr>
              <w:t>47%</w:t>
            </w:r>
          </w:p>
        </w:tc>
      </w:tr>
      <w:tr w:rsidR="007E399B" w:rsidRPr="002462E6" w:rsidTr="00420134">
        <w:trPr>
          <w:trHeight w:val="281"/>
        </w:trPr>
        <w:tc>
          <w:tcPr>
            <w:tcW w:w="637" w:type="dxa"/>
            <w:vMerge/>
            <w:vAlign w:val="center"/>
            <w:hideMark/>
          </w:tcPr>
          <w:p w:rsidR="007E399B" w:rsidRPr="002462E6" w:rsidRDefault="007E399B" w:rsidP="00420134">
            <w:pPr>
              <w:spacing w:after="0"/>
              <w:rPr>
                <w:rFonts w:ascii="Arial" w:hAnsi="Arial" w:cs="Arial"/>
                <w:b/>
                <w:bCs/>
                <w:color w:val="000000"/>
                <w:sz w:val="16"/>
                <w:szCs w:val="16"/>
                <w:lang w:eastAsia="fr-FR"/>
              </w:rPr>
            </w:pPr>
          </w:p>
        </w:tc>
        <w:tc>
          <w:tcPr>
            <w:tcW w:w="1343" w:type="dxa"/>
            <w:vMerge/>
            <w:vAlign w:val="center"/>
            <w:hideMark/>
          </w:tcPr>
          <w:p w:rsidR="007E399B" w:rsidRPr="002462E6" w:rsidRDefault="007E399B" w:rsidP="00420134">
            <w:pPr>
              <w:spacing w:after="0"/>
              <w:rPr>
                <w:rFonts w:ascii="Arial" w:hAnsi="Arial" w:cs="Arial"/>
                <w:color w:val="000000"/>
                <w:sz w:val="16"/>
                <w:szCs w:val="16"/>
                <w:lang w:eastAsia="fr-FR"/>
              </w:rPr>
            </w:pPr>
          </w:p>
        </w:tc>
        <w:tc>
          <w:tcPr>
            <w:tcW w:w="1276" w:type="dxa"/>
            <w:shd w:val="clear" w:color="auto" w:fill="auto"/>
            <w:noWrap/>
            <w:vAlign w:val="center"/>
            <w:hideMark/>
          </w:tcPr>
          <w:p w:rsidR="007E399B" w:rsidRPr="002462E6" w:rsidRDefault="007E399B" w:rsidP="00420134">
            <w:pPr>
              <w:spacing w:after="0"/>
              <w:rPr>
                <w:rFonts w:ascii="Arial" w:hAnsi="Arial" w:cs="Arial"/>
                <w:color w:val="000000"/>
                <w:sz w:val="16"/>
                <w:szCs w:val="16"/>
                <w:lang w:eastAsia="fr-FR"/>
              </w:rPr>
            </w:pPr>
            <w:r w:rsidRPr="002462E6">
              <w:rPr>
                <w:rFonts w:ascii="Arial" w:hAnsi="Arial" w:cs="Arial"/>
                <w:color w:val="000000"/>
                <w:sz w:val="16"/>
                <w:szCs w:val="16"/>
                <w:lang w:eastAsia="fr-FR"/>
              </w:rPr>
              <w:t xml:space="preserve">Oulad Hmama </w:t>
            </w:r>
          </w:p>
        </w:tc>
        <w:tc>
          <w:tcPr>
            <w:tcW w:w="499" w:type="dxa"/>
            <w:shd w:val="clear" w:color="000000" w:fill="F4F46C"/>
            <w:noWrap/>
            <w:vAlign w:val="center"/>
            <w:hideMark/>
          </w:tcPr>
          <w:p w:rsidR="007E399B" w:rsidRPr="002462E6" w:rsidRDefault="007E399B" w:rsidP="00420134">
            <w:pPr>
              <w:spacing w:after="0"/>
              <w:rPr>
                <w:rFonts w:ascii="Arial" w:hAnsi="Arial" w:cs="Arial"/>
                <w:color w:val="000000"/>
                <w:sz w:val="18"/>
                <w:szCs w:val="18"/>
                <w:lang w:eastAsia="fr-FR"/>
              </w:rPr>
            </w:pPr>
            <w:r w:rsidRPr="002462E6">
              <w:rPr>
                <w:rFonts w:ascii="Arial" w:hAnsi="Arial" w:cs="Arial"/>
                <w:color w:val="000000"/>
                <w:sz w:val="18"/>
                <w:szCs w:val="18"/>
                <w:lang w:eastAsia="fr-FR"/>
              </w:rPr>
              <w:t>40%</w:t>
            </w:r>
          </w:p>
        </w:tc>
        <w:tc>
          <w:tcPr>
            <w:tcW w:w="1200" w:type="dxa"/>
            <w:shd w:val="clear" w:color="000000" w:fill="D34B07"/>
            <w:noWrap/>
            <w:vAlign w:val="center"/>
            <w:hideMark/>
          </w:tcPr>
          <w:p w:rsidR="007E399B" w:rsidRPr="002462E6" w:rsidRDefault="007E399B" w:rsidP="00420134">
            <w:pPr>
              <w:spacing w:after="0"/>
              <w:rPr>
                <w:rFonts w:ascii="Arial" w:hAnsi="Arial" w:cs="Arial"/>
                <w:color w:val="000000"/>
                <w:sz w:val="18"/>
                <w:szCs w:val="18"/>
                <w:lang w:eastAsia="fr-FR"/>
              </w:rPr>
            </w:pPr>
            <w:r w:rsidRPr="002462E6">
              <w:rPr>
                <w:rFonts w:ascii="Arial" w:hAnsi="Arial" w:cs="Arial"/>
                <w:color w:val="000000"/>
                <w:sz w:val="18"/>
                <w:szCs w:val="18"/>
                <w:lang w:eastAsia="fr-FR"/>
              </w:rPr>
              <w:t>100%</w:t>
            </w:r>
          </w:p>
        </w:tc>
        <w:tc>
          <w:tcPr>
            <w:tcW w:w="1379" w:type="dxa"/>
            <w:shd w:val="clear" w:color="000000" w:fill="F4F46C"/>
            <w:noWrap/>
            <w:vAlign w:val="center"/>
            <w:hideMark/>
          </w:tcPr>
          <w:p w:rsidR="007E399B" w:rsidRPr="002462E6" w:rsidRDefault="007E399B" w:rsidP="00420134">
            <w:pPr>
              <w:spacing w:after="0"/>
              <w:rPr>
                <w:rFonts w:ascii="Arial" w:hAnsi="Arial" w:cs="Arial"/>
                <w:color w:val="000000"/>
                <w:sz w:val="18"/>
                <w:szCs w:val="18"/>
                <w:lang w:eastAsia="fr-FR"/>
              </w:rPr>
            </w:pPr>
            <w:r w:rsidRPr="002462E6">
              <w:rPr>
                <w:rFonts w:ascii="Arial" w:hAnsi="Arial" w:cs="Arial"/>
                <w:color w:val="000000"/>
                <w:sz w:val="18"/>
                <w:szCs w:val="18"/>
                <w:lang w:eastAsia="fr-FR"/>
              </w:rPr>
              <w:t>20%</w:t>
            </w:r>
          </w:p>
        </w:tc>
        <w:tc>
          <w:tcPr>
            <w:tcW w:w="1458" w:type="dxa"/>
            <w:shd w:val="clear" w:color="000000" w:fill="FFC000"/>
            <w:noWrap/>
            <w:vAlign w:val="center"/>
            <w:hideMark/>
          </w:tcPr>
          <w:p w:rsidR="007E399B" w:rsidRPr="002462E6" w:rsidRDefault="007E399B" w:rsidP="00420134">
            <w:pPr>
              <w:spacing w:after="0"/>
              <w:rPr>
                <w:rFonts w:ascii="Arial" w:hAnsi="Arial" w:cs="Arial"/>
                <w:color w:val="000000"/>
                <w:sz w:val="18"/>
                <w:szCs w:val="18"/>
                <w:lang w:eastAsia="fr-FR"/>
              </w:rPr>
            </w:pPr>
            <w:r w:rsidRPr="002462E6">
              <w:rPr>
                <w:rFonts w:ascii="Arial" w:hAnsi="Arial" w:cs="Arial"/>
                <w:color w:val="000000"/>
                <w:sz w:val="18"/>
                <w:szCs w:val="18"/>
                <w:lang w:eastAsia="fr-FR"/>
              </w:rPr>
              <w:t>60%</w:t>
            </w:r>
          </w:p>
        </w:tc>
        <w:tc>
          <w:tcPr>
            <w:tcW w:w="606" w:type="dxa"/>
            <w:shd w:val="clear" w:color="000000" w:fill="F4F46C"/>
            <w:noWrap/>
            <w:vAlign w:val="center"/>
            <w:hideMark/>
          </w:tcPr>
          <w:p w:rsidR="007E399B" w:rsidRPr="002462E6" w:rsidRDefault="007E399B" w:rsidP="00420134">
            <w:pPr>
              <w:spacing w:after="0"/>
              <w:rPr>
                <w:rFonts w:ascii="Arial" w:hAnsi="Arial" w:cs="Arial"/>
                <w:color w:val="000000"/>
                <w:sz w:val="18"/>
                <w:szCs w:val="18"/>
                <w:lang w:eastAsia="fr-FR"/>
              </w:rPr>
            </w:pPr>
            <w:r w:rsidRPr="002462E6">
              <w:rPr>
                <w:rFonts w:ascii="Arial" w:hAnsi="Arial" w:cs="Arial"/>
                <w:color w:val="000000"/>
                <w:sz w:val="18"/>
                <w:szCs w:val="18"/>
                <w:lang w:eastAsia="fr-FR"/>
              </w:rPr>
              <w:t>0%</w:t>
            </w:r>
          </w:p>
        </w:tc>
        <w:tc>
          <w:tcPr>
            <w:tcW w:w="564" w:type="dxa"/>
            <w:shd w:val="clear" w:color="000000" w:fill="F4F46C"/>
            <w:noWrap/>
            <w:vAlign w:val="center"/>
            <w:hideMark/>
          </w:tcPr>
          <w:p w:rsidR="007E399B" w:rsidRPr="002462E6" w:rsidRDefault="007E399B" w:rsidP="00420134">
            <w:pPr>
              <w:spacing w:after="0"/>
              <w:rPr>
                <w:rFonts w:ascii="Arial" w:hAnsi="Arial" w:cs="Arial"/>
                <w:color w:val="000000"/>
                <w:sz w:val="18"/>
                <w:szCs w:val="18"/>
                <w:lang w:eastAsia="fr-FR"/>
              </w:rPr>
            </w:pPr>
            <w:r w:rsidRPr="002462E6">
              <w:rPr>
                <w:rFonts w:ascii="Arial" w:hAnsi="Arial" w:cs="Arial"/>
                <w:color w:val="000000"/>
                <w:sz w:val="18"/>
                <w:szCs w:val="18"/>
                <w:lang w:eastAsia="fr-FR"/>
              </w:rPr>
              <w:t>40%</w:t>
            </w:r>
          </w:p>
        </w:tc>
        <w:tc>
          <w:tcPr>
            <w:tcW w:w="713" w:type="dxa"/>
            <w:shd w:val="clear" w:color="000000" w:fill="F4F46C"/>
            <w:noWrap/>
            <w:vAlign w:val="center"/>
            <w:hideMark/>
          </w:tcPr>
          <w:p w:rsidR="007E399B" w:rsidRPr="002462E6" w:rsidRDefault="007E399B" w:rsidP="00420134">
            <w:pPr>
              <w:spacing w:after="0"/>
              <w:rPr>
                <w:rFonts w:ascii="Arial" w:hAnsi="Arial" w:cs="Arial"/>
                <w:color w:val="000000"/>
                <w:sz w:val="18"/>
                <w:szCs w:val="18"/>
                <w:lang w:eastAsia="fr-FR"/>
              </w:rPr>
            </w:pPr>
            <w:r w:rsidRPr="002462E6">
              <w:rPr>
                <w:rFonts w:ascii="Arial" w:hAnsi="Arial" w:cs="Arial"/>
                <w:color w:val="000000"/>
                <w:sz w:val="18"/>
                <w:szCs w:val="18"/>
                <w:lang w:eastAsia="fr-FR"/>
              </w:rPr>
              <w:t>43%</w:t>
            </w:r>
          </w:p>
        </w:tc>
      </w:tr>
      <w:tr w:rsidR="007E399B" w:rsidRPr="002462E6" w:rsidTr="00420134">
        <w:trPr>
          <w:trHeight w:val="281"/>
        </w:trPr>
        <w:tc>
          <w:tcPr>
            <w:tcW w:w="637" w:type="dxa"/>
            <w:vMerge/>
            <w:vAlign w:val="center"/>
            <w:hideMark/>
          </w:tcPr>
          <w:p w:rsidR="007E399B" w:rsidRPr="002462E6" w:rsidRDefault="007E399B" w:rsidP="00420134">
            <w:pPr>
              <w:spacing w:after="0"/>
              <w:rPr>
                <w:rFonts w:ascii="Arial" w:hAnsi="Arial" w:cs="Arial"/>
                <w:b/>
                <w:bCs/>
                <w:color w:val="000000"/>
                <w:sz w:val="16"/>
                <w:szCs w:val="16"/>
                <w:lang w:eastAsia="fr-FR"/>
              </w:rPr>
            </w:pPr>
          </w:p>
        </w:tc>
        <w:tc>
          <w:tcPr>
            <w:tcW w:w="1343" w:type="dxa"/>
            <w:vMerge/>
            <w:vAlign w:val="center"/>
            <w:hideMark/>
          </w:tcPr>
          <w:p w:rsidR="007E399B" w:rsidRPr="002462E6" w:rsidRDefault="007E399B" w:rsidP="00420134">
            <w:pPr>
              <w:spacing w:after="0"/>
              <w:rPr>
                <w:rFonts w:ascii="Arial" w:hAnsi="Arial" w:cs="Arial"/>
                <w:color w:val="000000"/>
                <w:sz w:val="16"/>
                <w:szCs w:val="16"/>
                <w:lang w:eastAsia="fr-FR"/>
              </w:rPr>
            </w:pPr>
          </w:p>
        </w:tc>
        <w:tc>
          <w:tcPr>
            <w:tcW w:w="1276" w:type="dxa"/>
            <w:shd w:val="clear" w:color="auto" w:fill="auto"/>
            <w:noWrap/>
            <w:vAlign w:val="center"/>
            <w:hideMark/>
          </w:tcPr>
          <w:p w:rsidR="007E399B" w:rsidRPr="002462E6" w:rsidRDefault="007E399B" w:rsidP="00420134">
            <w:pPr>
              <w:spacing w:after="0"/>
              <w:rPr>
                <w:rFonts w:ascii="Arial" w:hAnsi="Arial" w:cs="Arial"/>
                <w:color w:val="000000"/>
                <w:sz w:val="16"/>
                <w:szCs w:val="16"/>
                <w:lang w:eastAsia="fr-FR"/>
              </w:rPr>
            </w:pPr>
            <w:r w:rsidRPr="002462E6">
              <w:rPr>
                <w:rFonts w:ascii="Arial" w:hAnsi="Arial" w:cs="Arial"/>
                <w:color w:val="000000"/>
                <w:sz w:val="16"/>
                <w:szCs w:val="16"/>
                <w:lang w:eastAsia="fr-FR"/>
              </w:rPr>
              <w:t>Dioucha</w:t>
            </w:r>
          </w:p>
        </w:tc>
        <w:tc>
          <w:tcPr>
            <w:tcW w:w="499" w:type="dxa"/>
            <w:shd w:val="clear" w:color="000000" w:fill="FFC000"/>
            <w:noWrap/>
            <w:vAlign w:val="center"/>
            <w:hideMark/>
          </w:tcPr>
          <w:p w:rsidR="007E399B" w:rsidRPr="002462E6" w:rsidRDefault="007E399B" w:rsidP="00420134">
            <w:pPr>
              <w:spacing w:after="0"/>
              <w:rPr>
                <w:rFonts w:ascii="Arial" w:hAnsi="Arial" w:cs="Arial"/>
                <w:color w:val="000000"/>
                <w:sz w:val="18"/>
                <w:szCs w:val="18"/>
                <w:lang w:eastAsia="fr-FR"/>
              </w:rPr>
            </w:pPr>
            <w:r w:rsidRPr="002462E6">
              <w:rPr>
                <w:rFonts w:ascii="Arial" w:hAnsi="Arial" w:cs="Arial"/>
                <w:color w:val="000000"/>
                <w:sz w:val="18"/>
                <w:szCs w:val="18"/>
                <w:lang w:eastAsia="fr-FR"/>
              </w:rPr>
              <w:t>60%</w:t>
            </w:r>
          </w:p>
        </w:tc>
        <w:tc>
          <w:tcPr>
            <w:tcW w:w="1200" w:type="dxa"/>
            <w:shd w:val="clear" w:color="000000" w:fill="D34B07"/>
            <w:noWrap/>
            <w:vAlign w:val="center"/>
            <w:hideMark/>
          </w:tcPr>
          <w:p w:rsidR="007E399B" w:rsidRPr="002462E6" w:rsidRDefault="007E399B" w:rsidP="00420134">
            <w:pPr>
              <w:spacing w:after="0"/>
              <w:rPr>
                <w:rFonts w:ascii="Arial" w:hAnsi="Arial" w:cs="Arial"/>
                <w:color w:val="000000"/>
                <w:sz w:val="18"/>
                <w:szCs w:val="18"/>
                <w:lang w:eastAsia="fr-FR"/>
              </w:rPr>
            </w:pPr>
            <w:r w:rsidRPr="002462E6">
              <w:rPr>
                <w:rFonts w:ascii="Arial" w:hAnsi="Arial" w:cs="Arial"/>
                <w:color w:val="000000"/>
                <w:sz w:val="18"/>
                <w:szCs w:val="18"/>
                <w:lang w:eastAsia="fr-FR"/>
              </w:rPr>
              <w:t>100%</w:t>
            </w:r>
          </w:p>
        </w:tc>
        <w:tc>
          <w:tcPr>
            <w:tcW w:w="1379" w:type="dxa"/>
            <w:shd w:val="clear" w:color="000000" w:fill="F4F46C"/>
            <w:noWrap/>
            <w:vAlign w:val="center"/>
            <w:hideMark/>
          </w:tcPr>
          <w:p w:rsidR="007E399B" w:rsidRPr="002462E6" w:rsidRDefault="007E399B" w:rsidP="00420134">
            <w:pPr>
              <w:spacing w:after="0"/>
              <w:rPr>
                <w:rFonts w:ascii="Arial" w:hAnsi="Arial" w:cs="Arial"/>
                <w:color w:val="000000"/>
                <w:sz w:val="18"/>
                <w:szCs w:val="18"/>
                <w:lang w:eastAsia="fr-FR"/>
              </w:rPr>
            </w:pPr>
            <w:r w:rsidRPr="002462E6">
              <w:rPr>
                <w:rFonts w:ascii="Arial" w:hAnsi="Arial" w:cs="Arial"/>
                <w:color w:val="000000"/>
                <w:sz w:val="18"/>
                <w:szCs w:val="18"/>
                <w:lang w:eastAsia="fr-FR"/>
              </w:rPr>
              <w:t>40%</w:t>
            </w:r>
          </w:p>
        </w:tc>
        <w:tc>
          <w:tcPr>
            <w:tcW w:w="1458" w:type="dxa"/>
            <w:shd w:val="clear" w:color="000000" w:fill="F4F46C"/>
            <w:noWrap/>
            <w:vAlign w:val="center"/>
            <w:hideMark/>
          </w:tcPr>
          <w:p w:rsidR="007E399B" w:rsidRPr="002462E6" w:rsidRDefault="007E399B" w:rsidP="00420134">
            <w:pPr>
              <w:spacing w:after="0"/>
              <w:rPr>
                <w:rFonts w:ascii="Arial" w:hAnsi="Arial" w:cs="Arial"/>
                <w:color w:val="000000"/>
                <w:sz w:val="18"/>
                <w:szCs w:val="18"/>
                <w:lang w:eastAsia="fr-FR"/>
              </w:rPr>
            </w:pPr>
            <w:r w:rsidRPr="002462E6">
              <w:rPr>
                <w:rFonts w:ascii="Arial" w:hAnsi="Arial" w:cs="Arial"/>
                <w:color w:val="000000"/>
                <w:sz w:val="18"/>
                <w:szCs w:val="18"/>
                <w:lang w:eastAsia="fr-FR"/>
              </w:rPr>
              <w:t>40%</w:t>
            </w:r>
          </w:p>
        </w:tc>
        <w:tc>
          <w:tcPr>
            <w:tcW w:w="606" w:type="dxa"/>
            <w:shd w:val="clear" w:color="000000" w:fill="F4F46C"/>
            <w:noWrap/>
            <w:vAlign w:val="center"/>
            <w:hideMark/>
          </w:tcPr>
          <w:p w:rsidR="007E399B" w:rsidRPr="002462E6" w:rsidRDefault="007E399B" w:rsidP="00420134">
            <w:pPr>
              <w:spacing w:after="0"/>
              <w:rPr>
                <w:rFonts w:ascii="Arial" w:hAnsi="Arial" w:cs="Arial"/>
                <w:color w:val="000000"/>
                <w:sz w:val="18"/>
                <w:szCs w:val="18"/>
                <w:lang w:eastAsia="fr-FR"/>
              </w:rPr>
            </w:pPr>
            <w:r w:rsidRPr="002462E6">
              <w:rPr>
                <w:rFonts w:ascii="Arial" w:hAnsi="Arial" w:cs="Arial"/>
                <w:color w:val="000000"/>
                <w:sz w:val="18"/>
                <w:szCs w:val="18"/>
                <w:lang w:eastAsia="fr-FR"/>
              </w:rPr>
              <w:t>0%</w:t>
            </w:r>
          </w:p>
        </w:tc>
        <w:tc>
          <w:tcPr>
            <w:tcW w:w="564" w:type="dxa"/>
            <w:shd w:val="clear" w:color="000000" w:fill="F4F46C"/>
            <w:noWrap/>
            <w:vAlign w:val="center"/>
            <w:hideMark/>
          </w:tcPr>
          <w:p w:rsidR="007E399B" w:rsidRPr="002462E6" w:rsidRDefault="007E399B" w:rsidP="00420134">
            <w:pPr>
              <w:spacing w:after="0"/>
              <w:rPr>
                <w:rFonts w:ascii="Arial" w:hAnsi="Arial" w:cs="Arial"/>
                <w:color w:val="000000"/>
                <w:sz w:val="18"/>
                <w:szCs w:val="18"/>
                <w:lang w:eastAsia="fr-FR"/>
              </w:rPr>
            </w:pPr>
            <w:r w:rsidRPr="002462E6">
              <w:rPr>
                <w:rFonts w:ascii="Arial" w:hAnsi="Arial" w:cs="Arial"/>
                <w:color w:val="000000"/>
                <w:sz w:val="18"/>
                <w:szCs w:val="18"/>
                <w:lang w:eastAsia="fr-FR"/>
              </w:rPr>
              <w:t>0%</w:t>
            </w:r>
          </w:p>
        </w:tc>
        <w:tc>
          <w:tcPr>
            <w:tcW w:w="713" w:type="dxa"/>
            <w:shd w:val="clear" w:color="000000" w:fill="F4F46C"/>
            <w:noWrap/>
            <w:vAlign w:val="center"/>
            <w:hideMark/>
          </w:tcPr>
          <w:p w:rsidR="007E399B" w:rsidRPr="002462E6" w:rsidRDefault="007E399B" w:rsidP="00420134">
            <w:pPr>
              <w:spacing w:after="0"/>
              <w:rPr>
                <w:rFonts w:ascii="Arial" w:hAnsi="Arial" w:cs="Arial"/>
                <w:color w:val="000000"/>
                <w:sz w:val="18"/>
                <w:szCs w:val="18"/>
                <w:lang w:eastAsia="fr-FR"/>
              </w:rPr>
            </w:pPr>
            <w:r w:rsidRPr="002462E6">
              <w:rPr>
                <w:rFonts w:ascii="Arial" w:hAnsi="Arial" w:cs="Arial"/>
                <w:color w:val="000000"/>
                <w:sz w:val="18"/>
                <w:szCs w:val="18"/>
                <w:lang w:eastAsia="fr-FR"/>
              </w:rPr>
              <w:t>40%</w:t>
            </w:r>
          </w:p>
        </w:tc>
      </w:tr>
      <w:tr w:rsidR="007E399B" w:rsidRPr="002462E6" w:rsidTr="00420134">
        <w:trPr>
          <w:trHeight w:val="281"/>
        </w:trPr>
        <w:tc>
          <w:tcPr>
            <w:tcW w:w="637" w:type="dxa"/>
            <w:vMerge/>
            <w:vAlign w:val="center"/>
            <w:hideMark/>
          </w:tcPr>
          <w:p w:rsidR="007E399B" w:rsidRPr="002462E6" w:rsidRDefault="007E399B" w:rsidP="00420134">
            <w:pPr>
              <w:spacing w:after="0"/>
              <w:rPr>
                <w:rFonts w:ascii="Arial" w:hAnsi="Arial" w:cs="Arial"/>
                <w:b/>
                <w:bCs/>
                <w:color w:val="000000"/>
                <w:sz w:val="16"/>
                <w:szCs w:val="16"/>
                <w:lang w:eastAsia="fr-FR"/>
              </w:rPr>
            </w:pPr>
          </w:p>
        </w:tc>
        <w:tc>
          <w:tcPr>
            <w:tcW w:w="1343" w:type="dxa"/>
            <w:vMerge/>
            <w:vAlign w:val="center"/>
            <w:hideMark/>
          </w:tcPr>
          <w:p w:rsidR="007E399B" w:rsidRPr="002462E6" w:rsidRDefault="007E399B" w:rsidP="00420134">
            <w:pPr>
              <w:spacing w:after="0"/>
              <w:rPr>
                <w:rFonts w:ascii="Arial" w:hAnsi="Arial" w:cs="Arial"/>
                <w:color w:val="000000"/>
                <w:sz w:val="16"/>
                <w:szCs w:val="16"/>
                <w:lang w:eastAsia="fr-FR"/>
              </w:rPr>
            </w:pPr>
          </w:p>
        </w:tc>
        <w:tc>
          <w:tcPr>
            <w:tcW w:w="1276" w:type="dxa"/>
            <w:shd w:val="clear" w:color="auto" w:fill="auto"/>
            <w:noWrap/>
            <w:vAlign w:val="center"/>
            <w:hideMark/>
          </w:tcPr>
          <w:p w:rsidR="007E399B" w:rsidRPr="002462E6" w:rsidRDefault="007E399B" w:rsidP="00420134">
            <w:pPr>
              <w:spacing w:after="0"/>
              <w:rPr>
                <w:rFonts w:ascii="Arial" w:hAnsi="Arial" w:cs="Arial"/>
                <w:color w:val="000000"/>
                <w:sz w:val="16"/>
                <w:szCs w:val="16"/>
                <w:lang w:eastAsia="fr-FR"/>
              </w:rPr>
            </w:pPr>
            <w:r w:rsidRPr="002462E6">
              <w:rPr>
                <w:rFonts w:ascii="Arial" w:hAnsi="Arial" w:cs="Arial"/>
                <w:color w:val="000000"/>
                <w:sz w:val="16"/>
                <w:szCs w:val="16"/>
                <w:lang w:eastAsia="fr-FR"/>
              </w:rPr>
              <w:t>Ibouaazaouyine</w:t>
            </w:r>
          </w:p>
        </w:tc>
        <w:tc>
          <w:tcPr>
            <w:tcW w:w="499" w:type="dxa"/>
            <w:shd w:val="clear" w:color="000000" w:fill="F4F46C"/>
            <w:noWrap/>
            <w:vAlign w:val="center"/>
            <w:hideMark/>
          </w:tcPr>
          <w:p w:rsidR="007E399B" w:rsidRPr="002462E6" w:rsidRDefault="007E399B" w:rsidP="00420134">
            <w:pPr>
              <w:spacing w:after="0"/>
              <w:rPr>
                <w:rFonts w:ascii="Arial" w:hAnsi="Arial" w:cs="Arial"/>
                <w:color w:val="000000"/>
                <w:sz w:val="18"/>
                <w:szCs w:val="18"/>
                <w:lang w:eastAsia="fr-FR"/>
              </w:rPr>
            </w:pPr>
            <w:r w:rsidRPr="002462E6">
              <w:rPr>
                <w:rFonts w:ascii="Arial" w:hAnsi="Arial" w:cs="Arial"/>
                <w:color w:val="000000"/>
                <w:sz w:val="18"/>
                <w:szCs w:val="18"/>
                <w:lang w:eastAsia="fr-FR"/>
              </w:rPr>
              <w:t>40%</w:t>
            </w:r>
          </w:p>
        </w:tc>
        <w:tc>
          <w:tcPr>
            <w:tcW w:w="1200" w:type="dxa"/>
            <w:shd w:val="clear" w:color="000000" w:fill="D34B07"/>
            <w:noWrap/>
            <w:vAlign w:val="center"/>
            <w:hideMark/>
          </w:tcPr>
          <w:p w:rsidR="007E399B" w:rsidRPr="002462E6" w:rsidRDefault="007E399B" w:rsidP="00420134">
            <w:pPr>
              <w:spacing w:after="0"/>
              <w:rPr>
                <w:rFonts w:ascii="Arial" w:hAnsi="Arial" w:cs="Arial"/>
                <w:color w:val="000000"/>
                <w:sz w:val="18"/>
                <w:szCs w:val="18"/>
                <w:lang w:eastAsia="fr-FR"/>
              </w:rPr>
            </w:pPr>
            <w:r w:rsidRPr="002462E6">
              <w:rPr>
                <w:rFonts w:ascii="Arial" w:hAnsi="Arial" w:cs="Arial"/>
                <w:color w:val="000000"/>
                <w:sz w:val="18"/>
                <w:szCs w:val="18"/>
                <w:lang w:eastAsia="fr-FR"/>
              </w:rPr>
              <w:t>100%</w:t>
            </w:r>
          </w:p>
        </w:tc>
        <w:tc>
          <w:tcPr>
            <w:tcW w:w="1379" w:type="dxa"/>
            <w:shd w:val="clear" w:color="000000" w:fill="F4F46C"/>
            <w:noWrap/>
            <w:vAlign w:val="center"/>
            <w:hideMark/>
          </w:tcPr>
          <w:p w:rsidR="007E399B" w:rsidRPr="002462E6" w:rsidRDefault="007E399B" w:rsidP="00420134">
            <w:pPr>
              <w:spacing w:after="0"/>
              <w:rPr>
                <w:rFonts w:ascii="Arial" w:hAnsi="Arial" w:cs="Arial"/>
                <w:color w:val="000000"/>
                <w:sz w:val="18"/>
                <w:szCs w:val="18"/>
                <w:lang w:eastAsia="fr-FR"/>
              </w:rPr>
            </w:pPr>
            <w:r w:rsidRPr="002462E6">
              <w:rPr>
                <w:rFonts w:ascii="Arial" w:hAnsi="Arial" w:cs="Arial"/>
                <w:color w:val="000000"/>
                <w:sz w:val="18"/>
                <w:szCs w:val="18"/>
                <w:lang w:eastAsia="fr-FR"/>
              </w:rPr>
              <w:t>40%</w:t>
            </w:r>
          </w:p>
        </w:tc>
        <w:tc>
          <w:tcPr>
            <w:tcW w:w="1458" w:type="dxa"/>
            <w:shd w:val="clear" w:color="000000" w:fill="FFC000"/>
            <w:noWrap/>
            <w:vAlign w:val="center"/>
            <w:hideMark/>
          </w:tcPr>
          <w:p w:rsidR="007E399B" w:rsidRPr="002462E6" w:rsidRDefault="007E399B" w:rsidP="00420134">
            <w:pPr>
              <w:spacing w:after="0"/>
              <w:rPr>
                <w:rFonts w:ascii="Arial" w:hAnsi="Arial" w:cs="Arial"/>
                <w:color w:val="000000"/>
                <w:sz w:val="18"/>
                <w:szCs w:val="18"/>
                <w:lang w:eastAsia="fr-FR"/>
              </w:rPr>
            </w:pPr>
            <w:r w:rsidRPr="002462E6">
              <w:rPr>
                <w:rFonts w:ascii="Arial" w:hAnsi="Arial" w:cs="Arial"/>
                <w:color w:val="000000"/>
                <w:sz w:val="18"/>
                <w:szCs w:val="18"/>
                <w:lang w:eastAsia="fr-FR"/>
              </w:rPr>
              <w:t>60%</w:t>
            </w:r>
          </w:p>
        </w:tc>
        <w:tc>
          <w:tcPr>
            <w:tcW w:w="606" w:type="dxa"/>
            <w:shd w:val="clear" w:color="000000" w:fill="F4F46C"/>
            <w:noWrap/>
            <w:vAlign w:val="center"/>
            <w:hideMark/>
          </w:tcPr>
          <w:p w:rsidR="007E399B" w:rsidRPr="002462E6" w:rsidRDefault="007E399B" w:rsidP="00420134">
            <w:pPr>
              <w:spacing w:after="0"/>
              <w:rPr>
                <w:rFonts w:ascii="Arial" w:hAnsi="Arial" w:cs="Arial"/>
                <w:color w:val="000000"/>
                <w:sz w:val="18"/>
                <w:szCs w:val="18"/>
                <w:lang w:eastAsia="fr-FR"/>
              </w:rPr>
            </w:pPr>
            <w:r w:rsidRPr="002462E6">
              <w:rPr>
                <w:rFonts w:ascii="Arial" w:hAnsi="Arial" w:cs="Arial"/>
                <w:color w:val="000000"/>
                <w:sz w:val="18"/>
                <w:szCs w:val="18"/>
                <w:lang w:eastAsia="fr-FR"/>
              </w:rPr>
              <w:t>0%</w:t>
            </w:r>
          </w:p>
        </w:tc>
        <w:tc>
          <w:tcPr>
            <w:tcW w:w="564" w:type="dxa"/>
            <w:shd w:val="clear" w:color="000000" w:fill="F4F46C"/>
            <w:noWrap/>
            <w:vAlign w:val="center"/>
            <w:hideMark/>
          </w:tcPr>
          <w:p w:rsidR="007E399B" w:rsidRPr="002462E6" w:rsidRDefault="007E399B" w:rsidP="00420134">
            <w:pPr>
              <w:spacing w:after="0"/>
              <w:rPr>
                <w:rFonts w:ascii="Arial" w:hAnsi="Arial" w:cs="Arial"/>
                <w:color w:val="000000"/>
                <w:sz w:val="18"/>
                <w:szCs w:val="18"/>
                <w:lang w:eastAsia="fr-FR"/>
              </w:rPr>
            </w:pPr>
            <w:r w:rsidRPr="002462E6">
              <w:rPr>
                <w:rFonts w:ascii="Arial" w:hAnsi="Arial" w:cs="Arial"/>
                <w:color w:val="000000"/>
                <w:sz w:val="18"/>
                <w:szCs w:val="18"/>
                <w:lang w:eastAsia="fr-FR"/>
              </w:rPr>
              <w:t>20%</w:t>
            </w:r>
          </w:p>
        </w:tc>
        <w:tc>
          <w:tcPr>
            <w:tcW w:w="713" w:type="dxa"/>
            <w:shd w:val="clear" w:color="000000" w:fill="F4F46C"/>
            <w:noWrap/>
            <w:vAlign w:val="center"/>
            <w:hideMark/>
          </w:tcPr>
          <w:p w:rsidR="007E399B" w:rsidRPr="002462E6" w:rsidRDefault="007E399B" w:rsidP="00420134">
            <w:pPr>
              <w:spacing w:after="0"/>
              <w:rPr>
                <w:rFonts w:ascii="Arial" w:hAnsi="Arial" w:cs="Arial"/>
                <w:color w:val="000000"/>
                <w:sz w:val="18"/>
                <w:szCs w:val="18"/>
                <w:lang w:eastAsia="fr-FR"/>
              </w:rPr>
            </w:pPr>
            <w:r w:rsidRPr="002462E6">
              <w:rPr>
                <w:rFonts w:ascii="Arial" w:hAnsi="Arial" w:cs="Arial"/>
                <w:color w:val="000000"/>
                <w:sz w:val="18"/>
                <w:szCs w:val="18"/>
                <w:lang w:eastAsia="fr-FR"/>
              </w:rPr>
              <w:t>43%</w:t>
            </w:r>
          </w:p>
        </w:tc>
      </w:tr>
      <w:tr w:rsidR="007E399B" w:rsidRPr="002462E6" w:rsidTr="00420134">
        <w:trPr>
          <w:trHeight w:val="281"/>
        </w:trPr>
        <w:tc>
          <w:tcPr>
            <w:tcW w:w="637" w:type="dxa"/>
            <w:vMerge/>
            <w:vAlign w:val="center"/>
            <w:hideMark/>
          </w:tcPr>
          <w:p w:rsidR="007E399B" w:rsidRPr="002462E6" w:rsidRDefault="007E399B" w:rsidP="00420134">
            <w:pPr>
              <w:spacing w:after="0"/>
              <w:rPr>
                <w:rFonts w:ascii="Arial" w:hAnsi="Arial" w:cs="Arial"/>
                <w:b/>
                <w:bCs/>
                <w:color w:val="000000"/>
                <w:sz w:val="16"/>
                <w:szCs w:val="16"/>
                <w:lang w:eastAsia="fr-FR"/>
              </w:rPr>
            </w:pPr>
          </w:p>
        </w:tc>
        <w:tc>
          <w:tcPr>
            <w:tcW w:w="1343" w:type="dxa"/>
            <w:vMerge/>
            <w:vAlign w:val="center"/>
            <w:hideMark/>
          </w:tcPr>
          <w:p w:rsidR="007E399B" w:rsidRPr="002462E6" w:rsidRDefault="007E399B" w:rsidP="00420134">
            <w:pPr>
              <w:spacing w:after="0"/>
              <w:rPr>
                <w:rFonts w:ascii="Arial" w:hAnsi="Arial" w:cs="Arial"/>
                <w:color w:val="000000"/>
                <w:sz w:val="16"/>
                <w:szCs w:val="16"/>
                <w:lang w:eastAsia="fr-FR"/>
              </w:rPr>
            </w:pPr>
          </w:p>
        </w:tc>
        <w:tc>
          <w:tcPr>
            <w:tcW w:w="1276" w:type="dxa"/>
            <w:shd w:val="clear" w:color="auto" w:fill="auto"/>
            <w:noWrap/>
            <w:vAlign w:val="center"/>
            <w:hideMark/>
          </w:tcPr>
          <w:p w:rsidR="007E399B" w:rsidRPr="002462E6" w:rsidRDefault="007E399B" w:rsidP="00420134">
            <w:pPr>
              <w:spacing w:after="0"/>
              <w:rPr>
                <w:rFonts w:ascii="Arial" w:hAnsi="Arial" w:cs="Arial"/>
                <w:color w:val="000000"/>
                <w:sz w:val="16"/>
                <w:szCs w:val="16"/>
                <w:lang w:eastAsia="fr-FR"/>
              </w:rPr>
            </w:pPr>
            <w:r w:rsidRPr="002462E6">
              <w:rPr>
                <w:rFonts w:ascii="Arial" w:hAnsi="Arial" w:cs="Arial"/>
                <w:color w:val="000000"/>
                <w:sz w:val="16"/>
                <w:szCs w:val="16"/>
                <w:lang w:eastAsia="fr-FR"/>
              </w:rPr>
              <w:t>Oulad Ghait</w:t>
            </w:r>
          </w:p>
        </w:tc>
        <w:tc>
          <w:tcPr>
            <w:tcW w:w="499" w:type="dxa"/>
            <w:shd w:val="clear" w:color="000000" w:fill="F4F46C"/>
            <w:noWrap/>
            <w:vAlign w:val="center"/>
            <w:hideMark/>
          </w:tcPr>
          <w:p w:rsidR="007E399B" w:rsidRPr="002462E6" w:rsidRDefault="007E399B" w:rsidP="00420134">
            <w:pPr>
              <w:spacing w:after="0"/>
              <w:rPr>
                <w:rFonts w:ascii="Arial" w:hAnsi="Arial" w:cs="Arial"/>
                <w:color w:val="000000"/>
                <w:sz w:val="18"/>
                <w:szCs w:val="18"/>
                <w:lang w:eastAsia="fr-FR"/>
              </w:rPr>
            </w:pPr>
            <w:r w:rsidRPr="002462E6">
              <w:rPr>
                <w:rFonts w:ascii="Arial" w:hAnsi="Arial" w:cs="Arial"/>
                <w:color w:val="000000"/>
                <w:sz w:val="18"/>
                <w:szCs w:val="18"/>
                <w:lang w:eastAsia="fr-FR"/>
              </w:rPr>
              <w:t>40%</w:t>
            </w:r>
          </w:p>
        </w:tc>
        <w:tc>
          <w:tcPr>
            <w:tcW w:w="1200" w:type="dxa"/>
            <w:shd w:val="clear" w:color="000000" w:fill="D34B07"/>
            <w:noWrap/>
            <w:vAlign w:val="center"/>
            <w:hideMark/>
          </w:tcPr>
          <w:p w:rsidR="007E399B" w:rsidRPr="002462E6" w:rsidRDefault="007E399B" w:rsidP="00420134">
            <w:pPr>
              <w:spacing w:after="0"/>
              <w:rPr>
                <w:rFonts w:ascii="Arial" w:hAnsi="Arial" w:cs="Arial"/>
                <w:color w:val="000000"/>
                <w:sz w:val="18"/>
                <w:szCs w:val="18"/>
                <w:lang w:eastAsia="fr-FR"/>
              </w:rPr>
            </w:pPr>
            <w:r w:rsidRPr="002462E6">
              <w:rPr>
                <w:rFonts w:ascii="Arial" w:hAnsi="Arial" w:cs="Arial"/>
                <w:color w:val="000000"/>
                <w:sz w:val="18"/>
                <w:szCs w:val="18"/>
                <w:lang w:eastAsia="fr-FR"/>
              </w:rPr>
              <w:t>100%</w:t>
            </w:r>
          </w:p>
        </w:tc>
        <w:tc>
          <w:tcPr>
            <w:tcW w:w="1379" w:type="dxa"/>
            <w:shd w:val="clear" w:color="000000" w:fill="F4F46C"/>
            <w:noWrap/>
            <w:vAlign w:val="center"/>
            <w:hideMark/>
          </w:tcPr>
          <w:p w:rsidR="007E399B" w:rsidRPr="002462E6" w:rsidRDefault="007E399B" w:rsidP="00420134">
            <w:pPr>
              <w:spacing w:after="0"/>
              <w:rPr>
                <w:rFonts w:ascii="Arial" w:hAnsi="Arial" w:cs="Arial"/>
                <w:color w:val="000000"/>
                <w:sz w:val="18"/>
                <w:szCs w:val="18"/>
                <w:lang w:eastAsia="fr-FR"/>
              </w:rPr>
            </w:pPr>
            <w:r w:rsidRPr="002462E6">
              <w:rPr>
                <w:rFonts w:ascii="Arial" w:hAnsi="Arial" w:cs="Arial"/>
                <w:color w:val="000000"/>
                <w:sz w:val="18"/>
                <w:szCs w:val="18"/>
                <w:lang w:eastAsia="fr-FR"/>
              </w:rPr>
              <w:t>20%</w:t>
            </w:r>
          </w:p>
        </w:tc>
        <w:tc>
          <w:tcPr>
            <w:tcW w:w="1458" w:type="dxa"/>
            <w:shd w:val="clear" w:color="000000" w:fill="F4F46C"/>
            <w:noWrap/>
            <w:vAlign w:val="center"/>
            <w:hideMark/>
          </w:tcPr>
          <w:p w:rsidR="007E399B" w:rsidRPr="002462E6" w:rsidRDefault="007E399B" w:rsidP="00420134">
            <w:pPr>
              <w:spacing w:after="0"/>
              <w:rPr>
                <w:rFonts w:ascii="Arial" w:hAnsi="Arial" w:cs="Arial"/>
                <w:color w:val="000000"/>
                <w:sz w:val="18"/>
                <w:szCs w:val="18"/>
                <w:lang w:eastAsia="fr-FR"/>
              </w:rPr>
            </w:pPr>
            <w:r w:rsidRPr="002462E6">
              <w:rPr>
                <w:rFonts w:ascii="Arial" w:hAnsi="Arial" w:cs="Arial"/>
                <w:color w:val="000000"/>
                <w:sz w:val="18"/>
                <w:szCs w:val="18"/>
                <w:lang w:eastAsia="fr-FR"/>
              </w:rPr>
              <w:t>20%</w:t>
            </w:r>
          </w:p>
        </w:tc>
        <w:tc>
          <w:tcPr>
            <w:tcW w:w="606" w:type="dxa"/>
            <w:shd w:val="clear" w:color="000000" w:fill="F4F46C"/>
            <w:noWrap/>
            <w:vAlign w:val="center"/>
            <w:hideMark/>
          </w:tcPr>
          <w:p w:rsidR="007E399B" w:rsidRPr="002462E6" w:rsidRDefault="007E399B" w:rsidP="00420134">
            <w:pPr>
              <w:spacing w:after="0"/>
              <w:rPr>
                <w:rFonts w:ascii="Arial" w:hAnsi="Arial" w:cs="Arial"/>
                <w:color w:val="000000"/>
                <w:sz w:val="18"/>
                <w:szCs w:val="18"/>
                <w:lang w:eastAsia="fr-FR"/>
              </w:rPr>
            </w:pPr>
            <w:r w:rsidRPr="002462E6">
              <w:rPr>
                <w:rFonts w:ascii="Arial" w:hAnsi="Arial" w:cs="Arial"/>
                <w:color w:val="000000"/>
                <w:sz w:val="18"/>
                <w:szCs w:val="18"/>
                <w:lang w:eastAsia="fr-FR"/>
              </w:rPr>
              <w:t>0%</w:t>
            </w:r>
          </w:p>
        </w:tc>
        <w:tc>
          <w:tcPr>
            <w:tcW w:w="564" w:type="dxa"/>
            <w:shd w:val="clear" w:color="000000" w:fill="F4F46C"/>
            <w:noWrap/>
            <w:vAlign w:val="center"/>
            <w:hideMark/>
          </w:tcPr>
          <w:p w:rsidR="007E399B" w:rsidRPr="002462E6" w:rsidRDefault="007E399B" w:rsidP="00420134">
            <w:pPr>
              <w:spacing w:after="0"/>
              <w:rPr>
                <w:rFonts w:ascii="Arial" w:hAnsi="Arial" w:cs="Arial"/>
                <w:color w:val="000000"/>
                <w:sz w:val="18"/>
                <w:szCs w:val="18"/>
                <w:lang w:eastAsia="fr-FR"/>
              </w:rPr>
            </w:pPr>
            <w:r w:rsidRPr="002462E6">
              <w:rPr>
                <w:rFonts w:ascii="Arial" w:hAnsi="Arial" w:cs="Arial"/>
                <w:color w:val="000000"/>
                <w:sz w:val="18"/>
                <w:szCs w:val="18"/>
                <w:lang w:eastAsia="fr-FR"/>
              </w:rPr>
              <w:t>0%</w:t>
            </w:r>
          </w:p>
        </w:tc>
        <w:tc>
          <w:tcPr>
            <w:tcW w:w="713" w:type="dxa"/>
            <w:shd w:val="clear" w:color="000000" w:fill="F4F46C"/>
            <w:noWrap/>
            <w:vAlign w:val="center"/>
            <w:hideMark/>
          </w:tcPr>
          <w:p w:rsidR="007E399B" w:rsidRPr="002462E6" w:rsidRDefault="007E399B" w:rsidP="00420134">
            <w:pPr>
              <w:spacing w:after="0"/>
              <w:rPr>
                <w:rFonts w:ascii="Arial" w:hAnsi="Arial" w:cs="Arial"/>
                <w:color w:val="000000"/>
                <w:sz w:val="18"/>
                <w:szCs w:val="18"/>
                <w:lang w:eastAsia="fr-FR"/>
              </w:rPr>
            </w:pPr>
            <w:r w:rsidRPr="002462E6">
              <w:rPr>
                <w:rFonts w:ascii="Arial" w:hAnsi="Arial" w:cs="Arial"/>
                <w:color w:val="000000"/>
                <w:sz w:val="18"/>
                <w:szCs w:val="18"/>
                <w:lang w:eastAsia="fr-FR"/>
              </w:rPr>
              <w:t>30%</w:t>
            </w:r>
          </w:p>
        </w:tc>
      </w:tr>
      <w:tr w:rsidR="007E399B" w:rsidRPr="002462E6" w:rsidTr="00420134">
        <w:trPr>
          <w:trHeight w:val="281"/>
        </w:trPr>
        <w:tc>
          <w:tcPr>
            <w:tcW w:w="637" w:type="dxa"/>
            <w:vMerge/>
            <w:vAlign w:val="center"/>
            <w:hideMark/>
          </w:tcPr>
          <w:p w:rsidR="007E399B" w:rsidRPr="002462E6" w:rsidRDefault="007E399B" w:rsidP="00420134">
            <w:pPr>
              <w:spacing w:after="0"/>
              <w:rPr>
                <w:rFonts w:ascii="Arial" w:hAnsi="Arial" w:cs="Arial"/>
                <w:b/>
                <w:bCs/>
                <w:color w:val="000000"/>
                <w:sz w:val="16"/>
                <w:szCs w:val="16"/>
                <w:lang w:eastAsia="fr-FR"/>
              </w:rPr>
            </w:pPr>
          </w:p>
        </w:tc>
        <w:tc>
          <w:tcPr>
            <w:tcW w:w="1343" w:type="dxa"/>
            <w:vMerge/>
            <w:vAlign w:val="center"/>
            <w:hideMark/>
          </w:tcPr>
          <w:p w:rsidR="007E399B" w:rsidRPr="002462E6" w:rsidRDefault="007E399B" w:rsidP="00420134">
            <w:pPr>
              <w:spacing w:after="0"/>
              <w:rPr>
                <w:rFonts w:ascii="Arial" w:hAnsi="Arial" w:cs="Arial"/>
                <w:color w:val="000000"/>
                <w:sz w:val="16"/>
                <w:szCs w:val="16"/>
                <w:lang w:eastAsia="fr-FR"/>
              </w:rPr>
            </w:pPr>
          </w:p>
        </w:tc>
        <w:tc>
          <w:tcPr>
            <w:tcW w:w="1276" w:type="dxa"/>
            <w:shd w:val="clear" w:color="auto" w:fill="auto"/>
            <w:noWrap/>
            <w:vAlign w:val="center"/>
            <w:hideMark/>
          </w:tcPr>
          <w:p w:rsidR="007E399B" w:rsidRPr="002462E6" w:rsidRDefault="007E399B" w:rsidP="00420134">
            <w:pPr>
              <w:spacing w:after="0"/>
              <w:rPr>
                <w:rFonts w:ascii="Arial" w:hAnsi="Arial" w:cs="Arial"/>
                <w:color w:val="000000"/>
                <w:sz w:val="16"/>
                <w:szCs w:val="16"/>
                <w:lang w:eastAsia="fr-FR"/>
              </w:rPr>
            </w:pPr>
            <w:r w:rsidRPr="002462E6">
              <w:rPr>
                <w:rFonts w:ascii="Arial" w:hAnsi="Arial" w:cs="Arial"/>
                <w:color w:val="000000"/>
                <w:sz w:val="16"/>
                <w:szCs w:val="16"/>
                <w:lang w:eastAsia="fr-FR"/>
              </w:rPr>
              <w:t>Oulad Merzoug</w:t>
            </w:r>
          </w:p>
        </w:tc>
        <w:tc>
          <w:tcPr>
            <w:tcW w:w="499" w:type="dxa"/>
            <w:shd w:val="clear" w:color="000000" w:fill="F4F46C"/>
            <w:noWrap/>
            <w:vAlign w:val="center"/>
            <w:hideMark/>
          </w:tcPr>
          <w:p w:rsidR="007E399B" w:rsidRPr="002462E6" w:rsidRDefault="007E399B" w:rsidP="00420134">
            <w:pPr>
              <w:spacing w:after="0"/>
              <w:rPr>
                <w:rFonts w:ascii="Arial" w:hAnsi="Arial" w:cs="Arial"/>
                <w:color w:val="000000"/>
                <w:sz w:val="18"/>
                <w:szCs w:val="18"/>
                <w:lang w:eastAsia="fr-FR"/>
              </w:rPr>
            </w:pPr>
            <w:r w:rsidRPr="002462E6">
              <w:rPr>
                <w:rFonts w:ascii="Arial" w:hAnsi="Arial" w:cs="Arial"/>
                <w:color w:val="000000"/>
                <w:sz w:val="18"/>
                <w:szCs w:val="18"/>
                <w:lang w:eastAsia="fr-FR"/>
              </w:rPr>
              <w:t>20%</w:t>
            </w:r>
          </w:p>
        </w:tc>
        <w:tc>
          <w:tcPr>
            <w:tcW w:w="1200" w:type="dxa"/>
            <w:shd w:val="clear" w:color="000000" w:fill="D34B07"/>
            <w:noWrap/>
            <w:vAlign w:val="center"/>
            <w:hideMark/>
          </w:tcPr>
          <w:p w:rsidR="007E399B" w:rsidRPr="002462E6" w:rsidRDefault="007E399B" w:rsidP="00420134">
            <w:pPr>
              <w:spacing w:after="0"/>
              <w:rPr>
                <w:rFonts w:ascii="Arial" w:hAnsi="Arial" w:cs="Arial"/>
                <w:color w:val="000000"/>
                <w:sz w:val="18"/>
                <w:szCs w:val="18"/>
                <w:lang w:eastAsia="fr-FR"/>
              </w:rPr>
            </w:pPr>
            <w:r w:rsidRPr="002462E6">
              <w:rPr>
                <w:rFonts w:ascii="Arial" w:hAnsi="Arial" w:cs="Arial"/>
                <w:color w:val="000000"/>
                <w:sz w:val="18"/>
                <w:szCs w:val="18"/>
                <w:lang w:eastAsia="fr-FR"/>
              </w:rPr>
              <w:t>100%</w:t>
            </w:r>
          </w:p>
        </w:tc>
        <w:tc>
          <w:tcPr>
            <w:tcW w:w="1379" w:type="dxa"/>
            <w:shd w:val="clear" w:color="000000" w:fill="F4F46C"/>
            <w:noWrap/>
            <w:vAlign w:val="center"/>
            <w:hideMark/>
          </w:tcPr>
          <w:p w:rsidR="007E399B" w:rsidRPr="002462E6" w:rsidRDefault="007E399B" w:rsidP="00420134">
            <w:pPr>
              <w:spacing w:after="0"/>
              <w:rPr>
                <w:rFonts w:ascii="Arial" w:hAnsi="Arial" w:cs="Arial"/>
                <w:color w:val="000000"/>
                <w:sz w:val="18"/>
                <w:szCs w:val="18"/>
                <w:lang w:eastAsia="fr-FR"/>
              </w:rPr>
            </w:pPr>
            <w:r w:rsidRPr="002462E6">
              <w:rPr>
                <w:rFonts w:ascii="Arial" w:hAnsi="Arial" w:cs="Arial"/>
                <w:color w:val="000000"/>
                <w:sz w:val="18"/>
                <w:szCs w:val="18"/>
                <w:lang w:eastAsia="fr-FR"/>
              </w:rPr>
              <w:t>40%</w:t>
            </w:r>
          </w:p>
        </w:tc>
        <w:tc>
          <w:tcPr>
            <w:tcW w:w="1458" w:type="dxa"/>
            <w:shd w:val="clear" w:color="000000" w:fill="F4F46C"/>
            <w:noWrap/>
            <w:vAlign w:val="center"/>
            <w:hideMark/>
          </w:tcPr>
          <w:p w:rsidR="007E399B" w:rsidRPr="002462E6" w:rsidRDefault="007E399B" w:rsidP="00420134">
            <w:pPr>
              <w:spacing w:after="0"/>
              <w:rPr>
                <w:rFonts w:ascii="Arial" w:hAnsi="Arial" w:cs="Arial"/>
                <w:color w:val="000000"/>
                <w:sz w:val="18"/>
                <w:szCs w:val="18"/>
                <w:lang w:eastAsia="fr-FR"/>
              </w:rPr>
            </w:pPr>
            <w:r w:rsidRPr="002462E6">
              <w:rPr>
                <w:rFonts w:ascii="Arial" w:hAnsi="Arial" w:cs="Arial"/>
                <w:color w:val="000000"/>
                <w:sz w:val="18"/>
                <w:szCs w:val="18"/>
                <w:lang w:eastAsia="fr-FR"/>
              </w:rPr>
              <w:t>40%</w:t>
            </w:r>
          </w:p>
        </w:tc>
        <w:tc>
          <w:tcPr>
            <w:tcW w:w="606" w:type="dxa"/>
            <w:shd w:val="clear" w:color="000000" w:fill="F4F46C"/>
            <w:noWrap/>
            <w:vAlign w:val="center"/>
            <w:hideMark/>
          </w:tcPr>
          <w:p w:rsidR="007E399B" w:rsidRPr="002462E6" w:rsidRDefault="007E399B" w:rsidP="00420134">
            <w:pPr>
              <w:spacing w:after="0"/>
              <w:rPr>
                <w:rFonts w:ascii="Arial" w:hAnsi="Arial" w:cs="Arial"/>
                <w:color w:val="000000"/>
                <w:sz w:val="18"/>
                <w:szCs w:val="18"/>
                <w:lang w:eastAsia="fr-FR"/>
              </w:rPr>
            </w:pPr>
            <w:r w:rsidRPr="002462E6">
              <w:rPr>
                <w:rFonts w:ascii="Arial" w:hAnsi="Arial" w:cs="Arial"/>
                <w:color w:val="000000"/>
                <w:sz w:val="18"/>
                <w:szCs w:val="18"/>
                <w:lang w:eastAsia="fr-FR"/>
              </w:rPr>
              <w:t>40%</w:t>
            </w:r>
          </w:p>
        </w:tc>
        <w:tc>
          <w:tcPr>
            <w:tcW w:w="564" w:type="dxa"/>
            <w:shd w:val="clear" w:color="000000" w:fill="FFC000"/>
            <w:noWrap/>
            <w:vAlign w:val="center"/>
            <w:hideMark/>
          </w:tcPr>
          <w:p w:rsidR="007E399B" w:rsidRPr="002462E6" w:rsidRDefault="007E399B" w:rsidP="00420134">
            <w:pPr>
              <w:spacing w:after="0"/>
              <w:rPr>
                <w:rFonts w:ascii="Arial" w:hAnsi="Arial" w:cs="Arial"/>
                <w:color w:val="000000"/>
                <w:sz w:val="18"/>
                <w:szCs w:val="18"/>
                <w:lang w:eastAsia="fr-FR"/>
              </w:rPr>
            </w:pPr>
            <w:r w:rsidRPr="002462E6">
              <w:rPr>
                <w:rFonts w:ascii="Arial" w:hAnsi="Arial" w:cs="Arial"/>
                <w:color w:val="000000"/>
                <w:sz w:val="18"/>
                <w:szCs w:val="18"/>
                <w:lang w:eastAsia="fr-FR"/>
              </w:rPr>
              <w:t>60%</w:t>
            </w:r>
          </w:p>
        </w:tc>
        <w:tc>
          <w:tcPr>
            <w:tcW w:w="713" w:type="dxa"/>
            <w:shd w:val="clear" w:color="000000" w:fill="FFC000"/>
            <w:noWrap/>
            <w:vAlign w:val="center"/>
            <w:hideMark/>
          </w:tcPr>
          <w:p w:rsidR="007E399B" w:rsidRPr="002462E6" w:rsidRDefault="007E399B" w:rsidP="00420134">
            <w:pPr>
              <w:spacing w:after="0"/>
              <w:rPr>
                <w:rFonts w:ascii="Arial" w:hAnsi="Arial" w:cs="Arial"/>
                <w:color w:val="000000"/>
                <w:sz w:val="18"/>
                <w:szCs w:val="18"/>
                <w:lang w:eastAsia="fr-FR"/>
              </w:rPr>
            </w:pPr>
            <w:r w:rsidRPr="002462E6">
              <w:rPr>
                <w:rFonts w:ascii="Arial" w:hAnsi="Arial" w:cs="Arial"/>
                <w:color w:val="000000"/>
                <w:sz w:val="18"/>
                <w:szCs w:val="18"/>
                <w:lang w:eastAsia="fr-FR"/>
              </w:rPr>
              <w:t>50%</w:t>
            </w:r>
          </w:p>
        </w:tc>
      </w:tr>
      <w:tr w:rsidR="007E399B" w:rsidRPr="002462E6" w:rsidTr="00420134">
        <w:trPr>
          <w:trHeight w:val="281"/>
        </w:trPr>
        <w:tc>
          <w:tcPr>
            <w:tcW w:w="637" w:type="dxa"/>
            <w:vMerge/>
            <w:vAlign w:val="center"/>
            <w:hideMark/>
          </w:tcPr>
          <w:p w:rsidR="007E399B" w:rsidRPr="002462E6" w:rsidRDefault="007E399B" w:rsidP="00420134">
            <w:pPr>
              <w:spacing w:after="0"/>
              <w:rPr>
                <w:rFonts w:ascii="Arial" w:hAnsi="Arial" w:cs="Arial"/>
                <w:b/>
                <w:bCs/>
                <w:color w:val="000000"/>
                <w:sz w:val="16"/>
                <w:szCs w:val="16"/>
                <w:lang w:eastAsia="fr-FR"/>
              </w:rPr>
            </w:pPr>
          </w:p>
        </w:tc>
        <w:tc>
          <w:tcPr>
            <w:tcW w:w="1343" w:type="dxa"/>
            <w:vMerge/>
            <w:vAlign w:val="center"/>
            <w:hideMark/>
          </w:tcPr>
          <w:p w:rsidR="007E399B" w:rsidRPr="002462E6" w:rsidRDefault="007E399B" w:rsidP="00420134">
            <w:pPr>
              <w:spacing w:after="0"/>
              <w:rPr>
                <w:rFonts w:ascii="Arial" w:hAnsi="Arial" w:cs="Arial"/>
                <w:color w:val="000000"/>
                <w:sz w:val="16"/>
                <w:szCs w:val="16"/>
                <w:lang w:eastAsia="fr-FR"/>
              </w:rPr>
            </w:pPr>
          </w:p>
        </w:tc>
        <w:tc>
          <w:tcPr>
            <w:tcW w:w="1276" w:type="dxa"/>
            <w:shd w:val="clear" w:color="auto" w:fill="auto"/>
            <w:noWrap/>
            <w:vAlign w:val="center"/>
            <w:hideMark/>
          </w:tcPr>
          <w:p w:rsidR="007E399B" w:rsidRPr="002462E6" w:rsidRDefault="007E399B" w:rsidP="00420134">
            <w:pPr>
              <w:spacing w:after="0"/>
              <w:rPr>
                <w:rFonts w:ascii="Arial" w:hAnsi="Arial" w:cs="Arial"/>
                <w:color w:val="000000"/>
                <w:sz w:val="16"/>
                <w:szCs w:val="16"/>
                <w:lang w:eastAsia="fr-FR"/>
              </w:rPr>
            </w:pPr>
            <w:r w:rsidRPr="002462E6">
              <w:rPr>
                <w:rFonts w:ascii="Arial" w:hAnsi="Arial" w:cs="Arial"/>
                <w:color w:val="000000"/>
                <w:sz w:val="16"/>
                <w:szCs w:val="16"/>
                <w:lang w:eastAsia="fr-FR"/>
              </w:rPr>
              <w:t>Oulad Sidi Bouamar</w:t>
            </w:r>
          </w:p>
        </w:tc>
        <w:tc>
          <w:tcPr>
            <w:tcW w:w="499" w:type="dxa"/>
            <w:shd w:val="clear" w:color="000000" w:fill="FFC000"/>
            <w:noWrap/>
            <w:vAlign w:val="center"/>
            <w:hideMark/>
          </w:tcPr>
          <w:p w:rsidR="007E399B" w:rsidRPr="002462E6" w:rsidRDefault="007E399B" w:rsidP="00420134">
            <w:pPr>
              <w:spacing w:after="0"/>
              <w:rPr>
                <w:rFonts w:ascii="Arial" w:hAnsi="Arial" w:cs="Arial"/>
                <w:color w:val="000000"/>
                <w:sz w:val="18"/>
                <w:szCs w:val="18"/>
                <w:lang w:eastAsia="fr-FR"/>
              </w:rPr>
            </w:pPr>
            <w:r w:rsidRPr="002462E6">
              <w:rPr>
                <w:rFonts w:ascii="Arial" w:hAnsi="Arial" w:cs="Arial"/>
                <w:color w:val="000000"/>
                <w:sz w:val="18"/>
                <w:szCs w:val="18"/>
                <w:lang w:eastAsia="fr-FR"/>
              </w:rPr>
              <w:t>60%</w:t>
            </w:r>
          </w:p>
        </w:tc>
        <w:tc>
          <w:tcPr>
            <w:tcW w:w="1200" w:type="dxa"/>
            <w:shd w:val="clear" w:color="000000" w:fill="F4F46C"/>
            <w:noWrap/>
            <w:vAlign w:val="center"/>
            <w:hideMark/>
          </w:tcPr>
          <w:p w:rsidR="007E399B" w:rsidRPr="002462E6" w:rsidRDefault="007E399B" w:rsidP="00420134">
            <w:pPr>
              <w:spacing w:after="0"/>
              <w:rPr>
                <w:rFonts w:ascii="Arial" w:hAnsi="Arial" w:cs="Arial"/>
                <w:color w:val="000000"/>
                <w:sz w:val="18"/>
                <w:szCs w:val="18"/>
                <w:lang w:eastAsia="fr-FR"/>
              </w:rPr>
            </w:pPr>
            <w:r w:rsidRPr="002462E6">
              <w:rPr>
                <w:rFonts w:ascii="Arial" w:hAnsi="Arial" w:cs="Arial"/>
                <w:color w:val="000000"/>
                <w:sz w:val="18"/>
                <w:szCs w:val="18"/>
                <w:lang w:eastAsia="fr-FR"/>
              </w:rPr>
              <w:t>40%</w:t>
            </w:r>
          </w:p>
        </w:tc>
        <w:tc>
          <w:tcPr>
            <w:tcW w:w="1379" w:type="dxa"/>
            <w:shd w:val="clear" w:color="000000" w:fill="F4F46C"/>
            <w:noWrap/>
            <w:vAlign w:val="center"/>
            <w:hideMark/>
          </w:tcPr>
          <w:p w:rsidR="007E399B" w:rsidRPr="002462E6" w:rsidRDefault="007E399B" w:rsidP="00420134">
            <w:pPr>
              <w:spacing w:after="0"/>
              <w:rPr>
                <w:rFonts w:ascii="Arial" w:hAnsi="Arial" w:cs="Arial"/>
                <w:color w:val="000000"/>
                <w:sz w:val="18"/>
                <w:szCs w:val="18"/>
                <w:lang w:eastAsia="fr-FR"/>
              </w:rPr>
            </w:pPr>
            <w:r w:rsidRPr="002462E6">
              <w:rPr>
                <w:rFonts w:ascii="Arial" w:hAnsi="Arial" w:cs="Arial"/>
                <w:color w:val="000000"/>
                <w:sz w:val="18"/>
                <w:szCs w:val="18"/>
                <w:lang w:eastAsia="fr-FR"/>
              </w:rPr>
              <w:t>60%</w:t>
            </w:r>
          </w:p>
        </w:tc>
        <w:tc>
          <w:tcPr>
            <w:tcW w:w="1458" w:type="dxa"/>
            <w:shd w:val="clear" w:color="000000" w:fill="F4F46C"/>
            <w:noWrap/>
            <w:vAlign w:val="center"/>
            <w:hideMark/>
          </w:tcPr>
          <w:p w:rsidR="007E399B" w:rsidRPr="002462E6" w:rsidRDefault="007E399B" w:rsidP="00420134">
            <w:pPr>
              <w:spacing w:after="0"/>
              <w:rPr>
                <w:rFonts w:ascii="Arial" w:hAnsi="Arial" w:cs="Arial"/>
                <w:color w:val="000000"/>
                <w:sz w:val="18"/>
                <w:szCs w:val="18"/>
                <w:lang w:eastAsia="fr-FR"/>
              </w:rPr>
            </w:pPr>
            <w:r w:rsidRPr="002462E6">
              <w:rPr>
                <w:rFonts w:ascii="Arial" w:hAnsi="Arial" w:cs="Arial"/>
                <w:color w:val="000000"/>
                <w:sz w:val="18"/>
                <w:szCs w:val="18"/>
                <w:lang w:eastAsia="fr-FR"/>
              </w:rPr>
              <w:t>40%</w:t>
            </w:r>
          </w:p>
        </w:tc>
        <w:tc>
          <w:tcPr>
            <w:tcW w:w="606" w:type="dxa"/>
            <w:shd w:val="clear" w:color="000000" w:fill="F4F46C"/>
            <w:noWrap/>
            <w:vAlign w:val="center"/>
            <w:hideMark/>
          </w:tcPr>
          <w:p w:rsidR="007E399B" w:rsidRPr="002462E6" w:rsidRDefault="007E399B" w:rsidP="00420134">
            <w:pPr>
              <w:spacing w:after="0"/>
              <w:rPr>
                <w:rFonts w:ascii="Arial" w:hAnsi="Arial" w:cs="Arial"/>
                <w:color w:val="000000"/>
                <w:sz w:val="18"/>
                <w:szCs w:val="18"/>
                <w:lang w:eastAsia="fr-FR"/>
              </w:rPr>
            </w:pPr>
            <w:r w:rsidRPr="002462E6">
              <w:rPr>
                <w:rFonts w:ascii="Arial" w:hAnsi="Arial" w:cs="Arial"/>
                <w:color w:val="000000"/>
                <w:sz w:val="18"/>
                <w:szCs w:val="18"/>
                <w:lang w:eastAsia="fr-FR"/>
              </w:rPr>
              <w:t>0%</w:t>
            </w:r>
          </w:p>
        </w:tc>
        <w:tc>
          <w:tcPr>
            <w:tcW w:w="564" w:type="dxa"/>
            <w:shd w:val="clear" w:color="000000" w:fill="F4F46C"/>
            <w:noWrap/>
            <w:vAlign w:val="center"/>
            <w:hideMark/>
          </w:tcPr>
          <w:p w:rsidR="007E399B" w:rsidRPr="002462E6" w:rsidRDefault="007E399B" w:rsidP="00420134">
            <w:pPr>
              <w:spacing w:after="0"/>
              <w:rPr>
                <w:rFonts w:ascii="Arial" w:hAnsi="Arial" w:cs="Arial"/>
                <w:color w:val="000000"/>
                <w:sz w:val="18"/>
                <w:szCs w:val="18"/>
                <w:lang w:eastAsia="fr-FR"/>
              </w:rPr>
            </w:pPr>
            <w:r w:rsidRPr="002462E6">
              <w:rPr>
                <w:rFonts w:ascii="Arial" w:hAnsi="Arial" w:cs="Arial"/>
                <w:color w:val="000000"/>
                <w:sz w:val="18"/>
                <w:szCs w:val="18"/>
                <w:lang w:eastAsia="fr-FR"/>
              </w:rPr>
              <w:t>40%</w:t>
            </w:r>
          </w:p>
        </w:tc>
        <w:tc>
          <w:tcPr>
            <w:tcW w:w="713" w:type="dxa"/>
            <w:shd w:val="clear" w:color="000000" w:fill="F4F46C"/>
            <w:noWrap/>
            <w:vAlign w:val="center"/>
            <w:hideMark/>
          </w:tcPr>
          <w:p w:rsidR="007E399B" w:rsidRPr="002462E6" w:rsidRDefault="007E399B" w:rsidP="00420134">
            <w:pPr>
              <w:spacing w:after="0"/>
              <w:rPr>
                <w:rFonts w:ascii="Arial" w:hAnsi="Arial" w:cs="Arial"/>
                <w:color w:val="000000"/>
                <w:sz w:val="18"/>
                <w:szCs w:val="18"/>
                <w:lang w:eastAsia="fr-FR"/>
              </w:rPr>
            </w:pPr>
            <w:r w:rsidRPr="002462E6">
              <w:rPr>
                <w:rFonts w:ascii="Arial" w:hAnsi="Arial" w:cs="Arial"/>
                <w:color w:val="000000"/>
                <w:sz w:val="18"/>
                <w:szCs w:val="18"/>
                <w:lang w:eastAsia="fr-FR"/>
              </w:rPr>
              <w:t>40%</w:t>
            </w:r>
          </w:p>
        </w:tc>
      </w:tr>
      <w:tr w:rsidR="007E399B" w:rsidRPr="002462E6" w:rsidTr="00420134">
        <w:trPr>
          <w:trHeight w:val="281"/>
        </w:trPr>
        <w:tc>
          <w:tcPr>
            <w:tcW w:w="637" w:type="dxa"/>
            <w:vMerge/>
            <w:vAlign w:val="center"/>
            <w:hideMark/>
          </w:tcPr>
          <w:p w:rsidR="007E399B" w:rsidRPr="002462E6" w:rsidRDefault="007E399B" w:rsidP="00420134">
            <w:pPr>
              <w:spacing w:after="0"/>
              <w:rPr>
                <w:rFonts w:ascii="Arial" w:hAnsi="Arial" w:cs="Arial"/>
                <w:b/>
                <w:bCs/>
                <w:color w:val="000000"/>
                <w:sz w:val="16"/>
                <w:szCs w:val="16"/>
                <w:lang w:eastAsia="fr-FR"/>
              </w:rPr>
            </w:pPr>
          </w:p>
        </w:tc>
        <w:tc>
          <w:tcPr>
            <w:tcW w:w="1343" w:type="dxa"/>
            <w:vMerge/>
            <w:vAlign w:val="center"/>
            <w:hideMark/>
          </w:tcPr>
          <w:p w:rsidR="007E399B" w:rsidRPr="002462E6" w:rsidRDefault="007E399B" w:rsidP="00420134">
            <w:pPr>
              <w:spacing w:after="0"/>
              <w:rPr>
                <w:rFonts w:ascii="Arial" w:hAnsi="Arial" w:cs="Arial"/>
                <w:color w:val="000000"/>
                <w:sz w:val="16"/>
                <w:szCs w:val="16"/>
                <w:lang w:eastAsia="fr-FR"/>
              </w:rPr>
            </w:pPr>
          </w:p>
        </w:tc>
        <w:tc>
          <w:tcPr>
            <w:tcW w:w="1276" w:type="dxa"/>
            <w:shd w:val="clear" w:color="auto" w:fill="auto"/>
            <w:noWrap/>
            <w:vAlign w:val="center"/>
            <w:hideMark/>
          </w:tcPr>
          <w:p w:rsidR="007E399B" w:rsidRPr="002462E6" w:rsidRDefault="007E399B" w:rsidP="00420134">
            <w:pPr>
              <w:spacing w:after="0"/>
              <w:rPr>
                <w:rFonts w:ascii="Arial" w:hAnsi="Arial" w:cs="Arial"/>
                <w:color w:val="000000"/>
                <w:sz w:val="16"/>
                <w:szCs w:val="16"/>
                <w:lang w:eastAsia="fr-FR"/>
              </w:rPr>
            </w:pPr>
            <w:r w:rsidRPr="002462E6">
              <w:rPr>
                <w:rFonts w:ascii="Arial" w:hAnsi="Arial" w:cs="Arial"/>
                <w:color w:val="000000"/>
                <w:sz w:val="16"/>
                <w:szCs w:val="16"/>
                <w:lang w:eastAsia="fr-FR"/>
              </w:rPr>
              <w:t>Lmbarkyine (Oulad Sidi Boujouda)</w:t>
            </w:r>
          </w:p>
        </w:tc>
        <w:tc>
          <w:tcPr>
            <w:tcW w:w="499" w:type="dxa"/>
            <w:shd w:val="clear" w:color="000000" w:fill="F4F46C"/>
            <w:noWrap/>
            <w:vAlign w:val="center"/>
            <w:hideMark/>
          </w:tcPr>
          <w:p w:rsidR="007E399B" w:rsidRPr="002462E6" w:rsidRDefault="007E399B" w:rsidP="00420134">
            <w:pPr>
              <w:spacing w:after="0"/>
              <w:rPr>
                <w:rFonts w:ascii="Arial" w:hAnsi="Arial" w:cs="Arial"/>
                <w:color w:val="000000"/>
                <w:sz w:val="18"/>
                <w:szCs w:val="18"/>
                <w:lang w:eastAsia="fr-FR"/>
              </w:rPr>
            </w:pPr>
            <w:r w:rsidRPr="002462E6">
              <w:rPr>
                <w:rFonts w:ascii="Arial" w:hAnsi="Arial" w:cs="Arial"/>
                <w:color w:val="000000"/>
                <w:sz w:val="18"/>
                <w:szCs w:val="18"/>
                <w:lang w:eastAsia="fr-FR"/>
              </w:rPr>
              <w:t>20%</w:t>
            </w:r>
          </w:p>
        </w:tc>
        <w:tc>
          <w:tcPr>
            <w:tcW w:w="1200" w:type="dxa"/>
            <w:shd w:val="clear" w:color="000000" w:fill="FFC000"/>
            <w:noWrap/>
            <w:vAlign w:val="center"/>
            <w:hideMark/>
          </w:tcPr>
          <w:p w:rsidR="007E399B" w:rsidRPr="002462E6" w:rsidRDefault="007E399B" w:rsidP="00420134">
            <w:pPr>
              <w:spacing w:after="0"/>
              <w:rPr>
                <w:rFonts w:ascii="Arial" w:hAnsi="Arial" w:cs="Arial"/>
                <w:color w:val="000000"/>
                <w:sz w:val="18"/>
                <w:szCs w:val="18"/>
                <w:lang w:eastAsia="fr-FR"/>
              </w:rPr>
            </w:pPr>
            <w:r w:rsidRPr="002462E6">
              <w:rPr>
                <w:rFonts w:ascii="Arial" w:hAnsi="Arial" w:cs="Arial"/>
                <w:color w:val="000000"/>
                <w:sz w:val="18"/>
                <w:szCs w:val="18"/>
                <w:lang w:eastAsia="fr-FR"/>
              </w:rPr>
              <w:t>60%</w:t>
            </w:r>
          </w:p>
        </w:tc>
        <w:tc>
          <w:tcPr>
            <w:tcW w:w="1379" w:type="dxa"/>
            <w:shd w:val="clear" w:color="000000" w:fill="FFC000"/>
            <w:noWrap/>
            <w:vAlign w:val="center"/>
            <w:hideMark/>
          </w:tcPr>
          <w:p w:rsidR="007E399B" w:rsidRPr="002462E6" w:rsidRDefault="007E399B" w:rsidP="00420134">
            <w:pPr>
              <w:spacing w:after="0"/>
              <w:rPr>
                <w:rFonts w:ascii="Arial" w:hAnsi="Arial" w:cs="Arial"/>
                <w:color w:val="000000"/>
                <w:sz w:val="18"/>
                <w:szCs w:val="18"/>
                <w:lang w:eastAsia="fr-FR"/>
              </w:rPr>
            </w:pPr>
            <w:r w:rsidRPr="002462E6">
              <w:rPr>
                <w:rFonts w:ascii="Arial" w:hAnsi="Arial" w:cs="Arial"/>
                <w:color w:val="000000"/>
                <w:sz w:val="18"/>
                <w:szCs w:val="18"/>
                <w:lang w:eastAsia="fr-FR"/>
              </w:rPr>
              <w:t>60%</w:t>
            </w:r>
          </w:p>
        </w:tc>
        <w:tc>
          <w:tcPr>
            <w:tcW w:w="1458" w:type="dxa"/>
            <w:shd w:val="clear" w:color="000000" w:fill="F4F46C"/>
            <w:noWrap/>
            <w:vAlign w:val="center"/>
            <w:hideMark/>
          </w:tcPr>
          <w:p w:rsidR="007E399B" w:rsidRPr="002462E6" w:rsidRDefault="007E399B" w:rsidP="00420134">
            <w:pPr>
              <w:spacing w:after="0"/>
              <w:rPr>
                <w:rFonts w:ascii="Arial" w:hAnsi="Arial" w:cs="Arial"/>
                <w:color w:val="000000"/>
                <w:sz w:val="18"/>
                <w:szCs w:val="18"/>
                <w:lang w:eastAsia="fr-FR"/>
              </w:rPr>
            </w:pPr>
            <w:r w:rsidRPr="002462E6">
              <w:rPr>
                <w:rFonts w:ascii="Arial" w:hAnsi="Arial" w:cs="Arial"/>
                <w:color w:val="000000"/>
                <w:sz w:val="18"/>
                <w:szCs w:val="18"/>
                <w:lang w:eastAsia="fr-FR"/>
              </w:rPr>
              <w:t>20%</w:t>
            </w:r>
          </w:p>
        </w:tc>
        <w:tc>
          <w:tcPr>
            <w:tcW w:w="606" w:type="dxa"/>
            <w:shd w:val="clear" w:color="000000" w:fill="F4F46C"/>
            <w:noWrap/>
            <w:vAlign w:val="center"/>
            <w:hideMark/>
          </w:tcPr>
          <w:p w:rsidR="007E399B" w:rsidRPr="002462E6" w:rsidRDefault="007E399B" w:rsidP="00420134">
            <w:pPr>
              <w:spacing w:after="0"/>
              <w:rPr>
                <w:rFonts w:ascii="Arial" w:hAnsi="Arial" w:cs="Arial"/>
                <w:color w:val="000000"/>
                <w:sz w:val="18"/>
                <w:szCs w:val="18"/>
                <w:lang w:eastAsia="fr-FR"/>
              </w:rPr>
            </w:pPr>
            <w:r w:rsidRPr="002462E6">
              <w:rPr>
                <w:rFonts w:ascii="Arial" w:hAnsi="Arial" w:cs="Arial"/>
                <w:color w:val="000000"/>
                <w:sz w:val="18"/>
                <w:szCs w:val="18"/>
                <w:lang w:eastAsia="fr-FR"/>
              </w:rPr>
              <w:t>20%</w:t>
            </w:r>
          </w:p>
        </w:tc>
        <w:tc>
          <w:tcPr>
            <w:tcW w:w="564" w:type="dxa"/>
            <w:shd w:val="clear" w:color="000000" w:fill="D34B07"/>
            <w:noWrap/>
            <w:vAlign w:val="center"/>
            <w:hideMark/>
          </w:tcPr>
          <w:p w:rsidR="007E399B" w:rsidRPr="002462E6" w:rsidRDefault="007E399B" w:rsidP="00420134">
            <w:pPr>
              <w:spacing w:after="0"/>
              <w:rPr>
                <w:rFonts w:ascii="Arial" w:hAnsi="Arial" w:cs="Arial"/>
                <w:color w:val="000000"/>
                <w:sz w:val="18"/>
                <w:szCs w:val="18"/>
                <w:lang w:eastAsia="fr-FR"/>
              </w:rPr>
            </w:pPr>
            <w:r w:rsidRPr="002462E6">
              <w:rPr>
                <w:rFonts w:ascii="Arial" w:hAnsi="Arial" w:cs="Arial"/>
                <w:color w:val="000000"/>
                <w:sz w:val="18"/>
                <w:szCs w:val="18"/>
                <w:lang w:eastAsia="fr-FR"/>
              </w:rPr>
              <w:t>80%</w:t>
            </w:r>
          </w:p>
        </w:tc>
        <w:tc>
          <w:tcPr>
            <w:tcW w:w="713" w:type="dxa"/>
            <w:shd w:val="clear" w:color="000000" w:fill="F4F46C"/>
            <w:noWrap/>
            <w:vAlign w:val="center"/>
            <w:hideMark/>
          </w:tcPr>
          <w:p w:rsidR="007E399B" w:rsidRPr="002462E6" w:rsidRDefault="007E399B" w:rsidP="00420134">
            <w:pPr>
              <w:spacing w:after="0"/>
              <w:rPr>
                <w:rFonts w:ascii="Arial" w:hAnsi="Arial" w:cs="Arial"/>
                <w:color w:val="000000"/>
                <w:sz w:val="18"/>
                <w:szCs w:val="18"/>
                <w:lang w:eastAsia="fr-FR"/>
              </w:rPr>
            </w:pPr>
            <w:r w:rsidRPr="002462E6">
              <w:rPr>
                <w:rFonts w:ascii="Arial" w:hAnsi="Arial" w:cs="Arial"/>
                <w:color w:val="000000"/>
                <w:sz w:val="18"/>
                <w:szCs w:val="18"/>
                <w:lang w:eastAsia="fr-FR"/>
              </w:rPr>
              <w:t>43%</w:t>
            </w:r>
          </w:p>
        </w:tc>
      </w:tr>
    </w:tbl>
    <w:p w:rsidR="007E399B" w:rsidRPr="002462E6" w:rsidRDefault="007E399B" w:rsidP="00B6624E">
      <w:pPr>
        <w:spacing w:after="0"/>
        <w:rPr>
          <w:noProof/>
          <w:lang w:eastAsia="fr-FR"/>
        </w:rPr>
      </w:pPr>
      <w:r w:rsidRPr="002462E6">
        <w:rPr>
          <w:noProof/>
          <w:lang w:eastAsia="fr-FR"/>
        </w:rPr>
        <w:t>Légende :</w:t>
      </w:r>
    </w:p>
    <w:tbl>
      <w:tblPr>
        <w:tblpPr w:leftFromText="141" w:rightFromText="141" w:vertAnchor="text" w:horzAnchor="margin" w:tblpY="110"/>
        <w:tblW w:w="8523" w:type="dxa"/>
        <w:tblCellMar>
          <w:left w:w="70" w:type="dxa"/>
          <w:right w:w="70" w:type="dxa"/>
        </w:tblCellMar>
        <w:tblLook w:val="04A0" w:firstRow="1" w:lastRow="0" w:firstColumn="1" w:lastColumn="0" w:noHBand="0" w:noVBand="1"/>
      </w:tblPr>
      <w:tblGrid>
        <w:gridCol w:w="2841"/>
        <w:gridCol w:w="2841"/>
        <w:gridCol w:w="2841"/>
      </w:tblGrid>
      <w:tr w:rsidR="007E399B" w:rsidRPr="002462E6" w:rsidTr="00AB476D">
        <w:trPr>
          <w:trHeight w:val="150"/>
        </w:trPr>
        <w:tc>
          <w:tcPr>
            <w:tcW w:w="2841" w:type="dxa"/>
            <w:tcBorders>
              <w:top w:val="single" w:sz="4" w:space="0" w:color="auto"/>
              <w:left w:val="single" w:sz="4" w:space="0" w:color="auto"/>
              <w:bottom w:val="single" w:sz="4" w:space="0" w:color="auto"/>
              <w:right w:val="single" w:sz="4" w:space="0" w:color="auto"/>
            </w:tcBorders>
            <w:shd w:val="clear" w:color="000000" w:fill="F4F46C"/>
            <w:vAlign w:val="center"/>
            <w:hideMark/>
          </w:tcPr>
          <w:p w:rsidR="007E399B" w:rsidRPr="002462E6" w:rsidRDefault="007E399B" w:rsidP="00837A5A">
            <w:pPr>
              <w:jc w:val="center"/>
              <w:rPr>
                <w:b/>
                <w:bCs/>
                <w:color w:val="000000"/>
                <w:sz w:val="20"/>
                <w:szCs w:val="20"/>
                <w:lang w:eastAsia="fr-FR"/>
              </w:rPr>
            </w:pPr>
            <w:r w:rsidRPr="002462E6">
              <w:rPr>
                <w:b/>
                <w:bCs/>
                <w:color w:val="000000"/>
                <w:sz w:val="20"/>
                <w:szCs w:val="20"/>
                <w:lang w:eastAsia="fr-FR"/>
              </w:rPr>
              <w:t>1- Moins de 50%</w:t>
            </w:r>
          </w:p>
        </w:tc>
        <w:tc>
          <w:tcPr>
            <w:tcW w:w="2841" w:type="dxa"/>
            <w:tcBorders>
              <w:top w:val="single" w:sz="4" w:space="0" w:color="auto"/>
              <w:left w:val="nil"/>
              <w:bottom w:val="single" w:sz="4" w:space="0" w:color="auto"/>
              <w:right w:val="single" w:sz="4" w:space="0" w:color="auto"/>
            </w:tcBorders>
            <w:shd w:val="clear" w:color="000000" w:fill="FFC000"/>
            <w:vAlign w:val="center"/>
            <w:hideMark/>
          </w:tcPr>
          <w:p w:rsidR="007E399B" w:rsidRPr="002462E6" w:rsidRDefault="007E399B" w:rsidP="00837A5A">
            <w:pPr>
              <w:jc w:val="center"/>
              <w:rPr>
                <w:b/>
                <w:bCs/>
                <w:color w:val="000000"/>
                <w:sz w:val="20"/>
                <w:szCs w:val="20"/>
                <w:lang w:eastAsia="fr-FR"/>
              </w:rPr>
            </w:pPr>
            <w:r w:rsidRPr="002462E6">
              <w:rPr>
                <w:b/>
                <w:bCs/>
                <w:color w:val="000000"/>
                <w:sz w:val="20"/>
                <w:szCs w:val="20"/>
                <w:lang w:eastAsia="fr-FR"/>
              </w:rPr>
              <w:t>2- Entre 50% et 75%</w:t>
            </w:r>
          </w:p>
        </w:tc>
        <w:tc>
          <w:tcPr>
            <w:tcW w:w="2841" w:type="dxa"/>
            <w:tcBorders>
              <w:top w:val="single" w:sz="4" w:space="0" w:color="auto"/>
              <w:left w:val="nil"/>
              <w:bottom w:val="single" w:sz="4" w:space="0" w:color="auto"/>
              <w:right w:val="single" w:sz="4" w:space="0" w:color="auto"/>
            </w:tcBorders>
            <w:shd w:val="clear" w:color="000000" w:fill="D34B07"/>
            <w:vAlign w:val="center"/>
            <w:hideMark/>
          </w:tcPr>
          <w:p w:rsidR="007E399B" w:rsidRPr="002462E6" w:rsidRDefault="007E399B" w:rsidP="00837A5A">
            <w:pPr>
              <w:jc w:val="center"/>
              <w:rPr>
                <w:b/>
                <w:bCs/>
                <w:color w:val="000000"/>
                <w:sz w:val="20"/>
                <w:szCs w:val="20"/>
                <w:lang w:eastAsia="fr-FR"/>
              </w:rPr>
            </w:pPr>
            <w:r w:rsidRPr="002462E6">
              <w:rPr>
                <w:b/>
                <w:bCs/>
                <w:color w:val="000000"/>
                <w:sz w:val="20"/>
                <w:szCs w:val="20"/>
                <w:lang w:eastAsia="fr-FR"/>
              </w:rPr>
              <w:t>3- Plus de 75%</w:t>
            </w:r>
          </w:p>
        </w:tc>
      </w:tr>
      <w:tr w:rsidR="007E399B" w:rsidRPr="002462E6" w:rsidTr="00AB476D">
        <w:trPr>
          <w:trHeight w:val="161"/>
        </w:trPr>
        <w:tc>
          <w:tcPr>
            <w:tcW w:w="2841" w:type="dxa"/>
            <w:tcBorders>
              <w:top w:val="nil"/>
              <w:left w:val="single" w:sz="4" w:space="0" w:color="auto"/>
              <w:bottom w:val="single" w:sz="4" w:space="0" w:color="auto"/>
              <w:right w:val="single" w:sz="4" w:space="0" w:color="auto"/>
            </w:tcBorders>
            <w:shd w:val="clear" w:color="000000" w:fill="F4F46C"/>
            <w:vAlign w:val="center"/>
            <w:hideMark/>
          </w:tcPr>
          <w:p w:rsidR="007E399B" w:rsidRPr="002462E6" w:rsidRDefault="007E399B" w:rsidP="00837A5A">
            <w:pPr>
              <w:jc w:val="center"/>
              <w:rPr>
                <w:b/>
                <w:bCs/>
                <w:color w:val="000000"/>
                <w:sz w:val="20"/>
                <w:szCs w:val="20"/>
                <w:lang w:eastAsia="fr-FR"/>
              </w:rPr>
            </w:pPr>
            <w:r w:rsidRPr="002462E6">
              <w:rPr>
                <w:b/>
                <w:bCs/>
                <w:color w:val="000000"/>
                <w:sz w:val="20"/>
                <w:szCs w:val="20"/>
                <w:lang w:eastAsia="fr-FR"/>
              </w:rPr>
              <w:t>Vulnérabilité faible</w:t>
            </w:r>
          </w:p>
        </w:tc>
        <w:tc>
          <w:tcPr>
            <w:tcW w:w="2841" w:type="dxa"/>
            <w:tcBorders>
              <w:top w:val="nil"/>
              <w:left w:val="nil"/>
              <w:bottom w:val="single" w:sz="4" w:space="0" w:color="auto"/>
              <w:right w:val="single" w:sz="4" w:space="0" w:color="auto"/>
            </w:tcBorders>
            <w:shd w:val="clear" w:color="000000" w:fill="FFC000"/>
            <w:vAlign w:val="center"/>
            <w:hideMark/>
          </w:tcPr>
          <w:p w:rsidR="007E399B" w:rsidRPr="002462E6" w:rsidRDefault="007E399B" w:rsidP="00837A5A">
            <w:pPr>
              <w:jc w:val="center"/>
              <w:rPr>
                <w:b/>
                <w:bCs/>
                <w:color w:val="000000"/>
                <w:sz w:val="20"/>
                <w:szCs w:val="20"/>
                <w:lang w:eastAsia="fr-FR"/>
              </w:rPr>
            </w:pPr>
            <w:r w:rsidRPr="002462E6">
              <w:rPr>
                <w:b/>
                <w:bCs/>
                <w:color w:val="000000"/>
                <w:sz w:val="20"/>
                <w:szCs w:val="20"/>
                <w:lang w:eastAsia="fr-FR"/>
              </w:rPr>
              <w:t>Vulnérabilité moyenne</w:t>
            </w:r>
          </w:p>
        </w:tc>
        <w:tc>
          <w:tcPr>
            <w:tcW w:w="2841" w:type="dxa"/>
            <w:tcBorders>
              <w:top w:val="nil"/>
              <w:left w:val="nil"/>
              <w:bottom w:val="single" w:sz="4" w:space="0" w:color="auto"/>
              <w:right w:val="single" w:sz="4" w:space="0" w:color="auto"/>
            </w:tcBorders>
            <w:shd w:val="clear" w:color="000000" w:fill="D34B07"/>
            <w:vAlign w:val="center"/>
            <w:hideMark/>
          </w:tcPr>
          <w:p w:rsidR="007E399B" w:rsidRPr="002462E6" w:rsidRDefault="007E399B" w:rsidP="00837A5A">
            <w:pPr>
              <w:jc w:val="center"/>
              <w:rPr>
                <w:b/>
                <w:bCs/>
                <w:color w:val="000000"/>
                <w:sz w:val="20"/>
                <w:szCs w:val="20"/>
                <w:lang w:eastAsia="fr-FR"/>
              </w:rPr>
            </w:pPr>
            <w:r w:rsidRPr="002462E6">
              <w:rPr>
                <w:b/>
                <w:bCs/>
                <w:color w:val="000000"/>
                <w:sz w:val="20"/>
                <w:szCs w:val="20"/>
                <w:lang w:eastAsia="fr-FR"/>
              </w:rPr>
              <w:t>Vulnérabilité forte</w:t>
            </w:r>
          </w:p>
        </w:tc>
      </w:tr>
    </w:tbl>
    <w:p w:rsidR="007E399B" w:rsidRPr="002462E6" w:rsidRDefault="007E399B" w:rsidP="007E399B">
      <w:pPr>
        <w:ind w:left="-851"/>
        <w:jc w:val="center"/>
        <w:rPr>
          <w:noProof/>
          <w:lang w:eastAsia="fr-FR"/>
        </w:rPr>
      </w:pPr>
    </w:p>
    <w:p w:rsidR="007E399B" w:rsidRPr="002462E6" w:rsidRDefault="007E399B" w:rsidP="007E399B">
      <w:pPr>
        <w:ind w:left="-851"/>
        <w:jc w:val="center"/>
        <w:rPr>
          <w:noProof/>
          <w:lang w:eastAsia="fr-FR"/>
        </w:rPr>
      </w:pPr>
    </w:p>
    <w:p w:rsidR="00AB476D" w:rsidRPr="002462E6" w:rsidRDefault="00AB476D" w:rsidP="00B6624E">
      <w:pPr>
        <w:spacing w:after="0" w:line="360" w:lineRule="auto"/>
        <w:rPr>
          <w:rFonts w:ascii="Tahoma" w:hAnsi="Tahoma" w:cs="Tahoma"/>
          <w:b/>
          <w:bCs/>
          <w:sz w:val="20"/>
          <w:szCs w:val="20"/>
          <w:lang w:eastAsia="fr-FR"/>
        </w:rPr>
      </w:pPr>
    </w:p>
    <w:p w:rsidR="00837A5A" w:rsidRPr="002462E6" w:rsidRDefault="00837A5A" w:rsidP="00247FE0">
      <w:pPr>
        <w:spacing w:after="0" w:line="360" w:lineRule="auto"/>
        <w:jc w:val="center"/>
        <w:rPr>
          <w:rFonts w:ascii="Tahoma" w:hAnsi="Tahoma" w:cs="Tahoma"/>
          <w:sz w:val="20"/>
          <w:szCs w:val="20"/>
          <w:lang w:eastAsia="fr-FR"/>
        </w:rPr>
      </w:pPr>
      <w:r w:rsidRPr="002462E6">
        <w:rPr>
          <w:rFonts w:ascii="Tahoma" w:hAnsi="Tahoma" w:cs="Tahoma"/>
          <w:b/>
          <w:bCs/>
          <w:sz w:val="20"/>
          <w:szCs w:val="20"/>
          <w:lang w:eastAsia="fr-FR"/>
        </w:rPr>
        <w:t>Source</w:t>
      </w:r>
      <w:r w:rsidRPr="002462E6">
        <w:rPr>
          <w:rFonts w:ascii="Tahoma" w:hAnsi="Tahoma" w:cs="Tahoma"/>
          <w:sz w:val="20"/>
          <w:szCs w:val="20"/>
          <w:lang w:eastAsia="fr-FR"/>
        </w:rPr>
        <w:t xml:space="preserve"> : résultats de l’enquête</w:t>
      </w:r>
    </w:p>
    <w:p w:rsidR="00420134" w:rsidRPr="002462E6" w:rsidRDefault="00420134" w:rsidP="000D57A1">
      <w:pPr>
        <w:pStyle w:val="Sous-titre"/>
      </w:pPr>
      <w:bookmarkStart w:id="434" w:name="_Toc203642685"/>
      <w:r w:rsidRPr="002462E6">
        <w:t xml:space="preserve">Carte </w:t>
      </w:r>
      <w:r w:rsidR="00225ED1">
        <w:rPr>
          <w:noProof/>
        </w:rPr>
        <w:fldChar w:fldCharType="begin"/>
      </w:r>
      <w:r w:rsidR="00225ED1">
        <w:rPr>
          <w:noProof/>
        </w:rPr>
        <w:instrText xml:space="preserve"> SEQ Carte \* ARABIC </w:instrText>
      </w:r>
      <w:r w:rsidR="00225ED1">
        <w:rPr>
          <w:noProof/>
        </w:rPr>
        <w:fldChar w:fldCharType="separate"/>
      </w:r>
      <w:r w:rsidR="00124AFB">
        <w:rPr>
          <w:noProof/>
        </w:rPr>
        <w:t>11</w:t>
      </w:r>
      <w:r w:rsidR="00225ED1">
        <w:rPr>
          <w:noProof/>
        </w:rPr>
        <w:fldChar w:fldCharType="end"/>
      </w:r>
      <w:r w:rsidRPr="002462E6">
        <w:t xml:space="preserve"> : </w:t>
      </w:r>
      <w:r w:rsidR="00B6624E" w:rsidRPr="002462E6">
        <w:t>s</w:t>
      </w:r>
      <w:r w:rsidRPr="002462E6">
        <w:t>anté  de la forêt de Korifla selon la perception de la polupation enquêtée</w:t>
      </w:r>
      <w:bookmarkEnd w:id="434"/>
    </w:p>
    <w:p w:rsidR="007E399B" w:rsidRPr="002462E6" w:rsidRDefault="00FE2565" w:rsidP="007E399B">
      <w:pPr>
        <w:spacing w:line="360" w:lineRule="auto"/>
        <w:jc w:val="both"/>
        <w:rPr>
          <w:rFonts w:ascii="Tahoma" w:hAnsi="Tahoma" w:cs="Tahoma"/>
          <w:sz w:val="24"/>
          <w:szCs w:val="24"/>
        </w:rPr>
      </w:pPr>
      <w:r>
        <w:rPr>
          <w:noProof/>
          <w:lang w:eastAsia="fr-FR"/>
        </w:rPr>
        <mc:AlternateContent>
          <mc:Choice Requires="wps">
            <w:drawing>
              <wp:anchor distT="0" distB="0" distL="114300" distR="114300" simplePos="0" relativeHeight="251796480" behindDoc="0" locked="0" layoutInCell="1" allowOverlap="1" wp14:anchorId="782A1647" wp14:editId="01A5AC0A">
                <wp:simplePos x="0" y="0"/>
                <wp:positionH relativeFrom="column">
                  <wp:posOffset>222893</wp:posOffset>
                </wp:positionH>
                <wp:positionV relativeFrom="paragraph">
                  <wp:posOffset>6670032</wp:posOffset>
                </wp:positionV>
                <wp:extent cx="1341912" cy="439304"/>
                <wp:effectExtent l="0" t="0" r="0" b="0"/>
                <wp:wrapNone/>
                <wp:docPr id="485" name="Rectangle 485"/>
                <wp:cNvGraphicFramePr/>
                <a:graphic xmlns:a="http://schemas.openxmlformats.org/drawingml/2006/main">
                  <a:graphicData uri="http://schemas.microsoft.com/office/word/2010/wordprocessingShape">
                    <wps:wsp>
                      <wps:cNvSpPr/>
                      <wps:spPr>
                        <a:xfrm>
                          <a:off x="0" y="0"/>
                          <a:ext cx="1341912" cy="439304"/>
                        </a:xfrm>
                        <a:prstGeom prst="rect">
                          <a:avLst/>
                        </a:prstGeom>
                        <a:solidFill>
                          <a:schemeClr val="bg1"/>
                        </a:solidFill>
                        <a:ln>
                          <a:no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74E31FE" id="Rectangle 485" o:spid="_x0000_s1026" style="position:absolute;margin-left:17.55pt;margin-top:525.2pt;width:105.65pt;height:34.6pt;z-index:2517964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" fillcolor="white [3212]" stroked="f" strokeweight="1pt"/>
            </w:pict>
          </mc:Fallback>
        </mc:AlternateContent>
      </w:r>
      <w:r w:rsidR="007E399B" w:rsidRPr="002462E6">
        <w:rPr>
          <w:noProof/>
          <w:lang w:eastAsia="fr-FR"/>
        </w:rPr>
        <w:drawing>
          <wp:inline distT="0" distB="0" distL="0" distR="0" wp14:anchorId="4BC5B40E" wp14:editId="7A994E4E">
            <wp:extent cx="6282047" cy="7315200"/>
            <wp:effectExtent l="0" t="0" r="5080" b="0"/>
            <wp:docPr id="956995657" name="Image 956995657" descr="E:\these\Aprés soutenance\CartoFrancaisKorifla\ImageCartes\Santé2.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E:\these\Aprés soutenance\CartoFrancaisKorifla\ImageCartes\Santé2.BMP"/>
                    <pic:cNvPicPr>
                      <a:picLocks noChangeAspect="1" noChangeArrowheads="1"/>
                    </pic:cNvPicPr>
                  </pic:nvPicPr>
                  <pic:blipFill rotWithShape="1">
                    <a:blip r:embed="rId46">
                      <a:extLst>
                        <a:ext uri="{28A0092B-C50C-407E-A947-70E740481C1C}">
                          <a14:useLocalDpi xmlns:a14="http://schemas.microsoft.com/office/drawing/2010/main" val="0"/>
                        </a:ext>
                      </a:extLst>
                    </a:blip>
                    <a:srcRect l="6976" t="16085" r="6441" b="17197"/>
                    <a:stretch/>
                  </pic:blipFill>
                  <pic:spPr bwMode="auto">
                    <a:xfrm>
                      <a:off x="0" y="0"/>
                      <a:ext cx="6282047" cy="7315200"/>
                    </a:xfrm>
                    <a:prstGeom prst="rect">
                      <a:avLst/>
                    </a:prstGeom>
                    <a:noFill/>
                    <a:ln>
                      <a:noFill/>
                    </a:ln>
                    <a:extLst>
                      <a:ext uri="{53640926-AAD7-44D8-BBD7-CCE9431645EC}">
                        <a14:shadowObscured xmlns:a14="http://schemas.microsoft.com/office/drawing/2010/main"/>
                      </a:ext>
                    </a:extLst>
                  </pic:spPr>
                </pic:pic>
              </a:graphicData>
            </a:graphic>
          </wp:inline>
        </w:drawing>
      </w:r>
    </w:p>
    <w:p w:rsidR="0033269A" w:rsidRPr="002462E6" w:rsidRDefault="00820B7F" w:rsidP="005A5533">
      <w:pPr>
        <w:widowControl w:val="0"/>
        <w:autoSpaceDE w:val="0"/>
        <w:autoSpaceDN w:val="0"/>
        <w:spacing w:after="0" w:line="360" w:lineRule="auto"/>
        <w:jc w:val="center"/>
        <w:rPr>
          <w:rFonts w:ascii="Tahoma" w:eastAsia="Times New Roman" w:hAnsi="Tahoma" w:cs="Tahoma"/>
          <w:sz w:val="20"/>
          <w:szCs w:val="20"/>
        </w:rPr>
      </w:pPr>
      <w:r w:rsidRPr="002462E6">
        <w:rPr>
          <w:rFonts w:ascii="Tahoma" w:hAnsi="Tahoma" w:cs="Tahoma"/>
          <w:b/>
          <w:bCs/>
          <w:sz w:val="20"/>
          <w:szCs w:val="20"/>
          <w:lang w:eastAsia="fr-FR"/>
        </w:rPr>
        <w:t>Source</w:t>
      </w:r>
      <w:r w:rsidRPr="002462E6">
        <w:rPr>
          <w:rFonts w:ascii="Tahoma" w:hAnsi="Tahoma" w:cs="Tahoma"/>
          <w:sz w:val="20"/>
          <w:szCs w:val="20"/>
          <w:lang w:eastAsia="fr-FR"/>
        </w:rPr>
        <w:t xml:space="preserve"> : </w:t>
      </w:r>
      <w:r w:rsidR="0033269A">
        <w:rPr>
          <w:rFonts w:ascii="Tahoma" w:eastAsia="Times New Roman" w:hAnsi="Tahoma" w:cs="Tahoma"/>
          <w:sz w:val="24"/>
          <w:szCs w:val="24"/>
        </w:rPr>
        <w:t>Elab</w:t>
      </w:r>
      <w:r w:rsidR="0033269A" w:rsidRPr="00D63D38">
        <w:rPr>
          <w:rFonts w:ascii="Tahoma" w:eastAsia="Times New Roman" w:hAnsi="Tahoma" w:cs="Tahoma"/>
          <w:sz w:val="24"/>
          <w:szCs w:val="24"/>
        </w:rPr>
        <w:t xml:space="preserve">oration de l’auteur sur la base </w:t>
      </w:r>
      <w:r w:rsidR="005A5533">
        <w:rPr>
          <w:rFonts w:ascii="Tahoma" w:eastAsia="Times New Roman" w:hAnsi="Tahoma" w:cs="Tahoma"/>
          <w:sz w:val="24"/>
          <w:szCs w:val="24"/>
        </w:rPr>
        <w:t xml:space="preserve">des résultats </w:t>
      </w:r>
      <w:r w:rsidR="0033269A" w:rsidRPr="00D63D38">
        <w:rPr>
          <w:rFonts w:ascii="Tahoma" w:eastAsia="Times New Roman" w:hAnsi="Tahoma" w:cs="Tahoma"/>
          <w:sz w:val="24"/>
          <w:szCs w:val="24"/>
        </w:rPr>
        <w:t>de l’</w:t>
      </w:r>
      <w:r w:rsidR="0033269A">
        <w:rPr>
          <w:rFonts w:ascii="Tahoma" w:eastAsia="Times New Roman" w:hAnsi="Tahoma" w:cs="Tahoma"/>
          <w:sz w:val="24"/>
          <w:szCs w:val="24"/>
        </w:rPr>
        <w:t>enqu</w:t>
      </w:r>
      <w:r w:rsidR="0033269A" w:rsidRPr="00D63D38">
        <w:rPr>
          <w:rFonts w:ascii="Tahoma" w:eastAsia="Times New Roman" w:hAnsi="Tahoma" w:cs="Tahoma"/>
          <w:sz w:val="24"/>
          <w:szCs w:val="24"/>
        </w:rPr>
        <w:t>ête du ter</w:t>
      </w:r>
      <w:r w:rsidR="0033269A">
        <w:rPr>
          <w:rFonts w:ascii="Tahoma" w:eastAsia="Times New Roman" w:hAnsi="Tahoma" w:cs="Tahoma"/>
          <w:sz w:val="24"/>
          <w:szCs w:val="24"/>
        </w:rPr>
        <w:t>r</w:t>
      </w:r>
      <w:r w:rsidR="0033269A" w:rsidRPr="00D63D38">
        <w:rPr>
          <w:rFonts w:ascii="Tahoma" w:eastAsia="Times New Roman" w:hAnsi="Tahoma" w:cs="Tahoma"/>
          <w:sz w:val="24"/>
          <w:szCs w:val="24"/>
        </w:rPr>
        <w:t>ain</w:t>
      </w:r>
      <w:r w:rsidR="0033269A">
        <w:rPr>
          <w:rFonts w:ascii="Tahoma" w:eastAsia="Times New Roman" w:hAnsi="Tahoma" w:cs="Tahoma"/>
          <w:sz w:val="20"/>
          <w:szCs w:val="20"/>
        </w:rPr>
        <w:t xml:space="preserve"> </w:t>
      </w:r>
    </w:p>
    <w:p w:rsidR="00B6624E" w:rsidRPr="002462E6" w:rsidRDefault="00B6624E" w:rsidP="00B6624E">
      <w:pPr>
        <w:spacing w:line="360" w:lineRule="auto"/>
        <w:jc w:val="both"/>
        <w:rPr>
          <w:rFonts w:ascii="Tahoma" w:hAnsi="Tahoma" w:cs="Tahoma"/>
          <w:sz w:val="24"/>
          <w:szCs w:val="24"/>
          <w:lang w:eastAsia="fr-FR"/>
        </w:rPr>
      </w:pPr>
      <w:r w:rsidRPr="002462E6">
        <w:rPr>
          <w:rFonts w:ascii="Tahoma" w:hAnsi="Tahoma" w:cs="Tahoma"/>
          <w:sz w:val="24"/>
          <w:szCs w:val="24"/>
          <w:lang w:eastAsia="fr-FR"/>
        </w:rPr>
        <w:t xml:space="preserve">La carte sanitaire, ci-dessus, révèle des disparités territoriales critiques et une vulnérabilité socio-sanitaire généralisée au sein de l'écosystème forestier de Korifla, s'étendant sur les deux provinces : </w:t>
      </w:r>
    </w:p>
    <w:p w:rsidR="00B6624E" w:rsidRPr="002462E6" w:rsidRDefault="00B6624E" w:rsidP="00B6624E">
      <w:pPr>
        <w:spacing w:line="360" w:lineRule="auto"/>
        <w:jc w:val="both"/>
        <w:rPr>
          <w:rFonts w:ascii="Tahoma" w:hAnsi="Tahoma" w:cs="Tahoma"/>
          <w:sz w:val="24"/>
          <w:szCs w:val="24"/>
          <w:lang w:eastAsia="fr-FR"/>
        </w:rPr>
      </w:pPr>
      <w:r w:rsidRPr="002462E6">
        <w:rPr>
          <w:rFonts w:ascii="Tahoma" w:hAnsi="Tahoma" w:cs="Tahoma"/>
          <w:sz w:val="24"/>
          <w:szCs w:val="24"/>
          <w:lang w:eastAsia="fr-FR"/>
        </w:rPr>
        <w:t>L'analyse dévoile une carence remarquable en matière d'accessibilité aux soins, avec 91% des douars (20 sur 22) présentant une population intégralement située à plus de 10 km des centres de santé. Seuls Oulad Saîd (60%) et Oulad Sidi Bouamar (40%) échappent partiellement à cet isolement géographique, témoignant d'un déficit structurel majeur en infrastructures sanitaires qui compromet fondamentalement l'accès aux soins de première nécessité.</w:t>
      </w:r>
    </w:p>
    <w:p w:rsidR="00B6624E" w:rsidRPr="002462E6" w:rsidRDefault="00B6624E" w:rsidP="00B6624E">
      <w:pPr>
        <w:spacing w:line="360" w:lineRule="auto"/>
        <w:jc w:val="both"/>
        <w:rPr>
          <w:rFonts w:ascii="Tahoma" w:hAnsi="Tahoma" w:cs="Tahoma"/>
          <w:sz w:val="24"/>
          <w:szCs w:val="24"/>
          <w:lang w:eastAsia="fr-FR"/>
        </w:rPr>
      </w:pPr>
      <w:r w:rsidRPr="002462E6">
        <w:rPr>
          <w:rFonts w:ascii="Tahoma" w:hAnsi="Tahoma" w:cs="Tahoma"/>
          <w:sz w:val="24"/>
          <w:szCs w:val="24"/>
          <w:lang w:eastAsia="fr-FR"/>
        </w:rPr>
        <w:t>La couverture par le RAMED présente une variabilité interprovinciale significative. Les douars de la province de Skhirate-Temara affichent des taux de non-bénéficiaires oscillant entre 0% et 100%, avec une moyenne de 38%, tandis que ceux de Khémisset présentent une dispersion similaire (20% à 60%, moyenne 42%). Cette hétérogénéité révèle des dysfonctionnements dans les mécanismes de ciblage et d'inclusion sociale. L'insécurité alimentaire se manifeste de manière différenciée : l'alimentation déséquilibrée touche de 0% à 100% selon les douars (Nkaila présentant la situation la plus critique), tandis que la contrainte budgétaire alimentaire (moins de 37% du budget) affecte particulièrement Lâarâara (80%), Oulad Saîd (67%) et plusieurs douars à 60%. Cette configuration traduit une vulnérabilité nutritionnelle structurelle compromettant le développement humain local.</w:t>
      </w:r>
    </w:p>
    <w:p w:rsidR="00B6624E" w:rsidRPr="002462E6" w:rsidRDefault="00B6624E" w:rsidP="00B6624E">
      <w:pPr>
        <w:spacing w:line="360" w:lineRule="auto"/>
        <w:jc w:val="both"/>
        <w:rPr>
          <w:rFonts w:ascii="Tahoma" w:hAnsi="Tahoma" w:cs="Tahoma"/>
          <w:sz w:val="24"/>
          <w:szCs w:val="24"/>
          <w:lang w:eastAsia="fr-FR"/>
        </w:rPr>
      </w:pPr>
      <w:r w:rsidRPr="002462E6">
        <w:rPr>
          <w:rFonts w:ascii="Tahoma" w:hAnsi="Tahoma" w:cs="Tahoma"/>
          <w:sz w:val="24"/>
          <w:szCs w:val="24"/>
          <w:lang w:eastAsia="fr-FR"/>
        </w:rPr>
        <w:t>L'indice de santé global oscille entre 27% (Oulad Saada, Oulad Oumrane) et 50% (Oulad Merzoug), révélant une stratification territoriale de la vulnérabilité. Les douars présentant les indices les plus dégradés (≤30%) se caractérisent par une convergence de facteurs défavorables : isolement géographique, déficits nutritionnels et carences en protection sociale.</w:t>
      </w:r>
    </w:p>
    <w:p w:rsidR="007E399B" w:rsidRPr="002462E6" w:rsidRDefault="007E399B" w:rsidP="007E399B">
      <w:pPr>
        <w:spacing w:line="360" w:lineRule="auto"/>
        <w:jc w:val="both"/>
        <w:rPr>
          <w:rFonts w:ascii="Tahoma" w:hAnsi="Tahoma" w:cs="Tahoma"/>
          <w:sz w:val="28"/>
          <w:szCs w:val="28"/>
        </w:rPr>
      </w:pPr>
    </w:p>
    <w:p w:rsidR="007E399B" w:rsidRPr="002462E6" w:rsidRDefault="007E399B">
      <w:pPr>
        <w:rPr>
          <w:rFonts w:ascii="Tahoma" w:eastAsia="Times New Roman" w:hAnsi="Tahoma" w:cs="Times New Roman"/>
          <w:b/>
          <w:bCs/>
          <w:iCs/>
          <w:sz w:val="24"/>
          <w:szCs w:val="24"/>
        </w:rPr>
      </w:pPr>
      <w:r w:rsidRPr="002462E6">
        <w:br w:type="page"/>
      </w:r>
    </w:p>
    <w:p w:rsidR="007E399B" w:rsidRPr="002462E6" w:rsidRDefault="007E399B" w:rsidP="00BF1F48">
      <w:pPr>
        <w:pStyle w:val="Titre5"/>
      </w:pPr>
      <w:bookmarkStart w:id="435" w:name="_Toc203643125"/>
      <w:r w:rsidRPr="002462E6">
        <w:t>Situation éducative de la population rurale enquêtée</w:t>
      </w:r>
      <w:bookmarkEnd w:id="435"/>
    </w:p>
    <w:p w:rsidR="00B6624E" w:rsidRPr="002462E6" w:rsidRDefault="00B6624E" w:rsidP="00B6624E">
      <w:pPr>
        <w:spacing w:line="360" w:lineRule="auto"/>
        <w:jc w:val="both"/>
        <w:rPr>
          <w:rFonts w:ascii="Tahoma" w:hAnsi="Tahoma" w:cs="Tahoma"/>
          <w:sz w:val="24"/>
          <w:szCs w:val="24"/>
        </w:rPr>
      </w:pPr>
      <w:r w:rsidRPr="002462E6">
        <w:rPr>
          <w:rFonts w:ascii="Tahoma" w:hAnsi="Tahoma" w:cs="Tahoma"/>
          <w:sz w:val="24"/>
          <w:szCs w:val="24"/>
        </w:rPr>
        <w:t>L’éducation constitue un déterminant majeur du développement humain et de la transformation sociale, particulièrement dans les espaces ruraux où elle joue un rôle central comme vecteur de mobilité sociale et d’émancipation économique. En revanche, les territoires ruraux marocains sont encore confrontés à des défis structurels en matière d’éducation, qui contribuent à la reproduction des inégalités territoriales et entravent la réalisation des objectifs de dé</w:t>
      </w:r>
      <w:r w:rsidR="00AB476D" w:rsidRPr="002462E6">
        <w:rPr>
          <w:rFonts w:ascii="Tahoma" w:hAnsi="Tahoma" w:cs="Tahoma"/>
          <w:sz w:val="24"/>
          <w:szCs w:val="24"/>
        </w:rPr>
        <w:t>veloppement durable (HCP, 2020)</w:t>
      </w:r>
      <w:r w:rsidRPr="002462E6">
        <w:rPr>
          <w:rFonts w:ascii="Tahoma" w:hAnsi="Tahoma" w:cs="Tahoma"/>
          <w:sz w:val="24"/>
          <w:szCs w:val="24"/>
        </w:rPr>
        <w:t>.</w:t>
      </w:r>
    </w:p>
    <w:p w:rsidR="002D1D62" w:rsidRPr="002462E6" w:rsidRDefault="00B6624E" w:rsidP="00B6624E">
      <w:pPr>
        <w:spacing w:line="360" w:lineRule="auto"/>
        <w:jc w:val="both"/>
        <w:rPr>
          <w:b/>
          <w:bCs/>
        </w:rPr>
      </w:pPr>
      <w:r w:rsidRPr="002462E6">
        <w:rPr>
          <w:rFonts w:ascii="Tahoma" w:hAnsi="Tahoma" w:cs="Tahoma"/>
          <w:sz w:val="24"/>
          <w:szCs w:val="24"/>
        </w:rPr>
        <w:t>L’enquête menée auprès des populations rurales de Korifla met en lumière une situation éducative contrastée et paradoxale d’un point de vue générationnel. Alors que 49 % des enquêtés adultes demeurent analphabètes, reflet des déficits historiques persistants, le taux d’alphabétisation de leurs enfants atteint 22 % (cf</w:t>
      </w:r>
      <w:r w:rsidRPr="002462E6">
        <w:rPr>
          <w:rFonts w:ascii="Tahoma" w:hAnsi="Tahoma" w:cs="Tahoma"/>
          <w:b/>
          <w:bCs/>
          <w:sz w:val="24"/>
          <w:szCs w:val="24"/>
        </w:rPr>
        <w:t>. Graphe n°9 et n°10).</w:t>
      </w:r>
    </w:p>
    <w:p w:rsidR="00795C28" w:rsidRPr="002462E6" w:rsidRDefault="00795C28" w:rsidP="000D57A1">
      <w:pPr>
        <w:pStyle w:val="Sous-titre"/>
      </w:pPr>
      <w:bookmarkStart w:id="436" w:name="_Toc203642540"/>
      <w:r w:rsidRPr="002462E6">
        <w:t>Graphe</w:t>
      </w:r>
      <w:r w:rsidR="00335088">
        <w:t xml:space="preserve"> </w:t>
      </w:r>
      <w:r w:rsidR="00225ED1">
        <w:rPr>
          <w:noProof/>
        </w:rPr>
        <w:fldChar w:fldCharType="begin"/>
      </w:r>
      <w:r w:rsidR="00225ED1">
        <w:rPr>
          <w:noProof/>
        </w:rPr>
        <w:instrText xml:space="preserve"> SEQ Graphe \* ARABIC </w:instrText>
      </w:r>
      <w:r w:rsidR="00225ED1">
        <w:rPr>
          <w:noProof/>
        </w:rPr>
        <w:fldChar w:fldCharType="separate"/>
      </w:r>
      <w:r w:rsidR="00124AFB">
        <w:rPr>
          <w:noProof/>
        </w:rPr>
        <w:t>8</w:t>
      </w:r>
      <w:r w:rsidR="00225ED1">
        <w:rPr>
          <w:noProof/>
        </w:rPr>
        <w:fldChar w:fldCharType="end"/>
      </w:r>
      <w:r w:rsidRPr="002462E6">
        <w:t xml:space="preserve"> : Répartition des enquêtés par niveau d’instruction</w:t>
      </w:r>
      <w:bookmarkEnd w:id="436"/>
    </w:p>
    <w:p w:rsidR="00795C28" w:rsidRPr="002462E6" w:rsidRDefault="00795C28" w:rsidP="00795C28"/>
    <w:p w:rsidR="007E399B" w:rsidRPr="002462E6" w:rsidRDefault="007E399B" w:rsidP="007E399B">
      <w:pPr>
        <w:jc w:val="center"/>
      </w:pPr>
      <w:r w:rsidRPr="002462E6">
        <w:rPr>
          <w:noProof/>
          <w:lang w:eastAsia="fr-FR"/>
        </w:rPr>
        <w:drawing>
          <wp:inline distT="0" distB="0" distL="0" distR="0" wp14:anchorId="665E0E1B" wp14:editId="415000BE">
            <wp:extent cx="5533901" cy="3289465"/>
            <wp:effectExtent l="0" t="0" r="10160" b="25400"/>
            <wp:docPr id="50" name="Graphique 50"/>
            <wp:cNvGraphicFramePr/>
            <a:graphic xmlns:a="http://schemas.openxmlformats.org/drawingml/2006/main">
              <a:graphicData uri="http://schemas.openxmlformats.org/drawingml/2006/chart">
                <c:chart xmlns:c="http://schemas.openxmlformats.org/drawingml/2006/chart" xmlns:r="http://schemas.openxmlformats.org/officeDocument/2006/relationships" r:id="rId47"/>
              </a:graphicData>
            </a:graphic>
          </wp:inline>
        </w:drawing>
      </w:r>
    </w:p>
    <w:p w:rsidR="007E399B" w:rsidRPr="002462E6" w:rsidRDefault="007E399B" w:rsidP="00946E76">
      <w:pPr>
        <w:jc w:val="center"/>
        <w:rPr>
          <w:rFonts w:ascii="Tahoma" w:hAnsi="Tahoma" w:cs="Tahoma"/>
          <w:color w:val="3E3D2D" w:themeColor="text2"/>
          <w:sz w:val="20"/>
          <w:szCs w:val="20"/>
        </w:rPr>
      </w:pPr>
      <w:r w:rsidRPr="002462E6">
        <w:rPr>
          <w:rFonts w:ascii="Tahoma" w:hAnsi="Tahoma" w:cs="Tahoma"/>
          <w:b/>
          <w:bCs/>
          <w:color w:val="3E3D2D" w:themeColor="text2"/>
          <w:sz w:val="20"/>
          <w:szCs w:val="20"/>
        </w:rPr>
        <w:t>Source</w:t>
      </w:r>
      <w:r w:rsidRPr="002462E6">
        <w:rPr>
          <w:rFonts w:ascii="Tahoma" w:hAnsi="Tahoma" w:cs="Tahoma"/>
          <w:color w:val="3E3D2D" w:themeColor="text2"/>
          <w:sz w:val="20"/>
          <w:szCs w:val="20"/>
        </w:rPr>
        <w:t xml:space="preserve"> : résultats de l’enquête</w:t>
      </w:r>
    </w:p>
    <w:p w:rsidR="007E399B" w:rsidRPr="002462E6" w:rsidRDefault="007E399B" w:rsidP="007E399B">
      <w:pPr>
        <w:pStyle w:val="Lgende"/>
        <w:rPr>
          <w:rFonts w:asciiTheme="majorBidi" w:hAnsiTheme="majorBidi" w:cstheme="majorBidi"/>
          <w:i/>
          <w:iCs/>
          <w:color w:val="auto"/>
          <w:sz w:val="24"/>
          <w:szCs w:val="24"/>
        </w:rPr>
      </w:pPr>
      <w:r w:rsidRPr="002462E6">
        <w:tab/>
      </w:r>
    </w:p>
    <w:p w:rsidR="00377E91" w:rsidRPr="002462E6" w:rsidRDefault="00377E91" w:rsidP="000D57A1">
      <w:pPr>
        <w:pStyle w:val="Sous-titre"/>
      </w:pPr>
    </w:p>
    <w:p w:rsidR="00795C28" w:rsidRPr="002462E6" w:rsidRDefault="00795C28" w:rsidP="000D57A1">
      <w:pPr>
        <w:pStyle w:val="Sous-titre"/>
      </w:pPr>
      <w:bookmarkStart w:id="437" w:name="_Toc203642541"/>
      <w:r w:rsidRPr="002462E6">
        <w:t>Graphe</w:t>
      </w:r>
      <w:r w:rsidR="00335088">
        <w:t xml:space="preserve"> </w:t>
      </w:r>
      <w:r w:rsidR="00225ED1">
        <w:rPr>
          <w:noProof/>
        </w:rPr>
        <w:fldChar w:fldCharType="begin"/>
      </w:r>
      <w:r w:rsidR="00225ED1">
        <w:rPr>
          <w:noProof/>
        </w:rPr>
        <w:instrText xml:space="preserve"> SEQ Graphe \* ARABIC </w:instrText>
      </w:r>
      <w:r w:rsidR="00225ED1">
        <w:rPr>
          <w:noProof/>
        </w:rPr>
        <w:fldChar w:fldCharType="separate"/>
      </w:r>
      <w:r w:rsidR="00124AFB">
        <w:rPr>
          <w:noProof/>
        </w:rPr>
        <w:t>9</w:t>
      </w:r>
      <w:r w:rsidR="00225ED1">
        <w:rPr>
          <w:noProof/>
        </w:rPr>
        <w:fldChar w:fldCharType="end"/>
      </w:r>
      <w:r w:rsidRPr="002462E6">
        <w:t xml:space="preserve"> : Répartition des enfants des enquêtés par niveau d’instruction</w:t>
      </w:r>
      <w:bookmarkEnd w:id="437"/>
    </w:p>
    <w:p w:rsidR="00837A5A" w:rsidRPr="002462E6" w:rsidRDefault="00837A5A" w:rsidP="00837A5A"/>
    <w:p w:rsidR="005003B3" w:rsidRPr="002462E6" w:rsidRDefault="007E399B" w:rsidP="00837A5A">
      <w:pPr>
        <w:tabs>
          <w:tab w:val="left" w:pos="4008"/>
        </w:tabs>
      </w:pPr>
      <w:r w:rsidRPr="002462E6">
        <w:rPr>
          <w:noProof/>
          <w:lang w:eastAsia="fr-FR"/>
        </w:rPr>
        <w:drawing>
          <wp:inline distT="0" distB="0" distL="0" distR="0" wp14:anchorId="3539582F" wp14:editId="73F8D0C6">
            <wp:extent cx="5854535" cy="3396343"/>
            <wp:effectExtent l="0" t="0" r="13335" b="13970"/>
            <wp:docPr id="51" name="Graphique 51"/>
            <wp:cNvGraphicFramePr/>
            <a:graphic xmlns:a="http://schemas.openxmlformats.org/drawingml/2006/main">
              <a:graphicData uri="http://schemas.openxmlformats.org/drawingml/2006/chart">
                <c:chart xmlns:c="http://schemas.openxmlformats.org/drawingml/2006/chart" xmlns:r="http://schemas.openxmlformats.org/officeDocument/2006/relationships" r:id="rId48"/>
              </a:graphicData>
            </a:graphic>
          </wp:inline>
        </w:drawing>
      </w:r>
    </w:p>
    <w:p w:rsidR="007E399B" w:rsidRPr="002462E6" w:rsidRDefault="007E399B" w:rsidP="004B128D">
      <w:pPr>
        <w:spacing w:line="360" w:lineRule="auto"/>
        <w:jc w:val="center"/>
        <w:rPr>
          <w:rFonts w:ascii="Tahoma" w:hAnsi="Tahoma" w:cs="Tahoma"/>
          <w:sz w:val="20"/>
          <w:szCs w:val="20"/>
        </w:rPr>
      </w:pPr>
      <w:r w:rsidRPr="002462E6">
        <w:rPr>
          <w:rFonts w:asciiTheme="majorBidi" w:hAnsiTheme="majorBidi" w:cstheme="majorBidi"/>
          <w:b/>
          <w:bCs/>
          <w:sz w:val="20"/>
          <w:szCs w:val="20"/>
        </w:rPr>
        <w:t>Source</w:t>
      </w:r>
      <w:r w:rsidRPr="002462E6">
        <w:rPr>
          <w:rFonts w:asciiTheme="majorBidi" w:hAnsiTheme="majorBidi" w:cstheme="majorBidi"/>
          <w:sz w:val="20"/>
          <w:szCs w:val="20"/>
        </w:rPr>
        <w:t xml:space="preserve"> : résultats de l’enquête</w:t>
      </w:r>
    </w:p>
    <w:p w:rsidR="005003B3" w:rsidRPr="002462E6" w:rsidRDefault="005003B3" w:rsidP="004B128D">
      <w:pPr>
        <w:spacing w:line="360" w:lineRule="auto"/>
        <w:jc w:val="both"/>
        <w:rPr>
          <w:rFonts w:ascii="Tahoma" w:hAnsi="Tahoma" w:cs="Tahoma"/>
          <w:sz w:val="24"/>
          <w:szCs w:val="24"/>
        </w:rPr>
      </w:pPr>
    </w:p>
    <w:p w:rsidR="004E542C" w:rsidRPr="002462E6" w:rsidRDefault="004E542C" w:rsidP="004E542C">
      <w:pPr>
        <w:spacing w:line="360" w:lineRule="auto"/>
        <w:jc w:val="both"/>
        <w:rPr>
          <w:rFonts w:ascii="Tahoma" w:hAnsi="Tahoma" w:cs="Tahoma"/>
          <w:sz w:val="24"/>
          <w:szCs w:val="24"/>
        </w:rPr>
      </w:pPr>
      <w:r w:rsidRPr="002462E6">
        <w:rPr>
          <w:rFonts w:ascii="Tahoma" w:hAnsi="Tahoma" w:cs="Tahoma"/>
          <w:sz w:val="24"/>
          <w:szCs w:val="24"/>
        </w:rPr>
        <w:t>Les résultats, ci-dessus, soulèvent des interrogations quant à l’efficacité des politiques éducatives territoriales mises en œuvre, notamment leur capacité à interrompre les mécanismes de reproduction des inégalités socio-spatiales et à promouvoir une inclusion véritable</w:t>
      </w:r>
      <w:r w:rsidRPr="002462E6">
        <w:rPr>
          <w:rFonts w:ascii="Tahoma" w:hAnsi="Tahoma" w:cs="Tahoma"/>
          <w:sz w:val="24"/>
          <w:szCs w:val="24"/>
          <w:vertAlign w:val="superscript"/>
        </w:rPr>
        <w:footnoteReference w:id="902"/>
      </w:r>
      <w:r w:rsidRPr="002462E6">
        <w:rPr>
          <w:rFonts w:ascii="Tahoma" w:hAnsi="Tahoma" w:cs="Tahoma"/>
          <w:sz w:val="24"/>
          <w:szCs w:val="24"/>
        </w:rPr>
        <w:t>.</w:t>
      </w:r>
    </w:p>
    <w:p w:rsidR="004E542C" w:rsidRPr="002462E6" w:rsidRDefault="004E542C" w:rsidP="004E542C">
      <w:pPr>
        <w:spacing w:line="360" w:lineRule="auto"/>
        <w:jc w:val="both"/>
        <w:rPr>
          <w:rFonts w:ascii="Tahoma" w:hAnsi="Tahoma" w:cs="Tahoma"/>
          <w:sz w:val="24"/>
          <w:szCs w:val="24"/>
        </w:rPr>
      </w:pPr>
      <w:r w:rsidRPr="002462E6">
        <w:rPr>
          <w:rFonts w:ascii="Tahoma" w:hAnsi="Tahoma" w:cs="Tahoma"/>
          <w:sz w:val="24"/>
          <w:szCs w:val="24"/>
        </w:rPr>
        <w:t>Par ailleurs, l'éloignement géographique constitue un déterminant de l'exclusion scolaire qui affecte 53% des communautés enquêtées, contraintes d'accéder à des établissements scolaires situés à plus de 3 kilomètres de leur douar (graphique, ci-dessous). Cette distance critique dépasse largement les seuils recommandés par les organisations internationales pour garantir un accès équitable à l'éducation primaire.</w:t>
      </w:r>
    </w:p>
    <w:p w:rsidR="005003B3" w:rsidRPr="002462E6" w:rsidRDefault="005003B3">
      <w:pPr>
        <w:rPr>
          <w:rFonts w:ascii="Tahoma" w:eastAsia="Times New Roman" w:hAnsi="Tahoma" w:cs="Tahoma"/>
          <w:b/>
          <w:bCs/>
          <w:sz w:val="20"/>
          <w:szCs w:val="20"/>
        </w:rPr>
      </w:pPr>
      <w:r w:rsidRPr="002462E6">
        <w:br w:type="page"/>
      </w:r>
    </w:p>
    <w:p w:rsidR="00795C28" w:rsidRPr="002462E6" w:rsidRDefault="00795C28" w:rsidP="000D57A1">
      <w:pPr>
        <w:pStyle w:val="Sous-titre"/>
      </w:pPr>
      <w:bookmarkStart w:id="438" w:name="_Toc203642542"/>
      <w:r w:rsidRPr="002462E6">
        <w:t>Graphe</w:t>
      </w:r>
      <w:r w:rsidR="00335088">
        <w:t xml:space="preserve"> </w:t>
      </w:r>
      <w:r w:rsidR="00225ED1">
        <w:rPr>
          <w:noProof/>
        </w:rPr>
        <w:fldChar w:fldCharType="begin"/>
      </w:r>
      <w:r w:rsidR="00225ED1">
        <w:rPr>
          <w:noProof/>
        </w:rPr>
        <w:instrText xml:space="preserve"> SEQ Graphe \* ARABIC </w:instrText>
      </w:r>
      <w:r w:rsidR="00225ED1">
        <w:rPr>
          <w:noProof/>
        </w:rPr>
        <w:fldChar w:fldCharType="separate"/>
      </w:r>
      <w:r w:rsidR="00124AFB">
        <w:rPr>
          <w:noProof/>
        </w:rPr>
        <w:t>10</w:t>
      </w:r>
      <w:r w:rsidR="00225ED1">
        <w:rPr>
          <w:noProof/>
        </w:rPr>
        <w:fldChar w:fldCharType="end"/>
      </w:r>
      <w:r w:rsidRPr="002462E6">
        <w:t xml:space="preserve">  : Graphique : Répartition des enquêtés selon la distance domicile-école (supérieure à 3 km)</w:t>
      </w:r>
      <w:bookmarkEnd w:id="438"/>
    </w:p>
    <w:p w:rsidR="007E399B" w:rsidRPr="002462E6" w:rsidRDefault="007E399B" w:rsidP="007E399B">
      <w:r w:rsidRPr="002462E6">
        <w:rPr>
          <w:noProof/>
          <w:lang w:eastAsia="fr-FR"/>
        </w:rPr>
        <w:drawing>
          <wp:inline distT="0" distB="0" distL="0" distR="0" wp14:anchorId="2B6E23A2" wp14:editId="3B59C050">
            <wp:extent cx="5628904" cy="2968832"/>
            <wp:effectExtent l="0" t="0" r="10160" b="22225"/>
            <wp:docPr id="956995661" name="Graphique 956995661"/>
            <wp:cNvGraphicFramePr/>
            <a:graphic xmlns:a="http://schemas.openxmlformats.org/drawingml/2006/main">
              <a:graphicData uri="http://schemas.openxmlformats.org/drawingml/2006/chart">
                <c:chart xmlns:c="http://schemas.openxmlformats.org/drawingml/2006/chart" xmlns:r="http://schemas.openxmlformats.org/officeDocument/2006/relationships" r:id="rId49"/>
              </a:graphicData>
            </a:graphic>
          </wp:inline>
        </w:drawing>
      </w:r>
    </w:p>
    <w:p w:rsidR="007E399B" w:rsidRPr="002462E6" w:rsidRDefault="007E399B" w:rsidP="00946E76">
      <w:pPr>
        <w:spacing w:line="360" w:lineRule="auto"/>
        <w:jc w:val="center"/>
        <w:rPr>
          <w:rFonts w:ascii="Tahoma" w:hAnsi="Tahoma" w:cs="Tahoma"/>
          <w:sz w:val="20"/>
          <w:szCs w:val="20"/>
        </w:rPr>
      </w:pPr>
      <w:r w:rsidRPr="002462E6">
        <w:rPr>
          <w:rFonts w:asciiTheme="majorBidi" w:hAnsiTheme="majorBidi" w:cstheme="majorBidi"/>
          <w:b/>
          <w:bCs/>
          <w:sz w:val="20"/>
          <w:szCs w:val="20"/>
        </w:rPr>
        <w:t>Source</w:t>
      </w:r>
      <w:r w:rsidRPr="002462E6">
        <w:rPr>
          <w:rFonts w:asciiTheme="majorBidi" w:hAnsiTheme="majorBidi" w:cstheme="majorBidi"/>
          <w:sz w:val="20"/>
          <w:szCs w:val="20"/>
        </w:rPr>
        <w:t xml:space="preserve"> : résultats de l’enquête</w:t>
      </w:r>
    </w:p>
    <w:p w:rsidR="009368F2" w:rsidRPr="002462E6" w:rsidRDefault="009368F2" w:rsidP="002A5B6E">
      <w:pPr>
        <w:spacing w:line="360" w:lineRule="auto"/>
        <w:jc w:val="both"/>
        <w:rPr>
          <w:rFonts w:ascii="Tahoma" w:hAnsi="Tahoma" w:cs="Tahoma"/>
          <w:sz w:val="24"/>
          <w:szCs w:val="24"/>
          <w:lang w:eastAsia="fr-FR"/>
        </w:rPr>
      </w:pPr>
      <w:r w:rsidRPr="002462E6">
        <w:rPr>
          <w:rFonts w:ascii="Tahoma" w:hAnsi="Tahoma" w:cs="Tahoma"/>
          <w:sz w:val="24"/>
          <w:szCs w:val="24"/>
          <w:lang w:eastAsia="fr-FR"/>
        </w:rPr>
        <w:t>Cette contrainte géographique génère des coûts directs et indirects qui compromettent la scolarisation, particulièrement des enfants issus de familles précaires. Les coûts de transport, les risques sécuritaires liés aux déplacements quotidiens et la fatigue causée par les logngs trajets constituent autant d'obstacles qui découragent la fréquentation scolaire régulière et favorisent l'abandon précoce.</w:t>
      </w:r>
    </w:p>
    <w:p w:rsidR="009368F2" w:rsidRPr="002462E6" w:rsidRDefault="009368F2" w:rsidP="002A5B6E">
      <w:pPr>
        <w:spacing w:line="360" w:lineRule="auto"/>
        <w:jc w:val="both"/>
        <w:rPr>
          <w:rFonts w:ascii="Tahoma" w:hAnsi="Tahoma" w:cs="Tahoma"/>
          <w:sz w:val="24"/>
          <w:szCs w:val="24"/>
          <w:lang w:eastAsia="fr-FR"/>
        </w:rPr>
      </w:pPr>
      <w:r w:rsidRPr="002462E6">
        <w:rPr>
          <w:rFonts w:ascii="Tahoma" w:hAnsi="Tahoma" w:cs="Tahoma"/>
          <w:sz w:val="24"/>
          <w:szCs w:val="24"/>
          <w:lang w:eastAsia="fr-FR"/>
        </w:rPr>
        <w:t>Par ailleurs, la distance géographique aux établissements scolaires impacte différentiellement la scolarisation selon le genre, perpétuant les inégalités traditionnelles qui caractérisent les sociétés rurales. Les filles sont disproportionnellement affectées par l'éloignement géographique en raison des préoccupations sécuritaires familiales et des représentations socioculturelles qui privilégient leur contribution aux activités domestiques.</w:t>
      </w:r>
    </w:p>
    <w:p w:rsidR="009368F2" w:rsidRPr="002462E6" w:rsidRDefault="009368F2" w:rsidP="002A5B6E">
      <w:pPr>
        <w:spacing w:line="360" w:lineRule="auto"/>
        <w:jc w:val="both"/>
        <w:rPr>
          <w:rFonts w:ascii="Tahoma" w:hAnsi="Tahoma" w:cs="Tahoma"/>
          <w:sz w:val="24"/>
          <w:szCs w:val="24"/>
          <w:lang w:eastAsia="fr-FR"/>
        </w:rPr>
      </w:pPr>
      <w:r w:rsidRPr="002462E6">
        <w:rPr>
          <w:rFonts w:ascii="Tahoma" w:hAnsi="Tahoma" w:cs="Tahoma"/>
          <w:sz w:val="24"/>
          <w:szCs w:val="24"/>
          <w:lang w:eastAsia="fr-FR"/>
        </w:rPr>
        <w:t>Dans la perspective théorique développée par Amartya Sen, l’éducation constitue une liberté substantielle essentielle, conditionnant l’accès à d’autres libertés et déterminant les possibilités d’émancipation économique et sociale</w:t>
      </w:r>
      <w:r w:rsidRPr="002462E6">
        <w:rPr>
          <w:rFonts w:ascii="Tahoma" w:hAnsi="Tahoma" w:cs="Tahoma"/>
          <w:sz w:val="24"/>
          <w:szCs w:val="24"/>
          <w:vertAlign w:val="superscript"/>
          <w:lang w:eastAsia="fr-FR"/>
        </w:rPr>
        <w:footnoteReference w:id="903"/>
      </w:r>
      <w:r w:rsidRPr="002462E6">
        <w:rPr>
          <w:rFonts w:ascii="Tahoma" w:hAnsi="Tahoma" w:cs="Tahoma"/>
          <w:sz w:val="24"/>
          <w:szCs w:val="24"/>
          <w:lang w:eastAsia="fr-FR"/>
        </w:rPr>
        <w:t>. Les défaillances éducatives observées en milieu rural compromettent ainsi le développement des capabilités individuelles et restreignent les opportunités de choix de vie des populations concernées. L’analphabétisme limite les capacités d’accès à l’information, la participation aux processus décisionnels et l’adoption de pratiques innovantes, notamment en matière de gestion des ressources naturelles</w:t>
      </w:r>
      <w:r w:rsidRPr="002462E6">
        <w:rPr>
          <w:rFonts w:ascii="Tahoma" w:hAnsi="Tahoma" w:cs="Tahoma"/>
          <w:sz w:val="24"/>
          <w:szCs w:val="24"/>
          <w:vertAlign w:val="superscript"/>
          <w:lang w:eastAsia="fr-FR"/>
        </w:rPr>
        <w:footnoteReference w:id="904"/>
      </w:r>
      <w:r w:rsidRPr="002462E6">
        <w:rPr>
          <w:rFonts w:ascii="Tahoma" w:hAnsi="Tahoma" w:cs="Tahoma"/>
          <w:sz w:val="24"/>
          <w:szCs w:val="24"/>
          <w:lang w:eastAsia="fr-FR"/>
        </w:rPr>
        <w:t>.</w:t>
      </w:r>
    </w:p>
    <w:p w:rsidR="009368F2" w:rsidRPr="002462E6" w:rsidRDefault="009368F2" w:rsidP="002A5B6E">
      <w:pPr>
        <w:spacing w:line="360" w:lineRule="auto"/>
        <w:jc w:val="both"/>
        <w:rPr>
          <w:rFonts w:ascii="Tahoma" w:hAnsi="Tahoma" w:cs="Tahoma"/>
          <w:sz w:val="24"/>
          <w:szCs w:val="24"/>
          <w:lang w:eastAsia="fr-FR"/>
        </w:rPr>
      </w:pPr>
      <w:r w:rsidRPr="002462E6">
        <w:rPr>
          <w:rFonts w:ascii="Tahoma" w:hAnsi="Tahoma" w:cs="Tahoma"/>
          <w:sz w:val="24"/>
          <w:szCs w:val="24"/>
          <w:lang w:eastAsia="fr-FR"/>
        </w:rPr>
        <w:t>Selon les données recueillies auprès des répondants, l'accessibilité éducative dans la région de Korifla constitue un enjeu structurel majeur, caractérisé par la convergence de multiples facteurs contraignants. L'analyse des témoignages révèle que l'isolement géographique, la précarité socio-économique et les défaillances infrastructurelles s'articulent en un système d'obstacles interdépendants qui compromettent fondamentalement l'exerc</w:t>
      </w:r>
      <w:r w:rsidR="00B30CB6" w:rsidRPr="002462E6">
        <w:rPr>
          <w:rFonts w:ascii="Tahoma" w:hAnsi="Tahoma" w:cs="Tahoma"/>
          <w:sz w:val="24"/>
          <w:szCs w:val="24"/>
          <w:lang w:eastAsia="fr-FR"/>
        </w:rPr>
        <w:t>ic</w:t>
      </w:r>
      <w:r w:rsidRPr="002462E6">
        <w:rPr>
          <w:rFonts w:ascii="Tahoma" w:hAnsi="Tahoma" w:cs="Tahoma"/>
          <w:sz w:val="24"/>
          <w:szCs w:val="24"/>
          <w:lang w:eastAsia="fr-FR"/>
        </w:rPr>
        <w:t xml:space="preserve"> du droit à l'éducation (cf.</w:t>
      </w:r>
      <w:r w:rsidRPr="009406B5">
        <w:rPr>
          <w:rFonts w:ascii="Tahoma" w:hAnsi="Tahoma" w:cs="Tahoma"/>
          <w:b/>
          <w:bCs/>
          <w:sz w:val="24"/>
          <w:szCs w:val="24"/>
          <w:lang w:eastAsia="fr-FR"/>
        </w:rPr>
        <w:t>Graphe n</w:t>
      </w:r>
      <w:r w:rsidR="009406B5" w:rsidRPr="009406B5">
        <w:rPr>
          <w:rFonts w:ascii="Tahoma" w:hAnsi="Tahoma" w:cs="Tahoma"/>
          <w:b/>
          <w:bCs/>
          <w:sz w:val="24"/>
          <w:szCs w:val="24"/>
          <w:lang w:eastAsia="fr-FR"/>
        </w:rPr>
        <w:t>°</w:t>
      </w:r>
      <w:r w:rsidRPr="009406B5">
        <w:rPr>
          <w:rFonts w:ascii="Tahoma" w:hAnsi="Tahoma" w:cs="Tahoma"/>
          <w:b/>
          <w:bCs/>
          <w:sz w:val="24"/>
          <w:szCs w:val="24"/>
          <w:lang w:eastAsia="fr-FR"/>
        </w:rPr>
        <w:t>12</w:t>
      </w:r>
      <w:r w:rsidRPr="002462E6">
        <w:rPr>
          <w:rFonts w:ascii="Tahoma" w:hAnsi="Tahoma" w:cs="Tahoma"/>
          <w:sz w:val="24"/>
          <w:szCs w:val="24"/>
          <w:lang w:eastAsia="fr-FR"/>
        </w:rPr>
        <w:t>).</w:t>
      </w:r>
    </w:p>
    <w:p w:rsidR="009368F2" w:rsidRPr="002462E6" w:rsidRDefault="009368F2" w:rsidP="009368F2">
      <w:pPr>
        <w:rPr>
          <w:lang w:eastAsia="fr-FR"/>
        </w:rPr>
      </w:pPr>
    </w:p>
    <w:p w:rsidR="009D27E5" w:rsidRPr="002462E6" w:rsidRDefault="009D27E5" w:rsidP="000D57A1">
      <w:pPr>
        <w:pStyle w:val="Sous-titre"/>
      </w:pPr>
      <w:bookmarkStart w:id="439" w:name="_Toc203642543"/>
      <w:r w:rsidRPr="002462E6">
        <w:t xml:space="preserve">Graphe </w:t>
      </w:r>
      <w:r w:rsidR="00225ED1">
        <w:rPr>
          <w:noProof/>
        </w:rPr>
        <w:fldChar w:fldCharType="begin"/>
      </w:r>
      <w:r w:rsidR="00225ED1">
        <w:rPr>
          <w:noProof/>
        </w:rPr>
        <w:instrText xml:space="preserve"> SEQ Graphe \* ARABIC </w:instrText>
      </w:r>
      <w:r w:rsidR="00225ED1">
        <w:rPr>
          <w:noProof/>
        </w:rPr>
        <w:fldChar w:fldCharType="separate"/>
      </w:r>
      <w:r w:rsidR="00124AFB">
        <w:rPr>
          <w:noProof/>
        </w:rPr>
        <w:t>11</w:t>
      </w:r>
      <w:r w:rsidR="00225ED1">
        <w:rPr>
          <w:noProof/>
        </w:rPr>
        <w:fldChar w:fldCharType="end"/>
      </w:r>
      <w:r w:rsidRPr="002462E6">
        <w:t xml:space="preserve"> : Principaux problèmes rencontrés vis-à-vis de la poursuite des études dans la zone d’étude</w:t>
      </w:r>
      <w:bookmarkEnd w:id="439"/>
    </w:p>
    <w:p w:rsidR="007E399B" w:rsidRPr="002462E6" w:rsidRDefault="007E399B" w:rsidP="007E399B">
      <w:r w:rsidRPr="002462E6">
        <w:rPr>
          <w:noProof/>
          <w:lang w:eastAsia="fr-FR"/>
        </w:rPr>
        <w:drawing>
          <wp:inline distT="0" distB="0" distL="0" distR="0" wp14:anchorId="7D339B52" wp14:editId="3FDA85F6">
            <wp:extent cx="6388925" cy="3313215"/>
            <wp:effectExtent l="0" t="0" r="12065" b="20955"/>
            <wp:docPr id="52" name="Graphique 52"/>
            <wp:cNvGraphicFramePr/>
            <a:graphic xmlns:a="http://schemas.openxmlformats.org/drawingml/2006/main">
              <a:graphicData uri="http://schemas.openxmlformats.org/drawingml/2006/chart">
                <c:chart xmlns:c="http://schemas.openxmlformats.org/drawingml/2006/chart" xmlns:r="http://schemas.openxmlformats.org/officeDocument/2006/relationships" r:id="rId50"/>
              </a:graphicData>
            </a:graphic>
          </wp:inline>
        </w:drawing>
      </w:r>
    </w:p>
    <w:p w:rsidR="007E399B" w:rsidRPr="002462E6" w:rsidRDefault="007E399B" w:rsidP="00946E76">
      <w:pPr>
        <w:spacing w:before="100" w:beforeAutospacing="1" w:after="100" w:afterAutospacing="1" w:line="360" w:lineRule="auto"/>
        <w:jc w:val="center"/>
        <w:rPr>
          <w:rFonts w:ascii="Tahoma" w:hAnsi="Tahoma" w:cs="Tahoma"/>
          <w:sz w:val="20"/>
          <w:szCs w:val="20"/>
          <w:lang w:eastAsia="fr-FR"/>
        </w:rPr>
      </w:pPr>
      <w:r w:rsidRPr="002462E6">
        <w:rPr>
          <w:rFonts w:ascii="Tahoma" w:hAnsi="Tahoma" w:cs="Tahoma"/>
          <w:b/>
          <w:bCs/>
          <w:sz w:val="20"/>
          <w:szCs w:val="20"/>
          <w:lang w:eastAsia="fr-FR"/>
        </w:rPr>
        <w:t>Source</w:t>
      </w:r>
      <w:r w:rsidRPr="002462E6">
        <w:rPr>
          <w:rFonts w:ascii="Tahoma" w:hAnsi="Tahoma" w:cs="Tahoma"/>
          <w:sz w:val="20"/>
          <w:szCs w:val="20"/>
          <w:lang w:eastAsia="fr-FR"/>
        </w:rPr>
        <w:t xml:space="preserve"> : résultats de l’enquête</w:t>
      </w:r>
    </w:p>
    <w:p w:rsidR="007E399B" w:rsidRPr="002462E6" w:rsidRDefault="007E399B" w:rsidP="007E399B">
      <w:pPr>
        <w:spacing w:before="100" w:beforeAutospacing="1" w:after="100" w:afterAutospacing="1" w:line="360" w:lineRule="auto"/>
        <w:jc w:val="both"/>
        <w:rPr>
          <w:rFonts w:ascii="Tahoma" w:hAnsi="Tahoma" w:cs="Tahoma"/>
          <w:sz w:val="24"/>
          <w:szCs w:val="24"/>
          <w:lang w:eastAsia="fr-FR"/>
        </w:rPr>
      </w:pPr>
      <w:r w:rsidRPr="002462E6">
        <w:rPr>
          <w:rFonts w:ascii="Tahoma" w:hAnsi="Tahoma" w:cs="Tahoma"/>
          <w:sz w:val="24"/>
          <w:szCs w:val="24"/>
          <w:lang w:eastAsia="fr-FR"/>
        </w:rPr>
        <w:t>L'analyse graphique révèle la prédominance écrasante de l'éloignement de l'école primaire comme facteur d'exclusion scolaire. Cette domination statistique, qui représente approximativement 75% des réponses, témoigne d'un dysfonctionnement structurel majeur dans la planification territoriale des infrastructures éducatives.</w:t>
      </w:r>
    </w:p>
    <w:p w:rsidR="007E399B" w:rsidRPr="002462E6" w:rsidRDefault="007E399B" w:rsidP="007E399B">
      <w:pPr>
        <w:spacing w:before="100" w:beforeAutospacing="1" w:after="100" w:afterAutospacing="1" w:line="360" w:lineRule="auto"/>
        <w:jc w:val="both"/>
        <w:rPr>
          <w:rFonts w:ascii="Tahoma" w:hAnsi="Tahoma" w:cs="Tahoma"/>
          <w:sz w:val="24"/>
          <w:szCs w:val="24"/>
          <w:lang w:eastAsia="fr-FR"/>
        </w:rPr>
      </w:pPr>
      <w:r w:rsidRPr="002462E6">
        <w:rPr>
          <w:rFonts w:ascii="Tahoma" w:hAnsi="Tahoma" w:cs="Tahoma"/>
          <w:sz w:val="24"/>
          <w:szCs w:val="24"/>
          <w:lang w:eastAsia="fr-FR"/>
        </w:rPr>
        <w:t>Cette prépondérance quantitative n'est pas seulement révélatrice d'un problème d'accessibilité ponctuel, mais traduit une inadéquation systémique entre l'offre éducative territoriale et la répartition spatiale des populations rurales. L'ampleur de cet écart suggère que les politiques de planification scolaire ont été conçues selon des logiques urbaines inadaptées aux spécificités de l'habitat rural dispersé.</w:t>
      </w:r>
    </w:p>
    <w:p w:rsidR="007E399B" w:rsidRPr="002462E6" w:rsidRDefault="007E399B" w:rsidP="007E399B">
      <w:pPr>
        <w:spacing w:before="100" w:beforeAutospacing="1" w:after="100" w:afterAutospacing="1" w:line="360" w:lineRule="auto"/>
        <w:jc w:val="both"/>
        <w:rPr>
          <w:rFonts w:ascii="Tahoma" w:hAnsi="Tahoma" w:cs="Tahoma"/>
          <w:sz w:val="24"/>
          <w:szCs w:val="24"/>
          <w:lang w:eastAsia="fr-FR"/>
        </w:rPr>
      </w:pPr>
      <w:r w:rsidRPr="002462E6">
        <w:rPr>
          <w:rFonts w:ascii="Tahoma" w:hAnsi="Tahoma" w:cs="Tahoma"/>
          <w:sz w:val="24"/>
          <w:szCs w:val="24"/>
          <w:lang w:eastAsia="fr-FR"/>
        </w:rPr>
        <w:t>La distance géographique aux établissements scolaires génère des effets cascades qui transcendent la seule contrainte logistique. Elle engendre des coûts directs et indirects (transport, temps de déplacement, risques sécuritaires) qui pèsent disproportionnellement sur les familles rurales déjà fragilisées par la précarité socio-économique.</w:t>
      </w:r>
    </w:p>
    <w:p w:rsidR="005C6307" w:rsidRPr="002462E6" w:rsidRDefault="005C6307" w:rsidP="005C6307">
      <w:pPr>
        <w:spacing w:before="100" w:beforeAutospacing="1" w:after="100" w:afterAutospacing="1" w:line="360" w:lineRule="auto"/>
        <w:jc w:val="both"/>
        <w:rPr>
          <w:rFonts w:ascii="Tahoma" w:hAnsi="Tahoma" w:cs="Tahoma"/>
          <w:sz w:val="24"/>
          <w:szCs w:val="24"/>
          <w:lang w:eastAsia="fr-FR"/>
        </w:rPr>
      </w:pPr>
      <w:r w:rsidRPr="002462E6">
        <w:rPr>
          <w:rFonts w:ascii="Tahoma" w:hAnsi="Tahoma" w:cs="Tahoma"/>
          <w:sz w:val="24"/>
          <w:szCs w:val="24"/>
          <w:lang w:eastAsia="fr-FR"/>
        </w:rPr>
        <w:t>Cette contrainte spatiale affecte différentiellement les catégories sociales et les genres, constituant un mécanisme de reproduction des inégalités qui pénalise prioritairement les filles et les enfants issus de familles précaires. L'éloignement géographique devient ainsi un prétexte objectif qui légitime des pratiques discriminatoires ancrées dans les structures sociales traditionnelles. Par ailleurs, l'analyse révèle un facteur secondaire d'obstacles liés aux défaillances du système de transport scolaire, affectant environ 6-8 enquêtés au total selon les différentes modalités identifiées (indisponibilité, cherté, redoublement des contraintes). Cette configuration témoigne de l'absence de politiques publiques cohérentes pour pallier les contraintes géographiques par des solutions de mobilité adaptées.</w:t>
      </w:r>
    </w:p>
    <w:p w:rsidR="005C6307" w:rsidRPr="002462E6" w:rsidRDefault="005C6307" w:rsidP="005C6307">
      <w:pPr>
        <w:spacing w:before="100" w:beforeAutospacing="1" w:after="100" w:afterAutospacing="1" w:line="360" w:lineRule="auto"/>
        <w:jc w:val="both"/>
        <w:rPr>
          <w:rFonts w:ascii="Tahoma" w:hAnsi="Tahoma" w:cs="Tahoma"/>
          <w:sz w:val="24"/>
          <w:szCs w:val="24"/>
          <w:lang w:eastAsia="fr-FR"/>
        </w:rPr>
      </w:pPr>
      <w:r w:rsidRPr="002462E6">
        <w:rPr>
          <w:rFonts w:ascii="Tahoma" w:hAnsi="Tahoma" w:cs="Tahoma"/>
          <w:sz w:val="24"/>
          <w:szCs w:val="24"/>
          <w:lang w:eastAsia="fr-FR"/>
        </w:rPr>
        <w:t>L'indisponibilité du transport scolaire révèle une carence dans la conception intégrée des politiques éducatives territoriales, où la planification des infrastructures scolaires ne s'accompagne pas d'une réflexion sur les modalités d'accès. Cette fragmentation sectorielle compromet l'efficacité globale des investissements publics dans l'éducation rurale.</w:t>
      </w:r>
    </w:p>
    <w:p w:rsidR="007E399B" w:rsidRPr="002462E6" w:rsidRDefault="007E399B" w:rsidP="007E399B">
      <w:pPr>
        <w:spacing w:before="100" w:beforeAutospacing="1" w:after="100" w:afterAutospacing="1" w:line="360" w:lineRule="auto"/>
        <w:jc w:val="both"/>
        <w:rPr>
          <w:rFonts w:ascii="Tahoma" w:hAnsi="Tahoma" w:cs="Tahoma"/>
          <w:sz w:val="24"/>
          <w:szCs w:val="24"/>
          <w:lang w:eastAsia="fr-FR"/>
        </w:rPr>
      </w:pPr>
      <w:r w:rsidRPr="002462E6">
        <w:rPr>
          <w:rFonts w:ascii="Tahoma" w:hAnsi="Tahoma" w:cs="Tahoma"/>
          <w:sz w:val="24"/>
          <w:szCs w:val="24"/>
          <w:lang w:eastAsia="fr-FR"/>
        </w:rPr>
        <w:t>Par ailleurs, l'inexistence du collège dans le douar, affectant environ 5-6 enquêtés, révèle une rupture territoriale spécifique qui s'opère lors de la transition vers l'enseignement secondaire. Cette discontinuité géographique de l'offre éducative constitue un facteur critique d'abandon scolaire, particulièrement préjudiciable aux trajectoires éducatives des enfants ruraux.</w:t>
      </w:r>
    </w:p>
    <w:p w:rsidR="007E399B" w:rsidRPr="002462E6" w:rsidRDefault="007E399B" w:rsidP="007E399B">
      <w:pPr>
        <w:spacing w:before="100" w:beforeAutospacing="1" w:after="100" w:afterAutospacing="1" w:line="360" w:lineRule="auto"/>
        <w:jc w:val="both"/>
        <w:rPr>
          <w:rFonts w:ascii="Tahoma" w:hAnsi="Tahoma" w:cs="Tahoma"/>
          <w:sz w:val="24"/>
          <w:szCs w:val="24"/>
          <w:lang w:eastAsia="fr-FR"/>
        </w:rPr>
      </w:pPr>
      <w:r w:rsidRPr="002462E6">
        <w:rPr>
          <w:rFonts w:ascii="Tahoma" w:hAnsi="Tahoma" w:cs="Tahoma"/>
          <w:sz w:val="24"/>
          <w:szCs w:val="24"/>
          <w:lang w:eastAsia="fr-FR"/>
        </w:rPr>
        <w:t>Les raisons économiques, bien qu'affectant seulement 2-3 enquêtés, constituent un indicateur révélateur de la précarité structurelle qui caractérise une fraction des populations rurales. Cette marginalité quantitative ne doit pas occulter la gravité qualitative de ces situations où la pauvreté constitue un obstacle direct à l'exercice du droit à l'éducation.</w:t>
      </w:r>
    </w:p>
    <w:p w:rsidR="007E399B" w:rsidRPr="002462E6" w:rsidRDefault="007E399B" w:rsidP="005A2E68">
      <w:pPr>
        <w:spacing w:before="100" w:beforeAutospacing="1" w:after="100" w:afterAutospacing="1" w:line="360" w:lineRule="auto"/>
        <w:jc w:val="both"/>
        <w:rPr>
          <w:rFonts w:ascii="Tahoma" w:hAnsi="Tahoma" w:cs="Tahoma"/>
          <w:noProof/>
          <w:sz w:val="24"/>
          <w:szCs w:val="24"/>
          <w:lang w:eastAsia="fr-FR"/>
        </w:rPr>
      </w:pPr>
      <w:r w:rsidRPr="002462E6">
        <w:rPr>
          <w:rFonts w:ascii="Tahoma" w:hAnsi="Tahoma" w:cs="Tahoma"/>
          <w:sz w:val="24"/>
          <w:szCs w:val="24"/>
          <w:lang w:eastAsia="fr-FR"/>
        </w:rPr>
        <w:t xml:space="preserve">L'indisponibilité du livret de famille, mentionnée par 2-3 enquêtés, révèle l'existence d'obstacles administratifs qui, bien que quantitativement marginaux, témoignent de dysfonctionnements procéduraux dans l'accès aux services publics. Ces contraintes </w:t>
      </w:r>
      <w:r w:rsidR="005A2E68" w:rsidRPr="002462E6">
        <w:rPr>
          <w:rFonts w:ascii="Tahoma" w:hAnsi="Tahoma" w:cs="Tahoma"/>
          <w:sz w:val="24"/>
          <w:szCs w:val="24"/>
          <w:lang w:eastAsia="fr-FR"/>
        </w:rPr>
        <w:t>bureaucratiques pénalisent prioritairement les populations les plus éloignées des centres administratifs et les moins familiarisées avec les procédures officielles. Cette problématique souligne la nécessité d'une simplification administrative et d'une adaptation des procédures aux spécificités rurales, où l'accès aux services administratifs constitue souvent un défi logistique comparable à l'accès aux services éducatifs eux-mêmes. L'ensemble de ces contraintes -géographiques, économiques et administratives - génère des vulnérabilités éducatives différenciées selon les territoires, dont l'ampleur et la répartition spatiale sont détaillées dans le tableau relatif à l'indice synthétique éducatif</w:t>
      </w:r>
      <w:r w:rsidR="005A2E68" w:rsidRPr="002462E6">
        <w:rPr>
          <w:rFonts w:ascii="Tahoma" w:hAnsi="Tahoma" w:cs="Tahoma"/>
          <w:sz w:val="24"/>
          <w:szCs w:val="24"/>
          <w:vertAlign w:val="superscript"/>
          <w:lang w:eastAsia="fr-FR"/>
        </w:rPr>
        <w:footnoteReference w:id="905"/>
      </w:r>
      <w:r w:rsidR="005A2E68" w:rsidRPr="002462E6">
        <w:rPr>
          <w:rFonts w:ascii="Tahoma" w:hAnsi="Tahoma" w:cs="Tahoma"/>
          <w:sz w:val="24"/>
          <w:szCs w:val="24"/>
          <w:lang w:eastAsia="fr-FR"/>
        </w:rPr>
        <w:t>, (Cf. Tableau n°11)</w:t>
      </w:r>
      <w:r w:rsidRPr="002462E6">
        <w:rPr>
          <w:rFonts w:ascii="Tahoma" w:hAnsi="Tahoma" w:cs="Tahoma"/>
          <w:noProof/>
          <w:sz w:val="24"/>
          <w:szCs w:val="24"/>
          <w:lang w:eastAsia="fr-FR"/>
        </w:rPr>
        <w:br w:type="page"/>
      </w:r>
    </w:p>
    <w:p w:rsidR="00946E76" w:rsidRPr="002462E6" w:rsidRDefault="00946E76" w:rsidP="000D57A1">
      <w:pPr>
        <w:pStyle w:val="Sous-titre"/>
        <w:rPr>
          <w:noProof/>
        </w:rPr>
      </w:pPr>
      <w:bookmarkStart w:id="440" w:name="_Toc203642509"/>
      <w:r w:rsidRPr="002462E6">
        <w:t xml:space="preserve">Tableau </w:t>
      </w:r>
      <w:r w:rsidR="00225ED1">
        <w:rPr>
          <w:noProof/>
        </w:rPr>
        <w:fldChar w:fldCharType="begin"/>
      </w:r>
      <w:r w:rsidR="00225ED1">
        <w:rPr>
          <w:noProof/>
        </w:rPr>
        <w:instrText xml:space="preserve"> SEQ Tableau \* ARABIC </w:instrText>
      </w:r>
      <w:r w:rsidR="00225ED1">
        <w:rPr>
          <w:noProof/>
        </w:rPr>
        <w:fldChar w:fldCharType="separate"/>
      </w:r>
      <w:r w:rsidR="00124AFB">
        <w:rPr>
          <w:noProof/>
        </w:rPr>
        <w:t>10</w:t>
      </w:r>
      <w:r w:rsidR="00225ED1">
        <w:rPr>
          <w:noProof/>
        </w:rPr>
        <w:fldChar w:fldCharType="end"/>
      </w:r>
      <w:r w:rsidRPr="002462E6">
        <w:rPr>
          <w:noProof/>
        </w:rPr>
        <w:t xml:space="preserve"> :Iindice synthétique de l’éducation selon la perception de la polupation enquêtée</w:t>
      </w:r>
      <w:bookmarkEnd w:id="440"/>
    </w:p>
    <w:tbl>
      <w:tblPr>
        <w:tblW w:w="94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792"/>
        <w:gridCol w:w="896"/>
        <w:gridCol w:w="1049"/>
        <w:gridCol w:w="1526"/>
        <w:gridCol w:w="1518"/>
        <w:gridCol w:w="1284"/>
        <w:gridCol w:w="1646"/>
        <w:gridCol w:w="785"/>
      </w:tblGrid>
      <w:tr w:rsidR="007E399B" w:rsidRPr="002462E6" w:rsidTr="002D1D62">
        <w:trPr>
          <w:trHeight w:val="452"/>
        </w:trPr>
        <w:tc>
          <w:tcPr>
            <w:tcW w:w="792" w:type="dxa"/>
            <w:shd w:val="clear" w:color="auto" w:fill="auto"/>
            <w:noWrap/>
            <w:vAlign w:val="bottom"/>
            <w:hideMark/>
          </w:tcPr>
          <w:p w:rsidR="007E399B" w:rsidRPr="002462E6" w:rsidRDefault="007E399B" w:rsidP="002D1D62">
            <w:pPr>
              <w:spacing w:after="0"/>
              <w:rPr>
                <w:rFonts w:ascii="Calibri" w:hAnsi="Calibri" w:cs="Calibri"/>
                <w:b/>
                <w:bCs/>
                <w:color w:val="000000"/>
                <w:lang w:eastAsia="fr-FR"/>
              </w:rPr>
            </w:pPr>
            <w:r w:rsidRPr="002462E6">
              <w:rPr>
                <w:rFonts w:ascii="Calibri" w:hAnsi="Calibri" w:cs="Calibri"/>
                <w:b/>
                <w:bCs/>
                <w:color w:val="000000"/>
                <w:lang w:eastAsia="fr-FR"/>
              </w:rPr>
              <w:t>Province</w:t>
            </w:r>
          </w:p>
        </w:tc>
        <w:tc>
          <w:tcPr>
            <w:tcW w:w="979" w:type="dxa"/>
            <w:shd w:val="clear" w:color="auto" w:fill="auto"/>
            <w:noWrap/>
            <w:vAlign w:val="bottom"/>
            <w:hideMark/>
          </w:tcPr>
          <w:p w:rsidR="007E399B" w:rsidRPr="002462E6" w:rsidRDefault="007E399B" w:rsidP="002D1D62">
            <w:pPr>
              <w:spacing w:after="0"/>
              <w:rPr>
                <w:rFonts w:ascii="Calibri" w:hAnsi="Calibri" w:cs="Calibri"/>
                <w:b/>
                <w:bCs/>
                <w:color w:val="000000"/>
                <w:lang w:eastAsia="fr-FR"/>
              </w:rPr>
            </w:pPr>
            <w:r w:rsidRPr="002462E6">
              <w:rPr>
                <w:rFonts w:ascii="Calibri" w:hAnsi="Calibri" w:cs="Calibri"/>
                <w:b/>
                <w:bCs/>
                <w:color w:val="000000"/>
                <w:lang w:eastAsia="fr-FR"/>
              </w:rPr>
              <w:t>Commune</w:t>
            </w:r>
          </w:p>
        </w:tc>
        <w:tc>
          <w:tcPr>
            <w:tcW w:w="966" w:type="dxa"/>
            <w:shd w:val="clear" w:color="auto" w:fill="auto"/>
            <w:noWrap/>
            <w:vAlign w:val="bottom"/>
            <w:hideMark/>
          </w:tcPr>
          <w:p w:rsidR="007E399B" w:rsidRPr="002462E6" w:rsidRDefault="007E399B" w:rsidP="002D1D62">
            <w:pPr>
              <w:spacing w:after="0"/>
              <w:rPr>
                <w:rFonts w:ascii="Calibri" w:hAnsi="Calibri" w:cs="Calibri"/>
                <w:b/>
                <w:bCs/>
                <w:color w:val="000000"/>
                <w:lang w:eastAsia="fr-FR"/>
              </w:rPr>
            </w:pPr>
            <w:r w:rsidRPr="002462E6">
              <w:rPr>
                <w:rFonts w:ascii="Calibri" w:hAnsi="Calibri" w:cs="Calibri"/>
                <w:b/>
                <w:bCs/>
                <w:color w:val="000000"/>
                <w:lang w:eastAsia="fr-FR"/>
              </w:rPr>
              <w:t>Douar</w:t>
            </w:r>
          </w:p>
        </w:tc>
        <w:tc>
          <w:tcPr>
            <w:tcW w:w="1526" w:type="dxa"/>
            <w:shd w:val="clear" w:color="000000" w:fill="FFD966"/>
            <w:vAlign w:val="bottom"/>
            <w:hideMark/>
          </w:tcPr>
          <w:p w:rsidR="007E399B" w:rsidRPr="002462E6" w:rsidRDefault="007E399B" w:rsidP="002D1D62">
            <w:pPr>
              <w:spacing w:after="0"/>
              <w:jc w:val="center"/>
              <w:rPr>
                <w:rFonts w:ascii="Arial" w:hAnsi="Arial" w:cs="Arial"/>
                <w:color w:val="000000"/>
                <w:sz w:val="18"/>
                <w:szCs w:val="18"/>
                <w:lang w:eastAsia="fr-FR"/>
              </w:rPr>
            </w:pPr>
            <w:r w:rsidRPr="002462E6">
              <w:rPr>
                <w:rFonts w:ascii="Arial" w:hAnsi="Arial" w:cs="Arial"/>
                <w:color w:val="000000"/>
                <w:sz w:val="18"/>
                <w:szCs w:val="18"/>
                <w:lang w:eastAsia="fr-FR"/>
              </w:rPr>
              <w:t>ParentsAnalphabètes</w:t>
            </w:r>
          </w:p>
        </w:tc>
        <w:tc>
          <w:tcPr>
            <w:tcW w:w="1518" w:type="dxa"/>
            <w:shd w:val="clear" w:color="000000" w:fill="FFD966"/>
            <w:vAlign w:val="bottom"/>
            <w:hideMark/>
          </w:tcPr>
          <w:p w:rsidR="007E399B" w:rsidRPr="002462E6" w:rsidRDefault="007E399B" w:rsidP="002D1D62">
            <w:pPr>
              <w:spacing w:after="0"/>
              <w:jc w:val="center"/>
              <w:rPr>
                <w:rFonts w:ascii="Arial" w:hAnsi="Arial" w:cs="Arial"/>
                <w:color w:val="000000"/>
                <w:sz w:val="18"/>
                <w:szCs w:val="18"/>
                <w:lang w:eastAsia="fr-FR"/>
              </w:rPr>
            </w:pPr>
            <w:r w:rsidRPr="002462E6">
              <w:rPr>
                <w:rFonts w:ascii="Arial" w:hAnsi="Arial" w:cs="Arial"/>
                <w:color w:val="000000"/>
                <w:sz w:val="18"/>
                <w:szCs w:val="18"/>
                <w:lang w:eastAsia="fr-FR"/>
              </w:rPr>
              <w:t>EnfantsAnalphabètes</w:t>
            </w:r>
          </w:p>
        </w:tc>
        <w:tc>
          <w:tcPr>
            <w:tcW w:w="1284" w:type="dxa"/>
            <w:shd w:val="clear" w:color="000000" w:fill="FFD966"/>
            <w:vAlign w:val="bottom"/>
            <w:hideMark/>
          </w:tcPr>
          <w:p w:rsidR="007E399B" w:rsidRPr="002462E6" w:rsidRDefault="007E399B" w:rsidP="002D1D62">
            <w:pPr>
              <w:spacing w:after="0"/>
              <w:jc w:val="center"/>
              <w:rPr>
                <w:rFonts w:ascii="Arial" w:hAnsi="Arial" w:cs="Arial"/>
                <w:color w:val="000000"/>
                <w:sz w:val="18"/>
                <w:szCs w:val="18"/>
                <w:lang w:eastAsia="fr-FR"/>
              </w:rPr>
            </w:pPr>
            <w:r w:rsidRPr="002462E6">
              <w:rPr>
                <w:rFonts w:ascii="Arial" w:hAnsi="Arial" w:cs="Arial"/>
                <w:color w:val="000000"/>
                <w:sz w:val="18"/>
                <w:szCs w:val="18"/>
                <w:lang w:eastAsia="fr-FR"/>
              </w:rPr>
              <w:t>EnfantsAbondons</w:t>
            </w:r>
          </w:p>
        </w:tc>
        <w:tc>
          <w:tcPr>
            <w:tcW w:w="1646" w:type="dxa"/>
            <w:shd w:val="clear" w:color="000000" w:fill="FFD966"/>
            <w:vAlign w:val="center"/>
            <w:hideMark/>
          </w:tcPr>
          <w:p w:rsidR="007E399B" w:rsidRPr="002462E6" w:rsidRDefault="007E399B" w:rsidP="002D1D62">
            <w:pPr>
              <w:spacing w:after="0"/>
              <w:jc w:val="center"/>
              <w:rPr>
                <w:rFonts w:ascii="Arial" w:hAnsi="Arial" w:cs="Arial"/>
                <w:color w:val="000000"/>
                <w:sz w:val="18"/>
                <w:szCs w:val="18"/>
                <w:lang w:eastAsia="fr-FR"/>
              </w:rPr>
            </w:pPr>
            <w:r w:rsidRPr="002462E6">
              <w:rPr>
                <w:rFonts w:ascii="Arial" w:hAnsi="Arial" w:cs="Arial"/>
                <w:color w:val="000000"/>
                <w:sz w:val="18"/>
                <w:szCs w:val="18"/>
                <w:lang w:eastAsia="fr-FR"/>
              </w:rPr>
              <w:t>DistanceEcolePlus3Km</w:t>
            </w:r>
          </w:p>
        </w:tc>
        <w:tc>
          <w:tcPr>
            <w:tcW w:w="785" w:type="dxa"/>
            <w:shd w:val="clear" w:color="000000" w:fill="FFD966"/>
            <w:vAlign w:val="center"/>
            <w:hideMark/>
          </w:tcPr>
          <w:p w:rsidR="007E399B" w:rsidRPr="002462E6" w:rsidRDefault="007E399B" w:rsidP="002D1D62">
            <w:pPr>
              <w:spacing w:after="0"/>
              <w:jc w:val="center"/>
              <w:rPr>
                <w:rFonts w:ascii="Arial" w:hAnsi="Arial" w:cs="Arial"/>
                <w:color w:val="000000"/>
                <w:sz w:val="18"/>
                <w:szCs w:val="18"/>
                <w:lang w:eastAsia="fr-FR"/>
              </w:rPr>
            </w:pPr>
            <w:r w:rsidRPr="002462E6">
              <w:rPr>
                <w:rFonts w:ascii="Arial" w:hAnsi="Arial" w:cs="Arial"/>
                <w:color w:val="000000"/>
                <w:sz w:val="18"/>
                <w:szCs w:val="18"/>
                <w:lang w:eastAsia="fr-FR"/>
              </w:rPr>
              <w:t>Education</w:t>
            </w:r>
          </w:p>
        </w:tc>
      </w:tr>
      <w:tr w:rsidR="007E399B" w:rsidRPr="002462E6" w:rsidTr="002D1D62">
        <w:trPr>
          <w:trHeight w:val="264"/>
        </w:trPr>
        <w:tc>
          <w:tcPr>
            <w:tcW w:w="792" w:type="dxa"/>
            <w:vMerge w:val="restart"/>
            <w:shd w:val="clear" w:color="auto" w:fill="auto"/>
            <w:vAlign w:val="center"/>
            <w:hideMark/>
          </w:tcPr>
          <w:p w:rsidR="007E399B" w:rsidRPr="002462E6" w:rsidRDefault="007E399B" w:rsidP="002D1D62">
            <w:pPr>
              <w:spacing w:after="0"/>
              <w:jc w:val="center"/>
              <w:rPr>
                <w:rFonts w:ascii="Arial" w:hAnsi="Arial" w:cs="Arial"/>
                <w:b/>
                <w:bCs/>
                <w:color w:val="000000"/>
                <w:sz w:val="16"/>
                <w:szCs w:val="16"/>
                <w:lang w:eastAsia="fr-FR"/>
              </w:rPr>
            </w:pPr>
            <w:r w:rsidRPr="002462E6">
              <w:rPr>
                <w:rFonts w:ascii="Arial" w:hAnsi="Arial" w:cs="Arial"/>
                <w:b/>
                <w:bCs/>
                <w:color w:val="000000"/>
                <w:sz w:val="16"/>
                <w:szCs w:val="16"/>
                <w:lang w:eastAsia="fr-FR"/>
              </w:rPr>
              <w:t xml:space="preserve">Skhirate-Temara </w:t>
            </w:r>
          </w:p>
        </w:tc>
        <w:tc>
          <w:tcPr>
            <w:tcW w:w="979" w:type="dxa"/>
            <w:shd w:val="clear" w:color="000000" w:fill="FFFFFF"/>
            <w:noWrap/>
            <w:vAlign w:val="center"/>
            <w:hideMark/>
          </w:tcPr>
          <w:p w:rsidR="007E399B" w:rsidRPr="002462E6" w:rsidRDefault="007E399B" w:rsidP="002D1D62">
            <w:pPr>
              <w:spacing w:after="0"/>
              <w:jc w:val="center"/>
              <w:rPr>
                <w:rFonts w:ascii="Arial" w:hAnsi="Arial" w:cs="Arial"/>
                <w:color w:val="000000"/>
                <w:sz w:val="16"/>
                <w:szCs w:val="16"/>
                <w:lang w:eastAsia="fr-FR"/>
              </w:rPr>
            </w:pPr>
            <w:r w:rsidRPr="002462E6">
              <w:rPr>
                <w:rFonts w:ascii="Arial" w:hAnsi="Arial" w:cs="Arial"/>
                <w:color w:val="000000"/>
                <w:sz w:val="16"/>
                <w:szCs w:val="16"/>
                <w:lang w:eastAsia="fr-FR"/>
              </w:rPr>
              <w:t>Oum Azza</w:t>
            </w:r>
          </w:p>
        </w:tc>
        <w:tc>
          <w:tcPr>
            <w:tcW w:w="966" w:type="dxa"/>
            <w:shd w:val="clear" w:color="000000" w:fill="FFFFFF"/>
            <w:noWrap/>
            <w:vAlign w:val="center"/>
            <w:hideMark/>
          </w:tcPr>
          <w:p w:rsidR="007E399B" w:rsidRPr="002462E6" w:rsidRDefault="007E399B" w:rsidP="002D1D62">
            <w:pPr>
              <w:spacing w:after="120"/>
              <w:jc w:val="center"/>
              <w:rPr>
                <w:rFonts w:ascii="Arial" w:hAnsi="Arial" w:cs="Arial"/>
                <w:color w:val="000000"/>
                <w:sz w:val="16"/>
                <w:szCs w:val="16"/>
                <w:lang w:eastAsia="fr-FR"/>
              </w:rPr>
            </w:pPr>
            <w:r w:rsidRPr="002462E6">
              <w:rPr>
                <w:rFonts w:ascii="Arial" w:hAnsi="Arial" w:cs="Arial"/>
                <w:color w:val="000000"/>
                <w:sz w:val="16"/>
                <w:szCs w:val="16"/>
                <w:lang w:eastAsia="fr-FR"/>
              </w:rPr>
              <w:t>Oulad Marzoug</w:t>
            </w:r>
          </w:p>
        </w:tc>
        <w:tc>
          <w:tcPr>
            <w:tcW w:w="1526" w:type="dxa"/>
            <w:shd w:val="clear" w:color="000000" w:fill="FFC000"/>
            <w:noWrap/>
            <w:vAlign w:val="center"/>
            <w:hideMark/>
          </w:tcPr>
          <w:p w:rsidR="007E399B" w:rsidRPr="002462E6" w:rsidRDefault="007E399B" w:rsidP="002D1D62">
            <w:pPr>
              <w:spacing w:after="120"/>
              <w:jc w:val="center"/>
              <w:rPr>
                <w:rFonts w:ascii="Arial" w:hAnsi="Arial" w:cs="Arial"/>
                <w:color w:val="000000"/>
                <w:sz w:val="18"/>
                <w:szCs w:val="18"/>
                <w:lang w:eastAsia="fr-FR"/>
              </w:rPr>
            </w:pPr>
            <w:r w:rsidRPr="002462E6">
              <w:rPr>
                <w:rFonts w:ascii="Arial" w:hAnsi="Arial" w:cs="Arial"/>
                <w:color w:val="000000"/>
                <w:sz w:val="18"/>
                <w:szCs w:val="18"/>
                <w:lang w:eastAsia="fr-FR"/>
              </w:rPr>
              <w:t>60%</w:t>
            </w:r>
          </w:p>
        </w:tc>
        <w:tc>
          <w:tcPr>
            <w:tcW w:w="1518" w:type="dxa"/>
            <w:shd w:val="clear" w:color="000000" w:fill="FFC000"/>
            <w:noWrap/>
            <w:vAlign w:val="center"/>
            <w:hideMark/>
          </w:tcPr>
          <w:p w:rsidR="007E399B" w:rsidRPr="002462E6" w:rsidRDefault="007E399B" w:rsidP="002D1D62">
            <w:pPr>
              <w:spacing w:after="120"/>
              <w:jc w:val="center"/>
              <w:rPr>
                <w:rFonts w:ascii="Arial" w:hAnsi="Arial" w:cs="Arial"/>
                <w:color w:val="000000"/>
                <w:sz w:val="18"/>
                <w:szCs w:val="18"/>
                <w:lang w:eastAsia="fr-FR"/>
              </w:rPr>
            </w:pPr>
            <w:r w:rsidRPr="002462E6">
              <w:rPr>
                <w:rFonts w:ascii="Arial" w:hAnsi="Arial" w:cs="Arial"/>
                <w:color w:val="000000"/>
                <w:sz w:val="18"/>
                <w:szCs w:val="18"/>
                <w:lang w:eastAsia="fr-FR"/>
              </w:rPr>
              <w:t>57%</w:t>
            </w:r>
          </w:p>
        </w:tc>
        <w:tc>
          <w:tcPr>
            <w:tcW w:w="1284" w:type="dxa"/>
            <w:shd w:val="clear" w:color="000000" w:fill="F4F46C"/>
            <w:noWrap/>
            <w:vAlign w:val="center"/>
            <w:hideMark/>
          </w:tcPr>
          <w:p w:rsidR="007E399B" w:rsidRPr="002462E6" w:rsidRDefault="007E399B" w:rsidP="002D1D62">
            <w:pPr>
              <w:spacing w:after="120"/>
              <w:jc w:val="center"/>
              <w:rPr>
                <w:rFonts w:ascii="Arial" w:hAnsi="Arial" w:cs="Arial"/>
                <w:color w:val="000000"/>
                <w:sz w:val="18"/>
                <w:szCs w:val="18"/>
                <w:lang w:eastAsia="fr-FR"/>
              </w:rPr>
            </w:pPr>
            <w:r w:rsidRPr="002462E6">
              <w:rPr>
                <w:rFonts w:ascii="Arial" w:hAnsi="Arial" w:cs="Arial"/>
                <w:color w:val="000000"/>
                <w:sz w:val="18"/>
                <w:szCs w:val="18"/>
                <w:lang w:eastAsia="fr-FR"/>
              </w:rPr>
              <w:t>0%</w:t>
            </w:r>
          </w:p>
        </w:tc>
        <w:tc>
          <w:tcPr>
            <w:tcW w:w="1646" w:type="dxa"/>
            <w:shd w:val="clear" w:color="000000" w:fill="F4F46C"/>
            <w:noWrap/>
            <w:vAlign w:val="center"/>
            <w:hideMark/>
          </w:tcPr>
          <w:p w:rsidR="007E399B" w:rsidRPr="002462E6" w:rsidRDefault="007E399B" w:rsidP="002D1D62">
            <w:pPr>
              <w:spacing w:after="120"/>
              <w:jc w:val="center"/>
              <w:rPr>
                <w:rFonts w:ascii="Arial" w:hAnsi="Arial" w:cs="Arial"/>
                <w:color w:val="000000"/>
                <w:sz w:val="18"/>
                <w:szCs w:val="18"/>
                <w:lang w:eastAsia="fr-FR"/>
              </w:rPr>
            </w:pPr>
            <w:r w:rsidRPr="002462E6">
              <w:rPr>
                <w:rFonts w:ascii="Arial" w:hAnsi="Arial" w:cs="Arial"/>
                <w:color w:val="000000"/>
                <w:sz w:val="18"/>
                <w:szCs w:val="18"/>
                <w:lang w:eastAsia="fr-FR"/>
              </w:rPr>
              <w:t>0%</w:t>
            </w:r>
          </w:p>
        </w:tc>
        <w:tc>
          <w:tcPr>
            <w:tcW w:w="785" w:type="dxa"/>
            <w:shd w:val="clear" w:color="000000" w:fill="F4F46C"/>
            <w:noWrap/>
            <w:vAlign w:val="center"/>
            <w:hideMark/>
          </w:tcPr>
          <w:p w:rsidR="007E399B" w:rsidRPr="002462E6" w:rsidRDefault="007E399B" w:rsidP="002D1D62">
            <w:pPr>
              <w:spacing w:after="120"/>
              <w:jc w:val="center"/>
              <w:rPr>
                <w:rFonts w:ascii="Arial" w:hAnsi="Arial" w:cs="Arial"/>
                <w:color w:val="000000"/>
                <w:sz w:val="18"/>
                <w:szCs w:val="18"/>
                <w:lang w:eastAsia="fr-FR"/>
              </w:rPr>
            </w:pPr>
            <w:r w:rsidRPr="002462E6">
              <w:rPr>
                <w:rFonts w:ascii="Arial" w:hAnsi="Arial" w:cs="Arial"/>
                <w:color w:val="000000"/>
                <w:sz w:val="18"/>
                <w:szCs w:val="18"/>
                <w:lang w:eastAsia="fr-FR"/>
              </w:rPr>
              <w:t>29%</w:t>
            </w:r>
          </w:p>
        </w:tc>
      </w:tr>
      <w:tr w:rsidR="007E399B" w:rsidRPr="002462E6" w:rsidTr="002D1D62">
        <w:trPr>
          <w:trHeight w:val="264"/>
        </w:trPr>
        <w:tc>
          <w:tcPr>
            <w:tcW w:w="792" w:type="dxa"/>
            <w:vMerge/>
            <w:vAlign w:val="center"/>
            <w:hideMark/>
          </w:tcPr>
          <w:p w:rsidR="007E399B" w:rsidRPr="002462E6" w:rsidRDefault="007E399B" w:rsidP="002D1D62">
            <w:pPr>
              <w:spacing w:after="0"/>
              <w:rPr>
                <w:rFonts w:ascii="Arial" w:hAnsi="Arial" w:cs="Arial"/>
                <w:b/>
                <w:bCs/>
                <w:color w:val="000000"/>
                <w:sz w:val="16"/>
                <w:szCs w:val="16"/>
                <w:lang w:eastAsia="fr-FR"/>
              </w:rPr>
            </w:pPr>
          </w:p>
        </w:tc>
        <w:tc>
          <w:tcPr>
            <w:tcW w:w="979" w:type="dxa"/>
            <w:vMerge w:val="restart"/>
            <w:shd w:val="clear" w:color="auto" w:fill="auto"/>
            <w:vAlign w:val="center"/>
            <w:hideMark/>
          </w:tcPr>
          <w:p w:rsidR="007E399B" w:rsidRPr="002462E6" w:rsidRDefault="007E399B" w:rsidP="002D1D62">
            <w:pPr>
              <w:spacing w:after="0"/>
              <w:jc w:val="center"/>
              <w:rPr>
                <w:rFonts w:ascii="Arial" w:hAnsi="Arial" w:cs="Arial"/>
                <w:color w:val="000000"/>
                <w:sz w:val="16"/>
                <w:szCs w:val="16"/>
                <w:lang w:eastAsia="fr-FR"/>
              </w:rPr>
            </w:pPr>
            <w:r w:rsidRPr="002462E6">
              <w:rPr>
                <w:rFonts w:ascii="Arial" w:hAnsi="Arial" w:cs="Arial"/>
                <w:color w:val="000000"/>
                <w:sz w:val="16"/>
                <w:szCs w:val="16"/>
                <w:lang w:eastAsia="fr-FR"/>
              </w:rPr>
              <w:t>Sidi Yahia Zaeer</w:t>
            </w:r>
          </w:p>
        </w:tc>
        <w:tc>
          <w:tcPr>
            <w:tcW w:w="966" w:type="dxa"/>
            <w:shd w:val="clear" w:color="auto" w:fill="auto"/>
            <w:noWrap/>
            <w:vAlign w:val="center"/>
            <w:hideMark/>
          </w:tcPr>
          <w:p w:rsidR="007E399B" w:rsidRPr="002462E6" w:rsidRDefault="007E399B" w:rsidP="002D1D62">
            <w:pPr>
              <w:spacing w:after="120"/>
              <w:jc w:val="center"/>
              <w:rPr>
                <w:rFonts w:ascii="Arial" w:hAnsi="Arial" w:cs="Arial"/>
                <w:color w:val="000000"/>
                <w:sz w:val="16"/>
                <w:szCs w:val="16"/>
                <w:lang w:eastAsia="fr-FR"/>
              </w:rPr>
            </w:pPr>
            <w:r w:rsidRPr="002462E6">
              <w:rPr>
                <w:rFonts w:ascii="Arial" w:hAnsi="Arial" w:cs="Arial"/>
                <w:color w:val="000000"/>
                <w:sz w:val="16"/>
                <w:szCs w:val="16"/>
                <w:lang w:eastAsia="fr-FR"/>
              </w:rPr>
              <w:t>Oulad Rgue</w:t>
            </w:r>
          </w:p>
        </w:tc>
        <w:tc>
          <w:tcPr>
            <w:tcW w:w="1526" w:type="dxa"/>
            <w:shd w:val="clear" w:color="000000" w:fill="F4F46C"/>
            <w:noWrap/>
            <w:vAlign w:val="center"/>
            <w:hideMark/>
          </w:tcPr>
          <w:p w:rsidR="007E399B" w:rsidRPr="002462E6" w:rsidRDefault="007E399B" w:rsidP="002D1D62">
            <w:pPr>
              <w:spacing w:after="120"/>
              <w:jc w:val="center"/>
              <w:rPr>
                <w:rFonts w:ascii="Arial" w:hAnsi="Arial" w:cs="Arial"/>
                <w:color w:val="000000"/>
                <w:sz w:val="18"/>
                <w:szCs w:val="18"/>
                <w:lang w:eastAsia="fr-FR"/>
              </w:rPr>
            </w:pPr>
            <w:r w:rsidRPr="002462E6">
              <w:rPr>
                <w:rFonts w:ascii="Arial" w:hAnsi="Arial" w:cs="Arial"/>
                <w:color w:val="000000"/>
                <w:sz w:val="18"/>
                <w:szCs w:val="18"/>
                <w:lang w:eastAsia="fr-FR"/>
              </w:rPr>
              <w:t>40%</w:t>
            </w:r>
          </w:p>
        </w:tc>
        <w:tc>
          <w:tcPr>
            <w:tcW w:w="1518" w:type="dxa"/>
            <w:shd w:val="clear" w:color="000000" w:fill="F4F46C"/>
            <w:noWrap/>
            <w:vAlign w:val="center"/>
            <w:hideMark/>
          </w:tcPr>
          <w:p w:rsidR="007E399B" w:rsidRPr="002462E6" w:rsidRDefault="007E399B" w:rsidP="002D1D62">
            <w:pPr>
              <w:spacing w:after="120"/>
              <w:jc w:val="center"/>
              <w:rPr>
                <w:rFonts w:ascii="Arial" w:hAnsi="Arial" w:cs="Arial"/>
                <w:color w:val="000000"/>
                <w:sz w:val="18"/>
                <w:szCs w:val="18"/>
                <w:lang w:eastAsia="fr-FR"/>
              </w:rPr>
            </w:pPr>
            <w:r w:rsidRPr="002462E6">
              <w:rPr>
                <w:rFonts w:ascii="Arial" w:hAnsi="Arial" w:cs="Arial"/>
                <w:color w:val="000000"/>
                <w:sz w:val="18"/>
                <w:szCs w:val="18"/>
                <w:lang w:eastAsia="fr-FR"/>
              </w:rPr>
              <w:t>0%</w:t>
            </w:r>
          </w:p>
        </w:tc>
        <w:tc>
          <w:tcPr>
            <w:tcW w:w="1284" w:type="dxa"/>
            <w:shd w:val="clear" w:color="000000" w:fill="D34B07"/>
            <w:noWrap/>
            <w:vAlign w:val="center"/>
            <w:hideMark/>
          </w:tcPr>
          <w:p w:rsidR="007E399B" w:rsidRPr="002462E6" w:rsidRDefault="007E399B" w:rsidP="002D1D62">
            <w:pPr>
              <w:spacing w:after="120"/>
              <w:jc w:val="center"/>
              <w:rPr>
                <w:rFonts w:ascii="Arial" w:hAnsi="Arial" w:cs="Arial"/>
                <w:color w:val="000000"/>
                <w:sz w:val="18"/>
                <w:szCs w:val="18"/>
                <w:lang w:eastAsia="fr-FR"/>
              </w:rPr>
            </w:pPr>
            <w:r w:rsidRPr="002462E6">
              <w:rPr>
                <w:rFonts w:ascii="Arial" w:hAnsi="Arial" w:cs="Arial"/>
                <w:color w:val="000000"/>
                <w:sz w:val="18"/>
                <w:szCs w:val="18"/>
                <w:lang w:eastAsia="fr-FR"/>
              </w:rPr>
              <w:t>81%</w:t>
            </w:r>
          </w:p>
        </w:tc>
        <w:tc>
          <w:tcPr>
            <w:tcW w:w="1646" w:type="dxa"/>
            <w:shd w:val="clear" w:color="000000" w:fill="D34B07"/>
            <w:noWrap/>
            <w:vAlign w:val="center"/>
            <w:hideMark/>
          </w:tcPr>
          <w:p w:rsidR="007E399B" w:rsidRPr="002462E6" w:rsidRDefault="007E399B" w:rsidP="002D1D62">
            <w:pPr>
              <w:spacing w:after="120"/>
              <w:jc w:val="center"/>
              <w:rPr>
                <w:rFonts w:ascii="Arial" w:hAnsi="Arial" w:cs="Arial"/>
                <w:color w:val="000000"/>
                <w:sz w:val="18"/>
                <w:szCs w:val="18"/>
                <w:lang w:eastAsia="fr-FR"/>
              </w:rPr>
            </w:pPr>
            <w:r w:rsidRPr="002462E6">
              <w:rPr>
                <w:rFonts w:ascii="Arial" w:hAnsi="Arial" w:cs="Arial"/>
                <w:color w:val="000000"/>
                <w:sz w:val="18"/>
                <w:szCs w:val="18"/>
                <w:lang w:eastAsia="fr-FR"/>
              </w:rPr>
              <w:t>80%</w:t>
            </w:r>
          </w:p>
        </w:tc>
        <w:tc>
          <w:tcPr>
            <w:tcW w:w="785" w:type="dxa"/>
            <w:shd w:val="clear" w:color="000000" w:fill="FFC000"/>
            <w:noWrap/>
            <w:vAlign w:val="center"/>
            <w:hideMark/>
          </w:tcPr>
          <w:p w:rsidR="007E399B" w:rsidRPr="002462E6" w:rsidRDefault="007E399B" w:rsidP="002D1D62">
            <w:pPr>
              <w:spacing w:after="120"/>
              <w:jc w:val="center"/>
              <w:rPr>
                <w:rFonts w:ascii="Arial" w:hAnsi="Arial" w:cs="Arial"/>
                <w:color w:val="000000"/>
                <w:sz w:val="18"/>
                <w:szCs w:val="18"/>
                <w:lang w:eastAsia="fr-FR"/>
              </w:rPr>
            </w:pPr>
            <w:r w:rsidRPr="002462E6">
              <w:rPr>
                <w:rFonts w:ascii="Arial" w:hAnsi="Arial" w:cs="Arial"/>
                <w:color w:val="000000"/>
                <w:sz w:val="18"/>
                <w:szCs w:val="18"/>
                <w:lang w:eastAsia="fr-FR"/>
              </w:rPr>
              <w:t>50%</w:t>
            </w:r>
          </w:p>
        </w:tc>
      </w:tr>
      <w:tr w:rsidR="007E399B" w:rsidRPr="002462E6" w:rsidTr="002D1D62">
        <w:trPr>
          <w:trHeight w:val="264"/>
        </w:trPr>
        <w:tc>
          <w:tcPr>
            <w:tcW w:w="792" w:type="dxa"/>
            <w:vMerge/>
            <w:vAlign w:val="center"/>
            <w:hideMark/>
          </w:tcPr>
          <w:p w:rsidR="007E399B" w:rsidRPr="002462E6" w:rsidRDefault="007E399B" w:rsidP="002D1D62">
            <w:pPr>
              <w:spacing w:after="0"/>
              <w:rPr>
                <w:rFonts w:ascii="Arial" w:hAnsi="Arial" w:cs="Arial"/>
                <w:b/>
                <w:bCs/>
                <w:color w:val="000000"/>
                <w:sz w:val="16"/>
                <w:szCs w:val="16"/>
                <w:lang w:eastAsia="fr-FR"/>
              </w:rPr>
            </w:pPr>
          </w:p>
        </w:tc>
        <w:tc>
          <w:tcPr>
            <w:tcW w:w="979" w:type="dxa"/>
            <w:vMerge/>
            <w:vAlign w:val="center"/>
            <w:hideMark/>
          </w:tcPr>
          <w:p w:rsidR="007E399B" w:rsidRPr="002462E6" w:rsidRDefault="007E399B" w:rsidP="002D1D62">
            <w:pPr>
              <w:spacing w:after="0"/>
              <w:jc w:val="center"/>
              <w:rPr>
                <w:rFonts w:ascii="Arial" w:hAnsi="Arial" w:cs="Arial"/>
                <w:color w:val="000000"/>
                <w:sz w:val="16"/>
                <w:szCs w:val="16"/>
                <w:lang w:eastAsia="fr-FR"/>
              </w:rPr>
            </w:pPr>
          </w:p>
        </w:tc>
        <w:tc>
          <w:tcPr>
            <w:tcW w:w="966" w:type="dxa"/>
            <w:shd w:val="clear" w:color="auto" w:fill="auto"/>
            <w:noWrap/>
            <w:vAlign w:val="center"/>
            <w:hideMark/>
          </w:tcPr>
          <w:p w:rsidR="007E399B" w:rsidRPr="002462E6" w:rsidRDefault="007E399B" w:rsidP="002D1D62">
            <w:pPr>
              <w:spacing w:after="120"/>
              <w:jc w:val="center"/>
              <w:rPr>
                <w:rFonts w:ascii="Arial" w:hAnsi="Arial" w:cs="Arial"/>
                <w:color w:val="000000"/>
                <w:sz w:val="16"/>
                <w:szCs w:val="16"/>
                <w:lang w:eastAsia="fr-FR"/>
              </w:rPr>
            </w:pPr>
            <w:r w:rsidRPr="002462E6">
              <w:rPr>
                <w:rFonts w:ascii="Arial" w:hAnsi="Arial" w:cs="Arial"/>
                <w:color w:val="000000"/>
                <w:sz w:val="16"/>
                <w:szCs w:val="16"/>
                <w:lang w:eastAsia="fr-FR"/>
              </w:rPr>
              <w:t>Oulad Saada</w:t>
            </w:r>
          </w:p>
        </w:tc>
        <w:tc>
          <w:tcPr>
            <w:tcW w:w="1526" w:type="dxa"/>
            <w:shd w:val="clear" w:color="000000" w:fill="F4F46C"/>
            <w:noWrap/>
            <w:vAlign w:val="center"/>
            <w:hideMark/>
          </w:tcPr>
          <w:p w:rsidR="007E399B" w:rsidRPr="002462E6" w:rsidRDefault="007E399B" w:rsidP="002D1D62">
            <w:pPr>
              <w:spacing w:after="120"/>
              <w:jc w:val="center"/>
              <w:rPr>
                <w:rFonts w:ascii="Arial" w:hAnsi="Arial" w:cs="Arial"/>
                <w:color w:val="000000"/>
                <w:sz w:val="18"/>
                <w:szCs w:val="18"/>
                <w:lang w:eastAsia="fr-FR"/>
              </w:rPr>
            </w:pPr>
            <w:r w:rsidRPr="002462E6">
              <w:rPr>
                <w:rFonts w:ascii="Arial" w:hAnsi="Arial" w:cs="Arial"/>
                <w:color w:val="000000"/>
                <w:sz w:val="18"/>
                <w:szCs w:val="18"/>
                <w:lang w:eastAsia="fr-FR"/>
              </w:rPr>
              <w:t>40%</w:t>
            </w:r>
          </w:p>
        </w:tc>
        <w:tc>
          <w:tcPr>
            <w:tcW w:w="1518" w:type="dxa"/>
            <w:shd w:val="clear" w:color="000000" w:fill="F4F46C"/>
            <w:noWrap/>
            <w:vAlign w:val="center"/>
            <w:hideMark/>
          </w:tcPr>
          <w:p w:rsidR="007E399B" w:rsidRPr="002462E6" w:rsidRDefault="007E399B" w:rsidP="002D1D62">
            <w:pPr>
              <w:spacing w:after="120"/>
              <w:jc w:val="center"/>
              <w:rPr>
                <w:rFonts w:ascii="Arial" w:hAnsi="Arial" w:cs="Arial"/>
                <w:color w:val="000000"/>
                <w:sz w:val="18"/>
                <w:szCs w:val="18"/>
                <w:lang w:eastAsia="fr-FR"/>
              </w:rPr>
            </w:pPr>
            <w:r w:rsidRPr="002462E6">
              <w:rPr>
                <w:rFonts w:ascii="Arial" w:hAnsi="Arial" w:cs="Arial"/>
                <w:color w:val="000000"/>
                <w:sz w:val="18"/>
                <w:szCs w:val="18"/>
                <w:lang w:eastAsia="fr-FR"/>
              </w:rPr>
              <w:t>25%</w:t>
            </w:r>
          </w:p>
        </w:tc>
        <w:tc>
          <w:tcPr>
            <w:tcW w:w="1284" w:type="dxa"/>
            <w:shd w:val="clear" w:color="000000" w:fill="F4F46C"/>
            <w:noWrap/>
            <w:vAlign w:val="center"/>
            <w:hideMark/>
          </w:tcPr>
          <w:p w:rsidR="007E399B" w:rsidRPr="002462E6" w:rsidRDefault="007E399B" w:rsidP="002D1D62">
            <w:pPr>
              <w:spacing w:after="120"/>
              <w:jc w:val="center"/>
              <w:rPr>
                <w:rFonts w:ascii="Arial" w:hAnsi="Arial" w:cs="Arial"/>
                <w:color w:val="000000"/>
                <w:sz w:val="18"/>
                <w:szCs w:val="18"/>
                <w:lang w:eastAsia="fr-FR"/>
              </w:rPr>
            </w:pPr>
            <w:r w:rsidRPr="002462E6">
              <w:rPr>
                <w:rFonts w:ascii="Arial" w:hAnsi="Arial" w:cs="Arial"/>
                <w:color w:val="000000"/>
                <w:sz w:val="18"/>
                <w:szCs w:val="18"/>
                <w:lang w:eastAsia="fr-FR"/>
              </w:rPr>
              <w:t>13%</w:t>
            </w:r>
          </w:p>
        </w:tc>
        <w:tc>
          <w:tcPr>
            <w:tcW w:w="1646" w:type="dxa"/>
            <w:shd w:val="clear" w:color="000000" w:fill="D34B07"/>
            <w:noWrap/>
            <w:vAlign w:val="center"/>
            <w:hideMark/>
          </w:tcPr>
          <w:p w:rsidR="007E399B" w:rsidRPr="002462E6" w:rsidRDefault="007E399B" w:rsidP="002D1D62">
            <w:pPr>
              <w:spacing w:after="120"/>
              <w:jc w:val="center"/>
              <w:rPr>
                <w:rFonts w:ascii="Arial" w:hAnsi="Arial" w:cs="Arial"/>
                <w:color w:val="000000"/>
                <w:sz w:val="18"/>
                <w:szCs w:val="18"/>
                <w:lang w:eastAsia="fr-FR"/>
              </w:rPr>
            </w:pPr>
            <w:r w:rsidRPr="002462E6">
              <w:rPr>
                <w:rFonts w:ascii="Arial" w:hAnsi="Arial" w:cs="Arial"/>
                <w:color w:val="000000"/>
                <w:sz w:val="18"/>
                <w:szCs w:val="18"/>
                <w:lang w:eastAsia="fr-FR"/>
              </w:rPr>
              <w:t>100%</w:t>
            </w:r>
          </w:p>
        </w:tc>
        <w:tc>
          <w:tcPr>
            <w:tcW w:w="785" w:type="dxa"/>
            <w:shd w:val="clear" w:color="000000" w:fill="F4F46C"/>
            <w:noWrap/>
            <w:vAlign w:val="center"/>
            <w:hideMark/>
          </w:tcPr>
          <w:p w:rsidR="007E399B" w:rsidRPr="002462E6" w:rsidRDefault="007E399B" w:rsidP="002D1D62">
            <w:pPr>
              <w:spacing w:after="120"/>
              <w:jc w:val="center"/>
              <w:rPr>
                <w:rFonts w:ascii="Arial" w:hAnsi="Arial" w:cs="Arial"/>
                <w:color w:val="000000"/>
                <w:sz w:val="18"/>
                <w:szCs w:val="18"/>
                <w:lang w:eastAsia="fr-FR"/>
              </w:rPr>
            </w:pPr>
            <w:r w:rsidRPr="002462E6">
              <w:rPr>
                <w:rFonts w:ascii="Arial" w:hAnsi="Arial" w:cs="Arial"/>
                <w:color w:val="000000"/>
                <w:sz w:val="18"/>
                <w:szCs w:val="18"/>
                <w:lang w:eastAsia="fr-FR"/>
              </w:rPr>
              <w:t>44%</w:t>
            </w:r>
          </w:p>
        </w:tc>
      </w:tr>
      <w:tr w:rsidR="007E399B" w:rsidRPr="002462E6" w:rsidTr="002D1D62">
        <w:trPr>
          <w:trHeight w:val="264"/>
        </w:trPr>
        <w:tc>
          <w:tcPr>
            <w:tcW w:w="792" w:type="dxa"/>
            <w:vMerge/>
            <w:vAlign w:val="center"/>
            <w:hideMark/>
          </w:tcPr>
          <w:p w:rsidR="007E399B" w:rsidRPr="002462E6" w:rsidRDefault="007E399B" w:rsidP="002D1D62">
            <w:pPr>
              <w:spacing w:after="0"/>
              <w:rPr>
                <w:rFonts w:ascii="Arial" w:hAnsi="Arial" w:cs="Arial"/>
                <w:b/>
                <w:bCs/>
                <w:color w:val="000000"/>
                <w:sz w:val="16"/>
                <w:szCs w:val="16"/>
                <w:lang w:eastAsia="fr-FR"/>
              </w:rPr>
            </w:pPr>
          </w:p>
        </w:tc>
        <w:tc>
          <w:tcPr>
            <w:tcW w:w="979" w:type="dxa"/>
            <w:vMerge/>
            <w:vAlign w:val="center"/>
            <w:hideMark/>
          </w:tcPr>
          <w:p w:rsidR="007E399B" w:rsidRPr="002462E6" w:rsidRDefault="007E399B" w:rsidP="002D1D62">
            <w:pPr>
              <w:spacing w:after="0"/>
              <w:jc w:val="center"/>
              <w:rPr>
                <w:rFonts w:ascii="Arial" w:hAnsi="Arial" w:cs="Arial"/>
                <w:color w:val="000000"/>
                <w:sz w:val="16"/>
                <w:szCs w:val="16"/>
                <w:lang w:eastAsia="fr-FR"/>
              </w:rPr>
            </w:pPr>
          </w:p>
        </w:tc>
        <w:tc>
          <w:tcPr>
            <w:tcW w:w="966" w:type="dxa"/>
            <w:shd w:val="clear" w:color="auto" w:fill="auto"/>
            <w:noWrap/>
            <w:vAlign w:val="center"/>
            <w:hideMark/>
          </w:tcPr>
          <w:p w:rsidR="007E399B" w:rsidRPr="002462E6" w:rsidRDefault="007E399B" w:rsidP="002D1D62">
            <w:pPr>
              <w:spacing w:after="120"/>
              <w:jc w:val="center"/>
              <w:rPr>
                <w:rFonts w:ascii="Arial" w:hAnsi="Arial" w:cs="Arial"/>
                <w:color w:val="000000"/>
                <w:sz w:val="16"/>
                <w:szCs w:val="16"/>
                <w:lang w:eastAsia="fr-FR"/>
              </w:rPr>
            </w:pPr>
            <w:r w:rsidRPr="002462E6">
              <w:rPr>
                <w:rFonts w:ascii="Arial" w:hAnsi="Arial" w:cs="Arial"/>
                <w:color w:val="000000"/>
                <w:sz w:val="16"/>
                <w:szCs w:val="16"/>
                <w:lang w:eastAsia="fr-FR"/>
              </w:rPr>
              <w:t>Oulad Dlim</w:t>
            </w:r>
          </w:p>
        </w:tc>
        <w:tc>
          <w:tcPr>
            <w:tcW w:w="1526" w:type="dxa"/>
            <w:shd w:val="clear" w:color="000000" w:fill="FFC000"/>
            <w:noWrap/>
            <w:vAlign w:val="center"/>
            <w:hideMark/>
          </w:tcPr>
          <w:p w:rsidR="007E399B" w:rsidRPr="002462E6" w:rsidRDefault="007E399B" w:rsidP="002D1D62">
            <w:pPr>
              <w:spacing w:after="120"/>
              <w:jc w:val="center"/>
              <w:rPr>
                <w:rFonts w:ascii="Arial" w:hAnsi="Arial" w:cs="Arial"/>
                <w:color w:val="000000"/>
                <w:sz w:val="18"/>
                <w:szCs w:val="18"/>
                <w:lang w:eastAsia="fr-FR"/>
              </w:rPr>
            </w:pPr>
            <w:r w:rsidRPr="002462E6">
              <w:rPr>
                <w:rFonts w:ascii="Arial" w:hAnsi="Arial" w:cs="Arial"/>
                <w:color w:val="000000"/>
                <w:sz w:val="18"/>
                <w:szCs w:val="18"/>
                <w:lang w:eastAsia="fr-FR"/>
              </w:rPr>
              <w:t>60%</w:t>
            </w:r>
          </w:p>
        </w:tc>
        <w:tc>
          <w:tcPr>
            <w:tcW w:w="1518" w:type="dxa"/>
            <w:shd w:val="clear" w:color="000000" w:fill="F4F46C"/>
            <w:noWrap/>
            <w:vAlign w:val="center"/>
            <w:hideMark/>
          </w:tcPr>
          <w:p w:rsidR="007E399B" w:rsidRPr="002462E6" w:rsidRDefault="007E399B" w:rsidP="002D1D62">
            <w:pPr>
              <w:spacing w:after="120"/>
              <w:jc w:val="center"/>
              <w:rPr>
                <w:rFonts w:ascii="Arial" w:hAnsi="Arial" w:cs="Arial"/>
                <w:color w:val="000000"/>
                <w:sz w:val="18"/>
                <w:szCs w:val="18"/>
                <w:lang w:eastAsia="fr-FR"/>
              </w:rPr>
            </w:pPr>
            <w:r w:rsidRPr="002462E6">
              <w:rPr>
                <w:rFonts w:ascii="Arial" w:hAnsi="Arial" w:cs="Arial"/>
                <w:color w:val="000000"/>
                <w:sz w:val="18"/>
                <w:szCs w:val="18"/>
                <w:lang w:eastAsia="fr-FR"/>
              </w:rPr>
              <w:t>36%</w:t>
            </w:r>
          </w:p>
        </w:tc>
        <w:tc>
          <w:tcPr>
            <w:tcW w:w="1284" w:type="dxa"/>
            <w:shd w:val="clear" w:color="000000" w:fill="F4F46C"/>
            <w:noWrap/>
            <w:vAlign w:val="center"/>
            <w:hideMark/>
          </w:tcPr>
          <w:p w:rsidR="007E399B" w:rsidRPr="002462E6" w:rsidRDefault="007E399B" w:rsidP="002D1D62">
            <w:pPr>
              <w:spacing w:after="120"/>
              <w:jc w:val="center"/>
              <w:rPr>
                <w:rFonts w:ascii="Arial" w:hAnsi="Arial" w:cs="Arial"/>
                <w:color w:val="000000"/>
                <w:sz w:val="18"/>
                <w:szCs w:val="18"/>
                <w:lang w:eastAsia="fr-FR"/>
              </w:rPr>
            </w:pPr>
            <w:r w:rsidRPr="002462E6">
              <w:rPr>
                <w:rFonts w:ascii="Arial" w:hAnsi="Arial" w:cs="Arial"/>
                <w:color w:val="000000"/>
                <w:sz w:val="18"/>
                <w:szCs w:val="18"/>
                <w:lang w:eastAsia="fr-FR"/>
              </w:rPr>
              <w:t>43%</w:t>
            </w:r>
          </w:p>
        </w:tc>
        <w:tc>
          <w:tcPr>
            <w:tcW w:w="1646" w:type="dxa"/>
            <w:shd w:val="clear" w:color="000000" w:fill="FFC000"/>
            <w:noWrap/>
            <w:vAlign w:val="center"/>
            <w:hideMark/>
          </w:tcPr>
          <w:p w:rsidR="007E399B" w:rsidRPr="002462E6" w:rsidRDefault="007E399B" w:rsidP="002D1D62">
            <w:pPr>
              <w:spacing w:after="120"/>
              <w:jc w:val="center"/>
              <w:rPr>
                <w:rFonts w:ascii="Arial" w:hAnsi="Arial" w:cs="Arial"/>
                <w:color w:val="000000"/>
                <w:sz w:val="18"/>
                <w:szCs w:val="18"/>
                <w:lang w:eastAsia="fr-FR"/>
              </w:rPr>
            </w:pPr>
            <w:r w:rsidRPr="002462E6">
              <w:rPr>
                <w:rFonts w:ascii="Arial" w:hAnsi="Arial" w:cs="Arial"/>
                <w:color w:val="000000"/>
                <w:sz w:val="18"/>
                <w:szCs w:val="18"/>
                <w:lang w:eastAsia="fr-FR"/>
              </w:rPr>
              <w:t>60%</w:t>
            </w:r>
          </w:p>
        </w:tc>
        <w:tc>
          <w:tcPr>
            <w:tcW w:w="785" w:type="dxa"/>
            <w:shd w:val="clear" w:color="000000" w:fill="FFC000"/>
            <w:noWrap/>
            <w:vAlign w:val="center"/>
            <w:hideMark/>
          </w:tcPr>
          <w:p w:rsidR="007E399B" w:rsidRPr="002462E6" w:rsidRDefault="007E399B" w:rsidP="002D1D62">
            <w:pPr>
              <w:spacing w:after="120"/>
              <w:jc w:val="center"/>
              <w:rPr>
                <w:rFonts w:ascii="Arial" w:hAnsi="Arial" w:cs="Arial"/>
                <w:color w:val="000000"/>
                <w:sz w:val="18"/>
                <w:szCs w:val="18"/>
                <w:lang w:eastAsia="fr-FR"/>
              </w:rPr>
            </w:pPr>
            <w:r w:rsidRPr="002462E6">
              <w:rPr>
                <w:rFonts w:ascii="Arial" w:hAnsi="Arial" w:cs="Arial"/>
                <w:color w:val="000000"/>
                <w:sz w:val="18"/>
                <w:szCs w:val="18"/>
                <w:lang w:eastAsia="fr-FR"/>
              </w:rPr>
              <w:t>50%</w:t>
            </w:r>
          </w:p>
        </w:tc>
      </w:tr>
      <w:tr w:rsidR="007E399B" w:rsidRPr="002462E6" w:rsidTr="002D1D62">
        <w:trPr>
          <w:trHeight w:val="264"/>
        </w:trPr>
        <w:tc>
          <w:tcPr>
            <w:tcW w:w="792" w:type="dxa"/>
            <w:vMerge/>
            <w:vAlign w:val="center"/>
            <w:hideMark/>
          </w:tcPr>
          <w:p w:rsidR="007E399B" w:rsidRPr="002462E6" w:rsidRDefault="007E399B" w:rsidP="002D1D62">
            <w:pPr>
              <w:spacing w:after="0"/>
              <w:rPr>
                <w:rFonts w:ascii="Arial" w:hAnsi="Arial" w:cs="Arial"/>
                <w:b/>
                <w:bCs/>
                <w:color w:val="000000"/>
                <w:sz w:val="16"/>
                <w:szCs w:val="16"/>
                <w:lang w:eastAsia="fr-FR"/>
              </w:rPr>
            </w:pPr>
          </w:p>
        </w:tc>
        <w:tc>
          <w:tcPr>
            <w:tcW w:w="979" w:type="dxa"/>
            <w:vMerge/>
            <w:vAlign w:val="center"/>
            <w:hideMark/>
          </w:tcPr>
          <w:p w:rsidR="007E399B" w:rsidRPr="002462E6" w:rsidRDefault="007E399B" w:rsidP="002D1D62">
            <w:pPr>
              <w:spacing w:after="0"/>
              <w:jc w:val="center"/>
              <w:rPr>
                <w:rFonts w:ascii="Arial" w:hAnsi="Arial" w:cs="Arial"/>
                <w:color w:val="000000"/>
                <w:sz w:val="16"/>
                <w:szCs w:val="16"/>
                <w:lang w:eastAsia="fr-FR"/>
              </w:rPr>
            </w:pPr>
          </w:p>
        </w:tc>
        <w:tc>
          <w:tcPr>
            <w:tcW w:w="966" w:type="dxa"/>
            <w:shd w:val="clear" w:color="auto" w:fill="auto"/>
            <w:noWrap/>
            <w:vAlign w:val="center"/>
            <w:hideMark/>
          </w:tcPr>
          <w:p w:rsidR="007E399B" w:rsidRPr="002462E6" w:rsidRDefault="007E399B" w:rsidP="002D1D62">
            <w:pPr>
              <w:spacing w:after="120"/>
              <w:jc w:val="center"/>
              <w:rPr>
                <w:rFonts w:ascii="Arial" w:hAnsi="Arial" w:cs="Arial"/>
                <w:color w:val="000000"/>
                <w:sz w:val="16"/>
                <w:szCs w:val="16"/>
                <w:lang w:eastAsia="fr-FR"/>
              </w:rPr>
            </w:pPr>
            <w:r w:rsidRPr="002462E6">
              <w:rPr>
                <w:rFonts w:ascii="Arial" w:hAnsi="Arial" w:cs="Arial"/>
                <w:color w:val="000000"/>
                <w:sz w:val="16"/>
                <w:szCs w:val="16"/>
                <w:lang w:eastAsia="fr-FR"/>
              </w:rPr>
              <w:t>Oulad Daoud</w:t>
            </w:r>
          </w:p>
        </w:tc>
        <w:tc>
          <w:tcPr>
            <w:tcW w:w="1526" w:type="dxa"/>
            <w:shd w:val="clear" w:color="000000" w:fill="F4F46C"/>
            <w:noWrap/>
            <w:vAlign w:val="center"/>
            <w:hideMark/>
          </w:tcPr>
          <w:p w:rsidR="007E399B" w:rsidRPr="002462E6" w:rsidRDefault="007E399B" w:rsidP="002D1D62">
            <w:pPr>
              <w:spacing w:after="120"/>
              <w:jc w:val="center"/>
              <w:rPr>
                <w:rFonts w:ascii="Arial" w:hAnsi="Arial" w:cs="Arial"/>
                <w:color w:val="000000"/>
                <w:sz w:val="18"/>
                <w:szCs w:val="18"/>
                <w:lang w:eastAsia="fr-FR"/>
              </w:rPr>
            </w:pPr>
            <w:r w:rsidRPr="002462E6">
              <w:rPr>
                <w:rFonts w:ascii="Arial" w:hAnsi="Arial" w:cs="Arial"/>
                <w:color w:val="000000"/>
                <w:sz w:val="18"/>
                <w:szCs w:val="18"/>
                <w:lang w:eastAsia="fr-FR"/>
              </w:rPr>
              <w:t>0%</w:t>
            </w:r>
          </w:p>
        </w:tc>
        <w:tc>
          <w:tcPr>
            <w:tcW w:w="1518" w:type="dxa"/>
            <w:shd w:val="clear" w:color="000000" w:fill="F4F46C"/>
            <w:noWrap/>
            <w:vAlign w:val="center"/>
            <w:hideMark/>
          </w:tcPr>
          <w:p w:rsidR="007E399B" w:rsidRPr="002462E6" w:rsidRDefault="007E399B" w:rsidP="002D1D62">
            <w:pPr>
              <w:spacing w:after="120"/>
              <w:jc w:val="center"/>
              <w:rPr>
                <w:rFonts w:ascii="Arial" w:hAnsi="Arial" w:cs="Arial"/>
                <w:color w:val="000000"/>
                <w:sz w:val="18"/>
                <w:szCs w:val="18"/>
                <w:lang w:eastAsia="fr-FR"/>
              </w:rPr>
            </w:pPr>
            <w:r w:rsidRPr="002462E6">
              <w:rPr>
                <w:rFonts w:ascii="Arial" w:hAnsi="Arial" w:cs="Arial"/>
                <w:color w:val="000000"/>
                <w:sz w:val="18"/>
                <w:szCs w:val="18"/>
                <w:lang w:eastAsia="fr-FR"/>
              </w:rPr>
              <w:t>0%</w:t>
            </w:r>
          </w:p>
        </w:tc>
        <w:tc>
          <w:tcPr>
            <w:tcW w:w="1284" w:type="dxa"/>
            <w:shd w:val="clear" w:color="000000" w:fill="F4F46C"/>
            <w:noWrap/>
            <w:vAlign w:val="center"/>
            <w:hideMark/>
          </w:tcPr>
          <w:p w:rsidR="007E399B" w:rsidRPr="002462E6" w:rsidRDefault="007E399B" w:rsidP="002D1D62">
            <w:pPr>
              <w:spacing w:after="120"/>
              <w:jc w:val="center"/>
              <w:rPr>
                <w:rFonts w:ascii="Arial" w:hAnsi="Arial" w:cs="Arial"/>
                <w:color w:val="000000"/>
                <w:sz w:val="18"/>
                <w:szCs w:val="18"/>
                <w:lang w:eastAsia="fr-FR"/>
              </w:rPr>
            </w:pPr>
            <w:r w:rsidRPr="002462E6">
              <w:rPr>
                <w:rFonts w:ascii="Arial" w:hAnsi="Arial" w:cs="Arial"/>
                <w:color w:val="000000"/>
                <w:sz w:val="18"/>
                <w:szCs w:val="18"/>
                <w:lang w:eastAsia="fr-FR"/>
              </w:rPr>
              <w:t>20%</w:t>
            </w:r>
          </w:p>
        </w:tc>
        <w:tc>
          <w:tcPr>
            <w:tcW w:w="1646" w:type="dxa"/>
            <w:shd w:val="clear" w:color="000000" w:fill="D34B07"/>
            <w:noWrap/>
            <w:vAlign w:val="center"/>
            <w:hideMark/>
          </w:tcPr>
          <w:p w:rsidR="007E399B" w:rsidRPr="002462E6" w:rsidRDefault="007E399B" w:rsidP="002D1D62">
            <w:pPr>
              <w:spacing w:after="120"/>
              <w:jc w:val="center"/>
              <w:rPr>
                <w:rFonts w:ascii="Arial" w:hAnsi="Arial" w:cs="Arial"/>
                <w:color w:val="000000"/>
                <w:sz w:val="18"/>
                <w:szCs w:val="18"/>
                <w:lang w:eastAsia="fr-FR"/>
              </w:rPr>
            </w:pPr>
            <w:r w:rsidRPr="002462E6">
              <w:rPr>
                <w:rFonts w:ascii="Arial" w:hAnsi="Arial" w:cs="Arial"/>
                <w:color w:val="000000"/>
                <w:sz w:val="18"/>
                <w:szCs w:val="18"/>
                <w:lang w:eastAsia="fr-FR"/>
              </w:rPr>
              <w:t>100%</w:t>
            </w:r>
          </w:p>
        </w:tc>
        <w:tc>
          <w:tcPr>
            <w:tcW w:w="785" w:type="dxa"/>
            <w:shd w:val="clear" w:color="000000" w:fill="F4F46C"/>
            <w:noWrap/>
            <w:vAlign w:val="center"/>
            <w:hideMark/>
          </w:tcPr>
          <w:p w:rsidR="007E399B" w:rsidRPr="002462E6" w:rsidRDefault="007E399B" w:rsidP="002D1D62">
            <w:pPr>
              <w:spacing w:after="120"/>
              <w:jc w:val="center"/>
              <w:rPr>
                <w:rFonts w:ascii="Arial" w:hAnsi="Arial" w:cs="Arial"/>
                <w:color w:val="000000"/>
                <w:sz w:val="18"/>
                <w:szCs w:val="18"/>
                <w:lang w:eastAsia="fr-FR"/>
              </w:rPr>
            </w:pPr>
            <w:r w:rsidRPr="002462E6">
              <w:rPr>
                <w:rFonts w:ascii="Arial" w:hAnsi="Arial" w:cs="Arial"/>
                <w:color w:val="000000"/>
                <w:sz w:val="18"/>
                <w:szCs w:val="18"/>
                <w:lang w:eastAsia="fr-FR"/>
              </w:rPr>
              <w:t>30%</w:t>
            </w:r>
          </w:p>
        </w:tc>
      </w:tr>
      <w:tr w:rsidR="007E399B" w:rsidRPr="002462E6" w:rsidTr="002D1D62">
        <w:trPr>
          <w:trHeight w:val="264"/>
        </w:trPr>
        <w:tc>
          <w:tcPr>
            <w:tcW w:w="792" w:type="dxa"/>
            <w:vMerge/>
            <w:vAlign w:val="center"/>
            <w:hideMark/>
          </w:tcPr>
          <w:p w:rsidR="007E399B" w:rsidRPr="002462E6" w:rsidRDefault="007E399B" w:rsidP="002D1D62">
            <w:pPr>
              <w:spacing w:after="0"/>
              <w:rPr>
                <w:rFonts w:ascii="Arial" w:hAnsi="Arial" w:cs="Arial"/>
                <w:b/>
                <w:bCs/>
                <w:color w:val="000000"/>
                <w:sz w:val="16"/>
                <w:szCs w:val="16"/>
                <w:lang w:eastAsia="fr-FR"/>
              </w:rPr>
            </w:pPr>
          </w:p>
        </w:tc>
        <w:tc>
          <w:tcPr>
            <w:tcW w:w="979" w:type="dxa"/>
            <w:vMerge/>
            <w:vAlign w:val="center"/>
            <w:hideMark/>
          </w:tcPr>
          <w:p w:rsidR="007E399B" w:rsidRPr="002462E6" w:rsidRDefault="007E399B" w:rsidP="002D1D62">
            <w:pPr>
              <w:spacing w:after="0"/>
              <w:jc w:val="center"/>
              <w:rPr>
                <w:rFonts w:ascii="Arial" w:hAnsi="Arial" w:cs="Arial"/>
                <w:color w:val="000000"/>
                <w:sz w:val="16"/>
                <w:szCs w:val="16"/>
                <w:lang w:eastAsia="fr-FR"/>
              </w:rPr>
            </w:pPr>
          </w:p>
        </w:tc>
        <w:tc>
          <w:tcPr>
            <w:tcW w:w="966" w:type="dxa"/>
            <w:shd w:val="clear" w:color="auto" w:fill="auto"/>
            <w:noWrap/>
            <w:vAlign w:val="center"/>
            <w:hideMark/>
          </w:tcPr>
          <w:p w:rsidR="007E399B" w:rsidRPr="002462E6" w:rsidRDefault="007E399B" w:rsidP="002D1D62">
            <w:pPr>
              <w:spacing w:after="120"/>
              <w:jc w:val="center"/>
              <w:rPr>
                <w:rFonts w:ascii="Arial" w:hAnsi="Arial" w:cs="Arial"/>
                <w:color w:val="000000"/>
                <w:sz w:val="16"/>
                <w:szCs w:val="16"/>
                <w:lang w:eastAsia="fr-FR"/>
              </w:rPr>
            </w:pPr>
            <w:r w:rsidRPr="002462E6">
              <w:rPr>
                <w:rFonts w:ascii="Arial" w:hAnsi="Arial" w:cs="Arial"/>
                <w:color w:val="000000"/>
                <w:sz w:val="16"/>
                <w:szCs w:val="16"/>
                <w:lang w:eastAsia="fr-FR"/>
              </w:rPr>
              <w:t>Lâarâara</w:t>
            </w:r>
          </w:p>
        </w:tc>
        <w:tc>
          <w:tcPr>
            <w:tcW w:w="1526" w:type="dxa"/>
            <w:shd w:val="clear" w:color="000000" w:fill="F4F46C"/>
            <w:noWrap/>
            <w:vAlign w:val="center"/>
            <w:hideMark/>
          </w:tcPr>
          <w:p w:rsidR="007E399B" w:rsidRPr="002462E6" w:rsidRDefault="007E399B" w:rsidP="002D1D62">
            <w:pPr>
              <w:spacing w:after="120"/>
              <w:jc w:val="center"/>
              <w:rPr>
                <w:rFonts w:ascii="Arial" w:hAnsi="Arial" w:cs="Arial"/>
                <w:color w:val="000000"/>
                <w:sz w:val="18"/>
                <w:szCs w:val="18"/>
                <w:lang w:eastAsia="fr-FR"/>
              </w:rPr>
            </w:pPr>
            <w:r w:rsidRPr="002462E6">
              <w:rPr>
                <w:rFonts w:ascii="Arial" w:hAnsi="Arial" w:cs="Arial"/>
                <w:color w:val="000000"/>
                <w:sz w:val="18"/>
                <w:szCs w:val="18"/>
                <w:lang w:eastAsia="fr-FR"/>
              </w:rPr>
              <w:t>40%</w:t>
            </w:r>
          </w:p>
        </w:tc>
        <w:tc>
          <w:tcPr>
            <w:tcW w:w="1518" w:type="dxa"/>
            <w:shd w:val="clear" w:color="000000" w:fill="F4F46C"/>
            <w:noWrap/>
            <w:vAlign w:val="center"/>
            <w:hideMark/>
          </w:tcPr>
          <w:p w:rsidR="007E399B" w:rsidRPr="002462E6" w:rsidRDefault="007E399B" w:rsidP="002D1D62">
            <w:pPr>
              <w:spacing w:after="120"/>
              <w:jc w:val="center"/>
              <w:rPr>
                <w:rFonts w:ascii="Arial" w:hAnsi="Arial" w:cs="Arial"/>
                <w:color w:val="000000"/>
                <w:sz w:val="18"/>
                <w:szCs w:val="18"/>
                <w:lang w:eastAsia="fr-FR"/>
              </w:rPr>
            </w:pPr>
            <w:r w:rsidRPr="002462E6">
              <w:rPr>
                <w:rFonts w:ascii="Arial" w:hAnsi="Arial" w:cs="Arial"/>
                <w:color w:val="000000"/>
                <w:sz w:val="18"/>
                <w:szCs w:val="18"/>
                <w:lang w:eastAsia="fr-FR"/>
              </w:rPr>
              <w:t>0%</w:t>
            </w:r>
          </w:p>
        </w:tc>
        <w:tc>
          <w:tcPr>
            <w:tcW w:w="1284" w:type="dxa"/>
            <w:shd w:val="clear" w:color="000000" w:fill="F4F46C"/>
            <w:noWrap/>
            <w:vAlign w:val="center"/>
            <w:hideMark/>
          </w:tcPr>
          <w:p w:rsidR="007E399B" w:rsidRPr="002462E6" w:rsidRDefault="007E399B" w:rsidP="002D1D62">
            <w:pPr>
              <w:spacing w:after="120"/>
              <w:jc w:val="center"/>
              <w:rPr>
                <w:rFonts w:ascii="Arial" w:hAnsi="Arial" w:cs="Arial"/>
                <w:color w:val="000000"/>
                <w:sz w:val="18"/>
                <w:szCs w:val="18"/>
                <w:lang w:eastAsia="fr-FR"/>
              </w:rPr>
            </w:pPr>
            <w:r w:rsidRPr="002462E6">
              <w:rPr>
                <w:rFonts w:ascii="Arial" w:hAnsi="Arial" w:cs="Arial"/>
                <w:color w:val="000000"/>
                <w:sz w:val="18"/>
                <w:szCs w:val="18"/>
                <w:lang w:eastAsia="fr-FR"/>
              </w:rPr>
              <w:t>0%</w:t>
            </w:r>
          </w:p>
        </w:tc>
        <w:tc>
          <w:tcPr>
            <w:tcW w:w="1646" w:type="dxa"/>
            <w:shd w:val="clear" w:color="000000" w:fill="FFC000"/>
            <w:noWrap/>
            <w:vAlign w:val="center"/>
            <w:hideMark/>
          </w:tcPr>
          <w:p w:rsidR="007E399B" w:rsidRPr="002462E6" w:rsidRDefault="007E399B" w:rsidP="002D1D62">
            <w:pPr>
              <w:spacing w:after="120"/>
              <w:jc w:val="center"/>
              <w:rPr>
                <w:rFonts w:ascii="Arial" w:hAnsi="Arial" w:cs="Arial"/>
                <w:color w:val="000000"/>
                <w:sz w:val="18"/>
                <w:szCs w:val="18"/>
                <w:lang w:eastAsia="fr-FR"/>
              </w:rPr>
            </w:pPr>
            <w:r w:rsidRPr="002462E6">
              <w:rPr>
                <w:rFonts w:ascii="Arial" w:hAnsi="Arial" w:cs="Arial"/>
                <w:color w:val="000000"/>
                <w:sz w:val="18"/>
                <w:szCs w:val="18"/>
                <w:lang w:eastAsia="fr-FR"/>
              </w:rPr>
              <w:t>60%</w:t>
            </w:r>
          </w:p>
        </w:tc>
        <w:tc>
          <w:tcPr>
            <w:tcW w:w="785" w:type="dxa"/>
            <w:shd w:val="clear" w:color="000000" w:fill="F4F46C"/>
            <w:noWrap/>
            <w:vAlign w:val="center"/>
            <w:hideMark/>
          </w:tcPr>
          <w:p w:rsidR="007E399B" w:rsidRPr="002462E6" w:rsidRDefault="007E399B" w:rsidP="002D1D62">
            <w:pPr>
              <w:spacing w:after="120"/>
              <w:jc w:val="center"/>
              <w:rPr>
                <w:rFonts w:ascii="Arial" w:hAnsi="Arial" w:cs="Arial"/>
                <w:color w:val="000000"/>
                <w:sz w:val="18"/>
                <w:szCs w:val="18"/>
                <w:lang w:eastAsia="fr-FR"/>
              </w:rPr>
            </w:pPr>
            <w:r w:rsidRPr="002462E6">
              <w:rPr>
                <w:rFonts w:ascii="Arial" w:hAnsi="Arial" w:cs="Arial"/>
                <w:color w:val="000000"/>
                <w:sz w:val="18"/>
                <w:szCs w:val="18"/>
                <w:lang w:eastAsia="fr-FR"/>
              </w:rPr>
              <w:t>25%</w:t>
            </w:r>
          </w:p>
        </w:tc>
      </w:tr>
      <w:tr w:rsidR="007E399B" w:rsidRPr="002462E6" w:rsidTr="002D1D62">
        <w:trPr>
          <w:trHeight w:val="264"/>
        </w:trPr>
        <w:tc>
          <w:tcPr>
            <w:tcW w:w="792" w:type="dxa"/>
            <w:vMerge/>
            <w:vAlign w:val="center"/>
            <w:hideMark/>
          </w:tcPr>
          <w:p w:rsidR="007E399B" w:rsidRPr="002462E6" w:rsidRDefault="007E399B" w:rsidP="002D1D62">
            <w:pPr>
              <w:spacing w:after="0"/>
              <w:rPr>
                <w:rFonts w:ascii="Arial" w:hAnsi="Arial" w:cs="Arial"/>
                <w:b/>
                <w:bCs/>
                <w:color w:val="000000"/>
                <w:sz w:val="16"/>
                <w:szCs w:val="16"/>
                <w:lang w:eastAsia="fr-FR"/>
              </w:rPr>
            </w:pPr>
          </w:p>
        </w:tc>
        <w:tc>
          <w:tcPr>
            <w:tcW w:w="979" w:type="dxa"/>
            <w:vMerge/>
            <w:vAlign w:val="center"/>
            <w:hideMark/>
          </w:tcPr>
          <w:p w:rsidR="007E399B" w:rsidRPr="002462E6" w:rsidRDefault="007E399B" w:rsidP="002D1D62">
            <w:pPr>
              <w:spacing w:after="0"/>
              <w:jc w:val="center"/>
              <w:rPr>
                <w:rFonts w:ascii="Arial" w:hAnsi="Arial" w:cs="Arial"/>
                <w:color w:val="000000"/>
                <w:sz w:val="16"/>
                <w:szCs w:val="16"/>
                <w:lang w:eastAsia="fr-FR"/>
              </w:rPr>
            </w:pPr>
          </w:p>
        </w:tc>
        <w:tc>
          <w:tcPr>
            <w:tcW w:w="966" w:type="dxa"/>
            <w:shd w:val="clear" w:color="auto" w:fill="auto"/>
            <w:noWrap/>
            <w:vAlign w:val="center"/>
            <w:hideMark/>
          </w:tcPr>
          <w:p w:rsidR="007E399B" w:rsidRPr="002462E6" w:rsidRDefault="007E399B" w:rsidP="002D1D62">
            <w:pPr>
              <w:spacing w:after="120"/>
              <w:jc w:val="center"/>
              <w:rPr>
                <w:rFonts w:ascii="Arial" w:hAnsi="Arial" w:cs="Arial"/>
                <w:color w:val="000000"/>
                <w:sz w:val="16"/>
                <w:szCs w:val="16"/>
                <w:lang w:eastAsia="fr-FR"/>
              </w:rPr>
            </w:pPr>
            <w:r w:rsidRPr="002462E6">
              <w:rPr>
                <w:rFonts w:ascii="Arial" w:hAnsi="Arial" w:cs="Arial"/>
                <w:color w:val="000000"/>
                <w:sz w:val="16"/>
                <w:szCs w:val="16"/>
                <w:lang w:eastAsia="fr-FR"/>
              </w:rPr>
              <w:t>Elklâa</w:t>
            </w:r>
          </w:p>
        </w:tc>
        <w:tc>
          <w:tcPr>
            <w:tcW w:w="1526" w:type="dxa"/>
            <w:shd w:val="clear" w:color="000000" w:fill="FFC000"/>
            <w:noWrap/>
            <w:vAlign w:val="center"/>
            <w:hideMark/>
          </w:tcPr>
          <w:p w:rsidR="007E399B" w:rsidRPr="002462E6" w:rsidRDefault="007E399B" w:rsidP="002D1D62">
            <w:pPr>
              <w:spacing w:after="120"/>
              <w:jc w:val="center"/>
              <w:rPr>
                <w:rFonts w:ascii="Arial" w:hAnsi="Arial" w:cs="Arial"/>
                <w:color w:val="000000"/>
                <w:sz w:val="18"/>
                <w:szCs w:val="18"/>
                <w:lang w:eastAsia="fr-FR"/>
              </w:rPr>
            </w:pPr>
            <w:r w:rsidRPr="002462E6">
              <w:rPr>
                <w:rFonts w:ascii="Arial" w:hAnsi="Arial" w:cs="Arial"/>
                <w:color w:val="000000"/>
                <w:sz w:val="18"/>
                <w:szCs w:val="18"/>
                <w:lang w:eastAsia="fr-FR"/>
              </w:rPr>
              <w:t>60%</w:t>
            </w:r>
          </w:p>
        </w:tc>
        <w:tc>
          <w:tcPr>
            <w:tcW w:w="1518" w:type="dxa"/>
            <w:shd w:val="clear" w:color="000000" w:fill="F4F46C"/>
            <w:noWrap/>
            <w:vAlign w:val="center"/>
            <w:hideMark/>
          </w:tcPr>
          <w:p w:rsidR="007E399B" w:rsidRPr="002462E6" w:rsidRDefault="007E399B" w:rsidP="002D1D62">
            <w:pPr>
              <w:spacing w:after="120"/>
              <w:jc w:val="center"/>
              <w:rPr>
                <w:rFonts w:ascii="Arial" w:hAnsi="Arial" w:cs="Arial"/>
                <w:color w:val="000000"/>
                <w:sz w:val="18"/>
                <w:szCs w:val="18"/>
                <w:lang w:eastAsia="fr-FR"/>
              </w:rPr>
            </w:pPr>
            <w:r w:rsidRPr="002462E6">
              <w:rPr>
                <w:rFonts w:ascii="Arial" w:hAnsi="Arial" w:cs="Arial"/>
                <w:color w:val="000000"/>
                <w:sz w:val="18"/>
                <w:szCs w:val="18"/>
                <w:lang w:eastAsia="fr-FR"/>
              </w:rPr>
              <w:t>24%</w:t>
            </w:r>
          </w:p>
        </w:tc>
        <w:tc>
          <w:tcPr>
            <w:tcW w:w="1284" w:type="dxa"/>
            <w:shd w:val="clear" w:color="000000" w:fill="F4F46C"/>
            <w:noWrap/>
            <w:vAlign w:val="center"/>
            <w:hideMark/>
          </w:tcPr>
          <w:p w:rsidR="007E399B" w:rsidRPr="002462E6" w:rsidRDefault="007E399B" w:rsidP="002D1D62">
            <w:pPr>
              <w:spacing w:after="120"/>
              <w:jc w:val="center"/>
              <w:rPr>
                <w:rFonts w:ascii="Arial" w:hAnsi="Arial" w:cs="Arial"/>
                <w:color w:val="000000"/>
                <w:sz w:val="18"/>
                <w:szCs w:val="18"/>
                <w:lang w:eastAsia="fr-FR"/>
              </w:rPr>
            </w:pPr>
            <w:r w:rsidRPr="002462E6">
              <w:rPr>
                <w:rFonts w:ascii="Arial" w:hAnsi="Arial" w:cs="Arial"/>
                <w:color w:val="000000"/>
                <w:sz w:val="18"/>
                <w:szCs w:val="18"/>
                <w:lang w:eastAsia="fr-FR"/>
              </w:rPr>
              <w:t>0%</w:t>
            </w:r>
          </w:p>
        </w:tc>
        <w:tc>
          <w:tcPr>
            <w:tcW w:w="1646" w:type="dxa"/>
            <w:shd w:val="clear" w:color="000000" w:fill="F4F46C"/>
            <w:noWrap/>
            <w:vAlign w:val="center"/>
            <w:hideMark/>
          </w:tcPr>
          <w:p w:rsidR="007E399B" w:rsidRPr="002462E6" w:rsidRDefault="007E399B" w:rsidP="002D1D62">
            <w:pPr>
              <w:spacing w:after="120"/>
              <w:jc w:val="center"/>
              <w:rPr>
                <w:rFonts w:ascii="Arial" w:hAnsi="Arial" w:cs="Arial"/>
                <w:color w:val="000000"/>
                <w:sz w:val="18"/>
                <w:szCs w:val="18"/>
                <w:lang w:eastAsia="fr-FR"/>
              </w:rPr>
            </w:pPr>
            <w:r w:rsidRPr="002462E6">
              <w:rPr>
                <w:rFonts w:ascii="Arial" w:hAnsi="Arial" w:cs="Arial"/>
                <w:color w:val="000000"/>
                <w:sz w:val="18"/>
                <w:szCs w:val="18"/>
                <w:lang w:eastAsia="fr-FR"/>
              </w:rPr>
              <w:t>0%</w:t>
            </w:r>
          </w:p>
        </w:tc>
        <w:tc>
          <w:tcPr>
            <w:tcW w:w="785" w:type="dxa"/>
            <w:shd w:val="clear" w:color="000000" w:fill="F4F46C"/>
            <w:noWrap/>
            <w:vAlign w:val="center"/>
            <w:hideMark/>
          </w:tcPr>
          <w:p w:rsidR="007E399B" w:rsidRPr="002462E6" w:rsidRDefault="007E399B" w:rsidP="002D1D62">
            <w:pPr>
              <w:spacing w:after="120"/>
              <w:jc w:val="center"/>
              <w:rPr>
                <w:rFonts w:ascii="Arial" w:hAnsi="Arial" w:cs="Arial"/>
                <w:color w:val="000000"/>
                <w:sz w:val="18"/>
                <w:szCs w:val="18"/>
                <w:lang w:eastAsia="fr-FR"/>
              </w:rPr>
            </w:pPr>
            <w:r w:rsidRPr="002462E6">
              <w:rPr>
                <w:rFonts w:ascii="Arial" w:hAnsi="Arial" w:cs="Arial"/>
                <w:color w:val="000000"/>
                <w:sz w:val="18"/>
                <w:szCs w:val="18"/>
                <w:lang w:eastAsia="fr-FR"/>
              </w:rPr>
              <w:t>21%</w:t>
            </w:r>
          </w:p>
        </w:tc>
      </w:tr>
      <w:tr w:rsidR="007E399B" w:rsidRPr="002462E6" w:rsidTr="002D1D62">
        <w:trPr>
          <w:trHeight w:val="264"/>
        </w:trPr>
        <w:tc>
          <w:tcPr>
            <w:tcW w:w="792" w:type="dxa"/>
            <w:vMerge/>
            <w:vAlign w:val="center"/>
            <w:hideMark/>
          </w:tcPr>
          <w:p w:rsidR="007E399B" w:rsidRPr="002462E6" w:rsidRDefault="007E399B" w:rsidP="002D1D62">
            <w:pPr>
              <w:spacing w:after="0"/>
              <w:rPr>
                <w:rFonts w:ascii="Arial" w:hAnsi="Arial" w:cs="Arial"/>
                <w:b/>
                <w:bCs/>
                <w:color w:val="000000"/>
                <w:sz w:val="16"/>
                <w:szCs w:val="16"/>
                <w:lang w:eastAsia="fr-FR"/>
              </w:rPr>
            </w:pPr>
          </w:p>
        </w:tc>
        <w:tc>
          <w:tcPr>
            <w:tcW w:w="979" w:type="dxa"/>
            <w:vMerge/>
            <w:vAlign w:val="center"/>
            <w:hideMark/>
          </w:tcPr>
          <w:p w:rsidR="007E399B" w:rsidRPr="002462E6" w:rsidRDefault="007E399B" w:rsidP="002D1D62">
            <w:pPr>
              <w:spacing w:after="0"/>
              <w:jc w:val="center"/>
              <w:rPr>
                <w:rFonts w:ascii="Arial" w:hAnsi="Arial" w:cs="Arial"/>
                <w:color w:val="000000"/>
                <w:sz w:val="16"/>
                <w:szCs w:val="16"/>
                <w:lang w:eastAsia="fr-FR"/>
              </w:rPr>
            </w:pPr>
          </w:p>
        </w:tc>
        <w:tc>
          <w:tcPr>
            <w:tcW w:w="966" w:type="dxa"/>
            <w:shd w:val="clear" w:color="auto" w:fill="auto"/>
            <w:noWrap/>
            <w:vAlign w:val="center"/>
            <w:hideMark/>
          </w:tcPr>
          <w:p w:rsidR="007E399B" w:rsidRPr="002462E6" w:rsidRDefault="007E399B" w:rsidP="002D1D62">
            <w:pPr>
              <w:spacing w:after="120"/>
              <w:jc w:val="center"/>
              <w:rPr>
                <w:rFonts w:ascii="Arial" w:hAnsi="Arial" w:cs="Arial"/>
                <w:color w:val="000000"/>
                <w:sz w:val="16"/>
                <w:szCs w:val="16"/>
                <w:lang w:eastAsia="fr-FR"/>
              </w:rPr>
            </w:pPr>
            <w:r w:rsidRPr="002462E6">
              <w:rPr>
                <w:rFonts w:ascii="Arial" w:hAnsi="Arial" w:cs="Arial"/>
                <w:color w:val="000000"/>
                <w:sz w:val="16"/>
                <w:szCs w:val="16"/>
                <w:lang w:eastAsia="fr-FR"/>
              </w:rPr>
              <w:t>Oulad Saîd</w:t>
            </w:r>
          </w:p>
        </w:tc>
        <w:tc>
          <w:tcPr>
            <w:tcW w:w="1526" w:type="dxa"/>
            <w:shd w:val="clear" w:color="000000" w:fill="FFC000"/>
            <w:noWrap/>
            <w:vAlign w:val="center"/>
            <w:hideMark/>
          </w:tcPr>
          <w:p w:rsidR="007E399B" w:rsidRPr="002462E6" w:rsidRDefault="007E399B" w:rsidP="002D1D62">
            <w:pPr>
              <w:spacing w:after="120"/>
              <w:jc w:val="center"/>
              <w:rPr>
                <w:rFonts w:ascii="Arial" w:hAnsi="Arial" w:cs="Arial"/>
                <w:color w:val="000000"/>
                <w:sz w:val="18"/>
                <w:szCs w:val="18"/>
                <w:lang w:eastAsia="fr-FR"/>
              </w:rPr>
            </w:pPr>
            <w:r w:rsidRPr="002462E6">
              <w:rPr>
                <w:rFonts w:ascii="Arial" w:hAnsi="Arial" w:cs="Arial"/>
                <w:color w:val="000000"/>
                <w:sz w:val="18"/>
                <w:szCs w:val="18"/>
                <w:lang w:eastAsia="fr-FR"/>
              </w:rPr>
              <w:t>67%</w:t>
            </w:r>
          </w:p>
        </w:tc>
        <w:tc>
          <w:tcPr>
            <w:tcW w:w="1518" w:type="dxa"/>
            <w:shd w:val="clear" w:color="000000" w:fill="F4F46C"/>
            <w:noWrap/>
            <w:vAlign w:val="center"/>
            <w:hideMark/>
          </w:tcPr>
          <w:p w:rsidR="007E399B" w:rsidRPr="002462E6" w:rsidRDefault="007E399B" w:rsidP="002D1D62">
            <w:pPr>
              <w:spacing w:after="120"/>
              <w:jc w:val="center"/>
              <w:rPr>
                <w:rFonts w:ascii="Arial" w:hAnsi="Arial" w:cs="Arial"/>
                <w:color w:val="000000"/>
                <w:sz w:val="18"/>
                <w:szCs w:val="18"/>
                <w:lang w:eastAsia="fr-FR"/>
              </w:rPr>
            </w:pPr>
            <w:r w:rsidRPr="002462E6">
              <w:rPr>
                <w:rFonts w:ascii="Arial" w:hAnsi="Arial" w:cs="Arial"/>
                <w:color w:val="000000"/>
                <w:sz w:val="18"/>
                <w:szCs w:val="18"/>
                <w:lang w:eastAsia="fr-FR"/>
              </w:rPr>
              <w:t>0%</w:t>
            </w:r>
          </w:p>
        </w:tc>
        <w:tc>
          <w:tcPr>
            <w:tcW w:w="1284" w:type="dxa"/>
            <w:shd w:val="clear" w:color="000000" w:fill="FFC000"/>
            <w:noWrap/>
            <w:vAlign w:val="center"/>
            <w:hideMark/>
          </w:tcPr>
          <w:p w:rsidR="007E399B" w:rsidRPr="002462E6" w:rsidRDefault="007E399B" w:rsidP="002D1D62">
            <w:pPr>
              <w:spacing w:after="120"/>
              <w:jc w:val="center"/>
              <w:rPr>
                <w:rFonts w:ascii="Arial" w:hAnsi="Arial" w:cs="Arial"/>
                <w:color w:val="000000"/>
                <w:sz w:val="18"/>
                <w:szCs w:val="18"/>
                <w:lang w:eastAsia="fr-FR"/>
              </w:rPr>
            </w:pPr>
            <w:r w:rsidRPr="002462E6">
              <w:rPr>
                <w:rFonts w:ascii="Arial" w:hAnsi="Arial" w:cs="Arial"/>
                <w:color w:val="000000"/>
                <w:sz w:val="18"/>
                <w:szCs w:val="18"/>
                <w:lang w:eastAsia="fr-FR"/>
              </w:rPr>
              <w:t>58%</w:t>
            </w:r>
          </w:p>
        </w:tc>
        <w:tc>
          <w:tcPr>
            <w:tcW w:w="1646" w:type="dxa"/>
            <w:shd w:val="clear" w:color="000000" w:fill="F4F46C"/>
            <w:noWrap/>
            <w:vAlign w:val="center"/>
            <w:hideMark/>
          </w:tcPr>
          <w:p w:rsidR="007E399B" w:rsidRPr="002462E6" w:rsidRDefault="007E399B" w:rsidP="002D1D62">
            <w:pPr>
              <w:spacing w:after="120"/>
              <w:jc w:val="center"/>
              <w:rPr>
                <w:rFonts w:ascii="Arial" w:hAnsi="Arial" w:cs="Arial"/>
                <w:color w:val="000000"/>
                <w:sz w:val="18"/>
                <w:szCs w:val="18"/>
                <w:lang w:eastAsia="fr-FR"/>
              </w:rPr>
            </w:pPr>
            <w:r w:rsidRPr="002462E6">
              <w:rPr>
                <w:rFonts w:ascii="Arial" w:hAnsi="Arial" w:cs="Arial"/>
                <w:color w:val="000000"/>
                <w:sz w:val="18"/>
                <w:szCs w:val="18"/>
                <w:lang w:eastAsia="fr-FR"/>
              </w:rPr>
              <w:t>20%</w:t>
            </w:r>
          </w:p>
        </w:tc>
        <w:tc>
          <w:tcPr>
            <w:tcW w:w="785" w:type="dxa"/>
            <w:shd w:val="clear" w:color="000000" w:fill="F4F46C"/>
            <w:noWrap/>
            <w:vAlign w:val="center"/>
            <w:hideMark/>
          </w:tcPr>
          <w:p w:rsidR="007E399B" w:rsidRPr="002462E6" w:rsidRDefault="007E399B" w:rsidP="002D1D62">
            <w:pPr>
              <w:spacing w:after="120"/>
              <w:jc w:val="center"/>
              <w:rPr>
                <w:rFonts w:ascii="Arial" w:hAnsi="Arial" w:cs="Arial"/>
                <w:color w:val="000000"/>
                <w:sz w:val="18"/>
                <w:szCs w:val="18"/>
                <w:lang w:eastAsia="fr-FR"/>
              </w:rPr>
            </w:pPr>
            <w:r w:rsidRPr="002462E6">
              <w:rPr>
                <w:rFonts w:ascii="Arial" w:hAnsi="Arial" w:cs="Arial"/>
                <w:color w:val="000000"/>
                <w:sz w:val="18"/>
                <w:szCs w:val="18"/>
                <w:lang w:eastAsia="fr-FR"/>
              </w:rPr>
              <w:t>36%</w:t>
            </w:r>
          </w:p>
        </w:tc>
      </w:tr>
      <w:tr w:rsidR="007E399B" w:rsidRPr="002462E6" w:rsidTr="002D1D62">
        <w:trPr>
          <w:trHeight w:val="264"/>
        </w:trPr>
        <w:tc>
          <w:tcPr>
            <w:tcW w:w="792" w:type="dxa"/>
            <w:vMerge/>
            <w:vAlign w:val="center"/>
            <w:hideMark/>
          </w:tcPr>
          <w:p w:rsidR="007E399B" w:rsidRPr="002462E6" w:rsidRDefault="007E399B" w:rsidP="002D1D62">
            <w:pPr>
              <w:spacing w:after="0"/>
              <w:rPr>
                <w:rFonts w:ascii="Arial" w:hAnsi="Arial" w:cs="Arial"/>
                <w:b/>
                <w:bCs/>
                <w:color w:val="000000"/>
                <w:sz w:val="16"/>
                <w:szCs w:val="16"/>
                <w:lang w:eastAsia="fr-FR"/>
              </w:rPr>
            </w:pPr>
          </w:p>
        </w:tc>
        <w:tc>
          <w:tcPr>
            <w:tcW w:w="979" w:type="dxa"/>
            <w:vMerge/>
            <w:vAlign w:val="center"/>
            <w:hideMark/>
          </w:tcPr>
          <w:p w:rsidR="007E399B" w:rsidRPr="002462E6" w:rsidRDefault="007E399B" w:rsidP="002D1D62">
            <w:pPr>
              <w:spacing w:after="0"/>
              <w:jc w:val="center"/>
              <w:rPr>
                <w:rFonts w:ascii="Arial" w:hAnsi="Arial" w:cs="Arial"/>
                <w:color w:val="000000"/>
                <w:sz w:val="16"/>
                <w:szCs w:val="16"/>
                <w:lang w:eastAsia="fr-FR"/>
              </w:rPr>
            </w:pPr>
          </w:p>
        </w:tc>
        <w:tc>
          <w:tcPr>
            <w:tcW w:w="966" w:type="dxa"/>
            <w:shd w:val="clear" w:color="auto" w:fill="auto"/>
            <w:noWrap/>
            <w:vAlign w:val="center"/>
            <w:hideMark/>
          </w:tcPr>
          <w:p w:rsidR="007E399B" w:rsidRPr="002462E6" w:rsidRDefault="007E399B" w:rsidP="002D1D62">
            <w:pPr>
              <w:spacing w:after="120"/>
              <w:jc w:val="center"/>
              <w:rPr>
                <w:rFonts w:ascii="Arial" w:hAnsi="Arial" w:cs="Arial"/>
                <w:color w:val="000000"/>
                <w:sz w:val="16"/>
                <w:szCs w:val="16"/>
                <w:lang w:eastAsia="fr-FR"/>
              </w:rPr>
            </w:pPr>
            <w:r w:rsidRPr="002462E6">
              <w:rPr>
                <w:rFonts w:ascii="Arial" w:hAnsi="Arial" w:cs="Arial"/>
                <w:color w:val="000000"/>
                <w:sz w:val="16"/>
                <w:szCs w:val="16"/>
                <w:lang w:eastAsia="fr-FR"/>
              </w:rPr>
              <w:t>Oulad Azzouz</w:t>
            </w:r>
          </w:p>
        </w:tc>
        <w:tc>
          <w:tcPr>
            <w:tcW w:w="1526" w:type="dxa"/>
            <w:shd w:val="clear" w:color="000000" w:fill="F4F46C"/>
            <w:noWrap/>
            <w:vAlign w:val="center"/>
            <w:hideMark/>
          </w:tcPr>
          <w:p w:rsidR="007E399B" w:rsidRPr="002462E6" w:rsidRDefault="007E399B" w:rsidP="002D1D62">
            <w:pPr>
              <w:spacing w:after="120"/>
              <w:jc w:val="center"/>
              <w:rPr>
                <w:rFonts w:ascii="Arial" w:hAnsi="Arial" w:cs="Arial"/>
                <w:color w:val="000000"/>
                <w:sz w:val="18"/>
                <w:szCs w:val="18"/>
                <w:lang w:eastAsia="fr-FR"/>
              </w:rPr>
            </w:pPr>
            <w:r w:rsidRPr="002462E6">
              <w:rPr>
                <w:rFonts w:ascii="Arial" w:hAnsi="Arial" w:cs="Arial"/>
                <w:color w:val="000000"/>
                <w:sz w:val="18"/>
                <w:szCs w:val="18"/>
                <w:lang w:eastAsia="fr-FR"/>
              </w:rPr>
              <w:t>40%</w:t>
            </w:r>
          </w:p>
        </w:tc>
        <w:tc>
          <w:tcPr>
            <w:tcW w:w="1518" w:type="dxa"/>
            <w:shd w:val="clear" w:color="000000" w:fill="F4F46C"/>
            <w:noWrap/>
            <w:vAlign w:val="center"/>
            <w:hideMark/>
          </w:tcPr>
          <w:p w:rsidR="007E399B" w:rsidRPr="002462E6" w:rsidRDefault="007E399B" w:rsidP="002D1D62">
            <w:pPr>
              <w:spacing w:after="120"/>
              <w:jc w:val="center"/>
              <w:rPr>
                <w:rFonts w:ascii="Arial" w:hAnsi="Arial" w:cs="Arial"/>
                <w:color w:val="000000"/>
                <w:sz w:val="18"/>
                <w:szCs w:val="18"/>
                <w:lang w:eastAsia="fr-FR"/>
              </w:rPr>
            </w:pPr>
            <w:r w:rsidRPr="002462E6">
              <w:rPr>
                <w:rFonts w:ascii="Arial" w:hAnsi="Arial" w:cs="Arial"/>
                <w:color w:val="000000"/>
                <w:sz w:val="18"/>
                <w:szCs w:val="18"/>
                <w:lang w:eastAsia="fr-FR"/>
              </w:rPr>
              <w:t>18%</w:t>
            </w:r>
          </w:p>
        </w:tc>
        <w:tc>
          <w:tcPr>
            <w:tcW w:w="1284" w:type="dxa"/>
            <w:shd w:val="clear" w:color="000000" w:fill="F4F46C"/>
            <w:noWrap/>
            <w:vAlign w:val="center"/>
            <w:hideMark/>
          </w:tcPr>
          <w:p w:rsidR="007E399B" w:rsidRPr="002462E6" w:rsidRDefault="007E399B" w:rsidP="002D1D62">
            <w:pPr>
              <w:spacing w:after="120"/>
              <w:jc w:val="center"/>
              <w:rPr>
                <w:rFonts w:ascii="Arial" w:hAnsi="Arial" w:cs="Arial"/>
                <w:color w:val="000000"/>
                <w:sz w:val="18"/>
                <w:szCs w:val="18"/>
                <w:lang w:eastAsia="fr-FR"/>
              </w:rPr>
            </w:pPr>
            <w:r w:rsidRPr="002462E6">
              <w:rPr>
                <w:rFonts w:ascii="Arial" w:hAnsi="Arial" w:cs="Arial"/>
                <w:color w:val="000000"/>
                <w:sz w:val="18"/>
                <w:szCs w:val="18"/>
                <w:lang w:eastAsia="fr-FR"/>
              </w:rPr>
              <w:t>9%</w:t>
            </w:r>
          </w:p>
        </w:tc>
        <w:tc>
          <w:tcPr>
            <w:tcW w:w="1646" w:type="dxa"/>
            <w:shd w:val="clear" w:color="000000" w:fill="F4F46C"/>
            <w:noWrap/>
            <w:vAlign w:val="center"/>
            <w:hideMark/>
          </w:tcPr>
          <w:p w:rsidR="007E399B" w:rsidRPr="002462E6" w:rsidRDefault="007E399B" w:rsidP="002D1D62">
            <w:pPr>
              <w:spacing w:after="120"/>
              <w:jc w:val="center"/>
              <w:rPr>
                <w:rFonts w:ascii="Arial" w:hAnsi="Arial" w:cs="Arial"/>
                <w:color w:val="000000"/>
                <w:sz w:val="18"/>
                <w:szCs w:val="18"/>
                <w:lang w:eastAsia="fr-FR"/>
              </w:rPr>
            </w:pPr>
            <w:r w:rsidRPr="002462E6">
              <w:rPr>
                <w:rFonts w:ascii="Arial" w:hAnsi="Arial" w:cs="Arial"/>
                <w:color w:val="000000"/>
                <w:sz w:val="18"/>
                <w:szCs w:val="18"/>
                <w:lang w:eastAsia="fr-FR"/>
              </w:rPr>
              <w:t>0%</w:t>
            </w:r>
          </w:p>
        </w:tc>
        <w:tc>
          <w:tcPr>
            <w:tcW w:w="785" w:type="dxa"/>
            <w:shd w:val="clear" w:color="000000" w:fill="F4F46C"/>
            <w:noWrap/>
            <w:vAlign w:val="center"/>
            <w:hideMark/>
          </w:tcPr>
          <w:p w:rsidR="007E399B" w:rsidRPr="002462E6" w:rsidRDefault="007E399B" w:rsidP="002D1D62">
            <w:pPr>
              <w:spacing w:after="120"/>
              <w:jc w:val="center"/>
              <w:rPr>
                <w:rFonts w:ascii="Arial" w:hAnsi="Arial" w:cs="Arial"/>
                <w:color w:val="000000"/>
                <w:sz w:val="18"/>
                <w:szCs w:val="18"/>
                <w:lang w:eastAsia="fr-FR"/>
              </w:rPr>
            </w:pPr>
            <w:r w:rsidRPr="002462E6">
              <w:rPr>
                <w:rFonts w:ascii="Arial" w:hAnsi="Arial" w:cs="Arial"/>
                <w:color w:val="000000"/>
                <w:sz w:val="18"/>
                <w:szCs w:val="18"/>
                <w:lang w:eastAsia="fr-FR"/>
              </w:rPr>
              <w:t>17%</w:t>
            </w:r>
          </w:p>
        </w:tc>
      </w:tr>
      <w:tr w:rsidR="007E399B" w:rsidRPr="002462E6" w:rsidTr="002D1D62">
        <w:trPr>
          <w:trHeight w:val="264"/>
        </w:trPr>
        <w:tc>
          <w:tcPr>
            <w:tcW w:w="792" w:type="dxa"/>
            <w:vMerge w:val="restart"/>
            <w:shd w:val="clear" w:color="auto" w:fill="auto"/>
            <w:vAlign w:val="center"/>
            <w:hideMark/>
          </w:tcPr>
          <w:p w:rsidR="007E399B" w:rsidRPr="002462E6" w:rsidRDefault="007E399B" w:rsidP="002D1D62">
            <w:pPr>
              <w:spacing w:after="0"/>
              <w:jc w:val="center"/>
              <w:rPr>
                <w:rFonts w:ascii="Arial" w:hAnsi="Arial" w:cs="Arial"/>
                <w:b/>
                <w:bCs/>
                <w:color w:val="000000"/>
                <w:sz w:val="16"/>
                <w:szCs w:val="16"/>
                <w:lang w:eastAsia="fr-FR"/>
              </w:rPr>
            </w:pPr>
            <w:r w:rsidRPr="002462E6">
              <w:rPr>
                <w:rFonts w:ascii="Arial" w:hAnsi="Arial" w:cs="Arial"/>
                <w:b/>
                <w:bCs/>
                <w:color w:val="000000"/>
                <w:sz w:val="16"/>
                <w:szCs w:val="16"/>
                <w:lang w:eastAsia="fr-FR"/>
              </w:rPr>
              <w:t>Khémisset</w:t>
            </w:r>
          </w:p>
        </w:tc>
        <w:tc>
          <w:tcPr>
            <w:tcW w:w="979" w:type="dxa"/>
            <w:vMerge w:val="restart"/>
            <w:shd w:val="clear" w:color="auto" w:fill="auto"/>
            <w:noWrap/>
            <w:vAlign w:val="center"/>
            <w:hideMark/>
          </w:tcPr>
          <w:p w:rsidR="007E399B" w:rsidRPr="002462E6" w:rsidRDefault="007E399B" w:rsidP="002D1D62">
            <w:pPr>
              <w:spacing w:after="0"/>
              <w:jc w:val="center"/>
              <w:rPr>
                <w:rFonts w:ascii="Arial" w:hAnsi="Arial" w:cs="Arial"/>
                <w:color w:val="000000"/>
                <w:sz w:val="16"/>
                <w:szCs w:val="16"/>
                <w:lang w:eastAsia="fr-FR"/>
              </w:rPr>
            </w:pPr>
            <w:r w:rsidRPr="002462E6">
              <w:rPr>
                <w:rFonts w:ascii="Arial" w:hAnsi="Arial" w:cs="Arial"/>
                <w:color w:val="000000"/>
                <w:sz w:val="16"/>
                <w:szCs w:val="16"/>
                <w:lang w:eastAsia="fr-FR"/>
              </w:rPr>
              <w:t>Merchouch</w:t>
            </w:r>
          </w:p>
        </w:tc>
        <w:tc>
          <w:tcPr>
            <w:tcW w:w="966" w:type="dxa"/>
            <w:shd w:val="clear" w:color="auto" w:fill="auto"/>
            <w:noWrap/>
            <w:vAlign w:val="center"/>
            <w:hideMark/>
          </w:tcPr>
          <w:p w:rsidR="007E399B" w:rsidRPr="002462E6" w:rsidRDefault="007E399B" w:rsidP="002D1D62">
            <w:pPr>
              <w:spacing w:after="120"/>
              <w:jc w:val="center"/>
              <w:rPr>
                <w:rFonts w:ascii="Arial" w:hAnsi="Arial" w:cs="Arial"/>
                <w:color w:val="000000"/>
                <w:sz w:val="16"/>
                <w:szCs w:val="16"/>
                <w:lang w:eastAsia="fr-FR"/>
              </w:rPr>
            </w:pPr>
            <w:r w:rsidRPr="002462E6">
              <w:rPr>
                <w:rFonts w:ascii="Arial" w:hAnsi="Arial" w:cs="Arial"/>
                <w:color w:val="000000"/>
                <w:sz w:val="16"/>
                <w:szCs w:val="16"/>
                <w:lang w:eastAsia="fr-FR"/>
              </w:rPr>
              <w:t>Lmkhafa</w:t>
            </w:r>
          </w:p>
        </w:tc>
        <w:tc>
          <w:tcPr>
            <w:tcW w:w="1526" w:type="dxa"/>
            <w:shd w:val="clear" w:color="000000" w:fill="D34B07"/>
            <w:noWrap/>
            <w:vAlign w:val="center"/>
            <w:hideMark/>
          </w:tcPr>
          <w:p w:rsidR="007E399B" w:rsidRPr="002462E6" w:rsidRDefault="007E399B" w:rsidP="002D1D62">
            <w:pPr>
              <w:spacing w:after="120"/>
              <w:jc w:val="center"/>
              <w:rPr>
                <w:rFonts w:ascii="Arial" w:hAnsi="Arial" w:cs="Arial"/>
                <w:color w:val="000000"/>
                <w:sz w:val="18"/>
                <w:szCs w:val="18"/>
                <w:lang w:eastAsia="fr-FR"/>
              </w:rPr>
            </w:pPr>
            <w:r w:rsidRPr="002462E6">
              <w:rPr>
                <w:rFonts w:ascii="Arial" w:hAnsi="Arial" w:cs="Arial"/>
                <w:color w:val="000000"/>
                <w:sz w:val="18"/>
                <w:szCs w:val="18"/>
                <w:lang w:eastAsia="fr-FR"/>
              </w:rPr>
              <w:t>80%</w:t>
            </w:r>
          </w:p>
        </w:tc>
        <w:tc>
          <w:tcPr>
            <w:tcW w:w="1518" w:type="dxa"/>
            <w:shd w:val="clear" w:color="000000" w:fill="F4F46C"/>
            <w:noWrap/>
            <w:vAlign w:val="center"/>
            <w:hideMark/>
          </w:tcPr>
          <w:p w:rsidR="007E399B" w:rsidRPr="002462E6" w:rsidRDefault="007E399B" w:rsidP="002D1D62">
            <w:pPr>
              <w:spacing w:after="120"/>
              <w:jc w:val="center"/>
              <w:rPr>
                <w:rFonts w:ascii="Arial" w:hAnsi="Arial" w:cs="Arial"/>
                <w:color w:val="000000"/>
                <w:sz w:val="18"/>
                <w:szCs w:val="18"/>
                <w:lang w:eastAsia="fr-FR"/>
              </w:rPr>
            </w:pPr>
            <w:r w:rsidRPr="002462E6">
              <w:rPr>
                <w:rFonts w:ascii="Arial" w:hAnsi="Arial" w:cs="Arial"/>
                <w:color w:val="000000"/>
                <w:sz w:val="18"/>
                <w:szCs w:val="18"/>
                <w:lang w:eastAsia="fr-FR"/>
              </w:rPr>
              <w:t>7%</w:t>
            </w:r>
          </w:p>
        </w:tc>
        <w:tc>
          <w:tcPr>
            <w:tcW w:w="1284" w:type="dxa"/>
            <w:shd w:val="clear" w:color="000000" w:fill="FFC000"/>
            <w:noWrap/>
            <w:vAlign w:val="center"/>
            <w:hideMark/>
          </w:tcPr>
          <w:p w:rsidR="007E399B" w:rsidRPr="002462E6" w:rsidRDefault="007E399B" w:rsidP="002D1D62">
            <w:pPr>
              <w:spacing w:after="120"/>
              <w:jc w:val="center"/>
              <w:rPr>
                <w:rFonts w:ascii="Arial" w:hAnsi="Arial" w:cs="Arial"/>
                <w:color w:val="000000"/>
                <w:sz w:val="18"/>
                <w:szCs w:val="18"/>
                <w:lang w:eastAsia="fr-FR"/>
              </w:rPr>
            </w:pPr>
            <w:r w:rsidRPr="002462E6">
              <w:rPr>
                <w:rFonts w:ascii="Arial" w:hAnsi="Arial" w:cs="Arial"/>
                <w:color w:val="000000"/>
                <w:sz w:val="18"/>
                <w:szCs w:val="18"/>
                <w:lang w:eastAsia="fr-FR"/>
              </w:rPr>
              <w:t>50%</w:t>
            </w:r>
          </w:p>
        </w:tc>
        <w:tc>
          <w:tcPr>
            <w:tcW w:w="1646" w:type="dxa"/>
            <w:shd w:val="clear" w:color="000000" w:fill="D34B07"/>
            <w:noWrap/>
            <w:vAlign w:val="center"/>
            <w:hideMark/>
          </w:tcPr>
          <w:p w:rsidR="007E399B" w:rsidRPr="002462E6" w:rsidRDefault="007E399B" w:rsidP="002D1D62">
            <w:pPr>
              <w:spacing w:after="120"/>
              <w:jc w:val="center"/>
              <w:rPr>
                <w:rFonts w:ascii="Arial" w:hAnsi="Arial" w:cs="Arial"/>
                <w:color w:val="000000"/>
                <w:sz w:val="18"/>
                <w:szCs w:val="18"/>
                <w:lang w:eastAsia="fr-FR"/>
              </w:rPr>
            </w:pPr>
            <w:r w:rsidRPr="002462E6">
              <w:rPr>
                <w:rFonts w:ascii="Arial" w:hAnsi="Arial" w:cs="Arial"/>
                <w:color w:val="000000"/>
                <w:sz w:val="18"/>
                <w:szCs w:val="18"/>
                <w:lang w:eastAsia="fr-FR"/>
              </w:rPr>
              <w:t>100%</w:t>
            </w:r>
          </w:p>
        </w:tc>
        <w:tc>
          <w:tcPr>
            <w:tcW w:w="785" w:type="dxa"/>
            <w:shd w:val="clear" w:color="000000" w:fill="FFC000"/>
            <w:noWrap/>
            <w:vAlign w:val="center"/>
            <w:hideMark/>
          </w:tcPr>
          <w:p w:rsidR="007E399B" w:rsidRPr="002462E6" w:rsidRDefault="007E399B" w:rsidP="002D1D62">
            <w:pPr>
              <w:spacing w:after="120"/>
              <w:jc w:val="center"/>
              <w:rPr>
                <w:rFonts w:ascii="Arial" w:hAnsi="Arial" w:cs="Arial"/>
                <w:color w:val="000000"/>
                <w:sz w:val="18"/>
                <w:szCs w:val="18"/>
                <w:lang w:eastAsia="fr-FR"/>
              </w:rPr>
            </w:pPr>
            <w:r w:rsidRPr="002462E6">
              <w:rPr>
                <w:rFonts w:ascii="Arial" w:hAnsi="Arial" w:cs="Arial"/>
                <w:color w:val="000000"/>
                <w:sz w:val="18"/>
                <w:szCs w:val="18"/>
                <w:lang w:eastAsia="fr-FR"/>
              </w:rPr>
              <w:t>59%</w:t>
            </w:r>
          </w:p>
        </w:tc>
      </w:tr>
      <w:tr w:rsidR="007E399B" w:rsidRPr="002462E6" w:rsidTr="002D1D62">
        <w:trPr>
          <w:trHeight w:val="264"/>
        </w:trPr>
        <w:tc>
          <w:tcPr>
            <w:tcW w:w="792" w:type="dxa"/>
            <w:vMerge/>
            <w:vAlign w:val="center"/>
            <w:hideMark/>
          </w:tcPr>
          <w:p w:rsidR="007E399B" w:rsidRPr="002462E6" w:rsidRDefault="007E399B" w:rsidP="002D1D62">
            <w:pPr>
              <w:spacing w:after="0"/>
              <w:rPr>
                <w:rFonts w:ascii="Arial" w:hAnsi="Arial" w:cs="Arial"/>
                <w:b/>
                <w:bCs/>
                <w:color w:val="000000"/>
                <w:sz w:val="16"/>
                <w:szCs w:val="16"/>
                <w:lang w:eastAsia="fr-FR"/>
              </w:rPr>
            </w:pPr>
          </w:p>
        </w:tc>
        <w:tc>
          <w:tcPr>
            <w:tcW w:w="979" w:type="dxa"/>
            <w:vMerge/>
            <w:vAlign w:val="center"/>
            <w:hideMark/>
          </w:tcPr>
          <w:p w:rsidR="007E399B" w:rsidRPr="002462E6" w:rsidRDefault="007E399B" w:rsidP="002D1D62">
            <w:pPr>
              <w:spacing w:after="0"/>
              <w:jc w:val="center"/>
              <w:rPr>
                <w:rFonts w:ascii="Arial" w:hAnsi="Arial" w:cs="Arial"/>
                <w:color w:val="000000"/>
                <w:sz w:val="16"/>
                <w:szCs w:val="16"/>
                <w:lang w:eastAsia="fr-FR"/>
              </w:rPr>
            </w:pPr>
          </w:p>
        </w:tc>
        <w:tc>
          <w:tcPr>
            <w:tcW w:w="966" w:type="dxa"/>
            <w:shd w:val="clear" w:color="auto" w:fill="auto"/>
            <w:noWrap/>
            <w:vAlign w:val="center"/>
            <w:hideMark/>
          </w:tcPr>
          <w:p w:rsidR="007E399B" w:rsidRPr="002462E6" w:rsidRDefault="007E399B" w:rsidP="002D1D62">
            <w:pPr>
              <w:spacing w:after="120"/>
              <w:jc w:val="center"/>
              <w:rPr>
                <w:rFonts w:ascii="Arial" w:hAnsi="Arial" w:cs="Arial"/>
                <w:color w:val="000000"/>
                <w:sz w:val="16"/>
                <w:szCs w:val="16"/>
                <w:lang w:eastAsia="fr-FR"/>
              </w:rPr>
            </w:pPr>
            <w:r w:rsidRPr="002462E6">
              <w:rPr>
                <w:rFonts w:ascii="Arial" w:hAnsi="Arial" w:cs="Arial"/>
                <w:color w:val="000000"/>
                <w:sz w:val="16"/>
                <w:szCs w:val="16"/>
                <w:lang w:eastAsia="fr-FR"/>
              </w:rPr>
              <w:t>Chlihiyine</w:t>
            </w:r>
          </w:p>
        </w:tc>
        <w:tc>
          <w:tcPr>
            <w:tcW w:w="1526" w:type="dxa"/>
            <w:shd w:val="clear" w:color="000000" w:fill="F4F46C"/>
            <w:noWrap/>
            <w:vAlign w:val="center"/>
            <w:hideMark/>
          </w:tcPr>
          <w:p w:rsidR="007E399B" w:rsidRPr="002462E6" w:rsidRDefault="007E399B" w:rsidP="002D1D62">
            <w:pPr>
              <w:spacing w:after="120"/>
              <w:jc w:val="center"/>
              <w:rPr>
                <w:rFonts w:ascii="Arial" w:hAnsi="Arial" w:cs="Arial"/>
                <w:color w:val="000000"/>
                <w:sz w:val="18"/>
                <w:szCs w:val="18"/>
                <w:lang w:eastAsia="fr-FR"/>
              </w:rPr>
            </w:pPr>
            <w:r w:rsidRPr="002462E6">
              <w:rPr>
                <w:rFonts w:ascii="Arial" w:hAnsi="Arial" w:cs="Arial"/>
                <w:color w:val="000000"/>
                <w:sz w:val="18"/>
                <w:szCs w:val="18"/>
                <w:lang w:eastAsia="fr-FR"/>
              </w:rPr>
              <w:t>40%</w:t>
            </w:r>
          </w:p>
        </w:tc>
        <w:tc>
          <w:tcPr>
            <w:tcW w:w="1518" w:type="dxa"/>
            <w:shd w:val="clear" w:color="000000" w:fill="F4F46C"/>
            <w:noWrap/>
            <w:vAlign w:val="center"/>
            <w:hideMark/>
          </w:tcPr>
          <w:p w:rsidR="007E399B" w:rsidRPr="002462E6" w:rsidRDefault="007E399B" w:rsidP="002D1D62">
            <w:pPr>
              <w:spacing w:after="120"/>
              <w:jc w:val="center"/>
              <w:rPr>
                <w:rFonts w:ascii="Arial" w:hAnsi="Arial" w:cs="Arial"/>
                <w:color w:val="000000"/>
                <w:sz w:val="18"/>
                <w:szCs w:val="18"/>
                <w:lang w:eastAsia="fr-FR"/>
              </w:rPr>
            </w:pPr>
            <w:r w:rsidRPr="002462E6">
              <w:rPr>
                <w:rFonts w:ascii="Arial" w:hAnsi="Arial" w:cs="Arial"/>
                <w:color w:val="000000"/>
                <w:sz w:val="18"/>
                <w:szCs w:val="18"/>
                <w:lang w:eastAsia="fr-FR"/>
              </w:rPr>
              <w:t>22%</w:t>
            </w:r>
          </w:p>
        </w:tc>
        <w:tc>
          <w:tcPr>
            <w:tcW w:w="1284" w:type="dxa"/>
            <w:shd w:val="clear" w:color="000000" w:fill="F4F46C"/>
            <w:noWrap/>
            <w:vAlign w:val="center"/>
            <w:hideMark/>
          </w:tcPr>
          <w:p w:rsidR="007E399B" w:rsidRPr="002462E6" w:rsidRDefault="007E399B" w:rsidP="002D1D62">
            <w:pPr>
              <w:spacing w:after="120"/>
              <w:jc w:val="center"/>
              <w:rPr>
                <w:rFonts w:ascii="Arial" w:hAnsi="Arial" w:cs="Arial"/>
                <w:color w:val="000000"/>
                <w:sz w:val="18"/>
                <w:szCs w:val="18"/>
                <w:lang w:eastAsia="fr-FR"/>
              </w:rPr>
            </w:pPr>
            <w:r w:rsidRPr="002462E6">
              <w:rPr>
                <w:rFonts w:ascii="Arial" w:hAnsi="Arial" w:cs="Arial"/>
                <w:color w:val="000000"/>
                <w:sz w:val="18"/>
                <w:szCs w:val="18"/>
                <w:lang w:eastAsia="fr-FR"/>
              </w:rPr>
              <w:t>0%</w:t>
            </w:r>
          </w:p>
        </w:tc>
        <w:tc>
          <w:tcPr>
            <w:tcW w:w="1646" w:type="dxa"/>
            <w:shd w:val="clear" w:color="000000" w:fill="FFC000"/>
            <w:noWrap/>
            <w:vAlign w:val="center"/>
            <w:hideMark/>
          </w:tcPr>
          <w:p w:rsidR="007E399B" w:rsidRPr="002462E6" w:rsidRDefault="007E399B" w:rsidP="002D1D62">
            <w:pPr>
              <w:spacing w:after="120"/>
              <w:jc w:val="center"/>
              <w:rPr>
                <w:rFonts w:ascii="Arial" w:hAnsi="Arial" w:cs="Arial"/>
                <w:color w:val="000000"/>
                <w:sz w:val="18"/>
                <w:szCs w:val="18"/>
                <w:lang w:eastAsia="fr-FR"/>
              </w:rPr>
            </w:pPr>
            <w:r w:rsidRPr="002462E6">
              <w:rPr>
                <w:rFonts w:ascii="Arial" w:hAnsi="Arial" w:cs="Arial"/>
                <w:color w:val="000000"/>
                <w:sz w:val="18"/>
                <w:szCs w:val="18"/>
                <w:lang w:eastAsia="fr-FR"/>
              </w:rPr>
              <w:t>60%</w:t>
            </w:r>
          </w:p>
        </w:tc>
        <w:tc>
          <w:tcPr>
            <w:tcW w:w="785" w:type="dxa"/>
            <w:shd w:val="clear" w:color="000000" w:fill="F4F46C"/>
            <w:noWrap/>
            <w:vAlign w:val="center"/>
            <w:hideMark/>
          </w:tcPr>
          <w:p w:rsidR="007E399B" w:rsidRPr="002462E6" w:rsidRDefault="007E399B" w:rsidP="002D1D62">
            <w:pPr>
              <w:spacing w:after="120"/>
              <w:jc w:val="center"/>
              <w:rPr>
                <w:rFonts w:ascii="Arial" w:hAnsi="Arial" w:cs="Arial"/>
                <w:color w:val="000000"/>
                <w:sz w:val="18"/>
                <w:szCs w:val="18"/>
                <w:lang w:eastAsia="fr-FR"/>
              </w:rPr>
            </w:pPr>
            <w:r w:rsidRPr="002462E6">
              <w:rPr>
                <w:rFonts w:ascii="Arial" w:hAnsi="Arial" w:cs="Arial"/>
                <w:color w:val="000000"/>
                <w:sz w:val="18"/>
                <w:szCs w:val="18"/>
                <w:lang w:eastAsia="fr-FR"/>
              </w:rPr>
              <w:t>31%</w:t>
            </w:r>
          </w:p>
        </w:tc>
      </w:tr>
      <w:tr w:rsidR="007E399B" w:rsidRPr="002462E6" w:rsidTr="002D1D62">
        <w:trPr>
          <w:trHeight w:val="264"/>
        </w:trPr>
        <w:tc>
          <w:tcPr>
            <w:tcW w:w="792" w:type="dxa"/>
            <w:vMerge/>
            <w:vAlign w:val="center"/>
            <w:hideMark/>
          </w:tcPr>
          <w:p w:rsidR="007E399B" w:rsidRPr="002462E6" w:rsidRDefault="007E399B" w:rsidP="002D1D62">
            <w:pPr>
              <w:spacing w:after="0"/>
              <w:rPr>
                <w:rFonts w:ascii="Arial" w:hAnsi="Arial" w:cs="Arial"/>
                <w:b/>
                <w:bCs/>
                <w:color w:val="000000"/>
                <w:sz w:val="16"/>
                <w:szCs w:val="16"/>
                <w:lang w:eastAsia="fr-FR"/>
              </w:rPr>
            </w:pPr>
          </w:p>
        </w:tc>
        <w:tc>
          <w:tcPr>
            <w:tcW w:w="979" w:type="dxa"/>
            <w:vMerge w:val="restart"/>
            <w:shd w:val="clear" w:color="auto" w:fill="auto"/>
            <w:noWrap/>
            <w:vAlign w:val="center"/>
            <w:hideMark/>
          </w:tcPr>
          <w:p w:rsidR="007E399B" w:rsidRPr="002462E6" w:rsidRDefault="007E399B" w:rsidP="002D1D62">
            <w:pPr>
              <w:spacing w:after="0"/>
              <w:jc w:val="center"/>
              <w:rPr>
                <w:rFonts w:ascii="Arial" w:hAnsi="Arial" w:cs="Arial"/>
                <w:color w:val="000000"/>
                <w:sz w:val="16"/>
                <w:szCs w:val="16"/>
                <w:lang w:eastAsia="fr-FR"/>
              </w:rPr>
            </w:pPr>
            <w:r w:rsidRPr="002462E6">
              <w:rPr>
                <w:rFonts w:ascii="Arial" w:hAnsi="Arial" w:cs="Arial"/>
                <w:color w:val="000000"/>
                <w:sz w:val="16"/>
                <w:szCs w:val="16"/>
                <w:lang w:eastAsia="fr-FR"/>
              </w:rPr>
              <w:t>Brachoua</w:t>
            </w:r>
          </w:p>
        </w:tc>
        <w:tc>
          <w:tcPr>
            <w:tcW w:w="966" w:type="dxa"/>
            <w:shd w:val="clear" w:color="auto" w:fill="auto"/>
            <w:noWrap/>
            <w:vAlign w:val="center"/>
            <w:hideMark/>
          </w:tcPr>
          <w:p w:rsidR="007E399B" w:rsidRPr="002462E6" w:rsidRDefault="007E399B" w:rsidP="002D1D62">
            <w:pPr>
              <w:spacing w:after="120"/>
              <w:jc w:val="center"/>
              <w:rPr>
                <w:rFonts w:ascii="Arial" w:hAnsi="Arial" w:cs="Arial"/>
                <w:color w:val="000000"/>
                <w:sz w:val="16"/>
                <w:szCs w:val="16"/>
                <w:lang w:eastAsia="fr-FR"/>
              </w:rPr>
            </w:pPr>
            <w:r w:rsidRPr="002462E6">
              <w:rPr>
                <w:rFonts w:ascii="Arial" w:hAnsi="Arial" w:cs="Arial"/>
                <w:color w:val="000000"/>
                <w:sz w:val="16"/>
                <w:szCs w:val="16"/>
                <w:lang w:eastAsia="fr-FR"/>
              </w:rPr>
              <w:t>Oulad Oumrane</w:t>
            </w:r>
          </w:p>
        </w:tc>
        <w:tc>
          <w:tcPr>
            <w:tcW w:w="1526" w:type="dxa"/>
            <w:shd w:val="clear" w:color="000000" w:fill="F4F46C"/>
            <w:noWrap/>
            <w:vAlign w:val="center"/>
            <w:hideMark/>
          </w:tcPr>
          <w:p w:rsidR="007E399B" w:rsidRPr="002462E6" w:rsidRDefault="007E399B" w:rsidP="002D1D62">
            <w:pPr>
              <w:spacing w:after="120"/>
              <w:jc w:val="center"/>
              <w:rPr>
                <w:rFonts w:ascii="Arial" w:hAnsi="Arial" w:cs="Arial"/>
                <w:color w:val="000000"/>
                <w:sz w:val="18"/>
                <w:szCs w:val="18"/>
                <w:lang w:eastAsia="fr-FR"/>
              </w:rPr>
            </w:pPr>
            <w:r w:rsidRPr="002462E6">
              <w:rPr>
                <w:rFonts w:ascii="Arial" w:hAnsi="Arial" w:cs="Arial"/>
                <w:color w:val="000000"/>
                <w:sz w:val="18"/>
                <w:szCs w:val="18"/>
                <w:lang w:eastAsia="fr-FR"/>
              </w:rPr>
              <w:t>40%</w:t>
            </w:r>
          </w:p>
        </w:tc>
        <w:tc>
          <w:tcPr>
            <w:tcW w:w="1518" w:type="dxa"/>
            <w:shd w:val="clear" w:color="000000" w:fill="F4F46C"/>
            <w:noWrap/>
            <w:vAlign w:val="center"/>
            <w:hideMark/>
          </w:tcPr>
          <w:p w:rsidR="007E399B" w:rsidRPr="002462E6" w:rsidRDefault="007E399B" w:rsidP="002D1D62">
            <w:pPr>
              <w:spacing w:after="120"/>
              <w:jc w:val="center"/>
              <w:rPr>
                <w:rFonts w:ascii="Arial" w:hAnsi="Arial" w:cs="Arial"/>
                <w:color w:val="000000"/>
                <w:sz w:val="18"/>
                <w:szCs w:val="18"/>
                <w:lang w:eastAsia="fr-FR"/>
              </w:rPr>
            </w:pPr>
            <w:r w:rsidRPr="002462E6">
              <w:rPr>
                <w:rFonts w:ascii="Arial" w:hAnsi="Arial" w:cs="Arial"/>
                <w:color w:val="000000"/>
                <w:sz w:val="18"/>
                <w:szCs w:val="18"/>
                <w:lang w:eastAsia="fr-FR"/>
              </w:rPr>
              <w:t>0%</w:t>
            </w:r>
          </w:p>
        </w:tc>
        <w:tc>
          <w:tcPr>
            <w:tcW w:w="1284" w:type="dxa"/>
            <w:shd w:val="clear" w:color="000000" w:fill="F4F46C"/>
            <w:noWrap/>
            <w:vAlign w:val="center"/>
            <w:hideMark/>
          </w:tcPr>
          <w:p w:rsidR="007E399B" w:rsidRPr="002462E6" w:rsidRDefault="007E399B" w:rsidP="002D1D62">
            <w:pPr>
              <w:spacing w:after="120"/>
              <w:jc w:val="center"/>
              <w:rPr>
                <w:rFonts w:ascii="Arial" w:hAnsi="Arial" w:cs="Arial"/>
                <w:color w:val="000000"/>
                <w:sz w:val="18"/>
                <w:szCs w:val="18"/>
                <w:lang w:eastAsia="fr-FR"/>
              </w:rPr>
            </w:pPr>
            <w:r w:rsidRPr="002462E6">
              <w:rPr>
                <w:rFonts w:ascii="Arial" w:hAnsi="Arial" w:cs="Arial"/>
                <w:color w:val="000000"/>
                <w:sz w:val="18"/>
                <w:szCs w:val="18"/>
                <w:lang w:eastAsia="fr-FR"/>
              </w:rPr>
              <w:t>25%</w:t>
            </w:r>
          </w:p>
        </w:tc>
        <w:tc>
          <w:tcPr>
            <w:tcW w:w="1646" w:type="dxa"/>
            <w:shd w:val="clear" w:color="000000" w:fill="D34B07"/>
            <w:noWrap/>
            <w:vAlign w:val="center"/>
            <w:hideMark/>
          </w:tcPr>
          <w:p w:rsidR="007E399B" w:rsidRPr="002462E6" w:rsidRDefault="007E399B" w:rsidP="002D1D62">
            <w:pPr>
              <w:spacing w:after="120"/>
              <w:jc w:val="center"/>
              <w:rPr>
                <w:rFonts w:ascii="Arial" w:hAnsi="Arial" w:cs="Arial"/>
                <w:color w:val="000000"/>
                <w:sz w:val="18"/>
                <w:szCs w:val="18"/>
                <w:lang w:eastAsia="fr-FR"/>
              </w:rPr>
            </w:pPr>
            <w:r w:rsidRPr="002462E6">
              <w:rPr>
                <w:rFonts w:ascii="Arial" w:hAnsi="Arial" w:cs="Arial"/>
                <w:color w:val="000000"/>
                <w:sz w:val="18"/>
                <w:szCs w:val="18"/>
                <w:lang w:eastAsia="fr-FR"/>
              </w:rPr>
              <w:t>100%</w:t>
            </w:r>
          </w:p>
        </w:tc>
        <w:tc>
          <w:tcPr>
            <w:tcW w:w="785" w:type="dxa"/>
            <w:shd w:val="clear" w:color="000000" w:fill="F4F46C"/>
            <w:noWrap/>
            <w:vAlign w:val="center"/>
            <w:hideMark/>
          </w:tcPr>
          <w:p w:rsidR="007E399B" w:rsidRPr="002462E6" w:rsidRDefault="007E399B" w:rsidP="002D1D62">
            <w:pPr>
              <w:spacing w:after="120"/>
              <w:jc w:val="center"/>
              <w:rPr>
                <w:rFonts w:ascii="Arial" w:hAnsi="Arial" w:cs="Arial"/>
                <w:color w:val="000000"/>
                <w:sz w:val="18"/>
                <w:szCs w:val="18"/>
                <w:lang w:eastAsia="fr-FR"/>
              </w:rPr>
            </w:pPr>
            <w:r w:rsidRPr="002462E6">
              <w:rPr>
                <w:rFonts w:ascii="Arial" w:hAnsi="Arial" w:cs="Arial"/>
                <w:color w:val="000000"/>
                <w:sz w:val="18"/>
                <w:szCs w:val="18"/>
                <w:lang w:eastAsia="fr-FR"/>
              </w:rPr>
              <w:t>41%</w:t>
            </w:r>
          </w:p>
        </w:tc>
      </w:tr>
      <w:tr w:rsidR="007E399B" w:rsidRPr="002462E6" w:rsidTr="002D1D62">
        <w:trPr>
          <w:trHeight w:val="264"/>
        </w:trPr>
        <w:tc>
          <w:tcPr>
            <w:tcW w:w="792" w:type="dxa"/>
            <w:vMerge/>
            <w:vAlign w:val="center"/>
            <w:hideMark/>
          </w:tcPr>
          <w:p w:rsidR="007E399B" w:rsidRPr="002462E6" w:rsidRDefault="007E399B" w:rsidP="002D1D62">
            <w:pPr>
              <w:spacing w:after="0"/>
              <w:rPr>
                <w:rFonts w:ascii="Arial" w:hAnsi="Arial" w:cs="Arial"/>
                <w:b/>
                <w:bCs/>
                <w:color w:val="000000"/>
                <w:sz w:val="16"/>
                <w:szCs w:val="16"/>
                <w:lang w:eastAsia="fr-FR"/>
              </w:rPr>
            </w:pPr>
          </w:p>
        </w:tc>
        <w:tc>
          <w:tcPr>
            <w:tcW w:w="979" w:type="dxa"/>
            <w:vMerge/>
            <w:vAlign w:val="center"/>
            <w:hideMark/>
          </w:tcPr>
          <w:p w:rsidR="007E399B" w:rsidRPr="002462E6" w:rsidRDefault="007E399B" w:rsidP="002D1D62">
            <w:pPr>
              <w:spacing w:after="0"/>
              <w:jc w:val="center"/>
              <w:rPr>
                <w:rFonts w:ascii="Arial" w:hAnsi="Arial" w:cs="Arial"/>
                <w:color w:val="000000"/>
                <w:sz w:val="16"/>
                <w:szCs w:val="16"/>
                <w:lang w:eastAsia="fr-FR"/>
              </w:rPr>
            </w:pPr>
          </w:p>
        </w:tc>
        <w:tc>
          <w:tcPr>
            <w:tcW w:w="966" w:type="dxa"/>
            <w:shd w:val="clear" w:color="auto" w:fill="auto"/>
            <w:noWrap/>
            <w:vAlign w:val="center"/>
            <w:hideMark/>
          </w:tcPr>
          <w:p w:rsidR="007E399B" w:rsidRPr="002462E6" w:rsidRDefault="007E399B" w:rsidP="002D1D62">
            <w:pPr>
              <w:spacing w:after="120"/>
              <w:jc w:val="center"/>
              <w:rPr>
                <w:rFonts w:ascii="Arial" w:hAnsi="Arial" w:cs="Arial"/>
                <w:color w:val="000000"/>
                <w:sz w:val="16"/>
                <w:szCs w:val="16"/>
                <w:lang w:eastAsia="fr-FR"/>
              </w:rPr>
            </w:pPr>
            <w:r w:rsidRPr="002462E6">
              <w:rPr>
                <w:rFonts w:ascii="Arial" w:hAnsi="Arial" w:cs="Arial"/>
                <w:color w:val="000000"/>
                <w:sz w:val="16"/>
                <w:szCs w:val="16"/>
                <w:lang w:eastAsia="fr-FR"/>
              </w:rPr>
              <w:t>Ait Ali</w:t>
            </w:r>
          </w:p>
        </w:tc>
        <w:tc>
          <w:tcPr>
            <w:tcW w:w="1526" w:type="dxa"/>
            <w:shd w:val="clear" w:color="000000" w:fill="F4F46C"/>
            <w:noWrap/>
            <w:vAlign w:val="center"/>
            <w:hideMark/>
          </w:tcPr>
          <w:p w:rsidR="007E399B" w:rsidRPr="002462E6" w:rsidRDefault="007E399B" w:rsidP="002D1D62">
            <w:pPr>
              <w:spacing w:after="120"/>
              <w:jc w:val="center"/>
              <w:rPr>
                <w:rFonts w:ascii="Arial" w:hAnsi="Arial" w:cs="Arial"/>
                <w:color w:val="000000"/>
                <w:sz w:val="18"/>
                <w:szCs w:val="18"/>
                <w:lang w:eastAsia="fr-FR"/>
              </w:rPr>
            </w:pPr>
            <w:r w:rsidRPr="002462E6">
              <w:rPr>
                <w:rFonts w:ascii="Arial" w:hAnsi="Arial" w:cs="Arial"/>
                <w:color w:val="000000"/>
                <w:sz w:val="18"/>
                <w:szCs w:val="18"/>
                <w:lang w:eastAsia="fr-FR"/>
              </w:rPr>
              <w:t>40%</w:t>
            </w:r>
          </w:p>
        </w:tc>
        <w:tc>
          <w:tcPr>
            <w:tcW w:w="1518" w:type="dxa"/>
            <w:shd w:val="clear" w:color="000000" w:fill="FFC000"/>
            <w:noWrap/>
            <w:vAlign w:val="center"/>
            <w:hideMark/>
          </w:tcPr>
          <w:p w:rsidR="007E399B" w:rsidRPr="002462E6" w:rsidRDefault="007E399B" w:rsidP="002D1D62">
            <w:pPr>
              <w:spacing w:after="120"/>
              <w:jc w:val="center"/>
              <w:rPr>
                <w:rFonts w:ascii="Arial" w:hAnsi="Arial" w:cs="Arial"/>
                <w:color w:val="000000"/>
                <w:sz w:val="18"/>
                <w:szCs w:val="18"/>
                <w:lang w:eastAsia="fr-FR"/>
              </w:rPr>
            </w:pPr>
            <w:r w:rsidRPr="002462E6">
              <w:rPr>
                <w:rFonts w:ascii="Arial" w:hAnsi="Arial" w:cs="Arial"/>
                <w:color w:val="000000"/>
                <w:sz w:val="18"/>
                <w:szCs w:val="18"/>
                <w:lang w:eastAsia="fr-FR"/>
              </w:rPr>
              <w:t>60%</w:t>
            </w:r>
          </w:p>
        </w:tc>
        <w:tc>
          <w:tcPr>
            <w:tcW w:w="1284" w:type="dxa"/>
            <w:shd w:val="clear" w:color="000000" w:fill="F4F46C"/>
            <w:noWrap/>
            <w:vAlign w:val="center"/>
            <w:hideMark/>
          </w:tcPr>
          <w:p w:rsidR="007E399B" w:rsidRPr="002462E6" w:rsidRDefault="007E399B" w:rsidP="002D1D62">
            <w:pPr>
              <w:spacing w:after="120"/>
              <w:jc w:val="center"/>
              <w:rPr>
                <w:rFonts w:ascii="Arial" w:hAnsi="Arial" w:cs="Arial"/>
                <w:color w:val="000000"/>
                <w:sz w:val="18"/>
                <w:szCs w:val="18"/>
                <w:lang w:eastAsia="fr-FR"/>
              </w:rPr>
            </w:pPr>
            <w:r w:rsidRPr="002462E6">
              <w:rPr>
                <w:rFonts w:ascii="Arial" w:hAnsi="Arial" w:cs="Arial"/>
                <w:color w:val="000000"/>
                <w:sz w:val="18"/>
                <w:szCs w:val="18"/>
                <w:lang w:eastAsia="fr-FR"/>
              </w:rPr>
              <w:t>0%</w:t>
            </w:r>
          </w:p>
        </w:tc>
        <w:tc>
          <w:tcPr>
            <w:tcW w:w="1646" w:type="dxa"/>
            <w:shd w:val="clear" w:color="000000" w:fill="D34B07"/>
            <w:noWrap/>
            <w:vAlign w:val="center"/>
            <w:hideMark/>
          </w:tcPr>
          <w:p w:rsidR="007E399B" w:rsidRPr="002462E6" w:rsidRDefault="007E399B" w:rsidP="002D1D62">
            <w:pPr>
              <w:spacing w:after="120"/>
              <w:jc w:val="center"/>
              <w:rPr>
                <w:rFonts w:ascii="Arial" w:hAnsi="Arial" w:cs="Arial"/>
                <w:color w:val="000000"/>
                <w:sz w:val="18"/>
                <w:szCs w:val="18"/>
                <w:lang w:eastAsia="fr-FR"/>
              </w:rPr>
            </w:pPr>
            <w:r w:rsidRPr="002462E6">
              <w:rPr>
                <w:rFonts w:ascii="Arial" w:hAnsi="Arial" w:cs="Arial"/>
                <w:color w:val="000000"/>
                <w:sz w:val="18"/>
                <w:szCs w:val="18"/>
                <w:lang w:eastAsia="fr-FR"/>
              </w:rPr>
              <w:t>100%</w:t>
            </w:r>
          </w:p>
        </w:tc>
        <w:tc>
          <w:tcPr>
            <w:tcW w:w="785" w:type="dxa"/>
            <w:shd w:val="clear" w:color="000000" w:fill="FFC000"/>
            <w:noWrap/>
            <w:vAlign w:val="center"/>
            <w:hideMark/>
          </w:tcPr>
          <w:p w:rsidR="007E399B" w:rsidRPr="002462E6" w:rsidRDefault="007E399B" w:rsidP="002D1D62">
            <w:pPr>
              <w:spacing w:after="120"/>
              <w:jc w:val="center"/>
              <w:rPr>
                <w:rFonts w:ascii="Arial" w:hAnsi="Arial" w:cs="Arial"/>
                <w:color w:val="000000"/>
                <w:sz w:val="18"/>
                <w:szCs w:val="18"/>
                <w:lang w:eastAsia="fr-FR"/>
              </w:rPr>
            </w:pPr>
            <w:r w:rsidRPr="002462E6">
              <w:rPr>
                <w:rFonts w:ascii="Arial" w:hAnsi="Arial" w:cs="Arial"/>
                <w:color w:val="000000"/>
                <w:sz w:val="18"/>
                <w:szCs w:val="18"/>
                <w:lang w:eastAsia="fr-FR"/>
              </w:rPr>
              <w:t>50%</w:t>
            </w:r>
          </w:p>
        </w:tc>
      </w:tr>
      <w:tr w:rsidR="007E399B" w:rsidRPr="002462E6" w:rsidTr="002D1D62">
        <w:trPr>
          <w:trHeight w:val="264"/>
        </w:trPr>
        <w:tc>
          <w:tcPr>
            <w:tcW w:w="792" w:type="dxa"/>
            <w:vMerge/>
            <w:vAlign w:val="center"/>
            <w:hideMark/>
          </w:tcPr>
          <w:p w:rsidR="007E399B" w:rsidRPr="002462E6" w:rsidRDefault="007E399B" w:rsidP="002D1D62">
            <w:pPr>
              <w:spacing w:after="0"/>
              <w:rPr>
                <w:rFonts w:ascii="Arial" w:hAnsi="Arial" w:cs="Arial"/>
                <w:b/>
                <w:bCs/>
                <w:color w:val="000000"/>
                <w:sz w:val="16"/>
                <w:szCs w:val="16"/>
                <w:lang w:eastAsia="fr-FR"/>
              </w:rPr>
            </w:pPr>
          </w:p>
        </w:tc>
        <w:tc>
          <w:tcPr>
            <w:tcW w:w="979" w:type="dxa"/>
            <w:vMerge/>
            <w:vAlign w:val="center"/>
            <w:hideMark/>
          </w:tcPr>
          <w:p w:rsidR="007E399B" w:rsidRPr="002462E6" w:rsidRDefault="007E399B" w:rsidP="002D1D62">
            <w:pPr>
              <w:spacing w:after="0"/>
              <w:jc w:val="center"/>
              <w:rPr>
                <w:rFonts w:ascii="Arial" w:hAnsi="Arial" w:cs="Arial"/>
                <w:color w:val="000000"/>
                <w:sz w:val="16"/>
                <w:szCs w:val="16"/>
                <w:lang w:eastAsia="fr-FR"/>
              </w:rPr>
            </w:pPr>
          </w:p>
        </w:tc>
        <w:tc>
          <w:tcPr>
            <w:tcW w:w="966" w:type="dxa"/>
            <w:shd w:val="clear" w:color="auto" w:fill="auto"/>
            <w:noWrap/>
            <w:vAlign w:val="center"/>
            <w:hideMark/>
          </w:tcPr>
          <w:p w:rsidR="007E399B" w:rsidRPr="002462E6" w:rsidRDefault="007E399B" w:rsidP="002D1D62">
            <w:pPr>
              <w:spacing w:after="120"/>
              <w:jc w:val="center"/>
              <w:rPr>
                <w:rFonts w:ascii="Arial" w:hAnsi="Arial" w:cs="Arial"/>
                <w:color w:val="000000"/>
                <w:sz w:val="16"/>
                <w:szCs w:val="16"/>
                <w:lang w:eastAsia="fr-FR"/>
              </w:rPr>
            </w:pPr>
            <w:r w:rsidRPr="002462E6">
              <w:rPr>
                <w:rFonts w:ascii="Arial" w:hAnsi="Arial" w:cs="Arial"/>
                <w:color w:val="000000"/>
                <w:sz w:val="16"/>
                <w:szCs w:val="16"/>
                <w:lang w:eastAsia="fr-FR"/>
              </w:rPr>
              <w:t>Lbghada</w:t>
            </w:r>
          </w:p>
        </w:tc>
        <w:tc>
          <w:tcPr>
            <w:tcW w:w="1526" w:type="dxa"/>
            <w:shd w:val="clear" w:color="000000" w:fill="FFC000"/>
            <w:noWrap/>
            <w:vAlign w:val="center"/>
            <w:hideMark/>
          </w:tcPr>
          <w:p w:rsidR="007E399B" w:rsidRPr="002462E6" w:rsidRDefault="007E399B" w:rsidP="002D1D62">
            <w:pPr>
              <w:spacing w:after="120"/>
              <w:jc w:val="center"/>
              <w:rPr>
                <w:rFonts w:ascii="Arial" w:hAnsi="Arial" w:cs="Arial"/>
                <w:color w:val="000000"/>
                <w:sz w:val="18"/>
                <w:szCs w:val="18"/>
                <w:lang w:eastAsia="fr-FR"/>
              </w:rPr>
            </w:pPr>
            <w:r w:rsidRPr="002462E6">
              <w:rPr>
                <w:rFonts w:ascii="Arial" w:hAnsi="Arial" w:cs="Arial"/>
                <w:color w:val="000000"/>
                <w:sz w:val="18"/>
                <w:szCs w:val="18"/>
                <w:lang w:eastAsia="fr-FR"/>
              </w:rPr>
              <w:t>50%</w:t>
            </w:r>
          </w:p>
        </w:tc>
        <w:tc>
          <w:tcPr>
            <w:tcW w:w="1518" w:type="dxa"/>
            <w:shd w:val="clear" w:color="000000" w:fill="F4F46C"/>
            <w:noWrap/>
            <w:vAlign w:val="center"/>
            <w:hideMark/>
          </w:tcPr>
          <w:p w:rsidR="007E399B" w:rsidRPr="002462E6" w:rsidRDefault="007E399B" w:rsidP="002D1D62">
            <w:pPr>
              <w:spacing w:after="120"/>
              <w:jc w:val="center"/>
              <w:rPr>
                <w:rFonts w:ascii="Arial" w:hAnsi="Arial" w:cs="Arial"/>
                <w:color w:val="000000"/>
                <w:sz w:val="18"/>
                <w:szCs w:val="18"/>
                <w:lang w:eastAsia="fr-FR"/>
              </w:rPr>
            </w:pPr>
            <w:r w:rsidRPr="002462E6">
              <w:rPr>
                <w:rFonts w:ascii="Arial" w:hAnsi="Arial" w:cs="Arial"/>
                <w:color w:val="000000"/>
                <w:sz w:val="18"/>
                <w:szCs w:val="18"/>
                <w:lang w:eastAsia="fr-FR"/>
              </w:rPr>
              <w:t>0%</w:t>
            </w:r>
          </w:p>
        </w:tc>
        <w:tc>
          <w:tcPr>
            <w:tcW w:w="1284" w:type="dxa"/>
            <w:shd w:val="clear" w:color="000000" w:fill="F4F46C"/>
            <w:noWrap/>
            <w:vAlign w:val="center"/>
            <w:hideMark/>
          </w:tcPr>
          <w:p w:rsidR="007E399B" w:rsidRPr="002462E6" w:rsidRDefault="007E399B" w:rsidP="002D1D62">
            <w:pPr>
              <w:spacing w:after="120"/>
              <w:jc w:val="center"/>
              <w:rPr>
                <w:rFonts w:ascii="Arial" w:hAnsi="Arial" w:cs="Arial"/>
                <w:color w:val="000000"/>
                <w:sz w:val="18"/>
                <w:szCs w:val="18"/>
                <w:lang w:eastAsia="fr-FR"/>
              </w:rPr>
            </w:pPr>
            <w:r w:rsidRPr="002462E6">
              <w:rPr>
                <w:rFonts w:ascii="Arial" w:hAnsi="Arial" w:cs="Arial"/>
                <w:color w:val="000000"/>
                <w:sz w:val="18"/>
                <w:szCs w:val="18"/>
                <w:lang w:eastAsia="fr-FR"/>
              </w:rPr>
              <w:t>0%</w:t>
            </w:r>
          </w:p>
        </w:tc>
        <w:tc>
          <w:tcPr>
            <w:tcW w:w="1646" w:type="dxa"/>
            <w:shd w:val="clear" w:color="000000" w:fill="F4F46C"/>
            <w:noWrap/>
            <w:vAlign w:val="center"/>
            <w:hideMark/>
          </w:tcPr>
          <w:p w:rsidR="007E399B" w:rsidRPr="002462E6" w:rsidRDefault="007E399B" w:rsidP="002D1D62">
            <w:pPr>
              <w:spacing w:after="120"/>
              <w:jc w:val="center"/>
              <w:rPr>
                <w:rFonts w:ascii="Arial" w:hAnsi="Arial" w:cs="Arial"/>
                <w:color w:val="000000"/>
                <w:sz w:val="18"/>
                <w:szCs w:val="18"/>
                <w:lang w:eastAsia="fr-FR"/>
              </w:rPr>
            </w:pPr>
            <w:r w:rsidRPr="002462E6">
              <w:rPr>
                <w:rFonts w:ascii="Arial" w:hAnsi="Arial" w:cs="Arial"/>
                <w:color w:val="000000"/>
                <w:sz w:val="18"/>
                <w:szCs w:val="18"/>
                <w:lang w:eastAsia="fr-FR"/>
              </w:rPr>
              <w:t>0%</w:t>
            </w:r>
          </w:p>
        </w:tc>
        <w:tc>
          <w:tcPr>
            <w:tcW w:w="785" w:type="dxa"/>
            <w:shd w:val="clear" w:color="000000" w:fill="F4F46C"/>
            <w:noWrap/>
            <w:vAlign w:val="center"/>
            <w:hideMark/>
          </w:tcPr>
          <w:p w:rsidR="007E399B" w:rsidRPr="002462E6" w:rsidRDefault="007E399B" w:rsidP="002D1D62">
            <w:pPr>
              <w:spacing w:after="120"/>
              <w:jc w:val="center"/>
              <w:rPr>
                <w:rFonts w:ascii="Arial" w:hAnsi="Arial" w:cs="Arial"/>
                <w:color w:val="000000"/>
                <w:sz w:val="18"/>
                <w:szCs w:val="18"/>
                <w:lang w:eastAsia="fr-FR"/>
              </w:rPr>
            </w:pPr>
            <w:r w:rsidRPr="002462E6">
              <w:rPr>
                <w:rFonts w:ascii="Arial" w:hAnsi="Arial" w:cs="Arial"/>
                <w:color w:val="000000"/>
                <w:sz w:val="18"/>
                <w:szCs w:val="18"/>
                <w:lang w:eastAsia="fr-FR"/>
              </w:rPr>
              <w:t>13%</w:t>
            </w:r>
          </w:p>
        </w:tc>
      </w:tr>
      <w:tr w:rsidR="007E399B" w:rsidRPr="002462E6" w:rsidTr="002D1D62">
        <w:trPr>
          <w:trHeight w:val="264"/>
        </w:trPr>
        <w:tc>
          <w:tcPr>
            <w:tcW w:w="792" w:type="dxa"/>
            <w:vMerge/>
            <w:vAlign w:val="center"/>
            <w:hideMark/>
          </w:tcPr>
          <w:p w:rsidR="007E399B" w:rsidRPr="002462E6" w:rsidRDefault="007E399B" w:rsidP="002D1D62">
            <w:pPr>
              <w:spacing w:after="0"/>
              <w:rPr>
                <w:rFonts w:ascii="Arial" w:hAnsi="Arial" w:cs="Arial"/>
                <w:b/>
                <w:bCs/>
                <w:color w:val="000000"/>
                <w:sz w:val="16"/>
                <w:szCs w:val="16"/>
                <w:lang w:eastAsia="fr-FR"/>
              </w:rPr>
            </w:pPr>
          </w:p>
        </w:tc>
        <w:tc>
          <w:tcPr>
            <w:tcW w:w="979" w:type="dxa"/>
            <w:vMerge/>
            <w:vAlign w:val="center"/>
            <w:hideMark/>
          </w:tcPr>
          <w:p w:rsidR="007E399B" w:rsidRPr="002462E6" w:rsidRDefault="007E399B" w:rsidP="002D1D62">
            <w:pPr>
              <w:spacing w:after="0"/>
              <w:jc w:val="center"/>
              <w:rPr>
                <w:rFonts w:ascii="Arial" w:hAnsi="Arial" w:cs="Arial"/>
                <w:color w:val="000000"/>
                <w:sz w:val="16"/>
                <w:szCs w:val="16"/>
                <w:lang w:eastAsia="fr-FR"/>
              </w:rPr>
            </w:pPr>
          </w:p>
        </w:tc>
        <w:tc>
          <w:tcPr>
            <w:tcW w:w="966" w:type="dxa"/>
            <w:shd w:val="clear" w:color="auto" w:fill="auto"/>
            <w:noWrap/>
            <w:vAlign w:val="center"/>
            <w:hideMark/>
          </w:tcPr>
          <w:p w:rsidR="007E399B" w:rsidRPr="002462E6" w:rsidRDefault="007E399B" w:rsidP="002D1D62">
            <w:pPr>
              <w:spacing w:after="120"/>
              <w:jc w:val="center"/>
              <w:rPr>
                <w:rFonts w:ascii="Arial" w:hAnsi="Arial" w:cs="Arial"/>
                <w:color w:val="000000"/>
                <w:sz w:val="16"/>
                <w:szCs w:val="16"/>
                <w:lang w:eastAsia="fr-FR"/>
              </w:rPr>
            </w:pPr>
            <w:r w:rsidRPr="002462E6">
              <w:rPr>
                <w:rFonts w:ascii="Arial" w:hAnsi="Arial" w:cs="Arial"/>
                <w:color w:val="000000"/>
                <w:sz w:val="16"/>
                <w:szCs w:val="16"/>
                <w:lang w:eastAsia="fr-FR"/>
              </w:rPr>
              <w:t>Nkaila</w:t>
            </w:r>
          </w:p>
        </w:tc>
        <w:tc>
          <w:tcPr>
            <w:tcW w:w="1526" w:type="dxa"/>
            <w:shd w:val="clear" w:color="000000" w:fill="FFC000"/>
            <w:noWrap/>
            <w:vAlign w:val="center"/>
            <w:hideMark/>
          </w:tcPr>
          <w:p w:rsidR="007E399B" w:rsidRPr="002462E6" w:rsidRDefault="007E399B" w:rsidP="002D1D62">
            <w:pPr>
              <w:spacing w:after="120"/>
              <w:jc w:val="center"/>
              <w:rPr>
                <w:rFonts w:ascii="Arial" w:hAnsi="Arial" w:cs="Arial"/>
                <w:color w:val="000000"/>
                <w:sz w:val="18"/>
                <w:szCs w:val="18"/>
                <w:lang w:eastAsia="fr-FR"/>
              </w:rPr>
            </w:pPr>
            <w:r w:rsidRPr="002462E6">
              <w:rPr>
                <w:rFonts w:ascii="Arial" w:hAnsi="Arial" w:cs="Arial"/>
                <w:color w:val="000000"/>
                <w:sz w:val="18"/>
                <w:szCs w:val="18"/>
                <w:lang w:eastAsia="fr-FR"/>
              </w:rPr>
              <w:t>60%</w:t>
            </w:r>
          </w:p>
        </w:tc>
        <w:tc>
          <w:tcPr>
            <w:tcW w:w="1518" w:type="dxa"/>
            <w:shd w:val="clear" w:color="000000" w:fill="FFC000"/>
            <w:noWrap/>
            <w:vAlign w:val="center"/>
            <w:hideMark/>
          </w:tcPr>
          <w:p w:rsidR="007E399B" w:rsidRPr="002462E6" w:rsidRDefault="007E399B" w:rsidP="002D1D62">
            <w:pPr>
              <w:spacing w:after="120"/>
              <w:jc w:val="center"/>
              <w:rPr>
                <w:rFonts w:ascii="Arial" w:hAnsi="Arial" w:cs="Arial"/>
                <w:color w:val="000000"/>
                <w:sz w:val="18"/>
                <w:szCs w:val="18"/>
                <w:lang w:eastAsia="fr-FR"/>
              </w:rPr>
            </w:pPr>
            <w:r w:rsidRPr="002462E6">
              <w:rPr>
                <w:rFonts w:ascii="Arial" w:hAnsi="Arial" w:cs="Arial"/>
                <w:color w:val="000000"/>
                <w:sz w:val="18"/>
                <w:szCs w:val="18"/>
                <w:lang w:eastAsia="fr-FR"/>
              </w:rPr>
              <w:t>64%</w:t>
            </w:r>
          </w:p>
        </w:tc>
        <w:tc>
          <w:tcPr>
            <w:tcW w:w="1284" w:type="dxa"/>
            <w:shd w:val="clear" w:color="000000" w:fill="F4F46C"/>
            <w:noWrap/>
            <w:vAlign w:val="center"/>
            <w:hideMark/>
          </w:tcPr>
          <w:p w:rsidR="007E399B" w:rsidRPr="002462E6" w:rsidRDefault="007E399B" w:rsidP="002D1D62">
            <w:pPr>
              <w:spacing w:after="120"/>
              <w:jc w:val="center"/>
              <w:rPr>
                <w:rFonts w:ascii="Arial" w:hAnsi="Arial" w:cs="Arial"/>
                <w:color w:val="000000"/>
                <w:sz w:val="18"/>
                <w:szCs w:val="18"/>
                <w:lang w:eastAsia="fr-FR"/>
              </w:rPr>
            </w:pPr>
            <w:r w:rsidRPr="002462E6">
              <w:rPr>
                <w:rFonts w:ascii="Arial" w:hAnsi="Arial" w:cs="Arial"/>
                <w:color w:val="000000"/>
                <w:sz w:val="18"/>
                <w:szCs w:val="18"/>
                <w:lang w:eastAsia="fr-FR"/>
              </w:rPr>
              <w:t>0%</w:t>
            </w:r>
          </w:p>
        </w:tc>
        <w:tc>
          <w:tcPr>
            <w:tcW w:w="1646" w:type="dxa"/>
            <w:shd w:val="clear" w:color="000000" w:fill="D34B07"/>
            <w:noWrap/>
            <w:vAlign w:val="center"/>
            <w:hideMark/>
          </w:tcPr>
          <w:p w:rsidR="007E399B" w:rsidRPr="002462E6" w:rsidRDefault="007E399B" w:rsidP="002D1D62">
            <w:pPr>
              <w:spacing w:after="120"/>
              <w:jc w:val="center"/>
              <w:rPr>
                <w:rFonts w:ascii="Arial" w:hAnsi="Arial" w:cs="Arial"/>
                <w:color w:val="000000"/>
                <w:sz w:val="18"/>
                <w:szCs w:val="18"/>
                <w:lang w:eastAsia="fr-FR"/>
              </w:rPr>
            </w:pPr>
            <w:r w:rsidRPr="002462E6">
              <w:rPr>
                <w:rFonts w:ascii="Arial" w:hAnsi="Arial" w:cs="Arial"/>
                <w:color w:val="000000"/>
                <w:sz w:val="18"/>
                <w:szCs w:val="18"/>
                <w:lang w:eastAsia="fr-FR"/>
              </w:rPr>
              <w:t>80%</w:t>
            </w:r>
          </w:p>
        </w:tc>
        <w:tc>
          <w:tcPr>
            <w:tcW w:w="785" w:type="dxa"/>
            <w:shd w:val="clear" w:color="000000" w:fill="FFC000"/>
            <w:noWrap/>
            <w:vAlign w:val="center"/>
            <w:hideMark/>
          </w:tcPr>
          <w:p w:rsidR="007E399B" w:rsidRPr="002462E6" w:rsidRDefault="007E399B" w:rsidP="002D1D62">
            <w:pPr>
              <w:spacing w:after="120"/>
              <w:jc w:val="center"/>
              <w:rPr>
                <w:rFonts w:ascii="Arial" w:hAnsi="Arial" w:cs="Arial"/>
                <w:color w:val="000000"/>
                <w:sz w:val="18"/>
                <w:szCs w:val="18"/>
                <w:lang w:eastAsia="fr-FR"/>
              </w:rPr>
            </w:pPr>
            <w:r w:rsidRPr="002462E6">
              <w:rPr>
                <w:rFonts w:ascii="Arial" w:hAnsi="Arial" w:cs="Arial"/>
                <w:color w:val="000000"/>
                <w:sz w:val="18"/>
                <w:szCs w:val="18"/>
                <w:lang w:eastAsia="fr-FR"/>
              </w:rPr>
              <w:t>51%</w:t>
            </w:r>
          </w:p>
        </w:tc>
      </w:tr>
      <w:tr w:rsidR="007E399B" w:rsidRPr="002462E6" w:rsidTr="002D1D62">
        <w:trPr>
          <w:trHeight w:val="264"/>
        </w:trPr>
        <w:tc>
          <w:tcPr>
            <w:tcW w:w="792" w:type="dxa"/>
            <w:vMerge/>
            <w:vAlign w:val="center"/>
            <w:hideMark/>
          </w:tcPr>
          <w:p w:rsidR="007E399B" w:rsidRPr="002462E6" w:rsidRDefault="007E399B" w:rsidP="002D1D62">
            <w:pPr>
              <w:spacing w:after="0"/>
              <w:rPr>
                <w:rFonts w:ascii="Arial" w:hAnsi="Arial" w:cs="Arial"/>
                <w:b/>
                <w:bCs/>
                <w:color w:val="000000"/>
                <w:sz w:val="16"/>
                <w:szCs w:val="16"/>
                <w:lang w:eastAsia="fr-FR"/>
              </w:rPr>
            </w:pPr>
          </w:p>
        </w:tc>
        <w:tc>
          <w:tcPr>
            <w:tcW w:w="979" w:type="dxa"/>
            <w:vMerge/>
            <w:vAlign w:val="center"/>
            <w:hideMark/>
          </w:tcPr>
          <w:p w:rsidR="007E399B" w:rsidRPr="002462E6" w:rsidRDefault="007E399B" w:rsidP="002D1D62">
            <w:pPr>
              <w:spacing w:after="0"/>
              <w:jc w:val="center"/>
              <w:rPr>
                <w:rFonts w:ascii="Arial" w:hAnsi="Arial" w:cs="Arial"/>
                <w:color w:val="000000"/>
                <w:sz w:val="16"/>
                <w:szCs w:val="16"/>
                <w:lang w:eastAsia="fr-FR"/>
              </w:rPr>
            </w:pPr>
          </w:p>
        </w:tc>
        <w:tc>
          <w:tcPr>
            <w:tcW w:w="966" w:type="dxa"/>
            <w:shd w:val="clear" w:color="auto" w:fill="auto"/>
            <w:noWrap/>
            <w:vAlign w:val="center"/>
            <w:hideMark/>
          </w:tcPr>
          <w:p w:rsidR="007E399B" w:rsidRPr="002462E6" w:rsidRDefault="007E399B" w:rsidP="002D1D62">
            <w:pPr>
              <w:spacing w:after="120"/>
              <w:jc w:val="center"/>
              <w:rPr>
                <w:rFonts w:ascii="Arial" w:hAnsi="Arial" w:cs="Arial"/>
                <w:color w:val="000000"/>
                <w:sz w:val="16"/>
                <w:szCs w:val="16"/>
                <w:lang w:eastAsia="fr-FR"/>
              </w:rPr>
            </w:pPr>
            <w:r w:rsidRPr="002462E6">
              <w:rPr>
                <w:rFonts w:ascii="Arial" w:hAnsi="Arial" w:cs="Arial"/>
                <w:color w:val="000000"/>
                <w:sz w:val="16"/>
                <w:szCs w:val="16"/>
                <w:lang w:eastAsia="fr-FR"/>
              </w:rPr>
              <w:t>Oulad Hmama</w:t>
            </w:r>
          </w:p>
        </w:tc>
        <w:tc>
          <w:tcPr>
            <w:tcW w:w="1526" w:type="dxa"/>
            <w:shd w:val="clear" w:color="000000" w:fill="FFC000"/>
            <w:noWrap/>
            <w:vAlign w:val="center"/>
            <w:hideMark/>
          </w:tcPr>
          <w:p w:rsidR="007E399B" w:rsidRPr="002462E6" w:rsidRDefault="007E399B" w:rsidP="002D1D62">
            <w:pPr>
              <w:spacing w:after="120"/>
              <w:jc w:val="center"/>
              <w:rPr>
                <w:rFonts w:ascii="Arial" w:hAnsi="Arial" w:cs="Arial"/>
                <w:color w:val="000000"/>
                <w:sz w:val="18"/>
                <w:szCs w:val="18"/>
                <w:lang w:eastAsia="fr-FR"/>
              </w:rPr>
            </w:pPr>
            <w:r w:rsidRPr="002462E6">
              <w:rPr>
                <w:rFonts w:ascii="Arial" w:hAnsi="Arial" w:cs="Arial"/>
                <w:color w:val="000000"/>
                <w:sz w:val="18"/>
                <w:szCs w:val="18"/>
                <w:lang w:eastAsia="fr-FR"/>
              </w:rPr>
              <w:t>60%</w:t>
            </w:r>
          </w:p>
        </w:tc>
        <w:tc>
          <w:tcPr>
            <w:tcW w:w="1518" w:type="dxa"/>
            <w:shd w:val="clear" w:color="000000" w:fill="FFC000"/>
            <w:noWrap/>
            <w:vAlign w:val="center"/>
            <w:hideMark/>
          </w:tcPr>
          <w:p w:rsidR="007E399B" w:rsidRPr="002462E6" w:rsidRDefault="007E399B" w:rsidP="002D1D62">
            <w:pPr>
              <w:spacing w:after="120"/>
              <w:jc w:val="center"/>
              <w:rPr>
                <w:rFonts w:ascii="Arial" w:hAnsi="Arial" w:cs="Arial"/>
                <w:color w:val="000000"/>
                <w:sz w:val="18"/>
                <w:szCs w:val="18"/>
                <w:lang w:eastAsia="fr-FR"/>
              </w:rPr>
            </w:pPr>
            <w:r w:rsidRPr="002462E6">
              <w:rPr>
                <w:rFonts w:ascii="Arial" w:hAnsi="Arial" w:cs="Arial"/>
                <w:color w:val="000000"/>
                <w:sz w:val="18"/>
                <w:szCs w:val="18"/>
                <w:lang w:eastAsia="fr-FR"/>
              </w:rPr>
              <w:t>64%</w:t>
            </w:r>
          </w:p>
        </w:tc>
        <w:tc>
          <w:tcPr>
            <w:tcW w:w="1284" w:type="dxa"/>
            <w:shd w:val="clear" w:color="000000" w:fill="F4F46C"/>
            <w:noWrap/>
            <w:vAlign w:val="center"/>
            <w:hideMark/>
          </w:tcPr>
          <w:p w:rsidR="007E399B" w:rsidRPr="002462E6" w:rsidRDefault="007E399B" w:rsidP="002D1D62">
            <w:pPr>
              <w:spacing w:after="120"/>
              <w:jc w:val="center"/>
              <w:rPr>
                <w:rFonts w:ascii="Arial" w:hAnsi="Arial" w:cs="Arial"/>
                <w:color w:val="000000"/>
                <w:sz w:val="18"/>
                <w:szCs w:val="18"/>
                <w:lang w:eastAsia="fr-FR"/>
              </w:rPr>
            </w:pPr>
            <w:r w:rsidRPr="002462E6">
              <w:rPr>
                <w:rFonts w:ascii="Arial" w:hAnsi="Arial" w:cs="Arial"/>
                <w:color w:val="000000"/>
                <w:sz w:val="18"/>
                <w:szCs w:val="18"/>
                <w:lang w:eastAsia="fr-FR"/>
              </w:rPr>
              <w:t>0%</w:t>
            </w:r>
          </w:p>
        </w:tc>
        <w:tc>
          <w:tcPr>
            <w:tcW w:w="1646" w:type="dxa"/>
            <w:shd w:val="clear" w:color="000000" w:fill="F4F46C"/>
            <w:noWrap/>
            <w:vAlign w:val="center"/>
            <w:hideMark/>
          </w:tcPr>
          <w:p w:rsidR="007E399B" w:rsidRPr="002462E6" w:rsidRDefault="007E399B" w:rsidP="002D1D62">
            <w:pPr>
              <w:spacing w:after="120"/>
              <w:jc w:val="center"/>
              <w:rPr>
                <w:rFonts w:ascii="Arial" w:hAnsi="Arial" w:cs="Arial"/>
                <w:color w:val="000000"/>
                <w:sz w:val="18"/>
                <w:szCs w:val="18"/>
                <w:lang w:eastAsia="fr-FR"/>
              </w:rPr>
            </w:pPr>
            <w:r w:rsidRPr="002462E6">
              <w:rPr>
                <w:rFonts w:ascii="Arial" w:hAnsi="Arial" w:cs="Arial"/>
                <w:color w:val="000000"/>
                <w:sz w:val="18"/>
                <w:szCs w:val="18"/>
                <w:lang w:eastAsia="fr-FR"/>
              </w:rPr>
              <w:t>0%</w:t>
            </w:r>
          </w:p>
        </w:tc>
        <w:tc>
          <w:tcPr>
            <w:tcW w:w="785" w:type="dxa"/>
            <w:shd w:val="clear" w:color="000000" w:fill="F4F46C"/>
            <w:noWrap/>
            <w:vAlign w:val="center"/>
            <w:hideMark/>
          </w:tcPr>
          <w:p w:rsidR="007E399B" w:rsidRPr="002462E6" w:rsidRDefault="007E399B" w:rsidP="002D1D62">
            <w:pPr>
              <w:spacing w:after="120"/>
              <w:jc w:val="center"/>
              <w:rPr>
                <w:rFonts w:ascii="Arial" w:hAnsi="Arial" w:cs="Arial"/>
                <w:color w:val="000000"/>
                <w:sz w:val="18"/>
                <w:szCs w:val="18"/>
                <w:lang w:eastAsia="fr-FR"/>
              </w:rPr>
            </w:pPr>
            <w:r w:rsidRPr="002462E6">
              <w:rPr>
                <w:rFonts w:ascii="Arial" w:hAnsi="Arial" w:cs="Arial"/>
                <w:color w:val="000000"/>
                <w:sz w:val="18"/>
                <w:szCs w:val="18"/>
                <w:lang w:eastAsia="fr-FR"/>
              </w:rPr>
              <w:t>31%</w:t>
            </w:r>
          </w:p>
        </w:tc>
      </w:tr>
      <w:tr w:rsidR="007E399B" w:rsidRPr="002462E6" w:rsidTr="002D1D62">
        <w:trPr>
          <w:trHeight w:val="264"/>
        </w:trPr>
        <w:tc>
          <w:tcPr>
            <w:tcW w:w="792" w:type="dxa"/>
            <w:vMerge/>
            <w:vAlign w:val="center"/>
            <w:hideMark/>
          </w:tcPr>
          <w:p w:rsidR="007E399B" w:rsidRPr="002462E6" w:rsidRDefault="007E399B" w:rsidP="002D1D62">
            <w:pPr>
              <w:spacing w:after="0"/>
              <w:rPr>
                <w:rFonts w:ascii="Arial" w:hAnsi="Arial" w:cs="Arial"/>
                <w:b/>
                <w:bCs/>
                <w:color w:val="000000"/>
                <w:sz w:val="16"/>
                <w:szCs w:val="16"/>
                <w:lang w:eastAsia="fr-FR"/>
              </w:rPr>
            </w:pPr>
          </w:p>
        </w:tc>
        <w:tc>
          <w:tcPr>
            <w:tcW w:w="979" w:type="dxa"/>
            <w:vMerge/>
            <w:vAlign w:val="center"/>
            <w:hideMark/>
          </w:tcPr>
          <w:p w:rsidR="007E399B" w:rsidRPr="002462E6" w:rsidRDefault="007E399B" w:rsidP="002D1D62">
            <w:pPr>
              <w:spacing w:after="0"/>
              <w:jc w:val="center"/>
              <w:rPr>
                <w:rFonts w:ascii="Arial" w:hAnsi="Arial" w:cs="Arial"/>
                <w:color w:val="000000"/>
                <w:sz w:val="16"/>
                <w:szCs w:val="16"/>
                <w:lang w:eastAsia="fr-FR"/>
              </w:rPr>
            </w:pPr>
          </w:p>
        </w:tc>
        <w:tc>
          <w:tcPr>
            <w:tcW w:w="966" w:type="dxa"/>
            <w:shd w:val="clear" w:color="auto" w:fill="auto"/>
            <w:noWrap/>
            <w:vAlign w:val="center"/>
            <w:hideMark/>
          </w:tcPr>
          <w:p w:rsidR="007E399B" w:rsidRPr="002462E6" w:rsidRDefault="007E399B" w:rsidP="002D1D62">
            <w:pPr>
              <w:spacing w:after="120"/>
              <w:jc w:val="center"/>
              <w:rPr>
                <w:rFonts w:ascii="Arial" w:hAnsi="Arial" w:cs="Arial"/>
                <w:color w:val="000000"/>
                <w:sz w:val="16"/>
                <w:szCs w:val="16"/>
                <w:lang w:eastAsia="fr-FR"/>
              </w:rPr>
            </w:pPr>
            <w:r w:rsidRPr="002462E6">
              <w:rPr>
                <w:rFonts w:ascii="Arial" w:hAnsi="Arial" w:cs="Arial"/>
                <w:color w:val="000000"/>
                <w:sz w:val="16"/>
                <w:szCs w:val="16"/>
                <w:lang w:eastAsia="fr-FR"/>
              </w:rPr>
              <w:t>Dioucha</w:t>
            </w:r>
          </w:p>
        </w:tc>
        <w:tc>
          <w:tcPr>
            <w:tcW w:w="1526" w:type="dxa"/>
            <w:shd w:val="clear" w:color="000000" w:fill="F4F46C"/>
            <w:noWrap/>
            <w:vAlign w:val="center"/>
            <w:hideMark/>
          </w:tcPr>
          <w:p w:rsidR="007E399B" w:rsidRPr="002462E6" w:rsidRDefault="007E399B" w:rsidP="002D1D62">
            <w:pPr>
              <w:spacing w:after="120"/>
              <w:jc w:val="center"/>
              <w:rPr>
                <w:rFonts w:ascii="Arial" w:hAnsi="Arial" w:cs="Arial"/>
                <w:color w:val="000000"/>
                <w:sz w:val="18"/>
                <w:szCs w:val="18"/>
                <w:lang w:eastAsia="fr-FR"/>
              </w:rPr>
            </w:pPr>
            <w:r w:rsidRPr="002462E6">
              <w:rPr>
                <w:rFonts w:ascii="Arial" w:hAnsi="Arial" w:cs="Arial"/>
                <w:color w:val="000000"/>
                <w:sz w:val="18"/>
                <w:szCs w:val="18"/>
                <w:lang w:eastAsia="fr-FR"/>
              </w:rPr>
              <w:t>40%</w:t>
            </w:r>
          </w:p>
        </w:tc>
        <w:tc>
          <w:tcPr>
            <w:tcW w:w="1518" w:type="dxa"/>
            <w:shd w:val="clear" w:color="000000" w:fill="F4F46C"/>
            <w:noWrap/>
            <w:vAlign w:val="center"/>
            <w:hideMark/>
          </w:tcPr>
          <w:p w:rsidR="007E399B" w:rsidRPr="002462E6" w:rsidRDefault="007E399B" w:rsidP="002D1D62">
            <w:pPr>
              <w:spacing w:after="120"/>
              <w:jc w:val="center"/>
              <w:rPr>
                <w:rFonts w:ascii="Arial" w:hAnsi="Arial" w:cs="Arial"/>
                <w:color w:val="000000"/>
                <w:sz w:val="18"/>
                <w:szCs w:val="18"/>
                <w:lang w:eastAsia="fr-FR"/>
              </w:rPr>
            </w:pPr>
            <w:r w:rsidRPr="002462E6">
              <w:rPr>
                <w:rFonts w:ascii="Arial" w:hAnsi="Arial" w:cs="Arial"/>
                <w:color w:val="000000"/>
                <w:sz w:val="18"/>
                <w:szCs w:val="18"/>
                <w:lang w:eastAsia="fr-FR"/>
              </w:rPr>
              <w:t>30%</w:t>
            </w:r>
          </w:p>
        </w:tc>
        <w:tc>
          <w:tcPr>
            <w:tcW w:w="1284" w:type="dxa"/>
            <w:shd w:val="clear" w:color="000000" w:fill="F4F46C"/>
            <w:noWrap/>
            <w:vAlign w:val="center"/>
            <w:hideMark/>
          </w:tcPr>
          <w:p w:rsidR="007E399B" w:rsidRPr="002462E6" w:rsidRDefault="007E399B" w:rsidP="002D1D62">
            <w:pPr>
              <w:spacing w:after="120"/>
              <w:jc w:val="center"/>
              <w:rPr>
                <w:rFonts w:ascii="Arial" w:hAnsi="Arial" w:cs="Arial"/>
                <w:color w:val="000000"/>
                <w:sz w:val="18"/>
                <w:szCs w:val="18"/>
                <w:lang w:eastAsia="fr-FR"/>
              </w:rPr>
            </w:pPr>
            <w:r w:rsidRPr="002462E6">
              <w:rPr>
                <w:rFonts w:ascii="Arial" w:hAnsi="Arial" w:cs="Arial"/>
                <w:color w:val="000000"/>
                <w:sz w:val="18"/>
                <w:szCs w:val="18"/>
                <w:lang w:eastAsia="fr-FR"/>
              </w:rPr>
              <w:t>0%</w:t>
            </w:r>
          </w:p>
        </w:tc>
        <w:tc>
          <w:tcPr>
            <w:tcW w:w="1646" w:type="dxa"/>
            <w:shd w:val="clear" w:color="000000" w:fill="D34B07"/>
            <w:noWrap/>
            <w:vAlign w:val="center"/>
            <w:hideMark/>
          </w:tcPr>
          <w:p w:rsidR="007E399B" w:rsidRPr="002462E6" w:rsidRDefault="007E399B" w:rsidP="002D1D62">
            <w:pPr>
              <w:spacing w:after="120"/>
              <w:jc w:val="center"/>
              <w:rPr>
                <w:rFonts w:ascii="Arial" w:hAnsi="Arial" w:cs="Arial"/>
                <w:color w:val="000000"/>
                <w:sz w:val="18"/>
                <w:szCs w:val="18"/>
                <w:lang w:eastAsia="fr-FR"/>
              </w:rPr>
            </w:pPr>
            <w:r w:rsidRPr="002462E6">
              <w:rPr>
                <w:rFonts w:ascii="Arial" w:hAnsi="Arial" w:cs="Arial"/>
                <w:color w:val="000000"/>
                <w:sz w:val="18"/>
                <w:szCs w:val="18"/>
                <w:lang w:eastAsia="fr-FR"/>
              </w:rPr>
              <w:t>100%</w:t>
            </w:r>
          </w:p>
        </w:tc>
        <w:tc>
          <w:tcPr>
            <w:tcW w:w="785" w:type="dxa"/>
            <w:shd w:val="clear" w:color="000000" w:fill="F4F46C"/>
            <w:noWrap/>
            <w:vAlign w:val="center"/>
            <w:hideMark/>
          </w:tcPr>
          <w:p w:rsidR="007E399B" w:rsidRPr="002462E6" w:rsidRDefault="007E399B" w:rsidP="002D1D62">
            <w:pPr>
              <w:spacing w:after="120"/>
              <w:jc w:val="center"/>
              <w:rPr>
                <w:rFonts w:ascii="Arial" w:hAnsi="Arial" w:cs="Arial"/>
                <w:color w:val="000000"/>
                <w:sz w:val="18"/>
                <w:szCs w:val="18"/>
                <w:lang w:eastAsia="fr-FR"/>
              </w:rPr>
            </w:pPr>
            <w:r w:rsidRPr="002462E6">
              <w:rPr>
                <w:rFonts w:ascii="Arial" w:hAnsi="Arial" w:cs="Arial"/>
                <w:color w:val="000000"/>
                <w:sz w:val="18"/>
                <w:szCs w:val="18"/>
                <w:lang w:eastAsia="fr-FR"/>
              </w:rPr>
              <w:t>43%</w:t>
            </w:r>
          </w:p>
        </w:tc>
      </w:tr>
      <w:tr w:rsidR="007E399B" w:rsidRPr="002462E6" w:rsidTr="002D1D62">
        <w:trPr>
          <w:trHeight w:val="264"/>
        </w:trPr>
        <w:tc>
          <w:tcPr>
            <w:tcW w:w="792" w:type="dxa"/>
            <w:vMerge/>
            <w:vAlign w:val="center"/>
            <w:hideMark/>
          </w:tcPr>
          <w:p w:rsidR="007E399B" w:rsidRPr="002462E6" w:rsidRDefault="007E399B" w:rsidP="002D1D62">
            <w:pPr>
              <w:spacing w:after="0"/>
              <w:rPr>
                <w:rFonts w:ascii="Arial" w:hAnsi="Arial" w:cs="Arial"/>
                <w:b/>
                <w:bCs/>
                <w:color w:val="000000"/>
                <w:sz w:val="16"/>
                <w:szCs w:val="16"/>
                <w:lang w:eastAsia="fr-FR"/>
              </w:rPr>
            </w:pPr>
          </w:p>
        </w:tc>
        <w:tc>
          <w:tcPr>
            <w:tcW w:w="979" w:type="dxa"/>
            <w:vMerge/>
            <w:vAlign w:val="center"/>
            <w:hideMark/>
          </w:tcPr>
          <w:p w:rsidR="007E399B" w:rsidRPr="002462E6" w:rsidRDefault="007E399B" w:rsidP="002D1D62">
            <w:pPr>
              <w:spacing w:after="0"/>
              <w:jc w:val="center"/>
              <w:rPr>
                <w:rFonts w:ascii="Arial" w:hAnsi="Arial" w:cs="Arial"/>
                <w:color w:val="000000"/>
                <w:sz w:val="16"/>
                <w:szCs w:val="16"/>
                <w:lang w:eastAsia="fr-FR"/>
              </w:rPr>
            </w:pPr>
          </w:p>
        </w:tc>
        <w:tc>
          <w:tcPr>
            <w:tcW w:w="966" w:type="dxa"/>
            <w:shd w:val="clear" w:color="auto" w:fill="auto"/>
            <w:noWrap/>
            <w:vAlign w:val="center"/>
            <w:hideMark/>
          </w:tcPr>
          <w:p w:rsidR="007E399B" w:rsidRPr="002462E6" w:rsidRDefault="007E399B" w:rsidP="002D1D62">
            <w:pPr>
              <w:spacing w:after="120"/>
              <w:jc w:val="center"/>
              <w:rPr>
                <w:rFonts w:ascii="Arial" w:hAnsi="Arial" w:cs="Arial"/>
                <w:color w:val="000000"/>
                <w:sz w:val="16"/>
                <w:szCs w:val="16"/>
                <w:lang w:eastAsia="fr-FR"/>
              </w:rPr>
            </w:pPr>
            <w:r w:rsidRPr="002462E6">
              <w:rPr>
                <w:rFonts w:ascii="Arial" w:hAnsi="Arial" w:cs="Arial"/>
                <w:color w:val="000000"/>
                <w:sz w:val="16"/>
                <w:szCs w:val="16"/>
                <w:lang w:eastAsia="fr-FR"/>
              </w:rPr>
              <w:t>Ibouaazaouyine</w:t>
            </w:r>
          </w:p>
        </w:tc>
        <w:tc>
          <w:tcPr>
            <w:tcW w:w="1526" w:type="dxa"/>
            <w:shd w:val="clear" w:color="000000" w:fill="D34B07"/>
            <w:noWrap/>
            <w:vAlign w:val="center"/>
            <w:hideMark/>
          </w:tcPr>
          <w:p w:rsidR="007E399B" w:rsidRPr="002462E6" w:rsidRDefault="007E399B" w:rsidP="002D1D62">
            <w:pPr>
              <w:spacing w:after="120"/>
              <w:jc w:val="center"/>
              <w:rPr>
                <w:rFonts w:ascii="Arial" w:hAnsi="Arial" w:cs="Arial"/>
                <w:color w:val="000000"/>
                <w:sz w:val="18"/>
                <w:szCs w:val="18"/>
                <w:lang w:eastAsia="fr-FR"/>
              </w:rPr>
            </w:pPr>
            <w:r w:rsidRPr="002462E6">
              <w:rPr>
                <w:rFonts w:ascii="Arial" w:hAnsi="Arial" w:cs="Arial"/>
                <w:color w:val="000000"/>
                <w:sz w:val="18"/>
                <w:szCs w:val="18"/>
                <w:lang w:eastAsia="fr-FR"/>
              </w:rPr>
              <w:t>80%</w:t>
            </w:r>
          </w:p>
        </w:tc>
        <w:tc>
          <w:tcPr>
            <w:tcW w:w="1518" w:type="dxa"/>
            <w:shd w:val="clear" w:color="000000" w:fill="F4F46C"/>
            <w:noWrap/>
            <w:vAlign w:val="center"/>
            <w:hideMark/>
          </w:tcPr>
          <w:p w:rsidR="007E399B" w:rsidRPr="002462E6" w:rsidRDefault="007E399B" w:rsidP="002D1D62">
            <w:pPr>
              <w:spacing w:after="120"/>
              <w:jc w:val="center"/>
              <w:rPr>
                <w:rFonts w:ascii="Arial" w:hAnsi="Arial" w:cs="Arial"/>
                <w:color w:val="000000"/>
                <w:sz w:val="18"/>
                <w:szCs w:val="18"/>
                <w:lang w:eastAsia="fr-FR"/>
              </w:rPr>
            </w:pPr>
            <w:r w:rsidRPr="002462E6">
              <w:rPr>
                <w:rFonts w:ascii="Arial" w:hAnsi="Arial" w:cs="Arial"/>
                <w:color w:val="000000"/>
                <w:sz w:val="18"/>
                <w:szCs w:val="18"/>
                <w:lang w:eastAsia="fr-FR"/>
              </w:rPr>
              <w:t>0%</w:t>
            </w:r>
          </w:p>
        </w:tc>
        <w:tc>
          <w:tcPr>
            <w:tcW w:w="1284" w:type="dxa"/>
            <w:shd w:val="clear" w:color="000000" w:fill="F4F46C"/>
            <w:noWrap/>
            <w:vAlign w:val="center"/>
            <w:hideMark/>
          </w:tcPr>
          <w:p w:rsidR="007E399B" w:rsidRPr="002462E6" w:rsidRDefault="007E399B" w:rsidP="002D1D62">
            <w:pPr>
              <w:spacing w:after="120"/>
              <w:jc w:val="center"/>
              <w:rPr>
                <w:rFonts w:ascii="Arial" w:hAnsi="Arial" w:cs="Arial"/>
                <w:color w:val="000000"/>
                <w:sz w:val="18"/>
                <w:szCs w:val="18"/>
                <w:lang w:eastAsia="fr-FR"/>
              </w:rPr>
            </w:pPr>
            <w:r w:rsidRPr="002462E6">
              <w:rPr>
                <w:rFonts w:ascii="Arial" w:hAnsi="Arial" w:cs="Arial"/>
                <w:color w:val="000000"/>
                <w:sz w:val="18"/>
                <w:szCs w:val="18"/>
                <w:lang w:eastAsia="fr-FR"/>
              </w:rPr>
              <w:t>8%</w:t>
            </w:r>
          </w:p>
        </w:tc>
        <w:tc>
          <w:tcPr>
            <w:tcW w:w="1646" w:type="dxa"/>
            <w:shd w:val="clear" w:color="000000" w:fill="D34B07"/>
            <w:noWrap/>
            <w:vAlign w:val="center"/>
            <w:hideMark/>
          </w:tcPr>
          <w:p w:rsidR="007E399B" w:rsidRPr="002462E6" w:rsidRDefault="007E399B" w:rsidP="002D1D62">
            <w:pPr>
              <w:spacing w:after="120"/>
              <w:jc w:val="center"/>
              <w:rPr>
                <w:rFonts w:ascii="Arial" w:hAnsi="Arial" w:cs="Arial"/>
                <w:color w:val="000000"/>
                <w:sz w:val="18"/>
                <w:szCs w:val="18"/>
                <w:lang w:eastAsia="fr-FR"/>
              </w:rPr>
            </w:pPr>
            <w:r w:rsidRPr="002462E6">
              <w:rPr>
                <w:rFonts w:ascii="Arial" w:hAnsi="Arial" w:cs="Arial"/>
                <w:color w:val="000000"/>
                <w:sz w:val="18"/>
                <w:szCs w:val="18"/>
                <w:lang w:eastAsia="fr-FR"/>
              </w:rPr>
              <w:t>100%</w:t>
            </w:r>
          </w:p>
        </w:tc>
        <w:tc>
          <w:tcPr>
            <w:tcW w:w="785" w:type="dxa"/>
            <w:shd w:val="clear" w:color="000000" w:fill="F4F46C"/>
            <w:noWrap/>
            <w:vAlign w:val="center"/>
            <w:hideMark/>
          </w:tcPr>
          <w:p w:rsidR="007E399B" w:rsidRPr="002462E6" w:rsidRDefault="007E399B" w:rsidP="002D1D62">
            <w:pPr>
              <w:spacing w:after="120"/>
              <w:jc w:val="center"/>
              <w:rPr>
                <w:rFonts w:ascii="Arial" w:hAnsi="Arial" w:cs="Arial"/>
                <w:color w:val="000000"/>
                <w:sz w:val="18"/>
                <w:szCs w:val="18"/>
                <w:lang w:eastAsia="fr-FR"/>
              </w:rPr>
            </w:pPr>
            <w:r w:rsidRPr="002462E6">
              <w:rPr>
                <w:rFonts w:ascii="Arial" w:hAnsi="Arial" w:cs="Arial"/>
                <w:color w:val="000000"/>
                <w:sz w:val="18"/>
                <w:szCs w:val="18"/>
                <w:lang w:eastAsia="fr-FR"/>
              </w:rPr>
              <w:t>47%</w:t>
            </w:r>
          </w:p>
        </w:tc>
      </w:tr>
      <w:tr w:rsidR="007E399B" w:rsidRPr="002462E6" w:rsidTr="002D1D62">
        <w:trPr>
          <w:trHeight w:val="264"/>
        </w:trPr>
        <w:tc>
          <w:tcPr>
            <w:tcW w:w="792" w:type="dxa"/>
            <w:vMerge/>
            <w:vAlign w:val="center"/>
            <w:hideMark/>
          </w:tcPr>
          <w:p w:rsidR="007E399B" w:rsidRPr="002462E6" w:rsidRDefault="007E399B" w:rsidP="002D1D62">
            <w:pPr>
              <w:spacing w:after="0"/>
              <w:rPr>
                <w:rFonts w:ascii="Arial" w:hAnsi="Arial" w:cs="Arial"/>
                <w:b/>
                <w:bCs/>
                <w:color w:val="000000"/>
                <w:sz w:val="16"/>
                <w:szCs w:val="16"/>
                <w:lang w:eastAsia="fr-FR"/>
              </w:rPr>
            </w:pPr>
          </w:p>
        </w:tc>
        <w:tc>
          <w:tcPr>
            <w:tcW w:w="979" w:type="dxa"/>
            <w:vMerge/>
            <w:vAlign w:val="center"/>
            <w:hideMark/>
          </w:tcPr>
          <w:p w:rsidR="007E399B" w:rsidRPr="002462E6" w:rsidRDefault="007E399B" w:rsidP="002D1D62">
            <w:pPr>
              <w:spacing w:after="0"/>
              <w:jc w:val="center"/>
              <w:rPr>
                <w:rFonts w:ascii="Arial" w:hAnsi="Arial" w:cs="Arial"/>
                <w:color w:val="000000"/>
                <w:sz w:val="16"/>
                <w:szCs w:val="16"/>
                <w:lang w:eastAsia="fr-FR"/>
              </w:rPr>
            </w:pPr>
          </w:p>
        </w:tc>
        <w:tc>
          <w:tcPr>
            <w:tcW w:w="966" w:type="dxa"/>
            <w:shd w:val="clear" w:color="auto" w:fill="auto"/>
            <w:noWrap/>
            <w:vAlign w:val="center"/>
            <w:hideMark/>
          </w:tcPr>
          <w:p w:rsidR="007E399B" w:rsidRPr="002462E6" w:rsidRDefault="007E399B" w:rsidP="002D1D62">
            <w:pPr>
              <w:spacing w:after="120"/>
              <w:jc w:val="center"/>
              <w:rPr>
                <w:rFonts w:ascii="Arial" w:hAnsi="Arial" w:cs="Arial"/>
                <w:color w:val="000000"/>
                <w:sz w:val="16"/>
                <w:szCs w:val="16"/>
                <w:lang w:eastAsia="fr-FR"/>
              </w:rPr>
            </w:pPr>
            <w:r w:rsidRPr="002462E6">
              <w:rPr>
                <w:rFonts w:ascii="Arial" w:hAnsi="Arial" w:cs="Arial"/>
                <w:color w:val="000000"/>
                <w:sz w:val="16"/>
                <w:szCs w:val="16"/>
                <w:lang w:eastAsia="fr-FR"/>
              </w:rPr>
              <w:t>Oulad Ghait</w:t>
            </w:r>
          </w:p>
        </w:tc>
        <w:tc>
          <w:tcPr>
            <w:tcW w:w="1526" w:type="dxa"/>
            <w:shd w:val="clear" w:color="000000" w:fill="F4F46C"/>
            <w:noWrap/>
            <w:vAlign w:val="center"/>
            <w:hideMark/>
          </w:tcPr>
          <w:p w:rsidR="007E399B" w:rsidRPr="002462E6" w:rsidRDefault="007E399B" w:rsidP="002D1D62">
            <w:pPr>
              <w:spacing w:after="120"/>
              <w:jc w:val="center"/>
              <w:rPr>
                <w:rFonts w:ascii="Arial" w:hAnsi="Arial" w:cs="Arial"/>
                <w:color w:val="000000"/>
                <w:sz w:val="18"/>
                <w:szCs w:val="18"/>
                <w:lang w:eastAsia="fr-FR"/>
              </w:rPr>
            </w:pPr>
            <w:r w:rsidRPr="002462E6">
              <w:rPr>
                <w:rFonts w:ascii="Arial" w:hAnsi="Arial" w:cs="Arial"/>
                <w:color w:val="000000"/>
                <w:sz w:val="18"/>
                <w:szCs w:val="18"/>
                <w:lang w:eastAsia="fr-FR"/>
              </w:rPr>
              <w:t>40%</w:t>
            </w:r>
          </w:p>
        </w:tc>
        <w:tc>
          <w:tcPr>
            <w:tcW w:w="1518" w:type="dxa"/>
            <w:shd w:val="clear" w:color="000000" w:fill="F4F46C"/>
            <w:noWrap/>
            <w:vAlign w:val="center"/>
            <w:hideMark/>
          </w:tcPr>
          <w:p w:rsidR="007E399B" w:rsidRPr="002462E6" w:rsidRDefault="007E399B" w:rsidP="002D1D62">
            <w:pPr>
              <w:spacing w:after="120"/>
              <w:jc w:val="center"/>
              <w:rPr>
                <w:rFonts w:ascii="Arial" w:hAnsi="Arial" w:cs="Arial"/>
                <w:color w:val="000000"/>
                <w:sz w:val="18"/>
                <w:szCs w:val="18"/>
                <w:lang w:eastAsia="fr-FR"/>
              </w:rPr>
            </w:pPr>
            <w:r w:rsidRPr="002462E6">
              <w:rPr>
                <w:rFonts w:ascii="Arial" w:hAnsi="Arial" w:cs="Arial"/>
                <w:color w:val="000000"/>
                <w:sz w:val="18"/>
                <w:szCs w:val="18"/>
                <w:lang w:eastAsia="fr-FR"/>
              </w:rPr>
              <w:t>19%</w:t>
            </w:r>
          </w:p>
        </w:tc>
        <w:tc>
          <w:tcPr>
            <w:tcW w:w="1284" w:type="dxa"/>
            <w:shd w:val="clear" w:color="000000" w:fill="F4F46C"/>
            <w:noWrap/>
            <w:vAlign w:val="center"/>
            <w:hideMark/>
          </w:tcPr>
          <w:p w:rsidR="007E399B" w:rsidRPr="002462E6" w:rsidRDefault="007E399B" w:rsidP="002D1D62">
            <w:pPr>
              <w:spacing w:after="120"/>
              <w:jc w:val="center"/>
              <w:rPr>
                <w:rFonts w:ascii="Arial" w:hAnsi="Arial" w:cs="Arial"/>
                <w:color w:val="000000"/>
                <w:sz w:val="18"/>
                <w:szCs w:val="18"/>
                <w:lang w:eastAsia="fr-FR"/>
              </w:rPr>
            </w:pPr>
            <w:r w:rsidRPr="002462E6">
              <w:rPr>
                <w:rFonts w:ascii="Arial" w:hAnsi="Arial" w:cs="Arial"/>
                <w:color w:val="000000"/>
                <w:sz w:val="18"/>
                <w:szCs w:val="18"/>
                <w:lang w:eastAsia="fr-FR"/>
              </w:rPr>
              <w:t>0%</w:t>
            </w:r>
          </w:p>
        </w:tc>
        <w:tc>
          <w:tcPr>
            <w:tcW w:w="1646" w:type="dxa"/>
            <w:shd w:val="clear" w:color="000000" w:fill="D34B07"/>
            <w:noWrap/>
            <w:vAlign w:val="center"/>
            <w:hideMark/>
          </w:tcPr>
          <w:p w:rsidR="007E399B" w:rsidRPr="002462E6" w:rsidRDefault="007E399B" w:rsidP="002D1D62">
            <w:pPr>
              <w:spacing w:after="120"/>
              <w:jc w:val="center"/>
              <w:rPr>
                <w:rFonts w:ascii="Arial" w:hAnsi="Arial" w:cs="Arial"/>
                <w:color w:val="000000"/>
                <w:sz w:val="18"/>
                <w:szCs w:val="18"/>
                <w:lang w:eastAsia="fr-FR"/>
              </w:rPr>
            </w:pPr>
            <w:r w:rsidRPr="002462E6">
              <w:rPr>
                <w:rFonts w:ascii="Arial" w:hAnsi="Arial" w:cs="Arial"/>
                <w:color w:val="000000"/>
                <w:sz w:val="18"/>
                <w:szCs w:val="18"/>
                <w:lang w:eastAsia="fr-FR"/>
              </w:rPr>
              <w:t>100%</w:t>
            </w:r>
          </w:p>
        </w:tc>
        <w:tc>
          <w:tcPr>
            <w:tcW w:w="785" w:type="dxa"/>
            <w:shd w:val="clear" w:color="000000" w:fill="F4F46C"/>
            <w:noWrap/>
            <w:vAlign w:val="center"/>
            <w:hideMark/>
          </w:tcPr>
          <w:p w:rsidR="007E399B" w:rsidRPr="002462E6" w:rsidRDefault="007E399B" w:rsidP="002D1D62">
            <w:pPr>
              <w:spacing w:after="120"/>
              <w:jc w:val="center"/>
              <w:rPr>
                <w:rFonts w:ascii="Arial" w:hAnsi="Arial" w:cs="Arial"/>
                <w:color w:val="000000"/>
                <w:sz w:val="18"/>
                <w:szCs w:val="18"/>
                <w:lang w:eastAsia="fr-FR"/>
              </w:rPr>
            </w:pPr>
            <w:r w:rsidRPr="002462E6">
              <w:rPr>
                <w:rFonts w:ascii="Arial" w:hAnsi="Arial" w:cs="Arial"/>
                <w:color w:val="000000"/>
                <w:sz w:val="18"/>
                <w:szCs w:val="18"/>
                <w:lang w:eastAsia="fr-FR"/>
              </w:rPr>
              <w:t>40%</w:t>
            </w:r>
          </w:p>
        </w:tc>
      </w:tr>
      <w:tr w:rsidR="007E399B" w:rsidRPr="002462E6" w:rsidTr="002D1D62">
        <w:trPr>
          <w:trHeight w:val="264"/>
        </w:trPr>
        <w:tc>
          <w:tcPr>
            <w:tcW w:w="792" w:type="dxa"/>
            <w:vMerge/>
            <w:vAlign w:val="center"/>
            <w:hideMark/>
          </w:tcPr>
          <w:p w:rsidR="007E399B" w:rsidRPr="002462E6" w:rsidRDefault="007E399B" w:rsidP="002D1D62">
            <w:pPr>
              <w:spacing w:after="0"/>
              <w:rPr>
                <w:rFonts w:ascii="Arial" w:hAnsi="Arial" w:cs="Arial"/>
                <w:b/>
                <w:bCs/>
                <w:color w:val="000000"/>
                <w:sz w:val="16"/>
                <w:szCs w:val="16"/>
                <w:lang w:eastAsia="fr-FR"/>
              </w:rPr>
            </w:pPr>
          </w:p>
        </w:tc>
        <w:tc>
          <w:tcPr>
            <w:tcW w:w="979" w:type="dxa"/>
            <w:vMerge/>
            <w:vAlign w:val="center"/>
            <w:hideMark/>
          </w:tcPr>
          <w:p w:rsidR="007E399B" w:rsidRPr="002462E6" w:rsidRDefault="007E399B" w:rsidP="002D1D62">
            <w:pPr>
              <w:spacing w:after="0"/>
              <w:jc w:val="center"/>
              <w:rPr>
                <w:rFonts w:ascii="Arial" w:hAnsi="Arial" w:cs="Arial"/>
                <w:color w:val="000000"/>
                <w:sz w:val="16"/>
                <w:szCs w:val="16"/>
                <w:lang w:eastAsia="fr-FR"/>
              </w:rPr>
            </w:pPr>
          </w:p>
        </w:tc>
        <w:tc>
          <w:tcPr>
            <w:tcW w:w="966" w:type="dxa"/>
            <w:shd w:val="clear" w:color="auto" w:fill="auto"/>
            <w:noWrap/>
            <w:vAlign w:val="center"/>
            <w:hideMark/>
          </w:tcPr>
          <w:p w:rsidR="007E399B" w:rsidRPr="002462E6" w:rsidRDefault="007E399B" w:rsidP="002D1D62">
            <w:pPr>
              <w:spacing w:after="120"/>
              <w:jc w:val="center"/>
              <w:rPr>
                <w:rFonts w:ascii="Arial" w:hAnsi="Arial" w:cs="Arial"/>
                <w:color w:val="000000"/>
                <w:sz w:val="16"/>
                <w:szCs w:val="16"/>
                <w:lang w:eastAsia="fr-FR"/>
              </w:rPr>
            </w:pPr>
            <w:r w:rsidRPr="002462E6">
              <w:rPr>
                <w:rFonts w:ascii="Arial" w:hAnsi="Arial" w:cs="Arial"/>
                <w:color w:val="000000"/>
                <w:sz w:val="16"/>
                <w:szCs w:val="16"/>
                <w:lang w:eastAsia="fr-FR"/>
              </w:rPr>
              <w:t>Oulad Merzoug</w:t>
            </w:r>
          </w:p>
        </w:tc>
        <w:tc>
          <w:tcPr>
            <w:tcW w:w="1526" w:type="dxa"/>
            <w:shd w:val="clear" w:color="000000" w:fill="FFC000"/>
            <w:noWrap/>
            <w:vAlign w:val="center"/>
            <w:hideMark/>
          </w:tcPr>
          <w:p w:rsidR="007E399B" w:rsidRPr="002462E6" w:rsidRDefault="007E399B" w:rsidP="002D1D62">
            <w:pPr>
              <w:spacing w:after="120"/>
              <w:jc w:val="center"/>
              <w:rPr>
                <w:rFonts w:ascii="Arial" w:hAnsi="Arial" w:cs="Arial"/>
                <w:color w:val="000000"/>
                <w:sz w:val="18"/>
                <w:szCs w:val="18"/>
                <w:lang w:eastAsia="fr-FR"/>
              </w:rPr>
            </w:pPr>
            <w:r w:rsidRPr="002462E6">
              <w:rPr>
                <w:rFonts w:ascii="Arial" w:hAnsi="Arial" w:cs="Arial"/>
                <w:color w:val="000000"/>
                <w:sz w:val="18"/>
                <w:szCs w:val="18"/>
                <w:lang w:eastAsia="fr-FR"/>
              </w:rPr>
              <w:t>60%</w:t>
            </w:r>
          </w:p>
        </w:tc>
        <w:tc>
          <w:tcPr>
            <w:tcW w:w="1518" w:type="dxa"/>
            <w:shd w:val="clear" w:color="000000" w:fill="F4F46C"/>
            <w:noWrap/>
            <w:vAlign w:val="center"/>
            <w:hideMark/>
          </w:tcPr>
          <w:p w:rsidR="007E399B" w:rsidRPr="002462E6" w:rsidRDefault="007E399B" w:rsidP="002D1D62">
            <w:pPr>
              <w:spacing w:after="120"/>
              <w:jc w:val="center"/>
              <w:rPr>
                <w:rFonts w:ascii="Arial" w:hAnsi="Arial" w:cs="Arial"/>
                <w:color w:val="000000"/>
                <w:sz w:val="18"/>
                <w:szCs w:val="18"/>
                <w:lang w:eastAsia="fr-FR"/>
              </w:rPr>
            </w:pPr>
            <w:r w:rsidRPr="002462E6">
              <w:rPr>
                <w:rFonts w:ascii="Arial" w:hAnsi="Arial" w:cs="Arial"/>
                <w:color w:val="000000"/>
                <w:sz w:val="18"/>
                <w:szCs w:val="18"/>
                <w:lang w:eastAsia="fr-FR"/>
              </w:rPr>
              <w:t>0%</w:t>
            </w:r>
          </w:p>
        </w:tc>
        <w:tc>
          <w:tcPr>
            <w:tcW w:w="1284" w:type="dxa"/>
            <w:shd w:val="clear" w:color="000000" w:fill="F4F46C"/>
            <w:noWrap/>
            <w:vAlign w:val="center"/>
            <w:hideMark/>
          </w:tcPr>
          <w:p w:rsidR="007E399B" w:rsidRPr="002462E6" w:rsidRDefault="007E399B" w:rsidP="002D1D62">
            <w:pPr>
              <w:spacing w:after="120"/>
              <w:jc w:val="center"/>
              <w:rPr>
                <w:rFonts w:ascii="Arial" w:hAnsi="Arial" w:cs="Arial"/>
                <w:color w:val="000000"/>
                <w:sz w:val="18"/>
                <w:szCs w:val="18"/>
                <w:lang w:eastAsia="fr-FR"/>
              </w:rPr>
            </w:pPr>
            <w:r w:rsidRPr="002462E6">
              <w:rPr>
                <w:rFonts w:ascii="Arial" w:hAnsi="Arial" w:cs="Arial"/>
                <w:color w:val="000000"/>
                <w:sz w:val="18"/>
                <w:szCs w:val="18"/>
                <w:lang w:eastAsia="fr-FR"/>
              </w:rPr>
              <w:t>0%</w:t>
            </w:r>
          </w:p>
        </w:tc>
        <w:tc>
          <w:tcPr>
            <w:tcW w:w="1646" w:type="dxa"/>
            <w:shd w:val="clear" w:color="000000" w:fill="D34B07"/>
            <w:noWrap/>
            <w:vAlign w:val="center"/>
            <w:hideMark/>
          </w:tcPr>
          <w:p w:rsidR="007E399B" w:rsidRPr="002462E6" w:rsidRDefault="007E399B" w:rsidP="002D1D62">
            <w:pPr>
              <w:spacing w:after="120"/>
              <w:jc w:val="center"/>
              <w:rPr>
                <w:rFonts w:ascii="Arial" w:hAnsi="Arial" w:cs="Arial"/>
                <w:color w:val="000000"/>
                <w:sz w:val="18"/>
                <w:szCs w:val="18"/>
                <w:lang w:eastAsia="fr-FR"/>
              </w:rPr>
            </w:pPr>
            <w:r w:rsidRPr="002462E6">
              <w:rPr>
                <w:rFonts w:ascii="Arial" w:hAnsi="Arial" w:cs="Arial"/>
                <w:color w:val="000000"/>
                <w:sz w:val="18"/>
                <w:szCs w:val="18"/>
                <w:lang w:eastAsia="fr-FR"/>
              </w:rPr>
              <w:t>100%</w:t>
            </w:r>
          </w:p>
        </w:tc>
        <w:tc>
          <w:tcPr>
            <w:tcW w:w="785" w:type="dxa"/>
            <w:shd w:val="clear" w:color="000000" w:fill="F4F46C"/>
            <w:noWrap/>
            <w:vAlign w:val="center"/>
            <w:hideMark/>
          </w:tcPr>
          <w:p w:rsidR="007E399B" w:rsidRPr="002462E6" w:rsidRDefault="007E399B" w:rsidP="002D1D62">
            <w:pPr>
              <w:spacing w:after="120"/>
              <w:jc w:val="center"/>
              <w:rPr>
                <w:rFonts w:ascii="Arial" w:hAnsi="Arial" w:cs="Arial"/>
                <w:color w:val="000000"/>
                <w:sz w:val="18"/>
                <w:szCs w:val="18"/>
                <w:lang w:eastAsia="fr-FR"/>
              </w:rPr>
            </w:pPr>
            <w:r w:rsidRPr="002462E6">
              <w:rPr>
                <w:rFonts w:ascii="Arial" w:hAnsi="Arial" w:cs="Arial"/>
                <w:color w:val="000000"/>
                <w:sz w:val="18"/>
                <w:szCs w:val="18"/>
                <w:lang w:eastAsia="fr-FR"/>
              </w:rPr>
              <w:t>40%</w:t>
            </w:r>
          </w:p>
        </w:tc>
      </w:tr>
      <w:tr w:rsidR="007E399B" w:rsidRPr="002462E6" w:rsidTr="002D1D62">
        <w:trPr>
          <w:trHeight w:val="264"/>
        </w:trPr>
        <w:tc>
          <w:tcPr>
            <w:tcW w:w="792" w:type="dxa"/>
            <w:vMerge/>
            <w:vAlign w:val="center"/>
            <w:hideMark/>
          </w:tcPr>
          <w:p w:rsidR="007E399B" w:rsidRPr="002462E6" w:rsidRDefault="007E399B" w:rsidP="002D1D62">
            <w:pPr>
              <w:spacing w:after="0"/>
              <w:rPr>
                <w:rFonts w:ascii="Arial" w:hAnsi="Arial" w:cs="Arial"/>
                <w:b/>
                <w:bCs/>
                <w:color w:val="000000"/>
                <w:sz w:val="16"/>
                <w:szCs w:val="16"/>
                <w:lang w:eastAsia="fr-FR"/>
              </w:rPr>
            </w:pPr>
          </w:p>
        </w:tc>
        <w:tc>
          <w:tcPr>
            <w:tcW w:w="979" w:type="dxa"/>
            <w:vMerge/>
            <w:vAlign w:val="center"/>
            <w:hideMark/>
          </w:tcPr>
          <w:p w:rsidR="007E399B" w:rsidRPr="002462E6" w:rsidRDefault="007E399B" w:rsidP="002D1D62">
            <w:pPr>
              <w:spacing w:after="0"/>
              <w:jc w:val="center"/>
              <w:rPr>
                <w:rFonts w:ascii="Arial" w:hAnsi="Arial" w:cs="Arial"/>
                <w:color w:val="000000"/>
                <w:sz w:val="16"/>
                <w:szCs w:val="16"/>
                <w:lang w:eastAsia="fr-FR"/>
              </w:rPr>
            </w:pPr>
          </w:p>
        </w:tc>
        <w:tc>
          <w:tcPr>
            <w:tcW w:w="966" w:type="dxa"/>
            <w:shd w:val="clear" w:color="auto" w:fill="auto"/>
            <w:noWrap/>
            <w:vAlign w:val="center"/>
            <w:hideMark/>
          </w:tcPr>
          <w:p w:rsidR="007E399B" w:rsidRPr="002462E6" w:rsidRDefault="007E399B" w:rsidP="002D1D62">
            <w:pPr>
              <w:spacing w:after="120"/>
              <w:jc w:val="center"/>
              <w:rPr>
                <w:rFonts w:ascii="Arial" w:hAnsi="Arial" w:cs="Arial"/>
                <w:color w:val="000000"/>
                <w:sz w:val="16"/>
                <w:szCs w:val="16"/>
                <w:lang w:eastAsia="fr-FR"/>
              </w:rPr>
            </w:pPr>
            <w:r w:rsidRPr="002462E6">
              <w:rPr>
                <w:rFonts w:ascii="Arial" w:hAnsi="Arial" w:cs="Arial"/>
                <w:color w:val="000000"/>
                <w:sz w:val="16"/>
                <w:szCs w:val="16"/>
                <w:lang w:eastAsia="fr-FR"/>
              </w:rPr>
              <w:t>Oulad Sidi Bouamar</w:t>
            </w:r>
          </w:p>
        </w:tc>
        <w:tc>
          <w:tcPr>
            <w:tcW w:w="1526" w:type="dxa"/>
            <w:shd w:val="clear" w:color="000000" w:fill="F4F46C"/>
            <w:noWrap/>
            <w:vAlign w:val="center"/>
            <w:hideMark/>
          </w:tcPr>
          <w:p w:rsidR="007E399B" w:rsidRPr="002462E6" w:rsidRDefault="007E399B" w:rsidP="002D1D62">
            <w:pPr>
              <w:spacing w:after="120"/>
              <w:jc w:val="center"/>
              <w:rPr>
                <w:rFonts w:ascii="Arial" w:hAnsi="Arial" w:cs="Arial"/>
                <w:color w:val="000000"/>
                <w:sz w:val="18"/>
                <w:szCs w:val="18"/>
                <w:lang w:eastAsia="fr-FR"/>
              </w:rPr>
            </w:pPr>
            <w:r w:rsidRPr="002462E6">
              <w:rPr>
                <w:rFonts w:ascii="Arial" w:hAnsi="Arial" w:cs="Arial"/>
                <w:color w:val="000000"/>
                <w:sz w:val="18"/>
                <w:szCs w:val="18"/>
                <w:lang w:eastAsia="fr-FR"/>
              </w:rPr>
              <w:t>20%</w:t>
            </w:r>
          </w:p>
        </w:tc>
        <w:tc>
          <w:tcPr>
            <w:tcW w:w="1518" w:type="dxa"/>
            <w:shd w:val="clear" w:color="000000" w:fill="F4F46C"/>
            <w:noWrap/>
            <w:vAlign w:val="center"/>
            <w:hideMark/>
          </w:tcPr>
          <w:p w:rsidR="007E399B" w:rsidRPr="002462E6" w:rsidRDefault="007E399B" w:rsidP="002D1D62">
            <w:pPr>
              <w:spacing w:after="120"/>
              <w:jc w:val="center"/>
              <w:rPr>
                <w:rFonts w:ascii="Arial" w:hAnsi="Arial" w:cs="Arial"/>
                <w:color w:val="000000"/>
                <w:sz w:val="18"/>
                <w:szCs w:val="18"/>
                <w:lang w:eastAsia="fr-FR"/>
              </w:rPr>
            </w:pPr>
            <w:r w:rsidRPr="002462E6">
              <w:rPr>
                <w:rFonts w:ascii="Arial" w:hAnsi="Arial" w:cs="Arial"/>
                <w:color w:val="000000"/>
                <w:sz w:val="18"/>
                <w:szCs w:val="18"/>
                <w:lang w:eastAsia="fr-FR"/>
              </w:rPr>
              <w:t>0%</w:t>
            </w:r>
          </w:p>
        </w:tc>
        <w:tc>
          <w:tcPr>
            <w:tcW w:w="1284" w:type="dxa"/>
            <w:shd w:val="clear" w:color="000000" w:fill="F4F46C"/>
            <w:noWrap/>
            <w:vAlign w:val="center"/>
            <w:hideMark/>
          </w:tcPr>
          <w:p w:rsidR="007E399B" w:rsidRPr="002462E6" w:rsidRDefault="007E399B" w:rsidP="002D1D62">
            <w:pPr>
              <w:spacing w:after="120"/>
              <w:jc w:val="center"/>
              <w:rPr>
                <w:rFonts w:ascii="Arial" w:hAnsi="Arial" w:cs="Arial"/>
                <w:color w:val="000000"/>
                <w:sz w:val="18"/>
                <w:szCs w:val="18"/>
                <w:lang w:eastAsia="fr-FR"/>
              </w:rPr>
            </w:pPr>
            <w:r w:rsidRPr="002462E6">
              <w:rPr>
                <w:rFonts w:ascii="Arial" w:hAnsi="Arial" w:cs="Arial"/>
                <w:color w:val="000000"/>
                <w:sz w:val="18"/>
                <w:szCs w:val="18"/>
                <w:lang w:eastAsia="fr-FR"/>
              </w:rPr>
              <w:t>43%</w:t>
            </w:r>
          </w:p>
        </w:tc>
        <w:tc>
          <w:tcPr>
            <w:tcW w:w="1646" w:type="dxa"/>
            <w:shd w:val="clear" w:color="000000" w:fill="D34B07"/>
            <w:noWrap/>
            <w:vAlign w:val="center"/>
            <w:hideMark/>
          </w:tcPr>
          <w:p w:rsidR="007E399B" w:rsidRPr="002462E6" w:rsidRDefault="007E399B" w:rsidP="002D1D62">
            <w:pPr>
              <w:spacing w:after="120"/>
              <w:jc w:val="center"/>
              <w:rPr>
                <w:rFonts w:ascii="Arial" w:hAnsi="Arial" w:cs="Arial"/>
                <w:color w:val="000000"/>
                <w:sz w:val="18"/>
                <w:szCs w:val="18"/>
                <w:lang w:eastAsia="fr-FR"/>
              </w:rPr>
            </w:pPr>
            <w:r w:rsidRPr="002462E6">
              <w:rPr>
                <w:rFonts w:ascii="Arial" w:hAnsi="Arial" w:cs="Arial"/>
                <w:color w:val="000000"/>
                <w:sz w:val="18"/>
                <w:szCs w:val="18"/>
                <w:lang w:eastAsia="fr-FR"/>
              </w:rPr>
              <w:t>100%</w:t>
            </w:r>
          </w:p>
        </w:tc>
        <w:tc>
          <w:tcPr>
            <w:tcW w:w="785" w:type="dxa"/>
            <w:shd w:val="clear" w:color="000000" w:fill="F4F46C"/>
            <w:noWrap/>
            <w:vAlign w:val="center"/>
            <w:hideMark/>
          </w:tcPr>
          <w:p w:rsidR="007E399B" w:rsidRPr="002462E6" w:rsidRDefault="007E399B" w:rsidP="002D1D62">
            <w:pPr>
              <w:spacing w:after="120"/>
              <w:jc w:val="center"/>
              <w:rPr>
                <w:rFonts w:ascii="Arial" w:hAnsi="Arial" w:cs="Arial"/>
                <w:color w:val="000000"/>
                <w:sz w:val="18"/>
                <w:szCs w:val="18"/>
                <w:lang w:eastAsia="fr-FR"/>
              </w:rPr>
            </w:pPr>
            <w:r w:rsidRPr="002462E6">
              <w:rPr>
                <w:rFonts w:ascii="Arial" w:hAnsi="Arial" w:cs="Arial"/>
                <w:color w:val="000000"/>
                <w:sz w:val="18"/>
                <w:szCs w:val="18"/>
                <w:lang w:eastAsia="fr-FR"/>
              </w:rPr>
              <w:t>41%</w:t>
            </w:r>
          </w:p>
        </w:tc>
      </w:tr>
      <w:tr w:rsidR="007E399B" w:rsidRPr="002462E6" w:rsidTr="002D1D62">
        <w:trPr>
          <w:trHeight w:val="264"/>
        </w:trPr>
        <w:tc>
          <w:tcPr>
            <w:tcW w:w="792" w:type="dxa"/>
            <w:vMerge/>
            <w:vAlign w:val="center"/>
            <w:hideMark/>
          </w:tcPr>
          <w:p w:rsidR="007E399B" w:rsidRPr="002462E6" w:rsidRDefault="007E399B" w:rsidP="002D1D62">
            <w:pPr>
              <w:spacing w:after="0"/>
              <w:rPr>
                <w:rFonts w:ascii="Arial" w:hAnsi="Arial" w:cs="Arial"/>
                <w:b/>
                <w:bCs/>
                <w:color w:val="000000"/>
                <w:sz w:val="16"/>
                <w:szCs w:val="16"/>
                <w:lang w:eastAsia="fr-FR"/>
              </w:rPr>
            </w:pPr>
          </w:p>
        </w:tc>
        <w:tc>
          <w:tcPr>
            <w:tcW w:w="979" w:type="dxa"/>
            <w:vMerge/>
            <w:vAlign w:val="center"/>
            <w:hideMark/>
          </w:tcPr>
          <w:p w:rsidR="007E399B" w:rsidRPr="002462E6" w:rsidRDefault="007E399B" w:rsidP="002D1D62">
            <w:pPr>
              <w:spacing w:after="0"/>
              <w:jc w:val="center"/>
              <w:rPr>
                <w:rFonts w:ascii="Arial" w:hAnsi="Arial" w:cs="Arial"/>
                <w:color w:val="000000"/>
                <w:sz w:val="16"/>
                <w:szCs w:val="16"/>
                <w:lang w:eastAsia="fr-FR"/>
              </w:rPr>
            </w:pPr>
          </w:p>
        </w:tc>
        <w:tc>
          <w:tcPr>
            <w:tcW w:w="966" w:type="dxa"/>
            <w:shd w:val="clear" w:color="auto" w:fill="auto"/>
            <w:noWrap/>
            <w:vAlign w:val="center"/>
            <w:hideMark/>
          </w:tcPr>
          <w:p w:rsidR="007E399B" w:rsidRPr="002462E6" w:rsidRDefault="007E399B" w:rsidP="002D1D62">
            <w:pPr>
              <w:spacing w:after="120"/>
              <w:jc w:val="center"/>
              <w:rPr>
                <w:rFonts w:ascii="Arial" w:hAnsi="Arial" w:cs="Arial"/>
                <w:color w:val="000000"/>
                <w:sz w:val="16"/>
                <w:szCs w:val="16"/>
                <w:lang w:eastAsia="fr-FR"/>
              </w:rPr>
            </w:pPr>
            <w:r w:rsidRPr="002462E6">
              <w:rPr>
                <w:rFonts w:ascii="Arial" w:hAnsi="Arial" w:cs="Arial"/>
                <w:color w:val="000000"/>
                <w:sz w:val="16"/>
                <w:szCs w:val="16"/>
                <w:lang w:eastAsia="fr-FR"/>
              </w:rPr>
              <w:t>Lmbarkyine (Oulad Sidi Boujouda)</w:t>
            </w:r>
          </w:p>
        </w:tc>
        <w:tc>
          <w:tcPr>
            <w:tcW w:w="1526" w:type="dxa"/>
            <w:shd w:val="clear" w:color="000000" w:fill="FFC000"/>
            <w:noWrap/>
            <w:vAlign w:val="center"/>
            <w:hideMark/>
          </w:tcPr>
          <w:p w:rsidR="007E399B" w:rsidRPr="002462E6" w:rsidRDefault="007E399B" w:rsidP="002D1D62">
            <w:pPr>
              <w:spacing w:after="120"/>
              <w:jc w:val="center"/>
              <w:rPr>
                <w:rFonts w:ascii="Arial" w:hAnsi="Arial" w:cs="Arial"/>
                <w:color w:val="000000"/>
                <w:sz w:val="18"/>
                <w:szCs w:val="18"/>
                <w:lang w:eastAsia="fr-FR"/>
              </w:rPr>
            </w:pPr>
            <w:r w:rsidRPr="002462E6">
              <w:rPr>
                <w:rFonts w:ascii="Arial" w:hAnsi="Arial" w:cs="Arial"/>
                <w:color w:val="000000"/>
                <w:sz w:val="18"/>
                <w:szCs w:val="18"/>
                <w:lang w:eastAsia="fr-FR"/>
              </w:rPr>
              <w:t>60%</w:t>
            </w:r>
          </w:p>
        </w:tc>
        <w:tc>
          <w:tcPr>
            <w:tcW w:w="1518" w:type="dxa"/>
            <w:shd w:val="clear" w:color="000000" w:fill="F4F46C"/>
            <w:noWrap/>
            <w:vAlign w:val="center"/>
            <w:hideMark/>
          </w:tcPr>
          <w:p w:rsidR="007E399B" w:rsidRPr="002462E6" w:rsidRDefault="007E399B" w:rsidP="002D1D62">
            <w:pPr>
              <w:spacing w:after="120"/>
              <w:jc w:val="center"/>
              <w:rPr>
                <w:rFonts w:ascii="Arial" w:hAnsi="Arial" w:cs="Arial"/>
                <w:color w:val="000000"/>
                <w:sz w:val="18"/>
                <w:szCs w:val="18"/>
                <w:lang w:eastAsia="fr-FR"/>
              </w:rPr>
            </w:pPr>
            <w:r w:rsidRPr="002462E6">
              <w:rPr>
                <w:rFonts w:ascii="Arial" w:hAnsi="Arial" w:cs="Arial"/>
                <w:color w:val="000000"/>
                <w:sz w:val="18"/>
                <w:szCs w:val="18"/>
                <w:lang w:eastAsia="fr-FR"/>
              </w:rPr>
              <w:t>19%</w:t>
            </w:r>
          </w:p>
        </w:tc>
        <w:tc>
          <w:tcPr>
            <w:tcW w:w="1284" w:type="dxa"/>
            <w:shd w:val="clear" w:color="000000" w:fill="F4F46C"/>
            <w:noWrap/>
            <w:vAlign w:val="center"/>
            <w:hideMark/>
          </w:tcPr>
          <w:p w:rsidR="007E399B" w:rsidRPr="002462E6" w:rsidRDefault="007E399B" w:rsidP="002D1D62">
            <w:pPr>
              <w:spacing w:after="120"/>
              <w:jc w:val="center"/>
              <w:rPr>
                <w:rFonts w:ascii="Arial" w:hAnsi="Arial" w:cs="Arial"/>
                <w:color w:val="000000"/>
                <w:sz w:val="18"/>
                <w:szCs w:val="18"/>
                <w:lang w:eastAsia="fr-FR"/>
              </w:rPr>
            </w:pPr>
            <w:r w:rsidRPr="002462E6">
              <w:rPr>
                <w:rFonts w:ascii="Arial" w:hAnsi="Arial" w:cs="Arial"/>
                <w:color w:val="000000"/>
                <w:sz w:val="18"/>
                <w:szCs w:val="18"/>
                <w:lang w:eastAsia="fr-FR"/>
              </w:rPr>
              <w:t>0%</w:t>
            </w:r>
          </w:p>
        </w:tc>
        <w:tc>
          <w:tcPr>
            <w:tcW w:w="1646" w:type="dxa"/>
            <w:shd w:val="clear" w:color="000000" w:fill="D34B07"/>
            <w:noWrap/>
            <w:vAlign w:val="center"/>
            <w:hideMark/>
          </w:tcPr>
          <w:p w:rsidR="007E399B" w:rsidRPr="002462E6" w:rsidRDefault="007E399B" w:rsidP="002D1D62">
            <w:pPr>
              <w:spacing w:after="120"/>
              <w:jc w:val="center"/>
              <w:rPr>
                <w:rFonts w:ascii="Arial" w:hAnsi="Arial" w:cs="Arial"/>
                <w:color w:val="000000"/>
                <w:sz w:val="18"/>
                <w:szCs w:val="18"/>
                <w:lang w:eastAsia="fr-FR"/>
              </w:rPr>
            </w:pPr>
            <w:r w:rsidRPr="002462E6">
              <w:rPr>
                <w:rFonts w:ascii="Arial" w:hAnsi="Arial" w:cs="Arial"/>
                <w:color w:val="000000"/>
                <w:sz w:val="18"/>
                <w:szCs w:val="18"/>
                <w:lang w:eastAsia="fr-FR"/>
              </w:rPr>
              <w:t>100%</w:t>
            </w:r>
          </w:p>
        </w:tc>
        <w:tc>
          <w:tcPr>
            <w:tcW w:w="785" w:type="dxa"/>
            <w:shd w:val="clear" w:color="000000" w:fill="F4F46C"/>
            <w:noWrap/>
            <w:vAlign w:val="center"/>
            <w:hideMark/>
          </w:tcPr>
          <w:p w:rsidR="007E399B" w:rsidRPr="002462E6" w:rsidRDefault="007E399B" w:rsidP="002D1D62">
            <w:pPr>
              <w:spacing w:after="120"/>
              <w:jc w:val="center"/>
              <w:rPr>
                <w:rFonts w:ascii="Arial" w:hAnsi="Arial" w:cs="Arial"/>
                <w:color w:val="000000"/>
                <w:sz w:val="18"/>
                <w:szCs w:val="18"/>
                <w:lang w:eastAsia="fr-FR"/>
              </w:rPr>
            </w:pPr>
            <w:r w:rsidRPr="002462E6">
              <w:rPr>
                <w:rFonts w:ascii="Arial" w:hAnsi="Arial" w:cs="Arial"/>
                <w:color w:val="000000"/>
                <w:sz w:val="18"/>
                <w:szCs w:val="18"/>
                <w:lang w:eastAsia="fr-FR"/>
              </w:rPr>
              <w:t>45%</w:t>
            </w:r>
          </w:p>
        </w:tc>
      </w:tr>
    </w:tbl>
    <w:p w:rsidR="007E399B" w:rsidRPr="002462E6" w:rsidRDefault="007E399B" w:rsidP="00886779">
      <w:pPr>
        <w:spacing w:after="0" w:line="360" w:lineRule="auto"/>
        <w:jc w:val="both"/>
        <w:rPr>
          <w:rFonts w:ascii="Tahoma" w:hAnsi="Tahoma" w:cs="Tahoma"/>
          <w:sz w:val="20"/>
          <w:szCs w:val="20"/>
          <w:lang w:eastAsia="fr-FR"/>
        </w:rPr>
      </w:pPr>
      <w:r w:rsidRPr="002462E6">
        <w:rPr>
          <w:rFonts w:ascii="Tahoma" w:hAnsi="Tahoma" w:cs="Tahoma"/>
          <w:noProof/>
          <w:sz w:val="20"/>
          <w:szCs w:val="20"/>
          <w:lang w:eastAsia="fr-FR"/>
        </w:rPr>
        <w:t xml:space="preserve">Légende : </w:t>
      </w:r>
    </w:p>
    <w:tbl>
      <w:tblPr>
        <w:tblpPr w:leftFromText="141" w:rightFromText="141" w:vertAnchor="text" w:horzAnchor="margin" w:tblpXSpec="center" w:tblpY="31"/>
        <w:tblW w:w="8466" w:type="dxa"/>
        <w:tblCellMar>
          <w:left w:w="70" w:type="dxa"/>
          <w:right w:w="70" w:type="dxa"/>
        </w:tblCellMar>
        <w:tblLook w:val="04A0" w:firstRow="1" w:lastRow="0" w:firstColumn="1" w:lastColumn="0" w:noHBand="0" w:noVBand="1"/>
      </w:tblPr>
      <w:tblGrid>
        <w:gridCol w:w="2822"/>
        <w:gridCol w:w="2822"/>
        <w:gridCol w:w="2822"/>
      </w:tblGrid>
      <w:tr w:rsidR="007E399B" w:rsidRPr="002462E6" w:rsidTr="002D1D62">
        <w:trPr>
          <w:trHeight w:val="255"/>
        </w:trPr>
        <w:tc>
          <w:tcPr>
            <w:tcW w:w="2822" w:type="dxa"/>
            <w:tcBorders>
              <w:top w:val="single" w:sz="4" w:space="0" w:color="auto"/>
              <w:left w:val="single" w:sz="4" w:space="0" w:color="auto"/>
              <w:bottom w:val="single" w:sz="4" w:space="0" w:color="auto"/>
              <w:right w:val="single" w:sz="4" w:space="0" w:color="auto"/>
            </w:tcBorders>
            <w:shd w:val="clear" w:color="000000" w:fill="F4F46C"/>
            <w:vAlign w:val="center"/>
            <w:hideMark/>
          </w:tcPr>
          <w:p w:rsidR="007E399B" w:rsidRPr="002462E6" w:rsidRDefault="007E399B" w:rsidP="002D1D62">
            <w:pPr>
              <w:jc w:val="center"/>
              <w:rPr>
                <w:b/>
                <w:bCs/>
                <w:color w:val="000000"/>
                <w:sz w:val="20"/>
                <w:szCs w:val="20"/>
                <w:lang w:eastAsia="fr-FR"/>
              </w:rPr>
            </w:pPr>
            <w:r w:rsidRPr="002462E6">
              <w:rPr>
                <w:b/>
                <w:bCs/>
                <w:color w:val="000000"/>
                <w:sz w:val="20"/>
                <w:szCs w:val="20"/>
                <w:lang w:eastAsia="fr-FR"/>
              </w:rPr>
              <w:t>1- Moins de 50%</w:t>
            </w:r>
          </w:p>
        </w:tc>
        <w:tc>
          <w:tcPr>
            <w:tcW w:w="2822" w:type="dxa"/>
            <w:tcBorders>
              <w:top w:val="single" w:sz="4" w:space="0" w:color="auto"/>
              <w:left w:val="nil"/>
              <w:bottom w:val="single" w:sz="4" w:space="0" w:color="auto"/>
              <w:right w:val="single" w:sz="4" w:space="0" w:color="auto"/>
            </w:tcBorders>
            <w:shd w:val="clear" w:color="000000" w:fill="FFC000"/>
            <w:vAlign w:val="center"/>
            <w:hideMark/>
          </w:tcPr>
          <w:p w:rsidR="007E399B" w:rsidRPr="002462E6" w:rsidRDefault="007E399B" w:rsidP="002D1D62">
            <w:pPr>
              <w:jc w:val="center"/>
              <w:rPr>
                <w:b/>
                <w:bCs/>
                <w:color w:val="000000"/>
                <w:sz w:val="20"/>
                <w:szCs w:val="20"/>
                <w:lang w:eastAsia="fr-FR"/>
              </w:rPr>
            </w:pPr>
            <w:r w:rsidRPr="002462E6">
              <w:rPr>
                <w:b/>
                <w:bCs/>
                <w:color w:val="000000"/>
                <w:sz w:val="20"/>
                <w:szCs w:val="20"/>
                <w:lang w:eastAsia="fr-FR"/>
              </w:rPr>
              <w:t>2- Entre 75% et 50%</w:t>
            </w:r>
          </w:p>
        </w:tc>
        <w:tc>
          <w:tcPr>
            <w:tcW w:w="2822" w:type="dxa"/>
            <w:tcBorders>
              <w:top w:val="single" w:sz="4" w:space="0" w:color="auto"/>
              <w:left w:val="nil"/>
              <w:bottom w:val="single" w:sz="4" w:space="0" w:color="auto"/>
              <w:right w:val="single" w:sz="4" w:space="0" w:color="auto"/>
            </w:tcBorders>
            <w:shd w:val="clear" w:color="000000" w:fill="D34B07"/>
            <w:vAlign w:val="center"/>
            <w:hideMark/>
          </w:tcPr>
          <w:p w:rsidR="007E399B" w:rsidRPr="002462E6" w:rsidRDefault="007E399B" w:rsidP="002D1D62">
            <w:pPr>
              <w:jc w:val="center"/>
              <w:rPr>
                <w:b/>
                <w:bCs/>
                <w:color w:val="000000"/>
                <w:sz w:val="20"/>
                <w:szCs w:val="20"/>
                <w:lang w:eastAsia="fr-FR"/>
              </w:rPr>
            </w:pPr>
            <w:r w:rsidRPr="002462E6">
              <w:rPr>
                <w:b/>
                <w:bCs/>
                <w:color w:val="000000"/>
                <w:sz w:val="20"/>
                <w:szCs w:val="20"/>
                <w:lang w:eastAsia="fr-FR"/>
              </w:rPr>
              <w:t>3- Plus de 75%</w:t>
            </w:r>
          </w:p>
        </w:tc>
      </w:tr>
      <w:tr w:rsidR="007E399B" w:rsidRPr="002462E6" w:rsidTr="002D1D62">
        <w:trPr>
          <w:trHeight w:val="255"/>
        </w:trPr>
        <w:tc>
          <w:tcPr>
            <w:tcW w:w="2822" w:type="dxa"/>
            <w:tcBorders>
              <w:top w:val="nil"/>
              <w:left w:val="single" w:sz="4" w:space="0" w:color="auto"/>
              <w:bottom w:val="single" w:sz="4" w:space="0" w:color="auto"/>
              <w:right w:val="single" w:sz="4" w:space="0" w:color="auto"/>
            </w:tcBorders>
            <w:shd w:val="clear" w:color="000000" w:fill="F4F46C"/>
            <w:vAlign w:val="center"/>
            <w:hideMark/>
          </w:tcPr>
          <w:p w:rsidR="007E399B" w:rsidRPr="002462E6" w:rsidRDefault="007E399B" w:rsidP="002D1D62">
            <w:pPr>
              <w:jc w:val="center"/>
              <w:rPr>
                <w:b/>
                <w:bCs/>
                <w:color w:val="000000"/>
                <w:sz w:val="20"/>
                <w:szCs w:val="20"/>
                <w:lang w:eastAsia="fr-FR"/>
              </w:rPr>
            </w:pPr>
            <w:r w:rsidRPr="002462E6">
              <w:rPr>
                <w:b/>
                <w:bCs/>
                <w:color w:val="000000"/>
                <w:sz w:val="20"/>
                <w:szCs w:val="20"/>
                <w:lang w:eastAsia="fr-FR"/>
              </w:rPr>
              <w:t>Vulnérabilité faible</w:t>
            </w:r>
          </w:p>
        </w:tc>
        <w:tc>
          <w:tcPr>
            <w:tcW w:w="2822" w:type="dxa"/>
            <w:tcBorders>
              <w:top w:val="nil"/>
              <w:left w:val="nil"/>
              <w:bottom w:val="single" w:sz="4" w:space="0" w:color="auto"/>
              <w:right w:val="single" w:sz="4" w:space="0" w:color="auto"/>
            </w:tcBorders>
            <w:shd w:val="clear" w:color="000000" w:fill="FFC000"/>
            <w:vAlign w:val="center"/>
            <w:hideMark/>
          </w:tcPr>
          <w:p w:rsidR="007E399B" w:rsidRPr="002462E6" w:rsidRDefault="007E399B" w:rsidP="002D1D62">
            <w:pPr>
              <w:jc w:val="center"/>
              <w:rPr>
                <w:b/>
                <w:bCs/>
                <w:color w:val="000000"/>
                <w:sz w:val="20"/>
                <w:szCs w:val="20"/>
                <w:lang w:eastAsia="fr-FR"/>
              </w:rPr>
            </w:pPr>
            <w:r w:rsidRPr="002462E6">
              <w:rPr>
                <w:b/>
                <w:bCs/>
                <w:color w:val="000000"/>
                <w:sz w:val="20"/>
                <w:szCs w:val="20"/>
                <w:lang w:eastAsia="fr-FR"/>
              </w:rPr>
              <w:t>Vulnérabilité moyenne</w:t>
            </w:r>
          </w:p>
        </w:tc>
        <w:tc>
          <w:tcPr>
            <w:tcW w:w="2822" w:type="dxa"/>
            <w:tcBorders>
              <w:top w:val="nil"/>
              <w:left w:val="nil"/>
              <w:bottom w:val="single" w:sz="4" w:space="0" w:color="auto"/>
              <w:right w:val="single" w:sz="4" w:space="0" w:color="auto"/>
            </w:tcBorders>
            <w:shd w:val="clear" w:color="000000" w:fill="D34B07"/>
            <w:vAlign w:val="center"/>
            <w:hideMark/>
          </w:tcPr>
          <w:p w:rsidR="007E399B" w:rsidRPr="002462E6" w:rsidRDefault="007E399B" w:rsidP="002D1D62">
            <w:pPr>
              <w:jc w:val="center"/>
              <w:rPr>
                <w:b/>
                <w:bCs/>
                <w:color w:val="000000"/>
                <w:sz w:val="20"/>
                <w:szCs w:val="20"/>
                <w:lang w:eastAsia="fr-FR"/>
              </w:rPr>
            </w:pPr>
            <w:r w:rsidRPr="002462E6">
              <w:rPr>
                <w:b/>
                <w:bCs/>
                <w:color w:val="000000"/>
                <w:sz w:val="20"/>
                <w:szCs w:val="20"/>
                <w:lang w:eastAsia="fr-FR"/>
              </w:rPr>
              <w:t>Vulnérabilité Forte</w:t>
            </w:r>
          </w:p>
        </w:tc>
      </w:tr>
    </w:tbl>
    <w:p w:rsidR="00EE28C5" w:rsidRPr="00EE28C5" w:rsidRDefault="00EE28C5" w:rsidP="003F4DF6">
      <w:pPr>
        <w:tabs>
          <w:tab w:val="left" w:pos="3165"/>
        </w:tabs>
        <w:spacing w:before="100" w:beforeAutospacing="1" w:after="100" w:afterAutospacing="1" w:line="360" w:lineRule="auto"/>
        <w:jc w:val="center"/>
        <w:rPr>
          <w:rFonts w:ascii="Tahoma" w:hAnsi="Tahoma" w:cs="Tahoma"/>
          <w:b/>
          <w:bCs/>
          <w:sz w:val="10"/>
          <w:szCs w:val="10"/>
          <w:lang w:eastAsia="fr-FR"/>
        </w:rPr>
      </w:pPr>
    </w:p>
    <w:p w:rsidR="00886779" w:rsidRPr="002462E6" w:rsidRDefault="00886779" w:rsidP="003F4DF6">
      <w:pPr>
        <w:tabs>
          <w:tab w:val="left" w:pos="3165"/>
        </w:tabs>
        <w:spacing w:before="100" w:beforeAutospacing="1" w:after="100" w:afterAutospacing="1" w:line="360" w:lineRule="auto"/>
        <w:jc w:val="center"/>
        <w:rPr>
          <w:rFonts w:ascii="Tahoma" w:hAnsi="Tahoma" w:cs="Tahoma"/>
          <w:sz w:val="20"/>
          <w:szCs w:val="20"/>
          <w:lang w:eastAsia="fr-FR"/>
        </w:rPr>
      </w:pPr>
      <w:r w:rsidRPr="002462E6">
        <w:rPr>
          <w:rFonts w:ascii="Tahoma" w:hAnsi="Tahoma" w:cs="Tahoma"/>
          <w:b/>
          <w:bCs/>
          <w:sz w:val="20"/>
          <w:szCs w:val="20"/>
          <w:lang w:eastAsia="fr-FR"/>
        </w:rPr>
        <w:t>Source</w:t>
      </w:r>
      <w:r w:rsidRPr="002462E6">
        <w:rPr>
          <w:rFonts w:ascii="Tahoma" w:hAnsi="Tahoma" w:cs="Tahoma"/>
          <w:sz w:val="20"/>
          <w:szCs w:val="20"/>
          <w:lang w:eastAsia="fr-FR"/>
        </w:rPr>
        <w:t xml:space="preserve"> : résultats de l’enquête</w:t>
      </w:r>
    </w:p>
    <w:p w:rsidR="00052E50" w:rsidRPr="002462E6" w:rsidRDefault="00052E50" w:rsidP="00052E50">
      <w:pPr>
        <w:spacing w:before="100" w:beforeAutospacing="1" w:after="100" w:afterAutospacing="1" w:line="360" w:lineRule="auto"/>
        <w:jc w:val="center"/>
        <w:rPr>
          <w:rFonts w:ascii="Tahoma" w:hAnsi="Tahoma" w:cs="Tahoma"/>
          <w:b/>
          <w:bCs/>
          <w:sz w:val="20"/>
          <w:szCs w:val="20"/>
          <w:lang w:eastAsia="fr-FR"/>
        </w:rPr>
      </w:pPr>
    </w:p>
    <w:p w:rsidR="00AB6B2E" w:rsidRPr="002462E6" w:rsidRDefault="00946E76" w:rsidP="000D57A1">
      <w:pPr>
        <w:pStyle w:val="Sous-titre"/>
        <w:rPr>
          <w:noProof/>
          <w:lang w:eastAsia="fr-FR"/>
        </w:rPr>
      </w:pPr>
      <w:bookmarkStart w:id="441" w:name="_Toc203642686"/>
      <w:r w:rsidRPr="002462E6">
        <w:t xml:space="preserve">Carte </w:t>
      </w:r>
      <w:r w:rsidR="00225ED1">
        <w:rPr>
          <w:noProof/>
        </w:rPr>
        <w:fldChar w:fldCharType="begin"/>
      </w:r>
      <w:r w:rsidR="00225ED1">
        <w:rPr>
          <w:noProof/>
        </w:rPr>
        <w:instrText xml:space="preserve"> SEQ Carte \* ARABIC </w:instrText>
      </w:r>
      <w:r w:rsidR="00225ED1">
        <w:rPr>
          <w:noProof/>
        </w:rPr>
        <w:fldChar w:fldCharType="separate"/>
      </w:r>
      <w:r w:rsidR="00124AFB">
        <w:rPr>
          <w:noProof/>
        </w:rPr>
        <w:t>12</w:t>
      </w:r>
      <w:r w:rsidR="00225ED1">
        <w:rPr>
          <w:noProof/>
        </w:rPr>
        <w:fldChar w:fldCharType="end"/>
      </w:r>
      <w:r w:rsidRPr="002462E6">
        <w:t xml:space="preserve"> : </w:t>
      </w:r>
      <w:r w:rsidRPr="002462E6">
        <w:rPr>
          <w:noProof/>
          <w:lang w:eastAsia="fr-FR"/>
        </w:rPr>
        <w:t>l’éducation de Korifla selon la perception de la polupation enquêtée</w:t>
      </w:r>
      <w:bookmarkEnd w:id="441"/>
    </w:p>
    <w:p w:rsidR="00335088" w:rsidRDefault="0057505F" w:rsidP="007E399B">
      <w:pPr>
        <w:spacing w:before="100" w:beforeAutospacing="1" w:after="100" w:afterAutospacing="1" w:line="360" w:lineRule="auto"/>
        <w:jc w:val="both"/>
        <w:rPr>
          <w:rFonts w:ascii="Tahoma" w:hAnsi="Tahoma" w:cs="Tahoma"/>
          <w:color w:val="000000" w:themeColor="text1"/>
          <w:sz w:val="24"/>
          <w:szCs w:val="24"/>
          <w:lang w:eastAsia="fr-FR"/>
        </w:rPr>
      </w:pPr>
      <w:r>
        <w:rPr>
          <w:noProof/>
          <w:lang w:eastAsia="fr-FR"/>
        </w:rPr>
        <mc:AlternateContent>
          <mc:Choice Requires="wps">
            <w:drawing>
              <wp:anchor distT="0" distB="0" distL="114300" distR="114300" simplePos="0" relativeHeight="251792384" behindDoc="0" locked="0" layoutInCell="1" allowOverlap="1" wp14:anchorId="3D51FADF" wp14:editId="0D1201F3">
                <wp:simplePos x="0" y="0"/>
                <wp:positionH relativeFrom="column">
                  <wp:posOffset>230264</wp:posOffset>
                </wp:positionH>
                <wp:positionV relativeFrom="paragraph">
                  <wp:posOffset>6694192</wp:posOffset>
                </wp:positionV>
                <wp:extent cx="1277007" cy="315310"/>
                <wp:effectExtent l="0" t="0" r="0" b="8890"/>
                <wp:wrapNone/>
                <wp:docPr id="36" name="Rectangle 36"/>
                <wp:cNvGraphicFramePr/>
                <a:graphic xmlns:a="http://schemas.openxmlformats.org/drawingml/2006/main">
                  <a:graphicData uri="http://schemas.microsoft.com/office/word/2010/wordprocessingShape">
                    <wps:wsp>
                      <wps:cNvSpPr/>
                      <wps:spPr>
                        <a:xfrm>
                          <a:off x="0" y="0"/>
                          <a:ext cx="1277007" cy="315310"/>
                        </a:xfrm>
                        <a:prstGeom prst="rect">
                          <a:avLst/>
                        </a:prstGeom>
                        <a:solidFill>
                          <a:schemeClr val="bg1"/>
                        </a:solidFill>
                        <a:ln>
                          <a:no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536FA11" id="Rectangle 36" o:spid="_x0000_s1026" style="position:absolute;margin-left:18.15pt;margin-top:527.1pt;width:100.55pt;height:24.85pt;z-index:251792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" fillcolor="white [3212]" stroked="f" strokeweight="1pt"/>
            </w:pict>
          </mc:Fallback>
        </mc:AlternateContent>
      </w:r>
      <w:r w:rsidR="007E399B" w:rsidRPr="002462E6">
        <w:rPr>
          <w:noProof/>
          <w:lang w:eastAsia="fr-FR"/>
        </w:rPr>
        <w:drawing>
          <wp:inline distT="0" distB="0" distL="0" distR="0" wp14:anchorId="06E17EF4" wp14:editId="13D0088C">
            <wp:extent cx="6210300" cy="6934835"/>
            <wp:effectExtent l="0" t="0" r="0" b="0"/>
            <wp:docPr id="956995662" name="Image 956995662" descr="E:\these\Aprés soutenance\CartoFrancaisKorifla\ImageCartes\Education2.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E:\these\Aprés soutenance\CartoFrancaisKorifla\ImageCartes\Education2.BMP"/>
                    <pic:cNvPicPr>
                      <a:picLocks noChangeAspect="1" noChangeArrowheads="1"/>
                    </pic:cNvPicPr>
                  </pic:nvPicPr>
                  <pic:blipFill rotWithShape="1">
                    <a:blip r:embed="rId51">
                      <a:extLst>
                        <a:ext uri="{28A0092B-C50C-407E-A947-70E740481C1C}">
                          <a14:useLocalDpi xmlns:a14="http://schemas.microsoft.com/office/drawing/2010/main" val="0"/>
                        </a:ext>
                      </a:extLst>
                    </a:blip>
                    <a:srcRect l="7216" t="15745" r="6080" b="17197"/>
                    <a:stretch/>
                  </pic:blipFill>
                  <pic:spPr bwMode="auto">
                    <a:xfrm>
                      <a:off x="0" y="0"/>
                      <a:ext cx="6210795" cy="6935388"/>
                    </a:xfrm>
                    <a:prstGeom prst="rect">
                      <a:avLst/>
                    </a:prstGeom>
                    <a:noFill/>
                    <a:ln>
                      <a:noFill/>
                    </a:ln>
                    <a:extLst>
                      <a:ext uri="{53640926-AAD7-44D8-BBD7-CCE9431645EC}">
                        <a14:shadowObscured xmlns:a14="http://schemas.microsoft.com/office/drawing/2010/main"/>
                      </a:ext>
                    </a:extLst>
                  </pic:spPr>
                </pic:pic>
              </a:graphicData>
            </a:graphic>
          </wp:inline>
        </w:drawing>
      </w:r>
    </w:p>
    <w:p w:rsidR="00983BBA" w:rsidRPr="0057505F" w:rsidRDefault="00335088" w:rsidP="00983BBA">
      <w:pPr>
        <w:widowControl w:val="0"/>
        <w:autoSpaceDE w:val="0"/>
        <w:autoSpaceDN w:val="0"/>
        <w:spacing w:after="0" w:line="360" w:lineRule="auto"/>
        <w:jc w:val="center"/>
        <w:rPr>
          <w:rFonts w:ascii="Tahoma" w:eastAsia="Times New Roman" w:hAnsi="Tahoma" w:cs="Tahoma"/>
          <w:sz w:val="20"/>
          <w:szCs w:val="20"/>
        </w:rPr>
      </w:pPr>
      <w:r w:rsidRPr="0057505F">
        <w:rPr>
          <w:rFonts w:ascii="Tahoma" w:hAnsi="Tahoma" w:cs="Tahoma"/>
          <w:b/>
          <w:bCs/>
          <w:sz w:val="20"/>
          <w:szCs w:val="20"/>
          <w:lang w:eastAsia="fr-FR"/>
        </w:rPr>
        <w:t>Source</w:t>
      </w:r>
      <w:r w:rsidR="005A5533">
        <w:rPr>
          <w:rFonts w:ascii="Tahoma" w:hAnsi="Tahoma" w:cs="Tahoma"/>
          <w:sz w:val="20"/>
          <w:szCs w:val="20"/>
          <w:lang w:eastAsia="fr-FR"/>
        </w:rPr>
        <w:t xml:space="preserve"> : </w:t>
      </w:r>
      <w:r w:rsidR="005A5533" w:rsidRPr="005A5533">
        <w:rPr>
          <w:rFonts w:ascii="Tahoma" w:eastAsia="Times New Roman" w:hAnsi="Tahoma" w:cs="Tahoma"/>
          <w:sz w:val="24"/>
          <w:szCs w:val="24"/>
        </w:rPr>
        <w:t xml:space="preserve"> </w:t>
      </w:r>
      <w:r w:rsidR="005A5533">
        <w:rPr>
          <w:rFonts w:ascii="Tahoma" w:eastAsia="Times New Roman" w:hAnsi="Tahoma" w:cs="Tahoma"/>
          <w:sz w:val="24"/>
          <w:szCs w:val="24"/>
        </w:rPr>
        <w:t>Elab</w:t>
      </w:r>
      <w:r w:rsidR="005A5533" w:rsidRPr="00D63D38">
        <w:rPr>
          <w:rFonts w:ascii="Tahoma" w:eastAsia="Times New Roman" w:hAnsi="Tahoma" w:cs="Tahoma"/>
          <w:sz w:val="24"/>
          <w:szCs w:val="24"/>
        </w:rPr>
        <w:t xml:space="preserve">oration de l’auteur sur la base </w:t>
      </w:r>
      <w:r w:rsidR="005A5533">
        <w:rPr>
          <w:rFonts w:ascii="Tahoma" w:eastAsia="Times New Roman" w:hAnsi="Tahoma" w:cs="Tahoma"/>
          <w:sz w:val="24"/>
          <w:szCs w:val="24"/>
        </w:rPr>
        <w:t xml:space="preserve">des résultats </w:t>
      </w:r>
      <w:r w:rsidR="005A5533" w:rsidRPr="00D63D38">
        <w:rPr>
          <w:rFonts w:ascii="Tahoma" w:eastAsia="Times New Roman" w:hAnsi="Tahoma" w:cs="Tahoma"/>
          <w:sz w:val="24"/>
          <w:szCs w:val="24"/>
        </w:rPr>
        <w:t>de l’</w:t>
      </w:r>
      <w:r w:rsidR="005A5533">
        <w:rPr>
          <w:rFonts w:ascii="Tahoma" w:eastAsia="Times New Roman" w:hAnsi="Tahoma" w:cs="Tahoma"/>
          <w:sz w:val="24"/>
          <w:szCs w:val="24"/>
        </w:rPr>
        <w:t>enqu</w:t>
      </w:r>
      <w:r w:rsidR="005A5533" w:rsidRPr="00D63D38">
        <w:rPr>
          <w:rFonts w:ascii="Tahoma" w:eastAsia="Times New Roman" w:hAnsi="Tahoma" w:cs="Tahoma"/>
          <w:sz w:val="24"/>
          <w:szCs w:val="24"/>
        </w:rPr>
        <w:t>ête du ter</w:t>
      </w:r>
      <w:r w:rsidR="005A5533">
        <w:rPr>
          <w:rFonts w:ascii="Tahoma" w:eastAsia="Times New Roman" w:hAnsi="Tahoma" w:cs="Tahoma"/>
          <w:sz w:val="24"/>
          <w:szCs w:val="24"/>
        </w:rPr>
        <w:t>r</w:t>
      </w:r>
      <w:r w:rsidR="005A5533" w:rsidRPr="00D63D38">
        <w:rPr>
          <w:rFonts w:ascii="Tahoma" w:eastAsia="Times New Roman" w:hAnsi="Tahoma" w:cs="Tahoma"/>
          <w:sz w:val="24"/>
          <w:szCs w:val="24"/>
        </w:rPr>
        <w:t>ain</w:t>
      </w:r>
    </w:p>
    <w:p w:rsidR="00AB6B2E" w:rsidRPr="002462E6" w:rsidRDefault="00AB6B2E" w:rsidP="00AB6B2E">
      <w:pPr>
        <w:spacing w:before="100" w:beforeAutospacing="1" w:after="100" w:afterAutospacing="1" w:line="360" w:lineRule="auto"/>
        <w:jc w:val="both"/>
        <w:rPr>
          <w:rFonts w:ascii="Tahoma" w:eastAsia="Times New Roman" w:hAnsi="Tahoma" w:cs="Tahoma"/>
          <w:color w:val="000000"/>
          <w:sz w:val="24"/>
          <w:szCs w:val="24"/>
          <w:lang w:eastAsia="fr-FR"/>
        </w:rPr>
      </w:pPr>
      <w:r w:rsidRPr="002462E6">
        <w:rPr>
          <w:rFonts w:ascii="Tahoma" w:eastAsia="Times New Roman" w:hAnsi="Tahoma" w:cs="Tahoma"/>
          <w:color w:val="000000"/>
          <w:sz w:val="24"/>
          <w:szCs w:val="24"/>
          <w:lang w:eastAsia="fr-FR"/>
        </w:rPr>
        <w:t>Cette cartographie éducative révèle une hétérogénéité territoriale marquée et des mécanismes complexes de reproduction des inégalités éducatives qui s'articulent différemment selon les douars et les provinces.</w:t>
      </w:r>
    </w:p>
    <w:p w:rsidR="00AB6B2E" w:rsidRPr="002462E6" w:rsidRDefault="00AB6B2E" w:rsidP="00AB6B2E">
      <w:pPr>
        <w:spacing w:before="100" w:beforeAutospacing="1" w:after="100" w:afterAutospacing="1" w:line="360" w:lineRule="auto"/>
        <w:jc w:val="both"/>
        <w:rPr>
          <w:rFonts w:ascii="Tahoma" w:eastAsia="Times New Roman" w:hAnsi="Tahoma" w:cs="Tahoma"/>
          <w:color w:val="000000"/>
          <w:sz w:val="24"/>
          <w:szCs w:val="24"/>
          <w:lang w:eastAsia="fr-FR"/>
        </w:rPr>
      </w:pPr>
      <w:r w:rsidRPr="002462E6">
        <w:rPr>
          <w:rFonts w:ascii="Tahoma" w:eastAsia="Times New Roman" w:hAnsi="Tahoma" w:cs="Tahoma"/>
          <w:color w:val="000000"/>
          <w:sz w:val="24"/>
          <w:szCs w:val="24"/>
          <w:lang w:eastAsia="fr-FR"/>
        </w:rPr>
        <w:t xml:space="preserve">L'analyse de la variable "distance école" met en évidence une polarisation géographique extrême : 64% des douars (14 sur 22) présentent une population intégralement située à plus de 3 km des établissements scolaires, traduisant un déficit structurel majeur d'infrastructures éducatives de proximité. Les douars de la province de Khémisset sont particulièrement affectés, avec 11 douars sur 13 présentant une accessibilité critique, contre seulement 3 sur 9 pour Skhirate-Temara. </w:t>
      </w:r>
      <w:r w:rsidRPr="002462E6">
        <w:rPr>
          <w:rFonts w:ascii="Tahoma" w:eastAsia="Times New Roman" w:hAnsi="Tahoma" w:cs="Tahoma"/>
          <w:sz w:val="24"/>
          <w:szCs w:val="24"/>
          <w:lang w:eastAsia="fr-FR"/>
        </w:rPr>
        <w:t>Cette configuration spatiale révèle des inégalités provinciales structurelles qui suggèrent des logiques différenciées de planification territoriale des équipements scolaires. L'analphabétisme parental oscille entre 0% (Oulad Daoud) et 80% (Lmkhafa, Ibouaazaouyine), avec une moyenne de 50%, témoignant d'un héritage éducatif différencié selon les territoires. Paradoxalement, cette variable ne présente pas de corrélation systématique avec l'analphabétisme infantile, suggérant l'efficacité relative des politiques de scolarisation récentes.</w:t>
      </w:r>
    </w:p>
    <w:p w:rsidR="00AB6B2E" w:rsidRPr="002462E6" w:rsidRDefault="00AB6B2E" w:rsidP="00AB6B2E">
      <w:pPr>
        <w:spacing w:before="100" w:beforeAutospacing="1" w:after="100" w:afterAutospacing="1" w:line="360" w:lineRule="auto"/>
        <w:jc w:val="both"/>
        <w:rPr>
          <w:rFonts w:ascii="Tahoma" w:eastAsia="Times New Roman" w:hAnsi="Tahoma" w:cs="Tahoma"/>
          <w:sz w:val="24"/>
          <w:szCs w:val="24"/>
          <w:lang w:eastAsia="fr-FR"/>
        </w:rPr>
      </w:pPr>
      <w:r w:rsidRPr="002462E6">
        <w:rPr>
          <w:rFonts w:ascii="Tahoma" w:eastAsia="Times New Roman" w:hAnsi="Tahoma" w:cs="Tahoma"/>
          <w:sz w:val="24"/>
          <w:szCs w:val="24"/>
          <w:lang w:eastAsia="fr-FR"/>
        </w:rPr>
        <w:t>L'analphabétisme des enfants présente une variabilité encore plus marquée (0% à 64%), avec des situations critiques à Nkaila et Oulad Hmama (64%), Ait Ali (60%) et Oulad Rgue (0% - cas exceptionnel malgré 80% de distance critique). Cette hétérogénéité révèle l'impact différenciel des politiques éducatives selon les contextes locaux.</w:t>
      </w:r>
    </w:p>
    <w:p w:rsidR="00AB6B2E" w:rsidRPr="002462E6" w:rsidRDefault="00AB6B2E" w:rsidP="00AB6B2E">
      <w:pPr>
        <w:spacing w:before="100" w:beforeAutospacing="1" w:after="100" w:afterAutospacing="1" w:line="360" w:lineRule="auto"/>
        <w:jc w:val="both"/>
        <w:rPr>
          <w:rFonts w:ascii="Tahoma" w:eastAsia="Times New Roman" w:hAnsi="Tahoma" w:cs="Tahoma"/>
          <w:sz w:val="24"/>
          <w:szCs w:val="24"/>
          <w:lang w:eastAsia="fr-FR"/>
        </w:rPr>
      </w:pPr>
      <w:r w:rsidRPr="002462E6">
        <w:rPr>
          <w:rFonts w:ascii="Tahoma" w:eastAsia="Times New Roman" w:hAnsi="Tahoma" w:cs="Tahoma"/>
          <w:sz w:val="24"/>
          <w:szCs w:val="24"/>
          <w:lang w:eastAsia="fr-FR"/>
        </w:rPr>
        <w:t>L'abandon scolaire présente une distribution particulièrement révélatrice : 68% des douars (15 sur 22) affichent un taux nul d'abandon, tandis que les situations critiques se concentrent sur quelques territoires spécifiques (Oulad Rgue 81%, Oulad Saîd 58%, Lmkhafa 50%). Cette polarisation suggère l'existence de facteurs locaux spécifiques (socio-économiques, culturels, organisationnels) qui mériteraient une investigation approfondie.</w:t>
      </w:r>
    </w:p>
    <w:p w:rsidR="00AB6B2E" w:rsidRPr="002462E6" w:rsidRDefault="00AB6B2E" w:rsidP="00AB6B2E">
      <w:pPr>
        <w:spacing w:before="100" w:beforeAutospacing="1" w:after="100" w:afterAutospacing="1" w:line="360" w:lineRule="auto"/>
        <w:jc w:val="both"/>
        <w:rPr>
          <w:rFonts w:ascii="Tahoma" w:eastAsia="Times New Roman" w:hAnsi="Tahoma" w:cs="Tahoma"/>
          <w:sz w:val="24"/>
          <w:szCs w:val="24"/>
          <w:lang w:eastAsia="fr-FR"/>
        </w:rPr>
      </w:pPr>
      <w:r w:rsidRPr="002462E6">
        <w:rPr>
          <w:rFonts w:ascii="Tahoma" w:eastAsia="Times New Roman" w:hAnsi="Tahoma" w:cs="Tahoma"/>
          <w:sz w:val="24"/>
          <w:szCs w:val="24"/>
          <w:lang w:eastAsia="fr-FR"/>
        </w:rPr>
        <w:t>L'indice synthétique d'éducation révèle une stratification territoriale s'étendant de 13% (Lbghada) à 59% (Lmkhafa), avec une concentration des situations les plus favorables dans la tranche 25-31% et des cas critiques dispersés.</w:t>
      </w:r>
    </w:p>
    <w:p w:rsidR="00AB6B2E" w:rsidRPr="002462E6" w:rsidRDefault="00AB6B2E" w:rsidP="00D051D7">
      <w:pPr>
        <w:widowControl w:val="0"/>
        <w:numPr>
          <w:ilvl w:val="0"/>
          <w:numId w:val="104"/>
        </w:numPr>
        <w:autoSpaceDE w:val="0"/>
        <w:autoSpaceDN w:val="0"/>
        <w:spacing w:before="100" w:beforeAutospacing="1" w:after="100" w:afterAutospacing="1" w:line="360" w:lineRule="auto"/>
        <w:contextualSpacing/>
        <w:jc w:val="both"/>
        <w:rPr>
          <w:rFonts w:ascii="Tahoma" w:eastAsia="Times New Roman" w:hAnsi="Tahoma" w:cs="Tahoma"/>
          <w:sz w:val="24"/>
          <w:szCs w:val="24"/>
          <w:lang w:eastAsia="fr-FR"/>
        </w:rPr>
      </w:pPr>
      <w:r w:rsidRPr="002462E6">
        <w:rPr>
          <w:rFonts w:ascii="Tahoma" w:eastAsia="Times New Roman" w:hAnsi="Tahoma" w:cs="Tahoma"/>
          <w:sz w:val="24"/>
          <w:szCs w:val="24"/>
          <w:lang w:eastAsia="fr-FR"/>
        </w:rPr>
        <w:t>Douars à vulnérabilité éducative critique (indice ≥50%) : Lmkhafa (59%), Nkaila (51%), Oulad Rgue et Ait Ali (50%), caractérisés par une convergence de facteurs défavorables.</w:t>
      </w:r>
    </w:p>
    <w:p w:rsidR="00AB6B2E" w:rsidRPr="002462E6" w:rsidRDefault="00AB6B2E" w:rsidP="00D051D7">
      <w:pPr>
        <w:widowControl w:val="0"/>
        <w:numPr>
          <w:ilvl w:val="0"/>
          <w:numId w:val="104"/>
        </w:numPr>
        <w:autoSpaceDE w:val="0"/>
        <w:autoSpaceDN w:val="0"/>
        <w:spacing w:before="100" w:beforeAutospacing="1" w:after="100" w:afterAutospacing="1" w:line="360" w:lineRule="auto"/>
        <w:contextualSpacing/>
        <w:jc w:val="both"/>
        <w:rPr>
          <w:rFonts w:ascii="Tahoma" w:eastAsia="Times New Roman" w:hAnsi="Tahoma" w:cs="Tahoma"/>
          <w:sz w:val="24"/>
          <w:szCs w:val="24"/>
          <w:lang w:eastAsia="fr-FR"/>
        </w:rPr>
      </w:pPr>
      <w:r w:rsidRPr="002462E6">
        <w:rPr>
          <w:rFonts w:ascii="Tahoma" w:eastAsia="Times New Roman" w:hAnsi="Tahoma" w:cs="Tahoma"/>
          <w:sz w:val="24"/>
          <w:szCs w:val="24"/>
          <w:lang w:eastAsia="fr-FR"/>
        </w:rPr>
        <w:t>Douars à vulnérabilité modérée (indice 40-49%) : 7 douars présentant des configurations mixtes.</w:t>
      </w:r>
    </w:p>
    <w:p w:rsidR="00AB6B2E" w:rsidRPr="002462E6" w:rsidRDefault="00AB6B2E" w:rsidP="00D051D7">
      <w:pPr>
        <w:widowControl w:val="0"/>
        <w:numPr>
          <w:ilvl w:val="0"/>
          <w:numId w:val="104"/>
        </w:numPr>
        <w:autoSpaceDE w:val="0"/>
        <w:autoSpaceDN w:val="0"/>
        <w:spacing w:before="100" w:beforeAutospacing="1" w:after="100" w:afterAutospacing="1" w:line="360" w:lineRule="auto"/>
        <w:contextualSpacing/>
        <w:jc w:val="both"/>
        <w:rPr>
          <w:rFonts w:ascii="Tahoma" w:eastAsia="Times New Roman" w:hAnsi="Tahoma" w:cs="Tahoma"/>
          <w:sz w:val="24"/>
          <w:szCs w:val="24"/>
          <w:lang w:eastAsia="fr-FR"/>
        </w:rPr>
      </w:pPr>
      <w:r w:rsidRPr="002462E6">
        <w:rPr>
          <w:rFonts w:ascii="Tahoma" w:eastAsia="Times New Roman" w:hAnsi="Tahoma" w:cs="Tahoma"/>
          <w:sz w:val="24"/>
          <w:szCs w:val="24"/>
          <w:lang w:eastAsia="fr-FR"/>
        </w:rPr>
        <w:t>Douars à vulnérabilité relative (indice ≤30%) : Lbghada (13%), Oulad Azzouz (17%), Elklâa (21%), bénéficiant généralement d'une meilleure accessibilité géographique.</w:t>
      </w:r>
    </w:p>
    <w:p w:rsidR="00AB6B2E" w:rsidRPr="002462E6" w:rsidRDefault="00AB6B2E" w:rsidP="00AB6B2E">
      <w:pPr>
        <w:spacing w:before="100" w:beforeAutospacing="1" w:after="100" w:afterAutospacing="1" w:line="360" w:lineRule="auto"/>
        <w:jc w:val="both"/>
        <w:rPr>
          <w:rFonts w:ascii="Tahoma" w:eastAsia="Times New Roman" w:hAnsi="Tahoma" w:cs="Tahoma"/>
          <w:sz w:val="24"/>
          <w:szCs w:val="24"/>
          <w:lang w:eastAsia="fr-FR"/>
        </w:rPr>
      </w:pPr>
      <w:r w:rsidRPr="002462E6">
        <w:rPr>
          <w:rFonts w:ascii="Tahoma" w:eastAsia="Times New Roman" w:hAnsi="Tahoma" w:cs="Tahoma"/>
          <w:sz w:val="24"/>
          <w:szCs w:val="24"/>
          <w:lang w:eastAsia="fr-FR"/>
        </w:rPr>
        <w:t>L'analyse révèle des mécanismes causaux complexes où la distance géographique ne constitue pas le seul déterminant de la vulnérabilité éducative. Certains douars (Lbghada, Elklâa, Oulad Azzouz) parviennent à maintenir des indices favorables malgré d'autres contraintes, suggérant l'existence de facteurs compensatoires (dynamiques communautaires, leadership local, innovations pédagogiques).</w:t>
      </w:r>
    </w:p>
    <w:p w:rsidR="00AB6B2E" w:rsidRPr="002462E6" w:rsidRDefault="00AB6B2E" w:rsidP="00AB6B2E">
      <w:pPr>
        <w:spacing w:before="100" w:beforeAutospacing="1" w:after="100" w:afterAutospacing="1" w:line="360" w:lineRule="auto"/>
        <w:jc w:val="both"/>
        <w:rPr>
          <w:rFonts w:ascii="Tahoma" w:eastAsia="Times New Roman" w:hAnsi="Tahoma" w:cs="Tahoma"/>
          <w:sz w:val="24"/>
          <w:szCs w:val="24"/>
          <w:lang w:eastAsia="fr-FR"/>
        </w:rPr>
      </w:pPr>
      <w:r w:rsidRPr="002462E6">
        <w:rPr>
          <w:rFonts w:ascii="Tahoma" w:eastAsia="Times New Roman" w:hAnsi="Tahoma" w:cs="Tahoma"/>
          <w:sz w:val="24"/>
          <w:szCs w:val="24"/>
          <w:lang w:eastAsia="fr-FR"/>
        </w:rPr>
        <w:t>Inversement, des douars bénéficiant d'une proximité géographique relative (Oulad Saîd, Oulad Dlim) présentent des vulnérabilités significatives, témoignant de l'impact d'autres déterminants socio-économiques ou organisationnels.</w:t>
      </w:r>
    </w:p>
    <w:p w:rsidR="00AB6B2E" w:rsidRPr="002462E6" w:rsidRDefault="00AB6B2E" w:rsidP="00AB6B2E">
      <w:pPr>
        <w:spacing w:before="100" w:beforeAutospacing="1" w:after="100" w:afterAutospacing="1" w:line="360" w:lineRule="auto"/>
        <w:jc w:val="both"/>
        <w:rPr>
          <w:rFonts w:ascii="Tahoma" w:eastAsia="Times New Roman" w:hAnsi="Tahoma" w:cs="Tahoma"/>
          <w:sz w:val="24"/>
          <w:szCs w:val="24"/>
          <w:lang w:eastAsia="fr-FR"/>
        </w:rPr>
      </w:pPr>
      <w:r w:rsidRPr="002462E6">
        <w:rPr>
          <w:rFonts w:ascii="Tahoma" w:eastAsia="Times New Roman" w:hAnsi="Tahoma" w:cs="Tahoma"/>
          <w:sz w:val="24"/>
          <w:szCs w:val="24"/>
          <w:lang w:eastAsia="fr-FR"/>
        </w:rPr>
        <w:t>Cette cartographie souligne la nécessité d’une différenciation territoriale des stratégies d’intervention, articulée autour de plusieurs axes :</w:t>
      </w:r>
    </w:p>
    <w:p w:rsidR="00AB6B2E" w:rsidRPr="002462E6" w:rsidRDefault="00AB6B2E" w:rsidP="00D051D7">
      <w:pPr>
        <w:widowControl w:val="0"/>
        <w:numPr>
          <w:ilvl w:val="0"/>
          <w:numId w:val="68"/>
        </w:numPr>
        <w:autoSpaceDE w:val="0"/>
        <w:autoSpaceDN w:val="0"/>
        <w:spacing w:before="100" w:beforeAutospacing="1" w:after="100" w:afterAutospacing="1" w:line="360" w:lineRule="auto"/>
        <w:jc w:val="both"/>
        <w:rPr>
          <w:rFonts w:ascii="Tahoma" w:eastAsia="Times New Roman" w:hAnsi="Tahoma" w:cs="Tahoma"/>
          <w:sz w:val="24"/>
          <w:szCs w:val="24"/>
          <w:lang w:eastAsia="fr-FR"/>
        </w:rPr>
      </w:pPr>
      <w:r w:rsidRPr="002462E6">
        <w:rPr>
          <w:rFonts w:ascii="Tahoma" w:eastAsia="Times New Roman" w:hAnsi="Tahoma" w:cs="Tahoma"/>
          <w:sz w:val="24"/>
          <w:szCs w:val="24"/>
          <w:lang w:eastAsia="fr-FR"/>
        </w:rPr>
        <w:t>Priorité infrastructurelle : Déploiement d'équipements scolaires de proximité dans les 14 douars à accessibilité critique ;</w:t>
      </w:r>
    </w:p>
    <w:p w:rsidR="00AB6B2E" w:rsidRPr="002462E6" w:rsidRDefault="00AB6B2E" w:rsidP="00D051D7">
      <w:pPr>
        <w:widowControl w:val="0"/>
        <w:numPr>
          <w:ilvl w:val="0"/>
          <w:numId w:val="68"/>
        </w:numPr>
        <w:autoSpaceDE w:val="0"/>
        <w:autoSpaceDN w:val="0"/>
        <w:spacing w:before="100" w:beforeAutospacing="1" w:after="100" w:afterAutospacing="1" w:line="360" w:lineRule="auto"/>
        <w:jc w:val="both"/>
        <w:rPr>
          <w:rFonts w:ascii="Tahoma" w:eastAsia="Times New Roman" w:hAnsi="Tahoma" w:cs="Tahoma"/>
          <w:sz w:val="24"/>
          <w:szCs w:val="24"/>
          <w:lang w:eastAsia="fr-FR"/>
        </w:rPr>
      </w:pPr>
      <w:r w:rsidRPr="002462E6">
        <w:rPr>
          <w:rFonts w:ascii="Tahoma" w:eastAsia="Times New Roman" w:hAnsi="Tahoma" w:cs="Tahoma"/>
          <w:sz w:val="24"/>
          <w:szCs w:val="24"/>
          <w:lang w:eastAsia="fr-FR"/>
        </w:rPr>
        <w:t>Interventions spécialisées : Programmes ciblés contre l'abandon scolaire dans les douars à risque (Oulad Rgue, Oulad Saîd, Lmkhafa) ;</w:t>
      </w:r>
    </w:p>
    <w:p w:rsidR="00AB6B2E" w:rsidRPr="002462E6" w:rsidRDefault="00AB6B2E" w:rsidP="00D051D7">
      <w:pPr>
        <w:widowControl w:val="0"/>
        <w:numPr>
          <w:ilvl w:val="0"/>
          <w:numId w:val="68"/>
        </w:numPr>
        <w:autoSpaceDE w:val="0"/>
        <w:autoSpaceDN w:val="0"/>
        <w:spacing w:before="100" w:beforeAutospacing="1" w:after="100" w:afterAutospacing="1" w:line="360" w:lineRule="auto"/>
        <w:jc w:val="both"/>
        <w:rPr>
          <w:rFonts w:ascii="Tahoma" w:eastAsia="Times New Roman" w:hAnsi="Tahoma" w:cs="Tahoma"/>
          <w:sz w:val="24"/>
          <w:szCs w:val="24"/>
          <w:lang w:eastAsia="fr-FR"/>
        </w:rPr>
      </w:pPr>
      <w:r w:rsidRPr="002462E6">
        <w:rPr>
          <w:rFonts w:ascii="Tahoma" w:eastAsia="Times New Roman" w:hAnsi="Tahoma" w:cs="Tahoma"/>
          <w:sz w:val="24"/>
          <w:szCs w:val="24"/>
          <w:lang w:eastAsia="fr-FR"/>
        </w:rPr>
        <w:t>Capitalisation des bonnes pratiques : Investigation des facteurs de résilience éducative dans les douars performants malgré les contraintes ;</w:t>
      </w:r>
    </w:p>
    <w:p w:rsidR="00AB6B2E" w:rsidRPr="002462E6" w:rsidRDefault="00AB6B2E" w:rsidP="00D051D7">
      <w:pPr>
        <w:widowControl w:val="0"/>
        <w:numPr>
          <w:ilvl w:val="0"/>
          <w:numId w:val="68"/>
        </w:numPr>
        <w:autoSpaceDE w:val="0"/>
        <w:autoSpaceDN w:val="0"/>
        <w:spacing w:before="100" w:beforeAutospacing="1" w:after="100" w:afterAutospacing="1" w:line="360" w:lineRule="auto"/>
        <w:jc w:val="both"/>
        <w:rPr>
          <w:rFonts w:ascii="Tahoma" w:eastAsia="Times New Roman" w:hAnsi="Tahoma" w:cs="Tahoma"/>
          <w:sz w:val="24"/>
          <w:szCs w:val="24"/>
          <w:lang w:eastAsia="fr-FR"/>
        </w:rPr>
      </w:pPr>
      <w:r w:rsidRPr="002462E6">
        <w:rPr>
          <w:rFonts w:ascii="Tahoma" w:eastAsia="Times New Roman" w:hAnsi="Tahoma" w:cs="Tahoma"/>
          <w:sz w:val="24"/>
          <w:szCs w:val="24"/>
          <w:lang w:eastAsia="fr-FR"/>
        </w:rPr>
        <w:t>Approche différenciée provinciale : Renforcement prioritaire des infrastructures dans la province de Khémisset.</w:t>
      </w:r>
    </w:p>
    <w:p w:rsidR="00AB6B2E" w:rsidRPr="002462E6" w:rsidRDefault="00AB6B2E" w:rsidP="00AB6B2E">
      <w:pPr>
        <w:spacing w:before="100" w:beforeAutospacing="1" w:after="100" w:afterAutospacing="1" w:line="360" w:lineRule="auto"/>
        <w:jc w:val="both"/>
        <w:rPr>
          <w:rFonts w:ascii="Tahoma" w:eastAsia="Times New Roman" w:hAnsi="Tahoma" w:cs="Tahoma"/>
          <w:sz w:val="24"/>
          <w:szCs w:val="24"/>
          <w:lang w:eastAsia="fr-FR"/>
        </w:rPr>
      </w:pPr>
      <w:r w:rsidRPr="002462E6">
        <w:rPr>
          <w:rFonts w:ascii="Tahoma" w:eastAsia="Times New Roman" w:hAnsi="Tahoma" w:cs="Tahoma"/>
          <w:sz w:val="24"/>
          <w:szCs w:val="24"/>
        </w:rPr>
        <w:t xml:space="preserve">Cette analyse met en exergue la nécessité d’adopter une approche </w:t>
      </w:r>
      <w:r w:rsidRPr="002462E6">
        <w:rPr>
          <w:rFonts w:ascii="Tahoma" w:eastAsia="Times New Roman" w:hAnsi="Tahoma" w:cs="Tahoma"/>
          <w:sz w:val="24"/>
          <w:szCs w:val="24"/>
          <w:lang w:eastAsia="fr-FR"/>
        </w:rPr>
        <w:t>systémique et territorialisée dépassant les logiques sectorielles pour intégrer les spécificités locales dans l'élaboration des politiques éducatives.</w:t>
      </w:r>
    </w:p>
    <w:p w:rsidR="007E399B" w:rsidRPr="002462E6" w:rsidRDefault="00F478CA" w:rsidP="00BF1F48">
      <w:pPr>
        <w:pStyle w:val="Titre5"/>
      </w:pPr>
      <w:bookmarkStart w:id="442" w:name="_Toc203643126"/>
      <w:r w:rsidRPr="002462E6">
        <w:t>Situation des services de base selon les enquêtés</w:t>
      </w:r>
      <w:bookmarkEnd w:id="442"/>
    </w:p>
    <w:p w:rsidR="00F478CA" w:rsidRPr="002462E6" w:rsidRDefault="00F478CA" w:rsidP="00F478CA">
      <w:pPr>
        <w:spacing w:line="360" w:lineRule="auto"/>
        <w:jc w:val="both"/>
        <w:rPr>
          <w:rFonts w:ascii="Tahoma" w:hAnsi="Tahoma" w:cs="Tahoma"/>
          <w:sz w:val="24"/>
          <w:szCs w:val="24"/>
        </w:rPr>
      </w:pPr>
      <w:r w:rsidRPr="002462E6">
        <w:rPr>
          <w:rFonts w:ascii="Tahoma" w:hAnsi="Tahoma" w:cs="Tahoma"/>
          <w:sz w:val="24"/>
          <w:szCs w:val="24"/>
        </w:rPr>
        <w:t>L'accès aux services de base constitue un facteur fondamental du développement territorial et un indicateur primordial d’équité spatiale des politiques publiques. Dans les contextes ruraux périphériques, ces services -électricité, eau potable, assainissement, habitat décent, routes praticables et connectivité téléphonique - déterminent non seulement les conditions de vie des populations, mais conditionnent également leurs capacités de développement économique et social.</w:t>
      </w:r>
    </w:p>
    <w:p w:rsidR="0010613B" w:rsidRPr="002462E6" w:rsidRDefault="00F478CA" w:rsidP="00F478CA">
      <w:pPr>
        <w:spacing w:line="360" w:lineRule="auto"/>
        <w:jc w:val="both"/>
        <w:rPr>
          <w:rFonts w:ascii="Tahoma" w:hAnsi="Tahoma" w:cs="Tahoma"/>
          <w:sz w:val="24"/>
          <w:szCs w:val="24"/>
        </w:rPr>
      </w:pPr>
      <w:r w:rsidRPr="002462E6">
        <w:rPr>
          <w:rFonts w:ascii="Tahoma" w:hAnsi="Tahoma" w:cs="Tahoma"/>
          <w:sz w:val="24"/>
          <w:szCs w:val="24"/>
        </w:rPr>
        <w:t xml:space="preserve">La cartographie ainsi que le tableau d’indice synthétique des équipements </w:t>
      </w:r>
      <w:r w:rsidR="00784974" w:rsidRPr="002462E6">
        <w:rPr>
          <w:rFonts w:ascii="Tahoma" w:hAnsi="Tahoma" w:cs="Tahoma"/>
          <w:sz w:val="24"/>
          <w:szCs w:val="24"/>
        </w:rPr>
        <w:t>sociaux,</w:t>
      </w:r>
      <w:r w:rsidRPr="002462E6">
        <w:rPr>
          <w:rFonts w:ascii="Tahoma" w:hAnsi="Tahoma" w:cs="Tahoma"/>
          <w:sz w:val="24"/>
          <w:szCs w:val="24"/>
        </w:rPr>
        <w:t xml:space="preserve"> ci-dessous, révèlent une configuration territoriale complexe où se manifestent des inégalités d'accès substantielles qui interrogent l'efficacité des politiques sectorielles et la cohérence de l'aménagement territorial. L'analyse de six </w:t>
      </w:r>
      <w:r w:rsidR="00784974" w:rsidRPr="002462E6">
        <w:rPr>
          <w:rFonts w:ascii="Tahoma" w:hAnsi="Tahoma" w:cs="Tahoma"/>
          <w:sz w:val="24"/>
          <w:szCs w:val="24"/>
        </w:rPr>
        <w:t>indicateurs -</w:t>
      </w:r>
      <w:r w:rsidRPr="002462E6">
        <w:rPr>
          <w:rFonts w:ascii="Tahoma" w:hAnsi="Tahoma" w:cs="Tahoma"/>
          <w:sz w:val="24"/>
          <w:szCs w:val="24"/>
        </w:rPr>
        <w:t xml:space="preserve"> raccordement électrique, accès à l'eau, assainissement, qualité de l'habitat, désenclavement routier et connectivité téléphonique - met en évidence des vulnérabilités différenciées selon les douars et les provinces.</w:t>
      </w:r>
    </w:p>
    <w:p w:rsidR="0010613B" w:rsidRPr="002462E6" w:rsidRDefault="0010613B" w:rsidP="0010613B">
      <w:pPr>
        <w:rPr>
          <w:rFonts w:ascii="Tahoma" w:hAnsi="Tahoma" w:cs="Tahoma"/>
          <w:sz w:val="24"/>
          <w:szCs w:val="24"/>
        </w:rPr>
      </w:pPr>
      <w:r w:rsidRPr="002462E6">
        <w:rPr>
          <w:rFonts w:ascii="Tahoma" w:hAnsi="Tahoma" w:cs="Tahoma"/>
          <w:sz w:val="24"/>
          <w:szCs w:val="24"/>
        </w:rPr>
        <w:br w:type="page"/>
      </w:r>
    </w:p>
    <w:p w:rsidR="00946E76" w:rsidRPr="002462E6" w:rsidRDefault="00335088" w:rsidP="000D57A1">
      <w:pPr>
        <w:pStyle w:val="Sous-titre"/>
      </w:pPr>
      <w:bookmarkStart w:id="443" w:name="_Toc203642510"/>
      <w:r>
        <w:t>Tableau</w:t>
      </w:r>
      <w:r w:rsidR="0010613B" w:rsidRPr="002462E6">
        <w:t xml:space="preserve"> </w:t>
      </w:r>
      <w:r w:rsidR="00225ED1">
        <w:rPr>
          <w:noProof/>
        </w:rPr>
        <w:fldChar w:fldCharType="begin"/>
      </w:r>
      <w:r w:rsidR="00225ED1">
        <w:rPr>
          <w:noProof/>
        </w:rPr>
        <w:instrText xml:space="preserve"> SEQ Tableau \* ARABIC </w:instrText>
      </w:r>
      <w:r w:rsidR="00225ED1">
        <w:rPr>
          <w:noProof/>
        </w:rPr>
        <w:fldChar w:fldCharType="separate"/>
      </w:r>
      <w:r w:rsidR="00124AFB">
        <w:rPr>
          <w:noProof/>
        </w:rPr>
        <w:t>11</w:t>
      </w:r>
      <w:r w:rsidR="00225ED1">
        <w:rPr>
          <w:noProof/>
        </w:rPr>
        <w:fldChar w:fldCharType="end"/>
      </w:r>
      <w:r w:rsidR="009D2528" w:rsidRPr="002462E6">
        <w:t xml:space="preserve"> :</w:t>
      </w:r>
      <w:r w:rsidR="00946E76" w:rsidRPr="002462E6">
        <w:t xml:space="preserve"> indice synthétique des équipements sociaux selon la perception de la </w:t>
      </w:r>
      <w:r w:rsidR="00052E50" w:rsidRPr="002462E6">
        <w:t>popula</w:t>
      </w:r>
      <w:r w:rsidR="00946E76" w:rsidRPr="002462E6">
        <w:t>tion enquêtée</w:t>
      </w:r>
      <w:bookmarkEnd w:id="443"/>
    </w:p>
    <w:tbl>
      <w:tblPr>
        <w:tblW w:w="10490" w:type="dxa"/>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851"/>
        <w:gridCol w:w="850"/>
        <w:gridCol w:w="993"/>
        <w:gridCol w:w="850"/>
        <w:gridCol w:w="992"/>
        <w:gridCol w:w="1134"/>
        <w:gridCol w:w="1276"/>
        <w:gridCol w:w="1701"/>
        <w:gridCol w:w="992"/>
        <w:gridCol w:w="851"/>
      </w:tblGrid>
      <w:tr w:rsidR="007E399B" w:rsidRPr="00F44C4F" w:rsidTr="002D1D62">
        <w:trPr>
          <w:trHeight w:val="639"/>
        </w:trPr>
        <w:tc>
          <w:tcPr>
            <w:tcW w:w="851" w:type="dxa"/>
            <w:shd w:val="clear" w:color="auto" w:fill="auto"/>
            <w:noWrap/>
            <w:vAlign w:val="center"/>
            <w:hideMark/>
          </w:tcPr>
          <w:p w:rsidR="007E399B" w:rsidRPr="00F44C4F" w:rsidRDefault="007E399B" w:rsidP="002D1D62">
            <w:pPr>
              <w:spacing w:after="0"/>
              <w:rPr>
                <w:rFonts w:ascii="Tahoma" w:hAnsi="Tahoma" w:cs="Tahoma"/>
                <w:b/>
                <w:bCs/>
                <w:color w:val="000000"/>
                <w:sz w:val="16"/>
                <w:szCs w:val="16"/>
                <w:lang w:eastAsia="fr-FR"/>
              </w:rPr>
            </w:pPr>
            <w:r w:rsidRPr="00F44C4F">
              <w:rPr>
                <w:rFonts w:ascii="Tahoma" w:hAnsi="Tahoma" w:cs="Tahoma"/>
                <w:b/>
                <w:bCs/>
                <w:color w:val="000000"/>
                <w:sz w:val="16"/>
                <w:szCs w:val="16"/>
                <w:lang w:eastAsia="fr-FR"/>
              </w:rPr>
              <w:t>Province</w:t>
            </w:r>
          </w:p>
        </w:tc>
        <w:tc>
          <w:tcPr>
            <w:tcW w:w="850" w:type="dxa"/>
            <w:shd w:val="clear" w:color="auto" w:fill="auto"/>
            <w:noWrap/>
            <w:vAlign w:val="center"/>
            <w:hideMark/>
          </w:tcPr>
          <w:p w:rsidR="007E399B" w:rsidRPr="00F44C4F" w:rsidRDefault="007E399B" w:rsidP="002D1D62">
            <w:pPr>
              <w:spacing w:after="0"/>
              <w:rPr>
                <w:rFonts w:ascii="Tahoma" w:hAnsi="Tahoma" w:cs="Tahoma"/>
                <w:b/>
                <w:bCs/>
                <w:color w:val="000000"/>
                <w:sz w:val="16"/>
                <w:szCs w:val="16"/>
                <w:lang w:eastAsia="fr-FR"/>
              </w:rPr>
            </w:pPr>
            <w:r w:rsidRPr="00F44C4F">
              <w:rPr>
                <w:rFonts w:ascii="Tahoma" w:hAnsi="Tahoma" w:cs="Tahoma"/>
                <w:b/>
                <w:bCs/>
                <w:color w:val="000000"/>
                <w:sz w:val="16"/>
                <w:szCs w:val="16"/>
                <w:lang w:eastAsia="fr-FR"/>
              </w:rPr>
              <w:t>Commune</w:t>
            </w:r>
          </w:p>
        </w:tc>
        <w:tc>
          <w:tcPr>
            <w:tcW w:w="993" w:type="dxa"/>
            <w:shd w:val="clear" w:color="auto" w:fill="auto"/>
            <w:noWrap/>
            <w:vAlign w:val="center"/>
            <w:hideMark/>
          </w:tcPr>
          <w:p w:rsidR="007E399B" w:rsidRPr="00F44C4F" w:rsidRDefault="007E399B" w:rsidP="002D1D62">
            <w:pPr>
              <w:spacing w:after="0"/>
              <w:rPr>
                <w:rFonts w:ascii="Tahoma" w:hAnsi="Tahoma" w:cs="Tahoma"/>
                <w:b/>
                <w:bCs/>
                <w:color w:val="000000"/>
                <w:sz w:val="16"/>
                <w:szCs w:val="16"/>
                <w:lang w:eastAsia="fr-FR"/>
              </w:rPr>
            </w:pPr>
            <w:r w:rsidRPr="00F44C4F">
              <w:rPr>
                <w:rFonts w:ascii="Tahoma" w:hAnsi="Tahoma" w:cs="Tahoma"/>
                <w:b/>
                <w:bCs/>
                <w:color w:val="000000"/>
                <w:sz w:val="16"/>
                <w:szCs w:val="16"/>
                <w:lang w:eastAsia="fr-FR"/>
              </w:rPr>
              <w:t>Douar</w:t>
            </w:r>
          </w:p>
        </w:tc>
        <w:tc>
          <w:tcPr>
            <w:tcW w:w="850" w:type="dxa"/>
            <w:shd w:val="clear" w:color="000000" w:fill="CCFF33"/>
            <w:vAlign w:val="center"/>
            <w:hideMark/>
          </w:tcPr>
          <w:p w:rsidR="007E399B" w:rsidRPr="00F44C4F" w:rsidRDefault="007E399B" w:rsidP="002D1D62">
            <w:pPr>
              <w:spacing w:after="0"/>
              <w:rPr>
                <w:rFonts w:ascii="Tahoma" w:hAnsi="Tahoma" w:cs="Tahoma"/>
                <w:color w:val="000000"/>
                <w:sz w:val="16"/>
                <w:szCs w:val="16"/>
                <w:lang w:eastAsia="fr-FR"/>
              </w:rPr>
            </w:pPr>
            <w:r w:rsidRPr="00F44C4F">
              <w:rPr>
                <w:rFonts w:ascii="Tahoma" w:hAnsi="Tahoma" w:cs="Tahoma"/>
                <w:color w:val="000000"/>
                <w:sz w:val="16"/>
                <w:szCs w:val="16"/>
                <w:lang w:eastAsia="fr-FR"/>
              </w:rPr>
              <w:t>Non raccordés à l’électricité</w:t>
            </w:r>
          </w:p>
        </w:tc>
        <w:tc>
          <w:tcPr>
            <w:tcW w:w="992" w:type="dxa"/>
            <w:shd w:val="clear" w:color="000000" w:fill="CCFF33"/>
            <w:vAlign w:val="center"/>
            <w:hideMark/>
          </w:tcPr>
          <w:p w:rsidR="007E399B" w:rsidRPr="00F44C4F" w:rsidRDefault="007E399B" w:rsidP="002D1D62">
            <w:pPr>
              <w:spacing w:after="0"/>
              <w:rPr>
                <w:rFonts w:ascii="Tahoma" w:hAnsi="Tahoma" w:cs="Tahoma"/>
                <w:color w:val="000000"/>
                <w:sz w:val="16"/>
                <w:szCs w:val="16"/>
                <w:lang w:eastAsia="fr-FR"/>
              </w:rPr>
            </w:pPr>
            <w:r w:rsidRPr="00F44C4F">
              <w:rPr>
                <w:rFonts w:ascii="Tahoma" w:hAnsi="Tahoma" w:cs="Tahoma"/>
                <w:color w:val="000000"/>
                <w:sz w:val="16"/>
                <w:szCs w:val="16"/>
                <w:lang w:eastAsia="fr-FR"/>
              </w:rPr>
              <w:t>Non raccordés à l’eau</w:t>
            </w:r>
          </w:p>
        </w:tc>
        <w:tc>
          <w:tcPr>
            <w:tcW w:w="1134" w:type="dxa"/>
            <w:shd w:val="clear" w:color="000000" w:fill="CCFF33"/>
            <w:vAlign w:val="center"/>
            <w:hideMark/>
          </w:tcPr>
          <w:p w:rsidR="007E399B" w:rsidRPr="00F44C4F" w:rsidRDefault="007E399B" w:rsidP="002D1D62">
            <w:pPr>
              <w:spacing w:after="0"/>
              <w:rPr>
                <w:rFonts w:ascii="Tahoma" w:hAnsi="Tahoma" w:cs="Tahoma"/>
                <w:color w:val="000000"/>
                <w:sz w:val="16"/>
                <w:szCs w:val="16"/>
                <w:lang w:eastAsia="fr-FR"/>
              </w:rPr>
            </w:pPr>
            <w:r w:rsidRPr="00F44C4F">
              <w:rPr>
                <w:rFonts w:ascii="Tahoma" w:hAnsi="Tahoma" w:cs="Tahoma"/>
                <w:color w:val="000000"/>
                <w:sz w:val="16"/>
                <w:szCs w:val="16"/>
                <w:lang w:eastAsia="fr-FR"/>
              </w:rPr>
              <w:t>Fosses Sanitaires</w:t>
            </w:r>
          </w:p>
        </w:tc>
        <w:tc>
          <w:tcPr>
            <w:tcW w:w="1276" w:type="dxa"/>
            <w:shd w:val="clear" w:color="000000" w:fill="CCFF33"/>
            <w:vAlign w:val="center"/>
            <w:hideMark/>
          </w:tcPr>
          <w:p w:rsidR="007E399B" w:rsidRPr="00F44C4F" w:rsidRDefault="007E399B" w:rsidP="002D1D62">
            <w:pPr>
              <w:spacing w:after="0"/>
              <w:rPr>
                <w:rFonts w:ascii="Tahoma" w:hAnsi="Tahoma" w:cs="Tahoma"/>
                <w:color w:val="000000"/>
                <w:sz w:val="16"/>
                <w:szCs w:val="16"/>
                <w:lang w:eastAsia="fr-FR"/>
              </w:rPr>
            </w:pPr>
            <w:r w:rsidRPr="00F44C4F">
              <w:rPr>
                <w:rFonts w:ascii="Tahoma" w:hAnsi="Tahoma" w:cs="Tahoma"/>
                <w:color w:val="000000"/>
                <w:sz w:val="16"/>
                <w:szCs w:val="16"/>
                <w:lang w:eastAsia="fr-FR"/>
              </w:rPr>
              <w:t>Logement sans architecture urbaine et fragile</w:t>
            </w:r>
          </w:p>
        </w:tc>
        <w:tc>
          <w:tcPr>
            <w:tcW w:w="1701" w:type="dxa"/>
            <w:shd w:val="clear" w:color="000000" w:fill="CCFF33"/>
            <w:vAlign w:val="center"/>
            <w:hideMark/>
          </w:tcPr>
          <w:p w:rsidR="007E399B" w:rsidRPr="00F44C4F" w:rsidRDefault="007E399B" w:rsidP="002D1D62">
            <w:pPr>
              <w:spacing w:after="0"/>
              <w:rPr>
                <w:rFonts w:ascii="Tahoma" w:hAnsi="Tahoma" w:cs="Tahoma"/>
                <w:color w:val="000000"/>
                <w:sz w:val="16"/>
                <w:szCs w:val="16"/>
                <w:lang w:eastAsia="fr-FR"/>
              </w:rPr>
            </w:pPr>
            <w:r w:rsidRPr="00F44C4F">
              <w:rPr>
                <w:rFonts w:ascii="Tahoma" w:hAnsi="Tahoma" w:cs="Tahoma"/>
                <w:color w:val="000000"/>
                <w:sz w:val="16"/>
                <w:szCs w:val="16"/>
                <w:lang w:eastAsia="fr-FR"/>
              </w:rPr>
              <w:t>Indisponibilité des routes de désenclavement</w:t>
            </w:r>
          </w:p>
        </w:tc>
        <w:tc>
          <w:tcPr>
            <w:tcW w:w="992" w:type="dxa"/>
            <w:shd w:val="clear" w:color="000000" w:fill="CCFF33"/>
            <w:vAlign w:val="center"/>
            <w:hideMark/>
          </w:tcPr>
          <w:p w:rsidR="007E399B" w:rsidRPr="00F44C4F" w:rsidRDefault="007E399B" w:rsidP="002D1D62">
            <w:pPr>
              <w:spacing w:after="0"/>
              <w:rPr>
                <w:rFonts w:ascii="Tahoma" w:hAnsi="Tahoma" w:cs="Tahoma"/>
                <w:color w:val="000000"/>
                <w:sz w:val="16"/>
                <w:szCs w:val="16"/>
                <w:lang w:eastAsia="fr-FR"/>
              </w:rPr>
            </w:pPr>
            <w:r w:rsidRPr="00F44C4F">
              <w:rPr>
                <w:rFonts w:ascii="Tahoma" w:hAnsi="Tahoma" w:cs="Tahoma"/>
                <w:color w:val="000000"/>
                <w:sz w:val="16"/>
                <w:szCs w:val="16"/>
                <w:lang w:eastAsia="fr-FR"/>
              </w:rPr>
              <w:t>Indisponibilité de réseaux Mobiles</w:t>
            </w:r>
          </w:p>
        </w:tc>
        <w:tc>
          <w:tcPr>
            <w:tcW w:w="851" w:type="dxa"/>
            <w:shd w:val="clear" w:color="000000" w:fill="CCFF33"/>
            <w:vAlign w:val="center"/>
            <w:hideMark/>
          </w:tcPr>
          <w:p w:rsidR="007E399B" w:rsidRPr="00F44C4F" w:rsidRDefault="007E399B" w:rsidP="002D1D62">
            <w:pPr>
              <w:spacing w:after="0"/>
              <w:rPr>
                <w:rFonts w:ascii="Tahoma" w:hAnsi="Tahoma" w:cs="Tahoma"/>
                <w:color w:val="000000"/>
                <w:sz w:val="16"/>
                <w:szCs w:val="16"/>
                <w:lang w:eastAsia="fr-FR"/>
              </w:rPr>
            </w:pPr>
            <w:r w:rsidRPr="00F44C4F">
              <w:rPr>
                <w:rFonts w:ascii="Tahoma" w:hAnsi="Tahoma" w:cs="Tahoma"/>
                <w:color w:val="000000"/>
                <w:sz w:val="16"/>
                <w:szCs w:val="16"/>
                <w:lang w:eastAsia="fr-FR"/>
              </w:rPr>
              <w:t>Pas d’infrastructure de base</w:t>
            </w:r>
          </w:p>
        </w:tc>
      </w:tr>
      <w:tr w:rsidR="007E399B" w:rsidRPr="00F44C4F" w:rsidTr="002D1D62">
        <w:trPr>
          <w:trHeight w:val="269"/>
        </w:trPr>
        <w:tc>
          <w:tcPr>
            <w:tcW w:w="851" w:type="dxa"/>
            <w:vMerge w:val="restart"/>
            <w:shd w:val="clear" w:color="auto" w:fill="auto"/>
            <w:vAlign w:val="center"/>
            <w:hideMark/>
          </w:tcPr>
          <w:p w:rsidR="007E399B" w:rsidRPr="00F44C4F" w:rsidRDefault="007E399B" w:rsidP="002D1D62">
            <w:pPr>
              <w:spacing w:after="0"/>
              <w:rPr>
                <w:rFonts w:ascii="Tahoma" w:hAnsi="Tahoma" w:cs="Tahoma"/>
                <w:b/>
                <w:bCs/>
                <w:color w:val="000000"/>
                <w:sz w:val="16"/>
                <w:szCs w:val="16"/>
                <w:lang w:eastAsia="fr-FR"/>
              </w:rPr>
            </w:pPr>
            <w:r w:rsidRPr="00F44C4F">
              <w:rPr>
                <w:rFonts w:ascii="Tahoma" w:hAnsi="Tahoma" w:cs="Tahoma"/>
                <w:b/>
                <w:bCs/>
                <w:color w:val="000000"/>
                <w:sz w:val="16"/>
                <w:szCs w:val="16"/>
                <w:lang w:eastAsia="fr-FR"/>
              </w:rPr>
              <w:t xml:space="preserve">Skhirate-Temara </w:t>
            </w:r>
          </w:p>
        </w:tc>
        <w:tc>
          <w:tcPr>
            <w:tcW w:w="850" w:type="dxa"/>
            <w:shd w:val="clear" w:color="000000" w:fill="FFFFFF"/>
            <w:noWrap/>
            <w:vAlign w:val="center"/>
            <w:hideMark/>
          </w:tcPr>
          <w:p w:rsidR="007E399B" w:rsidRPr="00F44C4F" w:rsidRDefault="007E399B" w:rsidP="002D1D62">
            <w:pPr>
              <w:spacing w:after="0"/>
              <w:rPr>
                <w:rFonts w:ascii="Tahoma" w:hAnsi="Tahoma" w:cs="Tahoma"/>
                <w:color w:val="000000"/>
                <w:sz w:val="16"/>
                <w:szCs w:val="16"/>
                <w:lang w:eastAsia="fr-FR"/>
              </w:rPr>
            </w:pPr>
            <w:r w:rsidRPr="00F44C4F">
              <w:rPr>
                <w:rFonts w:ascii="Tahoma" w:hAnsi="Tahoma" w:cs="Tahoma"/>
                <w:color w:val="000000"/>
                <w:sz w:val="16"/>
                <w:szCs w:val="16"/>
                <w:lang w:eastAsia="fr-FR"/>
              </w:rPr>
              <w:t>Oum Azza</w:t>
            </w:r>
          </w:p>
        </w:tc>
        <w:tc>
          <w:tcPr>
            <w:tcW w:w="993" w:type="dxa"/>
            <w:shd w:val="clear" w:color="000000" w:fill="FFFFFF"/>
            <w:noWrap/>
            <w:vAlign w:val="center"/>
            <w:hideMark/>
          </w:tcPr>
          <w:p w:rsidR="007E399B" w:rsidRPr="00F44C4F" w:rsidRDefault="007E399B" w:rsidP="002D1D62">
            <w:pPr>
              <w:spacing w:after="0"/>
              <w:rPr>
                <w:rFonts w:ascii="Tahoma" w:hAnsi="Tahoma" w:cs="Tahoma"/>
                <w:color w:val="000000"/>
                <w:sz w:val="16"/>
                <w:szCs w:val="16"/>
                <w:lang w:eastAsia="fr-FR"/>
              </w:rPr>
            </w:pPr>
            <w:r w:rsidRPr="00F44C4F">
              <w:rPr>
                <w:rFonts w:ascii="Tahoma" w:hAnsi="Tahoma" w:cs="Tahoma"/>
                <w:color w:val="000000"/>
                <w:sz w:val="16"/>
                <w:szCs w:val="16"/>
                <w:lang w:eastAsia="fr-FR"/>
              </w:rPr>
              <w:t>Oulad Marzoug</w:t>
            </w:r>
          </w:p>
        </w:tc>
        <w:tc>
          <w:tcPr>
            <w:tcW w:w="850" w:type="dxa"/>
            <w:shd w:val="clear" w:color="000000" w:fill="F4F46C"/>
            <w:noWrap/>
            <w:vAlign w:val="center"/>
            <w:hideMark/>
          </w:tcPr>
          <w:p w:rsidR="007E399B" w:rsidRPr="00F44C4F" w:rsidRDefault="007E399B" w:rsidP="002D1D62">
            <w:pPr>
              <w:spacing w:after="0"/>
              <w:rPr>
                <w:rFonts w:ascii="Tahoma" w:hAnsi="Tahoma" w:cs="Tahoma"/>
                <w:color w:val="000000"/>
                <w:sz w:val="16"/>
                <w:szCs w:val="16"/>
                <w:lang w:eastAsia="fr-FR"/>
              </w:rPr>
            </w:pPr>
            <w:r w:rsidRPr="00F44C4F">
              <w:rPr>
                <w:rFonts w:ascii="Tahoma" w:hAnsi="Tahoma" w:cs="Tahoma"/>
                <w:color w:val="000000"/>
                <w:sz w:val="16"/>
                <w:szCs w:val="16"/>
                <w:lang w:eastAsia="fr-FR"/>
              </w:rPr>
              <w:t>20%</w:t>
            </w:r>
          </w:p>
        </w:tc>
        <w:tc>
          <w:tcPr>
            <w:tcW w:w="992" w:type="dxa"/>
            <w:shd w:val="clear" w:color="000000" w:fill="D34B07"/>
            <w:noWrap/>
            <w:vAlign w:val="center"/>
            <w:hideMark/>
          </w:tcPr>
          <w:p w:rsidR="007E399B" w:rsidRPr="00F44C4F" w:rsidRDefault="007E399B" w:rsidP="002D1D62">
            <w:pPr>
              <w:spacing w:after="0"/>
              <w:rPr>
                <w:rFonts w:ascii="Tahoma" w:hAnsi="Tahoma" w:cs="Tahoma"/>
                <w:color w:val="000000"/>
                <w:sz w:val="16"/>
                <w:szCs w:val="16"/>
                <w:lang w:eastAsia="fr-FR"/>
              </w:rPr>
            </w:pPr>
            <w:r w:rsidRPr="00F44C4F">
              <w:rPr>
                <w:rFonts w:ascii="Tahoma" w:hAnsi="Tahoma" w:cs="Tahoma"/>
                <w:color w:val="000000"/>
                <w:sz w:val="16"/>
                <w:szCs w:val="16"/>
                <w:lang w:eastAsia="fr-FR"/>
              </w:rPr>
              <w:t>100%</w:t>
            </w:r>
          </w:p>
        </w:tc>
        <w:tc>
          <w:tcPr>
            <w:tcW w:w="1134" w:type="dxa"/>
            <w:shd w:val="clear" w:color="000000" w:fill="D34B07"/>
            <w:noWrap/>
            <w:vAlign w:val="center"/>
            <w:hideMark/>
          </w:tcPr>
          <w:p w:rsidR="007E399B" w:rsidRPr="00F44C4F" w:rsidRDefault="007E399B" w:rsidP="002D1D62">
            <w:pPr>
              <w:spacing w:after="0"/>
              <w:rPr>
                <w:rFonts w:ascii="Tahoma" w:hAnsi="Tahoma" w:cs="Tahoma"/>
                <w:color w:val="000000"/>
                <w:sz w:val="16"/>
                <w:szCs w:val="16"/>
                <w:lang w:eastAsia="fr-FR"/>
              </w:rPr>
            </w:pPr>
            <w:r w:rsidRPr="00F44C4F">
              <w:rPr>
                <w:rFonts w:ascii="Tahoma" w:hAnsi="Tahoma" w:cs="Tahoma"/>
                <w:color w:val="000000"/>
                <w:sz w:val="16"/>
                <w:szCs w:val="16"/>
                <w:lang w:eastAsia="fr-FR"/>
              </w:rPr>
              <w:t>100%</w:t>
            </w:r>
          </w:p>
        </w:tc>
        <w:tc>
          <w:tcPr>
            <w:tcW w:w="1276" w:type="dxa"/>
            <w:shd w:val="clear" w:color="000000" w:fill="D34B07"/>
            <w:noWrap/>
            <w:vAlign w:val="center"/>
            <w:hideMark/>
          </w:tcPr>
          <w:p w:rsidR="007E399B" w:rsidRPr="00F44C4F" w:rsidRDefault="007E399B" w:rsidP="002D1D62">
            <w:pPr>
              <w:spacing w:after="0"/>
              <w:rPr>
                <w:rFonts w:ascii="Tahoma" w:hAnsi="Tahoma" w:cs="Tahoma"/>
                <w:color w:val="000000"/>
                <w:sz w:val="16"/>
                <w:szCs w:val="16"/>
                <w:lang w:eastAsia="fr-FR"/>
              </w:rPr>
            </w:pPr>
            <w:r w:rsidRPr="00F44C4F">
              <w:rPr>
                <w:rFonts w:ascii="Tahoma" w:hAnsi="Tahoma" w:cs="Tahoma"/>
                <w:color w:val="000000"/>
                <w:sz w:val="16"/>
                <w:szCs w:val="16"/>
                <w:lang w:eastAsia="fr-FR"/>
              </w:rPr>
              <w:t>100%</w:t>
            </w:r>
          </w:p>
        </w:tc>
        <w:tc>
          <w:tcPr>
            <w:tcW w:w="1701" w:type="dxa"/>
            <w:shd w:val="clear" w:color="000000" w:fill="F4F46C"/>
            <w:noWrap/>
            <w:vAlign w:val="center"/>
            <w:hideMark/>
          </w:tcPr>
          <w:p w:rsidR="007E399B" w:rsidRPr="00F44C4F" w:rsidRDefault="007E399B" w:rsidP="002D1D62">
            <w:pPr>
              <w:spacing w:after="0"/>
              <w:rPr>
                <w:rFonts w:ascii="Tahoma" w:hAnsi="Tahoma" w:cs="Tahoma"/>
                <w:color w:val="000000"/>
                <w:sz w:val="16"/>
                <w:szCs w:val="16"/>
                <w:lang w:eastAsia="fr-FR"/>
              </w:rPr>
            </w:pPr>
            <w:r w:rsidRPr="00F44C4F">
              <w:rPr>
                <w:rFonts w:ascii="Tahoma" w:hAnsi="Tahoma" w:cs="Tahoma"/>
                <w:color w:val="000000"/>
                <w:sz w:val="16"/>
                <w:szCs w:val="16"/>
                <w:lang w:eastAsia="fr-FR"/>
              </w:rPr>
              <w:t>40%</w:t>
            </w:r>
          </w:p>
        </w:tc>
        <w:tc>
          <w:tcPr>
            <w:tcW w:w="992" w:type="dxa"/>
            <w:shd w:val="clear" w:color="000000" w:fill="FFC000"/>
            <w:noWrap/>
            <w:vAlign w:val="center"/>
            <w:hideMark/>
          </w:tcPr>
          <w:p w:rsidR="007E399B" w:rsidRPr="00F44C4F" w:rsidRDefault="007E399B" w:rsidP="002D1D62">
            <w:pPr>
              <w:spacing w:after="0"/>
              <w:rPr>
                <w:rFonts w:ascii="Tahoma" w:hAnsi="Tahoma" w:cs="Tahoma"/>
                <w:color w:val="000000"/>
                <w:sz w:val="16"/>
                <w:szCs w:val="16"/>
                <w:lang w:eastAsia="fr-FR"/>
              </w:rPr>
            </w:pPr>
            <w:r w:rsidRPr="00F44C4F">
              <w:rPr>
                <w:rFonts w:ascii="Tahoma" w:hAnsi="Tahoma" w:cs="Tahoma"/>
                <w:color w:val="000000"/>
                <w:sz w:val="16"/>
                <w:szCs w:val="16"/>
                <w:lang w:eastAsia="fr-FR"/>
              </w:rPr>
              <w:t>60%</w:t>
            </w:r>
          </w:p>
        </w:tc>
        <w:tc>
          <w:tcPr>
            <w:tcW w:w="851" w:type="dxa"/>
            <w:shd w:val="clear" w:color="000000" w:fill="FFC000"/>
            <w:noWrap/>
            <w:vAlign w:val="center"/>
            <w:hideMark/>
          </w:tcPr>
          <w:p w:rsidR="007E399B" w:rsidRPr="00F44C4F" w:rsidRDefault="007E399B" w:rsidP="002D1D62">
            <w:pPr>
              <w:spacing w:after="0"/>
              <w:rPr>
                <w:rFonts w:ascii="Tahoma" w:hAnsi="Tahoma" w:cs="Tahoma"/>
                <w:color w:val="000000"/>
                <w:sz w:val="16"/>
                <w:szCs w:val="16"/>
                <w:lang w:eastAsia="fr-FR"/>
              </w:rPr>
            </w:pPr>
            <w:r w:rsidRPr="00F44C4F">
              <w:rPr>
                <w:rFonts w:ascii="Tahoma" w:hAnsi="Tahoma" w:cs="Tahoma"/>
                <w:color w:val="000000"/>
                <w:sz w:val="16"/>
                <w:szCs w:val="16"/>
                <w:lang w:eastAsia="fr-FR"/>
              </w:rPr>
              <w:t>70%</w:t>
            </w:r>
          </w:p>
        </w:tc>
      </w:tr>
      <w:tr w:rsidR="007E399B" w:rsidRPr="00F44C4F" w:rsidTr="002D1D62">
        <w:trPr>
          <w:trHeight w:val="269"/>
        </w:trPr>
        <w:tc>
          <w:tcPr>
            <w:tcW w:w="851" w:type="dxa"/>
            <w:vMerge/>
            <w:vAlign w:val="center"/>
            <w:hideMark/>
          </w:tcPr>
          <w:p w:rsidR="007E399B" w:rsidRPr="00F44C4F" w:rsidRDefault="007E399B" w:rsidP="002D1D62">
            <w:pPr>
              <w:spacing w:after="0"/>
              <w:rPr>
                <w:rFonts w:ascii="Tahoma" w:hAnsi="Tahoma" w:cs="Tahoma"/>
                <w:b/>
                <w:bCs/>
                <w:color w:val="000000"/>
                <w:sz w:val="16"/>
                <w:szCs w:val="16"/>
                <w:lang w:eastAsia="fr-FR"/>
              </w:rPr>
            </w:pPr>
          </w:p>
        </w:tc>
        <w:tc>
          <w:tcPr>
            <w:tcW w:w="850" w:type="dxa"/>
            <w:vMerge w:val="restart"/>
            <w:shd w:val="clear" w:color="auto" w:fill="auto"/>
            <w:vAlign w:val="center"/>
            <w:hideMark/>
          </w:tcPr>
          <w:p w:rsidR="007E399B" w:rsidRPr="00F44C4F" w:rsidRDefault="007E399B" w:rsidP="002D1D62">
            <w:pPr>
              <w:spacing w:after="0"/>
              <w:rPr>
                <w:rFonts w:ascii="Tahoma" w:hAnsi="Tahoma" w:cs="Tahoma"/>
                <w:color w:val="000000"/>
                <w:sz w:val="16"/>
                <w:szCs w:val="16"/>
                <w:lang w:eastAsia="fr-FR"/>
              </w:rPr>
            </w:pPr>
            <w:r w:rsidRPr="00F44C4F">
              <w:rPr>
                <w:rFonts w:ascii="Tahoma" w:hAnsi="Tahoma" w:cs="Tahoma"/>
                <w:color w:val="000000"/>
                <w:sz w:val="16"/>
                <w:szCs w:val="16"/>
                <w:lang w:eastAsia="fr-FR"/>
              </w:rPr>
              <w:t>Sidi Yahia Zaeer</w:t>
            </w:r>
          </w:p>
        </w:tc>
        <w:tc>
          <w:tcPr>
            <w:tcW w:w="993" w:type="dxa"/>
            <w:shd w:val="clear" w:color="auto" w:fill="auto"/>
            <w:noWrap/>
            <w:vAlign w:val="center"/>
            <w:hideMark/>
          </w:tcPr>
          <w:p w:rsidR="007E399B" w:rsidRPr="00F44C4F" w:rsidRDefault="007E399B" w:rsidP="002D1D62">
            <w:pPr>
              <w:spacing w:after="0"/>
              <w:rPr>
                <w:rFonts w:ascii="Tahoma" w:hAnsi="Tahoma" w:cs="Tahoma"/>
                <w:color w:val="000000"/>
                <w:sz w:val="16"/>
                <w:szCs w:val="16"/>
                <w:lang w:eastAsia="fr-FR"/>
              </w:rPr>
            </w:pPr>
            <w:r w:rsidRPr="00F44C4F">
              <w:rPr>
                <w:rFonts w:ascii="Tahoma" w:hAnsi="Tahoma" w:cs="Tahoma"/>
                <w:color w:val="000000"/>
                <w:sz w:val="16"/>
                <w:szCs w:val="16"/>
                <w:lang w:eastAsia="fr-FR"/>
              </w:rPr>
              <w:t>Oulad Rgue</w:t>
            </w:r>
          </w:p>
        </w:tc>
        <w:tc>
          <w:tcPr>
            <w:tcW w:w="850" w:type="dxa"/>
            <w:shd w:val="clear" w:color="000000" w:fill="F4F46C"/>
            <w:noWrap/>
            <w:vAlign w:val="center"/>
            <w:hideMark/>
          </w:tcPr>
          <w:p w:rsidR="007E399B" w:rsidRPr="00F44C4F" w:rsidRDefault="007E399B" w:rsidP="002D1D62">
            <w:pPr>
              <w:spacing w:after="0"/>
              <w:rPr>
                <w:rFonts w:ascii="Tahoma" w:hAnsi="Tahoma" w:cs="Tahoma"/>
                <w:color w:val="000000"/>
                <w:sz w:val="16"/>
                <w:szCs w:val="16"/>
                <w:lang w:eastAsia="fr-FR"/>
              </w:rPr>
            </w:pPr>
            <w:r w:rsidRPr="00F44C4F">
              <w:rPr>
                <w:rFonts w:ascii="Tahoma" w:hAnsi="Tahoma" w:cs="Tahoma"/>
                <w:color w:val="000000"/>
                <w:sz w:val="16"/>
                <w:szCs w:val="16"/>
                <w:lang w:eastAsia="fr-FR"/>
              </w:rPr>
              <w:t>0%</w:t>
            </w:r>
          </w:p>
        </w:tc>
        <w:tc>
          <w:tcPr>
            <w:tcW w:w="992" w:type="dxa"/>
            <w:shd w:val="clear" w:color="000000" w:fill="D34B07"/>
            <w:noWrap/>
            <w:vAlign w:val="center"/>
            <w:hideMark/>
          </w:tcPr>
          <w:p w:rsidR="007E399B" w:rsidRPr="00F44C4F" w:rsidRDefault="007E399B" w:rsidP="002D1D62">
            <w:pPr>
              <w:spacing w:after="0"/>
              <w:rPr>
                <w:rFonts w:ascii="Tahoma" w:hAnsi="Tahoma" w:cs="Tahoma"/>
                <w:color w:val="000000"/>
                <w:sz w:val="16"/>
                <w:szCs w:val="16"/>
                <w:lang w:eastAsia="fr-FR"/>
              </w:rPr>
            </w:pPr>
            <w:r w:rsidRPr="00F44C4F">
              <w:rPr>
                <w:rFonts w:ascii="Tahoma" w:hAnsi="Tahoma" w:cs="Tahoma"/>
                <w:color w:val="000000"/>
                <w:sz w:val="16"/>
                <w:szCs w:val="16"/>
                <w:lang w:eastAsia="fr-FR"/>
              </w:rPr>
              <w:t>100%</w:t>
            </w:r>
          </w:p>
        </w:tc>
        <w:tc>
          <w:tcPr>
            <w:tcW w:w="1134" w:type="dxa"/>
            <w:shd w:val="clear" w:color="000000" w:fill="D34B07"/>
            <w:noWrap/>
            <w:vAlign w:val="center"/>
            <w:hideMark/>
          </w:tcPr>
          <w:p w:rsidR="007E399B" w:rsidRPr="00F44C4F" w:rsidRDefault="007E399B" w:rsidP="002D1D62">
            <w:pPr>
              <w:spacing w:after="0"/>
              <w:rPr>
                <w:rFonts w:ascii="Tahoma" w:hAnsi="Tahoma" w:cs="Tahoma"/>
                <w:color w:val="000000"/>
                <w:sz w:val="16"/>
                <w:szCs w:val="16"/>
                <w:lang w:eastAsia="fr-FR"/>
              </w:rPr>
            </w:pPr>
            <w:r w:rsidRPr="00F44C4F">
              <w:rPr>
                <w:rFonts w:ascii="Tahoma" w:hAnsi="Tahoma" w:cs="Tahoma"/>
                <w:color w:val="000000"/>
                <w:sz w:val="16"/>
                <w:szCs w:val="16"/>
                <w:lang w:eastAsia="fr-FR"/>
              </w:rPr>
              <w:t>100%</w:t>
            </w:r>
          </w:p>
        </w:tc>
        <w:tc>
          <w:tcPr>
            <w:tcW w:w="1276" w:type="dxa"/>
            <w:shd w:val="clear" w:color="000000" w:fill="D34B07"/>
            <w:noWrap/>
            <w:vAlign w:val="center"/>
            <w:hideMark/>
          </w:tcPr>
          <w:p w:rsidR="007E399B" w:rsidRPr="00F44C4F" w:rsidRDefault="007E399B" w:rsidP="002D1D62">
            <w:pPr>
              <w:spacing w:after="0"/>
              <w:rPr>
                <w:rFonts w:ascii="Tahoma" w:hAnsi="Tahoma" w:cs="Tahoma"/>
                <w:color w:val="000000"/>
                <w:sz w:val="16"/>
                <w:szCs w:val="16"/>
                <w:lang w:eastAsia="fr-FR"/>
              </w:rPr>
            </w:pPr>
            <w:r w:rsidRPr="00F44C4F">
              <w:rPr>
                <w:rFonts w:ascii="Tahoma" w:hAnsi="Tahoma" w:cs="Tahoma"/>
                <w:color w:val="000000"/>
                <w:sz w:val="16"/>
                <w:szCs w:val="16"/>
                <w:lang w:eastAsia="fr-FR"/>
              </w:rPr>
              <w:t>80%</w:t>
            </w:r>
          </w:p>
        </w:tc>
        <w:tc>
          <w:tcPr>
            <w:tcW w:w="1701" w:type="dxa"/>
            <w:shd w:val="clear" w:color="000000" w:fill="F4F46C"/>
            <w:noWrap/>
            <w:vAlign w:val="center"/>
            <w:hideMark/>
          </w:tcPr>
          <w:p w:rsidR="007E399B" w:rsidRPr="00F44C4F" w:rsidRDefault="007E399B" w:rsidP="002D1D62">
            <w:pPr>
              <w:spacing w:after="0"/>
              <w:rPr>
                <w:rFonts w:ascii="Tahoma" w:hAnsi="Tahoma" w:cs="Tahoma"/>
                <w:color w:val="000000"/>
                <w:sz w:val="16"/>
                <w:szCs w:val="16"/>
                <w:lang w:eastAsia="fr-FR"/>
              </w:rPr>
            </w:pPr>
            <w:r w:rsidRPr="00F44C4F">
              <w:rPr>
                <w:rFonts w:ascii="Tahoma" w:hAnsi="Tahoma" w:cs="Tahoma"/>
                <w:color w:val="000000"/>
                <w:sz w:val="16"/>
                <w:szCs w:val="16"/>
                <w:lang w:eastAsia="fr-FR"/>
              </w:rPr>
              <w:t>40%</w:t>
            </w:r>
          </w:p>
        </w:tc>
        <w:tc>
          <w:tcPr>
            <w:tcW w:w="992" w:type="dxa"/>
            <w:shd w:val="clear" w:color="000000" w:fill="F4F46C"/>
            <w:noWrap/>
            <w:vAlign w:val="center"/>
            <w:hideMark/>
          </w:tcPr>
          <w:p w:rsidR="007E399B" w:rsidRPr="00F44C4F" w:rsidRDefault="007E399B" w:rsidP="002D1D62">
            <w:pPr>
              <w:spacing w:after="0"/>
              <w:rPr>
                <w:rFonts w:ascii="Tahoma" w:hAnsi="Tahoma" w:cs="Tahoma"/>
                <w:color w:val="000000"/>
                <w:sz w:val="16"/>
                <w:szCs w:val="16"/>
                <w:lang w:eastAsia="fr-FR"/>
              </w:rPr>
            </w:pPr>
            <w:r w:rsidRPr="00F44C4F">
              <w:rPr>
                <w:rFonts w:ascii="Tahoma" w:hAnsi="Tahoma" w:cs="Tahoma"/>
                <w:color w:val="000000"/>
                <w:sz w:val="16"/>
                <w:szCs w:val="16"/>
                <w:lang w:eastAsia="fr-FR"/>
              </w:rPr>
              <w:t>0%</w:t>
            </w:r>
          </w:p>
        </w:tc>
        <w:tc>
          <w:tcPr>
            <w:tcW w:w="851" w:type="dxa"/>
            <w:shd w:val="clear" w:color="000000" w:fill="FFC000"/>
            <w:noWrap/>
            <w:vAlign w:val="center"/>
            <w:hideMark/>
          </w:tcPr>
          <w:p w:rsidR="007E399B" w:rsidRPr="00F44C4F" w:rsidRDefault="007E399B" w:rsidP="002D1D62">
            <w:pPr>
              <w:spacing w:after="0"/>
              <w:rPr>
                <w:rFonts w:ascii="Tahoma" w:hAnsi="Tahoma" w:cs="Tahoma"/>
                <w:color w:val="000000"/>
                <w:sz w:val="16"/>
                <w:szCs w:val="16"/>
                <w:lang w:eastAsia="fr-FR"/>
              </w:rPr>
            </w:pPr>
            <w:r w:rsidRPr="00F44C4F">
              <w:rPr>
                <w:rFonts w:ascii="Tahoma" w:hAnsi="Tahoma" w:cs="Tahoma"/>
                <w:color w:val="000000"/>
                <w:sz w:val="16"/>
                <w:szCs w:val="16"/>
                <w:lang w:eastAsia="fr-FR"/>
              </w:rPr>
              <w:t>53%</w:t>
            </w:r>
          </w:p>
        </w:tc>
      </w:tr>
      <w:tr w:rsidR="007E399B" w:rsidRPr="00F44C4F" w:rsidTr="002D1D62">
        <w:trPr>
          <w:trHeight w:val="269"/>
        </w:trPr>
        <w:tc>
          <w:tcPr>
            <w:tcW w:w="851" w:type="dxa"/>
            <w:vMerge/>
            <w:vAlign w:val="center"/>
            <w:hideMark/>
          </w:tcPr>
          <w:p w:rsidR="007E399B" w:rsidRPr="00F44C4F" w:rsidRDefault="007E399B" w:rsidP="002D1D62">
            <w:pPr>
              <w:spacing w:after="0"/>
              <w:rPr>
                <w:rFonts w:ascii="Tahoma" w:hAnsi="Tahoma" w:cs="Tahoma"/>
                <w:b/>
                <w:bCs/>
                <w:color w:val="000000"/>
                <w:sz w:val="16"/>
                <w:szCs w:val="16"/>
                <w:lang w:eastAsia="fr-FR"/>
              </w:rPr>
            </w:pPr>
          </w:p>
        </w:tc>
        <w:tc>
          <w:tcPr>
            <w:tcW w:w="850" w:type="dxa"/>
            <w:vMerge/>
            <w:vAlign w:val="center"/>
            <w:hideMark/>
          </w:tcPr>
          <w:p w:rsidR="007E399B" w:rsidRPr="00F44C4F" w:rsidRDefault="007E399B" w:rsidP="002D1D62">
            <w:pPr>
              <w:spacing w:after="0"/>
              <w:rPr>
                <w:rFonts w:ascii="Tahoma" w:hAnsi="Tahoma" w:cs="Tahoma"/>
                <w:color w:val="000000"/>
                <w:sz w:val="16"/>
                <w:szCs w:val="16"/>
                <w:lang w:eastAsia="fr-FR"/>
              </w:rPr>
            </w:pPr>
          </w:p>
        </w:tc>
        <w:tc>
          <w:tcPr>
            <w:tcW w:w="993" w:type="dxa"/>
            <w:shd w:val="clear" w:color="auto" w:fill="auto"/>
            <w:noWrap/>
            <w:vAlign w:val="center"/>
            <w:hideMark/>
          </w:tcPr>
          <w:p w:rsidR="007E399B" w:rsidRPr="00F44C4F" w:rsidRDefault="007E399B" w:rsidP="002D1D62">
            <w:pPr>
              <w:spacing w:after="0"/>
              <w:rPr>
                <w:rFonts w:ascii="Tahoma" w:hAnsi="Tahoma" w:cs="Tahoma"/>
                <w:color w:val="000000"/>
                <w:sz w:val="16"/>
                <w:szCs w:val="16"/>
                <w:lang w:eastAsia="fr-FR"/>
              </w:rPr>
            </w:pPr>
            <w:r w:rsidRPr="00F44C4F">
              <w:rPr>
                <w:rFonts w:ascii="Tahoma" w:hAnsi="Tahoma" w:cs="Tahoma"/>
                <w:color w:val="000000"/>
                <w:sz w:val="16"/>
                <w:szCs w:val="16"/>
                <w:lang w:eastAsia="fr-FR"/>
              </w:rPr>
              <w:t>Oulad Saada</w:t>
            </w:r>
          </w:p>
        </w:tc>
        <w:tc>
          <w:tcPr>
            <w:tcW w:w="850" w:type="dxa"/>
            <w:shd w:val="clear" w:color="000000" w:fill="F4F46C"/>
            <w:noWrap/>
            <w:vAlign w:val="center"/>
            <w:hideMark/>
          </w:tcPr>
          <w:p w:rsidR="007E399B" w:rsidRPr="00F44C4F" w:rsidRDefault="007E399B" w:rsidP="002D1D62">
            <w:pPr>
              <w:spacing w:after="0"/>
              <w:rPr>
                <w:rFonts w:ascii="Tahoma" w:hAnsi="Tahoma" w:cs="Tahoma"/>
                <w:color w:val="000000"/>
                <w:sz w:val="16"/>
                <w:szCs w:val="16"/>
                <w:lang w:eastAsia="fr-FR"/>
              </w:rPr>
            </w:pPr>
            <w:r w:rsidRPr="00F44C4F">
              <w:rPr>
                <w:rFonts w:ascii="Tahoma" w:hAnsi="Tahoma" w:cs="Tahoma"/>
                <w:color w:val="000000"/>
                <w:sz w:val="16"/>
                <w:szCs w:val="16"/>
                <w:lang w:eastAsia="fr-FR"/>
              </w:rPr>
              <w:t>0%</w:t>
            </w:r>
          </w:p>
        </w:tc>
        <w:tc>
          <w:tcPr>
            <w:tcW w:w="992" w:type="dxa"/>
            <w:shd w:val="clear" w:color="000000" w:fill="F4F46C"/>
            <w:noWrap/>
            <w:vAlign w:val="center"/>
            <w:hideMark/>
          </w:tcPr>
          <w:p w:rsidR="007E399B" w:rsidRPr="00F44C4F" w:rsidRDefault="007E399B" w:rsidP="002D1D62">
            <w:pPr>
              <w:spacing w:after="0"/>
              <w:rPr>
                <w:rFonts w:ascii="Tahoma" w:hAnsi="Tahoma" w:cs="Tahoma"/>
                <w:color w:val="000000"/>
                <w:sz w:val="16"/>
                <w:szCs w:val="16"/>
                <w:lang w:eastAsia="fr-FR"/>
              </w:rPr>
            </w:pPr>
            <w:r w:rsidRPr="00F44C4F">
              <w:rPr>
                <w:rFonts w:ascii="Tahoma" w:hAnsi="Tahoma" w:cs="Tahoma"/>
                <w:color w:val="000000"/>
                <w:sz w:val="16"/>
                <w:szCs w:val="16"/>
                <w:lang w:eastAsia="fr-FR"/>
              </w:rPr>
              <w:t>40%</w:t>
            </w:r>
          </w:p>
        </w:tc>
        <w:tc>
          <w:tcPr>
            <w:tcW w:w="1134" w:type="dxa"/>
            <w:shd w:val="clear" w:color="000000" w:fill="D34B07"/>
            <w:noWrap/>
            <w:vAlign w:val="center"/>
            <w:hideMark/>
          </w:tcPr>
          <w:p w:rsidR="007E399B" w:rsidRPr="00F44C4F" w:rsidRDefault="007E399B" w:rsidP="002D1D62">
            <w:pPr>
              <w:spacing w:after="0"/>
              <w:rPr>
                <w:rFonts w:ascii="Tahoma" w:hAnsi="Tahoma" w:cs="Tahoma"/>
                <w:color w:val="000000"/>
                <w:sz w:val="16"/>
                <w:szCs w:val="16"/>
                <w:lang w:eastAsia="fr-FR"/>
              </w:rPr>
            </w:pPr>
            <w:r w:rsidRPr="00F44C4F">
              <w:rPr>
                <w:rFonts w:ascii="Tahoma" w:hAnsi="Tahoma" w:cs="Tahoma"/>
                <w:color w:val="000000"/>
                <w:sz w:val="16"/>
                <w:szCs w:val="16"/>
                <w:lang w:eastAsia="fr-FR"/>
              </w:rPr>
              <w:t>100%</w:t>
            </w:r>
          </w:p>
        </w:tc>
        <w:tc>
          <w:tcPr>
            <w:tcW w:w="1276" w:type="dxa"/>
            <w:shd w:val="clear" w:color="000000" w:fill="FFC000"/>
            <w:noWrap/>
            <w:vAlign w:val="center"/>
            <w:hideMark/>
          </w:tcPr>
          <w:p w:rsidR="007E399B" w:rsidRPr="00F44C4F" w:rsidRDefault="007E399B" w:rsidP="002D1D62">
            <w:pPr>
              <w:spacing w:after="0"/>
              <w:rPr>
                <w:rFonts w:ascii="Tahoma" w:hAnsi="Tahoma" w:cs="Tahoma"/>
                <w:color w:val="000000"/>
                <w:sz w:val="16"/>
                <w:szCs w:val="16"/>
                <w:lang w:eastAsia="fr-FR"/>
              </w:rPr>
            </w:pPr>
            <w:r w:rsidRPr="00F44C4F">
              <w:rPr>
                <w:rFonts w:ascii="Tahoma" w:hAnsi="Tahoma" w:cs="Tahoma"/>
                <w:color w:val="000000"/>
                <w:sz w:val="16"/>
                <w:szCs w:val="16"/>
                <w:lang w:eastAsia="fr-FR"/>
              </w:rPr>
              <w:t>60%</w:t>
            </w:r>
          </w:p>
        </w:tc>
        <w:tc>
          <w:tcPr>
            <w:tcW w:w="1701" w:type="dxa"/>
            <w:shd w:val="clear" w:color="000000" w:fill="F4F46C"/>
            <w:noWrap/>
            <w:vAlign w:val="center"/>
            <w:hideMark/>
          </w:tcPr>
          <w:p w:rsidR="007E399B" w:rsidRPr="00F44C4F" w:rsidRDefault="007E399B" w:rsidP="002D1D62">
            <w:pPr>
              <w:spacing w:after="0"/>
              <w:rPr>
                <w:rFonts w:ascii="Tahoma" w:hAnsi="Tahoma" w:cs="Tahoma"/>
                <w:color w:val="000000"/>
                <w:sz w:val="16"/>
                <w:szCs w:val="16"/>
                <w:lang w:eastAsia="fr-FR"/>
              </w:rPr>
            </w:pPr>
            <w:r w:rsidRPr="00F44C4F">
              <w:rPr>
                <w:rFonts w:ascii="Tahoma" w:hAnsi="Tahoma" w:cs="Tahoma"/>
                <w:color w:val="000000"/>
                <w:sz w:val="16"/>
                <w:szCs w:val="16"/>
                <w:lang w:eastAsia="fr-FR"/>
              </w:rPr>
              <w:t>40%</w:t>
            </w:r>
          </w:p>
        </w:tc>
        <w:tc>
          <w:tcPr>
            <w:tcW w:w="992" w:type="dxa"/>
            <w:shd w:val="clear" w:color="000000" w:fill="F4F46C"/>
            <w:noWrap/>
            <w:vAlign w:val="center"/>
            <w:hideMark/>
          </w:tcPr>
          <w:p w:rsidR="007E399B" w:rsidRPr="00F44C4F" w:rsidRDefault="007E399B" w:rsidP="002D1D62">
            <w:pPr>
              <w:spacing w:after="0"/>
              <w:rPr>
                <w:rFonts w:ascii="Tahoma" w:hAnsi="Tahoma" w:cs="Tahoma"/>
                <w:color w:val="000000"/>
                <w:sz w:val="16"/>
                <w:szCs w:val="16"/>
                <w:lang w:eastAsia="fr-FR"/>
              </w:rPr>
            </w:pPr>
            <w:r w:rsidRPr="00F44C4F">
              <w:rPr>
                <w:rFonts w:ascii="Tahoma" w:hAnsi="Tahoma" w:cs="Tahoma"/>
                <w:color w:val="000000"/>
                <w:sz w:val="16"/>
                <w:szCs w:val="16"/>
                <w:lang w:eastAsia="fr-FR"/>
              </w:rPr>
              <w:t>20%</w:t>
            </w:r>
          </w:p>
        </w:tc>
        <w:tc>
          <w:tcPr>
            <w:tcW w:w="851" w:type="dxa"/>
            <w:shd w:val="clear" w:color="000000" w:fill="F4F46C"/>
            <w:noWrap/>
            <w:vAlign w:val="center"/>
            <w:hideMark/>
          </w:tcPr>
          <w:p w:rsidR="007E399B" w:rsidRPr="00F44C4F" w:rsidRDefault="007E399B" w:rsidP="002D1D62">
            <w:pPr>
              <w:spacing w:after="0"/>
              <w:rPr>
                <w:rFonts w:ascii="Tahoma" w:hAnsi="Tahoma" w:cs="Tahoma"/>
                <w:color w:val="000000"/>
                <w:sz w:val="16"/>
                <w:szCs w:val="16"/>
                <w:lang w:eastAsia="fr-FR"/>
              </w:rPr>
            </w:pPr>
            <w:r w:rsidRPr="00F44C4F">
              <w:rPr>
                <w:rFonts w:ascii="Tahoma" w:hAnsi="Tahoma" w:cs="Tahoma"/>
                <w:color w:val="000000"/>
                <w:sz w:val="16"/>
                <w:szCs w:val="16"/>
                <w:lang w:eastAsia="fr-FR"/>
              </w:rPr>
              <w:t>43%</w:t>
            </w:r>
          </w:p>
        </w:tc>
      </w:tr>
      <w:tr w:rsidR="007E399B" w:rsidRPr="00F44C4F" w:rsidTr="002D1D62">
        <w:trPr>
          <w:trHeight w:val="269"/>
        </w:trPr>
        <w:tc>
          <w:tcPr>
            <w:tcW w:w="851" w:type="dxa"/>
            <w:vMerge/>
            <w:vAlign w:val="center"/>
            <w:hideMark/>
          </w:tcPr>
          <w:p w:rsidR="007E399B" w:rsidRPr="00F44C4F" w:rsidRDefault="007E399B" w:rsidP="002D1D62">
            <w:pPr>
              <w:spacing w:after="0"/>
              <w:rPr>
                <w:rFonts w:ascii="Tahoma" w:hAnsi="Tahoma" w:cs="Tahoma"/>
                <w:b/>
                <w:bCs/>
                <w:color w:val="000000"/>
                <w:sz w:val="16"/>
                <w:szCs w:val="16"/>
                <w:lang w:eastAsia="fr-FR"/>
              </w:rPr>
            </w:pPr>
          </w:p>
        </w:tc>
        <w:tc>
          <w:tcPr>
            <w:tcW w:w="850" w:type="dxa"/>
            <w:vMerge/>
            <w:vAlign w:val="center"/>
            <w:hideMark/>
          </w:tcPr>
          <w:p w:rsidR="007E399B" w:rsidRPr="00F44C4F" w:rsidRDefault="007E399B" w:rsidP="002D1D62">
            <w:pPr>
              <w:spacing w:after="0"/>
              <w:rPr>
                <w:rFonts w:ascii="Tahoma" w:hAnsi="Tahoma" w:cs="Tahoma"/>
                <w:color w:val="000000"/>
                <w:sz w:val="16"/>
                <w:szCs w:val="16"/>
                <w:lang w:eastAsia="fr-FR"/>
              </w:rPr>
            </w:pPr>
          </w:p>
        </w:tc>
        <w:tc>
          <w:tcPr>
            <w:tcW w:w="993" w:type="dxa"/>
            <w:shd w:val="clear" w:color="auto" w:fill="auto"/>
            <w:noWrap/>
            <w:vAlign w:val="center"/>
            <w:hideMark/>
          </w:tcPr>
          <w:p w:rsidR="007E399B" w:rsidRPr="00F44C4F" w:rsidRDefault="007E399B" w:rsidP="002D1D62">
            <w:pPr>
              <w:spacing w:after="0"/>
              <w:rPr>
                <w:rFonts w:ascii="Tahoma" w:hAnsi="Tahoma" w:cs="Tahoma"/>
                <w:color w:val="000000"/>
                <w:sz w:val="16"/>
                <w:szCs w:val="16"/>
                <w:lang w:eastAsia="fr-FR"/>
              </w:rPr>
            </w:pPr>
            <w:r w:rsidRPr="00F44C4F">
              <w:rPr>
                <w:rFonts w:ascii="Tahoma" w:hAnsi="Tahoma" w:cs="Tahoma"/>
                <w:color w:val="000000"/>
                <w:sz w:val="16"/>
                <w:szCs w:val="16"/>
                <w:lang w:eastAsia="fr-FR"/>
              </w:rPr>
              <w:t>Oulad Dlim</w:t>
            </w:r>
          </w:p>
        </w:tc>
        <w:tc>
          <w:tcPr>
            <w:tcW w:w="850" w:type="dxa"/>
            <w:shd w:val="clear" w:color="000000" w:fill="F4F46C"/>
            <w:noWrap/>
            <w:vAlign w:val="center"/>
            <w:hideMark/>
          </w:tcPr>
          <w:p w:rsidR="007E399B" w:rsidRPr="00F44C4F" w:rsidRDefault="007E399B" w:rsidP="002D1D62">
            <w:pPr>
              <w:spacing w:after="0"/>
              <w:rPr>
                <w:rFonts w:ascii="Tahoma" w:hAnsi="Tahoma" w:cs="Tahoma"/>
                <w:color w:val="000000"/>
                <w:sz w:val="16"/>
                <w:szCs w:val="16"/>
                <w:lang w:eastAsia="fr-FR"/>
              </w:rPr>
            </w:pPr>
            <w:r w:rsidRPr="00F44C4F">
              <w:rPr>
                <w:rFonts w:ascii="Tahoma" w:hAnsi="Tahoma" w:cs="Tahoma"/>
                <w:color w:val="000000"/>
                <w:sz w:val="16"/>
                <w:szCs w:val="16"/>
                <w:lang w:eastAsia="fr-FR"/>
              </w:rPr>
              <w:t>0%</w:t>
            </w:r>
          </w:p>
        </w:tc>
        <w:tc>
          <w:tcPr>
            <w:tcW w:w="992" w:type="dxa"/>
            <w:shd w:val="clear" w:color="000000" w:fill="D34B07"/>
            <w:noWrap/>
            <w:vAlign w:val="center"/>
            <w:hideMark/>
          </w:tcPr>
          <w:p w:rsidR="007E399B" w:rsidRPr="00F44C4F" w:rsidRDefault="007E399B" w:rsidP="002D1D62">
            <w:pPr>
              <w:spacing w:after="0"/>
              <w:rPr>
                <w:rFonts w:ascii="Tahoma" w:hAnsi="Tahoma" w:cs="Tahoma"/>
                <w:color w:val="000000"/>
                <w:sz w:val="16"/>
                <w:szCs w:val="16"/>
                <w:lang w:eastAsia="fr-FR"/>
              </w:rPr>
            </w:pPr>
            <w:r w:rsidRPr="00F44C4F">
              <w:rPr>
                <w:rFonts w:ascii="Tahoma" w:hAnsi="Tahoma" w:cs="Tahoma"/>
                <w:color w:val="000000"/>
                <w:sz w:val="16"/>
                <w:szCs w:val="16"/>
                <w:lang w:eastAsia="fr-FR"/>
              </w:rPr>
              <w:t>100%</w:t>
            </w:r>
          </w:p>
        </w:tc>
        <w:tc>
          <w:tcPr>
            <w:tcW w:w="1134" w:type="dxa"/>
            <w:shd w:val="clear" w:color="000000" w:fill="D34B07"/>
            <w:noWrap/>
            <w:vAlign w:val="center"/>
            <w:hideMark/>
          </w:tcPr>
          <w:p w:rsidR="007E399B" w:rsidRPr="00F44C4F" w:rsidRDefault="007E399B" w:rsidP="002D1D62">
            <w:pPr>
              <w:spacing w:after="0"/>
              <w:rPr>
                <w:rFonts w:ascii="Tahoma" w:hAnsi="Tahoma" w:cs="Tahoma"/>
                <w:color w:val="000000"/>
                <w:sz w:val="16"/>
                <w:szCs w:val="16"/>
                <w:lang w:eastAsia="fr-FR"/>
              </w:rPr>
            </w:pPr>
            <w:r w:rsidRPr="00F44C4F">
              <w:rPr>
                <w:rFonts w:ascii="Tahoma" w:hAnsi="Tahoma" w:cs="Tahoma"/>
                <w:color w:val="000000"/>
                <w:sz w:val="16"/>
                <w:szCs w:val="16"/>
                <w:lang w:eastAsia="fr-FR"/>
              </w:rPr>
              <w:t>100%</w:t>
            </w:r>
          </w:p>
        </w:tc>
        <w:tc>
          <w:tcPr>
            <w:tcW w:w="1276" w:type="dxa"/>
            <w:shd w:val="clear" w:color="000000" w:fill="D34B07"/>
            <w:noWrap/>
            <w:vAlign w:val="center"/>
            <w:hideMark/>
          </w:tcPr>
          <w:p w:rsidR="007E399B" w:rsidRPr="00F44C4F" w:rsidRDefault="007E399B" w:rsidP="002D1D62">
            <w:pPr>
              <w:spacing w:after="0"/>
              <w:rPr>
                <w:rFonts w:ascii="Tahoma" w:hAnsi="Tahoma" w:cs="Tahoma"/>
                <w:color w:val="000000"/>
                <w:sz w:val="16"/>
                <w:szCs w:val="16"/>
                <w:lang w:eastAsia="fr-FR"/>
              </w:rPr>
            </w:pPr>
            <w:r w:rsidRPr="00F44C4F">
              <w:rPr>
                <w:rFonts w:ascii="Tahoma" w:hAnsi="Tahoma" w:cs="Tahoma"/>
                <w:color w:val="000000"/>
                <w:sz w:val="16"/>
                <w:szCs w:val="16"/>
                <w:lang w:eastAsia="fr-FR"/>
              </w:rPr>
              <w:t>80%</w:t>
            </w:r>
          </w:p>
        </w:tc>
        <w:tc>
          <w:tcPr>
            <w:tcW w:w="1701" w:type="dxa"/>
            <w:shd w:val="clear" w:color="000000" w:fill="F4F46C"/>
            <w:noWrap/>
            <w:vAlign w:val="center"/>
            <w:hideMark/>
          </w:tcPr>
          <w:p w:rsidR="007E399B" w:rsidRPr="00F44C4F" w:rsidRDefault="007E399B" w:rsidP="002D1D62">
            <w:pPr>
              <w:spacing w:after="0"/>
              <w:rPr>
                <w:rFonts w:ascii="Tahoma" w:hAnsi="Tahoma" w:cs="Tahoma"/>
                <w:color w:val="000000"/>
                <w:sz w:val="16"/>
                <w:szCs w:val="16"/>
                <w:lang w:eastAsia="fr-FR"/>
              </w:rPr>
            </w:pPr>
            <w:r w:rsidRPr="00F44C4F">
              <w:rPr>
                <w:rFonts w:ascii="Tahoma" w:hAnsi="Tahoma" w:cs="Tahoma"/>
                <w:color w:val="000000"/>
                <w:sz w:val="16"/>
                <w:szCs w:val="16"/>
                <w:lang w:eastAsia="fr-FR"/>
              </w:rPr>
              <w:t>40%</w:t>
            </w:r>
          </w:p>
        </w:tc>
        <w:tc>
          <w:tcPr>
            <w:tcW w:w="992" w:type="dxa"/>
            <w:shd w:val="clear" w:color="000000" w:fill="F4F46C"/>
            <w:noWrap/>
            <w:vAlign w:val="center"/>
            <w:hideMark/>
          </w:tcPr>
          <w:p w:rsidR="007E399B" w:rsidRPr="00F44C4F" w:rsidRDefault="007E399B" w:rsidP="002D1D62">
            <w:pPr>
              <w:spacing w:after="0"/>
              <w:rPr>
                <w:rFonts w:ascii="Tahoma" w:hAnsi="Tahoma" w:cs="Tahoma"/>
                <w:color w:val="000000"/>
                <w:sz w:val="16"/>
                <w:szCs w:val="16"/>
                <w:lang w:eastAsia="fr-FR"/>
              </w:rPr>
            </w:pPr>
            <w:r w:rsidRPr="00F44C4F">
              <w:rPr>
                <w:rFonts w:ascii="Tahoma" w:hAnsi="Tahoma" w:cs="Tahoma"/>
                <w:color w:val="000000"/>
                <w:sz w:val="16"/>
                <w:szCs w:val="16"/>
                <w:lang w:eastAsia="fr-FR"/>
              </w:rPr>
              <w:t>20%</w:t>
            </w:r>
          </w:p>
        </w:tc>
        <w:tc>
          <w:tcPr>
            <w:tcW w:w="851" w:type="dxa"/>
            <w:shd w:val="clear" w:color="000000" w:fill="FFC000"/>
            <w:noWrap/>
            <w:vAlign w:val="center"/>
            <w:hideMark/>
          </w:tcPr>
          <w:p w:rsidR="007E399B" w:rsidRPr="00F44C4F" w:rsidRDefault="007E399B" w:rsidP="002D1D62">
            <w:pPr>
              <w:spacing w:after="0"/>
              <w:rPr>
                <w:rFonts w:ascii="Tahoma" w:hAnsi="Tahoma" w:cs="Tahoma"/>
                <w:color w:val="000000"/>
                <w:sz w:val="16"/>
                <w:szCs w:val="16"/>
                <w:lang w:eastAsia="fr-FR"/>
              </w:rPr>
            </w:pPr>
            <w:r w:rsidRPr="00F44C4F">
              <w:rPr>
                <w:rFonts w:ascii="Tahoma" w:hAnsi="Tahoma" w:cs="Tahoma"/>
                <w:color w:val="000000"/>
                <w:sz w:val="16"/>
                <w:szCs w:val="16"/>
                <w:lang w:eastAsia="fr-FR"/>
              </w:rPr>
              <w:t>57%</w:t>
            </w:r>
          </w:p>
        </w:tc>
      </w:tr>
      <w:tr w:rsidR="007E399B" w:rsidRPr="00F44C4F" w:rsidTr="002D1D62">
        <w:trPr>
          <w:trHeight w:val="269"/>
        </w:trPr>
        <w:tc>
          <w:tcPr>
            <w:tcW w:w="851" w:type="dxa"/>
            <w:vMerge/>
            <w:vAlign w:val="center"/>
            <w:hideMark/>
          </w:tcPr>
          <w:p w:rsidR="007E399B" w:rsidRPr="00F44C4F" w:rsidRDefault="007E399B" w:rsidP="002D1D62">
            <w:pPr>
              <w:spacing w:after="0"/>
              <w:rPr>
                <w:rFonts w:ascii="Tahoma" w:hAnsi="Tahoma" w:cs="Tahoma"/>
                <w:b/>
                <w:bCs/>
                <w:color w:val="000000"/>
                <w:sz w:val="16"/>
                <w:szCs w:val="16"/>
                <w:lang w:eastAsia="fr-FR"/>
              </w:rPr>
            </w:pPr>
          </w:p>
        </w:tc>
        <w:tc>
          <w:tcPr>
            <w:tcW w:w="850" w:type="dxa"/>
            <w:vMerge/>
            <w:vAlign w:val="center"/>
            <w:hideMark/>
          </w:tcPr>
          <w:p w:rsidR="007E399B" w:rsidRPr="00F44C4F" w:rsidRDefault="007E399B" w:rsidP="002D1D62">
            <w:pPr>
              <w:spacing w:after="0"/>
              <w:rPr>
                <w:rFonts w:ascii="Tahoma" w:hAnsi="Tahoma" w:cs="Tahoma"/>
                <w:color w:val="000000"/>
                <w:sz w:val="16"/>
                <w:szCs w:val="16"/>
                <w:lang w:eastAsia="fr-FR"/>
              </w:rPr>
            </w:pPr>
          </w:p>
        </w:tc>
        <w:tc>
          <w:tcPr>
            <w:tcW w:w="993" w:type="dxa"/>
            <w:shd w:val="clear" w:color="auto" w:fill="auto"/>
            <w:noWrap/>
            <w:vAlign w:val="center"/>
            <w:hideMark/>
          </w:tcPr>
          <w:p w:rsidR="007E399B" w:rsidRPr="00F44C4F" w:rsidRDefault="007E399B" w:rsidP="002D1D62">
            <w:pPr>
              <w:spacing w:after="0"/>
              <w:rPr>
                <w:rFonts w:ascii="Tahoma" w:hAnsi="Tahoma" w:cs="Tahoma"/>
                <w:color w:val="000000"/>
                <w:sz w:val="16"/>
                <w:szCs w:val="16"/>
                <w:lang w:eastAsia="fr-FR"/>
              </w:rPr>
            </w:pPr>
            <w:r w:rsidRPr="00F44C4F">
              <w:rPr>
                <w:rFonts w:ascii="Tahoma" w:hAnsi="Tahoma" w:cs="Tahoma"/>
                <w:color w:val="000000"/>
                <w:sz w:val="16"/>
                <w:szCs w:val="16"/>
                <w:lang w:eastAsia="fr-FR"/>
              </w:rPr>
              <w:t>Oulad Daoud</w:t>
            </w:r>
          </w:p>
        </w:tc>
        <w:tc>
          <w:tcPr>
            <w:tcW w:w="850" w:type="dxa"/>
            <w:shd w:val="clear" w:color="000000" w:fill="F4F46C"/>
            <w:noWrap/>
            <w:vAlign w:val="center"/>
            <w:hideMark/>
          </w:tcPr>
          <w:p w:rsidR="007E399B" w:rsidRPr="00F44C4F" w:rsidRDefault="007E399B" w:rsidP="002D1D62">
            <w:pPr>
              <w:spacing w:after="0"/>
              <w:rPr>
                <w:rFonts w:ascii="Tahoma" w:hAnsi="Tahoma" w:cs="Tahoma"/>
                <w:color w:val="000000"/>
                <w:sz w:val="16"/>
                <w:szCs w:val="16"/>
                <w:lang w:eastAsia="fr-FR"/>
              </w:rPr>
            </w:pPr>
            <w:r w:rsidRPr="00F44C4F">
              <w:rPr>
                <w:rFonts w:ascii="Tahoma" w:hAnsi="Tahoma" w:cs="Tahoma"/>
                <w:color w:val="000000"/>
                <w:sz w:val="16"/>
                <w:szCs w:val="16"/>
                <w:lang w:eastAsia="fr-FR"/>
              </w:rPr>
              <w:t>40%</w:t>
            </w:r>
          </w:p>
        </w:tc>
        <w:tc>
          <w:tcPr>
            <w:tcW w:w="992" w:type="dxa"/>
            <w:shd w:val="clear" w:color="000000" w:fill="D34B07"/>
            <w:noWrap/>
            <w:vAlign w:val="center"/>
            <w:hideMark/>
          </w:tcPr>
          <w:p w:rsidR="007E399B" w:rsidRPr="00F44C4F" w:rsidRDefault="007E399B" w:rsidP="002D1D62">
            <w:pPr>
              <w:spacing w:after="0"/>
              <w:rPr>
                <w:rFonts w:ascii="Tahoma" w:hAnsi="Tahoma" w:cs="Tahoma"/>
                <w:color w:val="000000"/>
                <w:sz w:val="16"/>
                <w:szCs w:val="16"/>
                <w:lang w:eastAsia="fr-FR"/>
              </w:rPr>
            </w:pPr>
            <w:r w:rsidRPr="00F44C4F">
              <w:rPr>
                <w:rFonts w:ascii="Tahoma" w:hAnsi="Tahoma" w:cs="Tahoma"/>
                <w:color w:val="000000"/>
                <w:sz w:val="16"/>
                <w:szCs w:val="16"/>
                <w:lang w:eastAsia="fr-FR"/>
              </w:rPr>
              <w:t>100%</w:t>
            </w:r>
          </w:p>
        </w:tc>
        <w:tc>
          <w:tcPr>
            <w:tcW w:w="1134" w:type="dxa"/>
            <w:shd w:val="clear" w:color="000000" w:fill="D34B07"/>
            <w:noWrap/>
            <w:vAlign w:val="center"/>
            <w:hideMark/>
          </w:tcPr>
          <w:p w:rsidR="007E399B" w:rsidRPr="00F44C4F" w:rsidRDefault="007E399B" w:rsidP="002D1D62">
            <w:pPr>
              <w:spacing w:after="0"/>
              <w:rPr>
                <w:rFonts w:ascii="Tahoma" w:hAnsi="Tahoma" w:cs="Tahoma"/>
                <w:color w:val="000000"/>
                <w:sz w:val="16"/>
                <w:szCs w:val="16"/>
                <w:lang w:eastAsia="fr-FR"/>
              </w:rPr>
            </w:pPr>
            <w:r w:rsidRPr="00F44C4F">
              <w:rPr>
                <w:rFonts w:ascii="Tahoma" w:hAnsi="Tahoma" w:cs="Tahoma"/>
                <w:color w:val="000000"/>
                <w:sz w:val="16"/>
                <w:szCs w:val="16"/>
                <w:lang w:eastAsia="fr-FR"/>
              </w:rPr>
              <w:t>100%</w:t>
            </w:r>
          </w:p>
        </w:tc>
        <w:tc>
          <w:tcPr>
            <w:tcW w:w="1276" w:type="dxa"/>
            <w:shd w:val="clear" w:color="000000" w:fill="D34B07"/>
            <w:noWrap/>
            <w:vAlign w:val="center"/>
            <w:hideMark/>
          </w:tcPr>
          <w:p w:rsidR="007E399B" w:rsidRPr="00F44C4F" w:rsidRDefault="007E399B" w:rsidP="002D1D62">
            <w:pPr>
              <w:spacing w:after="0"/>
              <w:rPr>
                <w:rFonts w:ascii="Tahoma" w:hAnsi="Tahoma" w:cs="Tahoma"/>
                <w:color w:val="000000"/>
                <w:sz w:val="16"/>
                <w:szCs w:val="16"/>
                <w:lang w:eastAsia="fr-FR"/>
              </w:rPr>
            </w:pPr>
            <w:r w:rsidRPr="00F44C4F">
              <w:rPr>
                <w:rFonts w:ascii="Tahoma" w:hAnsi="Tahoma" w:cs="Tahoma"/>
                <w:color w:val="000000"/>
                <w:sz w:val="16"/>
                <w:szCs w:val="16"/>
                <w:lang w:eastAsia="fr-FR"/>
              </w:rPr>
              <w:t>100%</w:t>
            </w:r>
          </w:p>
        </w:tc>
        <w:tc>
          <w:tcPr>
            <w:tcW w:w="1701" w:type="dxa"/>
            <w:shd w:val="clear" w:color="000000" w:fill="F4F46C"/>
            <w:noWrap/>
            <w:vAlign w:val="center"/>
            <w:hideMark/>
          </w:tcPr>
          <w:p w:rsidR="007E399B" w:rsidRPr="00F44C4F" w:rsidRDefault="007E399B" w:rsidP="002D1D62">
            <w:pPr>
              <w:spacing w:after="0"/>
              <w:rPr>
                <w:rFonts w:ascii="Tahoma" w:hAnsi="Tahoma" w:cs="Tahoma"/>
                <w:color w:val="000000"/>
                <w:sz w:val="16"/>
                <w:szCs w:val="16"/>
                <w:lang w:eastAsia="fr-FR"/>
              </w:rPr>
            </w:pPr>
            <w:r w:rsidRPr="00F44C4F">
              <w:rPr>
                <w:rFonts w:ascii="Tahoma" w:hAnsi="Tahoma" w:cs="Tahoma"/>
                <w:color w:val="000000"/>
                <w:sz w:val="16"/>
                <w:szCs w:val="16"/>
                <w:lang w:eastAsia="fr-FR"/>
              </w:rPr>
              <w:t>20%</w:t>
            </w:r>
          </w:p>
        </w:tc>
        <w:tc>
          <w:tcPr>
            <w:tcW w:w="992" w:type="dxa"/>
            <w:shd w:val="clear" w:color="000000" w:fill="F4F46C"/>
            <w:noWrap/>
            <w:vAlign w:val="center"/>
            <w:hideMark/>
          </w:tcPr>
          <w:p w:rsidR="007E399B" w:rsidRPr="00F44C4F" w:rsidRDefault="007E399B" w:rsidP="002D1D62">
            <w:pPr>
              <w:spacing w:after="0"/>
              <w:rPr>
                <w:rFonts w:ascii="Tahoma" w:hAnsi="Tahoma" w:cs="Tahoma"/>
                <w:color w:val="000000"/>
                <w:sz w:val="16"/>
                <w:szCs w:val="16"/>
                <w:lang w:eastAsia="fr-FR"/>
              </w:rPr>
            </w:pPr>
            <w:r w:rsidRPr="00F44C4F">
              <w:rPr>
                <w:rFonts w:ascii="Tahoma" w:hAnsi="Tahoma" w:cs="Tahoma"/>
                <w:color w:val="000000"/>
                <w:sz w:val="16"/>
                <w:szCs w:val="16"/>
                <w:lang w:eastAsia="fr-FR"/>
              </w:rPr>
              <w:t>40%</w:t>
            </w:r>
          </w:p>
        </w:tc>
        <w:tc>
          <w:tcPr>
            <w:tcW w:w="851" w:type="dxa"/>
            <w:shd w:val="clear" w:color="000000" w:fill="FFC000"/>
            <w:noWrap/>
            <w:vAlign w:val="center"/>
            <w:hideMark/>
          </w:tcPr>
          <w:p w:rsidR="007E399B" w:rsidRPr="00F44C4F" w:rsidRDefault="007E399B" w:rsidP="002D1D62">
            <w:pPr>
              <w:spacing w:after="0"/>
              <w:rPr>
                <w:rFonts w:ascii="Tahoma" w:hAnsi="Tahoma" w:cs="Tahoma"/>
                <w:color w:val="000000"/>
                <w:sz w:val="16"/>
                <w:szCs w:val="16"/>
                <w:lang w:eastAsia="fr-FR"/>
              </w:rPr>
            </w:pPr>
            <w:r w:rsidRPr="00F44C4F">
              <w:rPr>
                <w:rFonts w:ascii="Tahoma" w:hAnsi="Tahoma" w:cs="Tahoma"/>
                <w:color w:val="000000"/>
                <w:sz w:val="16"/>
                <w:szCs w:val="16"/>
                <w:lang w:eastAsia="fr-FR"/>
              </w:rPr>
              <w:t>67%</w:t>
            </w:r>
          </w:p>
        </w:tc>
      </w:tr>
      <w:tr w:rsidR="007E399B" w:rsidRPr="00F44C4F" w:rsidTr="002D1D62">
        <w:trPr>
          <w:trHeight w:val="269"/>
        </w:trPr>
        <w:tc>
          <w:tcPr>
            <w:tcW w:w="851" w:type="dxa"/>
            <w:vMerge/>
            <w:vAlign w:val="center"/>
            <w:hideMark/>
          </w:tcPr>
          <w:p w:rsidR="007E399B" w:rsidRPr="00F44C4F" w:rsidRDefault="007E399B" w:rsidP="002D1D62">
            <w:pPr>
              <w:spacing w:after="0"/>
              <w:rPr>
                <w:rFonts w:ascii="Tahoma" w:hAnsi="Tahoma" w:cs="Tahoma"/>
                <w:b/>
                <w:bCs/>
                <w:color w:val="000000"/>
                <w:sz w:val="16"/>
                <w:szCs w:val="16"/>
                <w:lang w:eastAsia="fr-FR"/>
              </w:rPr>
            </w:pPr>
          </w:p>
        </w:tc>
        <w:tc>
          <w:tcPr>
            <w:tcW w:w="850" w:type="dxa"/>
            <w:vMerge/>
            <w:vAlign w:val="center"/>
            <w:hideMark/>
          </w:tcPr>
          <w:p w:rsidR="007E399B" w:rsidRPr="00F44C4F" w:rsidRDefault="007E399B" w:rsidP="002D1D62">
            <w:pPr>
              <w:spacing w:after="0"/>
              <w:rPr>
                <w:rFonts w:ascii="Tahoma" w:hAnsi="Tahoma" w:cs="Tahoma"/>
                <w:color w:val="000000"/>
                <w:sz w:val="16"/>
                <w:szCs w:val="16"/>
                <w:lang w:eastAsia="fr-FR"/>
              </w:rPr>
            </w:pPr>
          </w:p>
        </w:tc>
        <w:tc>
          <w:tcPr>
            <w:tcW w:w="993" w:type="dxa"/>
            <w:shd w:val="clear" w:color="auto" w:fill="auto"/>
            <w:noWrap/>
            <w:vAlign w:val="center"/>
            <w:hideMark/>
          </w:tcPr>
          <w:p w:rsidR="007E399B" w:rsidRPr="00F44C4F" w:rsidRDefault="007E399B" w:rsidP="002D1D62">
            <w:pPr>
              <w:spacing w:after="0"/>
              <w:rPr>
                <w:rFonts w:ascii="Tahoma" w:hAnsi="Tahoma" w:cs="Tahoma"/>
                <w:color w:val="000000"/>
                <w:sz w:val="16"/>
                <w:szCs w:val="16"/>
                <w:lang w:eastAsia="fr-FR"/>
              </w:rPr>
            </w:pPr>
            <w:r w:rsidRPr="00F44C4F">
              <w:rPr>
                <w:rFonts w:ascii="Tahoma" w:hAnsi="Tahoma" w:cs="Tahoma"/>
                <w:color w:val="000000"/>
                <w:sz w:val="16"/>
                <w:szCs w:val="16"/>
                <w:lang w:eastAsia="fr-FR"/>
              </w:rPr>
              <w:t>Lâarâara</w:t>
            </w:r>
          </w:p>
        </w:tc>
        <w:tc>
          <w:tcPr>
            <w:tcW w:w="850" w:type="dxa"/>
            <w:shd w:val="clear" w:color="000000" w:fill="F4F46C"/>
            <w:noWrap/>
            <w:vAlign w:val="center"/>
            <w:hideMark/>
          </w:tcPr>
          <w:p w:rsidR="007E399B" w:rsidRPr="00F44C4F" w:rsidRDefault="007E399B" w:rsidP="002D1D62">
            <w:pPr>
              <w:spacing w:after="0"/>
              <w:rPr>
                <w:rFonts w:ascii="Tahoma" w:hAnsi="Tahoma" w:cs="Tahoma"/>
                <w:color w:val="000000"/>
                <w:sz w:val="16"/>
                <w:szCs w:val="16"/>
                <w:lang w:eastAsia="fr-FR"/>
              </w:rPr>
            </w:pPr>
            <w:r w:rsidRPr="00F44C4F">
              <w:rPr>
                <w:rFonts w:ascii="Tahoma" w:hAnsi="Tahoma" w:cs="Tahoma"/>
                <w:color w:val="000000"/>
                <w:sz w:val="16"/>
                <w:szCs w:val="16"/>
                <w:lang w:eastAsia="fr-FR"/>
              </w:rPr>
              <w:t>0%</w:t>
            </w:r>
          </w:p>
        </w:tc>
        <w:tc>
          <w:tcPr>
            <w:tcW w:w="992" w:type="dxa"/>
            <w:shd w:val="clear" w:color="000000" w:fill="FFC000"/>
            <w:noWrap/>
            <w:vAlign w:val="center"/>
            <w:hideMark/>
          </w:tcPr>
          <w:p w:rsidR="007E399B" w:rsidRPr="00F44C4F" w:rsidRDefault="007E399B" w:rsidP="002D1D62">
            <w:pPr>
              <w:spacing w:after="0"/>
              <w:rPr>
                <w:rFonts w:ascii="Tahoma" w:hAnsi="Tahoma" w:cs="Tahoma"/>
                <w:color w:val="000000"/>
                <w:sz w:val="16"/>
                <w:szCs w:val="16"/>
                <w:lang w:eastAsia="fr-FR"/>
              </w:rPr>
            </w:pPr>
            <w:r w:rsidRPr="00F44C4F">
              <w:rPr>
                <w:rFonts w:ascii="Tahoma" w:hAnsi="Tahoma" w:cs="Tahoma"/>
                <w:color w:val="000000"/>
                <w:sz w:val="16"/>
                <w:szCs w:val="16"/>
                <w:lang w:eastAsia="fr-FR"/>
              </w:rPr>
              <w:t>60%</w:t>
            </w:r>
          </w:p>
        </w:tc>
        <w:tc>
          <w:tcPr>
            <w:tcW w:w="1134" w:type="dxa"/>
            <w:shd w:val="clear" w:color="000000" w:fill="D34B07"/>
            <w:noWrap/>
            <w:vAlign w:val="center"/>
            <w:hideMark/>
          </w:tcPr>
          <w:p w:rsidR="007E399B" w:rsidRPr="00F44C4F" w:rsidRDefault="007E399B" w:rsidP="002D1D62">
            <w:pPr>
              <w:spacing w:after="0"/>
              <w:rPr>
                <w:rFonts w:ascii="Tahoma" w:hAnsi="Tahoma" w:cs="Tahoma"/>
                <w:color w:val="000000"/>
                <w:sz w:val="16"/>
                <w:szCs w:val="16"/>
                <w:lang w:eastAsia="fr-FR"/>
              </w:rPr>
            </w:pPr>
            <w:r w:rsidRPr="00F44C4F">
              <w:rPr>
                <w:rFonts w:ascii="Tahoma" w:hAnsi="Tahoma" w:cs="Tahoma"/>
                <w:color w:val="000000"/>
                <w:sz w:val="16"/>
                <w:szCs w:val="16"/>
                <w:lang w:eastAsia="fr-FR"/>
              </w:rPr>
              <w:t>100%</w:t>
            </w:r>
          </w:p>
        </w:tc>
        <w:tc>
          <w:tcPr>
            <w:tcW w:w="1276" w:type="dxa"/>
            <w:shd w:val="clear" w:color="000000" w:fill="D34B07"/>
            <w:noWrap/>
            <w:vAlign w:val="center"/>
            <w:hideMark/>
          </w:tcPr>
          <w:p w:rsidR="007E399B" w:rsidRPr="00F44C4F" w:rsidRDefault="007E399B" w:rsidP="002D1D62">
            <w:pPr>
              <w:spacing w:after="0"/>
              <w:rPr>
                <w:rFonts w:ascii="Tahoma" w:hAnsi="Tahoma" w:cs="Tahoma"/>
                <w:color w:val="000000"/>
                <w:sz w:val="16"/>
                <w:szCs w:val="16"/>
                <w:lang w:eastAsia="fr-FR"/>
              </w:rPr>
            </w:pPr>
            <w:r w:rsidRPr="00F44C4F">
              <w:rPr>
                <w:rFonts w:ascii="Tahoma" w:hAnsi="Tahoma" w:cs="Tahoma"/>
                <w:color w:val="000000"/>
                <w:sz w:val="16"/>
                <w:szCs w:val="16"/>
                <w:lang w:eastAsia="fr-FR"/>
              </w:rPr>
              <w:t>100%</w:t>
            </w:r>
          </w:p>
        </w:tc>
        <w:tc>
          <w:tcPr>
            <w:tcW w:w="1701" w:type="dxa"/>
            <w:shd w:val="clear" w:color="000000" w:fill="F4F46C"/>
            <w:noWrap/>
            <w:vAlign w:val="center"/>
            <w:hideMark/>
          </w:tcPr>
          <w:p w:rsidR="007E399B" w:rsidRPr="00F44C4F" w:rsidRDefault="007E399B" w:rsidP="002D1D62">
            <w:pPr>
              <w:spacing w:after="0"/>
              <w:rPr>
                <w:rFonts w:ascii="Tahoma" w:hAnsi="Tahoma" w:cs="Tahoma"/>
                <w:color w:val="000000"/>
                <w:sz w:val="16"/>
                <w:szCs w:val="16"/>
                <w:lang w:eastAsia="fr-FR"/>
              </w:rPr>
            </w:pPr>
            <w:r w:rsidRPr="00F44C4F">
              <w:rPr>
                <w:rFonts w:ascii="Tahoma" w:hAnsi="Tahoma" w:cs="Tahoma"/>
                <w:color w:val="000000"/>
                <w:sz w:val="16"/>
                <w:szCs w:val="16"/>
                <w:lang w:eastAsia="fr-FR"/>
              </w:rPr>
              <w:t>40%</w:t>
            </w:r>
          </w:p>
        </w:tc>
        <w:tc>
          <w:tcPr>
            <w:tcW w:w="992" w:type="dxa"/>
            <w:shd w:val="clear" w:color="000000" w:fill="F4F46C"/>
            <w:noWrap/>
            <w:vAlign w:val="center"/>
            <w:hideMark/>
          </w:tcPr>
          <w:p w:rsidR="007E399B" w:rsidRPr="00F44C4F" w:rsidRDefault="007E399B" w:rsidP="002D1D62">
            <w:pPr>
              <w:spacing w:after="0"/>
              <w:rPr>
                <w:rFonts w:ascii="Tahoma" w:hAnsi="Tahoma" w:cs="Tahoma"/>
                <w:color w:val="000000"/>
                <w:sz w:val="16"/>
                <w:szCs w:val="16"/>
                <w:lang w:eastAsia="fr-FR"/>
              </w:rPr>
            </w:pPr>
            <w:r w:rsidRPr="00F44C4F">
              <w:rPr>
                <w:rFonts w:ascii="Tahoma" w:hAnsi="Tahoma" w:cs="Tahoma"/>
                <w:color w:val="000000"/>
                <w:sz w:val="16"/>
                <w:szCs w:val="16"/>
                <w:lang w:eastAsia="fr-FR"/>
              </w:rPr>
              <w:t>40%</w:t>
            </w:r>
          </w:p>
        </w:tc>
        <w:tc>
          <w:tcPr>
            <w:tcW w:w="851" w:type="dxa"/>
            <w:shd w:val="clear" w:color="000000" w:fill="FFC000"/>
            <w:noWrap/>
            <w:vAlign w:val="center"/>
            <w:hideMark/>
          </w:tcPr>
          <w:p w:rsidR="007E399B" w:rsidRPr="00F44C4F" w:rsidRDefault="007E399B" w:rsidP="002D1D62">
            <w:pPr>
              <w:spacing w:after="0"/>
              <w:rPr>
                <w:rFonts w:ascii="Tahoma" w:hAnsi="Tahoma" w:cs="Tahoma"/>
                <w:color w:val="000000"/>
                <w:sz w:val="16"/>
                <w:szCs w:val="16"/>
                <w:lang w:eastAsia="fr-FR"/>
              </w:rPr>
            </w:pPr>
            <w:r w:rsidRPr="00F44C4F">
              <w:rPr>
                <w:rFonts w:ascii="Tahoma" w:hAnsi="Tahoma" w:cs="Tahoma"/>
                <w:color w:val="000000"/>
                <w:sz w:val="16"/>
                <w:szCs w:val="16"/>
                <w:lang w:eastAsia="fr-FR"/>
              </w:rPr>
              <w:t>57%</w:t>
            </w:r>
          </w:p>
        </w:tc>
      </w:tr>
      <w:tr w:rsidR="007E399B" w:rsidRPr="00F44C4F" w:rsidTr="002D1D62">
        <w:trPr>
          <w:trHeight w:val="269"/>
        </w:trPr>
        <w:tc>
          <w:tcPr>
            <w:tcW w:w="851" w:type="dxa"/>
            <w:vMerge/>
            <w:vAlign w:val="center"/>
            <w:hideMark/>
          </w:tcPr>
          <w:p w:rsidR="007E399B" w:rsidRPr="00F44C4F" w:rsidRDefault="007E399B" w:rsidP="002D1D62">
            <w:pPr>
              <w:spacing w:after="0"/>
              <w:rPr>
                <w:rFonts w:ascii="Tahoma" w:hAnsi="Tahoma" w:cs="Tahoma"/>
                <w:b/>
                <w:bCs/>
                <w:color w:val="000000"/>
                <w:sz w:val="16"/>
                <w:szCs w:val="16"/>
                <w:lang w:eastAsia="fr-FR"/>
              </w:rPr>
            </w:pPr>
          </w:p>
        </w:tc>
        <w:tc>
          <w:tcPr>
            <w:tcW w:w="850" w:type="dxa"/>
            <w:vMerge/>
            <w:vAlign w:val="center"/>
            <w:hideMark/>
          </w:tcPr>
          <w:p w:rsidR="007E399B" w:rsidRPr="00F44C4F" w:rsidRDefault="007E399B" w:rsidP="002D1D62">
            <w:pPr>
              <w:spacing w:after="0"/>
              <w:rPr>
                <w:rFonts w:ascii="Tahoma" w:hAnsi="Tahoma" w:cs="Tahoma"/>
                <w:color w:val="000000"/>
                <w:sz w:val="16"/>
                <w:szCs w:val="16"/>
                <w:lang w:eastAsia="fr-FR"/>
              </w:rPr>
            </w:pPr>
          </w:p>
        </w:tc>
        <w:tc>
          <w:tcPr>
            <w:tcW w:w="993" w:type="dxa"/>
            <w:shd w:val="clear" w:color="auto" w:fill="auto"/>
            <w:noWrap/>
            <w:vAlign w:val="center"/>
            <w:hideMark/>
          </w:tcPr>
          <w:p w:rsidR="007E399B" w:rsidRPr="00F44C4F" w:rsidRDefault="007E399B" w:rsidP="002D1D62">
            <w:pPr>
              <w:spacing w:after="0"/>
              <w:rPr>
                <w:rFonts w:ascii="Tahoma" w:hAnsi="Tahoma" w:cs="Tahoma"/>
                <w:color w:val="000000"/>
                <w:sz w:val="16"/>
                <w:szCs w:val="16"/>
                <w:lang w:eastAsia="fr-FR"/>
              </w:rPr>
            </w:pPr>
            <w:r w:rsidRPr="00F44C4F">
              <w:rPr>
                <w:rFonts w:ascii="Tahoma" w:hAnsi="Tahoma" w:cs="Tahoma"/>
                <w:color w:val="000000"/>
                <w:sz w:val="16"/>
                <w:szCs w:val="16"/>
                <w:lang w:eastAsia="fr-FR"/>
              </w:rPr>
              <w:t>Elklâa</w:t>
            </w:r>
          </w:p>
        </w:tc>
        <w:tc>
          <w:tcPr>
            <w:tcW w:w="850" w:type="dxa"/>
            <w:shd w:val="clear" w:color="000000" w:fill="F4F46C"/>
            <w:noWrap/>
            <w:vAlign w:val="center"/>
            <w:hideMark/>
          </w:tcPr>
          <w:p w:rsidR="007E399B" w:rsidRPr="00F44C4F" w:rsidRDefault="007E399B" w:rsidP="002D1D62">
            <w:pPr>
              <w:spacing w:after="0"/>
              <w:rPr>
                <w:rFonts w:ascii="Tahoma" w:hAnsi="Tahoma" w:cs="Tahoma"/>
                <w:color w:val="000000"/>
                <w:sz w:val="16"/>
                <w:szCs w:val="16"/>
                <w:lang w:eastAsia="fr-FR"/>
              </w:rPr>
            </w:pPr>
            <w:r w:rsidRPr="00F44C4F">
              <w:rPr>
                <w:rFonts w:ascii="Tahoma" w:hAnsi="Tahoma" w:cs="Tahoma"/>
                <w:color w:val="000000"/>
                <w:sz w:val="16"/>
                <w:szCs w:val="16"/>
                <w:lang w:eastAsia="fr-FR"/>
              </w:rPr>
              <w:t>0%</w:t>
            </w:r>
          </w:p>
        </w:tc>
        <w:tc>
          <w:tcPr>
            <w:tcW w:w="992" w:type="dxa"/>
            <w:shd w:val="clear" w:color="000000" w:fill="D34B07"/>
            <w:noWrap/>
            <w:vAlign w:val="center"/>
            <w:hideMark/>
          </w:tcPr>
          <w:p w:rsidR="007E399B" w:rsidRPr="00F44C4F" w:rsidRDefault="007E399B" w:rsidP="002D1D62">
            <w:pPr>
              <w:spacing w:after="0"/>
              <w:rPr>
                <w:rFonts w:ascii="Tahoma" w:hAnsi="Tahoma" w:cs="Tahoma"/>
                <w:color w:val="000000"/>
                <w:sz w:val="16"/>
                <w:szCs w:val="16"/>
                <w:lang w:eastAsia="fr-FR"/>
              </w:rPr>
            </w:pPr>
            <w:r w:rsidRPr="00F44C4F">
              <w:rPr>
                <w:rFonts w:ascii="Tahoma" w:hAnsi="Tahoma" w:cs="Tahoma"/>
                <w:color w:val="000000"/>
                <w:sz w:val="16"/>
                <w:szCs w:val="16"/>
                <w:lang w:eastAsia="fr-FR"/>
              </w:rPr>
              <w:t>100%</w:t>
            </w:r>
          </w:p>
        </w:tc>
        <w:tc>
          <w:tcPr>
            <w:tcW w:w="1134" w:type="dxa"/>
            <w:shd w:val="clear" w:color="000000" w:fill="D34B07"/>
            <w:noWrap/>
            <w:vAlign w:val="center"/>
            <w:hideMark/>
          </w:tcPr>
          <w:p w:rsidR="007E399B" w:rsidRPr="00F44C4F" w:rsidRDefault="007E399B" w:rsidP="002D1D62">
            <w:pPr>
              <w:spacing w:after="0"/>
              <w:rPr>
                <w:rFonts w:ascii="Tahoma" w:hAnsi="Tahoma" w:cs="Tahoma"/>
                <w:color w:val="000000"/>
                <w:sz w:val="16"/>
                <w:szCs w:val="16"/>
                <w:lang w:eastAsia="fr-FR"/>
              </w:rPr>
            </w:pPr>
            <w:r w:rsidRPr="00F44C4F">
              <w:rPr>
                <w:rFonts w:ascii="Tahoma" w:hAnsi="Tahoma" w:cs="Tahoma"/>
                <w:color w:val="000000"/>
                <w:sz w:val="16"/>
                <w:szCs w:val="16"/>
                <w:lang w:eastAsia="fr-FR"/>
              </w:rPr>
              <w:t>100%</w:t>
            </w:r>
          </w:p>
        </w:tc>
        <w:tc>
          <w:tcPr>
            <w:tcW w:w="1276" w:type="dxa"/>
            <w:shd w:val="clear" w:color="000000" w:fill="F4F46C"/>
            <w:noWrap/>
            <w:vAlign w:val="center"/>
            <w:hideMark/>
          </w:tcPr>
          <w:p w:rsidR="007E399B" w:rsidRPr="00F44C4F" w:rsidRDefault="007E399B" w:rsidP="002D1D62">
            <w:pPr>
              <w:spacing w:after="0"/>
              <w:rPr>
                <w:rFonts w:ascii="Tahoma" w:hAnsi="Tahoma" w:cs="Tahoma"/>
                <w:color w:val="000000"/>
                <w:sz w:val="16"/>
                <w:szCs w:val="16"/>
                <w:lang w:eastAsia="fr-FR"/>
              </w:rPr>
            </w:pPr>
            <w:r w:rsidRPr="00F44C4F">
              <w:rPr>
                <w:rFonts w:ascii="Tahoma" w:hAnsi="Tahoma" w:cs="Tahoma"/>
                <w:color w:val="000000"/>
                <w:sz w:val="16"/>
                <w:szCs w:val="16"/>
                <w:lang w:eastAsia="fr-FR"/>
              </w:rPr>
              <w:t>40%</w:t>
            </w:r>
          </w:p>
        </w:tc>
        <w:tc>
          <w:tcPr>
            <w:tcW w:w="1701" w:type="dxa"/>
            <w:shd w:val="clear" w:color="000000" w:fill="F4F46C"/>
            <w:noWrap/>
            <w:vAlign w:val="center"/>
            <w:hideMark/>
          </w:tcPr>
          <w:p w:rsidR="007E399B" w:rsidRPr="00F44C4F" w:rsidRDefault="007E399B" w:rsidP="002D1D62">
            <w:pPr>
              <w:spacing w:after="0"/>
              <w:rPr>
                <w:rFonts w:ascii="Tahoma" w:hAnsi="Tahoma" w:cs="Tahoma"/>
                <w:color w:val="000000"/>
                <w:sz w:val="16"/>
                <w:szCs w:val="16"/>
                <w:lang w:eastAsia="fr-FR"/>
              </w:rPr>
            </w:pPr>
            <w:r w:rsidRPr="00F44C4F">
              <w:rPr>
                <w:rFonts w:ascii="Tahoma" w:hAnsi="Tahoma" w:cs="Tahoma"/>
                <w:color w:val="000000"/>
                <w:sz w:val="16"/>
                <w:szCs w:val="16"/>
                <w:lang w:eastAsia="fr-FR"/>
              </w:rPr>
              <w:t>20%</w:t>
            </w:r>
          </w:p>
        </w:tc>
        <w:tc>
          <w:tcPr>
            <w:tcW w:w="992" w:type="dxa"/>
            <w:shd w:val="clear" w:color="000000" w:fill="F4F46C"/>
            <w:noWrap/>
            <w:vAlign w:val="center"/>
            <w:hideMark/>
          </w:tcPr>
          <w:p w:rsidR="007E399B" w:rsidRPr="00F44C4F" w:rsidRDefault="007E399B" w:rsidP="002D1D62">
            <w:pPr>
              <w:spacing w:after="0"/>
              <w:rPr>
                <w:rFonts w:ascii="Tahoma" w:hAnsi="Tahoma" w:cs="Tahoma"/>
                <w:color w:val="000000"/>
                <w:sz w:val="16"/>
                <w:szCs w:val="16"/>
                <w:lang w:eastAsia="fr-FR"/>
              </w:rPr>
            </w:pPr>
            <w:r w:rsidRPr="00F44C4F">
              <w:rPr>
                <w:rFonts w:ascii="Tahoma" w:hAnsi="Tahoma" w:cs="Tahoma"/>
                <w:color w:val="000000"/>
                <w:sz w:val="16"/>
                <w:szCs w:val="16"/>
                <w:lang w:eastAsia="fr-FR"/>
              </w:rPr>
              <w:t>20%</w:t>
            </w:r>
          </w:p>
        </w:tc>
        <w:tc>
          <w:tcPr>
            <w:tcW w:w="851" w:type="dxa"/>
            <w:shd w:val="clear" w:color="000000" w:fill="F4F46C"/>
            <w:noWrap/>
            <w:vAlign w:val="center"/>
            <w:hideMark/>
          </w:tcPr>
          <w:p w:rsidR="007E399B" w:rsidRPr="00F44C4F" w:rsidRDefault="007E399B" w:rsidP="002D1D62">
            <w:pPr>
              <w:spacing w:after="0"/>
              <w:rPr>
                <w:rFonts w:ascii="Tahoma" w:hAnsi="Tahoma" w:cs="Tahoma"/>
                <w:color w:val="000000"/>
                <w:sz w:val="16"/>
                <w:szCs w:val="16"/>
                <w:lang w:eastAsia="fr-FR"/>
              </w:rPr>
            </w:pPr>
            <w:r w:rsidRPr="00F44C4F">
              <w:rPr>
                <w:rFonts w:ascii="Tahoma" w:hAnsi="Tahoma" w:cs="Tahoma"/>
                <w:color w:val="000000"/>
                <w:sz w:val="16"/>
                <w:szCs w:val="16"/>
                <w:lang w:eastAsia="fr-FR"/>
              </w:rPr>
              <w:t>47%</w:t>
            </w:r>
          </w:p>
        </w:tc>
      </w:tr>
      <w:tr w:rsidR="007E399B" w:rsidRPr="00F44C4F" w:rsidTr="002D1D62">
        <w:trPr>
          <w:trHeight w:val="269"/>
        </w:trPr>
        <w:tc>
          <w:tcPr>
            <w:tcW w:w="851" w:type="dxa"/>
            <w:vMerge/>
            <w:vAlign w:val="center"/>
            <w:hideMark/>
          </w:tcPr>
          <w:p w:rsidR="007E399B" w:rsidRPr="00F44C4F" w:rsidRDefault="007E399B" w:rsidP="002D1D62">
            <w:pPr>
              <w:spacing w:after="0"/>
              <w:rPr>
                <w:rFonts w:ascii="Tahoma" w:hAnsi="Tahoma" w:cs="Tahoma"/>
                <w:b/>
                <w:bCs/>
                <w:color w:val="000000"/>
                <w:sz w:val="16"/>
                <w:szCs w:val="16"/>
                <w:lang w:eastAsia="fr-FR"/>
              </w:rPr>
            </w:pPr>
          </w:p>
        </w:tc>
        <w:tc>
          <w:tcPr>
            <w:tcW w:w="850" w:type="dxa"/>
            <w:vMerge/>
            <w:vAlign w:val="center"/>
            <w:hideMark/>
          </w:tcPr>
          <w:p w:rsidR="007E399B" w:rsidRPr="00F44C4F" w:rsidRDefault="007E399B" w:rsidP="002D1D62">
            <w:pPr>
              <w:spacing w:after="0"/>
              <w:rPr>
                <w:rFonts w:ascii="Tahoma" w:hAnsi="Tahoma" w:cs="Tahoma"/>
                <w:color w:val="000000"/>
                <w:sz w:val="16"/>
                <w:szCs w:val="16"/>
                <w:lang w:eastAsia="fr-FR"/>
              </w:rPr>
            </w:pPr>
          </w:p>
        </w:tc>
        <w:tc>
          <w:tcPr>
            <w:tcW w:w="993" w:type="dxa"/>
            <w:shd w:val="clear" w:color="auto" w:fill="auto"/>
            <w:noWrap/>
            <w:vAlign w:val="center"/>
            <w:hideMark/>
          </w:tcPr>
          <w:p w:rsidR="007E399B" w:rsidRPr="00F44C4F" w:rsidRDefault="007E399B" w:rsidP="002D1D62">
            <w:pPr>
              <w:spacing w:after="0"/>
              <w:rPr>
                <w:rFonts w:ascii="Tahoma" w:hAnsi="Tahoma" w:cs="Tahoma"/>
                <w:color w:val="000000"/>
                <w:sz w:val="16"/>
                <w:szCs w:val="16"/>
                <w:lang w:eastAsia="fr-FR"/>
              </w:rPr>
            </w:pPr>
            <w:r w:rsidRPr="00F44C4F">
              <w:rPr>
                <w:rFonts w:ascii="Tahoma" w:hAnsi="Tahoma" w:cs="Tahoma"/>
                <w:color w:val="000000"/>
                <w:sz w:val="16"/>
                <w:szCs w:val="16"/>
                <w:lang w:eastAsia="fr-FR"/>
              </w:rPr>
              <w:t>Oulad Saîd</w:t>
            </w:r>
          </w:p>
        </w:tc>
        <w:tc>
          <w:tcPr>
            <w:tcW w:w="850" w:type="dxa"/>
            <w:shd w:val="clear" w:color="000000" w:fill="F4F46C"/>
            <w:noWrap/>
            <w:vAlign w:val="center"/>
            <w:hideMark/>
          </w:tcPr>
          <w:p w:rsidR="007E399B" w:rsidRPr="00F44C4F" w:rsidRDefault="007E399B" w:rsidP="002D1D62">
            <w:pPr>
              <w:spacing w:after="0"/>
              <w:rPr>
                <w:rFonts w:ascii="Tahoma" w:hAnsi="Tahoma" w:cs="Tahoma"/>
                <w:color w:val="000000"/>
                <w:sz w:val="16"/>
                <w:szCs w:val="16"/>
                <w:lang w:eastAsia="fr-FR"/>
              </w:rPr>
            </w:pPr>
            <w:r w:rsidRPr="00F44C4F">
              <w:rPr>
                <w:rFonts w:ascii="Tahoma" w:hAnsi="Tahoma" w:cs="Tahoma"/>
                <w:color w:val="000000"/>
                <w:sz w:val="16"/>
                <w:szCs w:val="16"/>
                <w:lang w:eastAsia="fr-FR"/>
              </w:rPr>
              <w:t>0%</w:t>
            </w:r>
          </w:p>
        </w:tc>
        <w:tc>
          <w:tcPr>
            <w:tcW w:w="992" w:type="dxa"/>
            <w:shd w:val="clear" w:color="000000" w:fill="FFC000"/>
            <w:noWrap/>
            <w:vAlign w:val="center"/>
            <w:hideMark/>
          </w:tcPr>
          <w:p w:rsidR="007E399B" w:rsidRPr="00F44C4F" w:rsidRDefault="007E399B" w:rsidP="002D1D62">
            <w:pPr>
              <w:spacing w:after="0"/>
              <w:rPr>
                <w:rFonts w:ascii="Tahoma" w:hAnsi="Tahoma" w:cs="Tahoma"/>
                <w:color w:val="000000"/>
                <w:sz w:val="16"/>
                <w:szCs w:val="16"/>
                <w:lang w:eastAsia="fr-FR"/>
              </w:rPr>
            </w:pPr>
            <w:r w:rsidRPr="00F44C4F">
              <w:rPr>
                <w:rFonts w:ascii="Tahoma" w:hAnsi="Tahoma" w:cs="Tahoma"/>
                <w:color w:val="000000"/>
                <w:sz w:val="16"/>
                <w:szCs w:val="16"/>
                <w:lang w:eastAsia="fr-FR"/>
              </w:rPr>
              <w:t>67%</w:t>
            </w:r>
          </w:p>
        </w:tc>
        <w:tc>
          <w:tcPr>
            <w:tcW w:w="1134" w:type="dxa"/>
            <w:shd w:val="clear" w:color="000000" w:fill="D34B07"/>
            <w:noWrap/>
            <w:vAlign w:val="center"/>
            <w:hideMark/>
          </w:tcPr>
          <w:p w:rsidR="007E399B" w:rsidRPr="00F44C4F" w:rsidRDefault="007E399B" w:rsidP="002D1D62">
            <w:pPr>
              <w:spacing w:after="0"/>
              <w:rPr>
                <w:rFonts w:ascii="Tahoma" w:hAnsi="Tahoma" w:cs="Tahoma"/>
                <w:color w:val="000000"/>
                <w:sz w:val="16"/>
                <w:szCs w:val="16"/>
                <w:lang w:eastAsia="fr-FR"/>
              </w:rPr>
            </w:pPr>
            <w:r w:rsidRPr="00F44C4F">
              <w:rPr>
                <w:rFonts w:ascii="Tahoma" w:hAnsi="Tahoma" w:cs="Tahoma"/>
                <w:color w:val="000000"/>
                <w:sz w:val="16"/>
                <w:szCs w:val="16"/>
                <w:lang w:eastAsia="fr-FR"/>
              </w:rPr>
              <w:t>100%</w:t>
            </w:r>
          </w:p>
        </w:tc>
        <w:tc>
          <w:tcPr>
            <w:tcW w:w="1276" w:type="dxa"/>
            <w:shd w:val="clear" w:color="000000" w:fill="D34B07"/>
            <w:noWrap/>
            <w:vAlign w:val="center"/>
            <w:hideMark/>
          </w:tcPr>
          <w:p w:rsidR="007E399B" w:rsidRPr="00F44C4F" w:rsidRDefault="007E399B" w:rsidP="002D1D62">
            <w:pPr>
              <w:spacing w:after="0"/>
              <w:rPr>
                <w:rFonts w:ascii="Tahoma" w:hAnsi="Tahoma" w:cs="Tahoma"/>
                <w:color w:val="000000"/>
                <w:sz w:val="16"/>
                <w:szCs w:val="16"/>
                <w:lang w:eastAsia="fr-FR"/>
              </w:rPr>
            </w:pPr>
            <w:r w:rsidRPr="00F44C4F">
              <w:rPr>
                <w:rFonts w:ascii="Tahoma" w:hAnsi="Tahoma" w:cs="Tahoma"/>
                <w:color w:val="000000"/>
                <w:sz w:val="16"/>
                <w:szCs w:val="16"/>
                <w:lang w:eastAsia="fr-FR"/>
              </w:rPr>
              <w:t>100%</w:t>
            </w:r>
          </w:p>
        </w:tc>
        <w:tc>
          <w:tcPr>
            <w:tcW w:w="1701" w:type="dxa"/>
            <w:shd w:val="clear" w:color="000000" w:fill="FFC000"/>
            <w:noWrap/>
            <w:vAlign w:val="center"/>
            <w:hideMark/>
          </w:tcPr>
          <w:p w:rsidR="007E399B" w:rsidRPr="00F44C4F" w:rsidRDefault="007E399B" w:rsidP="002D1D62">
            <w:pPr>
              <w:spacing w:after="0"/>
              <w:rPr>
                <w:rFonts w:ascii="Tahoma" w:hAnsi="Tahoma" w:cs="Tahoma"/>
                <w:color w:val="000000"/>
                <w:sz w:val="16"/>
                <w:szCs w:val="16"/>
                <w:lang w:eastAsia="fr-FR"/>
              </w:rPr>
            </w:pPr>
            <w:r w:rsidRPr="00F44C4F">
              <w:rPr>
                <w:rFonts w:ascii="Tahoma" w:hAnsi="Tahoma" w:cs="Tahoma"/>
                <w:color w:val="000000"/>
                <w:sz w:val="16"/>
                <w:szCs w:val="16"/>
                <w:lang w:eastAsia="fr-FR"/>
              </w:rPr>
              <w:t>67%</w:t>
            </w:r>
          </w:p>
        </w:tc>
        <w:tc>
          <w:tcPr>
            <w:tcW w:w="992" w:type="dxa"/>
            <w:shd w:val="clear" w:color="000000" w:fill="FFC000"/>
            <w:noWrap/>
            <w:vAlign w:val="center"/>
            <w:hideMark/>
          </w:tcPr>
          <w:p w:rsidR="007E399B" w:rsidRPr="00F44C4F" w:rsidRDefault="007E399B" w:rsidP="002D1D62">
            <w:pPr>
              <w:spacing w:after="0"/>
              <w:rPr>
                <w:rFonts w:ascii="Tahoma" w:hAnsi="Tahoma" w:cs="Tahoma"/>
                <w:color w:val="000000"/>
                <w:sz w:val="16"/>
                <w:szCs w:val="16"/>
                <w:lang w:eastAsia="fr-FR"/>
              </w:rPr>
            </w:pPr>
            <w:r w:rsidRPr="00F44C4F">
              <w:rPr>
                <w:rFonts w:ascii="Tahoma" w:hAnsi="Tahoma" w:cs="Tahoma"/>
                <w:color w:val="000000"/>
                <w:sz w:val="16"/>
                <w:szCs w:val="16"/>
                <w:lang w:eastAsia="fr-FR"/>
              </w:rPr>
              <w:t>67%</w:t>
            </w:r>
          </w:p>
        </w:tc>
        <w:tc>
          <w:tcPr>
            <w:tcW w:w="851" w:type="dxa"/>
            <w:shd w:val="clear" w:color="000000" w:fill="FFC000"/>
            <w:noWrap/>
            <w:vAlign w:val="center"/>
            <w:hideMark/>
          </w:tcPr>
          <w:p w:rsidR="007E399B" w:rsidRPr="00F44C4F" w:rsidRDefault="007E399B" w:rsidP="002D1D62">
            <w:pPr>
              <w:spacing w:after="0"/>
              <w:rPr>
                <w:rFonts w:ascii="Tahoma" w:hAnsi="Tahoma" w:cs="Tahoma"/>
                <w:color w:val="000000"/>
                <w:sz w:val="16"/>
                <w:szCs w:val="16"/>
                <w:lang w:eastAsia="fr-FR"/>
              </w:rPr>
            </w:pPr>
            <w:r w:rsidRPr="00F44C4F">
              <w:rPr>
                <w:rFonts w:ascii="Tahoma" w:hAnsi="Tahoma" w:cs="Tahoma"/>
                <w:color w:val="000000"/>
                <w:sz w:val="16"/>
                <w:szCs w:val="16"/>
                <w:lang w:eastAsia="fr-FR"/>
              </w:rPr>
              <w:t>67%</w:t>
            </w:r>
          </w:p>
        </w:tc>
      </w:tr>
      <w:tr w:rsidR="007E399B" w:rsidRPr="00F44C4F" w:rsidTr="002D1D62">
        <w:trPr>
          <w:trHeight w:val="269"/>
        </w:trPr>
        <w:tc>
          <w:tcPr>
            <w:tcW w:w="851" w:type="dxa"/>
            <w:vMerge/>
            <w:vAlign w:val="center"/>
            <w:hideMark/>
          </w:tcPr>
          <w:p w:rsidR="007E399B" w:rsidRPr="00F44C4F" w:rsidRDefault="007E399B" w:rsidP="002D1D62">
            <w:pPr>
              <w:spacing w:after="0"/>
              <w:rPr>
                <w:rFonts w:ascii="Tahoma" w:hAnsi="Tahoma" w:cs="Tahoma"/>
                <w:b/>
                <w:bCs/>
                <w:color w:val="000000"/>
                <w:sz w:val="16"/>
                <w:szCs w:val="16"/>
                <w:lang w:eastAsia="fr-FR"/>
              </w:rPr>
            </w:pPr>
          </w:p>
        </w:tc>
        <w:tc>
          <w:tcPr>
            <w:tcW w:w="850" w:type="dxa"/>
            <w:vMerge/>
            <w:vAlign w:val="center"/>
            <w:hideMark/>
          </w:tcPr>
          <w:p w:rsidR="007E399B" w:rsidRPr="00F44C4F" w:rsidRDefault="007E399B" w:rsidP="002D1D62">
            <w:pPr>
              <w:spacing w:after="0"/>
              <w:rPr>
                <w:rFonts w:ascii="Tahoma" w:hAnsi="Tahoma" w:cs="Tahoma"/>
                <w:color w:val="000000"/>
                <w:sz w:val="16"/>
                <w:szCs w:val="16"/>
                <w:lang w:eastAsia="fr-FR"/>
              </w:rPr>
            </w:pPr>
          </w:p>
        </w:tc>
        <w:tc>
          <w:tcPr>
            <w:tcW w:w="993" w:type="dxa"/>
            <w:shd w:val="clear" w:color="auto" w:fill="auto"/>
            <w:noWrap/>
            <w:vAlign w:val="center"/>
            <w:hideMark/>
          </w:tcPr>
          <w:p w:rsidR="007E399B" w:rsidRPr="00F44C4F" w:rsidRDefault="007E399B" w:rsidP="002D1D62">
            <w:pPr>
              <w:spacing w:after="0"/>
              <w:rPr>
                <w:rFonts w:ascii="Tahoma" w:hAnsi="Tahoma" w:cs="Tahoma"/>
                <w:color w:val="000000"/>
                <w:sz w:val="16"/>
                <w:szCs w:val="16"/>
                <w:lang w:eastAsia="fr-FR"/>
              </w:rPr>
            </w:pPr>
            <w:r w:rsidRPr="00F44C4F">
              <w:rPr>
                <w:rFonts w:ascii="Tahoma" w:hAnsi="Tahoma" w:cs="Tahoma"/>
                <w:color w:val="000000"/>
                <w:sz w:val="16"/>
                <w:szCs w:val="16"/>
                <w:lang w:eastAsia="fr-FR"/>
              </w:rPr>
              <w:t>Oulad Azzouz</w:t>
            </w:r>
          </w:p>
        </w:tc>
        <w:tc>
          <w:tcPr>
            <w:tcW w:w="850" w:type="dxa"/>
            <w:shd w:val="clear" w:color="000000" w:fill="F4F46C"/>
            <w:noWrap/>
            <w:vAlign w:val="center"/>
            <w:hideMark/>
          </w:tcPr>
          <w:p w:rsidR="007E399B" w:rsidRPr="00F44C4F" w:rsidRDefault="007E399B" w:rsidP="002D1D62">
            <w:pPr>
              <w:spacing w:after="0"/>
              <w:rPr>
                <w:rFonts w:ascii="Tahoma" w:hAnsi="Tahoma" w:cs="Tahoma"/>
                <w:color w:val="000000"/>
                <w:sz w:val="16"/>
                <w:szCs w:val="16"/>
                <w:lang w:eastAsia="fr-FR"/>
              </w:rPr>
            </w:pPr>
            <w:r w:rsidRPr="00F44C4F">
              <w:rPr>
                <w:rFonts w:ascii="Tahoma" w:hAnsi="Tahoma" w:cs="Tahoma"/>
                <w:color w:val="000000"/>
                <w:sz w:val="16"/>
                <w:szCs w:val="16"/>
                <w:lang w:eastAsia="fr-FR"/>
              </w:rPr>
              <w:t>0%</w:t>
            </w:r>
          </w:p>
        </w:tc>
        <w:tc>
          <w:tcPr>
            <w:tcW w:w="992" w:type="dxa"/>
            <w:shd w:val="clear" w:color="000000" w:fill="D34B07"/>
            <w:noWrap/>
            <w:vAlign w:val="center"/>
            <w:hideMark/>
          </w:tcPr>
          <w:p w:rsidR="007E399B" w:rsidRPr="00F44C4F" w:rsidRDefault="007E399B" w:rsidP="002D1D62">
            <w:pPr>
              <w:spacing w:after="0"/>
              <w:rPr>
                <w:rFonts w:ascii="Tahoma" w:hAnsi="Tahoma" w:cs="Tahoma"/>
                <w:color w:val="000000"/>
                <w:sz w:val="16"/>
                <w:szCs w:val="16"/>
                <w:lang w:eastAsia="fr-FR"/>
              </w:rPr>
            </w:pPr>
            <w:r w:rsidRPr="00F44C4F">
              <w:rPr>
                <w:rFonts w:ascii="Tahoma" w:hAnsi="Tahoma" w:cs="Tahoma"/>
                <w:color w:val="000000"/>
                <w:sz w:val="16"/>
                <w:szCs w:val="16"/>
                <w:lang w:eastAsia="fr-FR"/>
              </w:rPr>
              <w:t>100%</w:t>
            </w:r>
          </w:p>
        </w:tc>
        <w:tc>
          <w:tcPr>
            <w:tcW w:w="1134" w:type="dxa"/>
            <w:shd w:val="clear" w:color="000000" w:fill="D34B07"/>
            <w:noWrap/>
            <w:vAlign w:val="center"/>
            <w:hideMark/>
          </w:tcPr>
          <w:p w:rsidR="007E399B" w:rsidRPr="00F44C4F" w:rsidRDefault="007E399B" w:rsidP="002D1D62">
            <w:pPr>
              <w:spacing w:after="0"/>
              <w:rPr>
                <w:rFonts w:ascii="Tahoma" w:hAnsi="Tahoma" w:cs="Tahoma"/>
                <w:color w:val="000000"/>
                <w:sz w:val="16"/>
                <w:szCs w:val="16"/>
                <w:lang w:eastAsia="fr-FR"/>
              </w:rPr>
            </w:pPr>
            <w:r w:rsidRPr="00F44C4F">
              <w:rPr>
                <w:rFonts w:ascii="Tahoma" w:hAnsi="Tahoma" w:cs="Tahoma"/>
                <w:color w:val="000000"/>
                <w:sz w:val="16"/>
                <w:szCs w:val="16"/>
                <w:lang w:eastAsia="fr-FR"/>
              </w:rPr>
              <w:t>100%</w:t>
            </w:r>
          </w:p>
        </w:tc>
        <w:tc>
          <w:tcPr>
            <w:tcW w:w="1276" w:type="dxa"/>
            <w:shd w:val="clear" w:color="000000" w:fill="D34B07"/>
            <w:noWrap/>
            <w:vAlign w:val="center"/>
            <w:hideMark/>
          </w:tcPr>
          <w:p w:rsidR="007E399B" w:rsidRPr="00F44C4F" w:rsidRDefault="007E399B" w:rsidP="002D1D62">
            <w:pPr>
              <w:spacing w:after="0"/>
              <w:rPr>
                <w:rFonts w:ascii="Tahoma" w:hAnsi="Tahoma" w:cs="Tahoma"/>
                <w:color w:val="000000"/>
                <w:sz w:val="16"/>
                <w:szCs w:val="16"/>
                <w:lang w:eastAsia="fr-FR"/>
              </w:rPr>
            </w:pPr>
            <w:r w:rsidRPr="00F44C4F">
              <w:rPr>
                <w:rFonts w:ascii="Tahoma" w:hAnsi="Tahoma" w:cs="Tahoma"/>
                <w:color w:val="000000"/>
                <w:sz w:val="16"/>
                <w:szCs w:val="16"/>
                <w:lang w:eastAsia="fr-FR"/>
              </w:rPr>
              <w:t>100%</w:t>
            </w:r>
          </w:p>
        </w:tc>
        <w:tc>
          <w:tcPr>
            <w:tcW w:w="1701" w:type="dxa"/>
            <w:shd w:val="clear" w:color="000000" w:fill="F4F46C"/>
            <w:noWrap/>
            <w:vAlign w:val="center"/>
            <w:hideMark/>
          </w:tcPr>
          <w:p w:rsidR="007E399B" w:rsidRPr="00F44C4F" w:rsidRDefault="007E399B" w:rsidP="002D1D62">
            <w:pPr>
              <w:spacing w:after="0"/>
              <w:rPr>
                <w:rFonts w:ascii="Tahoma" w:hAnsi="Tahoma" w:cs="Tahoma"/>
                <w:color w:val="000000"/>
                <w:sz w:val="16"/>
                <w:szCs w:val="16"/>
                <w:lang w:eastAsia="fr-FR"/>
              </w:rPr>
            </w:pPr>
            <w:r w:rsidRPr="00F44C4F">
              <w:rPr>
                <w:rFonts w:ascii="Tahoma" w:hAnsi="Tahoma" w:cs="Tahoma"/>
                <w:color w:val="000000"/>
                <w:sz w:val="16"/>
                <w:szCs w:val="16"/>
                <w:lang w:eastAsia="fr-FR"/>
              </w:rPr>
              <w:t>40%</w:t>
            </w:r>
          </w:p>
        </w:tc>
        <w:tc>
          <w:tcPr>
            <w:tcW w:w="992" w:type="dxa"/>
            <w:shd w:val="clear" w:color="000000" w:fill="F4F46C"/>
            <w:noWrap/>
            <w:vAlign w:val="center"/>
            <w:hideMark/>
          </w:tcPr>
          <w:p w:rsidR="007E399B" w:rsidRPr="00F44C4F" w:rsidRDefault="007E399B" w:rsidP="002D1D62">
            <w:pPr>
              <w:spacing w:after="0"/>
              <w:rPr>
                <w:rFonts w:ascii="Tahoma" w:hAnsi="Tahoma" w:cs="Tahoma"/>
                <w:color w:val="000000"/>
                <w:sz w:val="16"/>
                <w:szCs w:val="16"/>
                <w:lang w:eastAsia="fr-FR"/>
              </w:rPr>
            </w:pPr>
            <w:r w:rsidRPr="00F44C4F">
              <w:rPr>
                <w:rFonts w:ascii="Tahoma" w:hAnsi="Tahoma" w:cs="Tahoma"/>
                <w:color w:val="000000"/>
                <w:sz w:val="16"/>
                <w:szCs w:val="16"/>
                <w:lang w:eastAsia="fr-FR"/>
              </w:rPr>
              <w:t>20%</w:t>
            </w:r>
          </w:p>
        </w:tc>
        <w:tc>
          <w:tcPr>
            <w:tcW w:w="851" w:type="dxa"/>
            <w:shd w:val="clear" w:color="000000" w:fill="FFC000"/>
            <w:noWrap/>
            <w:vAlign w:val="center"/>
            <w:hideMark/>
          </w:tcPr>
          <w:p w:rsidR="007E399B" w:rsidRPr="00F44C4F" w:rsidRDefault="007E399B" w:rsidP="002D1D62">
            <w:pPr>
              <w:spacing w:after="0"/>
              <w:rPr>
                <w:rFonts w:ascii="Tahoma" w:hAnsi="Tahoma" w:cs="Tahoma"/>
                <w:color w:val="000000"/>
                <w:sz w:val="16"/>
                <w:szCs w:val="16"/>
                <w:lang w:eastAsia="fr-FR"/>
              </w:rPr>
            </w:pPr>
            <w:r w:rsidRPr="00F44C4F">
              <w:rPr>
                <w:rFonts w:ascii="Tahoma" w:hAnsi="Tahoma" w:cs="Tahoma"/>
                <w:color w:val="000000"/>
                <w:sz w:val="16"/>
                <w:szCs w:val="16"/>
                <w:lang w:eastAsia="fr-FR"/>
              </w:rPr>
              <w:t>60%</w:t>
            </w:r>
          </w:p>
        </w:tc>
      </w:tr>
      <w:tr w:rsidR="007E399B" w:rsidRPr="00F44C4F" w:rsidTr="002D1D62">
        <w:trPr>
          <w:trHeight w:val="269"/>
        </w:trPr>
        <w:tc>
          <w:tcPr>
            <w:tcW w:w="851" w:type="dxa"/>
            <w:vMerge w:val="restart"/>
            <w:shd w:val="clear" w:color="auto" w:fill="auto"/>
            <w:vAlign w:val="center"/>
            <w:hideMark/>
          </w:tcPr>
          <w:p w:rsidR="007E399B" w:rsidRPr="00F44C4F" w:rsidRDefault="007E399B" w:rsidP="002D1D62">
            <w:pPr>
              <w:spacing w:after="0"/>
              <w:rPr>
                <w:rFonts w:ascii="Tahoma" w:hAnsi="Tahoma" w:cs="Tahoma"/>
                <w:b/>
                <w:bCs/>
                <w:color w:val="000000"/>
                <w:sz w:val="16"/>
                <w:szCs w:val="16"/>
                <w:lang w:eastAsia="fr-FR"/>
              </w:rPr>
            </w:pPr>
            <w:r w:rsidRPr="00F44C4F">
              <w:rPr>
                <w:rFonts w:ascii="Tahoma" w:hAnsi="Tahoma" w:cs="Tahoma"/>
                <w:b/>
                <w:bCs/>
                <w:color w:val="000000"/>
                <w:sz w:val="16"/>
                <w:szCs w:val="16"/>
                <w:lang w:eastAsia="fr-FR"/>
              </w:rPr>
              <w:t>Khémisset</w:t>
            </w:r>
          </w:p>
        </w:tc>
        <w:tc>
          <w:tcPr>
            <w:tcW w:w="850" w:type="dxa"/>
            <w:vMerge w:val="restart"/>
            <w:shd w:val="clear" w:color="auto" w:fill="auto"/>
            <w:noWrap/>
            <w:vAlign w:val="center"/>
            <w:hideMark/>
          </w:tcPr>
          <w:p w:rsidR="007E399B" w:rsidRPr="00F44C4F" w:rsidRDefault="007E399B" w:rsidP="002D1D62">
            <w:pPr>
              <w:spacing w:after="0"/>
              <w:rPr>
                <w:rFonts w:ascii="Tahoma" w:hAnsi="Tahoma" w:cs="Tahoma"/>
                <w:color w:val="000000"/>
                <w:sz w:val="16"/>
                <w:szCs w:val="16"/>
                <w:lang w:eastAsia="fr-FR"/>
              </w:rPr>
            </w:pPr>
            <w:r w:rsidRPr="00F44C4F">
              <w:rPr>
                <w:rFonts w:ascii="Tahoma" w:hAnsi="Tahoma" w:cs="Tahoma"/>
                <w:color w:val="000000"/>
                <w:sz w:val="16"/>
                <w:szCs w:val="16"/>
                <w:lang w:eastAsia="fr-FR"/>
              </w:rPr>
              <w:t>Merchouch</w:t>
            </w:r>
          </w:p>
        </w:tc>
        <w:tc>
          <w:tcPr>
            <w:tcW w:w="993" w:type="dxa"/>
            <w:shd w:val="clear" w:color="auto" w:fill="auto"/>
            <w:noWrap/>
            <w:vAlign w:val="center"/>
            <w:hideMark/>
          </w:tcPr>
          <w:p w:rsidR="007E399B" w:rsidRPr="00F44C4F" w:rsidRDefault="007E399B" w:rsidP="002D1D62">
            <w:pPr>
              <w:spacing w:after="0"/>
              <w:rPr>
                <w:rFonts w:ascii="Tahoma" w:hAnsi="Tahoma" w:cs="Tahoma"/>
                <w:color w:val="000000"/>
                <w:sz w:val="16"/>
                <w:szCs w:val="16"/>
                <w:lang w:eastAsia="fr-FR"/>
              </w:rPr>
            </w:pPr>
            <w:r w:rsidRPr="00F44C4F">
              <w:rPr>
                <w:rFonts w:ascii="Tahoma" w:hAnsi="Tahoma" w:cs="Tahoma"/>
                <w:color w:val="000000"/>
                <w:sz w:val="16"/>
                <w:szCs w:val="16"/>
                <w:lang w:eastAsia="fr-FR"/>
              </w:rPr>
              <w:t xml:space="preserve">Lmkhafa </w:t>
            </w:r>
          </w:p>
        </w:tc>
        <w:tc>
          <w:tcPr>
            <w:tcW w:w="850" w:type="dxa"/>
            <w:shd w:val="clear" w:color="000000" w:fill="F4F46C"/>
            <w:noWrap/>
            <w:vAlign w:val="center"/>
            <w:hideMark/>
          </w:tcPr>
          <w:p w:rsidR="007E399B" w:rsidRPr="00F44C4F" w:rsidRDefault="007E399B" w:rsidP="002D1D62">
            <w:pPr>
              <w:spacing w:after="0"/>
              <w:rPr>
                <w:rFonts w:ascii="Tahoma" w:hAnsi="Tahoma" w:cs="Tahoma"/>
                <w:color w:val="000000"/>
                <w:sz w:val="16"/>
                <w:szCs w:val="16"/>
                <w:lang w:eastAsia="fr-FR"/>
              </w:rPr>
            </w:pPr>
            <w:r w:rsidRPr="00F44C4F">
              <w:rPr>
                <w:rFonts w:ascii="Tahoma" w:hAnsi="Tahoma" w:cs="Tahoma"/>
                <w:color w:val="000000"/>
                <w:sz w:val="16"/>
                <w:szCs w:val="16"/>
                <w:lang w:eastAsia="fr-FR"/>
              </w:rPr>
              <w:t>0%</w:t>
            </w:r>
          </w:p>
        </w:tc>
        <w:tc>
          <w:tcPr>
            <w:tcW w:w="992" w:type="dxa"/>
            <w:shd w:val="clear" w:color="000000" w:fill="D34B07"/>
            <w:noWrap/>
            <w:vAlign w:val="center"/>
            <w:hideMark/>
          </w:tcPr>
          <w:p w:rsidR="007E399B" w:rsidRPr="00F44C4F" w:rsidRDefault="007E399B" w:rsidP="002D1D62">
            <w:pPr>
              <w:spacing w:after="0"/>
              <w:rPr>
                <w:rFonts w:ascii="Tahoma" w:hAnsi="Tahoma" w:cs="Tahoma"/>
                <w:color w:val="000000"/>
                <w:sz w:val="16"/>
                <w:szCs w:val="16"/>
                <w:lang w:eastAsia="fr-FR"/>
              </w:rPr>
            </w:pPr>
            <w:r w:rsidRPr="00F44C4F">
              <w:rPr>
                <w:rFonts w:ascii="Tahoma" w:hAnsi="Tahoma" w:cs="Tahoma"/>
                <w:color w:val="000000"/>
                <w:sz w:val="16"/>
                <w:szCs w:val="16"/>
                <w:lang w:eastAsia="fr-FR"/>
              </w:rPr>
              <w:t>100%</w:t>
            </w:r>
          </w:p>
        </w:tc>
        <w:tc>
          <w:tcPr>
            <w:tcW w:w="1134" w:type="dxa"/>
            <w:shd w:val="clear" w:color="000000" w:fill="D34B07"/>
            <w:noWrap/>
            <w:vAlign w:val="center"/>
            <w:hideMark/>
          </w:tcPr>
          <w:p w:rsidR="007E399B" w:rsidRPr="00F44C4F" w:rsidRDefault="007E399B" w:rsidP="002D1D62">
            <w:pPr>
              <w:spacing w:after="0"/>
              <w:rPr>
                <w:rFonts w:ascii="Tahoma" w:hAnsi="Tahoma" w:cs="Tahoma"/>
                <w:color w:val="000000"/>
                <w:sz w:val="16"/>
                <w:szCs w:val="16"/>
                <w:lang w:eastAsia="fr-FR"/>
              </w:rPr>
            </w:pPr>
            <w:r w:rsidRPr="00F44C4F">
              <w:rPr>
                <w:rFonts w:ascii="Tahoma" w:hAnsi="Tahoma" w:cs="Tahoma"/>
                <w:color w:val="000000"/>
                <w:sz w:val="16"/>
                <w:szCs w:val="16"/>
                <w:lang w:eastAsia="fr-FR"/>
              </w:rPr>
              <w:t>100%</w:t>
            </w:r>
          </w:p>
        </w:tc>
        <w:tc>
          <w:tcPr>
            <w:tcW w:w="1276" w:type="dxa"/>
            <w:shd w:val="clear" w:color="000000" w:fill="D34B07"/>
            <w:noWrap/>
            <w:vAlign w:val="center"/>
            <w:hideMark/>
          </w:tcPr>
          <w:p w:rsidR="007E399B" w:rsidRPr="00F44C4F" w:rsidRDefault="007E399B" w:rsidP="002D1D62">
            <w:pPr>
              <w:spacing w:after="0"/>
              <w:rPr>
                <w:rFonts w:ascii="Tahoma" w:hAnsi="Tahoma" w:cs="Tahoma"/>
                <w:color w:val="000000"/>
                <w:sz w:val="16"/>
                <w:szCs w:val="16"/>
                <w:lang w:eastAsia="fr-FR"/>
              </w:rPr>
            </w:pPr>
            <w:r w:rsidRPr="00F44C4F">
              <w:rPr>
                <w:rFonts w:ascii="Tahoma" w:hAnsi="Tahoma" w:cs="Tahoma"/>
                <w:color w:val="000000"/>
                <w:sz w:val="16"/>
                <w:szCs w:val="16"/>
                <w:lang w:eastAsia="fr-FR"/>
              </w:rPr>
              <w:t>100%</w:t>
            </w:r>
          </w:p>
        </w:tc>
        <w:tc>
          <w:tcPr>
            <w:tcW w:w="1701" w:type="dxa"/>
            <w:shd w:val="clear" w:color="000000" w:fill="F4F46C"/>
            <w:noWrap/>
            <w:vAlign w:val="center"/>
            <w:hideMark/>
          </w:tcPr>
          <w:p w:rsidR="007E399B" w:rsidRPr="00F44C4F" w:rsidRDefault="007E399B" w:rsidP="002D1D62">
            <w:pPr>
              <w:spacing w:after="0"/>
              <w:rPr>
                <w:rFonts w:ascii="Tahoma" w:hAnsi="Tahoma" w:cs="Tahoma"/>
                <w:color w:val="000000"/>
                <w:sz w:val="16"/>
                <w:szCs w:val="16"/>
                <w:lang w:eastAsia="fr-FR"/>
              </w:rPr>
            </w:pPr>
            <w:r w:rsidRPr="00F44C4F">
              <w:rPr>
                <w:rFonts w:ascii="Tahoma" w:hAnsi="Tahoma" w:cs="Tahoma"/>
                <w:color w:val="000000"/>
                <w:sz w:val="16"/>
                <w:szCs w:val="16"/>
                <w:lang w:eastAsia="fr-FR"/>
              </w:rPr>
              <w:t>40%</w:t>
            </w:r>
          </w:p>
        </w:tc>
        <w:tc>
          <w:tcPr>
            <w:tcW w:w="992" w:type="dxa"/>
            <w:shd w:val="clear" w:color="000000" w:fill="FFC000"/>
            <w:noWrap/>
            <w:vAlign w:val="center"/>
            <w:hideMark/>
          </w:tcPr>
          <w:p w:rsidR="007E399B" w:rsidRPr="00F44C4F" w:rsidRDefault="007E399B" w:rsidP="002D1D62">
            <w:pPr>
              <w:spacing w:after="0"/>
              <w:rPr>
                <w:rFonts w:ascii="Tahoma" w:hAnsi="Tahoma" w:cs="Tahoma"/>
                <w:color w:val="000000"/>
                <w:sz w:val="16"/>
                <w:szCs w:val="16"/>
                <w:lang w:eastAsia="fr-FR"/>
              </w:rPr>
            </w:pPr>
            <w:r w:rsidRPr="00F44C4F">
              <w:rPr>
                <w:rFonts w:ascii="Tahoma" w:hAnsi="Tahoma" w:cs="Tahoma"/>
                <w:color w:val="000000"/>
                <w:sz w:val="16"/>
                <w:szCs w:val="16"/>
                <w:lang w:eastAsia="fr-FR"/>
              </w:rPr>
              <w:t>60%</w:t>
            </w:r>
          </w:p>
        </w:tc>
        <w:tc>
          <w:tcPr>
            <w:tcW w:w="851" w:type="dxa"/>
            <w:shd w:val="clear" w:color="000000" w:fill="FFC000"/>
            <w:noWrap/>
            <w:vAlign w:val="center"/>
            <w:hideMark/>
          </w:tcPr>
          <w:p w:rsidR="007E399B" w:rsidRPr="00F44C4F" w:rsidRDefault="007E399B" w:rsidP="002D1D62">
            <w:pPr>
              <w:spacing w:after="0"/>
              <w:rPr>
                <w:rFonts w:ascii="Tahoma" w:hAnsi="Tahoma" w:cs="Tahoma"/>
                <w:color w:val="000000"/>
                <w:sz w:val="16"/>
                <w:szCs w:val="16"/>
                <w:lang w:eastAsia="fr-FR"/>
              </w:rPr>
            </w:pPr>
            <w:r w:rsidRPr="00F44C4F">
              <w:rPr>
                <w:rFonts w:ascii="Tahoma" w:hAnsi="Tahoma" w:cs="Tahoma"/>
                <w:color w:val="000000"/>
                <w:sz w:val="16"/>
                <w:szCs w:val="16"/>
                <w:lang w:eastAsia="fr-FR"/>
              </w:rPr>
              <w:t>67%</w:t>
            </w:r>
          </w:p>
        </w:tc>
      </w:tr>
      <w:tr w:rsidR="007E399B" w:rsidRPr="00F44C4F" w:rsidTr="002D1D62">
        <w:trPr>
          <w:trHeight w:val="269"/>
        </w:trPr>
        <w:tc>
          <w:tcPr>
            <w:tcW w:w="851" w:type="dxa"/>
            <w:vMerge/>
            <w:vAlign w:val="center"/>
            <w:hideMark/>
          </w:tcPr>
          <w:p w:rsidR="007E399B" w:rsidRPr="00F44C4F" w:rsidRDefault="007E399B" w:rsidP="002D1D62">
            <w:pPr>
              <w:spacing w:after="0"/>
              <w:rPr>
                <w:rFonts w:ascii="Tahoma" w:hAnsi="Tahoma" w:cs="Tahoma"/>
                <w:b/>
                <w:bCs/>
                <w:color w:val="000000"/>
                <w:sz w:val="16"/>
                <w:szCs w:val="16"/>
                <w:lang w:eastAsia="fr-FR"/>
              </w:rPr>
            </w:pPr>
          </w:p>
        </w:tc>
        <w:tc>
          <w:tcPr>
            <w:tcW w:w="850" w:type="dxa"/>
            <w:vMerge/>
            <w:vAlign w:val="center"/>
            <w:hideMark/>
          </w:tcPr>
          <w:p w:rsidR="007E399B" w:rsidRPr="00F44C4F" w:rsidRDefault="007E399B" w:rsidP="002D1D62">
            <w:pPr>
              <w:spacing w:after="0"/>
              <w:rPr>
                <w:rFonts w:ascii="Tahoma" w:hAnsi="Tahoma" w:cs="Tahoma"/>
                <w:color w:val="000000"/>
                <w:sz w:val="16"/>
                <w:szCs w:val="16"/>
                <w:lang w:eastAsia="fr-FR"/>
              </w:rPr>
            </w:pPr>
          </w:p>
        </w:tc>
        <w:tc>
          <w:tcPr>
            <w:tcW w:w="993" w:type="dxa"/>
            <w:shd w:val="clear" w:color="auto" w:fill="auto"/>
            <w:noWrap/>
            <w:vAlign w:val="center"/>
            <w:hideMark/>
          </w:tcPr>
          <w:p w:rsidR="007E399B" w:rsidRPr="00F44C4F" w:rsidRDefault="007E399B" w:rsidP="002D1D62">
            <w:pPr>
              <w:spacing w:after="0"/>
              <w:rPr>
                <w:rFonts w:ascii="Tahoma" w:hAnsi="Tahoma" w:cs="Tahoma"/>
                <w:color w:val="000000"/>
                <w:sz w:val="16"/>
                <w:szCs w:val="16"/>
                <w:lang w:eastAsia="fr-FR"/>
              </w:rPr>
            </w:pPr>
            <w:r w:rsidRPr="00F44C4F">
              <w:rPr>
                <w:rFonts w:ascii="Tahoma" w:hAnsi="Tahoma" w:cs="Tahoma"/>
                <w:color w:val="000000"/>
                <w:sz w:val="16"/>
                <w:szCs w:val="16"/>
                <w:lang w:eastAsia="fr-FR"/>
              </w:rPr>
              <w:t>Chlihiyine</w:t>
            </w:r>
          </w:p>
        </w:tc>
        <w:tc>
          <w:tcPr>
            <w:tcW w:w="850" w:type="dxa"/>
            <w:shd w:val="clear" w:color="000000" w:fill="F4F46C"/>
            <w:noWrap/>
            <w:vAlign w:val="center"/>
            <w:hideMark/>
          </w:tcPr>
          <w:p w:rsidR="007E399B" w:rsidRPr="00F44C4F" w:rsidRDefault="007E399B" w:rsidP="002D1D62">
            <w:pPr>
              <w:spacing w:after="0"/>
              <w:rPr>
                <w:rFonts w:ascii="Tahoma" w:hAnsi="Tahoma" w:cs="Tahoma"/>
                <w:color w:val="000000"/>
                <w:sz w:val="16"/>
                <w:szCs w:val="16"/>
                <w:lang w:eastAsia="fr-FR"/>
              </w:rPr>
            </w:pPr>
            <w:r w:rsidRPr="00F44C4F">
              <w:rPr>
                <w:rFonts w:ascii="Tahoma" w:hAnsi="Tahoma" w:cs="Tahoma"/>
                <w:color w:val="000000"/>
                <w:sz w:val="16"/>
                <w:szCs w:val="16"/>
                <w:lang w:eastAsia="fr-FR"/>
              </w:rPr>
              <w:t>0%</w:t>
            </w:r>
          </w:p>
        </w:tc>
        <w:tc>
          <w:tcPr>
            <w:tcW w:w="992" w:type="dxa"/>
            <w:shd w:val="clear" w:color="000000" w:fill="F4F46C"/>
            <w:noWrap/>
            <w:vAlign w:val="center"/>
            <w:hideMark/>
          </w:tcPr>
          <w:p w:rsidR="007E399B" w:rsidRPr="00F44C4F" w:rsidRDefault="007E399B" w:rsidP="002D1D62">
            <w:pPr>
              <w:spacing w:after="0"/>
              <w:rPr>
                <w:rFonts w:ascii="Tahoma" w:hAnsi="Tahoma" w:cs="Tahoma"/>
                <w:color w:val="000000"/>
                <w:sz w:val="16"/>
                <w:szCs w:val="16"/>
                <w:lang w:eastAsia="fr-FR"/>
              </w:rPr>
            </w:pPr>
            <w:r w:rsidRPr="00F44C4F">
              <w:rPr>
                <w:rFonts w:ascii="Tahoma" w:hAnsi="Tahoma" w:cs="Tahoma"/>
                <w:color w:val="000000"/>
                <w:sz w:val="16"/>
                <w:szCs w:val="16"/>
                <w:lang w:eastAsia="fr-FR"/>
              </w:rPr>
              <w:t>0%</w:t>
            </w:r>
          </w:p>
        </w:tc>
        <w:tc>
          <w:tcPr>
            <w:tcW w:w="1134" w:type="dxa"/>
            <w:shd w:val="clear" w:color="000000" w:fill="D34B07"/>
            <w:noWrap/>
            <w:vAlign w:val="center"/>
            <w:hideMark/>
          </w:tcPr>
          <w:p w:rsidR="007E399B" w:rsidRPr="00F44C4F" w:rsidRDefault="007E399B" w:rsidP="002D1D62">
            <w:pPr>
              <w:spacing w:after="0"/>
              <w:rPr>
                <w:rFonts w:ascii="Tahoma" w:hAnsi="Tahoma" w:cs="Tahoma"/>
                <w:color w:val="000000"/>
                <w:sz w:val="16"/>
                <w:szCs w:val="16"/>
                <w:lang w:eastAsia="fr-FR"/>
              </w:rPr>
            </w:pPr>
            <w:r w:rsidRPr="00F44C4F">
              <w:rPr>
                <w:rFonts w:ascii="Tahoma" w:hAnsi="Tahoma" w:cs="Tahoma"/>
                <w:color w:val="000000"/>
                <w:sz w:val="16"/>
                <w:szCs w:val="16"/>
                <w:lang w:eastAsia="fr-FR"/>
              </w:rPr>
              <w:t>100%</w:t>
            </w:r>
          </w:p>
        </w:tc>
        <w:tc>
          <w:tcPr>
            <w:tcW w:w="1276" w:type="dxa"/>
            <w:shd w:val="clear" w:color="000000" w:fill="FFC000"/>
            <w:noWrap/>
            <w:vAlign w:val="center"/>
            <w:hideMark/>
          </w:tcPr>
          <w:p w:rsidR="007E399B" w:rsidRPr="00F44C4F" w:rsidRDefault="007E399B" w:rsidP="002D1D62">
            <w:pPr>
              <w:spacing w:after="0"/>
              <w:rPr>
                <w:rFonts w:ascii="Tahoma" w:hAnsi="Tahoma" w:cs="Tahoma"/>
                <w:color w:val="000000"/>
                <w:sz w:val="16"/>
                <w:szCs w:val="16"/>
                <w:lang w:eastAsia="fr-FR"/>
              </w:rPr>
            </w:pPr>
            <w:r w:rsidRPr="00F44C4F">
              <w:rPr>
                <w:rFonts w:ascii="Tahoma" w:hAnsi="Tahoma" w:cs="Tahoma"/>
                <w:color w:val="000000"/>
                <w:sz w:val="16"/>
                <w:szCs w:val="16"/>
                <w:lang w:eastAsia="fr-FR"/>
              </w:rPr>
              <w:t>60%</w:t>
            </w:r>
          </w:p>
        </w:tc>
        <w:tc>
          <w:tcPr>
            <w:tcW w:w="1701" w:type="dxa"/>
            <w:shd w:val="clear" w:color="000000" w:fill="F4F46C"/>
            <w:noWrap/>
            <w:vAlign w:val="center"/>
            <w:hideMark/>
          </w:tcPr>
          <w:p w:rsidR="007E399B" w:rsidRPr="00F44C4F" w:rsidRDefault="007E399B" w:rsidP="002D1D62">
            <w:pPr>
              <w:spacing w:after="0"/>
              <w:rPr>
                <w:rFonts w:ascii="Tahoma" w:hAnsi="Tahoma" w:cs="Tahoma"/>
                <w:color w:val="000000"/>
                <w:sz w:val="16"/>
                <w:szCs w:val="16"/>
                <w:lang w:eastAsia="fr-FR"/>
              </w:rPr>
            </w:pPr>
            <w:r w:rsidRPr="00F44C4F">
              <w:rPr>
                <w:rFonts w:ascii="Tahoma" w:hAnsi="Tahoma" w:cs="Tahoma"/>
                <w:color w:val="000000"/>
                <w:sz w:val="16"/>
                <w:szCs w:val="16"/>
                <w:lang w:eastAsia="fr-FR"/>
              </w:rPr>
              <w:t>40%</w:t>
            </w:r>
          </w:p>
        </w:tc>
        <w:tc>
          <w:tcPr>
            <w:tcW w:w="992" w:type="dxa"/>
            <w:shd w:val="clear" w:color="000000" w:fill="F4F46C"/>
            <w:noWrap/>
            <w:vAlign w:val="center"/>
            <w:hideMark/>
          </w:tcPr>
          <w:p w:rsidR="007E399B" w:rsidRPr="00F44C4F" w:rsidRDefault="007E399B" w:rsidP="002D1D62">
            <w:pPr>
              <w:spacing w:after="0"/>
              <w:rPr>
                <w:rFonts w:ascii="Tahoma" w:hAnsi="Tahoma" w:cs="Tahoma"/>
                <w:color w:val="000000"/>
                <w:sz w:val="16"/>
                <w:szCs w:val="16"/>
                <w:lang w:eastAsia="fr-FR"/>
              </w:rPr>
            </w:pPr>
            <w:r w:rsidRPr="00F44C4F">
              <w:rPr>
                <w:rFonts w:ascii="Tahoma" w:hAnsi="Tahoma" w:cs="Tahoma"/>
                <w:color w:val="000000"/>
                <w:sz w:val="16"/>
                <w:szCs w:val="16"/>
                <w:lang w:eastAsia="fr-FR"/>
              </w:rPr>
              <w:t>20%</w:t>
            </w:r>
          </w:p>
        </w:tc>
        <w:tc>
          <w:tcPr>
            <w:tcW w:w="851" w:type="dxa"/>
            <w:shd w:val="clear" w:color="000000" w:fill="F4F46C"/>
            <w:noWrap/>
            <w:vAlign w:val="center"/>
            <w:hideMark/>
          </w:tcPr>
          <w:p w:rsidR="007E399B" w:rsidRPr="00F44C4F" w:rsidRDefault="007E399B" w:rsidP="002D1D62">
            <w:pPr>
              <w:spacing w:after="0"/>
              <w:rPr>
                <w:rFonts w:ascii="Tahoma" w:hAnsi="Tahoma" w:cs="Tahoma"/>
                <w:color w:val="000000"/>
                <w:sz w:val="16"/>
                <w:szCs w:val="16"/>
                <w:lang w:eastAsia="fr-FR"/>
              </w:rPr>
            </w:pPr>
            <w:r w:rsidRPr="00F44C4F">
              <w:rPr>
                <w:rFonts w:ascii="Tahoma" w:hAnsi="Tahoma" w:cs="Tahoma"/>
                <w:color w:val="000000"/>
                <w:sz w:val="16"/>
                <w:szCs w:val="16"/>
                <w:lang w:eastAsia="fr-FR"/>
              </w:rPr>
              <w:t>37%</w:t>
            </w:r>
          </w:p>
        </w:tc>
      </w:tr>
      <w:tr w:rsidR="007E399B" w:rsidRPr="00F44C4F" w:rsidTr="002D1D62">
        <w:trPr>
          <w:trHeight w:val="269"/>
        </w:trPr>
        <w:tc>
          <w:tcPr>
            <w:tcW w:w="851" w:type="dxa"/>
            <w:vMerge/>
            <w:vAlign w:val="center"/>
            <w:hideMark/>
          </w:tcPr>
          <w:p w:rsidR="007E399B" w:rsidRPr="00F44C4F" w:rsidRDefault="007E399B" w:rsidP="002D1D62">
            <w:pPr>
              <w:spacing w:after="0"/>
              <w:rPr>
                <w:rFonts w:ascii="Tahoma" w:hAnsi="Tahoma" w:cs="Tahoma"/>
                <w:b/>
                <w:bCs/>
                <w:color w:val="000000"/>
                <w:sz w:val="16"/>
                <w:szCs w:val="16"/>
                <w:lang w:eastAsia="fr-FR"/>
              </w:rPr>
            </w:pPr>
          </w:p>
        </w:tc>
        <w:tc>
          <w:tcPr>
            <w:tcW w:w="850" w:type="dxa"/>
            <w:vMerge w:val="restart"/>
            <w:shd w:val="clear" w:color="auto" w:fill="auto"/>
            <w:noWrap/>
            <w:vAlign w:val="center"/>
            <w:hideMark/>
          </w:tcPr>
          <w:p w:rsidR="007E399B" w:rsidRPr="00F44C4F" w:rsidRDefault="007E399B" w:rsidP="002D1D62">
            <w:pPr>
              <w:spacing w:after="0"/>
              <w:rPr>
                <w:rFonts w:ascii="Tahoma" w:hAnsi="Tahoma" w:cs="Tahoma"/>
                <w:color w:val="000000"/>
                <w:sz w:val="16"/>
                <w:szCs w:val="16"/>
                <w:lang w:eastAsia="fr-FR"/>
              </w:rPr>
            </w:pPr>
            <w:r w:rsidRPr="00F44C4F">
              <w:rPr>
                <w:rFonts w:ascii="Tahoma" w:hAnsi="Tahoma" w:cs="Tahoma"/>
                <w:color w:val="000000"/>
                <w:sz w:val="16"/>
                <w:szCs w:val="16"/>
                <w:lang w:eastAsia="fr-FR"/>
              </w:rPr>
              <w:t xml:space="preserve">Brachoua </w:t>
            </w:r>
          </w:p>
        </w:tc>
        <w:tc>
          <w:tcPr>
            <w:tcW w:w="993" w:type="dxa"/>
            <w:shd w:val="clear" w:color="auto" w:fill="auto"/>
            <w:noWrap/>
            <w:vAlign w:val="center"/>
            <w:hideMark/>
          </w:tcPr>
          <w:p w:rsidR="007E399B" w:rsidRPr="00F44C4F" w:rsidRDefault="007E399B" w:rsidP="002D1D62">
            <w:pPr>
              <w:spacing w:after="0"/>
              <w:rPr>
                <w:rFonts w:ascii="Tahoma" w:hAnsi="Tahoma" w:cs="Tahoma"/>
                <w:color w:val="000000"/>
                <w:sz w:val="16"/>
                <w:szCs w:val="16"/>
                <w:lang w:eastAsia="fr-FR"/>
              </w:rPr>
            </w:pPr>
            <w:r w:rsidRPr="00F44C4F">
              <w:rPr>
                <w:rFonts w:ascii="Tahoma" w:hAnsi="Tahoma" w:cs="Tahoma"/>
                <w:color w:val="000000"/>
                <w:sz w:val="16"/>
                <w:szCs w:val="16"/>
                <w:lang w:eastAsia="fr-FR"/>
              </w:rPr>
              <w:t>Oulad Oumrane</w:t>
            </w:r>
          </w:p>
        </w:tc>
        <w:tc>
          <w:tcPr>
            <w:tcW w:w="850" w:type="dxa"/>
            <w:shd w:val="clear" w:color="000000" w:fill="F4F46C"/>
            <w:noWrap/>
            <w:vAlign w:val="center"/>
            <w:hideMark/>
          </w:tcPr>
          <w:p w:rsidR="007E399B" w:rsidRPr="00F44C4F" w:rsidRDefault="007E399B" w:rsidP="002D1D62">
            <w:pPr>
              <w:spacing w:after="0"/>
              <w:rPr>
                <w:rFonts w:ascii="Tahoma" w:hAnsi="Tahoma" w:cs="Tahoma"/>
                <w:color w:val="000000"/>
                <w:sz w:val="16"/>
                <w:szCs w:val="16"/>
                <w:lang w:eastAsia="fr-FR"/>
              </w:rPr>
            </w:pPr>
            <w:r w:rsidRPr="00F44C4F">
              <w:rPr>
                <w:rFonts w:ascii="Tahoma" w:hAnsi="Tahoma" w:cs="Tahoma"/>
                <w:color w:val="000000"/>
                <w:sz w:val="16"/>
                <w:szCs w:val="16"/>
                <w:lang w:eastAsia="fr-FR"/>
              </w:rPr>
              <w:t>0%</w:t>
            </w:r>
          </w:p>
        </w:tc>
        <w:tc>
          <w:tcPr>
            <w:tcW w:w="992" w:type="dxa"/>
            <w:shd w:val="clear" w:color="000000" w:fill="D34B07"/>
            <w:noWrap/>
            <w:vAlign w:val="center"/>
            <w:hideMark/>
          </w:tcPr>
          <w:p w:rsidR="007E399B" w:rsidRPr="00F44C4F" w:rsidRDefault="007E399B" w:rsidP="002D1D62">
            <w:pPr>
              <w:spacing w:after="0"/>
              <w:rPr>
                <w:rFonts w:ascii="Tahoma" w:hAnsi="Tahoma" w:cs="Tahoma"/>
                <w:color w:val="000000"/>
                <w:sz w:val="16"/>
                <w:szCs w:val="16"/>
                <w:lang w:eastAsia="fr-FR"/>
              </w:rPr>
            </w:pPr>
            <w:r w:rsidRPr="00F44C4F">
              <w:rPr>
                <w:rFonts w:ascii="Tahoma" w:hAnsi="Tahoma" w:cs="Tahoma"/>
                <w:color w:val="000000"/>
                <w:sz w:val="16"/>
                <w:szCs w:val="16"/>
                <w:lang w:eastAsia="fr-FR"/>
              </w:rPr>
              <w:t>100%</w:t>
            </w:r>
          </w:p>
        </w:tc>
        <w:tc>
          <w:tcPr>
            <w:tcW w:w="1134" w:type="dxa"/>
            <w:shd w:val="clear" w:color="000000" w:fill="D34B07"/>
            <w:noWrap/>
            <w:vAlign w:val="center"/>
            <w:hideMark/>
          </w:tcPr>
          <w:p w:rsidR="007E399B" w:rsidRPr="00F44C4F" w:rsidRDefault="007E399B" w:rsidP="002D1D62">
            <w:pPr>
              <w:spacing w:after="0"/>
              <w:rPr>
                <w:rFonts w:ascii="Tahoma" w:hAnsi="Tahoma" w:cs="Tahoma"/>
                <w:color w:val="000000"/>
                <w:sz w:val="16"/>
                <w:szCs w:val="16"/>
                <w:lang w:eastAsia="fr-FR"/>
              </w:rPr>
            </w:pPr>
            <w:r w:rsidRPr="00F44C4F">
              <w:rPr>
                <w:rFonts w:ascii="Tahoma" w:hAnsi="Tahoma" w:cs="Tahoma"/>
                <w:color w:val="000000"/>
                <w:sz w:val="16"/>
                <w:szCs w:val="16"/>
                <w:lang w:eastAsia="fr-FR"/>
              </w:rPr>
              <w:t>100%</w:t>
            </w:r>
          </w:p>
        </w:tc>
        <w:tc>
          <w:tcPr>
            <w:tcW w:w="1276" w:type="dxa"/>
            <w:shd w:val="clear" w:color="000000" w:fill="D34B07"/>
            <w:noWrap/>
            <w:vAlign w:val="center"/>
            <w:hideMark/>
          </w:tcPr>
          <w:p w:rsidR="007E399B" w:rsidRPr="00F44C4F" w:rsidRDefault="007E399B" w:rsidP="002D1D62">
            <w:pPr>
              <w:spacing w:after="0"/>
              <w:rPr>
                <w:rFonts w:ascii="Tahoma" w:hAnsi="Tahoma" w:cs="Tahoma"/>
                <w:color w:val="000000"/>
                <w:sz w:val="16"/>
                <w:szCs w:val="16"/>
                <w:lang w:eastAsia="fr-FR"/>
              </w:rPr>
            </w:pPr>
            <w:r w:rsidRPr="00F44C4F">
              <w:rPr>
                <w:rFonts w:ascii="Tahoma" w:hAnsi="Tahoma" w:cs="Tahoma"/>
                <w:color w:val="000000"/>
                <w:sz w:val="16"/>
                <w:szCs w:val="16"/>
                <w:lang w:eastAsia="fr-FR"/>
              </w:rPr>
              <w:t>100%</w:t>
            </w:r>
          </w:p>
        </w:tc>
        <w:tc>
          <w:tcPr>
            <w:tcW w:w="1701" w:type="dxa"/>
            <w:shd w:val="clear" w:color="000000" w:fill="F4F46C"/>
            <w:noWrap/>
            <w:vAlign w:val="center"/>
            <w:hideMark/>
          </w:tcPr>
          <w:p w:rsidR="007E399B" w:rsidRPr="00F44C4F" w:rsidRDefault="007E399B" w:rsidP="002D1D62">
            <w:pPr>
              <w:spacing w:after="0"/>
              <w:rPr>
                <w:rFonts w:ascii="Tahoma" w:hAnsi="Tahoma" w:cs="Tahoma"/>
                <w:color w:val="000000"/>
                <w:sz w:val="16"/>
                <w:szCs w:val="16"/>
                <w:lang w:eastAsia="fr-FR"/>
              </w:rPr>
            </w:pPr>
            <w:r w:rsidRPr="00F44C4F">
              <w:rPr>
                <w:rFonts w:ascii="Tahoma" w:hAnsi="Tahoma" w:cs="Tahoma"/>
                <w:color w:val="000000"/>
                <w:sz w:val="16"/>
                <w:szCs w:val="16"/>
                <w:lang w:eastAsia="fr-FR"/>
              </w:rPr>
              <w:t>20%</w:t>
            </w:r>
          </w:p>
        </w:tc>
        <w:tc>
          <w:tcPr>
            <w:tcW w:w="992" w:type="dxa"/>
            <w:shd w:val="clear" w:color="000000" w:fill="F4F46C"/>
            <w:noWrap/>
            <w:vAlign w:val="center"/>
            <w:hideMark/>
          </w:tcPr>
          <w:p w:rsidR="007E399B" w:rsidRPr="00F44C4F" w:rsidRDefault="007E399B" w:rsidP="002D1D62">
            <w:pPr>
              <w:spacing w:after="0"/>
              <w:rPr>
                <w:rFonts w:ascii="Tahoma" w:hAnsi="Tahoma" w:cs="Tahoma"/>
                <w:color w:val="000000"/>
                <w:sz w:val="16"/>
                <w:szCs w:val="16"/>
                <w:lang w:eastAsia="fr-FR"/>
              </w:rPr>
            </w:pPr>
            <w:r w:rsidRPr="00F44C4F">
              <w:rPr>
                <w:rFonts w:ascii="Tahoma" w:hAnsi="Tahoma" w:cs="Tahoma"/>
                <w:color w:val="000000"/>
                <w:sz w:val="16"/>
                <w:szCs w:val="16"/>
                <w:lang w:eastAsia="fr-FR"/>
              </w:rPr>
              <w:t>20%</w:t>
            </w:r>
          </w:p>
        </w:tc>
        <w:tc>
          <w:tcPr>
            <w:tcW w:w="851" w:type="dxa"/>
            <w:shd w:val="clear" w:color="000000" w:fill="FFC000"/>
            <w:noWrap/>
            <w:vAlign w:val="center"/>
            <w:hideMark/>
          </w:tcPr>
          <w:p w:rsidR="007E399B" w:rsidRPr="00F44C4F" w:rsidRDefault="007E399B" w:rsidP="002D1D62">
            <w:pPr>
              <w:spacing w:after="0"/>
              <w:rPr>
                <w:rFonts w:ascii="Tahoma" w:hAnsi="Tahoma" w:cs="Tahoma"/>
                <w:color w:val="000000"/>
                <w:sz w:val="16"/>
                <w:szCs w:val="16"/>
                <w:lang w:eastAsia="fr-FR"/>
              </w:rPr>
            </w:pPr>
            <w:r w:rsidRPr="00F44C4F">
              <w:rPr>
                <w:rFonts w:ascii="Tahoma" w:hAnsi="Tahoma" w:cs="Tahoma"/>
                <w:color w:val="000000"/>
                <w:sz w:val="16"/>
                <w:szCs w:val="16"/>
                <w:lang w:eastAsia="fr-FR"/>
              </w:rPr>
              <w:t>57%</w:t>
            </w:r>
          </w:p>
        </w:tc>
      </w:tr>
      <w:tr w:rsidR="007E399B" w:rsidRPr="00F44C4F" w:rsidTr="002D1D62">
        <w:trPr>
          <w:trHeight w:val="269"/>
        </w:trPr>
        <w:tc>
          <w:tcPr>
            <w:tcW w:w="851" w:type="dxa"/>
            <w:vMerge/>
            <w:vAlign w:val="center"/>
            <w:hideMark/>
          </w:tcPr>
          <w:p w:rsidR="007E399B" w:rsidRPr="00F44C4F" w:rsidRDefault="007E399B" w:rsidP="002D1D62">
            <w:pPr>
              <w:spacing w:after="0"/>
              <w:rPr>
                <w:rFonts w:ascii="Tahoma" w:hAnsi="Tahoma" w:cs="Tahoma"/>
                <w:b/>
                <w:bCs/>
                <w:color w:val="000000"/>
                <w:sz w:val="16"/>
                <w:szCs w:val="16"/>
                <w:lang w:eastAsia="fr-FR"/>
              </w:rPr>
            </w:pPr>
          </w:p>
        </w:tc>
        <w:tc>
          <w:tcPr>
            <w:tcW w:w="850" w:type="dxa"/>
            <w:vMerge/>
            <w:vAlign w:val="center"/>
            <w:hideMark/>
          </w:tcPr>
          <w:p w:rsidR="007E399B" w:rsidRPr="00F44C4F" w:rsidRDefault="007E399B" w:rsidP="002D1D62">
            <w:pPr>
              <w:spacing w:after="0"/>
              <w:rPr>
                <w:rFonts w:ascii="Tahoma" w:hAnsi="Tahoma" w:cs="Tahoma"/>
                <w:color w:val="000000"/>
                <w:sz w:val="16"/>
                <w:szCs w:val="16"/>
                <w:lang w:eastAsia="fr-FR"/>
              </w:rPr>
            </w:pPr>
          </w:p>
        </w:tc>
        <w:tc>
          <w:tcPr>
            <w:tcW w:w="993" w:type="dxa"/>
            <w:shd w:val="clear" w:color="auto" w:fill="auto"/>
            <w:noWrap/>
            <w:vAlign w:val="center"/>
            <w:hideMark/>
          </w:tcPr>
          <w:p w:rsidR="007E399B" w:rsidRPr="00F44C4F" w:rsidRDefault="007E399B" w:rsidP="002D1D62">
            <w:pPr>
              <w:spacing w:after="0"/>
              <w:rPr>
                <w:rFonts w:ascii="Tahoma" w:hAnsi="Tahoma" w:cs="Tahoma"/>
                <w:color w:val="000000"/>
                <w:sz w:val="16"/>
                <w:szCs w:val="16"/>
                <w:lang w:eastAsia="fr-FR"/>
              </w:rPr>
            </w:pPr>
            <w:r w:rsidRPr="00F44C4F">
              <w:rPr>
                <w:rFonts w:ascii="Tahoma" w:hAnsi="Tahoma" w:cs="Tahoma"/>
                <w:color w:val="000000"/>
                <w:sz w:val="16"/>
                <w:szCs w:val="16"/>
                <w:lang w:eastAsia="fr-FR"/>
              </w:rPr>
              <w:t>Ait Ali</w:t>
            </w:r>
          </w:p>
        </w:tc>
        <w:tc>
          <w:tcPr>
            <w:tcW w:w="850" w:type="dxa"/>
            <w:shd w:val="clear" w:color="000000" w:fill="F4F46C"/>
            <w:noWrap/>
            <w:vAlign w:val="center"/>
            <w:hideMark/>
          </w:tcPr>
          <w:p w:rsidR="007E399B" w:rsidRPr="00F44C4F" w:rsidRDefault="007E399B" w:rsidP="002D1D62">
            <w:pPr>
              <w:spacing w:after="0"/>
              <w:rPr>
                <w:rFonts w:ascii="Tahoma" w:hAnsi="Tahoma" w:cs="Tahoma"/>
                <w:color w:val="000000"/>
                <w:sz w:val="16"/>
                <w:szCs w:val="16"/>
                <w:lang w:eastAsia="fr-FR"/>
              </w:rPr>
            </w:pPr>
            <w:r w:rsidRPr="00F44C4F">
              <w:rPr>
                <w:rFonts w:ascii="Tahoma" w:hAnsi="Tahoma" w:cs="Tahoma"/>
                <w:color w:val="000000"/>
                <w:sz w:val="16"/>
                <w:szCs w:val="16"/>
                <w:lang w:eastAsia="fr-FR"/>
              </w:rPr>
              <w:t>0%</w:t>
            </w:r>
          </w:p>
        </w:tc>
        <w:tc>
          <w:tcPr>
            <w:tcW w:w="992" w:type="dxa"/>
            <w:shd w:val="clear" w:color="000000" w:fill="D34B07"/>
            <w:noWrap/>
            <w:vAlign w:val="center"/>
            <w:hideMark/>
          </w:tcPr>
          <w:p w:rsidR="007E399B" w:rsidRPr="00F44C4F" w:rsidRDefault="007E399B" w:rsidP="002D1D62">
            <w:pPr>
              <w:spacing w:after="0"/>
              <w:rPr>
                <w:rFonts w:ascii="Tahoma" w:hAnsi="Tahoma" w:cs="Tahoma"/>
                <w:color w:val="000000"/>
                <w:sz w:val="16"/>
                <w:szCs w:val="16"/>
                <w:lang w:eastAsia="fr-FR"/>
              </w:rPr>
            </w:pPr>
            <w:r w:rsidRPr="00F44C4F">
              <w:rPr>
                <w:rFonts w:ascii="Tahoma" w:hAnsi="Tahoma" w:cs="Tahoma"/>
                <w:color w:val="000000"/>
                <w:sz w:val="16"/>
                <w:szCs w:val="16"/>
                <w:lang w:eastAsia="fr-FR"/>
              </w:rPr>
              <w:t>100%</w:t>
            </w:r>
          </w:p>
        </w:tc>
        <w:tc>
          <w:tcPr>
            <w:tcW w:w="1134" w:type="dxa"/>
            <w:shd w:val="clear" w:color="000000" w:fill="D34B07"/>
            <w:noWrap/>
            <w:vAlign w:val="center"/>
            <w:hideMark/>
          </w:tcPr>
          <w:p w:rsidR="007E399B" w:rsidRPr="00F44C4F" w:rsidRDefault="007E399B" w:rsidP="002D1D62">
            <w:pPr>
              <w:spacing w:after="0"/>
              <w:rPr>
                <w:rFonts w:ascii="Tahoma" w:hAnsi="Tahoma" w:cs="Tahoma"/>
                <w:color w:val="000000"/>
                <w:sz w:val="16"/>
                <w:szCs w:val="16"/>
                <w:lang w:eastAsia="fr-FR"/>
              </w:rPr>
            </w:pPr>
            <w:r w:rsidRPr="00F44C4F">
              <w:rPr>
                <w:rFonts w:ascii="Tahoma" w:hAnsi="Tahoma" w:cs="Tahoma"/>
                <w:color w:val="000000"/>
                <w:sz w:val="16"/>
                <w:szCs w:val="16"/>
                <w:lang w:eastAsia="fr-FR"/>
              </w:rPr>
              <w:t>100%</w:t>
            </w:r>
          </w:p>
        </w:tc>
        <w:tc>
          <w:tcPr>
            <w:tcW w:w="1276" w:type="dxa"/>
            <w:shd w:val="clear" w:color="000000" w:fill="FFC000"/>
            <w:noWrap/>
            <w:vAlign w:val="center"/>
            <w:hideMark/>
          </w:tcPr>
          <w:p w:rsidR="007E399B" w:rsidRPr="00F44C4F" w:rsidRDefault="007E399B" w:rsidP="002D1D62">
            <w:pPr>
              <w:spacing w:after="0"/>
              <w:rPr>
                <w:rFonts w:ascii="Tahoma" w:hAnsi="Tahoma" w:cs="Tahoma"/>
                <w:color w:val="000000"/>
                <w:sz w:val="16"/>
                <w:szCs w:val="16"/>
                <w:lang w:eastAsia="fr-FR"/>
              </w:rPr>
            </w:pPr>
            <w:r w:rsidRPr="00F44C4F">
              <w:rPr>
                <w:rFonts w:ascii="Tahoma" w:hAnsi="Tahoma" w:cs="Tahoma"/>
                <w:color w:val="000000"/>
                <w:sz w:val="16"/>
                <w:szCs w:val="16"/>
                <w:lang w:eastAsia="fr-FR"/>
              </w:rPr>
              <w:t>60%</w:t>
            </w:r>
          </w:p>
        </w:tc>
        <w:tc>
          <w:tcPr>
            <w:tcW w:w="1701" w:type="dxa"/>
            <w:shd w:val="clear" w:color="000000" w:fill="F4F46C"/>
            <w:noWrap/>
            <w:vAlign w:val="center"/>
            <w:hideMark/>
          </w:tcPr>
          <w:p w:rsidR="007E399B" w:rsidRPr="00F44C4F" w:rsidRDefault="007E399B" w:rsidP="002D1D62">
            <w:pPr>
              <w:spacing w:after="0"/>
              <w:rPr>
                <w:rFonts w:ascii="Tahoma" w:hAnsi="Tahoma" w:cs="Tahoma"/>
                <w:color w:val="000000"/>
                <w:sz w:val="16"/>
                <w:szCs w:val="16"/>
                <w:lang w:eastAsia="fr-FR"/>
              </w:rPr>
            </w:pPr>
            <w:r w:rsidRPr="00F44C4F">
              <w:rPr>
                <w:rFonts w:ascii="Tahoma" w:hAnsi="Tahoma" w:cs="Tahoma"/>
                <w:color w:val="000000"/>
                <w:sz w:val="16"/>
                <w:szCs w:val="16"/>
                <w:lang w:eastAsia="fr-FR"/>
              </w:rPr>
              <w:t>20%</w:t>
            </w:r>
          </w:p>
        </w:tc>
        <w:tc>
          <w:tcPr>
            <w:tcW w:w="992" w:type="dxa"/>
            <w:shd w:val="clear" w:color="000000" w:fill="F4F46C"/>
            <w:noWrap/>
            <w:vAlign w:val="center"/>
            <w:hideMark/>
          </w:tcPr>
          <w:p w:rsidR="007E399B" w:rsidRPr="00F44C4F" w:rsidRDefault="007E399B" w:rsidP="002D1D62">
            <w:pPr>
              <w:spacing w:after="0"/>
              <w:rPr>
                <w:rFonts w:ascii="Tahoma" w:hAnsi="Tahoma" w:cs="Tahoma"/>
                <w:color w:val="000000"/>
                <w:sz w:val="16"/>
                <w:szCs w:val="16"/>
                <w:lang w:eastAsia="fr-FR"/>
              </w:rPr>
            </w:pPr>
            <w:r w:rsidRPr="00F44C4F">
              <w:rPr>
                <w:rFonts w:ascii="Tahoma" w:hAnsi="Tahoma" w:cs="Tahoma"/>
                <w:color w:val="000000"/>
                <w:sz w:val="16"/>
                <w:szCs w:val="16"/>
                <w:lang w:eastAsia="fr-FR"/>
              </w:rPr>
              <w:t>20%</w:t>
            </w:r>
          </w:p>
        </w:tc>
        <w:tc>
          <w:tcPr>
            <w:tcW w:w="851" w:type="dxa"/>
            <w:shd w:val="clear" w:color="000000" w:fill="FFC000"/>
            <w:noWrap/>
            <w:vAlign w:val="center"/>
            <w:hideMark/>
          </w:tcPr>
          <w:p w:rsidR="007E399B" w:rsidRPr="00F44C4F" w:rsidRDefault="007E399B" w:rsidP="002D1D62">
            <w:pPr>
              <w:spacing w:after="0"/>
              <w:rPr>
                <w:rFonts w:ascii="Tahoma" w:hAnsi="Tahoma" w:cs="Tahoma"/>
                <w:color w:val="000000"/>
                <w:sz w:val="16"/>
                <w:szCs w:val="16"/>
                <w:lang w:eastAsia="fr-FR"/>
              </w:rPr>
            </w:pPr>
            <w:r w:rsidRPr="00F44C4F">
              <w:rPr>
                <w:rFonts w:ascii="Tahoma" w:hAnsi="Tahoma" w:cs="Tahoma"/>
                <w:color w:val="000000"/>
                <w:sz w:val="16"/>
                <w:szCs w:val="16"/>
                <w:lang w:eastAsia="fr-FR"/>
              </w:rPr>
              <w:t>50%</w:t>
            </w:r>
          </w:p>
        </w:tc>
      </w:tr>
      <w:tr w:rsidR="007E399B" w:rsidRPr="00F44C4F" w:rsidTr="002D1D62">
        <w:trPr>
          <w:trHeight w:val="269"/>
        </w:trPr>
        <w:tc>
          <w:tcPr>
            <w:tcW w:w="851" w:type="dxa"/>
            <w:vMerge/>
            <w:vAlign w:val="center"/>
            <w:hideMark/>
          </w:tcPr>
          <w:p w:rsidR="007E399B" w:rsidRPr="00F44C4F" w:rsidRDefault="007E399B" w:rsidP="002D1D62">
            <w:pPr>
              <w:spacing w:after="0"/>
              <w:rPr>
                <w:rFonts w:ascii="Tahoma" w:hAnsi="Tahoma" w:cs="Tahoma"/>
                <w:b/>
                <w:bCs/>
                <w:color w:val="000000"/>
                <w:sz w:val="16"/>
                <w:szCs w:val="16"/>
                <w:lang w:eastAsia="fr-FR"/>
              </w:rPr>
            </w:pPr>
          </w:p>
        </w:tc>
        <w:tc>
          <w:tcPr>
            <w:tcW w:w="850" w:type="dxa"/>
            <w:vMerge/>
            <w:vAlign w:val="center"/>
            <w:hideMark/>
          </w:tcPr>
          <w:p w:rsidR="007E399B" w:rsidRPr="00F44C4F" w:rsidRDefault="007E399B" w:rsidP="002D1D62">
            <w:pPr>
              <w:spacing w:after="0"/>
              <w:rPr>
                <w:rFonts w:ascii="Tahoma" w:hAnsi="Tahoma" w:cs="Tahoma"/>
                <w:color w:val="000000"/>
                <w:sz w:val="16"/>
                <w:szCs w:val="16"/>
                <w:lang w:eastAsia="fr-FR"/>
              </w:rPr>
            </w:pPr>
          </w:p>
        </w:tc>
        <w:tc>
          <w:tcPr>
            <w:tcW w:w="993" w:type="dxa"/>
            <w:shd w:val="clear" w:color="auto" w:fill="auto"/>
            <w:noWrap/>
            <w:vAlign w:val="center"/>
            <w:hideMark/>
          </w:tcPr>
          <w:p w:rsidR="007E399B" w:rsidRPr="00F44C4F" w:rsidRDefault="007E399B" w:rsidP="002D1D62">
            <w:pPr>
              <w:spacing w:after="0"/>
              <w:rPr>
                <w:rFonts w:ascii="Tahoma" w:hAnsi="Tahoma" w:cs="Tahoma"/>
                <w:color w:val="000000"/>
                <w:sz w:val="16"/>
                <w:szCs w:val="16"/>
                <w:lang w:eastAsia="fr-FR"/>
              </w:rPr>
            </w:pPr>
            <w:r w:rsidRPr="00F44C4F">
              <w:rPr>
                <w:rFonts w:ascii="Tahoma" w:hAnsi="Tahoma" w:cs="Tahoma"/>
                <w:color w:val="000000"/>
                <w:sz w:val="16"/>
                <w:szCs w:val="16"/>
                <w:lang w:eastAsia="fr-FR"/>
              </w:rPr>
              <w:t>Lbghada</w:t>
            </w:r>
          </w:p>
        </w:tc>
        <w:tc>
          <w:tcPr>
            <w:tcW w:w="850" w:type="dxa"/>
            <w:shd w:val="clear" w:color="000000" w:fill="D34B07"/>
            <w:noWrap/>
            <w:vAlign w:val="center"/>
            <w:hideMark/>
          </w:tcPr>
          <w:p w:rsidR="007E399B" w:rsidRPr="00F44C4F" w:rsidRDefault="007E399B" w:rsidP="002D1D62">
            <w:pPr>
              <w:spacing w:after="0"/>
              <w:rPr>
                <w:rFonts w:ascii="Tahoma" w:hAnsi="Tahoma" w:cs="Tahoma"/>
                <w:color w:val="000000"/>
                <w:sz w:val="16"/>
                <w:szCs w:val="16"/>
                <w:lang w:eastAsia="fr-FR"/>
              </w:rPr>
            </w:pPr>
            <w:r w:rsidRPr="00F44C4F">
              <w:rPr>
                <w:rFonts w:ascii="Tahoma" w:hAnsi="Tahoma" w:cs="Tahoma"/>
                <w:color w:val="000000"/>
                <w:sz w:val="16"/>
                <w:szCs w:val="16"/>
                <w:lang w:eastAsia="fr-FR"/>
              </w:rPr>
              <w:t>100%</w:t>
            </w:r>
          </w:p>
        </w:tc>
        <w:tc>
          <w:tcPr>
            <w:tcW w:w="992" w:type="dxa"/>
            <w:shd w:val="clear" w:color="000000" w:fill="D34B07"/>
            <w:noWrap/>
            <w:vAlign w:val="center"/>
            <w:hideMark/>
          </w:tcPr>
          <w:p w:rsidR="007E399B" w:rsidRPr="00F44C4F" w:rsidRDefault="007E399B" w:rsidP="002D1D62">
            <w:pPr>
              <w:spacing w:after="0"/>
              <w:rPr>
                <w:rFonts w:ascii="Tahoma" w:hAnsi="Tahoma" w:cs="Tahoma"/>
                <w:color w:val="000000"/>
                <w:sz w:val="16"/>
                <w:szCs w:val="16"/>
                <w:lang w:eastAsia="fr-FR"/>
              </w:rPr>
            </w:pPr>
            <w:r w:rsidRPr="00F44C4F">
              <w:rPr>
                <w:rFonts w:ascii="Tahoma" w:hAnsi="Tahoma" w:cs="Tahoma"/>
                <w:color w:val="000000"/>
                <w:sz w:val="16"/>
                <w:szCs w:val="16"/>
                <w:lang w:eastAsia="fr-FR"/>
              </w:rPr>
              <w:t>100%</w:t>
            </w:r>
          </w:p>
        </w:tc>
        <w:tc>
          <w:tcPr>
            <w:tcW w:w="1134" w:type="dxa"/>
            <w:shd w:val="clear" w:color="000000" w:fill="D34B07"/>
            <w:noWrap/>
            <w:vAlign w:val="center"/>
            <w:hideMark/>
          </w:tcPr>
          <w:p w:rsidR="007E399B" w:rsidRPr="00F44C4F" w:rsidRDefault="007E399B" w:rsidP="002D1D62">
            <w:pPr>
              <w:spacing w:after="0"/>
              <w:rPr>
                <w:rFonts w:ascii="Tahoma" w:hAnsi="Tahoma" w:cs="Tahoma"/>
                <w:color w:val="000000"/>
                <w:sz w:val="16"/>
                <w:szCs w:val="16"/>
                <w:lang w:eastAsia="fr-FR"/>
              </w:rPr>
            </w:pPr>
            <w:r w:rsidRPr="00F44C4F">
              <w:rPr>
                <w:rFonts w:ascii="Tahoma" w:hAnsi="Tahoma" w:cs="Tahoma"/>
                <w:color w:val="000000"/>
                <w:sz w:val="16"/>
                <w:szCs w:val="16"/>
                <w:lang w:eastAsia="fr-FR"/>
              </w:rPr>
              <w:t>100%</w:t>
            </w:r>
          </w:p>
        </w:tc>
        <w:tc>
          <w:tcPr>
            <w:tcW w:w="1276" w:type="dxa"/>
            <w:shd w:val="clear" w:color="000000" w:fill="D34B07"/>
            <w:noWrap/>
            <w:vAlign w:val="center"/>
            <w:hideMark/>
          </w:tcPr>
          <w:p w:rsidR="007E399B" w:rsidRPr="00F44C4F" w:rsidRDefault="007E399B" w:rsidP="002D1D62">
            <w:pPr>
              <w:spacing w:after="0"/>
              <w:rPr>
                <w:rFonts w:ascii="Tahoma" w:hAnsi="Tahoma" w:cs="Tahoma"/>
                <w:color w:val="000000"/>
                <w:sz w:val="16"/>
                <w:szCs w:val="16"/>
                <w:lang w:eastAsia="fr-FR"/>
              </w:rPr>
            </w:pPr>
            <w:r w:rsidRPr="00F44C4F">
              <w:rPr>
                <w:rFonts w:ascii="Tahoma" w:hAnsi="Tahoma" w:cs="Tahoma"/>
                <w:color w:val="000000"/>
                <w:sz w:val="16"/>
                <w:szCs w:val="16"/>
                <w:lang w:eastAsia="fr-FR"/>
              </w:rPr>
              <w:t>100%</w:t>
            </w:r>
          </w:p>
        </w:tc>
        <w:tc>
          <w:tcPr>
            <w:tcW w:w="1701" w:type="dxa"/>
            <w:shd w:val="clear" w:color="000000" w:fill="FFC000"/>
            <w:noWrap/>
            <w:vAlign w:val="center"/>
            <w:hideMark/>
          </w:tcPr>
          <w:p w:rsidR="007E399B" w:rsidRPr="00F44C4F" w:rsidRDefault="007E399B" w:rsidP="002D1D62">
            <w:pPr>
              <w:spacing w:after="0"/>
              <w:rPr>
                <w:rFonts w:ascii="Tahoma" w:hAnsi="Tahoma" w:cs="Tahoma"/>
                <w:color w:val="000000"/>
                <w:sz w:val="16"/>
                <w:szCs w:val="16"/>
                <w:lang w:eastAsia="fr-FR"/>
              </w:rPr>
            </w:pPr>
            <w:r w:rsidRPr="00F44C4F">
              <w:rPr>
                <w:rFonts w:ascii="Tahoma" w:hAnsi="Tahoma" w:cs="Tahoma"/>
                <w:color w:val="000000"/>
                <w:sz w:val="16"/>
                <w:szCs w:val="16"/>
                <w:lang w:eastAsia="fr-FR"/>
              </w:rPr>
              <w:t>50%</w:t>
            </w:r>
          </w:p>
        </w:tc>
        <w:tc>
          <w:tcPr>
            <w:tcW w:w="992" w:type="dxa"/>
            <w:shd w:val="clear" w:color="000000" w:fill="FFC000"/>
            <w:noWrap/>
            <w:vAlign w:val="center"/>
            <w:hideMark/>
          </w:tcPr>
          <w:p w:rsidR="007E399B" w:rsidRPr="00F44C4F" w:rsidRDefault="007E399B" w:rsidP="002D1D62">
            <w:pPr>
              <w:spacing w:after="0"/>
              <w:rPr>
                <w:rFonts w:ascii="Tahoma" w:hAnsi="Tahoma" w:cs="Tahoma"/>
                <w:color w:val="000000"/>
                <w:sz w:val="16"/>
                <w:szCs w:val="16"/>
                <w:lang w:eastAsia="fr-FR"/>
              </w:rPr>
            </w:pPr>
            <w:r w:rsidRPr="00F44C4F">
              <w:rPr>
                <w:rFonts w:ascii="Tahoma" w:hAnsi="Tahoma" w:cs="Tahoma"/>
                <w:color w:val="000000"/>
                <w:sz w:val="16"/>
                <w:szCs w:val="16"/>
                <w:lang w:eastAsia="fr-FR"/>
              </w:rPr>
              <w:t>50%</w:t>
            </w:r>
          </w:p>
        </w:tc>
        <w:tc>
          <w:tcPr>
            <w:tcW w:w="851" w:type="dxa"/>
            <w:shd w:val="clear" w:color="000000" w:fill="D34B07"/>
            <w:noWrap/>
            <w:vAlign w:val="center"/>
            <w:hideMark/>
          </w:tcPr>
          <w:p w:rsidR="007E399B" w:rsidRPr="00F44C4F" w:rsidRDefault="007E399B" w:rsidP="002D1D62">
            <w:pPr>
              <w:spacing w:after="0"/>
              <w:rPr>
                <w:rFonts w:ascii="Tahoma" w:hAnsi="Tahoma" w:cs="Tahoma"/>
                <w:color w:val="000000"/>
                <w:sz w:val="16"/>
                <w:szCs w:val="16"/>
                <w:lang w:eastAsia="fr-FR"/>
              </w:rPr>
            </w:pPr>
            <w:r w:rsidRPr="00F44C4F">
              <w:rPr>
                <w:rFonts w:ascii="Tahoma" w:hAnsi="Tahoma" w:cs="Tahoma"/>
                <w:color w:val="000000"/>
                <w:sz w:val="16"/>
                <w:szCs w:val="16"/>
                <w:lang w:eastAsia="fr-FR"/>
              </w:rPr>
              <w:t>83%</w:t>
            </w:r>
          </w:p>
        </w:tc>
      </w:tr>
      <w:tr w:rsidR="007E399B" w:rsidRPr="00F44C4F" w:rsidTr="002D1D62">
        <w:trPr>
          <w:trHeight w:val="269"/>
        </w:trPr>
        <w:tc>
          <w:tcPr>
            <w:tcW w:w="851" w:type="dxa"/>
            <w:vMerge/>
            <w:vAlign w:val="center"/>
            <w:hideMark/>
          </w:tcPr>
          <w:p w:rsidR="007E399B" w:rsidRPr="00F44C4F" w:rsidRDefault="007E399B" w:rsidP="002D1D62">
            <w:pPr>
              <w:spacing w:after="0"/>
              <w:rPr>
                <w:rFonts w:ascii="Tahoma" w:hAnsi="Tahoma" w:cs="Tahoma"/>
                <w:b/>
                <w:bCs/>
                <w:color w:val="000000"/>
                <w:sz w:val="16"/>
                <w:szCs w:val="16"/>
                <w:lang w:eastAsia="fr-FR"/>
              </w:rPr>
            </w:pPr>
          </w:p>
        </w:tc>
        <w:tc>
          <w:tcPr>
            <w:tcW w:w="850" w:type="dxa"/>
            <w:vMerge/>
            <w:vAlign w:val="center"/>
            <w:hideMark/>
          </w:tcPr>
          <w:p w:rsidR="007E399B" w:rsidRPr="00F44C4F" w:rsidRDefault="007E399B" w:rsidP="002D1D62">
            <w:pPr>
              <w:spacing w:after="0"/>
              <w:rPr>
                <w:rFonts w:ascii="Tahoma" w:hAnsi="Tahoma" w:cs="Tahoma"/>
                <w:color w:val="000000"/>
                <w:sz w:val="16"/>
                <w:szCs w:val="16"/>
                <w:lang w:eastAsia="fr-FR"/>
              </w:rPr>
            </w:pPr>
          </w:p>
        </w:tc>
        <w:tc>
          <w:tcPr>
            <w:tcW w:w="993" w:type="dxa"/>
            <w:shd w:val="clear" w:color="auto" w:fill="auto"/>
            <w:noWrap/>
            <w:vAlign w:val="center"/>
            <w:hideMark/>
          </w:tcPr>
          <w:p w:rsidR="007E399B" w:rsidRPr="00F44C4F" w:rsidRDefault="007E399B" w:rsidP="002D1D62">
            <w:pPr>
              <w:spacing w:after="0"/>
              <w:rPr>
                <w:rFonts w:ascii="Tahoma" w:hAnsi="Tahoma" w:cs="Tahoma"/>
                <w:color w:val="000000"/>
                <w:sz w:val="16"/>
                <w:szCs w:val="16"/>
                <w:lang w:eastAsia="fr-FR"/>
              </w:rPr>
            </w:pPr>
            <w:r w:rsidRPr="00F44C4F">
              <w:rPr>
                <w:rFonts w:ascii="Tahoma" w:hAnsi="Tahoma" w:cs="Tahoma"/>
                <w:color w:val="000000"/>
                <w:sz w:val="16"/>
                <w:szCs w:val="16"/>
                <w:lang w:eastAsia="fr-FR"/>
              </w:rPr>
              <w:t>Nkaila</w:t>
            </w:r>
          </w:p>
        </w:tc>
        <w:tc>
          <w:tcPr>
            <w:tcW w:w="850" w:type="dxa"/>
            <w:shd w:val="clear" w:color="000000" w:fill="FFC000"/>
            <w:noWrap/>
            <w:vAlign w:val="center"/>
            <w:hideMark/>
          </w:tcPr>
          <w:p w:rsidR="007E399B" w:rsidRPr="00F44C4F" w:rsidRDefault="007E399B" w:rsidP="002D1D62">
            <w:pPr>
              <w:spacing w:after="0"/>
              <w:rPr>
                <w:rFonts w:ascii="Tahoma" w:hAnsi="Tahoma" w:cs="Tahoma"/>
                <w:color w:val="000000"/>
                <w:sz w:val="16"/>
                <w:szCs w:val="16"/>
                <w:lang w:eastAsia="fr-FR"/>
              </w:rPr>
            </w:pPr>
            <w:r w:rsidRPr="00F44C4F">
              <w:rPr>
                <w:rFonts w:ascii="Tahoma" w:hAnsi="Tahoma" w:cs="Tahoma"/>
                <w:color w:val="000000"/>
                <w:sz w:val="16"/>
                <w:szCs w:val="16"/>
                <w:lang w:eastAsia="fr-FR"/>
              </w:rPr>
              <w:t>60%</w:t>
            </w:r>
          </w:p>
        </w:tc>
        <w:tc>
          <w:tcPr>
            <w:tcW w:w="992" w:type="dxa"/>
            <w:shd w:val="clear" w:color="000000" w:fill="D34B07"/>
            <w:noWrap/>
            <w:vAlign w:val="center"/>
            <w:hideMark/>
          </w:tcPr>
          <w:p w:rsidR="007E399B" w:rsidRPr="00F44C4F" w:rsidRDefault="007E399B" w:rsidP="002D1D62">
            <w:pPr>
              <w:spacing w:after="0"/>
              <w:rPr>
                <w:rFonts w:ascii="Tahoma" w:hAnsi="Tahoma" w:cs="Tahoma"/>
                <w:color w:val="000000"/>
                <w:sz w:val="16"/>
                <w:szCs w:val="16"/>
                <w:lang w:eastAsia="fr-FR"/>
              </w:rPr>
            </w:pPr>
            <w:r w:rsidRPr="00F44C4F">
              <w:rPr>
                <w:rFonts w:ascii="Tahoma" w:hAnsi="Tahoma" w:cs="Tahoma"/>
                <w:color w:val="000000"/>
                <w:sz w:val="16"/>
                <w:szCs w:val="16"/>
                <w:lang w:eastAsia="fr-FR"/>
              </w:rPr>
              <w:t>100%</w:t>
            </w:r>
          </w:p>
        </w:tc>
        <w:tc>
          <w:tcPr>
            <w:tcW w:w="1134" w:type="dxa"/>
            <w:shd w:val="clear" w:color="000000" w:fill="D34B07"/>
            <w:noWrap/>
            <w:vAlign w:val="center"/>
            <w:hideMark/>
          </w:tcPr>
          <w:p w:rsidR="007E399B" w:rsidRPr="00F44C4F" w:rsidRDefault="007E399B" w:rsidP="002D1D62">
            <w:pPr>
              <w:spacing w:after="0"/>
              <w:rPr>
                <w:rFonts w:ascii="Tahoma" w:hAnsi="Tahoma" w:cs="Tahoma"/>
                <w:color w:val="000000"/>
                <w:sz w:val="16"/>
                <w:szCs w:val="16"/>
                <w:lang w:eastAsia="fr-FR"/>
              </w:rPr>
            </w:pPr>
            <w:r w:rsidRPr="00F44C4F">
              <w:rPr>
                <w:rFonts w:ascii="Tahoma" w:hAnsi="Tahoma" w:cs="Tahoma"/>
                <w:color w:val="000000"/>
                <w:sz w:val="16"/>
                <w:szCs w:val="16"/>
                <w:lang w:eastAsia="fr-FR"/>
              </w:rPr>
              <w:t>100%</w:t>
            </w:r>
          </w:p>
        </w:tc>
        <w:tc>
          <w:tcPr>
            <w:tcW w:w="1276" w:type="dxa"/>
            <w:shd w:val="clear" w:color="000000" w:fill="D34B07"/>
            <w:noWrap/>
            <w:vAlign w:val="center"/>
            <w:hideMark/>
          </w:tcPr>
          <w:p w:rsidR="007E399B" w:rsidRPr="00F44C4F" w:rsidRDefault="007E399B" w:rsidP="002D1D62">
            <w:pPr>
              <w:spacing w:after="0"/>
              <w:rPr>
                <w:rFonts w:ascii="Tahoma" w:hAnsi="Tahoma" w:cs="Tahoma"/>
                <w:color w:val="000000"/>
                <w:sz w:val="16"/>
                <w:szCs w:val="16"/>
                <w:lang w:eastAsia="fr-FR"/>
              </w:rPr>
            </w:pPr>
            <w:r w:rsidRPr="00F44C4F">
              <w:rPr>
                <w:rFonts w:ascii="Tahoma" w:hAnsi="Tahoma" w:cs="Tahoma"/>
                <w:color w:val="000000"/>
                <w:sz w:val="16"/>
                <w:szCs w:val="16"/>
                <w:lang w:eastAsia="fr-FR"/>
              </w:rPr>
              <w:t>100%</w:t>
            </w:r>
          </w:p>
        </w:tc>
        <w:tc>
          <w:tcPr>
            <w:tcW w:w="1701" w:type="dxa"/>
            <w:shd w:val="clear" w:color="000000" w:fill="F4F46C"/>
            <w:noWrap/>
            <w:vAlign w:val="center"/>
            <w:hideMark/>
          </w:tcPr>
          <w:p w:rsidR="007E399B" w:rsidRPr="00F44C4F" w:rsidRDefault="007E399B" w:rsidP="002D1D62">
            <w:pPr>
              <w:spacing w:after="0"/>
              <w:rPr>
                <w:rFonts w:ascii="Tahoma" w:hAnsi="Tahoma" w:cs="Tahoma"/>
                <w:color w:val="000000"/>
                <w:sz w:val="16"/>
                <w:szCs w:val="16"/>
                <w:lang w:eastAsia="fr-FR"/>
              </w:rPr>
            </w:pPr>
            <w:r w:rsidRPr="00F44C4F">
              <w:rPr>
                <w:rFonts w:ascii="Tahoma" w:hAnsi="Tahoma" w:cs="Tahoma"/>
                <w:color w:val="000000"/>
                <w:sz w:val="16"/>
                <w:szCs w:val="16"/>
                <w:lang w:eastAsia="fr-FR"/>
              </w:rPr>
              <w:t>0%</w:t>
            </w:r>
          </w:p>
        </w:tc>
        <w:tc>
          <w:tcPr>
            <w:tcW w:w="992" w:type="dxa"/>
            <w:shd w:val="clear" w:color="000000" w:fill="F4F46C"/>
            <w:noWrap/>
            <w:vAlign w:val="center"/>
            <w:hideMark/>
          </w:tcPr>
          <w:p w:rsidR="007E399B" w:rsidRPr="00F44C4F" w:rsidRDefault="007E399B" w:rsidP="002D1D62">
            <w:pPr>
              <w:spacing w:after="0"/>
              <w:rPr>
                <w:rFonts w:ascii="Tahoma" w:hAnsi="Tahoma" w:cs="Tahoma"/>
                <w:color w:val="000000"/>
                <w:sz w:val="16"/>
                <w:szCs w:val="16"/>
                <w:lang w:eastAsia="fr-FR"/>
              </w:rPr>
            </w:pPr>
            <w:r w:rsidRPr="00F44C4F">
              <w:rPr>
                <w:rFonts w:ascii="Tahoma" w:hAnsi="Tahoma" w:cs="Tahoma"/>
                <w:color w:val="000000"/>
                <w:sz w:val="16"/>
                <w:szCs w:val="16"/>
                <w:lang w:eastAsia="fr-FR"/>
              </w:rPr>
              <w:t>0%</w:t>
            </w:r>
          </w:p>
        </w:tc>
        <w:tc>
          <w:tcPr>
            <w:tcW w:w="851" w:type="dxa"/>
            <w:shd w:val="clear" w:color="000000" w:fill="FFC000"/>
            <w:noWrap/>
            <w:vAlign w:val="center"/>
            <w:hideMark/>
          </w:tcPr>
          <w:p w:rsidR="007E399B" w:rsidRPr="00F44C4F" w:rsidRDefault="007E399B" w:rsidP="002D1D62">
            <w:pPr>
              <w:spacing w:after="0"/>
              <w:rPr>
                <w:rFonts w:ascii="Tahoma" w:hAnsi="Tahoma" w:cs="Tahoma"/>
                <w:color w:val="000000"/>
                <w:sz w:val="16"/>
                <w:szCs w:val="16"/>
                <w:lang w:eastAsia="fr-FR"/>
              </w:rPr>
            </w:pPr>
            <w:r w:rsidRPr="00F44C4F">
              <w:rPr>
                <w:rFonts w:ascii="Tahoma" w:hAnsi="Tahoma" w:cs="Tahoma"/>
                <w:color w:val="000000"/>
                <w:sz w:val="16"/>
                <w:szCs w:val="16"/>
                <w:lang w:eastAsia="fr-FR"/>
              </w:rPr>
              <w:t>60%</w:t>
            </w:r>
          </w:p>
        </w:tc>
      </w:tr>
      <w:tr w:rsidR="007E399B" w:rsidRPr="00F44C4F" w:rsidTr="002D1D62">
        <w:trPr>
          <w:trHeight w:val="269"/>
        </w:trPr>
        <w:tc>
          <w:tcPr>
            <w:tcW w:w="851" w:type="dxa"/>
            <w:vMerge/>
            <w:vAlign w:val="center"/>
            <w:hideMark/>
          </w:tcPr>
          <w:p w:rsidR="007E399B" w:rsidRPr="00F44C4F" w:rsidRDefault="007E399B" w:rsidP="002D1D62">
            <w:pPr>
              <w:spacing w:after="0"/>
              <w:rPr>
                <w:rFonts w:ascii="Tahoma" w:hAnsi="Tahoma" w:cs="Tahoma"/>
                <w:b/>
                <w:bCs/>
                <w:color w:val="000000"/>
                <w:sz w:val="16"/>
                <w:szCs w:val="16"/>
                <w:lang w:eastAsia="fr-FR"/>
              </w:rPr>
            </w:pPr>
          </w:p>
        </w:tc>
        <w:tc>
          <w:tcPr>
            <w:tcW w:w="850" w:type="dxa"/>
            <w:vMerge/>
            <w:vAlign w:val="center"/>
            <w:hideMark/>
          </w:tcPr>
          <w:p w:rsidR="007E399B" w:rsidRPr="00F44C4F" w:rsidRDefault="007E399B" w:rsidP="002D1D62">
            <w:pPr>
              <w:spacing w:after="0"/>
              <w:rPr>
                <w:rFonts w:ascii="Tahoma" w:hAnsi="Tahoma" w:cs="Tahoma"/>
                <w:color w:val="000000"/>
                <w:sz w:val="16"/>
                <w:szCs w:val="16"/>
                <w:lang w:eastAsia="fr-FR"/>
              </w:rPr>
            </w:pPr>
          </w:p>
        </w:tc>
        <w:tc>
          <w:tcPr>
            <w:tcW w:w="993" w:type="dxa"/>
            <w:shd w:val="clear" w:color="auto" w:fill="auto"/>
            <w:noWrap/>
            <w:vAlign w:val="center"/>
            <w:hideMark/>
          </w:tcPr>
          <w:p w:rsidR="007E399B" w:rsidRPr="00F44C4F" w:rsidRDefault="007E399B" w:rsidP="002D1D62">
            <w:pPr>
              <w:spacing w:after="0"/>
              <w:rPr>
                <w:rFonts w:ascii="Tahoma" w:hAnsi="Tahoma" w:cs="Tahoma"/>
                <w:color w:val="000000"/>
                <w:sz w:val="16"/>
                <w:szCs w:val="16"/>
                <w:lang w:eastAsia="fr-FR"/>
              </w:rPr>
            </w:pPr>
            <w:r w:rsidRPr="00F44C4F">
              <w:rPr>
                <w:rFonts w:ascii="Tahoma" w:hAnsi="Tahoma" w:cs="Tahoma"/>
                <w:color w:val="000000"/>
                <w:sz w:val="16"/>
                <w:szCs w:val="16"/>
                <w:lang w:eastAsia="fr-FR"/>
              </w:rPr>
              <w:t xml:space="preserve">Oulad Hmama </w:t>
            </w:r>
          </w:p>
        </w:tc>
        <w:tc>
          <w:tcPr>
            <w:tcW w:w="850" w:type="dxa"/>
            <w:shd w:val="clear" w:color="000000" w:fill="D34B07"/>
            <w:noWrap/>
            <w:vAlign w:val="center"/>
            <w:hideMark/>
          </w:tcPr>
          <w:p w:rsidR="007E399B" w:rsidRPr="00F44C4F" w:rsidRDefault="007E399B" w:rsidP="002D1D62">
            <w:pPr>
              <w:spacing w:after="0"/>
              <w:rPr>
                <w:rFonts w:ascii="Tahoma" w:hAnsi="Tahoma" w:cs="Tahoma"/>
                <w:color w:val="000000"/>
                <w:sz w:val="16"/>
                <w:szCs w:val="16"/>
                <w:lang w:eastAsia="fr-FR"/>
              </w:rPr>
            </w:pPr>
            <w:r w:rsidRPr="00F44C4F">
              <w:rPr>
                <w:rFonts w:ascii="Tahoma" w:hAnsi="Tahoma" w:cs="Tahoma"/>
                <w:color w:val="000000"/>
                <w:sz w:val="16"/>
                <w:szCs w:val="16"/>
                <w:lang w:eastAsia="fr-FR"/>
              </w:rPr>
              <w:t>100%</w:t>
            </w:r>
          </w:p>
        </w:tc>
        <w:tc>
          <w:tcPr>
            <w:tcW w:w="992" w:type="dxa"/>
            <w:shd w:val="clear" w:color="000000" w:fill="D34B07"/>
            <w:noWrap/>
            <w:vAlign w:val="center"/>
            <w:hideMark/>
          </w:tcPr>
          <w:p w:rsidR="007E399B" w:rsidRPr="00F44C4F" w:rsidRDefault="007E399B" w:rsidP="002D1D62">
            <w:pPr>
              <w:spacing w:after="0"/>
              <w:rPr>
                <w:rFonts w:ascii="Tahoma" w:hAnsi="Tahoma" w:cs="Tahoma"/>
                <w:color w:val="000000"/>
                <w:sz w:val="16"/>
                <w:szCs w:val="16"/>
                <w:lang w:eastAsia="fr-FR"/>
              </w:rPr>
            </w:pPr>
            <w:r w:rsidRPr="00F44C4F">
              <w:rPr>
                <w:rFonts w:ascii="Tahoma" w:hAnsi="Tahoma" w:cs="Tahoma"/>
                <w:color w:val="000000"/>
                <w:sz w:val="16"/>
                <w:szCs w:val="16"/>
                <w:lang w:eastAsia="fr-FR"/>
              </w:rPr>
              <w:t>100%</w:t>
            </w:r>
          </w:p>
        </w:tc>
        <w:tc>
          <w:tcPr>
            <w:tcW w:w="1134" w:type="dxa"/>
            <w:shd w:val="clear" w:color="000000" w:fill="D34B07"/>
            <w:noWrap/>
            <w:vAlign w:val="center"/>
            <w:hideMark/>
          </w:tcPr>
          <w:p w:rsidR="007E399B" w:rsidRPr="00F44C4F" w:rsidRDefault="007E399B" w:rsidP="002D1D62">
            <w:pPr>
              <w:spacing w:after="0"/>
              <w:rPr>
                <w:rFonts w:ascii="Tahoma" w:hAnsi="Tahoma" w:cs="Tahoma"/>
                <w:color w:val="000000"/>
                <w:sz w:val="16"/>
                <w:szCs w:val="16"/>
                <w:lang w:eastAsia="fr-FR"/>
              </w:rPr>
            </w:pPr>
            <w:r w:rsidRPr="00F44C4F">
              <w:rPr>
                <w:rFonts w:ascii="Tahoma" w:hAnsi="Tahoma" w:cs="Tahoma"/>
                <w:color w:val="000000"/>
                <w:sz w:val="16"/>
                <w:szCs w:val="16"/>
                <w:lang w:eastAsia="fr-FR"/>
              </w:rPr>
              <w:t>100%</w:t>
            </w:r>
          </w:p>
        </w:tc>
        <w:tc>
          <w:tcPr>
            <w:tcW w:w="1276" w:type="dxa"/>
            <w:shd w:val="clear" w:color="000000" w:fill="D34B07"/>
            <w:noWrap/>
            <w:vAlign w:val="center"/>
            <w:hideMark/>
          </w:tcPr>
          <w:p w:rsidR="007E399B" w:rsidRPr="00F44C4F" w:rsidRDefault="007E399B" w:rsidP="002D1D62">
            <w:pPr>
              <w:spacing w:after="0"/>
              <w:rPr>
                <w:rFonts w:ascii="Tahoma" w:hAnsi="Tahoma" w:cs="Tahoma"/>
                <w:color w:val="000000"/>
                <w:sz w:val="16"/>
                <w:szCs w:val="16"/>
                <w:lang w:eastAsia="fr-FR"/>
              </w:rPr>
            </w:pPr>
            <w:r w:rsidRPr="00F44C4F">
              <w:rPr>
                <w:rFonts w:ascii="Tahoma" w:hAnsi="Tahoma" w:cs="Tahoma"/>
                <w:color w:val="000000"/>
                <w:sz w:val="16"/>
                <w:szCs w:val="16"/>
                <w:lang w:eastAsia="fr-FR"/>
              </w:rPr>
              <w:t>100%</w:t>
            </w:r>
          </w:p>
        </w:tc>
        <w:tc>
          <w:tcPr>
            <w:tcW w:w="1701" w:type="dxa"/>
            <w:shd w:val="clear" w:color="000000" w:fill="F4F46C"/>
            <w:noWrap/>
            <w:vAlign w:val="center"/>
            <w:hideMark/>
          </w:tcPr>
          <w:p w:rsidR="007E399B" w:rsidRPr="00F44C4F" w:rsidRDefault="007E399B" w:rsidP="002D1D62">
            <w:pPr>
              <w:spacing w:after="0"/>
              <w:rPr>
                <w:rFonts w:ascii="Tahoma" w:hAnsi="Tahoma" w:cs="Tahoma"/>
                <w:color w:val="000000"/>
                <w:sz w:val="16"/>
                <w:szCs w:val="16"/>
                <w:lang w:eastAsia="fr-FR"/>
              </w:rPr>
            </w:pPr>
            <w:r w:rsidRPr="00F44C4F">
              <w:rPr>
                <w:rFonts w:ascii="Tahoma" w:hAnsi="Tahoma" w:cs="Tahoma"/>
                <w:color w:val="000000"/>
                <w:sz w:val="16"/>
                <w:szCs w:val="16"/>
                <w:lang w:eastAsia="fr-FR"/>
              </w:rPr>
              <w:t>20%</w:t>
            </w:r>
          </w:p>
        </w:tc>
        <w:tc>
          <w:tcPr>
            <w:tcW w:w="992" w:type="dxa"/>
            <w:shd w:val="clear" w:color="000000" w:fill="F4F46C"/>
            <w:noWrap/>
            <w:vAlign w:val="center"/>
            <w:hideMark/>
          </w:tcPr>
          <w:p w:rsidR="007E399B" w:rsidRPr="00F44C4F" w:rsidRDefault="007E399B" w:rsidP="002D1D62">
            <w:pPr>
              <w:spacing w:after="0"/>
              <w:rPr>
                <w:rFonts w:ascii="Tahoma" w:hAnsi="Tahoma" w:cs="Tahoma"/>
                <w:color w:val="000000"/>
                <w:sz w:val="16"/>
                <w:szCs w:val="16"/>
                <w:lang w:eastAsia="fr-FR"/>
              </w:rPr>
            </w:pPr>
            <w:r w:rsidRPr="00F44C4F">
              <w:rPr>
                <w:rFonts w:ascii="Tahoma" w:hAnsi="Tahoma" w:cs="Tahoma"/>
                <w:color w:val="000000"/>
                <w:sz w:val="16"/>
                <w:szCs w:val="16"/>
                <w:lang w:eastAsia="fr-FR"/>
              </w:rPr>
              <w:t>0%</w:t>
            </w:r>
          </w:p>
        </w:tc>
        <w:tc>
          <w:tcPr>
            <w:tcW w:w="851" w:type="dxa"/>
            <w:shd w:val="clear" w:color="000000" w:fill="FFC000"/>
            <w:noWrap/>
            <w:vAlign w:val="center"/>
            <w:hideMark/>
          </w:tcPr>
          <w:p w:rsidR="007E399B" w:rsidRPr="00F44C4F" w:rsidRDefault="007E399B" w:rsidP="002D1D62">
            <w:pPr>
              <w:spacing w:after="0"/>
              <w:rPr>
                <w:rFonts w:ascii="Tahoma" w:hAnsi="Tahoma" w:cs="Tahoma"/>
                <w:color w:val="000000"/>
                <w:sz w:val="16"/>
                <w:szCs w:val="16"/>
                <w:lang w:eastAsia="fr-FR"/>
              </w:rPr>
            </w:pPr>
            <w:r w:rsidRPr="00F44C4F">
              <w:rPr>
                <w:rFonts w:ascii="Tahoma" w:hAnsi="Tahoma" w:cs="Tahoma"/>
                <w:color w:val="000000"/>
                <w:sz w:val="16"/>
                <w:szCs w:val="16"/>
                <w:lang w:eastAsia="fr-FR"/>
              </w:rPr>
              <w:t>70%</w:t>
            </w:r>
          </w:p>
        </w:tc>
      </w:tr>
      <w:tr w:rsidR="007E399B" w:rsidRPr="00F44C4F" w:rsidTr="002D1D62">
        <w:trPr>
          <w:trHeight w:val="269"/>
        </w:trPr>
        <w:tc>
          <w:tcPr>
            <w:tcW w:w="851" w:type="dxa"/>
            <w:vMerge/>
            <w:vAlign w:val="center"/>
            <w:hideMark/>
          </w:tcPr>
          <w:p w:rsidR="007E399B" w:rsidRPr="00F44C4F" w:rsidRDefault="007E399B" w:rsidP="002D1D62">
            <w:pPr>
              <w:spacing w:after="0"/>
              <w:rPr>
                <w:rFonts w:ascii="Tahoma" w:hAnsi="Tahoma" w:cs="Tahoma"/>
                <w:b/>
                <w:bCs/>
                <w:color w:val="000000"/>
                <w:sz w:val="16"/>
                <w:szCs w:val="16"/>
                <w:lang w:eastAsia="fr-FR"/>
              </w:rPr>
            </w:pPr>
          </w:p>
        </w:tc>
        <w:tc>
          <w:tcPr>
            <w:tcW w:w="850" w:type="dxa"/>
            <w:vMerge/>
            <w:vAlign w:val="center"/>
            <w:hideMark/>
          </w:tcPr>
          <w:p w:rsidR="007E399B" w:rsidRPr="00F44C4F" w:rsidRDefault="007E399B" w:rsidP="002D1D62">
            <w:pPr>
              <w:spacing w:after="0"/>
              <w:rPr>
                <w:rFonts w:ascii="Tahoma" w:hAnsi="Tahoma" w:cs="Tahoma"/>
                <w:color w:val="000000"/>
                <w:sz w:val="16"/>
                <w:szCs w:val="16"/>
                <w:lang w:eastAsia="fr-FR"/>
              </w:rPr>
            </w:pPr>
          </w:p>
        </w:tc>
        <w:tc>
          <w:tcPr>
            <w:tcW w:w="993" w:type="dxa"/>
            <w:shd w:val="clear" w:color="auto" w:fill="auto"/>
            <w:noWrap/>
            <w:vAlign w:val="center"/>
            <w:hideMark/>
          </w:tcPr>
          <w:p w:rsidR="007E399B" w:rsidRPr="00F44C4F" w:rsidRDefault="007E399B" w:rsidP="002D1D62">
            <w:pPr>
              <w:spacing w:after="0"/>
              <w:rPr>
                <w:rFonts w:ascii="Tahoma" w:hAnsi="Tahoma" w:cs="Tahoma"/>
                <w:color w:val="000000"/>
                <w:sz w:val="16"/>
                <w:szCs w:val="16"/>
                <w:lang w:eastAsia="fr-FR"/>
              </w:rPr>
            </w:pPr>
            <w:r w:rsidRPr="00F44C4F">
              <w:rPr>
                <w:rFonts w:ascii="Tahoma" w:hAnsi="Tahoma" w:cs="Tahoma"/>
                <w:color w:val="000000"/>
                <w:sz w:val="16"/>
                <w:szCs w:val="16"/>
                <w:lang w:eastAsia="fr-FR"/>
              </w:rPr>
              <w:t>Dioucha</w:t>
            </w:r>
          </w:p>
        </w:tc>
        <w:tc>
          <w:tcPr>
            <w:tcW w:w="850" w:type="dxa"/>
            <w:shd w:val="clear" w:color="000000" w:fill="F4F46C"/>
            <w:noWrap/>
            <w:vAlign w:val="center"/>
            <w:hideMark/>
          </w:tcPr>
          <w:p w:rsidR="007E399B" w:rsidRPr="00F44C4F" w:rsidRDefault="007E399B" w:rsidP="002D1D62">
            <w:pPr>
              <w:spacing w:after="0"/>
              <w:rPr>
                <w:rFonts w:ascii="Tahoma" w:hAnsi="Tahoma" w:cs="Tahoma"/>
                <w:color w:val="000000"/>
                <w:sz w:val="16"/>
                <w:szCs w:val="16"/>
                <w:lang w:eastAsia="fr-FR"/>
              </w:rPr>
            </w:pPr>
            <w:r w:rsidRPr="00F44C4F">
              <w:rPr>
                <w:rFonts w:ascii="Tahoma" w:hAnsi="Tahoma" w:cs="Tahoma"/>
                <w:color w:val="000000"/>
                <w:sz w:val="16"/>
                <w:szCs w:val="16"/>
                <w:lang w:eastAsia="fr-FR"/>
              </w:rPr>
              <w:t>20%</w:t>
            </w:r>
          </w:p>
        </w:tc>
        <w:tc>
          <w:tcPr>
            <w:tcW w:w="992" w:type="dxa"/>
            <w:shd w:val="clear" w:color="000000" w:fill="D34B07"/>
            <w:noWrap/>
            <w:vAlign w:val="center"/>
            <w:hideMark/>
          </w:tcPr>
          <w:p w:rsidR="007E399B" w:rsidRPr="00F44C4F" w:rsidRDefault="007E399B" w:rsidP="002D1D62">
            <w:pPr>
              <w:spacing w:after="0"/>
              <w:rPr>
                <w:rFonts w:ascii="Tahoma" w:hAnsi="Tahoma" w:cs="Tahoma"/>
                <w:color w:val="000000"/>
                <w:sz w:val="16"/>
                <w:szCs w:val="16"/>
                <w:lang w:eastAsia="fr-FR"/>
              </w:rPr>
            </w:pPr>
            <w:r w:rsidRPr="00F44C4F">
              <w:rPr>
                <w:rFonts w:ascii="Tahoma" w:hAnsi="Tahoma" w:cs="Tahoma"/>
                <w:color w:val="000000"/>
                <w:sz w:val="16"/>
                <w:szCs w:val="16"/>
                <w:lang w:eastAsia="fr-FR"/>
              </w:rPr>
              <w:t>80%</w:t>
            </w:r>
          </w:p>
        </w:tc>
        <w:tc>
          <w:tcPr>
            <w:tcW w:w="1134" w:type="dxa"/>
            <w:shd w:val="clear" w:color="000000" w:fill="D34B07"/>
            <w:noWrap/>
            <w:vAlign w:val="center"/>
            <w:hideMark/>
          </w:tcPr>
          <w:p w:rsidR="007E399B" w:rsidRPr="00F44C4F" w:rsidRDefault="007E399B" w:rsidP="002D1D62">
            <w:pPr>
              <w:spacing w:after="0"/>
              <w:rPr>
                <w:rFonts w:ascii="Tahoma" w:hAnsi="Tahoma" w:cs="Tahoma"/>
                <w:color w:val="000000"/>
                <w:sz w:val="16"/>
                <w:szCs w:val="16"/>
                <w:lang w:eastAsia="fr-FR"/>
              </w:rPr>
            </w:pPr>
            <w:r w:rsidRPr="00F44C4F">
              <w:rPr>
                <w:rFonts w:ascii="Tahoma" w:hAnsi="Tahoma" w:cs="Tahoma"/>
                <w:color w:val="000000"/>
                <w:sz w:val="16"/>
                <w:szCs w:val="16"/>
                <w:lang w:eastAsia="fr-FR"/>
              </w:rPr>
              <w:t>100%</w:t>
            </w:r>
          </w:p>
        </w:tc>
        <w:tc>
          <w:tcPr>
            <w:tcW w:w="1276" w:type="dxa"/>
            <w:shd w:val="clear" w:color="000000" w:fill="D34B07"/>
            <w:noWrap/>
            <w:vAlign w:val="center"/>
            <w:hideMark/>
          </w:tcPr>
          <w:p w:rsidR="007E399B" w:rsidRPr="00F44C4F" w:rsidRDefault="007E399B" w:rsidP="002D1D62">
            <w:pPr>
              <w:spacing w:after="0"/>
              <w:rPr>
                <w:rFonts w:ascii="Tahoma" w:hAnsi="Tahoma" w:cs="Tahoma"/>
                <w:color w:val="000000"/>
                <w:sz w:val="16"/>
                <w:szCs w:val="16"/>
                <w:lang w:eastAsia="fr-FR"/>
              </w:rPr>
            </w:pPr>
            <w:r w:rsidRPr="00F44C4F">
              <w:rPr>
                <w:rFonts w:ascii="Tahoma" w:hAnsi="Tahoma" w:cs="Tahoma"/>
                <w:color w:val="000000"/>
                <w:sz w:val="16"/>
                <w:szCs w:val="16"/>
                <w:lang w:eastAsia="fr-FR"/>
              </w:rPr>
              <w:t>80%</w:t>
            </w:r>
          </w:p>
        </w:tc>
        <w:tc>
          <w:tcPr>
            <w:tcW w:w="1701" w:type="dxa"/>
            <w:shd w:val="clear" w:color="000000" w:fill="FFC000"/>
            <w:noWrap/>
            <w:vAlign w:val="center"/>
            <w:hideMark/>
          </w:tcPr>
          <w:p w:rsidR="007E399B" w:rsidRPr="00F44C4F" w:rsidRDefault="007E399B" w:rsidP="002D1D62">
            <w:pPr>
              <w:spacing w:after="0"/>
              <w:rPr>
                <w:rFonts w:ascii="Tahoma" w:hAnsi="Tahoma" w:cs="Tahoma"/>
                <w:color w:val="000000"/>
                <w:sz w:val="16"/>
                <w:szCs w:val="16"/>
                <w:lang w:eastAsia="fr-FR"/>
              </w:rPr>
            </w:pPr>
            <w:r w:rsidRPr="00F44C4F">
              <w:rPr>
                <w:rFonts w:ascii="Tahoma" w:hAnsi="Tahoma" w:cs="Tahoma"/>
                <w:color w:val="000000"/>
                <w:sz w:val="16"/>
                <w:szCs w:val="16"/>
                <w:lang w:eastAsia="fr-FR"/>
              </w:rPr>
              <w:t>60%</w:t>
            </w:r>
          </w:p>
        </w:tc>
        <w:tc>
          <w:tcPr>
            <w:tcW w:w="992" w:type="dxa"/>
            <w:shd w:val="clear" w:color="000000" w:fill="F4F46C"/>
            <w:noWrap/>
            <w:vAlign w:val="center"/>
            <w:hideMark/>
          </w:tcPr>
          <w:p w:rsidR="007E399B" w:rsidRPr="00F44C4F" w:rsidRDefault="007E399B" w:rsidP="002D1D62">
            <w:pPr>
              <w:spacing w:after="0"/>
              <w:rPr>
                <w:rFonts w:ascii="Tahoma" w:hAnsi="Tahoma" w:cs="Tahoma"/>
                <w:color w:val="000000"/>
                <w:sz w:val="16"/>
                <w:szCs w:val="16"/>
                <w:lang w:eastAsia="fr-FR"/>
              </w:rPr>
            </w:pPr>
            <w:r w:rsidRPr="00F44C4F">
              <w:rPr>
                <w:rFonts w:ascii="Tahoma" w:hAnsi="Tahoma" w:cs="Tahoma"/>
                <w:color w:val="000000"/>
                <w:sz w:val="16"/>
                <w:szCs w:val="16"/>
                <w:lang w:eastAsia="fr-FR"/>
              </w:rPr>
              <w:t>20%</w:t>
            </w:r>
          </w:p>
        </w:tc>
        <w:tc>
          <w:tcPr>
            <w:tcW w:w="851" w:type="dxa"/>
            <w:shd w:val="clear" w:color="000000" w:fill="FFC000"/>
            <w:noWrap/>
            <w:vAlign w:val="center"/>
            <w:hideMark/>
          </w:tcPr>
          <w:p w:rsidR="007E399B" w:rsidRPr="00F44C4F" w:rsidRDefault="007E399B" w:rsidP="002D1D62">
            <w:pPr>
              <w:spacing w:after="0"/>
              <w:rPr>
                <w:rFonts w:ascii="Tahoma" w:hAnsi="Tahoma" w:cs="Tahoma"/>
                <w:color w:val="000000"/>
                <w:sz w:val="16"/>
                <w:szCs w:val="16"/>
                <w:lang w:eastAsia="fr-FR"/>
              </w:rPr>
            </w:pPr>
            <w:r w:rsidRPr="00F44C4F">
              <w:rPr>
                <w:rFonts w:ascii="Tahoma" w:hAnsi="Tahoma" w:cs="Tahoma"/>
                <w:color w:val="000000"/>
                <w:sz w:val="16"/>
                <w:szCs w:val="16"/>
                <w:lang w:eastAsia="fr-FR"/>
              </w:rPr>
              <w:t>60%</w:t>
            </w:r>
          </w:p>
        </w:tc>
      </w:tr>
      <w:tr w:rsidR="007E399B" w:rsidRPr="00F44C4F" w:rsidTr="002D1D62">
        <w:trPr>
          <w:trHeight w:val="269"/>
        </w:trPr>
        <w:tc>
          <w:tcPr>
            <w:tcW w:w="851" w:type="dxa"/>
            <w:vMerge/>
            <w:vAlign w:val="center"/>
            <w:hideMark/>
          </w:tcPr>
          <w:p w:rsidR="007E399B" w:rsidRPr="00F44C4F" w:rsidRDefault="007E399B" w:rsidP="002D1D62">
            <w:pPr>
              <w:spacing w:after="0"/>
              <w:rPr>
                <w:rFonts w:ascii="Tahoma" w:hAnsi="Tahoma" w:cs="Tahoma"/>
                <w:b/>
                <w:bCs/>
                <w:color w:val="000000"/>
                <w:sz w:val="16"/>
                <w:szCs w:val="16"/>
                <w:lang w:eastAsia="fr-FR"/>
              </w:rPr>
            </w:pPr>
          </w:p>
        </w:tc>
        <w:tc>
          <w:tcPr>
            <w:tcW w:w="850" w:type="dxa"/>
            <w:vMerge/>
            <w:vAlign w:val="center"/>
            <w:hideMark/>
          </w:tcPr>
          <w:p w:rsidR="007E399B" w:rsidRPr="00F44C4F" w:rsidRDefault="007E399B" w:rsidP="002D1D62">
            <w:pPr>
              <w:spacing w:after="0"/>
              <w:rPr>
                <w:rFonts w:ascii="Tahoma" w:hAnsi="Tahoma" w:cs="Tahoma"/>
                <w:color w:val="000000"/>
                <w:sz w:val="16"/>
                <w:szCs w:val="16"/>
                <w:lang w:eastAsia="fr-FR"/>
              </w:rPr>
            </w:pPr>
          </w:p>
        </w:tc>
        <w:tc>
          <w:tcPr>
            <w:tcW w:w="993" w:type="dxa"/>
            <w:shd w:val="clear" w:color="auto" w:fill="auto"/>
            <w:noWrap/>
            <w:vAlign w:val="center"/>
            <w:hideMark/>
          </w:tcPr>
          <w:p w:rsidR="007E399B" w:rsidRPr="00F44C4F" w:rsidRDefault="007E399B" w:rsidP="002D1D62">
            <w:pPr>
              <w:spacing w:after="0"/>
              <w:rPr>
                <w:rFonts w:ascii="Tahoma" w:hAnsi="Tahoma" w:cs="Tahoma"/>
                <w:color w:val="000000"/>
                <w:sz w:val="16"/>
                <w:szCs w:val="16"/>
                <w:lang w:eastAsia="fr-FR"/>
              </w:rPr>
            </w:pPr>
            <w:r w:rsidRPr="00F44C4F">
              <w:rPr>
                <w:rFonts w:ascii="Tahoma" w:hAnsi="Tahoma" w:cs="Tahoma"/>
                <w:color w:val="000000"/>
                <w:sz w:val="16"/>
                <w:szCs w:val="16"/>
                <w:lang w:eastAsia="fr-FR"/>
              </w:rPr>
              <w:t>Ibouaazaouyine</w:t>
            </w:r>
          </w:p>
        </w:tc>
        <w:tc>
          <w:tcPr>
            <w:tcW w:w="850" w:type="dxa"/>
            <w:shd w:val="clear" w:color="000000" w:fill="F4F46C"/>
            <w:noWrap/>
            <w:vAlign w:val="center"/>
            <w:hideMark/>
          </w:tcPr>
          <w:p w:rsidR="007E399B" w:rsidRPr="00F44C4F" w:rsidRDefault="007E399B" w:rsidP="002D1D62">
            <w:pPr>
              <w:spacing w:after="0"/>
              <w:rPr>
                <w:rFonts w:ascii="Tahoma" w:hAnsi="Tahoma" w:cs="Tahoma"/>
                <w:color w:val="000000"/>
                <w:sz w:val="16"/>
                <w:szCs w:val="16"/>
                <w:lang w:eastAsia="fr-FR"/>
              </w:rPr>
            </w:pPr>
            <w:r w:rsidRPr="00F44C4F">
              <w:rPr>
                <w:rFonts w:ascii="Tahoma" w:hAnsi="Tahoma" w:cs="Tahoma"/>
                <w:color w:val="000000"/>
                <w:sz w:val="16"/>
                <w:szCs w:val="16"/>
                <w:lang w:eastAsia="fr-FR"/>
              </w:rPr>
              <w:t>0%</w:t>
            </w:r>
          </w:p>
        </w:tc>
        <w:tc>
          <w:tcPr>
            <w:tcW w:w="992" w:type="dxa"/>
            <w:shd w:val="clear" w:color="000000" w:fill="D34B07"/>
            <w:noWrap/>
            <w:vAlign w:val="center"/>
            <w:hideMark/>
          </w:tcPr>
          <w:p w:rsidR="007E399B" w:rsidRPr="00F44C4F" w:rsidRDefault="007E399B" w:rsidP="002D1D62">
            <w:pPr>
              <w:spacing w:after="0"/>
              <w:rPr>
                <w:rFonts w:ascii="Tahoma" w:hAnsi="Tahoma" w:cs="Tahoma"/>
                <w:color w:val="000000"/>
                <w:sz w:val="16"/>
                <w:szCs w:val="16"/>
                <w:lang w:eastAsia="fr-FR"/>
              </w:rPr>
            </w:pPr>
            <w:r w:rsidRPr="00F44C4F">
              <w:rPr>
                <w:rFonts w:ascii="Tahoma" w:hAnsi="Tahoma" w:cs="Tahoma"/>
                <w:color w:val="000000"/>
                <w:sz w:val="16"/>
                <w:szCs w:val="16"/>
                <w:lang w:eastAsia="fr-FR"/>
              </w:rPr>
              <w:t>100%</w:t>
            </w:r>
          </w:p>
        </w:tc>
        <w:tc>
          <w:tcPr>
            <w:tcW w:w="1134" w:type="dxa"/>
            <w:shd w:val="clear" w:color="000000" w:fill="D34B07"/>
            <w:noWrap/>
            <w:vAlign w:val="center"/>
            <w:hideMark/>
          </w:tcPr>
          <w:p w:rsidR="007E399B" w:rsidRPr="00F44C4F" w:rsidRDefault="007E399B" w:rsidP="002D1D62">
            <w:pPr>
              <w:spacing w:after="0"/>
              <w:rPr>
                <w:rFonts w:ascii="Tahoma" w:hAnsi="Tahoma" w:cs="Tahoma"/>
                <w:color w:val="000000"/>
                <w:sz w:val="16"/>
                <w:szCs w:val="16"/>
                <w:lang w:eastAsia="fr-FR"/>
              </w:rPr>
            </w:pPr>
            <w:r w:rsidRPr="00F44C4F">
              <w:rPr>
                <w:rFonts w:ascii="Tahoma" w:hAnsi="Tahoma" w:cs="Tahoma"/>
                <w:color w:val="000000"/>
                <w:sz w:val="16"/>
                <w:szCs w:val="16"/>
                <w:lang w:eastAsia="fr-FR"/>
              </w:rPr>
              <w:t>100%</w:t>
            </w:r>
          </w:p>
        </w:tc>
        <w:tc>
          <w:tcPr>
            <w:tcW w:w="1276" w:type="dxa"/>
            <w:shd w:val="clear" w:color="000000" w:fill="D34B07"/>
            <w:noWrap/>
            <w:vAlign w:val="center"/>
            <w:hideMark/>
          </w:tcPr>
          <w:p w:rsidR="007E399B" w:rsidRPr="00F44C4F" w:rsidRDefault="007E399B" w:rsidP="002D1D62">
            <w:pPr>
              <w:spacing w:after="0"/>
              <w:rPr>
                <w:rFonts w:ascii="Tahoma" w:hAnsi="Tahoma" w:cs="Tahoma"/>
                <w:color w:val="000000"/>
                <w:sz w:val="16"/>
                <w:szCs w:val="16"/>
                <w:lang w:eastAsia="fr-FR"/>
              </w:rPr>
            </w:pPr>
            <w:r w:rsidRPr="00F44C4F">
              <w:rPr>
                <w:rFonts w:ascii="Tahoma" w:hAnsi="Tahoma" w:cs="Tahoma"/>
                <w:color w:val="000000"/>
                <w:sz w:val="16"/>
                <w:szCs w:val="16"/>
                <w:lang w:eastAsia="fr-FR"/>
              </w:rPr>
              <w:t>100%</w:t>
            </w:r>
          </w:p>
        </w:tc>
        <w:tc>
          <w:tcPr>
            <w:tcW w:w="1701" w:type="dxa"/>
            <w:shd w:val="clear" w:color="000000" w:fill="F4F46C"/>
            <w:noWrap/>
            <w:vAlign w:val="center"/>
            <w:hideMark/>
          </w:tcPr>
          <w:p w:rsidR="007E399B" w:rsidRPr="00F44C4F" w:rsidRDefault="007E399B" w:rsidP="002D1D62">
            <w:pPr>
              <w:spacing w:after="0"/>
              <w:rPr>
                <w:rFonts w:ascii="Tahoma" w:hAnsi="Tahoma" w:cs="Tahoma"/>
                <w:color w:val="000000"/>
                <w:sz w:val="16"/>
                <w:szCs w:val="16"/>
                <w:lang w:eastAsia="fr-FR"/>
              </w:rPr>
            </w:pPr>
            <w:r w:rsidRPr="00F44C4F">
              <w:rPr>
                <w:rFonts w:ascii="Tahoma" w:hAnsi="Tahoma" w:cs="Tahoma"/>
                <w:color w:val="000000"/>
                <w:sz w:val="16"/>
                <w:szCs w:val="16"/>
                <w:lang w:eastAsia="fr-FR"/>
              </w:rPr>
              <w:t>40%</w:t>
            </w:r>
          </w:p>
        </w:tc>
        <w:tc>
          <w:tcPr>
            <w:tcW w:w="992" w:type="dxa"/>
            <w:shd w:val="clear" w:color="000000" w:fill="F4F46C"/>
            <w:noWrap/>
            <w:vAlign w:val="center"/>
            <w:hideMark/>
          </w:tcPr>
          <w:p w:rsidR="007E399B" w:rsidRPr="00F44C4F" w:rsidRDefault="007E399B" w:rsidP="002D1D62">
            <w:pPr>
              <w:spacing w:after="0"/>
              <w:rPr>
                <w:rFonts w:ascii="Tahoma" w:hAnsi="Tahoma" w:cs="Tahoma"/>
                <w:color w:val="000000"/>
                <w:sz w:val="16"/>
                <w:szCs w:val="16"/>
                <w:lang w:eastAsia="fr-FR"/>
              </w:rPr>
            </w:pPr>
            <w:r w:rsidRPr="00F44C4F">
              <w:rPr>
                <w:rFonts w:ascii="Tahoma" w:hAnsi="Tahoma" w:cs="Tahoma"/>
                <w:color w:val="000000"/>
                <w:sz w:val="16"/>
                <w:szCs w:val="16"/>
                <w:lang w:eastAsia="fr-FR"/>
              </w:rPr>
              <w:t>0%</w:t>
            </w:r>
          </w:p>
        </w:tc>
        <w:tc>
          <w:tcPr>
            <w:tcW w:w="851" w:type="dxa"/>
            <w:shd w:val="clear" w:color="000000" w:fill="FFC000"/>
            <w:noWrap/>
            <w:vAlign w:val="center"/>
            <w:hideMark/>
          </w:tcPr>
          <w:p w:rsidR="007E399B" w:rsidRPr="00F44C4F" w:rsidRDefault="007E399B" w:rsidP="002D1D62">
            <w:pPr>
              <w:spacing w:after="0"/>
              <w:rPr>
                <w:rFonts w:ascii="Tahoma" w:hAnsi="Tahoma" w:cs="Tahoma"/>
                <w:color w:val="000000"/>
                <w:sz w:val="16"/>
                <w:szCs w:val="16"/>
                <w:lang w:eastAsia="fr-FR"/>
              </w:rPr>
            </w:pPr>
            <w:r w:rsidRPr="00F44C4F">
              <w:rPr>
                <w:rFonts w:ascii="Tahoma" w:hAnsi="Tahoma" w:cs="Tahoma"/>
                <w:color w:val="000000"/>
                <w:sz w:val="16"/>
                <w:szCs w:val="16"/>
                <w:lang w:eastAsia="fr-FR"/>
              </w:rPr>
              <w:t>57%</w:t>
            </w:r>
          </w:p>
        </w:tc>
      </w:tr>
      <w:tr w:rsidR="007E399B" w:rsidRPr="00F44C4F" w:rsidTr="002D1D62">
        <w:trPr>
          <w:trHeight w:val="269"/>
        </w:trPr>
        <w:tc>
          <w:tcPr>
            <w:tcW w:w="851" w:type="dxa"/>
            <w:vMerge/>
            <w:vAlign w:val="center"/>
            <w:hideMark/>
          </w:tcPr>
          <w:p w:rsidR="007E399B" w:rsidRPr="00F44C4F" w:rsidRDefault="007E399B" w:rsidP="002D1D62">
            <w:pPr>
              <w:spacing w:after="0"/>
              <w:rPr>
                <w:rFonts w:ascii="Tahoma" w:hAnsi="Tahoma" w:cs="Tahoma"/>
                <w:b/>
                <w:bCs/>
                <w:color w:val="000000"/>
                <w:sz w:val="16"/>
                <w:szCs w:val="16"/>
                <w:lang w:eastAsia="fr-FR"/>
              </w:rPr>
            </w:pPr>
          </w:p>
        </w:tc>
        <w:tc>
          <w:tcPr>
            <w:tcW w:w="850" w:type="dxa"/>
            <w:vMerge/>
            <w:vAlign w:val="center"/>
            <w:hideMark/>
          </w:tcPr>
          <w:p w:rsidR="007E399B" w:rsidRPr="00F44C4F" w:rsidRDefault="007E399B" w:rsidP="002D1D62">
            <w:pPr>
              <w:spacing w:after="0"/>
              <w:rPr>
                <w:rFonts w:ascii="Tahoma" w:hAnsi="Tahoma" w:cs="Tahoma"/>
                <w:color w:val="000000"/>
                <w:sz w:val="16"/>
                <w:szCs w:val="16"/>
                <w:lang w:eastAsia="fr-FR"/>
              </w:rPr>
            </w:pPr>
          </w:p>
        </w:tc>
        <w:tc>
          <w:tcPr>
            <w:tcW w:w="993" w:type="dxa"/>
            <w:shd w:val="clear" w:color="auto" w:fill="auto"/>
            <w:noWrap/>
            <w:vAlign w:val="center"/>
            <w:hideMark/>
          </w:tcPr>
          <w:p w:rsidR="007E399B" w:rsidRPr="00F44C4F" w:rsidRDefault="007E399B" w:rsidP="002D1D62">
            <w:pPr>
              <w:spacing w:after="0"/>
              <w:rPr>
                <w:rFonts w:ascii="Tahoma" w:hAnsi="Tahoma" w:cs="Tahoma"/>
                <w:color w:val="000000"/>
                <w:sz w:val="16"/>
                <w:szCs w:val="16"/>
                <w:lang w:eastAsia="fr-FR"/>
              </w:rPr>
            </w:pPr>
            <w:r w:rsidRPr="00F44C4F">
              <w:rPr>
                <w:rFonts w:ascii="Tahoma" w:hAnsi="Tahoma" w:cs="Tahoma"/>
                <w:color w:val="000000"/>
                <w:sz w:val="16"/>
                <w:szCs w:val="16"/>
                <w:lang w:eastAsia="fr-FR"/>
              </w:rPr>
              <w:t>Oulad Ghait</w:t>
            </w:r>
          </w:p>
        </w:tc>
        <w:tc>
          <w:tcPr>
            <w:tcW w:w="850" w:type="dxa"/>
            <w:shd w:val="clear" w:color="000000" w:fill="F4F46C"/>
            <w:noWrap/>
            <w:vAlign w:val="center"/>
            <w:hideMark/>
          </w:tcPr>
          <w:p w:rsidR="007E399B" w:rsidRPr="00F44C4F" w:rsidRDefault="007E399B" w:rsidP="002D1D62">
            <w:pPr>
              <w:spacing w:after="0"/>
              <w:rPr>
                <w:rFonts w:ascii="Tahoma" w:hAnsi="Tahoma" w:cs="Tahoma"/>
                <w:color w:val="000000"/>
                <w:sz w:val="16"/>
                <w:szCs w:val="16"/>
                <w:lang w:eastAsia="fr-FR"/>
              </w:rPr>
            </w:pPr>
            <w:r w:rsidRPr="00F44C4F">
              <w:rPr>
                <w:rFonts w:ascii="Tahoma" w:hAnsi="Tahoma" w:cs="Tahoma"/>
                <w:color w:val="000000"/>
                <w:sz w:val="16"/>
                <w:szCs w:val="16"/>
                <w:lang w:eastAsia="fr-FR"/>
              </w:rPr>
              <w:t>0%</w:t>
            </w:r>
          </w:p>
        </w:tc>
        <w:tc>
          <w:tcPr>
            <w:tcW w:w="992" w:type="dxa"/>
            <w:shd w:val="clear" w:color="000000" w:fill="D34B07"/>
            <w:noWrap/>
            <w:vAlign w:val="center"/>
            <w:hideMark/>
          </w:tcPr>
          <w:p w:rsidR="007E399B" w:rsidRPr="00F44C4F" w:rsidRDefault="007E399B" w:rsidP="002D1D62">
            <w:pPr>
              <w:spacing w:after="0"/>
              <w:rPr>
                <w:rFonts w:ascii="Tahoma" w:hAnsi="Tahoma" w:cs="Tahoma"/>
                <w:color w:val="000000"/>
                <w:sz w:val="16"/>
                <w:szCs w:val="16"/>
                <w:lang w:eastAsia="fr-FR"/>
              </w:rPr>
            </w:pPr>
            <w:r w:rsidRPr="00F44C4F">
              <w:rPr>
                <w:rFonts w:ascii="Tahoma" w:hAnsi="Tahoma" w:cs="Tahoma"/>
                <w:color w:val="000000"/>
                <w:sz w:val="16"/>
                <w:szCs w:val="16"/>
                <w:lang w:eastAsia="fr-FR"/>
              </w:rPr>
              <w:t>80%</w:t>
            </w:r>
          </w:p>
        </w:tc>
        <w:tc>
          <w:tcPr>
            <w:tcW w:w="1134" w:type="dxa"/>
            <w:shd w:val="clear" w:color="000000" w:fill="D34B07"/>
            <w:noWrap/>
            <w:vAlign w:val="center"/>
            <w:hideMark/>
          </w:tcPr>
          <w:p w:rsidR="007E399B" w:rsidRPr="00F44C4F" w:rsidRDefault="007E399B" w:rsidP="002D1D62">
            <w:pPr>
              <w:spacing w:after="0"/>
              <w:rPr>
                <w:rFonts w:ascii="Tahoma" w:hAnsi="Tahoma" w:cs="Tahoma"/>
                <w:color w:val="000000"/>
                <w:sz w:val="16"/>
                <w:szCs w:val="16"/>
                <w:lang w:eastAsia="fr-FR"/>
              </w:rPr>
            </w:pPr>
            <w:r w:rsidRPr="00F44C4F">
              <w:rPr>
                <w:rFonts w:ascii="Tahoma" w:hAnsi="Tahoma" w:cs="Tahoma"/>
                <w:color w:val="000000"/>
                <w:sz w:val="16"/>
                <w:szCs w:val="16"/>
                <w:lang w:eastAsia="fr-FR"/>
              </w:rPr>
              <w:t>100%</w:t>
            </w:r>
          </w:p>
        </w:tc>
        <w:tc>
          <w:tcPr>
            <w:tcW w:w="1276" w:type="dxa"/>
            <w:shd w:val="clear" w:color="000000" w:fill="FFC000"/>
            <w:noWrap/>
            <w:vAlign w:val="center"/>
            <w:hideMark/>
          </w:tcPr>
          <w:p w:rsidR="007E399B" w:rsidRPr="00F44C4F" w:rsidRDefault="007E399B" w:rsidP="002D1D62">
            <w:pPr>
              <w:spacing w:after="0"/>
              <w:rPr>
                <w:rFonts w:ascii="Tahoma" w:hAnsi="Tahoma" w:cs="Tahoma"/>
                <w:color w:val="000000"/>
                <w:sz w:val="16"/>
                <w:szCs w:val="16"/>
                <w:lang w:eastAsia="fr-FR"/>
              </w:rPr>
            </w:pPr>
            <w:r w:rsidRPr="00F44C4F">
              <w:rPr>
                <w:rFonts w:ascii="Tahoma" w:hAnsi="Tahoma" w:cs="Tahoma"/>
                <w:color w:val="000000"/>
                <w:sz w:val="16"/>
                <w:szCs w:val="16"/>
                <w:lang w:eastAsia="fr-FR"/>
              </w:rPr>
              <w:t>60%</w:t>
            </w:r>
          </w:p>
        </w:tc>
        <w:tc>
          <w:tcPr>
            <w:tcW w:w="1701" w:type="dxa"/>
            <w:shd w:val="clear" w:color="000000" w:fill="F4F46C"/>
            <w:noWrap/>
            <w:vAlign w:val="center"/>
            <w:hideMark/>
          </w:tcPr>
          <w:p w:rsidR="007E399B" w:rsidRPr="00F44C4F" w:rsidRDefault="007E399B" w:rsidP="002D1D62">
            <w:pPr>
              <w:spacing w:after="0"/>
              <w:rPr>
                <w:rFonts w:ascii="Tahoma" w:hAnsi="Tahoma" w:cs="Tahoma"/>
                <w:color w:val="000000"/>
                <w:sz w:val="16"/>
                <w:szCs w:val="16"/>
                <w:lang w:eastAsia="fr-FR"/>
              </w:rPr>
            </w:pPr>
            <w:r w:rsidRPr="00F44C4F">
              <w:rPr>
                <w:rFonts w:ascii="Tahoma" w:hAnsi="Tahoma" w:cs="Tahoma"/>
                <w:color w:val="000000"/>
                <w:sz w:val="16"/>
                <w:szCs w:val="16"/>
                <w:lang w:eastAsia="fr-FR"/>
              </w:rPr>
              <w:t>20%</w:t>
            </w:r>
          </w:p>
        </w:tc>
        <w:tc>
          <w:tcPr>
            <w:tcW w:w="992" w:type="dxa"/>
            <w:shd w:val="clear" w:color="000000" w:fill="F4F46C"/>
            <w:noWrap/>
            <w:vAlign w:val="center"/>
            <w:hideMark/>
          </w:tcPr>
          <w:p w:rsidR="007E399B" w:rsidRPr="00F44C4F" w:rsidRDefault="007E399B" w:rsidP="002D1D62">
            <w:pPr>
              <w:spacing w:after="0"/>
              <w:rPr>
                <w:rFonts w:ascii="Tahoma" w:hAnsi="Tahoma" w:cs="Tahoma"/>
                <w:color w:val="000000"/>
                <w:sz w:val="16"/>
                <w:szCs w:val="16"/>
                <w:lang w:eastAsia="fr-FR"/>
              </w:rPr>
            </w:pPr>
            <w:r w:rsidRPr="00F44C4F">
              <w:rPr>
                <w:rFonts w:ascii="Tahoma" w:hAnsi="Tahoma" w:cs="Tahoma"/>
                <w:color w:val="000000"/>
                <w:sz w:val="16"/>
                <w:szCs w:val="16"/>
                <w:lang w:eastAsia="fr-FR"/>
              </w:rPr>
              <w:t>0%</w:t>
            </w:r>
          </w:p>
        </w:tc>
        <w:tc>
          <w:tcPr>
            <w:tcW w:w="851" w:type="dxa"/>
            <w:shd w:val="clear" w:color="000000" w:fill="F4F46C"/>
            <w:noWrap/>
            <w:vAlign w:val="center"/>
            <w:hideMark/>
          </w:tcPr>
          <w:p w:rsidR="007E399B" w:rsidRPr="00F44C4F" w:rsidRDefault="007E399B" w:rsidP="002D1D62">
            <w:pPr>
              <w:spacing w:after="0"/>
              <w:rPr>
                <w:rFonts w:ascii="Tahoma" w:hAnsi="Tahoma" w:cs="Tahoma"/>
                <w:color w:val="000000"/>
                <w:sz w:val="16"/>
                <w:szCs w:val="16"/>
                <w:lang w:eastAsia="fr-FR"/>
              </w:rPr>
            </w:pPr>
            <w:r w:rsidRPr="00F44C4F">
              <w:rPr>
                <w:rFonts w:ascii="Tahoma" w:hAnsi="Tahoma" w:cs="Tahoma"/>
                <w:color w:val="000000"/>
                <w:sz w:val="16"/>
                <w:szCs w:val="16"/>
                <w:lang w:eastAsia="fr-FR"/>
              </w:rPr>
              <w:t>43%</w:t>
            </w:r>
          </w:p>
        </w:tc>
      </w:tr>
      <w:tr w:rsidR="007E399B" w:rsidRPr="00F44C4F" w:rsidTr="002D1D62">
        <w:trPr>
          <w:trHeight w:val="269"/>
        </w:trPr>
        <w:tc>
          <w:tcPr>
            <w:tcW w:w="851" w:type="dxa"/>
            <w:vMerge/>
            <w:vAlign w:val="center"/>
            <w:hideMark/>
          </w:tcPr>
          <w:p w:rsidR="007E399B" w:rsidRPr="00F44C4F" w:rsidRDefault="007E399B" w:rsidP="002D1D62">
            <w:pPr>
              <w:spacing w:after="0"/>
              <w:rPr>
                <w:rFonts w:ascii="Tahoma" w:hAnsi="Tahoma" w:cs="Tahoma"/>
                <w:b/>
                <w:bCs/>
                <w:color w:val="000000"/>
                <w:sz w:val="16"/>
                <w:szCs w:val="16"/>
                <w:lang w:eastAsia="fr-FR"/>
              </w:rPr>
            </w:pPr>
          </w:p>
        </w:tc>
        <w:tc>
          <w:tcPr>
            <w:tcW w:w="850" w:type="dxa"/>
            <w:vMerge/>
            <w:vAlign w:val="center"/>
            <w:hideMark/>
          </w:tcPr>
          <w:p w:rsidR="007E399B" w:rsidRPr="00F44C4F" w:rsidRDefault="007E399B" w:rsidP="002D1D62">
            <w:pPr>
              <w:spacing w:after="0"/>
              <w:rPr>
                <w:rFonts w:ascii="Tahoma" w:hAnsi="Tahoma" w:cs="Tahoma"/>
                <w:color w:val="000000"/>
                <w:sz w:val="16"/>
                <w:szCs w:val="16"/>
                <w:lang w:eastAsia="fr-FR"/>
              </w:rPr>
            </w:pPr>
          </w:p>
        </w:tc>
        <w:tc>
          <w:tcPr>
            <w:tcW w:w="993" w:type="dxa"/>
            <w:shd w:val="clear" w:color="auto" w:fill="auto"/>
            <w:noWrap/>
            <w:vAlign w:val="center"/>
            <w:hideMark/>
          </w:tcPr>
          <w:p w:rsidR="007E399B" w:rsidRPr="00F44C4F" w:rsidRDefault="007E399B" w:rsidP="002D1D62">
            <w:pPr>
              <w:spacing w:after="0"/>
              <w:rPr>
                <w:rFonts w:ascii="Tahoma" w:hAnsi="Tahoma" w:cs="Tahoma"/>
                <w:color w:val="000000"/>
                <w:sz w:val="16"/>
                <w:szCs w:val="16"/>
                <w:lang w:eastAsia="fr-FR"/>
              </w:rPr>
            </w:pPr>
            <w:r w:rsidRPr="00F44C4F">
              <w:rPr>
                <w:rFonts w:ascii="Tahoma" w:hAnsi="Tahoma" w:cs="Tahoma"/>
                <w:color w:val="000000"/>
                <w:sz w:val="16"/>
                <w:szCs w:val="16"/>
                <w:lang w:eastAsia="fr-FR"/>
              </w:rPr>
              <w:t>Oulad Merzoug</w:t>
            </w:r>
          </w:p>
        </w:tc>
        <w:tc>
          <w:tcPr>
            <w:tcW w:w="850" w:type="dxa"/>
            <w:shd w:val="clear" w:color="000000" w:fill="F4F46C"/>
            <w:noWrap/>
            <w:vAlign w:val="center"/>
            <w:hideMark/>
          </w:tcPr>
          <w:p w:rsidR="007E399B" w:rsidRPr="00F44C4F" w:rsidRDefault="007E399B" w:rsidP="002D1D62">
            <w:pPr>
              <w:spacing w:after="0"/>
              <w:rPr>
                <w:rFonts w:ascii="Tahoma" w:hAnsi="Tahoma" w:cs="Tahoma"/>
                <w:color w:val="000000"/>
                <w:sz w:val="16"/>
                <w:szCs w:val="16"/>
                <w:lang w:eastAsia="fr-FR"/>
              </w:rPr>
            </w:pPr>
            <w:r w:rsidRPr="00F44C4F">
              <w:rPr>
                <w:rFonts w:ascii="Tahoma" w:hAnsi="Tahoma" w:cs="Tahoma"/>
                <w:color w:val="000000"/>
                <w:sz w:val="16"/>
                <w:szCs w:val="16"/>
                <w:lang w:eastAsia="fr-FR"/>
              </w:rPr>
              <w:t>0%</w:t>
            </w:r>
          </w:p>
        </w:tc>
        <w:tc>
          <w:tcPr>
            <w:tcW w:w="992" w:type="dxa"/>
            <w:shd w:val="clear" w:color="000000" w:fill="D34B07"/>
            <w:noWrap/>
            <w:vAlign w:val="center"/>
            <w:hideMark/>
          </w:tcPr>
          <w:p w:rsidR="007E399B" w:rsidRPr="00F44C4F" w:rsidRDefault="007E399B" w:rsidP="002D1D62">
            <w:pPr>
              <w:spacing w:after="0"/>
              <w:rPr>
                <w:rFonts w:ascii="Tahoma" w:hAnsi="Tahoma" w:cs="Tahoma"/>
                <w:color w:val="000000"/>
                <w:sz w:val="16"/>
                <w:szCs w:val="16"/>
                <w:lang w:eastAsia="fr-FR"/>
              </w:rPr>
            </w:pPr>
            <w:r w:rsidRPr="00F44C4F">
              <w:rPr>
                <w:rFonts w:ascii="Tahoma" w:hAnsi="Tahoma" w:cs="Tahoma"/>
                <w:color w:val="000000"/>
                <w:sz w:val="16"/>
                <w:szCs w:val="16"/>
                <w:lang w:eastAsia="fr-FR"/>
              </w:rPr>
              <w:t>100%</w:t>
            </w:r>
          </w:p>
        </w:tc>
        <w:tc>
          <w:tcPr>
            <w:tcW w:w="1134" w:type="dxa"/>
            <w:shd w:val="clear" w:color="000000" w:fill="D34B07"/>
            <w:noWrap/>
            <w:vAlign w:val="center"/>
            <w:hideMark/>
          </w:tcPr>
          <w:p w:rsidR="007E399B" w:rsidRPr="00F44C4F" w:rsidRDefault="007E399B" w:rsidP="002D1D62">
            <w:pPr>
              <w:spacing w:after="0"/>
              <w:rPr>
                <w:rFonts w:ascii="Tahoma" w:hAnsi="Tahoma" w:cs="Tahoma"/>
                <w:color w:val="000000"/>
                <w:sz w:val="16"/>
                <w:szCs w:val="16"/>
                <w:lang w:eastAsia="fr-FR"/>
              </w:rPr>
            </w:pPr>
            <w:r w:rsidRPr="00F44C4F">
              <w:rPr>
                <w:rFonts w:ascii="Tahoma" w:hAnsi="Tahoma" w:cs="Tahoma"/>
                <w:color w:val="000000"/>
                <w:sz w:val="16"/>
                <w:szCs w:val="16"/>
                <w:lang w:eastAsia="fr-FR"/>
              </w:rPr>
              <w:t>100%</w:t>
            </w:r>
          </w:p>
        </w:tc>
        <w:tc>
          <w:tcPr>
            <w:tcW w:w="1276" w:type="dxa"/>
            <w:shd w:val="clear" w:color="000000" w:fill="D34B07"/>
            <w:noWrap/>
            <w:vAlign w:val="center"/>
            <w:hideMark/>
          </w:tcPr>
          <w:p w:rsidR="007E399B" w:rsidRPr="00F44C4F" w:rsidRDefault="007E399B" w:rsidP="002D1D62">
            <w:pPr>
              <w:spacing w:after="0"/>
              <w:rPr>
                <w:rFonts w:ascii="Tahoma" w:hAnsi="Tahoma" w:cs="Tahoma"/>
                <w:color w:val="000000"/>
                <w:sz w:val="16"/>
                <w:szCs w:val="16"/>
                <w:lang w:eastAsia="fr-FR"/>
              </w:rPr>
            </w:pPr>
            <w:r w:rsidRPr="00F44C4F">
              <w:rPr>
                <w:rFonts w:ascii="Tahoma" w:hAnsi="Tahoma" w:cs="Tahoma"/>
                <w:color w:val="000000"/>
                <w:sz w:val="16"/>
                <w:szCs w:val="16"/>
                <w:lang w:eastAsia="fr-FR"/>
              </w:rPr>
              <w:t>100%</w:t>
            </w:r>
          </w:p>
        </w:tc>
        <w:tc>
          <w:tcPr>
            <w:tcW w:w="1701" w:type="dxa"/>
            <w:shd w:val="clear" w:color="000000" w:fill="F4F46C"/>
            <w:noWrap/>
            <w:vAlign w:val="center"/>
            <w:hideMark/>
          </w:tcPr>
          <w:p w:rsidR="007E399B" w:rsidRPr="00F44C4F" w:rsidRDefault="007E399B" w:rsidP="002D1D62">
            <w:pPr>
              <w:spacing w:after="0"/>
              <w:rPr>
                <w:rFonts w:ascii="Tahoma" w:hAnsi="Tahoma" w:cs="Tahoma"/>
                <w:color w:val="000000"/>
                <w:sz w:val="16"/>
                <w:szCs w:val="16"/>
                <w:lang w:eastAsia="fr-FR"/>
              </w:rPr>
            </w:pPr>
            <w:r w:rsidRPr="00F44C4F">
              <w:rPr>
                <w:rFonts w:ascii="Tahoma" w:hAnsi="Tahoma" w:cs="Tahoma"/>
                <w:color w:val="000000"/>
                <w:sz w:val="16"/>
                <w:szCs w:val="16"/>
                <w:lang w:eastAsia="fr-FR"/>
              </w:rPr>
              <w:t>40%</w:t>
            </w:r>
          </w:p>
        </w:tc>
        <w:tc>
          <w:tcPr>
            <w:tcW w:w="992" w:type="dxa"/>
            <w:shd w:val="clear" w:color="000000" w:fill="F4F46C"/>
            <w:noWrap/>
            <w:vAlign w:val="center"/>
            <w:hideMark/>
          </w:tcPr>
          <w:p w:rsidR="007E399B" w:rsidRPr="00F44C4F" w:rsidRDefault="007E399B" w:rsidP="002D1D62">
            <w:pPr>
              <w:spacing w:after="0"/>
              <w:rPr>
                <w:rFonts w:ascii="Tahoma" w:hAnsi="Tahoma" w:cs="Tahoma"/>
                <w:color w:val="000000"/>
                <w:sz w:val="16"/>
                <w:szCs w:val="16"/>
                <w:lang w:eastAsia="fr-FR"/>
              </w:rPr>
            </w:pPr>
            <w:r w:rsidRPr="00F44C4F">
              <w:rPr>
                <w:rFonts w:ascii="Tahoma" w:hAnsi="Tahoma" w:cs="Tahoma"/>
                <w:color w:val="000000"/>
                <w:sz w:val="16"/>
                <w:szCs w:val="16"/>
                <w:lang w:eastAsia="fr-FR"/>
              </w:rPr>
              <w:t>20%</w:t>
            </w:r>
          </w:p>
        </w:tc>
        <w:tc>
          <w:tcPr>
            <w:tcW w:w="851" w:type="dxa"/>
            <w:shd w:val="clear" w:color="000000" w:fill="FFC000"/>
            <w:noWrap/>
            <w:vAlign w:val="center"/>
            <w:hideMark/>
          </w:tcPr>
          <w:p w:rsidR="007E399B" w:rsidRPr="00F44C4F" w:rsidRDefault="007E399B" w:rsidP="002D1D62">
            <w:pPr>
              <w:spacing w:after="0"/>
              <w:rPr>
                <w:rFonts w:ascii="Tahoma" w:hAnsi="Tahoma" w:cs="Tahoma"/>
                <w:color w:val="000000"/>
                <w:sz w:val="16"/>
                <w:szCs w:val="16"/>
                <w:lang w:eastAsia="fr-FR"/>
              </w:rPr>
            </w:pPr>
            <w:r w:rsidRPr="00F44C4F">
              <w:rPr>
                <w:rFonts w:ascii="Tahoma" w:hAnsi="Tahoma" w:cs="Tahoma"/>
                <w:color w:val="000000"/>
                <w:sz w:val="16"/>
                <w:szCs w:val="16"/>
                <w:lang w:eastAsia="fr-FR"/>
              </w:rPr>
              <w:t>60%</w:t>
            </w:r>
          </w:p>
        </w:tc>
      </w:tr>
      <w:tr w:rsidR="007E399B" w:rsidRPr="00F44C4F" w:rsidTr="002D1D62">
        <w:trPr>
          <w:trHeight w:val="269"/>
        </w:trPr>
        <w:tc>
          <w:tcPr>
            <w:tcW w:w="851" w:type="dxa"/>
            <w:vMerge/>
            <w:vAlign w:val="center"/>
            <w:hideMark/>
          </w:tcPr>
          <w:p w:rsidR="007E399B" w:rsidRPr="00F44C4F" w:rsidRDefault="007E399B" w:rsidP="002D1D62">
            <w:pPr>
              <w:spacing w:after="0"/>
              <w:rPr>
                <w:rFonts w:ascii="Tahoma" w:hAnsi="Tahoma" w:cs="Tahoma"/>
                <w:b/>
                <w:bCs/>
                <w:color w:val="000000"/>
                <w:sz w:val="16"/>
                <w:szCs w:val="16"/>
                <w:lang w:eastAsia="fr-FR"/>
              </w:rPr>
            </w:pPr>
          </w:p>
        </w:tc>
        <w:tc>
          <w:tcPr>
            <w:tcW w:w="850" w:type="dxa"/>
            <w:vMerge/>
            <w:vAlign w:val="center"/>
            <w:hideMark/>
          </w:tcPr>
          <w:p w:rsidR="007E399B" w:rsidRPr="00F44C4F" w:rsidRDefault="007E399B" w:rsidP="002D1D62">
            <w:pPr>
              <w:spacing w:after="0"/>
              <w:rPr>
                <w:rFonts w:ascii="Tahoma" w:hAnsi="Tahoma" w:cs="Tahoma"/>
                <w:color w:val="000000"/>
                <w:sz w:val="16"/>
                <w:szCs w:val="16"/>
                <w:lang w:eastAsia="fr-FR"/>
              </w:rPr>
            </w:pPr>
          </w:p>
        </w:tc>
        <w:tc>
          <w:tcPr>
            <w:tcW w:w="993" w:type="dxa"/>
            <w:shd w:val="clear" w:color="auto" w:fill="auto"/>
            <w:noWrap/>
            <w:vAlign w:val="center"/>
            <w:hideMark/>
          </w:tcPr>
          <w:p w:rsidR="007E399B" w:rsidRPr="00F44C4F" w:rsidRDefault="007E399B" w:rsidP="002D1D62">
            <w:pPr>
              <w:spacing w:after="0"/>
              <w:rPr>
                <w:rFonts w:ascii="Tahoma" w:hAnsi="Tahoma" w:cs="Tahoma"/>
                <w:color w:val="000000"/>
                <w:sz w:val="16"/>
                <w:szCs w:val="16"/>
                <w:lang w:eastAsia="fr-FR"/>
              </w:rPr>
            </w:pPr>
            <w:r w:rsidRPr="00F44C4F">
              <w:rPr>
                <w:rFonts w:ascii="Tahoma" w:hAnsi="Tahoma" w:cs="Tahoma"/>
                <w:color w:val="000000"/>
                <w:sz w:val="16"/>
                <w:szCs w:val="16"/>
                <w:lang w:eastAsia="fr-FR"/>
              </w:rPr>
              <w:t>Oulad Sidi Bouamar</w:t>
            </w:r>
          </w:p>
        </w:tc>
        <w:tc>
          <w:tcPr>
            <w:tcW w:w="850" w:type="dxa"/>
            <w:shd w:val="clear" w:color="000000" w:fill="F4F46C"/>
            <w:noWrap/>
            <w:vAlign w:val="center"/>
            <w:hideMark/>
          </w:tcPr>
          <w:p w:rsidR="007E399B" w:rsidRPr="00F44C4F" w:rsidRDefault="007E399B" w:rsidP="002D1D62">
            <w:pPr>
              <w:spacing w:after="0"/>
              <w:rPr>
                <w:rFonts w:ascii="Tahoma" w:hAnsi="Tahoma" w:cs="Tahoma"/>
                <w:color w:val="000000"/>
                <w:sz w:val="16"/>
                <w:szCs w:val="16"/>
                <w:lang w:eastAsia="fr-FR"/>
              </w:rPr>
            </w:pPr>
            <w:r w:rsidRPr="00F44C4F">
              <w:rPr>
                <w:rFonts w:ascii="Tahoma" w:hAnsi="Tahoma" w:cs="Tahoma"/>
                <w:color w:val="000000"/>
                <w:sz w:val="16"/>
                <w:szCs w:val="16"/>
                <w:lang w:eastAsia="fr-FR"/>
              </w:rPr>
              <w:t>0%</w:t>
            </w:r>
          </w:p>
        </w:tc>
        <w:tc>
          <w:tcPr>
            <w:tcW w:w="992" w:type="dxa"/>
            <w:shd w:val="clear" w:color="000000" w:fill="D34B07"/>
            <w:noWrap/>
            <w:vAlign w:val="center"/>
            <w:hideMark/>
          </w:tcPr>
          <w:p w:rsidR="007E399B" w:rsidRPr="00F44C4F" w:rsidRDefault="007E399B" w:rsidP="002D1D62">
            <w:pPr>
              <w:spacing w:after="0"/>
              <w:rPr>
                <w:rFonts w:ascii="Tahoma" w:hAnsi="Tahoma" w:cs="Tahoma"/>
                <w:color w:val="000000"/>
                <w:sz w:val="16"/>
                <w:szCs w:val="16"/>
                <w:lang w:eastAsia="fr-FR"/>
              </w:rPr>
            </w:pPr>
            <w:r w:rsidRPr="00F44C4F">
              <w:rPr>
                <w:rFonts w:ascii="Tahoma" w:hAnsi="Tahoma" w:cs="Tahoma"/>
                <w:color w:val="000000"/>
                <w:sz w:val="16"/>
                <w:szCs w:val="16"/>
                <w:lang w:eastAsia="fr-FR"/>
              </w:rPr>
              <w:t>100%</w:t>
            </w:r>
          </w:p>
        </w:tc>
        <w:tc>
          <w:tcPr>
            <w:tcW w:w="1134" w:type="dxa"/>
            <w:shd w:val="clear" w:color="000000" w:fill="D34B07"/>
            <w:noWrap/>
            <w:vAlign w:val="center"/>
            <w:hideMark/>
          </w:tcPr>
          <w:p w:rsidR="007E399B" w:rsidRPr="00F44C4F" w:rsidRDefault="007E399B" w:rsidP="002D1D62">
            <w:pPr>
              <w:spacing w:after="0"/>
              <w:rPr>
                <w:rFonts w:ascii="Tahoma" w:hAnsi="Tahoma" w:cs="Tahoma"/>
                <w:color w:val="000000"/>
                <w:sz w:val="16"/>
                <w:szCs w:val="16"/>
                <w:lang w:eastAsia="fr-FR"/>
              </w:rPr>
            </w:pPr>
            <w:r w:rsidRPr="00F44C4F">
              <w:rPr>
                <w:rFonts w:ascii="Tahoma" w:hAnsi="Tahoma" w:cs="Tahoma"/>
                <w:color w:val="000000"/>
                <w:sz w:val="16"/>
                <w:szCs w:val="16"/>
                <w:lang w:eastAsia="fr-FR"/>
              </w:rPr>
              <w:t>100%</w:t>
            </w:r>
          </w:p>
        </w:tc>
        <w:tc>
          <w:tcPr>
            <w:tcW w:w="1276" w:type="dxa"/>
            <w:shd w:val="clear" w:color="000000" w:fill="FFC000"/>
            <w:noWrap/>
            <w:vAlign w:val="center"/>
            <w:hideMark/>
          </w:tcPr>
          <w:p w:rsidR="007E399B" w:rsidRPr="00F44C4F" w:rsidRDefault="007E399B" w:rsidP="002D1D62">
            <w:pPr>
              <w:spacing w:after="0"/>
              <w:rPr>
                <w:rFonts w:ascii="Tahoma" w:hAnsi="Tahoma" w:cs="Tahoma"/>
                <w:color w:val="000000"/>
                <w:sz w:val="16"/>
                <w:szCs w:val="16"/>
                <w:lang w:eastAsia="fr-FR"/>
              </w:rPr>
            </w:pPr>
            <w:r w:rsidRPr="00F44C4F">
              <w:rPr>
                <w:rFonts w:ascii="Tahoma" w:hAnsi="Tahoma" w:cs="Tahoma"/>
                <w:color w:val="000000"/>
                <w:sz w:val="16"/>
                <w:szCs w:val="16"/>
                <w:lang w:eastAsia="fr-FR"/>
              </w:rPr>
              <w:t>60%</w:t>
            </w:r>
          </w:p>
        </w:tc>
        <w:tc>
          <w:tcPr>
            <w:tcW w:w="1701" w:type="dxa"/>
            <w:shd w:val="clear" w:color="000000" w:fill="F4F46C"/>
            <w:noWrap/>
            <w:vAlign w:val="center"/>
            <w:hideMark/>
          </w:tcPr>
          <w:p w:rsidR="007E399B" w:rsidRPr="00F44C4F" w:rsidRDefault="007E399B" w:rsidP="002D1D62">
            <w:pPr>
              <w:spacing w:after="0"/>
              <w:rPr>
                <w:rFonts w:ascii="Tahoma" w:hAnsi="Tahoma" w:cs="Tahoma"/>
                <w:color w:val="000000"/>
                <w:sz w:val="16"/>
                <w:szCs w:val="16"/>
                <w:lang w:eastAsia="fr-FR"/>
              </w:rPr>
            </w:pPr>
            <w:r w:rsidRPr="00F44C4F">
              <w:rPr>
                <w:rFonts w:ascii="Tahoma" w:hAnsi="Tahoma" w:cs="Tahoma"/>
                <w:color w:val="000000"/>
                <w:sz w:val="16"/>
                <w:szCs w:val="16"/>
                <w:lang w:eastAsia="fr-FR"/>
              </w:rPr>
              <w:t>40%</w:t>
            </w:r>
          </w:p>
        </w:tc>
        <w:tc>
          <w:tcPr>
            <w:tcW w:w="992" w:type="dxa"/>
            <w:shd w:val="clear" w:color="000000" w:fill="F4F46C"/>
            <w:noWrap/>
            <w:vAlign w:val="center"/>
            <w:hideMark/>
          </w:tcPr>
          <w:p w:rsidR="007E399B" w:rsidRPr="00F44C4F" w:rsidRDefault="007E399B" w:rsidP="002D1D62">
            <w:pPr>
              <w:spacing w:after="0"/>
              <w:rPr>
                <w:rFonts w:ascii="Tahoma" w:hAnsi="Tahoma" w:cs="Tahoma"/>
                <w:color w:val="000000"/>
                <w:sz w:val="16"/>
                <w:szCs w:val="16"/>
                <w:lang w:eastAsia="fr-FR"/>
              </w:rPr>
            </w:pPr>
            <w:r w:rsidRPr="00F44C4F">
              <w:rPr>
                <w:rFonts w:ascii="Tahoma" w:hAnsi="Tahoma" w:cs="Tahoma"/>
                <w:color w:val="000000"/>
                <w:sz w:val="16"/>
                <w:szCs w:val="16"/>
                <w:lang w:eastAsia="fr-FR"/>
              </w:rPr>
              <w:t>20%</w:t>
            </w:r>
          </w:p>
        </w:tc>
        <w:tc>
          <w:tcPr>
            <w:tcW w:w="851" w:type="dxa"/>
            <w:shd w:val="clear" w:color="000000" w:fill="FFC000"/>
            <w:noWrap/>
            <w:vAlign w:val="center"/>
            <w:hideMark/>
          </w:tcPr>
          <w:p w:rsidR="007E399B" w:rsidRPr="00F44C4F" w:rsidRDefault="007E399B" w:rsidP="002D1D62">
            <w:pPr>
              <w:spacing w:after="0"/>
              <w:rPr>
                <w:rFonts w:ascii="Tahoma" w:hAnsi="Tahoma" w:cs="Tahoma"/>
                <w:color w:val="000000"/>
                <w:sz w:val="16"/>
                <w:szCs w:val="16"/>
                <w:lang w:eastAsia="fr-FR"/>
              </w:rPr>
            </w:pPr>
            <w:r w:rsidRPr="00F44C4F">
              <w:rPr>
                <w:rFonts w:ascii="Tahoma" w:hAnsi="Tahoma" w:cs="Tahoma"/>
                <w:color w:val="000000"/>
                <w:sz w:val="16"/>
                <w:szCs w:val="16"/>
                <w:lang w:eastAsia="fr-FR"/>
              </w:rPr>
              <w:t>53%</w:t>
            </w:r>
          </w:p>
        </w:tc>
      </w:tr>
      <w:tr w:rsidR="007E399B" w:rsidRPr="00F44C4F" w:rsidTr="002D1D62">
        <w:trPr>
          <w:trHeight w:val="269"/>
        </w:trPr>
        <w:tc>
          <w:tcPr>
            <w:tcW w:w="851" w:type="dxa"/>
            <w:vMerge/>
            <w:vAlign w:val="center"/>
            <w:hideMark/>
          </w:tcPr>
          <w:p w:rsidR="007E399B" w:rsidRPr="00F44C4F" w:rsidRDefault="007E399B" w:rsidP="002D1D62">
            <w:pPr>
              <w:spacing w:after="0"/>
              <w:rPr>
                <w:rFonts w:ascii="Tahoma" w:hAnsi="Tahoma" w:cs="Tahoma"/>
                <w:b/>
                <w:bCs/>
                <w:color w:val="000000"/>
                <w:sz w:val="16"/>
                <w:szCs w:val="16"/>
                <w:lang w:eastAsia="fr-FR"/>
              </w:rPr>
            </w:pPr>
          </w:p>
        </w:tc>
        <w:tc>
          <w:tcPr>
            <w:tcW w:w="850" w:type="dxa"/>
            <w:vMerge/>
            <w:vAlign w:val="center"/>
            <w:hideMark/>
          </w:tcPr>
          <w:p w:rsidR="007E399B" w:rsidRPr="00F44C4F" w:rsidRDefault="007E399B" w:rsidP="002D1D62">
            <w:pPr>
              <w:spacing w:after="0"/>
              <w:rPr>
                <w:rFonts w:ascii="Tahoma" w:hAnsi="Tahoma" w:cs="Tahoma"/>
                <w:color w:val="000000"/>
                <w:sz w:val="16"/>
                <w:szCs w:val="16"/>
                <w:lang w:eastAsia="fr-FR"/>
              </w:rPr>
            </w:pPr>
          </w:p>
        </w:tc>
        <w:tc>
          <w:tcPr>
            <w:tcW w:w="993" w:type="dxa"/>
            <w:shd w:val="clear" w:color="auto" w:fill="auto"/>
            <w:noWrap/>
            <w:vAlign w:val="center"/>
            <w:hideMark/>
          </w:tcPr>
          <w:p w:rsidR="007E399B" w:rsidRPr="00F44C4F" w:rsidRDefault="007E399B" w:rsidP="002D1D62">
            <w:pPr>
              <w:spacing w:after="0"/>
              <w:rPr>
                <w:rFonts w:ascii="Tahoma" w:hAnsi="Tahoma" w:cs="Tahoma"/>
                <w:color w:val="000000"/>
                <w:sz w:val="16"/>
                <w:szCs w:val="16"/>
                <w:lang w:eastAsia="fr-FR"/>
              </w:rPr>
            </w:pPr>
            <w:r w:rsidRPr="00F44C4F">
              <w:rPr>
                <w:rFonts w:ascii="Tahoma" w:hAnsi="Tahoma" w:cs="Tahoma"/>
                <w:color w:val="000000"/>
                <w:sz w:val="16"/>
                <w:szCs w:val="16"/>
                <w:lang w:eastAsia="fr-FR"/>
              </w:rPr>
              <w:t>Lmbarkyine (Oulad Sidi Boujouda)</w:t>
            </w:r>
          </w:p>
        </w:tc>
        <w:tc>
          <w:tcPr>
            <w:tcW w:w="850" w:type="dxa"/>
            <w:shd w:val="clear" w:color="000000" w:fill="F4F46C"/>
            <w:noWrap/>
            <w:vAlign w:val="center"/>
            <w:hideMark/>
          </w:tcPr>
          <w:p w:rsidR="007E399B" w:rsidRPr="00F44C4F" w:rsidRDefault="007E399B" w:rsidP="002D1D62">
            <w:pPr>
              <w:spacing w:after="0"/>
              <w:rPr>
                <w:rFonts w:ascii="Tahoma" w:hAnsi="Tahoma" w:cs="Tahoma"/>
                <w:color w:val="000000"/>
                <w:sz w:val="16"/>
                <w:szCs w:val="16"/>
                <w:lang w:eastAsia="fr-FR"/>
              </w:rPr>
            </w:pPr>
            <w:r w:rsidRPr="00F44C4F">
              <w:rPr>
                <w:rFonts w:ascii="Tahoma" w:hAnsi="Tahoma" w:cs="Tahoma"/>
                <w:color w:val="000000"/>
                <w:sz w:val="16"/>
                <w:szCs w:val="16"/>
                <w:lang w:eastAsia="fr-FR"/>
              </w:rPr>
              <w:t>0%</w:t>
            </w:r>
          </w:p>
        </w:tc>
        <w:tc>
          <w:tcPr>
            <w:tcW w:w="992" w:type="dxa"/>
            <w:shd w:val="clear" w:color="000000" w:fill="FFC000"/>
            <w:noWrap/>
            <w:vAlign w:val="center"/>
            <w:hideMark/>
          </w:tcPr>
          <w:p w:rsidR="007E399B" w:rsidRPr="00F44C4F" w:rsidRDefault="007E399B" w:rsidP="002D1D62">
            <w:pPr>
              <w:spacing w:after="0"/>
              <w:rPr>
                <w:rFonts w:ascii="Tahoma" w:hAnsi="Tahoma" w:cs="Tahoma"/>
                <w:color w:val="000000"/>
                <w:sz w:val="16"/>
                <w:szCs w:val="16"/>
                <w:lang w:eastAsia="fr-FR"/>
              </w:rPr>
            </w:pPr>
            <w:r w:rsidRPr="00F44C4F">
              <w:rPr>
                <w:rFonts w:ascii="Tahoma" w:hAnsi="Tahoma" w:cs="Tahoma"/>
                <w:color w:val="000000"/>
                <w:sz w:val="16"/>
                <w:szCs w:val="16"/>
                <w:lang w:eastAsia="fr-FR"/>
              </w:rPr>
              <w:t>60%</w:t>
            </w:r>
          </w:p>
        </w:tc>
        <w:tc>
          <w:tcPr>
            <w:tcW w:w="1134" w:type="dxa"/>
            <w:shd w:val="clear" w:color="000000" w:fill="D34B07"/>
            <w:noWrap/>
            <w:vAlign w:val="center"/>
            <w:hideMark/>
          </w:tcPr>
          <w:p w:rsidR="007E399B" w:rsidRPr="00F44C4F" w:rsidRDefault="007E399B" w:rsidP="002D1D62">
            <w:pPr>
              <w:spacing w:after="0"/>
              <w:rPr>
                <w:rFonts w:ascii="Tahoma" w:hAnsi="Tahoma" w:cs="Tahoma"/>
                <w:color w:val="000000"/>
                <w:sz w:val="16"/>
                <w:szCs w:val="16"/>
                <w:lang w:eastAsia="fr-FR"/>
              </w:rPr>
            </w:pPr>
            <w:r w:rsidRPr="00F44C4F">
              <w:rPr>
                <w:rFonts w:ascii="Tahoma" w:hAnsi="Tahoma" w:cs="Tahoma"/>
                <w:color w:val="000000"/>
                <w:sz w:val="16"/>
                <w:szCs w:val="16"/>
                <w:lang w:eastAsia="fr-FR"/>
              </w:rPr>
              <w:t>100%</w:t>
            </w:r>
          </w:p>
        </w:tc>
        <w:tc>
          <w:tcPr>
            <w:tcW w:w="1276" w:type="dxa"/>
            <w:shd w:val="clear" w:color="000000" w:fill="D34B07"/>
            <w:noWrap/>
            <w:vAlign w:val="center"/>
            <w:hideMark/>
          </w:tcPr>
          <w:p w:rsidR="007E399B" w:rsidRPr="00F44C4F" w:rsidRDefault="007E399B" w:rsidP="002D1D62">
            <w:pPr>
              <w:spacing w:after="0"/>
              <w:rPr>
                <w:rFonts w:ascii="Tahoma" w:hAnsi="Tahoma" w:cs="Tahoma"/>
                <w:color w:val="000000"/>
                <w:sz w:val="16"/>
                <w:szCs w:val="16"/>
                <w:lang w:eastAsia="fr-FR"/>
              </w:rPr>
            </w:pPr>
            <w:r w:rsidRPr="00F44C4F">
              <w:rPr>
                <w:rFonts w:ascii="Tahoma" w:hAnsi="Tahoma" w:cs="Tahoma"/>
                <w:color w:val="000000"/>
                <w:sz w:val="16"/>
                <w:szCs w:val="16"/>
                <w:lang w:eastAsia="fr-FR"/>
              </w:rPr>
              <w:t>100%</w:t>
            </w:r>
          </w:p>
        </w:tc>
        <w:tc>
          <w:tcPr>
            <w:tcW w:w="1701" w:type="dxa"/>
            <w:shd w:val="clear" w:color="000000" w:fill="F4F46C"/>
            <w:noWrap/>
            <w:vAlign w:val="center"/>
            <w:hideMark/>
          </w:tcPr>
          <w:p w:rsidR="007E399B" w:rsidRPr="00F44C4F" w:rsidRDefault="007E399B" w:rsidP="002D1D62">
            <w:pPr>
              <w:spacing w:after="0"/>
              <w:rPr>
                <w:rFonts w:ascii="Tahoma" w:hAnsi="Tahoma" w:cs="Tahoma"/>
                <w:color w:val="000000"/>
                <w:sz w:val="16"/>
                <w:szCs w:val="16"/>
                <w:lang w:eastAsia="fr-FR"/>
              </w:rPr>
            </w:pPr>
            <w:r w:rsidRPr="00F44C4F">
              <w:rPr>
                <w:rFonts w:ascii="Tahoma" w:hAnsi="Tahoma" w:cs="Tahoma"/>
                <w:color w:val="000000"/>
                <w:sz w:val="16"/>
                <w:szCs w:val="16"/>
                <w:lang w:eastAsia="fr-FR"/>
              </w:rPr>
              <w:t>0%</w:t>
            </w:r>
          </w:p>
        </w:tc>
        <w:tc>
          <w:tcPr>
            <w:tcW w:w="992" w:type="dxa"/>
            <w:shd w:val="clear" w:color="000000" w:fill="F4F46C"/>
            <w:noWrap/>
            <w:vAlign w:val="center"/>
            <w:hideMark/>
          </w:tcPr>
          <w:p w:rsidR="007E399B" w:rsidRPr="00F44C4F" w:rsidRDefault="007E399B" w:rsidP="002D1D62">
            <w:pPr>
              <w:spacing w:after="0"/>
              <w:rPr>
                <w:rFonts w:ascii="Tahoma" w:hAnsi="Tahoma" w:cs="Tahoma"/>
                <w:color w:val="000000"/>
                <w:sz w:val="16"/>
                <w:szCs w:val="16"/>
                <w:lang w:eastAsia="fr-FR"/>
              </w:rPr>
            </w:pPr>
            <w:r w:rsidRPr="00F44C4F">
              <w:rPr>
                <w:rFonts w:ascii="Tahoma" w:hAnsi="Tahoma" w:cs="Tahoma"/>
                <w:color w:val="000000"/>
                <w:sz w:val="16"/>
                <w:szCs w:val="16"/>
                <w:lang w:eastAsia="fr-FR"/>
              </w:rPr>
              <w:t>20%</w:t>
            </w:r>
          </w:p>
        </w:tc>
        <w:tc>
          <w:tcPr>
            <w:tcW w:w="851" w:type="dxa"/>
            <w:shd w:val="clear" w:color="000000" w:fill="F4F46C"/>
            <w:noWrap/>
            <w:vAlign w:val="center"/>
            <w:hideMark/>
          </w:tcPr>
          <w:p w:rsidR="007E399B" w:rsidRPr="00F44C4F" w:rsidRDefault="007E399B" w:rsidP="002D1D62">
            <w:pPr>
              <w:spacing w:after="0"/>
              <w:rPr>
                <w:rFonts w:ascii="Tahoma" w:hAnsi="Tahoma" w:cs="Tahoma"/>
                <w:color w:val="000000"/>
                <w:sz w:val="16"/>
                <w:szCs w:val="16"/>
                <w:lang w:eastAsia="fr-FR"/>
              </w:rPr>
            </w:pPr>
            <w:r w:rsidRPr="00F44C4F">
              <w:rPr>
                <w:rFonts w:ascii="Tahoma" w:hAnsi="Tahoma" w:cs="Tahoma"/>
                <w:color w:val="000000"/>
                <w:sz w:val="16"/>
                <w:szCs w:val="16"/>
                <w:lang w:eastAsia="fr-FR"/>
              </w:rPr>
              <w:t>47%</w:t>
            </w:r>
          </w:p>
        </w:tc>
      </w:tr>
    </w:tbl>
    <w:p w:rsidR="007E399B" w:rsidRPr="002462E6" w:rsidRDefault="007E399B" w:rsidP="00052E50">
      <w:pPr>
        <w:spacing w:before="100" w:beforeAutospacing="1" w:after="0" w:line="360" w:lineRule="auto"/>
        <w:jc w:val="both"/>
        <w:rPr>
          <w:rFonts w:ascii="Tahoma" w:hAnsi="Tahoma" w:cs="Tahoma"/>
          <w:noProof/>
          <w:sz w:val="20"/>
          <w:szCs w:val="20"/>
          <w:lang w:eastAsia="fr-FR"/>
        </w:rPr>
      </w:pPr>
      <w:r w:rsidRPr="002462E6">
        <w:rPr>
          <w:rFonts w:ascii="Tahoma" w:hAnsi="Tahoma" w:cs="Tahoma"/>
          <w:noProof/>
          <w:sz w:val="20"/>
          <w:szCs w:val="20"/>
          <w:lang w:eastAsia="fr-FR"/>
        </w:rPr>
        <w:t>Légende :</w:t>
      </w:r>
    </w:p>
    <w:tbl>
      <w:tblPr>
        <w:tblpPr w:leftFromText="141" w:rightFromText="141" w:vertAnchor="text" w:horzAnchor="margin" w:tblpY="31"/>
        <w:tblW w:w="8466" w:type="dxa"/>
        <w:tblCellMar>
          <w:left w:w="70" w:type="dxa"/>
          <w:right w:w="70" w:type="dxa"/>
        </w:tblCellMar>
        <w:tblLook w:val="04A0" w:firstRow="1" w:lastRow="0" w:firstColumn="1" w:lastColumn="0" w:noHBand="0" w:noVBand="1"/>
      </w:tblPr>
      <w:tblGrid>
        <w:gridCol w:w="2822"/>
        <w:gridCol w:w="2822"/>
        <w:gridCol w:w="2822"/>
      </w:tblGrid>
      <w:tr w:rsidR="007E399B" w:rsidRPr="002462E6" w:rsidTr="00F44C4F">
        <w:trPr>
          <w:trHeight w:val="274"/>
        </w:trPr>
        <w:tc>
          <w:tcPr>
            <w:tcW w:w="2822" w:type="dxa"/>
            <w:tcBorders>
              <w:top w:val="single" w:sz="4" w:space="0" w:color="auto"/>
              <w:left w:val="single" w:sz="4" w:space="0" w:color="auto"/>
              <w:bottom w:val="single" w:sz="4" w:space="0" w:color="auto"/>
              <w:right w:val="single" w:sz="4" w:space="0" w:color="auto"/>
            </w:tcBorders>
            <w:shd w:val="clear" w:color="000000" w:fill="F4F46C"/>
            <w:vAlign w:val="center"/>
            <w:hideMark/>
          </w:tcPr>
          <w:p w:rsidR="007E399B" w:rsidRPr="002462E6" w:rsidRDefault="007E399B" w:rsidP="007E399B">
            <w:pPr>
              <w:jc w:val="center"/>
              <w:rPr>
                <w:b/>
                <w:bCs/>
                <w:color w:val="000000"/>
                <w:sz w:val="20"/>
                <w:szCs w:val="20"/>
                <w:lang w:eastAsia="fr-FR"/>
              </w:rPr>
            </w:pPr>
            <w:r w:rsidRPr="002462E6">
              <w:rPr>
                <w:b/>
                <w:bCs/>
                <w:color w:val="000000"/>
                <w:sz w:val="20"/>
                <w:szCs w:val="20"/>
                <w:lang w:eastAsia="fr-FR"/>
              </w:rPr>
              <w:t>1- Moins de 50%</w:t>
            </w:r>
          </w:p>
        </w:tc>
        <w:tc>
          <w:tcPr>
            <w:tcW w:w="2822" w:type="dxa"/>
            <w:tcBorders>
              <w:top w:val="single" w:sz="4" w:space="0" w:color="auto"/>
              <w:left w:val="nil"/>
              <w:bottom w:val="single" w:sz="4" w:space="0" w:color="auto"/>
              <w:right w:val="single" w:sz="4" w:space="0" w:color="auto"/>
            </w:tcBorders>
            <w:shd w:val="clear" w:color="000000" w:fill="FFC000"/>
            <w:vAlign w:val="center"/>
            <w:hideMark/>
          </w:tcPr>
          <w:p w:rsidR="007E399B" w:rsidRPr="002462E6" w:rsidRDefault="007E399B" w:rsidP="007E399B">
            <w:pPr>
              <w:jc w:val="center"/>
              <w:rPr>
                <w:b/>
                <w:bCs/>
                <w:color w:val="000000"/>
                <w:sz w:val="20"/>
                <w:szCs w:val="20"/>
                <w:lang w:eastAsia="fr-FR"/>
              </w:rPr>
            </w:pPr>
            <w:r w:rsidRPr="002462E6">
              <w:rPr>
                <w:b/>
                <w:bCs/>
                <w:color w:val="000000"/>
                <w:sz w:val="20"/>
                <w:szCs w:val="20"/>
                <w:lang w:eastAsia="fr-FR"/>
              </w:rPr>
              <w:t xml:space="preserve">2- Entre 50% et 75% </w:t>
            </w:r>
          </w:p>
        </w:tc>
        <w:tc>
          <w:tcPr>
            <w:tcW w:w="2822" w:type="dxa"/>
            <w:tcBorders>
              <w:top w:val="single" w:sz="4" w:space="0" w:color="auto"/>
              <w:left w:val="nil"/>
              <w:bottom w:val="single" w:sz="4" w:space="0" w:color="auto"/>
              <w:right w:val="single" w:sz="4" w:space="0" w:color="auto"/>
            </w:tcBorders>
            <w:shd w:val="clear" w:color="000000" w:fill="D34B07"/>
            <w:vAlign w:val="center"/>
            <w:hideMark/>
          </w:tcPr>
          <w:p w:rsidR="007E399B" w:rsidRPr="002462E6" w:rsidRDefault="007E399B" w:rsidP="007E399B">
            <w:pPr>
              <w:jc w:val="center"/>
              <w:rPr>
                <w:b/>
                <w:bCs/>
                <w:color w:val="000000"/>
                <w:sz w:val="20"/>
                <w:szCs w:val="20"/>
                <w:lang w:eastAsia="fr-FR"/>
              </w:rPr>
            </w:pPr>
            <w:r w:rsidRPr="002462E6">
              <w:rPr>
                <w:b/>
                <w:bCs/>
                <w:color w:val="000000"/>
                <w:sz w:val="20"/>
                <w:szCs w:val="20"/>
                <w:lang w:eastAsia="fr-FR"/>
              </w:rPr>
              <w:t xml:space="preserve"> 3- Plus de 75%</w:t>
            </w:r>
          </w:p>
        </w:tc>
      </w:tr>
      <w:tr w:rsidR="007E399B" w:rsidRPr="002462E6" w:rsidTr="007E399B">
        <w:trPr>
          <w:trHeight w:val="255"/>
        </w:trPr>
        <w:tc>
          <w:tcPr>
            <w:tcW w:w="2822" w:type="dxa"/>
            <w:tcBorders>
              <w:top w:val="nil"/>
              <w:left w:val="single" w:sz="4" w:space="0" w:color="auto"/>
              <w:bottom w:val="single" w:sz="4" w:space="0" w:color="auto"/>
              <w:right w:val="single" w:sz="4" w:space="0" w:color="auto"/>
            </w:tcBorders>
            <w:shd w:val="clear" w:color="000000" w:fill="F4F46C"/>
            <w:vAlign w:val="center"/>
            <w:hideMark/>
          </w:tcPr>
          <w:p w:rsidR="007E399B" w:rsidRPr="002462E6" w:rsidRDefault="007E399B" w:rsidP="007E399B">
            <w:pPr>
              <w:jc w:val="center"/>
              <w:rPr>
                <w:b/>
                <w:bCs/>
                <w:color w:val="000000"/>
                <w:sz w:val="20"/>
                <w:szCs w:val="20"/>
                <w:lang w:eastAsia="fr-FR"/>
              </w:rPr>
            </w:pPr>
            <w:r w:rsidRPr="002462E6">
              <w:rPr>
                <w:b/>
                <w:bCs/>
                <w:color w:val="000000"/>
                <w:sz w:val="20"/>
                <w:szCs w:val="20"/>
                <w:lang w:eastAsia="fr-FR"/>
              </w:rPr>
              <w:t>Vulnérabilité faible</w:t>
            </w:r>
          </w:p>
        </w:tc>
        <w:tc>
          <w:tcPr>
            <w:tcW w:w="2822" w:type="dxa"/>
            <w:tcBorders>
              <w:top w:val="nil"/>
              <w:left w:val="nil"/>
              <w:bottom w:val="single" w:sz="4" w:space="0" w:color="auto"/>
              <w:right w:val="single" w:sz="4" w:space="0" w:color="auto"/>
            </w:tcBorders>
            <w:shd w:val="clear" w:color="000000" w:fill="FFC000"/>
            <w:vAlign w:val="center"/>
            <w:hideMark/>
          </w:tcPr>
          <w:p w:rsidR="007E399B" w:rsidRPr="002462E6" w:rsidRDefault="007E399B" w:rsidP="007E399B">
            <w:pPr>
              <w:jc w:val="center"/>
              <w:rPr>
                <w:b/>
                <w:bCs/>
                <w:color w:val="000000"/>
                <w:sz w:val="20"/>
                <w:szCs w:val="20"/>
                <w:lang w:eastAsia="fr-FR"/>
              </w:rPr>
            </w:pPr>
            <w:r w:rsidRPr="002462E6">
              <w:rPr>
                <w:b/>
                <w:bCs/>
                <w:color w:val="000000"/>
                <w:sz w:val="20"/>
                <w:szCs w:val="20"/>
                <w:lang w:eastAsia="fr-FR"/>
              </w:rPr>
              <w:t>Vulnérabilité moyenne</w:t>
            </w:r>
          </w:p>
        </w:tc>
        <w:tc>
          <w:tcPr>
            <w:tcW w:w="2822" w:type="dxa"/>
            <w:tcBorders>
              <w:top w:val="nil"/>
              <w:left w:val="nil"/>
              <w:bottom w:val="single" w:sz="4" w:space="0" w:color="auto"/>
              <w:right w:val="single" w:sz="4" w:space="0" w:color="auto"/>
            </w:tcBorders>
            <w:shd w:val="clear" w:color="000000" w:fill="D34B07"/>
            <w:vAlign w:val="center"/>
            <w:hideMark/>
          </w:tcPr>
          <w:p w:rsidR="007E399B" w:rsidRPr="002462E6" w:rsidRDefault="007E399B" w:rsidP="007E399B">
            <w:pPr>
              <w:jc w:val="center"/>
              <w:rPr>
                <w:b/>
                <w:bCs/>
                <w:color w:val="000000"/>
                <w:sz w:val="20"/>
                <w:szCs w:val="20"/>
                <w:lang w:eastAsia="fr-FR"/>
              </w:rPr>
            </w:pPr>
            <w:r w:rsidRPr="002462E6">
              <w:rPr>
                <w:b/>
                <w:bCs/>
                <w:color w:val="000000"/>
                <w:sz w:val="20"/>
                <w:szCs w:val="20"/>
                <w:lang w:eastAsia="fr-FR"/>
              </w:rPr>
              <w:t>Vulnérabilité Forte</w:t>
            </w:r>
          </w:p>
        </w:tc>
      </w:tr>
    </w:tbl>
    <w:p w:rsidR="00052E50" w:rsidRPr="002462E6" w:rsidRDefault="00052E50" w:rsidP="00052E50">
      <w:pPr>
        <w:spacing w:before="100" w:beforeAutospacing="1" w:after="100" w:afterAutospacing="1" w:line="360" w:lineRule="auto"/>
      </w:pPr>
    </w:p>
    <w:p w:rsidR="00052E50" w:rsidRPr="002462E6" w:rsidRDefault="00052E50" w:rsidP="00052E50">
      <w:pPr>
        <w:spacing w:before="100" w:beforeAutospacing="1" w:after="100" w:afterAutospacing="1" w:line="360" w:lineRule="auto"/>
      </w:pPr>
    </w:p>
    <w:p w:rsidR="00052E50" w:rsidRPr="002462E6" w:rsidRDefault="00052E50" w:rsidP="00052E50">
      <w:pPr>
        <w:spacing w:before="100" w:beforeAutospacing="1" w:after="100" w:afterAutospacing="1" w:line="360" w:lineRule="auto"/>
        <w:jc w:val="center"/>
        <w:rPr>
          <w:rFonts w:ascii="Tahoma" w:hAnsi="Tahoma" w:cs="Tahoma"/>
          <w:sz w:val="20"/>
          <w:szCs w:val="20"/>
          <w:lang w:eastAsia="fr-FR"/>
        </w:rPr>
      </w:pPr>
      <w:r w:rsidRPr="002462E6">
        <w:rPr>
          <w:rFonts w:ascii="Tahoma" w:hAnsi="Tahoma" w:cs="Tahoma"/>
          <w:b/>
          <w:bCs/>
          <w:sz w:val="20"/>
          <w:szCs w:val="20"/>
          <w:lang w:eastAsia="fr-FR"/>
        </w:rPr>
        <w:t>Source</w:t>
      </w:r>
      <w:r w:rsidRPr="002462E6">
        <w:rPr>
          <w:rFonts w:ascii="Tahoma" w:hAnsi="Tahoma" w:cs="Tahoma"/>
          <w:sz w:val="20"/>
          <w:szCs w:val="20"/>
          <w:lang w:eastAsia="fr-FR"/>
        </w:rPr>
        <w:t xml:space="preserve"> : résultats de l’enquête</w:t>
      </w:r>
    </w:p>
    <w:p w:rsidR="002D1D62" w:rsidRPr="002462E6" w:rsidRDefault="002D1D62">
      <w:pPr>
        <w:rPr>
          <w:rFonts w:ascii="Tahoma" w:eastAsia="Times New Roman" w:hAnsi="Tahoma" w:cs="Tahoma"/>
          <w:b/>
          <w:bCs/>
          <w:sz w:val="20"/>
          <w:szCs w:val="20"/>
        </w:rPr>
      </w:pPr>
    </w:p>
    <w:p w:rsidR="00052E50" w:rsidRPr="002462E6" w:rsidRDefault="00052E50">
      <w:pPr>
        <w:rPr>
          <w:rFonts w:ascii="Tahoma" w:eastAsia="Times New Roman" w:hAnsi="Tahoma" w:cs="Tahoma"/>
          <w:b/>
          <w:bCs/>
          <w:sz w:val="20"/>
          <w:szCs w:val="20"/>
        </w:rPr>
      </w:pPr>
      <w:r w:rsidRPr="002462E6">
        <w:br w:type="page"/>
      </w:r>
    </w:p>
    <w:p w:rsidR="00946E76" w:rsidRPr="002462E6" w:rsidRDefault="00946E76" w:rsidP="000D57A1">
      <w:pPr>
        <w:pStyle w:val="Sous-titre"/>
      </w:pPr>
      <w:bookmarkStart w:id="444" w:name="_Toc203642687"/>
      <w:r w:rsidRPr="002462E6">
        <w:t>Carte</w:t>
      </w:r>
      <w:r w:rsidR="0010613B" w:rsidRPr="002462E6">
        <w:t xml:space="preserve"> </w:t>
      </w:r>
      <w:r w:rsidR="00225ED1">
        <w:rPr>
          <w:noProof/>
        </w:rPr>
        <w:fldChar w:fldCharType="begin"/>
      </w:r>
      <w:r w:rsidR="00225ED1">
        <w:rPr>
          <w:noProof/>
        </w:rPr>
        <w:instrText xml:space="preserve"> SEQ Carte \* ARABIC </w:instrText>
      </w:r>
      <w:r w:rsidR="00225ED1">
        <w:rPr>
          <w:noProof/>
        </w:rPr>
        <w:fldChar w:fldCharType="separate"/>
      </w:r>
      <w:r w:rsidR="00124AFB">
        <w:rPr>
          <w:noProof/>
        </w:rPr>
        <w:t>13</w:t>
      </w:r>
      <w:r w:rsidR="00225ED1">
        <w:rPr>
          <w:noProof/>
        </w:rPr>
        <w:fldChar w:fldCharType="end"/>
      </w:r>
      <w:r w:rsidRPr="002462E6">
        <w:t xml:space="preserve"> : Les équipements sociaux </w:t>
      </w:r>
      <w:r w:rsidR="00052E50" w:rsidRPr="002462E6">
        <w:t>selon la perception de la popula</w:t>
      </w:r>
      <w:r w:rsidRPr="002462E6">
        <w:t>tion enquêtée</w:t>
      </w:r>
      <w:bookmarkEnd w:id="444"/>
    </w:p>
    <w:p w:rsidR="007E399B" w:rsidRPr="002462E6" w:rsidRDefault="0057505F" w:rsidP="007E399B">
      <w:pPr>
        <w:spacing w:line="360" w:lineRule="auto"/>
        <w:jc w:val="both"/>
        <w:rPr>
          <w:rFonts w:ascii="Tahoma" w:hAnsi="Tahoma" w:cs="Tahoma"/>
          <w:sz w:val="24"/>
          <w:szCs w:val="24"/>
        </w:rPr>
      </w:pPr>
      <w:r>
        <w:rPr>
          <w:noProof/>
          <w:lang w:eastAsia="fr-FR"/>
        </w:rPr>
        <mc:AlternateContent>
          <mc:Choice Requires="wps">
            <w:drawing>
              <wp:anchor distT="0" distB="0" distL="114300" distR="114300" simplePos="0" relativeHeight="251793408" behindDoc="0" locked="0" layoutInCell="1" allowOverlap="1" wp14:anchorId="2EE4954A" wp14:editId="123FF4BA">
                <wp:simplePos x="0" y="0"/>
                <wp:positionH relativeFrom="column">
                  <wp:posOffset>218440</wp:posOffset>
                </wp:positionH>
                <wp:positionV relativeFrom="paragraph">
                  <wp:posOffset>6522084</wp:posOffset>
                </wp:positionV>
                <wp:extent cx="1238250" cy="368935"/>
                <wp:effectExtent l="0" t="0" r="0" b="0"/>
                <wp:wrapNone/>
                <wp:docPr id="481" name="Rectangle 481"/>
                <wp:cNvGraphicFramePr/>
                <a:graphic xmlns:a="http://schemas.openxmlformats.org/drawingml/2006/main">
                  <a:graphicData uri="http://schemas.microsoft.com/office/word/2010/wordprocessingShape">
                    <wps:wsp>
                      <wps:cNvSpPr/>
                      <wps:spPr>
                        <a:xfrm flipH="1" flipV="1">
                          <a:off x="0" y="0"/>
                          <a:ext cx="1238250" cy="368935"/>
                        </a:xfrm>
                        <a:prstGeom prst="rect">
                          <a:avLst/>
                        </a:prstGeom>
                        <a:solidFill>
                          <a:schemeClr val="bg1"/>
                        </a:solidFill>
                        <a:ln>
                          <a:no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5EF2AA2" id="Rectangle 481" o:spid="_x0000_s1026" style="position:absolute;margin-left:17.2pt;margin-top:513.55pt;width:97.5pt;height:29.05pt;flip:x y;z-index:251793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" fillcolor="white [3212]" stroked="f" strokeweight="1pt"/>
            </w:pict>
          </mc:Fallback>
        </mc:AlternateContent>
      </w:r>
      <w:r w:rsidR="007E399B" w:rsidRPr="002462E6">
        <w:rPr>
          <w:noProof/>
          <w:lang w:eastAsia="fr-FR"/>
        </w:rPr>
        <w:drawing>
          <wp:inline distT="0" distB="0" distL="0" distR="0" wp14:anchorId="3A9C49EE" wp14:editId="18CCF872">
            <wp:extent cx="6148565" cy="7160821"/>
            <wp:effectExtent l="0" t="0" r="5080" b="2540"/>
            <wp:docPr id="956995663" name="Image 956995663" descr="E:\these\Aprés soutenance\CartoFrancaisKorifla\ImageCartes\Infrastructure2.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E:\these\Aprés soutenance\CartoFrancaisKorifla\ImageCartes\Infrastructure2.BMP"/>
                    <pic:cNvPicPr>
                      <a:picLocks noChangeAspect="1" noChangeArrowheads="1"/>
                    </pic:cNvPicPr>
                  </pic:nvPicPr>
                  <pic:blipFill rotWithShape="1">
                    <a:blip r:embed="rId52">
                      <a:extLst>
                        <a:ext uri="{28A0092B-C50C-407E-A947-70E740481C1C}">
                          <a14:useLocalDpi xmlns:a14="http://schemas.microsoft.com/office/drawing/2010/main" val="0"/>
                        </a:ext>
                      </a:extLst>
                    </a:blip>
                    <a:srcRect l="6855" t="15660" r="6080" b="17112"/>
                    <a:stretch/>
                  </pic:blipFill>
                  <pic:spPr bwMode="auto">
                    <a:xfrm>
                      <a:off x="0" y="0"/>
                      <a:ext cx="6152754" cy="7165700"/>
                    </a:xfrm>
                    <a:prstGeom prst="rect">
                      <a:avLst/>
                    </a:prstGeom>
                    <a:noFill/>
                    <a:ln>
                      <a:noFill/>
                    </a:ln>
                    <a:extLst>
                      <a:ext uri="{53640926-AAD7-44D8-BBD7-CCE9431645EC}">
                        <a14:shadowObscured xmlns:a14="http://schemas.microsoft.com/office/drawing/2010/main"/>
                      </a:ext>
                    </a:extLst>
                  </pic:spPr>
                </pic:pic>
              </a:graphicData>
            </a:graphic>
          </wp:inline>
        </w:drawing>
      </w:r>
    </w:p>
    <w:p w:rsidR="0057505F" w:rsidRPr="0057505F" w:rsidRDefault="0057505F" w:rsidP="00784974">
      <w:pPr>
        <w:widowControl w:val="0"/>
        <w:autoSpaceDE w:val="0"/>
        <w:autoSpaceDN w:val="0"/>
        <w:spacing w:after="0" w:line="360" w:lineRule="auto"/>
        <w:jc w:val="center"/>
        <w:rPr>
          <w:rFonts w:ascii="Tahoma" w:eastAsia="Times New Roman" w:hAnsi="Tahoma" w:cs="Tahoma"/>
          <w:sz w:val="20"/>
          <w:szCs w:val="20"/>
        </w:rPr>
      </w:pPr>
      <w:r w:rsidRPr="0057505F">
        <w:rPr>
          <w:rFonts w:ascii="Tahoma" w:hAnsi="Tahoma" w:cs="Tahoma"/>
          <w:b/>
          <w:bCs/>
          <w:sz w:val="20"/>
          <w:szCs w:val="20"/>
          <w:lang w:eastAsia="fr-FR"/>
        </w:rPr>
        <w:t>Source</w:t>
      </w:r>
      <w:r w:rsidRPr="0057505F">
        <w:rPr>
          <w:rFonts w:ascii="Tahoma" w:hAnsi="Tahoma" w:cs="Tahoma"/>
          <w:sz w:val="20"/>
          <w:szCs w:val="20"/>
          <w:lang w:eastAsia="fr-FR"/>
        </w:rPr>
        <w:t xml:space="preserve"> : </w:t>
      </w:r>
      <w:r w:rsidR="00784974">
        <w:rPr>
          <w:rFonts w:ascii="Tahoma" w:eastAsia="Times New Roman" w:hAnsi="Tahoma" w:cs="Tahoma"/>
          <w:sz w:val="24"/>
          <w:szCs w:val="24"/>
        </w:rPr>
        <w:t>Elab</w:t>
      </w:r>
      <w:r w:rsidR="00784974" w:rsidRPr="00D63D38">
        <w:rPr>
          <w:rFonts w:ascii="Tahoma" w:eastAsia="Times New Roman" w:hAnsi="Tahoma" w:cs="Tahoma"/>
          <w:sz w:val="24"/>
          <w:szCs w:val="24"/>
        </w:rPr>
        <w:t xml:space="preserve">oration de l’auteur sur la base </w:t>
      </w:r>
      <w:r w:rsidR="00784974">
        <w:rPr>
          <w:rFonts w:ascii="Tahoma" w:eastAsia="Times New Roman" w:hAnsi="Tahoma" w:cs="Tahoma"/>
          <w:sz w:val="24"/>
          <w:szCs w:val="24"/>
        </w:rPr>
        <w:t xml:space="preserve">des résultats </w:t>
      </w:r>
      <w:r w:rsidR="00784974" w:rsidRPr="00D63D38">
        <w:rPr>
          <w:rFonts w:ascii="Tahoma" w:eastAsia="Times New Roman" w:hAnsi="Tahoma" w:cs="Tahoma"/>
          <w:sz w:val="24"/>
          <w:szCs w:val="24"/>
        </w:rPr>
        <w:t>de l’</w:t>
      </w:r>
      <w:r w:rsidR="00784974">
        <w:rPr>
          <w:rFonts w:ascii="Tahoma" w:eastAsia="Times New Roman" w:hAnsi="Tahoma" w:cs="Tahoma"/>
          <w:sz w:val="24"/>
          <w:szCs w:val="24"/>
        </w:rPr>
        <w:t>enqu</w:t>
      </w:r>
      <w:r w:rsidR="00784974" w:rsidRPr="00D63D38">
        <w:rPr>
          <w:rFonts w:ascii="Tahoma" w:eastAsia="Times New Roman" w:hAnsi="Tahoma" w:cs="Tahoma"/>
          <w:sz w:val="24"/>
          <w:szCs w:val="24"/>
        </w:rPr>
        <w:t>ête du ter</w:t>
      </w:r>
      <w:r w:rsidR="00784974">
        <w:rPr>
          <w:rFonts w:ascii="Tahoma" w:eastAsia="Times New Roman" w:hAnsi="Tahoma" w:cs="Tahoma"/>
          <w:sz w:val="24"/>
          <w:szCs w:val="24"/>
        </w:rPr>
        <w:t>r</w:t>
      </w:r>
      <w:r w:rsidR="00784974" w:rsidRPr="00D63D38">
        <w:rPr>
          <w:rFonts w:ascii="Tahoma" w:eastAsia="Times New Roman" w:hAnsi="Tahoma" w:cs="Tahoma"/>
          <w:sz w:val="24"/>
          <w:szCs w:val="24"/>
        </w:rPr>
        <w:t>ain</w:t>
      </w:r>
    </w:p>
    <w:p w:rsidR="005C014D" w:rsidRPr="002462E6" w:rsidRDefault="005C014D" w:rsidP="00FE2565">
      <w:pPr>
        <w:tabs>
          <w:tab w:val="left" w:pos="3165"/>
        </w:tabs>
        <w:spacing w:before="100" w:beforeAutospacing="1" w:after="100" w:afterAutospacing="1" w:line="360" w:lineRule="auto"/>
        <w:jc w:val="both"/>
        <w:rPr>
          <w:rFonts w:ascii="Tahoma" w:hAnsi="Tahoma" w:cs="Tahoma"/>
          <w:sz w:val="24"/>
          <w:szCs w:val="24"/>
        </w:rPr>
      </w:pPr>
      <w:r w:rsidRPr="002462E6">
        <w:rPr>
          <w:rFonts w:ascii="Tahoma" w:eastAsia="Times New Roman" w:hAnsi="Tahoma" w:cs="Tahoma"/>
          <w:sz w:val="24"/>
          <w:szCs w:val="24"/>
        </w:rPr>
        <w:t>La cartographie des équipements sociaux dans la forêt de Korifla révèle une configuration territoriale complexe où se manifestent des inégalités d'accès substantielles qui interrogent l'efficacité des politiques sectorielles et la cohérence de l'aménagement territorial. L'analyse de six indicateurs - raccordement électrique, accès à l'eau, assainissement, qualité de l'habitat, désenclavement routier et connectivité téléphonique mobile - met en évidence des vulnérabilités différenciées selon les douars et les provinces.</w:t>
      </w:r>
    </w:p>
    <w:p w:rsidR="005C014D" w:rsidRPr="002462E6" w:rsidRDefault="005C014D" w:rsidP="005C014D">
      <w:pPr>
        <w:widowControl w:val="0"/>
        <w:autoSpaceDE w:val="0"/>
        <w:autoSpaceDN w:val="0"/>
        <w:spacing w:after="0" w:line="360" w:lineRule="auto"/>
        <w:jc w:val="both"/>
        <w:rPr>
          <w:rFonts w:ascii="Tahoma" w:eastAsia="Times New Roman" w:hAnsi="Tahoma" w:cs="Tahoma"/>
          <w:sz w:val="10"/>
          <w:szCs w:val="10"/>
        </w:rPr>
      </w:pPr>
    </w:p>
    <w:p w:rsidR="005C014D" w:rsidRPr="002462E6" w:rsidRDefault="005C014D" w:rsidP="005C014D">
      <w:pPr>
        <w:widowControl w:val="0"/>
        <w:autoSpaceDE w:val="0"/>
        <w:autoSpaceDN w:val="0"/>
        <w:spacing w:after="0" w:line="360" w:lineRule="auto"/>
        <w:jc w:val="both"/>
        <w:rPr>
          <w:rFonts w:ascii="Tahoma" w:eastAsia="Times New Roman" w:hAnsi="Tahoma" w:cs="Tahoma"/>
          <w:sz w:val="24"/>
          <w:szCs w:val="24"/>
        </w:rPr>
      </w:pPr>
      <w:r w:rsidRPr="002462E6">
        <w:rPr>
          <w:rFonts w:ascii="Tahoma" w:eastAsia="Times New Roman" w:hAnsi="Tahoma" w:cs="Tahoma"/>
          <w:sz w:val="24"/>
          <w:szCs w:val="24"/>
          <w:lang w:eastAsia="fr-FR"/>
        </w:rPr>
        <w:t>Cette diversité des situations territoriales observée dans la zone de recherche ne saurait être considérée comme fortuite. Elle traduit, au contraire, les effets différenciés des politiques publiques d’équipement et met en lumière les mécanismes structurels de reproduction des inégalités spatiales en milieu rural. L’indice synthétique d’infrastructure de base, dont les valeurs fluctuent entre 37 % et 83 % selon les douars, révèle l’ampleur des disparités territoriales. Ces écarts significatifs compromettent non seulement la cohésion sociale et territoriale, mais interrogent également la viabilité des trajectoires actuelles de développement rural.</w:t>
      </w:r>
    </w:p>
    <w:p w:rsidR="005C014D" w:rsidRPr="002462E6" w:rsidRDefault="005C014D" w:rsidP="005C014D">
      <w:pPr>
        <w:spacing w:before="100" w:beforeAutospacing="1" w:after="100" w:afterAutospacing="1" w:line="360" w:lineRule="auto"/>
        <w:jc w:val="both"/>
        <w:rPr>
          <w:rFonts w:ascii="Tahoma" w:eastAsia="Times New Roman" w:hAnsi="Tahoma" w:cs="Tahoma"/>
          <w:sz w:val="24"/>
          <w:szCs w:val="24"/>
        </w:rPr>
      </w:pPr>
      <w:r w:rsidRPr="002462E6">
        <w:rPr>
          <w:rFonts w:ascii="Tahoma" w:eastAsia="Times New Roman" w:hAnsi="Tahoma" w:cs="Tahoma"/>
          <w:sz w:val="24"/>
          <w:szCs w:val="24"/>
          <w:lang w:eastAsia="fr-FR"/>
        </w:rPr>
        <w:t>Dans ce contexte, une problématique centrale émerge : dans quelle mesure les inégalités d’accès aux services de base dans la région forestière de Korifla traduisent-elles les dysfonctionnements structurels des politiques sectorielles ? Et quelles stratégies pourraient être envisagées pour atténuer ces disparités et renforcer l’équité territoriale ? ceci nous conduit à l’analyse successivement des dynamiques d'électrification et leurs limites persistantes, les défaillances critiques de l'accès à l'eau et à l’assainissement, avant d'étudier les enjeux de l'habitat et de la connectivité territoriale.</w:t>
      </w:r>
    </w:p>
    <w:p w:rsidR="005C014D" w:rsidRPr="002462E6" w:rsidRDefault="005C014D" w:rsidP="008D3838">
      <w:pPr>
        <w:pStyle w:val="Titre6"/>
        <w:numPr>
          <w:ilvl w:val="0"/>
          <w:numId w:val="105"/>
        </w:numPr>
      </w:pPr>
      <w:bookmarkStart w:id="445" w:name="_Toc203643127"/>
      <w:r w:rsidRPr="002462E6">
        <w:t>Eléctrification rurale : un processus inachevé aux résultats différenciés</w:t>
      </w:r>
      <w:bookmarkEnd w:id="445"/>
    </w:p>
    <w:p w:rsidR="005C014D" w:rsidRPr="002462E6" w:rsidRDefault="005C014D" w:rsidP="005C014D">
      <w:pPr>
        <w:widowControl w:val="0"/>
        <w:autoSpaceDE w:val="0"/>
        <w:autoSpaceDN w:val="0"/>
        <w:spacing w:after="0" w:line="360" w:lineRule="auto"/>
        <w:rPr>
          <w:rFonts w:ascii="Tahoma" w:eastAsia="Times New Roman" w:hAnsi="Tahoma" w:cs="Tahoma"/>
          <w:sz w:val="14"/>
          <w:szCs w:val="14"/>
        </w:rPr>
      </w:pPr>
    </w:p>
    <w:p w:rsidR="005C014D" w:rsidRPr="002462E6" w:rsidRDefault="005C014D" w:rsidP="005C014D">
      <w:pPr>
        <w:widowControl w:val="0"/>
        <w:autoSpaceDE w:val="0"/>
        <w:autoSpaceDN w:val="0"/>
        <w:spacing w:after="0" w:line="360" w:lineRule="auto"/>
        <w:jc w:val="both"/>
        <w:rPr>
          <w:rFonts w:ascii="Tahoma" w:eastAsia="Times New Roman" w:hAnsi="Tahoma" w:cs="Tahoma"/>
          <w:sz w:val="8"/>
          <w:szCs w:val="8"/>
        </w:rPr>
      </w:pPr>
    </w:p>
    <w:p w:rsidR="005C014D" w:rsidRPr="002462E6" w:rsidRDefault="005C014D" w:rsidP="005C014D">
      <w:pPr>
        <w:widowControl w:val="0"/>
        <w:autoSpaceDE w:val="0"/>
        <w:autoSpaceDN w:val="0"/>
        <w:spacing w:after="0" w:line="360" w:lineRule="auto"/>
        <w:jc w:val="both"/>
        <w:rPr>
          <w:rFonts w:ascii="Tahoma" w:eastAsia="Times New Roman" w:hAnsi="Tahoma" w:cs="Tahoma"/>
          <w:sz w:val="24"/>
          <w:szCs w:val="24"/>
          <w:lang w:eastAsia="fr-FR"/>
        </w:rPr>
      </w:pPr>
      <w:r w:rsidRPr="002462E6">
        <w:rPr>
          <w:rFonts w:ascii="Tahoma" w:eastAsia="Times New Roman" w:hAnsi="Tahoma" w:cs="Tahoma"/>
          <w:sz w:val="24"/>
          <w:szCs w:val="24"/>
          <w:lang w:eastAsia="fr-FR"/>
        </w:rPr>
        <w:t xml:space="preserve">L’analyse de la connectivité électrique met en évidence que 87 % des douars enquêtés disposent d’un raccordement au réseau électrique (cf. graphique n°10).  </w:t>
      </w:r>
    </w:p>
    <w:p w:rsidR="005C014D" w:rsidRPr="002462E6" w:rsidRDefault="005C014D" w:rsidP="007D633A">
      <w:pPr>
        <w:widowControl w:val="0"/>
        <w:autoSpaceDE w:val="0"/>
        <w:autoSpaceDN w:val="0"/>
        <w:spacing w:after="0" w:line="360" w:lineRule="auto"/>
        <w:jc w:val="both"/>
        <w:rPr>
          <w:rFonts w:ascii="Tahoma" w:eastAsia="Times New Roman" w:hAnsi="Tahoma" w:cs="Tahoma"/>
          <w:sz w:val="24"/>
          <w:szCs w:val="24"/>
          <w:lang w:eastAsia="fr-FR"/>
        </w:rPr>
      </w:pPr>
      <w:r w:rsidRPr="002462E6">
        <w:rPr>
          <w:rFonts w:ascii="Tahoma" w:eastAsia="Times New Roman" w:hAnsi="Tahoma" w:cs="Tahoma"/>
          <w:sz w:val="24"/>
          <w:szCs w:val="24"/>
          <w:lang w:eastAsia="fr-FR"/>
        </w:rPr>
        <w:t>, ce qui témoigne de l’efficacité relative du Programme d’Électrification Rurale Global (PERG), déployé depuis les années 1990. Toutefois, cette performance quantitative, bien que significative à l’échelle globale, dissimule des disparités territoriales persistantes : 13 % des douars demeurent encore non raccordés, révélant ainsi les limites d’un déploiement uniforme de l’infrastructure électrique en milieu rural.</w:t>
      </w:r>
    </w:p>
    <w:p w:rsidR="005C014D" w:rsidRPr="00FE2565" w:rsidRDefault="005C014D" w:rsidP="005C014D">
      <w:pPr>
        <w:widowControl w:val="0"/>
        <w:autoSpaceDE w:val="0"/>
        <w:autoSpaceDN w:val="0"/>
        <w:spacing w:after="0" w:line="360" w:lineRule="auto"/>
        <w:jc w:val="both"/>
        <w:rPr>
          <w:rFonts w:ascii="Tahoma" w:eastAsia="Times New Roman" w:hAnsi="Tahoma" w:cs="Tahoma"/>
          <w:sz w:val="2"/>
          <w:szCs w:val="2"/>
        </w:rPr>
      </w:pPr>
    </w:p>
    <w:p w:rsidR="00335088" w:rsidRDefault="00335088" w:rsidP="00335088">
      <w:pPr>
        <w:pStyle w:val="Sous-titre"/>
      </w:pPr>
      <w:bookmarkStart w:id="446" w:name="_Toc203642544"/>
      <w:r>
        <w:t xml:space="preserve">Graphe </w:t>
      </w:r>
      <w:r w:rsidR="00225ED1">
        <w:rPr>
          <w:noProof/>
        </w:rPr>
        <w:fldChar w:fldCharType="begin"/>
      </w:r>
      <w:r w:rsidR="00225ED1">
        <w:rPr>
          <w:noProof/>
        </w:rPr>
        <w:instrText xml:space="preserve"> SEQ Graphe \* ARABIC </w:instrText>
      </w:r>
      <w:r w:rsidR="00225ED1">
        <w:rPr>
          <w:noProof/>
        </w:rPr>
        <w:fldChar w:fldCharType="separate"/>
      </w:r>
      <w:r w:rsidR="00124AFB">
        <w:rPr>
          <w:noProof/>
        </w:rPr>
        <w:t>12</w:t>
      </w:r>
      <w:r w:rsidR="00225ED1">
        <w:rPr>
          <w:noProof/>
        </w:rPr>
        <w:fldChar w:fldCharType="end"/>
      </w:r>
      <w:r>
        <w:t xml:space="preserve"> </w:t>
      </w:r>
      <w:r w:rsidRPr="00A86FB6">
        <w:t>: Taux d'équipement des enquêtés en électricité</w:t>
      </w:r>
      <w:bookmarkEnd w:id="446"/>
    </w:p>
    <w:p w:rsidR="005C014D" w:rsidRPr="002462E6" w:rsidRDefault="005C014D" w:rsidP="005C014D">
      <w:pPr>
        <w:widowControl w:val="0"/>
        <w:tabs>
          <w:tab w:val="left" w:pos="4008"/>
        </w:tabs>
        <w:autoSpaceDE w:val="0"/>
        <w:autoSpaceDN w:val="0"/>
        <w:jc w:val="center"/>
        <w:rPr>
          <w:rFonts w:ascii="Times New Roman" w:eastAsia="Times New Roman" w:hAnsi="Times New Roman" w:cs="Times New Roman"/>
        </w:rPr>
      </w:pPr>
      <w:r w:rsidRPr="002462E6">
        <w:rPr>
          <w:rFonts w:ascii="Times New Roman" w:eastAsia="Times New Roman" w:hAnsi="Times New Roman" w:cs="Times New Roman"/>
          <w:noProof/>
          <w:lang w:eastAsia="fr-FR"/>
        </w:rPr>
        <w:drawing>
          <wp:inline distT="0" distB="0" distL="0" distR="0" wp14:anchorId="0A63DDBF" wp14:editId="343EA1EF">
            <wp:extent cx="4451684" cy="2213811"/>
            <wp:effectExtent l="0" t="0" r="25400" b="15240"/>
            <wp:docPr id="486" name="Graphique 486"/>
            <wp:cNvGraphicFramePr/>
            <a:graphic xmlns:a="http://schemas.openxmlformats.org/drawingml/2006/main">
              <a:graphicData uri="http://schemas.openxmlformats.org/drawingml/2006/chart">
                <c:chart xmlns:c="http://schemas.openxmlformats.org/drawingml/2006/chart" xmlns:r="http://schemas.openxmlformats.org/officeDocument/2006/relationships" r:id="rId53"/>
              </a:graphicData>
            </a:graphic>
          </wp:inline>
        </w:drawing>
      </w:r>
    </w:p>
    <w:p w:rsidR="005C014D" w:rsidRPr="002462E6" w:rsidRDefault="005C014D" w:rsidP="00335088">
      <w:pPr>
        <w:widowControl w:val="0"/>
        <w:autoSpaceDE w:val="0"/>
        <w:autoSpaceDN w:val="0"/>
        <w:spacing w:before="100" w:beforeAutospacing="1" w:after="100" w:afterAutospacing="1" w:line="360" w:lineRule="auto"/>
        <w:jc w:val="center"/>
        <w:rPr>
          <w:rFonts w:ascii="Tahoma" w:eastAsia="Times New Roman" w:hAnsi="Tahoma" w:cs="Tahoma"/>
          <w:sz w:val="20"/>
          <w:szCs w:val="20"/>
          <w:lang w:eastAsia="fr-FR"/>
        </w:rPr>
      </w:pPr>
      <w:r w:rsidRPr="002462E6">
        <w:rPr>
          <w:rFonts w:ascii="Tahoma" w:eastAsia="Times New Roman" w:hAnsi="Tahoma" w:cs="Tahoma"/>
          <w:b/>
          <w:bCs/>
          <w:sz w:val="20"/>
          <w:szCs w:val="20"/>
          <w:lang w:eastAsia="fr-FR"/>
        </w:rPr>
        <w:t>Source :</w:t>
      </w:r>
      <w:r w:rsidRPr="002462E6">
        <w:rPr>
          <w:rFonts w:ascii="Tahoma" w:eastAsia="Times New Roman" w:hAnsi="Tahoma" w:cs="Tahoma"/>
          <w:sz w:val="20"/>
          <w:szCs w:val="20"/>
          <w:lang w:eastAsia="fr-FR"/>
        </w:rPr>
        <w:t xml:space="preserve"> résultats de l’enquête</w:t>
      </w:r>
    </w:p>
    <w:p w:rsidR="005C014D" w:rsidRPr="002462E6" w:rsidRDefault="005C014D" w:rsidP="005C014D">
      <w:pPr>
        <w:widowControl w:val="0"/>
        <w:autoSpaceDE w:val="0"/>
        <w:autoSpaceDN w:val="0"/>
        <w:spacing w:after="0" w:line="360" w:lineRule="auto"/>
        <w:jc w:val="both"/>
        <w:rPr>
          <w:rFonts w:ascii="Tahoma" w:eastAsia="Times New Roman" w:hAnsi="Tahoma" w:cs="Tahoma"/>
          <w:sz w:val="24"/>
          <w:szCs w:val="24"/>
        </w:rPr>
      </w:pPr>
      <w:r w:rsidRPr="002462E6">
        <w:rPr>
          <w:rFonts w:ascii="Tahoma" w:eastAsia="Times New Roman" w:hAnsi="Tahoma" w:cs="Tahoma"/>
          <w:sz w:val="24"/>
          <w:szCs w:val="24"/>
        </w:rPr>
        <w:t>Les données chronologiques relatives à l’électrification mettent en évidence une dynamique temporelle concentrée, avec 70 % des raccordements effectués entre 2010 et 2016, et un pic notable en 2012, où 31 raccordements ont été réalisés sur un total de 105. Cette concentration temporelle illustre l’accélération des programmes d’équipement durant cette période, tout en soulignant les retards accumulés au cours des décennies</w:t>
      </w:r>
      <w:r w:rsidR="00DC12A2" w:rsidRPr="002462E6">
        <w:rPr>
          <w:rFonts w:ascii="Tahoma" w:eastAsia="Times New Roman" w:hAnsi="Tahoma" w:cs="Tahoma"/>
          <w:sz w:val="24"/>
          <w:szCs w:val="24"/>
        </w:rPr>
        <w:t xml:space="preserve"> précédentes (cf. graphe</w:t>
      </w:r>
      <w:r w:rsidRPr="002462E6">
        <w:rPr>
          <w:rFonts w:ascii="Tahoma" w:eastAsia="Times New Roman" w:hAnsi="Tahoma" w:cs="Tahoma"/>
          <w:sz w:val="24"/>
          <w:szCs w:val="24"/>
        </w:rPr>
        <w:t xml:space="preserve"> n°11).  </w:t>
      </w:r>
    </w:p>
    <w:p w:rsidR="005C014D" w:rsidRPr="002462E6" w:rsidRDefault="005C014D" w:rsidP="005C014D">
      <w:pPr>
        <w:widowControl w:val="0"/>
        <w:autoSpaceDE w:val="0"/>
        <w:autoSpaceDN w:val="0"/>
        <w:spacing w:after="0" w:line="360" w:lineRule="auto"/>
        <w:jc w:val="both"/>
        <w:rPr>
          <w:rFonts w:ascii="Tahoma" w:eastAsia="Times New Roman" w:hAnsi="Tahoma" w:cs="Tahoma"/>
          <w:b/>
          <w:bCs/>
          <w:sz w:val="6"/>
          <w:szCs w:val="6"/>
        </w:rPr>
      </w:pPr>
    </w:p>
    <w:p w:rsidR="00335088" w:rsidRDefault="00335088" w:rsidP="00335088">
      <w:pPr>
        <w:pStyle w:val="Sous-titre"/>
      </w:pPr>
      <w:bookmarkStart w:id="447" w:name="_Toc203642545"/>
      <w:r>
        <w:t xml:space="preserve">Graphe </w:t>
      </w:r>
      <w:r w:rsidR="00225ED1">
        <w:rPr>
          <w:noProof/>
        </w:rPr>
        <w:fldChar w:fldCharType="begin"/>
      </w:r>
      <w:r w:rsidR="00225ED1">
        <w:rPr>
          <w:noProof/>
        </w:rPr>
        <w:instrText xml:space="preserve"> SEQ Graphe \* ARABIC </w:instrText>
      </w:r>
      <w:r w:rsidR="00225ED1">
        <w:rPr>
          <w:noProof/>
        </w:rPr>
        <w:fldChar w:fldCharType="separate"/>
      </w:r>
      <w:r w:rsidR="00124AFB">
        <w:rPr>
          <w:noProof/>
        </w:rPr>
        <w:t>13</w:t>
      </w:r>
      <w:r w:rsidR="00225ED1">
        <w:rPr>
          <w:noProof/>
        </w:rPr>
        <w:fldChar w:fldCharType="end"/>
      </w:r>
      <w:r>
        <w:t xml:space="preserve"> : </w:t>
      </w:r>
      <w:r w:rsidRPr="005C302E">
        <w:t>Année d’électrification des douars selon les enquêtés</w:t>
      </w:r>
      <w:bookmarkEnd w:id="447"/>
    </w:p>
    <w:p w:rsidR="00133B5B" w:rsidRPr="002462E6" w:rsidRDefault="005C014D" w:rsidP="00AB476D">
      <w:pPr>
        <w:widowControl w:val="0"/>
        <w:autoSpaceDE w:val="0"/>
        <w:autoSpaceDN w:val="0"/>
        <w:spacing w:after="0" w:line="360" w:lineRule="auto"/>
        <w:jc w:val="center"/>
        <w:rPr>
          <w:rFonts w:ascii="Tahoma" w:eastAsia="Times New Roman" w:hAnsi="Tahoma" w:cs="Tahoma"/>
          <w:sz w:val="24"/>
          <w:szCs w:val="24"/>
        </w:rPr>
      </w:pPr>
      <w:r w:rsidRPr="002462E6">
        <w:rPr>
          <w:rFonts w:ascii="Tahoma" w:eastAsia="Times New Roman" w:hAnsi="Tahoma" w:cs="Tahoma"/>
          <w:noProof/>
          <w:sz w:val="24"/>
          <w:szCs w:val="24"/>
          <w:lang w:eastAsia="fr-FR"/>
        </w:rPr>
        <w:drawing>
          <wp:inline distT="0" distB="0" distL="0" distR="0" wp14:anchorId="61D7147B" wp14:editId="1339978A">
            <wp:extent cx="5608225" cy="2176818"/>
            <wp:effectExtent l="0" t="0" r="0" b="0"/>
            <wp:docPr id="487" name="Image 4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613435" cy="2178840"/>
                    </a:xfrm>
                    <a:prstGeom prst="rect">
                      <a:avLst/>
                    </a:prstGeom>
                    <a:noFill/>
                  </pic:spPr>
                </pic:pic>
              </a:graphicData>
            </a:graphic>
          </wp:inline>
        </w:drawing>
      </w:r>
      <w:r w:rsidR="00133B5B" w:rsidRPr="002462E6">
        <w:rPr>
          <w:rFonts w:ascii="Tahoma" w:eastAsia="Times New Roman" w:hAnsi="Tahoma" w:cs="Tahoma"/>
          <w:b/>
          <w:bCs/>
          <w:sz w:val="20"/>
          <w:szCs w:val="20"/>
          <w:lang w:eastAsia="fr-FR"/>
        </w:rPr>
        <w:t>Source</w:t>
      </w:r>
      <w:r w:rsidR="00133B5B" w:rsidRPr="002462E6">
        <w:rPr>
          <w:rFonts w:ascii="Tahoma" w:eastAsia="Times New Roman" w:hAnsi="Tahoma" w:cs="Tahoma"/>
          <w:sz w:val="20"/>
          <w:szCs w:val="20"/>
          <w:lang w:eastAsia="fr-FR"/>
        </w:rPr>
        <w:t xml:space="preserve"> : résultats de l’enquête</w:t>
      </w:r>
    </w:p>
    <w:p w:rsidR="005C014D" w:rsidRPr="002462E6" w:rsidRDefault="005C014D" w:rsidP="00FE2565">
      <w:pPr>
        <w:widowControl w:val="0"/>
        <w:autoSpaceDE w:val="0"/>
        <w:autoSpaceDN w:val="0"/>
        <w:spacing w:after="0" w:line="360" w:lineRule="auto"/>
        <w:jc w:val="both"/>
        <w:rPr>
          <w:rFonts w:ascii="Tahoma" w:eastAsia="Times New Roman" w:hAnsi="Tahoma" w:cs="Tahoma"/>
          <w:sz w:val="24"/>
          <w:szCs w:val="24"/>
        </w:rPr>
      </w:pPr>
      <w:r w:rsidRPr="002462E6">
        <w:rPr>
          <w:rFonts w:ascii="Tahoma" w:eastAsia="Times New Roman" w:hAnsi="Tahoma" w:cs="Tahoma"/>
          <w:sz w:val="24"/>
          <w:szCs w:val="24"/>
        </w:rPr>
        <w:t>Il convient de souligner que quatre douars restent partiellement ou totalement dépourvus d’électricité : Lbghada (avec 100 % de ménages non raccordés), Nkaila (60 %), Oulad Daoud (40 %) et Oulad Marzoug (20 %). La persistance de cette précarité énergétique dans ces territoires spécifiques s’explique vraisemblablement par l’existence de contraintes géographiques, t</w:t>
      </w:r>
      <w:r w:rsidR="00FE2565">
        <w:rPr>
          <w:rFonts w:ascii="Tahoma" w:eastAsia="Times New Roman" w:hAnsi="Tahoma" w:cs="Tahoma"/>
          <w:sz w:val="24"/>
          <w:szCs w:val="24"/>
        </w:rPr>
        <w:t>echniques ou institutionnelles.</w:t>
      </w:r>
    </w:p>
    <w:p w:rsidR="005C014D" w:rsidRPr="002462E6" w:rsidRDefault="005C014D" w:rsidP="005C014D">
      <w:pPr>
        <w:widowControl w:val="0"/>
        <w:autoSpaceDE w:val="0"/>
        <w:autoSpaceDN w:val="0"/>
        <w:spacing w:after="0" w:line="360" w:lineRule="auto"/>
        <w:rPr>
          <w:rFonts w:ascii="Tahoma" w:eastAsia="Times New Roman" w:hAnsi="Tahoma" w:cs="Tahoma"/>
          <w:sz w:val="12"/>
          <w:szCs w:val="12"/>
        </w:rPr>
      </w:pPr>
    </w:p>
    <w:p w:rsidR="005C014D" w:rsidRPr="002462E6" w:rsidRDefault="005C014D" w:rsidP="008D3838">
      <w:pPr>
        <w:pStyle w:val="Titre6"/>
      </w:pPr>
      <w:bookmarkStart w:id="448" w:name="_Toc203643128"/>
      <w:r w:rsidRPr="002462E6">
        <w:t>Eau et assainissement : défaillances structurelles majeures</w:t>
      </w:r>
      <w:bookmarkEnd w:id="448"/>
    </w:p>
    <w:p w:rsidR="005C014D" w:rsidRPr="002462E6" w:rsidRDefault="005C014D" w:rsidP="005C014D">
      <w:pPr>
        <w:widowControl w:val="0"/>
        <w:autoSpaceDE w:val="0"/>
        <w:autoSpaceDN w:val="0"/>
        <w:spacing w:after="0" w:line="360" w:lineRule="auto"/>
        <w:rPr>
          <w:rFonts w:ascii="Tahoma" w:eastAsia="Times New Roman" w:hAnsi="Tahoma" w:cs="Tahoma"/>
          <w:sz w:val="18"/>
          <w:szCs w:val="18"/>
        </w:rPr>
      </w:pPr>
    </w:p>
    <w:p w:rsidR="005C014D" w:rsidRPr="002462E6" w:rsidRDefault="005C014D" w:rsidP="005C014D">
      <w:pPr>
        <w:widowControl w:val="0"/>
        <w:autoSpaceDE w:val="0"/>
        <w:autoSpaceDN w:val="0"/>
        <w:spacing w:after="0" w:line="360" w:lineRule="auto"/>
        <w:jc w:val="both"/>
        <w:rPr>
          <w:rFonts w:ascii="Tahoma" w:eastAsia="Times New Roman" w:hAnsi="Tahoma" w:cs="Tahoma"/>
          <w:sz w:val="24"/>
          <w:szCs w:val="24"/>
        </w:rPr>
      </w:pPr>
      <w:r w:rsidRPr="002462E6">
        <w:rPr>
          <w:rFonts w:ascii="Tahoma" w:eastAsia="Times New Roman" w:hAnsi="Tahoma" w:cs="Tahoma"/>
          <w:sz w:val="24"/>
          <w:szCs w:val="24"/>
        </w:rPr>
        <w:t>L'accès à l'eau potable constitue la défaillance la plus critique du système d'équipement rural à Korifla. En effet, Le raccordement au réseau d'eau potable ne concerne que 14% des enquêtés (cf. graphique n°12), révélant un déficit important en matière d'accès aux services publics de base.   Cette situation met en lumière un échec structurel des politiques hydriques territoriales, compromettant de manière significative les conditions de vie et la santé des populations rurales.</w:t>
      </w:r>
    </w:p>
    <w:p w:rsidR="005C014D" w:rsidRPr="002462E6" w:rsidRDefault="005C014D" w:rsidP="005C014D">
      <w:pPr>
        <w:widowControl w:val="0"/>
        <w:autoSpaceDE w:val="0"/>
        <w:autoSpaceDN w:val="0"/>
        <w:spacing w:after="0" w:line="360" w:lineRule="auto"/>
        <w:jc w:val="both"/>
        <w:rPr>
          <w:rFonts w:ascii="Times New Roman" w:eastAsia="Times New Roman" w:hAnsi="Times New Roman" w:cs="Times New Roman"/>
        </w:rPr>
      </w:pPr>
    </w:p>
    <w:p w:rsidR="00335088" w:rsidRDefault="00335088" w:rsidP="00335088">
      <w:pPr>
        <w:pStyle w:val="Sous-titre"/>
      </w:pPr>
      <w:bookmarkStart w:id="449" w:name="_Toc203642546"/>
      <w:r>
        <w:t xml:space="preserve">Graphe </w:t>
      </w:r>
      <w:r w:rsidR="00225ED1">
        <w:rPr>
          <w:noProof/>
        </w:rPr>
        <w:fldChar w:fldCharType="begin"/>
      </w:r>
      <w:r w:rsidR="00225ED1">
        <w:rPr>
          <w:noProof/>
        </w:rPr>
        <w:instrText xml:space="preserve"> SEQ Graphe \* ARABIC </w:instrText>
      </w:r>
      <w:r w:rsidR="00225ED1">
        <w:rPr>
          <w:noProof/>
        </w:rPr>
        <w:fldChar w:fldCharType="separate"/>
      </w:r>
      <w:r w:rsidR="00124AFB">
        <w:rPr>
          <w:noProof/>
        </w:rPr>
        <w:t>14</w:t>
      </w:r>
      <w:r w:rsidR="00225ED1">
        <w:rPr>
          <w:noProof/>
        </w:rPr>
        <w:fldChar w:fldCharType="end"/>
      </w:r>
      <w:r>
        <w:t xml:space="preserve"> </w:t>
      </w:r>
      <w:r w:rsidRPr="00890159">
        <w:t>: Répartition des enquêtés selon l’accès à l’eau</w:t>
      </w:r>
      <w:bookmarkEnd w:id="449"/>
    </w:p>
    <w:p w:rsidR="005C014D" w:rsidRPr="002462E6" w:rsidRDefault="005C014D" w:rsidP="005C014D">
      <w:pPr>
        <w:widowControl w:val="0"/>
        <w:autoSpaceDE w:val="0"/>
        <w:autoSpaceDN w:val="0"/>
        <w:jc w:val="center"/>
        <w:rPr>
          <w:rFonts w:ascii="Times New Roman" w:eastAsia="Times New Roman" w:hAnsi="Times New Roman" w:cs="Times New Roman"/>
        </w:rPr>
      </w:pPr>
      <w:r w:rsidRPr="002462E6">
        <w:rPr>
          <w:rFonts w:ascii="Times New Roman" w:eastAsia="Times New Roman" w:hAnsi="Times New Roman" w:cs="Times New Roman"/>
          <w:noProof/>
          <w:lang w:eastAsia="fr-FR"/>
        </w:rPr>
        <w:drawing>
          <wp:inline distT="0" distB="0" distL="0" distR="0" wp14:anchorId="23774F58" wp14:editId="332B9E03">
            <wp:extent cx="4580965" cy="2200836"/>
            <wp:effectExtent l="0" t="0" r="10160" b="9525"/>
            <wp:docPr id="488" name="Graphique 488"/>
            <wp:cNvGraphicFramePr/>
            <a:graphic xmlns:a="http://schemas.openxmlformats.org/drawingml/2006/main">
              <a:graphicData uri="http://schemas.openxmlformats.org/drawingml/2006/chart">
                <c:chart xmlns:c="http://schemas.openxmlformats.org/drawingml/2006/chart" xmlns:r="http://schemas.openxmlformats.org/officeDocument/2006/relationships" r:id="rId55"/>
              </a:graphicData>
            </a:graphic>
          </wp:inline>
        </w:drawing>
      </w:r>
    </w:p>
    <w:p w:rsidR="005C014D" w:rsidRPr="002462E6" w:rsidRDefault="005C014D" w:rsidP="00335088">
      <w:pPr>
        <w:widowControl w:val="0"/>
        <w:autoSpaceDE w:val="0"/>
        <w:autoSpaceDN w:val="0"/>
        <w:spacing w:after="0" w:line="360" w:lineRule="auto"/>
        <w:jc w:val="center"/>
        <w:rPr>
          <w:rFonts w:ascii="Tahoma" w:eastAsia="Times New Roman" w:hAnsi="Tahoma" w:cs="Tahoma"/>
          <w:sz w:val="20"/>
          <w:szCs w:val="20"/>
          <w:lang w:eastAsia="fr-FR"/>
        </w:rPr>
      </w:pPr>
      <w:r w:rsidRPr="00335088">
        <w:rPr>
          <w:rFonts w:ascii="Tahoma" w:eastAsia="Times New Roman" w:hAnsi="Tahoma" w:cs="Tahoma"/>
          <w:b/>
          <w:bCs/>
          <w:sz w:val="20"/>
          <w:szCs w:val="20"/>
          <w:lang w:eastAsia="fr-FR"/>
        </w:rPr>
        <w:t>Source</w:t>
      </w:r>
      <w:r w:rsidRPr="002462E6">
        <w:rPr>
          <w:rFonts w:ascii="Tahoma" w:eastAsia="Times New Roman" w:hAnsi="Tahoma" w:cs="Tahoma"/>
          <w:sz w:val="20"/>
          <w:szCs w:val="20"/>
          <w:lang w:eastAsia="fr-FR"/>
        </w:rPr>
        <w:t xml:space="preserve"> : résultats de l’enquête</w:t>
      </w:r>
    </w:p>
    <w:p w:rsidR="005C014D" w:rsidRPr="002462E6" w:rsidRDefault="005C014D" w:rsidP="005C014D">
      <w:pPr>
        <w:widowControl w:val="0"/>
        <w:autoSpaceDE w:val="0"/>
        <w:autoSpaceDN w:val="0"/>
        <w:spacing w:after="0" w:line="360" w:lineRule="auto"/>
        <w:rPr>
          <w:rFonts w:ascii="Tahoma" w:eastAsia="Times New Roman" w:hAnsi="Tahoma" w:cs="Tahoma"/>
          <w:sz w:val="24"/>
          <w:szCs w:val="24"/>
        </w:rPr>
      </w:pPr>
    </w:p>
    <w:p w:rsidR="005C014D" w:rsidRPr="002462E6" w:rsidRDefault="005C014D" w:rsidP="00FE2565">
      <w:pPr>
        <w:widowControl w:val="0"/>
        <w:autoSpaceDE w:val="0"/>
        <w:autoSpaceDN w:val="0"/>
        <w:spacing w:after="0" w:line="360" w:lineRule="auto"/>
        <w:jc w:val="both"/>
        <w:rPr>
          <w:rFonts w:ascii="Tahoma" w:eastAsia="Times New Roman" w:hAnsi="Tahoma" w:cs="Tahoma"/>
          <w:sz w:val="24"/>
          <w:szCs w:val="24"/>
        </w:rPr>
      </w:pPr>
      <w:r w:rsidRPr="002462E6">
        <w:rPr>
          <w:rFonts w:ascii="Tahoma" w:eastAsia="Times New Roman" w:hAnsi="Tahoma" w:cs="Tahoma"/>
          <w:sz w:val="24"/>
          <w:szCs w:val="24"/>
        </w:rPr>
        <w:t xml:space="preserve">L'analyse de l'indice synthétique des services de </w:t>
      </w:r>
      <w:r w:rsidR="0028362A" w:rsidRPr="002462E6">
        <w:rPr>
          <w:rFonts w:ascii="Tahoma" w:eastAsia="Times New Roman" w:hAnsi="Tahoma" w:cs="Tahoma"/>
          <w:sz w:val="24"/>
          <w:szCs w:val="24"/>
        </w:rPr>
        <w:t>base, ci</w:t>
      </w:r>
      <w:r w:rsidRPr="002462E6">
        <w:rPr>
          <w:rFonts w:ascii="Tahoma" w:eastAsia="Times New Roman" w:hAnsi="Tahoma" w:cs="Tahoma"/>
          <w:sz w:val="24"/>
          <w:szCs w:val="24"/>
        </w:rPr>
        <w:t>-dessu</w:t>
      </w:r>
      <w:r w:rsidR="0028362A">
        <w:rPr>
          <w:rFonts w:ascii="Tahoma" w:eastAsia="Times New Roman" w:hAnsi="Tahoma" w:cs="Tahoma"/>
          <w:sz w:val="24"/>
          <w:szCs w:val="24"/>
        </w:rPr>
        <w:t>s</w:t>
      </w:r>
      <w:r w:rsidRPr="002462E6">
        <w:rPr>
          <w:rFonts w:ascii="Tahoma" w:eastAsia="Times New Roman" w:hAnsi="Tahoma" w:cs="Tahoma"/>
          <w:sz w:val="24"/>
          <w:szCs w:val="24"/>
        </w:rPr>
        <w:t>, révèle une distribution spatiale fortement asymétrique de l'accès aux infrastructures hydrauliques. Seuls trois douars présentent des indicateurs relativement satisfaisants : Chlihiyine, qui affiche un taux de raccordement intégral (0% de non-raccordés), suivi d'Oulad Saada avec 40% de non-raccordés, et de Lâarâara qui enregistre 60% de non-raccordés. Cette configuration dévoile une polarisation géographique extrême qui suggère l'existence de facteurs spécifiques (proximité de sources, investissements ciblés, dynamiques communautaires) qui mériteraient</w:t>
      </w:r>
      <w:r w:rsidR="00FE2565">
        <w:rPr>
          <w:rFonts w:ascii="Tahoma" w:eastAsia="Times New Roman" w:hAnsi="Tahoma" w:cs="Tahoma"/>
          <w:sz w:val="24"/>
          <w:szCs w:val="24"/>
        </w:rPr>
        <w:t xml:space="preserve"> une investigation approfondie.</w:t>
      </w:r>
    </w:p>
    <w:p w:rsidR="005C014D" w:rsidRPr="002462E6" w:rsidRDefault="005C014D" w:rsidP="005C014D">
      <w:pPr>
        <w:widowControl w:val="0"/>
        <w:autoSpaceDE w:val="0"/>
        <w:autoSpaceDN w:val="0"/>
        <w:spacing w:after="0" w:line="360" w:lineRule="auto"/>
        <w:jc w:val="both"/>
        <w:rPr>
          <w:rFonts w:ascii="Tahoma" w:eastAsia="Times New Roman" w:hAnsi="Tahoma" w:cs="Tahoma"/>
          <w:sz w:val="2"/>
          <w:szCs w:val="2"/>
        </w:rPr>
      </w:pPr>
    </w:p>
    <w:p w:rsidR="005C014D" w:rsidRPr="002462E6" w:rsidRDefault="005C014D" w:rsidP="005C014D">
      <w:pPr>
        <w:widowControl w:val="0"/>
        <w:autoSpaceDE w:val="0"/>
        <w:autoSpaceDN w:val="0"/>
        <w:spacing w:after="0" w:line="360" w:lineRule="auto"/>
        <w:jc w:val="both"/>
        <w:rPr>
          <w:rFonts w:ascii="Tahoma" w:eastAsia="Times New Roman" w:hAnsi="Tahoma" w:cs="Tahoma"/>
          <w:sz w:val="24"/>
          <w:szCs w:val="24"/>
        </w:rPr>
      </w:pPr>
      <w:r w:rsidRPr="002462E6">
        <w:rPr>
          <w:rFonts w:ascii="Tahoma" w:eastAsia="Times New Roman" w:hAnsi="Tahoma" w:cs="Tahoma"/>
          <w:sz w:val="24"/>
          <w:szCs w:val="24"/>
          <w:lang w:eastAsia="fr-FR"/>
        </w:rPr>
        <w:t>L'examen des dispositifs d'assainissement démontre une défaillance systémique particulièrement préoccupante. L'investigation empirique démontre que l'ensemble des douars étudiés (100%) demeure tributaire de systèmes d'assainissement autonome par fosses septiques individuelles, attestant de l'inexistence de réseaux d'assainissement collectif sur l'intégralité du territoire d'enquête.</w:t>
      </w:r>
    </w:p>
    <w:p w:rsidR="005C014D" w:rsidRPr="002462E6" w:rsidRDefault="005C014D" w:rsidP="005C014D">
      <w:pPr>
        <w:spacing w:before="100" w:beforeAutospacing="1" w:after="100" w:afterAutospacing="1" w:line="360" w:lineRule="auto"/>
        <w:jc w:val="both"/>
        <w:rPr>
          <w:rFonts w:ascii="Tahoma" w:eastAsia="Times New Roman" w:hAnsi="Tahoma" w:cs="Tahoma"/>
          <w:sz w:val="24"/>
          <w:szCs w:val="24"/>
          <w:lang w:eastAsia="fr-FR"/>
        </w:rPr>
      </w:pPr>
      <w:r w:rsidRPr="002462E6">
        <w:rPr>
          <w:rFonts w:ascii="Tahoma" w:eastAsia="Times New Roman" w:hAnsi="Tahoma" w:cs="Tahoma"/>
          <w:sz w:val="24"/>
          <w:szCs w:val="24"/>
          <w:lang w:eastAsia="fr-FR"/>
        </w:rPr>
        <w:t>Cette carence infrastructurelle généralisée s'avère symptomatique d'un sous-équipement chronique en matière d'assainissement public. L'absence de systèmes collectifs de traitement des eaux usées constitue un facteur de vulnérabilité sanitaire et environnementale considérable, susceptible de compromettre la qualité des ressources hydriques locales et d'engendrer des risques de contamination.</w:t>
      </w:r>
    </w:p>
    <w:p w:rsidR="005C014D" w:rsidRPr="00FE2565" w:rsidRDefault="005C014D" w:rsidP="00FE2565">
      <w:pPr>
        <w:spacing w:before="100" w:beforeAutospacing="1" w:after="100" w:afterAutospacing="1" w:line="360" w:lineRule="auto"/>
        <w:jc w:val="both"/>
        <w:rPr>
          <w:rFonts w:ascii="Tahoma" w:eastAsia="Times New Roman" w:hAnsi="Tahoma" w:cs="Tahoma"/>
          <w:sz w:val="24"/>
          <w:szCs w:val="24"/>
          <w:lang w:eastAsia="fr-FR"/>
        </w:rPr>
      </w:pPr>
      <w:r w:rsidRPr="002462E6">
        <w:rPr>
          <w:rFonts w:ascii="Tahoma" w:eastAsia="Times New Roman" w:hAnsi="Tahoma" w:cs="Tahoma"/>
          <w:sz w:val="24"/>
          <w:szCs w:val="24"/>
          <w:lang w:eastAsia="fr-FR"/>
        </w:rPr>
        <w:t xml:space="preserve">Par ailleurs, cette défaillance systémique en matière d'assainissement représente un obstacle structurel majeur aux processus de développement </w:t>
      </w:r>
      <w:r w:rsidR="00E22BC1" w:rsidRPr="002462E6">
        <w:rPr>
          <w:rFonts w:ascii="Tahoma" w:eastAsia="Times New Roman" w:hAnsi="Tahoma" w:cs="Tahoma"/>
          <w:sz w:val="24"/>
          <w:szCs w:val="24"/>
          <w:lang w:eastAsia="fr-FR"/>
        </w:rPr>
        <w:t>territorial.</w:t>
      </w:r>
      <w:r w:rsidRPr="002462E6">
        <w:rPr>
          <w:rFonts w:ascii="Tahoma" w:eastAsia="Times New Roman" w:hAnsi="Tahoma" w:cs="Tahoma"/>
          <w:sz w:val="24"/>
          <w:szCs w:val="24"/>
          <w:lang w:eastAsia="fr-FR"/>
        </w:rPr>
        <w:t xml:space="preserve"> Elle entrave non seulement l'amélioration des conditions d'hygiène et de salubrité publique, mais constitue également un frein à l'attractivité résidentielle et au développement socio-économique</w:t>
      </w:r>
      <w:r w:rsidR="00FE2565">
        <w:rPr>
          <w:rFonts w:ascii="Tahoma" w:eastAsia="Times New Roman" w:hAnsi="Tahoma" w:cs="Tahoma"/>
          <w:sz w:val="24"/>
          <w:szCs w:val="24"/>
          <w:lang w:eastAsia="fr-FR"/>
        </w:rPr>
        <w:t xml:space="preserve"> des espaces ruraux concernés. </w:t>
      </w:r>
    </w:p>
    <w:p w:rsidR="005C014D" w:rsidRPr="002462E6" w:rsidRDefault="005C014D" w:rsidP="008D3838">
      <w:pPr>
        <w:pStyle w:val="Titre6"/>
      </w:pPr>
      <w:bookmarkStart w:id="450" w:name="_Toc203643129"/>
      <w:r w:rsidRPr="002462E6">
        <w:t>Habitat et connectivité : indicateurs de marginalisation territoriale</w:t>
      </w:r>
      <w:bookmarkEnd w:id="450"/>
    </w:p>
    <w:p w:rsidR="005C014D" w:rsidRPr="002462E6" w:rsidRDefault="005C014D" w:rsidP="005C014D">
      <w:pPr>
        <w:widowControl w:val="0"/>
        <w:autoSpaceDE w:val="0"/>
        <w:autoSpaceDN w:val="0"/>
        <w:spacing w:after="0" w:line="360" w:lineRule="auto"/>
        <w:contextualSpacing/>
        <w:rPr>
          <w:rFonts w:ascii="Tahoma" w:eastAsia="Times New Roman" w:hAnsi="Tahoma" w:cs="Tahoma"/>
        </w:rPr>
      </w:pPr>
    </w:p>
    <w:p w:rsidR="005C014D" w:rsidRPr="002462E6" w:rsidRDefault="005C014D" w:rsidP="00335088">
      <w:pPr>
        <w:widowControl w:val="0"/>
        <w:autoSpaceDE w:val="0"/>
        <w:autoSpaceDN w:val="0"/>
        <w:spacing w:after="0" w:line="360" w:lineRule="auto"/>
        <w:jc w:val="both"/>
        <w:rPr>
          <w:rFonts w:ascii="Tahoma" w:eastAsia="Times New Roman" w:hAnsi="Tahoma" w:cs="Tahoma"/>
          <w:sz w:val="24"/>
          <w:szCs w:val="24"/>
        </w:rPr>
      </w:pPr>
      <w:r w:rsidRPr="002462E6">
        <w:rPr>
          <w:rFonts w:ascii="Tahoma" w:eastAsia="Times New Roman" w:hAnsi="Tahoma" w:cs="Tahoma"/>
          <w:sz w:val="24"/>
          <w:szCs w:val="24"/>
        </w:rPr>
        <w:t xml:space="preserve">L'analyse de la qualité architecturale révèle que juste 15% des enquêtés disposent de logements durs avec architecture urbaine (cf. </w:t>
      </w:r>
      <w:r w:rsidR="00335088">
        <w:rPr>
          <w:rFonts w:ascii="Tahoma" w:eastAsia="Times New Roman" w:hAnsi="Tahoma" w:cs="Tahoma"/>
          <w:b/>
          <w:bCs/>
          <w:sz w:val="24"/>
          <w:szCs w:val="24"/>
        </w:rPr>
        <w:t>Graph</w:t>
      </w:r>
      <w:r w:rsidRPr="00335088">
        <w:rPr>
          <w:rFonts w:ascii="Tahoma" w:eastAsia="Times New Roman" w:hAnsi="Tahoma" w:cs="Tahoma"/>
          <w:b/>
          <w:bCs/>
          <w:sz w:val="24"/>
          <w:szCs w:val="24"/>
        </w:rPr>
        <w:t>e n°1</w:t>
      </w:r>
      <w:r w:rsidR="00335088" w:rsidRPr="00335088">
        <w:rPr>
          <w:rFonts w:ascii="Tahoma" w:eastAsia="Times New Roman" w:hAnsi="Tahoma" w:cs="Tahoma"/>
          <w:b/>
          <w:bCs/>
          <w:sz w:val="24"/>
          <w:szCs w:val="24"/>
        </w:rPr>
        <w:t>5</w:t>
      </w:r>
      <w:r w:rsidR="00EE28C5">
        <w:rPr>
          <w:rFonts w:ascii="Tahoma" w:eastAsia="Times New Roman" w:hAnsi="Tahoma" w:cs="Tahoma"/>
          <w:sz w:val="24"/>
          <w:szCs w:val="24"/>
        </w:rPr>
        <w:t>)</w:t>
      </w:r>
      <w:r w:rsidRPr="002462E6">
        <w:rPr>
          <w:rFonts w:ascii="Tahoma" w:eastAsia="Times New Roman" w:hAnsi="Tahoma" w:cs="Tahoma"/>
          <w:sz w:val="24"/>
          <w:szCs w:val="24"/>
        </w:rPr>
        <w:t>. Cette précarité architecturale généralisée témoigne de l'insuffisance des politiques d'habitat rural et de la persistance de conditions de logement incompatibles avec les standards de développement humain.</w:t>
      </w:r>
    </w:p>
    <w:p w:rsidR="00DC12A2" w:rsidRPr="002462E6" w:rsidRDefault="00DC12A2" w:rsidP="005C014D">
      <w:pPr>
        <w:widowControl w:val="0"/>
        <w:autoSpaceDE w:val="0"/>
        <w:autoSpaceDN w:val="0"/>
        <w:spacing w:after="0" w:line="360" w:lineRule="auto"/>
        <w:jc w:val="both"/>
        <w:rPr>
          <w:rFonts w:ascii="Tahoma" w:eastAsia="Times New Roman" w:hAnsi="Tahoma" w:cs="Tahoma"/>
          <w:sz w:val="24"/>
          <w:szCs w:val="24"/>
        </w:rPr>
      </w:pPr>
    </w:p>
    <w:p w:rsidR="005C014D" w:rsidRDefault="005C014D" w:rsidP="000D57A1">
      <w:pPr>
        <w:pStyle w:val="Sous-titre"/>
        <w:rPr>
          <w:rFonts w:eastAsiaTheme="minorHAnsi"/>
          <w:lang w:eastAsia="fr-FR"/>
        </w:rPr>
      </w:pPr>
    </w:p>
    <w:p w:rsidR="00FE2565" w:rsidRPr="00FE2565" w:rsidRDefault="00FE2565" w:rsidP="00FE2565">
      <w:pPr>
        <w:rPr>
          <w:lang w:eastAsia="fr-FR"/>
        </w:rPr>
      </w:pPr>
      <w:r>
        <w:rPr>
          <w:lang w:eastAsia="fr-FR"/>
        </w:rPr>
        <w:br w:type="page"/>
      </w:r>
    </w:p>
    <w:p w:rsidR="00335088" w:rsidRDefault="00335088" w:rsidP="00335088">
      <w:pPr>
        <w:pStyle w:val="Sous-titre"/>
      </w:pPr>
      <w:bookmarkStart w:id="451" w:name="_Toc203642547"/>
      <w:r>
        <w:t xml:space="preserve">Graphe </w:t>
      </w:r>
      <w:r w:rsidR="00225ED1">
        <w:rPr>
          <w:noProof/>
        </w:rPr>
        <w:fldChar w:fldCharType="begin"/>
      </w:r>
      <w:r w:rsidR="00225ED1">
        <w:rPr>
          <w:noProof/>
        </w:rPr>
        <w:instrText xml:space="preserve"> SEQ Graphe \* ARABIC </w:instrText>
      </w:r>
      <w:r w:rsidR="00225ED1">
        <w:rPr>
          <w:noProof/>
        </w:rPr>
        <w:fldChar w:fldCharType="separate"/>
      </w:r>
      <w:r w:rsidR="00124AFB">
        <w:rPr>
          <w:noProof/>
        </w:rPr>
        <w:t>15</w:t>
      </w:r>
      <w:r w:rsidR="00225ED1">
        <w:rPr>
          <w:noProof/>
        </w:rPr>
        <w:fldChar w:fldCharType="end"/>
      </w:r>
      <w:r>
        <w:t xml:space="preserve"> </w:t>
      </w:r>
      <w:r w:rsidRPr="00F2535A">
        <w:t>: Nature de construction des logements à Korifla selon les enquêtés</w:t>
      </w:r>
      <w:bookmarkEnd w:id="451"/>
    </w:p>
    <w:p w:rsidR="005C014D" w:rsidRPr="002462E6" w:rsidRDefault="005C014D" w:rsidP="005C014D">
      <w:pPr>
        <w:widowControl w:val="0"/>
        <w:autoSpaceDE w:val="0"/>
        <w:autoSpaceDN w:val="0"/>
        <w:jc w:val="center"/>
        <w:rPr>
          <w:rFonts w:ascii="Times New Roman" w:eastAsia="Times New Roman" w:hAnsi="Times New Roman" w:cs="Times New Roman"/>
        </w:rPr>
      </w:pPr>
      <w:r w:rsidRPr="002462E6">
        <w:rPr>
          <w:rFonts w:ascii="Times New Roman" w:eastAsia="Times New Roman" w:hAnsi="Times New Roman" w:cs="Times New Roman"/>
          <w:noProof/>
          <w:lang w:eastAsia="fr-FR"/>
        </w:rPr>
        <w:drawing>
          <wp:inline distT="0" distB="0" distL="0" distR="0" wp14:anchorId="2B59B807" wp14:editId="2BF59D57">
            <wp:extent cx="4211053" cy="2021305"/>
            <wp:effectExtent l="0" t="0" r="18415" b="17145"/>
            <wp:docPr id="489" name="Graphique 489"/>
            <wp:cNvGraphicFramePr/>
            <a:graphic xmlns:a="http://schemas.openxmlformats.org/drawingml/2006/main">
              <a:graphicData uri="http://schemas.openxmlformats.org/drawingml/2006/chart">
                <c:chart xmlns:c="http://schemas.openxmlformats.org/drawingml/2006/chart" xmlns:r="http://schemas.openxmlformats.org/officeDocument/2006/relationships" r:id="rId56"/>
              </a:graphicData>
            </a:graphic>
          </wp:inline>
        </w:drawing>
      </w:r>
    </w:p>
    <w:p w:rsidR="005C014D" w:rsidRPr="002462E6" w:rsidRDefault="005C014D" w:rsidP="00DC12A2">
      <w:pPr>
        <w:widowControl w:val="0"/>
        <w:autoSpaceDE w:val="0"/>
        <w:autoSpaceDN w:val="0"/>
        <w:spacing w:after="0" w:line="360" w:lineRule="auto"/>
        <w:jc w:val="center"/>
        <w:rPr>
          <w:rFonts w:ascii="Tahoma" w:eastAsia="Times New Roman" w:hAnsi="Tahoma" w:cs="Tahoma"/>
          <w:sz w:val="20"/>
          <w:szCs w:val="20"/>
          <w:lang w:eastAsia="fr-FR"/>
        </w:rPr>
      </w:pPr>
      <w:r w:rsidRPr="002462E6">
        <w:rPr>
          <w:rFonts w:ascii="Tahoma" w:eastAsia="Times New Roman" w:hAnsi="Tahoma" w:cs="Tahoma"/>
          <w:b/>
          <w:bCs/>
          <w:sz w:val="20"/>
          <w:szCs w:val="20"/>
          <w:lang w:eastAsia="fr-FR"/>
        </w:rPr>
        <w:t xml:space="preserve">Source </w:t>
      </w:r>
      <w:r w:rsidRPr="002462E6">
        <w:rPr>
          <w:rFonts w:ascii="Tahoma" w:eastAsia="Times New Roman" w:hAnsi="Tahoma" w:cs="Tahoma"/>
          <w:sz w:val="20"/>
          <w:szCs w:val="20"/>
          <w:lang w:eastAsia="fr-FR"/>
        </w:rPr>
        <w:t>: résultats de l’enquête</w:t>
      </w:r>
    </w:p>
    <w:p w:rsidR="005C014D" w:rsidRPr="002462E6" w:rsidRDefault="005C014D" w:rsidP="005C014D">
      <w:pPr>
        <w:widowControl w:val="0"/>
        <w:autoSpaceDE w:val="0"/>
        <w:autoSpaceDN w:val="0"/>
        <w:spacing w:after="0" w:line="360" w:lineRule="auto"/>
        <w:jc w:val="both"/>
        <w:rPr>
          <w:rFonts w:ascii="Tahoma" w:eastAsia="Times New Roman" w:hAnsi="Tahoma" w:cs="Tahoma"/>
          <w:sz w:val="24"/>
          <w:szCs w:val="24"/>
        </w:rPr>
      </w:pPr>
    </w:p>
    <w:p w:rsidR="005C014D" w:rsidRPr="002462E6" w:rsidRDefault="005C014D" w:rsidP="005C014D">
      <w:pPr>
        <w:widowControl w:val="0"/>
        <w:autoSpaceDE w:val="0"/>
        <w:autoSpaceDN w:val="0"/>
        <w:spacing w:after="0" w:line="360" w:lineRule="auto"/>
        <w:jc w:val="both"/>
        <w:rPr>
          <w:rFonts w:ascii="Tahoma" w:eastAsia="Times New Roman" w:hAnsi="Tahoma" w:cs="Tahoma"/>
          <w:sz w:val="24"/>
          <w:szCs w:val="24"/>
        </w:rPr>
      </w:pPr>
      <w:r w:rsidRPr="002462E6">
        <w:rPr>
          <w:rFonts w:ascii="Tahoma" w:eastAsia="Times New Roman" w:hAnsi="Tahoma" w:cs="Tahoma"/>
          <w:sz w:val="24"/>
          <w:szCs w:val="24"/>
        </w:rPr>
        <w:t>Par ailleurs, la répartition des ménages selon le nombre de chambres (cf. graphique n°14) confirme l’existence d’une précarité manifeste. En effet, une proportion significative de ménages ruraux vit dans des conditions de surpeuplement, lesquelles compromettent les normes d’hygiène, le respect de l’intimité ainsi que le bien-être familial. Cette configuration illustre l’impact des contraintes économiques, ainsi que l’inadéquation des programmes publics dédiés à l’habitat rural.</w:t>
      </w:r>
    </w:p>
    <w:p w:rsidR="005C014D" w:rsidRPr="002462E6" w:rsidRDefault="005C014D" w:rsidP="005C014D">
      <w:pPr>
        <w:widowControl w:val="0"/>
        <w:autoSpaceDE w:val="0"/>
        <w:autoSpaceDN w:val="0"/>
        <w:spacing w:after="0" w:line="360" w:lineRule="auto"/>
        <w:jc w:val="both"/>
        <w:rPr>
          <w:rFonts w:ascii="Tahoma" w:eastAsia="Times New Roman" w:hAnsi="Tahoma" w:cs="Tahoma"/>
          <w:sz w:val="24"/>
          <w:szCs w:val="24"/>
        </w:rPr>
      </w:pPr>
    </w:p>
    <w:p w:rsidR="00335088" w:rsidRDefault="00335088" w:rsidP="00335088">
      <w:pPr>
        <w:pStyle w:val="Sous-titre"/>
      </w:pPr>
      <w:bookmarkStart w:id="452" w:name="_Toc203642548"/>
      <w:r>
        <w:t xml:space="preserve">Graphe </w:t>
      </w:r>
      <w:r w:rsidR="00225ED1">
        <w:rPr>
          <w:noProof/>
        </w:rPr>
        <w:fldChar w:fldCharType="begin"/>
      </w:r>
      <w:r w:rsidR="00225ED1">
        <w:rPr>
          <w:noProof/>
        </w:rPr>
        <w:instrText xml:space="preserve"> SEQ Graphe \* ARABIC </w:instrText>
      </w:r>
      <w:r w:rsidR="00225ED1">
        <w:rPr>
          <w:noProof/>
        </w:rPr>
        <w:fldChar w:fldCharType="separate"/>
      </w:r>
      <w:r w:rsidR="00124AFB">
        <w:rPr>
          <w:noProof/>
        </w:rPr>
        <w:t>16</w:t>
      </w:r>
      <w:r w:rsidR="00225ED1">
        <w:rPr>
          <w:noProof/>
        </w:rPr>
        <w:fldChar w:fldCharType="end"/>
      </w:r>
      <w:r>
        <w:t xml:space="preserve"> </w:t>
      </w:r>
      <w:r w:rsidRPr="00D66918">
        <w:t>: Répartition des enquêtés par nombre de chamb</w:t>
      </w:r>
      <w:bookmarkEnd w:id="452"/>
    </w:p>
    <w:p w:rsidR="005C014D" w:rsidRPr="002462E6" w:rsidRDefault="005C014D" w:rsidP="00335088">
      <w:pPr>
        <w:widowControl w:val="0"/>
        <w:autoSpaceDE w:val="0"/>
        <w:autoSpaceDN w:val="0"/>
        <w:spacing w:after="0" w:line="360" w:lineRule="auto"/>
        <w:jc w:val="center"/>
        <w:rPr>
          <w:rFonts w:ascii="Tahoma" w:eastAsia="Times New Roman" w:hAnsi="Tahoma" w:cs="Tahoma"/>
          <w:b/>
          <w:bCs/>
          <w:sz w:val="24"/>
          <w:szCs w:val="24"/>
        </w:rPr>
      </w:pPr>
      <w:r w:rsidRPr="002462E6">
        <w:rPr>
          <w:rFonts w:ascii="Times New Roman" w:eastAsia="Times New Roman" w:hAnsi="Times New Roman" w:cs="Times New Roman"/>
          <w:noProof/>
          <w:lang w:eastAsia="fr-FR"/>
        </w:rPr>
        <w:drawing>
          <wp:inline distT="0" distB="0" distL="0" distR="0" wp14:anchorId="08A1E04F" wp14:editId="4526F809">
            <wp:extent cx="4572000" cy="2502569"/>
            <wp:effectExtent l="0" t="0" r="19050" b="12065"/>
            <wp:docPr id="490" name="Graphique 490"/>
            <wp:cNvGraphicFramePr/>
            <a:graphic xmlns:a="http://schemas.openxmlformats.org/drawingml/2006/main">
              <a:graphicData uri="http://schemas.openxmlformats.org/drawingml/2006/chart">
                <c:chart xmlns:c="http://schemas.openxmlformats.org/drawingml/2006/chart" xmlns:r="http://schemas.openxmlformats.org/officeDocument/2006/relationships" r:id="rId57"/>
              </a:graphicData>
            </a:graphic>
          </wp:inline>
        </w:drawing>
      </w:r>
    </w:p>
    <w:p w:rsidR="005C014D" w:rsidRDefault="005C014D" w:rsidP="00335088">
      <w:pPr>
        <w:widowControl w:val="0"/>
        <w:autoSpaceDE w:val="0"/>
        <w:autoSpaceDN w:val="0"/>
        <w:spacing w:after="0" w:line="360" w:lineRule="auto"/>
        <w:jc w:val="center"/>
        <w:rPr>
          <w:rFonts w:ascii="Tahoma" w:eastAsia="Times New Roman" w:hAnsi="Tahoma" w:cs="Tahoma"/>
          <w:sz w:val="20"/>
          <w:szCs w:val="20"/>
          <w:lang w:eastAsia="fr-FR"/>
        </w:rPr>
      </w:pPr>
      <w:r w:rsidRPr="00335088">
        <w:rPr>
          <w:rFonts w:ascii="Tahoma" w:eastAsia="Times New Roman" w:hAnsi="Tahoma" w:cs="Tahoma"/>
          <w:b/>
          <w:bCs/>
          <w:sz w:val="20"/>
          <w:szCs w:val="20"/>
          <w:lang w:eastAsia="fr-FR"/>
        </w:rPr>
        <w:t>Source</w:t>
      </w:r>
      <w:r w:rsidRPr="002462E6">
        <w:rPr>
          <w:rFonts w:ascii="Tahoma" w:eastAsia="Times New Roman" w:hAnsi="Tahoma" w:cs="Tahoma"/>
          <w:sz w:val="20"/>
          <w:szCs w:val="20"/>
          <w:lang w:eastAsia="fr-FR"/>
        </w:rPr>
        <w:t xml:space="preserve"> : résultats de l’enquête</w:t>
      </w:r>
    </w:p>
    <w:p w:rsidR="00335088" w:rsidRPr="002462E6" w:rsidRDefault="00335088" w:rsidP="00335088">
      <w:pPr>
        <w:widowControl w:val="0"/>
        <w:autoSpaceDE w:val="0"/>
        <w:autoSpaceDN w:val="0"/>
        <w:spacing w:after="0" w:line="360" w:lineRule="auto"/>
        <w:jc w:val="center"/>
        <w:rPr>
          <w:rFonts w:ascii="Tahoma" w:eastAsia="Times New Roman" w:hAnsi="Tahoma" w:cs="Tahoma"/>
          <w:sz w:val="20"/>
          <w:szCs w:val="20"/>
          <w:lang w:eastAsia="fr-FR"/>
        </w:rPr>
      </w:pPr>
    </w:p>
    <w:p w:rsidR="00B8186A" w:rsidRPr="00FE2565" w:rsidRDefault="005C014D" w:rsidP="008D3838">
      <w:pPr>
        <w:pStyle w:val="Titre6"/>
      </w:pPr>
      <w:bookmarkStart w:id="453" w:name="_Toc203643130"/>
      <w:r w:rsidRPr="002462E6">
        <w:t>Désenclavement territorial : défaillances routières et déficit de communication téléphonique mobile</w:t>
      </w:r>
      <w:bookmarkEnd w:id="453"/>
    </w:p>
    <w:p w:rsidR="00B8186A" w:rsidRPr="002462E6" w:rsidRDefault="005C014D" w:rsidP="00335088">
      <w:pPr>
        <w:widowControl w:val="0"/>
        <w:autoSpaceDE w:val="0"/>
        <w:autoSpaceDN w:val="0"/>
        <w:spacing w:before="100" w:beforeAutospacing="1" w:after="100" w:afterAutospacing="1" w:line="360" w:lineRule="auto"/>
        <w:jc w:val="both"/>
        <w:rPr>
          <w:rFonts w:ascii="Tahoma" w:eastAsia="Times New Roman" w:hAnsi="Tahoma" w:cs="Tahoma"/>
          <w:sz w:val="24"/>
          <w:szCs w:val="24"/>
        </w:rPr>
      </w:pPr>
      <w:r w:rsidRPr="002462E6">
        <w:rPr>
          <w:rFonts w:ascii="Tahoma" w:eastAsia="Times New Roman" w:hAnsi="Tahoma" w:cs="Tahoma"/>
          <w:sz w:val="24"/>
          <w:szCs w:val="24"/>
        </w:rPr>
        <w:t>L’analyse des infrastructures routières met en lumière une défaillance structurelle majeure compromettant l’intégration territoriale de la forêt de Korifla. Les résultats de l’enquête révèlent une double problématique : d’une part, 56 % des personnes enquêtées signalent l’absence de routes dédiées au désenclavement (cf. graphique n°15) ; d’autre part, 54 % estiment que les infrastructures existantes restent i</w:t>
      </w:r>
      <w:r w:rsidR="00335088">
        <w:rPr>
          <w:rFonts w:ascii="Tahoma" w:eastAsia="Times New Roman" w:hAnsi="Tahoma" w:cs="Tahoma"/>
          <w:sz w:val="24"/>
          <w:szCs w:val="24"/>
        </w:rPr>
        <w:t xml:space="preserve">mpraticables (cf. </w:t>
      </w:r>
      <w:r w:rsidR="00335088">
        <w:rPr>
          <w:rFonts w:ascii="Tahoma" w:eastAsia="Times New Roman" w:hAnsi="Tahoma" w:cs="Tahoma"/>
          <w:b/>
          <w:bCs/>
          <w:sz w:val="24"/>
          <w:szCs w:val="24"/>
        </w:rPr>
        <w:t>Graph</w:t>
      </w:r>
      <w:r w:rsidR="00335088" w:rsidRPr="00335088">
        <w:rPr>
          <w:rFonts w:ascii="Tahoma" w:eastAsia="Times New Roman" w:hAnsi="Tahoma" w:cs="Tahoma"/>
          <w:b/>
          <w:bCs/>
          <w:sz w:val="24"/>
          <w:szCs w:val="24"/>
        </w:rPr>
        <w:t>e n°17</w:t>
      </w:r>
      <w:r w:rsidRPr="002462E6">
        <w:rPr>
          <w:rFonts w:ascii="Tahoma" w:eastAsia="Times New Roman" w:hAnsi="Tahoma" w:cs="Tahoma"/>
          <w:sz w:val="24"/>
          <w:szCs w:val="24"/>
        </w:rPr>
        <w:t>).</w:t>
      </w:r>
    </w:p>
    <w:p w:rsidR="00335088" w:rsidRDefault="00335088" w:rsidP="00335088">
      <w:pPr>
        <w:pStyle w:val="Sous-titre"/>
      </w:pPr>
      <w:bookmarkStart w:id="454" w:name="_Toc203642549"/>
      <w:r>
        <w:t xml:space="preserve">Graphe </w:t>
      </w:r>
      <w:r w:rsidR="00225ED1">
        <w:rPr>
          <w:noProof/>
        </w:rPr>
        <w:fldChar w:fldCharType="begin"/>
      </w:r>
      <w:r w:rsidR="00225ED1">
        <w:rPr>
          <w:noProof/>
        </w:rPr>
        <w:instrText xml:space="preserve"> SEQ Graphe \* ARABIC </w:instrText>
      </w:r>
      <w:r w:rsidR="00225ED1">
        <w:rPr>
          <w:noProof/>
        </w:rPr>
        <w:fldChar w:fldCharType="separate"/>
      </w:r>
      <w:r w:rsidR="00124AFB">
        <w:rPr>
          <w:noProof/>
        </w:rPr>
        <w:t>17</w:t>
      </w:r>
      <w:r w:rsidR="00225ED1">
        <w:rPr>
          <w:noProof/>
        </w:rPr>
        <w:fldChar w:fldCharType="end"/>
      </w:r>
      <w:r>
        <w:t xml:space="preserve"> </w:t>
      </w:r>
      <w:r w:rsidRPr="0085233B">
        <w:t>: Appréciation des enquêtés en % par rapport aux routes de désenclavement</w:t>
      </w:r>
      <w:bookmarkEnd w:id="454"/>
    </w:p>
    <w:p w:rsidR="005C014D" w:rsidRPr="002462E6" w:rsidRDefault="005C014D" w:rsidP="005C014D">
      <w:pPr>
        <w:widowControl w:val="0"/>
        <w:tabs>
          <w:tab w:val="left" w:pos="2445"/>
        </w:tabs>
        <w:autoSpaceDE w:val="0"/>
        <w:autoSpaceDN w:val="0"/>
        <w:jc w:val="center"/>
        <w:rPr>
          <w:rFonts w:ascii="Tahoma" w:eastAsia="Times New Roman" w:hAnsi="Tahoma" w:cs="Tahoma"/>
          <w:b/>
          <w:bCs/>
          <w:color w:val="000000"/>
          <w:sz w:val="24"/>
          <w:szCs w:val="24"/>
        </w:rPr>
      </w:pPr>
      <w:r w:rsidRPr="002462E6">
        <w:rPr>
          <w:rFonts w:ascii="Times New Roman" w:eastAsia="Times New Roman" w:hAnsi="Times New Roman" w:cs="Times New Roman"/>
          <w:b/>
          <w:bCs/>
          <w:noProof/>
          <w:lang w:eastAsia="fr-FR"/>
        </w:rPr>
        <w:drawing>
          <wp:inline distT="0" distB="0" distL="0" distR="0" wp14:anchorId="03065A19" wp14:editId="25BB28FB">
            <wp:extent cx="5070764" cy="3384467"/>
            <wp:effectExtent l="0" t="0" r="15875" b="26035"/>
            <wp:docPr id="491" name="Graphique 491"/>
            <wp:cNvGraphicFramePr/>
            <a:graphic xmlns:a="http://schemas.openxmlformats.org/drawingml/2006/main">
              <a:graphicData uri="http://schemas.openxmlformats.org/drawingml/2006/chart">
                <c:chart xmlns:c="http://schemas.openxmlformats.org/drawingml/2006/chart" xmlns:r="http://schemas.openxmlformats.org/officeDocument/2006/relationships" r:id="rId58"/>
              </a:graphicData>
            </a:graphic>
          </wp:inline>
        </w:drawing>
      </w:r>
      <w:r w:rsidRPr="002462E6">
        <w:rPr>
          <w:rFonts w:ascii="Tahoma" w:eastAsia="Times New Roman" w:hAnsi="Tahoma" w:cs="Tahoma"/>
          <w:b/>
          <w:bCs/>
          <w:color w:val="000000"/>
          <w:sz w:val="24"/>
          <w:szCs w:val="24"/>
        </w:rPr>
        <w:t xml:space="preserve"> </w:t>
      </w:r>
    </w:p>
    <w:p w:rsidR="00B8186A" w:rsidRPr="002462E6" w:rsidRDefault="00B8186A" w:rsidP="00DC12A2">
      <w:pPr>
        <w:widowControl w:val="0"/>
        <w:autoSpaceDE w:val="0"/>
        <w:autoSpaceDN w:val="0"/>
        <w:spacing w:after="0" w:line="360" w:lineRule="auto"/>
        <w:ind w:left="2832" w:firstLine="708"/>
        <w:jc w:val="both"/>
        <w:rPr>
          <w:rFonts w:ascii="Tahoma" w:eastAsia="Times New Roman" w:hAnsi="Tahoma" w:cs="Tahoma"/>
          <w:b/>
          <w:bCs/>
          <w:sz w:val="20"/>
          <w:szCs w:val="20"/>
          <w:lang w:eastAsia="fr-FR"/>
        </w:rPr>
      </w:pPr>
    </w:p>
    <w:p w:rsidR="00B8186A" w:rsidRPr="002462E6" w:rsidRDefault="005C014D" w:rsidP="00DC12A2">
      <w:pPr>
        <w:widowControl w:val="0"/>
        <w:autoSpaceDE w:val="0"/>
        <w:autoSpaceDN w:val="0"/>
        <w:spacing w:after="0" w:line="360" w:lineRule="auto"/>
        <w:ind w:left="2832" w:firstLine="708"/>
        <w:jc w:val="both"/>
        <w:rPr>
          <w:rFonts w:ascii="Tahoma" w:eastAsia="Times New Roman" w:hAnsi="Tahoma" w:cs="Tahoma"/>
          <w:sz w:val="20"/>
          <w:szCs w:val="20"/>
          <w:lang w:eastAsia="fr-FR"/>
        </w:rPr>
      </w:pPr>
      <w:r w:rsidRPr="002462E6">
        <w:rPr>
          <w:rFonts w:ascii="Tahoma" w:eastAsia="Times New Roman" w:hAnsi="Tahoma" w:cs="Tahoma"/>
          <w:b/>
          <w:bCs/>
          <w:sz w:val="20"/>
          <w:szCs w:val="20"/>
          <w:lang w:eastAsia="fr-FR"/>
        </w:rPr>
        <w:t>Source :</w:t>
      </w:r>
      <w:r w:rsidRPr="002462E6">
        <w:rPr>
          <w:rFonts w:ascii="Tahoma" w:eastAsia="Times New Roman" w:hAnsi="Tahoma" w:cs="Tahoma"/>
          <w:sz w:val="20"/>
          <w:szCs w:val="20"/>
          <w:lang w:eastAsia="fr-FR"/>
        </w:rPr>
        <w:t xml:space="preserve"> résultats de l’enquête</w:t>
      </w:r>
    </w:p>
    <w:p w:rsidR="005C014D" w:rsidRPr="002462E6" w:rsidRDefault="00B8186A" w:rsidP="00B8186A">
      <w:pPr>
        <w:rPr>
          <w:rFonts w:eastAsia="Times New Roman"/>
          <w:lang w:eastAsia="fr-FR"/>
        </w:rPr>
      </w:pPr>
      <w:r w:rsidRPr="002462E6">
        <w:rPr>
          <w:rFonts w:eastAsia="Times New Roman"/>
          <w:lang w:eastAsia="fr-FR"/>
        </w:rPr>
        <w:br w:type="page"/>
      </w:r>
    </w:p>
    <w:p w:rsidR="005C014D" w:rsidRPr="002462E6" w:rsidRDefault="005C014D" w:rsidP="005C014D">
      <w:pPr>
        <w:widowControl w:val="0"/>
        <w:autoSpaceDE w:val="0"/>
        <w:autoSpaceDN w:val="0"/>
        <w:spacing w:after="0" w:line="360" w:lineRule="auto"/>
        <w:jc w:val="both"/>
        <w:rPr>
          <w:rFonts w:ascii="Tahoma" w:eastAsia="Times New Roman" w:hAnsi="Tahoma" w:cs="Tahoma"/>
          <w:sz w:val="12"/>
          <w:szCs w:val="12"/>
          <w:lang w:eastAsia="fr-FR"/>
        </w:rPr>
      </w:pPr>
    </w:p>
    <w:p w:rsidR="005C014D" w:rsidRPr="002462E6" w:rsidRDefault="005C014D" w:rsidP="005C014D">
      <w:pPr>
        <w:widowControl w:val="0"/>
        <w:autoSpaceDE w:val="0"/>
        <w:autoSpaceDN w:val="0"/>
        <w:spacing w:after="0" w:line="360" w:lineRule="auto"/>
        <w:jc w:val="both"/>
        <w:rPr>
          <w:rFonts w:ascii="Tahoma" w:eastAsia="Times New Roman" w:hAnsi="Tahoma" w:cs="Tahoma"/>
          <w:sz w:val="2"/>
          <w:szCs w:val="2"/>
          <w:lang w:eastAsia="fr-FR"/>
        </w:rPr>
      </w:pPr>
    </w:p>
    <w:p w:rsidR="00335088" w:rsidRDefault="00335088" w:rsidP="00335088">
      <w:pPr>
        <w:pStyle w:val="Sous-titre"/>
      </w:pPr>
      <w:bookmarkStart w:id="455" w:name="_Toc203642550"/>
      <w:r>
        <w:t xml:space="preserve">Graphe </w:t>
      </w:r>
      <w:r w:rsidR="00225ED1">
        <w:rPr>
          <w:noProof/>
        </w:rPr>
        <w:fldChar w:fldCharType="begin"/>
      </w:r>
      <w:r w:rsidR="00225ED1">
        <w:rPr>
          <w:noProof/>
        </w:rPr>
        <w:instrText xml:space="preserve"> SEQ Graphe \* ARABIC </w:instrText>
      </w:r>
      <w:r w:rsidR="00225ED1">
        <w:rPr>
          <w:noProof/>
        </w:rPr>
        <w:fldChar w:fldCharType="separate"/>
      </w:r>
      <w:r w:rsidR="00124AFB">
        <w:rPr>
          <w:noProof/>
        </w:rPr>
        <w:t>18</w:t>
      </w:r>
      <w:r w:rsidR="00225ED1">
        <w:rPr>
          <w:noProof/>
        </w:rPr>
        <w:fldChar w:fldCharType="end"/>
      </w:r>
      <w:r>
        <w:t xml:space="preserve"> </w:t>
      </w:r>
      <w:r w:rsidRPr="00B57BE2">
        <w:t>: Appréciation des enquêtés en % par rapport à la praticabilité des routes</w:t>
      </w:r>
      <w:bookmarkEnd w:id="455"/>
    </w:p>
    <w:p w:rsidR="005C014D" w:rsidRPr="002462E6" w:rsidRDefault="005C014D" w:rsidP="005C014D">
      <w:pPr>
        <w:widowControl w:val="0"/>
        <w:tabs>
          <w:tab w:val="left" w:pos="2445"/>
        </w:tabs>
        <w:autoSpaceDE w:val="0"/>
        <w:autoSpaceDN w:val="0"/>
        <w:jc w:val="center"/>
        <w:rPr>
          <w:rFonts w:ascii="Times New Roman" w:eastAsia="Times New Roman" w:hAnsi="Times New Roman" w:cs="Times New Roman"/>
          <w:sz w:val="24"/>
          <w:szCs w:val="24"/>
        </w:rPr>
      </w:pPr>
      <w:r w:rsidRPr="002462E6">
        <w:rPr>
          <w:rFonts w:ascii="Times New Roman" w:eastAsia="Times New Roman" w:hAnsi="Times New Roman" w:cs="Times New Roman"/>
          <w:noProof/>
          <w:lang w:eastAsia="fr-FR"/>
        </w:rPr>
        <w:drawing>
          <wp:inline distT="0" distB="0" distL="0" distR="0" wp14:anchorId="181FEBFF" wp14:editId="1BAD52B5">
            <wp:extent cx="4138930" cy="2159541"/>
            <wp:effectExtent l="0" t="0" r="13970" b="12700"/>
            <wp:docPr id="492" name="Graphique 492"/>
            <wp:cNvGraphicFramePr/>
            <a:graphic xmlns:a="http://schemas.openxmlformats.org/drawingml/2006/main">
              <a:graphicData uri="http://schemas.openxmlformats.org/drawingml/2006/chart">
                <c:chart xmlns:c="http://schemas.openxmlformats.org/drawingml/2006/chart" xmlns:r="http://schemas.openxmlformats.org/officeDocument/2006/relationships" r:id="rId59"/>
              </a:graphicData>
            </a:graphic>
          </wp:inline>
        </w:drawing>
      </w:r>
    </w:p>
    <w:p w:rsidR="005C014D" w:rsidRPr="002462E6" w:rsidRDefault="005C014D" w:rsidP="005C014D">
      <w:pPr>
        <w:widowControl w:val="0"/>
        <w:autoSpaceDE w:val="0"/>
        <w:autoSpaceDN w:val="0"/>
        <w:spacing w:after="0" w:line="360" w:lineRule="auto"/>
        <w:jc w:val="both"/>
        <w:rPr>
          <w:rFonts w:ascii="Tahoma" w:eastAsia="Times New Roman" w:hAnsi="Tahoma" w:cs="Tahoma"/>
          <w:sz w:val="20"/>
          <w:szCs w:val="20"/>
          <w:lang w:eastAsia="fr-FR"/>
        </w:rPr>
      </w:pPr>
    </w:p>
    <w:p w:rsidR="005C014D" w:rsidRPr="002462E6" w:rsidRDefault="005C014D" w:rsidP="00B8186A">
      <w:pPr>
        <w:widowControl w:val="0"/>
        <w:autoSpaceDE w:val="0"/>
        <w:autoSpaceDN w:val="0"/>
        <w:spacing w:after="0" w:line="360" w:lineRule="auto"/>
        <w:jc w:val="center"/>
        <w:rPr>
          <w:rFonts w:ascii="Tahoma" w:eastAsia="Times New Roman" w:hAnsi="Tahoma" w:cs="Tahoma"/>
          <w:sz w:val="20"/>
          <w:szCs w:val="20"/>
          <w:lang w:eastAsia="fr-FR"/>
        </w:rPr>
      </w:pPr>
      <w:r w:rsidRPr="00335088">
        <w:rPr>
          <w:rFonts w:ascii="Tahoma" w:eastAsia="Times New Roman" w:hAnsi="Tahoma" w:cs="Tahoma"/>
          <w:b/>
          <w:bCs/>
          <w:sz w:val="20"/>
          <w:szCs w:val="20"/>
          <w:lang w:eastAsia="fr-FR"/>
        </w:rPr>
        <w:t>Source</w:t>
      </w:r>
      <w:r w:rsidRPr="002462E6">
        <w:rPr>
          <w:rFonts w:ascii="Tahoma" w:eastAsia="Times New Roman" w:hAnsi="Tahoma" w:cs="Tahoma"/>
          <w:sz w:val="20"/>
          <w:szCs w:val="20"/>
          <w:lang w:eastAsia="fr-FR"/>
        </w:rPr>
        <w:t xml:space="preserve"> : résultats de l’enquête</w:t>
      </w:r>
    </w:p>
    <w:p w:rsidR="005C014D" w:rsidRPr="002462E6" w:rsidRDefault="005C014D" w:rsidP="005C014D">
      <w:pPr>
        <w:widowControl w:val="0"/>
        <w:autoSpaceDE w:val="0"/>
        <w:autoSpaceDN w:val="0"/>
        <w:spacing w:after="0" w:line="360" w:lineRule="auto"/>
        <w:jc w:val="both"/>
        <w:rPr>
          <w:rFonts w:ascii="Tahoma" w:eastAsia="Times New Roman" w:hAnsi="Tahoma" w:cs="Tahoma"/>
          <w:sz w:val="2"/>
          <w:szCs w:val="2"/>
          <w:lang w:eastAsia="fr-FR"/>
        </w:rPr>
      </w:pPr>
    </w:p>
    <w:p w:rsidR="005C014D" w:rsidRPr="002462E6" w:rsidRDefault="005C014D" w:rsidP="005C014D">
      <w:pPr>
        <w:widowControl w:val="0"/>
        <w:autoSpaceDE w:val="0"/>
        <w:autoSpaceDN w:val="0"/>
        <w:spacing w:before="100" w:beforeAutospacing="1" w:after="100" w:afterAutospacing="1" w:line="360" w:lineRule="auto"/>
        <w:jc w:val="both"/>
        <w:rPr>
          <w:rFonts w:ascii="Tahoma" w:eastAsia="Times New Roman" w:hAnsi="Tahoma" w:cs="Tahoma"/>
          <w:sz w:val="24"/>
          <w:szCs w:val="24"/>
          <w:lang w:eastAsia="fr-FR"/>
        </w:rPr>
      </w:pPr>
      <w:r w:rsidRPr="002462E6">
        <w:rPr>
          <w:rFonts w:ascii="Tahoma" w:eastAsia="Times New Roman" w:hAnsi="Tahoma" w:cs="Tahoma"/>
          <w:sz w:val="24"/>
          <w:szCs w:val="24"/>
          <w:lang w:eastAsia="fr-FR"/>
        </w:rPr>
        <w:t>Cette configuration dévoile un déficit infrastructurel majeur, puisque plus de la moitié des populations rurales se trouvent confrontées à des contraintes d’accessibilité qui les maintiennent dans une situation d’isolement géographique structurel. En effet, la convergence des taux d’inexistence (56 %) et d’impraticabilité (54 %) des routes souligne une problématique cohérente, révélatrice de l’ampleur des défaillances infrastructurelles. Ces insuffisances routières constituent un facteur aggravant des vulnérabilités territoriales, compromettant ainsi l’efficacité des politiques sectorielles déployées.</w:t>
      </w:r>
    </w:p>
    <w:p w:rsidR="005C014D" w:rsidRPr="002462E6" w:rsidRDefault="005C014D" w:rsidP="005C014D">
      <w:pPr>
        <w:widowControl w:val="0"/>
        <w:autoSpaceDE w:val="0"/>
        <w:autoSpaceDN w:val="0"/>
        <w:spacing w:before="100" w:beforeAutospacing="1" w:after="100" w:afterAutospacing="1" w:line="360" w:lineRule="auto"/>
        <w:jc w:val="both"/>
        <w:rPr>
          <w:rFonts w:ascii="Times New Roman" w:eastAsia="Times New Roman" w:hAnsi="Times New Roman" w:cs="Times New Roman"/>
        </w:rPr>
      </w:pPr>
      <w:r w:rsidRPr="002462E6">
        <w:rPr>
          <w:rFonts w:ascii="Tahoma" w:eastAsia="Times New Roman" w:hAnsi="Tahoma" w:cs="Tahoma"/>
          <w:sz w:val="24"/>
          <w:szCs w:val="24"/>
          <w:lang w:eastAsia="fr-FR"/>
        </w:rPr>
        <w:t xml:space="preserve">En effet, l'isolement géographique résultant de ces défaillances </w:t>
      </w:r>
      <w:r w:rsidR="00E22BC1" w:rsidRPr="002462E6">
        <w:rPr>
          <w:rFonts w:ascii="Tahoma" w:eastAsia="Times New Roman" w:hAnsi="Tahoma" w:cs="Tahoma"/>
          <w:sz w:val="24"/>
          <w:szCs w:val="24"/>
          <w:lang w:eastAsia="fr-FR"/>
        </w:rPr>
        <w:t>peut :</w:t>
      </w:r>
    </w:p>
    <w:p w:rsidR="005C014D" w:rsidRPr="002462E6" w:rsidRDefault="005C014D" w:rsidP="00D051D7">
      <w:pPr>
        <w:widowControl w:val="0"/>
        <w:numPr>
          <w:ilvl w:val="0"/>
          <w:numId w:val="69"/>
        </w:numPr>
        <w:autoSpaceDE w:val="0"/>
        <w:autoSpaceDN w:val="0"/>
        <w:spacing w:before="100" w:beforeAutospacing="1" w:after="100" w:afterAutospacing="1" w:line="360" w:lineRule="auto"/>
        <w:jc w:val="both"/>
        <w:rPr>
          <w:rFonts w:ascii="Tahoma" w:eastAsia="Times New Roman" w:hAnsi="Tahoma" w:cs="Tahoma"/>
          <w:sz w:val="24"/>
          <w:szCs w:val="24"/>
          <w:lang w:eastAsia="fr-FR"/>
        </w:rPr>
      </w:pPr>
      <w:r w:rsidRPr="002462E6">
        <w:rPr>
          <w:rFonts w:ascii="Tahoma" w:eastAsia="Times New Roman" w:hAnsi="Tahoma" w:cs="Tahoma"/>
          <w:sz w:val="24"/>
          <w:szCs w:val="24"/>
          <w:lang w:eastAsia="fr-FR"/>
        </w:rPr>
        <w:t>Limiter l'accès aux services essentiels : Les contraintes d'accessibilité physique rendent inefficaces les investissements dans les infrastructures de santé, d'éducation et de services publics localisées dans les centres urbains ou semi-urbains.</w:t>
      </w:r>
    </w:p>
    <w:p w:rsidR="005C014D" w:rsidRPr="002462E6" w:rsidRDefault="005C014D" w:rsidP="00D051D7">
      <w:pPr>
        <w:widowControl w:val="0"/>
        <w:numPr>
          <w:ilvl w:val="0"/>
          <w:numId w:val="69"/>
        </w:numPr>
        <w:autoSpaceDE w:val="0"/>
        <w:autoSpaceDN w:val="0"/>
        <w:spacing w:before="100" w:beforeAutospacing="1" w:after="100" w:afterAutospacing="1" w:line="360" w:lineRule="auto"/>
        <w:jc w:val="both"/>
        <w:rPr>
          <w:rFonts w:ascii="Tahoma" w:eastAsia="Times New Roman" w:hAnsi="Tahoma" w:cs="Tahoma"/>
          <w:sz w:val="24"/>
          <w:szCs w:val="24"/>
          <w:lang w:eastAsia="fr-FR"/>
        </w:rPr>
      </w:pPr>
      <w:r w:rsidRPr="002462E6">
        <w:rPr>
          <w:rFonts w:ascii="Tahoma" w:eastAsia="Times New Roman" w:hAnsi="Tahoma" w:cs="Tahoma"/>
          <w:sz w:val="24"/>
          <w:szCs w:val="24"/>
          <w:lang w:eastAsia="fr-FR"/>
        </w:rPr>
        <w:t>Freiner le développement économique local : L'enclavement compromet l'accès aux marchés, limite les opportunités commerciales et décourage les investissements privés dans ces territoires.</w:t>
      </w:r>
    </w:p>
    <w:p w:rsidR="005C014D" w:rsidRPr="002462E6" w:rsidRDefault="005C014D" w:rsidP="00D051D7">
      <w:pPr>
        <w:widowControl w:val="0"/>
        <w:numPr>
          <w:ilvl w:val="0"/>
          <w:numId w:val="69"/>
        </w:numPr>
        <w:autoSpaceDE w:val="0"/>
        <w:autoSpaceDN w:val="0"/>
        <w:spacing w:before="100" w:beforeAutospacing="1" w:after="100" w:afterAutospacing="1" w:line="360" w:lineRule="auto"/>
        <w:jc w:val="both"/>
        <w:rPr>
          <w:rFonts w:ascii="Tahoma" w:eastAsia="Times New Roman" w:hAnsi="Tahoma" w:cs="Tahoma"/>
          <w:sz w:val="24"/>
          <w:szCs w:val="24"/>
          <w:lang w:eastAsia="fr-FR"/>
        </w:rPr>
      </w:pPr>
      <w:r w:rsidRPr="002462E6">
        <w:rPr>
          <w:rFonts w:ascii="Tahoma" w:eastAsia="Times New Roman" w:hAnsi="Tahoma" w:cs="Tahoma"/>
          <w:sz w:val="24"/>
          <w:szCs w:val="24"/>
          <w:lang w:eastAsia="fr-FR"/>
        </w:rPr>
        <w:t>Accentuee l'exode rural : Les contraintes d'accessibilité constituent un facteur d'incitation à la migration vers les centres urbains mieux desservis.</w:t>
      </w:r>
    </w:p>
    <w:p w:rsidR="005C014D" w:rsidRPr="002462E6" w:rsidRDefault="005C014D" w:rsidP="005C014D">
      <w:pPr>
        <w:spacing w:before="100" w:beforeAutospacing="1" w:after="100" w:afterAutospacing="1" w:line="360" w:lineRule="auto"/>
        <w:jc w:val="both"/>
        <w:rPr>
          <w:rFonts w:ascii="Tahoma" w:eastAsia="Times New Roman" w:hAnsi="Tahoma" w:cs="Tahoma"/>
          <w:sz w:val="24"/>
          <w:szCs w:val="24"/>
          <w:lang w:eastAsia="fr-FR"/>
        </w:rPr>
      </w:pPr>
      <w:r w:rsidRPr="002462E6">
        <w:rPr>
          <w:rFonts w:ascii="Tahoma" w:eastAsia="Times New Roman" w:hAnsi="Tahoma" w:cs="Tahoma"/>
          <w:sz w:val="24"/>
          <w:szCs w:val="24"/>
          <w:lang w:eastAsia="fr-FR"/>
        </w:rPr>
        <w:t>L'analyse socioéconomique de Korifla révèle un territoire caractérisé par des vulnérabilités multidimensionnelles convergentes. Trois risques systémiques majeurs structurent cette configuration : le risque sanitaire structurel, le risque d'exclusion éducative et le risque d'isolement territorial.</w:t>
      </w:r>
    </w:p>
    <w:p w:rsidR="005C014D" w:rsidRPr="002462E6" w:rsidRDefault="005C014D" w:rsidP="005C014D">
      <w:pPr>
        <w:spacing w:before="100" w:beforeAutospacing="1" w:after="100" w:afterAutospacing="1" w:line="360" w:lineRule="auto"/>
        <w:jc w:val="both"/>
        <w:rPr>
          <w:rFonts w:ascii="Tahoma" w:eastAsia="Times New Roman" w:hAnsi="Tahoma" w:cs="Tahoma"/>
          <w:sz w:val="24"/>
          <w:szCs w:val="24"/>
          <w:lang w:eastAsia="fr-FR"/>
        </w:rPr>
      </w:pPr>
      <w:r w:rsidRPr="002462E6">
        <w:rPr>
          <w:rFonts w:ascii="Tahoma" w:eastAsia="Times New Roman" w:hAnsi="Tahoma" w:cs="Tahoma"/>
          <w:sz w:val="24"/>
          <w:szCs w:val="24"/>
          <w:lang w:eastAsia="fr-FR"/>
        </w:rPr>
        <w:t>Ces vulnérabilités s'articulent selon une logique de renforcement mutuel, générant des « trappes à vulnérabilité » territoriales. Cette interdépendance systémique appelle une stratégie d'intervention intégrée, priorisant le désenclavement comme préalable aux politiques sectorielles. En effet, une approche préventive territorialisée constitue un impératif pour enrayer l'aggravation des vulnérabilités et préparer ces espaces forestiers aux défis du développement territorial. L'investigation d'autres dimensions de vulnérabilité demeure nécessaire pour appréhender l'intégralité des mécanismes de fragilisation et orienter les politiques d'aménagement rural.</w:t>
      </w:r>
    </w:p>
    <w:p w:rsidR="005C014D" w:rsidRPr="002462E6" w:rsidRDefault="005C014D" w:rsidP="005C014D">
      <w:pPr>
        <w:widowControl w:val="0"/>
        <w:autoSpaceDE w:val="0"/>
        <w:autoSpaceDN w:val="0"/>
        <w:spacing w:after="0" w:line="360" w:lineRule="auto"/>
        <w:rPr>
          <w:rFonts w:ascii="Tahoma" w:eastAsia="Times New Roman" w:hAnsi="Tahoma" w:cs="Tahoma"/>
          <w:sz w:val="4"/>
          <w:szCs w:val="4"/>
        </w:rPr>
      </w:pPr>
    </w:p>
    <w:p w:rsidR="005C014D" w:rsidRPr="002462E6" w:rsidRDefault="005C014D" w:rsidP="005C014D">
      <w:pPr>
        <w:widowControl w:val="0"/>
        <w:autoSpaceDE w:val="0"/>
        <w:autoSpaceDN w:val="0"/>
        <w:spacing w:after="0" w:line="360" w:lineRule="auto"/>
        <w:rPr>
          <w:rFonts w:ascii="Tahoma" w:eastAsia="Times New Roman" w:hAnsi="Tahoma" w:cs="Tahoma"/>
          <w:sz w:val="4"/>
          <w:szCs w:val="4"/>
        </w:rPr>
      </w:pPr>
    </w:p>
    <w:p w:rsidR="005C014D" w:rsidRPr="002462E6" w:rsidRDefault="005C014D" w:rsidP="005C014D">
      <w:pPr>
        <w:widowControl w:val="0"/>
        <w:autoSpaceDE w:val="0"/>
        <w:autoSpaceDN w:val="0"/>
        <w:spacing w:after="0" w:line="360" w:lineRule="auto"/>
        <w:rPr>
          <w:rFonts w:ascii="Tahoma" w:eastAsia="Times New Roman" w:hAnsi="Tahoma" w:cs="Tahoma"/>
          <w:sz w:val="4"/>
          <w:szCs w:val="4"/>
        </w:rPr>
      </w:pPr>
    </w:p>
    <w:p w:rsidR="005C014D" w:rsidRPr="002462E6" w:rsidRDefault="005C014D" w:rsidP="005C014D">
      <w:pPr>
        <w:widowControl w:val="0"/>
        <w:autoSpaceDE w:val="0"/>
        <w:autoSpaceDN w:val="0"/>
        <w:spacing w:after="0" w:line="360" w:lineRule="auto"/>
        <w:rPr>
          <w:rFonts w:ascii="Tahoma" w:eastAsia="Times New Roman" w:hAnsi="Tahoma" w:cs="Tahoma"/>
          <w:sz w:val="4"/>
          <w:szCs w:val="4"/>
        </w:rPr>
      </w:pPr>
    </w:p>
    <w:p w:rsidR="005C014D" w:rsidRPr="002462E6" w:rsidRDefault="005C014D" w:rsidP="00DC12A2">
      <w:pPr>
        <w:pStyle w:val="Titre4"/>
      </w:pPr>
      <w:bookmarkStart w:id="456" w:name="_Toc203643131"/>
      <w:r w:rsidRPr="002462E6">
        <w:t>Économie, dégradation forestière et risque accélératif migratoire en forêt de Korifla : vulnérabilités rurales croisées</w:t>
      </w:r>
      <w:bookmarkEnd w:id="456"/>
    </w:p>
    <w:p w:rsidR="005C014D" w:rsidRPr="002462E6" w:rsidRDefault="005C014D" w:rsidP="005C014D">
      <w:pPr>
        <w:widowControl w:val="0"/>
        <w:autoSpaceDE w:val="0"/>
        <w:autoSpaceDN w:val="0"/>
        <w:spacing w:after="0" w:line="360" w:lineRule="auto"/>
        <w:contextualSpacing/>
        <w:rPr>
          <w:rFonts w:ascii="Tahoma" w:eastAsia="Times New Roman" w:hAnsi="Tahoma" w:cs="Tahoma"/>
          <w:sz w:val="28"/>
          <w:szCs w:val="28"/>
        </w:rPr>
      </w:pPr>
    </w:p>
    <w:p w:rsidR="005C014D" w:rsidRPr="002462E6" w:rsidRDefault="005C014D" w:rsidP="005C014D">
      <w:pPr>
        <w:widowControl w:val="0"/>
        <w:autoSpaceDE w:val="0"/>
        <w:autoSpaceDN w:val="0"/>
        <w:spacing w:after="0" w:line="360" w:lineRule="auto"/>
        <w:jc w:val="both"/>
        <w:rPr>
          <w:rFonts w:ascii="Tahoma" w:eastAsia="Times New Roman" w:hAnsi="Tahoma" w:cs="Tahoma"/>
          <w:sz w:val="24"/>
          <w:szCs w:val="24"/>
          <w:lang w:eastAsia="fr-FR"/>
        </w:rPr>
      </w:pPr>
      <w:r w:rsidRPr="002462E6">
        <w:rPr>
          <w:rFonts w:ascii="Tahoma" w:eastAsia="Times New Roman" w:hAnsi="Tahoma" w:cs="Tahoma"/>
          <w:sz w:val="24"/>
          <w:szCs w:val="24"/>
          <w:lang w:eastAsia="fr-FR"/>
        </w:rPr>
        <w:t>L’analyse des vulnérabilités rurales dans les territoires forestiers requiert une approche systémique, dépassant les cloisonnements sectoriels traditionnels. Dans le contexte spécifique de la forêt de Korifla, cette analyse propose d’examiner l’interdépendance complexe entre trois dimensions fondamentales conditionnant la viabilité territoriale : la vulnérabilité économique des ménages, la dégradation progressive de l’écosystème forestier, ainsi que les dynamiques migratoires et les aspirations qui en découlent au sein des populations locales.</w:t>
      </w:r>
    </w:p>
    <w:p w:rsidR="005C014D" w:rsidRPr="002462E6" w:rsidRDefault="005C014D" w:rsidP="005C014D">
      <w:pPr>
        <w:widowControl w:val="0"/>
        <w:autoSpaceDE w:val="0"/>
        <w:autoSpaceDN w:val="0"/>
        <w:spacing w:after="0" w:line="360" w:lineRule="auto"/>
        <w:jc w:val="both"/>
        <w:rPr>
          <w:rFonts w:ascii="Tahoma" w:eastAsia="Times New Roman" w:hAnsi="Tahoma" w:cs="Tahoma"/>
          <w:sz w:val="24"/>
          <w:szCs w:val="24"/>
          <w:lang w:eastAsia="fr-FR"/>
        </w:rPr>
      </w:pPr>
      <w:r w:rsidRPr="002462E6">
        <w:rPr>
          <w:rFonts w:ascii="Tahoma" w:eastAsia="Times New Roman" w:hAnsi="Tahoma" w:cs="Tahoma"/>
          <w:sz w:val="24"/>
          <w:szCs w:val="24"/>
          <w:lang w:eastAsia="fr-FR"/>
        </w:rPr>
        <w:t>La dimension économique, centrée sur l’analyse des revenus et des stratégies de subsistance, révèle les mécanismes d’inclusion ou d’exclusion des populations dans les dynamiques de développement territorial. La dimension environnementale met en lumière la perception unanime de la dégradation forestière, tout en soulignant ses réalités contrastées, illustrant ainsi le cercle vicieux pauvreté-dégradation caractéristique de ces territoires. Enfin, la dimension migratoire explore les aspirations à la mobilité comme révélateur ultime de l’inadéquation entre les conditions de vie locales et les attentes légitimes des populations en matière de développement.</w:t>
      </w:r>
    </w:p>
    <w:p w:rsidR="00DC12A2" w:rsidRPr="002462E6" w:rsidRDefault="00DC12A2" w:rsidP="005C014D">
      <w:pPr>
        <w:widowControl w:val="0"/>
        <w:autoSpaceDE w:val="0"/>
        <w:autoSpaceDN w:val="0"/>
        <w:spacing w:after="0" w:line="360" w:lineRule="auto"/>
        <w:jc w:val="both"/>
        <w:rPr>
          <w:rFonts w:ascii="Tahoma" w:eastAsia="Times New Roman" w:hAnsi="Tahoma" w:cs="Tahoma"/>
          <w:sz w:val="24"/>
          <w:szCs w:val="24"/>
          <w:lang w:eastAsia="fr-FR"/>
        </w:rPr>
      </w:pPr>
    </w:p>
    <w:p w:rsidR="00DC12A2" w:rsidRPr="00FE2565" w:rsidRDefault="005C014D" w:rsidP="00FE2565">
      <w:pPr>
        <w:pStyle w:val="Titre5"/>
        <w:numPr>
          <w:ilvl w:val="0"/>
          <w:numId w:val="106"/>
        </w:numPr>
      </w:pPr>
      <w:bookmarkStart w:id="457" w:name="_Toc203643132"/>
      <w:r w:rsidRPr="002462E6">
        <w:t>Le revenu comme révélateur des vulnérabilités socio-économiques en milieu rural forestier</w:t>
      </w:r>
      <w:bookmarkEnd w:id="457"/>
    </w:p>
    <w:p w:rsidR="005C014D" w:rsidRPr="002462E6" w:rsidRDefault="005C014D" w:rsidP="005C014D">
      <w:pPr>
        <w:widowControl w:val="0"/>
        <w:autoSpaceDE w:val="0"/>
        <w:autoSpaceDN w:val="0"/>
        <w:spacing w:after="0" w:line="360" w:lineRule="auto"/>
        <w:jc w:val="both"/>
        <w:rPr>
          <w:rFonts w:ascii="Tahoma" w:eastAsia="Times New Roman" w:hAnsi="Tahoma" w:cs="Tahoma"/>
          <w:sz w:val="24"/>
          <w:szCs w:val="24"/>
        </w:rPr>
      </w:pPr>
      <w:r w:rsidRPr="002462E6">
        <w:rPr>
          <w:rFonts w:ascii="Tahoma" w:eastAsia="Times New Roman" w:hAnsi="Tahoma" w:cs="Tahoma"/>
          <w:sz w:val="24"/>
          <w:szCs w:val="24"/>
        </w:rPr>
        <w:t>Dans un pays où les zones rurales concentrent 72 % des personnes pauvres avec un taux de pauvreté de 13,1 %, soit plus de quatre fois supérieur à celui des zones urbaines</w:t>
      </w:r>
      <w:r w:rsidRPr="002462E6">
        <w:rPr>
          <w:rFonts w:ascii="Tahoma" w:eastAsia="Times New Roman" w:hAnsi="Tahoma" w:cs="Tahoma"/>
          <w:sz w:val="24"/>
          <w:szCs w:val="24"/>
          <w:vertAlign w:val="superscript"/>
        </w:rPr>
        <w:footnoteReference w:id="906"/>
      </w:r>
      <w:r w:rsidRPr="002462E6">
        <w:rPr>
          <w:rFonts w:ascii="Tahoma" w:eastAsia="Times New Roman" w:hAnsi="Tahoma" w:cs="Tahoma"/>
          <w:sz w:val="24"/>
          <w:szCs w:val="24"/>
        </w:rPr>
        <w:t>, l’examen des sources de revenus, de leur régularité et de leur suffisance permet d’identifier les facteurs structurels de vulnérabilité. L’utilisation du seuil de référence du SMAG net à 1860 dirhams, bien qu’aujourd’hui revalorisé à 2255,03 dirhams en 2025</w:t>
      </w:r>
      <w:r w:rsidRPr="002462E6">
        <w:rPr>
          <w:rFonts w:ascii="Tahoma" w:eastAsia="Times New Roman" w:hAnsi="Tahoma" w:cs="Tahoma"/>
          <w:sz w:val="24"/>
          <w:szCs w:val="24"/>
          <w:vertAlign w:val="superscript"/>
        </w:rPr>
        <w:footnoteReference w:id="907"/>
      </w:r>
      <w:r w:rsidRPr="002462E6">
        <w:rPr>
          <w:rFonts w:ascii="Tahoma" w:eastAsia="Times New Roman" w:hAnsi="Tahoma" w:cs="Tahoma"/>
          <w:sz w:val="24"/>
          <w:szCs w:val="24"/>
        </w:rPr>
        <w:t>, présente un point de comparaison pertinent pour évaluer la précarité économique dans ces territoires forestiers où les activités économiques traditionnelles peinent à générer des revenus suffisants. Cette analyse des revenus s’inscrit ainsi dans une perspective plus large de compréhension des inégalités territoriales et de définition de politiques publiques adaptées aux spécificités des écosystèmes forestiers marocains.</w:t>
      </w:r>
    </w:p>
    <w:p w:rsidR="005C014D" w:rsidRPr="002462E6" w:rsidRDefault="005C014D" w:rsidP="005C014D">
      <w:pPr>
        <w:widowControl w:val="0"/>
        <w:autoSpaceDE w:val="0"/>
        <w:autoSpaceDN w:val="0"/>
        <w:spacing w:after="0" w:line="360" w:lineRule="auto"/>
        <w:jc w:val="both"/>
        <w:rPr>
          <w:rFonts w:ascii="Times New Roman" w:eastAsia="Times New Roman" w:hAnsi="Times New Roman" w:cs="Times New Roman"/>
          <w:sz w:val="24"/>
          <w:szCs w:val="24"/>
          <w:lang w:eastAsia="fr-FR"/>
        </w:rPr>
      </w:pPr>
    </w:p>
    <w:p w:rsidR="005C014D" w:rsidRPr="002462E6" w:rsidRDefault="005C014D" w:rsidP="005C014D">
      <w:pPr>
        <w:widowControl w:val="0"/>
        <w:autoSpaceDE w:val="0"/>
        <w:autoSpaceDN w:val="0"/>
        <w:spacing w:after="0" w:line="360" w:lineRule="auto"/>
        <w:jc w:val="both"/>
        <w:rPr>
          <w:rFonts w:ascii="Tahoma" w:eastAsia="Times New Roman" w:hAnsi="Tahoma" w:cs="Tahoma"/>
          <w:sz w:val="24"/>
          <w:szCs w:val="24"/>
        </w:rPr>
      </w:pPr>
      <w:r w:rsidRPr="002462E6">
        <w:rPr>
          <w:rFonts w:ascii="Tahoma" w:eastAsia="Times New Roman" w:hAnsi="Tahoma" w:cs="Tahoma"/>
          <w:sz w:val="24"/>
          <w:szCs w:val="24"/>
        </w:rPr>
        <w:t>Dans la zone de recherche, l'examen de la structure démographique fait apparaître un taux de participation au marché du travail exceptionnellement élevé, s'établissant à 97% de population active pour seulement 3% de populat</w:t>
      </w:r>
      <w:r w:rsidR="00335088">
        <w:rPr>
          <w:rFonts w:ascii="Tahoma" w:eastAsia="Times New Roman" w:hAnsi="Tahoma" w:cs="Tahoma"/>
          <w:sz w:val="24"/>
          <w:szCs w:val="24"/>
        </w:rPr>
        <w:t>ion inactive (</w:t>
      </w:r>
      <w:r w:rsidR="00335088">
        <w:rPr>
          <w:rFonts w:ascii="Tahoma" w:eastAsia="Times New Roman" w:hAnsi="Tahoma" w:cs="Tahoma"/>
          <w:b/>
          <w:bCs/>
          <w:sz w:val="24"/>
          <w:szCs w:val="24"/>
        </w:rPr>
        <w:t>Graph</w:t>
      </w:r>
      <w:r w:rsidR="00335088" w:rsidRPr="00335088">
        <w:rPr>
          <w:rFonts w:ascii="Tahoma" w:eastAsia="Times New Roman" w:hAnsi="Tahoma" w:cs="Tahoma"/>
          <w:b/>
          <w:bCs/>
          <w:sz w:val="24"/>
          <w:szCs w:val="24"/>
        </w:rPr>
        <w:t>e n°19</w:t>
      </w:r>
      <w:r w:rsidRPr="002462E6">
        <w:rPr>
          <w:rFonts w:ascii="Tahoma" w:eastAsia="Times New Roman" w:hAnsi="Tahoma" w:cs="Tahoma"/>
          <w:sz w:val="24"/>
          <w:szCs w:val="24"/>
        </w:rPr>
        <w:t xml:space="preserve">). </w:t>
      </w:r>
    </w:p>
    <w:p w:rsidR="00B8186A" w:rsidRPr="002462E6" w:rsidRDefault="00B8186A" w:rsidP="005C014D">
      <w:pPr>
        <w:widowControl w:val="0"/>
        <w:autoSpaceDE w:val="0"/>
        <w:autoSpaceDN w:val="0"/>
        <w:spacing w:after="0" w:line="360" w:lineRule="auto"/>
        <w:jc w:val="both"/>
        <w:rPr>
          <w:rFonts w:ascii="Tahoma" w:eastAsia="Times New Roman" w:hAnsi="Tahoma" w:cs="Tahoma"/>
          <w:sz w:val="24"/>
          <w:szCs w:val="24"/>
        </w:rPr>
      </w:pPr>
    </w:p>
    <w:p w:rsidR="005C014D" w:rsidRPr="002462E6" w:rsidRDefault="005C014D" w:rsidP="005C014D">
      <w:pPr>
        <w:widowControl w:val="0"/>
        <w:autoSpaceDE w:val="0"/>
        <w:autoSpaceDN w:val="0"/>
        <w:spacing w:after="0" w:line="360" w:lineRule="auto"/>
        <w:jc w:val="both"/>
        <w:rPr>
          <w:rFonts w:ascii="Tahoma" w:eastAsia="Times New Roman" w:hAnsi="Tahoma" w:cs="Tahoma"/>
          <w:sz w:val="2"/>
          <w:szCs w:val="2"/>
          <w:lang w:eastAsia="fr-FR"/>
        </w:rPr>
      </w:pPr>
    </w:p>
    <w:p w:rsidR="00335088" w:rsidRDefault="00335088">
      <w:pPr>
        <w:rPr>
          <w:rFonts w:ascii="Tahoma" w:eastAsia="Times New Roman" w:hAnsi="Tahoma" w:cs="Tahoma"/>
          <w:b/>
          <w:sz w:val="24"/>
          <w:szCs w:val="24"/>
        </w:rPr>
      </w:pPr>
      <w:r>
        <w:br w:type="page"/>
      </w:r>
    </w:p>
    <w:p w:rsidR="00335088" w:rsidRDefault="00335088" w:rsidP="00335088">
      <w:pPr>
        <w:pStyle w:val="Sous-titre"/>
      </w:pPr>
      <w:bookmarkStart w:id="458" w:name="_Toc203642551"/>
      <w:r>
        <w:t xml:space="preserve">Graphe </w:t>
      </w:r>
      <w:r w:rsidR="00225ED1">
        <w:rPr>
          <w:noProof/>
        </w:rPr>
        <w:fldChar w:fldCharType="begin"/>
      </w:r>
      <w:r w:rsidR="00225ED1">
        <w:rPr>
          <w:noProof/>
        </w:rPr>
        <w:instrText xml:space="preserve"> SEQ Graphe \* ARABIC </w:instrText>
      </w:r>
      <w:r w:rsidR="00225ED1">
        <w:rPr>
          <w:noProof/>
        </w:rPr>
        <w:fldChar w:fldCharType="separate"/>
      </w:r>
      <w:r w:rsidR="00124AFB">
        <w:rPr>
          <w:noProof/>
        </w:rPr>
        <w:t>19</w:t>
      </w:r>
      <w:r w:rsidR="00225ED1">
        <w:rPr>
          <w:noProof/>
        </w:rPr>
        <w:fldChar w:fldCharType="end"/>
      </w:r>
      <w:r>
        <w:t xml:space="preserve"> </w:t>
      </w:r>
      <w:r w:rsidRPr="0003263B">
        <w:t>: Répartition des enquêtés  en % par population active</w:t>
      </w:r>
      <w:bookmarkEnd w:id="458"/>
    </w:p>
    <w:p w:rsidR="005C014D" w:rsidRPr="002462E6" w:rsidRDefault="005C014D" w:rsidP="005C014D">
      <w:pPr>
        <w:widowControl w:val="0"/>
        <w:autoSpaceDE w:val="0"/>
        <w:autoSpaceDN w:val="0"/>
        <w:spacing w:after="0" w:line="240" w:lineRule="auto"/>
        <w:jc w:val="center"/>
        <w:rPr>
          <w:rFonts w:ascii="Times New Roman" w:eastAsia="Times New Roman" w:hAnsi="Times New Roman" w:cs="Times New Roman"/>
        </w:rPr>
      </w:pPr>
      <w:r w:rsidRPr="002462E6">
        <w:rPr>
          <w:rFonts w:ascii="Times New Roman" w:eastAsia="Times New Roman" w:hAnsi="Times New Roman" w:cs="Times New Roman"/>
          <w:noProof/>
          <w:lang w:eastAsia="fr-FR"/>
        </w:rPr>
        <w:drawing>
          <wp:inline distT="0" distB="0" distL="0" distR="0" wp14:anchorId="634A9EA7" wp14:editId="40B54FA6">
            <wp:extent cx="5878286" cy="2529444"/>
            <wp:effectExtent l="0" t="0" r="27305" b="23495"/>
            <wp:docPr id="493" name="Graphique 493"/>
            <wp:cNvGraphicFramePr/>
            <a:graphic xmlns:a="http://schemas.openxmlformats.org/drawingml/2006/main">
              <a:graphicData uri="http://schemas.openxmlformats.org/drawingml/2006/chart">
                <c:chart xmlns:c="http://schemas.openxmlformats.org/drawingml/2006/chart" xmlns:r="http://schemas.openxmlformats.org/officeDocument/2006/relationships" r:id="rId60"/>
              </a:graphicData>
            </a:graphic>
          </wp:inline>
        </w:drawing>
      </w:r>
    </w:p>
    <w:p w:rsidR="00FE2565" w:rsidRPr="002462E6" w:rsidRDefault="00FE2565" w:rsidP="005C014D">
      <w:pPr>
        <w:spacing w:after="200" w:line="240" w:lineRule="auto"/>
        <w:rPr>
          <w:rFonts w:ascii="Times New Roman" w:eastAsia="Calibri" w:hAnsi="Times New Roman" w:cs="Times New Roman"/>
          <w:sz w:val="24"/>
          <w:szCs w:val="24"/>
        </w:rPr>
      </w:pPr>
    </w:p>
    <w:p w:rsidR="005C014D" w:rsidRPr="002462E6" w:rsidRDefault="005C014D" w:rsidP="00B8186A">
      <w:pPr>
        <w:widowControl w:val="0"/>
        <w:autoSpaceDE w:val="0"/>
        <w:autoSpaceDN w:val="0"/>
        <w:spacing w:after="0" w:line="360" w:lineRule="auto"/>
        <w:jc w:val="center"/>
        <w:rPr>
          <w:rFonts w:ascii="Tahoma" w:eastAsia="Times New Roman" w:hAnsi="Tahoma" w:cs="Tahoma"/>
          <w:sz w:val="20"/>
          <w:szCs w:val="20"/>
          <w:lang w:eastAsia="fr-FR"/>
        </w:rPr>
      </w:pPr>
      <w:r w:rsidRPr="002462E6">
        <w:rPr>
          <w:rFonts w:ascii="Tahoma" w:eastAsia="Times New Roman" w:hAnsi="Tahoma" w:cs="Tahoma"/>
          <w:b/>
          <w:bCs/>
          <w:sz w:val="20"/>
          <w:szCs w:val="20"/>
          <w:lang w:eastAsia="fr-FR"/>
        </w:rPr>
        <w:t>Source</w:t>
      </w:r>
      <w:r w:rsidRPr="002462E6">
        <w:rPr>
          <w:rFonts w:ascii="Tahoma" w:eastAsia="Times New Roman" w:hAnsi="Tahoma" w:cs="Tahoma"/>
          <w:sz w:val="20"/>
          <w:szCs w:val="20"/>
          <w:lang w:eastAsia="fr-FR"/>
        </w:rPr>
        <w:t xml:space="preserve"> : résultats de l’enquête</w:t>
      </w:r>
    </w:p>
    <w:p w:rsidR="00B8186A" w:rsidRPr="002462E6" w:rsidRDefault="00B8186A" w:rsidP="00B8186A">
      <w:pPr>
        <w:widowControl w:val="0"/>
        <w:autoSpaceDE w:val="0"/>
        <w:autoSpaceDN w:val="0"/>
        <w:spacing w:after="0" w:line="360" w:lineRule="auto"/>
        <w:jc w:val="center"/>
        <w:rPr>
          <w:rFonts w:ascii="Tahoma" w:eastAsia="Times New Roman" w:hAnsi="Tahoma" w:cs="Tahoma"/>
          <w:sz w:val="20"/>
          <w:szCs w:val="20"/>
          <w:lang w:eastAsia="fr-FR"/>
        </w:rPr>
      </w:pPr>
    </w:p>
    <w:p w:rsidR="00B8186A" w:rsidRPr="002462E6" w:rsidRDefault="005C014D" w:rsidP="00B8186A">
      <w:pPr>
        <w:spacing w:before="100" w:beforeAutospacing="1" w:after="100" w:afterAutospacing="1" w:line="360" w:lineRule="auto"/>
        <w:jc w:val="both"/>
        <w:rPr>
          <w:rFonts w:ascii="Tahoma" w:eastAsia="Times New Roman" w:hAnsi="Tahoma" w:cs="Tahoma"/>
          <w:sz w:val="24"/>
          <w:szCs w:val="24"/>
          <w:lang w:eastAsia="fr-FR"/>
        </w:rPr>
      </w:pPr>
      <w:r w:rsidRPr="002462E6">
        <w:rPr>
          <w:rFonts w:ascii="Tahoma" w:eastAsia="Times New Roman" w:hAnsi="Tahoma" w:cs="Tahoma"/>
          <w:sz w:val="24"/>
          <w:szCs w:val="24"/>
          <w:lang w:eastAsia="fr-FR"/>
        </w:rPr>
        <w:t>Ce taux d'activité de 97% apparaît exceptionnellement élevé au regard des standards nationaux et internationaux. Les statistiques du Haut-Commissariat au Plan (HCP) situent habituellement le taux d'activité rural marocain dans une fourchette de 45 à 55%, mettant en évidence le caractère atypique de la zone d'investigation.</w:t>
      </w:r>
    </w:p>
    <w:p w:rsidR="00B8186A" w:rsidRPr="002462E6" w:rsidRDefault="005C014D" w:rsidP="00335088">
      <w:pPr>
        <w:spacing w:before="100" w:beforeAutospacing="1" w:after="100" w:afterAutospacing="1" w:line="360" w:lineRule="auto"/>
        <w:jc w:val="both"/>
        <w:rPr>
          <w:rFonts w:ascii="Tahoma" w:eastAsia="Times New Roman" w:hAnsi="Tahoma" w:cs="Tahoma"/>
          <w:sz w:val="24"/>
          <w:szCs w:val="24"/>
          <w:lang w:eastAsia="fr-FR"/>
        </w:rPr>
      </w:pPr>
      <w:r w:rsidRPr="002462E6">
        <w:rPr>
          <w:rFonts w:ascii="Tahoma" w:eastAsia="Times New Roman" w:hAnsi="Tahoma" w:cs="Tahoma"/>
          <w:sz w:val="24"/>
          <w:szCs w:val="24"/>
          <w:lang w:eastAsia="fr-FR"/>
        </w:rPr>
        <w:t>Cette hyper-participation économique révèle que l'enjeu stratégique ne relève pas de la problématique quantitative de création d'emplois, mais s'articule autour de la transformation qualitative des modalités productives existantes. Cette configuration particulière suscite un questionnement sur la nature et la typologie des activités économiques exercées au sein</w:t>
      </w:r>
      <w:r w:rsidR="00AB476D" w:rsidRPr="002462E6">
        <w:rPr>
          <w:rFonts w:ascii="Tahoma" w:eastAsia="Times New Roman" w:hAnsi="Tahoma" w:cs="Tahoma"/>
          <w:sz w:val="24"/>
          <w:szCs w:val="24"/>
          <w:lang w:eastAsia="fr-FR"/>
        </w:rPr>
        <w:t xml:space="preserve"> de ce territoire (cf</w:t>
      </w:r>
      <w:r w:rsidR="00AB476D" w:rsidRPr="00335088">
        <w:rPr>
          <w:rFonts w:ascii="Tahoma" w:eastAsia="Times New Roman" w:hAnsi="Tahoma" w:cs="Tahoma"/>
          <w:b/>
          <w:bCs/>
          <w:sz w:val="24"/>
          <w:szCs w:val="24"/>
          <w:lang w:eastAsia="fr-FR"/>
        </w:rPr>
        <w:t xml:space="preserve">. </w:t>
      </w:r>
      <w:r w:rsidR="00335088">
        <w:rPr>
          <w:rFonts w:ascii="Tahoma" w:eastAsia="Times New Roman" w:hAnsi="Tahoma" w:cs="Tahoma"/>
          <w:b/>
          <w:bCs/>
          <w:sz w:val="24"/>
          <w:szCs w:val="24"/>
          <w:lang w:eastAsia="fr-FR"/>
        </w:rPr>
        <w:t>G</w:t>
      </w:r>
      <w:r w:rsidR="00AB476D" w:rsidRPr="00335088">
        <w:rPr>
          <w:rFonts w:ascii="Tahoma" w:eastAsia="Times New Roman" w:hAnsi="Tahoma" w:cs="Tahoma"/>
          <w:b/>
          <w:bCs/>
          <w:sz w:val="24"/>
          <w:szCs w:val="24"/>
          <w:lang w:eastAsia="fr-FR"/>
        </w:rPr>
        <w:t>rap</w:t>
      </w:r>
      <w:r w:rsidR="00335088" w:rsidRPr="00335088">
        <w:rPr>
          <w:rFonts w:ascii="Tahoma" w:eastAsia="Times New Roman" w:hAnsi="Tahoma" w:cs="Tahoma"/>
          <w:b/>
          <w:bCs/>
          <w:sz w:val="24"/>
          <w:szCs w:val="24"/>
          <w:lang w:eastAsia="fr-FR"/>
        </w:rPr>
        <w:t>h</w:t>
      </w:r>
      <w:r w:rsidR="00AB476D" w:rsidRPr="00335088">
        <w:rPr>
          <w:rFonts w:ascii="Tahoma" w:eastAsia="Times New Roman" w:hAnsi="Tahoma" w:cs="Tahoma"/>
          <w:b/>
          <w:bCs/>
          <w:sz w:val="24"/>
          <w:szCs w:val="24"/>
          <w:lang w:eastAsia="fr-FR"/>
        </w:rPr>
        <w:t>e</w:t>
      </w:r>
      <w:r w:rsidRPr="00335088">
        <w:rPr>
          <w:rFonts w:ascii="Tahoma" w:eastAsia="Times New Roman" w:hAnsi="Tahoma" w:cs="Tahoma"/>
          <w:b/>
          <w:bCs/>
          <w:sz w:val="24"/>
          <w:szCs w:val="24"/>
          <w:lang w:eastAsia="fr-FR"/>
        </w:rPr>
        <w:t xml:space="preserve"> n°2</w:t>
      </w:r>
      <w:r w:rsidR="00335088" w:rsidRPr="00335088">
        <w:rPr>
          <w:rFonts w:ascii="Tahoma" w:eastAsia="Times New Roman" w:hAnsi="Tahoma" w:cs="Tahoma"/>
          <w:b/>
          <w:bCs/>
          <w:sz w:val="24"/>
          <w:szCs w:val="24"/>
          <w:lang w:eastAsia="fr-FR"/>
        </w:rPr>
        <w:t>0</w:t>
      </w:r>
      <w:r w:rsidRPr="002462E6">
        <w:rPr>
          <w:rFonts w:ascii="Tahoma" w:eastAsia="Times New Roman" w:hAnsi="Tahoma" w:cs="Tahoma"/>
          <w:sz w:val="24"/>
          <w:szCs w:val="24"/>
          <w:lang w:eastAsia="fr-FR"/>
        </w:rPr>
        <w:t xml:space="preserve">).  </w:t>
      </w:r>
    </w:p>
    <w:p w:rsidR="00B8186A" w:rsidRPr="002462E6" w:rsidRDefault="00B8186A" w:rsidP="00B8186A">
      <w:pPr>
        <w:rPr>
          <w:rFonts w:eastAsia="Times New Roman"/>
          <w:lang w:eastAsia="fr-FR"/>
        </w:rPr>
      </w:pPr>
      <w:r w:rsidRPr="002462E6">
        <w:rPr>
          <w:rFonts w:eastAsia="Times New Roman"/>
          <w:lang w:eastAsia="fr-FR"/>
        </w:rPr>
        <w:br w:type="page"/>
      </w:r>
    </w:p>
    <w:p w:rsidR="00335088" w:rsidRDefault="00335088" w:rsidP="00335088">
      <w:pPr>
        <w:pStyle w:val="Sous-titre"/>
      </w:pPr>
      <w:bookmarkStart w:id="459" w:name="_Toc203642552"/>
      <w:r>
        <w:t xml:space="preserve">Graphe </w:t>
      </w:r>
      <w:r w:rsidR="00225ED1">
        <w:rPr>
          <w:noProof/>
        </w:rPr>
        <w:fldChar w:fldCharType="begin"/>
      </w:r>
      <w:r w:rsidR="00225ED1">
        <w:rPr>
          <w:noProof/>
        </w:rPr>
        <w:instrText xml:space="preserve"> SEQ Graphe \* ARABIC </w:instrText>
      </w:r>
      <w:r w:rsidR="00225ED1">
        <w:rPr>
          <w:noProof/>
        </w:rPr>
        <w:fldChar w:fldCharType="separate"/>
      </w:r>
      <w:r w:rsidR="00124AFB">
        <w:rPr>
          <w:noProof/>
        </w:rPr>
        <w:t>20</w:t>
      </w:r>
      <w:r w:rsidR="00225ED1">
        <w:rPr>
          <w:noProof/>
        </w:rPr>
        <w:fldChar w:fldCharType="end"/>
      </w:r>
      <w:r>
        <w:t xml:space="preserve"> </w:t>
      </w:r>
      <w:r w:rsidRPr="009A66E2">
        <w:t>: Répartition des enquêtés  en % par type d’activité principale</w:t>
      </w:r>
      <w:bookmarkEnd w:id="459"/>
    </w:p>
    <w:p w:rsidR="005C014D" w:rsidRPr="002462E6" w:rsidRDefault="005C014D" w:rsidP="00B8186A">
      <w:pPr>
        <w:widowControl w:val="0"/>
        <w:autoSpaceDE w:val="0"/>
        <w:autoSpaceDN w:val="0"/>
        <w:spacing w:after="0" w:line="240" w:lineRule="auto"/>
        <w:jc w:val="center"/>
        <w:rPr>
          <w:rFonts w:ascii="Times New Roman" w:eastAsia="Times New Roman" w:hAnsi="Times New Roman" w:cs="Times New Roman"/>
        </w:rPr>
      </w:pPr>
      <w:r w:rsidRPr="002462E6">
        <w:rPr>
          <w:rFonts w:ascii="Times New Roman" w:eastAsia="Times New Roman" w:hAnsi="Times New Roman" w:cs="Times New Roman"/>
          <w:noProof/>
          <w:lang w:eastAsia="fr-FR"/>
        </w:rPr>
        <w:drawing>
          <wp:inline distT="0" distB="0" distL="0" distR="0" wp14:anchorId="06BD6B20" wp14:editId="2BC3599B">
            <wp:extent cx="5652654" cy="2861953"/>
            <wp:effectExtent l="0" t="0" r="24765" b="14605"/>
            <wp:docPr id="494" name="Graphique 494"/>
            <wp:cNvGraphicFramePr/>
            <a:graphic xmlns:a="http://schemas.openxmlformats.org/drawingml/2006/main">
              <a:graphicData uri="http://schemas.openxmlformats.org/drawingml/2006/chart">
                <c:chart xmlns:c="http://schemas.openxmlformats.org/drawingml/2006/chart" xmlns:r="http://schemas.openxmlformats.org/officeDocument/2006/relationships" r:id="rId61"/>
              </a:graphicData>
            </a:graphic>
          </wp:inline>
        </w:drawing>
      </w:r>
    </w:p>
    <w:p w:rsidR="00B8186A" w:rsidRPr="002462E6" w:rsidRDefault="00B8186A" w:rsidP="005C014D">
      <w:pPr>
        <w:widowControl w:val="0"/>
        <w:autoSpaceDE w:val="0"/>
        <w:autoSpaceDN w:val="0"/>
        <w:spacing w:after="0" w:line="360" w:lineRule="auto"/>
        <w:rPr>
          <w:rFonts w:ascii="Tahoma" w:eastAsia="Times New Roman" w:hAnsi="Tahoma" w:cs="Tahoma"/>
          <w:b/>
          <w:bCs/>
          <w:sz w:val="20"/>
          <w:szCs w:val="20"/>
          <w:lang w:eastAsia="fr-FR"/>
        </w:rPr>
      </w:pPr>
    </w:p>
    <w:p w:rsidR="005C014D" w:rsidRPr="002462E6" w:rsidRDefault="005C014D" w:rsidP="00B8186A">
      <w:pPr>
        <w:widowControl w:val="0"/>
        <w:autoSpaceDE w:val="0"/>
        <w:autoSpaceDN w:val="0"/>
        <w:spacing w:after="0" w:line="360" w:lineRule="auto"/>
        <w:jc w:val="center"/>
        <w:rPr>
          <w:rFonts w:ascii="Tahoma" w:eastAsia="Times New Roman" w:hAnsi="Tahoma" w:cs="Tahoma"/>
          <w:sz w:val="20"/>
          <w:szCs w:val="20"/>
          <w:lang w:eastAsia="fr-FR"/>
        </w:rPr>
      </w:pPr>
      <w:r w:rsidRPr="002462E6">
        <w:rPr>
          <w:rFonts w:ascii="Tahoma" w:eastAsia="Times New Roman" w:hAnsi="Tahoma" w:cs="Tahoma"/>
          <w:b/>
          <w:bCs/>
          <w:sz w:val="20"/>
          <w:szCs w:val="20"/>
          <w:lang w:eastAsia="fr-FR"/>
        </w:rPr>
        <w:t xml:space="preserve">Source </w:t>
      </w:r>
      <w:r w:rsidRPr="002462E6">
        <w:rPr>
          <w:rFonts w:ascii="Tahoma" w:eastAsia="Times New Roman" w:hAnsi="Tahoma" w:cs="Tahoma"/>
          <w:sz w:val="20"/>
          <w:szCs w:val="20"/>
          <w:lang w:eastAsia="fr-FR"/>
        </w:rPr>
        <w:t>: résultats de l’enquête</w:t>
      </w:r>
    </w:p>
    <w:p w:rsidR="005C014D" w:rsidRPr="002462E6" w:rsidRDefault="005C014D" w:rsidP="005C014D">
      <w:pPr>
        <w:spacing w:before="100" w:beforeAutospacing="1" w:after="100" w:afterAutospacing="1" w:line="360" w:lineRule="auto"/>
        <w:jc w:val="both"/>
        <w:outlineLvl w:val="0"/>
        <w:rPr>
          <w:rFonts w:ascii="Tahoma" w:eastAsia="Times New Roman" w:hAnsi="Tahoma" w:cs="Tahoma"/>
          <w:sz w:val="24"/>
          <w:szCs w:val="24"/>
          <w:lang w:eastAsia="fr-FR"/>
        </w:rPr>
      </w:pPr>
      <w:r w:rsidRPr="002462E6">
        <w:rPr>
          <w:rFonts w:ascii="Tahoma" w:eastAsia="Times New Roman" w:hAnsi="Tahoma" w:cs="Tahoma"/>
          <w:sz w:val="24"/>
          <w:szCs w:val="24"/>
          <w:lang w:eastAsia="fr-FR"/>
        </w:rPr>
        <w:t>L’analyse du graphique dévoile une structuration économique fortement concentrée autour de l’activité d’élevage, qui constitue la principale source de revenu pour 77 % des individus enquêtés), suivi de manière marginale par le travail journalier (10%) et la paysannerie (9%). Les autres secteurs (commerce, salariat, travail au foyer, chômage, personnes âgées) représentent chacun seulement 1% de l'échantillon.</w:t>
      </w:r>
    </w:p>
    <w:p w:rsidR="005C014D" w:rsidRPr="002462E6" w:rsidRDefault="005C014D" w:rsidP="005C014D">
      <w:pPr>
        <w:spacing w:before="100" w:beforeAutospacing="1" w:after="100" w:afterAutospacing="1" w:line="360" w:lineRule="auto"/>
        <w:jc w:val="both"/>
        <w:rPr>
          <w:rFonts w:ascii="Tahoma" w:eastAsia="Times New Roman" w:hAnsi="Tahoma" w:cs="Tahoma"/>
          <w:sz w:val="24"/>
          <w:szCs w:val="24"/>
          <w:lang w:eastAsia="fr-FR"/>
        </w:rPr>
      </w:pPr>
      <w:r w:rsidRPr="002462E6">
        <w:rPr>
          <w:rFonts w:ascii="Tahoma" w:eastAsia="Times New Roman" w:hAnsi="Tahoma" w:cs="Tahoma"/>
          <w:sz w:val="24"/>
          <w:szCs w:val="24"/>
          <w:lang w:eastAsia="fr-FR"/>
        </w:rPr>
        <w:t>La dominance de l'élevage (77%) dans la structure économique de la forêt de Korifla s'explique par plusieurs facteurs convergents : l'adaptation écologique  de l'élevage extensif aux écosystèmes forestiers et aux parcours naturels, les faibles barrières à l'entrée qui rendent cette activité accessible avec un capital initial limité, la transmission intergénérationnelle des savoir-faire traditionnels de génération en génération, ainsi qu'une résilience climatique relative qui la rend moins vulnérable aux aléas que l'agriculture intensive. Cependant, cette spécialisation présente des limites structurelles majeures qui compromettent sa viabilité économique : la faible valeur ajoutée générée par l'élevage extensif qui produit des revenus modestes par unité de travail, une vulnérabilité persistante aux chocs externes tels que les sécheresses, les maladies animales et les fluctuations des prix, le risque de dégradation environnementale par surpâturage dans un contexte forestier fragile, et une intégration limitée aux marchés formels avec des circuits de commercialisation souvent informels et peu rémunérateurs. Cette concentration sur l'élevage explique ainsi en partie les indicateurs de vulnérabilité précédemment observés, car cette activité, bien que culturellement ancrée et écologiquement adaptée, peine à générer des revenus suffisants dans le contexte économique actuel, illustrant le paradoxe d'une économie locale fonctionnellement cohérente mais économiquement précaire.</w:t>
      </w:r>
    </w:p>
    <w:p w:rsidR="005C014D" w:rsidRPr="00EE28C5" w:rsidRDefault="005C014D" w:rsidP="005C014D">
      <w:pPr>
        <w:spacing w:before="100" w:beforeAutospacing="1" w:after="100" w:afterAutospacing="1" w:line="360" w:lineRule="auto"/>
        <w:jc w:val="both"/>
        <w:rPr>
          <w:rFonts w:ascii="Tahoma" w:eastAsia="Times New Roman" w:hAnsi="Tahoma" w:cs="Tahoma"/>
          <w:sz w:val="28"/>
          <w:szCs w:val="28"/>
          <w:lang w:eastAsia="fr-FR"/>
        </w:rPr>
      </w:pPr>
      <w:r w:rsidRPr="00EE28C5">
        <w:rPr>
          <w:rFonts w:ascii="Tahoma" w:eastAsia="Times New Roman" w:hAnsi="Tahoma" w:cs="Tahoma"/>
          <w:sz w:val="24"/>
          <w:szCs w:val="24"/>
          <w:lang w:eastAsia="fr-FR"/>
        </w:rPr>
        <w:t xml:space="preserve">Parallèlement à l'activité d'élevage, les données empiriques révèlent l'existence d'activités économiques secondaires exercées par les enquêtés (cf. </w:t>
      </w:r>
      <w:r w:rsidR="00EE28C5">
        <w:rPr>
          <w:rFonts w:ascii="Tahoma" w:eastAsia="Times New Roman" w:hAnsi="Tahoma" w:cs="Tahoma"/>
          <w:b/>
          <w:bCs/>
          <w:sz w:val="24"/>
          <w:szCs w:val="24"/>
          <w:lang w:eastAsia="fr-FR"/>
        </w:rPr>
        <w:t>graph</w:t>
      </w:r>
      <w:r w:rsidRPr="00EE28C5">
        <w:rPr>
          <w:rFonts w:ascii="Tahoma" w:eastAsia="Times New Roman" w:hAnsi="Tahoma" w:cs="Tahoma"/>
          <w:b/>
          <w:bCs/>
          <w:sz w:val="24"/>
          <w:szCs w:val="24"/>
          <w:lang w:eastAsia="fr-FR"/>
        </w:rPr>
        <w:t>e n°19</w:t>
      </w:r>
      <w:r w:rsidRPr="00EE28C5">
        <w:rPr>
          <w:rFonts w:ascii="Tahoma" w:eastAsia="Times New Roman" w:hAnsi="Tahoma" w:cs="Tahoma"/>
          <w:sz w:val="24"/>
          <w:szCs w:val="24"/>
          <w:lang w:eastAsia="fr-FR"/>
        </w:rPr>
        <w:t>).</w:t>
      </w:r>
    </w:p>
    <w:p w:rsidR="00A2662C" w:rsidRDefault="00A2662C" w:rsidP="00A2662C">
      <w:pPr>
        <w:pStyle w:val="Sous-titre"/>
      </w:pPr>
      <w:bookmarkStart w:id="460" w:name="_Toc203642553"/>
      <w:r>
        <w:t xml:space="preserve">Graphe </w:t>
      </w:r>
      <w:r w:rsidR="00225ED1">
        <w:rPr>
          <w:noProof/>
        </w:rPr>
        <w:fldChar w:fldCharType="begin"/>
      </w:r>
      <w:r w:rsidR="00225ED1">
        <w:rPr>
          <w:noProof/>
        </w:rPr>
        <w:instrText xml:space="preserve"> SEQ Graphe \* ARABIC </w:instrText>
      </w:r>
      <w:r w:rsidR="00225ED1">
        <w:rPr>
          <w:noProof/>
        </w:rPr>
        <w:fldChar w:fldCharType="separate"/>
      </w:r>
      <w:r w:rsidR="00124AFB">
        <w:rPr>
          <w:noProof/>
        </w:rPr>
        <w:t>21</w:t>
      </w:r>
      <w:r w:rsidR="00225ED1">
        <w:rPr>
          <w:noProof/>
        </w:rPr>
        <w:fldChar w:fldCharType="end"/>
      </w:r>
      <w:r>
        <w:t xml:space="preserve"> </w:t>
      </w:r>
      <w:r w:rsidRPr="00F94CCE">
        <w:t>: Répartition des enquêtés  en % par type d’activité secondaire</w:t>
      </w:r>
      <w:bookmarkEnd w:id="460"/>
    </w:p>
    <w:p w:rsidR="005C014D" w:rsidRPr="002462E6" w:rsidRDefault="005C014D" w:rsidP="005C014D">
      <w:pPr>
        <w:widowControl w:val="0"/>
        <w:tabs>
          <w:tab w:val="left" w:pos="4008"/>
        </w:tabs>
        <w:autoSpaceDE w:val="0"/>
        <w:autoSpaceDN w:val="0"/>
        <w:spacing w:after="0" w:line="240" w:lineRule="auto"/>
        <w:jc w:val="center"/>
        <w:rPr>
          <w:rFonts w:ascii="Times New Roman" w:eastAsia="Times New Roman" w:hAnsi="Times New Roman" w:cs="Times New Roman"/>
        </w:rPr>
      </w:pPr>
      <w:r w:rsidRPr="002462E6">
        <w:rPr>
          <w:rFonts w:ascii="Times New Roman" w:eastAsia="Times New Roman" w:hAnsi="Times New Roman" w:cs="Times New Roman"/>
          <w:noProof/>
          <w:lang w:eastAsia="fr-FR"/>
        </w:rPr>
        <w:drawing>
          <wp:inline distT="0" distB="0" distL="0" distR="0" wp14:anchorId="005164E2" wp14:editId="4D97CFD9">
            <wp:extent cx="5097780" cy="2358390"/>
            <wp:effectExtent l="0" t="0" r="7620" b="3810"/>
            <wp:docPr id="500" name="Graphique 500"/>
            <wp:cNvGraphicFramePr/>
            <a:graphic xmlns:a="http://schemas.openxmlformats.org/drawingml/2006/main">
              <a:graphicData uri="http://schemas.openxmlformats.org/drawingml/2006/chart">
                <c:chart xmlns:c="http://schemas.openxmlformats.org/drawingml/2006/chart" xmlns:r="http://schemas.openxmlformats.org/officeDocument/2006/relationships" r:id="rId62"/>
              </a:graphicData>
            </a:graphic>
          </wp:inline>
        </w:drawing>
      </w:r>
    </w:p>
    <w:p w:rsidR="005C014D" w:rsidRPr="002462E6" w:rsidRDefault="005C014D" w:rsidP="005C014D">
      <w:pPr>
        <w:widowControl w:val="0"/>
        <w:autoSpaceDE w:val="0"/>
        <w:autoSpaceDN w:val="0"/>
        <w:spacing w:after="0" w:line="360" w:lineRule="auto"/>
        <w:rPr>
          <w:rFonts w:ascii="Tahoma" w:eastAsia="Times New Roman" w:hAnsi="Tahoma" w:cs="Tahoma"/>
          <w:sz w:val="20"/>
          <w:szCs w:val="20"/>
          <w:lang w:eastAsia="fr-FR"/>
        </w:rPr>
      </w:pPr>
      <w:r w:rsidRPr="002462E6">
        <w:rPr>
          <w:rFonts w:ascii="Tahoma" w:eastAsia="Times New Roman" w:hAnsi="Tahoma" w:cs="Tahoma"/>
          <w:sz w:val="20"/>
          <w:szCs w:val="20"/>
          <w:lang w:eastAsia="fr-FR"/>
        </w:rPr>
        <w:t xml:space="preserve">        </w:t>
      </w:r>
    </w:p>
    <w:p w:rsidR="005C014D" w:rsidRPr="002462E6" w:rsidRDefault="005C014D" w:rsidP="00A97167">
      <w:pPr>
        <w:widowControl w:val="0"/>
        <w:autoSpaceDE w:val="0"/>
        <w:autoSpaceDN w:val="0"/>
        <w:spacing w:after="0" w:line="360" w:lineRule="auto"/>
        <w:jc w:val="center"/>
        <w:rPr>
          <w:rFonts w:ascii="Tahoma" w:eastAsia="Times New Roman" w:hAnsi="Tahoma" w:cs="Tahoma"/>
          <w:sz w:val="20"/>
          <w:szCs w:val="20"/>
          <w:lang w:eastAsia="fr-FR"/>
        </w:rPr>
      </w:pPr>
      <w:r w:rsidRPr="002462E6">
        <w:rPr>
          <w:rFonts w:ascii="Tahoma" w:eastAsia="Times New Roman" w:hAnsi="Tahoma" w:cs="Tahoma"/>
          <w:b/>
          <w:bCs/>
          <w:sz w:val="20"/>
          <w:szCs w:val="20"/>
          <w:lang w:eastAsia="fr-FR"/>
        </w:rPr>
        <w:t>Source :</w:t>
      </w:r>
      <w:r w:rsidRPr="002462E6">
        <w:rPr>
          <w:rFonts w:ascii="Tahoma" w:eastAsia="Times New Roman" w:hAnsi="Tahoma" w:cs="Tahoma"/>
          <w:sz w:val="20"/>
          <w:szCs w:val="20"/>
          <w:lang w:eastAsia="fr-FR"/>
        </w:rPr>
        <w:t xml:space="preserve"> résultats de l’enquête</w:t>
      </w:r>
    </w:p>
    <w:p w:rsidR="005C014D" w:rsidRPr="002462E6" w:rsidRDefault="005C014D" w:rsidP="005C014D">
      <w:pPr>
        <w:spacing w:before="100" w:beforeAutospacing="1" w:after="100" w:afterAutospacing="1" w:line="360" w:lineRule="auto"/>
        <w:jc w:val="both"/>
        <w:rPr>
          <w:rFonts w:ascii="Tahoma" w:eastAsia="Times New Roman" w:hAnsi="Tahoma" w:cs="Tahoma"/>
          <w:sz w:val="24"/>
          <w:szCs w:val="24"/>
          <w:lang w:eastAsia="fr-FR"/>
        </w:rPr>
      </w:pPr>
      <w:r w:rsidRPr="002462E6">
        <w:rPr>
          <w:rFonts w:ascii="Tahoma" w:eastAsia="Times New Roman" w:hAnsi="Tahoma" w:cs="Tahoma"/>
          <w:sz w:val="24"/>
          <w:szCs w:val="24"/>
          <w:lang w:eastAsia="fr-FR"/>
        </w:rPr>
        <w:t>La répartition des activités secondaires révèle une structure bipolaire marquée par la dominance de l'agriculture paysanne (50%) et l'absence d'activité secondaire avec un taux de 42%. Les autres secteurs demeurent marginaux : élevage (2%), commerce (3%), salariat (2%) et travail journalier (1%).Cette répartition présente une inversion remarquable par rapport aux activités principales :</w:t>
      </w:r>
    </w:p>
    <w:p w:rsidR="005C014D" w:rsidRPr="002462E6" w:rsidRDefault="005C014D" w:rsidP="005C014D">
      <w:pPr>
        <w:spacing w:before="100" w:beforeAutospacing="1" w:after="100" w:afterAutospacing="1" w:line="360" w:lineRule="auto"/>
        <w:rPr>
          <w:rFonts w:ascii="Tahoma" w:eastAsia="Times New Roman" w:hAnsi="Tahoma" w:cs="Tahoma"/>
          <w:sz w:val="24"/>
          <w:szCs w:val="24"/>
          <w:lang w:eastAsia="fr-FR"/>
        </w:rPr>
      </w:pPr>
      <w:r w:rsidRPr="002462E6">
        <w:rPr>
          <w:rFonts w:ascii="Tahoma" w:eastAsia="Times New Roman" w:hAnsi="Tahoma" w:cs="Tahoma"/>
          <w:sz w:val="24"/>
          <w:szCs w:val="24"/>
          <w:lang w:eastAsia="fr-FR"/>
        </w:rPr>
        <w:t>- L'élevage passe de 77% (activité principale) à 2% (activité secondaire)</w:t>
      </w:r>
    </w:p>
    <w:p w:rsidR="005C014D" w:rsidRPr="002462E6" w:rsidRDefault="005C014D" w:rsidP="005C014D">
      <w:pPr>
        <w:spacing w:before="100" w:beforeAutospacing="1" w:after="100" w:afterAutospacing="1" w:line="360" w:lineRule="auto"/>
        <w:rPr>
          <w:rFonts w:ascii="Tahoma" w:eastAsia="Times New Roman" w:hAnsi="Tahoma" w:cs="Tahoma"/>
          <w:sz w:val="24"/>
          <w:szCs w:val="24"/>
          <w:lang w:eastAsia="fr-FR"/>
        </w:rPr>
      </w:pPr>
      <w:r w:rsidRPr="002462E6">
        <w:rPr>
          <w:rFonts w:ascii="Tahoma" w:eastAsia="Times New Roman" w:hAnsi="Tahoma" w:cs="Tahoma"/>
          <w:sz w:val="24"/>
          <w:szCs w:val="24"/>
          <w:lang w:eastAsia="fr-FR"/>
        </w:rPr>
        <w:t>- L'agriculture progresse de 9% à 50%, devenant l'activité secondaire dominante</w:t>
      </w:r>
    </w:p>
    <w:p w:rsidR="005C014D" w:rsidRPr="002462E6" w:rsidRDefault="005C014D" w:rsidP="005C014D">
      <w:pPr>
        <w:spacing w:before="100" w:beforeAutospacing="1" w:after="100" w:afterAutospacing="1" w:line="360" w:lineRule="auto"/>
        <w:rPr>
          <w:rFonts w:ascii="Tahoma" w:eastAsia="Times New Roman" w:hAnsi="Tahoma" w:cs="Tahoma"/>
          <w:sz w:val="24"/>
          <w:szCs w:val="24"/>
          <w:lang w:eastAsia="fr-FR"/>
        </w:rPr>
      </w:pPr>
      <w:r w:rsidRPr="002462E6">
        <w:rPr>
          <w:rFonts w:ascii="Tahoma" w:eastAsia="Times New Roman" w:hAnsi="Tahoma" w:cs="Tahoma"/>
          <w:sz w:val="24"/>
          <w:szCs w:val="24"/>
          <w:lang w:eastAsia="fr-FR"/>
        </w:rPr>
        <w:t>Cette inversion traduit une complémentarité fonctionnelle entre les deux systèmes productifs : l'élevage comme activité de base génératrice de revenus réguliers, et l'agriculture comme complément saisonnier d'appoint. En effet, la prédominance de l'agriculture en activité secondaire illustre une stratégie de complémentarité avec l'élevage :</w:t>
      </w:r>
    </w:p>
    <w:p w:rsidR="005C014D" w:rsidRPr="002462E6" w:rsidRDefault="005C014D" w:rsidP="005C014D">
      <w:pPr>
        <w:spacing w:before="100" w:beforeAutospacing="1" w:after="100" w:afterAutospacing="1" w:line="360" w:lineRule="auto"/>
        <w:jc w:val="both"/>
        <w:rPr>
          <w:rFonts w:ascii="Tahoma" w:eastAsia="Times New Roman" w:hAnsi="Tahoma" w:cs="Tahoma"/>
          <w:sz w:val="24"/>
          <w:szCs w:val="24"/>
          <w:lang w:eastAsia="fr-FR"/>
        </w:rPr>
      </w:pPr>
      <w:r w:rsidRPr="002462E6">
        <w:rPr>
          <w:rFonts w:ascii="Tahoma" w:eastAsia="Times New Roman" w:hAnsi="Tahoma" w:cs="Tahoma"/>
          <w:sz w:val="24"/>
          <w:szCs w:val="24"/>
          <w:lang w:eastAsia="fr-FR"/>
        </w:rPr>
        <w:t xml:space="preserve">Cette structure de </w:t>
      </w:r>
      <w:r w:rsidR="00E22BC1" w:rsidRPr="002462E6">
        <w:rPr>
          <w:rFonts w:ascii="Tahoma" w:eastAsia="Times New Roman" w:hAnsi="Tahoma" w:cs="Tahoma"/>
          <w:sz w:val="24"/>
          <w:szCs w:val="24"/>
          <w:lang w:eastAsia="fr-FR"/>
        </w:rPr>
        <w:t>pluriactivité démontre</w:t>
      </w:r>
      <w:r w:rsidRPr="002462E6">
        <w:rPr>
          <w:rFonts w:ascii="Tahoma" w:eastAsia="Times New Roman" w:hAnsi="Tahoma" w:cs="Tahoma"/>
          <w:sz w:val="24"/>
          <w:szCs w:val="24"/>
          <w:lang w:eastAsia="fr-FR"/>
        </w:rPr>
        <w:t xml:space="preserve"> une économie locale en transition, caractérisée par une complémentarité agropastorale traditionnelle mais limitée dans sa capacité de diversification. L'enjeu principal consiste à réduire l'inactivité secondaire en développant des opportunités économiques adaptées au contexte forestier, tout en renforçant l'intégration entre les activités existantes. Cette diversification contrôlée constitue un levier essentiel pour améliorer les revenus des ménages et réduire leur vulnérabilité économique, dans une logique de développement territorial durable respectueux des équilibres écologiques.</w:t>
      </w:r>
    </w:p>
    <w:p w:rsidR="005C014D" w:rsidRPr="002462E6" w:rsidRDefault="005C014D" w:rsidP="005C014D">
      <w:pPr>
        <w:spacing w:before="100" w:beforeAutospacing="1" w:after="100" w:afterAutospacing="1" w:line="360" w:lineRule="auto"/>
        <w:jc w:val="both"/>
        <w:rPr>
          <w:rFonts w:ascii="Tahoma" w:eastAsia="Times New Roman" w:hAnsi="Tahoma" w:cs="Tahoma"/>
          <w:sz w:val="24"/>
          <w:szCs w:val="24"/>
          <w:lang w:eastAsia="fr-FR"/>
        </w:rPr>
      </w:pPr>
      <w:r w:rsidRPr="002462E6">
        <w:rPr>
          <w:rFonts w:ascii="Tahoma" w:eastAsia="Times New Roman" w:hAnsi="Tahoma" w:cs="Tahoma"/>
          <w:sz w:val="24"/>
          <w:szCs w:val="24"/>
          <w:lang w:eastAsia="fr-FR"/>
        </w:rPr>
        <w:t>Dans ce contexte de fragilité économique structurelle, l'examen des mécanismes de solidarité familiale et des flux financiers externes constitue un indicateur déterminant de la capacité de résilience des ménages (cf.</w:t>
      </w:r>
      <w:r w:rsidR="00A2662C">
        <w:rPr>
          <w:rFonts w:ascii="Tahoma" w:eastAsia="Times New Roman" w:hAnsi="Tahoma" w:cs="Tahoma"/>
          <w:sz w:val="24"/>
          <w:szCs w:val="24"/>
          <w:lang w:eastAsia="fr-FR"/>
        </w:rPr>
        <w:t xml:space="preserve"> </w:t>
      </w:r>
      <w:r w:rsidR="00A2662C">
        <w:rPr>
          <w:rFonts w:ascii="Tahoma" w:eastAsia="Times New Roman" w:hAnsi="Tahoma" w:cs="Tahoma"/>
          <w:b/>
          <w:bCs/>
          <w:sz w:val="24"/>
          <w:szCs w:val="24"/>
          <w:lang w:eastAsia="fr-FR"/>
        </w:rPr>
        <w:t>Graph</w:t>
      </w:r>
      <w:r w:rsidR="00A2662C" w:rsidRPr="00A2662C">
        <w:rPr>
          <w:rFonts w:ascii="Tahoma" w:eastAsia="Times New Roman" w:hAnsi="Tahoma" w:cs="Tahoma"/>
          <w:b/>
          <w:bCs/>
          <w:sz w:val="24"/>
          <w:szCs w:val="24"/>
          <w:lang w:eastAsia="fr-FR"/>
        </w:rPr>
        <w:t>e n°22</w:t>
      </w:r>
      <w:r w:rsidRPr="002462E6">
        <w:rPr>
          <w:rFonts w:ascii="Tahoma" w:eastAsia="Times New Roman" w:hAnsi="Tahoma" w:cs="Tahoma"/>
          <w:sz w:val="24"/>
          <w:szCs w:val="24"/>
          <w:lang w:eastAsia="fr-FR"/>
        </w:rPr>
        <w:t>).</w:t>
      </w:r>
    </w:p>
    <w:p w:rsidR="00A2662C" w:rsidRDefault="00A2662C" w:rsidP="00A2662C">
      <w:pPr>
        <w:pStyle w:val="Sous-titre"/>
      </w:pPr>
      <w:bookmarkStart w:id="461" w:name="_Toc203642554"/>
      <w:r>
        <w:t xml:space="preserve">Graphe </w:t>
      </w:r>
      <w:r w:rsidR="00225ED1">
        <w:rPr>
          <w:noProof/>
        </w:rPr>
        <w:fldChar w:fldCharType="begin"/>
      </w:r>
      <w:r w:rsidR="00225ED1">
        <w:rPr>
          <w:noProof/>
        </w:rPr>
        <w:instrText xml:space="preserve"> SEQ Graphe \* ARABIC </w:instrText>
      </w:r>
      <w:r w:rsidR="00225ED1">
        <w:rPr>
          <w:noProof/>
        </w:rPr>
        <w:fldChar w:fldCharType="separate"/>
      </w:r>
      <w:r w:rsidR="00124AFB">
        <w:rPr>
          <w:noProof/>
        </w:rPr>
        <w:t>22</w:t>
      </w:r>
      <w:r w:rsidR="00225ED1">
        <w:rPr>
          <w:noProof/>
        </w:rPr>
        <w:fldChar w:fldCharType="end"/>
      </w:r>
      <w:r>
        <w:t xml:space="preserve"> </w:t>
      </w:r>
      <w:r w:rsidRPr="009F14FC">
        <w:t>: Répartition des enquêtés  en % par transferts financiers perçus</w:t>
      </w:r>
      <w:bookmarkEnd w:id="461"/>
    </w:p>
    <w:p w:rsidR="005C014D" w:rsidRPr="002462E6" w:rsidRDefault="005C014D" w:rsidP="005C014D">
      <w:pPr>
        <w:widowControl w:val="0"/>
        <w:autoSpaceDE w:val="0"/>
        <w:autoSpaceDN w:val="0"/>
        <w:spacing w:after="0" w:line="240" w:lineRule="auto"/>
        <w:jc w:val="center"/>
        <w:rPr>
          <w:rFonts w:ascii="Times New Roman" w:eastAsia="Times New Roman" w:hAnsi="Times New Roman" w:cs="Times New Roman"/>
        </w:rPr>
      </w:pPr>
      <w:r w:rsidRPr="002462E6">
        <w:rPr>
          <w:rFonts w:ascii="Times New Roman" w:eastAsia="Times New Roman" w:hAnsi="Times New Roman" w:cs="Times New Roman"/>
          <w:noProof/>
          <w:lang w:eastAsia="fr-FR"/>
        </w:rPr>
        <w:drawing>
          <wp:inline distT="0" distB="0" distL="0" distR="0" wp14:anchorId="540D95F1" wp14:editId="283E2C2C">
            <wp:extent cx="5320146" cy="2755076"/>
            <wp:effectExtent l="0" t="0" r="13970" b="26670"/>
            <wp:docPr id="1512970659" name="Graphique 1512970659"/>
            <wp:cNvGraphicFramePr/>
            <a:graphic xmlns:a="http://schemas.openxmlformats.org/drawingml/2006/main">
              <a:graphicData uri="http://schemas.openxmlformats.org/drawingml/2006/chart">
                <c:chart xmlns:c="http://schemas.openxmlformats.org/drawingml/2006/chart" xmlns:r="http://schemas.openxmlformats.org/officeDocument/2006/relationships" r:id="rId63"/>
              </a:graphicData>
            </a:graphic>
          </wp:inline>
        </w:drawing>
      </w:r>
    </w:p>
    <w:p w:rsidR="005C014D" w:rsidRPr="002462E6" w:rsidRDefault="005C014D" w:rsidP="00A97167">
      <w:pPr>
        <w:spacing w:before="100" w:beforeAutospacing="1" w:after="100" w:afterAutospacing="1" w:line="360" w:lineRule="auto"/>
        <w:jc w:val="center"/>
        <w:rPr>
          <w:rFonts w:ascii="Tahoma" w:eastAsia="Times New Roman" w:hAnsi="Tahoma" w:cs="Tahoma"/>
          <w:sz w:val="24"/>
          <w:szCs w:val="24"/>
          <w:lang w:eastAsia="fr-FR"/>
        </w:rPr>
      </w:pPr>
      <w:r w:rsidRPr="002462E6">
        <w:rPr>
          <w:rFonts w:ascii="Tahoma" w:eastAsia="Times New Roman" w:hAnsi="Tahoma" w:cs="Tahoma"/>
          <w:b/>
          <w:bCs/>
          <w:sz w:val="20"/>
          <w:szCs w:val="20"/>
          <w:lang w:eastAsia="fr-FR"/>
        </w:rPr>
        <w:t>Source</w:t>
      </w:r>
      <w:r w:rsidRPr="002462E6">
        <w:rPr>
          <w:rFonts w:ascii="Tahoma" w:eastAsia="Times New Roman" w:hAnsi="Tahoma" w:cs="Tahoma"/>
          <w:sz w:val="20"/>
          <w:szCs w:val="20"/>
          <w:lang w:eastAsia="fr-FR"/>
        </w:rPr>
        <w:t xml:space="preserve"> : résultats de l’enquête</w:t>
      </w:r>
    </w:p>
    <w:p w:rsidR="005C014D" w:rsidRPr="002462E6" w:rsidRDefault="005C014D" w:rsidP="005C014D">
      <w:pPr>
        <w:spacing w:before="100" w:beforeAutospacing="1" w:after="100" w:afterAutospacing="1" w:line="360" w:lineRule="auto"/>
        <w:jc w:val="both"/>
        <w:rPr>
          <w:rFonts w:ascii="Tahoma" w:eastAsia="Times New Roman" w:hAnsi="Tahoma" w:cs="Tahoma"/>
          <w:sz w:val="28"/>
          <w:szCs w:val="28"/>
          <w:lang w:eastAsia="fr-FR"/>
        </w:rPr>
      </w:pPr>
      <w:r w:rsidRPr="002462E6">
        <w:rPr>
          <w:rFonts w:ascii="Tahoma" w:eastAsia="Times New Roman" w:hAnsi="Tahoma" w:cs="Tahoma"/>
          <w:sz w:val="28"/>
          <w:szCs w:val="28"/>
          <w:lang w:eastAsia="fr-FR"/>
        </w:rPr>
        <w:t xml:space="preserve">Le graphique </w:t>
      </w:r>
      <w:r w:rsidRPr="002462E6">
        <w:rPr>
          <w:rFonts w:ascii="Tahoma" w:eastAsia="Times New Roman" w:hAnsi="Tahoma" w:cs="Tahoma"/>
          <w:sz w:val="28"/>
          <w:szCs w:val="28"/>
        </w:rPr>
        <w:t>fait apparaître</w:t>
      </w:r>
      <w:r w:rsidRPr="002462E6">
        <w:rPr>
          <w:rFonts w:ascii="Tahoma" w:eastAsia="Times New Roman" w:hAnsi="Tahoma" w:cs="Tahoma"/>
          <w:sz w:val="28"/>
          <w:szCs w:val="28"/>
          <w:lang w:eastAsia="fr-FR"/>
        </w:rPr>
        <w:t xml:space="preserve"> une exclusion quasi-totale des ménages de la forêt de Korifla des circuits de transferts financiers familiaux, avec 93% de non-bénéficiaires contre seulement 7% de bénéficiaires. </w:t>
      </w:r>
      <w:r w:rsidRPr="002462E6">
        <w:rPr>
          <w:rFonts w:ascii="Tahoma" w:eastAsia="Times New Roman" w:hAnsi="Tahoma" w:cs="Tahoma"/>
          <w:sz w:val="28"/>
          <w:szCs w:val="28"/>
        </w:rPr>
        <w:t>Cette distribution révèle un isolement économique significatif, tel qu'objectivé dans le tableau d'indice synthétique des revenus</w:t>
      </w:r>
      <w:r w:rsidRPr="002462E6">
        <w:rPr>
          <w:rFonts w:ascii="Tahoma" w:eastAsia="Times New Roman" w:hAnsi="Tahoma" w:cs="Tahoma"/>
          <w:sz w:val="28"/>
          <w:szCs w:val="28"/>
          <w:vertAlign w:val="superscript"/>
          <w:lang w:eastAsia="fr-FR"/>
        </w:rPr>
        <w:footnoteReference w:id="908"/>
      </w:r>
      <w:r w:rsidRPr="002462E6">
        <w:rPr>
          <w:rFonts w:ascii="Tahoma" w:eastAsia="Times New Roman" w:hAnsi="Tahoma" w:cs="Tahoma"/>
          <w:sz w:val="28"/>
          <w:szCs w:val="28"/>
          <w:lang w:eastAsia="fr-FR"/>
        </w:rPr>
        <w:t xml:space="preserve"> </w:t>
      </w:r>
      <w:r w:rsidRPr="002462E6">
        <w:rPr>
          <w:rFonts w:ascii="Tahoma" w:eastAsia="Times New Roman" w:hAnsi="Tahoma" w:cs="Tahoma"/>
          <w:sz w:val="28"/>
          <w:szCs w:val="28"/>
        </w:rPr>
        <w:t>et illustré par la cartographie ci-dessous.</w:t>
      </w:r>
    </w:p>
    <w:p w:rsidR="00A97167" w:rsidRPr="002462E6" w:rsidRDefault="005C014D" w:rsidP="005C014D">
      <w:pPr>
        <w:spacing w:before="100" w:beforeAutospacing="1" w:after="100" w:afterAutospacing="1" w:line="360" w:lineRule="auto"/>
        <w:jc w:val="both"/>
        <w:rPr>
          <w:rFonts w:ascii="Tahoma" w:eastAsia="Times New Roman" w:hAnsi="Tahoma" w:cs="Tahoma"/>
          <w:sz w:val="24"/>
          <w:szCs w:val="24"/>
          <w:lang w:eastAsia="fr-FR"/>
        </w:rPr>
      </w:pPr>
      <w:r w:rsidRPr="002462E6">
        <w:rPr>
          <w:rFonts w:ascii="Tahoma" w:eastAsia="Times New Roman" w:hAnsi="Tahoma" w:cs="Tahoma"/>
          <w:sz w:val="24"/>
          <w:szCs w:val="24"/>
          <w:lang w:eastAsia="fr-FR"/>
        </w:rPr>
        <w:t>Cette exclusion massive des transferts financiers familiaux (93%) constitue un handicap structurel majeur pour les ménages de la forêt de Korifla, les privant d'une source de revenus et de résilience essentielle dans l'économie rurale marocaine contemporaine. Cette situation, unique dans le paysage national, témoigne d'une marginalisation économique territoriale qui nécessite des interventions publiques compensatoires urgentes. L'enjeu consiste à rompre l'isolement de ces populations forestières et à créer des mécanismes alternatifs de soutien économique, qu'ils soient publics ou privés, pour réduire leur vulnérabilité et favoriser leur intégration aux dynamiques de développement territorial.</w:t>
      </w:r>
    </w:p>
    <w:p w:rsidR="005C014D" w:rsidRPr="002462E6" w:rsidRDefault="00A97167" w:rsidP="001D52DF">
      <w:pPr>
        <w:rPr>
          <w:rFonts w:ascii="Tahoma" w:eastAsia="Times New Roman" w:hAnsi="Tahoma" w:cs="Tahoma"/>
          <w:sz w:val="24"/>
          <w:szCs w:val="24"/>
          <w:lang w:eastAsia="fr-FR"/>
        </w:rPr>
      </w:pPr>
      <w:r w:rsidRPr="002462E6">
        <w:rPr>
          <w:rFonts w:ascii="Tahoma" w:eastAsia="Times New Roman" w:hAnsi="Tahoma" w:cs="Tahoma"/>
          <w:sz w:val="24"/>
          <w:szCs w:val="24"/>
          <w:lang w:eastAsia="fr-FR"/>
        </w:rPr>
        <w:br w:type="page"/>
      </w:r>
    </w:p>
    <w:p w:rsidR="00FE2565" w:rsidRDefault="001D52DF" w:rsidP="000D57A1">
      <w:pPr>
        <w:pStyle w:val="Sous-titre"/>
      </w:pPr>
      <w:bookmarkStart w:id="462" w:name="_Toc203642511"/>
      <w:r w:rsidRPr="002462E6">
        <w:t xml:space="preserve">Tableau </w:t>
      </w:r>
      <w:r w:rsidR="00225ED1">
        <w:rPr>
          <w:noProof/>
        </w:rPr>
        <w:fldChar w:fldCharType="begin"/>
      </w:r>
      <w:r w:rsidR="00225ED1">
        <w:rPr>
          <w:noProof/>
        </w:rPr>
        <w:instrText xml:space="preserve"> SEQ Tableau \* ARABIC </w:instrText>
      </w:r>
      <w:r w:rsidR="00225ED1">
        <w:rPr>
          <w:noProof/>
        </w:rPr>
        <w:fldChar w:fldCharType="separate"/>
      </w:r>
      <w:r w:rsidR="00124AFB">
        <w:rPr>
          <w:noProof/>
        </w:rPr>
        <w:t>12</w:t>
      </w:r>
      <w:r w:rsidR="00225ED1">
        <w:rPr>
          <w:noProof/>
        </w:rPr>
        <w:fldChar w:fldCharType="end"/>
      </w:r>
      <w:r w:rsidRPr="002462E6">
        <w:t xml:space="preserve"> : indice synthétique des revenus des ménages enquêtés selon la</w:t>
      </w:r>
      <w:bookmarkEnd w:id="462"/>
      <w:r w:rsidRPr="002462E6">
        <w:t xml:space="preserve"> </w:t>
      </w:r>
    </w:p>
    <w:p w:rsidR="001D52DF" w:rsidRPr="002462E6" w:rsidRDefault="001D52DF" w:rsidP="000D57A1">
      <w:pPr>
        <w:pStyle w:val="Sous-titre"/>
      </w:pPr>
      <w:r w:rsidRPr="002462E6">
        <w:t>source</w:t>
      </w:r>
    </w:p>
    <w:tbl>
      <w:tblPr>
        <w:tblW w:w="88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950"/>
        <w:gridCol w:w="1080"/>
        <w:gridCol w:w="2293"/>
        <w:gridCol w:w="676"/>
        <w:gridCol w:w="1181"/>
        <w:gridCol w:w="1045"/>
        <w:gridCol w:w="992"/>
        <w:gridCol w:w="626"/>
      </w:tblGrid>
      <w:tr w:rsidR="005C014D" w:rsidRPr="00FE2565" w:rsidTr="001B5FFC">
        <w:trPr>
          <w:trHeight w:val="397"/>
        </w:trPr>
        <w:tc>
          <w:tcPr>
            <w:tcW w:w="950" w:type="dxa"/>
            <w:shd w:val="clear" w:color="auto" w:fill="auto"/>
            <w:noWrap/>
            <w:vAlign w:val="bottom"/>
            <w:hideMark/>
          </w:tcPr>
          <w:p w:rsidR="005C014D" w:rsidRPr="00FE2565" w:rsidRDefault="005C014D" w:rsidP="005C014D">
            <w:pPr>
              <w:widowControl w:val="0"/>
              <w:autoSpaceDE w:val="0"/>
              <w:autoSpaceDN w:val="0"/>
              <w:spacing w:after="0" w:line="240" w:lineRule="auto"/>
              <w:rPr>
                <w:rFonts w:ascii="Tahoma" w:eastAsia="Times New Roman" w:hAnsi="Tahoma" w:cs="Tahoma"/>
                <w:b/>
                <w:bCs/>
                <w:color w:val="000000"/>
                <w:sz w:val="24"/>
                <w:szCs w:val="24"/>
                <w:lang w:eastAsia="fr-FR"/>
              </w:rPr>
            </w:pPr>
            <w:r w:rsidRPr="00FE2565">
              <w:rPr>
                <w:rFonts w:ascii="Tahoma" w:eastAsia="Times New Roman" w:hAnsi="Tahoma" w:cs="Tahoma"/>
                <w:b/>
                <w:bCs/>
                <w:color w:val="000000"/>
                <w:sz w:val="24"/>
                <w:szCs w:val="24"/>
                <w:lang w:eastAsia="fr-FR"/>
              </w:rPr>
              <w:t>Province</w:t>
            </w:r>
          </w:p>
        </w:tc>
        <w:tc>
          <w:tcPr>
            <w:tcW w:w="1080" w:type="dxa"/>
            <w:shd w:val="clear" w:color="auto" w:fill="auto"/>
            <w:noWrap/>
            <w:vAlign w:val="bottom"/>
            <w:hideMark/>
          </w:tcPr>
          <w:p w:rsidR="005C014D" w:rsidRPr="00FE2565" w:rsidRDefault="005C014D" w:rsidP="005C014D">
            <w:pPr>
              <w:widowControl w:val="0"/>
              <w:autoSpaceDE w:val="0"/>
              <w:autoSpaceDN w:val="0"/>
              <w:spacing w:after="0" w:line="240" w:lineRule="auto"/>
              <w:rPr>
                <w:rFonts w:ascii="Tahoma" w:eastAsia="Times New Roman" w:hAnsi="Tahoma" w:cs="Tahoma"/>
                <w:b/>
                <w:bCs/>
                <w:color w:val="000000"/>
                <w:sz w:val="24"/>
                <w:szCs w:val="24"/>
                <w:lang w:eastAsia="fr-FR"/>
              </w:rPr>
            </w:pPr>
            <w:r w:rsidRPr="00FE2565">
              <w:rPr>
                <w:rFonts w:ascii="Tahoma" w:eastAsia="Times New Roman" w:hAnsi="Tahoma" w:cs="Tahoma"/>
                <w:b/>
                <w:bCs/>
                <w:color w:val="000000"/>
                <w:sz w:val="24"/>
                <w:szCs w:val="24"/>
                <w:lang w:eastAsia="fr-FR"/>
              </w:rPr>
              <w:t>Commune</w:t>
            </w:r>
          </w:p>
        </w:tc>
        <w:tc>
          <w:tcPr>
            <w:tcW w:w="2293" w:type="dxa"/>
            <w:shd w:val="clear" w:color="auto" w:fill="auto"/>
            <w:noWrap/>
            <w:vAlign w:val="bottom"/>
            <w:hideMark/>
          </w:tcPr>
          <w:p w:rsidR="005C014D" w:rsidRPr="00FE2565" w:rsidRDefault="005C014D" w:rsidP="005C014D">
            <w:pPr>
              <w:widowControl w:val="0"/>
              <w:autoSpaceDE w:val="0"/>
              <w:autoSpaceDN w:val="0"/>
              <w:spacing w:after="0" w:line="240" w:lineRule="auto"/>
              <w:rPr>
                <w:rFonts w:ascii="Tahoma" w:eastAsia="Times New Roman" w:hAnsi="Tahoma" w:cs="Tahoma"/>
                <w:b/>
                <w:bCs/>
                <w:color w:val="000000"/>
                <w:sz w:val="24"/>
                <w:szCs w:val="24"/>
                <w:lang w:eastAsia="fr-FR"/>
              </w:rPr>
            </w:pPr>
            <w:r w:rsidRPr="00FE2565">
              <w:rPr>
                <w:rFonts w:ascii="Tahoma" w:eastAsia="Times New Roman" w:hAnsi="Tahoma" w:cs="Tahoma"/>
                <w:b/>
                <w:bCs/>
                <w:color w:val="000000"/>
                <w:sz w:val="24"/>
                <w:szCs w:val="24"/>
                <w:lang w:eastAsia="fr-FR"/>
              </w:rPr>
              <w:t>Douar</w:t>
            </w:r>
          </w:p>
        </w:tc>
        <w:tc>
          <w:tcPr>
            <w:tcW w:w="676" w:type="dxa"/>
            <w:shd w:val="clear" w:color="000000" w:fill="FFCCCC"/>
            <w:vAlign w:val="bottom"/>
            <w:hideMark/>
          </w:tcPr>
          <w:p w:rsidR="005C014D" w:rsidRPr="00FE2565" w:rsidRDefault="005C014D" w:rsidP="005C014D">
            <w:pPr>
              <w:widowControl w:val="0"/>
              <w:autoSpaceDE w:val="0"/>
              <w:autoSpaceDN w:val="0"/>
              <w:spacing w:after="0" w:line="240" w:lineRule="auto"/>
              <w:jc w:val="center"/>
              <w:rPr>
                <w:rFonts w:ascii="Tahoma" w:eastAsia="Times New Roman" w:hAnsi="Tahoma" w:cs="Tahoma"/>
                <w:color w:val="000000"/>
                <w:sz w:val="24"/>
                <w:szCs w:val="24"/>
                <w:lang w:eastAsia="fr-FR"/>
              </w:rPr>
            </w:pPr>
            <w:r w:rsidRPr="00FE2565">
              <w:rPr>
                <w:rFonts w:ascii="Tahoma" w:eastAsia="Times New Roman" w:hAnsi="Tahoma" w:cs="Tahoma"/>
                <w:color w:val="000000"/>
                <w:sz w:val="24"/>
                <w:szCs w:val="24"/>
                <w:lang w:eastAsia="fr-FR"/>
              </w:rPr>
              <w:t>InActivitéPrin</w:t>
            </w:r>
          </w:p>
        </w:tc>
        <w:tc>
          <w:tcPr>
            <w:tcW w:w="1181" w:type="dxa"/>
            <w:shd w:val="clear" w:color="000000" w:fill="FFCCCC"/>
            <w:vAlign w:val="bottom"/>
            <w:hideMark/>
          </w:tcPr>
          <w:p w:rsidR="005C014D" w:rsidRPr="00FE2565" w:rsidRDefault="005C014D" w:rsidP="005C014D">
            <w:pPr>
              <w:widowControl w:val="0"/>
              <w:autoSpaceDE w:val="0"/>
              <w:autoSpaceDN w:val="0"/>
              <w:spacing w:after="0" w:line="240" w:lineRule="auto"/>
              <w:jc w:val="center"/>
              <w:rPr>
                <w:rFonts w:ascii="Tahoma" w:eastAsia="Times New Roman" w:hAnsi="Tahoma" w:cs="Tahoma"/>
                <w:color w:val="000000"/>
                <w:sz w:val="24"/>
                <w:szCs w:val="24"/>
                <w:lang w:eastAsia="fr-FR"/>
              </w:rPr>
            </w:pPr>
            <w:r w:rsidRPr="00FE2565">
              <w:rPr>
                <w:rFonts w:ascii="Tahoma" w:eastAsia="Times New Roman" w:hAnsi="Tahoma" w:cs="Tahoma"/>
                <w:color w:val="000000"/>
                <w:sz w:val="24"/>
                <w:szCs w:val="24"/>
                <w:lang w:eastAsia="fr-FR"/>
              </w:rPr>
              <w:t>InActivitéSec</w:t>
            </w:r>
          </w:p>
        </w:tc>
        <w:tc>
          <w:tcPr>
            <w:tcW w:w="1045" w:type="dxa"/>
            <w:shd w:val="clear" w:color="000000" w:fill="FFCCCC"/>
            <w:vAlign w:val="center"/>
            <w:hideMark/>
          </w:tcPr>
          <w:p w:rsidR="005C014D" w:rsidRPr="00FE2565" w:rsidRDefault="005C014D" w:rsidP="005C014D">
            <w:pPr>
              <w:widowControl w:val="0"/>
              <w:autoSpaceDE w:val="0"/>
              <w:autoSpaceDN w:val="0"/>
              <w:spacing w:after="0" w:line="240" w:lineRule="auto"/>
              <w:jc w:val="center"/>
              <w:rPr>
                <w:rFonts w:ascii="Tahoma" w:eastAsia="Times New Roman" w:hAnsi="Tahoma" w:cs="Tahoma"/>
                <w:color w:val="000000"/>
                <w:sz w:val="24"/>
                <w:szCs w:val="24"/>
                <w:lang w:eastAsia="fr-FR"/>
              </w:rPr>
            </w:pPr>
            <w:r w:rsidRPr="00FE2565">
              <w:rPr>
                <w:rFonts w:ascii="Tahoma" w:eastAsia="Times New Roman" w:hAnsi="Tahoma" w:cs="Tahoma"/>
                <w:color w:val="000000"/>
                <w:sz w:val="24"/>
                <w:szCs w:val="24"/>
                <w:lang w:eastAsia="fr-FR"/>
              </w:rPr>
              <w:t>Moins de 1860 Dh</w:t>
            </w:r>
          </w:p>
        </w:tc>
        <w:tc>
          <w:tcPr>
            <w:tcW w:w="992" w:type="dxa"/>
            <w:shd w:val="clear" w:color="000000" w:fill="FFCCCC"/>
            <w:vAlign w:val="center"/>
            <w:hideMark/>
          </w:tcPr>
          <w:p w:rsidR="005C014D" w:rsidRPr="00FE2565" w:rsidRDefault="005C014D" w:rsidP="005C014D">
            <w:pPr>
              <w:widowControl w:val="0"/>
              <w:autoSpaceDE w:val="0"/>
              <w:autoSpaceDN w:val="0"/>
              <w:spacing w:after="0" w:line="240" w:lineRule="auto"/>
              <w:jc w:val="center"/>
              <w:rPr>
                <w:rFonts w:ascii="Tahoma" w:eastAsia="Times New Roman" w:hAnsi="Tahoma" w:cs="Tahoma"/>
                <w:color w:val="000000"/>
                <w:sz w:val="24"/>
                <w:szCs w:val="24"/>
                <w:lang w:eastAsia="fr-FR"/>
              </w:rPr>
            </w:pPr>
            <w:r w:rsidRPr="00FE2565">
              <w:rPr>
                <w:rFonts w:ascii="Tahoma" w:eastAsia="Times New Roman" w:hAnsi="Tahoma" w:cs="Tahoma"/>
                <w:color w:val="000000"/>
                <w:sz w:val="24"/>
                <w:szCs w:val="24"/>
                <w:lang w:eastAsia="fr-FR"/>
              </w:rPr>
              <w:t>NonTransferts financiers</w:t>
            </w:r>
          </w:p>
        </w:tc>
        <w:tc>
          <w:tcPr>
            <w:tcW w:w="626" w:type="dxa"/>
            <w:shd w:val="clear" w:color="000000" w:fill="FFCCCC"/>
            <w:vAlign w:val="center"/>
            <w:hideMark/>
          </w:tcPr>
          <w:p w:rsidR="005C014D" w:rsidRPr="00FE2565" w:rsidRDefault="005C014D" w:rsidP="005C014D">
            <w:pPr>
              <w:widowControl w:val="0"/>
              <w:autoSpaceDE w:val="0"/>
              <w:autoSpaceDN w:val="0"/>
              <w:spacing w:after="0" w:line="240" w:lineRule="auto"/>
              <w:jc w:val="center"/>
              <w:rPr>
                <w:rFonts w:ascii="Tahoma" w:eastAsia="Times New Roman" w:hAnsi="Tahoma" w:cs="Tahoma"/>
                <w:color w:val="000000"/>
                <w:sz w:val="24"/>
                <w:szCs w:val="24"/>
                <w:lang w:eastAsia="fr-FR"/>
              </w:rPr>
            </w:pPr>
            <w:r w:rsidRPr="00FE2565">
              <w:rPr>
                <w:rFonts w:ascii="Tahoma" w:eastAsia="Times New Roman" w:hAnsi="Tahoma" w:cs="Tahoma"/>
                <w:color w:val="000000"/>
                <w:sz w:val="24"/>
                <w:szCs w:val="24"/>
                <w:lang w:eastAsia="fr-FR"/>
              </w:rPr>
              <w:t>Revenu en%</w:t>
            </w:r>
          </w:p>
        </w:tc>
      </w:tr>
      <w:tr w:rsidR="005C014D" w:rsidRPr="00FE2565" w:rsidTr="001B5FFC">
        <w:trPr>
          <w:trHeight w:val="251"/>
        </w:trPr>
        <w:tc>
          <w:tcPr>
            <w:tcW w:w="950" w:type="dxa"/>
            <w:vMerge w:val="restart"/>
            <w:shd w:val="clear" w:color="auto" w:fill="auto"/>
            <w:vAlign w:val="center"/>
            <w:hideMark/>
          </w:tcPr>
          <w:p w:rsidR="005C014D" w:rsidRPr="00FE2565" w:rsidRDefault="005C014D" w:rsidP="005C014D">
            <w:pPr>
              <w:widowControl w:val="0"/>
              <w:autoSpaceDE w:val="0"/>
              <w:autoSpaceDN w:val="0"/>
              <w:spacing w:after="0" w:line="240" w:lineRule="auto"/>
              <w:jc w:val="center"/>
              <w:rPr>
                <w:rFonts w:ascii="Arial" w:eastAsia="Times New Roman" w:hAnsi="Arial" w:cs="Arial"/>
                <w:b/>
                <w:bCs/>
                <w:color w:val="000000"/>
                <w:sz w:val="24"/>
                <w:szCs w:val="24"/>
                <w:lang w:eastAsia="fr-FR"/>
              </w:rPr>
            </w:pPr>
            <w:r w:rsidRPr="00FE2565">
              <w:rPr>
                <w:rFonts w:ascii="Arial" w:eastAsia="Times New Roman" w:hAnsi="Arial" w:cs="Arial"/>
                <w:b/>
                <w:bCs/>
                <w:color w:val="000000"/>
                <w:sz w:val="24"/>
                <w:szCs w:val="24"/>
                <w:lang w:eastAsia="fr-FR"/>
              </w:rPr>
              <w:t xml:space="preserve">Skhirate-Temara </w:t>
            </w:r>
          </w:p>
        </w:tc>
        <w:tc>
          <w:tcPr>
            <w:tcW w:w="1080" w:type="dxa"/>
            <w:shd w:val="clear" w:color="000000" w:fill="FFFFFF"/>
            <w:noWrap/>
            <w:vAlign w:val="center"/>
            <w:hideMark/>
          </w:tcPr>
          <w:p w:rsidR="005C014D" w:rsidRPr="00FE2565" w:rsidRDefault="005C014D" w:rsidP="005C014D">
            <w:pPr>
              <w:widowControl w:val="0"/>
              <w:autoSpaceDE w:val="0"/>
              <w:autoSpaceDN w:val="0"/>
              <w:spacing w:after="0" w:line="240" w:lineRule="auto"/>
              <w:jc w:val="center"/>
              <w:rPr>
                <w:rFonts w:ascii="Arial" w:eastAsia="Times New Roman" w:hAnsi="Arial" w:cs="Arial"/>
                <w:color w:val="000000"/>
                <w:sz w:val="24"/>
                <w:szCs w:val="24"/>
                <w:lang w:eastAsia="fr-FR"/>
              </w:rPr>
            </w:pPr>
            <w:r w:rsidRPr="00FE2565">
              <w:rPr>
                <w:rFonts w:ascii="Arial" w:eastAsia="Times New Roman" w:hAnsi="Arial" w:cs="Arial"/>
                <w:color w:val="000000"/>
                <w:sz w:val="24"/>
                <w:szCs w:val="24"/>
                <w:lang w:eastAsia="fr-FR"/>
              </w:rPr>
              <w:t>Oum Azza</w:t>
            </w:r>
          </w:p>
        </w:tc>
        <w:tc>
          <w:tcPr>
            <w:tcW w:w="2293" w:type="dxa"/>
            <w:shd w:val="clear" w:color="000000" w:fill="FFFFFF"/>
            <w:noWrap/>
            <w:vAlign w:val="center"/>
            <w:hideMark/>
          </w:tcPr>
          <w:p w:rsidR="005C014D" w:rsidRPr="00FE2565" w:rsidRDefault="005C014D" w:rsidP="005C014D">
            <w:pPr>
              <w:widowControl w:val="0"/>
              <w:autoSpaceDE w:val="0"/>
              <w:autoSpaceDN w:val="0"/>
              <w:spacing w:after="0" w:line="240" w:lineRule="auto"/>
              <w:rPr>
                <w:rFonts w:ascii="Arial" w:eastAsia="Times New Roman" w:hAnsi="Arial" w:cs="Arial"/>
                <w:color w:val="000000"/>
                <w:sz w:val="24"/>
                <w:szCs w:val="24"/>
                <w:lang w:eastAsia="fr-FR"/>
              </w:rPr>
            </w:pPr>
            <w:r w:rsidRPr="00FE2565">
              <w:rPr>
                <w:rFonts w:ascii="Arial" w:eastAsia="Times New Roman" w:hAnsi="Arial" w:cs="Arial"/>
                <w:color w:val="000000"/>
                <w:sz w:val="24"/>
                <w:szCs w:val="24"/>
                <w:lang w:eastAsia="fr-FR"/>
              </w:rPr>
              <w:t>Oulad Marzoug</w:t>
            </w:r>
          </w:p>
        </w:tc>
        <w:tc>
          <w:tcPr>
            <w:tcW w:w="676" w:type="dxa"/>
            <w:shd w:val="clear" w:color="000000" w:fill="F4F46C"/>
            <w:noWrap/>
            <w:hideMark/>
          </w:tcPr>
          <w:p w:rsidR="005C014D" w:rsidRPr="00FE2565" w:rsidRDefault="005C014D" w:rsidP="005C014D">
            <w:pPr>
              <w:widowControl w:val="0"/>
              <w:autoSpaceDE w:val="0"/>
              <w:autoSpaceDN w:val="0"/>
              <w:spacing w:after="0" w:line="240" w:lineRule="auto"/>
              <w:jc w:val="right"/>
              <w:rPr>
                <w:rFonts w:ascii="Arial" w:eastAsia="Times New Roman" w:hAnsi="Arial" w:cs="Arial"/>
                <w:color w:val="000000"/>
                <w:sz w:val="24"/>
                <w:szCs w:val="24"/>
                <w:lang w:eastAsia="fr-FR"/>
              </w:rPr>
            </w:pPr>
            <w:r w:rsidRPr="00FE2565">
              <w:rPr>
                <w:rFonts w:ascii="Arial" w:eastAsia="Times New Roman" w:hAnsi="Arial" w:cs="Arial"/>
                <w:color w:val="000000"/>
                <w:sz w:val="24"/>
                <w:szCs w:val="24"/>
                <w:lang w:eastAsia="fr-FR"/>
              </w:rPr>
              <w:t>20%</w:t>
            </w:r>
          </w:p>
        </w:tc>
        <w:tc>
          <w:tcPr>
            <w:tcW w:w="1181" w:type="dxa"/>
            <w:shd w:val="clear" w:color="000000" w:fill="FFC000"/>
            <w:noWrap/>
            <w:hideMark/>
          </w:tcPr>
          <w:p w:rsidR="005C014D" w:rsidRPr="00FE2565" w:rsidRDefault="005C014D" w:rsidP="005C014D">
            <w:pPr>
              <w:widowControl w:val="0"/>
              <w:autoSpaceDE w:val="0"/>
              <w:autoSpaceDN w:val="0"/>
              <w:spacing w:after="0" w:line="240" w:lineRule="auto"/>
              <w:jc w:val="right"/>
              <w:rPr>
                <w:rFonts w:ascii="Arial" w:eastAsia="Times New Roman" w:hAnsi="Arial" w:cs="Arial"/>
                <w:color w:val="000000"/>
                <w:sz w:val="24"/>
                <w:szCs w:val="24"/>
                <w:lang w:eastAsia="fr-FR"/>
              </w:rPr>
            </w:pPr>
            <w:r w:rsidRPr="00FE2565">
              <w:rPr>
                <w:rFonts w:ascii="Arial" w:eastAsia="Times New Roman" w:hAnsi="Arial" w:cs="Arial"/>
                <w:color w:val="000000"/>
                <w:sz w:val="24"/>
                <w:szCs w:val="24"/>
                <w:lang w:eastAsia="fr-FR"/>
              </w:rPr>
              <w:t>60%</w:t>
            </w:r>
          </w:p>
        </w:tc>
        <w:tc>
          <w:tcPr>
            <w:tcW w:w="1045" w:type="dxa"/>
            <w:shd w:val="clear" w:color="000000" w:fill="FFC000"/>
            <w:noWrap/>
            <w:hideMark/>
          </w:tcPr>
          <w:p w:rsidR="005C014D" w:rsidRPr="00FE2565" w:rsidRDefault="005C014D" w:rsidP="005C014D">
            <w:pPr>
              <w:widowControl w:val="0"/>
              <w:autoSpaceDE w:val="0"/>
              <w:autoSpaceDN w:val="0"/>
              <w:spacing w:after="0" w:line="240" w:lineRule="auto"/>
              <w:jc w:val="right"/>
              <w:rPr>
                <w:rFonts w:ascii="Arial" w:eastAsia="Times New Roman" w:hAnsi="Arial" w:cs="Arial"/>
                <w:color w:val="000000"/>
                <w:sz w:val="24"/>
                <w:szCs w:val="24"/>
                <w:lang w:eastAsia="fr-FR"/>
              </w:rPr>
            </w:pPr>
            <w:r w:rsidRPr="00FE2565">
              <w:rPr>
                <w:rFonts w:ascii="Arial" w:eastAsia="Times New Roman" w:hAnsi="Arial" w:cs="Arial"/>
                <w:color w:val="000000"/>
                <w:sz w:val="24"/>
                <w:szCs w:val="24"/>
                <w:lang w:eastAsia="fr-FR"/>
              </w:rPr>
              <w:t>60%</w:t>
            </w:r>
          </w:p>
        </w:tc>
        <w:tc>
          <w:tcPr>
            <w:tcW w:w="992" w:type="dxa"/>
            <w:shd w:val="clear" w:color="000000" w:fill="D34B07"/>
            <w:noWrap/>
            <w:hideMark/>
          </w:tcPr>
          <w:p w:rsidR="005C014D" w:rsidRPr="00FE2565" w:rsidRDefault="005C014D" w:rsidP="005C014D">
            <w:pPr>
              <w:widowControl w:val="0"/>
              <w:autoSpaceDE w:val="0"/>
              <w:autoSpaceDN w:val="0"/>
              <w:spacing w:after="0" w:line="240" w:lineRule="auto"/>
              <w:jc w:val="right"/>
              <w:rPr>
                <w:rFonts w:ascii="Arial" w:eastAsia="Times New Roman" w:hAnsi="Arial" w:cs="Arial"/>
                <w:color w:val="000000"/>
                <w:sz w:val="24"/>
                <w:szCs w:val="24"/>
                <w:lang w:eastAsia="fr-FR"/>
              </w:rPr>
            </w:pPr>
            <w:r w:rsidRPr="00FE2565">
              <w:rPr>
                <w:rFonts w:ascii="Arial" w:eastAsia="Times New Roman" w:hAnsi="Arial" w:cs="Arial"/>
                <w:color w:val="000000"/>
                <w:sz w:val="24"/>
                <w:szCs w:val="24"/>
                <w:lang w:eastAsia="fr-FR"/>
              </w:rPr>
              <w:t>100%</w:t>
            </w:r>
          </w:p>
        </w:tc>
        <w:tc>
          <w:tcPr>
            <w:tcW w:w="626" w:type="dxa"/>
            <w:shd w:val="clear" w:color="000000" w:fill="FFC000"/>
            <w:noWrap/>
            <w:hideMark/>
          </w:tcPr>
          <w:p w:rsidR="005C014D" w:rsidRPr="00FE2565" w:rsidRDefault="005C014D" w:rsidP="005C014D">
            <w:pPr>
              <w:widowControl w:val="0"/>
              <w:autoSpaceDE w:val="0"/>
              <w:autoSpaceDN w:val="0"/>
              <w:spacing w:after="0" w:line="240" w:lineRule="auto"/>
              <w:jc w:val="right"/>
              <w:rPr>
                <w:rFonts w:ascii="Arial" w:eastAsia="Times New Roman" w:hAnsi="Arial" w:cs="Arial"/>
                <w:color w:val="000000"/>
                <w:sz w:val="24"/>
                <w:szCs w:val="24"/>
                <w:lang w:eastAsia="fr-FR"/>
              </w:rPr>
            </w:pPr>
            <w:r w:rsidRPr="00FE2565">
              <w:rPr>
                <w:rFonts w:ascii="Arial" w:eastAsia="Times New Roman" w:hAnsi="Arial" w:cs="Arial"/>
                <w:color w:val="000000"/>
                <w:sz w:val="24"/>
                <w:szCs w:val="24"/>
                <w:lang w:eastAsia="fr-FR"/>
              </w:rPr>
              <w:t>60%</w:t>
            </w:r>
          </w:p>
        </w:tc>
      </w:tr>
      <w:tr w:rsidR="005C014D" w:rsidRPr="00FE2565" w:rsidTr="001B5FFC">
        <w:trPr>
          <w:trHeight w:val="251"/>
        </w:trPr>
        <w:tc>
          <w:tcPr>
            <w:tcW w:w="950" w:type="dxa"/>
            <w:vMerge/>
            <w:vAlign w:val="center"/>
            <w:hideMark/>
          </w:tcPr>
          <w:p w:rsidR="005C014D" w:rsidRPr="00FE2565" w:rsidRDefault="005C014D" w:rsidP="005C014D">
            <w:pPr>
              <w:widowControl w:val="0"/>
              <w:autoSpaceDE w:val="0"/>
              <w:autoSpaceDN w:val="0"/>
              <w:spacing w:after="0" w:line="240" w:lineRule="auto"/>
              <w:rPr>
                <w:rFonts w:ascii="Arial" w:eastAsia="Times New Roman" w:hAnsi="Arial" w:cs="Arial"/>
                <w:b/>
                <w:bCs/>
                <w:color w:val="000000"/>
                <w:sz w:val="24"/>
                <w:szCs w:val="24"/>
                <w:lang w:eastAsia="fr-FR"/>
              </w:rPr>
            </w:pPr>
          </w:p>
        </w:tc>
        <w:tc>
          <w:tcPr>
            <w:tcW w:w="1080" w:type="dxa"/>
            <w:vMerge w:val="restart"/>
            <w:shd w:val="clear" w:color="auto" w:fill="auto"/>
            <w:vAlign w:val="center"/>
            <w:hideMark/>
          </w:tcPr>
          <w:p w:rsidR="005C014D" w:rsidRPr="00FE2565" w:rsidRDefault="005C014D" w:rsidP="005C014D">
            <w:pPr>
              <w:widowControl w:val="0"/>
              <w:autoSpaceDE w:val="0"/>
              <w:autoSpaceDN w:val="0"/>
              <w:spacing w:after="0" w:line="240" w:lineRule="auto"/>
              <w:jc w:val="center"/>
              <w:rPr>
                <w:rFonts w:ascii="Arial" w:eastAsia="Times New Roman" w:hAnsi="Arial" w:cs="Arial"/>
                <w:color w:val="000000"/>
                <w:sz w:val="24"/>
                <w:szCs w:val="24"/>
                <w:lang w:eastAsia="fr-FR"/>
              </w:rPr>
            </w:pPr>
            <w:r w:rsidRPr="00FE2565">
              <w:rPr>
                <w:rFonts w:ascii="Arial" w:eastAsia="Times New Roman" w:hAnsi="Arial" w:cs="Arial"/>
                <w:color w:val="000000"/>
                <w:sz w:val="24"/>
                <w:szCs w:val="24"/>
                <w:lang w:eastAsia="fr-FR"/>
              </w:rPr>
              <w:t>Sidi Yahia Zaeer</w:t>
            </w:r>
          </w:p>
        </w:tc>
        <w:tc>
          <w:tcPr>
            <w:tcW w:w="2293" w:type="dxa"/>
            <w:shd w:val="clear" w:color="auto" w:fill="auto"/>
            <w:noWrap/>
            <w:vAlign w:val="center"/>
            <w:hideMark/>
          </w:tcPr>
          <w:p w:rsidR="005C014D" w:rsidRPr="00FE2565" w:rsidRDefault="005C014D" w:rsidP="005C014D">
            <w:pPr>
              <w:widowControl w:val="0"/>
              <w:autoSpaceDE w:val="0"/>
              <w:autoSpaceDN w:val="0"/>
              <w:spacing w:after="0" w:line="240" w:lineRule="auto"/>
              <w:rPr>
                <w:rFonts w:ascii="Arial" w:eastAsia="Times New Roman" w:hAnsi="Arial" w:cs="Arial"/>
                <w:color w:val="000000"/>
                <w:sz w:val="24"/>
                <w:szCs w:val="24"/>
                <w:lang w:eastAsia="fr-FR"/>
              </w:rPr>
            </w:pPr>
            <w:r w:rsidRPr="00FE2565">
              <w:rPr>
                <w:rFonts w:ascii="Arial" w:eastAsia="Times New Roman" w:hAnsi="Arial" w:cs="Arial"/>
                <w:color w:val="000000"/>
                <w:sz w:val="24"/>
                <w:szCs w:val="24"/>
                <w:lang w:eastAsia="fr-FR"/>
              </w:rPr>
              <w:t>Oulad Rgue</w:t>
            </w:r>
          </w:p>
        </w:tc>
        <w:tc>
          <w:tcPr>
            <w:tcW w:w="676" w:type="dxa"/>
            <w:shd w:val="clear" w:color="000000" w:fill="F4F46C"/>
            <w:noWrap/>
            <w:hideMark/>
          </w:tcPr>
          <w:p w:rsidR="005C014D" w:rsidRPr="00FE2565" w:rsidRDefault="005C014D" w:rsidP="005C014D">
            <w:pPr>
              <w:widowControl w:val="0"/>
              <w:autoSpaceDE w:val="0"/>
              <w:autoSpaceDN w:val="0"/>
              <w:spacing w:after="0" w:line="240" w:lineRule="auto"/>
              <w:jc w:val="right"/>
              <w:rPr>
                <w:rFonts w:ascii="Arial" w:eastAsia="Times New Roman" w:hAnsi="Arial" w:cs="Arial"/>
                <w:color w:val="000000"/>
                <w:sz w:val="24"/>
                <w:szCs w:val="24"/>
                <w:lang w:eastAsia="fr-FR"/>
              </w:rPr>
            </w:pPr>
            <w:r w:rsidRPr="00FE2565">
              <w:rPr>
                <w:rFonts w:ascii="Arial" w:eastAsia="Times New Roman" w:hAnsi="Arial" w:cs="Arial"/>
                <w:color w:val="000000"/>
                <w:sz w:val="24"/>
                <w:szCs w:val="24"/>
                <w:lang w:eastAsia="fr-FR"/>
              </w:rPr>
              <w:t>0%</w:t>
            </w:r>
          </w:p>
        </w:tc>
        <w:tc>
          <w:tcPr>
            <w:tcW w:w="1181" w:type="dxa"/>
            <w:shd w:val="clear" w:color="000000" w:fill="F4F46C"/>
            <w:noWrap/>
            <w:hideMark/>
          </w:tcPr>
          <w:p w:rsidR="005C014D" w:rsidRPr="00FE2565" w:rsidRDefault="005C014D" w:rsidP="005C014D">
            <w:pPr>
              <w:widowControl w:val="0"/>
              <w:autoSpaceDE w:val="0"/>
              <w:autoSpaceDN w:val="0"/>
              <w:spacing w:after="0" w:line="240" w:lineRule="auto"/>
              <w:jc w:val="right"/>
              <w:rPr>
                <w:rFonts w:ascii="Arial" w:eastAsia="Times New Roman" w:hAnsi="Arial" w:cs="Arial"/>
                <w:color w:val="000000"/>
                <w:sz w:val="24"/>
                <w:szCs w:val="24"/>
                <w:lang w:eastAsia="fr-FR"/>
              </w:rPr>
            </w:pPr>
            <w:r w:rsidRPr="00FE2565">
              <w:rPr>
                <w:rFonts w:ascii="Arial" w:eastAsia="Times New Roman" w:hAnsi="Arial" w:cs="Arial"/>
                <w:color w:val="000000"/>
                <w:sz w:val="24"/>
                <w:szCs w:val="24"/>
                <w:lang w:eastAsia="fr-FR"/>
              </w:rPr>
              <w:t>0%</w:t>
            </w:r>
          </w:p>
        </w:tc>
        <w:tc>
          <w:tcPr>
            <w:tcW w:w="1045" w:type="dxa"/>
            <w:shd w:val="clear" w:color="000000" w:fill="D34B07"/>
            <w:noWrap/>
            <w:hideMark/>
          </w:tcPr>
          <w:p w:rsidR="005C014D" w:rsidRPr="00FE2565" w:rsidRDefault="005C014D" w:rsidP="005C014D">
            <w:pPr>
              <w:widowControl w:val="0"/>
              <w:autoSpaceDE w:val="0"/>
              <w:autoSpaceDN w:val="0"/>
              <w:spacing w:after="0" w:line="240" w:lineRule="auto"/>
              <w:jc w:val="right"/>
              <w:rPr>
                <w:rFonts w:ascii="Arial" w:eastAsia="Times New Roman" w:hAnsi="Arial" w:cs="Arial"/>
                <w:color w:val="000000"/>
                <w:sz w:val="24"/>
                <w:szCs w:val="24"/>
                <w:lang w:eastAsia="fr-FR"/>
              </w:rPr>
            </w:pPr>
            <w:r w:rsidRPr="00FE2565">
              <w:rPr>
                <w:rFonts w:ascii="Arial" w:eastAsia="Times New Roman" w:hAnsi="Arial" w:cs="Arial"/>
                <w:color w:val="000000"/>
                <w:sz w:val="24"/>
                <w:szCs w:val="24"/>
                <w:lang w:eastAsia="fr-FR"/>
              </w:rPr>
              <w:t>80%</w:t>
            </w:r>
          </w:p>
        </w:tc>
        <w:tc>
          <w:tcPr>
            <w:tcW w:w="992" w:type="dxa"/>
            <w:shd w:val="clear" w:color="000000" w:fill="D34B07"/>
            <w:noWrap/>
            <w:hideMark/>
          </w:tcPr>
          <w:p w:rsidR="005C014D" w:rsidRPr="00FE2565" w:rsidRDefault="005C014D" w:rsidP="005C014D">
            <w:pPr>
              <w:widowControl w:val="0"/>
              <w:autoSpaceDE w:val="0"/>
              <w:autoSpaceDN w:val="0"/>
              <w:spacing w:after="0" w:line="240" w:lineRule="auto"/>
              <w:jc w:val="right"/>
              <w:rPr>
                <w:rFonts w:ascii="Arial" w:eastAsia="Times New Roman" w:hAnsi="Arial" w:cs="Arial"/>
                <w:color w:val="000000"/>
                <w:sz w:val="24"/>
                <w:szCs w:val="24"/>
                <w:lang w:eastAsia="fr-FR"/>
              </w:rPr>
            </w:pPr>
            <w:r w:rsidRPr="00FE2565">
              <w:rPr>
                <w:rFonts w:ascii="Arial" w:eastAsia="Times New Roman" w:hAnsi="Arial" w:cs="Arial"/>
                <w:color w:val="000000"/>
                <w:sz w:val="24"/>
                <w:szCs w:val="24"/>
                <w:lang w:eastAsia="fr-FR"/>
              </w:rPr>
              <w:t>80%</w:t>
            </w:r>
          </w:p>
        </w:tc>
        <w:tc>
          <w:tcPr>
            <w:tcW w:w="626" w:type="dxa"/>
            <w:shd w:val="clear" w:color="000000" w:fill="F4F46C"/>
            <w:noWrap/>
            <w:hideMark/>
          </w:tcPr>
          <w:p w:rsidR="005C014D" w:rsidRPr="00FE2565" w:rsidRDefault="005C014D" w:rsidP="005C014D">
            <w:pPr>
              <w:widowControl w:val="0"/>
              <w:autoSpaceDE w:val="0"/>
              <w:autoSpaceDN w:val="0"/>
              <w:spacing w:after="0" w:line="240" w:lineRule="auto"/>
              <w:jc w:val="right"/>
              <w:rPr>
                <w:rFonts w:ascii="Arial" w:eastAsia="Times New Roman" w:hAnsi="Arial" w:cs="Arial"/>
                <w:color w:val="000000"/>
                <w:sz w:val="24"/>
                <w:szCs w:val="24"/>
                <w:lang w:eastAsia="fr-FR"/>
              </w:rPr>
            </w:pPr>
            <w:r w:rsidRPr="00FE2565">
              <w:rPr>
                <w:rFonts w:ascii="Arial" w:eastAsia="Times New Roman" w:hAnsi="Arial" w:cs="Arial"/>
                <w:color w:val="000000"/>
                <w:sz w:val="24"/>
                <w:szCs w:val="24"/>
                <w:lang w:eastAsia="fr-FR"/>
              </w:rPr>
              <w:t>40%</w:t>
            </w:r>
          </w:p>
        </w:tc>
      </w:tr>
      <w:tr w:rsidR="005C014D" w:rsidRPr="00FE2565" w:rsidTr="001B5FFC">
        <w:trPr>
          <w:trHeight w:val="251"/>
        </w:trPr>
        <w:tc>
          <w:tcPr>
            <w:tcW w:w="950" w:type="dxa"/>
            <w:vMerge/>
            <w:vAlign w:val="center"/>
            <w:hideMark/>
          </w:tcPr>
          <w:p w:rsidR="005C014D" w:rsidRPr="00FE2565" w:rsidRDefault="005C014D" w:rsidP="005C014D">
            <w:pPr>
              <w:widowControl w:val="0"/>
              <w:autoSpaceDE w:val="0"/>
              <w:autoSpaceDN w:val="0"/>
              <w:spacing w:after="0" w:line="240" w:lineRule="auto"/>
              <w:rPr>
                <w:rFonts w:ascii="Arial" w:eastAsia="Times New Roman" w:hAnsi="Arial" w:cs="Arial"/>
                <w:b/>
                <w:bCs/>
                <w:color w:val="000000"/>
                <w:sz w:val="24"/>
                <w:szCs w:val="24"/>
                <w:lang w:eastAsia="fr-FR"/>
              </w:rPr>
            </w:pPr>
          </w:p>
        </w:tc>
        <w:tc>
          <w:tcPr>
            <w:tcW w:w="1080" w:type="dxa"/>
            <w:vMerge/>
            <w:vAlign w:val="center"/>
            <w:hideMark/>
          </w:tcPr>
          <w:p w:rsidR="005C014D" w:rsidRPr="00FE2565" w:rsidRDefault="005C014D" w:rsidP="005C014D">
            <w:pPr>
              <w:widowControl w:val="0"/>
              <w:autoSpaceDE w:val="0"/>
              <w:autoSpaceDN w:val="0"/>
              <w:spacing w:after="0" w:line="240" w:lineRule="auto"/>
              <w:rPr>
                <w:rFonts w:ascii="Arial" w:eastAsia="Times New Roman" w:hAnsi="Arial" w:cs="Arial"/>
                <w:color w:val="000000"/>
                <w:sz w:val="24"/>
                <w:szCs w:val="24"/>
                <w:lang w:eastAsia="fr-FR"/>
              </w:rPr>
            </w:pPr>
          </w:p>
        </w:tc>
        <w:tc>
          <w:tcPr>
            <w:tcW w:w="2293" w:type="dxa"/>
            <w:shd w:val="clear" w:color="auto" w:fill="auto"/>
            <w:noWrap/>
            <w:vAlign w:val="center"/>
            <w:hideMark/>
          </w:tcPr>
          <w:p w:rsidR="005C014D" w:rsidRPr="00FE2565" w:rsidRDefault="005C014D" w:rsidP="005C014D">
            <w:pPr>
              <w:widowControl w:val="0"/>
              <w:autoSpaceDE w:val="0"/>
              <w:autoSpaceDN w:val="0"/>
              <w:spacing w:after="0" w:line="240" w:lineRule="auto"/>
              <w:rPr>
                <w:rFonts w:ascii="Arial" w:eastAsia="Times New Roman" w:hAnsi="Arial" w:cs="Arial"/>
                <w:color w:val="000000"/>
                <w:sz w:val="24"/>
                <w:szCs w:val="24"/>
                <w:lang w:eastAsia="fr-FR"/>
              </w:rPr>
            </w:pPr>
            <w:r w:rsidRPr="00FE2565">
              <w:rPr>
                <w:rFonts w:ascii="Arial" w:eastAsia="Times New Roman" w:hAnsi="Arial" w:cs="Arial"/>
                <w:color w:val="000000"/>
                <w:sz w:val="24"/>
                <w:szCs w:val="24"/>
                <w:lang w:eastAsia="fr-FR"/>
              </w:rPr>
              <w:t>Oulad Saada</w:t>
            </w:r>
          </w:p>
        </w:tc>
        <w:tc>
          <w:tcPr>
            <w:tcW w:w="676" w:type="dxa"/>
            <w:shd w:val="clear" w:color="000000" w:fill="F4F46C"/>
            <w:noWrap/>
            <w:hideMark/>
          </w:tcPr>
          <w:p w:rsidR="005C014D" w:rsidRPr="00FE2565" w:rsidRDefault="005C014D" w:rsidP="005C014D">
            <w:pPr>
              <w:widowControl w:val="0"/>
              <w:autoSpaceDE w:val="0"/>
              <w:autoSpaceDN w:val="0"/>
              <w:spacing w:after="0" w:line="240" w:lineRule="auto"/>
              <w:jc w:val="right"/>
              <w:rPr>
                <w:rFonts w:ascii="Arial" w:eastAsia="Times New Roman" w:hAnsi="Arial" w:cs="Arial"/>
                <w:color w:val="000000"/>
                <w:sz w:val="24"/>
                <w:szCs w:val="24"/>
                <w:lang w:eastAsia="fr-FR"/>
              </w:rPr>
            </w:pPr>
            <w:r w:rsidRPr="00FE2565">
              <w:rPr>
                <w:rFonts w:ascii="Arial" w:eastAsia="Times New Roman" w:hAnsi="Arial" w:cs="Arial"/>
                <w:color w:val="000000"/>
                <w:sz w:val="24"/>
                <w:szCs w:val="24"/>
                <w:lang w:eastAsia="fr-FR"/>
              </w:rPr>
              <w:t>0%</w:t>
            </w:r>
          </w:p>
        </w:tc>
        <w:tc>
          <w:tcPr>
            <w:tcW w:w="1181" w:type="dxa"/>
            <w:shd w:val="clear" w:color="000000" w:fill="F4F46C"/>
            <w:noWrap/>
            <w:hideMark/>
          </w:tcPr>
          <w:p w:rsidR="005C014D" w:rsidRPr="00FE2565" w:rsidRDefault="005C014D" w:rsidP="005C014D">
            <w:pPr>
              <w:widowControl w:val="0"/>
              <w:autoSpaceDE w:val="0"/>
              <w:autoSpaceDN w:val="0"/>
              <w:spacing w:after="0" w:line="240" w:lineRule="auto"/>
              <w:jc w:val="right"/>
              <w:rPr>
                <w:rFonts w:ascii="Arial" w:eastAsia="Times New Roman" w:hAnsi="Arial" w:cs="Arial"/>
                <w:color w:val="000000"/>
                <w:sz w:val="24"/>
                <w:szCs w:val="24"/>
                <w:lang w:eastAsia="fr-FR"/>
              </w:rPr>
            </w:pPr>
            <w:r w:rsidRPr="00FE2565">
              <w:rPr>
                <w:rFonts w:ascii="Arial" w:eastAsia="Times New Roman" w:hAnsi="Arial" w:cs="Arial"/>
                <w:color w:val="000000"/>
                <w:sz w:val="24"/>
                <w:szCs w:val="24"/>
                <w:lang w:eastAsia="fr-FR"/>
              </w:rPr>
              <w:t>40%</w:t>
            </w:r>
          </w:p>
        </w:tc>
        <w:tc>
          <w:tcPr>
            <w:tcW w:w="1045" w:type="dxa"/>
            <w:shd w:val="clear" w:color="000000" w:fill="F4F46C"/>
            <w:noWrap/>
            <w:hideMark/>
          </w:tcPr>
          <w:p w:rsidR="005C014D" w:rsidRPr="00FE2565" w:rsidRDefault="005C014D" w:rsidP="005C014D">
            <w:pPr>
              <w:widowControl w:val="0"/>
              <w:autoSpaceDE w:val="0"/>
              <w:autoSpaceDN w:val="0"/>
              <w:spacing w:after="0" w:line="240" w:lineRule="auto"/>
              <w:jc w:val="right"/>
              <w:rPr>
                <w:rFonts w:ascii="Arial" w:eastAsia="Times New Roman" w:hAnsi="Arial" w:cs="Arial"/>
                <w:color w:val="000000"/>
                <w:sz w:val="24"/>
                <w:szCs w:val="24"/>
                <w:lang w:eastAsia="fr-FR"/>
              </w:rPr>
            </w:pPr>
            <w:r w:rsidRPr="00FE2565">
              <w:rPr>
                <w:rFonts w:ascii="Arial" w:eastAsia="Times New Roman" w:hAnsi="Arial" w:cs="Arial"/>
                <w:color w:val="000000"/>
                <w:sz w:val="24"/>
                <w:szCs w:val="24"/>
                <w:lang w:eastAsia="fr-FR"/>
              </w:rPr>
              <w:t>40%</w:t>
            </w:r>
          </w:p>
        </w:tc>
        <w:tc>
          <w:tcPr>
            <w:tcW w:w="992" w:type="dxa"/>
            <w:shd w:val="clear" w:color="000000" w:fill="D34B07"/>
            <w:noWrap/>
            <w:hideMark/>
          </w:tcPr>
          <w:p w:rsidR="005C014D" w:rsidRPr="00FE2565" w:rsidRDefault="005C014D" w:rsidP="005C014D">
            <w:pPr>
              <w:widowControl w:val="0"/>
              <w:autoSpaceDE w:val="0"/>
              <w:autoSpaceDN w:val="0"/>
              <w:spacing w:after="0" w:line="240" w:lineRule="auto"/>
              <w:jc w:val="right"/>
              <w:rPr>
                <w:rFonts w:ascii="Arial" w:eastAsia="Times New Roman" w:hAnsi="Arial" w:cs="Arial"/>
                <w:color w:val="000000"/>
                <w:sz w:val="24"/>
                <w:szCs w:val="24"/>
                <w:lang w:eastAsia="fr-FR"/>
              </w:rPr>
            </w:pPr>
            <w:r w:rsidRPr="00FE2565">
              <w:rPr>
                <w:rFonts w:ascii="Arial" w:eastAsia="Times New Roman" w:hAnsi="Arial" w:cs="Arial"/>
                <w:color w:val="000000"/>
                <w:sz w:val="24"/>
                <w:szCs w:val="24"/>
                <w:lang w:eastAsia="fr-FR"/>
              </w:rPr>
              <w:t>100%</w:t>
            </w:r>
          </w:p>
        </w:tc>
        <w:tc>
          <w:tcPr>
            <w:tcW w:w="626" w:type="dxa"/>
            <w:shd w:val="clear" w:color="000000" w:fill="F4F46C"/>
            <w:noWrap/>
            <w:hideMark/>
          </w:tcPr>
          <w:p w:rsidR="005C014D" w:rsidRPr="00FE2565" w:rsidRDefault="005C014D" w:rsidP="005C014D">
            <w:pPr>
              <w:widowControl w:val="0"/>
              <w:autoSpaceDE w:val="0"/>
              <w:autoSpaceDN w:val="0"/>
              <w:spacing w:after="0" w:line="240" w:lineRule="auto"/>
              <w:jc w:val="right"/>
              <w:rPr>
                <w:rFonts w:ascii="Arial" w:eastAsia="Times New Roman" w:hAnsi="Arial" w:cs="Arial"/>
                <w:color w:val="000000"/>
                <w:sz w:val="24"/>
                <w:szCs w:val="24"/>
                <w:lang w:eastAsia="fr-FR"/>
              </w:rPr>
            </w:pPr>
            <w:r w:rsidRPr="00FE2565">
              <w:rPr>
                <w:rFonts w:ascii="Arial" w:eastAsia="Times New Roman" w:hAnsi="Arial" w:cs="Arial"/>
                <w:color w:val="000000"/>
                <w:sz w:val="24"/>
                <w:szCs w:val="24"/>
                <w:lang w:eastAsia="fr-FR"/>
              </w:rPr>
              <w:t>45%</w:t>
            </w:r>
          </w:p>
        </w:tc>
      </w:tr>
      <w:tr w:rsidR="005C014D" w:rsidRPr="00FE2565" w:rsidTr="001B5FFC">
        <w:trPr>
          <w:trHeight w:val="251"/>
        </w:trPr>
        <w:tc>
          <w:tcPr>
            <w:tcW w:w="950" w:type="dxa"/>
            <w:vMerge/>
            <w:vAlign w:val="center"/>
            <w:hideMark/>
          </w:tcPr>
          <w:p w:rsidR="005C014D" w:rsidRPr="00FE2565" w:rsidRDefault="005C014D" w:rsidP="005C014D">
            <w:pPr>
              <w:widowControl w:val="0"/>
              <w:autoSpaceDE w:val="0"/>
              <w:autoSpaceDN w:val="0"/>
              <w:spacing w:after="0" w:line="240" w:lineRule="auto"/>
              <w:rPr>
                <w:rFonts w:ascii="Arial" w:eastAsia="Times New Roman" w:hAnsi="Arial" w:cs="Arial"/>
                <w:b/>
                <w:bCs/>
                <w:color w:val="000000"/>
                <w:sz w:val="24"/>
                <w:szCs w:val="24"/>
                <w:lang w:eastAsia="fr-FR"/>
              </w:rPr>
            </w:pPr>
          </w:p>
        </w:tc>
        <w:tc>
          <w:tcPr>
            <w:tcW w:w="1080" w:type="dxa"/>
            <w:vMerge/>
            <w:vAlign w:val="center"/>
            <w:hideMark/>
          </w:tcPr>
          <w:p w:rsidR="005C014D" w:rsidRPr="00FE2565" w:rsidRDefault="005C014D" w:rsidP="005C014D">
            <w:pPr>
              <w:widowControl w:val="0"/>
              <w:autoSpaceDE w:val="0"/>
              <w:autoSpaceDN w:val="0"/>
              <w:spacing w:after="0" w:line="240" w:lineRule="auto"/>
              <w:rPr>
                <w:rFonts w:ascii="Arial" w:eastAsia="Times New Roman" w:hAnsi="Arial" w:cs="Arial"/>
                <w:color w:val="000000"/>
                <w:sz w:val="24"/>
                <w:szCs w:val="24"/>
                <w:lang w:eastAsia="fr-FR"/>
              </w:rPr>
            </w:pPr>
          </w:p>
        </w:tc>
        <w:tc>
          <w:tcPr>
            <w:tcW w:w="2293" w:type="dxa"/>
            <w:shd w:val="clear" w:color="auto" w:fill="auto"/>
            <w:noWrap/>
            <w:vAlign w:val="center"/>
            <w:hideMark/>
          </w:tcPr>
          <w:p w:rsidR="005C014D" w:rsidRPr="00FE2565" w:rsidRDefault="005C014D" w:rsidP="005C014D">
            <w:pPr>
              <w:widowControl w:val="0"/>
              <w:autoSpaceDE w:val="0"/>
              <w:autoSpaceDN w:val="0"/>
              <w:spacing w:after="0" w:line="240" w:lineRule="auto"/>
              <w:rPr>
                <w:rFonts w:ascii="Arial" w:eastAsia="Times New Roman" w:hAnsi="Arial" w:cs="Arial"/>
                <w:color w:val="000000"/>
                <w:sz w:val="24"/>
                <w:szCs w:val="24"/>
                <w:lang w:eastAsia="fr-FR"/>
              </w:rPr>
            </w:pPr>
            <w:r w:rsidRPr="00FE2565">
              <w:rPr>
                <w:rFonts w:ascii="Arial" w:eastAsia="Times New Roman" w:hAnsi="Arial" w:cs="Arial"/>
                <w:color w:val="000000"/>
                <w:sz w:val="24"/>
                <w:szCs w:val="24"/>
                <w:lang w:eastAsia="fr-FR"/>
              </w:rPr>
              <w:t>Oulad Dlim</w:t>
            </w:r>
          </w:p>
        </w:tc>
        <w:tc>
          <w:tcPr>
            <w:tcW w:w="676" w:type="dxa"/>
            <w:shd w:val="clear" w:color="000000" w:fill="F4F46C"/>
            <w:noWrap/>
            <w:hideMark/>
          </w:tcPr>
          <w:p w:rsidR="005C014D" w:rsidRPr="00FE2565" w:rsidRDefault="005C014D" w:rsidP="005C014D">
            <w:pPr>
              <w:widowControl w:val="0"/>
              <w:autoSpaceDE w:val="0"/>
              <w:autoSpaceDN w:val="0"/>
              <w:spacing w:after="0" w:line="240" w:lineRule="auto"/>
              <w:jc w:val="right"/>
              <w:rPr>
                <w:rFonts w:ascii="Arial" w:eastAsia="Times New Roman" w:hAnsi="Arial" w:cs="Arial"/>
                <w:color w:val="000000"/>
                <w:sz w:val="24"/>
                <w:szCs w:val="24"/>
                <w:lang w:eastAsia="fr-FR"/>
              </w:rPr>
            </w:pPr>
            <w:r w:rsidRPr="00FE2565">
              <w:rPr>
                <w:rFonts w:ascii="Arial" w:eastAsia="Times New Roman" w:hAnsi="Arial" w:cs="Arial"/>
                <w:color w:val="000000"/>
                <w:sz w:val="24"/>
                <w:szCs w:val="24"/>
                <w:lang w:eastAsia="fr-FR"/>
              </w:rPr>
              <w:t>0%</w:t>
            </w:r>
          </w:p>
        </w:tc>
        <w:tc>
          <w:tcPr>
            <w:tcW w:w="1181" w:type="dxa"/>
            <w:shd w:val="clear" w:color="000000" w:fill="F4F46C"/>
            <w:noWrap/>
            <w:hideMark/>
          </w:tcPr>
          <w:p w:rsidR="005C014D" w:rsidRPr="00FE2565" w:rsidRDefault="005C014D" w:rsidP="005C014D">
            <w:pPr>
              <w:widowControl w:val="0"/>
              <w:autoSpaceDE w:val="0"/>
              <w:autoSpaceDN w:val="0"/>
              <w:spacing w:after="0" w:line="240" w:lineRule="auto"/>
              <w:jc w:val="right"/>
              <w:rPr>
                <w:rFonts w:ascii="Arial" w:eastAsia="Times New Roman" w:hAnsi="Arial" w:cs="Arial"/>
                <w:color w:val="000000"/>
                <w:sz w:val="24"/>
                <w:szCs w:val="24"/>
                <w:lang w:eastAsia="fr-FR"/>
              </w:rPr>
            </w:pPr>
            <w:r w:rsidRPr="00FE2565">
              <w:rPr>
                <w:rFonts w:ascii="Arial" w:eastAsia="Times New Roman" w:hAnsi="Arial" w:cs="Arial"/>
                <w:color w:val="000000"/>
                <w:sz w:val="24"/>
                <w:szCs w:val="24"/>
                <w:lang w:eastAsia="fr-FR"/>
              </w:rPr>
              <w:t>20%</w:t>
            </w:r>
          </w:p>
        </w:tc>
        <w:tc>
          <w:tcPr>
            <w:tcW w:w="1045" w:type="dxa"/>
            <w:shd w:val="clear" w:color="000000" w:fill="F4F46C"/>
            <w:noWrap/>
            <w:hideMark/>
          </w:tcPr>
          <w:p w:rsidR="005C014D" w:rsidRPr="00FE2565" w:rsidRDefault="005C014D" w:rsidP="005C014D">
            <w:pPr>
              <w:widowControl w:val="0"/>
              <w:autoSpaceDE w:val="0"/>
              <w:autoSpaceDN w:val="0"/>
              <w:spacing w:after="0" w:line="240" w:lineRule="auto"/>
              <w:jc w:val="right"/>
              <w:rPr>
                <w:rFonts w:ascii="Arial" w:eastAsia="Times New Roman" w:hAnsi="Arial" w:cs="Arial"/>
                <w:color w:val="000000"/>
                <w:sz w:val="24"/>
                <w:szCs w:val="24"/>
                <w:lang w:eastAsia="fr-FR"/>
              </w:rPr>
            </w:pPr>
            <w:r w:rsidRPr="00FE2565">
              <w:rPr>
                <w:rFonts w:ascii="Arial" w:eastAsia="Times New Roman" w:hAnsi="Arial" w:cs="Arial"/>
                <w:color w:val="000000"/>
                <w:sz w:val="24"/>
                <w:szCs w:val="24"/>
                <w:lang w:eastAsia="fr-FR"/>
              </w:rPr>
              <w:t>20%</w:t>
            </w:r>
          </w:p>
        </w:tc>
        <w:tc>
          <w:tcPr>
            <w:tcW w:w="992" w:type="dxa"/>
            <w:shd w:val="clear" w:color="000000" w:fill="FFC000"/>
            <w:noWrap/>
            <w:hideMark/>
          </w:tcPr>
          <w:p w:rsidR="005C014D" w:rsidRPr="00FE2565" w:rsidRDefault="005C014D" w:rsidP="005C014D">
            <w:pPr>
              <w:widowControl w:val="0"/>
              <w:autoSpaceDE w:val="0"/>
              <w:autoSpaceDN w:val="0"/>
              <w:spacing w:after="0" w:line="240" w:lineRule="auto"/>
              <w:jc w:val="right"/>
              <w:rPr>
                <w:rFonts w:ascii="Arial" w:eastAsia="Times New Roman" w:hAnsi="Arial" w:cs="Arial"/>
                <w:color w:val="000000"/>
                <w:sz w:val="24"/>
                <w:szCs w:val="24"/>
                <w:lang w:eastAsia="fr-FR"/>
              </w:rPr>
            </w:pPr>
            <w:r w:rsidRPr="00FE2565">
              <w:rPr>
                <w:rFonts w:ascii="Arial" w:eastAsia="Times New Roman" w:hAnsi="Arial" w:cs="Arial"/>
                <w:color w:val="000000"/>
                <w:sz w:val="24"/>
                <w:szCs w:val="24"/>
                <w:lang w:eastAsia="fr-FR"/>
              </w:rPr>
              <w:t>60%</w:t>
            </w:r>
          </w:p>
        </w:tc>
        <w:tc>
          <w:tcPr>
            <w:tcW w:w="626" w:type="dxa"/>
            <w:shd w:val="clear" w:color="000000" w:fill="F4F46C"/>
            <w:noWrap/>
            <w:hideMark/>
          </w:tcPr>
          <w:p w:rsidR="005C014D" w:rsidRPr="00FE2565" w:rsidRDefault="005C014D" w:rsidP="005C014D">
            <w:pPr>
              <w:widowControl w:val="0"/>
              <w:autoSpaceDE w:val="0"/>
              <w:autoSpaceDN w:val="0"/>
              <w:spacing w:after="0" w:line="240" w:lineRule="auto"/>
              <w:jc w:val="right"/>
              <w:rPr>
                <w:rFonts w:ascii="Arial" w:eastAsia="Times New Roman" w:hAnsi="Arial" w:cs="Arial"/>
                <w:color w:val="000000"/>
                <w:sz w:val="24"/>
                <w:szCs w:val="24"/>
                <w:lang w:eastAsia="fr-FR"/>
              </w:rPr>
            </w:pPr>
            <w:r w:rsidRPr="00FE2565">
              <w:rPr>
                <w:rFonts w:ascii="Arial" w:eastAsia="Times New Roman" w:hAnsi="Arial" w:cs="Arial"/>
                <w:color w:val="000000"/>
                <w:sz w:val="24"/>
                <w:szCs w:val="24"/>
                <w:lang w:eastAsia="fr-FR"/>
              </w:rPr>
              <w:t>25%</w:t>
            </w:r>
          </w:p>
        </w:tc>
      </w:tr>
      <w:tr w:rsidR="005C014D" w:rsidRPr="00FE2565" w:rsidTr="001B5FFC">
        <w:trPr>
          <w:trHeight w:val="251"/>
        </w:trPr>
        <w:tc>
          <w:tcPr>
            <w:tcW w:w="950" w:type="dxa"/>
            <w:vMerge/>
            <w:vAlign w:val="center"/>
            <w:hideMark/>
          </w:tcPr>
          <w:p w:rsidR="005C014D" w:rsidRPr="00FE2565" w:rsidRDefault="005C014D" w:rsidP="005C014D">
            <w:pPr>
              <w:widowControl w:val="0"/>
              <w:autoSpaceDE w:val="0"/>
              <w:autoSpaceDN w:val="0"/>
              <w:spacing w:after="0" w:line="240" w:lineRule="auto"/>
              <w:rPr>
                <w:rFonts w:ascii="Arial" w:eastAsia="Times New Roman" w:hAnsi="Arial" w:cs="Arial"/>
                <w:b/>
                <w:bCs/>
                <w:color w:val="000000"/>
                <w:sz w:val="24"/>
                <w:szCs w:val="24"/>
                <w:lang w:eastAsia="fr-FR"/>
              </w:rPr>
            </w:pPr>
          </w:p>
        </w:tc>
        <w:tc>
          <w:tcPr>
            <w:tcW w:w="1080" w:type="dxa"/>
            <w:vMerge/>
            <w:vAlign w:val="center"/>
            <w:hideMark/>
          </w:tcPr>
          <w:p w:rsidR="005C014D" w:rsidRPr="00FE2565" w:rsidRDefault="005C014D" w:rsidP="005C014D">
            <w:pPr>
              <w:widowControl w:val="0"/>
              <w:autoSpaceDE w:val="0"/>
              <w:autoSpaceDN w:val="0"/>
              <w:spacing w:after="0" w:line="240" w:lineRule="auto"/>
              <w:rPr>
                <w:rFonts w:ascii="Arial" w:eastAsia="Times New Roman" w:hAnsi="Arial" w:cs="Arial"/>
                <w:color w:val="000000"/>
                <w:sz w:val="24"/>
                <w:szCs w:val="24"/>
                <w:lang w:eastAsia="fr-FR"/>
              </w:rPr>
            </w:pPr>
          </w:p>
        </w:tc>
        <w:tc>
          <w:tcPr>
            <w:tcW w:w="2293" w:type="dxa"/>
            <w:shd w:val="clear" w:color="auto" w:fill="auto"/>
            <w:noWrap/>
            <w:vAlign w:val="center"/>
            <w:hideMark/>
          </w:tcPr>
          <w:p w:rsidR="005C014D" w:rsidRPr="00FE2565" w:rsidRDefault="005C014D" w:rsidP="005C014D">
            <w:pPr>
              <w:widowControl w:val="0"/>
              <w:autoSpaceDE w:val="0"/>
              <w:autoSpaceDN w:val="0"/>
              <w:spacing w:after="0" w:line="240" w:lineRule="auto"/>
              <w:rPr>
                <w:rFonts w:ascii="Arial" w:eastAsia="Times New Roman" w:hAnsi="Arial" w:cs="Arial"/>
                <w:color w:val="000000"/>
                <w:sz w:val="24"/>
                <w:szCs w:val="24"/>
                <w:lang w:eastAsia="fr-FR"/>
              </w:rPr>
            </w:pPr>
            <w:r w:rsidRPr="00FE2565">
              <w:rPr>
                <w:rFonts w:ascii="Arial" w:eastAsia="Times New Roman" w:hAnsi="Arial" w:cs="Arial"/>
                <w:color w:val="000000"/>
                <w:sz w:val="24"/>
                <w:szCs w:val="24"/>
                <w:lang w:eastAsia="fr-FR"/>
              </w:rPr>
              <w:t>Oulad Daoud</w:t>
            </w:r>
          </w:p>
        </w:tc>
        <w:tc>
          <w:tcPr>
            <w:tcW w:w="676" w:type="dxa"/>
            <w:shd w:val="clear" w:color="000000" w:fill="F4F46C"/>
            <w:noWrap/>
            <w:hideMark/>
          </w:tcPr>
          <w:p w:rsidR="005C014D" w:rsidRPr="00FE2565" w:rsidRDefault="005C014D" w:rsidP="005C014D">
            <w:pPr>
              <w:widowControl w:val="0"/>
              <w:autoSpaceDE w:val="0"/>
              <w:autoSpaceDN w:val="0"/>
              <w:spacing w:after="0" w:line="240" w:lineRule="auto"/>
              <w:jc w:val="right"/>
              <w:rPr>
                <w:rFonts w:ascii="Arial" w:eastAsia="Times New Roman" w:hAnsi="Arial" w:cs="Arial"/>
                <w:color w:val="000000"/>
                <w:sz w:val="24"/>
                <w:szCs w:val="24"/>
                <w:lang w:eastAsia="fr-FR"/>
              </w:rPr>
            </w:pPr>
            <w:r w:rsidRPr="00FE2565">
              <w:rPr>
                <w:rFonts w:ascii="Arial" w:eastAsia="Times New Roman" w:hAnsi="Arial" w:cs="Arial"/>
                <w:color w:val="000000"/>
                <w:sz w:val="24"/>
                <w:szCs w:val="24"/>
                <w:lang w:eastAsia="fr-FR"/>
              </w:rPr>
              <w:t>20%</w:t>
            </w:r>
          </w:p>
        </w:tc>
        <w:tc>
          <w:tcPr>
            <w:tcW w:w="1181" w:type="dxa"/>
            <w:shd w:val="clear" w:color="000000" w:fill="D34B07"/>
            <w:noWrap/>
            <w:hideMark/>
          </w:tcPr>
          <w:p w:rsidR="005C014D" w:rsidRPr="00FE2565" w:rsidRDefault="005C014D" w:rsidP="005C014D">
            <w:pPr>
              <w:widowControl w:val="0"/>
              <w:autoSpaceDE w:val="0"/>
              <w:autoSpaceDN w:val="0"/>
              <w:spacing w:after="0" w:line="240" w:lineRule="auto"/>
              <w:jc w:val="right"/>
              <w:rPr>
                <w:rFonts w:ascii="Arial" w:eastAsia="Times New Roman" w:hAnsi="Arial" w:cs="Arial"/>
                <w:color w:val="000000"/>
                <w:sz w:val="24"/>
                <w:szCs w:val="24"/>
                <w:lang w:eastAsia="fr-FR"/>
              </w:rPr>
            </w:pPr>
            <w:r w:rsidRPr="00FE2565">
              <w:rPr>
                <w:rFonts w:ascii="Arial" w:eastAsia="Times New Roman" w:hAnsi="Arial" w:cs="Arial"/>
                <w:color w:val="000000"/>
                <w:sz w:val="24"/>
                <w:szCs w:val="24"/>
                <w:lang w:eastAsia="fr-FR"/>
              </w:rPr>
              <w:t>80%</w:t>
            </w:r>
          </w:p>
        </w:tc>
        <w:tc>
          <w:tcPr>
            <w:tcW w:w="1045" w:type="dxa"/>
            <w:shd w:val="clear" w:color="000000" w:fill="FFC000"/>
            <w:noWrap/>
            <w:hideMark/>
          </w:tcPr>
          <w:p w:rsidR="005C014D" w:rsidRPr="00FE2565" w:rsidRDefault="005C014D" w:rsidP="005C014D">
            <w:pPr>
              <w:widowControl w:val="0"/>
              <w:autoSpaceDE w:val="0"/>
              <w:autoSpaceDN w:val="0"/>
              <w:spacing w:after="0" w:line="240" w:lineRule="auto"/>
              <w:jc w:val="right"/>
              <w:rPr>
                <w:rFonts w:ascii="Arial" w:eastAsia="Times New Roman" w:hAnsi="Arial" w:cs="Arial"/>
                <w:color w:val="000000"/>
                <w:sz w:val="24"/>
                <w:szCs w:val="24"/>
                <w:lang w:eastAsia="fr-FR"/>
              </w:rPr>
            </w:pPr>
            <w:r w:rsidRPr="00FE2565">
              <w:rPr>
                <w:rFonts w:ascii="Arial" w:eastAsia="Times New Roman" w:hAnsi="Arial" w:cs="Arial"/>
                <w:color w:val="000000"/>
                <w:sz w:val="24"/>
                <w:szCs w:val="24"/>
                <w:lang w:eastAsia="fr-FR"/>
              </w:rPr>
              <w:t>60%</w:t>
            </w:r>
          </w:p>
        </w:tc>
        <w:tc>
          <w:tcPr>
            <w:tcW w:w="992" w:type="dxa"/>
            <w:shd w:val="clear" w:color="000000" w:fill="D34B07"/>
            <w:noWrap/>
            <w:hideMark/>
          </w:tcPr>
          <w:p w:rsidR="005C014D" w:rsidRPr="00FE2565" w:rsidRDefault="005C014D" w:rsidP="005C014D">
            <w:pPr>
              <w:widowControl w:val="0"/>
              <w:autoSpaceDE w:val="0"/>
              <w:autoSpaceDN w:val="0"/>
              <w:spacing w:after="0" w:line="240" w:lineRule="auto"/>
              <w:jc w:val="right"/>
              <w:rPr>
                <w:rFonts w:ascii="Arial" w:eastAsia="Times New Roman" w:hAnsi="Arial" w:cs="Arial"/>
                <w:color w:val="000000"/>
                <w:sz w:val="24"/>
                <w:szCs w:val="24"/>
                <w:lang w:eastAsia="fr-FR"/>
              </w:rPr>
            </w:pPr>
            <w:r w:rsidRPr="00FE2565">
              <w:rPr>
                <w:rFonts w:ascii="Arial" w:eastAsia="Times New Roman" w:hAnsi="Arial" w:cs="Arial"/>
                <w:color w:val="000000"/>
                <w:sz w:val="24"/>
                <w:szCs w:val="24"/>
                <w:lang w:eastAsia="fr-FR"/>
              </w:rPr>
              <w:t>80%</w:t>
            </w:r>
          </w:p>
        </w:tc>
        <w:tc>
          <w:tcPr>
            <w:tcW w:w="626" w:type="dxa"/>
            <w:shd w:val="clear" w:color="000000" w:fill="FFC000"/>
            <w:noWrap/>
            <w:hideMark/>
          </w:tcPr>
          <w:p w:rsidR="005C014D" w:rsidRPr="00FE2565" w:rsidRDefault="005C014D" w:rsidP="005C014D">
            <w:pPr>
              <w:widowControl w:val="0"/>
              <w:autoSpaceDE w:val="0"/>
              <w:autoSpaceDN w:val="0"/>
              <w:spacing w:after="0" w:line="240" w:lineRule="auto"/>
              <w:jc w:val="right"/>
              <w:rPr>
                <w:rFonts w:ascii="Arial" w:eastAsia="Times New Roman" w:hAnsi="Arial" w:cs="Arial"/>
                <w:color w:val="000000"/>
                <w:sz w:val="24"/>
                <w:szCs w:val="24"/>
                <w:lang w:eastAsia="fr-FR"/>
              </w:rPr>
            </w:pPr>
            <w:r w:rsidRPr="00FE2565">
              <w:rPr>
                <w:rFonts w:ascii="Arial" w:eastAsia="Times New Roman" w:hAnsi="Arial" w:cs="Arial"/>
                <w:color w:val="000000"/>
                <w:sz w:val="24"/>
                <w:szCs w:val="24"/>
                <w:lang w:eastAsia="fr-FR"/>
              </w:rPr>
              <w:t>60%</w:t>
            </w:r>
          </w:p>
        </w:tc>
      </w:tr>
      <w:tr w:rsidR="005C014D" w:rsidRPr="00FE2565" w:rsidTr="001B5FFC">
        <w:trPr>
          <w:trHeight w:val="251"/>
        </w:trPr>
        <w:tc>
          <w:tcPr>
            <w:tcW w:w="950" w:type="dxa"/>
            <w:vMerge/>
            <w:vAlign w:val="center"/>
            <w:hideMark/>
          </w:tcPr>
          <w:p w:rsidR="005C014D" w:rsidRPr="00FE2565" w:rsidRDefault="005C014D" w:rsidP="005C014D">
            <w:pPr>
              <w:widowControl w:val="0"/>
              <w:autoSpaceDE w:val="0"/>
              <w:autoSpaceDN w:val="0"/>
              <w:spacing w:after="0" w:line="240" w:lineRule="auto"/>
              <w:rPr>
                <w:rFonts w:ascii="Arial" w:eastAsia="Times New Roman" w:hAnsi="Arial" w:cs="Arial"/>
                <w:b/>
                <w:bCs/>
                <w:color w:val="000000"/>
                <w:sz w:val="24"/>
                <w:szCs w:val="24"/>
                <w:lang w:eastAsia="fr-FR"/>
              </w:rPr>
            </w:pPr>
          </w:p>
        </w:tc>
        <w:tc>
          <w:tcPr>
            <w:tcW w:w="1080" w:type="dxa"/>
            <w:vMerge/>
            <w:vAlign w:val="center"/>
            <w:hideMark/>
          </w:tcPr>
          <w:p w:rsidR="005C014D" w:rsidRPr="00FE2565" w:rsidRDefault="005C014D" w:rsidP="005C014D">
            <w:pPr>
              <w:widowControl w:val="0"/>
              <w:autoSpaceDE w:val="0"/>
              <w:autoSpaceDN w:val="0"/>
              <w:spacing w:after="0" w:line="240" w:lineRule="auto"/>
              <w:rPr>
                <w:rFonts w:ascii="Arial" w:eastAsia="Times New Roman" w:hAnsi="Arial" w:cs="Arial"/>
                <w:color w:val="000000"/>
                <w:sz w:val="24"/>
                <w:szCs w:val="24"/>
                <w:lang w:eastAsia="fr-FR"/>
              </w:rPr>
            </w:pPr>
          </w:p>
        </w:tc>
        <w:tc>
          <w:tcPr>
            <w:tcW w:w="2293" w:type="dxa"/>
            <w:shd w:val="clear" w:color="auto" w:fill="auto"/>
            <w:noWrap/>
            <w:vAlign w:val="center"/>
            <w:hideMark/>
          </w:tcPr>
          <w:p w:rsidR="005C014D" w:rsidRPr="00FE2565" w:rsidRDefault="005C014D" w:rsidP="005C014D">
            <w:pPr>
              <w:widowControl w:val="0"/>
              <w:autoSpaceDE w:val="0"/>
              <w:autoSpaceDN w:val="0"/>
              <w:spacing w:after="0" w:line="240" w:lineRule="auto"/>
              <w:rPr>
                <w:rFonts w:ascii="Arial" w:eastAsia="Times New Roman" w:hAnsi="Arial" w:cs="Arial"/>
                <w:color w:val="000000"/>
                <w:sz w:val="24"/>
                <w:szCs w:val="24"/>
                <w:lang w:eastAsia="fr-FR"/>
              </w:rPr>
            </w:pPr>
            <w:r w:rsidRPr="00FE2565">
              <w:rPr>
                <w:rFonts w:ascii="Arial" w:eastAsia="Times New Roman" w:hAnsi="Arial" w:cs="Arial"/>
                <w:color w:val="000000"/>
                <w:sz w:val="24"/>
                <w:szCs w:val="24"/>
                <w:lang w:eastAsia="fr-FR"/>
              </w:rPr>
              <w:t>Lâarâara</w:t>
            </w:r>
          </w:p>
        </w:tc>
        <w:tc>
          <w:tcPr>
            <w:tcW w:w="676" w:type="dxa"/>
            <w:shd w:val="clear" w:color="000000" w:fill="F4F46C"/>
            <w:noWrap/>
            <w:hideMark/>
          </w:tcPr>
          <w:p w:rsidR="005C014D" w:rsidRPr="00FE2565" w:rsidRDefault="005C014D" w:rsidP="005C014D">
            <w:pPr>
              <w:widowControl w:val="0"/>
              <w:autoSpaceDE w:val="0"/>
              <w:autoSpaceDN w:val="0"/>
              <w:spacing w:after="0" w:line="240" w:lineRule="auto"/>
              <w:jc w:val="right"/>
              <w:rPr>
                <w:rFonts w:ascii="Arial" w:eastAsia="Times New Roman" w:hAnsi="Arial" w:cs="Arial"/>
                <w:color w:val="000000"/>
                <w:sz w:val="24"/>
                <w:szCs w:val="24"/>
                <w:lang w:eastAsia="fr-FR"/>
              </w:rPr>
            </w:pPr>
            <w:r w:rsidRPr="00FE2565">
              <w:rPr>
                <w:rFonts w:ascii="Arial" w:eastAsia="Times New Roman" w:hAnsi="Arial" w:cs="Arial"/>
                <w:color w:val="000000"/>
                <w:sz w:val="24"/>
                <w:szCs w:val="24"/>
                <w:lang w:eastAsia="fr-FR"/>
              </w:rPr>
              <w:t>20%</w:t>
            </w:r>
          </w:p>
        </w:tc>
        <w:tc>
          <w:tcPr>
            <w:tcW w:w="1181" w:type="dxa"/>
            <w:shd w:val="clear" w:color="000000" w:fill="FFC000"/>
            <w:noWrap/>
            <w:hideMark/>
          </w:tcPr>
          <w:p w:rsidR="005C014D" w:rsidRPr="00FE2565" w:rsidRDefault="005C014D" w:rsidP="005C014D">
            <w:pPr>
              <w:widowControl w:val="0"/>
              <w:autoSpaceDE w:val="0"/>
              <w:autoSpaceDN w:val="0"/>
              <w:spacing w:after="0" w:line="240" w:lineRule="auto"/>
              <w:jc w:val="right"/>
              <w:rPr>
                <w:rFonts w:ascii="Arial" w:eastAsia="Times New Roman" w:hAnsi="Arial" w:cs="Arial"/>
                <w:color w:val="000000"/>
                <w:sz w:val="24"/>
                <w:szCs w:val="24"/>
                <w:lang w:eastAsia="fr-FR"/>
              </w:rPr>
            </w:pPr>
            <w:r w:rsidRPr="00FE2565">
              <w:rPr>
                <w:rFonts w:ascii="Arial" w:eastAsia="Times New Roman" w:hAnsi="Arial" w:cs="Arial"/>
                <w:color w:val="000000"/>
                <w:sz w:val="24"/>
                <w:szCs w:val="24"/>
                <w:lang w:eastAsia="fr-FR"/>
              </w:rPr>
              <w:t>60%</w:t>
            </w:r>
          </w:p>
        </w:tc>
        <w:tc>
          <w:tcPr>
            <w:tcW w:w="1045" w:type="dxa"/>
            <w:shd w:val="clear" w:color="000000" w:fill="D34B07"/>
            <w:noWrap/>
            <w:hideMark/>
          </w:tcPr>
          <w:p w:rsidR="005C014D" w:rsidRPr="00FE2565" w:rsidRDefault="005C014D" w:rsidP="005C014D">
            <w:pPr>
              <w:widowControl w:val="0"/>
              <w:autoSpaceDE w:val="0"/>
              <w:autoSpaceDN w:val="0"/>
              <w:spacing w:after="0" w:line="240" w:lineRule="auto"/>
              <w:jc w:val="right"/>
              <w:rPr>
                <w:rFonts w:ascii="Arial" w:eastAsia="Times New Roman" w:hAnsi="Arial" w:cs="Arial"/>
                <w:color w:val="000000"/>
                <w:sz w:val="24"/>
                <w:szCs w:val="24"/>
                <w:lang w:eastAsia="fr-FR"/>
              </w:rPr>
            </w:pPr>
            <w:r w:rsidRPr="00FE2565">
              <w:rPr>
                <w:rFonts w:ascii="Arial" w:eastAsia="Times New Roman" w:hAnsi="Arial" w:cs="Arial"/>
                <w:color w:val="000000"/>
                <w:sz w:val="24"/>
                <w:szCs w:val="24"/>
                <w:lang w:eastAsia="fr-FR"/>
              </w:rPr>
              <w:t>80%</w:t>
            </w:r>
          </w:p>
        </w:tc>
        <w:tc>
          <w:tcPr>
            <w:tcW w:w="992" w:type="dxa"/>
            <w:shd w:val="clear" w:color="000000" w:fill="D34B07"/>
            <w:noWrap/>
            <w:hideMark/>
          </w:tcPr>
          <w:p w:rsidR="005C014D" w:rsidRPr="00FE2565" w:rsidRDefault="005C014D" w:rsidP="005C014D">
            <w:pPr>
              <w:widowControl w:val="0"/>
              <w:autoSpaceDE w:val="0"/>
              <w:autoSpaceDN w:val="0"/>
              <w:spacing w:after="0" w:line="240" w:lineRule="auto"/>
              <w:jc w:val="right"/>
              <w:rPr>
                <w:rFonts w:ascii="Arial" w:eastAsia="Times New Roman" w:hAnsi="Arial" w:cs="Arial"/>
                <w:color w:val="000000"/>
                <w:sz w:val="24"/>
                <w:szCs w:val="24"/>
                <w:lang w:eastAsia="fr-FR"/>
              </w:rPr>
            </w:pPr>
            <w:r w:rsidRPr="00FE2565">
              <w:rPr>
                <w:rFonts w:ascii="Arial" w:eastAsia="Times New Roman" w:hAnsi="Arial" w:cs="Arial"/>
                <w:color w:val="000000"/>
                <w:sz w:val="24"/>
                <w:szCs w:val="24"/>
                <w:lang w:eastAsia="fr-FR"/>
              </w:rPr>
              <w:t>100%</w:t>
            </w:r>
          </w:p>
        </w:tc>
        <w:tc>
          <w:tcPr>
            <w:tcW w:w="626" w:type="dxa"/>
            <w:shd w:val="clear" w:color="000000" w:fill="FFC000"/>
            <w:noWrap/>
            <w:hideMark/>
          </w:tcPr>
          <w:p w:rsidR="005C014D" w:rsidRPr="00FE2565" w:rsidRDefault="005C014D" w:rsidP="005C014D">
            <w:pPr>
              <w:widowControl w:val="0"/>
              <w:autoSpaceDE w:val="0"/>
              <w:autoSpaceDN w:val="0"/>
              <w:spacing w:after="0" w:line="240" w:lineRule="auto"/>
              <w:jc w:val="right"/>
              <w:rPr>
                <w:rFonts w:ascii="Arial" w:eastAsia="Times New Roman" w:hAnsi="Arial" w:cs="Arial"/>
                <w:color w:val="000000"/>
                <w:sz w:val="24"/>
                <w:szCs w:val="24"/>
                <w:lang w:eastAsia="fr-FR"/>
              </w:rPr>
            </w:pPr>
            <w:r w:rsidRPr="00FE2565">
              <w:rPr>
                <w:rFonts w:ascii="Arial" w:eastAsia="Times New Roman" w:hAnsi="Arial" w:cs="Arial"/>
                <w:color w:val="000000"/>
                <w:sz w:val="24"/>
                <w:szCs w:val="24"/>
                <w:lang w:eastAsia="fr-FR"/>
              </w:rPr>
              <w:t>65%</w:t>
            </w:r>
          </w:p>
        </w:tc>
      </w:tr>
      <w:tr w:rsidR="005C014D" w:rsidRPr="00FE2565" w:rsidTr="001B5FFC">
        <w:trPr>
          <w:trHeight w:val="251"/>
        </w:trPr>
        <w:tc>
          <w:tcPr>
            <w:tcW w:w="950" w:type="dxa"/>
            <w:vMerge/>
            <w:vAlign w:val="center"/>
            <w:hideMark/>
          </w:tcPr>
          <w:p w:rsidR="005C014D" w:rsidRPr="00FE2565" w:rsidRDefault="005C014D" w:rsidP="005C014D">
            <w:pPr>
              <w:widowControl w:val="0"/>
              <w:autoSpaceDE w:val="0"/>
              <w:autoSpaceDN w:val="0"/>
              <w:spacing w:after="0" w:line="240" w:lineRule="auto"/>
              <w:rPr>
                <w:rFonts w:ascii="Arial" w:eastAsia="Times New Roman" w:hAnsi="Arial" w:cs="Arial"/>
                <w:b/>
                <w:bCs/>
                <w:color w:val="000000"/>
                <w:sz w:val="24"/>
                <w:szCs w:val="24"/>
                <w:lang w:eastAsia="fr-FR"/>
              </w:rPr>
            </w:pPr>
          </w:p>
        </w:tc>
        <w:tc>
          <w:tcPr>
            <w:tcW w:w="1080" w:type="dxa"/>
            <w:vMerge/>
            <w:vAlign w:val="center"/>
            <w:hideMark/>
          </w:tcPr>
          <w:p w:rsidR="005C014D" w:rsidRPr="00FE2565" w:rsidRDefault="005C014D" w:rsidP="005C014D">
            <w:pPr>
              <w:widowControl w:val="0"/>
              <w:autoSpaceDE w:val="0"/>
              <w:autoSpaceDN w:val="0"/>
              <w:spacing w:after="0" w:line="240" w:lineRule="auto"/>
              <w:rPr>
                <w:rFonts w:ascii="Arial" w:eastAsia="Times New Roman" w:hAnsi="Arial" w:cs="Arial"/>
                <w:color w:val="000000"/>
                <w:sz w:val="24"/>
                <w:szCs w:val="24"/>
                <w:lang w:eastAsia="fr-FR"/>
              </w:rPr>
            </w:pPr>
          </w:p>
        </w:tc>
        <w:tc>
          <w:tcPr>
            <w:tcW w:w="2293" w:type="dxa"/>
            <w:shd w:val="clear" w:color="auto" w:fill="auto"/>
            <w:noWrap/>
            <w:vAlign w:val="center"/>
            <w:hideMark/>
          </w:tcPr>
          <w:p w:rsidR="005C014D" w:rsidRPr="00FE2565" w:rsidRDefault="005C014D" w:rsidP="005C014D">
            <w:pPr>
              <w:widowControl w:val="0"/>
              <w:autoSpaceDE w:val="0"/>
              <w:autoSpaceDN w:val="0"/>
              <w:spacing w:after="0" w:line="240" w:lineRule="auto"/>
              <w:rPr>
                <w:rFonts w:ascii="Arial" w:eastAsia="Times New Roman" w:hAnsi="Arial" w:cs="Arial"/>
                <w:color w:val="000000"/>
                <w:sz w:val="24"/>
                <w:szCs w:val="24"/>
                <w:lang w:eastAsia="fr-FR"/>
              </w:rPr>
            </w:pPr>
            <w:r w:rsidRPr="00FE2565">
              <w:rPr>
                <w:rFonts w:ascii="Arial" w:eastAsia="Times New Roman" w:hAnsi="Arial" w:cs="Arial"/>
                <w:color w:val="000000"/>
                <w:sz w:val="24"/>
                <w:szCs w:val="24"/>
                <w:lang w:eastAsia="fr-FR"/>
              </w:rPr>
              <w:t>Elklâa</w:t>
            </w:r>
          </w:p>
        </w:tc>
        <w:tc>
          <w:tcPr>
            <w:tcW w:w="676" w:type="dxa"/>
            <w:shd w:val="clear" w:color="000000" w:fill="F4F46C"/>
            <w:noWrap/>
            <w:hideMark/>
          </w:tcPr>
          <w:p w:rsidR="005C014D" w:rsidRPr="00FE2565" w:rsidRDefault="005C014D" w:rsidP="005C014D">
            <w:pPr>
              <w:widowControl w:val="0"/>
              <w:autoSpaceDE w:val="0"/>
              <w:autoSpaceDN w:val="0"/>
              <w:spacing w:after="0" w:line="240" w:lineRule="auto"/>
              <w:jc w:val="right"/>
              <w:rPr>
                <w:rFonts w:ascii="Arial" w:eastAsia="Times New Roman" w:hAnsi="Arial" w:cs="Arial"/>
                <w:color w:val="000000"/>
                <w:sz w:val="24"/>
                <w:szCs w:val="24"/>
                <w:lang w:eastAsia="fr-FR"/>
              </w:rPr>
            </w:pPr>
            <w:r w:rsidRPr="00FE2565">
              <w:rPr>
                <w:rFonts w:ascii="Arial" w:eastAsia="Times New Roman" w:hAnsi="Arial" w:cs="Arial"/>
                <w:color w:val="000000"/>
                <w:sz w:val="24"/>
                <w:szCs w:val="24"/>
                <w:lang w:eastAsia="fr-FR"/>
              </w:rPr>
              <w:t>0%</w:t>
            </w:r>
          </w:p>
        </w:tc>
        <w:tc>
          <w:tcPr>
            <w:tcW w:w="1181" w:type="dxa"/>
            <w:shd w:val="clear" w:color="000000" w:fill="FFC000"/>
            <w:noWrap/>
            <w:hideMark/>
          </w:tcPr>
          <w:p w:rsidR="005C014D" w:rsidRPr="00FE2565" w:rsidRDefault="005C014D" w:rsidP="005C014D">
            <w:pPr>
              <w:widowControl w:val="0"/>
              <w:autoSpaceDE w:val="0"/>
              <w:autoSpaceDN w:val="0"/>
              <w:spacing w:after="0" w:line="240" w:lineRule="auto"/>
              <w:jc w:val="right"/>
              <w:rPr>
                <w:rFonts w:ascii="Arial" w:eastAsia="Times New Roman" w:hAnsi="Arial" w:cs="Arial"/>
                <w:color w:val="000000"/>
                <w:sz w:val="24"/>
                <w:szCs w:val="24"/>
                <w:lang w:eastAsia="fr-FR"/>
              </w:rPr>
            </w:pPr>
            <w:r w:rsidRPr="00FE2565">
              <w:rPr>
                <w:rFonts w:ascii="Arial" w:eastAsia="Times New Roman" w:hAnsi="Arial" w:cs="Arial"/>
                <w:color w:val="000000"/>
                <w:sz w:val="24"/>
                <w:szCs w:val="24"/>
                <w:lang w:eastAsia="fr-FR"/>
              </w:rPr>
              <w:t>60%</w:t>
            </w:r>
          </w:p>
        </w:tc>
        <w:tc>
          <w:tcPr>
            <w:tcW w:w="1045" w:type="dxa"/>
            <w:shd w:val="clear" w:color="000000" w:fill="FFC000"/>
            <w:noWrap/>
            <w:hideMark/>
          </w:tcPr>
          <w:p w:rsidR="005C014D" w:rsidRPr="00FE2565" w:rsidRDefault="005C014D" w:rsidP="005C014D">
            <w:pPr>
              <w:widowControl w:val="0"/>
              <w:autoSpaceDE w:val="0"/>
              <w:autoSpaceDN w:val="0"/>
              <w:spacing w:after="0" w:line="240" w:lineRule="auto"/>
              <w:jc w:val="right"/>
              <w:rPr>
                <w:rFonts w:ascii="Arial" w:eastAsia="Times New Roman" w:hAnsi="Arial" w:cs="Arial"/>
                <w:color w:val="000000"/>
                <w:sz w:val="24"/>
                <w:szCs w:val="24"/>
                <w:lang w:eastAsia="fr-FR"/>
              </w:rPr>
            </w:pPr>
            <w:r w:rsidRPr="00FE2565">
              <w:rPr>
                <w:rFonts w:ascii="Arial" w:eastAsia="Times New Roman" w:hAnsi="Arial" w:cs="Arial"/>
                <w:color w:val="000000"/>
                <w:sz w:val="24"/>
                <w:szCs w:val="24"/>
                <w:lang w:eastAsia="fr-FR"/>
              </w:rPr>
              <w:t>60%</w:t>
            </w:r>
          </w:p>
        </w:tc>
        <w:tc>
          <w:tcPr>
            <w:tcW w:w="992" w:type="dxa"/>
            <w:shd w:val="clear" w:color="000000" w:fill="D34B07"/>
            <w:noWrap/>
            <w:hideMark/>
          </w:tcPr>
          <w:p w:rsidR="005C014D" w:rsidRPr="00FE2565" w:rsidRDefault="005C014D" w:rsidP="005C014D">
            <w:pPr>
              <w:widowControl w:val="0"/>
              <w:autoSpaceDE w:val="0"/>
              <w:autoSpaceDN w:val="0"/>
              <w:spacing w:after="0" w:line="240" w:lineRule="auto"/>
              <w:jc w:val="right"/>
              <w:rPr>
                <w:rFonts w:ascii="Arial" w:eastAsia="Times New Roman" w:hAnsi="Arial" w:cs="Arial"/>
                <w:color w:val="000000"/>
                <w:sz w:val="24"/>
                <w:szCs w:val="24"/>
                <w:lang w:eastAsia="fr-FR"/>
              </w:rPr>
            </w:pPr>
            <w:r w:rsidRPr="00FE2565">
              <w:rPr>
                <w:rFonts w:ascii="Arial" w:eastAsia="Times New Roman" w:hAnsi="Arial" w:cs="Arial"/>
                <w:color w:val="000000"/>
                <w:sz w:val="24"/>
                <w:szCs w:val="24"/>
                <w:lang w:eastAsia="fr-FR"/>
              </w:rPr>
              <w:t>100%</w:t>
            </w:r>
          </w:p>
        </w:tc>
        <w:tc>
          <w:tcPr>
            <w:tcW w:w="626" w:type="dxa"/>
            <w:shd w:val="clear" w:color="000000" w:fill="FFC000"/>
            <w:noWrap/>
            <w:hideMark/>
          </w:tcPr>
          <w:p w:rsidR="005C014D" w:rsidRPr="00FE2565" w:rsidRDefault="005C014D" w:rsidP="005C014D">
            <w:pPr>
              <w:widowControl w:val="0"/>
              <w:autoSpaceDE w:val="0"/>
              <w:autoSpaceDN w:val="0"/>
              <w:spacing w:after="0" w:line="240" w:lineRule="auto"/>
              <w:jc w:val="right"/>
              <w:rPr>
                <w:rFonts w:ascii="Arial" w:eastAsia="Times New Roman" w:hAnsi="Arial" w:cs="Arial"/>
                <w:color w:val="000000"/>
                <w:sz w:val="24"/>
                <w:szCs w:val="24"/>
                <w:lang w:eastAsia="fr-FR"/>
              </w:rPr>
            </w:pPr>
            <w:r w:rsidRPr="00FE2565">
              <w:rPr>
                <w:rFonts w:ascii="Arial" w:eastAsia="Times New Roman" w:hAnsi="Arial" w:cs="Arial"/>
                <w:color w:val="000000"/>
                <w:sz w:val="24"/>
                <w:szCs w:val="24"/>
                <w:lang w:eastAsia="fr-FR"/>
              </w:rPr>
              <w:t>55%</w:t>
            </w:r>
          </w:p>
        </w:tc>
      </w:tr>
      <w:tr w:rsidR="005C014D" w:rsidRPr="00FE2565" w:rsidTr="001B5FFC">
        <w:trPr>
          <w:trHeight w:val="251"/>
        </w:trPr>
        <w:tc>
          <w:tcPr>
            <w:tcW w:w="950" w:type="dxa"/>
            <w:vMerge/>
            <w:vAlign w:val="center"/>
            <w:hideMark/>
          </w:tcPr>
          <w:p w:rsidR="005C014D" w:rsidRPr="00FE2565" w:rsidRDefault="005C014D" w:rsidP="005C014D">
            <w:pPr>
              <w:widowControl w:val="0"/>
              <w:autoSpaceDE w:val="0"/>
              <w:autoSpaceDN w:val="0"/>
              <w:spacing w:after="0" w:line="240" w:lineRule="auto"/>
              <w:rPr>
                <w:rFonts w:ascii="Arial" w:eastAsia="Times New Roman" w:hAnsi="Arial" w:cs="Arial"/>
                <w:b/>
                <w:bCs/>
                <w:color w:val="000000"/>
                <w:sz w:val="24"/>
                <w:szCs w:val="24"/>
                <w:lang w:eastAsia="fr-FR"/>
              </w:rPr>
            </w:pPr>
          </w:p>
        </w:tc>
        <w:tc>
          <w:tcPr>
            <w:tcW w:w="1080" w:type="dxa"/>
            <w:vMerge/>
            <w:vAlign w:val="center"/>
            <w:hideMark/>
          </w:tcPr>
          <w:p w:rsidR="005C014D" w:rsidRPr="00FE2565" w:rsidRDefault="005C014D" w:rsidP="005C014D">
            <w:pPr>
              <w:widowControl w:val="0"/>
              <w:autoSpaceDE w:val="0"/>
              <w:autoSpaceDN w:val="0"/>
              <w:spacing w:after="0" w:line="240" w:lineRule="auto"/>
              <w:rPr>
                <w:rFonts w:ascii="Arial" w:eastAsia="Times New Roman" w:hAnsi="Arial" w:cs="Arial"/>
                <w:color w:val="000000"/>
                <w:sz w:val="24"/>
                <w:szCs w:val="24"/>
                <w:lang w:eastAsia="fr-FR"/>
              </w:rPr>
            </w:pPr>
          </w:p>
        </w:tc>
        <w:tc>
          <w:tcPr>
            <w:tcW w:w="2293" w:type="dxa"/>
            <w:shd w:val="clear" w:color="auto" w:fill="auto"/>
            <w:noWrap/>
            <w:vAlign w:val="center"/>
            <w:hideMark/>
          </w:tcPr>
          <w:p w:rsidR="005C014D" w:rsidRPr="00FE2565" w:rsidRDefault="005C014D" w:rsidP="005C014D">
            <w:pPr>
              <w:widowControl w:val="0"/>
              <w:autoSpaceDE w:val="0"/>
              <w:autoSpaceDN w:val="0"/>
              <w:spacing w:after="0" w:line="240" w:lineRule="auto"/>
              <w:rPr>
                <w:rFonts w:ascii="Arial" w:eastAsia="Times New Roman" w:hAnsi="Arial" w:cs="Arial"/>
                <w:color w:val="000000"/>
                <w:sz w:val="24"/>
                <w:szCs w:val="24"/>
                <w:lang w:eastAsia="fr-FR"/>
              </w:rPr>
            </w:pPr>
            <w:r w:rsidRPr="00FE2565">
              <w:rPr>
                <w:rFonts w:ascii="Arial" w:eastAsia="Times New Roman" w:hAnsi="Arial" w:cs="Arial"/>
                <w:color w:val="000000"/>
                <w:sz w:val="24"/>
                <w:szCs w:val="24"/>
                <w:lang w:eastAsia="fr-FR"/>
              </w:rPr>
              <w:t>Oulad Saîd</w:t>
            </w:r>
          </w:p>
        </w:tc>
        <w:tc>
          <w:tcPr>
            <w:tcW w:w="676" w:type="dxa"/>
            <w:shd w:val="clear" w:color="000000" w:fill="F4F46C"/>
            <w:noWrap/>
            <w:hideMark/>
          </w:tcPr>
          <w:p w:rsidR="005C014D" w:rsidRPr="00FE2565" w:rsidRDefault="005C014D" w:rsidP="005C014D">
            <w:pPr>
              <w:widowControl w:val="0"/>
              <w:autoSpaceDE w:val="0"/>
              <w:autoSpaceDN w:val="0"/>
              <w:spacing w:after="0" w:line="240" w:lineRule="auto"/>
              <w:jc w:val="right"/>
              <w:rPr>
                <w:rFonts w:ascii="Arial" w:eastAsia="Times New Roman" w:hAnsi="Arial" w:cs="Arial"/>
                <w:color w:val="000000"/>
                <w:sz w:val="24"/>
                <w:szCs w:val="24"/>
                <w:lang w:eastAsia="fr-FR"/>
              </w:rPr>
            </w:pPr>
            <w:r w:rsidRPr="00FE2565">
              <w:rPr>
                <w:rFonts w:ascii="Arial" w:eastAsia="Times New Roman" w:hAnsi="Arial" w:cs="Arial"/>
                <w:color w:val="000000"/>
                <w:sz w:val="24"/>
                <w:szCs w:val="24"/>
                <w:lang w:eastAsia="fr-FR"/>
              </w:rPr>
              <w:t>0%</w:t>
            </w:r>
          </w:p>
        </w:tc>
        <w:tc>
          <w:tcPr>
            <w:tcW w:w="1181" w:type="dxa"/>
            <w:shd w:val="clear" w:color="000000" w:fill="FFC000"/>
            <w:noWrap/>
            <w:hideMark/>
          </w:tcPr>
          <w:p w:rsidR="005C014D" w:rsidRPr="00FE2565" w:rsidRDefault="005C014D" w:rsidP="005C014D">
            <w:pPr>
              <w:widowControl w:val="0"/>
              <w:autoSpaceDE w:val="0"/>
              <w:autoSpaceDN w:val="0"/>
              <w:spacing w:after="0" w:line="240" w:lineRule="auto"/>
              <w:jc w:val="right"/>
              <w:rPr>
                <w:rFonts w:ascii="Arial" w:eastAsia="Times New Roman" w:hAnsi="Arial" w:cs="Arial"/>
                <w:color w:val="000000"/>
                <w:sz w:val="24"/>
                <w:szCs w:val="24"/>
                <w:lang w:eastAsia="fr-FR"/>
              </w:rPr>
            </w:pPr>
            <w:r w:rsidRPr="00FE2565">
              <w:rPr>
                <w:rFonts w:ascii="Arial" w:eastAsia="Times New Roman" w:hAnsi="Arial" w:cs="Arial"/>
                <w:color w:val="000000"/>
                <w:sz w:val="24"/>
                <w:szCs w:val="24"/>
                <w:lang w:eastAsia="fr-FR"/>
              </w:rPr>
              <w:t>67%</w:t>
            </w:r>
          </w:p>
        </w:tc>
        <w:tc>
          <w:tcPr>
            <w:tcW w:w="1045" w:type="dxa"/>
            <w:shd w:val="clear" w:color="000000" w:fill="F4F46C"/>
            <w:noWrap/>
            <w:hideMark/>
          </w:tcPr>
          <w:p w:rsidR="005C014D" w:rsidRPr="00FE2565" w:rsidRDefault="005C014D" w:rsidP="005C014D">
            <w:pPr>
              <w:widowControl w:val="0"/>
              <w:autoSpaceDE w:val="0"/>
              <w:autoSpaceDN w:val="0"/>
              <w:spacing w:after="0" w:line="240" w:lineRule="auto"/>
              <w:jc w:val="right"/>
              <w:rPr>
                <w:rFonts w:ascii="Arial" w:eastAsia="Times New Roman" w:hAnsi="Arial" w:cs="Arial"/>
                <w:color w:val="000000"/>
                <w:sz w:val="24"/>
                <w:szCs w:val="24"/>
                <w:lang w:eastAsia="fr-FR"/>
              </w:rPr>
            </w:pPr>
            <w:r w:rsidRPr="00FE2565">
              <w:rPr>
                <w:rFonts w:ascii="Arial" w:eastAsia="Times New Roman" w:hAnsi="Arial" w:cs="Arial"/>
                <w:color w:val="000000"/>
                <w:sz w:val="24"/>
                <w:szCs w:val="24"/>
                <w:lang w:eastAsia="fr-FR"/>
              </w:rPr>
              <w:t>33%</w:t>
            </w:r>
          </w:p>
        </w:tc>
        <w:tc>
          <w:tcPr>
            <w:tcW w:w="992" w:type="dxa"/>
            <w:shd w:val="clear" w:color="000000" w:fill="FFC000"/>
            <w:noWrap/>
            <w:hideMark/>
          </w:tcPr>
          <w:p w:rsidR="005C014D" w:rsidRPr="00FE2565" w:rsidRDefault="005C014D" w:rsidP="005C014D">
            <w:pPr>
              <w:widowControl w:val="0"/>
              <w:autoSpaceDE w:val="0"/>
              <w:autoSpaceDN w:val="0"/>
              <w:spacing w:after="0" w:line="240" w:lineRule="auto"/>
              <w:jc w:val="right"/>
              <w:rPr>
                <w:rFonts w:ascii="Arial" w:eastAsia="Times New Roman" w:hAnsi="Arial" w:cs="Arial"/>
                <w:color w:val="000000"/>
                <w:sz w:val="24"/>
                <w:szCs w:val="24"/>
                <w:lang w:eastAsia="fr-FR"/>
              </w:rPr>
            </w:pPr>
            <w:r w:rsidRPr="00FE2565">
              <w:rPr>
                <w:rFonts w:ascii="Arial" w:eastAsia="Times New Roman" w:hAnsi="Arial" w:cs="Arial"/>
                <w:color w:val="000000"/>
                <w:sz w:val="24"/>
                <w:szCs w:val="24"/>
                <w:lang w:eastAsia="fr-FR"/>
              </w:rPr>
              <w:t>67%</w:t>
            </w:r>
          </w:p>
        </w:tc>
        <w:tc>
          <w:tcPr>
            <w:tcW w:w="626" w:type="dxa"/>
            <w:shd w:val="clear" w:color="000000" w:fill="F4F46C"/>
            <w:noWrap/>
            <w:hideMark/>
          </w:tcPr>
          <w:p w:rsidR="005C014D" w:rsidRPr="00FE2565" w:rsidRDefault="005C014D" w:rsidP="005C014D">
            <w:pPr>
              <w:widowControl w:val="0"/>
              <w:autoSpaceDE w:val="0"/>
              <w:autoSpaceDN w:val="0"/>
              <w:spacing w:after="0" w:line="240" w:lineRule="auto"/>
              <w:jc w:val="right"/>
              <w:rPr>
                <w:rFonts w:ascii="Arial" w:eastAsia="Times New Roman" w:hAnsi="Arial" w:cs="Arial"/>
                <w:color w:val="000000"/>
                <w:sz w:val="24"/>
                <w:szCs w:val="24"/>
                <w:lang w:eastAsia="fr-FR"/>
              </w:rPr>
            </w:pPr>
            <w:r w:rsidRPr="00FE2565">
              <w:rPr>
                <w:rFonts w:ascii="Arial" w:eastAsia="Times New Roman" w:hAnsi="Arial" w:cs="Arial"/>
                <w:color w:val="000000"/>
                <w:sz w:val="24"/>
                <w:szCs w:val="24"/>
                <w:lang w:eastAsia="fr-FR"/>
              </w:rPr>
              <w:t>42%</w:t>
            </w:r>
          </w:p>
        </w:tc>
      </w:tr>
      <w:tr w:rsidR="005C014D" w:rsidRPr="00FE2565" w:rsidTr="001B5FFC">
        <w:trPr>
          <w:trHeight w:val="251"/>
        </w:trPr>
        <w:tc>
          <w:tcPr>
            <w:tcW w:w="950" w:type="dxa"/>
            <w:vMerge/>
            <w:vAlign w:val="center"/>
            <w:hideMark/>
          </w:tcPr>
          <w:p w:rsidR="005C014D" w:rsidRPr="00FE2565" w:rsidRDefault="005C014D" w:rsidP="005C014D">
            <w:pPr>
              <w:widowControl w:val="0"/>
              <w:autoSpaceDE w:val="0"/>
              <w:autoSpaceDN w:val="0"/>
              <w:spacing w:after="0" w:line="240" w:lineRule="auto"/>
              <w:rPr>
                <w:rFonts w:ascii="Arial" w:eastAsia="Times New Roman" w:hAnsi="Arial" w:cs="Arial"/>
                <w:b/>
                <w:bCs/>
                <w:color w:val="000000"/>
                <w:sz w:val="24"/>
                <w:szCs w:val="24"/>
                <w:lang w:eastAsia="fr-FR"/>
              </w:rPr>
            </w:pPr>
          </w:p>
        </w:tc>
        <w:tc>
          <w:tcPr>
            <w:tcW w:w="1080" w:type="dxa"/>
            <w:vMerge/>
            <w:vAlign w:val="center"/>
            <w:hideMark/>
          </w:tcPr>
          <w:p w:rsidR="005C014D" w:rsidRPr="00FE2565" w:rsidRDefault="005C014D" w:rsidP="005C014D">
            <w:pPr>
              <w:widowControl w:val="0"/>
              <w:autoSpaceDE w:val="0"/>
              <w:autoSpaceDN w:val="0"/>
              <w:spacing w:after="0" w:line="240" w:lineRule="auto"/>
              <w:rPr>
                <w:rFonts w:ascii="Arial" w:eastAsia="Times New Roman" w:hAnsi="Arial" w:cs="Arial"/>
                <w:color w:val="000000"/>
                <w:sz w:val="24"/>
                <w:szCs w:val="24"/>
                <w:lang w:eastAsia="fr-FR"/>
              </w:rPr>
            </w:pPr>
          </w:p>
        </w:tc>
        <w:tc>
          <w:tcPr>
            <w:tcW w:w="2293" w:type="dxa"/>
            <w:shd w:val="clear" w:color="auto" w:fill="auto"/>
            <w:noWrap/>
            <w:vAlign w:val="center"/>
            <w:hideMark/>
          </w:tcPr>
          <w:p w:rsidR="005C014D" w:rsidRPr="00FE2565" w:rsidRDefault="005C014D" w:rsidP="005C014D">
            <w:pPr>
              <w:widowControl w:val="0"/>
              <w:autoSpaceDE w:val="0"/>
              <w:autoSpaceDN w:val="0"/>
              <w:spacing w:after="0" w:line="240" w:lineRule="auto"/>
              <w:rPr>
                <w:rFonts w:ascii="Arial" w:eastAsia="Times New Roman" w:hAnsi="Arial" w:cs="Arial"/>
                <w:color w:val="000000"/>
                <w:sz w:val="24"/>
                <w:szCs w:val="24"/>
                <w:lang w:eastAsia="fr-FR"/>
              </w:rPr>
            </w:pPr>
            <w:r w:rsidRPr="00FE2565">
              <w:rPr>
                <w:rFonts w:ascii="Arial" w:eastAsia="Times New Roman" w:hAnsi="Arial" w:cs="Arial"/>
                <w:color w:val="000000"/>
                <w:sz w:val="24"/>
                <w:szCs w:val="24"/>
                <w:lang w:eastAsia="fr-FR"/>
              </w:rPr>
              <w:t>Oulad Azzouz</w:t>
            </w:r>
          </w:p>
        </w:tc>
        <w:tc>
          <w:tcPr>
            <w:tcW w:w="676" w:type="dxa"/>
            <w:shd w:val="clear" w:color="000000" w:fill="F4F46C"/>
            <w:noWrap/>
            <w:hideMark/>
          </w:tcPr>
          <w:p w:rsidR="005C014D" w:rsidRPr="00FE2565" w:rsidRDefault="005C014D" w:rsidP="005C014D">
            <w:pPr>
              <w:widowControl w:val="0"/>
              <w:autoSpaceDE w:val="0"/>
              <w:autoSpaceDN w:val="0"/>
              <w:spacing w:after="0" w:line="240" w:lineRule="auto"/>
              <w:jc w:val="right"/>
              <w:rPr>
                <w:rFonts w:ascii="Arial" w:eastAsia="Times New Roman" w:hAnsi="Arial" w:cs="Arial"/>
                <w:color w:val="000000"/>
                <w:sz w:val="24"/>
                <w:szCs w:val="24"/>
                <w:lang w:eastAsia="fr-FR"/>
              </w:rPr>
            </w:pPr>
            <w:r w:rsidRPr="00FE2565">
              <w:rPr>
                <w:rFonts w:ascii="Arial" w:eastAsia="Times New Roman" w:hAnsi="Arial" w:cs="Arial"/>
                <w:color w:val="000000"/>
                <w:sz w:val="24"/>
                <w:szCs w:val="24"/>
                <w:lang w:eastAsia="fr-FR"/>
              </w:rPr>
              <w:t>0%</w:t>
            </w:r>
          </w:p>
        </w:tc>
        <w:tc>
          <w:tcPr>
            <w:tcW w:w="1181" w:type="dxa"/>
            <w:shd w:val="clear" w:color="000000" w:fill="F4F46C"/>
            <w:noWrap/>
            <w:hideMark/>
          </w:tcPr>
          <w:p w:rsidR="005C014D" w:rsidRPr="00FE2565" w:rsidRDefault="005C014D" w:rsidP="005C014D">
            <w:pPr>
              <w:widowControl w:val="0"/>
              <w:autoSpaceDE w:val="0"/>
              <w:autoSpaceDN w:val="0"/>
              <w:spacing w:after="0" w:line="240" w:lineRule="auto"/>
              <w:jc w:val="right"/>
              <w:rPr>
                <w:rFonts w:ascii="Arial" w:eastAsia="Times New Roman" w:hAnsi="Arial" w:cs="Arial"/>
                <w:color w:val="000000"/>
                <w:sz w:val="24"/>
                <w:szCs w:val="24"/>
                <w:lang w:eastAsia="fr-FR"/>
              </w:rPr>
            </w:pPr>
            <w:r w:rsidRPr="00FE2565">
              <w:rPr>
                <w:rFonts w:ascii="Arial" w:eastAsia="Times New Roman" w:hAnsi="Arial" w:cs="Arial"/>
                <w:color w:val="000000"/>
                <w:sz w:val="24"/>
                <w:szCs w:val="24"/>
                <w:lang w:eastAsia="fr-FR"/>
              </w:rPr>
              <w:t>40%</w:t>
            </w:r>
          </w:p>
        </w:tc>
        <w:tc>
          <w:tcPr>
            <w:tcW w:w="1045" w:type="dxa"/>
            <w:shd w:val="clear" w:color="000000" w:fill="D34B07"/>
            <w:noWrap/>
            <w:hideMark/>
          </w:tcPr>
          <w:p w:rsidR="005C014D" w:rsidRPr="00FE2565" w:rsidRDefault="005C014D" w:rsidP="005C014D">
            <w:pPr>
              <w:widowControl w:val="0"/>
              <w:autoSpaceDE w:val="0"/>
              <w:autoSpaceDN w:val="0"/>
              <w:spacing w:after="0" w:line="240" w:lineRule="auto"/>
              <w:jc w:val="right"/>
              <w:rPr>
                <w:rFonts w:ascii="Arial" w:eastAsia="Times New Roman" w:hAnsi="Arial" w:cs="Arial"/>
                <w:color w:val="000000"/>
                <w:sz w:val="24"/>
                <w:szCs w:val="24"/>
                <w:lang w:eastAsia="fr-FR"/>
              </w:rPr>
            </w:pPr>
            <w:r w:rsidRPr="00FE2565">
              <w:rPr>
                <w:rFonts w:ascii="Arial" w:eastAsia="Times New Roman" w:hAnsi="Arial" w:cs="Arial"/>
                <w:color w:val="000000"/>
                <w:sz w:val="24"/>
                <w:szCs w:val="24"/>
                <w:lang w:eastAsia="fr-FR"/>
              </w:rPr>
              <w:t>100%</w:t>
            </w:r>
          </w:p>
        </w:tc>
        <w:tc>
          <w:tcPr>
            <w:tcW w:w="992" w:type="dxa"/>
            <w:shd w:val="clear" w:color="000000" w:fill="D34B07"/>
            <w:noWrap/>
            <w:hideMark/>
          </w:tcPr>
          <w:p w:rsidR="005C014D" w:rsidRPr="00FE2565" w:rsidRDefault="005C014D" w:rsidP="005C014D">
            <w:pPr>
              <w:widowControl w:val="0"/>
              <w:autoSpaceDE w:val="0"/>
              <w:autoSpaceDN w:val="0"/>
              <w:spacing w:after="0" w:line="240" w:lineRule="auto"/>
              <w:jc w:val="right"/>
              <w:rPr>
                <w:rFonts w:ascii="Arial" w:eastAsia="Times New Roman" w:hAnsi="Arial" w:cs="Arial"/>
                <w:color w:val="000000"/>
                <w:sz w:val="24"/>
                <w:szCs w:val="24"/>
                <w:lang w:eastAsia="fr-FR"/>
              </w:rPr>
            </w:pPr>
            <w:r w:rsidRPr="00FE2565">
              <w:rPr>
                <w:rFonts w:ascii="Arial" w:eastAsia="Times New Roman" w:hAnsi="Arial" w:cs="Arial"/>
                <w:color w:val="000000"/>
                <w:sz w:val="24"/>
                <w:szCs w:val="24"/>
                <w:lang w:eastAsia="fr-FR"/>
              </w:rPr>
              <w:t>80%</w:t>
            </w:r>
          </w:p>
        </w:tc>
        <w:tc>
          <w:tcPr>
            <w:tcW w:w="626" w:type="dxa"/>
            <w:shd w:val="clear" w:color="000000" w:fill="FFC000"/>
            <w:noWrap/>
            <w:hideMark/>
          </w:tcPr>
          <w:p w:rsidR="005C014D" w:rsidRPr="00FE2565" w:rsidRDefault="005C014D" w:rsidP="005C014D">
            <w:pPr>
              <w:widowControl w:val="0"/>
              <w:autoSpaceDE w:val="0"/>
              <w:autoSpaceDN w:val="0"/>
              <w:spacing w:after="0" w:line="240" w:lineRule="auto"/>
              <w:jc w:val="right"/>
              <w:rPr>
                <w:rFonts w:ascii="Arial" w:eastAsia="Times New Roman" w:hAnsi="Arial" w:cs="Arial"/>
                <w:color w:val="000000"/>
                <w:sz w:val="24"/>
                <w:szCs w:val="24"/>
                <w:lang w:eastAsia="fr-FR"/>
              </w:rPr>
            </w:pPr>
            <w:r w:rsidRPr="00FE2565">
              <w:rPr>
                <w:rFonts w:ascii="Arial" w:eastAsia="Times New Roman" w:hAnsi="Arial" w:cs="Arial"/>
                <w:color w:val="000000"/>
                <w:sz w:val="24"/>
                <w:szCs w:val="24"/>
                <w:lang w:eastAsia="fr-FR"/>
              </w:rPr>
              <w:t>55%</w:t>
            </w:r>
          </w:p>
        </w:tc>
      </w:tr>
      <w:tr w:rsidR="005C014D" w:rsidRPr="00FE2565" w:rsidTr="001B5FFC">
        <w:trPr>
          <w:trHeight w:val="251"/>
        </w:trPr>
        <w:tc>
          <w:tcPr>
            <w:tcW w:w="950" w:type="dxa"/>
            <w:vMerge w:val="restart"/>
            <w:shd w:val="clear" w:color="auto" w:fill="auto"/>
            <w:vAlign w:val="center"/>
            <w:hideMark/>
          </w:tcPr>
          <w:p w:rsidR="005C014D" w:rsidRPr="00FE2565" w:rsidRDefault="005C014D" w:rsidP="005C014D">
            <w:pPr>
              <w:widowControl w:val="0"/>
              <w:autoSpaceDE w:val="0"/>
              <w:autoSpaceDN w:val="0"/>
              <w:spacing w:after="0" w:line="240" w:lineRule="auto"/>
              <w:jc w:val="center"/>
              <w:rPr>
                <w:rFonts w:ascii="Arial" w:eastAsia="Times New Roman" w:hAnsi="Arial" w:cs="Arial"/>
                <w:b/>
                <w:bCs/>
                <w:color w:val="000000"/>
                <w:sz w:val="24"/>
                <w:szCs w:val="24"/>
                <w:lang w:eastAsia="fr-FR"/>
              </w:rPr>
            </w:pPr>
            <w:r w:rsidRPr="00FE2565">
              <w:rPr>
                <w:rFonts w:ascii="Arial" w:eastAsia="Times New Roman" w:hAnsi="Arial" w:cs="Arial"/>
                <w:b/>
                <w:bCs/>
                <w:color w:val="000000"/>
                <w:sz w:val="24"/>
                <w:szCs w:val="24"/>
                <w:lang w:eastAsia="fr-FR"/>
              </w:rPr>
              <w:t>Khémisset</w:t>
            </w:r>
          </w:p>
        </w:tc>
        <w:tc>
          <w:tcPr>
            <w:tcW w:w="1080" w:type="dxa"/>
            <w:vMerge w:val="restart"/>
            <w:shd w:val="clear" w:color="auto" w:fill="auto"/>
            <w:noWrap/>
            <w:vAlign w:val="center"/>
            <w:hideMark/>
          </w:tcPr>
          <w:p w:rsidR="005C014D" w:rsidRPr="00FE2565" w:rsidRDefault="005C014D" w:rsidP="005C014D">
            <w:pPr>
              <w:widowControl w:val="0"/>
              <w:autoSpaceDE w:val="0"/>
              <w:autoSpaceDN w:val="0"/>
              <w:spacing w:after="0" w:line="240" w:lineRule="auto"/>
              <w:jc w:val="center"/>
              <w:rPr>
                <w:rFonts w:ascii="Arial" w:eastAsia="Times New Roman" w:hAnsi="Arial" w:cs="Arial"/>
                <w:color w:val="000000"/>
                <w:sz w:val="24"/>
                <w:szCs w:val="24"/>
                <w:lang w:eastAsia="fr-FR"/>
              </w:rPr>
            </w:pPr>
            <w:r w:rsidRPr="00FE2565">
              <w:rPr>
                <w:rFonts w:ascii="Arial" w:eastAsia="Times New Roman" w:hAnsi="Arial" w:cs="Arial"/>
                <w:color w:val="000000"/>
                <w:sz w:val="24"/>
                <w:szCs w:val="24"/>
                <w:lang w:eastAsia="fr-FR"/>
              </w:rPr>
              <w:t>Merchouch</w:t>
            </w:r>
          </w:p>
        </w:tc>
        <w:tc>
          <w:tcPr>
            <w:tcW w:w="2293" w:type="dxa"/>
            <w:shd w:val="clear" w:color="auto" w:fill="auto"/>
            <w:noWrap/>
            <w:vAlign w:val="center"/>
            <w:hideMark/>
          </w:tcPr>
          <w:p w:rsidR="005C014D" w:rsidRPr="00FE2565" w:rsidRDefault="005C014D" w:rsidP="005C014D">
            <w:pPr>
              <w:widowControl w:val="0"/>
              <w:autoSpaceDE w:val="0"/>
              <w:autoSpaceDN w:val="0"/>
              <w:spacing w:after="0" w:line="240" w:lineRule="auto"/>
              <w:rPr>
                <w:rFonts w:ascii="Arial" w:eastAsia="Times New Roman" w:hAnsi="Arial" w:cs="Arial"/>
                <w:color w:val="000000"/>
                <w:sz w:val="24"/>
                <w:szCs w:val="24"/>
                <w:lang w:eastAsia="fr-FR"/>
              </w:rPr>
            </w:pPr>
            <w:r w:rsidRPr="00FE2565">
              <w:rPr>
                <w:rFonts w:ascii="Arial" w:eastAsia="Times New Roman" w:hAnsi="Arial" w:cs="Arial"/>
                <w:color w:val="000000"/>
                <w:sz w:val="24"/>
                <w:szCs w:val="24"/>
                <w:lang w:eastAsia="fr-FR"/>
              </w:rPr>
              <w:t>Lmhafid</w:t>
            </w:r>
          </w:p>
        </w:tc>
        <w:tc>
          <w:tcPr>
            <w:tcW w:w="676" w:type="dxa"/>
            <w:shd w:val="clear" w:color="000000" w:fill="F4F46C"/>
            <w:noWrap/>
            <w:hideMark/>
          </w:tcPr>
          <w:p w:rsidR="005C014D" w:rsidRPr="00FE2565" w:rsidRDefault="005C014D" w:rsidP="005C014D">
            <w:pPr>
              <w:widowControl w:val="0"/>
              <w:autoSpaceDE w:val="0"/>
              <w:autoSpaceDN w:val="0"/>
              <w:spacing w:after="0" w:line="240" w:lineRule="auto"/>
              <w:jc w:val="right"/>
              <w:rPr>
                <w:rFonts w:ascii="Arial" w:eastAsia="Times New Roman" w:hAnsi="Arial" w:cs="Arial"/>
                <w:color w:val="000000"/>
                <w:sz w:val="24"/>
                <w:szCs w:val="24"/>
                <w:lang w:eastAsia="fr-FR"/>
              </w:rPr>
            </w:pPr>
            <w:r w:rsidRPr="00FE2565">
              <w:rPr>
                <w:rFonts w:ascii="Arial" w:eastAsia="Times New Roman" w:hAnsi="Arial" w:cs="Arial"/>
                <w:color w:val="000000"/>
                <w:sz w:val="24"/>
                <w:szCs w:val="24"/>
                <w:lang w:eastAsia="fr-FR"/>
              </w:rPr>
              <w:t>0%</w:t>
            </w:r>
          </w:p>
        </w:tc>
        <w:tc>
          <w:tcPr>
            <w:tcW w:w="1181" w:type="dxa"/>
            <w:shd w:val="clear" w:color="000000" w:fill="F4F46C"/>
            <w:noWrap/>
            <w:hideMark/>
          </w:tcPr>
          <w:p w:rsidR="005C014D" w:rsidRPr="00FE2565" w:rsidRDefault="005C014D" w:rsidP="005C014D">
            <w:pPr>
              <w:widowControl w:val="0"/>
              <w:autoSpaceDE w:val="0"/>
              <w:autoSpaceDN w:val="0"/>
              <w:spacing w:after="0" w:line="240" w:lineRule="auto"/>
              <w:jc w:val="right"/>
              <w:rPr>
                <w:rFonts w:ascii="Arial" w:eastAsia="Times New Roman" w:hAnsi="Arial" w:cs="Arial"/>
                <w:color w:val="000000"/>
                <w:sz w:val="24"/>
                <w:szCs w:val="24"/>
                <w:lang w:eastAsia="fr-FR"/>
              </w:rPr>
            </w:pPr>
            <w:r w:rsidRPr="00FE2565">
              <w:rPr>
                <w:rFonts w:ascii="Arial" w:eastAsia="Times New Roman" w:hAnsi="Arial" w:cs="Arial"/>
                <w:color w:val="000000"/>
                <w:sz w:val="24"/>
                <w:szCs w:val="24"/>
                <w:lang w:eastAsia="fr-FR"/>
              </w:rPr>
              <w:t>40%</w:t>
            </w:r>
          </w:p>
        </w:tc>
        <w:tc>
          <w:tcPr>
            <w:tcW w:w="1045" w:type="dxa"/>
            <w:shd w:val="clear" w:color="000000" w:fill="D34B07"/>
            <w:noWrap/>
            <w:hideMark/>
          </w:tcPr>
          <w:p w:rsidR="005C014D" w:rsidRPr="00FE2565" w:rsidRDefault="005C014D" w:rsidP="005C014D">
            <w:pPr>
              <w:widowControl w:val="0"/>
              <w:autoSpaceDE w:val="0"/>
              <w:autoSpaceDN w:val="0"/>
              <w:spacing w:after="0" w:line="240" w:lineRule="auto"/>
              <w:jc w:val="right"/>
              <w:rPr>
                <w:rFonts w:ascii="Arial" w:eastAsia="Times New Roman" w:hAnsi="Arial" w:cs="Arial"/>
                <w:color w:val="000000"/>
                <w:sz w:val="24"/>
                <w:szCs w:val="24"/>
                <w:lang w:eastAsia="fr-FR"/>
              </w:rPr>
            </w:pPr>
            <w:r w:rsidRPr="00FE2565">
              <w:rPr>
                <w:rFonts w:ascii="Arial" w:eastAsia="Times New Roman" w:hAnsi="Arial" w:cs="Arial"/>
                <w:color w:val="000000"/>
                <w:sz w:val="24"/>
                <w:szCs w:val="24"/>
                <w:lang w:eastAsia="fr-FR"/>
              </w:rPr>
              <w:t>80%</w:t>
            </w:r>
          </w:p>
        </w:tc>
        <w:tc>
          <w:tcPr>
            <w:tcW w:w="992" w:type="dxa"/>
            <w:shd w:val="clear" w:color="000000" w:fill="D34B07"/>
            <w:noWrap/>
            <w:hideMark/>
          </w:tcPr>
          <w:p w:rsidR="005C014D" w:rsidRPr="00FE2565" w:rsidRDefault="005C014D" w:rsidP="005C014D">
            <w:pPr>
              <w:widowControl w:val="0"/>
              <w:autoSpaceDE w:val="0"/>
              <w:autoSpaceDN w:val="0"/>
              <w:spacing w:after="0" w:line="240" w:lineRule="auto"/>
              <w:jc w:val="right"/>
              <w:rPr>
                <w:rFonts w:ascii="Arial" w:eastAsia="Times New Roman" w:hAnsi="Arial" w:cs="Arial"/>
                <w:color w:val="000000"/>
                <w:sz w:val="24"/>
                <w:szCs w:val="24"/>
                <w:lang w:eastAsia="fr-FR"/>
              </w:rPr>
            </w:pPr>
            <w:r w:rsidRPr="00FE2565">
              <w:rPr>
                <w:rFonts w:ascii="Arial" w:eastAsia="Times New Roman" w:hAnsi="Arial" w:cs="Arial"/>
                <w:color w:val="000000"/>
                <w:sz w:val="24"/>
                <w:szCs w:val="24"/>
                <w:lang w:eastAsia="fr-FR"/>
              </w:rPr>
              <w:t>100%</w:t>
            </w:r>
          </w:p>
        </w:tc>
        <w:tc>
          <w:tcPr>
            <w:tcW w:w="626" w:type="dxa"/>
            <w:shd w:val="clear" w:color="000000" w:fill="FFC000"/>
            <w:noWrap/>
            <w:hideMark/>
          </w:tcPr>
          <w:p w:rsidR="005C014D" w:rsidRPr="00FE2565" w:rsidRDefault="005C014D" w:rsidP="005C014D">
            <w:pPr>
              <w:widowControl w:val="0"/>
              <w:autoSpaceDE w:val="0"/>
              <w:autoSpaceDN w:val="0"/>
              <w:spacing w:after="0" w:line="240" w:lineRule="auto"/>
              <w:jc w:val="right"/>
              <w:rPr>
                <w:rFonts w:ascii="Arial" w:eastAsia="Times New Roman" w:hAnsi="Arial" w:cs="Arial"/>
                <w:color w:val="000000"/>
                <w:sz w:val="24"/>
                <w:szCs w:val="24"/>
                <w:lang w:eastAsia="fr-FR"/>
              </w:rPr>
            </w:pPr>
            <w:r w:rsidRPr="00FE2565">
              <w:rPr>
                <w:rFonts w:ascii="Arial" w:eastAsia="Times New Roman" w:hAnsi="Arial" w:cs="Arial"/>
                <w:color w:val="000000"/>
                <w:sz w:val="24"/>
                <w:szCs w:val="24"/>
                <w:lang w:eastAsia="fr-FR"/>
              </w:rPr>
              <w:t>55%</w:t>
            </w:r>
          </w:p>
        </w:tc>
      </w:tr>
      <w:tr w:rsidR="005C014D" w:rsidRPr="00FE2565" w:rsidTr="001B5FFC">
        <w:trPr>
          <w:trHeight w:val="251"/>
        </w:trPr>
        <w:tc>
          <w:tcPr>
            <w:tcW w:w="950" w:type="dxa"/>
            <w:vMerge/>
            <w:vAlign w:val="center"/>
            <w:hideMark/>
          </w:tcPr>
          <w:p w:rsidR="005C014D" w:rsidRPr="00FE2565" w:rsidRDefault="005C014D" w:rsidP="005C014D">
            <w:pPr>
              <w:widowControl w:val="0"/>
              <w:autoSpaceDE w:val="0"/>
              <w:autoSpaceDN w:val="0"/>
              <w:spacing w:after="0" w:line="240" w:lineRule="auto"/>
              <w:rPr>
                <w:rFonts w:ascii="Arial" w:eastAsia="Times New Roman" w:hAnsi="Arial" w:cs="Arial"/>
                <w:b/>
                <w:bCs/>
                <w:color w:val="000000"/>
                <w:sz w:val="24"/>
                <w:szCs w:val="24"/>
                <w:lang w:eastAsia="fr-FR"/>
              </w:rPr>
            </w:pPr>
          </w:p>
        </w:tc>
        <w:tc>
          <w:tcPr>
            <w:tcW w:w="1080" w:type="dxa"/>
            <w:vMerge/>
            <w:vAlign w:val="center"/>
            <w:hideMark/>
          </w:tcPr>
          <w:p w:rsidR="005C014D" w:rsidRPr="00FE2565" w:rsidRDefault="005C014D" w:rsidP="005C014D">
            <w:pPr>
              <w:widowControl w:val="0"/>
              <w:autoSpaceDE w:val="0"/>
              <w:autoSpaceDN w:val="0"/>
              <w:spacing w:after="0" w:line="240" w:lineRule="auto"/>
              <w:rPr>
                <w:rFonts w:ascii="Arial" w:eastAsia="Times New Roman" w:hAnsi="Arial" w:cs="Arial"/>
                <w:color w:val="000000"/>
                <w:sz w:val="24"/>
                <w:szCs w:val="24"/>
                <w:lang w:eastAsia="fr-FR"/>
              </w:rPr>
            </w:pPr>
          </w:p>
        </w:tc>
        <w:tc>
          <w:tcPr>
            <w:tcW w:w="2293" w:type="dxa"/>
            <w:shd w:val="clear" w:color="auto" w:fill="auto"/>
            <w:noWrap/>
            <w:vAlign w:val="center"/>
            <w:hideMark/>
          </w:tcPr>
          <w:p w:rsidR="005C014D" w:rsidRPr="00FE2565" w:rsidRDefault="005C014D" w:rsidP="005C014D">
            <w:pPr>
              <w:widowControl w:val="0"/>
              <w:autoSpaceDE w:val="0"/>
              <w:autoSpaceDN w:val="0"/>
              <w:spacing w:after="0" w:line="240" w:lineRule="auto"/>
              <w:rPr>
                <w:rFonts w:ascii="Arial" w:eastAsia="Times New Roman" w:hAnsi="Arial" w:cs="Arial"/>
                <w:color w:val="000000"/>
                <w:sz w:val="24"/>
                <w:szCs w:val="24"/>
                <w:lang w:eastAsia="fr-FR"/>
              </w:rPr>
            </w:pPr>
            <w:r w:rsidRPr="00FE2565">
              <w:rPr>
                <w:rFonts w:ascii="Arial" w:eastAsia="Times New Roman" w:hAnsi="Arial" w:cs="Arial"/>
                <w:color w:val="000000"/>
                <w:sz w:val="24"/>
                <w:szCs w:val="24"/>
                <w:lang w:eastAsia="fr-FR"/>
              </w:rPr>
              <w:t>Chlihiyine</w:t>
            </w:r>
          </w:p>
        </w:tc>
        <w:tc>
          <w:tcPr>
            <w:tcW w:w="676" w:type="dxa"/>
            <w:shd w:val="clear" w:color="000000" w:fill="F4F46C"/>
            <w:noWrap/>
            <w:hideMark/>
          </w:tcPr>
          <w:p w:rsidR="005C014D" w:rsidRPr="00FE2565" w:rsidRDefault="005C014D" w:rsidP="005C014D">
            <w:pPr>
              <w:widowControl w:val="0"/>
              <w:autoSpaceDE w:val="0"/>
              <w:autoSpaceDN w:val="0"/>
              <w:spacing w:after="0" w:line="240" w:lineRule="auto"/>
              <w:jc w:val="right"/>
              <w:rPr>
                <w:rFonts w:ascii="Arial" w:eastAsia="Times New Roman" w:hAnsi="Arial" w:cs="Arial"/>
                <w:color w:val="000000"/>
                <w:sz w:val="24"/>
                <w:szCs w:val="24"/>
                <w:lang w:eastAsia="fr-FR"/>
              </w:rPr>
            </w:pPr>
            <w:r w:rsidRPr="00FE2565">
              <w:rPr>
                <w:rFonts w:ascii="Arial" w:eastAsia="Times New Roman" w:hAnsi="Arial" w:cs="Arial"/>
                <w:color w:val="000000"/>
                <w:sz w:val="24"/>
                <w:szCs w:val="24"/>
                <w:lang w:eastAsia="fr-FR"/>
              </w:rPr>
              <w:t>0%</w:t>
            </w:r>
          </w:p>
        </w:tc>
        <w:tc>
          <w:tcPr>
            <w:tcW w:w="1181" w:type="dxa"/>
            <w:shd w:val="clear" w:color="000000" w:fill="FFC000"/>
            <w:noWrap/>
            <w:hideMark/>
          </w:tcPr>
          <w:p w:rsidR="005C014D" w:rsidRPr="00FE2565" w:rsidRDefault="005C014D" w:rsidP="005C014D">
            <w:pPr>
              <w:widowControl w:val="0"/>
              <w:autoSpaceDE w:val="0"/>
              <w:autoSpaceDN w:val="0"/>
              <w:spacing w:after="0" w:line="240" w:lineRule="auto"/>
              <w:jc w:val="right"/>
              <w:rPr>
                <w:rFonts w:ascii="Arial" w:eastAsia="Times New Roman" w:hAnsi="Arial" w:cs="Arial"/>
                <w:color w:val="000000"/>
                <w:sz w:val="24"/>
                <w:szCs w:val="24"/>
                <w:lang w:eastAsia="fr-FR"/>
              </w:rPr>
            </w:pPr>
            <w:r w:rsidRPr="00FE2565">
              <w:rPr>
                <w:rFonts w:ascii="Arial" w:eastAsia="Times New Roman" w:hAnsi="Arial" w:cs="Arial"/>
                <w:color w:val="000000"/>
                <w:sz w:val="24"/>
                <w:szCs w:val="24"/>
                <w:lang w:eastAsia="fr-FR"/>
              </w:rPr>
              <w:t>50%</w:t>
            </w:r>
          </w:p>
        </w:tc>
        <w:tc>
          <w:tcPr>
            <w:tcW w:w="1045" w:type="dxa"/>
            <w:shd w:val="clear" w:color="000000" w:fill="F4F46C"/>
            <w:noWrap/>
            <w:hideMark/>
          </w:tcPr>
          <w:p w:rsidR="005C014D" w:rsidRPr="00FE2565" w:rsidRDefault="005C014D" w:rsidP="005C014D">
            <w:pPr>
              <w:widowControl w:val="0"/>
              <w:autoSpaceDE w:val="0"/>
              <w:autoSpaceDN w:val="0"/>
              <w:spacing w:after="0" w:line="240" w:lineRule="auto"/>
              <w:jc w:val="right"/>
              <w:rPr>
                <w:rFonts w:ascii="Arial" w:eastAsia="Times New Roman" w:hAnsi="Arial" w:cs="Arial"/>
                <w:color w:val="000000"/>
                <w:sz w:val="24"/>
                <w:szCs w:val="24"/>
                <w:lang w:eastAsia="fr-FR"/>
              </w:rPr>
            </w:pPr>
            <w:r w:rsidRPr="00FE2565">
              <w:rPr>
                <w:rFonts w:ascii="Arial" w:eastAsia="Times New Roman" w:hAnsi="Arial" w:cs="Arial"/>
                <w:color w:val="000000"/>
                <w:sz w:val="24"/>
                <w:szCs w:val="24"/>
                <w:lang w:eastAsia="fr-FR"/>
              </w:rPr>
              <w:t>40%</w:t>
            </w:r>
          </w:p>
        </w:tc>
        <w:tc>
          <w:tcPr>
            <w:tcW w:w="992" w:type="dxa"/>
            <w:shd w:val="clear" w:color="000000" w:fill="D34B07"/>
            <w:noWrap/>
            <w:hideMark/>
          </w:tcPr>
          <w:p w:rsidR="005C014D" w:rsidRPr="00FE2565" w:rsidRDefault="005C014D" w:rsidP="005C014D">
            <w:pPr>
              <w:widowControl w:val="0"/>
              <w:autoSpaceDE w:val="0"/>
              <w:autoSpaceDN w:val="0"/>
              <w:spacing w:after="0" w:line="240" w:lineRule="auto"/>
              <w:jc w:val="right"/>
              <w:rPr>
                <w:rFonts w:ascii="Arial" w:eastAsia="Times New Roman" w:hAnsi="Arial" w:cs="Arial"/>
                <w:color w:val="000000"/>
                <w:sz w:val="24"/>
                <w:szCs w:val="24"/>
                <w:lang w:eastAsia="fr-FR"/>
              </w:rPr>
            </w:pPr>
            <w:r w:rsidRPr="00FE2565">
              <w:rPr>
                <w:rFonts w:ascii="Arial" w:eastAsia="Times New Roman" w:hAnsi="Arial" w:cs="Arial"/>
                <w:color w:val="000000"/>
                <w:sz w:val="24"/>
                <w:szCs w:val="24"/>
                <w:lang w:eastAsia="fr-FR"/>
              </w:rPr>
              <w:t>100%</w:t>
            </w:r>
          </w:p>
        </w:tc>
        <w:tc>
          <w:tcPr>
            <w:tcW w:w="626" w:type="dxa"/>
            <w:shd w:val="clear" w:color="000000" w:fill="FFC000"/>
            <w:noWrap/>
            <w:hideMark/>
          </w:tcPr>
          <w:p w:rsidR="005C014D" w:rsidRPr="00FE2565" w:rsidRDefault="005C014D" w:rsidP="005C014D">
            <w:pPr>
              <w:widowControl w:val="0"/>
              <w:autoSpaceDE w:val="0"/>
              <w:autoSpaceDN w:val="0"/>
              <w:spacing w:after="0" w:line="240" w:lineRule="auto"/>
              <w:jc w:val="right"/>
              <w:rPr>
                <w:rFonts w:ascii="Arial" w:eastAsia="Times New Roman" w:hAnsi="Arial" w:cs="Arial"/>
                <w:color w:val="000000"/>
                <w:sz w:val="24"/>
                <w:szCs w:val="24"/>
                <w:lang w:eastAsia="fr-FR"/>
              </w:rPr>
            </w:pPr>
            <w:r w:rsidRPr="00FE2565">
              <w:rPr>
                <w:rFonts w:ascii="Arial" w:eastAsia="Times New Roman" w:hAnsi="Arial" w:cs="Arial"/>
                <w:color w:val="000000"/>
                <w:sz w:val="24"/>
                <w:szCs w:val="24"/>
                <w:lang w:eastAsia="fr-FR"/>
              </w:rPr>
              <w:t>48%</w:t>
            </w:r>
          </w:p>
        </w:tc>
      </w:tr>
      <w:tr w:rsidR="005C014D" w:rsidRPr="00FE2565" w:rsidTr="001B5FFC">
        <w:trPr>
          <w:trHeight w:val="251"/>
        </w:trPr>
        <w:tc>
          <w:tcPr>
            <w:tcW w:w="950" w:type="dxa"/>
            <w:vMerge/>
            <w:vAlign w:val="center"/>
            <w:hideMark/>
          </w:tcPr>
          <w:p w:rsidR="005C014D" w:rsidRPr="00FE2565" w:rsidRDefault="005C014D" w:rsidP="005C014D">
            <w:pPr>
              <w:widowControl w:val="0"/>
              <w:autoSpaceDE w:val="0"/>
              <w:autoSpaceDN w:val="0"/>
              <w:spacing w:after="0" w:line="240" w:lineRule="auto"/>
              <w:rPr>
                <w:rFonts w:ascii="Arial" w:eastAsia="Times New Roman" w:hAnsi="Arial" w:cs="Arial"/>
                <w:b/>
                <w:bCs/>
                <w:color w:val="000000"/>
                <w:sz w:val="24"/>
                <w:szCs w:val="24"/>
                <w:lang w:eastAsia="fr-FR"/>
              </w:rPr>
            </w:pPr>
          </w:p>
        </w:tc>
        <w:tc>
          <w:tcPr>
            <w:tcW w:w="1080" w:type="dxa"/>
            <w:vMerge w:val="restart"/>
            <w:shd w:val="clear" w:color="auto" w:fill="auto"/>
            <w:noWrap/>
            <w:vAlign w:val="center"/>
            <w:hideMark/>
          </w:tcPr>
          <w:p w:rsidR="005C014D" w:rsidRPr="00FE2565" w:rsidRDefault="005C014D" w:rsidP="005C014D">
            <w:pPr>
              <w:widowControl w:val="0"/>
              <w:autoSpaceDE w:val="0"/>
              <w:autoSpaceDN w:val="0"/>
              <w:spacing w:after="0" w:line="240" w:lineRule="auto"/>
              <w:jc w:val="center"/>
              <w:rPr>
                <w:rFonts w:ascii="Arial" w:eastAsia="Times New Roman" w:hAnsi="Arial" w:cs="Arial"/>
                <w:color w:val="000000"/>
                <w:sz w:val="24"/>
                <w:szCs w:val="24"/>
                <w:lang w:eastAsia="fr-FR"/>
              </w:rPr>
            </w:pPr>
            <w:r w:rsidRPr="00FE2565">
              <w:rPr>
                <w:rFonts w:ascii="Arial" w:eastAsia="Times New Roman" w:hAnsi="Arial" w:cs="Arial"/>
                <w:color w:val="000000"/>
                <w:sz w:val="24"/>
                <w:szCs w:val="24"/>
                <w:lang w:eastAsia="fr-FR"/>
              </w:rPr>
              <w:t xml:space="preserve">Brachoua </w:t>
            </w:r>
          </w:p>
        </w:tc>
        <w:tc>
          <w:tcPr>
            <w:tcW w:w="2293" w:type="dxa"/>
            <w:shd w:val="clear" w:color="auto" w:fill="auto"/>
            <w:noWrap/>
            <w:vAlign w:val="center"/>
            <w:hideMark/>
          </w:tcPr>
          <w:p w:rsidR="005C014D" w:rsidRPr="00FE2565" w:rsidRDefault="005C014D" w:rsidP="005C014D">
            <w:pPr>
              <w:widowControl w:val="0"/>
              <w:autoSpaceDE w:val="0"/>
              <w:autoSpaceDN w:val="0"/>
              <w:spacing w:after="0" w:line="240" w:lineRule="auto"/>
              <w:rPr>
                <w:rFonts w:ascii="Arial" w:eastAsia="Times New Roman" w:hAnsi="Arial" w:cs="Arial"/>
                <w:color w:val="000000"/>
                <w:sz w:val="24"/>
                <w:szCs w:val="24"/>
                <w:lang w:eastAsia="fr-FR"/>
              </w:rPr>
            </w:pPr>
            <w:r w:rsidRPr="00FE2565">
              <w:rPr>
                <w:rFonts w:ascii="Arial" w:eastAsia="Times New Roman" w:hAnsi="Arial" w:cs="Arial"/>
                <w:color w:val="000000"/>
                <w:sz w:val="24"/>
                <w:szCs w:val="24"/>
                <w:lang w:eastAsia="fr-FR"/>
              </w:rPr>
              <w:t>Oulad Oumrane</w:t>
            </w:r>
          </w:p>
        </w:tc>
        <w:tc>
          <w:tcPr>
            <w:tcW w:w="676" w:type="dxa"/>
            <w:shd w:val="clear" w:color="000000" w:fill="F4F46C"/>
            <w:noWrap/>
            <w:hideMark/>
          </w:tcPr>
          <w:p w:rsidR="005C014D" w:rsidRPr="00FE2565" w:rsidRDefault="005C014D" w:rsidP="005C014D">
            <w:pPr>
              <w:widowControl w:val="0"/>
              <w:autoSpaceDE w:val="0"/>
              <w:autoSpaceDN w:val="0"/>
              <w:spacing w:after="0" w:line="240" w:lineRule="auto"/>
              <w:jc w:val="right"/>
              <w:rPr>
                <w:rFonts w:ascii="Arial" w:eastAsia="Times New Roman" w:hAnsi="Arial" w:cs="Arial"/>
                <w:color w:val="000000"/>
                <w:sz w:val="24"/>
                <w:szCs w:val="24"/>
                <w:lang w:eastAsia="fr-FR"/>
              </w:rPr>
            </w:pPr>
            <w:r w:rsidRPr="00FE2565">
              <w:rPr>
                <w:rFonts w:ascii="Arial" w:eastAsia="Times New Roman" w:hAnsi="Arial" w:cs="Arial"/>
                <w:color w:val="000000"/>
                <w:sz w:val="24"/>
                <w:szCs w:val="24"/>
                <w:lang w:eastAsia="fr-FR"/>
              </w:rPr>
              <w:t>0%</w:t>
            </w:r>
          </w:p>
        </w:tc>
        <w:tc>
          <w:tcPr>
            <w:tcW w:w="1181" w:type="dxa"/>
            <w:shd w:val="clear" w:color="000000" w:fill="F4F46C"/>
            <w:noWrap/>
            <w:hideMark/>
          </w:tcPr>
          <w:p w:rsidR="005C014D" w:rsidRPr="00FE2565" w:rsidRDefault="005C014D" w:rsidP="005C014D">
            <w:pPr>
              <w:widowControl w:val="0"/>
              <w:autoSpaceDE w:val="0"/>
              <w:autoSpaceDN w:val="0"/>
              <w:spacing w:after="0" w:line="240" w:lineRule="auto"/>
              <w:jc w:val="right"/>
              <w:rPr>
                <w:rFonts w:ascii="Arial" w:eastAsia="Times New Roman" w:hAnsi="Arial" w:cs="Arial"/>
                <w:color w:val="000000"/>
                <w:sz w:val="24"/>
                <w:szCs w:val="24"/>
                <w:lang w:eastAsia="fr-FR"/>
              </w:rPr>
            </w:pPr>
            <w:r w:rsidRPr="00FE2565">
              <w:rPr>
                <w:rFonts w:ascii="Arial" w:eastAsia="Times New Roman" w:hAnsi="Arial" w:cs="Arial"/>
                <w:color w:val="000000"/>
                <w:sz w:val="24"/>
                <w:szCs w:val="24"/>
                <w:lang w:eastAsia="fr-FR"/>
              </w:rPr>
              <w:t>20%</w:t>
            </w:r>
          </w:p>
        </w:tc>
        <w:tc>
          <w:tcPr>
            <w:tcW w:w="1045" w:type="dxa"/>
            <w:shd w:val="clear" w:color="000000" w:fill="FFC000"/>
            <w:noWrap/>
            <w:hideMark/>
          </w:tcPr>
          <w:p w:rsidR="005C014D" w:rsidRPr="00FE2565" w:rsidRDefault="005C014D" w:rsidP="005C014D">
            <w:pPr>
              <w:widowControl w:val="0"/>
              <w:autoSpaceDE w:val="0"/>
              <w:autoSpaceDN w:val="0"/>
              <w:spacing w:after="0" w:line="240" w:lineRule="auto"/>
              <w:jc w:val="right"/>
              <w:rPr>
                <w:rFonts w:ascii="Arial" w:eastAsia="Times New Roman" w:hAnsi="Arial" w:cs="Arial"/>
                <w:color w:val="000000"/>
                <w:sz w:val="24"/>
                <w:szCs w:val="24"/>
                <w:lang w:eastAsia="fr-FR"/>
              </w:rPr>
            </w:pPr>
            <w:r w:rsidRPr="00FE2565">
              <w:rPr>
                <w:rFonts w:ascii="Arial" w:eastAsia="Times New Roman" w:hAnsi="Arial" w:cs="Arial"/>
                <w:color w:val="000000"/>
                <w:sz w:val="24"/>
                <w:szCs w:val="24"/>
                <w:lang w:eastAsia="fr-FR"/>
              </w:rPr>
              <w:t>60%</w:t>
            </w:r>
          </w:p>
        </w:tc>
        <w:tc>
          <w:tcPr>
            <w:tcW w:w="992" w:type="dxa"/>
            <w:shd w:val="clear" w:color="000000" w:fill="D34B07"/>
            <w:noWrap/>
            <w:hideMark/>
          </w:tcPr>
          <w:p w:rsidR="005C014D" w:rsidRPr="00FE2565" w:rsidRDefault="005C014D" w:rsidP="005C014D">
            <w:pPr>
              <w:widowControl w:val="0"/>
              <w:autoSpaceDE w:val="0"/>
              <w:autoSpaceDN w:val="0"/>
              <w:spacing w:after="0" w:line="240" w:lineRule="auto"/>
              <w:jc w:val="right"/>
              <w:rPr>
                <w:rFonts w:ascii="Arial" w:eastAsia="Times New Roman" w:hAnsi="Arial" w:cs="Arial"/>
                <w:color w:val="000000"/>
                <w:sz w:val="24"/>
                <w:szCs w:val="24"/>
                <w:lang w:eastAsia="fr-FR"/>
              </w:rPr>
            </w:pPr>
            <w:r w:rsidRPr="00FE2565">
              <w:rPr>
                <w:rFonts w:ascii="Arial" w:eastAsia="Times New Roman" w:hAnsi="Arial" w:cs="Arial"/>
                <w:color w:val="000000"/>
                <w:sz w:val="24"/>
                <w:szCs w:val="24"/>
                <w:lang w:eastAsia="fr-FR"/>
              </w:rPr>
              <w:t>100%</w:t>
            </w:r>
          </w:p>
        </w:tc>
        <w:tc>
          <w:tcPr>
            <w:tcW w:w="626" w:type="dxa"/>
            <w:shd w:val="clear" w:color="000000" w:fill="FFC000"/>
            <w:noWrap/>
            <w:hideMark/>
          </w:tcPr>
          <w:p w:rsidR="005C014D" w:rsidRPr="00FE2565" w:rsidRDefault="005C014D" w:rsidP="005C014D">
            <w:pPr>
              <w:widowControl w:val="0"/>
              <w:autoSpaceDE w:val="0"/>
              <w:autoSpaceDN w:val="0"/>
              <w:spacing w:after="0" w:line="240" w:lineRule="auto"/>
              <w:jc w:val="right"/>
              <w:rPr>
                <w:rFonts w:ascii="Arial" w:eastAsia="Times New Roman" w:hAnsi="Arial" w:cs="Arial"/>
                <w:color w:val="000000"/>
                <w:sz w:val="24"/>
                <w:szCs w:val="24"/>
                <w:lang w:eastAsia="fr-FR"/>
              </w:rPr>
            </w:pPr>
            <w:r w:rsidRPr="00FE2565">
              <w:rPr>
                <w:rFonts w:ascii="Arial" w:eastAsia="Times New Roman" w:hAnsi="Arial" w:cs="Arial"/>
                <w:color w:val="000000"/>
                <w:sz w:val="24"/>
                <w:szCs w:val="24"/>
                <w:lang w:eastAsia="fr-FR"/>
              </w:rPr>
              <w:t>45%</w:t>
            </w:r>
          </w:p>
        </w:tc>
      </w:tr>
      <w:tr w:rsidR="005C014D" w:rsidRPr="00FE2565" w:rsidTr="001B5FFC">
        <w:trPr>
          <w:trHeight w:val="70"/>
        </w:trPr>
        <w:tc>
          <w:tcPr>
            <w:tcW w:w="950" w:type="dxa"/>
            <w:vMerge/>
            <w:vAlign w:val="center"/>
            <w:hideMark/>
          </w:tcPr>
          <w:p w:rsidR="005C014D" w:rsidRPr="00FE2565" w:rsidRDefault="005C014D" w:rsidP="005C014D">
            <w:pPr>
              <w:widowControl w:val="0"/>
              <w:autoSpaceDE w:val="0"/>
              <w:autoSpaceDN w:val="0"/>
              <w:spacing w:after="0" w:line="240" w:lineRule="auto"/>
              <w:rPr>
                <w:rFonts w:ascii="Arial" w:eastAsia="Times New Roman" w:hAnsi="Arial" w:cs="Arial"/>
                <w:b/>
                <w:bCs/>
                <w:color w:val="000000"/>
                <w:sz w:val="24"/>
                <w:szCs w:val="24"/>
                <w:lang w:eastAsia="fr-FR"/>
              </w:rPr>
            </w:pPr>
          </w:p>
        </w:tc>
        <w:tc>
          <w:tcPr>
            <w:tcW w:w="1080" w:type="dxa"/>
            <w:vMerge/>
            <w:vAlign w:val="center"/>
            <w:hideMark/>
          </w:tcPr>
          <w:p w:rsidR="005C014D" w:rsidRPr="00FE2565" w:rsidRDefault="005C014D" w:rsidP="005C014D">
            <w:pPr>
              <w:widowControl w:val="0"/>
              <w:autoSpaceDE w:val="0"/>
              <w:autoSpaceDN w:val="0"/>
              <w:spacing w:after="0" w:line="240" w:lineRule="auto"/>
              <w:rPr>
                <w:rFonts w:ascii="Arial" w:eastAsia="Times New Roman" w:hAnsi="Arial" w:cs="Arial"/>
                <w:color w:val="000000"/>
                <w:sz w:val="24"/>
                <w:szCs w:val="24"/>
                <w:lang w:eastAsia="fr-FR"/>
              </w:rPr>
            </w:pPr>
          </w:p>
        </w:tc>
        <w:tc>
          <w:tcPr>
            <w:tcW w:w="2293" w:type="dxa"/>
            <w:shd w:val="clear" w:color="auto" w:fill="auto"/>
            <w:noWrap/>
            <w:vAlign w:val="center"/>
            <w:hideMark/>
          </w:tcPr>
          <w:p w:rsidR="005C014D" w:rsidRPr="00FE2565" w:rsidRDefault="005C014D" w:rsidP="005C014D">
            <w:pPr>
              <w:widowControl w:val="0"/>
              <w:autoSpaceDE w:val="0"/>
              <w:autoSpaceDN w:val="0"/>
              <w:spacing w:after="0" w:line="240" w:lineRule="auto"/>
              <w:rPr>
                <w:rFonts w:ascii="Arial" w:eastAsia="Times New Roman" w:hAnsi="Arial" w:cs="Arial"/>
                <w:color w:val="000000"/>
                <w:sz w:val="24"/>
                <w:szCs w:val="24"/>
                <w:lang w:eastAsia="fr-FR"/>
              </w:rPr>
            </w:pPr>
            <w:r w:rsidRPr="00FE2565">
              <w:rPr>
                <w:rFonts w:ascii="Arial" w:eastAsia="Times New Roman" w:hAnsi="Arial" w:cs="Arial"/>
                <w:color w:val="000000"/>
                <w:sz w:val="24"/>
                <w:szCs w:val="24"/>
                <w:lang w:eastAsia="fr-FR"/>
              </w:rPr>
              <w:t>Ait Ali</w:t>
            </w:r>
          </w:p>
        </w:tc>
        <w:tc>
          <w:tcPr>
            <w:tcW w:w="676" w:type="dxa"/>
            <w:shd w:val="clear" w:color="000000" w:fill="F4F46C"/>
            <w:noWrap/>
            <w:hideMark/>
          </w:tcPr>
          <w:p w:rsidR="005C014D" w:rsidRPr="00FE2565" w:rsidRDefault="005C014D" w:rsidP="005C014D">
            <w:pPr>
              <w:widowControl w:val="0"/>
              <w:autoSpaceDE w:val="0"/>
              <w:autoSpaceDN w:val="0"/>
              <w:spacing w:after="0" w:line="240" w:lineRule="auto"/>
              <w:jc w:val="right"/>
              <w:rPr>
                <w:rFonts w:ascii="Arial" w:eastAsia="Times New Roman" w:hAnsi="Arial" w:cs="Arial"/>
                <w:color w:val="000000"/>
                <w:sz w:val="24"/>
                <w:szCs w:val="24"/>
                <w:lang w:eastAsia="fr-FR"/>
              </w:rPr>
            </w:pPr>
            <w:r w:rsidRPr="00FE2565">
              <w:rPr>
                <w:rFonts w:ascii="Arial" w:eastAsia="Times New Roman" w:hAnsi="Arial" w:cs="Arial"/>
                <w:color w:val="000000"/>
                <w:sz w:val="24"/>
                <w:szCs w:val="24"/>
                <w:lang w:eastAsia="fr-FR"/>
              </w:rPr>
              <w:t>0%</w:t>
            </w:r>
          </w:p>
        </w:tc>
        <w:tc>
          <w:tcPr>
            <w:tcW w:w="1181" w:type="dxa"/>
            <w:shd w:val="clear" w:color="000000" w:fill="F4F46C"/>
            <w:noWrap/>
            <w:hideMark/>
          </w:tcPr>
          <w:p w:rsidR="005C014D" w:rsidRPr="00FE2565" w:rsidRDefault="005C014D" w:rsidP="005C014D">
            <w:pPr>
              <w:widowControl w:val="0"/>
              <w:autoSpaceDE w:val="0"/>
              <w:autoSpaceDN w:val="0"/>
              <w:spacing w:after="0" w:line="240" w:lineRule="auto"/>
              <w:jc w:val="right"/>
              <w:rPr>
                <w:rFonts w:ascii="Arial" w:eastAsia="Times New Roman" w:hAnsi="Arial" w:cs="Arial"/>
                <w:color w:val="000000"/>
                <w:sz w:val="24"/>
                <w:szCs w:val="24"/>
                <w:lang w:eastAsia="fr-FR"/>
              </w:rPr>
            </w:pPr>
            <w:r w:rsidRPr="00FE2565">
              <w:rPr>
                <w:rFonts w:ascii="Arial" w:eastAsia="Times New Roman" w:hAnsi="Arial" w:cs="Arial"/>
                <w:color w:val="000000"/>
                <w:sz w:val="24"/>
                <w:szCs w:val="24"/>
                <w:lang w:eastAsia="fr-FR"/>
              </w:rPr>
              <w:t>20%</w:t>
            </w:r>
          </w:p>
        </w:tc>
        <w:tc>
          <w:tcPr>
            <w:tcW w:w="1045" w:type="dxa"/>
            <w:shd w:val="clear" w:color="000000" w:fill="D34B07"/>
            <w:noWrap/>
            <w:hideMark/>
          </w:tcPr>
          <w:p w:rsidR="005C014D" w:rsidRPr="00FE2565" w:rsidRDefault="005C014D" w:rsidP="005C014D">
            <w:pPr>
              <w:widowControl w:val="0"/>
              <w:autoSpaceDE w:val="0"/>
              <w:autoSpaceDN w:val="0"/>
              <w:spacing w:after="0" w:line="240" w:lineRule="auto"/>
              <w:jc w:val="right"/>
              <w:rPr>
                <w:rFonts w:ascii="Arial" w:eastAsia="Times New Roman" w:hAnsi="Arial" w:cs="Arial"/>
                <w:color w:val="000000"/>
                <w:sz w:val="24"/>
                <w:szCs w:val="24"/>
                <w:lang w:eastAsia="fr-FR"/>
              </w:rPr>
            </w:pPr>
            <w:r w:rsidRPr="00FE2565">
              <w:rPr>
                <w:rFonts w:ascii="Arial" w:eastAsia="Times New Roman" w:hAnsi="Arial" w:cs="Arial"/>
                <w:color w:val="000000"/>
                <w:sz w:val="24"/>
                <w:szCs w:val="24"/>
                <w:lang w:eastAsia="fr-FR"/>
              </w:rPr>
              <w:t>80%</w:t>
            </w:r>
          </w:p>
        </w:tc>
        <w:tc>
          <w:tcPr>
            <w:tcW w:w="992" w:type="dxa"/>
            <w:shd w:val="clear" w:color="000000" w:fill="D34B07"/>
            <w:noWrap/>
            <w:hideMark/>
          </w:tcPr>
          <w:p w:rsidR="005C014D" w:rsidRPr="00FE2565" w:rsidRDefault="005C014D" w:rsidP="005C014D">
            <w:pPr>
              <w:widowControl w:val="0"/>
              <w:autoSpaceDE w:val="0"/>
              <w:autoSpaceDN w:val="0"/>
              <w:spacing w:after="0" w:line="240" w:lineRule="auto"/>
              <w:jc w:val="right"/>
              <w:rPr>
                <w:rFonts w:ascii="Arial" w:eastAsia="Times New Roman" w:hAnsi="Arial" w:cs="Arial"/>
                <w:color w:val="000000"/>
                <w:sz w:val="24"/>
                <w:szCs w:val="24"/>
                <w:lang w:eastAsia="fr-FR"/>
              </w:rPr>
            </w:pPr>
            <w:r w:rsidRPr="00FE2565">
              <w:rPr>
                <w:rFonts w:ascii="Arial" w:eastAsia="Times New Roman" w:hAnsi="Arial" w:cs="Arial"/>
                <w:color w:val="000000"/>
                <w:sz w:val="24"/>
                <w:szCs w:val="24"/>
                <w:lang w:eastAsia="fr-FR"/>
              </w:rPr>
              <w:t>100%</w:t>
            </w:r>
          </w:p>
        </w:tc>
        <w:tc>
          <w:tcPr>
            <w:tcW w:w="626" w:type="dxa"/>
            <w:shd w:val="clear" w:color="000000" w:fill="FFC000"/>
            <w:noWrap/>
            <w:hideMark/>
          </w:tcPr>
          <w:p w:rsidR="005C014D" w:rsidRPr="00FE2565" w:rsidRDefault="005C014D" w:rsidP="005C014D">
            <w:pPr>
              <w:widowControl w:val="0"/>
              <w:autoSpaceDE w:val="0"/>
              <w:autoSpaceDN w:val="0"/>
              <w:spacing w:after="0" w:line="240" w:lineRule="auto"/>
              <w:jc w:val="right"/>
              <w:rPr>
                <w:rFonts w:ascii="Arial" w:eastAsia="Times New Roman" w:hAnsi="Arial" w:cs="Arial"/>
                <w:color w:val="000000"/>
                <w:sz w:val="24"/>
                <w:szCs w:val="24"/>
                <w:lang w:eastAsia="fr-FR"/>
              </w:rPr>
            </w:pPr>
            <w:r w:rsidRPr="00FE2565">
              <w:rPr>
                <w:rFonts w:ascii="Arial" w:eastAsia="Times New Roman" w:hAnsi="Arial" w:cs="Arial"/>
                <w:color w:val="000000"/>
                <w:sz w:val="24"/>
                <w:szCs w:val="24"/>
                <w:lang w:eastAsia="fr-FR"/>
              </w:rPr>
              <w:t>50%</w:t>
            </w:r>
          </w:p>
        </w:tc>
      </w:tr>
      <w:tr w:rsidR="005C014D" w:rsidRPr="00FE2565" w:rsidTr="001B5FFC">
        <w:trPr>
          <w:trHeight w:val="251"/>
        </w:trPr>
        <w:tc>
          <w:tcPr>
            <w:tcW w:w="950" w:type="dxa"/>
            <w:vMerge/>
            <w:vAlign w:val="center"/>
            <w:hideMark/>
          </w:tcPr>
          <w:p w:rsidR="005C014D" w:rsidRPr="00FE2565" w:rsidRDefault="005C014D" w:rsidP="005C014D">
            <w:pPr>
              <w:widowControl w:val="0"/>
              <w:autoSpaceDE w:val="0"/>
              <w:autoSpaceDN w:val="0"/>
              <w:spacing w:after="0" w:line="240" w:lineRule="auto"/>
              <w:rPr>
                <w:rFonts w:ascii="Arial" w:eastAsia="Times New Roman" w:hAnsi="Arial" w:cs="Arial"/>
                <w:b/>
                <w:bCs/>
                <w:color w:val="000000"/>
                <w:sz w:val="24"/>
                <w:szCs w:val="24"/>
                <w:lang w:eastAsia="fr-FR"/>
              </w:rPr>
            </w:pPr>
          </w:p>
        </w:tc>
        <w:tc>
          <w:tcPr>
            <w:tcW w:w="1080" w:type="dxa"/>
            <w:vMerge/>
            <w:vAlign w:val="center"/>
            <w:hideMark/>
          </w:tcPr>
          <w:p w:rsidR="005C014D" w:rsidRPr="00FE2565" w:rsidRDefault="005C014D" w:rsidP="005C014D">
            <w:pPr>
              <w:widowControl w:val="0"/>
              <w:autoSpaceDE w:val="0"/>
              <w:autoSpaceDN w:val="0"/>
              <w:spacing w:after="0" w:line="240" w:lineRule="auto"/>
              <w:rPr>
                <w:rFonts w:ascii="Arial" w:eastAsia="Times New Roman" w:hAnsi="Arial" w:cs="Arial"/>
                <w:color w:val="000000"/>
                <w:sz w:val="24"/>
                <w:szCs w:val="24"/>
                <w:lang w:eastAsia="fr-FR"/>
              </w:rPr>
            </w:pPr>
          </w:p>
        </w:tc>
        <w:tc>
          <w:tcPr>
            <w:tcW w:w="2293" w:type="dxa"/>
            <w:shd w:val="clear" w:color="auto" w:fill="auto"/>
            <w:noWrap/>
            <w:vAlign w:val="center"/>
            <w:hideMark/>
          </w:tcPr>
          <w:p w:rsidR="005C014D" w:rsidRPr="00FE2565" w:rsidRDefault="005C014D" w:rsidP="005C014D">
            <w:pPr>
              <w:widowControl w:val="0"/>
              <w:autoSpaceDE w:val="0"/>
              <w:autoSpaceDN w:val="0"/>
              <w:spacing w:after="0" w:line="240" w:lineRule="auto"/>
              <w:rPr>
                <w:rFonts w:ascii="Arial" w:eastAsia="Times New Roman" w:hAnsi="Arial" w:cs="Arial"/>
                <w:color w:val="000000"/>
                <w:sz w:val="24"/>
                <w:szCs w:val="24"/>
                <w:lang w:eastAsia="fr-FR"/>
              </w:rPr>
            </w:pPr>
            <w:r w:rsidRPr="00FE2565">
              <w:rPr>
                <w:rFonts w:ascii="Arial" w:eastAsia="Times New Roman" w:hAnsi="Arial" w:cs="Arial"/>
                <w:color w:val="000000"/>
                <w:sz w:val="24"/>
                <w:szCs w:val="24"/>
                <w:lang w:eastAsia="fr-FR"/>
              </w:rPr>
              <w:t>Lbghada</w:t>
            </w:r>
          </w:p>
        </w:tc>
        <w:tc>
          <w:tcPr>
            <w:tcW w:w="676" w:type="dxa"/>
            <w:shd w:val="clear" w:color="000000" w:fill="F4F46C"/>
            <w:noWrap/>
            <w:hideMark/>
          </w:tcPr>
          <w:p w:rsidR="005C014D" w:rsidRPr="00FE2565" w:rsidRDefault="005C014D" w:rsidP="005C014D">
            <w:pPr>
              <w:widowControl w:val="0"/>
              <w:autoSpaceDE w:val="0"/>
              <w:autoSpaceDN w:val="0"/>
              <w:spacing w:after="0" w:line="240" w:lineRule="auto"/>
              <w:jc w:val="right"/>
              <w:rPr>
                <w:rFonts w:ascii="Arial" w:eastAsia="Times New Roman" w:hAnsi="Arial" w:cs="Arial"/>
                <w:color w:val="000000"/>
                <w:sz w:val="24"/>
                <w:szCs w:val="24"/>
                <w:lang w:eastAsia="fr-FR"/>
              </w:rPr>
            </w:pPr>
            <w:r w:rsidRPr="00FE2565">
              <w:rPr>
                <w:rFonts w:ascii="Arial" w:eastAsia="Times New Roman" w:hAnsi="Arial" w:cs="Arial"/>
                <w:color w:val="000000"/>
                <w:sz w:val="24"/>
                <w:szCs w:val="24"/>
                <w:lang w:eastAsia="fr-FR"/>
              </w:rPr>
              <w:t>0%</w:t>
            </w:r>
          </w:p>
        </w:tc>
        <w:tc>
          <w:tcPr>
            <w:tcW w:w="1181" w:type="dxa"/>
            <w:shd w:val="clear" w:color="000000" w:fill="D34B07"/>
            <w:noWrap/>
            <w:hideMark/>
          </w:tcPr>
          <w:p w:rsidR="005C014D" w:rsidRPr="00FE2565" w:rsidRDefault="005C014D" w:rsidP="005C014D">
            <w:pPr>
              <w:widowControl w:val="0"/>
              <w:autoSpaceDE w:val="0"/>
              <w:autoSpaceDN w:val="0"/>
              <w:spacing w:after="0" w:line="240" w:lineRule="auto"/>
              <w:jc w:val="right"/>
              <w:rPr>
                <w:rFonts w:ascii="Arial" w:eastAsia="Times New Roman" w:hAnsi="Arial" w:cs="Arial"/>
                <w:color w:val="000000"/>
                <w:sz w:val="24"/>
                <w:szCs w:val="24"/>
                <w:lang w:eastAsia="fr-FR"/>
              </w:rPr>
            </w:pPr>
            <w:r w:rsidRPr="00FE2565">
              <w:rPr>
                <w:rFonts w:ascii="Arial" w:eastAsia="Times New Roman" w:hAnsi="Arial" w:cs="Arial"/>
                <w:color w:val="000000"/>
                <w:sz w:val="24"/>
                <w:szCs w:val="24"/>
                <w:lang w:eastAsia="fr-FR"/>
              </w:rPr>
              <w:t>80%</w:t>
            </w:r>
          </w:p>
        </w:tc>
        <w:tc>
          <w:tcPr>
            <w:tcW w:w="1045" w:type="dxa"/>
            <w:shd w:val="clear" w:color="000000" w:fill="FFC000"/>
            <w:noWrap/>
            <w:hideMark/>
          </w:tcPr>
          <w:p w:rsidR="005C014D" w:rsidRPr="00FE2565" w:rsidRDefault="005C014D" w:rsidP="005C014D">
            <w:pPr>
              <w:widowControl w:val="0"/>
              <w:autoSpaceDE w:val="0"/>
              <w:autoSpaceDN w:val="0"/>
              <w:spacing w:after="0" w:line="240" w:lineRule="auto"/>
              <w:jc w:val="right"/>
              <w:rPr>
                <w:rFonts w:ascii="Arial" w:eastAsia="Times New Roman" w:hAnsi="Arial" w:cs="Arial"/>
                <w:color w:val="000000"/>
                <w:sz w:val="24"/>
                <w:szCs w:val="24"/>
                <w:lang w:eastAsia="fr-FR"/>
              </w:rPr>
            </w:pPr>
            <w:r w:rsidRPr="00FE2565">
              <w:rPr>
                <w:rFonts w:ascii="Arial" w:eastAsia="Times New Roman" w:hAnsi="Arial" w:cs="Arial"/>
                <w:color w:val="000000"/>
                <w:sz w:val="24"/>
                <w:szCs w:val="24"/>
                <w:lang w:eastAsia="fr-FR"/>
              </w:rPr>
              <w:t>50%</w:t>
            </w:r>
          </w:p>
        </w:tc>
        <w:tc>
          <w:tcPr>
            <w:tcW w:w="992" w:type="dxa"/>
            <w:shd w:val="clear" w:color="000000" w:fill="D34B07"/>
            <w:noWrap/>
            <w:hideMark/>
          </w:tcPr>
          <w:p w:rsidR="005C014D" w:rsidRPr="00FE2565" w:rsidRDefault="005C014D" w:rsidP="005C014D">
            <w:pPr>
              <w:widowControl w:val="0"/>
              <w:autoSpaceDE w:val="0"/>
              <w:autoSpaceDN w:val="0"/>
              <w:spacing w:after="0" w:line="240" w:lineRule="auto"/>
              <w:jc w:val="right"/>
              <w:rPr>
                <w:rFonts w:ascii="Arial" w:eastAsia="Times New Roman" w:hAnsi="Arial" w:cs="Arial"/>
                <w:color w:val="000000"/>
                <w:sz w:val="24"/>
                <w:szCs w:val="24"/>
                <w:lang w:eastAsia="fr-FR"/>
              </w:rPr>
            </w:pPr>
            <w:r w:rsidRPr="00FE2565">
              <w:rPr>
                <w:rFonts w:ascii="Arial" w:eastAsia="Times New Roman" w:hAnsi="Arial" w:cs="Arial"/>
                <w:color w:val="000000"/>
                <w:sz w:val="24"/>
                <w:szCs w:val="24"/>
                <w:lang w:eastAsia="fr-FR"/>
              </w:rPr>
              <w:t>100%</w:t>
            </w:r>
          </w:p>
        </w:tc>
        <w:tc>
          <w:tcPr>
            <w:tcW w:w="626" w:type="dxa"/>
            <w:shd w:val="clear" w:color="000000" w:fill="FFC000"/>
            <w:noWrap/>
            <w:hideMark/>
          </w:tcPr>
          <w:p w:rsidR="005C014D" w:rsidRPr="00FE2565" w:rsidRDefault="005C014D" w:rsidP="005C014D">
            <w:pPr>
              <w:widowControl w:val="0"/>
              <w:autoSpaceDE w:val="0"/>
              <w:autoSpaceDN w:val="0"/>
              <w:spacing w:after="0" w:line="240" w:lineRule="auto"/>
              <w:jc w:val="right"/>
              <w:rPr>
                <w:rFonts w:ascii="Arial" w:eastAsia="Times New Roman" w:hAnsi="Arial" w:cs="Arial"/>
                <w:color w:val="000000"/>
                <w:sz w:val="24"/>
                <w:szCs w:val="24"/>
                <w:lang w:eastAsia="fr-FR"/>
              </w:rPr>
            </w:pPr>
            <w:r w:rsidRPr="00FE2565">
              <w:rPr>
                <w:rFonts w:ascii="Arial" w:eastAsia="Times New Roman" w:hAnsi="Arial" w:cs="Arial"/>
                <w:color w:val="000000"/>
                <w:sz w:val="24"/>
                <w:szCs w:val="24"/>
                <w:lang w:eastAsia="fr-FR"/>
              </w:rPr>
              <w:t>58%</w:t>
            </w:r>
          </w:p>
        </w:tc>
      </w:tr>
      <w:tr w:rsidR="005C014D" w:rsidRPr="00FE2565" w:rsidTr="001B5FFC">
        <w:trPr>
          <w:trHeight w:val="251"/>
        </w:trPr>
        <w:tc>
          <w:tcPr>
            <w:tcW w:w="950" w:type="dxa"/>
            <w:vMerge/>
            <w:vAlign w:val="center"/>
            <w:hideMark/>
          </w:tcPr>
          <w:p w:rsidR="005C014D" w:rsidRPr="00FE2565" w:rsidRDefault="005C014D" w:rsidP="005C014D">
            <w:pPr>
              <w:widowControl w:val="0"/>
              <w:autoSpaceDE w:val="0"/>
              <w:autoSpaceDN w:val="0"/>
              <w:spacing w:after="0" w:line="240" w:lineRule="auto"/>
              <w:rPr>
                <w:rFonts w:ascii="Arial" w:eastAsia="Times New Roman" w:hAnsi="Arial" w:cs="Arial"/>
                <w:b/>
                <w:bCs/>
                <w:color w:val="000000"/>
                <w:sz w:val="24"/>
                <w:szCs w:val="24"/>
                <w:lang w:eastAsia="fr-FR"/>
              </w:rPr>
            </w:pPr>
          </w:p>
        </w:tc>
        <w:tc>
          <w:tcPr>
            <w:tcW w:w="1080" w:type="dxa"/>
            <w:vMerge/>
            <w:vAlign w:val="center"/>
            <w:hideMark/>
          </w:tcPr>
          <w:p w:rsidR="005C014D" w:rsidRPr="00FE2565" w:rsidRDefault="005C014D" w:rsidP="005C014D">
            <w:pPr>
              <w:widowControl w:val="0"/>
              <w:autoSpaceDE w:val="0"/>
              <w:autoSpaceDN w:val="0"/>
              <w:spacing w:after="0" w:line="240" w:lineRule="auto"/>
              <w:rPr>
                <w:rFonts w:ascii="Arial" w:eastAsia="Times New Roman" w:hAnsi="Arial" w:cs="Arial"/>
                <w:color w:val="000000"/>
                <w:sz w:val="24"/>
                <w:szCs w:val="24"/>
                <w:lang w:eastAsia="fr-FR"/>
              </w:rPr>
            </w:pPr>
          </w:p>
        </w:tc>
        <w:tc>
          <w:tcPr>
            <w:tcW w:w="2293" w:type="dxa"/>
            <w:shd w:val="clear" w:color="auto" w:fill="auto"/>
            <w:noWrap/>
            <w:vAlign w:val="center"/>
            <w:hideMark/>
          </w:tcPr>
          <w:p w:rsidR="005C014D" w:rsidRPr="00FE2565" w:rsidRDefault="005C014D" w:rsidP="005C014D">
            <w:pPr>
              <w:widowControl w:val="0"/>
              <w:autoSpaceDE w:val="0"/>
              <w:autoSpaceDN w:val="0"/>
              <w:spacing w:after="0" w:line="240" w:lineRule="auto"/>
              <w:rPr>
                <w:rFonts w:ascii="Arial" w:eastAsia="Times New Roman" w:hAnsi="Arial" w:cs="Arial"/>
                <w:color w:val="000000"/>
                <w:sz w:val="24"/>
                <w:szCs w:val="24"/>
                <w:lang w:eastAsia="fr-FR"/>
              </w:rPr>
            </w:pPr>
            <w:r w:rsidRPr="00FE2565">
              <w:rPr>
                <w:rFonts w:ascii="Arial" w:eastAsia="Times New Roman" w:hAnsi="Arial" w:cs="Arial"/>
                <w:color w:val="000000"/>
                <w:sz w:val="24"/>
                <w:szCs w:val="24"/>
                <w:lang w:eastAsia="fr-FR"/>
              </w:rPr>
              <w:t>Nkaila</w:t>
            </w:r>
          </w:p>
        </w:tc>
        <w:tc>
          <w:tcPr>
            <w:tcW w:w="676" w:type="dxa"/>
            <w:shd w:val="clear" w:color="000000" w:fill="F4F46C"/>
            <w:noWrap/>
            <w:hideMark/>
          </w:tcPr>
          <w:p w:rsidR="005C014D" w:rsidRPr="00FE2565" w:rsidRDefault="005C014D" w:rsidP="005C014D">
            <w:pPr>
              <w:widowControl w:val="0"/>
              <w:autoSpaceDE w:val="0"/>
              <w:autoSpaceDN w:val="0"/>
              <w:spacing w:after="0" w:line="240" w:lineRule="auto"/>
              <w:jc w:val="right"/>
              <w:rPr>
                <w:rFonts w:ascii="Arial" w:eastAsia="Times New Roman" w:hAnsi="Arial" w:cs="Arial"/>
                <w:color w:val="000000"/>
                <w:sz w:val="24"/>
                <w:szCs w:val="24"/>
                <w:lang w:eastAsia="fr-FR"/>
              </w:rPr>
            </w:pPr>
            <w:r w:rsidRPr="00FE2565">
              <w:rPr>
                <w:rFonts w:ascii="Arial" w:eastAsia="Times New Roman" w:hAnsi="Arial" w:cs="Arial"/>
                <w:color w:val="000000"/>
                <w:sz w:val="24"/>
                <w:szCs w:val="24"/>
                <w:lang w:eastAsia="fr-FR"/>
              </w:rPr>
              <w:t>20%</w:t>
            </w:r>
          </w:p>
        </w:tc>
        <w:tc>
          <w:tcPr>
            <w:tcW w:w="1181" w:type="dxa"/>
            <w:shd w:val="clear" w:color="000000" w:fill="F4F46C"/>
            <w:noWrap/>
            <w:hideMark/>
          </w:tcPr>
          <w:p w:rsidR="005C014D" w:rsidRPr="00FE2565" w:rsidRDefault="005C014D" w:rsidP="005C014D">
            <w:pPr>
              <w:widowControl w:val="0"/>
              <w:autoSpaceDE w:val="0"/>
              <w:autoSpaceDN w:val="0"/>
              <w:spacing w:after="0" w:line="240" w:lineRule="auto"/>
              <w:jc w:val="right"/>
              <w:rPr>
                <w:rFonts w:ascii="Arial" w:eastAsia="Times New Roman" w:hAnsi="Arial" w:cs="Arial"/>
                <w:color w:val="000000"/>
                <w:sz w:val="24"/>
                <w:szCs w:val="24"/>
                <w:lang w:eastAsia="fr-FR"/>
              </w:rPr>
            </w:pPr>
            <w:r w:rsidRPr="00FE2565">
              <w:rPr>
                <w:rFonts w:ascii="Arial" w:eastAsia="Times New Roman" w:hAnsi="Arial" w:cs="Arial"/>
                <w:color w:val="000000"/>
                <w:sz w:val="24"/>
                <w:szCs w:val="24"/>
                <w:lang w:eastAsia="fr-FR"/>
              </w:rPr>
              <w:t>40%</w:t>
            </w:r>
          </w:p>
        </w:tc>
        <w:tc>
          <w:tcPr>
            <w:tcW w:w="1045" w:type="dxa"/>
            <w:shd w:val="clear" w:color="000000" w:fill="D34B07"/>
            <w:noWrap/>
            <w:hideMark/>
          </w:tcPr>
          <w:p w:rsidR="005C014D" w:rsidRPr="00FE2565" w:rsidRDefault="005C014D" w:rsidP="005C014D">
            <w:pPr>
              <w:widowControl w:val="0"/>
              <w:autoSpaceDE w:val="0"/>
              <w:autoSpaceDN w:val="0"/>
              <w:spacing w:after="0" w:line="240" w:lineRule="auto"/>
              <w:jc w:val="right"/>
              <w:rPr>
                <w:rFonts w:ascii="Arial" w:eastAsia="Times New Roman" w:hAnsi="Arial" w:cs="Arial"/>
                <w:color w:val="000000"/>
                <w:sz w:val="24"/>
                <w:szCs w:val="24"/>
                <w:lang w:eastAsia="fr-FR"/>
              </w:rPr>
            </w:pPr>
            <w:r w:rsidRPr="00FE2565">
              <w:rPr>
                <w:rFonts w:ascii="Arial" w:eastAsia="Times New Roman" w:hAnsi="Arial" w:cs="Arial"/>
                <w:color w:val="000000"/>
                <w:sz w:val="24"/>
                <w:szCs w:val="24"/>
                <w:lang w:eastAsia="fr-FR"/>
              </w:rPr>
              <w:t>80%</w:t>
            </w:r>
          </w:p>
        </w:tc>
        <w:tc>
          <w:tcPr>
            <w:tcW w:w="992" w:type="dxa"/>
            <w:shd w:val="clear" w:color="000000" w:fill="D34B07"/>
            <w:noWrap/>
            <w:hideMark/>
          </w:tcPr>
          <w:p w:rsidR="005C014D" w:rsidRPr="00FE2565" w:rsidRDefault="005C014D" w:rsidP="005C014D">
            <w:pPr>
              <w:widowControl w:val="0"/>
              <w:autoSpaceDE w:val="0"/>
              <w:autoSpaceDN w:val="0"/>
              <w:spacing w:after="0" w:line="240" w:lineRule="auto"/>
              <w:jc w:val="right"/>
              <w:rPr>
                <w:rFonts w:ascii="Arial" w:eastAsia="Times New Roman" w:hAnsi="Arial" w:cs="Arial"/>
                <w:color w:val="000000"/>
                <w:sz w:val="24"/>
                <w:szCs w:val="24"/>
                <w:lang w:eastAsia="fr-FR"/>
              </w:rPr>
            </w:pPr>
            <w:r w:rsidRPr="00FE2565">
              <w:rPr>
                <w:rFonts w:ascii="Arial" w:eastAsia="Times New Roman" w:hAnsi="Arial" w:cs="Arial"/>
                <w:color w:val="000000"/>
                <w:sz w:val="24"/>
                <w:szCs w:val="24"/>
                <w:lang w:eastAsia="fr-FR"/>
              </w:rPr>
              <w:t>100%</w:t>
            </w:r>
          </w:p>
        </w:tc>
        <w:tc>
          <w:tcPr>
            <w:tcW w:w="626" w:type="dxa"/>
            <w:shd w:val="clear" w:color="000000" w:fill="FFC000"/>
            <w:noWrap/>
            <w:hideMark/>
          </w:tcPr>
          <w:p w:rsidR="005C014D" w:rsidRPr="00FE2565" w:rsidRDefault="005C014D" w:rsidP="005C014D">
            <w:pPr>
              <w:widowControl w:val="0"/>
              <w:autoSpaceDE w:val="0"/>
              <w:autoSpaceDN w:val="0"/>
              <w:spacing w:after="0" w:line="240" w:lineRule="auto"/>
              <w:jc w:val="right"/>
              <w:rPr>
                <w:rFonts w:ascii="Arial" w:eastAsia="Times New Roman" w:hAnsi="Arial" w:cs="Arial"/>
                <w:color w:val="000000"/>
                <w:sz w:val="24"/>
                <w:szCs w:val="24"/>
                <w:lang w:eastAsia="fr-FR"/>
              </w:rPr>
            </w:pPr>
            <w:r w:rsidRPr="00FE2565">
              <w:rPr>
                <w:rFonts w:ascii="Arial" w:eastAsia="Times New Roman" w:hAnsi="Arial" w:cs="Arial"/>
                <w:color w:val="000000"/>
                <w:sz w:val="24"/>
                <w:szCs w:val="24"/>
                <w:lang w:eastAsia="fr-FR"/>
              </w:rPr>
              <w:t>60%</w:t>
            </w:r>
          </w:p>
        </w:tc>
      </w:tr>
      <w:tr w:rsidR="005C014D" w:rsidRPr="00FE2565" w:rsidTr="001B5FFC">
        <w:trPr>
          <w:trHeight w:val="251"/>
        </w:trPr>
        <w:tc>
          <w:tcPr>
            <w:tcW w:w="950" w:type="dxa"/>
            <w:vMerge/>
            <w:vAlign w:val="center"/>
            <w:hideMark/>
          </w:tcPr>
          <w:p w:rsidR="005C014D" w:rsidRPr="00FE2565" w:rsidRDefault="005C014D" w:rsidP="005C014D">
            <w:pPr>
              <w:widowControl w:val="0"/>
              <w:autoSpaceDE w:val="0"/>
              <w:autoSpaceDN w:val="0"/>
              <w:spacing w:after="0" w:line="240" w:lineRule="auto"/>
              <w:rPr>
                <w:rFonts w:ascii="Arial" w:eastAsia="Times New Roman" w:hAnsi="Arial" w:cs="Arial"/>
                <w:b/>
                <w:bCs/>
                <w:color w:val="000000"/>
                <w:sz w:val="24"/>
                <w:szCs w:val="24"/>
                <w:lang w:eastAsia="fr-FR"/>
              </w:rPr>
            </w:pPr>
          </w:p>
        </w:tc>
        <w:tc>
          <w:tcPr>
            <w:tcW w:w="1080" w:type="dxa"/>
            <w:vMerge/>
            <w:vAlign w:val="center"/>
            <w:hideMark/>
          </w:tcPr>
          <w:p w:rsidR="005C014D" w:rsidRPr="00FE2565" w:rsidRDefault="005C014D" w:rsidP="005C014D">
            <w:pPr>
              <w:widowControl w:val="0"/>
              <w:autoSpaceDE w:val="0"/>
              <w:autoSpaceDN w:val="0"/>
              <w:spacing w:after="0" w:line="240" w:lineRule="auto"/>
              <w:rPr>
                <w:rFonts w:ascii="Arial" w:eastAsia="Times New Roman" w:hAnsi="Arial" w:cs="Arial"/>
                <w:color w:val="000000"/>
                <w:sz w:val="24"/>
                <w:szCs w:val="24"/>
                <w:lang w:eastAsia="fr-FR"/>
              </w:rPr>
            </w:pPr>
          </w:p>
        </w:tc>
        <w:tc>
          <w:tcPr>
            <w:tcW w:w="2293" w:type="dxa"/>
            <w:shd w:val="clear" w:color="auto" w:fill="auto"/>
            <w:noWrap/>
            <w:vAlign w:val="center"/>
            <w:hideMark/>
          </w:tcPr>
          <w:p w:rsidR="005C014D" w:rsidRPr="00FE2565" w:rsidRDefault="005C014D" w:rsidP="005C014D">
            <w:pPr>
              <w:widowControl w:val="0"/>
              <w:autoSpaceDE w:val="0"/>
              <w:autoSpaceDN w:val="0"/>
              <w:spacing w:after="0" w:line="240" w:lineRule="auto"/>
              <w:rPr>
                <w:rFonts w:ascii="Arial" w:eastAsia="Times New Roman" w:hAnsi="Arial" w:cs="Arial"/>
                <w:color w:val="000000"/>
                <w:sz w:val="24"/>
                <w:szCs w:val="24"/>
                <w:lang w:eastAsia="fr-FR"/>
              </w:rPr>
            </w:pPr>
            <w:r w:rsidRPr="00FE2565">
              <w:rPr>
                <w:rFonts w:ascii="Arial" w:eastAsia="Times New Roman" w:hAnsi="Arial" w:cs="Arial"/>
                <w:color w:val="000000"/>
                <w:sz w:val="24"/>
                <w:szCs w:val="24"/>
                <w:lang w:eastAsia="fr-FR"/>
              </w:rPr>
              <w:t xml:space="preserve">Oulad Hmama </w:t>
            </w:r>
          </w:p>
        </w:tc>
        <w:tc>
          <w:tcPr>
            <w:tcW w:w="676" w:type="dxa"/>
            <w:shd w:val="clear" w:color="000000" w:fill="F4F46C"/>
            <w:noWrap/>
            <w:hideMark/>
          </w:tcPr>
          <w:p w:rsidR="005C014D" w:rsidRPr="00FE2565" w:rsidRDefault="005C014D" w:rsidP="005C014D">
            <w:pPr>
              <w:widowControl w:val="0"/>
              <w:autoSpaceDE w:val="0"/>
              <w:autoSpaceDN w:val="0"/>
              <w:spacing w:after="0" w:line="240" w:lineRule="auto"/>
              <w:jc w:val="right"/>
              <w:rPr>
                <w:rFonts w:ascii="Arial" w:eastAsia="Times New Roman" w:hAnsi="Arial" w:cs="Arial"/>
                <w:color w:val="000000"/>
                <w:sz w:val="24"/>
                <w:szCs w:val="24"/>
                <w:lang w:eastAsia="fr-FR"/>
              </w:rPr>
            </w:pPr>
            <w:r w:rsidRPr="00FE2565">
              <w:rPr>
                <w:rFonts w:ascii="Arial" w:eastAsia="Times New Roman" w:hAnsi="Arial" w:cs="Arial"/>
                <w:color w:val="000000"/>
                <w:sz w:val="24"/>
                <w:szCs w:val="24"/>
                <w:lang w:eastAsia="fr-FR"/>
              </w:rPr>
              <w:t>0%</w:t>
            </w:r>
          </w:p>
        </w:tc>
        <w:tc>
          <w:tcPr>
            <w:tcW w:w="1181" w:type="dxa"/>
            <w:shd w:val="clear" w:color="000000" w:fill="FFC000"/>
            <w:noWrap/>
            <w:hideMark/>
          </w:tcPr>
          <w:p w:rsidR="005C014D" w:rsidRPr="00FE2565" w:rsidRDefault="005C014D" w:rsidP="005C014D">
            <w:pPr>
              <w:widowControl w:val="0"/>
              <w:autoSpaceDE w:val="0"/>
              <w:autoSpaceDN w:val="0"/>
              <w:spacing w:after="0" w:line="240" w:lineRule="auto"/>
              <w:jc w:val="right"/>
              <w:rPr>
                <w:rFonts w:ascii="Arial" w:eastAsia="Times New Roman" w:hAnsi="Arial" w:cs="Arial"/>
                <w:color w:val="000000"/>
                <w:sz w:val="24"/>
                <w:szCs w:val="24"/>
                <w:lang w:eastAsia="fr-FR"/>
              </w:rPr>
            </w:pPr>
            <w:r w:rsidRPr="00FE2565">
              <w:rPr>
                <w:rFonts w:ascii="Arial" w:eastAsia="Times New Roman" w:hAnsi="Arial" w:cs="Arial"/>
                <w:color w:val="000000"/>
                <w:sz w:val="24"/>
                <w:szCs w:val="24"/>
                <w:lang w:eastAsia="fr-FR"/>
              </w:rPr>
              <w:t>60%</w:t>
            </w:r>
          </w:p>
        </w:tc>
        <w:tc>
          <w:tcPr>
            <w:tcW w:w="1045" w:type="dxa"/>
            <w:shd w:val="clear" w:color="000000" w:fill="D34B07"/>
            <w:noWrap/>
            <w:hideMark/>
          </w:tcPr>
          <w:p w:rsidR="005C014D" w:rsidRPr="00FE2565" w:rsidRDefault="005C014D" w:rsidP="005C014D">
            <w:pPr>
              <w:widowControl w:val="0"/>
              <w:autoSpaceDE w:val="0"/>
              <w:autoSpaceDN w:val="0"/>
              <w:spacing w:after="0" w:line="240" w:lineRule="auto"/>
              <w:jc w:val="right"/>
              <w:rPr>
                <w:rFonts w:ascii="Arial" w:eastAsia="Times New Roman" w:hAnsi="Arial" w:cs="Arial"/>
                <w:color w:val="000000"/>
                <w:sz w:val="24"/>
                <w:szCs w:val="24"/>
                <w:lang w:eastAsia="fr-FR"/>
              </w:rPr>
            </w:pPr>
            <w:r w:rsidRPr="00FE2565">
              <w:rPr>
                <w:rFonts w:ascii="Arial" w:eastAsia="Times New Roman" w:hAnsi="Arial" w:cs="Arial"/>
                <w:color w:val="000000"/>
                <w:sz w:val="24"/>
                <w:szCs w:val="24"/>
                <w:lang w:eastAsia="fr-FR"/>
              </w:rPr>
              <w:t>80%</w:t>
            </w:r>
          </w:p>
        </w:tc>
        <w:tc>
          <w:tcPr>
            <w:tcW w:w="992" w:type="dxa"/>
            <w:shd w:val="clear" w:color="000000" w:fill="D34B07"/>
            <w:noWrap/>
            <w:hideMark/>
          </w:tcPr>
          <w:p w:rsidR="005C014D" w:rsidRPr="00FE2565" w:rsidRDefault="005C014D" w:rsidP="005C014D">
            <w:pPr>
              <w:widowControl w:val="0"/>
              <w:autoSpaceDE w:val="0"/>
              <w:autoSpaceDN w:val="0"/>
              <w:spacing w:after="0" w:line="240" w:lineRule="auto"/>
              <w:jc w:val="right"/>
              <w:rPr>
                <w:rFonts w:ascii="Arial" w:eastAsia="Times New Roman" w:hAnsi="Arial" w:cs="Arial"/>
                <w:color w:val="000000"/>
                <w:sz w:val="24"/>
                <w:szCs w:val="24"/>
                <w:lang w:eastAsia="fr-FR"/>
              </w:rPr>
            </w:pPr>
            <w:r w:rsidRPr="00FE2565">
              <w:rPr>
                <w:rFonts w:ascii="Arial" w:eastAsia="Times New Roman" w:hAnsi="Arial" w:cs="Arial"/>
                <w:color w:val="000000"/>
                <w:sz w:val="24"/>
                <w:szCs w:val="24"/>
                <w:lang w:eastAsia="fr-FR"/>
              </w:rPr>
              <w:t>100%</w:t>
            </w:r>
          </w:p>
        </w:tc>
        <w:tc>
          <w:tcPr>
            <w:tcW w:w="626" w:type="dxa"/>
            <w:shd w:val="clear" w:color="000000" w:fill="FFC000"/>
            <w:noWrap/>
            <w:hideMark/>
          </w:tcPr>
          <w:p w:rsidR="005C014D" w:rsidRPr="00FE2565" w:rsidRDefault="005C014D" w:rsidP="005C014D">
            <w:pPr>
              <w:widowControl w:val="0"/>
              <w:autoSpaceDE w:val="0"/>
              <w:autoSpaceDN w:val="0"/>
              <w:spacing w:after="0" w:line="240" w:lineRule="auto"/>
              <w:jc w:val="right"/>
              <w:rPr>
                <w:rFonts w:ascii="Arial" w:eastAsia="Times New Roman" w:hAnsi="Arial" w:cs="Arial"/>
                <w:color w:val="000000"/>
                <w:sz w:val="24"/>
                <w:szCs w:val="24"/>
                <w:lang w:eastAsia="fr-FR"/>
              </w:rPr>
            </w:pPr>
            <w:r w:rsidRPr="00FE2565">
              <w:rPr>
                <w:rFonts w:ascii="Arial" w:eastAsia="Times New Roman" w:hAnsi="Arial" w:cs="Arial"/>
                <w:color w:val="000000"/>
                <w:sz w:val="24"/>
                <w:szCs w:val="24"/>
                <w:lang w:eastAsia="fr-FR"/>
              </w:rPr>
              <w:t>60%</w:t>
            </w:r>
          </w:p>
        </w:tc>
      </w:tr>
      <w:tr w:rsidR="005C014D" w:rsidRPr="00FE2565" w:rsidTr="001B5FFC">
        <w:trPr>
          <w:trHeight w:val="251"/>
        </w:trPr>
        <w:tc>
          <w:tcPr>
            <w:tcW w:w="950" w:type="dxa"/>
            <w:vMerge/>
            <w:vAlign w:val="center"/>
            <w:hideMark/>
          </w:tcPr>
          <w:p w:rsidR="005C014D" w:rsidRPr="00FE2565" w:rsidRDefault="005C014D" w:rsidP="005C014D">
            <w:pPr>
              <w:widowControl w:val="0"/>
              <w:autoSpaceDE w:val="0"/>
              <w:autoSpaceDN w:val="0"/>
              <w:spacing w:after="0" w:line="240" w:lineRule="auto"/>
              <w:rPr>
                <w:rFonts w:ascii="Arial" w:eastAsia="Times New Roman" w:hAnsi="Arial" w:cs="Arial"/>
                <w:b/>
                <w:bCs/>
                <w:color w:val="000000"/>
                <w:sz w:val="24"/>
                <w:szCs w:val="24"/>
                <w:lang w:eastAsia="fr-FR"/>
              </w:rPr>
            </w:pPr>
          </w:p>
        </w:tc>
        <w:tc>
          <w:tcPr>
            <w:tcW w:w="1080" w:type="dxa"/>
            <w:vMerge/>
            <w:vAlign w:val="center"/>
            <w:hideMark/>
          </w:tcPr>
          <w:p w:rsidR="005C014D" w:rsidRPr="00FE2565" w:rsidRDefault="005C014D" w:rsidP="005C014D">
            <w:pPr>
              <w:widowControl w:val="0"/>
              <w:autoSpaceDE w:val="0"/>
              <w:autoSpaceDN w:val="0"/>
              <w:spacing w:after="0" w:line="240" w:lineRule="auto"/>
              <w:rPr>
                <w:rFonts w:ascii="Arial" w:eastAsia="Times New Roman" w:hAnsi="Arial" w:cs="Arial"/>
                <w:color w:val="000000"/>
                <w:sz w:val="24"/>
                <w:szCs w:val="24"/>
                <w:lang w:eastAsia="fr-FR"/>
              </w:rPr>
            </w:pPr>
          </w:p>
        </w:tc>
        <w:tc>
          <w:tcPr>
            <w:tcW w:w="2293" w:type="dxa"/>
            <w:shd w:val="clear" w:color="auto" w:fill="auto"/>
            <w:noWrap/>
            <w:vAlign w:val="center"/>
            <w:hideMark/>
          </w:tcPr>
          <w:p w:rsidR="005C014D" w:rsidRPr="00FE2565" w:rsidRDefault="005C014D" w:rsidP="005C014D">
            <w:pPr>
              <w:widowControl w:val="0"/>
              <w:autoSpaceDE w:val="0"/>
              <w:autoSpaceDN w:val="0"/>
              <w:spacing w:after="0" w:line="240" w:lineRule="auto"/>
              <w:rPr>
                <w:rFonts w:ascii="Arial" w:eastAsia="Times New Roman" w:hAnsi="Arial" w:cs="Arial"/>
                <w:color w:val="000000"/>
                <w:sz w:val="24"/>
                <w:szCs w:val="24"/>
                <w:lang w:eastAsia="fr-FR"/>
              </w:rPr>
            </w:pPr>
            <w:r w:rsidRPr="00FE2565">
              <w:rPr>
                <w:rFonts w:ascii="Arial" w:eastAsia="Times New Roman" w:hAnsi="Arial" w:cs="Arial"/>
                <w:color w:val="000000"/>
                <w:sz w:val="24"/>
                <w:szCs w:val="24"/>
                <w:lang w:eastAsia="fr-FR"/>
              </w:rPr>
              <w:t>Dioucha</w:t>
            </w:r>
          </w:p>
        </w:tc>
        <w:tc>
          <w:tcPr>
            <w:tcW w:w="676" w:type="dxa"/>
            <w:shd w:val="clear" w:color="000000" w:fill="F4F46C"/>
            <w:noWrap/>
            <w:hideMark/>
          </w:tcPr>
          <w:p w:rsidR="005C014D" w:rsidRPr="00FE2565" w:rsidRDefault="005C014D" w:rsidP="005C014D">
            <w:pPr>
              <w:widowControl w:val="0"/>
              <w:autoSpaceDE w:val="0"/>
              <w:autoSpaceDN w:val="0"/>
              <w:spacing w:after="0" w:line="240" w:lineRule="auto"/>
              <w:jc w:val="right"/>
              <w:rPr>
                <w:rFonts w:ascii="Arial" w:eastAsia="Times New Roman" w:hAnsi="Arial" w:cs="Arial"/>
                <w:color w:val="000000"/>
                <w:sz w:val="24"/>
                <w:szCs w:val="24"/>
                <w:lang w:eastAsia="fr-FR"/>
              </w:rPr>
            </w:pPr>
            <w:r w:rsidRPr="00FE2565">
              <w:rPr>
                <w:rFonts w:ascii="Arial" w:eastAsia="Times New Roman" w:hAnsi="Arial" w:cs="Arial"/>
                <w:color w:val="000000"/>
                <w:sz w:val="24"/>
                <w:szCs w:val="24"/>
                <w:lang w:eastAsia="fr-FR"/>
              </w:rPr>
              <w:t>20%</w:t>
            </w:r>
          </w:p>
        </w:tc>
        <w:tc>
          <w:tcPr>
            <w:tcW w:w="1181" w:type="dxa"/>
            <w:shd w:val="clear" w:color="000000" w:fill="F4F46C"/>
            <w:noWrap/>
            <w:hideMark/>
          </w:tcPr>
          <w:p w:rsidR="005C014D" w:rsidRPr="00FE2565" w:rsidRDefault="005C014D" w:rsidP="005C014D">
            <w:pPr>
              <w:widowControl w:val="0"/>
              <w:autoSpaceDE w:val="0"/>
              <w:autoSpaceDN w:val="0"/>
              <w:spacing w:after="0" w:line="240" w:lineRule="auto"/>
              <w:jc w:val="right"/>
              <w:rPr>
                <w:rFonts w:ascii="Arial" w:eastAsia="Times New Roman" w:hAnsi="Arial" w:cs="Arial"/>
                <w:color w:val="000000"/>
                <w:sz w:val="24"/>
                <w:szCs w:val="24"/>
                <w:lang w:eastAsia="fr-FR"/>
              </w:rPr>
            </w:pPr>
            <w:r w:rsidRPr="00FE2565">
              <w:rPr>
                <w:rFonts w:ascii="Arial" w:eastAsia="Times New Roman" w:hAnsi="Arial" w:cs="Arial"/>
                <w:color w:val="000000"/>
                <w:sz w:val="24"/>
                <w:szCs w:val="24"/>
                <w:lang w:eastAsia="fr-FR"/>
              </w:rPr>
              <w:t>20%</w:t>
            </w:r>
          </w:p>
        </w:tc>
        <w:tc>
          <w:tcPr>
            <w:tcW w:w="1045" w:type="dxa"/>
            <w:shd w:val="clear" w:color="000000" w:fill="FFC000"/>
            <w:noWrap/>
            <w:hideMark/>
          </w:tcPr>
          <w:p w:rsidR="005C014D" w:rsidRPr="00FE2565" w:rsidRDefault="005C014D" w:rsidP="005C014D">
            <w:pPr>
              <w:widowControl w:val="0"/>
              <w:autoSpaceDE w:val="0"/>
              <w:autoSpaceDN w:val="0"/>
              <w:spacing w:after="0" w:line="240" w:lineRule="auto"/>
              <w:jc w:val="right"/>
              <w:rPr>
                <w:rFonts w:ascii="Arial" w:eastAsia="Times New Roman" w:hAnsi="Arial" w:cs="Arial"/>
                <w:color w:val="000000"/>
                <w:sz w:val="24"/>
                <w:szCs w:val="24"/>
                <w:lang w:eastAsia="fr-FR"/>
              </w:rPr>
            </w:pPr>
            <w:r w:rsidRPr="00FE2565">
              <w:rPr>
                <w:rFonts w:ascii="Arial" w:eastAsia="Times New Roman" w:hAnsi="Arial" w:cs="Arial"/>
                <w:color w:val="000000"/>
                <w:sz w:val="24"/>
                <w:szCs w:val="24"/>
                <w:lang w:eastAsia="fr-FR"/>
              </w:rPr>
              <w:t>60%</w:t>
            </w:r>
          </w:p>
        </w:tc>
        <w:tc>
          <w:tcPr>
            <w:tcW w:w="992" w:type="dxa"/>
            <w:shd w:val="clear" w:color="000000" w:fill="D34B07"/>
            <w:noWrap/>
            <w:hideMark/>
          </w:tcPr>
          <w:p w:rsidR="005C014D" w:rsidRPr="00FE2565" w:rsidRDefault="005C014D" w:rsidP="005C014D">
            <w:pPr>
              <w:widowControl w:val="0"/>
              <w:autoSpaceDE w:val="0"/>
              <w:autoSpaceDN w:val="0"/>
              <w:spacing w:after="0" w:line="240" w:lineRule="auto"/>
              <w:jc w:val="right"/>
              <w:rPr>
                <w:rFonts w:ascii="Arial" w:eastAsia="Times New Roman" w:hAnsi="Arial" w:cs="Arial"/>
                <w:color w:val="000000"/>
                <w:sz w:val="24"/>
                <w:szCs w:val="24"/>
                <w:lang w:eastAsia="fr-FR"/>
              </w:rPr>
            </w:pPr>
            <w:r w:rsidRPr="00FE2565">
              <w:rPr>
                <w:rFonts w:ascii="Arial" w:eastAsia="Times New Roman" w:hAnsi="Arial" w:cs="Arial"/>
                <w:color w:val="000000"/>
                <w:sz w:val="24"/>
                <w:szCs w:val="24"/>
                <w:lang w:eastAsia="fr-FR"/>
              </w:rPr>
              <w:t>100%</w:t>
            </w:r>
          </w:p>
        </w:tc>
        <w:tc>
          <w:tcPr>
            <w:tcW w:w="626" w:type="dxa"/>
            <w:shd w:val="clear" w:color="000000" w:fill="FFC000"/>
            <w:noWrap/>
            <w:hideMark/>
          </w:tcPr>
          <w:p w:rsidR="005C014D" w:rsidRPr="00FE2565" w:rsidRDefault="005C014D" w:rsidP="005C014D">
            <w:pPr>
              <w:widowControl w:val="0"/>
              <w:autoSpaceDE w:val="0"/>
              <w:autoSpaceDN w:val="0"/>
              <w:spacing w:after="0" w:line="240" w:lineRule="auto"/>
              <w:jc w:val="right"/>
              <w:rPr>
                <w:rFonts w:ascii="Arial" w:eastAsia="Times New Roman" w:hAnsi="Arial" w:cs="Arial"/>
                <w:color w:val="000000"/>
                <w:sz w:val="24"/>
                <w:szCs w:val="24"/>
                <w:lang w:eastAsia="fr-FR"/>
              </w:rPr>
            </w:pPr>
            <w:r w:rsidRPr="00FE2565">
              <w:rPr>
                <w:rFonts w:ascii="Arial" w:eastAsia="Times New Roman" w:hAnsi="Arial" w:cs="Arial"/>
                <w:color w:val="000000"/>
                <w:sz w:val="24"/>
                <w:szCs w:val="24"/>
                <w:lang w:eastAsia="fr-FR"/>
              </w:rPr>
              <w:t>50%</w:t>
            </w:r>
          </w:p>
        </w:tc>
      </w:tr>
      <w:tr w:rsidR="005C014D" w:rsidRPr="00FE2565" w:rsidTr="001B5FFC">
        <w:trPr>
          <w:trHeight w:val="251"/>
        </w:trPr>
        <w:tc>
          <w:tcPr>
            <w:tcW w:w="950" w:type="dxa"/>
            <w:vMerge/>
            <w:vAlign w:val="center"/>
            <w:hideMark/>
          </w:tcPr>
          <w:p w:rsidR="005C014D" w:rsidRPr="00FE2565" w:rsidRDefault="005C014D" w:rsidP="005C014D">
            <w:pPr>
              <w:widowControl w:val="0"/>
              <w:autoSpaceDE w:val="0"/>
              <w:autoSpaceDN w:val="0"/>
              <w:spacing w:after="0" w:line="240" w:lineRule="auto"/>
              <w:rPr>
                <w:rFonts w:ascii="Arial" w:eastAsia="Times New Roman" w:hAnsi="Arial" w:cs="Arial"/>
                <w:b/>
                <w:bCs/>
                <w:color w:val="000000"/>
                <w:sz w:val="24"/>
                <w:szCs w:val="24"/>
                <w:lang w:eastAsia="fr-FR"/>
              </w:rPr>
            </w:pPr>
          </w:p>
        </w:tc>
        <w:tc>
          <w:tcPr>
            <w:tcW w:w="1080" w:type="dxa"/>
            <w:vMerge/>
            <w:vAlign w:val="center"/>
            <w:hideMark/>
          </w:tcPr>
          <w:p w:rsidR="005C014D" w:rsidRPr="00FE2565" w:rsidRDefault="005C014D" w:rsidP="005C014D">
            <w:pPr>
              <w:widowControl w:val="0"/>
              <w:autoSpaceDE w:val="0"/>
              <w:autoSpaceDN w:val="0"/>
              <w:spacing w:after="0" w:line="240" w:lineRule="auto"/>
              <w:rPr>
                <w:rFonts w:ascii="Arial" w:eastAsia="Times New Roman" w:hAnsi="Arial" w:cs="Arial"/>
                <w:color w:val="000000"/>
                <w:sz w:val="24"/>
                <w:szCs w:val="24"/>
                <w:lang w:eastAsia="fr-FR"/>
              </w:rPr>
            </w:pPr>
          </w:p>
        </w:tc>
        <w:tc>
          <w:tcPr>
            <w:tcW w:w="2293" w:type="dxa"/>
            <w:shd w:val="clear" w:color="auto" w:fill="auto"/>
            <w:noWrap/>
            <w:vAlign w:val="center"/>
            <w:hideMark/>
          </w:tcPr>
          <w:p w:rsidR="005C014D" w:rsidRPr="00FE2565" w:rsidRDefault="005C014D" w:rsidP="005C014D">
            <w:pPr>
              <w:widowControl w:val="0"/>
              <w:autoSpaceDE w:val="0"/>
              <w:autoSpaceDN w:val="0"/>
              <w:spacing w:after="0" w:line="240" w:lineRule="auto"/>
              <w:rPr>
                <w:rFonts w:ascii="Arial" w:eastAsia="Times New Roman" w:hAnsi="Arial" w:cs="Arial"/>
                <w:color w:val="000000"/>
                <w:sz w:val="24"/>
                <w:szCs w:val="24"/>
                <w:lang w:eastAsia="fr-FR"/>
              </w:rPr>
            </w:pPr>
            <w:r w:rsidRPr="00FE2565">
              <w:rPr>
                <w:rFonts w:ascii="Arial" w:eastAsia="Times New Roman" w:hAnsi="Arial" w:cs="Arial"/>
                <w:color w:val="000000"/>
                <w:sz w:val="24"/>
                <w:szCs w:val="24"/>
                <w:lang w:eastAsia="fr-FR"/>
              </w:rPr>
              <w:t>Ibouaazaouyine</w:t>
            </w:r>
          </w:p>
        </w:tc>
        <w:tc>
          <w:tcPr>
            <w:tcW w:w="676" w:type="dxa"/>
            <w:shd w:val="clear" w:color="000000" w:fill="F4F46C"/>
            <w:noWrap/>
            <w:hideMark/>
          </w:tcPr>
          <w:p w:rsidR="005C014D" w:rsidRPr="00FE2565" w:rsidRDefault="005C014D" w:rsidP="005C014D">
            <w:pPr>
              <w:widowControl w:val="0"/>
              <w:autoSpaceDE w:val="0"/>
              <w:autoSpaceDN w:val="0"/>
              <w:spacing w:after="0" w:line="240" w:lineRule="auto"/>
              <w:jc w:val="right"/>
              <w:rPr>
                <w:rFonts w:ascii="Arial" w:eastAsia="Times New Roman" w:hAnsi="Arial" w:cs="Arial"/>
                <w:color w:val="000000"/>
                <w:sz w:val="24"/>
                <w:szCs w:val="24"/>
                <w:lang w:eastAsia="fr-FR"/>
              </w:rPr>
            </w:pPr>
            <w:r w:rsidRPr="00FE2565">
              <w:rPr>
                <w:rFonts w:ascii="Arial" w:eastAsia="Times New Roman" w:hAnsi="Arial" w:cs="Arial"/>
                <w:color w:val="000000"/>
                <w:sz w:val="24"/>
                <w:szCs w:val="24"/>
                <w:lang w:eastAsia="fr-FR"/>
              </w:rPr>
              <w:t>0%</w:t>
            </w:r>
          </w:p>
        </w:tc>
        <w:tc>
          <w:tcPr>
            <w:tcW w:w="1181" w:type="dxa"/>
            <w:shd w:val="clear" w:color="000000" w:fill="F4F46C"/>
            <w:noWrap/>
            <w:hideMark/>
          </w:tcPr>
          <w:p w:rsidR="005C014D" w:rsidRPr="00FE2565" w:rsidRDefault="005C014D" w:rsidP="005C014D">
            <w:pPr>
              <w:widowControl w:val="0"/>
              <w:autoSpaceDE w:val="0"/>
              <w:autoSpaceDN w:val="0"/>
              <w:spacing w:after="0" w:line="240" w:lineRule="auto"/>
              <w:jc w:val="right"/>
              <w:rPr>
                <w:rFonts w:ascii="Arial" w:eastAsia="Times New Roman" w:hAnsi="Arial" w:cs="Arial"/>
                <w:color w:val="000000"/>
                <w:sz w:val="24"/>
                <w:szCs w:val="24"/>
                <w:lang w:eastAsia="fr-FR"/>
              </w:rPr>
            </w:pPr>
            <w:r w:rsidRPr="00FE2565">
              <w:rPr>
                <w:rFonts w:ascii="Arial" w:eastAsia="Times New Roman" w:hAnsi="Arial" w:cs="Arial"/>
                <w:color w:val="000000"/>
                <w:sz w:val="24"/>
                <w:szCs w:val="24"/>
                <w:lang w:eastAsia="fr-FR"/>
              </w:rPr>
              <w:t>20%</w:t>
            </w:r>
          </w:p>
        </w:tc>
        <w:tc>
          <w:tcPr>
            <w:tcW w:w="1045" w:type="dxa"/>
            <w:shd w:val="clear" w:color="000000" w:fill="D34B07"/>
            <w:noWrap/>
            <w:hideMark/>
          </w:tcPr>
          <w:p w:rsidR="005C014D" w:rsidRPr="00FE2565" w:rsidRDefault="005C014D" w:rsidP="005C014D">
            <w:pPr>
              <w:widowControl w:val="0"/>
              <w:autoSpaceDE w:val="0"/>
              <w:autoSpaceDN w:val="0"/>
              <w:spacing w:after="0" w:line="240" w:lineRule="auto"/>
              <w:jc w:val="right"/>
              <w:rPr>
                <w:rFonts w:ascii="Arial" w:eastAsia="Times New Roman" w:hAnsi="Arial" w:cs="Arial"/>
                <w:color w:val="000000"/>
                <w:sz w:val="24"/>
                <w:szCs w:val="24"/>
                <w:lang w:eastAsia="fr-FR"/>
              </w:rPr>
            </w:pPr>
            <w:r w:rsidRPr="00FE2565">
              <w:rPr>
                <w:rFonts w:ascii="Arial" w:eastAsia="Times New Roman" w:hAnsi="Arial" w:cs="Arial"/>
                <w:color w:val="000000"/>
                <w:sz w:val="24"/>
                <w:szCs w:val="24"/>
                <w:lang w:eastAsia="fr-FR"/>
              </w:rPr>
              <w:t>100%</w:t>
            </w:r>
          </w:p>
        </w:tc>
        <w:tc>
          <w:tcPr>
            <w:tcW w:w="992" w:type="dxa"/>
            <w:shd w:val="clear" w:color="000000" w:fill="D34B07"/>
            <w:noWrap/>
            <w:hideMark/>
          </w:tcPr>
          <w:p w:rsidR="005C014D" w:rsidRPr="00FE2565" w:rsidRDefault="005C014D" w:rsidP="005C014D">
            <w:pPr>
              <w:widowControl w:val="0"/>
              <w:autoSpaceDE w:val="0"/>
              <w:autoSpaceDN w:val="0"/>
              <w:spacing w:after="0" w:line="240" w:lineRule="auto"/>
              <w:jc w:val="right"/>
              <w:rPr>
                <w:rFonts w:ascii="Arial" w:eastAsia="Times New Roman" w:hAnsi="Arial" w:cs="Arial"/>
                <w:color w:val="000000"/>
                <w:sz w:val="24"/>
                <w:szCs w:val="24"/>
                <w:lang w:eastAsia="fr-FR"/>
              </w:rPr>
            </w:pPr>
            <w:r w:rsidRPr="00FE2565">
              <w:rPr>
                <w:rFonts w:ascii="Arial" w:eastAsia="Times New Roman" w:hAnsi="Arial" w:cs="Arial"/>
                <w:color w:val="000000"/>
                <w:sz w:val="24"/>
                <w:szCs w:val="24"/>
                <w:lang w:eastAsia="fr-FR"/>
              </w:rPr>
              <w:t>100%</w:t>
            </w:r>
          </w:p>
        </w:tc>
        <w:tc>
          <w:tcPr>
            <w:tcW w:w="626" w:type="dxa"/>
            <w:shd w:val="clear" w:color="000000" w:fill="FFC000"/>
            <w:noWrap/>
            <w:hideMark/>
          </w:tcPr>
          <w:p w:rsidR="005C014D" w:rsidRPr="00FE2565" w:rsidRDefault="005C014D" w:rsidP="005C014D">
            <w:pPr>
              <w:widowControl w:val="0"/>
              <w:autoSpaceDE w:val="0"/>
              <w:autoSpaceDN w:val="0"/>
              <w:spacing w:after="0" w:line="240" w:lineRule="auto"/>
              <w:jc w:val="right"/>
              <w:rPr>
                <w:rFonts w:ascii="Arial" w:eastAsia="Times New Roman" w:hAnsi="Arial" w:cs="Arial"/>
                <w:color w:val="000000"/>
                <w:sz w:val="24"/>
                <w:szCs w:val="24"/>
                <w:lang w:eastAsia="fr-FR"/>
              </w:rPr>
            </w:pPr>
            <w:r w:rsidRPr="00FE2565">
              <w:rPr>
                <w:rFonts w:ascii="Arial" w:eastAsia="Times New Roman" w:hAnsi="Arial" w:cs="Arial"/>
                <w:color w:val="000000"/>
                <w:sz w:val="24"/>
                <w:szCs w:val="24"/>
                <w:lang w:eastAsia="fr-FR"/>
              </w:rPr>
              <w:t>55%</w:t>
            </w:r>
          </w:p>
        </w:tc>
      </w:tr>
      <w:tr w:rsidR="005C014D" w:rsidRPr="00FE2565" w:rsidTr="001B5FFC">
        <w:trPr>
          <w:trHeight w:val="251"/>
        </w:trPr>
        <w:tc>
          <w:tcPr>
            <w:tcW w:w="950" w:type="dxa"/>
            <w:vMerge/>
            <w:vAlign w:val="center"/>
            <w:hideMark/>
          </w:tcPr>
          <w:p w:rsidR="005C014D" w:rsidRPr="00FE2565" w:rsidRDefault="005C014D" w:rsidP="005C014D">
            <w:pPr>
              <w:widowControl w:val="0"/>
              <w:autoSpaceDE w:val="0"/>
              <w:autoSpaceDN w:val="0"/>
              <w:spacing w:after="0" w:line="240" w:lineRule="auto"/>
              <w:rPr>
                <w:rFonts w:ascii="Arial" w:eastAsia="Times New Roman" w:hAnsi="Arial" w:cs="Arial"/>
                <w:b/>
                <w:bCs/>
                <w:color w:val="000000"/>
                <w:sz w:val="24"/>
                <w:szCs w:val="24"/>
                <w:lang w:eastAsia="fr-FR"/>
              </w:rPr>
            </w:pPr>
          </w:p>
        </w:tc>
        <w:tc>
          <w:tcPr>
            <w:tcW w:w="1080" w:type="dxa"/>
            <w:vMerge/>
            <w:vAlign w:val="center"/>
            <w:hideMark/>
          </w:tcPr>
          <w:p w:rsidR="005C014D" w:rsidRPr="00FE2565" w:rsidRDefault="005C014D" w:rsidP="005C014D">
            <w:pPr>
              <w:widowControl w:val="0"/>
              <w:autoSpaceDE w:val="0"/>
              <w:autoSpaceDN w:val="0"/>
              <w:spacing w:after="0" w:line="240" w:lineRule="auto"/>
              <w:rPr>
                <w:rFonts w:ascii="Arial" w:eastAsia="Times New Roman" w:hAnsi="Arial" w:cs="Arial"/>
                <w:color w:val="000000"/>
                <w:sz w:val="24"/>
                <w:szCs w:val="24"/>
                <w:lang w:eastAsia="fr-FR"/>
              </w:rPr>
            </w:pPr>
          </w:p>
        </w:tc>
        <w:tc>
          <w:tcPr>
            <w:tcW w:w="2293" w:type="dxa"/>
            <w:shd w:val="clear" w:color="auto" w:fill="auto"/>
            <w:noWrap/>
            <w:vAlign w:val="center"/>
            <w:hideMark/>
          </w:tcPr>
          <w:p w:rsidR="005C014D" w:rsidRPr="00FE2565" w:rsidRDefault="005C014D" w:rsidP="005C014D">
            <w:pPr>
              <w:widowControl w:val="0"/>
              <w:autoSpaceDE w:val="0"/>
              <w:autoSpaceDN w:val="0"/>
              <w:spacing w:after="0" w:line="240" w:lineRule="auto"/>
              <w:rPr>
                <w:rFonts w:ascii="Arial" w:eastAsia="Times New Roman" w:hAnsi="Arial" w:cs="Arial"/>
                <w:color w:val="000000"/>
                <w:sz w:val="24"/>
                <w:szCs w:val="24"/>
                <w:lang w:eastAsia="fr-FR"/>
              </w:rPr>
            </w:pPr>
            <w:r w:rsidRPr="00FE2565">
              <w:rPr>
                <w:rFonts w:ascii="Arial" w:eastAsia="Times New Roman" w:hAnsi="Arial" w:cs="Arial"/>
                <w:color w:val="000000"/>
                <w:sz w:val="24"/>
                <w:szCs w:val="24"/>
                <w:lang w:eastAsia="fr-FR"/>
              </w:rPr>
              <w:t>Oulad Ghait</w:t>
            </w:r>
          </w:p>
        </w:tc>
        <w:tc>
          <w:tcPr>
            <w:tcW w:w="676" w:type="dxa"/>
            <w:shd w:val="clear" w:color="000000" w:fill="F4F46C"/>
            <w:noWrap/>
            <w:hideMark/>
          </w:tcPr>
          <w:p w:rsidR="005C014D" w:rsidRPr="00FE2565" w:rsidRDefault="005C014D" w:rsidP="005C014D">
            <w:pPr>
              <w:widowControl w:val="0"/>
              <w:autoSpaceDE w:val="0"/>
              <w:autoSpaceDN w:val="0"/>
              <w:spacing w:after="0" w:line="240" w:lineRule="auto"/>
              <w:jc w:val="right"/>
              <w:rPr>
                <w:rFonts w:ascii="Arial" w:eastAsia="Times New Roman" w:hAnsi="Arial" w:cs="Arial"/>
                <w:color w:val="000000"/>
                <w:sz w:val="24"/>
                <w:szCs w:val="24"/>
                <w:lang w:eastAsia="fr-FR"/>
              </w:rPr>
            </w:pPr>
            <w:r w:rsidRPr="00FE2565">
              <w:rPr>
                <w:rFonts w:ascii="Arial" w:eastAsia="Times New Roman" w:hAnsi="Arial" w:cs="Arial"/>
                <w:color w:val="000000"/>
                <w:sz w:val="24"/>
                <w:szCs w:val="24"/>
                <w:lang w:eastAsia="fr-FR"/>
              </w:rPr>
              <w:t>20%</w:t>
            </w:r>
          </w:p>
        </w:tc>
        <w:tc>
          <w:tcPr>
            <w:tcW w:w="1181" w:type="dxa"/>
            <w:shd w:val="clear" w:color="000000" w:fill="F4F46C"/>
            <w:noWrap/>
            <w:hideMark/>
          </w:tcPr>
          <w:p w:rsidR="005C014D" w:rsidRPr="00FE2565" w:rsidRDefault="005C014D" w:rsidP="005C014D">
            <w:pPr>
              <w:widowControl w:val="0"/>
              <w:autoSpaceDE w:val="0"/>
              <w:autoSpaceDN w:val="0"/>
              <w:spacing w:after="0" w:line="240" w:lineRule="auto"/>
              <w:jc w:val="right"/>
              <w:rPr>
                <w:rFonts w:ascii="Arial" w:eastAsia="Times New Roman" w:hAnsi="Arial" w:cs="Arial"/>
                <w:color w:val="000000"/>
                <w:sz w:val="24"/>
                <w:szCs w:val="24"/>
                <w:lang w:eastAsia="fr-FR"/>
              </w:rPr>
            </w:pPr>
            <w:r w:rsidRPr="00FE2565">
              <w:rPr>
                <w:rFonts w:ascii="Arial" w:eastAsia="Times New Roman" w:hAnsi="Arial" w:cs="Arial"/>
                <w:color w:val="000000"/>
                <w:sz w:val="24"/>
                <w:szCs w:val="24"/>
                <w:lang w:eastAsia="fr-FR"/>
              </w:rPr>
              <w:t>42%</w:t>
            </w:r>
          </w:p>
        </w:tc>
        <w:tc>
          <w:tcPr>
            <w:tcW w:w="1045" w:type="dxa"/>
            <w:shd w:val="clear" w:color="000000" w:fill="FFC000"/>
            <w:noWrap/>
            <w:hideMark/>
          </w:tcPr>
          <w:p w:rsidR="005C014D" w:rsidRPr="00FE2565" w:rsidRDefault="005C014D" w:rsidP="005C014D">
            <w:pPr>
              <w:widowControl w:val="0"/>
              <w:autoSpaceDE w:val="0"/>
              <w:autoSpaceDN w:val="0"/>
              <w:spacing w:after="0" w:line="240" w:lineRule="auto"/>
              <w:jc w:val="right"/>
              <w:rPr>
                <w:rFonts w:ascii="Arial" w:eastAsia="Times New Roman" w:hAnsi="Arial" w:cs="Arial"/>
                <w:color w:val="000000"/>
                <w:sz w:val="24"/>
                <w:szCs w:val="24"/>
                <w:lang w:eastAsia="fr-FR"/>
              </w:rPr>
            </w:pPr>
            <w:r w:rsidRPr="00FE2565">
              <w:rPr>
                <w:rFonts w:ascii="Arial" w:eastAsia="Times New Roman" w:hAnsi="Arial" w:cs="Arial"/>
                <w:color w:val="000000"/>
                <w:sz w:val="24"/>
                <w:szCs w:val="24"/>
                <w:lang w:eastAsia="fr-FR"/>
              </w:rPr>
              <w:t>60%</w:t>
            </w:r>
          </w:p>
        </w:tc>
        <w:tc>
          <w:tcPr>
            <w:tcW w:w="992" w:type="dxa"/>
            <w:shd w:val="clear" w:color="000000" w:fill="D34B07"/>
            <w:noWrap/>
            <w:hideMark/>
          </w:tcPr>
          <w:p w:rsidR="005C014D" w:rsidRPr="00FE2565" w:rsidRDefault="005C014D" w:rsidP="005C014D">
            <w:pPr>
              <w:widowControl w:val="0"/>
              <w:autoSpaceDE w:val="0"/>
              <w:autoSpaceDN w:val="0"/>
              <w:spacing w:after="0" w:line="240" w:lineRule="auto"/>
              <w:jc w:val="right"/>
              <w:rPr>
                <w:rFonts w:ascii="Arial" w:eastAsia="Times New Roman" w:hAnsi="Arial" w:cs="Arial"/>
                <w:color w:val="000000"/>
                <w:sz w:val="24"/>
                <w:szCs w:val="24"/>
                <w:lang w:eastAsia="fr-FR"/>
              </w:rPr>
            </w:pPr>
            <w:r w:rsidRPr="00FE2565">
              <w:rPr>
                <w:rFonts w:ascii="Arial" w:eastAsia="Times New Roman" w:hAnsi="Arial" w:cs="Arial"/>
                <w:color w:val="000000"/>
                <w:sz w:val="24"/>
                <w:szCs w:val="24"/>
                <w:lang w:eastAsia="fr-FR"/>
              </w:rPr>
              <w:t>80%</w:t>
            </w:r>
          </w:p>
        </w:tc>
        <w:tc>
          <w:tcPr>
            <w:tcW w:w="626" w:type="dxa"/>
            <w:shd w:val="clear" w:color="000000" w:fill="FFC000"/>
            <w:noWrap/>
            <w:hideMark/>
          </w:tcPr>
          <w:p w:rsidR="005C014D" w:rsidRPr="00FE2565" w:rsidRDefault="005C014D" w:rsidP="005C014D">
            <w:pPr>
              <w:widowControl w:val="0"/>
              <w:autoSpaceDE w:val="0"/>
              <w:autoSpaceDN w:val="0"/>
              <w:spacing w:after="0" w:line="240" w:lineRule="auto"/>
              <w:jc w:val="right"/>
              <w:rPr>
                <w:rFonts w:ascii="Arial" w:eastAsia="Times New Roman" w:hAnsi="Arial" w:cs="Arial"/>
                <w:color w:val="000000"/>
                <w:sz w:val="24"/>
                <w:szCs w:val="24"/>
                <w:lang w:eastAsia="fr-FR"/>
              </w:rPr>
            </w:pPr>
            <w:r w:rsidRPr="00FE2565">
              <w:rPr>
                <w:rFonts w:ascii="Arial" w:eastAsia="Times New Roman" w:hAnsi="Arial" w:cs="Arial"/>
                <w:color w:val="000000"/>
                <w:sz w:val="24"/>
                <w:szCs w:val="24"/>
                <w:lang w:eastAsia="fr-FR"/>
              </w:rPr>
              <w:t>50%</w:t>
            </w:r>
          </w:p>
        </w:tc>
      </w:tr>
      <w:tr w:rsidR="005C014D" w:rsidRPr="00FE2565" w:rsidTr="001B5FFC">
        <w:trPr>
          <w:trHeight w:val="251"/>
        </w:trPr>
        <w:tc>
          <w:tcPr>
            <w:tcW w:w="950" w:type="dxa"/>
            <w:vMerge/>
            <w:vAlign w:val="center"/>
            <w:hideMark/>
          </w:tcPr>
          <w:p w:rsidR="005C014D" w:rsidRPr="00FE2565" w:rsidRDefault="005C014D" w:rsidP="005C014D">
            <w:pPr>
              <w:widowControl w:val="0"/>
              <w:autoSpaceDE w:val="0"/>
              <w:autoSpaceDN w:val="0"/>
              <w:spacing w:after="0" w:line="240" w:lineRule="auto"/>
              <w:rPr>
                <w:rFonts w:ascii="Arial" w:eastAsia="Times New Roman" w:hAnsi="Arial" w:cs="Arial"/>
                <w:b/>
                <w:bCs/>
                <w:color w:val="000000"/>
                <w:sz w:val="24"/>
                <w:szCs w:val="24"/>
                <w:lang w:eastAsia="fr-FR"/>
              </w:rPr>
            </w:pPr>
          </w:p>
        </w:tc>
        <w:tc>
          <w:tcPr>
            <w:tcW w:w="1080" w:type="dxa"/>
            <w:vMerge/>
            <w:vAlign w:val="center"/>
            <w:hideMark/>
          </w:tcPr>
          <w:p w:rsidR="005C014D" w:rsidRPr="00FE2565" w:rsidRDefault="005C014D" w:rsidP="005C014D">
            <w:pPr>
              <w:widowControl w:val="0"/>
              <w:autoSpaceDE w:val="0"/>
              <w:autoSpaceDN w:val="0"/>
              <w:spacing w:after="0" w:line="240" w:lineRule="auto"/>
              <w:rPr>
                <w:rFonts w:ascii="Arial" w:eastAsia="Times New Roman" w:hAnsi="Arial" w:cs="Arial"/>
                <w:color w:val="000000"/>
                <w:sz w:val="24"/>
                <w:szCs w:val="24"/>
                <w:lang w:eastAsia="fr-FR"/>
              </w:rPr>
            </w:pPr>
          </w:p>
        </w:tc>
        <w:tc>
          <w:tcPr>
            <w:tcW w:w="2293" w:type="dxa"/>
            <w:shd w:val="clear" w:color="auto" w:fill="auto"/>
            <w:noWrap/>
            <w:vAlign w:val="center"/>
            <w:hideMark/>
          </w:tcPr>
          <w:p w:rsidR="005C014D" w:rsidRPr="00FE2565" w:rsidRDefault="005C014D" w:rsidP="005C014D">
            <w:pPr>
              <w:widowControl w:val="0"/>
              <w:autoSpaceDE w:val="0"/>
              <w:autoSpaceDN w:val="0"/>
              <w:spacing w:after="0" w:line="240" w:lineRule="auto"/>
              <w:rPr>
                <w:rFonts w:ascii="Arial" w:eastAsia="Times New Roman" w:hAnsi="Arial" w:cs="Arial"/>
                <w:color w:val="000000"/>
                <w:sz w:val="24"/>
                <w:szCs w:val="24"/>
                <w:lang w:eastAsia="fr-FR"/>
              </w:rPr>
            </w:pPr>
            <w:r w:rsidRPr="00FE2565">
              <w:rPr>
                <w:rFonts w:ascii="Arial" w:eastAsia="Times New Roman" w:hAnsi="Arial" w:cs="Arial"/>
                <w:color w:val="000000"/>
                <w:sz w:val="24"/>
                <w:szCs w:val="24"/>
                <w:lang w:eastAsia="fr-FR"/>
              </w:rPr>
              <w:t>Oulad Merzoug</w:t>
            </w:r>
          </w:p>
        </w:tc>
        <w:tc>
          <w:tcPr>
            <w:tcW w:w="676" w:type="dxa"/>
            <w:shd w:val="clear" w:color="000000" w:fill="F4F46C"/>
            <w:noWrap/>
            <w:hideMark/>
          </w:tcPr>
          <w:p w:rsidR="005C014D" w:rsidRPr="00FE2565" w:rsidRDefault="005C014D" w:rsidP="005C014D">
            <w:pPr>
              <w:widowControl w:val="0"/>
              <w:autoSpaceDE w:val="0"/>
              <w:autoSpaceDN w:val="0"/>
              <w:spacing w:after="0" w:line="240" w:lineRule="auto"/>
              <w:jc w:val="right"/>
              <w:rPr>
                <w:rFonts w:ascii="Arial" w:eastAsia="Times New Roman" w:hAnsi="Arial" w:cs="Arial"/>
                <w:color w:val="000000"/>
                <w:sz w:val="24"/>
                <w:szCs w:val="24"/>
                <w:lang w:eastAsia="fr-FR"/>
              </w:rPr>
            </w:pPr>
            <w:r w:rsidRPr="00FE2565">
              <w:rPr>
                <w:rFonts w:ascii="Arial" w:eastAsia="Times New Roman" w:hAnsi="Arial" w:cs="Arial"/>
                <w:color w:val="000000"/>
                <w:sz w:val="24"/>
                <w:szCs w:val="24"/>
                <w:lang w:eastAsia="fr-FR"/>
              </w:rPr>
              <w:t>0%</w:t>
            </w:r>
          </w:p>
        </w:tc>
        <w:tc>
          <w:tcPr>
            <w:tcW w:w="1181" w:type="dxa"/>
            <w:shd w:val="clear" w:color="000000" w:fill="F4F46C"/>
            <w:noWrap/>
            <w:hideMark/>
          </w:tcPr>
          <w:p w:rsidR="005C014D" w:rsidRPr="00FE2565" w:rsidRDefault="005C014D" w:rsidP="005C014D">
            <w:pPr>
              <w:widowControl w:val="0"/>
              <w:autoSpaceDE w:val="0"/>
              <w:autoSpaceDN w:val="0"/>
              <w:spacing w:after="0" w:line="240" w:lineRule="auto"/>
              <w:jc w:val="right"/>
              <w:rPr>
                <w:rFonts w:ascii="Arial" w:eastAsia="Times New Roman" w:hAnsi="Arial" w:cs="Arial"/>
                <w:color w:val="000000"/>
                <w:sz w:val="24"/>
                <w:szCs w:val="24"/>
                <w:lang w:eastAsia="fr-FR"/>
              </w:rPr>
            </w:pPr>
            <w:r w:rsidRPr="00FE2565">
              <w:rPr>
                <w:rFonts w:ascii="Arial" w:eastAsia="Times New Roman" w:hAnsi="Arial" w:cs="Arial"/>
                <w:color w:val="000000"/>
                <w:sz w:val="24"/>
                <w:szCs w:val="24"/>
                <w:lang w:eastAsia="fr-FR"/>
              </w:rPr>
              <w:t>40%</w:t>
            </w:r>
          </w:p>
        </w:tc>
        <w:tc>
          <w:tcPr>
            <w:tcW w:w="1045" w:type="dxa"/>
            <w:shd w:val="clear" w:color="000000" w:fill="D34B07"/>
            <w:noWrap/>
            <w:hideMark/>
          </w:tcPr>
          <w:p w:rsidR="005C014D" w:rsidRPr="00FE2565" w:rsidRDefault="005C014D" w:rsidP="005C014D">
            <w:pPr>
              <w:widowControl w:val="0"/>
              <w:autoSpaceDE w:val="0"/>
              <w:autoSpaceDN w:val="0"/>
              <w:spacing w:after="0" w:line="240" w:lineRule="auto"/>
              <w:jc w:val="right"/>
              <w:rPr>
                <w:rFonts w:ascii="Arial" w:eastAsia="Times New Roman" w:hAnsi="Arial" w:cs="Arial"/>
                <w:color w:val="000000"/>
                <w:sz w:val="24"/>
                <w:szCs w:val="24"/>
                <w:lang w:eastAsia="fr-FR"/>
              </w:rPr>
            </w:pPr>
            <w:r w:rsidRPr="00FE2565">
              <w:rPr>
                <w:rFonts w:ascii="Arial" w:eastAsia="Times New Roman" w:hAnsi="Arial" w:cs="Arial"/>
                <w:color w:val="000000"/>
                <w:sz w:val="24"/>
                <w:szCs w:val="24"/>
                <w:lang w:eastAsia="fr-FR"/>
              </w:rPr>
              <w:t>80%</w:t>
            </w:r>
          </w:p>
        </w:tc>
        <w:tc>
          <w:tcPr>
            <w:tcW w:w="992" w:type="dxa"/>
            <w:shd w:val="clear" w:color="000000" w:fill="D34B07"/>
            <w:noWrap/>
            <w:hideMark/>
          </w:tcPr>
          <w:p w:rsidR="005C014D" w:rsidRPr="00FE2565" w:rsidRDefault="005C014D" w:rsidP="005C014D">
            <w:pPr>
              <w:widowControl w:val="0"/>
              <w:autoSpaceDE w:val="0"/>
              <w:autoSpaceDN w:val="0"/>
              <w:spacing w:after="0" w:line="240" w:lineRule="auto"/>
              <w:jc w:val="right"/>
              <w:rPr>
                <w:rFonts w:ascii="Arial" w:eastAsia="Times New Roman" w:hAnsi="Arial" w:cs="Arial"/>
                <w:color w:val="000000"/>
                <w:sz w:val="24"/>
                <w:szCs w:val="24"/>
                <w:lang w:eastAsia="fr-FR"/>
              </w:rPr>
            </w:pPr>
            <w:r w:rsidRPr="00FE2565">
              <w:rPr>
                <w:rFonts w:ascii="Arial" w:eastAsia="Times New Roman" w:hAnsi="Arial" w:cs="Arial"/>
                <w:color w:val="000000"/>
                <w:sz w:val="24"/>
                <w:szCs w:val="24"/>
                <w:lang w:eastAsia="fr-FR"/>
              </w:rPr>
              <w:t>100%</w:t>
            </w:r>
          </w:p>
        </w:tc>
        <w:tc>
          <w:tcPr>
            <w:tcW w:w="626" w:type="dxa"/>
            <w:shd w:val="clear" w:color="000000" w:fill="FFC000"/>
            <w:noWrap/>
            <w:hideMark/>
          </w:tcPr>
          <w:p w:rsidR="005C014D" w:rsidRPr="00FE2565" w:rsidRDefault="005C014D" w:rsidP="005C014D">
            <w:pPr>
              <w:widowControl w:val="0"/>
              <w:autoSpaceDE w:val="0"/>
              <w:autoSpaceDN w:val="0"/>
              <w:spacing w:after="0" w:line="240" w:lineRule="auto"/>
              <w:jc w:val="right"/>
              <w:rPr>
                <w:rFonts w:ascii="Arial" w:eastAsia="Times New Roman" w:hAnsi="Arial" w:cs="Arial"/>
                <w:color w:val="000000"/>
                <w:sz w:val="24"/>
                <w:szCs w:val="24"/>
                <w:lang w:eastAsia="fr-FR"/>
              </w:rPr>
            </w:pPr>
            <w:r w:rsidRPr="00FE2565">
              <w:rPr>
                <w:rFonts w:ascii="Arial" w:eastAsia="Times New Roman" w:hAnsi="Arial" w:cs="Arial"/>
                <w:color w:val="000000"/>
                <w:sz w:val="24"/>
                <w:szCs w:val="24"/>
                <w:lang w:eastAsia="fr-FR"/>
              </w:rPr>
              <w:t>55%</w:t>
            </w:r>
          </w:p>
        </w:tc>
      </w:tr>
      <w:tr w:rsidR="005C014D" w:rsidRPr="00FE2565" w:rsidTr="001B5FFC">
        <w:trPr>
          <w:trHeight w:val="251"/>
        </w:trPr>
        <w:tc>
          <w:tcPr>
            <w:tcW w:w="950" w:type="dxa"/>
            <w:vMerge/>
            <w:vAlign w:val="center"/>
            <w:hideMark/>
          </w:tcPr>
          <w:p w:rsidR="005C014D" w:rsidRPr="00FE2565" w:rsidRDefault="005C014D" w:rsidP="005C014D">
            <w:pPr>
              <w:widowControl w:val="0"/>
              <w:autoSpaceDE w:val="0"/>
              <w:autoSpaceDN w:val="0"/>
              <w:spacing w:after="0" w:line="240" w:lineRule="auto"/>
              <w:rPr>
                <w:rFonts w:ascii="Arial" w:eastAsia="Times New Roman" w:hAnsi="Arial" w:cs="Arial"/>
                <w:b/>
                <w:bCs/>
                <w:color w:val="000000"/>
                <w:sz w:val="24"/>
                <w:szCs w:val="24"/>
                <w:lang w:eastAsia="fr-FR"/>
              </w:rPr>
            </w:pPr>
          </w:p>
        </w:tc>
        <w:tc>
          <w:tcPr>
            <w:tcW w:w="1080" w:type="dxa"/>
            <w:vMerge/>
            <w:vAlign w:val="center"/>
            <w:hideMark/>
          </w:tcPr>
          <w:p w:rsidR="005C014D" w:rsidRPr="00FE2565" w:rsidRDefault="005C014D" w:rsidP="005C014D">
            <w:pPr>
              <w:widowControl w:val="0"/>
              <w:autoSpaceDE w:val="0"/>
              <w:autoSpaceDN w:val="0"/>
              <w:spacing w:after="0" w:line="240" w:lineRule="auto"/>
              <w:rPr>
                <w:rFonts w:ascii="Arial" w:eastAsia="Times New Roman" w:hAnsi="Arial" w:cs="Arial"/>
                <w:color w:val="000000"/>
                <w:sz w:val="24"/>
                <w:szCs w:val="24"/>
                <w:lang w:eastAsia="fr-FR"/>
              </w:rPr>
            </w:pPr>
          </w:p>
        </w:tc>
        <w:tc>
          <w:tcPr>
            <w:tcW w:w="2293" w:type="dxa"/>
            <w:shd w:val="clear" w:color="auto" w:fill="auto"/>
            <w:noWrap/>
            <w:vAlign w:val="center"/>
            <w:hideMark/>
          </w:tcPr>
          <w:p w:rsidR="005C014D" w:rsidRPr="00FE2565" w:rsidRDefault="005C014D" w:rsidP="005C014D">
            <w:pPr>
              <w:widowControl w:val="0"/>
              <w:autoSpaceDE w:val="0"/>
              <w:autoSpaceDN w:val="0"/>
              <w:spacing w:after="0" w:line="240" w:lineRule="auto"/>
              <w:rPr>
                <w:rFonts w:ascii="Arial" w:eastAsia="Times New Roman" w:hAnsi="Arial" w:cs="Arial"/>
                <w:color w:val="000000"/>
                <w:sz w:val="24"/>
                <w:szCs w:val="24"/>
                <w:lang w:eastAsia="fr-FR"/>
              </w:rPr>
            </w:pPr>
            <w:r w:rsidRPr="00FE2565">
              <w:rPr>
                <w:rFonts w:ascii="Arial" w:eastAsia="Times New Roman" w:hAnsi="Arial" w:cs="Arial"/>
                <w:color w:val="000000"/>
                <w:sz w:val="24"/>
                <w:szCs w:val="24"/>
                <w:lang w:eastAsia="fr-FR"/>
              </w:rPr>
              <w:t>Oulad Sidi Bouamar</w:t>
            </w:r>
          </w:p>
        </w:tc>
        <w:tc>
          <w:tcPr>
            <w:tcW w:w="676" w:type="dxa"/>
            <w:shd w:val="clear" w:color="000000" w:fill="F4F46C"/>
            <w:noWrap/>
            <w:hideMark/>
          </w:tcPr>
          <w:p w:rsidR="005C014D" w:rsidRPr="00FE2565" w:rsidRDefault="005C014D" w:rsidP="005C014D">
            <w:pPr>
              <w:widowControl w:val="0"/>
              <w:autoSpaceDE w:val="0"/>
              <w:autoSpaceDN w:val="0"/>
              <w:spacing w:after="0" w:line="240" w:lineRule="auto"/>
              <w:jc w:val="right"/>
              <w:rPr>
                <w:rFonts w:ascii="Arial" w:eastAsia="Times New Roman" w:hAnsi="Arial" w:cs="Arial"/>
                <w:color w:val="000000"/>
                <w:sz w:val="24"/>
                <w:szCs w:val="24"/>
                <w:lang w:eastAsia="fr-FR"/>
              </w:rPr>
            </w:pPr>
            <w:r w:rsidRPr="00FE2565">
              <w:rPr>
                <w:rFonts w:ascii="Arial" w:eastAsia="Times New Roman" w:hAnsi="Arial" w:cs="Arial"/>
                <w:color w:val="000000"/>
                <w:sz w:val="24"/>
                <w:szCs w:val="24"/>
                <w:lang w:eastAsia="fr-FR"/>
              </w:rPr>
              <w:t>0%</w:t>
            </w:r>
          </w:p>
        </w:tc>
        <w:tc>
          <w:tcPr>
            <w:tcW w:w="1181" w:type="dxa"/>
            <w:shd w:val="clear" w:color="000000" w:fill="F4F46C"/>
            <w:noWrap/>
            <w:hideMark/>
          </w:tcPr>
          <w:p w:rsidR="005C014D" w:rsidRPr="00FE2565" w:rsidRDefault="005C014D" w:rsidP="005C014D">
            <w:pPr>
              <w:widowControl w:val="0"/>
              <w:autoSpaceDE w:val="0"/>
              <w:autoSpaceDN w:val="0"/>
              <w:spacing w:after="0" w:line="240" w:lineRule="auto"/>
              <w:jc w:val="right"/>
              <w:rPr>
                <w:rFonts w:ascii="Arial" w:eastAsia="Times New Roman" w:hAnsi="Arial" w:cs="Arial"/>
                <w:color w:val="000000"/>
                <w:sz w:val="24"/>
                <w:szCs w:val="24"/>
                <w:lang w:eastAsia="fr-FR"/>
              </w:rPr>
            </w:pPr>
            <w:r w:rsidRPr="00FE2565">
              <w:rPr>
                <w:rFonts w:ascii="Arial" w:eastAsia="Times New Roman" w:hAnsi="Arial" w:cs="Arial"/>
                <w:color w:val="000000"/>
                <w:sz w:val="24"/>
                <w:szCs w:val="24"/>
                <w:lang w:eastAsia="fr-FR"/>
              </w:rPr>
              <w:t>40%</w:t>
            </w:r>
          </w:p>
        </w:tc>
        <w:tc>
          <w:tcPr>
            <w:tcW w:w="1045" w:type="dxa"/>
            <w:shd w:val="clear" w:color="000000" w:fill="D34B07"/>
            <w:noWrap/>
            <w:hideMark/>
          </w:tcPr>
          <w:p w:rsidR="005C014D" w:rsidRPr="00FE2565" w:rsidRDefault="005C014D" w:rsidP="005C014D">
            <w:pPr>
              <w:widowControl w:val="0"/>
              <w:autoSpaceDE w:val="0"/>
              <w:autoSpaceDN w:val="0"/>
              <w:spacing w:after="0" w:line="240" w:lineRule="auto"/>
              <w:jc w:val="right"/>
              <w:rPr>
                <w:rFonts w:ascii="Arial" w:eastAsia="Times New Roman" w:hAnsi="Arial" w:cs="Arial"/>
                <w:color w:val="000000"/>
                <w:sz w:val="24"/>
                <w:szCs w:val="24"/>
                <w:lang w:eastAsia="fr-FR"/>
              </w:rPr>
            </w:pPr>
            <w:r w:rsidRPr="00FE2565">
              <w:rPr>
                <w:rFonts w:ascii="Arial" w:eastAsia="Times New Roman" w:hAnsi="Arial" w:cs="Arial"/>
                <w:color w:val="000000"/>
                <w:sz w:val="24"/>
                <w:szCs w:val="24"/>
                <w:lang w:eastAsia="fr-FR"/>
              </w:rPr>
              <w:t>80%</w:t>
            </w:r>
          </w:p>
        </w:tc>
        <w:tc>
          <w:tcPr>
            <w:tcW w:w="992" w:type="dxa"/>
            <w:shd w:val="clear" w:color="000000" w:fill="D34B07"/>
            <w:noWrap/>
            <w:hideMark/>
          </w:tcPr>
          <w:p w:rsidR="005C014D" w:rsidRPr="00FE2565" w:rsidRDefault="005C014D" w:rsidP="005C014D">
            <w:pPr>
              <w:widowControl w:val="0"/>
              <w:autoSpaceDE w:val="0"/>
              <w:autoSpaceDN w:val="0"/>
              <w:spacing w:after="0" w:line="240" w:lineRule="auto"/>
              <w:jc w:val="right"/>
              <w:rPr>
                <w:rFonts w:ascii="Arial" w:eastAsia="Times New Roman" w:hAnsi="Arial" w:cs="Arial"/>
                <w:color w:val="000000"/>
                <w:sz w:val="24"/>
                <w:szCs w:val="24"/>
                <w:lang w:eastAsia="fr-FR"/>
              </w:rPr>
            </w:pPr>
            <w:r w:rsidRPr="00FE2565">
              <w:rPr>
                <w:rFonts w:ascii="Arial" w:eastAsia="Times New Roman" w:hAnsi="Arial" w:cs="Arial"/>
                <w:color w:val="000000"/>
                <w:sz w:val="24"/>
                <w:szCs w:val="24"/>
                <w:lang w:eastAsia="fr-FR"/>
              </w:rPr>
              <w:t>100%</w:t>
            </w:r>
          </w:p>
        </w:tc>
        <w:tc>
          <w:tcPr>
            <w:tcW w:w="626" w:type="dxa"/>
            <w:shd w:val="clear" w:color="000000" w:fill="FFC000"/>
            <w:noWrap/>
            <w:hideMark/>
          </w:tcPr>
          <w:p w:rsidR="005C014D" w:rsidRPr="00FE2565" w:rsidRDefault="005C014D" w:rsidP="005C014D">
            <w:pPr>
              <w:widowControl w:val="0"/>
              <w:autoSpaceDE w:val="0"/>
              <w:autoSpaceDN w:val="0"/>
              <w:spacing w:after="0" w:line="240" w:lineRule="auto"/>
              <w:jc w:val="right"/>
              <w:rPr>
                <w:rFonts w:ascii="Arial" w:eastAsia="Times New Roman" w:hAnsi="Arial" w:cs="Arial"/>
                <w:color w:val="000000"/>
                <w:sz w:val="24"/>
                <w:szCs w:val="24"/>
                <w:lang w:eastAsia="fr-FR"/>
              </w:rPr>
            </w:pPr>
            <w:r w:rsidRPr="00FE2565">
              <w:rPr>
                <w:rFonts w:ascii="Arial" w:eastAsia="Times New Roman" w:hAnsi="Arial" w:cs="Arial"/>
                <w:color w:val="000000"/>
                <w:sz w:val="24"/>
                <w:szCs w:val="24"/>
                <w:lang w:eastAsia="fr-FR"/>
              </w:rPr>
              <w:t>55%</w:t>
            </w:r>
          </w:p>
        </w:tc>
      </w:tr>
      <w:tr w:rsidR="005C014D" w:rsidRPr="00FE2565" w:rsidTr="001B5FFC">
        <w:trPr>
          <w:trHeight w:val="251"/>
        </w:trPr>
        <w:tc>
          <w:tcPr>
            <w:tcW w:w="950" w:type="dxa"/>
            <w:vMerge/>
            <w:vAlign w:val="center"/>
            <w:hideMark/>
          </w:tcPr>
          <w:p w:rsidR="005C014D" w:rsidRPr="00FE2565" w:rsidRDefault="005C014D" w:rsidP="005C014D">
            <w:pPr>
              <w:widowControl w:val="0"/>
              <w:autoSpaceDE w:val="0"/>
              <w:autoSpaceDN w:val="0"/>
              <w:spacing w:after="0" w:line="240" w:lineRule="auto"/>
              <w:rPr>
                <w:rFonts w:ascii="Arial" w:eastAsia="Times New Roman" w:hAnsi="Arial" w:cs="Arial"/>
                <w:b/>
                <w:bCs/>
                <w:color w:val="000000"/>
                <w:sz w:val="24"/>
                <w:szCs w:val="24"/>
                <w:lang w:eastAsia="fr-FR"/>
              </w:rPr>
            </w:pPr>
          </w:p>
        </w:tc>
        <w:tc>
          <w:tcPr>
            <w:tcW w:w="1080" w:type="dxa"/>
            <w:vMerge/>
            <w:vAlign w:val="center"/>
            <w:hideMark/>
          </w:tcPr>
          <w:p w:rsidR="005C014D" w:rsidRPr="00FE2565" w:rsidRDefault="005C014D" w:rsidP="005C014D">
            <w:pPr>
              <w:widowControl w:val="0"/>
              <w:autoSpaceDE w:val="0"/>
              <w:autoSpaceDN w:val="0"/>
              <w:spacing w:after="0" w:line="240" w:lineRule="auto"/>
              <w:rPr>
                <w:rFonts w:ascii="Arial" w:eastAsia="Times New Roman" w:hAnsi="Arial" w:cs="Arial"/>
                <w:color w:val="000000"/>
                <w:sz w:val="24"/>
                <w:szCs w:val="24"/>
                <w:lang w:eastAsia="fr-FR"/>
              </w:rPr>
            </w:pPr>
          </w:p>
        </w:tc>
        <w:tc>
          <w:tcPr>
            <w:tcW w:w="2293" w:type="dxa"/>
            <w:shd w:val="clear" w:color="auto" w:fill="auto"/>
            <w:noWrap/>
            <w:vAlign w:val="center"/>
            <w:hideMark/>
          </w:tcPr>
          <w:p w:rsidR="005C014D" w:rsidRPr="00FE2565" w:rsidRDefault="005C014D" w:rsidP="005C014D">
            <w:pPr>
              <w:widowControl w:val="0"/>
              <w:autoSpaceDE w:val="0"/>
              <w:autoSpaceDN w:val="0"/>
              <w:spacing w:after="0" w:line="240" w:lineRule="auto"/>
              <w:rPr>
                <w:rFonts w:ascii="Arial" w:eastAsia="Times New Roman" w:hAnsi="Arial" w:cs="Arial"/>
                <w:color w:val="000000"/>
                <w:sz w:val="24"/>
                <w:szCs w:val="24"/>
                <w:lang w:eastAsia="fr-FR"/>
              </w:rPr>
            </w:pPr>
            <w:r w:rsidRPr="00FE2565">
              <w:rPr>
                <w:rFonts w:ascii="Arial" w:eastAsia="Times New Roman" w:hAnsi="Arial" w:cs="Arial"/>
                <w:color w:val="000000"/>
                <w:sz w:val="24"/>
                <w:szCs w:val="24"/>
                <w:lang w:eastAsia="fr-FR"/>
              </w:rPr>
              <w:t>Lmbarkyine (Oulad Sidi Boujouda)</w:t>
            </w:r>
          </w:p>
        </w:tc>
        <w:tc>
          <w:tcPr>
            <w:tcW w:w="676" w:type="dxa"/>
            <w:shd w:val="clear" w:color="000000" w:fill="F4F46C"/>
            <w:noWrap/>
            <w:hideMark/>
          </w:tcPr>
          <w:p w:rsidR="005C014D" w:rsidRPr="00FE2565" w:rsidRDefault="005C014D" w:rsidP="005C014D">
            <w:pPr>
              <w:widowControl w:val="0"/>
              <w:autoSpaceDE w:val="0"/>
              <w:autoSpaceDN w:val="0"/>
              <w:spacing w:after="0" w:line="240" w:lineRule="auto"/>
              <w:jc w:val="right"/>
              <w:rPr>
                <w:rFonts w:ascii="Arial" w:eastAsia="Times New Roman" w:hAnsi="Arial" w:cs="Arial"/>
                <w:color w:val="000000"/>
                <w:sz w:val="24"/>
                <w:szCs w:val="24"/>
                <w:lang w:eastAsia="fr-FR"/>
              </w:rPr>
            </w:pPr>
            <w:r w:rsidRPr="00FE2565">
              <w:rPr>
                <w:rFonts w:ascii="Arial" w:eastAsia="Times New Roman" w:hAnsi="Arial" w:cs="Arial"/>
                <w:color w:val="000000"/>
                <w:sz w:val="24"/>
                <w:szCs w:val="24"/>
                <w:lang w:eastAsia="fr-FR"/>
              </w:rPr>
              <w:t>0%</w:t>
            </w:r>
          </w:p>
        </w:tc>
        <w:tc>
          <w:tcPr>
            <w:tcW w:w="1181" w:type="dxa"/>
            <w:shd w:val="clear" w:color="000000" w:fill="F4F46C"/>
            <w:noWrap/>
            <w:hideMark/>
          </w:tcPr>
          <w:p w:rsidR="005C014D" w:rsidRPr="00FE2565" w:rsidRDefault="005C014D" w:rsidP="005C014D">
            <w:pPr>
              <w:widowControl w:val="0"/>
              <w:autoSpaceDE w:val="0"/>
              <w:autoSpaceDN w:val="0"/>
              <w:spacing w:after="0" w:line="240" w:lineRule="auto"/>
              <w:jc w:val="right"/>
              <w:rPr>
                <w:rFonts w:ascii="Arial" w:eastAsia="Times New Roman" w:hAnsi="Arial" w:cs="Arial"/>
                <w:color w:val="000000"/>
                <w:sz w:val="24"/>
                <w:szCs w:val="24"/>
                <w:lang w:eastAsia="fr-FR"/>
              </w:rPr>
            </w:pPr>
            <w:r w:rsidRPr="00FE2565">
              <w:rPr>
                <w:rFonts w:ascii="Arial" w:eastAsia="Times New Roman" w:hAnsi="Arial" w:cs="Arial"/>
                <w:color w:val="000000"/>
                <w:sz w:val="24"/>
                <w:szCs w:val="24"/>
                <w:lang w:eastAsia="fr-FR"/>
              </w:rPr>
              <w:t>40%</w:t>
            </w:r>
          </w:p>
        </w:tc>
        <w:tc>
          <w:tcPr>
            <w:tcW w:w="1045" w:type="dxa"/>
            <w:shd w:val="clear" w:color="000000" w:fill="FFC000"/>
            <w:noWrap/>
            <w:hideMark/>
          </w:tcPr>
          <w:p w:rsidR="005C014D" w:rsidRPr="00FE2565" w:rsidRDefault="005C014D" w:rsidP="005C014D">
            <w:pPr>
              <w:widowControl w:val="0"/>
              <w:autoSpaceDE w:val="0"/>
              <w:autoSpaceDN w:val="0"/>
              <w:spacing w:after="0" w:line="240" w:lineRule="auto"/>
              <w:jc w:val="right"/>
              <w:rPr>
                <w:rFonts w:ascii="Arial" w:eastAsia="Times New Roman" w:hAnsi="Arial" w:cs="Arial"/>
                <w:color w:val="000000"/>
                <w:sz w:val="24"/>
                <w:szCs w:val="24"/>
                <w:lang w:eastAsia="fr-FR"/>
              </w:rPr>
            </w:pPr>
            <w:r w:rsidRPr="00FE2565">
              <w:rPr>
                <w:rFonts w:ascii="Arial" w:eastAsia="Times New Roman" w:hAnsi="Arial" w:cs="Arial"/>
                <w:color w:val="000000"/>
                <w:sz w:val="24"/>
                <w:szCs w:val="24"/>
                <w:lang w:eastAsia="fr-FR"/>
              </w:rPr>
              <w:t>60%</w:t>
            </w:r>
          </w:p>
        </w:tc>
        <w:tc>
          <w:tcPr>
            <w:tcW w:w="992" w:type="dxa"/>
            <w:shd w:val="clear" w:color="000000" w:fill="D34B07"/>
            <w:noWrap/>
            <w:hideMark/>
          </w:tcPr>
          <w:p w:rsidR="005C014D" w:rsidRPr="00FE2565" w:rsidRDefault="005C014D" w:rsidP="005C014D">
            <w:pPr>
              <w:widowControl w:val="0"/>
              <w:autoSpaceDE w:val="0"/>
              <w:autoSpaceDN w:val="0"/>
              <w:spacing w:after="0" w:line="240" w:lineRule="auto"/>
              <w:jc w:val="right"/>
              <w:rPr>
                <w:rFonts w:ascii="Arial" w:eastAsia="Times New Roman" w:hAnsi="Arial" w:cs="Arial"/>
                <w:color w:val="000000"/>
                <w:sz w:val="24"/>
                <w:szCs w:val="24"/>
                <w:lang w:eastAsia="fr-FR"/>
              </w:rPr>
            </w:pPr>
            <w:r w:rsidRPr="00FE2565">
              <w:rPr>
                <w:rFonts w:ascii="Arial" w:eastAsia="Times New Roman" w:hAnsi="Arial" w:cs="Arial"/>
                <w:color w:val="000000"/>
                <w:sz w:val="24"/>
                <w:szCs w:val="24"/>
                <w:lang w:eastAsia="fr-FR"/>
              </w:rPr>
              <w:t>100%</w:t>
            </w:r>
          </w:p>
        </w:tc>
        <w:tc>
          <w:tcPr>
            <w:tcW w:w="626" w:type="dxa"/>
            <w:shd w:val="clear" w:color="000000" w:fill="FFC000"/>
            <w:noWrap/>
            <w:hideMark/>
          </w:tcPr>
          <w:p w:rsidR="005C014D" w:rsidRPr="00FE2565" w:rsidRDefault="005C014D" w:rsidP="005C014D">
            <w:pPr>
              <w:widowControl w:val="0"/>
              <w:autoSpaceDE w:val="0"/>
              <w:autoSpaceDN w:val="0"/>
              <w:spacing w:after="0" w:line="240" w:lineRule="auto"/>
              <w:jc w:val="right"/>
              <w:rPr>
                <w:rFonts w:ascii="Arial" w:eastAsia="Times New Roman" w:hAnsi="Arial" w:cs="Arial"/>
                <w:color w:val="000000"/>
                <w:sz w:val="24"/>
                <w:szCs w:val="24"/>
                <w:lang w:eastAsia="fr-FR"/>
              </w:rPr>
            </w:pPr>
            <w:r w:rsidRPr="00FE2565">
              <w:rPr>
                <w:rFonts w:ascii="Arial" w:eastAsia="Times New Roman" w:hAnsi="Arial" w:cs="Arial"/>
                <w:color w:val="000000"/>
                <w:sz w:val="24"/>
                <w:szCs w:val="24"/>
                <w:lang w:eastAsia="fr-FR"/>
              </w:rPr>
              <w:t>50%</w:t>
            </w:r>
          </w:p>
        </w:tc>
      </w:tr>
    </w:tbl>
    <w:p w:rsidR="005C014D" w:rsidRPr="00FE2565" w:rsidRDefault="005C014D" w:rsidP="005C014D">
      <w:pPr>
        <w:widowControl w:val="0"/>
        <w:autoSpaceDE w:val="0"/>
        <w:autoSpaceDN w:val="0"/>
        <w:spacing w:after="0" w:line="240" w:lineRule="auto"/>
        <w:rPr>
          <w:rFonts w:ascii="Arial" w:eastAsia="Times New Roman" w:hAnsi="Arial" w:cs="Arial"/>
          <w:color w:val="000000"/>
          <w:sz w:val="18"/>
          <w:szCs w:val="18"/>
          <w:lang w:eastAsia="fr-FR"/>
        </w:rPr>
      </w:pPr>
    </w:p>
    <w:p w:rsidR="005C014D" w:rsidRPr="00FE2565" w:rsidRDefault="005C014D" w:rsidP="005C014D">
      <w:pPr>
        <w:widowControl w:val="0"/>
        <w:autoSpaceDE w:val="0"/>
        <w:autoSpaceDN w:val="0"/>
        <w:spacing w:before="100" w:beforeAutospacing="1" w:after="100" w:afterAutospacing="1" w:line="360" w:lineRule="auto"/>
        <w:jc w:val="both"/>
        <w:rPr>
          <w:rFonts w:ascii="Tahoma" w:eastAsia="Times New Roman" w:hAnsi="Tahoma" w:cs="Tahoma"/>
          <w:noProof/>
          <w:sz w:val="20"/>
          <w:szCs w:val="20"/>
          <w:lang w:eastAsia="fr-FR"/>
        </w:rPr>
      </w:pPr>
      <w:r w:rsidRPr="00FE2565">
        <w:rPr>
          <w:rFonts w:ascii="Tahoma" w:eastAsia="Times New Roman" w:hAnsi="Tahoma" w:cs="Tahoma"/>
          <w:noProof/>
          <w:sz w:val="20"/>
          <w:szCs w:val="20"/>
          <w:lang w:eastAsia="fr-FR"/>
        </w:rPr>
        <w:t>Légende  du tableau synthétique :</w:t>
      </w:r>
    </w:p>
    <w:tbl>
      <w:tblPr>
        <w:tblpPr w:leftFromText="141" w:rightFromText="141" w:vertAnchor="text" w:horzAnchor="margin" w:tblpY="31"/>
        <w:tblW w:w="8466" w:type="dxa"/>
        <w:tblCellMar>
          <w:left w:w="70" w:type="dxa"/>
          <w:right w:w="70" w:type="dxa"/>
        </w:tblCellMar>
        <w:tblLook w:val="04A0" w:firstRow="1" w:lastRow="0" w:firstColumn="1" w:lastColumn="0" w:noHBand="0" w:noVBand="1"/>
      </w:tblPr>
      <w:tblGrid>
        <w:gridCol w:w="2822"/>
        <w:gridCol w:w="2822"/>
        <w:gridCol w:w="2822"/>
      </w:tblGrid>
      <w:tr w:rsidR="005C014D" w:rsidRPr="00FE2565" w:rsidTr="007D633A">
        <w:trPr>
          <w:trHeight w:val="255"/>
        </w:trPr>
        <w:tc>
          <w:tcPr>
            <w:tcW w:w="2822" w:type="dxa"/>
            <w:tcBorders>
              <w:top w:val="single" w:sz="4" w:space="0" w:color="auto"/>
              <w:left w:val="single" w:sz="4" w:space="0" w:color="auto"/>
              <w:bottom w:val="single" w:sz="4" w:space="0" w:color="auto"/>
              <w:right w:val="single" w:sz="4" w:space="0" w:color="auto"/>
            </w:tcBorders>
            <w:shd w:val="clear" w:color="000000" w:fill="F4F46C"/>
            <w:vAlign w:val="center"/>
            <w:hideMark/>
          </w:tcPr>
          <w:p w:rsidR="005C014D" w:rsidRPr="00FE2565" w:rsidRDefault="005C014D" w:rsidP="005C014D">
            <w:pPr>
              <w:widowControl w:val="0"/>
              <w:autoSpaceDE w:val="0"/>
              <w:autoSpaceDN w:val="0"/>
              <w:spacing w:after="0" w:line="240" w:lineRule="auto"/>
              <w:jc w:val="center"/>
              <w:rPr>
                <w:rFonts w:ascii="Times New Roman" w:eastAsia="Times New Roman" w:hAnsi="Times New Roman" w:cs="Times New Roman"/>
                <w:b/>
                <w:bCs/>
                <w:color w:val="000000"/>
                <w:sz w:val="20"/>
                <w:szCs w:val="20"/>
                <w:lang w:eastAsia="fr-FR"/>
              </w:rPr>
            </w:pPr>
            <w:r w:rsidRPr="00FE2565">
              <w:rPr>
                <w:rFonts w:ascii="Times New Roman" w:eastAsia="Times New Roman" w:hAnsi="Times New Roman" w:cs="Times New Roman"/>
                <w:b/>
                <w:bCs/>
                <w:color w:val="000000"/>
                <w:sz w:val="20"/>
                <w:szCs w:val="20"/>
                <w:lang w:eastAsia="fr-FR"/>
              </w:rPr>
              <w:t>1- Moins de 50%</w:t>
            </w:r>
          </w:p>
        </w:tc>
        <w:tc>
          <w:tcPr>
            <w:tcW w:w="2822" w:type="dxa"/>
            <w:tcBorders>
              <w:top w:val="single" w:sz="4" w:space="0" w:color="auto"/>
              <w:left w:val="nil"/>
              <w:bottom w:val="single" w:sz="4" w:space="0" w:color="auto"/>
              <w:right w:val="single" w:sz="4" w:space="0" w:color="auto"/>
            </w:tcBorders>
            <w:shd w:val="clear" w:color="000000" w:fill="FFC000"/>
            <w:vAlign w:val="center"/>
            <w:hideMark/>
          </w:tcPr>
          <w:p w:rsidR="005C014D" w:rsidRPr="00FE2565" w:rsidRDefault="005C014D" w:rsidP="005C014D">
            <w:pPr>
              <w:widowControl w:val="0"/>
              <w:autoSpaceDE w:val="0"/>
              <w:autoSpaceDN w:val="0"/>
              <w:spacing w:after="0" w:line="240" w:lineRule="auto"/>
              <w:jc w:val="center"/>
              <w:rPr>
                <w:rFonts w:ascii="Times New Roman" w:eastAsia="Times New Roman" w:hAnsi="Times New Roman" w:cs="Times New Roman"/>
                <w:b/>
                <w:bCs/>
                <w:color w:val="000000"/>
                <w:sz w:val="20"/>
                <w:szCs w:val="20"/>
                <w:lang w:eastAsia="fr-FR"/>
              </w:rPr>
            </w:pPr>
            <w:r w:rsidRPr="00FE2565">
              <w:rPr>
                <w:rFonts w:ascii="Times New Roman" w:eastAsia="Times New Roman" w:hAnsi="Times New Roman" w:cs="Times New Roman"/>
                <w:b/>
                <w:bCs/>
                <w:color w:val="000000"/>
                <w:sz w:val="20"/>
                <w:szCs w:val="20"/>
                <w:lang w:eastAsia="fr-FR"/>
              </w:rPr>
              <w:t xml:space="preserve">2- Entre 50% et 75% </w:t>
            </w:r>
          </w:p>
        </w:tc>
        <w:tc>
          <w:tcPr>
            <w:tcW w:w="2822" w:type="dxa"/>
            <w:tcBorders>
              <w:top w:val="single" w:sz="4" w:space="0" w:color="auto"/>
              <w:left w:val="nil"/>
              <w:bottom w:val="single" w:sz="4" w:space="0" w:color="auto"/>
              <w:right w:val="single" w:sz="4" w:space="0" w:color="auto"/>
            </w:tcBorders>
            <w:shd w:val="clear" w:color="000000" w:fill="D34B07"/>
            <w:vAlign w:val="center"/>
            <w:hideMark/>
          </w:tcPr>
          <w:p w:rsidR="005C014D" w:rsidRPr="00FE2565" w:rsidRDefault="005C014D" w:rsidP="005C014D">
            <w:pPr>
              <w:widowControl w:val="0"/>
              <w:autoSpaceDE w:val="0"/>
              <w:autoSpaceDN w:val="0"/>
              <w:spacing w:after="0" w:line="240" w:lineRule="auto"/>
              <w:jc w:val="center"/>
              <w:rPr>
                <w:rFonts w:ascii="Times New Roman" w:eastAsia="Times New Roman" w:hAnsi="Times New Roman" w:cs="Times New Roman"/>
                <w:b/>
                <w:bCs/>
                <w:color w:val="000000"/>
                <w:sz w:val="20"/>
                <w:szCs w:val="20"/>
                <w:lang w:eastAsia="fr-FR"/>
              </w:rPr>
            </w:pPr>
            <w:r w:rsidRPr="00FE2565">
              <w:rPr>
                <w:rFonts w:ascii="Times New Roman" w:eastAsia="Times New Roman" w:hAnsi="Times New Roman" w:cs="Times New Roman"/>
                <w:b/>
                <w:bCs/>
                <w:color w:val="000000"/>
                <w:sz w:val="20"/>
                <w:szCs w:val="20"/>
                <w:lang w:eastAsia="fr-FR"/>
              </w:rPr>
              <w:t xml:space="preserve"> 3- Plus de 75%</w:t>
            </w:r>
          </w:p>
        </w:tc>
      </w:tr>
      <w:tr w:rsidR="005C014D" w:rsidRPr="00FE2565" w:rsidTr="007D633A">
        <w:trPr>
          <w:trHeight w:val="255"/>
        </w:trPr>
        <w:tc>
          <w:tcPr>
            <w:tcW w:w="2822" w:type="dxa"/>
            <w:tcBorders>
              <w:top w:val="nil"/>
              <w:left w:val="single" w:sz="4" w:space="0" w:color="auto"/>
              <w:bottom w:val="single" w:sz="4" w:space="0" w:color="auto"/>
              <w:right w:val="single" w:sz="4" w:space="0" w:color="auto"/>
            </w:tcBorders>
            <w:shd w:val="clear" w:color="000000" w:fill="F4F46C"/>
            <w:vAlign w:val="center"/>
            <w:hideMark/>
          </w:tcPr>
          <w:p w:rsidR="005C014D" w:rsidRPr="00FE2565" w:rsidRDefault="005C014D" w:rsidP="005C014D">
            <w:pPr>
              <w:widowControl w:val="0"/>
              <w:autoSpaceDE w:val="0"/>
              <w:autoSpaceDN w:val="0"/>
              <w:spacing w:after="0" w:line="240" w:lineRule="auto"/>
              <w:jc w:val="center"/>
              <w:rPr>
                <w:rFonts w:ascii="Times New Roman" w:eastAsia="Times New Roman" w:hAnsi="Times New Roman" w:cs="Times New Roman"/>
                <w:b/>
                <w:bCs/>
                <w:color w:val="000000"/>
                <w:sz w:val="20"/>
                <w:szCs w:val="20"/>
                <w:lang w:eastAsia="fr-FR"/>
              </w:rPr>
            </w:pPr>
            <w:r w:rsidRPr="00FE2565">
              <w:rPr>
                <w:rFonts w:ascii="Times New Roman" w:eastAsia="Times New Roman" w:hAnsi="Times New Roman" w:cs="Times New Roman"/>
                <w:b/>
                <w:bCs/>
                <w:color w:val="000000"/>
                <w:sz w:val="20"/>
                <w:szCs w:val="20"/>
                <w:lang w:eastAsia="fr-FR"/>
              </w:rPr>
              <w:t>Vulnérabilité faible</w:t>
            </w:r>
          </w:p>
        </w:tc>
        <w:tc>
          <w:tcPr>
            <w:tcW w:w="2822" w:type="dxa"/>
            <w:tcBorders>
              <w:top w:val="nil"/>
              <w:left w:val="nil"/>
              <w:bottom w:val="single" w:sz="4" w:space="0" w:color="auto"/>
              <w:right w:val="single" w:sz="4" w:space="0" w:color="auto"/>
            </w:tcBorders>
            <w:shd w:val="clear" w:color="000000" w:fill="FFC000"/>
            <w:vAlign w:val="center"/>
            <w:hideMark/>
          </w:tcPr>
          <w:p w:rsidR="005C014D" w:rsidRPr="00FE2565" w:rsidRDefault="005C014D" w:rsidP="005C014D">
            <w:pPr>
              <w:widowControl w:val="0"/>
              <w:autoSpaceDE w:val="0"/>
              <w:autoSpaceDN w:val="0"/>
              <w:spacing w:after="0" w:line="240" w:lineRule="auto"/>
              <w:jc w:val="center"/>
              <w:rPr>
                <w:rFonts w:ascii="Times New Roman" w:eastAsia="Times New Roman" w:hAnsi="Times New Roman" w:cs="Times New Roman"/>
                <w:b/>
                <w:bCs/>
                <w:color w:val="000000"/>
                <w:sz w:val="20"/>
                <w:szCs w:val="20"/>
                <w:lang w:eastAsia="fr-FR"/>
              </w:rPr>
            </w:pPr>
            <w:r w:rsidRPr="00FE2565">
              <w:rPr>
                <w:rFonts w:ascii="Times New Roman" w:eastAsia="Times New Roman" w:hAnsi="Times New Roman" w:cs="Times New Roman"/>
                <w:b/>
                <w:bCs/>
                <w:color w:val="000000"/>
                <w:sz w:val="20"/>
                <w:szCs w:val="20"/>
                <w:lang w:eastAsia="fr-FR"/>
              </w:rPr>
              <w:t>Vulnérabilité moyenne</w:t>
            </w:r>
          </w:p>
        </w:tc>
        <w:tc>
          <w:tcPr>
            <w:tcW w:w="2822" w:type="dxa"/>
            <w:tcBorders>
              <w:top w:val="nil"/>
              <w:left w:val="nil"/>
              <w:bottom w:val="single" w:sz="4" w:space="0" w:color="auto"/>
              <w:right w:val="single" w:sz="4" w:space="0" w:color="auto"/>
            </w:tcBorders>
            <w:shd w:val="clear" w:color="000000" w:fill="D34B07"/>
            <w:vAlign w:val="center"/>
            <w:hideMark/>
          </w:tcPr>
          <w:p w:rsidR="005C014D" w:rsidRPr="00FE2565" w:rsidRDefault="005C014D" w:rsidP="005C014D">
            <w:pPr>
              <w:widowControl w:val="0"/>
              <w:autoSpaceDE w:val="0"/>
              <w:autoSpaceDN w:val="0"/>
              <w:spacing w:after="0" w:line="240" w:lineRule="auto"/>
              <w:jc w:val="center"/>
              <w:rPr>
                <w:rFonts w:ascii="Times New Roman" w:eastAsia="Times New Roman" w:hAnsi="Times New Roman" w:cs="Times New Roman"/>
                <w:b/>
                <w:bCs/>
                <w:color w:val="000000"/>
                <w:sz w:val="20"/>
                <w:szCs w:val="20"/>
                <w:lang w:eastAsia="fr-FR"/>
              </w:rPr>
            </w:pPr>
            <w:r w:rsidRPr="00FE2565">
              <w:rPr>
                <w:rFonts w:ascii="Times New Roman" w:eastAsia="Times New Roman" w:hAnsi="Times New Roman" w:cs="Times New Roman"/>
                <w:b/>
                <w:bCs/>
                <w:color w:val="000000"/>
                <w:sz w:val="20"/>
                <w:szCs w:val="20"/>
                <w:lang w:eastAsia="fr-FR"/>
              </w:rPr>
              <w:t>Vulnérabilité Forte</w:t>
            </w:r>
          </w:p>
        </w:tc>
      </w:tr>
    </w:tbl>
    <w:p w:rsidR="005C014D" w:rsidRPr="002462E6" w:rsidRDefault="005C014D" w:rsidP="005C014D">
      <w:pPr>
        <w:widowControl w:val="0"/>
        <w:autoSpaceDE w:val="0"/>
        <w:autoSpaceDN w:val="0"/>
        <w:spacing w:after="0" w:line="240" w:lineRule="auto"/>
        <w:rPr>
          <w:rFonts w:ascii="Times New Roman" w:eastAsia="Times New Roman" w:hAnsi="Times New Roman" w:cs="Times New Roman"/>
        </w:rPr>
      </w:pPr>
    </w:p>
    <w:p w:rsidR="005C014D" w:rsidRPr="002462E6" w:rsidRDefault="005C014D" w:rsidP="005C014D">
      <w:pPr>
        <w:widowControl w:val="0"/>
        <w:autoSpaceDE w:val="0"/>
        <w:autoSpaceDN w:val="0"/>
        <w:spacing w:after="0" w:line="240" w:lineRule="auto"/>
        <w:rPr>
          <w:rFonts w:ascii="Times New Roman" w:eastAsia="Times New Roman" w:hAnsi="Times New Roman" w:cs="Times New Roman"/>
        </w:rPr>
      </w:pPr>
    </w:p>
    <w:p w:rsidR="005C014D" w:rsidRPr="002462E6" w:rsidRDefault="005C014D" w:rsidP="005C014D">
      <w:pPr>
        <w:widowControl w:val="0"/>
        <w:autoSpaceDE w:val="0"/>
        <w:autoSpaceDN w:val="0"/>
        <w:spacing w:after="0" w:line="240" w:lineRule="auto"/>
        <w:rPr>
          <w:rFonts w:ascii="Times New Roman" w:eastAsia="Times New Roman" w:hAnsi="Times New Roman" w:cs="Times New Roman"/>
        </w:rPr>
      </w:pPr>
    </w:p>
    <w:p w:rsidR="005C014D" w:rsidRPr="002462E6" w:rsidRDefault="005C014D" w:rsidP="005C014D">
      <w:pPr>
        <w:widowControl w:val="0"/>
        <w:autoSpaceDE w:val="0"/>
        <w:autoSpaceDN w:val="0"/>
        <w:spacing w:after="0" w:line="240" w:lineRule="auto"/>
        <w:rPr>
          <w:rFonts w:ascii="Times New Roman" w:eastAsia="Times New Roman" w:hAnsi="Times New Roman" w:cs="Times New Roman"/>
        </w:rPr>
      </w:pPr>
    </w:p>
    <w:p w:rsidR="005C014D" w:rsidRPr="002462E6" w:rsidRDefault="005C014D" w:rsidP="005C014D">
      <w:pPr>
        <w:widowControl w:val="0"/>
        <w:autoSpaceDE w:val="0"/>
        <w:autoSpaceDN w:val="0"/>
        <w:spacing w:after="0" w:line="240" w:lineRule="auto"/>
        <w:rPr>
          <w:rFonts w:ascii="Times New Roman" w:eastAsia="Times New Roman" w:hAnsi="Times New Roman" w:cs="Times New Roman"/>
        </w:rPr>
      </w:pPr>
    </w:p>
    <w:p w:rsidR="00E40340" w:rsidRPr="002462E6" w:rsidRDefault="00E40340" w:rsidP="00E40340">
      <w:pPr>
        <w:spacing w:before="100" w:beforeAutospacing="1" w:after="100" w:afterAutospacing="1" w:line="360" w:lineRule="auto"/>
        <w:jc w:val="center"/>
        <w:rPr>
          <w:rFonts w:ascii="Tahoma" w:hAnsi="Tahoma" w:cs="Tahoma"/>
          <w:sz w:val="20"/>
          <w:szCs w:val="20"/>
          <w:lang w:eastAsia="fr-FR"/>
        </w:rPr>
      </w:pPr>
      <w:r w:rsidRPr="002462E6">
        <w:rPr>
          <w:rFonts w:ascii="Tahoma" w:hAnsi="Tahoma" w:cs="Tahoma"/>
          <w:b/>
          <w:bCs/>
          <w:sz w:val="20"/>
          <w:szCs w:val="20"/>
          <w:lang w:eastAsia="fr-FR"/>
        </w:rPr>
        <w:t>Source</w:t>
      </w:r>
      <w:r w:rsidRPr="002462E6">
        <w:rPr>
          <w:rFonts w:ascii="Tahoma" w:hAnsi="Tahoma" w:cs="Tahoma"/>
          <w:sz w:val="20"/>
          <w:szCs w:val="20"/>
          <w:lang w:eastAsia="fr-FR"/>
        </w:rPr>
        <w:t xml:space="preserve"> : résultats de l’enquête</w:t>
      </w:r>
    </w:p>
    <w:p w:rsidR="005C014D" w:rsidRPr="002462E6" w:rsidRDefault="005C014D" w:rsidP="005C014D">
      <w:pPr>
        <w:widowControl w:val="0"/>
        <w:autoSpaceDE w:val="0"/>
        <w:autoSpaceDN w:val="0"/>
        <w:spacing w:after="0" w:line="240" w:lineRule="auto"/>
        <w:rPr>
          <w:rFonts w:ascii="Times New Roman" w:eastAsia="Times New Roman" w:hAnsi="Times New Roman" w:cs="Times New Roman"/>
        </w:rPr>
      </w:pPr>
    </w:p>
    <w:p w:rsidR="005C014D" w:rsidRPr="002462E6" w:rsidRDefault="005C014D" w:rsidP="005C014D">
      <w:pPr>
        <w:widowControl w:val="0"/>
        <w:autoSpaceDE w:val="0"/>
        <w:autoSpaceDN w:val="0"/>
        <w:spacing w:after="0" w:line="240" w:lineRule="auto"/>
        <w:rPr>
          <w:rFonts w:ascii="Times New Roman" w:eastAsia="Times New Roman" w:hAnsi="Times New Roman" w:cs="Times New Roman"/>
        </w:rPr>
      </w:pPr>
    </w:p>
    <w:p w:rsidR="005C014D" w:rsidRPr="002462E6" w:rsidRDefault="005C014D" w:rsidP="005C014D">
      <w:pPr>
        <w:widowControl w:val="0"/>
        <w:autoSpaceDE w:val="0"/>
        <w:autoSpaceDN w:val="0"/>
        <w:spacing w:after="0" w:line="240" w:lineRule="auto"/>
        <w:rPr>
          <w:rFonts w:ascii="Times New Roman" w:eastAsia="Times New Roman" w:hAnsi="Times New Roman" w:cs="Times New Roman"/>
        </w:rPr>
      </w:pPr>
    </w:p>
    <w:p w:rsidR="005C014D" w:rsidRPr="002462E6" w:rsidRDefault="005C014D" w:rsidP="005C014D">
      <w:pPr>
        <w:widowControl w:val="0"/>
        <w:autoSpaceDE w:val="0"/>
        <w:autoSpaceDN w:val="0"/>
        <w:spacing w:after="0" w:line="240" w:lineRule="auto"/>
        <w:rPr>
          <w:rFonts w:ascii="Times New Roman" w:eastAsia="Times New Roman" w:hAnsi="Times New Roman" w:cs="Times New Roman"/>
        </w:rPr>
      </w:pPr>
    </w:p>
    <w:p w:rsidR="005C014D" w:rsidRPr="002462E6" w:rsidRDefault="005C014D" w:rsidP="005C014D">
      <w:pPr>
        <w:widowControl w:val="0"/>
        <w:autoSpaceDE w:val="0"/>
        <w:autoSpaceDN w:val="0"/>
        <w:spacing w:after="0" w:line="240" w:lineRule="auto"/>
        <w:rPr>
          <w:rFonts w:ascii="Times New Roman" w:eastAsia="Times New Roman" w:hAnsi="Times New Roman" w:cs="Times New Roman"/>
        </w:rPr>
      </w:pPr>
    </w:p>
    <w:p w:rsidR="005C014D" w:rsidRPr="002462E6" w:rsidRDefault="005C014D" w:rsidP="005C014D">
      <w:pPr>
        <w:widowControl w:val="0"/>
        <w:autoSpaceDE w:val="0"/>
        <w:autoSpaceDN w:val="0"/>
        <w:spacing w:after="0" w:line="240" w:lineRule="auto"/>
        <w:rPr>
          <w:rFonts w:ascii="Times New Roman" w:eastAsia="Times New Roman" w:hAnsi="Times New Roman" w:cs="Times New Roman"/>
        </w:rPr>
      </w:pPr>
    </w:p>
    <w:p w:rsidR="005C014D" w:rsidRPr="002462E6" w:rsidRDefault="005C014D" w:rsidP="005C014D">
      <w:pPr>
        <w:widowControl w:val="0"/>
        <w:autoSpaceDE w:val="0"/>
        <w:autoSpaceDN w:val="0"/>
        <w:spacing w:after="0" w:line="240" w:lineRule="auto"/>
        <w:rPr>
          <w:rFonts w:ascii="Times New Roman" w:eastAsia="Times New Roman" w:hAnsi="Times New Roman" w:cs="Times New Roman"/>
        </w:rPr>
      </w:pPr>
    </w:p>
    <w:p w:rsidR="001B5FFC" w:rsidRDefault="001B5FFC" w:rsidP="001B5FFC">
      <w:pPr>
        <w:pStyle w:val="Sous-titre"/>
      </w:pPr>
      <w:bookmarkStart w:id="463" w:name="_Toc203642688"/>
      <w:r>
        <w:t xml:space="preserve">Carte </w:t>
      </w:r>
      <w:r w:rsidR="00225ED1">
        <w:rPr>
          <w:noProof/>
        </w:rPr>
        <w:fldChar w:fldCharType="begin"/>
      </w:r>
      <w:r w:rsidR="00225ED1">
        <w:rPr>
          <w:noProof/>
        </w:rPr>
        <w:instrText xml:space="preserve"> SEQ Carte \* ARABIC </w:instrText>
      </w:r>
      <w:r w:rsidR="00225ED1">
        <w:rPr>
          <w:noProof/>
        </w:rPr>
        <w:fldChar w:fldCharType="separate"/>
      </w:r>
      <w:r w:rsidR="00124AFB">
        <w:rPr>
          <w:noProof/>
        </w:rPr>
        <w:t>14</w:t>
      </w:r>
      <w:r w:rsidR="00225ED1">
        <w:rPr>
          <w:noProof/>
        </w:rPr>
        <w:fldChar w:fldCharType="end"/>
      </w:r>
      <w:r>
        <w:t xml:space="preserve"> </w:t>
      </w:r>
      <w:r w:rsidRPr="002462E6">
        <w:rPr>
          <w:noProof/>
          <w:lang w:eastAsia="fr-FR"/>
        </w:rPr>
        <w:t>: Revenus des ménages enquêtés selon la source</w:t>
      </w:r>
      <w:bookmarkEnd w:id="463"/>
    </w:p>
    <w:p w:rsidR="005C014D" w:rsidRPr="002462E6" w:rsidRDefault="00F44C4F" w:rsidP="005C014D">
      <w:pPr>
        <w:spacing w:before="100" w:beforeAutospacing="1" w:after="100" w:afterAutospacing="1" w:line="360" w:lineRule="auto"/>
        <w:jc w:val="both"/>
        <w:rPr>
          <w:rFonts w:ascii="Tahoma" w:eastAsia="Times New Roman" w:hAnsi="Tahoma" w:cs="Tahoma"/>
          <w:sz w:val="24"/>
          <w:szCs w:val="24"/>
          <w:lang w:eastAsia="fr-FR"/>
        </w:rPr>
      </w:pPr>
      <w:r>
        <w:rPr>
          <w:rFonts w:ascii="Tahoma" w:eastAsia="Times New Roman" w:hAnsi="Tahoma" w:cs="Tahoma"/>
          <w:noProof/>
          <w:sz w:val="24"/>
          <w:szCs w:val="24"/>
          <w:lang w:eastAsia="fr-FR"/>
        </w:rPr>
        <mc:AlternateContent>
          <mc:Choice Requires="wps">
            <w:drawing>
              <wp:anchor distT="0" distB="0" distL="114300" distR="114300" simplePos="0" relativeHeight="251794432" behindDoc="0" locked="0" layoutInCell="1" allowOverlap="1" wp14:anchorId="743163DB" wp14:editId="25D0BA87">
                <wp:simplePos x="0" y="0"/>
                <wp:positionH relativeFrom="column">
                  <wp:posOffset>199390</wp:posOffset>
                </wp:positionH>
                <wp:positionV relativeFrom="paragraph">
                  <wp:posOffset>6484620</wp:posOffset>
                </wp:positionV>
                <wp:extent cx="1314450" cy="476250"/>
                <wp:effectExtent l="0" t="0" r="0" b="0"/>
                <wp:wrapNone/>
                <wp:docPr id="483" name="Rectangle 483"/>
                <wp:cNvGraphicFramePr/>
                <a:graphic xmlns:a="http://schemas.openxmlformats.org/drawingml/2006/main">
                  <a:graphicData uri="http://schemas.microsoft.com/office/word/2010/wordprocessingShape">
                    <wps:wsp>
                      <wps:cNvSpPr/>
                      <wps:spPr>
                        <a:xfrm>
                          <a:off x="0" y="0"/>
                          <a:ext cx="1314450" cy="476250"/>
                        </a:xfrm>
                        <a:prstGeom prst="rect">
                          <a:avLst/>
                        </a:prstGeom>
                        <a:solidFill>
                          <a:schemeClr val="bg1"/>
                        </a:solidFill>
                        <a:ln>
                          <a:no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1299496" id="Rectangle 483" o:spid="_x0000_s1026" style="position:absolute;margin-left:15.7pt;margin-top:510.6pt;width:103.5pt;height:37.5pt;z-index:251794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" fillcolor="white [3212]" stroked="f" strokeweight="1pt"/>
            </w:pict>
          </mc:Fallback>
        </mc:AlternateContent>
      </w:r>
      <w:r w:rsidR="005C014D" w:rsidRPr="002462E6">
        <w:rPr>
          <w:rFonts w:ascii="Tahoma" w:eastAsia="Times New Roman" w:hAnsi="Tahoma" w:cs="Tahoma"/>
          <w:noProof/>
          <w:sz w:val="24"/>
          <w:szCs w:val="24"/>
          <w:lang w:eastAsia="fr-FR"/>
        </w:rPr>
        <w:drawing>
          <wp:inline distT="0" distB="0" distL="0" distR="0" wp14:anchorId="53908B28" wp14:editId="6B376D9F">
            <wp:extent cx="6112042" cy="7002379"/>
            <wp:effectExtent l="0" t="0" r="3175" b="8255"/>
            <wp:docPr id="1512970660" name="Image 15129706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6119597" cy="7011035"/>
                    </a:xfrm>
                    <a:prstGeom prst="rect">
                      <a:avLst/>
                    </a:prstGeom>
                    <a:noFill/>
                  </pic:spPr>
                </pic:pic>
              </a:graphicData>
            </a:graphic>
          </wp:inline>
        </w:drawing>
      </w:r>
    </w:p>
    <w:p w:rsidR="00E40340" w:rsidRDefault="00B8186A" w:rsidP="00E40340">
      <w:pPr>
        <w:rPr>
          <w:rFonts w:ascii="Tahoma" w:eastAsia="Times New Roman" w:hAnsi="Tahoma" w:cs="Tahoma"/>
          <w:sz w:val="24"/>
          <w:szCs w:val="24"/>
        </w:rPr>
      </w:pPr>
      <w:r w:rsidRPr="002462E6">
        <w:rPr>
          <w:rFonts w:ascii="Times New Roman" w:eastAsia="Times New Roman" w:hAnsi="Times New Roman" w:cs="Times New Roman"/>
          <w:sz w:val="28"/>
          <w:szCs w:val="28"/>
          <w:lang w:eastAsia="fr-FR"/>
        </w:rPr>
        <w:t xml:space="preserve"> </w:t>
      </w:r>
      <w:r w:rsidR="00F44C4F" w:rsidRPr="0057505F">
        <w:rPr>
          <w:rFonts w:ascii="Tahoma" w:hAnsi="Tahoma" w:cs="Tahoma"/>
          <w:b/>
          <w:bCs/>
          <w:sz w:val="20"/>
          <w:szCs w:val="20"/>
          <w:lang w:eastAsia="fr-FR"/>
        </w:rPr>
        <w:t>Source</w:t>
      </w:r>
      <w:r w:rsidR="00F44C4F" w:rsidRPr="0057505F">
        <w:rPr>
          <w:rFonts w:ascii="Tahoma" w:hAnsi="Tahoma" w:cs="Tahoma"/>
          <w:sz w:val="20"/>
          <w:szCs w:val="20"/>
          <w:lang w:eastAsia="fr-FR"/>
        </w:rPr>
        <w:t xml:space="preserve"> : </w:t>
      </w:r>
      <w:r w:rsidR="00E40340">
        <w:rPr>
          <w:rFonts w:ascii="Tahoma" w:eastAsia="Times New Roman" w:hAnsi="Tahoma" w:cs="Tahoma"/>
          <w:sz w:val="24"/>
          <w:szCs w:val="24"/>
        </w:rPr>
        <w:t>Elab</w:t>
      </w:r>
      <w:r w:rsidR="00E40340" w:rsidRPr="00D63D38">
        <w:rPr>
          <w:rFonts w:ascii="Tahoma" w:eastAsia="Times New Roman" w:hAnsi="Tahoma" w:cs="Tahoma"/>
          <w:sz w:val="24"/>
          <w:szCs w:val="24"/>
        </w:rPr>
        <w:t xml:space="preserve">oration de l’auteur sur la base </w:t>
      </w:r>
      <w:r w:rsidR="00E40340">
        <w:rPr>
          <w:rFonts w:ascii="Tahoma" w:eastAsia="Times New Roman" w:hAnsi="Tahoma" w:cs="Tahoma"/>
          <w:sz w:val="24"/>
          <w:szCs w:val="24"/>
        </w:rPr>
        <w:t xml:space="preserve">des résultats </w:t>
      </w:r>
      <w:r w:rsidR="00E40340" w:rsidRPr="00D63D38">
        <w:rPr>
          <w:rFonts w:ascii="Tahoma" w:eastAsia="Times New Roman" w:hAnsi="Tahoma" w:cs="Tahoma"/>
          <w:sz w:val="24"/>
          <w:szCs w:val="24"/>
        </w:rPr>
        <w:t>de l’</w:t>
      </w:r>
      <w:r w:rsidR="00E40340">
        <w:rPr>
          <w:rFonts w:ascii="Tahoma" w:eastAsia="Times New Roman" w:hAnsi="Tahoma" w:cs="Tahoma"/>
          <w:sz w:val="24"/>
          <w:szCs w:val="24"/>
        </w:rPr>
        <w:t>enqu</w:t>
      </w:r>
      <w:r w:rsidR="00E40340" w:rsidRPr="00D63D38">
        <w:rPr>
          <w:rFonts w:ascii="Tahoma" w:eastAsia="Times New Roman" w:hAnsi="Tahoma" w:cs="Tahoma"/>
          <w:sz w:val="24"/>
          <w:szCs w:val="24"/>
        </w:rPr>
        <w:t>ête du ter</w:t>
      </w:r>
      <w:r w:rsidR="00E40340">
        <w:rPr>
          <w:rFonts w:ascii="Tahoma" w:eastAsia="Times New Roman" w:hAnsi="Tahoma" w:cs="Tahoma"/>
          <w:sz w:val="24"/>
          <w:szCs w:val="24"/>
        </w:rPr>
        <w:t>r</w:t>
      </w:r>
      <w:r w:rsidR="00E40340" w:rsidRPr="00D63D38">
        <w:rPr>
          <w:rFonts w:ascii="Tahoma" w:eastAsia="Times New Roman" w:hAnsi="Tahoma" w:cs="Tahoma"/>
          <w:sz w:val="24"/>
          <w:szCs w:val="24"/>
        </w:rPr>
        <w:t>ain</w:t>
      </w:r>
    </w:p>
    <w:p w:rsidR="00F44C4F" w:rsidRPr="0057505F" w:rsidRDefault="00F44C4F" w:rsidP="00F44C4F">
      <w:pPr>
        <w:widowControl w:val="0"/>
        <w:autoSpaceDE w:val="0"/>
        <w:autoSpaceDN w:val="0"/>
        <w:spacing w:after="0" w:line="360" w:lineRule="auto"/>
        <w:jc w:val="center"/>
        <w:rPr>
          <w:rFonts w:ascii="Tahoma" w:eastAsia="Times New Roman" w:hAnsi="Tahoma" w:cs="Tahoma"/>
          <w:sz w:val="20"/>
          <w:szCs w:val="20"/>
        </w:rPr>
      </w:pPr>
    </w:p>
    <w:p w:rsidR="00CA2F68" w:rsidRPr="002462E6" w:rsidRDefault="00CA2F68" w:rsidP="00F44C4F">
      <w:pPr>
        <w:widowControl w:val="0"/>
        <w:autoSpaceDE w:val="0"/>
        <w:autoSpaceDN w:val="0"/>
        <w:spacing w:after="0" w:line="360" w:lineRule="auto"/>
        <w:jc w:val="center"/>
        <w:rPr>
          <w:rFonts w:ascii="Tahoma" w:eastAsia="Times New Roman" w:hAnsi="Tahoma" w:cs="Tahoma"/>
          <w:sz w:val="20"/>
          <w:szCs w:val="20"/>
        </w:rPr>
      </w:pPr>
    </w:p>
    <w:p w:rsidR="00B8186A" w:rsidRPr="002462E6" w:rsidRDefault="00B8186A" w:rsidP="00CA2F68">
      <w:pPr>
        <w:spacing w:before="100" w:beforeAutospacing="1" w:after="100" w:afterAutospacing="1" w:line="240" w:lineRule="auto"/>
        <w:jc w:val="center"/>
        <w:rPr>
          <w:rFonts w:ascii="Times New Roman" w:eastAsia="Times New Roman" w:hAnsi="Times New Roman" w:cs="Times New Roman"/>
          <w:sz w:val="28"/>
          <w:szCs w:val="28"/>
          <w:lang w:eastAsia="fr-FR"/>
        </w:rPr>
      </w:pPr>
    </w:p>
    <w:p w:rsidR="005C014D" w:rsidRPr="002462E6" w:rsidRDefault="005C014D" w:rsidP="005C014D">
      <w:pPr>
        <w:spacing w:before="100" w:beforeAutospacing="1" w:after="100" w:afterAutospacing="1" w:line="360" w:lineRule="auto"/>
        <w:jc w:val="both"/>
        <w:rPr>
          <w:rFonts w:ascii="Tahoma" w:eastAsia="Times New Roman" w:hAnsi="Tahoma" w:cs="Tahoma"/>
          <w:sz w:val="24"/>
          <w:szCs w:val="24"/>
          <w:lang w:eastAsia="fr-FR"/>
        </w:rPr>
      </w:pPr>
      <w:r w:rsidRPr="002462E6">
        <w:rPr>
          <w:rFonts w:ascii="Tahoma" w:eastAsia="Times New Roman" w:hAnsi="Tahoma" w:cs="Tahoma"/>
          <w:sz w:val="24"/>
          <w:szCs w:val="24"/>
          <w:lang w:eastAsia="fr-FR"/>
        </w:rPr>
        <w:t>L'analyse cartographique, croisée avec les données du tableau synthétique, révèle une géographie différenciée de la vulnérabilité économique au sein du territoir forestier étudié.</w:t>
      </w:r>
    </w:p>
    <w:p w:rsidR="005C014D" w:rsidRPr="002462E6" w:rsidRDefault="005C014D" w:rsidP="005C014D">
      <w:pPr>
        <w:spacing w:before="100" w:beforeAutospacing="1" w:after="100" w:afterAutospacing="1" w:line="360" w:lineRule="auto"/>
        <w:jc w:val="both"/>
        <w:rPr>
          <w:rFonts w:ascii="Tahoma" w:eastAsia="Times New Roman" w:hAnsi="Tahoma" w:cs="Tahoma"/>
          <w:sz w:val="24"/>
          <w:szCs w:val="24"/>
          <w:lang w:eastAsia="fr-FR"/>
        </w:rPr>
      </w:pPr>
      <w:r w:rsidRPr="002462E6">
        <w:rPr>
          <w:rFonts w:ascii="Tahoma" w:eastAsia="Times New Roman" w:hAnsi="Tahoma" w:cs="Tahoma"/>
          <w:sz w:val="24"/>
          <w:szCs w:val="24"/>
          <w:lang w:eastAsia="fr-FR"/>
        </w:rPr>
        <w:t xml:space="preserve">L'analyse de la vulnérabilité faible (moins de 50%) révèle une distribution géographique inégale entre les deux provinces étudiées. La province de Skhirate-Temara concentre la majorité des douars les moins vulnérables avec quatre localités : Oulad Dlim qui présente le meilleur indice (25%), suivi d'Oulad Rgue (40%), Oulad Saîd (42%) et Oulad Saada (45%). En comparaison, la province de Khémisset ne compte que deux douars dans cette catégorie : Oulad Oumrane (45%) et Chlihiyine (48%). Cette répartition suggère que la province de Skhirate-Temara bénéficie de conditions socioéconomiques relativement plus favorables, avec notamment Oulad Dlim qui se distingue comme le territoire le moins vulnérable de l'ensemble de la zone d'étude. </w:t>
      </w:r>
    </w:p>
    <w:p w:rsidR="005C014D" w:rsidRPr="002462E6" w:rsidRDefault="005C014D" w:rsidP="005C014D">
      <w:pPr>
        <w:spacing w:before="100" w:beforeAutospacing="1" w:after="100" w:afterAutospacing="1" w:line="360" w:lineRule="auto"/>
        <w:jc w:val="both"/>
        <w:rPr>
          <w:rFonts w:ascii="Tahoma" w:eastAsia="Times New Roman" w:hAnsi="Tahoma" w:cs="Tahoma"/>
          <w:sz w:val="24"/>
          <w:szCs w:val="24"/>
          <w:lang w:eastAsia="fr-FR"/>
        </w:rPr>
      </w:pPr>
      <w:r w:rsidRPr="002462E6">
        <w:rPr>
          <w:rFonts w:ascii="Tahoma" w:eastAsia="Times New Roman" w:hAnsi="Tahoma" w:cs="Tahoma"/>
          <w:sz w:val="24"/>
          <w:szCs w:val="24"/>
          <w:lang w:eastAsia="fr-FR"/>
        </w:rPr>
        <w:t xml:space="preserve">La catégorie de vulnérabilité moyenne (50-75%) </w:t>
      </w:r>
      <w:r w:rsidR="00E40340" w:rsidRPr="002462E6">
        <w:rPr>
          <w:rFonts w:ascii="Tahoma" w:eastAsia="Times New Roman" w:hAnsi="Tahoma" w:cs="Tahoma"/>
          <w:sz w:val="24"/>
          <w:szCs w:val="24"/>
          <w:lang w:eastAsia="fr-FR"/>
        </w:rPr>
        <w:t>démontre un</w:t>
      </w:r>
      <w:r w:rsidRPr="002462E6">
        <w:rPr>
          <w:rFonts w:ascii="Tahoma" w:eastAsia="Times New Roman" w:hAnsi="Tahoma" w:cs="Tahoma"/>
          <w:sz w:val="24"/>
          <w:szCs w:val="24"/>
          <w:lang w:eastAsia="fr-FR"/>
        </w:rPr>
        <w:t xml:space="preserve"> renversement des tendances observées précédemment. La province de Khémisset domine largement cette strate avec onze douars concernés, s'échelonnant d'Ait Ali, Dioucha, Oulad Ghait et Lmbarkyine (50%) jusqu'à Nkaila et Oulad Hmama (60%), en passant par un groupe intermédiaire autour de 55% (Lmhafid, Oulad Merzoug, Oulad Sidi Bouamar, Ibouaazaouyine). La province de Skhirate-Temara ne compte que trois douars dans cette catégorie : Elklâa et Oulad Azzouz (55%), ainsi qu'Oulad Marzoug (60%).</w:t>
      </w:r>
    </w:p>
    <w:p w:rsidR="005C014D" w:rsidRPr="002462E6" w:rsidRDefault="005C014D" w:rsidP="005C014D">
      <w:pPr>
        <w:spacing w:before="100" w:beforeAutospacing="1" w:after="100" w:afterAutospacing="1" w:line="360" w:lineRule="auto"/>
        <w:jc w:val="both"/>
        <w:rPr>
          <w:rFonts w:ascii="Tahoma" w:eastAsia="Times New Roman" w:hAnsi="Tahoma" w:cs="Tahoma"/>
          <w:sz w:val="24"/>
          <w:szCs w:val="24"/>
          <w:lang w:eastAsia="fr-FR"/>
        </w:rPr>
      </w:pPr>
      <w:r w:rsidRPr="002462E6">
        <w:rPr>
          <w:rFonts w:ascii="Tahoma" w:eastAsia="Times New Roman" w:hAnsi="Tahoma" w:cs="Tahoma"/>
          <w:sz w:val="24"/>
          <w:szCs w:val="24"/>
          <w:lang w:eastAsia="fr-FR"/>
        </w:rPr>
        <w:t>La vulnérabilité forte (plus de 75%) se concentre exclusivement dans la province de Skhirate-Temara avec Oulad Daoud (60%) et Lâarâara (65%), constituant les territoires les plus fragiles de l'ensemble de la zone d'étude.</w:t>
      </w:r>
    </w:p>
    <w:p w:rsidR="0053443A" w:rsidRPr="00FE2565" w:rsidRDefault="005C014D" w:rsidP="00FE2565">
      <w:pPr>
        <w:spacing w:before="100" w:beforeAutospacing="1" w:after="100" w:afterAutospacing="1" w:line="360" w:lineRule="auto"/>
        <w:jc w:val="both"/>
        <w:rPr>
          <w:rFonts w:ascii="Tahoma" w:eastAsia="Times New Roman" w:hAnsi="Tahoma" w:cs="Tahoma"/>
          <w:sz w:val="24"/>
          <w:szCs w:val="24"/>
          <w:lang w:eastAsia="fr-FR"/>
        </w:rPr>
      </w:pPr>
      <w:r w:rsidRPr="002462E6">
        <w:rPr>
          <w:rFonts w:ascii="Tahoma" w:eastAsia="Times New Roman" w:hAnsi="Tahoma" w:cs="Tahoma"/>
          <w:sz w:val="24"/>
          <w:szCs w:val="24"/>
          <w:lang w:eastAsia="fr-FR"/>
        </w:rPr>
        <w:t xml:space="preserve">En somme, cette distribution révèle trois dynamiques territoriales distinctes. D'abord, une concentration géographique de la vulnérabilité extrême dans Skhirate-Temara, suggérant des facteurs structurels spécifiques de marginalisation. Ensuite, l'exclusion quasi-universelle des transferts financiers (80-100% dans la majorité des douars) constitue un dénominateur commun qui transcende les frontières administratives, témoignant d'un isolement économique généralisé. Enfin, les disparités intra-provinciales s'avèrent particulièrement marquées : Khémisset présente une vulnérabilité globalement homogène centrée sur la catégorie moyenne, tandis que Skhirate-Temara affiche une polarisation extrême entre excellence relative et fragilité maximale, révélant des mécanismes territoriaux de différenciation </w:t>
      </w:r>
      <w:r w:rsidR="0053443A">
        <w:rPr>
          <w:rFonts w:ascii="Tahoma" w:eastAsia="Times New Roman" w:hAnsi="Tahoma" w:cs="Tahoma"/>
          <w:sz w:val="24"/>
          <w:szCs w:val="24"/>
          <w:lang w:eastAsia="fr-FR"/>
        </w:rPr>
        <w:t>socioéconomique plus accentués.</w:t>
      </w:r>
    </w:p>
    <w:p w:rsidR="005C014D" w:rsidRPr="002462E6" w:rsidRDefault="005C014D" w:rsidP="00BF1F48">
      <w:pPr>
        <w:pStyle w:val="Titre5"/>
      </w:pPr>
      <w:bookmarkStart w:id="464" w:name="_Toc203643133"/>
      <w:r w:rsidRPr="002462E6">
        <w:t>Perception de la dégradation forestière par les enquêtées</w:t>
      </w:r>
      <w:bookmarkEnd w:id="464"/>
    </w:p>
    <w:p w:rsidR="005C014D" w:rsidRPr="002462E6" w:rsidRDefault="005C014D" w:rsidP="00EE28C5">
      <w:pPr>
        <w:spacing w:before="100" w:beforeAutospacing="1" w:after="100" w:afterAutospacing="1" w:line="360" w:lineRule="auto"/>
        <w:jc w:val="both"/>
        <w:rPr>
          <w:rFonts w:ascii="Tahoma" w:eastAsia="Times New Roman" w:hAnsi="Tahoma" w:cs="Tahoma"/>
          <w:sz w:val="24"/>
          <w:szCs w:val="24"/>
          <w:lang w:eastAsia="fr-FR"/>
        </w:rPr>
      </w:pPr>
      <w:r w:rsidRPr="002462E6">
        <w:rPr>
          <w:rFonts w:ascii="Tahoma" w:eastAsia="Times New Roman" w:hAnsi="Tahoma" w:cs="Tahoma"/>
          <w:sz w:val="24"/>
          <w:szCs w:val="24"/>
          <w:lang w:eastAsia="fr-FR"/>
        </w:rPr>
        <w:t xml:space="preserve">L'analyse de la dégradation forestière constitue un défi méthodologique complexe nécessitant l'articulation entre approches scientifiques objectives et perceptions subjectives des populations riveraines. Dans le contexte spécifique de la forêt de Korifla, cette investigation s'appuie sur le paradigme de la </w:t>
      </w:r>
      <w:r w:rsidRPr="002462E6">
        <w:rPr>
          <w:rFonts w:ascii="Tahoma" w:eastAsia="Times New Roman" w:hAnsi="Tahoma" w:cs="Tahoma"/>
          <w:i/>
          <w:iCs/>
          <w:sz w:val="24"/>
          <w:szCs w:val="24"/>
          <w:lang w:eastAsia="fr-FR"/>
        </w:rPr>
        <w:t>political ecology</w:t>
      </w:r>
      <w:r w:rsidRPr="002462E6">
        <w:rPr>
          <w:rFonts w:ascii="Tahoma" w:eastAsia="Times New Roman" w:hAnsi="Tahoma" w:cs="Tahoma"/>
          <w:sz w:val="24"/>
          <w:szCs w:val="24"/>
          <w:lang w:eastAsia="fr-FR"/>
        </w:rPr>
        <w:t xml:space="preserve"> qui reconnaît la légitimité épistémologique des savoirs locaux et leur capacité à révéler des processus de dégradation parfois imperceptibles aux démarches technocratiques. L'enquête empirique menée auprès des vingt-deux douars de cet écosystème forestier fait apparaître un consensus quasi-universel concernant la détérioration de l'enviro</w:t>
      </w:r>
      <w:r w:rsidR="00AB476D" w:rsidRPr="002462E6">
        <w:rPr>
          <w:rFonts w:ascii="Tahoma" w:eastAsia="Times New Roman" w:hAnsi="Tahoma" w:cs="Tahoma"/>
          <w:sz w:val="24"/>
          <w:szCs w:val="24"/>
          <w:lang w:eastAsia="fr-FR"/>
        </w:rPr>
        <w:t xml:space="preserve">nnement forestier (cf. </w:t>
      </w:r>
      <w:r w:rsidR="00AB476D" w:rsidRPr="00EE28C5">
        <w:rPr>
          <w:rFonts w:ascii="Tahoma" w:eastAsia="Times New Roman" w:hAnsi="Tahoma" w:cs="Tahoma"/>
          <w:b/>
          <w:bCs/>
          <w:sz w:val="24"/>
          <w:szCs w:val="24"/>
          <w:lang w:eastAsia="fr-FR"/>
        </w:rPr>
        <w:t>graphe</w:t>
      </w:r>
      <w:r w:rsidRPr="00EE28C5">
        <w:rPr>
          <w:rFonts w:ascii="Tahoma" w:eastAsia="Times New Roman" w:hAnsi="Tahoma" w:cs="Tahoma"/>
          <w:b/>
          <w:bCs/>
          <w:sz w:val="24"/>
          <w:szCs w:val="24"/>
          <w:lang w:eastAsia="fr-FR"/>
        </w:rPr>
        <w:t xml:space="preserve"> n°2</w:t>
      </w:r>
      <w:r w:rsidR="00EE28C5">
        <w:rPr>
          <w:rFonts w:ascii="Tahoma" w:eastAsia="Times New Roman" w:hAnsi="Tahoma" w:cs="Tahoma"/>
          <w:b/>
          <w:bCs/>
          <w:sz w:val="24"/>
          <w:szCs w:val="24"/>
          <w:lang w:eastAsia="fr-FR"/>
        </w:rPr>
        <w:t>3</w:t>
      </w:r>
      <w:r w:rsidRPr="002462E6">
        <w:rPr>
          <w:rFonts w:ascii="Tahoma" w:eastAsia="Times New Roman" w:hAnsi="Tahoma" w:cs="Tahoma"/>
          <w:sz w:val="24"/>
          <w:szCs w:val="24"/>
          <w:lang w:eastAsia="fr-FR"/>
        </w:rPr>
        <w:t>),</w:t>
      </w:r>
      <w:r w:rsidRPr="002462E6">
        <w:rPr>
          <w:rFonts w:ascii="Times New Roman" w:eastAsia="Times New Roman" w:hAnsi="Times New Roman" w:cs="Times New Roman"/>
          <w:sz w:val="24"/>
          <w:szCs w:val="24"/>
          <w:lang w:eastAsia="fr-FR"/>
        </w:rPr>
        <w:t xml:space="preserve"> </w:t>
      </w:r>
      <w:r w:rsidRPr="002462E6">
        <w:rPr>
          <w:rFonts w:ascii="Tahoma" w:eastAsia="Times New Roman" w:hAnsi="Tahoma" w:cs="Tahoma"/>
          <w:sz w:val="24"/>
          <w:szCs w:val="24"/>
          <w:lang w:eastAsia="fr-FR"/>
        </w:rPr>
        <w:t>tout en révélant des variations territoriales significatives dans l'intensité et les modalités de cette dégradation, telles qu'objectivées dans le tableau synthétique relatif à la problématique de dégradation de Korifla</w:t>
      </w:r>
      <w:r w:rsidRPr="002462E6">
        <w:rPr>
          <w:rFonts w:ascii="Tahoma" w:eastAsia="Times New Roman" w:hAnsi="Tahoma" w:cs="Tahoma"/>
          <w:sz w:val="24"/>
          <w:szCs w:val="24"/>
          <w:vertAlign w:val="superscript"/>
          <w:lang w:eastAsia="fr-FR"/>
        </w:rPr>
        <w:footnoteReference w:id="909"/>
      </w:r>
      <w:r w:rsidRPr="002462E6">
        <w:rPr>
          <w:rFonts w:ascii="Tahoma" w:eastAsia="Times New Roman" w:hAnsi="Tahoma" w:cs="Tahoma"/>
          <w:sz w:val="24"/>
          <w:szCs w:val="24"/>
          <w:lang w:eastAsia="fr-FR"/>
        </w:rPr>
        <w:t>. Cette perception s'inscrit dans un contexte national où les forêts marocaines subissent des pressions anthropiques croissantes exacerbées par les effets du changement climatique.</w:t>
      </w:r>
      <w:r w:rsidR="0053443A">
        <w:rPr>
          <w:rFonts w:ascii="Tahoma" w:eastAsia="Times New Roman" w:hAnsi="Tahoma" w:cs="Tahoma"/>
          <w:sz w:val="24"/>
          <w:szCs w:val="24"/>
          <w:lang w:eastAsia="fr-FR"/>
        </w:rPr>
        <w:t xml:space="preserve"> </w:t>
      </w:r>
      <w:r w:rsidR="0053443A" w:rsidRPr="0053443A">
        <w:rPr>
          <w:rFonts w:ascii="Tahoma" w:eastAsia="Times New Roman" w:hAnsi="Tahoma" w:cs="Tahoma"/>
          <w:b/>
          <w:bCs/>
          <w:sz w:val="24"/>
          <w:szCs w:val="24"/>
          <w:lang w:eastAsia="fr-FR"/>
        </w:rPr>
        <w:t xml:space="preserve">(Cf. photos en </w:t>
      </w:r>
      <w:r w:rsidR="00EE28C5" w:rsidRPr="0053443A">
        <w:rPr>
          <w:rFonts w:ascii="Tahoma" w:eastAsia="Times New Roman" w:hAnsi="Tahoma" w:cs="Tahoma"/>
          <w:b/>
          <w:bCs/>
          <w:sz w:val="24"/>
          <w:szCs w:val="24"/>
          <w:lang w:eastAsia="fr-FR"/>
        </w:rPr>
        <w:t xml:space="preserve">ANNEXE </w:t>
      </w:r>
      <w:r w:rsidR="0053443A">
        <w:rPr>
          <w:rFonts w:ascii="Tahoma" w:eastAsia="Times New Roman" w:hAnsi="Tahoma" w:cs="Tahoma"/>
          <w:b/>
          <w:bCs/>
          <w:sz w:val="24"/>
          <w:szCs w:val="24"/>
          <w:lang w:eastAsia="fr-FR"/>
        </w:rPr>
        <w:t>6</w:t>
      </w:r>
      <w:r w:rsidR="0053443A" w:rsidRPr="0053443A">
        <w:rPr>
          <w:rFonts w:ascii="Tahoma" w:eastAsia="Times New Roman" w:hAnsi="Tahoma" w:cs="Tahoma"/>
          <w:b/>
          <w:bCs/>
          <w:sz w:val="24"/>
          <w:szCs w:val="24"/>
          <w:lang w:eastAsia="fr-FR"/>
        </w:rPr>
        <w:t>)</w:t>
      </w:r>
    </w:p>
    <w:p w:rsidR="00901687" w:rsidRDefault="00901687" w:rsidP="003F4DF6">
      <w:pPr>
        <w:pStyle w:val="Sous-titre"/>
        <w:spacing w:after="0"/>
      </w:pPr>
      <w:bookmarkStart w:id="465" w:name="_Toc203642555"/>
      <w:r w:rsidRPr="002462E6">
        <w:t xml:space="preserve">Graphe </w:t>
      </w:r>
      <w:r w:rsidR="00225ED1">
        <w:rPr>
          <w:noProof/>
        </w:rPr>
        <w:fldChar w:fldCharType="begin"/>
      </w:r>
      <w:r w:rsidR="00225ED1">
        <w:rPr>
          <w:noProof/>
        </w:rPr>
        <w:instrText xml:space="preserve"> SEQ Graphe \* ARABIC </w:instrText>
      </w:r>
      <w:r w:rsidR="00225ED1">
        <w:rPr>
          <w:noProof/>
        </w:rPr>
        <w:fldChar w:fldCharType="separate"/>
      </w:r>
      <w:r w:rsidR="00124AFB">
        <w:rPr>
          <w:noProof/>
        </w:rPr>
        <w:t>23</w:t>
      </w:r>
      <w:r w:rsidR="00225ED1">
        <w:rPr>
          <w:noProof/>
        </w:rPr>
        <w:fldChar w:fldCharType="end"/>
      </w:r>
      <w:r w:rsidRPr="002462E6">
        <w:t> : Répartition des enquêtés  en % par rapport à la dégradation de la forêt de Korifla</w:t>
      </w:r>
      <w:bookmarkEnd w:id="465"/>
      <w:r w:rsidRPr="002462E6">
        <w:t xml:space="preserve"> </w:t>
      </w:r>
    </w:p>
    <w:p w:rsidR="005C014D" w:rsidRPr="002462E6" w:rsidRDefault="005C014D" w:rsidP="005C014D">
      <w:pPr>
        <w:widowControl w:val="0"/>
        <w:autoSpaceDE w:val="0"/>
        <w:autoSpaceDN w:val="0"/>
        <w:spacing w:before="100" w:beforeAutospacing="1" w:after="100" w:afterAutospacing="1" w:line="360" w:lineRule="auto"/>
        <w:jc w:val="both"/>
        <w:rPr>
          <w:rFonts w:ascii="Tahoma" w:eastAsia="Times New Roman" w:hAnsi="Tahoma" w:cs="Tahoma"/>
          <w:sz w:val="24"/>
          <w:szCs w:val="24"/>
          <w:lang w:eastAsia="fr-FR"/>
        </w:rPr>
      </w:pPr>
      <w:r w:rsidRPr="002462E6">
        <w:rPr>
          <w:rFonts w:ascii="Times New Roman" w:eastAsia="Times New Roman" w:hAnsi="Times New Roman" w:cs="Times New Roman"/>
          <w:noProof/>
          <w:lang w:eastAsia="fr-FR"/>
        </w:rPr>
        <w:drawing>
          <wp:inline distT="0" distB="0" distL="0" distR="0" wp14:anchorId="487562C6" wp14:editId="5A5B2310">
            <wp:extent cx="5888736" cy="2157984"/>
            <wp:effectExtent l="0" t="0" r="17145" b="13970"/>
            <wp:docPr id="1512970661" name="Graphique 1512970661"/>
            <wp:cNvGraphicFramePr/>
            <a:graphic xmlns:a="http://schemas.openxmlformats.org/drawingml/2006/main">
              <a:graphicData uri="http://schemas.openxmlformats.org/drawingml/2006/chart">
                <c:chart xmlns:c="http://schemas.openxmlformats.org/drawingml/2006/chart" xmlns:r="http://schemas.openxmlformats.org/officeDocument/2006/relationships" r:id="rId65"/>
              </a:graphicData>
            </a:graphic>
          </wp:inline>
        </w:drawing>
      </w:r>
    </w:p>
    <w:p w:rsidR="005C014D" w:rsidRPr="002462E6" w:rsidRDefault="005C014D" w:rsidP="00CC1593">
      <w:pPr>
        <w:spacing w:before="100" w:beforeAutospacing="1" w:after="100" w:afterAutospacing="1" w:line="360" w:lineRule="auto"/>
        <w:jc w:val="center"/>
        <w:rPr>
          <w:rFonts w:ascii="Tahoma" w:eastAsia="Times New Roman" w:hAnsi="Tahoma" w:cs="Tahoma"/>
          <w:sz w:val="20"/>
          <w:szCs w:val="20"/>
          <w:lang w:eastAsia="fr-FR"/>
        </w:rPr>
      </w:pPr>
      <w:r w:rsidRPr="002462E6">
        <w:rPr>
          <w:rFonts w:ascii="Tahoma" w:eastAsia="Times New Roman" w:hAnsi="Tahoma" w:cs="Tahoma"/>
          <w:b/>
          <w:bCs/>
          <w:sz w:val="20"/>
          <w:szCs w:val="20"/>
          <w:lang w:eastAsia="fr-FR"/>
        </w:rPr>
        <w:t xml:space="preserve">Source </w:t>
      </w:r>
      <w:r w:rsidRPr="002462E6">
        <w:rPr>
          <w:rFonts w:ascii="Tahoma" w:eastAsia="Times New Roman" w:hAnsi="Tahoma" w:cs="Tahoma"/>
          <w:sz w:val="20"/>
          <w:szCs w:val="20"/>
          <w:lang w:eastAsia="fr-FR"/>
        </w:rPr>
        <w:t>: résultats de l’enquête</w:t>
      </w:r>
    </w:p>
    <w:p w:rsidR="00E16A27" w:rsidRDefault="005C014D" w:rsidP="00FE2565">
      <w:pPr>
        <w:widowControl w:val="0"/>
        <w:autoSpaceDE w:val="0"/>
        <w:autoSpaceDN w:val="0"/>
        <w:spacing w:before="100" w:beforeAutospacing="1" w:after="100" w:afterAutospacing="1" w:line="360" w:lineRule="auto"/>
        <w:jc w:val="both"/>
        <w:rPr>
          <w:rFonts w:ascii="Tahoma" w:eastAsia="Times New Roman" w:hAnsi="Tahoma" w:cs="Tahoma"/>
          <w:sz w:val="24"/>
          <w:szCs w:val="24"/>
          <w:lang w:eastAsia="fr-FR"/>
        </w:rPr>
      </w:pPr>
      <w:r w:rsidRPr="002462E6">
        <w:rPr>
          <w:rFonts w:ascii="Tahoma" w:eastAsia="Times New Roman" w:hAnsi="Tahoma" w:cs="Tahoma"/>
          <w:sz w:val="24"/>
          <w:szCs w:val="24"/>
          <w:lang w:eastAsia="fr-FR"/>
        </w:rPr>
        <w:t>L'enquête révèle une conscience aiguë de la dégradation forestière parmi les populations locales. 95% des enquêtés (20 douars sur 22) attestent observer une détérioration manifeste de l'écosystème forestier de Korifla telle que documentée dans le tableau synthétique ci-dessous. Cette perception quasi-unanime transcende les frontières administratives provinciales et témoigne d'une réalité environnementale préoccupante ressentie uniformément sur l</w:t>
      </w:r>
      <w:r w:rsidR="00A97167" w:rsidRPr="002462E6">
        <w:rPr>
          <w:rFonts w:ascii="Tahoma" w:eastAsia="Times New Roman" w:hAnsi="Tahoma" w:cs="Tahoma"/>
          <w:sz w:val="24"/>
          <w:szCs w:val="24"/>
          <w:lang w:eastAsia="fr-FR"/>
        </w:rPr>
        <w:t>'ensemble du territoire étudié.</w:t>
      </w:r>
    </w:p>
    <w:p w:rsidR="00A27083" w:rsidRDefault="00A27083" w:rsidP="00FE2565">
      <w:pPr>
        <w:widowControl w:val="0"/>
        <w:autoSpaceDE w:val="0"/>
        <w:autoSpaceDN w:val="0"/>
        <w:spacing w:before="100" w:beforeAutospacing="1" w:after="100" w:afterAutospacing="1" w:line="360" w:lineRule="auto"/>
        <w:jc w:val="both"/>
        <w:rPr>
          <w:rFonts w:ascii="Tahoma" w:eastAsia="Times New Roman" w:hAnsi="Tahoma" w:cs="Tahoma"/>
          <w:sz w:val="24"/>
          <w:szCs w:val="24"/>
          <w:lang w:eastAsia="fr-FR"/>
        </w:rPr>
      </w:pPr>
    </w:p>
    <w:p w:rsidR="00A27083" w:rsidRDefault="00A27083" w:rsidP="00FE2565">
      <w:pPr>
        <w:widowControl w:val="0"/>
        <w:autoSpaceDE w:val="0"/>
        <w:autoSpaceDN w:val="0"/>
        <w:spacing w:before="100" w:beforeAutospacing="1" w:after="100" w:afterAutospacing="1" w:line="360" w:lineRule="auto"/>
        <w:jc w:val="both"/>
        <w:rPr>
          <w:rFonts w:ascii="Tahoma" w:eastAsia="Times New Roman" w:hAnsi="Tahoma" w:cs="Tahoma"/>
          <w:sz w:val="24"/>
          <w:szCs w:val="24"/>
          <w:lang w:eastAsia="fr-FR"/>
        </w:rPr>
      </w:pPr>
    </w:p>
    <w:p w:rsidR="00A27083" w:rsidRDefault="00A27083" w:rsidP="00FE2565">
      <w:pPr>
        <w:widowControl w:val="0"/>
        <w:autoSpaceDE w:val="0"/>
        <w:autoSpaceDN w:val="0"/>
        <w:spacing w:before="100" w:beforeAutospacing="1" w:after="100" w:afterAutospacing="1" w:line="360" w:lineRule="auto"/>
        <w:jc w:val="both"/>
        <w:rPr>
          <w:rFonts w:ascii="Tahoma" w:eastAsia="Times New Roman" w:hAnsi="Tahoma" w:cs="Tahoma"/>
          <w:sz w:val="24"/>
          <w:szCs w:val="24"/>
          <w:lang w:eastAsia="fr-FR"/>
        </w:rPr>
      </w:pPr>
    </w:p>
    <w:p w:rsidR="00A27083" w:rsidRDefault="00A27083" w:rsidP="00FE2565">
      <w:pPr>
        <w:widowControl w:val="0"/>
        <w:autoSpaceDE w:val="0"/>
        <w:autoSpaceDN w:val="0"/>
        <w:spacing w:before="100" w:beforeAutospacing="1" w:after="100" w:afterAutospacing="1" w:line="360" w:lineRule="auto"/>
        <w:jc w:val="both"/>
        <w:rPr>
          <w:rFonts w:ascii="Tahoma" w:eastAsia="Times New Roman" w:hAnsi="Tahoma" w:cs="Tahoma"/>
          <w:sz w:val="24"/>
          <w:szCs w:val="24"/>
          <w:lang w:eastAsia="fr-FR"/>
        </w:rPr>
      </w:pPr>
    </w:p>
    <w:p w:rsidR="00A27083" w:rsidRDefault="00A27083" w:rsidP="00FE2565">
      <w:pPr>
        <w:widowControl w:val="0"/>
        <w:autoSpaceDE w:val="0"/>
        <w:autoSpaceDN w:val="0"/>
        <w:spacing w:before="100" w:beforeAutospacing="1" w:after="100" w:afterAutospacing="1" w:line="360" w:lineRule="auto"/>
        <w:jc w:val="both"/>
        <w:rPr>
          <w:rFonts w:ascii="Tahoma" w:eastAsia="Times New Roman" w:hAnsi="Tahoma" w:cs="Tahoma"/>
          <w:sz w:val="24"/>
          <w:szCs w:val="24"/>
          <w:lang w:eastAsia="fr-FR"/>
        </w:rPr>
      </w:pPr>
    </w:p>
    <w:p w:rsidR="00A27083" w:rsidRPr="00FE2565" w:rsidRDefault="00A27083" w:rsidP="00FE2565">
      <w:pPr>
        <w:widowControl w:val="0"/>
        <w:autoSpaceDE w:val="0"/>
        <w:autoSpaceDN w:val="0"/>
        <w:spacing w:before="100" w:beforeAutospacing="1" w:after="100" w:afterAutospacing="1" w:line="360" w:lineRule="auto"/>
        <w:jc w:val="both"/>
        <w:rPr>
          <w:rFonts w:ascii="Tahoma" w:eastAsia="Times New Roman" w:hAnsi="Tahoma" w:cs="Tahoma"/>
          <w:sz w:val="24"/>
          <w:szCs w:val="24"/>
          <w:lang w:eastAsia="fr-FR"/>
        </w:rPr>
      </w:pPr>
    </w:p>
    <w:p w:rsidR="00CC1593" w:rsidRPr="002462E6" w:rsidRDefault="00CC1593" w:rsidP="000D57A1">
      <w:pPr>
        <w:pStyle w:val="Sous-titre"/>
      </w:pPr>
      <w:bookmarkStart w:id="466" w:name="_Toc203642556"/>
      <w:r w:rsidRPr="002462E6">
        <w:t xml:space="preserve">Graphe </w:t>
      </w:r>
      <w:r w:rsidR="00225ED1">
        <w:rPr>
          <w:noProof/>
        </w:rPr>
        <w:fldChar w:fldCharType="begin"/>
      </w:r>
      <w:r w:rsidR="00225ED1">
        <w:rPr>
          <w:noProof/>
        </w:rPr>
        <w:instrText xml:space="preserve"> SEQ Graphe \* ARABIC </w:instrText>
      </w:r>
      <w:r w:rsidR="00225ED1">
        <w:rPr>
          <w:noProof/>
        </w:rPr>
        <w:fldChar w:fldCharType="separate"/>
      </w:r>
      <w:r w:rsidR="00124AFB">
        <w:rPr>
          <w:noProof/>
        </w:rPr>
        <w:t>24</w:t>
      </w:r>
      <w:r w:rsidR="00225ED1">
        <w:rPr>
          <w:noProof/>
        </w:rPr>
        <w:fldChar w:fldCharType="end"/>
      </w:r>
      <w:r w:rsidRPr="002462E6">
        <w:t xml:space="preserve"> : Répartition des enquêtés  en % par rapport au changement</w:t>
      </w:r>
      <w:bookmarkEnd w:id="466"/>
    </w:p>
    <w:p w:rsidR="005C014D" w:rsidRPr="002462E6" w:rsidRDefault="00A97167" w:rsidP="00A97167">
      <w:pPr>
        <w:widowControl w:val="0"/>
        <w:autoSpaceDE w:val="0"/>
        <w:autoSpaceDN w:val="0"/>
        <w:spacing w:after="0" w:line="360" w:lineRule="auto"/>
        <w:jc w:val="center"/>
        <w:rPr>
          <w:rFonts w:ascii="Tahoma" w:eastAsia="Times New Roman" w:hAnsi="Tahoma" w:cs="Tahoma"/>
          <w:sz w:val="24"/>
          <w:szCs w:val="24"/>
        </w:rPr>
      </w:pPr>
      <w:r w:rsidRPr="002462E6">
        <w:rPr>
          <w:rFonts w:ascii="Times New Roman" w:eastAsia="Times New Roman" w:hAnsi="Times New Roman" w:cs="Times New Roman"/>
          <w:noProof/>
          <w:lang w:eastAsia="fr-FR"/>
        </w:rPr>
        <w:drawing>
          <wp:inline distT="0" distB="0" distL="0" distR="0" wp14:anchorId="755D148C" wp14:editId="0EEA22BE">
            <wp:extent cx="5654649" cy="2392070"/>
            <wp:effectExtent l="0" t="19050" r="22860" b="27305"/>
            <wp:docPr id="1512970662" name="Graphique 1512970662"/>
            <wp:cNvGraphicFramePr/>
            <a:graphic xmlns:a="http://schemas.openxmlformats.org/drawingml/2006/main">
              <a:graphicData uri="http://schemas.openxmlformats.org/drawingml/2006/chart">
                <c:chart xmlns:c="http://schemas.openxmlformats.org/drawingml/2006/chart" xmlns:r="http://schemas.openxmlformats.org/officeDocument/2006/relationships" r:id="rId66"/>
              </a:graphicData>
            </a:graphic>
          </wp:inline>
        </w:drawing>
      </w:r>
    </w:p>
    <w:p w:rsidR="00A97167" w:rsidRPr="00501736" w:rsidRDefault="00A97167" w:rsidP="00501736">
      <w:pPr>
        <w:spacing w:before="100" w:beforeAutospacing="1" w:after="100" w:afterAutospacing="1" w:line="360" w:lineRule="auto"/>
        <w:jc w:val="center"/>
        <w:rPr>
          <w:rFonts w:ascii="Tahoma" w:eastAsia="Times New Roman" w:hAnsi="Tahoma" w:cs="Tahoma"/>
          <w:sz w:val="20"/>
          <w:szCs w:val="20"/>
          <w:lang w:eastAsia="fr-FR"/>
        </w:rPr>
      </w:pPr>
      <w:r w:rsidRPr="002462E6">
        <w:rPr>
          <w:rFonts w:ascii="Tahoma" w:eastAsia="Times New Roman" w:hAnsi="Tahoma" w:cs="Tahoma"/>
          <w:b/>
          <w:bCs/>
          <w:sz w:val="20"/>
          <w:szCs w:val="20"/>
          <w:lang w:eastAsia="fr-FR"/>
        </w:rPr>
        <w:t>Source :</w:t>
      </w:r>
      <w:r w:rsidR="00501736">
        <w:rPr>
          <w:rFonts w:ascii="Tahoma" w:eastAsia="Times New Roman" w:hAnsi="Tahoma" w:cs="Tahoma"/>
          <w:sz w:val="20"/>
          <w:szCs w:val="20"/>
          <w:lang w:eastAsia="fr-FR"/>
        </w:rPr>
        <w:t xml:space="preserve"> résultats de l’enquête</w:t>
      </w:r>
    </w:p>
    <w:p w:rsidR="005C014D" w:rsidRPr="002462E6" w:rsidRDefault="005C014D" w:rsidP="005C014D">
      <w:pPr>
        <w:spacing w:before="100" w:beforeAutospacing="1" w:after="100" w:afterAutospacing="1" w:line="360" w:lineRule="auto"/>
        <w:jc w:val="both"/>
        <w:rPr>
          <w:rFonts w:ascii="Tahoma" w:eastAsia="Times New Roman" w:hAnsi="Tahoma" w:cs="Tahoma"/>
          <w:sz w:val="24"/>
          <w:szCs w:val="24"/>
          <w:lang w:eastAsia="fr-FR"/>
        </w:rPr>
      </w:pPr>
      <w:r w:rsidRPr="002462E6">
        <w:rPr>
          <w:rFonts w:ascii="Tahoma" w:eastAsia="Times New Roman" w:hAnsi="Tahoma" w:cs="Tahoma"/>
          <w:sz w:val="24"/>
          <w:szCs w:val="24"/>
          <w:lang w:eastAsia="fr-FR"/>
        </w:rPr>
        <w:t>L’analyse du graphique, ci-dessus, révèle que la perception du changement climatique témoigne d'une prise de conscience environnementale remarquable. En effet, 99% des enquêtés déclarent observer des modifications climatiques significatives dans leur territoire. Cette reconnaissance massive du phénomène climatique par les populations rurales corrobore les analyses scientifiques nationales.</w:t>
      </w:r>
    </w:p>
    <w:p w:rsidR="005C014D" w:rsidRPr="002462E6" w:rsidRDefault="005C014D" w:rsidP="005C014D">
      <w:pPr>
        <w:widowControl w:val="0"/>
        <w:autoSpaceDE w:val="0"/>
        <w:autoSpaceDN w:val="0"/>
        <w:spacing w:before="100" w:beforeAutospacing="1" w:after="100" w:afterAutospacing="1" w:line="360" w:lineRule="auto"/>
        <w:jc w:val="both"/>
        <w:rPr>
          <w:rFonts w:ascii="Tahoma" w:eastAsia="Times New Roman" w:hAnsi="Tahoma" w:cs="Tahoma"/>
          <w:sz w:val="24"/>
          <w:szCs w:val="24"/>
          <w:lang w:eastAsia="fr-FR"/>
        </w:rPr>
      </w:pPr>
      <w:r w:rsidRPr="002462E6">
        <w:rPr>
          <w:rFonts w:ascii="Tahoma" w:eastAsia="Times New Roman" w:hAnsi="Tahoma" w:cs="Tahoma"/>
          <w:sz w:val="24"/>
          <w:szCs w:val="24"/>
          <w:lang w:eastAsia="fr-FR"/>
        </w:rPr>
        <w:t>L'un des aspects les plus remarquables de cette enquête réside dans la forte corrélation entre perception de dégradation forestière et perception du changement climatique. Dix-neuf douars (86%) perçoivent des changements climatiques à un niveau de 80% à 100%, suggérant une compréhension empirique des liens entre dérèglement climatique et santé forestière par les populations locales.</w:t>
      </w:r>
    </w:p>
    <w:p w:rsidR="005C014D" w:rsidRPr="002462E6" w:rsidRDefault="005C014D" w:rsidP="005C014D">
      <w:pPr>
        <w:widowControl w:val="0"/>
        <w:autoSpaceDE w:val="0"/>
        <w:autoSpaceDN w:val="0"/>
        <w:spacing w:before="100" w:beforeAutospacing="1" w:after="100" w:afterAutospacing="1" w:line="360" w:lineRule="auto"/>
        <w:jc w:val="both"/>
        <w:rPr>
          <w:rFonts w:ascii="Tahoma" w:eastAsia="Times New Roman" w:hAnsi="Tahoma" w:cs="Tahoma"/>
          <w:sz w:val="24"/>
          <w:szCs w:val="24"/>
          <w:lang w:eastAsia="fr-FR"/>
        </w:rPr>
      </w:pPr>
      <w:r w:rsidRPr="002462E6">
        <w:rPr>
          <w:rFonts w:ascii="Tahoma" w:eastAsia="Times New Roman" w:hAnsi="Tahoma" w:cs="Tahoma"/>
          <w:sz w:val="24"/>
          <w:szCs w:val="24"/>
          <w:lang w:eastAsia="fr-FR"/>
        </w:rPr>
        <w:t>Cette perception traduit une forme de "science citoyenne" où l'observation quotidienne des écosystèmes permet aux communautés rurales de développer une conscience environnementale aiguë.</w:t>
      </w:r>
    </w:p>
    <w:p w:rsidR="005C014D" w:rsidRPr="002462E6" w:rsidRDefault="005C014D" w:rsidP="005C014D">
      <w:pPr>
        <w:widowControl w:val="0"/>
        <w:autoSpaceDE w:val="0"/>
        <w:autoSpaceDN w:val="0"/>
        <w:spacing w:before="100" w:beforeAutospacing="1" w:after="100" w:afterAutospacing="1" w:line="360" w:lineRule="auto"/>
        <w:jc w:val="both"/>
        <w:rPr>
          <w:rFonts w:ascii="Times New Roman" w:eastAsia="Times New Roman" w:hAnsi="Times New Roman" w:cs="Times New Roman"/>
          <w:b/>
          <w:bCs/>
          <w:sz w:val="27"/>
          <w:szCs w:val="27"/>
          <w:lang w:eastAsia="fr-FR"/>
        </w:rPr>
      </w:pPr>
      <w:r w:rsidRPr="002462E6">
        <w:rPr>
          <w:rFonts w:ascii="Tahoma" w:eastAsia="Times New Roman" w:hAnsi="Tahoma" w:cs="Tahoma"/>
          <w:sz w:val="24"/>
          <w:szCs w:val="24"/>
          <w:lang w:eastAsia="fr-FR"/>
        </w:rPr>
        <w:t>Cette corrélation n'est pas fortuite. Les populations forestières, par leur dépendance directe aux ressources naturelles, constituent des "sentinelles" privilégiées des changements environnementaux. Leurs observations convergent avec les analyses scientifiques qui documentent l'impact du réchauffement climatique sur les écosystèmes méditerranéens, caractérisés par une augmentation des températures, une irrégularité croissante des précipitations.</w:t>
      </w:r>
    </w:p>
    <w:p w:rsidR="005C014D" w:rsidRPr="002462E6" w:rsidRDefault="005C014D" w:rsidP="005C014D">
      <w:pPr>
        <w:widowControl w:val="0"/>
        <w:autoSpaceDE w:val="0"/>
        <w:autoSpaceDN w:val="0"/>
        <w:spacing w:before="100" w:beforeAutospacing="1" w:after="100" w:afterAutospacing="1" w:line="360" w:lineRule="auto"/>
        <w:jc w:val="both"/>
        <w:rPr>
          <w:rFonts w:ascii="Tahoma" w:eastAsia="Times New Roman" w:hAnsi="Tahoma" w:cs="Tahoma"/>
          <w:sz w:val="24"/>
          <w:szCs w:val="24"/>
          <w:lang w:eastAsia="fr-FR"/>
        </w:rPr>
      </w:pPr>
      <w:r w:rsidRPr="002462E6">
        <w:rPr>
          <w:rFonts w:ascii="Tahoma" w:eastAsia="Times New Roman" w:hAnsi="Tahoma" w:cs="Tahoma"/>
          <w:sz w:val="24"/>
          <w:szCs w:val="24"/>
          <w:lang w:eastAsia="fr-FR"/>
        </w:rPr>
        <w:t xml:space="preserve">L'exploitation du bois de feu révèle une dépendance énergétique des populations forestières, avec un usage quasi-universel oscillant de 55% (Lbghada) à 93% (Ait Ali), pour une moyenne d'environ 75%. Cette dépendance constitue sans doute l'une des principales pressions anthropiques sur l'écosystème forestier, créant une ponction continue sur les ressources ligneuses qui dépasse souvent la capacité de régénération naturelle de la </w:t>
      </w:r>
      <w:r w:rsidR="00A27083" w:rsidRPr="002462E6">
        <w:rPr>
          <w:rFonts w:ascii="Tahoma" w:eastAsia="Times New Roman" w:hAnsi="Tahoma" w:cs="Tahoma"/>
          <w:sz w:val="24"/>
          <w:szCs w:val="24"/>
          <w:lang w:eastAsia="fr-FR"/>
        </w:rPr>
        <w:t>forêt,</w:t>
      </w:r>
      <w:r w:rsidRPr="002462E6">
        <w:rPr>
          <w:rFonts w:ascii="Tahoma" w:eastAsia="Times New Roman" w:hAnsi="Tahoma" w:cs="Tahoma"/>
          <w:sz w:val="24"/>
          <w:szCs w:val="24"/>
          <w:lang w:eastAsia="fr-FR"/>
        </w:rPr>
        <w:t xml:space="preserve"> ainsi que le détaillent les données du tableau synthétique ci-dessous.</w:t>
      </w:r>
    </w:p>
    <w:p w:rsidR="00501736" w:rsidRDefault="00501736">
      <w:pPr>
        <w:rPr>
          <w:rFonts w:ascii="Tahoma" w:eastAsia="Times New Roman" w:hAnsi="Tahoma" w:cs="Tahoma"/>
          <w:b/>
          <w:sz w:val="24"/>
          <w:szCs w:val="24"/>
        </w:rPr>
      </w:pPr>
      <w:r>
        <w:br w:type="page"/>
      </w:r>
    </w:p>
    <w:p w:rsidR="00F9749C" w:rsidRDefault="00F9749C" w:rsidP="00F9749C">
      <w:pPr>
        <w:pStyle w:val="Sous-titre"/>
      </w:pPr>
      <w:bookmarkStart w:id="467" w:name="_Toc203642512"/>
      <w:r>
        <w:t xml:space="preserve">Tableau </w:t>
      </w:r>
      <w:r w:rsidR="00225ED1">
        <w:rPr>
          <w:noProof/>
        </w:rPr>
        <w:fldChar w:fldCharType="begin"/>
      </w:r>
      <w:r w:rsidR="00225ED1">
        <w:rPr>
          <w:noProof/>
        </w:rPr>
        <w:instrText xml:space="preserve"> SEQ Tableau \* ARABIC </w:instrText>
      </w:r>
      <w:r w:rsidR="00225ED1">
        <w:rPr>
          <w:noProof/>
        </w:rPr>
        <w:fldChar w:fldCharType="separate"/>
      </w:r>
      <w:r w:rsidR="00124AFB">
        <w:rPr>
          <w:noProof/>
        </w:rPr>
        <w:t>13</w:t>
      </w:r>
      <w:r w:rsidR="00225ED1">
        <w:rPr>
          <w:noProof/>
        </w:rPr>
        <w:fldChar w:fldCharType="end"/>
      </w:r>
      <w:r>
        <w:rPr>
          <w:noProof/>
        </w:rPr>
        <w:t xml:space="preserve"> </w:t>
      </w:r>
      <w:r w:rsidRPr="00CA5690">
        <w:rPr>
          <w:noProof/>
        </w:rPr>
        <w:t>: indice synthétique de la dégradation de la forêt de Korifla selon la perception de la polupation enquêtée</w:t>
      </w:r>
      <w:bookmarkEnd w:id="467"/>
    </w:p>
    <w:tbl>
      <w:tblPr>
        <w:tblW w:w="9493" w:type="dxa"/>
        <w:tblLayout w:type="fixed"/>
        <w:tblCellMar>
          <w:left w:w="70" w:type="dxa"/>
          <w:right w:w="70" w:type="dxa"/>
        </w:tblCellMar>
        <w:tblLook w:val="04A0" w:firstRow="1" w:lastRow="0" w:firstColumn="1" w:lastColumn="0" w:noHBand="0" w:noVBand="1"/>
      </w:tblPr>
      <w:tblGrid>
        <w:gridCol w:w="801"/>
        <w:gridCol w:w="907"/>
        <w:gridCol w:w="1076"/>
        <w:gridCol w:w="941"/>
        <w:gridCol w:w="982"/>
        <w:gridCol w:w="712"/>
        <w:gridCol w:w="813"/>
        <w:gridCol w:w="698"/>
        <w:gridCol w:w="1186"/>
        <w:gridCol w:w="1377"/>
      </w:tblGrid>
      <w:tr w:rsidR="005C014D" w:rsidRPr="002462E6" w:rsidTr="007D633A">
        <w:trPr>
          <w:trHeight w:val="351"/>
        </w:trPr>
        <w:tc>
          <w:tcPr>
            <w:tcW w:w="80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5C014D" w:rsidRPr="002462E6" w:rsidRDefault="005C014D" w:rsidP="005C014D">
            <w:pPr>
              <w:widowControl w:val="0"/>
              <w:autoSpaceDE w:val="0"/>
              <w:autoSpaceDN w:val="0"/>
              <w:spacing w:after="0" w:line="240" w:lineRule="auto"/>
              <w:rPr>
                <w:rFonts w:ascii="Calibri" w:eastAsia="Times New Roman" w:hAnsi="Calibri" w:cs="Calibri"/>
                <w:b/>
                <w:bCs/>
                <w:color w:val="000000"/>
                <w:lang w:eastAsia="fr-FR"/>
              </w:rPr>
            </w:pPr>
            <w:r w:rsidRPr="002462E6">
              <w:rPr>
                <w:rFonts w:ascii="Calibri" w:eastAsia="Times New Roman" w:hAnsi="Calibri" w:cs="Calibri"/>
                <w:b/>
                <w:bCs/>
                <w:color w:val="000000"/>
                <w:lang w:eastAsia="fr-FR"/>
              </w:rPr>
              <w:t>Province</w:t>
            </w:r>
          </w:p>
        </w:tc>
        <w:tc>
          <w:tcPr>
            <w:tcW w:w="907" w:type="dxa"/>
            <w:tcBorders>
              <w:top w:val="single" w:sz="4" w:space="0" w:color="auto"/>
              <w:left w:val="nil"/>
              <w:bottom w:val="single" w:sz="4" w:space="0" w:color="auto"/>
              <w:right w:val="single" w:sz="4" w:space="0" w:color="auto"/>
            </w:tcBorders>
            <w:shd w:val="clear" w:color="auto" w:fill="auto"/>
            <w:noWrap/>
            <w:vAlign w:val="bottom"/>
            <w:hideMark/>
          </w:tcPr>
          <w:p w:rsidR="005C014D" w:rsidRPr="002462E6" w:rsidRDefault="005C014D" w:rsidP="005C014D">
            <w:pPr>
              <w:widowControl w:val="0"/>
              <w:autoSpaceDE w:val="0"/>
              <w:autoSpaceDN w:val="0"/>
              <w:spacing w:after="0" w:line="240" w:lineRule="auto"/>
              <w:rPr>
                <w:rFonts w:ascii="Calibri" w:eastAsia="Times New Roman" w:hAnsi="Calibri" w:cs="Calibri"/>
                <w:b/>
                <w:bCs/>
                <w:color w:val="000000"/>
                <w:lang w:eastAsia="fr-FR"/>
              </w:rPr>
            </w:pPr>
            <w:r w:rsidRPr="002462E6">
              <w:rPr>
                <w:rFonts w:ascii="Calibri" w:eastAsia="Times New Roman" w:hAnsi="Calibri" w:cs="Calibri"/>
                <w:b/>
                <w:bCs/>
                <w:color w:val="000000"/>
                <w:lang w:eastAsia="fr-FR"/>
              </w:rPr>
              <w:t>Commune</w:t>
            </w:r>
          </w:p>
        </w:tc>
        <w:tc>
          <w:tcPr>
            <w:tcW w:w="1076" w:type="dxa"/>
            <w:tcBorders>
              <w:top w:val="single" w:sz="4" w:space="0" w:color="auto"/>
              <w:left w:val="nil"/>
              <w:bottom w:val="single" w:sz="4" w:space="0" w:color="auto"/>
              <w:right w:val="single" w:sz="4" w:space="0" w:color="auto"/>
            </w:tcBorders>
            <w:shd w:val="clear" w:color="auto" w:fill="auto"/>
            <w:noWrap/>
            <w:vAlign w:val="bottom"/>
            <w:hideMark/>
          </w:tcPr>
          <w:p w:rsidR="005C014D" w:rsidRPr="002462E6" w:rsidRDefault="005C014D" w:rsidP="005C014D">
            <w:pPr>
              <w:widowControl w:val="0"/>
              <w:autoSpaceDE w:val="0"/>
              <w:autoSpaceDN w:val="0"/>
              <w:spacing w:after="0" w:line="240" w:lineRule="auto"/>
              <w:rPr>
                <w:rFonts w:ascii="Calibri" w:eastAsia="Times New Roman" w:hAnsi="Calibri" w:cs="Calibri"/>
                <w:b/>
                <w:bCs/>
                <w:color w:val="000000"/>
                <w:lang w:eastAsia="fr-FR"/>
              </w:rPr>
            </w:pPr>
            <w:r w:rsidRPr="002462E6">
              <w:rPr>
                <w:rFonts w:ascii="Calibri" w:eastAsia="Times New Roman" w:hAnsi="Calibri" w:cs="Calibri"/>
                <w:b/>
                <w:bCs/>
                <w:color w:val="000000"/>
                <w:lang w:eastAsia="fr-FR"/>
              </w:rPr>
              <w:t>Douar</w:t>
            </w:r>
          </w:p>
        </w:tc>
        <w:tc>
          <w:tcPr>
            <w:tcW w:w="941" w:type="dxa"/>
            <w:tcBorders>
              <w:top w:val="single" w:sz="8" w:space="0" w:color="auto"/>
              <w:left w:val="single" w:sz="8" w:space="0" w:color="auto"/>
              <w:bottom w:val="nil"/>
              <w:right w:val="single" w:sz="4" w:space="0" w:color="auto"/>
            </w:tcBorders>
            <w:shd w:val="clear" w:color="000000" w:fill="9CC2E6"/>
            <w:vAlign w:val="center"/>
            <w:hideMark/>
          </w:tcPr>
          <w:p w:rsidR="005C014D" w:rsidRPr="002462E6" w:rsidRDefault="005C014D" w:rsidP="005C014D">
            <w:pPr>
              <w:widowControl w:val="0"/>
              <w:autoSpaceDE w:val="0"/>
              <w:autoSpaceDN w:val="0"/>
              <w:spacing w:after="0" w:line="240" w:lineRule="auto"/>
              <w:jc w:val="center"/>
              <w:rPr>
                <w:rFonts w:ascii="Arial" w:eastAsia="Times New Roman" w:hAnsi="Arial" w:cs="Arial"/>
                <w:color w:val="000000"/>
                <w:sz w:val="18"/>
                <w:szCs w:val="18"/>
                <w:lang w:eastAsia="fr-FR"/>
              </w:rPr>
            </w:pPr>
            <w:r w:rsidRPr="002462E6">
              <w:rPr>
                <w:rFonts w:ascii="Arial" w:eastAsia="Times New Roman" w:hAnsi="Arial" w:cs="Arial"/>
                <w:color w:val="000000"/>
                <w:sz w:val="18"/>
                <w:szCs w:val="18"/>
                <w:lang w:eastAsia="fr-FR"/>
              </w:rPr>
              <w:t xml:space="preserve">Dégradation </w:t>
            </w:r>
          </w:p>
        </w:tc>
        <w:tc>
          <w:tcPr>
            <w:tcW w:w="982" w:type="dxa"/>
            <w:tcBorders>
              <w:top w:val="single" w:sz="8" w:space="0" w:color="auto"/>
              <w:left w:val="nil"/>
              <w:bottom w:val="nil"/>
              <w:right w:val="single" w:sz="4" w:space="0" w:color="auto"/>
            </w:tcBorders>
            <w:shd w:val="clear" w:color="000000" w:fill="9CC2E6"/>
            <w:vAlign w:val="center"/>
            <w:hideMark/>
          </w:tcPr>
          <w:p w:rsidR="005C014D" w:rsidRPr="002462E6" w:rsidRDefault="005C014D" w:rsidP="005C014D">
            <w:pPr>
              <w:widowControl w:val="0"/>
              <w:autoSpaceDE w:val="0"/>
              <w:autoSpaceDN w:val="0"/>
              <w:spacing w:after="0" w:line="240" w:lineRule="auto"/>
              <w:jc w:val="center"/>
              <w:rPr>
                <w:rFonts w:ascii="Arial" w:eastAsia="Times New Roman" w:hAnsi="Arial" w:cs="Arial"/>
                <w:color w:val="000000"/>
                <w:sz w:val="18"/>
                <w:szCs w:val="18"/>
                <w:lang w:eastAsia="fr-FR"/>
              </w:rPr>
            </w:pPr>
            <w:r w:rsidRPr="002462E6">
              <w:rPr>
                <w:rFonts w:ascii="Arial" w:eastAsia="Times New Roman" w:hAnsi="Arial" w:cs="Arial"/>
                <w:color w:val="000000"/>
                <w:sz w:val="18"/>
                <w:szCs w:val="18"/>
                <w:lang w:eastAsia="fr-FR"/>
              </w:rPr>
              <w:t>Changement climatique</w:t>
            </w:r>
          </w:p>
        </w:tc>
        <w:tc>
          <w:tcPr>
            <w:tcW w:w="712" w:type="dxa"/>
            <w:tcBorders>
              <w:top w:val="single" w:sz="8" w:space="0" w:color="auto"/>
              <w:left w:val="nil"/>
              <w:bottom w:val="single" w:sz="8" w:space="0" w:color="auto"/>
              <w:right w:val="single" w:sz="4" w:space="0" w:color="auto"/>
            </w:tcBorders>
            <w:shd w:val="clear" w:color="000000" w:fill="9CC2E6"/>
            <w:vAlign w:val="center"/>
            <w:hideMark/>
          </w:tcPr>
          <w:p w:rsidR="005C014D" w:rsidRPr="002462E6" w:rsidRDefault="005C014D" w:rsidP="005C014D">
            <w:pPr>
              <w:widowControl w:val="0"/>
              <w:autoSpaceDE w:val="0"/>
              <w:autoSpaceDN w:val="0"/>
              <w:spacing w:after="0" w:line="240" w:lineRule="auto"/>
              <w:jc w:val="center"/>
              <w:rPr>
                <w:rFonts w:ascii="Arial" w:eastAsia="Times New Roman" w:hAnsi="Arial" w:cs="Arial"/>
                <w:color w:val="000000"/>
                <w:sz w:val="18"/>
                <w:szCs w:val="18"/>
                <w:lang w:eastAsia="fr-FR"/>
              </w:rPr>
            </w:pPr>
            <w:r w:rsidRPr="002462E6">
              <w:rPr>
                <w:rFonts w:ascii="Arial" w:eastAsia="Times New Roman" w:hAnsi="Arial" w:cs="Arial"/>
                <w:color w:val="000000"/>
                <w:sz w:val="18"/>
                <w:szCs w:val="18"/>
                <w:lang w:eastAsia="fr-FR"/>
              </w:rPr>
              <w:t>Eleveurs</w:t>
            </w:r>
          </w:p>
        </w:tc>
        <w:tc>
          <w:tcPr>
            <w:tcW w:w="813" w:type="dxa"/>
            <w:tcBorders>
              <w:top w:val="single" w:sz="8" w:space="0" w:color="auto"/>
              <w:left w:val="nil"/>
              <w:bottom w:val="single" w:sz="8" w:space="0" w:color="auto"/>
              <w:right w:val="nil"/>
            </w:tcBorders>
            <w:shd w:val="clear" w:color="000000" w:fill="9CC2E6"/>
            <w:vAlign w:val="center"/>
            <w:hideMark/>
          </w:tcPr>
          <w:p w:rsidR="005C014D" w:rsidRPr="002462E6" w:rsidRDefault="005C014D" w:rsidP="005C014D">
            <w:pPr>
              <w:widowControl w:val="0"/>
              <w:autoSpaceDE w:val="0"/>
              <w:autoSpaceDN w:val="0"/>
              <w:spacing w:after="0" w:line="240" w:lineRule="auto"/>
              <w:jc w:val="center"/>
              <w:rPr>
                <w:rFonts w:ascii="Arial" w:eastAsia="Times New Roman" w:hAnsi="Arial" w:cs="Arial"/>
                <w:color w:val="000000"/>
                <w:sz w:val="18"/>
                <w:szCs w:val="18"/>
                <w:lang w:eastAsia="fr-FR"/>
              </w:rPr>
            </w:pPr>
            <w:r w:rsidRPr="002462E6">
              <w:rPr>
                <w:rFonts w:ascii="Arial" w:eastAsia="Times New Roman" w:hAnsi="Arial" w:cs="Arial"/>
                <w:color w:val="000000"/>
                <w:sz w:val="18"/>
                <w:szCs w:val="18"/>
                <w:lang w:eastAsia="fr-FR"/>
              </w:rPr>
              <w:t xml:space="preserve">Insatisfaction </w:t>
            </w:r>
          </w:p>
          <w:p w:rsidR="005C014D" w:rsidRPr="002462E6" w:rsidRDefault="005C014D" w:rsidP="005C014D">
            <w:pPr>
              <w:widowControl w:val="0"/>
              <w:autoSpaceDE w:val="0"/>
              <w:autoSpaceDN w:val="0"/>
              <w:spacing w:after="0" w:line="240" w:lineRule="auto"/>
              <w:jc w:val="center"/>
              <w:rPr>
                <w:rFonts w:ascii="Arial" w:eastAsia="Times New Roman" w:hAnsi="Arial" w:cs="Arial"/>
                <w:color w:val="000000"/>
                <w:sz w:val="18"/>
                <w:szCs w:val="18"/>
                <w:lang w:eastAsia="fr-FR"/>
              </w:rPr>
            </w:pPr>
            <w:r w:rsidRPr="002462E6">
              <w:rPr>
                <w:rFonts w:ascii="Arial" w:eastAsia="Times New Roman" w:hAnsi="Arial" w:cs="Arial"/>
                <w:color w:val="000000"/>
                <w:sz w:val="18"/>
                <w:szCs w:val="18"/>
                <w:lang w:eastAsia="fr-FR"/>
              </w:rPr>
              <w:t xml:space="preserve">Reboisement </w:t>
            </w:r>
          </w:p>
        </w:tc>
        <w:tc>
          <w:tcPr>
            <w:tcW w:w="698" w:type="dxa"/>
            <w:tcBorders>
              <w:top w:val="single" w:sz="8" w:space="0" w:color="auto"/>
              <w:left w:val="single" w:sz="4" w:space="0" w:color="auto"/>
              <w:bottom w:val="single" w:sz="8" w:space="0" w:color="auto"/>
              <w:right w:val="nil"/>
            </w:tcBorders>
            <w:shd w:val="clear" w:color="000000" w:fill="9CC2E6"/>
            <w:vAlign w:val="center"/>
            <w:hideMark/>
          </w:tcPr>
          <w:p w:rsidR="005C014D" w:rsidRPr="002462E6" w:rsidRDefault="005C014D" w:rsidP="005C014D">
            <w:pPr>
              <w:widowControl w:val="0"/>
              <w:autoSpaceDE w:val="0"/>
              <w:autoSpaceDN w:val="0"/>
              <w:spacing w:after="0" w:line="240" w:lineRule="auto"/>
              <w:jc w:val="center"/>
              <w:rPr>
                <w:rFonts w:ascii="Arial" w:eastAsia="Times New Roman" w:hAnsi="Arial" w:cs="Arial"/>
                <w:color w:val="000000"/>
                <w:sz w:val="18"/>
                <w:szCs w:val="18"/>
                <w:lang w:eastAsia="fr-FR"/>
              </w:rPr>
            </w:pPr>
            <w:r w:rsidRPr="002462E6">
              <w:rPr>
                <w:rFonts w:ascii="Arial" w:eastAsia="Times New Roman" w:hAnsi="Arial" w:cs="Arial"/>
                <w:color w:val="000000"/>
                <w:sz w:val="18"/>
                <w:szCs w:val="18"/>
                <w:lang w:eastAsia="fr-FR"/>
              </w:rPr>
              <w:t>Insatisfaction MED</w:t>
            </w:r>
          </w:p>
        </w:tc>
        <w:tc>
          <w:tcPr>
            <w:tcW w:w="1186" w:type="dxa"/>
            <w:tcBorders>
              <w:top w:val="single" w:sz="8" w:space="0" w:color="auto"/>
              <w:left w:val="single" w:sz="4" w:space="0" w:color="auto"/>
              <w:bottom w:val="single" w:sz="8" w:space="0" w:color="auto"/>
              <w:right w:val="nil"/>
            </w:tcBorders>
            <w:shd w:val="clear" w:color="000000" w:fill="9CC2E6"/>
            <w:vAlign w:val="center"/>
            <w:hideMark/>
          </w:tcPr>
          <w:p w:rsidR="005C014D" w:rsidRPr="002462E6" w:rsidRDefault="005C014D" w:rsidP="005C014D">
            <w:pPr>
              <w:widowControl w:val="0"/>
              <w:autoSpaceDE w:val="0"/>
              <w:autoSpaceDN w:val="0"/>
              <w:spacing w:after="0" w:line="240" w:lineRule="auto"/>
              <w:jc w:val="center"/>
              <w:rPr>
                <w:rFonts w:ascii="Arial" w:eastAsia="Times New Roman" w:hAnsi="Arial" w:cs="Arial"/>
                <w:color w:val="000000"/>
                <w:sz w:val="18"/>
                <w:szCs w:val="18"/>
                <w:lang w:eastAsia="fr-FR"/>
              </w:rPr>
            </w:pPr>
            <w:r w:rsidRPr="002462E6">
              <w:rPr>
                <w:rFonts w:ascii="Arial" w:eastAsia="Times New Roman" w:hAnsi="Arial" w:cs="Arial"/>
                <w:color w:val="000000"/>
                <w:sz w:val="18"/>
                <w:szCs w:val="18"/>
                <w:lang w:eastAsia="fr-FR"/>
              </w:rPr>
              <w:t>Exploitation bois de feu</w:t>
            </w:r>
          </w:p>
        </w:tc>
        <w:tc>
          <w:tcPr>
            <w:tcW w:w="1377" w:type="dxa"/>
            <w:tcBorders>
              <w:top w:val="single" w:sz="8" w:space="0" w:color="auto"/>
              <w:left w:val="single" w:sz="4" w:space="0" w:color="auto"/>
              <w:bottom w:val="nil"/>
              <w:right w:val="single" w:sz="8" w:space="0" w:color="auto"/>
            </w:tcBorders>
            <w:shd w:val="clear" w:color="000000" w:fill="9CC2E6"/>
            <w:vAlign w:val="center"/>
            <w:hideMark/>
          </w:tcPr>
          <w:p w:rsidR="005C014D" w:rsidRPr="002462E6" w:rsidRDefault="005C014D" w:rsidP="005C014D">
            <w:pPr>
              <w:widowControl w:val="0"/>
              <w:autoSpaceDE w:val="0"/>
              <w:autoSpaceDN w:val="0"/>
              <w:spacing w:after="0" w:line="240" w:lineRule="auto"/>
              <w:jc w:val="center"/>
              <w:rPr>
                <w:rFonts w:ascii="Arial" w:eastAsia="Times New Roman" w:hAnsi="Arial" w:cs="Arial"/>
                <w:color w:val="000000"/>
                <w:sz w:val="18"/>
                <w:szCs w:val="18"/>
                <w:lang w:eastAsia="fr-FR"/>
              </w:rPr>
            </w:pPr>
            <w:r w:rsidRPr="002462E6">
              <w:rPr>
                <w:rFonts w:ascii="Arial" w:eastAsia="Times New Roman" w:hAnsi="Arial" w:cs="Arial"/>
                <w:color w:val="000000"/>
                <w:sz w:val="18"/>
                <w:szCs w:val="18"/>
                <w:lang w:eastAsia="fr-FR"/>
              </w:rPr>
              <w:t>Dégradation en %</w:t>
            </w:r>
          </w:p>
        </w:tc>
      </w:tr>
      <w:tr w:rsidR="005C014D" w:rsidRPr="002462E6" w:rsidTr="007D633A">
        <w:trPr>
          <w:trHeight w:val="215"/>
        </w:trPr>
        <w:tc>
          <w:tcPr>
            <w:tcW w:w="801" w:type="dxa"/>
            <w:vMerge w:val="restart"/>
            <w:tcBorders>
              <w:top w:val="nil"/>
              <w:left w:val="single" w:sz="4" w:space="0" w:color="auto"/>
              <w:bottom w:val="single" w:sz="4" w:space="0" w:color="auto"/>
              <w:right w:val="single" w:sz="4" w:space="0" w:color="auto"/>
            </w:tcBorders>
            <w:shd w:val="clear" w:color="auto" w:fill="auto"/>
            <w:vAlign w:val="center"/>
            <w:hideMark/>
          </w:tcPr>
          <w:p w:rsidR="005C014D" w:rsidRPr="002462E6" w:rsidRDefault="005C014D" w:rsidP="005C014D">
            <w:pPr>
              <w:widowControl w:val="0"/>
              <w:autoSpaceDE w:val="0"/>
              <w:autoSpaceDN w:val="0"/>
              <w:spacing w:after="0" w:line="240" w:lineRule="auto"/>
              <w:jc w:val="center"/>
              <w:rPr>
                <w:rFonts w:ascii="Arial" w:eastAsia="Times New Roman" w:hAnsi="Arial" w:cs="Arial"/>
                <w:b/>
                <w:bCs/>
                <w:color w:val="000000"/>
                <w:sz w:val="16"/>
                <w:szCs w:val="16"/>
                <w:lang w:eastAsia="fr-FR"/>
              </w:rPr>
            </w:pPr>
            <w:r w:rsidRPr="002462E6">
              <w:rPr>
                <w:rFonts w:ascii="Arial" w:eastAsia="Times New Roman" w:hAnsi="Arial" w:cs="Arial"/>
                <w:b/>
                <w:bCs/>
                <w:color w:val="000000"/>
                <w:sz w:val="16"/>
                <w:szCs w:val="16"/>
                <w:lang w:eastAsia="fr-FR"/>
              </w:rPr>
              <w:t xml:space="preserve">Skhirate-Temara </w:t>
            </w:r>
          </w:p>
        </w:tc>
        <w:tc>
          <w:tcPr>
            <w:tcW w:w="907" w:type="dxa"/>
            <w:tcBorders>
              <w:top w:val="nil"/>
              <w:left w:val="nil"/>
              <w:bottom w:val="single" w:sz="4" w:space="0" w:color="auto"/>
              <w:right w:val="single" w:sz="4" w:space="0" w:color="auto"/>
            </w:tcBorders>
            <w:shd w:val="clear" w:color="000000" w:fill="FFFFFF"/>
            <w:noWrap/>
            <w:vAlign w:val="center"/>
            <w:hideMark/>
          </w:tcPr>
          <w:p w:rsidR="005C014D" w:rsidRPr="002462E6" w:rsidRDefault="005C014D" w:rsidP="005C014D">
            <w:pPr>
              <w:widowControl w:val="0"/>
              <w:autoSpaceDE w:val="0"/>
              <w:autoSpaceDN w:val="0"/>
              <w:spacing w:after="0" w:line="240" w:lineRule="auto"/>
              <w:jc w:val="center"/>
              <w:rPr>
                <w:rFonts w:ascii="Arial" w:eastAsia="Times New Roman" w:hAnsi="Arial" w:cs="Arial"/>
                <w:color w:val="000000"/>
                <w:sz w:val="16"/>
                <w:szCs w:val="16"/>
                <w:lang w:eastAsia="fr-FR"/>
              </w:rPr>
            </w:pPr>
            <w:r w:rsidRPr="002462E6">
              <w:rPr>
                <w:rFonts w:ascii="Arial" w:eastAsia="Times New Roman" w:hAnsi="Arial" w:cs="Arial"/>
                <w:color w:val="000000"/>
                <w:sz w:val="16"/>
                <w:szCs w:val="16"/>
                <w:lang w:eastAsia="fr-FR"/>
              </w:rPr>
              <w:t>Oum Azza</w:t>
            </w:r>
          </w:p>
        </w:tc>
        <w:tc>
          <w:tcPr>
            <w:tcW w:w="1076" w:type="dxa"/>
            <w:tcBorders>
              <w:top w:val="nil"/>
              <w:left w:val="nil"/>
              <w:bottom w:val="single" w:sz="4" w:space="0" w:color="auto"/>
              <w:right w:val="single" w:sz="4" w:space="0" w:color="auto"/>
            </w:tcBorders>
            <w:shd w:val="clear" w:color="000000" w:fill="FFFFFF"/>
            <w:noWrap/>
            <w:vAlign w:val="center"/>
            <w:hideMark/>
          </w:tcPr>
          <w:p w:rsidR="005C014D" w:rsidRPr="00F9749C" w:rsidRDefault="005C014D" w:rsidP="005C014D">
            <w:pPr>
              <w:widowControl w:val="0"/>
              <w:autoSpaceDE w:val="0"/>
              <w:autoSpaceDN w:val="0"/>
              <w:spacing w:after="0" w:line="240" w:lineRule="auto"/>
              <w:rPr>
                <w:rFonts w:ascii="Arial" w:eastAsia="Times New Roman" w:hAnsi="Arial" w:cs="Arial"/>
                <w:color w:val="000000"/>
                <w:sz w:val="18"/>
                <w:szCs w:val="18"/>
                <w:lang w:eastAsia="fr-FR"/>
              </w:rPr>
            </w:pPr>
            <w:r w:rsidRPr="00F9749C">
              <w:rPr>
                <w:rFonts w:ascii="Arial" w:eastAsia="Times New Roman" w:hAnsi="Arial" w:cs="Arial"/>
                <w:color w:val="000000"/>
                <w:sz w:val="18"/>
                <w:szCs w:val="18"/>
                <w:lang w:eastAsia="fr-FR"/>
              </w:rPr>
              <w:t>Oulad Marzoug</w:t>
            </w:r>
          </w:p>
        </w:tc>
        <w:tc>
          <w:tcPr>
            <w:tcW w:w="941" w:type="dxa"/>
            <w:tcBorders>
              <w:top w:val="nil"/>
              <w:left w:val="nil"/>
              <w:bottom w:val="nil"/>
              <w:right w:val="nil"/>
            </w:tcBorders>
            <w:shd w:val="clear" w:color="000000" w:fill="D34B07"/>
            <w:noWrap/>
            <w:hideMark/>
          </w:tcPr>
          <w:p w:rsidR="005C014D" w:rsidRPr="002462E6" w:rsidRDefault="005C014D" w:rsidP="005C014D">
            <w:pPr>
              <w:widowControl w:val="0"/>
              <w:autoSpaceDE w:val="0"/>
              <w:autoSpaceDN w:val="0"/>
              <w:spacing w:after="0" w:line="240" w:lineRule="auto"/>
              <w:jc w:val="right"/>
              <w:rPr>
                <w:rFonts w:ascii="Arial" w:eastAsia="Times New Roman" w:hAnsi="Arial" w:cs="Arial"/>
                <w:color w:val="000000"/>
                <w:sz w:val="18"/>
                <w:szCs w:val="18"/>
                <w:lang w:eastAsia="fr-FR"/>
              </w:rPr>
            </w:pPr>
            <w:r w:rsidRPr="002462E6">
              <w:rPr>
                <w:rFonts w:ascii="Arial" w:eastAsia="Times New Roman" w:hAnsi="Arial" w:cs="Arial"/>
                <w:color w:val="000000"/>
                <w:sz w:val="18"/>
                <w:szCs w:val="18"/>
                <w:lang w:eastAsia="fr-FR"/>
              </w:rPr>
              <w:t>100%</w:t>
            </w:r>
          </w:p>
        </w:tc>
        <w:tc>
          <w:tcPr>
            <w:tcW w:w="982" w:type="dxa"/>
            <w:tcBorders>
              <w:top w:val="nil"/>
              <w:left w:val="nil"/>
              <w:bottom w:val="nil"/>
              <w:right w:val="nil"/>
            </w:tcBorders>
            <w:shd w:val="clear" w:color="000000" w:fill="D34B07"/>
            <w:noWrap/>
            <w:hideMark/>
          </w:tcPr>
          <w:p w:rsidR="005C014D" w:rsidRPr="002462E6" w:rsidRDefault="005C014D" w:rsidP="005C014D">
            <w:pPr>
              <w:widowControl w:val="0"/>
              <w:autoSpaceDE w:val="0"/>
              <w:autoSpaceDN w:val="0"/>
              <w:spacing w:after="0" w:line="240" w:lineRule="auto"/>
              <w:jc w:val="right"/>
              <w:rPr>
                <w:rFonts w:ascii="Arial" w:eastAsia="Times New Roman" w:hAnsi="Arial" w:cs="Arial"/>
                <w:color w:val="000000"/>
                <w:sz w:val="18"/>
                <w:szCs w:val="18"/>
                <w:lang w:eastAsia="fr-FR"/>
              </w:rPr>
            </w:pPr>
            <w:r w:rsidRPr="002462E6">
              <w:rPr>
                <w:rFonts w:ascii="Arial" w:eastAsia="Times New Roman" w:hAnsi="Arial" w:cs="Arial"/>
                <w:color w:val="000000"/>
                <w:sz w:val="18"/>
                <w:szCs w:val="18"/>
                <w:lang w:eastAsia="fr-FR"/>
              </w:rPr>
              <w:t>100%</w:t>
            </w:r>
          </w:p>
        </w:tc>
        <w:tc>
          <w:tcPr>
            <w:tcW w:w="712" w:type="dxa"/>
            <w:tcBorders>
              <w:top w:val="nil"/>
              <w:left w:val="single" w:sz="4" w:space="0" w:color="000000"/>
              <w:bottom w:val="nil"/>
              <w:right w:val="single" w:sz="4" w:space="0" w:color="000000"/>
            </w:tcBorders>
            <w:shd w:val="clear" w:color="000000" w:fill="F4F46C"/>
            <w:noWrap/>
            <w:hideMark/>
          </w:tcPr>
          <w:p w:rsidR="005C014D" w:rsidRPr="002462E6" w:rsidRDefault="005C014D" w:rsidP="005C014D">
            <w:pPr>
              <w:widowControl w:val="0"/>
              <w:autoSpaceDE w:val="0"/>
              <w:autoSpaceDN w:val="0"/>
              <w:spacing w:after="0" w:line="240" w:lineRule="auto"/>
              <w:jc w:val="right"/>
              <w:rPr>
                <w:rFonts w:ascii="Arial" w:eastAsia="Times New Roman" w:hAnsi="Arial" w:cs="Arial"/>
                <w:color w:val="000000"/>
                <w:sz w:val="18"/>
                <w:szCs w:val="18"/>
                <w:lang w:eastAsia="fr-FR"/>
              </w:rPr>
            </w:pPr>
            <w:r w:rsidRPr="002462E6">
              <w:rPr>
                <w:rFonts w:ascii="Arial" w:eastAsia="Times New Roman" w:hAnsi="Arial" w:cs="Arial"/>
                <w:color w:val="000000"/>
                <w:sz w:val="18"/>
                <w:szCs w:val="18"/>
                <w:lang w:eastAsia="fr-FR"/>
              </w:rPr>
              <w:t>40%</w:t>
            </w:r>
          </w:p>
        </w:tc>
        <w:tc>
          <w:tcPr>
            <w:tcW w:w="813" w:type="dxa"/>
            <w:tcBorders>
              <w:top w:val="nil"/>
              <w:left w:val="nil"/>
              <w:bottom w:val="nil"/>
              <w:right w:val="nil"/>
            </w:tcBorders>
            <w:shd w:val="clear" w:color="000000" w:fill="D34B07"/>
            <w:noWrap/>
            <w:hideMark/>
          </w:tcPr>
          <w:p w:rsidR="005C014D" w:rsidRPr="002462E6" w:rsidRDefault="005C014D" w:rsidP="005C014D">
            <w:pPr>
              <w:widowControl w:val="0"/>
              <w:autoSpaceDE w:val="0"/>
              <w:autoSpaceDN w:val="0"/>
              <w:spacing w:after="0" w:line="240" w:lineRule="auto"/>
              <w:jc w:val="right"/>
              <w:rPr>
                <w:rFonts w:ascii="Arial" w:eastAsia="Times New Roman" w:hAnsi="Arial" w:cs="Arial"/>
                <w:color w:val="000000"/>
                <w:sz w:val="18"/>
                <w:szCs w:val="18"/>
                <w:lang w:eastAsia="fr-FR"/>
              </w:rPr>
            </w:pPr>
            <w:r w:rsidRPr="002462E6">
              <w:rPr>
                <w:rFonts w:ascii="Arial" w:eastAsia="Times New Roman" w:hAnsi="Arial" w:cs="Arial"/>
                <w:color w:val="000000"/>
                <w:sz w:val="18"/>
                <w:szCs w:val="18"/>
                <w:lang w:eastAsia="fr-FR"/>
              </w:rPr>
              <w:t>100%</w:t>
            </w:r>
          </w:p>
        </w:tc>
        <w:tc>
          <w:tcPr>
            <w:tcW w:w="698" w:type="dxa"/>
            <w:tcBorders>
              <w:top w:val="nil"/>
              <w:left w:val="nil"/>
              <w:bottom w:val="nil"/>
              <w:right w:val="nil"/>
            </w:tcBorders>
            <w:shd w:val="clear" w:color="000000" w:fill="F4F46C"/>
            <w:noWrap/>
            <w:hideMark/>
          </w:tcPr>
          <w:p w:rsidR="005C014D" w:rsidRPr="002462E6" w:rsidRDefault="005C014D" w:rsidP="005C014D">
            <w:pPr>
              <w:widowControl w:val="0"/>
              <w:autoSpaceDE w:val="0"/>
              <w:autoSpaceDN w:val="0"/>
              <w:spacing w:after="0" w:line="240" w:lineRule="auto"/>
              <w:jc w:val="right"/>
              <w:rPr>
                <w:rFonts w:ascii="Arial" w:eastAsia="Times New Roman" w:hAnsi="Arial" w:cs="Arial"/>
                <w:color w:val="000000"/>
                <w:sz w:val="18"/>
                <w:szCs w:val="18"/>
                <w:lang w:eastAsia="fr-FR"/>
              </w:rPr>
            </w:pPr>
            <w:r w:rsidRPr="002462E6">
              <w:rPr>
                <w:rFonts w:ascii="Arial" w:eastAsia="Times New Roman" w:hAnsi="Arial" w:cs="Arial"/>
                <w:color w:val="000000"/>
                <w:sz w:val="18"/>
                <w:szCs w:val="18"/>
                <w:lang w:eastAsia="fr-FR"/>
              </w:rPr>
              <w:t>40%</w:t>
            </w:r>
          </w:p>
        </w:tc>
        <w:tc>
          <w:tcPr>
            <w:tcW w:w="1186" w:type="dxa"/>
            <w:tcBorders>
              <w:top w:val="nil"/>
              <w:left w:val="nil"/>
              <w:bottom w:val="nil"/>
              <w:right w:val="nil"/>
            </w:tcBorders>
            <w:shd w:val="clear" w:color="000000" w:fill="F4F46C"/>
            <w:noWrap/>
            <w:hideMark/>
          </w:tcPr>
          <w:p w:rsidR="005C014D" w:rsidRPr="002462E6" w:rsidRDefault="005C014D" w:rsidP="005C014D">
            <w:pPr>
              <w:widowControl w:val="0"/>
              <w:autoSpaceDE w:val="0"/>
              <w:autoSpaceDN w:val="0"/>
              <w:spacing w:after="0" w:line="240" w:lineRule="auto"/>
              <w:jc w:val="right"/>
              <w:rPr>
                <w:rFonts w:ascii="Arial" w:eastAsia="Times New Roman" w:hAnsi="Arial" w:cs="Arial"/>
                <w:color w:val="000000"/>
                <w:sz w:val="18"/>
                <w:szCs w:val="18"/>
                <w:lang w:eastAsia="fr-FR"/>
              </w:rPr>
            </w:pPr>
            <w:r w:rsidRPr="002462E6">
              <w:rPr>
                <w:rFonts w:ascii="Arial" w:eastAsia="Times New Roman" w:hAnsi="Arial" w:cs="Arial"/>
                <w:color w:val="000000"/>
                <w:sz w:val="18"/>
                <w:szCs w:val="18"/>
                <w:lang w:eastAsia="fr-FR"/>
              </w:rPr>
              <w:t>40%</w:t>
            </w:r>
          </w:p>
        </w:tc>
        <w:tc>
          <w:tcPr>
            <w:tcW w:w="1377" w:type="dxa"/>
            <w:tcBorders>
              <w:top w:val="nil"/>
              <w:left w:val="nil"/>
              <w:bottom w:val="nil"/>
              <w:right w:val="nil"/>
            </w:tcBorders>
            <w:shd w:val="clear" w:color="000000" w:fill="FFC000"/>
            <w:noWrap/>
            <w:hideMark/>
          </w:tcPr>
          <w:p w:rsidR="005C014D" w:rsidRPr="002462E6" w:rsidRDefault="005C014D" w:rsidP="005C014D">
            <w:pPr>
              <w:widowControl w:val="0"/>
              <w:autoSpaceDE w:val="0"/>
              <w:autoSpaceDN w:val="0"/>
              <w:spacing w:after="0" w:line="240" w:lineRule="auto"/>
              <w:jc w:val="right"/>
              <w:rPr>
                <w:rFonts w:ascii="Arial" w:eastAsia="Times New Roman" w:hAnsi="Arial" w:cs="Arial"/>
                <w:color w:val="000000"/>
                <w:sz w:val="18"/>
                <w:szCs w:val="18"/>
                <w:lang w:eastAsia="fr-FR"/>
              </w:rPr>
            </w:pPr>
            <w:r w:rsidRPr="002462E6">
              <w:rPr>
                <w:rFonts w:ascii="Arial" w:eastAsia="Times New Roman" w:hAnsi="Arial" w:cs="Arial"/>
                <w:color w:val="000000"/>
                <w:sz w:val="18"/>
                <w:szCs w:val="18"/>
                <w:lang w:eastAsia="fr-FR"/>
              </w:rPr>
              <w:t>70%</w:t>
            </w:r>
          </w:p>
        </w:tc>
      </w:tr>
      <w:tr w:rsidR="005C014D" w:rsidRPr="002462E6" w:rsidTr="007D633A">
        <w:trPr>
          <w:trHeight w:val="215"/>
        </w:trPr>
        <w:tc>
          <w:tcPr>
            <w:tcW w:w="801" w:type="dxa"/>
            <w:vMerge/>
            <w:tcBorders>
              <w:top w:val="nil"/>
              <w:left w:val="single" w:sz="4" w:space="0" w:color="auto"/>
              <w:bottom w:val="single" w:sz="4" w:space="0" w:color="auto"/>
              <w:right w:val="single" w:sz="4" w:space="0" w:color="auto"/>
            </w:tcBorders>
            <w:vAlign w:val="center"/>
            <w:hideMark/>
          </w:tcPr>
          <w:p w:rsidR="005C014D" w:rsidRPr="002462E6" w:rsidRDefault="005C014D" w:rsidP="005C014D">
            <w:pPr>
              <w:widowControl w:val="0"/>
              <w:autoSpaceDE w:val="0"/>
              <w:autoSpaceDN w:val="0"/>
              <w:spacing w:after="0" w:line="240" w:lineRule="auto"/>
              <w:rPr>
                <w:rFonts w:ascii="Arial" w:eastAsia="Times New Roman" w:hAnsi="Arial" w:cs="Arial"/>
                <w:b/>
                <w:bCs/>
                <w:color w:val="000000"/>
                <w:sz w:val="16"/>
                <w:szCs w:val="16"/>
                <w:lang w:eastAsia="fr-FR"/>
              </w:rPr>
            </w:pPr>
          </w:p>
        </w:tc>
        <w:tc>
          <w:tcPr>
            <w:tcW w:w="907" w:type="dxa"/>
            <w:vMerge w:val="restart"/>
            <w:tcBorders>
              <w:top w:val="nil"/>
              <w:left w:val="single" w:sz="4" w:space="0" w:color="auto"/>
              <w:bottom w:val="single" w:sz="4" w:space="0" w:color="auto"/>
              <w:right w:val="single" w:sz="4" w:space="0" w:color="auto"/>
            </w:tcBorders>
            <w:shd w:val="clear" w:color="auto" w:fill="auto"/>
            <w:vAlign w:val="center"/>
            <w:hideMark/>
          </w:tcPr>
          <w:p w:rsidR="005C014D" w:rsidRPr="002462E6" w:rsidRDefault="005C014D" w:rsidP="005C014D">
            <w:pPr>
              <w:widowControl w:val="0"/>
              <w:autoSpaceDE w:val="0"/>
              <w:autoSpaceDN w:val="0"/>
              <w:spacing w:after="0" w:line="240" w:lineRule="auto"/>
              <w:jc w:val="center"/>
              <w:rPr>
                <w:rFonts w:ascii="Arial" w:eastAsia="Times New Roman" w:hAnsi="Arial" w:cs="Arial"/>
                <w:color w:val="000000"/>
                <w:sz w:val="16"/>
                <w:szCs w:val="16"/>
                <w:lang w:eastAsia="fr-FR"/>
              </w:rPr>
            </w:pPr>
            <w:r w:rsidRPr="002462E6">
              <w:rPr>
                <w:rFonts w:ascii="Arial" w:eastAsia="Times New Roman" w:hAnsi="Arial" w:cs="Arial"/>
                <w:color w:val="000000"/>
                <w:sz w:val="16"/>
                <w:szCs w:val="16"/>
                <w:lang w:eastAsia="fr-FR"/>
              </w:rPr>
              <w:t>Sidi Yahia Zaeer</w:t>
            </w:r>
          </w:p>
        </w:tc>
        <w:tc>
          <w:tcPr>
            <w:tcW w:w="1076" w:type="dxa"/>
            <w:tcBorders>
              <w:top w:val="nil"/>
              <w:left w:val="nil"/>
              <w:bottom w:val="single" w:sz="4" w:space="0" w:color="auto"/>
              <w:right w:val="single" w:sz="4" w:space="0" w:color="auto"/>
            </w:tcBorders>
            <w:shd w:val="clear" w:color="auto" w:fill="auto"/>
            <w:noWrap/>
            <w:vAlign w:val="center"/>
            <w:hideMark/>
          </w:tcPr>
          <w:p w:rsidR="005C014D" w:rsidRPr="00F9749C" w:rsidRDefault="005C014D" w:rsidP="005C014D">
            <w:pPr>
              <w:widowControl w:val="0"/>
              <w:autoSpaceDE w:val="0"/>
              <w:autoSpaceDN w:val="0"/>
              <w:spacing w:after="0" w:line="240" w:lineRule="auto"/>
              <w:rPr>
                <w:rFonts w:ascii="Arial" w:eastAsia="Times New Roman" w:hAnsi="Arial" w:cs="Arial"/>
                <w:color w:val="000000"/>
                <w:sz w:val="18"/>
                <w:szCs w:val="18"/>
                <w:lang w:eastAsia="fr-FR"/>
              </w:rPr>
            </w:pPr>
            <w:r w:rsidRPr="00F9749C">
              <w:rPr>
                <w:rFonts w:ascii="Arial" w:eastAsia="Times New Roman" w:hAnsi="Arial" w:cs="Arial"/>
                <w:color w:val="000000"/>
                <w:sz w:val="18"/>
                <w:szCs w:val="18"/>
                <w:lang w:eastAsia="fr-FR"/>
              </w:rPr>
              <w:t>Oulad Rgue</w:t>
            </w:r>
          </w:p>
        </w:tc>
        <w:tc>
          <w:tcPr>
            <w:tcW w:w="941" w:type="dxa"/>
            <w:tcBorders>
              <w:top w:val="nil"/>
              <w:left w:val="nil"/>
              <w:bottom w:val="nil"/>
              <w:right w:val="nil"/>
            </w:tcBorders>
            <w:shd w:val="clear" w:color="000000" w:fill="D34B07"/>
            <w:noWrap/>
            <w:hideMark/>
          </w:tcPr>
          <w:p w:rsidR="005C014D" w:rsidRPr="002462E6" w:rsidRDefault="005C014D" w:rsidP="005C014D">
            <w:pPr>
              <w:widowControl w:val="0"/>
              <w:autoSpaceDE w:val="0"/>
              <w:autoSpaceDN w:val="0"/>
              <w:spacing w:after="0" w:line="240" w:lineRule="auto"/>
              <w:jc w:val="right"/>
              <w:rPr>
                <w:rFonts w:ascii="Arial" w:eastAsia="Times New Roman" w:hAnsi="Arial" w:cs="Arial"/>
                <w:color w:val="000000"/>
                <w:sz w:val="18"/>
                <w:szCs w:val="18"/>
                <w:lang w:eastAsia="fr-FR"/>
              </w:rPr>
            </w:pPr>
            <w:r w:rsidRPr="002462E6">
              <w:rPr>
                <w:rFonts w:ascii="Arial" w:eastAsia="Times New Roman" w:hAnsi="Arial" w:cs="Arial"/>
                <w:color w:val="000000"/>
                <w:sz w:val="18"/>
                <w:szCs w:val="18"/>
                <w:lang w:eastAsia="fr-FR"/>
              </w:rPr>
              <w:t>100%</w:t>
            </w:r>
          </w:p>
        </w:tc>
        <w:tc>
          <w:tcPr>
            <w:tcW w:w="982" w:type="dxa"/>
            <w:tcBorders>
              <w:top w:val="nil"/>
              <w:left w:val="nil"/>
              <w:bottom w:val="nil"/>
              <w:right w:val="nil"/>
            </w:tcBorders>
            <w:shd w:val="clear" w:color="000000" w:fill="D34B07"/>
            <w:noWrap/>
            <w:hideMark/>
          </w:tcPr>
          <w:p w:rsidR="005C014D" w:rsidRPr="002462E6" w:rsidRDefault="005C014D" w:rsidP="005C014D">
            <w:pPr>
              <w:widowControl w:val="0"/>
              <w:autoSpaceDE w:val="0"/>
              <w:autoSpaceDN w:val="0"/>
              <w:spacing w:after="0" w:line="240" w:lineRule="auto"/>
              <w:jc w:val="right"/>
              <w:rPr>
                <w:rFonts w:ascii="Arial" w:eastAsia="Times New Roman" w:hAnsi="Arial" w:cs="Arial"/>
                <w:color w:val="000000"/>
                <w:sz w:val="18"/>
                <w:szCs w:val="18"/>
                <w:lang w:eastAsia="fr-FR"/>
              </w:rPr>
            </w:pPr>
            <w:r w:rsidRPr="002462E6">
              <w:rPr>
                <w:rFonts w:ascii="Arial" w:eastAsia="Times New Roman" w:hAnsi="Arial" w:cs="Arial"/>
                <w:color w:val="000000"/>
                <w:sz w:val="18"/>
                <w:szCs w:val="18"/>
                <w:lang w:eastAsia="fr-FR"/>
              </w:rPr>
              <w:t>100%</w:t>
            </w:r>
          </w:p>
        </w:tc>
        <w:tc>
          <w:tcPr>
            <w:tcW w:w="712" w:type="dxa"/>
            <w:tcBorders>
              <w:top w:val="nil"/>
              <w:left w:val="single" w:sz="4" w:space="0" w:color="000000"/>
              <w:bottom w:val="nil"/>
              <w:right w:val="single" w:sz="4" w:space="0" w:color="000000"/>
            </w:tcBorders>
            <w:shd w:val="clear" w:color="000000" w:fill="D34B07"/>
            <w:noWrap/>
            <w:hideMark/>
          </w:tcPr>
          <w:p w:rsidR="005C014D" w:rsidRPr="002462E6" w:rsidRDefault="005C014D" w:rsidP="005C014D">
            <w:pPr>
              <w:widowControl w:val="0"/>
              <w:autoSpaceDE w:val="0"/>
              <w:autoSpaceDN w:val="0"/>
              <w:spacing w:after="0" w:line="240" w:lineRule="auto"/>
              <w:jc w:val="right"/>
              <w:rPr>
                <w:rFonts w:ascii="Arial" w:eastAsia="Times New Roman" w:hAnsi="Arial" w:cs="Arial"/>
                <w:color w:val="000000"/>
                <w:sz w:val="18"/>
                <w:szCs w:val="18"/>
                <w:lang w:eastAsia="fr-FR"/>
              </w:rPr>
            </w:pPr>
            <w:r w:rsidRPr="002462E6">
              <w:rPr>
                <w:rFonts w:ascii="Arial" w:eastAsia="Times New Roman" w:hAnsi="Arial" w:cs="Arial"/>
                <w:color w:val="000000"/>
                <w:sz w:val="18"/>
                <w:szCs w:val="18"/>
                <w:lang w:eastAsia="fr-FR"/>
              </w:rPr>
              <w:t>100%</w:t>
            </w:r>
          </w:p>
        </w:tc>
        <w:tc>
          <w:tcPr>
            <w:tcW w:w="813" w:type="dxa"/>
            <w:tcBorders>
              <w:top w:val="nil"/>
              <w:left w:val="nil"/>
              <w:bottom w:val="nil"/>
              <w:right w:val="nil"/>
            </w:tcBorders>
            <w:shd w:val="clear" w:color="000000" w:fill="D34B07"/>
            <w:noWrap/>
            <w:hideMark/>
          </w:tcPr>
          <w:p w:rsidR="005C014D" w:rsidRPr="002462E6" w:rsidRDefault="005C014D" w:rsidP="005C014D">
            <w:pPr>
              <w:widowControl w:val="0"/>
              <w:autoSpaceDE w:val="0"/>
              <w:autoSpaceDN w:val="0"/>
              <w:spacing w:after="0" w:line="240" w:lineRule="auto"/>
              <w:jc w:val="right"/>
              <w:rPr>
                <w:rFonts w:ascii="Arial" w:eastAsia="Times New Roman" w:hAnsi="Arial" w:cs="Arial"/>
                <w:color w:val="000000"/>
                <w:sz w:val="18"/>
                <w:szCs w:val="18"/>
                <w:lang w:eastAsia="fr-FR"/>
              </w:rPr>
            </w:pPr>
            <w:r w:rsidRPr="002462E6">
              <w:rPr>
                <w:rFonts w:ascii="Arial" w:eastAsia="Times New Roman" w:hAnsi="Arial" w:cs="Arial"/>
                <w:color w:val="000000"/>
                <w:sz w:val="18"/>
                <w:szCs w:val="18"/>
                <w:lang w:eastAsia="fr-FR"/>
              </w:rPr>
              <w:t>100%</w:t>
            </w:r>
          </w:p>
        </w:tc>
        <w:tc>
          <w:tcPr>
            <w:tcW w:w="698" w:type="dxa"/>
            <w:tcBorders>
              <w:top w:val="nil"/>
              <w:left w:val="nil"/>
              <w:bottom w:val="nil"/>
              <w:right w:val="nil"/>
            </w:tcBorders>
            <w:shd w:val="clear" w:color="000000" w:fill="D34B07"/>
            <w:noWrap/>
            <w:hideMark/>
          </w:tcPr>
          <w:p w:rsidR="005C014D" w:rsidRPr="002462E6" w:rsidRDefault="005C014D" w:rsidP="005C014D">
            <w:pPr>
              <w:widowControl w:val="0"/>
              <w:autoSpaceDE w:val="0"/>
              <w:autoSpaceDN w:val="0"/>
              <w:spacing w:after="0" w:line="240" w:lineRule="auto"/>
              <w:jc w:val="right"/>
              <w:rPr>
                <w:rFonts w:ascii="Arial" w:eastAsia="Times New Roman" w:hAnsi="Arial" w:cs="Arial"/>
                <w:color w:val="000000"/>
                <w:sz w:val="18"/>
                <w:szCs w:val="18"/>
                <w:lang w:eastAsia="fr-FR"/>
              </w:rPr>
            </w:pPr>
            <w:r w:rsidRPr="002462E6">
              <w:rPr>
                <w:rFonts w:ascii="Arial" w:eastAsia="Times New Roman" w:hAnsi="Arial" w:cs="Arial"/>
                <w:color w:val="000000"/>
                <w:sz w:val="18"/>
                <w:szCs w:val="18"/>
                <w:lang w:eastAsia="fr-FR"/>
              </w:rPr>
              <w:t>100%</w:t>
            </w:r>
          </w:p>
        </w:tc>
        <w:tc>
          <w:tcPr>
            <w:tcW w:w="1186" w:type="dxa"/>
            <w:tcBorders>
              <w:top w:val="nil"/>
              <w:left w:val="nil"/>
              <w:bottom w:val="nil"/>
              <w:right w:val="nil"/>
            </w:tcBorders>
            <w:shd w:val="clear" w:color="000000" w:fill="F4F46C"/>
            <w:noWrap/>
            <w:hideMark/>
          </w:tcPr>
          <w:p w:rsidR="005C014D" w:rsidRPr="002462E6" w:rsidRDefault="005C014D" w:rsidP="005C014D">
            <w:pPr>
              <w:widowControl w:val="0"/>
              <w:autoSpaceDE w:val="0"/>
              <w:autoSpaceDN w:val="0"/>
              <w:spacing w:after="0" w:line="240" w:lineRule="auto"/>
              <w:jc w:val="right"/>
              <w:rPr>
                <w:rFonts w:ascii="Arial" w:eastAsia="Times New Roman" w:hAnsi="Arial" w:cs="Arial"/>
                <w:color w:val="000000"/>
                <w:sz w:val="18"/>
                <w:szCs w:val="18"/>
                <w:lang w:eastAsia="fr-FR"/>
              </w:rPr>
            </w:pPr>
            <w:r w:rsidRPr="002462E6">
              <w:rPr>
                <w:rFonts w:ascii="Arial" w:eastAsia="Times New Roman" w:hAnsi="Arial" w:cs="Arial"/>
                <w:color w:val="000000"/>
                <w:sz w:val="18"/>
                <w:szCs w:val="18"/>
                <w:lang w:eastAsia="fr-FR"/>
              </w:rPr>
              <w:t>20%</w:t>
            </w:r>
          </w:p>
        </w:tc>
        <w:tc>
          <w:tcPr>
            <w:tcW w:w="1377" w:type="dxa"/>
            <w:tcBorders>
              <w:top w:val="nil"/>
              <w:left w:val="nil"/>
              <w:bottom w:val="nil"/>
              <w:right w:val="nil"/>
            </w:tcBorders>
            <w:shd w:val="clear" w:color="000000" w:fill="D34B07"/>
            <w:noWrap/>
            <w:hideMark/>
          </w:tcPr>
          <w:p w:rsidR="005C014D" w:rsidRPr="002462E6" w:rsidRDefault="005C014D" w:rsidP="005C014D">
            <w:pPr>
              <w:widowControl w:val="0"/>
              <w:autoSpaceDE w:val="0"/>
              <w:autoSpaceDN w:val="0"/>
              <w:spacing w:after="0" w:line="240" w:lineRule="auto"/>
              <w:jc w:val="right"/>
              <w:rPr>
                <w:rFonts w:ascii="Arial" w:eastAsia="Times New Roman" w:hAnsi="Arial" w:cs="Arial"/>
                <w:color w:val="000000"/>
                <w:sz w:val="18"/>
                <w:szCs w:val="18"/>
                <w:lang w:eastAsia="fr-FR"/>
              </w:rPr>
            </w:pPr>
            <w:r w:rsidRPr="002462E6">
              <w:rPr>
                <w:rFonts w:ascii="Arial" w:eastAsia="Times New Roman" w:hAnsi="Arial" w:cs="Arial"/>
                <w:color w:val="000000"/>
                <w:sz w:val="18"/>
                <w:szCs w:val="18"/>
                <w:lang w:eastAsia="fr-FR"/>
              </w:rPr>
              <w:t>87%</w:t>
            </w:r>
          </w:p>
        </w:tc>
      </w:tr>
      <w:tr w:rsidR="005C014D" w:rsidRPr="002462E6" w:rsidTr="007D633A">
        <w:trPr>
          <w:trHeight w:val="215"/>
        </w:trPr>
        <w:tc>
          <w:tcPr>
            <w:tcW w:w="801" w:type="dxa"/>
            <w:vMerge/>
            <w:tcBorders>
              <w:top w:val="nil"/>
              <w:left w:val="single" w:sz="4" w:space="0" w:color="auto"/>
              <w:bottom w:val="single" w:sz="4" w:space="0" w:color="auto"/>
              <w:right w:val="single" w:sz="4" w:space="0" w:color="auto"/>
            </w:tcBorders>
            <w:vAlign w:val="center"/>
            <w:hideMark/>
          </w:tcPr>
          <w:p w:rsidR="005C014D" w:rsidRPr="002462E6" w:rsidRDefault="005C014D" w:rsidP="005C014D">
            <w:pPr>
              <w:widowControl w:val="0"/>
              <w:autoSpaceDE w:val="0"/>
              <w:autoSpaceDN w:val="0"/>
              <w:spacing w:after="0" w:line="240" w:lineRule="auto"/>
              <w:rPr>
                <w:rFonts w:ascii="Arial" w:eastAsia="Times New Roman" w:hAnsi="Arial" w:cs="Arial"/>
                <w:b/>
                <w:bCs/>
                <w:color w:val="000000"/>
                <w:sz w:val="16"/>
                <w:szCs w:val="16"/>
                <w:lang w:eastAsia="fr-FR"/>
              </w:rPr>
            </w:pPr>
          </w:p>
        </w:tc>
        <w:tc>
          <w:tcPr>
            <w:tcW w:w="907" w:type="dxa"/>
            <w:vMerge/>
            <w:tcBorders>
              <w:top w:val="nil"/>
              <w:left w:val="single" w:sz="4" w:space="0" w:color="auto"/>
              <w:bottom w:val="single" w:sz="4" w:space="0" w:color="auto"/>
              <w:right w:val="single" w:sz="4" w:space="0" w:color="auto"/>
            </w:tcBorders>
            <w:vAlign w:val="center"/>
            <w:hideMark/>
          </w:tcPr>
          <w:p w:rsidR="005C014D" w:rsidRPr="002462E6" w:rsidRDefault="005C014D" w:rsidP="005C014D">
            <w:pPr>
              <w:widowControl w:val="0"/>
              <w:autoSpaceDE w:val="0"/>
              <w:autoSpaceDN w:val="0"/>
              <w:spacing w:after="0" w:line="240" w:lineRule="auto"/>
              <w:rPr>
                <w:rFonts w:ascii="Arial" w:eastAsia="Times New Roman" w:hAnsi="Arial" w:cs="Arial"/>
                <w:color w:val="000000"/>
                <w:sz w:val="16"/>
                <w:szCs w:val="16"/>
                <w:lang w:eastAsia="fr-FR"/>
              </w:rPr>
            </w:pPr>
          </w:p>
        </w:tc>
        <w:tc>
          <w:tcPr>
            <w:tcW w:w="1076" w:type="dxa"/>
            <w:tcBorders>
              <w:top w:val="nil"/>
              <w:left w:val="nil"/>
              <w:bottom w:val="single" w:sz="4" w:space="0" w:color="auto"/>
              <w:right w:val="single" w:sz="4" w:space="0" w:color="auto"/>
            </w:tcBorders>
            <w:shd w:val="clear" w:color="auto" w:fill="auto"/>
            <w:noWrap/>
            <w:vAlign w:val="center"/>
            <w:hideMark/>
          </w:tcPr>
          <w:p w:rsidR="005C014D" w:rsidRPr="00F9749C" w:rsidRDefault="005C014D" w:rsidP="005C014D">
            <w:pPr>
              <w:widowControl w:val="0"/>
              <w:autoSpaceDE w:val="0"/>
              <w:autoSpaceDN w:val="0"/>
              <w:spacing w:after="0" w:line="240" w:lineRule="auto"/>
              <w:rPr>
                <w:rFonts w:ascii="Arial" w:eastAsia="Times New Roman" w:hAnsi="Arial" w:cs="Arial"/>
                <w:color w:val="000000"/>
                <w:sz w:val="18"/>
                <w:szCs w:val="18"/>
                <w:lang w:eastAsia="fr-FR"/>
              </w:rPr>
            </w:pPr>
            <w:r w:rsidRPr="00F9749C">
              <w:rPr>
                <w:rFonts w:ascii="Arial" w:eastAsia="Times New Roman" w:hAnsi="Arial" w:cs="Arial"/>
                <w:color w:val="000000"/>
                <w:sz w:val="18"/>
                <w:szCs w:val="18"/>
                <w:lang w:eastAsia="fr-FR"/>
              </w:rPr>
              <w:t>Oulad Saada</w:t>
            </w:r>
          </w:p>
        </w:tc>
        <w:tc>
          <w:tcPr>
            <w:tcW w:w="941" w:type="dxa"/>
            <w:tcBorders>
              <w:top w:val="nil"/>
              <w:left w:val="nil"/>
              <w:bottom w:val="nil"/>
              <w:right w:val="nil"/>
            </w:tcBorders>
            <w:shd w:val="clear" w:color="000000" w:fill="D34B07"/>
            <w:noWrap/>
            <w:hideMark/>
          </w:tcPr>
          <w:p w:rsidR="005C014D" w:rsidRPr="002462E6" w:rsidRDefault="005C014D" w:rsidP="005C014D">
            <w:pPr>
              <w:widowControl w:val="0"/>
              <w:autoSpaceDE w:val="0"/>
              <w:autoSpaceDN w:val="0"/>
              <w:spacing w:after="0" w:line="240" w:lineRule="auto"/>
              <w:jc w:val="right"/>
              <w:rPr>
                <w:rFonts w:ascii="Arial" w:eastAsia="Times New Roman" w:hAnsi="Arial" w:cs="Arial"/>
                <w:color w:val="000000"/>
                <w:sz w:val="18"/>
                <w:szCs w:val="18"/>
                <w:lang w:eastAsia="fr-FR"/>
              </w:rPr>
            </w:pPr>
            <w:r w:rsidRPr="002462E6">
              <w:rPr>
                <w:rFonts w:ascii="Arial" w:eastAsia="Times New Roman" w:hAnsi="Arial" w:cs="Arial"/>
                <w:color w:val="000000"/>
                <w:sz w:val="18"/>
                <w:szCs w:val="18"/>
                <w:lang w:eastAsia="fr-FR"/>
              </w:rPr>
              <w:t>100%</w:t>
            </w:r>
          </w:p>
        </w:tc>
        <w:tc>
          <w:tcPr>
            <w:tcW w:w="982" w:type="dxa"/>
            <w:tcBorders>
              <w:top w:val="nil"/>
              <w:left w:val="nil"/>
              <w:bottom w:val="nil"/>
              <w:right w:val="nil"/>
            </w:tcBorders>
            <w:shd w:val="clear" w:color="000000" w:fill="D34B07"/>
            <w:noWrap/>
            <w:hideMark/>
          </w:tcPr>
          <w:p w:rsidR="005C014D" w:rsidRPr="002462E6" w:rsidRDefault="005C014D" w:rsidP="005C014D">
            <w:pPr>
              <w:widowControl w:val="0"/>
              <w:autoSpaceDE w:val="0"/>
              <w:autoSpaceDN w:val="0"/>
              <w:spacing w:after="0" w:line="240" w:lineRule="auto"/>
              <w:jc w:val="right"/>
              <w:rPr>
                <w:rFonts w:ascii="Arial" w:eastAsia="Times New Roman" w:hAnsi="Arial" w:cs="Arial"/>
                <w:color w:val="000000"/>
                <w:sz w:val="18"/>
                <w:szCs w:val="18"/>
                <w:lang w:eastAsia="fr-FR"/>
              </w:rPr>
            </w:pPr>
            <w:r w:rsidRPr="002462E6">
              <w:rPr>
                <w:rFonts w:ascii="Arial" w:eastAsia="Times New Roman" w:hAnsi="Arial" w:cs="Arial"/>
                <w:color w:val="000000"/>
                <w:sz w:val="18"/>
                <w:szCs w:val="18"/>
                <w:lang w:eastAsia="fr-FR"/>
              </w:rPr>
              <w:t>100%</w:t>
            </w:r>
          </w:p>
        </w:tc>
        <w:tc>
          <w:tcPr>
            <w:tcW w:w="712" w:type="dxa"/>
            <w:tcBorders>
              <w:top w:val="nil"/>
              <w:left w:val="single" w:sz="4" w:space="0" w:color="000000"/>
              <w:bottom w:val="nil"/>
              <w:right w:val="single" w:sz="4" w:space="0" w:color="000000"/>
            </w:tcBorders>
            <w:shd w:val="clear" w:color="000000" w:fill="D34B07"/>
            <w:noWrap/>
            <w:hideMark/>
          </w:tcPr>
          <w:p w:rsidR="005C014D" w:rsidRPr="002462E6" w:rsidRDefault="005C014D" w:rsidP="005C014D">
            <w:pPr>
              <w:widowControl w:val="0"/>
              <w:autoSpaceDE w:val="0"/>
              <w:autoSpaceDN w:val="0"/>
              <w:spacing w:after="0" w:line="240" w:lineRule="auto"/>
              <w:jc w:val="right"/>
              <w:rPr>
                <w:rFonts w:ascii="Arial" w:eastAsia="Times New Roman" w:hAnsi="Arial" w:cs="Arial"/>
                <w:color w:val="000000"/>
                <w:sz w:val="18"/>
                <w:szCs w:val="18"/>
                <w:lang w:eastAsia="fr-FR"/>
              </w:rPr>
            </w:pPr>
            <w:r w:rsidRPr="002462E6">
              <w:rPr>
                <w:rFonts w:ascii="Arial" w:eastAsia="Times New Roman" w:hAnsi="Arial" w:cs="Arial"/>
                <w:color w:val="000000"/>
                <w:sz w:val="18"/>
                <w:szCs w:val="18"/>
                <w:lang w:eastAsia="fr-FR"/>
              </w:rPr>
              <w:t>100%</w:t>
            </w:r>
          </w:p>
        </w:tc>
        <w:tc>
          <w:tcPr>
            <w:tcW w:w="813" w:type="dxa"/>
            <w:tcBorders>
              <w:top w:val="nil"/>
              <w:left w:val="nil"/>
              <w:bottom w:val="nil"/>
              <w:right w:val="nil"/>
            </w:tcBorders>
            <w:shd w:val="clear" w:color="000000" w:fill="D34B07"/>
            <w:noWrap/>
            <w:hideMark/>
          </w:tcPr>
          <w:p w:rsidR="005C014D" w:rsidRPr="002462E6" w:rsidRDefault="005C014D" w:rsidP="005C014D">
            <w:pPr>
              <w:widowControl w:val="0"/>
              <w:autoSpaceDE w:val="0"/>
              <w:autoSpaceDN w:val="0"/>
              <w:spacing w:after="0" w:line="240" w:lineRule="auto"/>
              <w:jc w:val="right"/>
              <w:rPr>
                <w:rFonts w:ascii="Arial" w:eastAsia="Times New Roman" w:hAnsi="Arial" w:cs="Arial"/>
                <w:color w:val="000000"/>
                <w:sz w:val="18"/>
                <w:szCs w:val="18"/>
                <w:lang w:eastAsia="fr-FR"/>
              </w:rPr>
            </w:pPr>
            <w:r w:rsidRPr="002462E6">
              <w:rPr>
                <w:rFonts w:ascii="Arial" w:eastAsia="Times New Roman" w:hAnsi="Arial" w:cs="Arial"/>
                <w:color w:val="000000"/>
                <w:sz w:val="18"/>
                <w:szCs w:val="18"/>
                <w:lang w:eastAsia="fr-FR"/>
              </w:rPr>
              <w:t>100%</w:t>
            </w:r>
          </w:p>
        </w:tc>
        <w:tc>
          <w:tcPr>
            <w:tcW w:w="698" w:type="dxa"/>
            <w:tcBorders>
              <w:top w:val="nil"/>
              <w:left w:val="nil"/>
              <w:bottom w:val="nil"/>
              <w:right w:val="nil"/>
            </w:tcBorders>
            <w:shd w:val="clear" w:color="000000" w:fill="FFC000"/>
            <w:noWrap/>
            <w:hideMark/>
          </w:tcPr>
          <w:p w:rsidR="005C014D" w:rsidRPr="002462E6" w:rsidRDefault="005C014D" w:rsidP="005C014D">
            <w:pPr>
              <w:widowControl w:val="0"/>
              <w:autoSpaceDE w:val="0"/>
              <w:autoSpaceDN w:val="0"/>
              <w:spacing w:after="0" w:line="240" w:lineRule="auto"/>
              <w:jc w:val="right"/>
              <w:rPr>
                <w:rFonts w:ascii="Arial" w:eastAsia="Times New Roman" w:hAnsi="Arial" w:cs="Arial"/>
                <w:color w:val="000000"/>
                <w:sz w:val="18"/>
                <w:szCs w:val="18"/>
                <w:lang w:eastAsia="fr-FR"/>
              </w:rPr>
            </w:pPr>
            <w:r w:rsidRPr="002462E6">
              <w:rPr>
                <w:rFonts w:ascii="Arial" w:eastAsia="Times New Roman" w:hAnsi="Arial" w:cs="Arial"/>
                <w:color w:val="000000"/>
                <w:sz w:val="18"/>
                <w:szCs w:val="18"/>
                <w:lang w:eastAsia="fr-FR"/>
              </w:rPr>
              <w:t>60%</w:t>
            </w:r>
          </w:p>
        </w:tc>
        <w:tc>
          <w:tcPr>
            <w:tcW w:w="1186" w:type="dxa"/>
            <w:tcBorders>
              <w:top w:val="nil"/>
              <w:left w:val="nil"/>
              <w:bottom w:val="nil"/>
              <w:right w:val="nil"/>
            </w:tcBorders>
            <w:shd w:val="clear" w:color="000000" w:fill="F4F46C"/>
            <w:noWrap/>
            <w:hideMark/>
          </w:tcPr>
          <w:p w:rsidR="005C014D" w:rsidRPr="002462E6" w:rsidRDefault="005C014D" w:rsidP="005C014D">
            <w:pPr>
              <w:widowControl w:val="0"/>
              <w:autoSpaceDE w:val="0"/>
              <w:autoSpaceDN w:val="0"/>
              <w:spacing w:after="0" w:line="240" w:lineRule="auto"/>
              <w:jc w:val="right"/>
              <w:rPr>
                <w:rFonts w:ascii="Arial" w:eastAsia="Times New Roman" w:hAnsi="Arial" w:cs="Arial"/>
                <w:color w:val="000000"/>
                <w:sz w:val="18"/>
                <w:szCs w:val="18"/>
                <w:lang w:eastAsia="fr-FR"/>
              </w:rPr>
            </w:pPr>
            <w:r w:rsidRPr="002462E6">
              <w:rPr>
                <w:rFonts w:ascii="Arial" w:eastAsia="Times New Roman" w:hAnsi="Arial" w:cs="Arial"/>
                <w:color w:val="000000"/>
                <w:sz w:val="18"/>
                <w:szCs w:val="18"/>
                <w:lang w:eastAsia="fr-FR"/>
              </w:rPr>
              <w:t>20%</w:t>
            </w:r>
          </w:p>
        </w:tc>
        <w:tc>
          <w:tcPr>
            <w:tcW w:w="1377" w:type="dxa"/>
            <w:tcBorders>
              <w:top w:val="nil"/>
              <w:left w:val="nil"/>
              <w:bottom w:val="nil"/>
              <w:right w:val="nil"/>
            </w:tcBorders>
            <w:shd w:val="clear" w:color="000000" w:fill="D34B07"/>
            <w:noWrap/>
            <w:hideMark/>
          </w:tcPr>
          <w:p w:rsidR="005C014D" w:rsidRPr="002462E6" w:rsidRDefault="005C014D" w:rsidP="005C014D">
            <w:pPr>
              <w:widowControl w:val="0"/>
              <w:autoSpaceDE w:val="0"/>
              <w:autoSpaceDN w:val="0"/>
              <w:spacing w:after="0" w:line="240" w:lineRule="auto"/>
              <w:jc w:val="right"/>
              <w:rPr>
                <w:rFonts w:ascii="Arial" w:eastAsia="Times New Roman" w:hAnsi="Arial" w:cs="Arial"/>
                <w:color w:val="000000"/>
                <w:sz w:val="18"/>
                <w:szCs w:val="18"/>
                <w:lang w:eastAsia="fr-FR"/>
              </w:rPr>
            </w:pPr>
            <w:r w:rsidRPr="002462E6">
              <w:rPr>
                <w:rFonts w:ascii="Arial" w:eastAsia="Times New Roman" w:hAnsi="Arial" w:cs="Arial"/>
                <w:color w:val="000000"/>
                <w:sz w:val="18"/>
                <w:szCs w:val="18"/>
                <w:lang w:eastAsia="fr-FR"/>
              </w:rPr>
              <w:t>80%</w:t>
            </w:r>
          </w:p>
        </w:tc>
      </w:tr>
      <w:tr w:rsidR="005C014D" w:rsidRPr="002462E6" w:rsidTr="007D633A">
        <w:trPr>
          <w:trHeight w:val="215"/>
        </w:trPr>
        <w:tc>
          <w:tcPr>
            <w:tcW w:w="801" w:type="dxa"/>
            <w:vMerge/>
            <w:tcBorders>
              <w:top w:val="nil"/>
              <w:left w:val="single" w:sz="4" w:space="0" w:color="auto"/>
              <w:bottom w:val="single" w:sz="4" w:space="0" w:color="auto"/>
              <w:right w:val="single" w:sz="4" w:space="0" w:color="auto"/>
            </w:tcBorders>
            <w:vAlign w:val="center"/>
            <w:hideMark/>
          </w:tcPr>
          <w:p w:rsidR="005C014D" w:rsidRPr="002462E6" w:rsidRDefault="005C014D" w:rsidP="005C014D">
            <w:pPr>
              <w:widowControl w:val="0"/>
              <w:autoSpaceDE w:val="0"/>
              <w:autoSpaceDN w:val="0"/>
              <w:spacing w:after="0" w:line="240" w:lineRule="auto"/>
              <w:rPr>
                <w:rFonts w:ascii="Arial" w:eastAsia="Times New Roman" w:hAnsi="Arial" w:cs="Arial"/>
                <w:b/>
                <w:bCs/>
                <w:color w:val="000000"/>
                <w:sz w:val="16"/>
                <w:szCs w:val="16"/>
                <w:lang w:eastAsia="fr-FR"/>
              </w:rPr>
            </w:pPr>
          </w:p>
        </w:tc>
        <w:tc>
          <w:tcPr>
            <w:tcW w:w="907" w:type="dxa"/>
            <w:vMerge/>
            <w:tcBorders>
              <w:top w:val="nil"/>
              <w:left w:val="single" w:sz="4" w:space="0" w:color="auto"/>
              <w:bottom w:val="single" w:sz="4" w:space="0" w:color="auto"/>
              <w:right w:val="single" w:sz="4" w:space="0" w:color="auto"/>
            </w:tcBorders>
            <w:vAlign w:val="center"/>
            <w:hideMark/>
          </w:tcPr>
          <w:p w:rsidR="005C014D" w:rsidRPr="002462E6" w:rsidRDefault="005C014D" w:rsidP="005C014D">
            <w:pPr>
              <w:widowControl w:val="0"/>
              <w:autoSpaceDE w:val="0"/>
              <w:autoSpaceDN w:val="0"/>
              <w:spacing w:after="0" w:line="240" w:lineRule="auto"/>
              <w:rPr>
                <w:rFonts w:ascii="Arial" w:eastAsia="Times New Roman" w:hAnsi="Arial" w:cs="Arial"/>
                <w:color w:val="000000"/>
                <w:sz w:val="16"/>
                <w:szCs w:val="16"/>
                <w:lang w:eastAsia="fr-FR"/>
              </w:rPr>
            </w:pPr>
          </w:p>
        </w:tc>
        <w:tc>
          <w:tcPr>
            <w:tcW w:w="1076" w:type="dxa"/>
            <w:tcBorders>
              <w:top w:val="nil"/>
              <w:left w:val="nil"/>
              <w:bottom w:val="single" w:sz="4" w:space="0" w:color="auto"/>
              <w:right w:val="single" w:sz="4" w:space="0" w:color="auto"/>
            </w:tcBorders>
            <w:shd w:val="clear" w:color="auto" w:fill="auto"/>
            <w:noWrap/>
            <w:vAlign w:val="center"/>
            <w:hideMark/>
          </w:tcPr>
          <w:p w:rsidR="005C014D" w:rsidRPr="00F9749C" w:rsidRDefault="005C014D" w:rsidP="005C014D">
            <w:pPr>
              <w:widowControl w:val="0"/>
              <w:autoSpaceDE w:val="0"/>
              <w:autoSpaceDN w:val="0"/>
              <w:spacing w:after="0" w:line="240" w:lineRule="auto"/>
              <w:rPr>
                <w:rFonts w:ascii="Arial" w:eastAsia="Times New Roman" w:hAnsi="Arial" w:cs="Arial"/>
                <w:color w:val="000000"/>
                <w:sz w:val="18"/>
                <w:szCs w:val="18"/>
                <w:lang w:eastAsia="fr-FR"/>
              </w:rPr>
            </w:pPr>
            <w:r w:rsidRPr="00F9749C">
              <w:rPr>
                <w:rFonts w:ascii="Arial" w:eastAsia="Times New Roman" w:hAnsi="Arial" w:cs="Arial"/>
                <w:color w:val="000000"/>
                <w:sz w:val="18"/>
                <w:szCs w:val="18"/>
                <w:lang w:eastAsia="fr-FR"/>
              </w:rPr>
              <w:t>Oulad Dlim</w:t>
            </w:r>
          </w:p>
        </w:tc>
        <w:tc>
          <w:tcPr>
            <w:tcW w:w="941" w:type="dxa"/>
            <w:tcBorders>
              <w:top w:val="nil"/>
              <w:left w:val="nil"/>
              <w:bottom w:val="nil"/>
              <w:right w:val="nil"/>
            </w:tcBorders>
            <w:shd w:val="clear" w:color="000000" w:fill="D34B07"/>
            <w:noWrap/>
            <w:hideMark/>
          </w:tcPr>
          <w:p w:rsidR="005C014D" w:rsidRPr="002462E6" w:rsidRDefault="005C014D" w:rsidP="005C014D">
            <w:pPr>
              <w:widowControl w:val="0"/>
              <w:autoSpaceDE w:val="0"/>
              <w:autoSpaceDN w:val="0"/>
              <w:spacing w:after="0" w:line="240" w:lineRule="auto"/>
              <w:jc w:val="right"/>
              <w:rPr>
                <w:rFonts w:ascii="Arial" w:eastAsia="Times New Roman" w:hAnsi="Arial" w:cs="Arial"/>
                <w:color w:val="000000"/>
                <w:sz w:val="18"/>
                <w:szCs w:val="18"/>
                <w:lang w:eastAsia="fr-FR"/>
              </w:rPr>
            </w:pPr>
            <w:r w:rsidRPr="002462E6">
              <w:rPr>
                <w:rFonts w:ascii="Arial" w:eastAsia="Times New Roman" w:hAnsi="Arial" w:cs="Arial"/>
                <w:color w:val="000000"/>
                <w:sz w:val="18"/>
                <w:szCs w:val="18"/>
                <w:lang w:eastAsia="fr-FR"/>
              </w:rPr>
              <w:t>100%</w:t>
            </w:r>
          </w:p>
        </w:tc>
        <w:tc>
          <w:tcPr>
            <w:tcW w:w="982" w:type="dxa"/>
            <w:tcBorders>
              <w:top w:val="nil"/>
              <w:left w:val="nil"/>
              <w:bottom w:val="nil"/>
              <w:right w:val="nil"/>
            </w:tcBorders>
            <w:shd w:val="clear" w:color="000000" w:fill="D34B07"/>
            <w:noWrap/>
            <w:hideMark/>
          </w:tcPr>
          <w:p w:rsidR="005C014D" w:rsidRPr="002462E6" w:rsidRDefault="005C014D" w:rsidP="005C014D">
            <w:pPr>
              <w:widowControl w:val="0"/>
              <w:autoSpaceDE w:val="0"/>
              <w:autoSpaceDN w:val="0"/>
              <w:spacing w:after="0" w:line="240" w:lineRule="auto"/>
              <w:jc w:val="right"/>
              <w:rPr>
                <w:rFonts w:ascii="Arial" w:eastAsia="Times New Roman" w:hAnsi="Arial" w:cs="Arial"/>
                <w:color w:val="000000"/>
                <w:sz w:val="18"/>
                <w:szCs w:val="18"/>
                <w:lang w:eastAsia="fr-FR"/>
              </w:rPr>
            </w:pPr>
            <w:r w:rsidRPr="002462E6">
              <w:rPr>
                <w:rFonts w:ascii="Arial" w:eastAsia="Times New Roman" w:hAnsi="Arial" w:cs="Arial"/>
                <w:color w:val="000000"/>
                <w:sz w:val="18"/>
                <w:szCs w:val="18"/>
                <w:lang w:eastAsia="fr-FR"/>
              </w:rPr>
              <w:t>100%</w:t>
            </w:r>
          </w:p>
        </w:tc>
        <w:tc>
          <w:tcPr>
            <w:tcW w:w="712" w:type="dxa"/>
            <w:tcBorders>
              <w:top w:val="nil"/>
              <w:left w:val="single" w:sz="4" w:space="0" w:color="000000"/>
              <w:bottom w:val="nil"/>
              <w:right w:val="single" w:sz="4" w:space="0" w:color="000000"/>
            </w:tcBorders>
            <w:shd w:val="clear" w:color="000000" w:fill="D34B07"/>
            <w:noWrap/>
            <w:hideMark/>
          </w:tcPr>
          <w:p w:rsidR="005C014D" w:rsidRPr="002462E6" w:rsidRDefault="005C014D" w:rsidP="005C014D">
            <w:pPr>
              <w:widowControl w:val="0"/>
              <w:autoSpaceDE w:val="0"/>
              <w:autoSpaceDN w:val="0"/>
              <w:spacing w:after="0" w:line="240" w:lineRule="auto"/>
              <w:jc w:val="right"/>
              <w:rPr>
                <w:rFonts w:ascii="Arial" w:eastAsia="Times New Roman" w:hAnsi="Arial" w:cs="Arial"/>
                <w:color w:val="000000"/>
                <w:sz w:val="18"/>
                <w:szCs w:val="18"/>
                <w:lang w:eastAsia="fr-FR"/>
              </w:rPr>
            </w:pPr>
            <w:r w:rsidRPr="002462E6">
              <w:rPr>
                <w:rFonts w:ascii="Arial" w:eastAsia="Times New Roman" w:hAnsi="Arial" w:cs="Arial"/>
                <w:color w:val="000000"/>
                <w:sz w:val="18"/>
                <w:szCs w:val="18"/>
                <w:lang w:eastAsia="fr-FR"/>
              </w:rPr>
              <w:t>100%</w:t>
            </w:r>
          </w:p>
        </w:tc>
        <w:tc>
          <w:tcPr>
            <w:tcW w:w="813" w:type="dxa"/>
            <w:tcBorders>
              <w:top w:val="nil"/>
              <w:left w:val="nil"/>
              <w:bottom w:val="nil"/>
              <w:right w:val="nil"/>
            </w:tcBorders>
            <w:shd w:val="clear" w:color="000000" w:fill="D34B07"/>
            <w:noWrap/>
            <w:hideMark/>
          </w:tcPr>
          <w:p w:rsidR="005C014D" w:rsidRPr="002462E6" w:rsidRDefault="005C014D" w:rsidP="005C014D">
            <w:pPr>
              <w:widowControl w:val="0"/>
              <w:autoSpaceDE w:val="0"/>
              <w:autoSpaceDN w:val="0"/>
              <w:spacing w:after="0" w:line="240" w:lineRule="auto"/>
              <w:jc w:val="right"/>
              <w:rPr>
                <w:rFonts w:ascii="Arial" w:eastAsia="Times New Roman" w:hAnsi="Arial" w:cs="Arial"/>
                <w:color w:val="000000"/>
                <w:sz w:val="18"/>
                <w:szCs w:val="18"/>
                <w:lang w:eastAsia="fr-FR"/>
              </w:rPr>
            </w:pPr>
            <w:r w:rsidRPr="002462E6">
              <w:rPr>
                <w:rFonts w:ascii="Arial" w:eastAsia="Times New Roman" w:hAnsi="Arial" w:cs="Arial"/>
                <w:color w:val="000000"/>
                <w:sz w:val="18"/>
                <w:szCs w:val="18"/>
                <w:lang w:eastAsia="fr-FR"/>
              </w:rPr>
              <w:t>100%</w:t>
            </w:r>
          </w:p>
        </w:tc>
        <w:tc>
          <w:tcPr>
            <w:tcW w:w="698" w:type="dxa"/>
            <w:tcBorders>
              <w:top w:val="nil"/>
              <w:left w:val="nil"/>
              <w:bottom w:val="nil"/>
              <w:right w:val="nil"/>
            </w:tcBorders>
            <w:shd w:val="clear" w:color="000000" w:fill="D34B07"/>
            <w:noWrap/>
            <w:hideMark/>
          </w:tcPr>
          <w:p w:rsidR="005C014D" w:rsidRPr="002462E6" w:rsidRDefault="005C014D" w:rsidP="005C014D">
            <w:pPr>
              <w:widowControl w:val="0"/>
              <w:autoSpaceDE w:val="0"/>
              <w:autoSpaceDN w:val="0"/>
              <w:spacing w:after="0" w:line="240" w:lineRule="auto"/>
              <w:jc w:val="right"/>
              <w:rPr>
                <w:rFonts w:ascii="Arial" w:eastAsia="Times New Roman" w:hAnsi="Arial" w:cs="Arial"/>
                <w:color w:val="000000"/>
                <w:sz w:val="18"/>
                <w:szCs w:val="18"/>
                <w:lang w:eastAsia="fr-FR"/>
              </w:rPr>
            </w:pPr>
            <w:r w:rsidRPr="002462E6">
              <w:rPr>
                <w:rFonts w:ascii="Arial" w:eastAsia="Times New Roman" w:hAnsi="Arial" w:cs="Arial"/>
                <w:color w:val="000000"/>
                <w:sz w:val="18"/>
                <w:szCs w:val="18"/>
                <w:lang w:eastAsia="fr-FR"/>
              </w:rPr>
              <w:t>100%</w:t>
            </w:r>
          </w:p>
        </w:tc>
        <w:tc>
          <w:tcPr>
            <w:tcW w:w="1186" w:type="dxa"/>
            <w:tcBorders>
              <w:top w:val="nil"/>
              <w:left w:val="nil"/>
              <w:bottom w:val="nil"/>
              <w:right w:val="nil"/>
            </w:tcBorders>
            <w:shd w:val="clear" w:color="000000" w:fill="F4F46C"/>
            <w:noWrap/>
            <w:hideMark/>
          </w:tcPr>
          <w:p w:rsidR="005C014D" w:rsidRPr="002462E6" w:rsidRDefault="005C014D" w:rsidP="005C014D">
            <w:pPr>
              <w:widowControl w:val="0"/>
              <w:autoSpaceDE w:val="0"/>
              <w:autoSpaceDN w:val="0"/>
              <w:spacing w:after="0" w:line="240" w:lineRule="auto"/>
              <w:jc w:val="right"/>
              <w:rPr>
                <w:rFonts w:ascii="Arial" w:eastAsia="Times New Roman" w:hAnsi="Arial" w:cs="Arial"/>
                <w:color w:val="000000"/>
                <w:sz w:val="18"/>
                <w:szCs w:val="18"/>
                <w:lang w:eastAsia="fr-FR"/>
              </w:rPr>
            </w:pPr>
            <w:r w:rsidRPr="002462E6">
              <w:rPr>
                <w:rFonts w:ascii="Arial" w:eastAsia="Times New Roman" w:hAnsi="Arial" w:cs="Arial"/>
                <w:color w:val="000000"/>
                <w:sz w:val="18"/>
                <w:szCs w:val="18"/>
                <w:lang w:eastAsia="fr-FR"/>
              </w:rPr>
              <w:t>40%</w:t>
            </w:r>
          </w:p>
        </w:tc>
        <w:tc>
          <w:tcPr>
            <w:tcW w:w="1377" w:type="dxa"/>
            <w:tcBorders>
              <w:top w:val="nil"/>
              <w:left w:val="nil"/>
              <w:bottom w:val="nil"/>
              <w:right w:val="nil"/>
            </w:tcBorders>
            <w:shd w:val="clear" w:color="000000" w:fill="D34B07"/>
            <w:noWrap/>
            <w:hideMark/>
          </w:tcPr>
          <w:p w:rsidR="005C014D" w:rsidRPr="002462E6" w:rsidRDefault="005C014D" w:rsidP="005C014D">
            <w:pPr>
              <w:widowControl w:val="0"/>
              <w:autoSpaceDE w:val="0"/>
              <w:autoSpaceDN w:val="0"/>
              <w:spacing w:after="0" w:line="240" w:lineRule="auto"/>
              <w:jc w:val="right"/>
              <w:rPr>
                <w:rFonts w:ascii="Arial" w:eastAsia="Times New Roman" w:hAnsi="Arial" w:cs="Arial"/>
                <w:color w:val="000000"/>
                <w:sz w:val="18"/>
                <w:szCs w:val="18"/>
                <w:lang w:eastAsia="fr-FR"/>
              </w:rPr>
            </w:pPr>
            <w:r w:rsidRPr="002462E6">
              <w:rPr>
                <w:rFonts w:ascii="Arial" w:eastAsia="Times New Roman" w:hAnsi="Arial" w:cs="Arial"/>
                <w:color w:val="000000"/>
                <w:sz w:val="18"/>
                <w:szCs w:val="18"/>
                <w:lang w:eastAsia="fr-FR"/>
              </w:rPr>
              <w:t>90%</w:t>
            </w:r>
          </w:p>
        </w:tc>
      </w:tr>
      <w:tr w:rsidR="005C014D" w:rsidRPr="002462E6" w:rsidTr="007D633A">
        <w:trPr>
          <w:trHeight w:val="215"/>
        </w:trPr>
        <w:tc>
          <w:tcPr>
            <w:tcW w:w="801" w:type="dxa"/>
            <w:vMerge/>
            <w:tcBorders>
              <w:top w:val="nil"/>
              <w:left w:val="single" w:sz="4" w:space="0" w:color="auto"/>
              <w:bottom w:val="single" w:sz="4" w:space="0" w:color="auto"/>
              <w:right w:val="single" w:sz="4" w:space="0" w:color="auto"/>
            </w:tcBorders>
            <w:vAlign w:val="center"/>
            <w:hideMark/>
          </w:tcPr>
          <w:p w:rsidR="005C014D" w:rsidRPr="002462E6" w:rsidRDefault="005C014D" w:rsidP="005C014D">
            <w:pPr>
              <w:widowControl w:val="0"/>
              <w:autoSpaceDE w:val="0"/>
              <w:autoSpaceDN w:val="0"/>
              <w:spacing w:after="0" w:line="240" w:lineRule="auto"/>
              <w:rPr>
                <w:rFonts w:ascii="Arial" w:eastAsia="Times New Roman" w:hAnsi="Arial" w:cs="Arial"/>
                <w:b/>
                <w:bCs/>
                <w:color w:val="000000"/>
                <w:sz w:val="16"/>
                <w:szCs w:val="16"/>
                <w:lang w:eastAsia="fr-FR"/>
              </w:rPr>
            </w:pPr>
          </w:p>
        </w:tc>
        <w:tc>
          <w:tcPr>
            <w:tcW w:w="907" w:type="dxa"/>
            <w:vMerge/>
            <w:tcBorders>
              <w:top w:val="nil"/>
              <w:left w:val="single" w:sz="4" w:space="0" w:color="auto"/>
              <w:bottom w:val="single" w:sz="4" w:space="0" w:color="auto"/>
              <w:right w:val="single" w:sz="4" w:space="0" w:color="auto"/>
            </w:tcBorders>
            <w:vAlign w:val="center"/>
            <w:hideMark/>
          </w:tcPr>
          <w:p w:rsidR="005C014D" w:rsidRPr="002462E6" w:rsidRDefault="005C014D" w:rsidP="005C014D">
            <w:pPr>
              <w:widowControl w:val="0"/>
              <w:autoSpaceDE w:val="0"/>
              <w:autoSpaceDN w:val="0"/>
              <w:spacing w:after="0" w:line="240" w:lineRule="auto"/>
              <w:rPr>
                <w:rFonts w:ascii="Arial" w:eastAsia="Times New Roman" w:hAnsi="Arial" w:cs="Arial"/>
                <w:color w:val="000000"/>
                <w:sz w:val="16"/>
                <w:szCs w:val="16"/>
                <w:lang w:eastAsia="fr-FR"/>
              </w:rPr>
            </w:pPr>
          </w:p>
        </w:tc>
        <w:tc>
          <w:tcPr>
            <w:tcW w:w="1076" w:type="dxa"/>
            <w:tcBorders>
              <w:top w:val="nil"/>
              <w:left w:val="nil"/>
              <w:bottom w:val="single" w:sz="4" w:space="0" w:color="auto"/>
              <w:right w:val="single" w:sz="4" w:space="0" w:color="auto"/>
            </w:tcBorders>
            <w:shd w:val="clear" w:color="auto" w:fill="auto"/>
            <w:noWrap/>
            <w:vAlign w:val="center"/>
            <w:hideMark/>
          </w:tcPr>
          <w:p w:rsidR="005C014D" w:rsidRPr="00F9749C" w:rsidRDefault="005C014D" w:rsidP="005C014D">
            <w:pPr>
              <w:widowControl w:val="0"/>
              <w:autoSpaceDE w:val="0"/>
              <w:autoSpaceDN w:val="0"/>
              <w:spacing w:after="0" w:line="240" w:lineRule="auto"/>
              <w:rPr>
                <w:rFonts w:ascii="Arial" w:eastAsia="Times New Roman" w:hAnsi="Arial" w:cs="Arial"/>
                <w:color w:val="000000"/>
                <w:sz w:val="18"/>
                <w:szCs w:val="18"/>
                <w:lang w:eastAsia="fr-FR"/>
              </w:rPr>
            </w:pPr>
            <w:r w:rsidRPr="00F9749C">
              <w:rPr>
                <w:rFonts w:ascii="Arial" w:eastAsia="Times New Roman" w:hAnsi="Arial" w:cs="Arial"/>
                <w:color w:val="000000"/>
                <w:sz w:val="18"/>
                <w:szCs w:val="18"/>
                <w:lang w:eastAsia="fr-FR"/>
              </w:rPr>
              <w:t>Oulad Daoud</w:t>
            </w:r>
          </w:p>
        </w:tc>
        <w:tc>
          <w:tcPr>
            <w:tcW w:w="941" w:type="dxa"/>
            <w:tcBorders>
              <w:top w:val="nil"/>
              <w:left w:val="nil"/>
              <w:bottom w:val="nil"/>
              <w:right w:val="nil"/>
            </w:tcBorders>
            <w:shd w:val="clear" w:color="000000" w:fill="D34B07"/>
            <w:noWrap/>
            <w:hideMark/>
          </w:tcPr>
          <w:p w:rsidR="005C014D" w:rsidRPr="002462E6" w:rsidRDefault="005C014D" w:rsidP="005C014D">
            <w:pPr>
              <w:widowControl w:val="0"/>
              <w:autoSpaceDE w:val="0"/>
              <w:autoSpaceDN w:val="0"/>
              <w:spacing w:after="0" w:line="240" w:lineRule="auto"/>
              <w:jc w:val="right"/>
              <w:rPr>
                <w:rFonts w:ascii="Arial" w:eastAsia="Times New Roman" w:hAnsi="Arial" w:cs="Arial"/>
                <w:color w:val="000000"/>
                <w:sz w:val="18"/>
                <w:szCs w:val="18"/>
                <w:lang w:eastAsia="fr-FR"/>
              </w:rPr>
            </w:pPr>
            <w:r w:rsidRPr="002462E6">
              <w:rPr>
                <w:rFonts w:ascii="Arial" w:eastAsia="Times New Roman" w:hAnsi="Arial" w:cs="Arial"/>
                <w:color w:val="000000"/>
                <w:sz w:val="18"/>
                <w:szCs w:val="18"/>
                <w:lang w:eastAsia="fr-FR"/>
              </w:rPr>
              <w:t>100%</w:t>
            </w:r>
          </w:p>
        </w:tc>
        <w:tc>
          <w:tcPr>
            <w:tcW w:w="982" w:type="dxa"/>
            <w:tcBorders>
              <w:top w:val="nil"/>
              <w:left w:val="nil"/>
              <w:bottom w:val="nil"/>
              <w:right w:val="nil"/>
            </w:tcBorders>
            <w:shd w:val="clear" w:color="000000" w:fill="D34B07"/>
            <w:noWrap/>
            <w:hideMark/>
          </w:tcPr>
          <w:p w:rsidR="005C014D" w:rsidRPr="002462E6" w:rsidRDefault="005C014D" w:rsidP="005C014D">
            <w:pPr>
              <w:widowControl w:val="0"/>
              <w:autoSpaceDE w:val="0"/>
              <w:autoSpaceDN w:val="0"/>
              <w:spacing w:after="0" w:line="240" w:lineRule="auto"/>
              <w:jc w:val="right"/>
              <w:rPr>
                <w:rFonts w:ascii="Arial" w:eastAsia="Times New Roman" w:hAnsi="Arial" w:cs="Arial"/>
                <w:color w:val="000000"/>
                <w:sz w:val="18"/>
                <w:szCs w:val="18"/>
                <w:lang w:eastAsia="fr-FR"/>
              </w:rPr>
            </w:pPr>
            <w:r w:rsidRPr="002462E6">
              <w:rPr>
                <w:rFonts w:ascii="Arial" w:eastAsia="Times New Roman" w:hAnsi="Arial" w:cs="Arial"/>
                <w:color w:val="000000"/>
                <w:sz w:val="18"/>
                <w:szCs w:val="18"/>
                <w:lang w:eastAsia="fr-FR"/>
              </w:rPr>
              <w:t>100%</w:t>
            </w:r>
          </w:p>
        </w:tc>
        <w:tc>
          <w:tcPr>
            <w:tcW w:w="712" w:type="dxa"/>
            <w:tcBorders>
              <w:top w:val="nil"/>
              <w:left w:val="single" w:sz="4" w:space="0" w:color="000000"/>
              <w:bottom w:val="nil"/>
              <w:right w:val="single" w:sz="4" w:space="0" w:color="000000"/>
            </w:tcBorders>
            <w:shd w:val="clear" w:color="000000" w:fill="FFC000"/>
            <w:noWrap/>
            <w:hideMark/>
          </w:tcPr>
          <w:p w:rsidR="005C014D" w:rsidRPr="002462E6" w:rsidRDefault="005C014D" w:rsidP="005C014D">
            <w:pPr>
              <w:widowControl w:val="0"/>
              <w:autoSpaceDE w:val="0"/>
              <w:autoSpaceDN w:val="0"/>
              <w:spacing w:after="0" w:line="240" w:lineRule="auto"/>
              <w:jc w:val="right"/>
              <w:rPr>
                <w:rFonts w:ascii="Arial" w:eastAsia="Times New Roman" w:hAnsi="Arial" w:cs="Arial"/>
                <w:color w:val="000000"/>
                <w:sz w:val="18"/>
                <w:szCs w:val="18"/>
                <w:lang w:eastAsia="fr-FR"/>
              </w:rPr>
            </w:pPr>
            <w:r w:rsidRPr="002462E6">
              <w:rPr>
                <w:rFonts w:ascii="Arial" w:eastAsia="Times New Roman" w:hAnsi="Arial" w:cs="Arial"/>
                <w:color w:val="000000"/>
                <w:sz w:val="18"/>
                <w:szCs w:val="18"/>
                <w:lang w:eastAsia="fr-FR"/>
              </w:rPr>
              <w:t>60%</w:t>
            </w:r>
          </w:p>
        </w:tc>
        <w:tc>
          <w:tcPr>
            <w:tcW w:w="813" w:type="dxa"/>
            <w:tcBorders>
              <w:top w:val="nil"/>
              <w:left w:val="nil"/>
              <w:bottom w:val="nil"/>
              <w:right w:val="nil"/>
            </w:tcBorders>
            <w:shd w:val="clear" w:color="000000" w:fill="D34B07"/>
            <w:noWrap/>
            <w:hideMark/>
          </w:tcPr>
          <w:p w:rsidR="005C014D" w:rsidRPr="002462E6" w:rsidRDefault="005C014D" w:rsidP="005C014D">
            <w:pPr>
              <w:widowControl w:val="0"/>
              <w:autoSpaceDE w:val="0"/>
              <w:autoSpaceDN w:val="0"/>
              <w:spacing w:after="0" w:line="240" w:lineRule="auto"/>
              <w:jc w:val="right"/>
              <w:rPr>
                <w:rFonts w:ascii="Arial" w:eastAsia="Times New Roman" w:hAnsi="Arial" w:cs="Arial"/>
                <w:color w:val="000000"/>
                <w:sz w:val="18"/>
                <w:szCs w:val="18"/>
                <w:lang w:eastAsia="fr-FR"/>
              </w:rPr>
            </w:pPr>
            <w:r w:rsidRPr="002462E6">
              <w:rPr>
                <w:rFonts w:ascii="Arial" w:eastAsia="Times New Roman" w:hAnsi="Arial" w:cs="Arial"/>
                <w:color w:val="000000"/>
                <w:sz w:val="18"/>
                <w:szCs w:val="18"/>
                <w:lang w:eastAsia="fr-FR"/>
              </w:rPr>
              <w:t>100%</w:t>
            </w:r>
          </w:p>
        </w:tc>
        <w:tc>
          <w:tcPr>
            <w:tcW w:w="698" w:type="dxa"/>
            <w:tcBorders>
              <w:top w:val="nil"/>
              <w:left w:val="nil"/>
              <w:bottom w:val="nil"/>
              <w:right w:val="nil"/>
            </w:tcBorders>
            <w:shd w:val="clear" w:color="000000" w:fill="D34B07"/>
            <w:noWrap/>
            <w:hideMark/>
          </w:tcPr>
          <w:p w:rsidR="005C014D" w:rsidRPr="002462E6" w:rsidRDefault="005C014D" w:rsidP="005C014D">
            <w:pPr>
              <w:widowControl w:val="0"/>
              <w:autoSpaceDE w:val="0"/>
              <w:autoSpaceDN w:val="0"/>
              <w:spacing w:after="0" w:line="240" w:lineRule="auto"/>
              <w:jc w:val="right"/>
              <w:rPr>
                <w:rFonts w:ascii="Arial" w:eastAsia="Times New Roman" w:hAnsi="Arial" w:cs="Arial"/>
                <w:color w:val="000000"/>
                <w:sz w:val="18"/>
                <w:szCs w:val="18"/>
                <w:lang w:eastAsia="fr-FR"/>
              </w:rPr>
            </w:pPr>
            <w:r w:rsidRPr="002462E6">
              <w:rPr>
                <w:rFonts w:ascii="Arial" w:eastAsia="Times New Roman" w:hAnsi="Arial" w:cs="Arial"/>
                <w:color w:val="000000"/>
                <w:sz w:val="18"/>
                <w:szCs w:val="18"/>
                <w:lang w:eastAsia="fr-FR"/>
              </w:rPr>
              <w:t>100%</w:t>
            </w:r>
          </w:p>
        </w:tc>
        <w:tc>
          <w:tcPr>
            <w:tcW w:w="1186" w:type="dxa"/>
            <w:tcBorders>
              <w:top w:val="nil"/>
              <w:left w:val="nil"/>
              <w:bottom w:val="nil"/>
              <w:right w:val="nil"/>
            </w:tcBorders>
            <w:shd w:val="clear" w:color="000000" w:fill="F4F46C"/>
            <w:noWrap/>
            <w:hideMark/>
          </w:tcPr>
          <w:p w:rsidR="005C014D" w:rsidRPr="002462E6" w:rsidRDefault="005C014D" w:rsidP="005C014D">
            <w:pPr>
              <w:widowControl w:val="0"/>
              <w:autoSpaceDE w:val="0"/>
              <w:autoSpaceDN w:val="0"/>
              <w:spacing w:after="0" w:line="240" w:lineRule="auto"/>
              <w:jc w:val="right"/>
              <w:rPr>
                <w:rFonts w:ascii="Arial" w:eastAsia="Times New Roman" w:hAnsi="Arial" w:cs="Arial"/>
                <w:color w:val="000000"/>
                <w:sz w:val="18"/>
                <w:szCs w:val="18"/>
                <w:lang w:eastAsia="fr-FR"/>
              </w:rPr>
            </w:pPr>
            <w:r w:rsidRPr="002462E6">
              <w:rPr>
                <w:rFonts w:ascii="Arial" w:eastAsia="Times New Roman" w:hAnsi="Arial" w:cs="Arial"/>
                <w:color w:val="000000"/>
                <w:sz w:val="18"/>
                <w:szCs w:val="18"/>
                <w:lang w:eastAsia="fr-FR"/>
              </w:rPr>
              <w:t>20%</w:t>
            </w:r>
          </w:p>
        </w:tc>
        <w:tc>
          <w:tcPr>
            <w:tcW w:w="1377" w:type="dxa"/>
            <w:tcBorders>
              <w:top w:val="nil"/>
              <w:left w:val="nil"/>
              <w:bottom w:val="nil"/>
              <w:right w:val="nil"/>
            </w:tcBorders>
            <w:shd w:val="clear" w:color="000000" w:fill="D34B07"/>
            <w:noWrap/>
            <w:hideMark/>
          </w:tcPr>
          <w:p w:rsidR="005C014D" w:rsidRPr="002462E6" w:rsidRDefault="005C014D" w:rsidP="005C014D">
            <w:pPr>
              <w:widowControl w:val="0"/>
              <w:autoSpaceDE w:val="0"/>
              <w:autoSpaceDN w:val="0"/>
              <w:spacing w:after="0" w:line="240" w:lineRule="auto"/>
              <w:jc w:val="right"/>
              <w:rPr>
                <w:rFonts w:ascii="Arial" w:eastAsia="Times New Roman" w:hAnsi="Arial" w:cs="Arial"/>
                <w:color w:val="000000"/>
                <w:sz w:val="18"/>
                <w:szCs w:val="18"/>
                <w:lang w:eastAsia="fr-FR"/>
              </w:rPr>
            </w:pPr>
            <w:r w:rsidRPr="002462E6">
              <w:rPr>
                <w:rFonts w:ascii="Arial" w:eastAsia="Times New Roman" w:hAnsi="Arial" w:cs="Arial"/>
                <w:color w:val="000000"/>
                <w:sz w:val="18"/>
                <w:szCs w:val="18"/>
                <w:lang w:eastAsia="fr-FR"/>
              </w:rPr>
              <w:t>80%</w:t>
            </w:r>
          </w:p>
        </w:tc>
      </w:tr>
      <w:tr w:rsidR="005C014D" w:rsidRPr="002462E6" w:rsidTr="007D633A">
        <w:trPr>
          <w:trHeight w:val="215"/>
        </w:trPr>
        <w:tc>
          <w:tcPr>
            <w:tcW w:w="801" w:type="dxa"/>
            <w:vMerge/>
            <w:tcBorders>
              <w:top w:val="nil"/>
              <w:left w:val="single" w:sz="4" w:space="0" w:color="auto"/>
              <w:bottom w:val="single" w:sz="4" w:space="0" w:color="auto"/>
              <w:right w:val="single" w:sz="4" w:space="0" w:color="auto"/>
            </w:tcBorders>
            <w:vAlign w:val="center"/>
            <w:hideMark/>
          </w:tcPr>
          <w:p w:rsidR="005C014D" w:rsidRPr="002462E6" w:rsidRDefault="005C014D" w:rsidP="005C014D">
            <w:pPr>
              <w:widowControl w:val="0"/>
              <w:autoSpaceDE w:val="0"/>
              <w:autoSpaceDN w:val="0"/>
              <w:spacing w:after="0" w:line="240" w:lineRule="auto"/>
              <w:rPr>
                <w:rFonts w:ascii="Arial" w:eastAsia="Times New Roman" w:hAnsi="Arial" w:cs="Arial"/>
                <w:b/>
                <w:bCs/>
                <w:color w:val="000000"/>
                <w:sz w:val="16"/>
                <w:szCs w:val="16"/>
                <w:lang w:eastAsia="fr-FR"/>
              </w:rPr>
            </w:pPr>
          </w:p>
        </w:tc>
        <w:tc>
          <w:tcPr>
            <w:tcW w:w="907" w:type="dxa"/>
            <w:vMerge/>
            <w:tcBorders>
              <w:top w:val="nil"/>
              <w:left w:val="single" w:sz="4" w:space="0" w:color="auto"/>
              <w:bottom w:val="single" w:sz="4" w:space="0" w:color="auto"/>
              <w:right w:val="single" w:sz="4" w:space="0" w:color="auto"/>
            </w:tcBorders>
            <w:vAlign w:val="center"/>
            <w:hideMark/>
          </w:tcPr>
          <w:p w:rsidR="005C014D" w:rsidRPr="002462E6" w:rsidRDefault="005C014D" w:rsidP="005C014D">
            <w:pPr>
              <w:widowControl w:val="0"/>
              <w:autoSpaceDE w:val="0"/>
              <w:autoSpaceDN w:val="0"/>
              <w:spacing w:after="0" w:line="240" w:lineRule="auto"/>
              <w:rPr>
                <w:rFonts w:ascii="Arial" w:eastAsia="Times New Roman" w:hAnsi="Arial" w:cs="Arial"/>
                <w:color w:val="000000"/>
                <w:sz w:val="16"/>
                <w:szCs w:val="16"/>
                <w:lang w:eastAsia="fr-FR"/>
              </w:rPr>
            </w:pPr>
          </w:p>
        </w:tc>
        <w:tc>
          <w:tcPr>
            <w:tcW w:w="1076" w:type="dxa"/>
            <w:tcBorders>
              <w:top w:val="nil"/>
              <w:left w:val="nil"/>
              <w:bottom w:val="single" w:sz="4" w:space="0" w:color="auto"/>
              <w:right w:val="single" w:sz="4" w:space="0" w:color="auto"/>
            </w:tcBorders>
            <w:shd w:val="clear" w:color="auto" w:fill="auto"/>
            <w:noWrap/>
            <w:vAlign w:val="center"/>
            <w:hideMark/>
          </w:tcPr>
          <w:p w:rsidR="005C014D" w:rsidRPr="00F9749C" w:rsidRDefault="005C014D" w:rsidP="005C014D">
            <w:pPr>
              <w:widowControl w:val="0"/>
              <w:autoSpaceDE w:val="0"/>
              <w:autoSpaceDN w:val="0"/>
              <w:spacing w:after="0" w:line="240" w:lineRule="auto"/>
              <w:rPr>
                <w:rFonts w:ascii="Arial" w:eastAsia="Times New Roman" w:hAnsi="Arial" w:cs="Arial"/>
                <w:color w:val="000000"/>
                <w:sz w:val="18"/>
                <w:szCs w:val="18"/>
                <w:lang w:eastAsia="fr-FR"/>
              </w:rPr>
            </w:pPr>
            <w:r w:rsidRPr="00F9749C">
              <w:rPr>
                <w:rFonts w:ascii="Arial" w:eastAsia="Times New Roman" w:hAnsi="Arial" w:cs="Arial"/>
                <w:color w:val="000000"/>
                <w:sz w:val="18"/>
                <w:szCs w:val="18"/>
                <w:lang w:eastAsia="fr-FR"/>
              </w:rPr>
              <w:t>Lâarâara</w:t>
            </w:r>
          </w:p>
        </w:tc>
        <w:tc>
          <w:tcPr>
            <w:tcW w:w="941" w:type="dxa"/>
            <w:tcBorders>
              <w:top w:val="nil"/>
              <w:left w:val="nil"/>
              <w:bottom w:val="nil"/>
              <w:right w:val="nil"/>
            </w:tcBorders>
            <w:shd w:val="clear" w:color="000000" w:fill="D34B07"/>
            <w:noWrap/>
            <w:hideMark/>
          </w:tcPr>
          <w:p w:rsidR="005C014D" w:rsidRPr="002462E6" w:rsidRDefault="005C014D" w:rsidP="005C014D">
            <w:pPr>
              <w:widowControl w:val="0"/>
              <w:autoSpaceDE w:val="0"/>
              <w:autoSpaceDN w:val="0"/>
              <w:spacing w:after="0" w:line="240" w:lineRule="auto"/>
              <w:jc w:val="right"/>
              <w:rPr>
                <w:rFonts w:ascii="Arial" w:eastAsia="Times New Roman" w:hAnsi="Arial" w:cs="Arial"/>
                <w:color w:val="000000"/>
                <w:sz w:val="18"/>
                <w:szCs w:val="18"/>
                <w:lang w:eastAsia="fr-FR"/>
              </w:rPr>
            </w:pPr>
            <w:r w:rsidRPr="002462E6">
              <w:rPr>
                <w:rFonts w:ascii="Arial" w:eastAsia="Times New Roman" w:hAnsi="Arial" w:cs="Arial"/>
                <w:color w:val="000000"/>
                <w:sz w:val="18"/>
                <w:szCs w:val="18"/>
                <w:lang w:eastAsia="fr-FR"/>
              </w:rPr>
              <w:t>100%</w:t>
            </w:r>
          </w:p>
        </w:tc>
        <w:tc>
          <w:tcPr>
            <w:tcW w:w="982" w:type="dxa"/>
            <w:tcBorders>
              <w:top w:val="nil"/>
              <w:left w:val="nil"/>
              <w:bottom w:val="nil"/>
              <w:right w:val="nil"/>
            </w:tcBorders>
            <w:shd w:val="clear" w:color="000000" w:fill="D34B07"/>
            <w:noWrap/>
            <w:hideMark/>
          </w:tcPr>
          <w:p w:rsidR="005C014D" w:rsidRPr="002462E6" w:rsidRDefault="005C014D" w:rsidP="005C014D">
            <w:pPr>
              <w:widowControl w:val="0"/>
              <w:autoSpaceDE w:val="0"/>
              <w:autoSpaceDN w:val="0"/>
              <w:spacing w:after="0" w:line="240" w:lineRule="auto"/>
              <w:jc w:val="right"/>
              <w:rPr>
                <w:rFonts w:ascii="Arial" w:eastAsia="Times New Roman" w:hAnsi="Arial" w:cs="Arial"/>
                <w:color w:val="000000"/>
                <w:sz w:val="18"/>
                <w:szCs w:val="18"/>
                <w:lang w:eastAsia="fr-FR"/>
              </w:rPr>
            </w:pPr>
            <w:r w:rsidRPr="002462E6">
              <w:rPr>
                <w:rFonts w:ascii="Arial" w:eastAsia="Times New Roman" w:hAnsi="Arial" w:cs="Arial"/>
                <w:color w:val="000000"/>
                <w:sz w:val="18"/>
                <w:szCs w:val="18"/>
                <w:lang w:eastAsia="fr-FR"/>
              </w:rPr>
              <w:t>100%</w:t>
            </w:r>
          </w:p>
        </w:tc>
        <w:tc>
          <w:tcPr>
            <w:tcW w:w="712" w:type="dxa"/>
            <w:tcBorders>
              <w:top w:val="nil"/>
              <w:left w:val="single" w:sz="4" w:space="0" w:color="000000"/>
              <w:bottom w:val="nil"/>
              <w:right w:val="single" w:sz="4" w:space="0" w:color="000000"/>
            </w:tcBorders>
            <w:shd w:val="clear" w:color="000000" w:fill="FFC000"/>
            <w:noWrap/>
            <w:hideMark/>
          </w:tcPr>
          <w:p w:rsidR="005C014D" w:rsidRPr="002462E6" w:rsidRDefault="005C014D" w:rsidP="005C014D">
            <w:pPr>
              <w:widowControl w:val="0"/>
              <w:autoSpaceDE w:val="0"/>
              <w:autoSpaceDN w:val="0"/>
              <w:spacing w:after="0" w:line="240" w:lineRule="auto"/>
              <w:jc w:val="right"/>
              <w:rPr>
                <w:rFonts w:ascii="Arial" w:eastAsia="Times New Roman" w:hAnsi="Arial" w:cs="Arial"/>
                <w:color w:val="000000"/>
                <w:sz w:val="18"/>
                <w:szCs w:val="18"/>
                <w:lang w:eastAsia="fr-FR"/>
              </w:rPr>
            </w:pPr>
            <w:r w:rsidRPr="002462E6">
              <w:rPr>
                <w:rFonts w:ascii="Arial" w:eastAsia="Times New Roman" w:hAnsi="Arial" w:cs="Arial"/>
                <w:color w:val="000000"/>
                <w:sz w:val="18"/>
                <w:szCs w:val="18"/>
                <w:lang w:eastAsia="fr-FR"/>
              </w:rPr>
              <w:t>60%</w:t>
            </w:r>
          </w:p>
        </w:tc>
        <w:tc>
          <w:tcPr>
            <w:tcW w:w="813" w:type="dxa"/>
            <w:tcBorders>
              <w:top w:val="nil"/>
              <w:left w:val="nil"/>
              <w:bottom w:val="nil"/>
              <w:right w:val="nil"/>
            </w:tcBorders>
            <w:shd w:val="clear" w:color="000000" w:fill="D34B07"/>
            <w:noWrap/>
            <w:hideMark/>
          </w:tcPr>
          <w:p w:rsidR="005C014D" w:rsidRPr="002462E6" w:rsidRDefault="005C014D" w:rsidP="005C014D">
            <w:pPr>
              <w:widowControl w:val="0"/>
              <w:autoSpaceDE w:val="0"/>
              <w:autoSpaceDN w:val="0"/>
              <w:spacing w:after="0" w:line="240" w:lineRule="auto"/>
              <w:jc w:val="right"/>
              <w:rPr>
                <w:rFonts w:ascii="Arial" w:eastAsia="Times New Roman" w:hAnsi="Arial" w:cs="Arial"/>
                <w:color w:val="000000"/>
                <w:sz w:val="18"/>
                <w:szCs w:val="18"/>
                <w:lang w:eastAsia="fr-FR"/>
              </w:rPr>
            </w:pPr>
            <w:r w:rsidRPr="002462E6">
              <w:rPr>
                <w:rFonts w:ascii="Arial" w:eastAsia="Times New Roman" w:hAnsi="Arial" w:cs="Arial"/>
                <w:color w:val="000000"/>
                <w:sz w:val="18"/>
                <w:szCs w:val="18"/>
                <w:lang w:eastAsia="fr-FR"/>
              </w:rPr>
              <w:t>100%</w:t>
            </w:r>
          </w:p>
        </w:tc>
        <w:tc>
          <w:tcPr>
            <w:tcW w:w="698" w:type="dxa"/>
            <w:tcBorders>
              <w:top w:val="nil"/>
              <w:left w:val="nil"/>
              <w:bottom w:val="nil"/>
              <w:right w:val="nil"/>
            </w:tcBorders>
            <w:shd w:val="clear" w:color="000000" w:fill="F4F46C"/>
            <w:noWrap/>
            <w:hideMark/>
          </w:tcPr>
          <w:p w:rsidR="005C014D" w:rsidRPr="002462E6" w:rsidRDefault="005C014D" w:rsidP="005C014D">
            <w:pPr>
              <w:widowControl w:val="0"/>
              <w:autoSpaceDE w:val="0"/>
              <w:autoSpaceDN w:val="0"/>
              <w:spacing w:after="0" w:line="240" w:lineRule="auto"/>
              <w:jc w:val="right"/>
              <w:rPr>
                <w:rFonts w:ascii="Arial" w:eastAsia="Times New Roman" w:hAnsi="Arial" w:cs="Arial"/>
                <w:color w:val="000000"/>
                <w:sz w:val="18"/>
                <w:szCs w:val="18"/>
                <w:lang w:eastAsia="fr-FR"/>
              </w:rPr>
            </w:pPr>
            <w:r w:rsidRPr="002462E6">
              <w:rPr>
                <w:rFonts w:ascii="Arial" w:eastAsia="Times New Roman" w:hAnsi="Arial" w:cs="Arial"/>
                <w:color w:val="000000"/>
                <w:sz w:val="18"/>
                <w:szCs w:val="18"/>
                <w:lang w:eastAsia="fr-FR"/>
              </w:rPr>
              <w:t>0%</w:t>
            </w:r>
          </w:p>
        </w:tc>
        <w:tc>
          <w:tcPr>
            <w:tcW w:w="1186" w:type="dxa"/>
            <w:tcBorders>
              <w:top w:val="nil"/>
              <w:left w:val="nil"/>
              <w:bottom w:val="nil"/>
              <w:right w:val="nil"/>
            </w:tcBorders>
            <w:shd w:val="clear" w:color="000000" w:fill="F4F46C"/>
            <w:noWrap/>
            <w:hideMark/>
          </w:tcPr>
          <w:p w:rsidR="005C014D" w:rsidRPr="002462E6" w:rsidRDefault="005C014D" w:rsidP="005C014D">
            <w:pPr>
              <w:widowControl w:val="0"/>
              <w:autoSpaceDE w:val="0"/>
              <w:autoSpaceDN w:val="0"/>
              <w:spacing w:after="0" w:line="240" w:lineRule="auto"/>
              <w:jc w:val="right"/>
              <w:rPr>
                <w:rFonts w:ascii="Arial" w:eastAsia="Times New Roman" w:hAnsi="Arial" w:cs="Arial"/>
                <w:color w:val="000000"/>
                <w:sz w:val="18"/>
                <w:szCs w:val="18"/>
                <w:lang w:eastAsia="fr-FR"/>
              </w:rPr>
            </w:pPr>
            <w:r w:rsidRPr="002462E6">
              <w:rPr>
                <w:rFonts w:ascii="Arial" w:eastAsia="Times New Roman" w:hAnsi="Arial" w:cs="Arial"/>
                <w:color w:val="000000"/>
                <w:sz w:val="18"/>
                <w:szCs w:val="18"/>
                <w:lang w:eastAsia="fr-FR"/>
              </w:rPr>
              <w:t>0%</w:t>
            </w:r>
          </w:p>
        </w:tc>
        <w:tc>
          <w:tcPr>
            <w:tcW w:w="1377" w:type="dxa"/>
            <w:tcBorders>
              <w:top w:val="nil"/>
              <w:left w:val="nil"/>
              <w:bottom w:val="nil"/>
              <w:right w:val="nil"/>
            </w:tcBorders>
            <w:shd w:val="clear" w:color="000000" w:fill="FFC000"/>
            <w:noWrap/>
            <w:hideMark/>
          </w:tcPr>
          <w:p w:rsidR="005C014D" w:rsidRPr="002462E6" w:rsidRDefault="005C014D" w:rsidP="005C014D">
            <w:pPr>
              <w:widowControl w:val="0"/>
              <w:autoSpaceDE w:val="0"/>
              <w:autoSpaceDN w:val="0"/>
              <w:spacing w:after="0" w:line="240" w:lineRule="auto"/>
              <w:jc w:val="right"/>
              <w:rPr>
                <w:rFonts w:ascii="Arial" w:eastAsia="Times New Roman" w:hAnsi="Arial" w:cs="Arial"/>
                <w:color w:val="000000"/>
                <w:sz w:val="18"/>
                <w:szCs w:val="18"/>
                <w:lang w:eastAsia="fr-FR"/>
              </w:rPr>
            </w:pPr>
            <w:r w:rsidRPr="002462E6">
              <w:rPr>
                <w:rFonts w:ascii="Arial" w:eastAsia="Times New Roman" w:hAnsi="Arial" w:cs="Arial"/>
                <w:color w:val="000000"/>
                <w:sz w:val="18"/>
                <w:szCs w:val="18"/>
                <w:lang w:eastAsia="fr-FR"/>
              </w:rPr>
              <w:t>60%</w:t>
            </w:r>
          </w:p>
        </w:tc>
      </w:tr>
      <w:tr w:rsidR="005C014D" w:rsidRPr="002462E6" w:rsidTr="007D633A">
        <w:trPr>
          <w:trHeight w:val="215"/>
        </w:trPr>
        <w:tc>
          <w:tcPr>
            <w:tcW w:w="801" w:type="dxa"/>
            <w:vMerge/>
            <w:tcBorders>
              <w:top w:val="nil"/>
              <w:left w:val="single" w:sz="4" w:space="0" w:color="auto"/>
              <w:bottom w:val="single" w:sz="4" w:space="0" w:color="auto"/>
              <w:right w:val="single" w:sz="4" w:space="0" w:color="auto"/>
            </w:tcBorders>
            <w:vAlign w:val="center"/>
            <w:hideMark/>
          </w:tcPr>
          <w:p w:rsidR="005C014D" w:rsidRPr="002462E6" w:rsidRDefault="005C014D" w:rsidP="005C014D">
            <w:pPr>
              <w:widowControl w:val="0"/>
              <w:autoSpaceDE w:val="0"/>
              <w:autoSpaceDN w:val="0"/>
              <w:spacing w:after="0" w:line="240" w:lineRule="auto"/>
              <w:rPr>
                <w:rFonts w:ascii="Arial" w:eastAsia="Times New Roman" w:hAnsi="Arial" w:cs="Arial"/>
                <w:b/>
                <w:bCs/>
                <w:color w:val="000000"/>
                <w:sz w:val="16"/>
                <w:szCs w:val="16"/>
                <w:lang w:eastAsia="fr-FR"/>
              </w:rPr>
            </w:pPr>
          </w:p>
        </w:tc>
        <w:tc>
          <w:tcPr>
            <w:tcW w:w="907" w:type="dxa"/>
            <w:vMerge/>
            <w:tcBorders>
              <w:top w:val="nil"/>
              <w:left w:val="single" w:sz="4" w:space="0" w:color="auto"/>
              <w:bottom w:val="single" w:sz="4" w:space="0" w:color="auto"/>
              <w:right w:val="single" w:sz="4" w:space="0" w:color="auto"/>
            </w:tcBorders>
            <w:vAlign w:val="center"/>
            <w:hideMark/>
          </w:tcPr>
          <w:p w:rsidR="005C014D" w:rsidRPr="002462E6" w:rsidRDefault="005C014D" w:rsidP="005C014D">
            <w:pPr>
              <w:widowControl w:val="0"/>
              <w:autoSpaceDE w:val="0"/>
              <w:autoSpaceDN w:val="0"/>
              <w:spacing w:after="0" w:line="240" w:lineRule="auto"/>
              <w:rPr>
                <w:rFonts w:ascii="Arial" w:eastAsia="Times New Roman" w:hAnsi="Arial" w:cs="Arial"/>
                <w:color w:val="000000"/>
                <w:sz w:val="16"/>
                <w:szCs w:val="16"/>
                <w:lang w:eastAsia="fr-FR"/>
              </w:rPr>
            </w:pPr>
          </w:p>
        </w:tc>
        <w:tc>
          <w:tcPr>
            <w:tcW w:w="1076" w:type="dxa"/>
            <w:tcBorders>
              <w:top w:val="nil"/>
              <w:left w:val="nil"/>
              <w:bottom w:val="single" w:sz="4" w:space="0" w:color="auto"/>
              <w:right w:val="single" w:sz="4" w:space="0" w:color="auto"/>
            </w:tcBorders>
            <w:shd w:val="clear" w:color="auto" w:fill="auto"/>
            <w:noWrap/>
            <w:vAlign w:val="center"/>
            <w:hideMark/>
          </w:tcPr>
          <w:p w:rsidR="005C014D" w:rsidRPr="00F9749C" w:rsidRDefault="005C014D" w:rsidP="005C014D">
            <w:pPr>
              <w:widowControl w:val="0"/>
              <w:autoSpaceDE w:val="0"/>
              <w:autoSpaceDN w:val="0"/>
              <w:spacing w:after="0" w:line="240" w:lineRule="auto"/>
              <w:rPr>
                <w:rFonts w:ascii="Arial" w:eastAsia="Times New Roman" w:hAnsi="Arial" w:cs="Arial"/>
                <w:color w:val="000000"/>
                <w:sz w:val="18"/>
                <w:szCs w:val="18"/>
                <w:lang w:eastAsia="fr-FR"/>
              </w:rPr>
            </w:pPr>
            <w:r w:rsidRPr="00F9749C">
              <w:rPr>
                <w:rFonts w:ascii="Arial" w:eastAsia="Times New Roman" w:hAnsi="Arial" w:cs="Arial"/>
                <w:color w:val="000000"/>
                <w:sz w:val="18"/>
                <w:szCs w:val="18"/>
                <w:lang w:eastAsia="fr-FR"/>
              </w:rPr>
              <w:t>Elklâa</w:t>
            </w:r>
          </w:p>
        </w:tc>
        <w:tc>
          <w:tcPr>
            <w:tcW w:w="941" w:type="dxa"/>
            <w:tcBorders>
              <w:top w:val="nil"/>
              <w:left w:val="nil"/>
              <w:bottom w:val="nil"/>
              <w:right w:val="nil"/>
            </w:tcBorders>
            <w:shd w:val="clear" w:color="000000" w:fill="D34B07"/>
            <w:noWrap/>
            <w:hideMark/>
          </w:tcPr>
          <w:p w:rsidR="005C014D" w:rsidRPr="002462E6" w:rsidRDefault="005C014D" w:rsidP="005C014D">
            <w:pPr>
              <w:widowControl w:val="0"/>
              <w:autoSpaceDE w:val="0"/>
              <w:autoSpaceDN w:val="0"/>
              <w:spacing w:after="0" w:line="240" w:lineRule="auto"/>
              <w:jc w:val="right"/>
              <w:rPr>
                <w:rFonts w:ascii="Arial" w:eastAsia="Times New Roman" w:hAnsi="Arial" w:cs="Arial"/>
                <w:color w:val="000000"/>
                <w:sz w:val="18"/>
                <w:szCs w:val="18"/>
                <w:lang w:eastAsia="fr-FR"/>
              </w:rPr>
            </w:pPr>
            <w:r w:rsidRPr="002462E6">
              <w:rPr>
                <w:rFonts w:ascii="Arial" w:eastAsia="Times New Roman" w:hAnsi="Arial" w:cs="Arial"/>
                <w:color w:val="000000"/>
                <w:sz w:val="18"/>
                <w:szCs w:val="18"/>
                <w:lang w:eastAsia="fr-FR"/>
              </w:rPr>
              <w:t>100%</w:t>
            </w:r>
          </w:p>
        </w:tc>
        <w:tc>
          <w:tcPr>
            <w:tcW w:w="982" w:type="dxa"/>
            <w:tcBorders>
              <w:top w:val="nil"/>
              <w:left w:val="nil"/>
              <w:bottom w:val="nil"/>
              <w:right w:val="nil"/>
            </w:tcBorders>
            <w:shd w:val="clear" w:color="000000" w:fill="D34B07"/>
            <w:noWrap/>
            <w:hideMark/>
          </w:tcPr>
          <w:p w:rsidR="005C014D" w:rsidRPr="002462E6" w:rsidRDefault="005C014D" w:rsidP="005C014D">
            <w:pPr>
              <w:widowControl w:val="0"/>
              <w:autoSpaceDE w:val="0"/>
              <w:autoSpaceDN w:val="0"/>
              <w:spacing w:after="0" w:line="240" w:lineRule="auto"/>
              <w:jc w:val="right"/>
              <w:rPr>
                <w:rFonts w:ascii="Arial" w:eastAsia="Times New Roman" w:hAnsi="Arial" w:cs="Arial"/>
                <w:color w:val="000000"/>
                <w:sz w:val="18"/>
                <w:szCs w:val="18"/>
                <w:lang w:eastAsia="fr-FR"/>
              </w:rPr>
            </w:pPr>
            <w:r w:rsidRPr="002462E6">
              <w:rPr>
                <w:rFonts w:ascii="Arial" w:eastAsia="Times New Roman" w:hAnsi="Arial" w:cs="Arial"/>
                <w:color w:val="000000"/>
                <w:sz w:val="18"/>
                <w:szCs w:val="18"/>
                <w:lang w:eastAsia="fr-FR"/>
              </w:rPr>
              <w:t>100%</w:t>
            </w:r>
          </w:p>
        </w:tc>
        <w:tc>
          <w:tcPr>
            <w:tcW w:w="712" w:type="dxa"/>
            <w:tcBorders>
              <w:top w:val="nil"/>
              <w:left w:val="single" w:sz="4" w:space="0" w:color="000000"/>
              <w:bottom w:val="nil"/>
              <w:right w:val="single" w:sz="4" w:space="0" w:color="000000"/>
            </w:tcBorders>
            <w:shd w:val="clear" w:color="000000" w:fill="D34B07"/>
            <w:noWrap/>
            <w:hideMark/>
          </w:tcPr>
          <w:p w:rsidR="005C014D" w:rsidRPr="002462E6" w:rsidRDefault="005C014D" w:rsidP="005C014D">
            <w:pPr>
              <w:widowControl w:val="0"/>
              <w:autoSpaceDE w:val="0"/>
              <w:autoSpaceDN w:val="0"/>
              <w:spacing w:after="0" w:line="240" w:lineRule="auto"/>
              <w:jc w:val="right"/>
              <w:rPr>
                <w:rFonts w:ascii="Arial" w:eastAsia="Times New Roman" w:hAnsi="Arial" w:cs="Arial"/>
                <w:color w:val="000000"/>
                <w:sz w:val="18"/>
                <w:szCs w:val="18"/>
                <w:lang w:eastAsia="fr-FR"/>
              </w:rPr>
            </w:pPr>
            <w:r w:rsidRPr="002462E6">
              <w:rPr>
                <w:rFonts w:ascii="Arial" w:eastAsia="Times New Roman" w:hAnsi="Arial" w:cs="Arial"/>
                <w:color w:val="000000"/>
                <w:sz w:val="18"/>
                <w:szCs w:val="18"/>
                <w:lang w:eastAsia="fr-FR"/>
              </w:rPr>
              <w:t>80%</w:t>
            </w:r>
          </w:p>
        </w:tc>
        <w:tc>
          <w:tcPr>
            <w:tcW w:w="813" w:type="dxa"/>
            <w:tcBorders>
              <w:top w:val="nil"/>
              <w:left w:val="nil"/>
              <w:bottom w:val="nil"/>
              <w:right w:val="nil"/>
            </w:tcBorders>
            <w:shd w:val="clear" w:color="000000" w:fill="D34B07"/>
            <w:noWrap/>
            <w:hideMark/>
          </w:tcPr>
          <w:p w:rsidR="005C014D" w:rsidRPr="002462E6" w:rsidRDefault="005C014D" w:rsidP="005C014D">
            <w:pPr>
              <w:widowControl w:val="0"/>
              <w:autoSpaceDE w:val="0"/>
              <w:autoSpaceDN w:val="0"/>
              <w:spacing w:after="0" w:line="240" w:lineRule="auto"/>
              <w:jc w:val="right"/>
              <w:rPr>
                <w:rFonts w:ascii="Arial" w:eastAsia="Times New Roman" w:hAnsi="Arial" w:cs="Arial"/>
                <w:color w:val="000000"/>
                <w:sz w:val="18"/>
                <w:szCs w:val="18"/>
                <w:lang w:eastAsia="fr-FR"/>
              </w:rPr>
            </w:pPr>
            <w:r w:rsidRPr="002462E6">
              <w:rPr>
                <w:rFonts w:ascii="Arial" w:eastAsia="Times New Roman" w:hAnsi="Arial" w:cs="Arial"/>
                <w:color w:val="000000"/>
                <w:sz w:val="18"/>
                <w:szCs w:val="18"/>
                <w:lang w:eastAsia="fr-FR"/>
              </w:rPr>
              <w:t>100%</w:t>
            </w:r>
          </w:p>
        </w:tc>
        <w:tc>
          <w:tcPr>
            <w:tcW w:w="698" w:type="dxa"/>
            <w:tcBorders>
              <w:top w:val="nil"/>
              <w:left w:val="nil"/>
              <w:bottom w:val="nil"/>
              <w:right w:val="nil"/>
            </w:tcBorders>
            <w:shd w:val="clear" w:color="000000" w:fill="FFC000"/>
            <w:noWrap/>
            <w:hideMark/>
          </w:tcPr>
          <w:p w:rsidR="005C014D" w:rsidRPr="002462E6" w:rsidRDefault="005C014D" w:rsidP="005C014D">
            <w:pPr>
              <w:widowControl w:val="0"/>
              <w:autoSpaceDE w:val="0"/>
              <w:autoSpaceDN w:val="0"/>
              <w:spacing w:after="0" w:line="240" w:lineRule="auto"/>
              <w:jc w:val="right"/>
              <w:rPr>
                <w:rFonts w:ascii="Arial" w:eastAsia="Times New Roman" w:hAnsi="Arial" w:cs="Arial"/>
                <w:color w:val="000000"/>
                <w:sz w:val="18"/>
                <w:szCs w:val="18"/>
                <w:lang w:eastAsia="fr-FR"/>
              </w:rPr>
            </w:pPr>
            <w:r w:rsidRPr="002462E6">
              <w:rPr>
                <w:rFonts w:ascii="Arial" w:eastAsia="Times New Roman" w:hAnsi="Arial" w:cs="Arial"/>
                <w:color w:val="000000"/>
                <w:sz w:val="18"/>
                <w:szCs w:val="18"/>
                <w:lang w:eastAsia="fr-FR"/>
              </w:rPr>
              <w:t>60%</w:t>
            </w:r>
          </w:p>
        </w:tc>
        <w:tc>
          <w:tcPr>
            <w:tcW w:w="1186" w:type="dxa"/>
            <w:tcBorders>
              <w:top w:val="nil"/>
              <w:left w:val="nil"/>
              <w:bottom w:val="nil"/>
              <w:right w:val="nil"/>
            </w:tcBorders>
            <w:shd w:val="clear" w:color="000000" w:fill="F4F46C"/>
            <w:noWrap/>
            <w:hideMark/>
          </w:tcPr>
          <w:p w:rsidR="005C014D" w:rsidRPr="002462E6" w:rsidRDefault="005C014D" w:rsidP="005C014D">
            <w:pPr>
              <w:widowControl w:val="0"/>
              <w:autoSpaceDE w:val="0"/>
              <w:autoSpaceDN w:val="0"/>
              <w:spacing w:after="0" w:line="240" w:lineRule="auto"/>
              <w:jc w:val="right"/>
              <w:rPr>
                <w:rFonts w:ascii="Arial" w:eastAsia="Times New Roman" w:hAnsi="Arial" w:cs="Arial"/>
                <w:color w:val="000000"/>
                <w:sz w:val="18"/>
                <w:szCs w:val="18"/>
                <w:lang w:eastAsia="fr-FR"/>
              </w:rPr>
            </w:pPr>
            <w:r w:rsidRPr="002462E6">
              <w:rPr>
                <w:rFonts w:ascii="Arial" w:eastAsia="Times New Roman" w:hAnsi="Arial" w:cs="Arial"/>
                <w:color w:val="000000"/>
                <w:sz w:val="18"/>
                <w:szCs w:val="18"/>
                <w:lang w:eastAsia="fr-FR"/>
              </w:rPr>
              <w:t>20%</w:t>
            </w:r>
          </w:p>
        </w:tc>
        <w:tc>
          <w:tcPr>
            <w:tcW w:w="1377" w:type="dxa"/>
            <w:tcBorders>
              <w:top w:val="nil"/>
              <w:left w:val="nil"/>
              <w:bottom w:val="nil"/>
              <w:right w:val="nil"/>
            </w:tcBorders>
            <w:shd w:val="clear" w:color="000000" w:fill="D34B07"/>
            <w:noWrap/>
            <w:hideMark/>
          </w:tcPr>
          <w:p w:rsidR="005C014D" w:rsidRPr="002462E6" w:rsidRDefault="005C014D" w:rsidP="005C014D">
            <w:pPr>
              <w:widowControl w:val="0"/>
              <w:autoSpaceDE w:val="0"/>
              <w:autoSpaceDN w:val="0"/>
              <w:spacing w:after="0" w:line="240" w:lineRule="auto"/>
              <w:jc w:val="right"/>
              <w:rPr>
                <w:rFonts w:ascii="Arial" w:eastAsia="Times New Roman" w:hAnsi="Arial" w:cs="Arial"/>
                <w:color w:val="000000"/>
                <w:sz w:val="18"/>
                <w:szCs w:val="18"/>
                <w:lang w:eastAsia="fr-FR"/>
              </w:rPr>
            </w:pPr>
            <w:r w:rsidRPr="002462E6">
              <w:rPr>
                <w:rFonts w:ascii="Arial" w:eastAsia="Times New Roman" w:hAnsi="Arial" w:cs="Arial"/>
                <w:color w:val="000000"/>
                <w:sz w:val="18"/>
                <w:szCs w:val="18"/>
                <w:lang w:eastAsia="fr-FR"/>
              </w:rPr>
              <w:t>77%</w:t>
            </w:r>
          </w:p>
        </w:tc>
      </w:tr>
      <w:tr w:rsidR="005C014D" w:rsidRPr="002462E6" w:rsidTr="007D633A">
        <w:trPr>
          <w:trHeight w:val="215"/>
        </w:trPr>
        <w:tc>
          <w:tcPr>
            <w:tcW w:w="801" w:type="dxa"/>
            <w:vMerge/>
            <w:tcBorders>
              <w:top w:val="nil"/>
              <w:left w:val="single" w:sz="4" w:space="0" w:color="auto"/>
              <w:bottom w:val="single" w:sz="4" w:space="0" w:color="auto"/>
              <w:right w:val="single" w:sz="4" w:space="0" w:color="auto"/>
            </w:tcBorders>
            <w:vAlign w:val="center"/>
            <w:hideMark/>
          </w:tcPr>
          <w:p w:rsidR="005C014D" w:rsidRPr="002462E6" w:rsidRDefault="005C014D" w:rsidP="005C014D">
            <w:pPr>
              <w:widowControl w:val="0"/>
              <w:autoSpaceDE w:val="0"/>
              <w:autoSpaceDN w:val="0"/>
              <w:spacing w:after="0" w:line="240" w:lineRule="auto"/>
              <w:rPr>
                <w:rFonts w:ascii="Arial" w:eastAsia="Times New Roman" w:hAnsi="Arial" w:cs="Arial"/>
                <w:b/>
                <w:bCs/>
                <w:color w:val="000000"/>
                <w:sz w:val="16"/>
                <w:szCs w:val="16"/>
                <w:lang w:eastAsia="fr-FR"/>
              </w:rPr>
            </w:pPr>
          </w:p>
        </w:tc>
        <w:tc>
          <w:tcPr>
            <w:tcW w:w="907" w:type="dxa"/>
            <w:vMerge/>
            <w:tcBorders>
              <w:top w:val="nil"/>
              <w:left w:val="single" w:sz="4" w:space="0" w:color="auto"/>
              <w:bottom w:val="single" w:sz="4" w:space="0" w:color="auto"/>
              <w:right w:val="single" w:sz="4" w:space="0" w:color="auto"/>
            </w:tcBorders>
            <w:vAlign w:val="center"/>
            <w:hideMark/>
          </w:tcPr>
          <w:p w:rsidR="005C014D" w:rsidRPr="002462E6" w:rsidRDefault="005C014D" w:rsidP="005C014D">
            <w:pPr>
              <w:widowControl w:val="0"/>
              <w:autoSpaceDE w:val="0"/>
              <w:autoSpaceDN w:val="0"/>
              <w:spacing w:after="0" w:line="240" w:lineRule="auto"/>
              <w:rPr>
                <w:rFonts w:ascii="Arial" w:eastAsia="Times New Roman" w:hAnsi="Arial" w:cs="Arial"/>
                <w:color w:val="000000"/>
                <w:sz w:val="16"/>
                <w:szCs w:val="16"/>
                <w:lang w:eastAsia="fr-FR"/>
              </w:rPr>
            </w:pPr>
          </w:p>
        </w:tc>
        <w:tc>
          <w:tcPr>
            <w:tcW w:w="1076" w:type="dxa"/>
            <w:tcBorders>
              <w:top w:val="nil"/>
              <w:left w:val="nil"/>
              <w:bottom w:val="single" w:sz="4" w:space="0" w:color="auto"/>
              <w:right w:val="single" w:sz="4" w:space="0" w:color="auto"/>
            </w:tcBorders>
            <w:shd w:val="clear" w:color="auto" w:fill="auto"/>
            <w:noWrap/>
            <w:vAlign w:val="center"/>
            <w:hideMark/>
          </w:tcPr>
          <w:p w:rsidR="005C014D" w:rsidRPr="00F9749C" w:rsidRDefault="005C014D" w:rsidP="005C014D">
            <w:pPr>
              <w:widowControl w:val="0"/>
              <w:autoSpaceDE w:val="0"/>
              <w:autoSpaceDN w:val="0"/>
              <w:spacing w:after="0" w:line="240" w:lineRule="auto"/>
              <w:rPr>
                <w:rFonts w:ascii="Arial" w:eastAsia="Times New Roman" w:hAnsi="Arial" w:cs="Arial"/>
                <w:color w:val="000000"/>
                <w:sz w:val="18"/>
                <w:szCs w:val="18"/>
                <w:lang w:eastAsia="fr-FR"/>
              </w:rPr>
            </w:pPr>
            <w:r w:rsidRPr="00F9749C">
              <w:rPr>
                <w:rFonts w:ascii="Arial" w:eastAsia="Times New Roman" w:hAnsi="Arial" w:cs="Arial"/>
                <w:color w:val="000000"/>
                <w:sz w:val="18"/>
                <w:szCs w:val="18"/>
                <w:lang w:eastAsia="fr-FR"/>
              </w:rPr>
              <w:t>Oulad Saîd</w:t>
            </w:r>
          </w:p>
        </w:tc>
        <w:tc>
          <w:tcPr>
            <w:tcW w:w="941" w:type="dxa"/>
            <w:tcBorders>
              <w:top w:val="nil"/>
              <w:left w:val="nil"/>
              <w:bottom w:val="nil"/>
              <w:right w:val="nil"/>
            </w:tcBorders>
            <w:shd w:val="clear" w:color="000000" w:fill="FFC000"/>
            <w:noWrap/>
            <w:hideMark/>
          </w:tcPr>
          <w:p w:rsidR="005C014D" w:rsidRPr="002462E6" w:rsidRDefault="005C014D" w:rsidP="005C014D">
            <w:pPr>
              <w:widowControl w:val="0"/>
              <w:autoSpaceDE w:val="0"/>
              <w:autoSpaceDN w:val="0"/>
              <w:spacing w:after="0" w:line="240" w:lineRule="auto"/>
              <w:jc w:val="right"/>
              <w:rPr>
                <w:rFonts w:ascii="Arial" w:eastAsia="Times New Roman" w:hAnsi="Arial" w:cs="Arial"/>
                <w:color w:val="000000"/>
                <w:sz w:val="18"/>
                <w:szCs w:val="18"/>
                <w:lang w:eastAsia="fr-FR"/>
              </w:rPr>
            </w:pPr>
            <w:r w:rsidRPr="002462E6">
              <w:rPr>
                <w:rFonts w:ascii="Arial" w:eastAsia="Times New Roman" w:hAnsi="Arial" w:cs="Arial"/>
                <w:color w:val="000000"/>
                <w:sz w:val="18"/>
                <w:szCs w:val="18"/>
                <w:lang w:eastAsia="fr-FR"/>
              </w:rPr>
              <w:t>60%</w:t>
            </w:r>
          </w:p>
        </w:tc>
        <w:tc>
          <w:tcPr>
            <w:tcW w:w="982" w:type="dxa"/>
            <w:tcBorders>
              <w:top w:val="nil"/>
              <w:left w:val="nil"/>
              <w:bottom w:val="nil"/>
              <w:right w:val="nil"/>
            </w:tcBorders>
            <w:shd w:val="clear" w:color="000000" w:fill="FFC000"/>
            <w:noWrap/>
            <w:hideMark/>
          </w:tcPr>
          <w:p w:rsidR="005C014D" w:rsidRPr="002462E6" w:rsidRDefault="005C014D" w:rsidP="005C014D">
            <w:pPr>
              <w:widowControl w:val="0"/>
              <w:autoSpaceDE w:val="0"/>
              <w:autoSpaceDN w:val="0"/>
              <w:spacing w:after="0" w:line="240" w:lineRule="auto"/>
              <w:jc w:val="right"/>
              <w:rPr>
                <w:rFonts w:ascii="Arial" w:eastAsia="Times New Roman" w:hAnsi="Arial" w:cs="Arial"/>
                <w:color w:val="000000"/>
                <w:sz w:val="18"/>
                <w:szCs w:val="18"/>
                <w:lang w:eastAsia="fr-FR"/>
              </w:rPr>
            </w:pPr>
            <w:r w:rsidRPr="002462E6">
              <w:rPr>
                <w:rFonts w:ascii="Arial" w:eastAsia="Times New Roman" w:hAnsi="Arial" w:cs="Arial"/>
                <w:color w:val="000000"/>
                <w:sz w:val="18"/>
                <w:szCs w:val="18"/>
                <w:lang w:eastAsia="fr-FR"/>
              </w:rPr>
              <w:t>60%</w:t>
            </w:r>
          </w:p>
        </w:tc>
        <w:tc>
          <w:tcPr>
            <w:tcW w:w="712" w:type="dxa"/>
            <w:tcBorders>
              <w:top w:val="nil"/>
              <w:left w:val="single" w:sz="4" w:space="0" w:color="000000"/>
              <w:bottom w:val="nil"/>
              <w:right w:val="single" w:sz="4" w:space="0" w:color="000000"/>
            </w:tcBorders>
            <w:shd w:val="clear" w:color="000000" w:fill="D34B07"/>
            <w:noWrap/>
            <w:hideMark/>
          </w:tcPr>
          <w:p w:rsidR="005C014D" w:rsidRPr="002462E6" w:rsidRDefault="005C014D" w:rsidP="005C014D">
            <w:pPr>
              <w:widowControl w:val="0"/>
              <w:autoSpaceDE w:val="0"/>
              <w:autoSpaceDN w:val="0"/>
              <w:spacing w:after="0" w:line="240" w:lineRule="auto"/>
              <w:jc w:val="right"/>
              <w:rPr>
                <w:rFonts w:ascii="Arial" w:eastAsia="Times New Roman" w:hAnsi="Arial" w:cs="Arial"/>
                <w:color w:val="000000"/>
                <w:sz w:val="18"/>
                <w:szCs w:val="18"/>
                <w:lang w:eastAsia="fr-FR"/>
              </w:rPr>
            </w:pPr>
            <w:r w:rsidRPr="002462E6">
              <w:rPr>
                <w:rFonts w:ascii="Arial" w:eastAsia="Times New Roman" w:hAnsi="Arial" w:cs="Arial"/>
                <w:color w:val="000000"/>
                <w:sz w:val="18"/>
                <w:szCs w:val="18"/>
                <w:lang w:eastAsia="fr-FR"/>
              </w:rPr>
              <w:t>100%</w:t>
            </w:r>
          </w:p>
        </w:tc>
        <w:tc>
          <w:tcPr>
            <w:tcW w:w="813" w:type="dxa"/>
            <w:tcBorders>
              <w:top w:val="nil"/>
              <w:left w:val="nil"/>
              <w:bottom w:val="nil"/>
              <w:right w:val="nil"/>
            </w:tcBorders>
            <w:shd w:val="clear" w:color="000000" w:fill="D34B07"/>
            <w:noWrap/>
            <w:hideMark/>
          </w:tcPr>
          <w:p w:rsidR="005C014D" w:rsidRPr="002462E6" w:rsidRDefault="005C014D" w:rsidP="005C014D">
            <w:pPr>
              <w:widowControl w:val="0"/>
              <w:autoSpaceDE w:val="0"/>
              <w:autoSpaceDN w:val="0"/>
              <w:spacing w:after="0" w:line="240" w:lineRule="auto"/>
              <w:jc w:val="right"/>
              <w:rPr>
                <w:rFonts w:ascii="Arial" w:eastAsia="Times New Roman" w:hAnsi="Arial" w:cs="Arial"/>
                <w:color w:val="000000"/>
                <w:sz w:val="18"/>
                <w:szCs w:val="18"/>
                <w:lang w:eastAsia="fr-FR"/>
              </w:rPr>
            </w:pPr>
            <w:r w:rsidRPr="002462E6">
              <w:rPr>
                <w:rFonts w:ascii="Arial" w:eastAsia="Times New Roman" w:hAnsi="Arial" w:cs="Arial"/>
                <w:color w:val="000000"/>
                <w:sz w:val="18"/>
                <w:szCs w:val="18"/>
                <w:lang w:eastAsia="fr-FR"/>
              </w:rPr>
              <w:t>100%</w:t>
            </w:r>
          </w:p>
        </w:tc>
        <w:tc>
          <w:tcPr>
            <w:tcW w:w="698" w:type="dxa"/>
            <w:tcBorders>
              <w:top w:val="nil"/>
              <w:left w:val="nil"/>
              <w:bottom w:val="nil"/>
              <w:right w:val="nil"/>
            </w:tcBorders>
            <w:shd w:val="clear" w:color="000000" w:fill="D34B07"/>
            <w:noWrap/>
            <w:hideMark/>
          </w:tcPr>
          <w:p w:rsidR="005C014D" w:rsidRPr="002462E6" w:rsidRDefault="005C014D" w:rsidP="005C014D">
            <w:pPr>
              <w:widowControl w:val="0"/>
              <w:autoSpaceDE w:val="0"/>
              <w:autoSpaceDN w:val="0"/>
              <w:spacing w:after="0" w:line="240" w:lineRule="auto"/>
              <w:jc w:val="right"/>
              <w:rPr>
                <w:rFonts w:ascii="Arial" w:eastAsia="Times New Roman" w:hAnsi="Arial" w:cs="Arial"/>
                <w:color w:val="000000"/>
                <w:sz w:val="18"/>
                <w:szCs w:val="18"/>
                <w:lang w:eastAsia="fr-FR"/>
              </w:rPr>
            </w:pPr>
            <w:r w:rsidRPr="002462E6">
              <w:rPr>
                <w:rFonts w:ascii="Arial" w:eastAsia="Times New Roman" w:hAnsi="Arial" w:cs="Arial"/>
                <w:color w:val="000000"/>
                <w:sz w:val="18"/>
                <w:szCs w:val="18"/>
                <w:lang w:eastAsia="fr-FR"/>
              </w:rPr>
              <w:t>100%</w:t>
            </w:r>
          </w:p>
        </w:tc>
        <w:tc>
          <w:tcPr>
            <w:tcW w:w="1186" w:type="dxa"/>
            <w:tcBorders>
              <w:top w:val="nil"/>
              <w:left w:val="nil"/>
              <w:bottom w:val="nil"/>
              <w:right w:val="nil"/>
            </w:tcBorders>
            <w:shd w:val="clear" w:color="000000" w:fill="F4F46C"/>
            <w:noWrap/>
            <w:hideMark/>
          </w:tcPr>
          <w:p w:rsidR="005C014D" w:rsidRPr="002462E6" w:rsidRDefault="005C014D" w:rsidP="005C014D">
            <w:pPr>
              <w:widowControl w:val="0"/>
              <w:autoSpaceDE w:val="0"/>
              <w:autoSpaceDN w:val="0"/>
              <w:spacing w:after="0" w:line="240" w:lineRule="auto"/>
              <w:jc w:val="right"/>
              <w:rPr>
                <w:rFonts w:ascii="Arial" w:eastAsia="Times New Roman" w:hAnsi="Arial" w:cs="Arial"/>
                <w:color w:val="000000"/>
                <w:sz w:val="18"/>
                <w:szCs w:val="18"/>
                <w:lang w:eastAsia="fr-FR"/>
              </w:rPr>
            </w:pPr>
            <w:r w:rsidRPr="002462E6">
              <w:rPr>
                <w:rFonts w:ascii="Arial" w:eastAsia="Times New Roman" w:hAnsi="Arial" w:cs="Arial"/>
                <w:color w:val="000000"/>
                <w:sz w:val="18"/>
                <w:szCs w:val="18"/>
                <w:lang w:eastAsia="fr-FR"/>
              </w:rPr>
              <w:t>0%</w:t>
            </w:r>
          </w:p>
        </w:tc>
        <w:tc>
          <w:tcPr>
            <w:tcW w:w="1377" w:type="dxa"/>
            <w:tcBorders>
              <w:top w:val="nil"/>
              <w:left w:val="nil"/>
              <w:bottom w:val="nil"/>
              <w:right w:val="nil"/>
            </w:tcBorders>
            <w:shd w:val="clear" w:color="000000" w:fill="D34B07"/>
            <w:noWrap/>
            <w:hideMark/>
          </w:tcPr>
          <w:p w:rsidR="005C014D" w:rsidRPr="002462E6" w:rsidRDefault="005C014D" w:rsidP="005C014D">
            <w:pPr>
              <w:widowControl w:val="0"/>
              <w:autoSpaceDE w:val="0"/>
              <w:autoSpaceDN w:val="0"/>
              <w:spacing w:after="0" w:line="240" w:lineRule="auto"/>
              <w:jc w:val="right"/>
              <w:rPr>
                <w:rFonts w:ascii="Arial" w:eastAsia="Times New Roman" w:hAnsi="Arial" w:cs="Arial"/>
                <w:color w:val="000000"/>
                <w:sz w:val="18"/>
                <w:szCs w:val="18"/>
                <w:lang w:eastAsia="fr-FR"/>
              </w:rPr>
            </w:pPr>
            <w:r w:rsidRPr="002462E6">
              <w:rPr>
                <w:rFonts w:ascii="Arial" w:eastAsia="Times New Roman" w:hAnsi="Arial" w:cs="Arial"/>
                <w:color w:val="000000"/>
                <w:sz w:val="18"/>
                <w:szCs w:val="18"/>
                <w:lang w:eastAsia="fr-FR"/>
              </w:rPr>
              <w:t>70%</w:t>
            </w:r>
          </w:p>
        </w:tc>
      </w:tr>
      <w:tr w:rsidR="005C014D" w:rsidRPr="002462E6" w:rsidTr="007D633A">
        <w:trPr>
          <w:trHeight w:val="215"/>
        </w:trPr>
        <w:tc>
          <w:tcPr>
            <w:tcW w:w="801" w:type="dxa"/>
            <w:vMerge/>
            <w:tcBorders>
              <w:top w:val="nil"/>
              <w:left w:val="single" w:sz="4" w:space="0" w:color="auto"/>
              <w:bottom w:val="single" w:sz="4" w:space="0" w:color="auto"/>
              <w:right w:val="single" w:sz="4" w:space="0" w:color="auto"/>
            </w:tcBorders>
            <w:vAlign w:val="center"/>
            <w:hideMark/>
          </w:tcPr>
          <w:p w:rsidR="005C014D" w:rsidRPr="002462E6" w:rsidRDefault="005C014D" w:rsidP="005C014D">
            <w:pPr>
              <w:widowControl w:val="0"/>
              <w:autoSpaceDE w:val="0"/>
              <w:autoSpaceDN w:val="0"/>
              <w:spacing w:after="0" w:line="240" w:lineRule="auto"/>
              <w:rPr>
                <w:rFonts w:ascii="Arial" w:eastAsia="Times New Roman" w:hAnsi="Arial" w:cs="Arial"/>
                <w:b/>
                <w:bCs/>
                <w:color w:val="000000"/>
                <w:sz w:val="16"/>
                <w:szCs w:val="16"/>
                <w:lang w:eastAsia="fr-FR"/>
              </w:rPr>
            </w:pPr>
          </w:p>
        </w:tc>
        <w:tc>
          <w:tcPr>
            <w:tcW w:w="907" w:type="dxa"/>
            <w:vMerge/>
            <w:tcBorders>
              <w:top w:val="nil"/>
              <w:left w:val="single" w:sz="4" w:space="0" w:color="auto"/>
              <w:bottom w:val="single" w:sz="4" w:space="0" w:color="auto"/>
              <w:right w:val="single" w:sz="4" w:space="0" w:color="auto"/>
            </w:tcBorders>
            <w:vAlign w:val="center"/>
            <w:hideMark/>
          </w:tcPr>
          <w:p w:rsidR="005C014D" w:rsidRPr="002462E6" w:rsidRDefault="005C014D" w:rsidP="005C014D">
            <w:pPr>
              <w:widowControl w:val="0"/>
              <w:autoSpaceDE w:val="0"/>
              <w:autoSpaceDN w:val="0"/>
              <w:spacing w:after="0" w:line="240" w:lineRule="auto"/>
              <w:rPr>
                <w:rFonts w:ascii="Arial" w:eastAsia="Times New Roman" w:hAnsi="Arial" w:cs="Arial"/>
                <w:color w:val="000000"/>
                <w:sz w:val="16"/>
                <w:szCs w:val="16"/>
                <w:lang w:eastAsia="fr-FR"/>
              </w:rPr>
            </w:pPr>
          </w:p>
        </w:tc>
        <w:tc>
          <w:tcPr>
            <w:tcW w:w="1076" w:type="dxa"/>
            <w:tcBorders>
              <w:top w:val="nil"/>
              <w:left w:val="nil"/>
              <w:bottom w:val="single" w:sz="4" w:space="0" w:color="auto"/>
              <w:right w:val="single" w:sz="4" w:space="0" w:color="auto"/>
            </w:tcBorders>
            <w:shd w:val="clear" w:color="auto" w:fill="auto"/>
            <w:noWrap/>
            <w:vAlign w:val="center"/>
            <w:hideMark/>
          </w:tcPr>
          <w:p w:rsidR="005C014D" w:rsidRPr="00F9749C" w:rsidRDefault="005C014D" w:rsidP="005C014D">
            <w:pPr>
              <w:widowControl w:val="0"/>
              <w:autoSpaceDE w:val="0"/>
              <w:autoSpaceDN w:val="0"/>
              <w:spacing w:after="0" w:line="240" w:lineRule="auto"/>
              <w:rPr>
                <w:rFonts w:ascii="Arial" w:eastAsia="Times New Roman" w:hAnsi="Arial" w:cs="Arial"/>
                <w:color w:val="000000"/>
                <w:sz w:val="18"/>
                <w:szCs w:val="18"/>
                <w:lang w:eastAsia="fr-FR"/>
              </w:rPr>
            </w:pPr>
            <w:r w:rsidRPr="00F9749C">
              <w:rPr>
                <w:rFonts w:ascii="Arial" w:eastAsia="Times New Roman" w:hAnsi="Arial" w:cs="Arial"/>
                <w:color w:val="000000"/>
                <w:sz w:val="18"/>
                <w:szCs w:val="18"/>
                <w:lang w:eastAsia="fr-FR"/>
              </w:rPr>
              <w:t>Oulad Azzouz</w:t>
            </w:r>
          </w:p>
        </w:tc>
        <w:tc>
          <w:tcPr>
            <w:tcW w:w="941" w:type="dxa"/>
            <w:tcBorders>
              <w:top w:val="nil"/>
              <w:left w:val="nil"/>
              <w:bottom w:val="nil"/>
              <w:right w:val="nil"/>
            </w:tcBorders>
            <w:shd w:val="clear" w:color="000000" w:fill="D34B07"/>
            <w:noWrap/>
            <w:hideMark/>
          </w:tcPr>
          <w:p w:rsidR="005C014D" w:rsidRPr="002462E6" w:rsidRDefault="005C014D" w:rsidP="005C014D">
            <w:pPr>
              <w:widowControl w:val="0"/>
              <w:autoSpaceDE w:val="0"/>
              <w:autoSpaceDN w:val="0"/>
              <w:spacing w:after="0" w:line="240" w:lineRule="auto"/>
              <w:jc w:val="right"/>
              <w:rPr>
                <w:rFonts w:ascii="Arial" w:eastAsia="Times New Roman" w:hAnsi="Arial" w:cs="Arial"/>
                <w:color w:val="000000"/>
                <w:sz w:val="18"/>
                <w:szCs w:val="18"/>
                <w:lang w:eastAsia="fr-FR"/>
              </w:rPr>
            </w:pPr>
            <w:r w:rsidRPr="002462E6">
              <w:rPr>
                <w:rFonts w:ascii="Arial" w:eastAsia="Times New Roman" w:hAnsi="Arial" w:cs="Arial"/>
                <w:color w:val="000000"/>
                <w:sz w:val="18"/>
                <w:szCs w:val="18"/>
                <w:lang w:eastAsia="fr-FR"/>
              </w:rPr>
              <w:t>100%</w:t>
            </w:r>
          </w:p>
        </w:tc>
        <w:tc>
          <w:tcPr>
            <w:tcW w:w="982" w:type="dxa"/>
            <w:tcBorders>
              <w:top w:val="nil"/>
              <w:left w:val="nil"/>
              <w:bottom w:val="nil"/>
              <w:right w:val="nil"/>
            </w:tcBorders>
            <w:shd w:val="clear" w:color="000000" w:fill="D34B07"/>
            <w:noWrap/>
            <w:hideMark/>
          </w:tcPr>
          <w:p w:rsidR="005C014D" w:rsidRPr="002462E6" w:rsidRDefault="005C014D" w:rsidP="005C014D">
            <w:pPr>
              <w:widowControl w:val="0"/>
              <w:autoSpaceDE w:val="0"/>
              <w:autoSpaceDN w:val="0"/>
              <w:spacing w:after="0" w:line="240" w:lineRule="auto"/>
              <w:jc w:val="right"/>
              <w:rPr>
                <w:rFonts w:ascii="Arial" w:eastAsia="Times New Roman" w:hAnsi="Arial" w:cs="Arial"/>
                <w:color w:val="000000"/>
                <w:sz w:val="18"/>
                <w:szCs w:val="18"/>
                <w:lang w:eastAsia="fr-FR"/>
              </w:rPr>
            </w:pPr>
            <w:r w:rsidRPr="002462E6">
              <w:rPr>
                <w:rFonts w:ascii="Arial" w:eastAsia="Times New Roman" w:hAnsi="Arial" w:cs="Arial"/>
                <w:color w:val="000000"/>
                <w:sz w:val="18"/>
                <w:szCs w:val="18"/>
                <w:lang w:eastAsia="fr-FR"/>
              </w:rPr>
              <w:t>100%</w:t>
            </w:r>
          </w:p>
        </w:tc>
        <w:tc>
          <w:tcPr>
            <w:tcW w:w="712" w:type="dxa"/>
            <w:tcBorders>
              <w:top w:val="nil"/>
              <w:left w:val="single" w:sz="4" w:space="0" w:color="000000"/>
              <w:bottom w:val="nil"/>
              <w:right w:val="single" w:sz="4" w:space="0" w:color="000000"/>
            </w:tcBorders>
            <w:shd w:val="clear" w:color="000000" w:fill="FFC000"/>
            <w:noWrap/>
            <w:hideMark/>
          </w:tcPr>
          <w:p w:rsidR="005C014D" w:rsidRPr="002462E6" w:rsidRDefault="005C014D" w:rsidP="005C014D">
            <w:pPr>
              <w:widowControl w:val="0"/>
              <w:autoSpaceDE w:val="0"/>
              <w:autoSpaceDN w:val="0"/>
              <w:spacing w:after="0" w:line="240" w:lineRule="auto"/>
              <w:jc w:val="right"/>
              <w:rPr>
                <w:rFonts w:ascii="Arial" w:eastAsia="Times New Roman" w:hAnsi="Arial" w:cs="Arial"/>
                <w:color w:val="000000"/>
                <w:sz w:val="18"/>
                <w:szCs w:val="18"/>
                <w:lang w:eastAsia="fr-FR"/>
              </w:rPr>
            </w:pPr>
            <w:r w:rsidRPr="002462E6">
              <w:rPr>
                <w:rFonts w:ascii="Arial" w:eastAsia="Times New Roman" w:hAnsi="Arial" w:cs="Arial"/>
                <w:color w:val="000000"/>
                <w:sz w:val="18"/>
                <w:szCs w:val="18"/>
                <w:lang w:eastAsia="fr-FR"/>
              </w:rPr>
              <w:t>60%</w:t>
            </w:r>
          </w:p>
        </w:tc>
        <w:tc>
          <w:tcPr>
            <w:tcW w:w="813" w:type="dxa"/>
            <w:tcBorders>
              <w:top w:val="nil"/>
              <w:left w:val="nil"/>
              <w:bottom w:val="nil"/>
              <w:right w:val="nil"/>
            </w:tcBorders>
            <w:shd w:val="clear" w:color="000000" w:fill="D34B07"/>
            <w:noWrap/>
            <w:hideMark/>
          </w:tcPr>
          <w:p w:rsidR="005C014D" w:rsidRPr="002462E6" w:rsidRDefault="005C014D" w:rsidP="005C014D">
            <w:pPr>
              <w:widowControl w:val="0"/>
              <w:autoSpaceDE w:val="0"/>
              <w:autoSpaceDN w:val="0"/>
              <w:spacing w:after="0" w:line="240" w:lineRule="auto"/>
              <w:jc w:val="right"/>
              <w:rPr>
                <w:rFonts w:ascii="Arial" w:eastAsia="Times New Roman" w:hAnsi="Arial" w:cs="Arial"/>
                <w:color w:val="000000"/>
                <w:sz w:val="18"/>
                <w:szCs w:val="18"/>
                <w:lang w:eastAsia="fr-FR"/>
              </w:rPr>
            </w:pPr>
            <w:r w:rsidRPr="002462E6">
              <w:rPr>
                <w:rFonts w:ascii="Arial" w:eastAsia="Times New Roman" w:hAnsi="Arial" w:cs="Arial"/>
                <w:color w:val="000000"/>
                <w:sz w:val="18"/>
                <w:szCs w:val="18"/>
                <w:lang w:eastAsia="fr-FR"/>
              </w:rPr>
              <w:t>100%</w:t>
            </w:r>
          </w:p>
        </w:tc>
        <w:tc>
          <w:tcPr>
            <w:tcW w:w="698" w:type="dxa"/>
            <w:tcBorders>
              <w:top w:val="nil"/>
              <w:left w:val="nil"/>
              <w:bottom w:val="nil"/>
              <w:right w:val="nil"/>
            </w:tcBorders>
            <w:shd w:val="clear" w:color="000000" w:fill="D34B07"/>
            <w:noWrap/>
            <w:hideMark/>
          </w:tcPr>
          <w:p w:rsidR="005C014D" w:rsidRPr="002462E6" w:rsidRDefault="005C014D" w:rsidP="005C014D">
            <w:pPr>
              <w:widowControl w:val="0"/>
              <w:autoSpaceDE w:val="0"/>
              <w:autoSpaceDN w:val="0"/>
              <w:spacing w:after="0" w:line="240" w:lineRule="auto"/>
              <w:jc w:val="right"/>
              <w:rPr>
                <w:rFonts w:ascii="Arial" w:eastAsia="Times New Roman" w:hAnsi="Arial" w:cs="Arial"/>
                <w:color w:val="000000"/>
                <w:sz w:val="18"/>
                <w:szCs w:val="18"/>
                <w:lang w:eastAsia="fr-FR"/>
              </w:rPr>
            </w:pPr>
            <w:r w:rsidRPr="002462E6">
              <w:rPr>
                <w:rFonts w:ascii="Arial" w:eastAsia="Times New Roman" w:hAnsi="Arial" w:cs="Arial"/>
                <w:color w:val="000000"/>
                <w:sz w:val="18"/>
                <w:szCs w:val="18"/>
                <w:lang w:eastAsia="fr-FR"/>
              </w:rPr>
              <w:t>100%</w:t>
            </w:r>
          </w:p>
        </w:tc>
        <w:tc>
          <w:tcPr>
            <w:tcW w:w="1186" w:type="dxa"/>
            <w:tcBorders>
              <w:top w:val="nil"/>
              <w:left w:val="nil"/>
              <w:bottom w:val="nil"/>
              <w:right w:val="nil"/>
            </w:tcBorders>
            <w:shd w:val="clear" w:color="000000" w:fill="FFC000"/>
            <w:noWrap/>
            <w:hideMark/>
          </w:tcPr>
          <w:p w:rsidR="005C014D" w:rsidRPr="002462E6" w:rsidRDefault="005C014D" w:rsidP="005C014D">
            <w:pPr>
              <w:widowControl w:val="0"/>
              <w:autoSpaceDE w:val="0"/>
              <w:autoSpaceDN w:val="0"/>
              <w:spacing w:after="0" w:line="240" w:lineRule="auto"/>
              <w:jc w:val="right"/>
              <w:rPr>
                <w:rFonts w:ascii="Arial" w:eastAsia="Times New Roman" w:hAnsi="Arial" w:cs="Arial"/>
                <w:color w:val="000000"/>
                <w:sz w:val="18"/>
                <w:szCs w:val="18"/>
                <w:lang w:eastAsia="fr-FR"/>
              </w:rPr>
            </w:pPr>
            <w:r w:rsidRPr="002462E6">
              <w:rPr>
                <w:rFonts w:ascii="Arial" w:eastAsia="Times New Roman" w:hAnsi="Arial" w:cs="Arial"/>
                <w:color w:val="000000"/>
                <w:sz w:val="18"/>
                <w:szCs w:val="18"/>
                <w:lang w:eastAsia="fr-FR"/>
              </w:rPr>
              <w:t>60%</w:t>
            </w:r>
          </w:p>
        </w:tc>
        <w:tc>
          <w:tcPr>
            <w:tcW w:w="1377" w:type="dxa"/>
            <w:tcBorders>
              <w:top w:val="nil"/>
              <w:left w:val="nil"/>
              <w:bottom w:val="nil"/>
              <w:right w:val="nil"/>
            </w:tcBorders>
            <w:shd w:val="clear" w:color="000000" w:fill="D34B07"/>
            <w:noWrap/>
            <w:hideMark/>
          </w:tcPr>
          <w:p w:rsidR="005C014D" w:rsidRPr="002462E6" w:rsidRDefault="005C014D" w:rsidP="005C014D">
            <w:pPr>
              <w:widowControl w:val="0"/>
              <w:autoSpaceDE w:val="0"/>
              <w:autoSpaceDN w:val="0"/>
              <w:spacing w:after="0" w:line="240" w:lineRule="auto"/>
              <w:jc w:val="right"/>
              <w:rPr>
                <w:rFonts w:ascii="Arial" w:eastAsia="Times New Roman" w:hAnsi="Arial" w:cs="Arial"/>
                <w:color w:val="000000"/>
                <w:sz w:val="18"/>
                <w:szCs w:val="18"/>
                <w:lang w:eastAsia="fr-FR"/>
              </w:rPr>
            </w:pPr>
            <w:r w:rsidRPr="002462E6">
              <w:rPr>
                <w:rFonts w:ascii="Arial" w:eastAsia="Times New Roman" w:hAnsi="Arial" w:cs="Arial"/>
                <w:color w:val="000000"/>
                <w:sz w:val="18"/>
                <w:szCs w:val="18"/>
                <w:lang w:eastAsia="fr-FR"/>
              </w:rPr>
              <w:t>87%</w:t>
            </w:r>
          </w:p>
        </w:tc>
      </w:tr>
      <w:tr w:rsidR="005C014D" w:rsidRPr="002462E6" w:rsidTr="007D633A">
        <w:trPr>
          <w:trHeight w:val="215"/>
        </w:trPr>
        <w:tc>
          <w:tcPr>
            <w:tcW w:w="801" w:type="dxa"/>
            <w:vMerge w:val="restart"/>
            <w:tcBorders>
              <w:top w:val="nil"/>
              <w:left w:val="single" w:sz="4" w:space="0" w:color="auto"/>
              <w:bottom w:val="single" w:sz="4" w:space="0" w:color="auto"/>
              <w:right w:val="single" w:sz="4" w:space="0" w:color="auto"/>
            </w:tcBorders>
            <w:shd w:val="clear" w:color="auto" w:fill="auto"/>
            <w:vAlign w:val="center"/>
            <w:hideMark/>
          </w:tcPr>
          <w:p w:rsidR="005C014D" w:rsidRPr="002462E6" w:rsidRDefault="005C014D" w:rsidP="005C014D">
            <w:pPr>
              <w:widowControl w:val="0"/>
              <w:autoSpaceDE w:val="0"/>
              <w:autoSpaceDN w:val="0"/>
              <w:spacing w:after="0" w:line="240" w:lineRule="auto"/>
              <w:jc w:val="center"/>
              <w:rPr>
                <w:rFonts w:ascii="Arial" w:eastAsia="Times New Roman" w:hAnsi="Arial" w:cs="Arial"/>
                <w:b/>
                <w:bCs/>
                <w:color w:val="000000"/>
                <w:sz w:val="16"/>
                <w:szCs w:val="16"/>
                <w:lang w:eastAsia="fr-FR"/>
              </w:rPr>
            </w:pPr>
            <w:r w:rsidRPr="002462E6">
              <w:rPr>
                <w:rFonts w:ascii="Arial" w:eastAsia="Times New Roman" w:hAnsi="Arial" w:cs="Arial"/>
                <w:b/>
                <w:bCs/>
                <w:color w:val="000000"/>
                <w:sz w:val="16"/>
                <w:szCs w:val="16"/>
                <w:lang w:eastAsia="fr-FR"/>
              </w:rPr>
              <w:t>Khémisset</w:t>
            </w:r>
          </w:p>
        </w:tc>
        <w:tc>
          <w:tcPr>
            <w:tcW w:w="907" w:type="dxa"/>
            <w:vMerge w:val="restart"/>
            <w:tcBorders>
              <w:top w:val="nil"/>
              <w:left w:val="single" w:sz="4" w:space="0" w:color="auto"/>
              <w:bottom w:val="single" w:sz="4" w:space="0" w:color="auto"/>
              <w:right w:val="single" w:sz="4" w:space="0" w:color="auto"/>
            </w:tcBorders>
            <w:shd w:val="clear" w:color="auto" w:fill="auto"/>
            <w:noWrap/>
            <w:vAlign w:val="center"/>
            <w:hideMark/>
          </w:tcPr>
          <w:p w:rsidR="005C014D" w:rsidRPr="002462E6" w:rsidRDefault="005C014D" w:rsidP="005C014D">
            <w:pPr>
              <w:widowControl w:val="0"/>
              <w:autoSpaceDE w:val="0"/>
              <w:autoSpaceDN w:val="0"/>
              <w:spacing w:after="0" w:line="240" w:lineRule="auto"/>
              <w:jc w:val="center"/>
              <w:rPr>
                <w:rFonts w:ascii="Arial" w:eastAsia="Times New Roman" w:hAnsi="Arial" w:cs="Arial"/>
                <w:color w:val="000000"/>
                <w:sz w:val="16"/>
                <w:szCs w:val="16"/>
                <w:lang w:eastAsia="fr-FR"/>
              </w:rPr>
            </w:pPr>
            <w:r w:rsidRPr="002462E6">
              <w:rPr>
                <w:rFonts w:ascii="Arial" w:eastAsia="Times New Roman" w:hAnsi="Arial" w:cs="Arial"/>
                <w:color w:val="000000"/>
                <w:sz w:val="16"/>
                <w:szCs w:val="16"/>
                <w:lang w:eastAsia="fr-FR"/>
              </w:rPr>
              <w:t>Merchouch</w:t>
            </w:r>
          </w:p>
        </w:tc>
        <w:tc>
          <w:tcPr>
            <w:tcW w:w="1076" w:type="dxa"/>
            <w:tcBorders>
              <w:top w:val="nil"/>
              <w:left w:val="nil"/>
              <w:bottom w:val="single" w:sz="4" w:space="0" w:color="auto"/>
              <w:right w:val="single" w:sz="4" w:space="0" w:color="auto"/>
            </w:tcBorders>
            <w:shd w:val="clear" w:color="auto" w:fill="auto"/>
            <w:noWrap/>
            <w:vAlign w:val="center"/>
            <w:hideMark/>
          </w:tcPr>
          <w:p w:rsidR="005C014D" w:rsidRPr="00F9749C" w:rsidRDefault="005C014D" w:rsidP="005C014D">
            <w:pPr>
              <w:widowControl w:val="0"/>
              <w:autoSpaceDE w:val="0"/>
              <w:autoSpaceDN w:val="0"/>
              <w:spacing w:after="0" w:line="240" w:lineRule="auto"/>
              <w:rPr>
                <w:rFonts w:ascii="Arial" w:eastAsia="Times New Roman" w:hAnsi="Arial" w:cs="Arial"/>
                <w:color w:val="000000"/>
                <w:sz w:val="18"/>
                <w:szCs w:val="18"/>
                <w:lang w:eastAsia="fr-FR"/>
              </w:rPr>
            </w:pPr>
            <w:r w:rsidRPr="00F9749C">
              <w:rPr>
                <w:rFonts w:ascii="Arial" w:eastAsia="Times New Roman" w:hAnsi="Arial" w:cs="Arial"/>
                <w:color w:val="000000"/>
                <w:sz w:val="18"/>
                <w:szCs w:val="18"/>
                <w:lang w:eastAsia="fr-FR"/>
              </w:rPr>
              <w:t xml:space="preserve">Lmkhafa </w:t>
            </w:r>
          </w:p>
        </w:tc>
        <w:tc>
          <w:tcPr>
            <w:tcW w:w="941" w:type="dxa"/>
            <w:tcBorders>
              <w:top w:val="nil"/>
              <w:left w:val="nil"/>
              <w:bottom w:val="nil"/>
              <w:right w:val="nil"/>
            </w:tcBorders>
            <w:shd w:val="clear" w:color="000000" w:fill="D34B07"/>
            <w:noWrap/>
            <w:hideMark/>
          </w:tcPr>
          <w:p w:rsidR="005C014D" w:rsidRPr="002462E6" w:rsidRDefault="005C014D" w:rsidP="005C014D">
            <w:pPr>
              <w:widowControl w:val="0"/>
              <w:autoSpaceDE w:val="0"/>
              <w:autoSpaceDN w:val="0"/>
              <w:spacing w:after="0" w:line="240" w:lineRule="auto"/>
              <w:jc w:val="right"/>
              <w:rPr>
                <w:rFonts w:ascii="Arial" w:eastAsia="Times New Roman" w:hAnsi="Arial" w:cs="Arial"/>
                <w:color w:val="000000"/>
                <w:sz w:val="18"/>
                <w:szCs w:val="18"/>
                <w:lang w:eastAsia="fr-FR"/>
              </w:rPr>
            </w:pPr>
            <w:r w:rsidRPr="002462E6">
              <w:rPr>
                <w:rFonts w:ascii="Arial" w:eastAsia="Times New Roman" w:hAnsi="Arial" w:cs="Arial"/>
                <w:color w:val="000000"/>
                <w:sz w:val="18"/>
                <w:szCs w:val="18"/>
                <w:lang w:eastAsia="fr-FR"/>
              </w:rPr>
              <w:t>100%</w:t>
            </w:r>
          </w:p>
        </w:tc>
        <w:tc>
          <w:tcPr>
            <w:tcW w:w="982" w:type="dxa"/>
            <w:tcBorders>
              <w:top w:val="nil"/>
              <w:left w:val="nil"/>
              <w:bottom w:val="nil"/>
              <w:right w:val="nil"/>
            </w:tcBorders>
            <w:shd w:val="clear" w:color="000000" w:fill="D34B07"/>
            <w:noWrap/>
            <w:hideMark/>
          </w:tcPr>
          <w:p w:rsidR="005C014D" w:rsidRPr="002462E6" w:rsidRDefault="005C014D" w:rsidP="005C014D">
            <w:pPr>
              <w:widowControl w:val="0"/>
              <w:autoSpaceDE w:val="0"/>
              <w:autoSpaceDN w:val="0"/>
              <w:spacing w:after="0" w:line="240" w:lineRule="auto"/>
              <w:jc w:val="right"/>
              <w:rPr>
                <w:rFonts w:ascii="Arial" w:eastAsia="Times New Roman" w:hAnsi="Arial" w:cs="Arial"/>
                <w:color w:val="000000"/>
                <w:sz w:val="18"/>
                <w:szCs w:val="18"/>
                <w:lang w:eastAsia="fr-FR"/>
              </w:rPr>
            </w:pPr>
            <w:r w:rsidRPr="002462E6">
              <w:rPr>
                <w:rFonts w:ascii="Arial" w:eastAsia="Times New Roman" w:hAnsi="Arial" w:cs="Arial"/>
                <w:color w:val="000000"/>
                <w:sz w:val="18"/>
                <w:szCs w:val="18"/>
                <w:lang w:eastAsia="fr-FR"/>
              </w:rPr>
              <w:t>80%</w:t>
            </w:r>
          </w:p>
        </w:tc>
        <w:tc>
          <w:tcPr>
            <w:tcW w:w="712" w:type="dxa"/>
            <w:tcBorders>
              <w:top w:val="nil"/>
              <w:left w:val="single" w:sz="4" w:space="0" w:color="000000"/>
              <w:bottom w:val="nil"/>
              <w:right w:val="single" w:sz="4" w:space="0" w:color="000000"/>
            </w:tcBorders>
            <w:shd w:val="clear" w:color="000000" w:fill="D34B07"/>
            <w:noWrap/>
            <w:hideMark/>
          </w:tcPr>
          <w:p w:rsidR="005C014D" w:rsidRPr="002462E6" w:rsidRDefault="005C014D" w:rsidP="005C014D">
            <w:pPr>
              <w:widowControl w:val="0"/>
              <w:autoSpaceDE w:val="0"/>
              <w:autoSpaceDN w:val="0"/>
              <w:spacing w:after="0" w:line="240" w:lineRule="auto"/>
              <w:jc w:val="right"/>
              <w:rPr>
                <w:rFonts w:ascii="Arial" w:eastAsia="Times New Roman" w:hAnsi="Arial" w:cs="Arial"/>
                <w:color w:val="000000"/>
                <w:sz w:val="18"/>
                <w:szCs w:val="18"/>
                <w:lang w:eastAsia="fr-FR"/>
              </w:rPr>
            </w:pPr>
            <w:r w:rsidRPr="002462E6">
              <w:rPr>
                <w:rFonts w:ascii="Arial" w:eastAsia="Times New Roman" w:hAnsi="Arial" w:cs="Arial"/>
                <w:color w:val="000000"/>
                <w:sz w:val="18"/>
                <w:szCs w:val="18"/>
                <w:lang w:eastAsia="fr-FR"/>
              </w:rPr>
              <w:t>80%</w:t>
            </w:r>
          </w:p>
        </w:tc>
        <w:tc>
          <w:tcPr>
            <w:tcW w:w="813" w:type="dxa"/>
            <w:tcBorders>
              <w:top w:val="nil"/>
              <w:left w:val="nil"/>
              <w:bottom w:val="nil"/>
              <w:right w:val="nil"/>
            </w:tcBorders>
            <w:shd w:val="clear" w:color="000000" w:fill="D34B07"/>
            <w:noWrap/>
            <w:hideMark/>
          </w:tcPr>
          <w:p w:rsidR="005C014D" w:rsidRPr="002462E6" w:rsidRDefault="005C014D" w:rsidP="005C014D">
            <w:pPr>
              <w:widowControl w:val="0"/>
              <w:autoSpaceDE w:val="0"/>
              <w:autoSpaceDN w:val="0"/>
              <w:spacing w:after="0" w:line="240" w:lineRule="auto"/>
              <w:jc w:val="right"/>
              <w:rPr>
                <w:rFonts w:ascii="Arial" w:eastAsia="Times New Roman" w:hAnsi="Arial" w:cs="Arial"/>
                <w:color w:val="000000"/>
                <w:sz w:val="18"/>
                <w:szCs w:val="18"/>
                <w:lang w:eastAsia="fr-FR"/>
              </w:rPr>
            </w:pPr>
            <w:r w:rsidRPr="002462E6">
              <w:rPr>
                <w:rFonts w:ascii="Arial" w:eastAsia="Times New Roman" w:hAnsi="Arial" w:cs="Arial"/>
                <w:color w:val="000000"/>
                <w:sz w:val="18"/>
                <w:szCs w:val="18"/>
                <w:lang w:eastAsia="fr-FR"/>
              </w:rPr>
              <w:t>100%</w:t>
            </w:r>
          </w:p>
        </w:tc>
        <w:tc>
          <w:tcPr>
            <w:tcW w:w="698" w:type="dxa"/>
            <w:tcBorders>
              <w:top w:val="nil"/>
              <w:left w:val="nil"/>
              <w:bottom w:val="nil"/>
              <w:right w:val="nil"/>
            </w:tcBorders>
            <w:shd w:val="clear" w:color="000000" w:fill="D34B07"/>
            <w:noWrap/>
            <w:hideMark/>
          </w:tcPr>
          <w:p w:rsidR="005C014D" w:rsidRPr="002462E6" w:rsidRDefault="005C014D" w:rsidP="005C014D">
            <w:pPr>
              <w:widowControl w:val="0"/>
              <w:autoSpaceDE w:val="0"/>
              <w:autoSpaceDN w:val="0"/>
              <w:spacing w:after="0" w:line="240" w:lineRule="auto"/>
              <w:jc w:val="right"/>
              <w:rPr>
                <w:rFonts w:ascii="Arial" w:eastAsia="Times New Roman" w:hAnsi="Arial" w:cs="Arial"/>
                <w:color w:val="000000"/>
                <w:sz w:val="18"/>
                <w:szCs w:val="18"/>
                <w:lang w:eastAsia="fr-FR"/>
              </w:rPr>
            </w:pPr>
            <w:r w:rsidRPr="002462E6">
              <w:rPr>
                <w:rFonts w:ascii="Arial" w:eastAsia="Times New Roman" w:hAnsi="Arial" w:cs="Arial"/>
                <w:color w:val="000000"/>
                <w:sz w:val="18"/>
                <w:szCs w:val="18"/>
                <w:lang w:eastAsia="fr-FR"/>
              </w:rPr>
              <w:t>100%</w:t>
            </w:r>
          </w:p>
        </w:tc>
        <w:tc>
          <w:tcPr>
            <w:tcW w:w="1186" w:type="dxa"/>
            <w:tcBorders>
              <w:top w:val="nil"/>
              <w:left w:val="nil"/>
              <w:bottom w:val="nil"/>
              <w:right w:val="nil"/>
            </w:tcBorders>
            <w:shd w:val="clear" w:color="000000" w:fill="F4F46C"/>
            <w:noWrap/>
            <w:hideMark/>
          </w:tcPr>
          <w:p w:rsidR="005C014D" w:rsidRPr="002462E6" w:rsidRDefault="005C014D" w:rsidP="005C014D">
            <w:pPr>
              <w:widowControl w:val="0"/>
              <w:autoSpaceDE w:val="0"/>
              <w:autoSpaceDN w:val="0"/>
              <w:spacing w:after="0" w:line="240" w:lineRule="auto"/>
              <w:jc w:val="right"/>
              <w:rPr>
                <w:rFonts w:ascii="Arial" w:eastAsia="Times New Roman" w:hAnsi="Arial" w:cs="Arial"/>
                <w:color w:val="000000"/>
                <w:sz w:val="18"/>
                <w:szCs w:val="18"/>
                <w:lang w:eastAsia="fr-FR"/>
              </w:rPr>
            </w:pPr>
            <w:r w:rsidRPr="002462E6">
              <w:rPr>
                <w:rFonts w:ascii="Arial" w:eastAsia="Times New Roman" w:hAnsi="Arial" w:cs="Arial"/>
                <w:color w:val="000000"/>
                <w:sz w:val="18"/>
                <w:szCs w:val="18"/>
                <w:lang w:eastAsia="fr-FR"/>
              </w:rPr>
              <w:t>20%</w:t>
            </w:r>
          </w:p>
        </w:tc>
        <w:tc>
          <w:tcPr>
            <w:tcW w:w="1377" w:type="dxa"/>
            <w:tcBorders>
              <w:top w:val="nil"/>
              <w:left w:val="nil"/>
              <w:bottom w:val="nil"/>
              <w:right w:val="nil"/>
            </w:tcBorders>
            <w:shd w:val="clear" w:color="000000" w:fill="D34B07"/>
            <w:noWrap/>
            <w:hideMark/>
          </w:tcPr>
          <w:p w:rsidR="005C014D" w:rsidRPr="002462E6" w:rsidRDefault="005C014D" w:rsidP="005C014D">
            <w:pPr>
              <w:widowControl w:val="0"/>
              <w:autoSpaceDE w:val="0"/>
              <w:autoSpaceDN w:val="0"/>
              <w:spacing w:after="0" w:line="240" w:lineRule="auto"/>
              <w:jc w:val="right"/>
              <w:rPr>
                <w:rFonts w:ascii="Arial" w:eastAsia="Times New Roman" w:hAnsi="Arial" w:cs="Arial"/>
                <w:color w:val="000000"/>
                <w:sz w:val="18"/>
                <w:szCs w:val="18"/>
                <w:lang w:eastAsia="fr-FR"/>
              </w:rPr>
            </w:pPr>
            <w:r w:rsidRPr="002462E6">
              <w:rPr>
                <w:rFonts w:ascii="Arial" w:eastAsia="Times New Roman" w:hAnsi="Arial" w:cs="Arial"/>
                <w:color w:val="000000"/>
                <w:sz w:val="18"/>
                <w:szCs w:val="18"/>
                <w:lang w:eastAsia="fr-FR"/>
              </w:rPr>
              <w:t>80%</w:t>
            </w:r>
          </w:p>
        </w:tc>
      </w:tr>
      <w:tr w:rsidR="005C014D" w:rsidRPr="002462E6" w:rsidTr="007D633A">
        <w:trPr>
          <w:trHeight w:val="215"/>
        </w:trPr>
        <w:tc>
          <w:tcPr>
            <w:tcW w:w="801" w:type="dxa"/>
            <w:vMerge/>
            <w:tcBorders>
              <w:top w:val="nil"/>
              <w:left w:val="single" w:sz="4" w:space="0" w:color="auto"/>
              <w:bottom w:val="single" w:sz="4" w:space="0" w:color="auto"/>
              <w:right w:val="single" w:sz="4" w:space="0" w:color="auto"/>
            </w:tcBorders>
            <w:vAlign w:val="center"/>
            <w:hideMark/>
          </w:tcPr>
          <w:p w:rsidR="005C014D" w:rsidRPr="002462E6" w:rsidRDefault="005C014D" w:rsidP="005C014D">
            <w:pPr>
              <w:widowControl w:val="0"/>
              <w:autoSpaceDE w:val="0"/>
              <w:autoSpaceDN w:val="0"/>
              <w:spacing w:after="0" w:line="240" w:lineRule="auto"/>
              <w:rPr>
                <w:rFonts w:ascii="Arial" w:eastAsia="Times New Roman" w:hAnsi="Arial" w:cs="Arial"/>
                <w:b/>
                <w:bCs/>
                <w:color w:val="000000"/>
                <w:sz w:val="16"/>
                <w:szCs w:val="16"/>
                <w:lang w:eastAsia="fr-FR"/>
              </w:rPr>
            </w:pPr>
          </w:p>
        </w:tc>
        <w:tc>
          <w:tcPr>
            <w:tcW w:w="907" w:type="dxa"/>
            <w:vMerge/>
            <w:tcBorders>
              <w:top w:val="nil"/>
              <w:left w:val="single" w:sz="4" w:space="0" w:color="auto"/>
              <w:bottom w:val="single" w:sz="4" w:space="0" w:color="auto"/>
              <w:right w:val="single" w:sz="4" w:space="0" w:color="auto"/>
            </w:tcBorders>
            <w:vAlign w:val="center"/>
            <w:hideMark/>
          </w:tcPr>
          <w:p w:rsidR="005C014D" w:rsidRPr="002462E6" w:rsidRDefault="005C014D" w:rsidP="005C014D">
            <w:pPr>
              <w:widowControl w:val="0"/>
              <w:autoSpaceDE w:val="0"/>
              <w:autoSpaceDN w:val="0"/>
              <w:spacing w:after="0" w:line="240" w:lineRule="auto"/>
              <w:rPr>
                <w:rFonts w:ascii="Arial" w:eastAsia="Times New Roman" w:hAnsi="Arial" w:cs="Arial"/>
                <w:color w:val="000000"/>
                <w:sz w:val="16"/>
                <w:szCs w:val="16"/>
                <w:lang w:eastAsia="fr-FR"/>
              </w:rPr>
            </w:pPr>
          </w:p>
        </w:tc>
        <w:tc>
          <w:tcPr>
            <w:tcW w:w="1076" w:type="dxa"/>
            <w:tcBorders>
              <w:top w:val="nil"/>
              <w:left w:val="nil"/>
              <w:bottom w:val="single" w:sz="4" w:space="0" w:color="auto"/>
              <w:right w:val="single" w:sz="4" w:space="0" w:color="auto"/>
            </w:tcBorders>
            <w:shd w:val="clear" w:color="auto" w:fill="auto"/>
            <w:noWrap/>
            <w:vAlign w:val="center"/>
            <w:hideMark/>
          </w:tcPr>
          <w:p w:rsidR="005C014D" w:rsidRPr="00F9749C" w:rsidRDefault="005C014D" w:rsidP="005C014D">
            <w:pPr>
              <w:widowControl w:val="0"/>
              <w:autoSpaceDE w:val="0"/>
              <w:autoSpaceDN w:val="0"/>
              <w:spacing w:after="0" w:line="240" w:lineRule="auto"/>
              <w:rPr>
                <w:rFonts w:ascii="Arial" w:eastAsia="Times New Roman" w:hAnsi="Arial" w:cs="Arial"/>
                <w:color w:val="000000"/>
                <w:sz w:val="18"/>
                <w:szCs w:val="18"/>
                <w:lang w:eastAsia="fr-FR"/>
              </w:rPr>
            </w:pPr>
            <w:r w:rsidRPr="00F9749C">
              <w:rPr>
                <w:rFonts w:ascii="Arial" w:eastAsia="Times New Roman" w:hAnsi="Arial" w:cs="Arial"/>
                <w:color w:val="000000"/>
                <w:sz w:val="18"/>
                <w:szCs w:val="18"/>
                <w:lang w:eastAsia="fr-FR"/>
              </w:rPr>
              <w:t>Chlihiyine</w:t>
            </w:r>
          </w:p>
        </w:tc>
        <w:tc>
          <w:tcPr>
            <w:tcW w:w="941" w:type="dxa"/>
            <w:tcBorders>
              <w:top w:val="nil"/>
              <w:left w:val="nil"/>
              <w:bottom w:val="nil"/>
              <w:right w:val="nil"/>
            </w:tcBorders>
            <w:shd w:val="clear" w:color="000000" w:fill="D34B07"/>
            <w:noWrap/>
            <w:hideMark/>
          </w:tcPr>
          <w:p w:rsidR="005C014D" w:rsidRPr="002462E6" w:rsidRDefault="005C014D" w:rsidP="005C014D">
            <w:pPr>
              <w:widowControl w:val="0"/>
              <w:autoSpaceDE w:val="0"/>
              <w:autoSpaceDN w:val="0"/>
              <w:spacing w:after="0" w:line="240" w:lineRule="auto"/>
              <w:jc w:val="right"/>
              <w:rPr>
                <w:rFonts w:ascii="Arial" w:eastAsia="Times New Roman" w:hAnsi="Arial" w:cs="Arial"/>
                <w:color w:val="000000"/>
                <w:sz w:val="18"/>
                <w:szCs w:val="18"/>
                <w:lang w:eastAsia="fr-FR"/>
              </w:rPr>
            </w:pPr>
            <w:r w:rsidRPr="002462E6">
              <w:rPr>
                <w:rFonts w:ascii="Arial" w:eastAsia="Times New Roman" w:hAnsi="Arial" w:cs="Arial"/>
                <w:color w:val="000000"/>
                <w:sz w:val="18"/>
                <w:szCs w:val="18"/>
                <w:lang w:eastAsia="fr-FR"/>
              </w:rPr>
              <w:t>100%</w:t>
            </w:r>
          </w:p>
        </w:tc>
        <w:tc>
          <w:tcPr>
            <w:tcW w:w="982" w:type="dxa"/>
            <w:tcBorders>
              <w:top w:val="nil"/>
              <w:left w:val="nil"/>
              <w:bottom w:val="nil"/>
              <w:right w:val="nil"/>
            </w:tcBorders>
            <w:shd w:val="clear" w:color="000000" w:fill="D34B07"/>
            <w:noWrap/>
            <w:hideMark/>
          </w:tcPr>
          <w:p w:rsidR="005C014D" w:rsidRPr="002462E6" w:rsidRDefault="005C014D" w:rsidP="005C014D">
            <w:pPr>
              <w:widowControl w:val="0"/>
              <w:autoSpaceDE w:val="0"/>
              <w:autoSpaceDN w:val="0"/>
              <w:spacing w:after="0" w:line="240" w:lineRule="auto"/>
              <w:jc w:val="right"/>
              <w:rPr>
                <w:rFonts w:ascii="Arial" w:eastAsia="Times New Roman" w:hAnsi="Arial" w:cs="Arial"/>
                <w:color w:val="000000"/>
                <w:sz w:val="18"/>
                <w:szCs w:val="18"/>
                <w:lang w:eastAsia="fr-FR"/>
              </w:rPr>
            </w:pPr>
            <w:r w:rsidRPr="002462E6">
              <w:rPr>
                <w:rFonts w:ascii="Arial" w:eastAsia="Times New Roman" w:hAnsi="Arial" w:cs="Arial"/>
                <w:color w:val="000000"/>
                <w:sz w:val="18"/>
                <w:szCs w:val="18"/>
                <w:lang w:eastAsia="fr-FR"/>
              </w:rPr>
              <w:t>100%</w:t>
            </w:r>
          </w:p>
        </w:tc>
        <w:tc>
          <w:tcPr>
            <w:tcW w:w="712" w:type="dxa"/>
            <w:tcBorders>
              <w:top w:val="nil"/>
              <w:left w:val="single" w:sz="4" w:space="0" w:color="000000"/>
              <w:bottom w:val="nil"/>
              <w:right w:val="single" w:sz="4" w:space="0" w:color="000000"/>
            </w:tcBorders>
            <w:shd w:val="clear" w:color="000000" w:fill="D34B07"/>
            <w:noWrap/>
            <w:hideMark/>
          </w:tcPr>
          <w:p w:rsidR="005C014D" w:rsidRPr="002462E6" w:rsidRDefault="005C014D" w:rsidP="005C014D">
            <w:pPr>
              <w:widowControl w:val="0"/>
              <w:autoSpaceDE w:val="0"/>
              <w:autoSpaceDN w:val="0"/>
              <w:spacing w:after="0" w:line="240" w:lineRule="auto"/>
              <w:jc w:val="right"/>
              <w:rPr>
                <w:rFonts w:ascii="Arial" w:eastAsia="Times New Roman" w:hAnsi="Arial" w:cs="Arial"/>
                <w:color w:val="000000"/>
                <w:sz w:val="18"/>
                <w:szCs w:val="18"/>
                <w:lang w:eastAsia="fr-FR"/>
              </w:rPr>
            </w:pPr>
            <w:r w:rsidRPr="002462E6">
              <w:rPr>
                <w:rFonts w:ascii="Arial" w:eastAsia="Times New Roman" w:hAnsi="Arial" w:cs="Arial"/>
                <w:color w:val="000000"/>
                <w:sz w:val="18"/>
                <w:szCs w:val="18"/>
                <w:lang w:eastAsia="fr-FR"/>
              </w:rPr>
              <w:t>100%</w:t>
            </w:r>
          </w:p>
        </w:tc>
        <w:tc>
          <w:tcPr>
            <w:tcW w:w="813" w:type="dxa"/>
            <w:tcBorders>
              <w:top w:val="nil"/>
              <w:left w:val="nil"/>
              <w:bottom w:val="nil"/>
              <w:right w:val="nil"/>
            </w:tcBorders>
            <w:shd w:val="clear" w:color="000000" w:fill="D34B07"/>
            <w:noWrap/>
            <w:hideMark/>
          </w:tcPr>
          <w:p w:rsidR="005C014D" w:rsidRPr="002462E6" w:rsidRDefault="005C014D" w:rsidP="005C014D">
            <w:pPr>
              <w:widowControl w:val="0"/>
              <w:autoSpaceDE w:val="0"/>
              <w:autoSpaceDN w:val="0"/>
              <w:spacing w:after="0" w:line="240" w:lineRule="auto"/>
              <w:jc w:val="right"/>
              <w:rPr>
                <w:rFonts w:ascii="Arial" w:eastAsia="Times New Roman" w:hAnsi="Arial" w:cs="Arial"/>
                <w:color w:val="000000"/>
                <w:sz w:val="18"/>
                <w:szCs w:val="18"/>
                <w:lang w:eastAsia="fr-FR"/>
              </w:rPr>
            </w:pPr>
            <w:r w:rsidRPr="002462E6">
              <w:rPr>
                <w:rFonts w:ascii="Arial" w:eastAsia="Times New Roman" w:hAnsi="Arial" w:cs="Arial"/>
                <w:color w:val="000000"/>
                <w:sz w:val="18"/>
                <w:szCs w:val="18"/>
                <w:lang w:eastAsia="fr-FR"/>
              </w:rPr>
              <w:t>100%</w:t>
            </w:r>
          </w:p>
        </w:tc>
        <w:tc>
          <w:tcPr>
            <w:tcW w:w="698" w:type="dxa"/>
            <w:tcBorders>
              <w:top w:val="nil"/>
              <w:left w:val="nil"/>
              <w:bottom w:val="nil"/>
              <w:right w:val="nil"/>
            </w:tcBorders>
            <w:shd w:val="clear" w:color="000000" w:fill="FFC000"/>
            <w:noWrap/>
            <w:hideMark/>
          </w:tcPr>
          <w:p w:rsidR="005C014D" w:rsidRPr="002462E6" w:rsidRDefault="005C014D" w:rsidP="005C014D">
            <w:pPr>
              <w:widowControl w:val="0"/>
              <w:autoSpaceDE w:val="0"/>
              <w:autoSpaceDN w:val="0"/>
              <w:spacing w:after="0" w:line="240" w:lineRule="auto"/>
              <w:jc w:val="right"/>
              <w:rPr>
                <w:rFonts w:ascii="Arial" w:eastAsia="Times New Roman" w:hAnsi="Arial" w:cs="Arial"/>
                <w:color w:val="000000"/>
                <w:sz w:val="18"/>
                <w:szCs w:val="18"/>
                <w:lang w:eastAsia="fr-FR"/>
              </w:rPr>
            </w:pPr>
            <w:r w:rsidRPr="002462E6">
              <w:rPr>
                <w:rFonts w:ascii="Arial" w:eastAsia="Times New Roman" w:hAnsi="Arial" w:cs="Arial"/>
                <w:color w:val="000000"/>
                <w:sz w:val="18"/>
                <w:szCs w:val="18"/>
                <w:lang w:eastAsia="fr-FR"/>
              </w:rPr>
              <w:t>60%</w:t>
            </w:r>
          </w:p>
        </w:tc>
        <w:tc>
          <w:tcPr>
            <w:tcW w:w="1186" w:type="dxa"/>
            <w:tcBorders>
              <w:top w:val="nil"/>
              <w:left w:val="nil"/>
              <w:bottom w:val="nil"/>
              <w:right w:val="nil"/>
            </w:tcBorders>
            <w:shd w:val="clear" w:color="000000" w:fill="F4F46C"/>
            <w:noWrap/>
            <w:hideMark/>
          </w:tcPr>
          <w:p w:rsidR="005C014D" w:rsidRPr="002462E6" w:rsidRDefault="005C014D" w:rsidP="005C014D">
            <w:pPr>
              <w:widowControl w:val="0"/>
              <w:autoSpaceDE w:val="0"/>
              <w:autoSpaceDN w:val="0"/>
              <w:spacing w:after="0" w:line="240" w:lineRule="auto"/>
              <w:jc w:val="right"/>
              <w:rPr>
                <w:rFonts w:ascii="Arial" w:eastAsia="Times New Roman" w:hAnsi="Arial" w:cs="Arial"/>
                <w:color w:val="000000"/>
                <w:sz w:val="18"/>
                <w:szCs w:val="18"/>
                <w:lang w:eastAsia="fr-FR"/>
              </w:rPr>
            </w:pPr>
            <w:r w:rsidRPr="002462E6">
              <w:rPr>
                <w:rFonts w:ascii="Arial" w:eastAsia="Times New Roman" w:hAnsi="Arial" w:cs="Arial"/>
                <w:color w:val="000000"/>
                <w:sz w:val="18"/>
                <w:szCs w:val="18"/>
                <w:lang w:eastAsia="fr-FR"/>
              </w:rPr>
              <w:t>20%</w:t>
            </w:r>
          </w:p>
        </w:tc>
        <w:tc>
          <w:tcPr>
            <w:tcW w:w="1377" w:type="dxa"/>
            <w:tcBorders>
              <w:top w:val="nil"/>
              <w:left w:val="nil"/>
              <w:bottom w:val="nil"/>
              <w:right w:val="nil"/>
            </w:tcBorders>
            <w:shd w:val="clear" w:color="000000" w:fill="D34B07"/>
            <w:noWrap/>
            <w:hideMark/>
          </w:tcPr>
          <w:p w:rsidR="005C014D" w:rsidRPr="002462E6" w:rsidRDefault="005C014D" w:rsidP="005C014D">
            <w:pPr>
              <w:widowControl w:val="0"/>
              <w:autoSpaceDE w:val="0"/>
              <w:autoSpaceDN w:val="0"/>
              <w:spacing w:after="0" w:line="240" w:lineRule="auto"/>
              <w:jc w:val="right"/>
              <w:rPr>
                <w:rFonts w:ascii="Arial" w:eastAsia="Times New Roman" w:hAnsi="Arial" w:cs="Arial"/>
                <w:color w:val="000000"/>
                <w:sz w:val="18"/>
                <w:szCs w:val="18"/>
                <w:lang w:eastAsia="fr-FR"/>
              </w:rPr>
            </w:pPr>
            <w:r w:rsidRPr="002462E6">
              <w:rPr>
                <w:rFonts w:ascii="Arial" w:eastAsia="Times New Roman" w:hAnsi="Arial" w:cs="Arial"/>
                <w:color w:val="000000"/>
                <w:sz w:val="18"/>
                <w:szCs w:val="18"/>
                <w:lang w:eastAsia="fr-FR"/>
              </w:rPr>
              <w:t>80%</w:t>
            </w:r>
          </w:p>
        </w:tc>
      </w:tr>
      <w:tr w:rsidR="005C014D" w:rsidRPr="002462E6" w:rsidTr="007D633A">
        <w:trPr>
          <w:trHeight w:val="215"/>
        </w:trPr>
        <w:tc>
          <w:tcPr>
            <w:tcW w:w="801" w:type="dxa"/>
            <w:vMerge/>
            <w:tcBorders>
              <w:top w:val="nil"/>
              <w:left w:val="single" w:sz="4" w:space="0" w:color="auto"/>
              <w:bottom w:val="single" w:sz="4" w:space="0" w:color="auto"/>
              <w:right w:val="single" w:sz="4" w:space="0" w:color="auto"/>
            </w:tcBorders>
            <w:vAlign w:val="center"/>
            <w:hideMark/>
          </w:tcPr>
          <w:p w:rsidR="005C014D" w:rsidRPr="002462E6" w:rsidRDefault="005C014D" w:rsidP="005C014D">
            <w:pPr>
              <w:widowControl w:val="0"/>
              <w:autoSpaceDE w:val="0"/>
              <w:autoSpaceDN w:val="0"/>
              <w:spacing w:after="0" w:line="240" w:lineRule="auto"/>
              <w:rPr>
                <w:rFonts w:ascii="Arial" w:eastAsia="Times New Roman" w:hAnsi="Arial" w:cs="Arial"/>
                <w:b/>
                <w:bCs/>
                <w:color w:val="000000"/>
                <w:sz w:val="16"/>
                <w:szCs w:val="16"/>
                <w:lang w:eastAsia="fr-FR"/>
              </w:rPr>
            </w:pPr>
          </w:p>
        </w:tc>
        <w:tc>
          <w:tcPr>
            <w:tcW w:w="907" w:type="dxa"/>
            <w:vMerge w:val="restart"/>
            <w:tcBorders>
              <w:top w:val="nil"/>
              <w:left w:val="single" w:sz="4" w:space="0" w:color="auto"/>
              <w:bottom w:val="single" w:sz="4" w:space="0" w:color="auto"/>
              <w:right w:val="single" w:sz="4" w:space="0" w:color="auto"/>
            </w:tcBorders>
            <w:shd w:val="clear" w:color="auto" w:fill="auto"/>
            <w:noWrap/>
            <w:vAlign w:val="center"/>
            <w:hideMark/>
          </w:tcPr>
          <w:p w:rsidR="005C014D" w:rsidRPr="002462E6" w:rsidRDefault="005C014D" w:rsidP="005C014D">
            <w:pPr>
              <w:widowControl w:val="0"/>
              <w:autoSpaceDE w:val="0"/>
              <w:autoSpaceDN w:val="0"/>
              <w:spacing w:after="0" w:line="240" w:lineRule="auto"/>
              <w:jc w:val="center"/>
              <w:rPr>
                <w:rFonts w:ascii="Arial" w:eastAsia="Times New Roman" w:hAnsi="Arial" w:cs="Arial"/>
                <w:color w:val="000000"/>
                <w:sz w:val="16"/>
                <w:szCs w:val="16"/>
                <w:lang w:eastAsia="fr-FR"/>
              </w:rPr>
            </w:pPr>
            <w:r w:rsidRPr="002462E6">
              <w:rPr>
                <w:rFonts w:ascii="Arial" w:eastAsia="Times New Roman" w:hAnsi="Arial" w:cs="Arial"/>
                <w:color w:val="000000"/>
                <w:sz w:val="16"/>
                <w:szCs w:val="16"/>
                <w:lang w:eastAsia="fr-FR"/>
              </w:rPr>
              <w:t xml:space="preserve">Brachoua </w:t>
            </w:r>
          </w:p>
        </w:tc>
        <w:tc>
          <w:tcPr>
            <w:tcW w:w="1076" w:type="dxa"/>
            <w:tcBorders>
              <w:top w:val="nil"/>
              <w:left w:val="nil"/>
              <w:bottom w:val="single" w:sz="4" w:space="0" w:color="auto"/>
              <w:right w:val="single" w:sz="4" w:space="0" w:color="auto"/>
            </w:tcBorders>
            <w:shd w:val="clear" w:color="auto" w:fill="auto"/>
            <w:noWrap/>
            <w:vAlign w:val="center"/>
            <w:hideMark/>
          </w:tcPr>
          <w:p w:rsidR="005C014D" w:rsidRPr="00F9749C" w:rsidRDefault="005C014D" w:rsidP="005C014D">
            <w:pPr>
              <w:widowControl w:val="0"/>
              <w:autoSpaceDE w:val="0"/>
              <w:autoSpaceDN w:val="0"/>
              <w:spacing w:after="0" w:line="240" w:lineRule="auto"/>
              <w:rPr>
                <w:rFonts w:ascii="Arial" w:eastAsia="Times New Roman" w:hAnsi="Arial" w:cs="Arial"/>
                <w:color w:val="000000"/>
                <w:sz w:val="18"/>
                <w:szCs w:val="18"/>
                <w:lang w:eastAsia="fr-FR"/>
              </w:rPr>
            </w:pPr>
            <w:r w:rsidRPr="00F9749C">
              <w:rPr>
                <w:rFonts w:ascii="Arial" w:eastAsia="Times New Roman" w:hAnsi="Arial" w:cs="Arial"/>
                <w:color w:val="000000"/>
                <w:sz w:val="18"/>
                <w:szCs w:val="18"/>
                <w:lang w:eastAsia="fr-FR"/>
              </w:rPr>
              <w:t>Oulad Oumrane</w:t>
            </w:r>
          </w:p>
        </w:tc>
        <w:tc>
          <w:tcPr>
            <w:tcW w:w="941" w:type="dxa"/>
            <w:tcBorders>
              <w:top w:val="nil"/>
              <w:left w:val="nil"/>
              <w:bottom w:val="nil"/>
              <w:right w:val="nil"/>
            </w:tcBorders>
            <w:shd w:val="clear" w:color="000000" w:fill="FFC000"/>
            <w:noWrap/>
            <w:hideMark/>
          </w:tcPr>
          <w:p w:rsidR="005C014D" w:rsidRPr="002462E6" w:rsidRDefault="005C014D" w:rsidP="005C014D">
            <w:pPr>
              <w:widowControl w:val="0"/>
              <w:autoSpaceDE w:val="0"/>
              <w:autoSpaceDN w:val="0"/>
              <w:spacing w:after="0" w:line="240" w:lineRule="auto"/>
              <w:jc w:val="right"/>
              <w:rPr>
                <w:rFonts w:ascii="Arial" w:eastAsia="Times New Roman" w:hAnsi="Arial" w:cs="Arial"/>
                <w:color w:val="000000"/>
                <w:sz w:val="18"/>
                <w:szCs w:val="18"/>
                <w:lang w:eastAsia="fr-FR"/>
              </w:rPr>
            </w:pPr>
            <w:r w:rsidRPr="002462E6">
              <w:rPr>
                <w:rFonts w:ascii="Arial" w:eastAsia="Times New Roman" w:hAnsi="Arial" w:cs="Arial"/>
                <w:color w:val="000000"/>
                <w:sz w:val="18"/>
                <w:szCs w:val="18"/>
                <w:lang w:eastAsia="fr-FR"/>
              </w:rPr>
              <w:t>60%</w:t>
            </w:r>
          </w:p>
        </w:tc>
        <w:tc>
          <w:tcPr>
            <w:tcW w:w="982" w:type="dxa"/>
            <w:tcBorders>
              <w:top w:val="nil"/>
              <w:left w:val="nil"/>
              <w:bottom w:val="nil"/>
              <w:right w:val="nil"/>
            </w:tcBorders>
            <w:shd w:val="clear" w:color="000000" w:fill="D34B07"/>
            <w:noWrap/>
            <w:hideMark/>
          </w:tcPr>
          <w:p w:rsidR="005C014D" w:rsidRPr="002462E6" w:rsidRDefault="005C014D" w:rsidP="005C014D">
            <w:pPr>
              <w:widowControl w:val="0"/>
              <w:autoSpaceDE w:val="0"/>
              <w:autoSpaceDN w:val="0"/>
              <w:spacing w:after="0" w:line="240" w:lineRule="auto"/>
              <w:jc w:val="right"/>
              <w:rPr>
                <w:rFonts w:ascii="Arial" w:eastAsia="Times New Roman" w:hAnsi="Arial" w:cs="Arial"/>
                <w:color w:val="000000"/>
                <w:sz w:val="18"/>
                <w:szCs w:val="18"/>
                <w:lang w:eastAsia="fr-FR"/>
              </w:rPr>
            </w:pPr>
            <w:r w:rsidRPr="002462E6">
              <w:rPr>
                <w:rFonts w:ascii="Arial" w:eastAsia="Times New Roman" w:hAnsi="Arial" w:cs="Arial"/>
                <w:color w:val="000000"/>
                <w:sz w:val="18"/>
                <w:szCs w:val="18"/>
                <w:lang w:eastAsia="fr-FR"/>
              </w:rPr>
              <w:t>100%</w:t>
            </w:r>
          </w:p>
        </w:tc>
        <w:tc>
          <w:tcPr>
            <w:tcW w:w="712" w:type="dxa"/>
            <w:tcBorders>
              <w:top w:val="nil"/>
              <w:left w:val="single" w:sz="4" w:space="0" w:color="000000"/>
              <w:bottom w:val="nil"/>
              <w:right w:val="single" w:sz="4" w:space="0" w:color="000000"/>
            </w:tcBorders>
            <w:shd w:val="clear" w:color="000000" w:fill="FFC000"/>
            <w:noWrap/>
            <w:hideMark/>
          </w:tcPr>
          <w:p w:rsidR="005C014D" w:rsidRPr="002462E6" w:rsidRDefault="005C014D" w:rsidP="005C014D">
            <w:pPr>
              <w:widowControl w:val="0"/>
              <w:autoSpaceDE w:val="0"/>
              <w:autoSpaceDN w:val="0"/>
              <w:spacing w:after="0" w:line="240" w:lineRule="auto"/>
              <w:jc w:val="right"/>
              <w:rPr>
                <w:rFonts w:ascii="Arial" w:eastAsia="Times New Roman" w:hAnsi="Arial" w:cs="Arial"/>
                <w:color w:val="000000"/>
                <w:sz w:val="18"/>
                <w:szCs w:val="18"/>
                <w:lang w:eastAsia="fr-FR"/>
              </w:rPr>
            </w:pPr>
            <w:r w:rsidRPr="002462E6">
              <w:rPr>
                <w:rFonts w:ascii="Arial" w:eastAsia="Times New Roman" w:hAnsi="Arial" w:cs="Arial"/>
                <w:color w:val="000000"/>
                <w:sz w:val="18"/>
                <w:szCs w:val="18"/>
                <w:lang w:eastAsia="fr-FR"/>
              </w:rPr>
              <w:t>60%</w:t>
            </w:r>
          </w:p>
        </w:tc>
        <w:tc>
          <w:tcPr>
            <w:tcW w:w="813" w:type="dxa"/>
            <w:tcBorders>
              <w:top w:val="nil"/>
              <w:left w:val="nil"/>
              <w:bottom w:val="nil"/>
              <w:right w:val="nil"/>
            </w:tcBorders>
            <w:shd w:val="clear" w:color="000000" w:fill="D34B07"/>
            <w:noWrap/>
            <w:hideMark/>
          </w:tcPr>
          <w:p w:rsidR="005C014D" w:rsidRPr="002462E6" w:rsidRDefault="005C014D" w:rsidP="005C014D">
            <w:pPr>
              <w:widowControl w:val="0"/>
              <w:autoSpaceDE w:val="0"/>
              <w:autoSpaceDN w:val="0"/>
              <w:spacing w:after="0" w:line="240" w:lineRule="auto"/>
              <w:jc w:val="right"/>
              <w:rPr>
                <w:rFonts w:ascii="Arial" w:eastAsia="Times New Roman" w:hAnsi="Arial" w:cs="Arial"/>
                <w:color w:val="000000"/>
                <w:sz w:val="18"/>
                <w:szCs w:val="18"/>
                <w:lang w:eastAsia="fr-FR"/>
              </w:rPr>
            </w:pPr>
            <w:r w:rsidRPr="002462E6">
              <w:rPr>
                <w:rFonts w:ascii="Arial" w:eastAsia="Times New Roman" w:hAnsi="Arial" w:cs="Arial"/>
                <w:color w:val="000000"/>
                <w:sz w:val="18"/>
                <w:szCs w:val="18"/>
                <w:lang w:eastAsia="fr-FR"/>
              </w:rPr>
              <w:t>100%</w:t>
            </w:r>
          </w:p>
        </w:tc>
        <w:tc>
          <w:tcPr>
            <w:tcW w:w="698" w:type="dxa"/>
            <w:tcBorders>
              <w:top w:val="nil"/>
              <w:left w:val="nil"/>
              <w:bottom w:val="nil"/>
              <w:right w:val="nil"/>
            </w:tcBorders>
            <w:shd w:val="clear" w:color="000000" w:fill="D34B07"/>
            <w:noWrap/>
            <w:hideMark/>
          </w:tcPr>
          <w:p w:rsidR="005C014D" w:rsidRPr="002462E6" w:rsidRDefault="005C014D" w:rsidP="005C014D">
            <w:pPr>
              <w:widowControl w:val="0"/>
              <w:autoSpaceDE w:val="0"/>
              <w:autoSpaceDN w:val="0"/>
              <w:spacing w:after="0" w:line="240" w:lineRule="auto"/>
              <w:jc w:val="right"/>
              <w:rPr>
                <w:rFonts w:ascii="Arial" w:eastAsia="Times New Roman" w:hAnsi="Arial" w:cs="Arial"/>
                <w:color w:val="000000"/>
                <w:sz w:val="18"/>
                <w:szCs w:val="18"/>
                <w:lang w:eastAsia="fr-FR"/>
              </w:rPr>
            </w:pPr>
            <w:r w:rsidRPr="002462E6">
              <w:rPr>
                <w:rFonts w:ascii="Arial" w:eastAsia="Times New Roman" w:hAnsi="Arial" w:cs="Arial"/>
                <w:color w:val="000000"/>
                <w:sz w:val="18"/>
                <w:szCs w:val="18"/>
                <w:lang w:eastAsia="fr-FR"/>
              </w:rPr>
              <w:t>100%</w:t>
            </w:r>
          </w:p>
        </w:tc>
        <w:tc>
          <w:tcPr>
            <w:tcW w:w="1186" w:type="dxa"/>
            <w:tcBorders>
              <w:top w:val="nil"/>
              <w:left w:val="nil"/>
              <w:bottom w:val="nil"/>
              <w:right w:val="nil"/>
            </w:tcBorders>
            <w:shd w:val="clear" w:color="000000" w:fill="F4F46C"/>
            <w:noWrap/>
            <w:hideMark/>
          </w:tcPr>
          <w:p w:rsidR="005C014D" w:rsidRPr="002462E6" w:rsidRDefault="005C014D" w:rsidP="005C014D">
            <w:pPr>
              <w:widowControl w:val="0"/>
              <w:autoSpaceDE w:val="0"/>
              <w:autoSpaceDN w:val="0"/>
              <w:spacing w:after="0" w:line="240" w:lineRule="auto"/>
              <w:jc w:val="right"/>
              <w:rPr>
                <w:rFonts w:ascii="Arial" w:eastAsia="Times New Roman" w:hAnsi="Arial" w:cs="Arial"/>
                <w:color w:val="000000"/>
                <w:sz w:val="18"/>
                <w:szCs w:val="18"/>
                <w:lang w:eastAsia="fr-FR"/>
              </w:rPr>
            </w:pPr>
            <w:r w:rsidRPr="002462E6">
              <w:rPr>
                <w:rFonts w:ascii="Arial" w:eastAsia="Times New Roman" w:hAnsi="Arial" w:cs="Arial"/>
                <w:color w:val="000000"/>
                <w:sz w:val="18"/>
                <w:szCs w:val="18"/>
                <w:lang w:eastAsia="fr-FR"/>
              </w:rPr>
              <w:t>40%</w:t>
            </w:r>
          </w:p>
        </w:tc>
        <w:tc>
          <w:tcPr>
            <w:tcW w:w="1377" w:type="dxa"/>
            <w:tcBorders>
              <w:top w:val="nil"/>
              <w:left w:val="nil"/>
              <w:bottom w:val="nil"/>
              <w:right w:val="nil"/>
            </w:tcBorders>
            <w:shd w:val="clear" w:color="000000" w:fill="D34B07"/>
            <w:noWrap/>
            <w:hideMark/>
          </w:tcPr>
          <w:p w:rsidR="005C014D" w:rsidRPr="002462E6" w:rsidRDefault="005C014D" w:rsidP="005C014D">
            <w:pPr>
              <w:widowControl w:val="0"/>
              <w:autoSpaceDE w:val="0"/>
              <w:autoSpaceDN w:val="0"/>
              <w:spacing w:after="0" w:line="240" w:lineRule="auto"/>
              <w:jc w:val="right"/>
              <w:rPr>
                <w:rFonts w:ascii="Arial" w:eastAsia="Times New Roman" w:hAnsi="Arial" w:cs="Arial"/>
                <w:color w:val="000000"/>
                <w:sz w:val="18"/>
                <w:szCs w:val="18"/>
                <w:lang w:eastAsia="fr-FR"/>
              </w:rPr>
            </w:pPr>
            <w:r w:rsidRPr="002462E6">
              <w:rPr>
                <w:rFonts w:ascii="Arial" w:eastAsia="Times New Roman" w:hAnsi="Arial" w:cs="Arial"/>
                <w:color w:val="000000"/>
                <w:sz w:val="18"/>
                <w:szCs w:val="18"/>
                <w:lang w:eastAsia="fr-FR"/>
              </w:rPr>
              <w:t>77%</w:t>
            </w:r>
          </w:p>
        </w:tc>
      </w:tr>
      <w:tr w:rsidR="005C014D" w:rsidRPr="002462E6" w:rsidTr="007D633A">
        <w:trPr>
          <w:trHeight w:val="215"/>
        </w:trPr>
        <w:tc>
          <w:tcPr>
            <w:tcW w:w="801" w:type="dxa"/>
            <w:vMerge/>
            <w:tcBorders>
              <w:top w:val="nil"/>
              <w:left w:val="single" w:sz="4" w:space="0" w:color="auto"/>
              <w:bottom w:val="single" w:sz="4" w:space="0" w:color="auto"/>
              <w:right w:val="single" w:sz="4" w:space="0" w:color="auto"/>
            </w:tcBorders>
            <w:vAlign w:val="center"/>
            <w:hideMark/>
          </w:tcPr>
          <w:p w:rsidR="005C014D" w:rsidRPr="002462E6" w:rsidRDefault="005C014D" w:rsidP="005C014D">
            <w:pPr>
              <w:widowControl w:val="0"/>
              <w:autoSpaceDE w:val="0"/>
              <w:autoSpaceDN w:val="0"/>
              <w:spacing w:after="0" w:line="240" w:lineRule="auto"/>
              <w:rPr>
                <w:rFonts w:ascii="Arial" w:eastAsia="Times New Roman" w:hAnsi="Arial" w:cs="Arial"/>
                <w:b/>
                <w:bCs/>
                <w:color w:val="000000"/>
                <w:sz w:val="16"/>
                <w:szCs w:val="16"/>
                <w:lang w:eastAsia="fr-FR"/>
              </w:rPr>
            </w:pPr>
          </w:p>
        </w:tc>
        <w:tc>
          <w:tcPr>
            <w:tcW w:w="907" w:type="dxa"/>
            <w:vMerge/>
            <w:tcBorders>
              <w:top w:val="nil"/>
              <w:left w:val="single" w:sz="4" w:space="0" w:color="auto"/>
              <w:bottom w:val="single" w:sz="4" w:space="0" w:color="auto"/>
              <w:right w:val="single" w:sz="4" w:space="0" w:color="auto"/>
            </w:tcBorders>
            <w:vAlign w:val="center"/>
            <w:hideMark/>
          </w:tcPr>
          <w:p w:rsidR="005C014D" w:rsidRPr="002462E6" w:rsidRDefault="005C014D" w:rsidP="005C014D">
            <w:pPr>
              <w:widowControl w:val="0"/>
              <w:autoSpaceDE w:val="0"/>
              <w:autoSpaceDN w:val="0"/>
              <w:spacing w:after="0" w:line="240" w:lineRule="auto"/>
              <w:rPr>
                <w:rFonts w:ascii="Arial" w:eastAsia="Times New Roman" w:hAnsi="Arial" w:cs="Arial"/>
                <w:color w:val="000000"/>
                <w:sz w:val="16"/>
                <w:szCs w:val="16"/>
                <w:lang w:eastAsia="fr-FR"/>
              </w:rPr>
            </w:pPr>
          </w:p>
        </w:tc>
        <w:tc>
          <w:tcPr>
            <w:tcW w:w="1076" w:type="dxa"/>
            <w:tcBorders>
              <w:top w:val="nil"/>
              <w:left w:val="nil"/>
              <w:bottom w:val="single" w:sz="4" w:space="0" w:color="auto"/>
              <w:right w:val="single" w:sz="4" w:space="0" w:color="auto"/>
            </w:tcBorders>
            <w:shd w:val="clear" w:color="auto" w:fill="auto"/>
            <w:noWrap/>
            <w:vAlign w:val="center"/>
            <w:hideMark/>
          </w:tcPr>
          <w:p w:rsidR="005C014D" w:rsidRPr="00F9749C" w:rsidRDefault="005C014D" w:rsidP="005C014D">
            <w:pPr>
              <w:widowControl w:val="0"/>
              <w:autoSpaceDE w:val="0"/>
              <w:autoSpaceDN w:val="0"/>
              <w:spacing w:after="0" w:line="240" w:lineRule="auto"/>
              <w:rPr>
                <w:rFonts w:ascii="Arial" w:eastAsia="Times New Roman" w:hAnsi="Arial" w:cs="Arial"/>
                <w:color w:val="000000"/>
                <w:sz w:val="18"/>
                <w:szCs w:val="18"/>
                <w:lang w:eastAsia="fr-FR"/>
              </w:rPr>
            </w:pPr>
            <w:r w:rsidRPr="00F9749C">
              <w:rPr>
                <w:rFonts w:ascii="Arial" w:eastAsia="Times New Roman" w:hAnsi="Arial" w:cs="Arial"/>
                <w:color w:val="000000"/>
                <w:sz w:val="18"/>
                <w:szCs w:val="18"/>
                <w:lang w:eastAsia="fr-FR"/>
              </w:rPr>
              <w:t>Ait Ali</w:t>
            </w:r>
          </w:p>
        </w:tc>
        <w:tc>
          <w:tcPr>
            <w:tcW w:w="941" w:type="dxa"/>
            <w:tcBorders>
              <w:top w:val="nil"/>
              <w:left w:val="nil"/>
              <w:bottom w:val="nil"/>
              <w:right w:val="nil"/>
            </w:tcBorders>
            <w:shd w:val="clear" w:color="000000" w:fill="D34B07"/>
            <w:noWrap/>
            <w:hideMark/>
          </w:tcPr>
          <w:p w:rsidR="005C014D" w:rsidRPr="002462E6" w:rsidRDefault="005C014D" w:rsidP="005C014D">
            <w:pPr>
              <w:widowControl w:val="0"/>
              <w:autoSpaceDE w:val="0"/>
              <w:autoSpaceDN w:val="0"/>
              <w:spacing w:after="0" w:line="240" w:lineRule="auto"/>
              <w:jc w:val="right"/>
              <w:rPr>
                <w:rFonts w:ascii="Arial" w:eastAsia="Times New Roman" w:hAnsi="Arial" w:cs="Arial"/>
                <w:color w:val="000000"/>
                <w:sz w:val="18"/>
                <w:szCs w:val="18"/>
                <w:lang w:eastAsia="fr-FR"/>
              </w:rPr>
            </w:pPr>
            <w:r w:rsidRPr="002462E6">
              <w:rPr>
                <w:rFonts w:ascii="Arial" w:eastAsia="Times New Roman" w:hAnsi="Arial" w:cs="Arial"/>
                <w:color w:val="000000"/>
                <w:sz w:val="18"/>
                <w:szCs w:val="18"/>
                <w:lang w:eastAsia="fr-FR"/>
              </w:rPr>
              <w:t>100%</w:t>
            </w:r>
          </w:p>
        </w:tc>
        <w:tc>
          <w:tcPr>
            <w:tcW w:w="982" w:type="dxa"/>
            <w:tcBorders>
              <w:top w:val="nil"/>
              <w:left w:val="nil"/>
              <w:bottom w:val="nil"/>
              <w:right w:val="nil"/>
            </w:tcBorders>
            <w:shd w:val="clear" w:color="000000" w:fill="D34B07"/>
            <w:noWrap/>
            <w:hideMark/>
          </w:tcPr>
          <w:p w:rsidR="005C014D" w:rsidRPr="002462E6" w:rsidRDefault="005C014D" w:rsidP="005C014D">
            <w:pPr>
              <w:widowControl w:val="0"/>
              <w:autoSpaceDE w:val="0"/>
              <w:autoSpaceDN w:val="0"/>
              <w:spacing w:after="0" w:line="240" w:lineRule="auto"/>
              <w:jc w:val="right"/>
              <w:rPr>
                <w:rFonts w:ascii="Arial" w:eastAsia="Times New Roman" w:hAnsi="Arial" w:cs="Arial"/>
                <w:color w:val="000000"/>
                <w:sz w:val="18"/>
                <w:szCs w:val="18"/>
                <w:lang w:eastAsia="fr-FR"/>
              </w:rPr>
            </w:pPr>
            <w:r w:rsidRPr="002462E6">
              <w:rPr>
                <w:rFonts w:ascii="Arial" w:eastAsia="Times New Roman" w:hAnsi="Arial" w:cs="Arial"/>
                <w:color w:val="000000"/>
                <w:sz w:val="18"/>
                <w:szCs w:val="18"/>
                <w:lang w:eastAsia="fr-FR"/>
              </w:rPr>
              <w:t>100%</w:t>
            </w:r>
          </w:p>
        </w:tc>
        <w:tc>
          <w:tcPr>
            <w:tcW w:w="712" w:type="dxa"/>
            <w:tcBorders>
              <w:top w:val="nil"/>
              <w:left w:val="single" w:sz="4" w:space="0" w:color="000000"/>
              <w:bottom w:val="nil"/>
              <w:right w:val="single" w:sz="4" w:space="0" w:color="000000"/>
            </w:tcBorders>
            <w:shd w:val="clear" w:color="000000" w:fill="D34B07"/>
            <w:noWrap/>
            <w:hideMark/>
          </w:tcPr>
          <w:p w:rsidR="005C014D" w:rsidRPr="002462E6" w:rsidRDefault="005C014D" w:rsidP="005C014D">
            <w:pPr>
              <w:widowControl w:val="0"/>
              <w:autoSpaceDE w:val="0"/>
              <w:autoSpaceDN w:val="0"/>
              <w:spacing w:after="0" w:line="240" w:lineRule="auto"/>
              <w:jc w:val="right"/>
              <w:rPr>
                <w:rFonts w:ascii="Arial" w:eastAsia="Times New Roman" w:hAnsi="Arial" w:cs="Arial"/>
                <w:color w:val="000000"/>
                <w:sz w:val="18"/>
                <w:szCs w:val="18"/>
                <w:lang w:eastAsia="fr-FR"/>
              </w:rPr>
            </w:pPr>
            <w:r w:rsidRPr="002462E6">
              <w:rPr>
                <w:rFonts w:ascii="Arial" w:eastAsia="Times New Roman" w:hAnsi="Arial" w:cs="Arial"/>
                <w:color w:val="000000"/>
                <w:sz w:val="18"/>
                <w:szCs w:val="18"/>
                <w:lang w:eastAsia="fr-FR"/>
              </w:rPr>
              <w:t>100%</w:t>
            </w:r>
          </w:p>
        </w:tc>
        <w:tc>
          <w:tcPr>
            <w:tcW w:w="813" w:type="dxa"/>
            <w:tcBorders>
              <w:top w:val="nil"/>
              <w:left w:val="nil"/>
              <w:bottom w:val="nil"/>
              <w:right w:val="nil"/>
            </w:tcBorders>
            <w:shd w:val="clear" w:color="000000" w:fill="D34B07"/>
            <w:noWrap/>
            <w:hideMark/>
          </w:tcPr>
          <w:p w:rsidR="005C014D" w:rsidRPr="002462E6" w:rsidRDefault="005C014D" w:rsidP="005C014D">
            <w:pPr>
              <w:widowControl w:val="0"/>
              <w:autoSpaceDE w:val="0"/>
              <w:autoSpaceDN w:val="0"/>
              <w:spacing w:after="0" w:line="240" w:lineRule="auto"/>
              <w:jc w:val="right"/>
              <w:rPr>
                <w:rFonts w:ascii="Arial" w:eastAsia="Times New Roman" w:hAnsi="Arial" w:cs="Arial"/>
                <w:color w:val="000000"/>
                <w:sz w:val="18"/>
                <w:szCs w:val="18"/>
                <w:lang w:eastAsia="fr-FR"/>
              </w:rPr>
            </w:pPr>
            <w:r w:rsidRPr="002462E6">
              <w:rPr>
                <w:rFonts w:ascii="Arial" w:eastAsia="Times New Roman" w:hAnsi="Arial" w:cs="Arial"/>
                <w:color w:val="000000"/>
                <w:sz w:val="18"/>
                <w:szCs w:val="18"/>
                <w:lang w:eastAsia="fr-FR"/>
              </w:rPr>
              <w:t>100%</w:t>
            </w:r>
          </w:p>
        </w:tc>
        <w:tc>
          <w:tcPr>
            <w:tcW w:w="698" w:type="dxa"/>
            <w:tcBorders>
              <w:top w:val="nil"/>
              <w:left w:val="nil"/>
              <w:bottom w:val="nil"/>
              <w:right w:val="nil"/>
            </w:tcBorders>
            <w:shd w:val="clear" w:color="000000" w:fill="D34B07"/>
            <w:noWrap/>
            <w:hideMark/>
          </w:tcPr>
          <w:p w:rsidR="005C014D" w:rsidRPr="002462E6" w:rsidRDefault="005C014D" w:rsidP="005C014D">
            <w:pPr>
              <w:widowControl w:val="0"/>
              <w:autoSpaceDE w:val="0"/>
              <w:autoSpaceDN w:val="0"/>
              <w:spacing w:after="0" w:line="240" w:lineRule="auto"/>
              <w:jc w:val="right"/>
              <w:rPr>
                <w:rFonts w:ascii="Arial" w:eastAsia="Times New Roman" w:hAnsi="Arial" w:cs="Arial"/>
                <w:color w:val="000000"/>
                <w:sz w:val="18"/>
                <w:szCs w:val="18"/>
                <w:lang w:eastAsia="fr-FR"/>
              </w:rPr>
            </w:pPr>
            <w:r w:rsidRPr="002462E6">
              <w:rPr>
                <w:rFonts w:ascii="Arial" w:eastAsia="Times New Roman" w:hAnsi="Arial" w:cs="Arial"/>
                <w:color w:val="000000"/>
                <w:sz w:val="18"/>
                <w:szCs w:val="18"/>
                <w:lang w:eastAsia="fr-FR"/>
              </w:rPr>
              <w:t>100%</w:t>
            </w:r>
          </w:p>
        </w:tc>
        <w:tc>
          <w:tcPr>
            <w:tcW w:w="1186" w:type="dxa"/>
            <w:tcBorders>
              <w:top w:val="nil"/>
              <w:left w:val="nil"/>
              <w:bottom w:val="nil"/>
              <w:right w:val="nil"/>
            </w:tcBorders>
            <w:shd w:val="clear" w:color="000000" w:fill="FFC000"/>
            <w:noWrap/>
            <w:hideMark/>
          </w:tcPr>
          <w:p w:rsidR="005C014D" w:rsidRPr="002462E6" w:rsidRDefault="005C014D" w:rsidP="005C014D">
            <w:pPr>
              <w:widowControl w:val="0"/>
              <w:autoSpaceDE w:val="0"/>
              <w:autoSpaceDN w:val="0"/>
              <w:spacing w:after="0" w:line="240" w:lineRule="auto"/>
              <w:jc w:val="right"/>
              <w:rPr>
                <w:rFonts w:ascii="Arial" w:eastAsia="Times New Roman" w:hAnsi="Arial" w:cs="Arial"/>
                <w:color w:val="000000"/>
                <w:sz w:val="18"/>
                <w:szCs w:val="18"/>
                <w:lang w:eastAsia="fr-FR"/>
              </w:rPr>
            </w:pPr>
            <w:r w:rsidRPr="002462E6">
              <w:rPr>
                <w:rFonts w:ascii="Arial" w:eastAsia="Times New Roman" w:hAnsi="Arial" w:cs="Arial"/>
                <w:color w:val="000000"/>
                <w:sz w:val="18"/>
                <w:szCs w:val="18"/>
                <w:lang w:eastAsia="fr-FR"/>
              </w:rPr>
              <w:t>60%</w:t>
            </w:r>
          </w:p>
        </w:tc>
        <w:tc>
          <w:tcPr>
            <w:tcW w:w="1377" w:type="dxa"/>
            <w:tcBorders>
              <w:top w:val="nil"/>
              <w:left w:val="nil"/>
              <w:bottom w:val="nil"/>
              <w:right w:val="nil"/>
            </w:tcBorders>
            <w:shd w:val="clear" w:color="000000" w:fill="D34B07"/>
            <w:noWrap/>
            <w:hideMark/>
          </w:tcPr>
          <w:p w:rsidR="005C014D" w:rsidRPr="002462E6" w:rsidRDefault="005C014D" w:rsidP="005C014D">
            <w:pPr>
              <w:widowControl w:val="0"/>
              <w:autoSpaceDE w:val="0"/>
              <w:autoSpaceDN w:val="0"/>
              <w:spacing w:after="0" w:line="240" w:lineRule="auto"/>
              <w:jc w:val="right"/>
              <w:rPr>
                <w:rFonts w:ascii="Arial" w:eastAsia="Times New Roman" w:hAnsi="Arial" w:cs="Arial"/>
                <w:color w:val="000000"/>
                <w:sz w:val="18"/>
                <w:szCs w:val="18"/>
                <w:lang w:eastAsia="fr-FR"/>
              </w:rPr>
            </w:pPr>
            <w:r w:rsidRPr="002462E6">
              <w:rPr>
                <w:rFonts w:ascii="Arial" w:eastAsia="Times New Roman" w:hAnsi="Arial" w:cs="Arial"/>
                <w:color w:val="000000"/>
                <w:sz w:val="18"/>
                <w:szCs w:val="18"/>
                <w:lang w:eastAsia="fr-FR"/>
              </w:rPr>
              <w:t>93%</w:t>
            </w:r>
          </w:p>
        </w:tc>
      </w:tr>
      <w:tr w:rsidR="005C014D" w:rsidRPr="002462E6" w:rsidTr="007D633A">
        <w:trPr>
          <w:trHeight w:val="215"/>
        </w:trPr>
        <w:tc>
          <w:tcPr>
            <w:tcW w:w="801" w:type="dxa"/>
            <w:vMerge/>
            <w:tcBorders>
              <w:top w:val="nil"/>
              <w:left w:val="single" w:sz="4" w:space="0" w:color="auto"/>
              <w:bottom w:val="single" w:sz="4" w:space="0" w:color="auto"/>
              <w:right w:val="single" w:sz="4" w:space="0" w:color="auto"/>
            </w:tcBorders>
            <w:vAlign w:val="center"/>
            <w:hideMark/>
          </w:tcPr>
          <w:p w:rsidR="005C014D" w:rsidRPr="002462E6" w:rsidRDefault="005C014D" w:rsidP="005C014D">
            <w:pPr>
              <w:widowControl w:val="0"/>
              <w:autoSpaceDE w:val="0"/>
              <w:autoSpaceDN w:val="0"/>
              <w:spacing w:after="0" w:line="240" w:lineRule="auto"/>
              <w:rPr>
                <w:rFonts w:ascii="Arial" w:eastAsia="Times New Roman" w:hAnsi="Arial" w:cs="Arial"/>
                <w:b/>
                <w:bCs/>
                <w:color w:val="000000"/>
                <w:sz w:val="16"/>
                <w:szCs w:val="16"/>
                <w:lang w:eastAsia="fr-FR"/>
              </w:rPr>
            </w:pPr>
          </w:p>
        </w:tc>
        <w:tc>
          <w:tcPr>
            <w:tcW w:w="907" w:type="dxa"/>
            <w:vMerge/>
            <w:tcBorders>
              <w:top w:val="nil"/>
              <w:left w:val="single" w:sz="4" w:space="0" w:color="auto"/>
              <w:bottom w:val="single" w:sz="4" w:space="0" w:color="auto"/>
              <w:right w:val="single" w:sz="4" w:space="0" w:color="auto"/>
            </w:tcBorders>
            <w:vAlign w:val="center"/>
            <w:hideMark/>
          </w:tcPr>
          <w:p w:rsidR="005C014D" w:rsidRPr="002462E6" w:rsidRDefault="005C014D" w:rsidP="005C014D">
            <w:pPr>
              <w:widowControl w:val="0"/>
              <w:autoSpaceDE w:val="0"/>
              <w:autoSpaceDN w:val="0"/>
              <w:spacing w:after="0" w:line="240" w:lineRule="auto"/>
              <w:rPr>
                <w:rFonts w:ascii="Arial" w:eastAsia="Times New Roman" w:hAnsi="Arial" w:cs="Arial"/>
                <w:color w:val="000000"/>
                <w:sz w:val="16"/>
                <w:szCs w:val="16"/>
                <w:lang w:eastAsia="fr-FR"/>
              </w:rPr>
            </w:pPr>
          </w:p>
        </w:tc>
        <w:tc>
          <w:tcPr>
            <w:tcW w:w="1076" w:type="dxa"/>
            <w:tcBorders>
              <w:top w:val="nil"/>
              <w:left w:val="nil"/>
              <w:bottom w:val="single" w:sz="4" w:space="0" w:color="auto"/>
              <w:right w:val="single" w:sz="4" w:space="0" w:color="auto"/>
            </w:tcBorders>
            <w:shd w:val="clear" w:color="auto" w:fill="auto"/>
            <w:noWrap/>
            <w:vAlign w:val="center"/>
            <w:hideMark/>
          </w:tcPr>
          <w:p w:rsidR="005C014D" w:rsidRPr="00F9749C" w:rsidRDefault="005C014D" w:rsidP="005C014D">
            <w:pPr>
              <w:widowControl w:val="0"/>
              <w:autoSpaceDE w:val="0"/>
              <w:autoSpaceDN w:val="0"/>
              <w:spacing w:after="0" w:line="240" w:lineRule="auto"/>
              <w:rPr>
                <w:rFonts w:ascii="Arial" w:eastAsia="Times New Roman" w:hAnsi="Arial" w:cs="Arial"/>
                <w:color w:val="000000"/>
                <w:sz w:val="18"/>
                <w:szCs w:val="18"/>
                <w:lang w:eastAsia="fr-FR"/>
              </w:rPr>
            </w:pPr>
            <w:r w:rsidRPr="00F9749C">
              <w:rPr>
                <w:rFonts w:ascii="Arial" w:eastAsia="Times New Roman" w:hAnsi="Arial" w:cs="Arial"/>
                <w:color w:val="000000"/>
                <w:sz w:val="18"/>
                <w:szCs w:val="18"/>
                <w:lang w:eastAsia="fr-FR"/>
              </w:rPr>
              <w:t>Lbghada</w:t>
            </w:r>
          </w:p>
        </w:tc>
        <w:tc>
          <w:tcPr>
            <w:tcW w:w="941" w:type="dxa"/>
            <w:tcBorders>
              <w:top w:val="nil"/>
              <w:left w:val="nil"/>
              <w:bottom w:val="nil"/>
              <w:right w:val="nil"/>
            </w:tcBorders>
            <w:shd w:val="clear" w:color="000000" w:fill="F4F46C"/>
            <w:noWrap/>
            <w:hideMark/>
          </w:tcPr>
          <w:p w:rsidR="005C014D" w:rsidRPr="002462E6" w:rsidRDefault="005C014D" w:rsidP="005C014D">
            <w:pPr>
              <w:widowControl w:val="0"/>
              <w:autoSpaceDE w:val="0"/>
              <w:autoSpaceDN w:val="0"/>
              <w:spacing w:after="0" w:line="240" w:lineRule="auto"/>
              <w:jc w:val="right"/>
              <w:rPr>
                <w:rFonts w:ascii="Arial" w:eastAsia="Times New Roman" w:hAnsi="Arial" w:cs="Arial"/>
                <w:color w:val="000000"/>
                <w:sz w:val="18"/>
                <w:szCs w:val="18"/>
                <w:lang w:eastAsia="fr-FR"/>
              </w:rPr>
            </w:pPr>
            <w:r w:rsidRPr="002462E6">
              <w:rPr>
                <w:rFonts w:ascii="Arial" w:eastAsia="Times New Roman" w:hAnsi="Arial" w:cs="Arial"/>
                <w:color w:val="000000"/>
                <w:sz w:val="18"/>
                <w:szCs w:val="18"/>
                <w:lang w:eastAsia="fr-FR"/>
              </w:rPr>
              <w:t>40%</w:t>
            </w:r>
          </w:p>
        </w:tc>
        <w:tc>
          <w:tcPr>
            <w:tcW w:w="982" w:type="dxa"/>
            <w:tcBorders>
              <w:top w:val="nil"/>
              <w:left w:val="nil"/>
              <w:bottom w:val="nil"/>
              <w:right w:val="nil"/>
            </w:tcBorders>
            <w:shd w:val="clear" w:color="000000" w:fill="F4F46C"/>
            <w:noWrap/>
            <w:hideMark/>
          </w:tcPr>
          <w:p w:rsidR="005C014D" w:rsidRPr="002462E6" w:rsidRDefault="005C014D" w:rsidP="005C014D">
            <w:pPr>
              <w:widowControl w:val="0"/>
              <w:autoSpaceDE w:val="0"/>
              <w:autoSpaceDN w:val="0"/>
              <w:spacing w:after="0" w:line="240" w:lineRule="auto"/>
              <w:jc w:val="right"/>
              <w:rPr>
                <w:rFonts w:ascii="Arial" w:eastAsia="Times New Roman" w:hAnsi="Arial" w:cs="Arial"/>
                <w:color w:val="000000"/>
                <w:sz w:val="18"/>
                <w:szCs w:val="18"/>
                <w:lang w:eastAsia="fr-FR"/>
              </w:rPr>
            </w:pPr>
            <w:r w:rsidRPr="002462E6">
              <w:rPr>
                <w:rFonts w:ascii="Arial" w:eastAsia="Times New Roman" w:hAnsi="Arial" w:cs="Arial"/>
                <w:color w:val="000000"/>
                <w:sz w:val="18"/>
                <w:szCs w:val="18"/>
                <w:lang w:eastAsia="fr-FR"/>
              </w:rPr>
              <w:t>40%</w:t>
            </w:r>
          </w:p>
        </w:tc>
        <w:tc>
          <w:tcPr>
            <w:tcW w:w="712" w:type="dxa"/>
            <w:tcBorders>
              <w:top w:val="nil"/>
              <w:left w:val="single" w:sz="4" w:space="0" w:color="000000"/>
              <w:bottom w:val="nil"/>
              <w:right w:val="single" w:sz="4" w:space="0" w:color="000000"/>
            </w:tcBorders>
            <w:shd w:val="clear" w:color="000000" w:fill="D34B07"/>
            <w:noWrap/>
            <w:hideMark/>
          </w:tcPr>
          <w:p w:rsidR="005C014D" w:rsidRPr="002462E6" w:rsidRDefault="005C014D" w:rsidP="005C014D">
            <w:pPr>
              <w:widowControl w:val="0"/>
              <w:autoSpaceDE w:val="0"/>
              <w:autoSpaceDN w:val="0"/>
              <w:spacing w:after="0" w:line="240" w:lineRule="auto"/>
              <w:jc w:val="right"/>
              <w:rPr>
                <w:rFonts w:ascii="Arial" w:eastAsia="Times New Roman" w:hAnsi="Arial" w:cs="Arial"/>
                <w:color w:val="000000"/>
                <w:sz w:val="18"/>
                <w:szCs w:val="18"/>
                <w:lang w:eastAsia="fr-FR"/>
              </w:rPr>
            </w:pPr>
            <w:r w:rsidRPr="002462E6">
              <w:rPr>
                <w:rFonts w:ascii="Arial" w:eastAsia="Times New Roman" w:hAnsi="Arial" w:cs="Arial"/>
                <w:color w:val="000000"/>
                <w:sz w:val="18"/>
                <w:szCs w:val="18"/>
                <w:lang w:eastAsia="fr-FR"/>
              </w:rPr>
              <w:t>100%</w:t>
            </w:r>
          </w:p>
        </w:tc>
        <w:tc>
          <w:tcPr>
            <w:tcW w:w="813" w:type="dxa"/>
            <w:tcBorders>
              <w:top w:val="nil"/>
              <w:left w:val="nil"/>
              <w:bottom w:val="nil"/>
              <w:right w:val="nil"/>
            </w:tcBorders>
            <w:shd w:val="clear" w:color="000000" w:fill="D34B07"/>
            <w:noWrap/>
            <w:hideMark/>
          </w:tcPr>
          <w:p w:rsidR="005C014D" w:rsidRPr="002462E6" w:rsidRDefault="005C014D" w:rsidP="005C014D">
            <w:pPr>
              <w:widowControl w:val="0"/>
              <w:autoSpaceDE w:val="0"/>
              <w:autoSpaceDN w:val="0"/>
              <w:spacing w:after="0" w:line="240" w:lineRule="auto"/>
              <w:jc w:val="right"/>
              <w:rPr>
                <w:rFonts w:ascii="Arial" w:eastAsia="Times New Roman" w:hAnsi="Arial" w:cs="Arial"/>
                <w:color w:val="000000"/>
                <w:sz w:val="18"/>
                <w:szCs w:val="18"/>
                <w:lang w:eastAsia="fr-FR"/>
              </w:rPr>
            </w:pPr>
            <w:r w:rsidRPr="002462E6">
              <w:rPr>
                <w:rFonts w:ascii="Arial" w:eastAsia="Times New Roman" w:hAnsi="Arial" w:cs="Arial"/>
                <w:color w:val="000000"/>
                <w:sz w:val="18"/>
                <w:szCs w:val="18"/>
                <w:lang w:eastAsia="fr-FR"/>
              </w:rPr>
              <w:t>100%</w:t>
            </w:r>
          </w:p>
        </w:tc>
        <w:tc>
          <w:tcPr>
            <w:tcW w:w="698" w:type="dxa"/>
            <w:tcBorders>
              <w:top w:val="nil"/>
              <w:left w:val="nil"/>
              <w:bottom w:val="nil"/>
              <w:right w:val="nil"/>
            </w:tcBorders>
            <w:shd w:val="clear" w:color="000000" w:fill="FFC000"/>
            <w:noWrap/>
            <w:hideMark/>
          </w:tcPr>
          <w:p w:rsidR="005C014D" w:rsidRPr="002462E6" w:rsidRDefault="005C014D" w:rsidP="005C014D">
            <w:pPr>
              <w:widowControl w:val="0"/>
              <w:autoSpaceDE w:val="0"/>
              <w:autoSpaceDN w:val="0"/>
              <w:spacing w:after="0" w:line="240" w:lineRule="auto"/>
              <w:jc w:val="right"/>
              <w:rPr>
                <w:rFonts w:ascii="Arial" w:eastAsia="Times New Roman" w:hAnsi="Arial" w:cs="Arial"/>
                <w:color w:val="000000"/>
                <w:sz w:val="18"/>
                <w:szCs w:val="18"/>
                <w:lang w:eastAsia="fr-FR"/>
              </w:rPr>
            </w:pPr>
            <w:r w:rsidRPr="002462E6">
              <w:rPr>
                <w:rFonts w:ascii="Arial" w:eastAsia="Times New Roman" w:hAnsi="Arial" w:cs="Arial"/>
                <w:color w:val="000000"/>
                <w:sz w:val="18"/>
                <w:szCs w:val="18"/>
                <w:lang w:eastAsia="fr-FR"/>
              </w:rPr>
              <w:t>50%</w:t>
            </w:r>
          </w:p>
        </w:tc>
        <w:tc>
          <w:tcPr>
            <w:tcW w:w="1186" w:type="dxa"/>
            <w:tcBorders>
              <w:top w:val="nil"/>
              <w:left w:val="nil"/>
              <w:bottom w:val="nil"/>
              <w:right w:val="nil"/>
            </w:tcBorders>
            <w:shd w:val="clear" w:color="000000" w:fill="F4F46C"/>
            <w:noWrap/>
            <w:hideMark/>
          </w:tcPr>
          <w:p w:rsidR="005C014D" w:rsidRPr="002462E6" w:rsidRDefault="005C014D" w:rsidP="005C014D">
            <w:pPr>
              <w:widowControl w:val="0"/>
              <w:autoSpaceDE w:val="0"/>
              <w:autoSpaceDN w:val="0"/>
              <w:spacing w:after="0" w:line="240" w:lineRule="auto"/>
              <w:jc w:val="right"/>
              <w:rPr>
                <w:rFonts w:ascii="Arial" w:eastAsia="Times New Roman" w:hAnsi="Arial" w:cs="Arial"/>
                <w:color w:val="000000"/>
                <w:sz w:val="18"/>
                <w:szCs w:val="18"/>
                <w:lang w:eastAsia="fr-FR"/>
              </w:rPr>
            </w:pPr>
            <w:r w:rsidRPr="002462E6">
              <w:rPr>
                <w:rFonts w:ascii="Arial" w:eastAsia="Times New Roman" w:hAnsi="Arial" w:cs="Arial"/>
                <w:color w:val="000000"/>
                <w:sz w:val="18"/>
                <w:szCs w:val="18"/>
                <w:lang w:eastAsia="fr-FR"/>
              </w:rPr>
              <w:t>0%</w:t>
            </w:r>
          </w:p>
        </w:tc>
        <w:tc>
          <w:tcPr>
            <w:tcW w:w="1377" w:type="dxa"/>
            <w:tcBorders>
              <w:top w:val="nil"/>
              <w:left w:val="nil"/>
              <w:bottom w:val="nil"/>
              <w:right w:val="nil"/>
            </w:tcBorders>
            <w:shd w:val="clear" w:color="000000" w:fill="FFC000"/>
            <w:noWrap/>
            <w:hideMark/>
          </w:tcPr>
          <w:p w:rsidR="005C014D" w:rsidRPr="002462E6" w:rsidRDefault="005C014D" w:rsidP="005C014D">
            <w:pPr>
              <w:widowControl w:val="0"/>
              <w:autoSpaceDE w:val="0"/>
              <w:autoSpaceDN w:val="0"/>
              <w:spacing w:after="0" w:line="240" w:lineRule="auto"/>
              <w:jc w:val="right"/>
              <w:rPr>
                <w:rFonts w:ascii="Arial" w:eastAsia="Times New Roman" w:hAnsi="Arial" w:cs="Arial"/>
                <w:color w:val="000000"/>
                <w:sz w:val="18"/>
                <w:szCs w:val="18"/>
                <w:lang w:eastAsia="fr-FR"/>
              </w:rPr>
            </w:pPr>
            <w:r w:rsidRPr="002462E6">
              <w:rPr>
                <w:rFonts w:ascii="Arial" w:eastAsia="Times New Roman" w:hAnsi="Arial" w:cs="Arial"/>
                <w:color w:val="000000"/>
                <w:sz w:val="18"/>
                <w:szCs w:val="18"/>
                <w:lang w:eastAsia="fr-FR"/>
              </w:rPr>
              <w:t>55%</w:t>
            </w:r>
          </w:p>
        </w:tc>
      </w:tr>
      <w:tr w:rsidR="005C014D" w:rsidRPr="002462E6" w:rsidTr="007D633A">
        <w:trPr>
          <w:trHeight w:val="215"/>
        </w:trPr>
        <w:tc>
          <w:tcPr>
            <w:tcW w:w="801" w:type="dxa"/>
            <w:vMerge/>
            <w:tcBorders>
              <w:top w:val="nil"/>
              <w:left w:val="single" w:sz="4" w:space="0" w:color="auto"/>
              <w:bottom w:val="single" w:sz="4" w:space="0" w:color="auto"/>
              <w:right w:val="single" w:sz="4" w:space="0" w:color="auto"/>
            </w:tcBorders>
            <w:vAlign w:val="center"/>
            <w:hideMark/>
          </w:tcPr>
          <w:p w:rsidR="005C014D" w:rsidRPr="002462E6" w:rsidRDefault="005C014D" w:rsidP="005C014D">
            <w:pPr>
              <w:widowControl w:val="0"/>
              <w:autoSpaceDE w:val="0"/>
              <w:autoSpaceDN w:val="0"/>
              <w:spacing w:after="0" w:line="240" w:lineRule="auto"/>
              <w:rPr>
                <w:rFonts w:ascii="Arial" w:eastAsia="Times New Roman" w:hAnsi="Arial" w:cs="Arial"/>
                <w:b/>
                <w:bCs/>
                <w:color w:val="000000"/>
                <w:sz w:val="16"/>
                <w:szCs w:val="16"/>
                <w:lang w:eastAsia="fr-FR"/>
              </w:rPr>
            </w:pPr>
          </w:p>
        </w:tc>
        <w:tc>
          <w:tcPr>
            <w:tcW w:w="907" w:type="dxa"/>
            <w:vMerge/>
            <w:tcBorders>
              <w:top w:val="nil"/>
              <w:left w:val="single" w:sz="4" w:space="0" w:color="auto"/>
              <w:bottom w:val="single" w:sz="4" w:space="0" w:color="auto"/>
              <w:right w:val="single" w:sz="4" w:space="0" w:color="auto"/>
            </w:tcBorders>
            <w:vAlign w:val="center"/>
            <w:hideMark/>
          </w:tcPr>
          <w:p w:rsidR="005C014D" w:rsidRPr="002462E6" w:rsidRDefault="005C014D" w:rsidP="005C014D">
            <w:pPr>
              <w:widowControl w:val="0"/>
              <w:autoSpaceDE w:val="0"/>
              <w:autoSpaceDN w:val="0"/>
              <w:spacing w:after="0" w:line="240" w:lineRule="auto"/>
              <w:rPr>
                <w:rFonts w:ascii="Arial" w:eastAsia="Times New Roman" w:hAnsi="Arial" w:cs="Arial"/>
                <w:color w:val="000000"/>
                <w:sz w:val="16"/>
                <w:szCs w:val="16"/>
                <w:lang w:eastAsia="fr-FR"/>
              </w:rPr>
            </w:pPr>
          </w:p>
        </w:tc>
        <w:tc>
          <w:tcPr>
            <w:tcW w:w="1076" w:type="dxa"/>
            <w:tcBorders>
              <w:top w:val="nil"/>
              <w:left w:val="nil"/>
              <w:bottom w:val="single" w:sz="4" w:space="0" w:color="auto"/>
              <w:right w:val="single" w:sz="4" w:space="0" w:color="auto"/>
            </w:tcBorders>
            <w:shd w:val="clear" w:color="auto" w:fill="auto"/>
            <w:noWrap/>
            <w:vAlign w:val="center"/>
            <w:hideMark/>
          </w:tcPr>
          <w:p w:rsidR="005C014D" w:rsidRPr="00F9749C" w:rsidRDefault="005C014D" w:rsidP="005C014D">
            <w:pPr>
              <w:widowControl w:val="0"/>
              <w:autoSpaceDE w:val="0"/>
              <w:autoSpaceDN w:val="0"/>
              <w:spacing w:after="0" w:line="240" w:lineRule="auto"/>
              <w:rPr>
                <w:rFonts w:ascii="Arial" w:eastAsia="Times New Roman" w:hAnsi="Arial" w:cs="Arial"/>
                <w:color w:val="000000"/>
                <w:sz w:val="18"/>
                <w:szCs w:val="18"/>
                <w:lang w:eastAsia="fr-FR"/>
              </w:rPr>
            </w:pPr>
            <w:r w:rsidRPr="00F9749C">
              <w:rPr>
                <w:rFonts w:ascii="Arial" w:eastAsia="Times New Roman" w:hAnsi="Arial" w:cs="Arial"/>
                <w:color w:val="000000"/>
                <w:sz w:val="18"/>
                <w:szCs w:val="18"/>
                <w:lang w:eastAsia="fr-FR"/>
              </w:rPr>
              <w:t>Nkaila</w:t>
            </w:r>
          </w:p>
        </w:tc>
        <w:tc>
          <w:tcPr>
            <w:tcW w:w="941" w:type="dxa"/>
            <w:tcBorders>
              <w:top w:val="nil"/>
              <w:left w:val="nil"/>
              <w:bottom w:val="nil"/>
              <w:right w:val="nil"/>
            </w:tcBorders>
            <w:shd w:val="clear" w:color="000000" w:fill="D34B07"/>
            <w:noWrap/>
            <w:hideMark/>
          </w:tcPr>
          <w:p w:rsidR="005C014D" w:rsidRPr="002462E6" w:rsidRDefault="005C014D" w:rsidP="005C014D">
            <w:pPr>
              <w:widowControl w:val="0"/>
              <w:autoSpaceDE w:val="0"/>
              <w:autoSpaceDN w:val="0"/>
              <w:spacing w:after="0" w:line="240" w:lineRule="auto"/>
              <w:jc w:val="right"/>
              <w:rPr>
                <w:rFonts w:ascii="Arial" w:eastAsia="Times New Roman" w:hAnsi="Arial" w:cs="Arial"/>
                <w:color w:val="000000"/>
                <w:sz w:val="18"/>
                <w:szCs w:val="18"/>
                <w:lang w:eastAsia="fr-FR"/>
              </w:rPr>
            </w:pPr>
            <w:r w:rsidRPr="002462E6">
              <w:rPr>
                <w:rFonts w:ascii="Arial" w:eastAsia="Times New Roman" w:hAnsi="Arial" w:cs="Arial"/>
                <w:color w:val="000000"/>
                <w:sz w:val="18"/>
                <w:szCs w:val="18"/>
                <w:lang w:eastAsia="fr-FR"/>
              </w:rPr>
              <w:t>80%</w:t>
            </w:r>
          </w:p>
        </w:tc>
        <w:tc>
          <w:tcPr>
            <w:tcW w:w="982" w:type="dxa"/>
            <w:tcBorders>
              <w:top w:val="nil"/>
              <w:left w:val="nil"/>
              <w:bottom w:val="nil"/>
              <w:right w:val="nil"/>
            </w:tcBorders>
            <w:shd w:val="clear" w:color="000000" w:fill="D34B07"/>
            <w:noWrap/>
            <w:hideMark/>
          </w:tcPr>
          <w:p w:rsidR="005C014D" w:rsidRPr="002462E6" w:rsidRDefault="005C014D" w:rsidP="005C014D">
            <w:pPr>
              <w:widowControl w:val="0"/>
              <w:autoSpaceDE w:val="0"/>
              <w:autoSpaceDN w:val="0"/>
              <w:spacing w:after="0" w:line="240" w:lineRule="auto"/>
              <w:jc w:val="right"/>
              <w:rPr>
                <w:rFonts w:ascii="Arial" w:eastAsia="Times New Roman" w:hAnsi="Arial" w:cs="Arial"/>
                <w:color w:val="000000"/>
                <w:sz w:val="18"/>
                <w:szCs w:val="18"/>
                <w:lang w:eastAsia="fr-FR"/>
              </w:rPr>
            </w:pPr>
            <w:r w:rsidRPr="002462E6">
              <w:rPr>
                <w:rFonts w:ascii="Arial" w:eastAsia="Times New Roman" w:hAnsi="Arial" w:cs="Arial"/>
                <w:color w:val="000000"/>
                <w:sz w:val="18"/>
                <w:szCs w:val="18"/>
                <w:lang w:eastAsia="fr-FR"/>
              </w:rPr>
              <w:t>100%</w:t>
            </w:r>
          </w:p>
        </w:tc>
        <w:tc>
          <w:tcPr>
            <w:tcW w:w="712" w:type="dxa"/>
            <w:tcBorders>
              <w:top w:val="nil"/>
              <w:left w:val="single" w:sz="4" w:space="0" w:color="000000"/>
              <w:bottom w:val="nil"/>
              <w:right w:val="single" w:sz="4" w:space="0" w:color="000000"/>
            </w:tcBorders>
            <w:shd w:val="clear" w:color="000000" w:fill="FFC000"/>
            <w:noWrap/>
            <w:hideMark/>
          </w:tcPr>
          <w:p w:rsidR="005C014D" w:rsidRPr="002462E6" w:rsidRDefault="005C014D" w:rsidP="005C014D">
            <w:pPr>
              <w:widowControl w:val="0"/>
              <w:autoSpaceDE w:val="0"/>
              <w:autoSpaceDN w:val="0"/>
              <w:spacing w:after="0" w:line="240" w:lineRule="auto"/>
              <w:jc w:val="right"/>
              <w:rPr>
                <w:rFonts w:ascii="Arial" w:eastAsia="Times New Roman" w:hAnsi="Arial" w:cs="Arial"/>
                <w:color w:val="000000"/>
                <w:sz w:val="18"/>
                <w:szCs w:val="18"/>
                <w:lang w:eastAsia="fr-FR"/>
              </w:rPr>
            </w:pPr>
            <w:r w:rsidRPr="002462E6">
              <w:rPr>
                <w:rFonts w:ascii="Arial" w:eastAsia="Times New Roman" w:hAnsi="Arial" w:cs="Arial"/>
                <w:color w:val="000000"/>
                <w:sz w:val="18"/>
                <w:szCs w:val="18"/>
                <w:lang w:eastAsia="fr-FR"/>
              </w:rPr>
              <w:t>60%</w:t>
            </w:r>
          </w:p>
        </w:tc>
        <w:tc>
          <w:tcPr>
            <w:tcW w:w="813" w:type="dxa"/>
            <w:tcBorders>
              <w:top w:val="nil"/>
              <w:left w:val="nil"/>
              <w:bottom w:val="nil"/>
              <w:right w:val="nil"/>
            </w:tcBorders>
            <w:shd w:val="clear" w:color="000000" w:fill="D34B07"/>
            <w:noWrap/>
            <w:hideMark/>
          </w:tcPr>
          <w:p w:rsidR="005C014D" w:rsidRPr="002462E6" w:rsidRDefault="005C014D" w:rsidP="005C014D">
            <w:pPr>
              <w:widowControl w:val="0"/>
              <w:autoSpaceDE w:val="0"/>
              <w:autoSpaceDN w:val="0"/>
              <w:spacing w:after="0" w:line="240" w:lineRule="auto"/>
              <w:jc w:val="right"/>
              <w:rPr>
                <w:rFonts w:ascii="Arial" w:eastAsia="Times New Roman" w:hAnsi="Arial" w:cs="Arial"/>
                <w:color w:val="000000"/>
                <w:sz w:val="18"/>
                <w:szCs w:val="18"/>
                <w:lang w:eastAsia="fr-FR"/>
              </w:rPr>
            </w:pPr>
            <w:r w:rsidRPr="002462E6">
              <w:rPr>
                <w:rFonts w:ascii="Arial" w:eastAsia="Times New Roman" w:hAnsi="Arial" w:cs="Arial"/>
                <w:color w:val="000000"/>
                <w:sz w:val="18"/>
                <w:szCs w:val="18"/>
                <w:lang w:eastAsia="fr-FR"/>
              </w:rPr>
              <w:t>100%</w:t>
            </w:r>
          </w:p>
        </w:tc>
        <w:tc>
          <w:tcPr>
            <w:tcW w:w="698" w:type="dxa"/>
            <w:tcBorders>
              <w:top w:val="nil"/>
              <w:left w:val="nil"/>
              <w:bottom w:val="nil"/>
              <w:right w:val="nil"/>
            </w:tcBorders>
            <w:shd w:val="clear" w:color="000000" w:fill="D34B07"/>
            <w:noWrap/>
            <w:hideMark/>
          </w:tcPr>
          <w:p w:rsidR="005C014D" w:rsidRPr="002462E6" w:rsidRDefault="005C014D" w:rsidP="005C014D">
            <w:pPr>
              <w:widowControl w:val="0"/>
              <w:autoSpaceDE w:val="0"/>
              <w:autoSpaceDN w:val="0"/>
              <w:spacing w:after="0" w:line="240" w:lineRule="auto"/>
              <w:jc w:val="right"/>
              <w:rPr>
                <w:rFonts w:ascii="Arial" w:eastAsia="Times New Roman" w:hAnsi="Arial" w:cs="Arial"/>
                <w:color w:val="000000"/>
                <w:sz w:val="18"/>
                <w:szCs w:val="18"/>
                <w:lang w:eastAsia="fr-FR"/>
              </w:rPr>
            </w:pPr>
            <w:r w:rsidRPr="002462E6">
              <w:rPr>
                <w:rFonts w:ascii="Arial" w:eastAsia="Times New Roman" w:hAnsi="Arial" w:cs="Arial"/>
                <w:color w:val="000000"/>
                <w:sz w:val="18"/>
                <w:szCs w:val="18"/>
                <w:lang w:eastAsia="fr-FR"/>
              </w:rPr>
              <w:t>80%</w:t>
            </w:r>
          </w:p>
        </w:tc>
        <w:tc>
          <w:tcPr>
            <w:tcW w:w="1186" w:type="dxa"/>
            <w:tcBorders>
              <w:top w:val="nil"/>
              <w:left w:val="nil"/>
              <w:bottom w:val="nil"/>
              <w:right w:val="nil"/>
            </w:tcBorders>
            <w:shd w:val="clear" w:color="000000" w:fill="F4F46C"/>
            <w:noWrap/>
            <w:hideMark/>
          </w:tcPr>
          <w:p w:rsidR="005C014D" w:rsidRPr="002462E6" w:rsidRDefault="005C014D" w:rsidP="005C014D">
            <w:pPr>
              <w:widowControl w:val="0"/>
              <w:autoSpaceDE w:val="0"/>
              <w:autoSpaceDN w:val="0"/>
              <w:spacing w:after="0" w:line="240" w:lineRule="auto"/>
              <w:jc w:val="right"/>
              <w:rPr>
                <w:rFonts w:ascii="Arial" w:eastAsia="Times New Roman" w:hAnsi="Arial" w:cs="Arial"/>
                <w:color w:val="000000"/>
                <w:sz w:val="18"/>
                <w:szCs w:val="18"/>
                <w:lang w:eastAsia="fr-FR"/>
              </w:rPr>
            </w:pPr>
            <w:r w:rsidRPr="002462E6">
              <w:rPr>
                <w:rFonts w:ascii="Arial" w:eastAsia="Times New Roman" w:hAnsi="Arial" w:cs="Arial"/>
                <w:color w:val="000000"/>
                <w:sz w:val="18"/>
                <w:szCs w:val="18"/>
                <w:lang w:eastAsia="fr-FR"/>
              </w:rPr>
              <w:t>40%</w:t>
            </w:r>
          </w:p>
        </w:tc>
        <w:tc>
          <w:tcPr>
            <w:tcW w:w="1377" w:type="dxa"/>
            <w:tcBorders>
              <w:top w:val="nil"/>
              <w:left w:val="nil"/>
              <w:bottom w:val="nil"/>
              <w:right w:val="nil"/>
            </w:tcBorders>
            <w:shd w:val="clear" w:color="000000" w:fill="D34B07"/>
            <w:noWrap/>
            <w:hideMark/>
          </w:tcPr>
          <w:p w:rsidR="005C014D" w:rsidRPr="002462E6" w:rsidRDefault="005C014D" w:rsidP="005C014D">
            <w:pPr>
              <w:widowControl w:val="0"/>
              <w:autoSpaceDE w:val="0"/>
              <w:autoSpaceDN w:val="0"/>
              <w:spacing w:after="0" w:line="240" w:lineRule="auto"/>
              <w:jc w:val="right"/>
              <w:rPr>
                <w:rFonts w:ascii="Arial" w:eastAsia="Times New Roman" w:hAnsi="Arial" w:cs="Arial"/>
                <w:color w:val="000000"/>
                <w:sz w:val="18"/>
                <w:szCs w:val="18"/>
                <w:lang w:eastAsia="fr-FR"/>
              </w:rPr>
            </w:pPr>
            <w:r w:rsidRPr="002462E6">
              <w:rPr>
                <w:rFonts w:ascii="Arial" w:eastAsia="Times New Roman" w:hAnsi="Arial" w:cs="Arial"/>
                <w:color w:val="000000"/>
                <w:sz w:val="18"/>
                <w:szCs w:val="18"/>
                <w:lang w:eastAsia="fr-FR"/>
              </w:rPr>
              <w:t>77%</w:t>
            </w:r>
          </w:p>
        </w:tc>
      </w:tr>
      <w:tr w:rsidR="005C014D" w:rsidRPr="002462E6" w:rsidTr="007D633A">
        <w:trPr>
          <w:trHeight w:val="215"/>
        </w:trPr>
        <w:tc>
          <w:tcPr>
            <w:tcW w:w="801" w:type="dxa"/>
            <w:vMerge/>
            <w:tcBorders>
              <w:top w:val="nil"/>
              <w:left w:val="single" w:sz="4" w:space="0" w:color="auto"/>
              <w:bottom w:val="single" w:sz="4" w:space="0" w:color="auto"/>
              <w:right w:val="single" w:sz="4" w:space="0" w:color="auto"/>
            </w:tcBorders>
            <w:vAlign w:val="center"/>
            <w:hideMark/>
          </w:tcPr>
          <w:p w:rsidR="005C014D" w:rsidRPr="002462E6" w:rsidRDefault="005C014D" w:rsidP="005C014D">
            <w:pPr>
              <w:widowControl w:val="0"/>
              <w:autoSpaceDE w:val="0"/>
              <w:autoSpaceDN w:val="0"/>
              <w:spacing w:after="0" w:line="240" w:lineRule="auto"/>
              <w:rPr>
                <w:rFonts w:ascii="Arial" w:eastAsia="Times New Roman" w:hAnsi="Arial" w:cs="Arial"/>
                <w:b/>
                <w:bCs/>
                <w:color w:val="000000"/>
                <w:sz w:val="16"/>
                <w:szCs w:val="16"/>
                <w:lang w:eastAsia="fr-FR"/>
              </w:rPr>
            </w:pPr>
          </w:p>
        </w:tc>
        <w:tc>
          <w:tcPr>
            <w:tcW w:w="907" w:type="dxa"/>
            <w:vMerge/>
            <w:tcBorders>
              <w:top w:val="nil"/>
              <w:left w:val="single" w:sz="4" w:space="0" w:color="auto"/>
              <w:bottom w:val="single" w:sz="4" w:space="0" w:color="auto"/>
              <w:right w:val="single" w:sz="4" w:space="0" w:color="auto"/>
            </w:tcBorders>
            <w:vAlign w:val="center"/>
            <w:hideMark/>
          </w:tcPr>
          <w:p w:rsidR="005C014D" w:rsidRPr="002462E6" w:rsidRDefault="005C014D" w:rsidP="005C014D">
            <w:pPr>
              <w:widowControl w:val="0"/>
              <w:autoSpaceDE w:val="0"/>
              <w:autoSpaceDN w:val="0"/>
              <w:spacing w:after="0" w:line="240" w:lineRule="auto"/>
              <w:rPr>
                <w:rFonts w:ascii="Arial" w:eastAsia="Times New Roman" w:hAnsi="Arial" w:cs="Arial"/>
                <w:color w:val="000000"/>
                <w:sz w:val="16"/>
                <w:szCs w:val="16"/>
                <w:lang w:eastAsia="fr-FR"/>
              </w:rPr>
            </w:pPr>
          </w:p>
        </w:tc>
        <w:tc>
          <w:tcPr>
            <w:tcW w:w="1076" w:type="dxa"/>
            <w:tcBorders>
              <w:top w:val="nil"/>
              <w:left w:val="nil"/>
              <w:bottom w:val="single" w:sz="4" w:space="0" w:color="auto"/>
              <w:right w:val="single" w:sz="4" w:space="0" w:color="auto"/>
            </w:tcBorders>
            <w:shd w:val="clear" w:color="auto" w:fill="auto"/>
            <w:noWrap/>
            <w:vAlign w:val="center"/>
            <w:hideMark/>
          </w:tcPr>
          <w:p w:rsidR="005C014D" w:rsidRPr="00F9749C" w:rsidRDefault="005C014D" w:rsidP="005C014D">
            <w:pPr>
              <w:widowControl w:val="0"/>
              <w:autoSpaceDE w:val="0"/>
              <w:autoSpaceDN w:val="0"/>
              <w:spacing w:after="0" w:line="240" w:lineRule="auto"/>
              <w:rPr>
                <w:rFonts w:ascii="Arial" w:eastAsia="Times New Roman" w:hAnsi="Arial" w:cs="Arial"/>
                <w:color w:val="000000"/>
                <w:sz w:val="18"/>
                <w:szCs w:val="18"/>
                <w:lang w:eastAsia="fr-FR"/>
              </w:rPr>
            </w:pPr>
            <w:r w:rsidRPr="00F9749C">
              <w:rPr>
                <w:rFonts w:ascii="Arial" w:eastAsia="Times New Roman" w:hAnsi="Arial" w:cs="Arial"/>
                <w:color w:val="000000"/>
                <w:sz w:val="18"/>
                <w:szCs w:val="18"/>
                <w:lang w:eastAsia="fr-FR"/>
              </w:rPr>
              <w:t xml:space="preserve">Oulad Hmama </w:t>
            </w:r>
          </w:p>
        </w:tc>
        <w:tc>
          <w:tcPr>
            <w:tcW w:w="941" w:type="dxa"/>
            <w:tcBorders>
              <w:top w:val="nil"/>
              <w:left w:val="nil"/>
              <w:bottom w:val="nil"/>
              <w:right w:val="nil"/>
            </w:tcBorders>
            <w:shd w:val="clear" w:color="000000" w:fill="D34B07"/>
            <w:noWrap/>
            <w:hideMark/>
          </w:tcPr>
          <w:p w:rsidR="005C014D" w:rsidRPr="002462E6" w:rsidRDefault="005C014D" w:rsidP="005C014D">
            <w:pPr>
              <w:widowControl w:val="0"/>
              <w:autoSpaceDE w:val="0"/>
              <w:autoSpaceDN w:val="0"/>
              <w:spacing w:after="0" w:line="240" w:lineRule="auto"/>
              <w:jc w:val="right"/>
              <w:rPr>
                <w:rFonts w:ascii="Arial" w:eastAsia="Times New Roman" w:hAnsi="Arial" w:cs="Arial"/>
                <w:color w:val="000000"/>
                <w:sz w:val="18"/>
                <w:szCs w:val="18"/>
                <w:lang w:eastAsia="fr-FR"/>
              </w:rPr>
            </w:pPr>
            <w:r w:rsidRPr="002462E6">
              <w:rPr>
                <w:rFonts w:ascii="Arial" w:eastAsia="Times New Roman" w:hAnsi="Arial" w:cs="Arial"/>
                <w:color w:val="000000"/>
                <w:sz w:val="18"/>
                <w:szCs w:val="18"/>
                <w:lang w:eastAsia="fr-FR"/>
              </w:rPr>
              <w:t>100%</w:t>
            </w:r>
          </w:p>
        </w:tc>
        <w:tc>
          <w:tcPr>
            <w:tcW w:w="982" w:type="dxa"/>
            <w:tcBorders>
              <w:top w:val="nil"/>
              <w:left w:val="nil"/>
              <w:bottom w:val="nil"/>
              <w:right w:val="nil"/>
            </w:tcBorders>
            <w:shd w:val="clear" w:color="000000" w:fill="D34B07"/>
            <w:noWrap/>
            <w:hideMark/>
          </w:tcPr>
          <w:p w:rsidR="005C014D" w:rsidRPr="002462E6" w:rsidRDefault="005C014D" w:rsidP="005C014D">
            <w:pPr>
              <w:widowControl w:val="0"/>
              <w:autoSpaceDE w:val="0"/>
              <w:autoSpaceDN w:val="0"/>
              <w:spacing w:after="0" w:line="240" w:lineRule="auto"/>
              <w:jc w:val="right"/>
              <w:rPr>
                <w:rFonts w:ascii="Arial" w:eastAsia="Times New Roman" w:hAnsi="Arial" w:cs="Arial"/>
                <w:color w:val="000000"/>
                <w:sz w:val="18"/>
                <w:szCs w:val="18"/>
                <w:lang w:eastAsia="fr-FR"/>
              </w:rPr>
            </w:pPr>
            <w:r w:rsidRPr="002462E6">
              <w:rPr>
                <w:rFonts w:ascii="Arial" w:eastAsia="Times New Roman" w:hAnsi="Arial" w:cs="Arial"/>
                <w:color w:val="000000"/>
                <w:sz w:val="18"/>
                <w:szCs w:val="18"/>
                <w:lang w:eastAsia="fr-FR"/>
              </w:rPr>
              <w:t>100%</w:t>
            </w:r>
          </w:p>
        </w:tc>
        <w:tc>
          <w:tcPr>
            <w:tcW w:w="712" w:type="dxa"/>
            <w:tcBorders>
              <w:top w:val="nil"/>
              <w:left w:val="single" w:sz="4" w:space="0" w:color="000000"/>
              <w:bottom w:val="nil"/>
              <w:right w:val="single" w:sz="4" w:space="0" w:color="000000"/>
            </w:tcBorders>
            <w:shd w:val="clear" w:color="000000" w:fill="D34B07"/>
            <w:noWrap/>
            <w:hideMark/>
          </w:tcPr>
          <w:p w:rsidR="005C014D" w:rsidRPr="002462E6" w:rsidRDefault="005C014D" w:rsidP="005C014D">
            <w:pPr>
              <w:widowControl w:val="0"/>
              <w:autoSpaceDE w:val="0"/>
              <w:autoSpaceDN w:val="0"/>
              <w:spacing w:after="0" w:line="240" w:lineRule="auto"/>
              <w:jc w:val="right"/>
              <w:rPr>
                <w:rFonts w:ascii="Arial" w:eastAsia="Times New Roman" w:hAnsi="Arial" w:cs="Arial"/>
                <w:color w:val="000000"/>
                <w:sz w:val="18"/>
                <w:szCs w:val="18"/>
                <w:lang w:eastAsia="fr-FR"/>
              </w:rPr>
            </w:pPr>
            <w:r w:rsidRPr="002462E6">
              <w:rPr>
                <w:rFonts w:ascii="Arial" w:eastAsia="Times New Roman" w:hAnsi="Arial" w:cs="Arial"/>
                <w:color w:val="000000"/>
                <w:sz w:val="18"/>
                <w:szCs w:val="18"/>
                <w:lang w:eastAsia="fr-FR"/>
              </w:rPr>
              <w:t>100%</w:t>
            </w:r>
          </w:p>
        </w:tc>
        <w:tc>
          <w:tcPr>
            <w:tcW w:w="813" w:type="dxa"/>
            <w:tcBorders>
              <w:top w:val="nil"/>
              <w:left w:val="nil"/>
              <w:bottom w:val="nil"/>
              <w:right w:val="nil"/>
            </w:tcBorders>
            <w:shd w:val="clear" w:color="000000" w:fill="D34B07"/>
            <w:noWrap/>
            <w:hideMark/>
          </w:tcPr>
          <w:p w:rsidR="005C014D" w:rsidRPr="002462E6" w:rsidRDefault="005C014D" w:rsidP="005C014D">
            <w:pPr>
              <w:widowControl w:val="0"/>
              <w:autoSpaceDE w:val="0"/>
              <w:autoSpaceDN w:val="0"/>
              <w:spacing w:after="0" w:line="240" w:lineRule="auto"/>
              <w:jc w:val="right"/>
              <w:rPr>
                <w:rFonts w:ascii="Arial" w:eastAsia="Times New Roman" w:hAnsi="Arial" w:cs="Arial"/>
                <w:color w:val="000000"/>
                <w:sz w:val="18"/>
                <w:szCs w:val="18"/>
                <w:lang w:eastAsia="fr-FR"/>
              </w:rPr>
            </w:pPr>
            <w:r w:rsidRPr="002462E6">
              <w:rPr>
                <w:rFonts w:ascii="Arial" w:eastAsia="Times New Roman" w:hAnsi="Arial" w:cs="Arial"/>
                <w:color w:val="000000"/>
                <w:sz w:val="18"/>
                <w:szCs w:val="18"/>
                <w:lang w:eastAsia="fr-FR"/>
              </w:rPr>
              <w:t>100%</w:t>
            </w:r>
          </w:p>
        </w:tc>
        <w:tc>
          <w:tcPr>
            <w:tcW w:w="698" w:type="dxa"/>
            <w:tcBorders>
              <w:top w:val="nil"/>
              <w:left w:val="nil"/>
              <w:bottom w:val="nil"/>
              <w:right w:val="nil"/>
            </w:tcBorders>
            <w:shd w:val="clear" w:color="000000" w:fill="F4F46C"/>
            <w:noWrap/>
            <w:hideMark/>
          </w:tcPr>
          <w:p w:rsidR="005C014D" w:rsidRPr="002462E6" w:rsidRDefault="005C014D" w:rsidP="005C014D">
            <w:pPr>
              <w:widowControl w:val="0"/>
              <w:autoSpaceDE w:val="0"/>
              <w:autoSpaceDN w:val="0"/>
              <w:spacing w:after="0" w:line="240" w:lineRule="auto"/>
              <w:jc w:val="right"/>
              <w:rPr>
                <w:rFonts w:ascii="Arial" w:eastAsia="Times New Roman" w:hAnsi="Arial" w:cs="Arial"/>
                <w:color w:val="000000"/>
                <w:sz w:val="18"/>
                <w:szCs w:val="18"/>
                <w:lang w:eastAsia="fr-FR"/>
              </w:rPr>
            </w:pPr>
            <w:r w:rsidRPr="002462E6">
              <w:rPr>
                <w:rFonts w:ascii="Arial" w:eastAsia="Times New Roman" w:hAnsi="Arial" w:cs="Arial"/>
                <w:color w:val="000000"/>
                <w:sz w:val="18"/>
                <w:szCs w:val="18"/>
                <w:lang w:eastAsia="fr-FR"/>
              </w:rPr>
              <w:t>0%</w:t>
            </w:r>
          </w:p>
        </w:tc>
        <w:tc>
          <w:tcPr>
            <w:tcW w:w="1186" w:type="dxa"/>
            <w:tcBorders>
              <w:top w:val="nil"/>
              <w:left w:val="nil"/>
              <w:bottom w:val="nil"/>
              <w:right w:val="nil"/>
            </w:tcBorders>
            <w:shd w:val="clear" w:color="000000" w:fill="FFC000"/>
            <w:noWrap/>
            <w:hideMark/>
          </w:tcPr>
          <w:p w:rsidR="005C014D" w:rsidRPr="002462E6" w:rsidRDefault="005C014D" w:rsidP="005C014D">
            <w:pPr>
              <w:widowControl w:val="0"/>
              <w:autoSpaceDE w:val="0"/>
              <w:autoSpaceDN w:val="0"/>
              <w:spacing w:after="0" w:line="240" w:lineRule="auto"/>
              <w:jc w:val="right"/>
              <w:rPr>
                <w:rFonts w:ascii="Arial" w:eastAsia="Times New Roman" w:hAnsi="Arial" w:cs="Arial"/>
                <w:color w:val="000000"/>
                <w:sz w:val="18"/>
                <w:szCs w:val="18"/>
                <w:lang w:eastAsia="fr-FR"/>
              </w:rPr>
            </w:pPr>
            <w:r w:rsidRPr="002462E6">
              <w:rPr>
                <w:rFonts w:ascii="Arial" w:eastAsia="Times New Roman" w:hAnsi="Arial" w:cs="Arial"/>
                <w:color w:val="000000"/>
                <w:sz w:val="18"/>
                <w:szCs w:val="18"/>
                <w:lang w:eastAsia="fr-FR"/>
              </w:rPr>
              <w:t>60%</w:t>
            </w:r>
          </w:p>
        </w:tc>
        <w:tc>
          <w:tcPr>
            <w:tcW w:w="1377" w:type="dxa"/>
            <w:tcBorders>
              <w:top w:val="nil"/>
              <w:left w:val="nil"/>
              <w:bottom w:val="nil"/>
              <w:right w:val="nil"/>
            </w:tcBorders>
            <w:shd w:val="clear" w:color="000000" w:fill="D34B07"/>
            <w:noWrap/>
            <w:hideMark/>
          </w:tcPr>
          <w:p w:rsidR="005C014D" w:rsidRPr="002462E6" w:rsidRDefault="005C014D" w:rsidP="005C014D">
            <w:pPr>
              <w:widowControl w:val="0"/>
              <w:autoSpaceDE w:val="0"/>
              <w:autoSpaceDN w:val="0"/>
              <w:spacing w:after="0" w:line="240" w:lineRule="auto"/>
              <w:jc w:val="right"/>
              <w:rPr>
                <w:rFonts w:ascii="Arial" w:eastAsia="Times New Roman" w:hAnsi="Arial" w:cs="Arial"/>
                <w:color w:val="000000"/>
                <w:sz w:val="18"/>
                <w:szCs w:val="18"/>
                <w:lang w:eastAsia="fr-FR"/>
              </w:rPr>
            </w:pPr>
            <w:r w:rsidRPr="002462E6">
              <w:rPr>
                <w:rFonts w:ascii="Arial" w:eastAsia="Times New Roman" w:hAnsi="Arial" w:cs="Arial"/>
                <w:color w:val="000000"/>
                <w:sz w:val="18"/>
                <w:szCs w:val="18"/>
                <w:lang w:eastAsia="fr-FR"/>
              </w:rPr>
              <w:t>77%</w:t>
            </w:r>
          </w:p>
        </w:tc>
      </w:tr>
      <w:tr w:rsidR="005C014D" w:rsidRPr="002462E6" w:rsidTr="007D633A">
        <w:trPr>
          <w:trHeight w:val="215"/>
        </w:trPr>
        <w:tc>
          <w:tcPr>
            <w:tcW w:w="801" w:type="dxa"/>
            <w:vMerge/>
            <w:tcBorders>
              <w:top w:val="nil"/>
              <w:left w:val="single" w:sz="4" w:space="0" w:color="auto"/>
              <w:bottom w:val="single" w:sz="4" w:space="0" w:color="auto"/>
              <w:right w:val="single" w:sz="4" w:space="0" w:color="auto"/>
            </w:tcBorders>
            <w:vAlign w:val="center"/>
            <w:hideMark/>
          </w:tcPr>
          <w:p w:rsidR="005C014D" w:rsidRPr="002462E6" w:rsidRDefault="005C014D" w:rsidP="005C014D">
            <w:pPr>
              <w:widowControl w:val="0"/>
              <w:autoSpaceDE w:val="0"/>
              <w:autoSpaceDN w:val="0"/>
              <w:spacing w:after="0" w:line="240" w:lineRule="auto"/>
              <w:rPr>
                <w:rFonts w:ascii="Arial" w:eastAsia="Times New Roman" w:hAnsi="Arial" w:cs="Arial"/>
                <w:b/>
                <w:bCs/>
                <w:color w:val="000000"/>
                <w:sz w:val="16"/>
                <w:szCs w:val="16"/>
                <w:lang w:eastAsia="fr-FR"/>
              </w:rPr>
            </w:pPr>
          </w:p>
        </w:tc>
        <w:tc>
          <w:tcPr>
            <w:tcW w:w="907" w:type="dxa"/>
            <w:vMerge/>
            <w:tcBorders>
              <w:top w:val="nil"/>
              <w:left w:val="single" w:sz="4" w:space="0" w:color="auto"/>
              <w:bottom w:val="single" w:sz="4" w:space="0" w:color="auto"/>
              <w:right w:val="single" w:sz="4" w:space="0" w:color="auto"/>
            </w:tcBorders>
            <w:vAlign w:val="center"/>
            <w:hideMark/>
          </w:tcPr>
          <w:p w:rsidR="005C014D" w:rsidRPr="002462E6" w:rsidRDefault="005C014D" w:rsidP="005C014D">
            <w:pPr>
              <w:widowControl w:val="0"/>
              <w:autoSpaceDE w:val="0"/>
              <w:autoSpaceDN w:val="0"/>
              <w:spacing w:after="0" w:line="240" w:lineRule="auto"/>
              <w:rPr>
                <w:rFonts w:ascii="Arial" w:eastAsia="Times New Roman" w:hAnsi="Arial" w:cs="Arial"/>
                <w:color w:val="000000"/>
                <w:sz w:val="16"/>
                <w:szCs w:val="16"/>
                <w:lang w:eastAsia="fr-FR"/>
              </w:rPr>
            </w:pPr>
          </w:p>
        </w:tc>
        <w:tc>
          <w:tcPr>
            <w:tcW w:w="1076" w:type="dxa"/>
            <w:tcBorders>
              <w:top w:val="nil"/>
              <w:left w:val="nil"/>
              <w:bottom w:val="single" w:sz="4" w:space="0" w:color="auto"/>
              <w:right w:val="single" w:sz="4" w:space="0" w:color="auto"/>
            </w:tcBorders>
            <w:shd w:val="clear" w:color="auto" w:fill="auto"/>
            <w:noWrap/>
            <w:vAlign w:val="center"/>
            <w:hideMark/>
          </w:tcPr>
          <w:p w:rsidR="005C014D" w:rsidRPr="00F9749C" w:rsidRDefault="005C014D" w:rsidP="005C014D">
            <w:pPr>
              <w:widowControl w:val="0"/>
              <w:autoSpaceDE w:val="0"/>
              <w:autoSpaceDN w:val="0"/>
              <w:spacing w:after="0" w:line="240" w:lineRule="auto"/>
              <w:rPr>
                <w:rFonts w:ascii="Arial" w:eastAsia="Times New Roman" w:hAnsi="Arial" w:cs="Arial"/>
                <w:color w:val="000000"/>
                <w:sz w:val="18"/>
                <w:szCs w:val="18"/>
                <w:lang w:eastAsia="fr-FR"/>
              </w:rPr>
            </w:pPr>
            <w:r w:rsidRPr="00F9749C">
              <w:rPr>
                <w:rFonts w:ascii="Arial" w:eastAsia="Times New Roman" w:hAnsi="Arial" w:cs="Arial"/>
                <w:color w:val="000000"/>
                <w:sz w:val="18"/>
                <w:szCs w:val="18"/>
                <w:lang w:eastAsia="fr-FR"/>
              </w:rPr>
              <w:t>Dioucha</w:t>
            </w:r>
          </w:p>
        </w:tc>
        <w:tc>
          <w:tcPr>
            <w:tcW w:w="941" w:type="dxa"/>
            <w:tcBorders>
              <w:top w:val="nil"/>
              <w:left w:val="nil"/>
              <w:bottom w:val="nil"/>
              <w:right w:val="nil"/>
            </w:tcBorders>
            <w:shd w:val="clear" w:color="000000" w:fill="D34B07"/>
            <w:noWrap/>
            <w:hideMark/>
          </w:tcPr>
          <w:p w:rsidR="005C014D" w:rsidRPr="002462E6" w:rsidRDefault="005C014D" w:rsidP="005C014D">
            <w:pPr>
              <w:widowControl w:val="0"/>
              <w:autoSpaceDE w:val="0"/>
              <w:autoSpaceDN w:val="0"/>
              <w:spacing w:after="0" w:line="240" w:lineRule="auto"/>
              <w:jc w:val="right"/>
              <w:rPr>
                <w:rFonts w:ascii="Arial" w:eastAsia="Times New Roman" w:hAnsi="Arial" w:cs="Arial"/>
                <w:color w:val="000000"/>
                <w:sz w:val="18"/>
                <w:szCs w:val="18"/>
                <w:lang w:eastAsia="fr-FR"/>
              </w:rPr>
            </w:pPr>
            <w:r w:rsidRPr="002462E6">
              <w:rPr>
                <w:rFonts w:ascii="Arial" w:eastAsia="Times New Roman" w:hAnsi="Arial" w:cs="Arial"/>
                <w:color w:val="000000"/>
                <w:sz w:val="18"/>
                <w:szCs w:val="18"/>
                <w:lang w:eastAsia="fr-FR"/>
              </w:rPr>
              <w:t>100%</w:t>
            </w:r>
          </w:p>
        </w:tc>
        <w:tc>
          <w:tcPr>
            <w:tcW w:w="982" w:type="dxa"/>
            <w:tcBorders>
              <w:top w:val="nil"/>
              <w:left w:val="nil"/>
              <w:bottom w:val="nil"/>
              <w:right w:val="nil"/>
            </w:tcBorders>
            <w:shd w:val="clear" w:color="000000" w:fill="D34B07"/>
            <w:noWrap/>
            <w:hideMark/>
          </w:tcPr>
          <w:p w:rsidR="005C014D" w:rsidRPr="002462E6" w:rsidRDefault="005C014D" w:rsidP="005C014D">
            <w:pPr>
              <w:widowControl w:val="0"/>
              <w:autoSpaceDE w:val="0"/>
              <w:autoSpaceDN w:val="0"/>
              <w:spacing w:after="0" w:line="240" w:lineRule="auto"/>
              <w:jc w:val="right"/>
              <w:rPr>
                <w:rFonts w:ascii="Arial" w:eastAsia="Times New Roman" w:hAnsi="Arial" w:cs="Arial"/>
                <w:color w:val="000000"/>
                <w:sz w:val="18"/>
                <w:szCs w:val="18"/>
                <w:lang w:eastAsia="fr-FR"/>
              </w:rPr>
            </w:pPr>
            <w:r w:rsidRPr="002462E6">
              <w:rPr>
                <w:rFonts w:ascii="Arial" w:eastAsia="Times New Roman" w:hAnsi="Arial" w:cs="Arial"/>
                <w:color w:val="000000"/>
                <w:sz w:val="18"/>
                <w:szCs w:val="18"/>
                <w:lang w:eastAsia="fr-FR"/>
              </w:rPr>
              <w:t>100%</w:t>
            </w:r>
          </w:p>
        </w:tc>
        <w:tc>
          <w:tcPr>
            <w:tcW w:w="712" w:type="dxa"/>
            <w:tcBorders>
              <w:top w:val="nil"/>
              <w:left w:val="single" w:sz="4" w:space="0" w:color="000000"/>
              <w:bottom w:val="nil"/>
              <w:right w:val="single" w:sz="4" w:space="0" w:color="000000"/>
            </w:tcBorders>
            <w:shd w:val="clear" w:color="000000" w:fill="D34B07"/>
            <w:noWrap/>
            <w:hideMark/>
          </w:tcPr>
          <w:p w:rsidR="005C014D" w:rsidRPr="002462E6" w:rsidRDefault="005C014D" w:rsidP="005C014D">
            <w:pPr>
              <w:widowControl w:val="0"/>
              <w:autoSpaceDE w:val="0"/>
              <w:autoSpaceDN w:val="0"/>
              <w:spacing w:after="0" w:line="240" w:lineRule="auto"/>
              <w:jc w:val="right"/>
              <w:rPr>
                <w:rFonts w:ascii="Arial" w:eastAsia="Times New Roman" w:hAnsi="Arial" w:cs="Arial"/>
                <w:color w:val="000000"/>
                <w:sz w:val="18"/>
                <w:szCs w:val="18"/>
                <w:lang w:eastAsia="fr-FR"/>
              </w:rPr>
            </w:pPr>
            <w:r w:rsidRPr="002462E6">
              <w:rPr>
                <w:rFonts w:ascii="Arial" w:eastAsia="Times New Roman" w:hAnsi="Arial" w:cs="Arial"/>
                <w:color w:val="000000"/>
                <w:sz w:val="18"/>
                <w:szCs w:val="18"/>
                <w:lang w:eastAsia="fr-FR"/>
              </w:rPr>
              <w:t>80%</w:t>
            </w:r>
          </w:p>
        </w:tc>
        <w:tc>
          <w:tcPr>
            <w:tcW w:w="813" w:type="dxa"/>
            <w:tcBorders>
              <w:top w:val="nil"/>
              <w:left w:val="nil"/>
              <w:bottom w:val="nil"/>
              <w:right w:val="nil"/>
            </w:tcBorders>
            <w:shd w:val="clear" w:color="000000" w:fill="D34B07"/>
            <w:noWrap/>
            <w:hideMark/>
          </w:tcPr>
          <w:p w:rsidR="005C014D" w:rsidRPr="002462E6" w:rsidRDefault="005C014D" w:rsidP="005C014D">
            <w:pPr>
              <w:widowControl w:val="0"/>
              <w:autoSpaceDE w:val="0"/>
              <w:autoSpaceDN w:val="0"/>
              <w:spacing w:after="0" w:line="240" w:lineRule="auto"/>
              <w:jc w:val="right"/>
              <w:rPr>
                <w:rFonts w:ascii="Arial" w:eastAsia="Times New Roman" w:hAnsi="Arial" w:cs="Arial"/>
                <w:color w:val="000000"/>
                <w:sz w:val="18"/>
                <w:szCs w:val="18"/>
                <w:lang w:eastAsia="fr-FR"/>
              </w:rPr>
            </w:pPr>
            <w:r w:rsidRPr="002462E6">
              <w:rPr>
                <w:rFonts w:ascii="Arial" w:eastAsia="Times New Roman" w:hAnsi="Arial" w:cs="Arial"/>
                <w:color w:val="000000"/>
                <w:sz w:val="18"/>
                <w:szCs w:val="18"/>
                <w:lang w:eastAsia="fr-FR"/>
              </w:rPr>
              <w:t>100%</w:t>
            </w:r>
          </w:p>
        </w:tc>
        <w:tc>
          <w:tcPr>
            <w:tcW w:w="698" w:type="dxa"/>
            <w:tcBorders>
              <w:top w:val="nil"/>
              <w:left w:val="nil"/>
              <w:bottom w:val="nil"/>
              <w:right w:val="nil"/>
            </w:tcBorders>
            <w:shd w:val="clear" w:color="000000" w:fill="F4F46C"/>
            <w:noWrap/>
            <w:hideMark/>
          </w:tcPr>
          <w:p w:rsidR="005C014D" w:rsidRPr="002462E6" w:rsidRDefault="005C014D" w:rsidP="005C014D">
            <w:pPr>
              <w:widowControl w:val="0"/>
              <w:autoSpaceDE w:val="0"/>
              <w:autoSpaceDN w:val="0"/>
              <w:spacing w:after="0" w:line="240" w:lineRule="auto"/>
              <w:jc w:val="right"/>
              <w:rPr>
                <w:rFonts w:ascii="Arial" w:eastAsia="Times New Roman" w:hAnsi="Arial" w:cs="Arial"/>
                <w:color w:val="000000"/>
                <w:sz w:val="18"/>
                <w:szCs w:val="18"/>
                <w:lang w:eastAsia="fr-FR"/>
              </w:rPr>
            </w:pPr>
            <w:r w:rsidRPr="002462E6">
              <w:rPr>
                <w:rFonts w:ascii="Arial" w:eastAsia="Times New Roman" w:hAnsi="Arial" w:cs="Arial"/>
                <w:color w:val="000000"/>
                <w:sz w:val="18"/>
                <w:szCs w:val="18"/>
                <w:lang w:eastAsia="fr-FR"/>
              </w:rPr>
              <w:t>0%</w:t>
            </w:r>
          </w:p>
        </w:tc>
        <w:tc>
          <w:tcPr>
            <w:tcW w:w="1186" w:type="dxa"/>
            <w:tcBorders>
              <w:top w:val="nil"/>
              <w:left w:val="nil"/>
              <w:bottom w:val="nil"/>
              <w:right w:val="nil"/>
            </w:tcBorders>
            <w:shd w:val="clear" w:color="000000" w:fill="F4F46C"/>
            <w:noWrap/>
            <w:hideMark/>
          </w:tcPr>
          <w:p w:rsidR="005C014D" w:rsidRPr="002462E6" w:rsidRDefault="005C014D" w:rsidP="005C014D">
            <w:pPr>
              <w:widowControl w:val="0"/>
              <w:autoSpaceDE w:val="0"/>
              <w:autoSpaceDN w:val="0"/>
              <w:spacing w:after="0" w:line="240" w:lineRule="auto"/>
              <w:jc w:val="right"/>
              <w:rPr>
                <w:rFonts w:ascii="Arial" w:eastAsia="Times New Roman" w:hAnsi="Arial" w:cs="Arial"/>
                <w:color w:val="000000"/>
                <w:sz w:val="18"/>
                <w:szCs w:val="18"/>
                <w:lang w:eastAsia="fr-FR"/>
              </w:rPr>
            </w:pPr>
            <w:r w:rsidRPr="002462E6">
              <w:rPr>
                <w:rFonts w:ascii="Arial" w:eastAsia="Times New Roman" w:hAnsi="Arial" w:cs="Arial"/>
                <w:color w:val="000000"/>
                <w:sz w:val="18"/>
                <w:szCs w:val="18"/>
                <w:lang w:eastAsia="fr-FR"/>
              </w:rPr>
              <w:t>20%</w:t>
            </w:r>
          </w:p>
        </w:tc>
        <w:tc>
          <w:tcPr>
            <w:tcW w:w="1377" w:type="dxa"/>
            <w:tcBorders>
              <w:top w:val="nil"/>
              <w:left w:val="nil"/>
              <w:bottom w:val="nil"/>
              <w:right w:val="nil"/>
            </w:tcBorders>
            <w:shd w:val="clear" w:color="000000" w:fill="FFC000"/>
            <w:noWrap/>
            <w:hideMark/>
          </w:tcPr>
          <w:p w:rsidR="005C014D" w:rsidRPr="002462E6" w:rsidRDefault="005C014D" w:rsidP="005C014D">
            <w:pPr>
              <w:widowControl w:val="0"/>
              <w:autoSpaceDE w:val="0"/>
              <w:autoSpaceDN w:val="0"/>
              <w:spacing w:after="0" w:line="240" w:lineRule="auto"/>
              <w:jc w:val="right"/>
              <w:rPr>
                <w:rFonts w:ascii="Arial" w:eastAsia="Times New Roman" w:hAnsi="Arial" w:cs="Arial"/>
                <w:color w:val="000000"/>
                <w:sz w:val="18"/>
                <w:szCs w:val="18"/>
                <w:lang w:eastAsia="fr-FR"/>
              </w:rPr>
            </w:pPr>
            <w:r w:rsidRPr="002462E6">
              <w:rPr>
                <w:rFonts w:ascii="Arial" w:eastAsia="Times New Roman" w:hAnsi="Arial" w:cs="Arial"/>
                <w:color w:val="000000"/>
                <w:sz w:val="18"/>
                <w:szCs w:val="18"/>
                <w:lang w:eastAsia="fr-FR"/>
              </w:rPr>
              <w:t>67%</w:t>
            </w:r>
          </w:p>
        </w:tc>
      </w:tr>
      <w:tr w:rsidR="005C014D" w:rsidRPr="002462E6" w:rsidTr="007D633A">
        <w:trPr>
          <w:trHeight w:val="215"/>
        </w:trPr>
        <w:tc>
          <w:tcPr>
            <w:tcW w:w="801" w:type="dxa"/>
            <w:vMerge/>
            <w:tcBorders>
              <w:top w:val="nil"/>
              <w:left w:val="single" w:sz="4" w:space="0" w:color="auto"/>
              <w:bottom w:val="single" w:sz="4" w:space="0" w:color="auto"/>
              <w:right w:val="single" w:sz="4" w:space="0" w:color="auto"/>
            </w:tcBorders>
            <w:vAlign w:val="center"/>
            <w:hideMark/>
          </w:tcPr>
          <w:p w:rsidR="005C014D" w:rsidRPr="002462E6" w:rsidRDefault="005C014D" w:rsidP="005C014D">
            <w:pPr>
              <w:widowControl w:val="0"/>
              <w:autoSpaceDE w:val="0"/>
              <w:autoSpaceDN w:val="0"/>
              <w:spacing w:after="0" w:line="240" w:lineRule="auto"/>
              <w:rPr>
                <w:rFonts w:ascii="Arial" w:eastAsia="Times New Roman" w:hAnsi="Arial" w:cs="Arial"/>
                <w:b/>
                <w:bCs/>
                <w:color w:val="000000"/>
                <w:sz w:val="16"/>
                <w:szCs w:val="16"/>
                <w:lang w:eastAsia="fr-FR"/>
              </w:rPr>
            </w:pPr>
          </w:p>
        </w:tc>
        <w:tc>
          <w:tcPr>
            <w:tcW w:w="907" w:type="dxa"/>
            <w:vMerge/>
            <w:tcBorders>
              <w:top w:val="nil"/>
              <w:left w:val="single" w:sz="4" w:space="0" w:color="auto"/>
              <w:bottom w:val="single" w:sz="4" w:space="0" w:color="auto"/>
              <w:right w:val="single" w:sz="4" w:space="0" w:color="auto"/>
            </w:tcBorders>
            <w:vAlign w:val="center"/>
            <w:hideMark/>
          </w:tcPr>
          <w:p w:rsidR="005C014D" w:rsidRPr="002462E6" w:rsidRDefault="005C014D" w:rsidP="005C014D">
            <w:pPr>
              <w:widowControl w:val="0"/>
              <w:autoSpaceDE w:val="0"/>
              <w:autoSpaceDN w:val="0"/>
              <w:spacing w:after="0" w:line="240" w:lineRule="auto"/>
              <w:rPr>
                <w:rFonts w:ascii="Arial" w:eastAsia="Times New Roman" w:hAnsi="Arial" w:cs="Arial"/>
                <w:color w:val="000000"/>
                <w:sz w:val="16"/>
                <w:szCs w:val="16"/>
                <w:lang w:eastAsia="fr-FR"/>
              </w:rPr>
            </w:pPr>
          </w:p>
        </w:tc>
        <w:tc>
          <w:tcPr>
            <w:tcW w:w="1076" w:type="dxa"/>
            <w:tcBorders>
              <w:top w:val="nil"/>
              <w:left w:val="nil"/>
              <w:bottom w:val="single" w:sz="4" w:space="0" w:color="auto"/>
              <w:right w:val="single" w:sz="4" w:space="0" w:color="auto"/>
            </w:tcBorders>
            <w:shd w:val="clear" w:color="auto" w:fill="auto"/>
            <w:noWrap/>
            <w:vAlign w:val="center"/>
            <w:hideMark/>
          </w:tcPr>
          <w:p w:rsidR="005C014D" w:rsidRPr="00F9749C" w:rsidRDefault="005C014D" w:rsidP="005C014D">
            <w:pPr>
              <w:widowControl w:val="0"/>
              <w:autoSpaceDE w:val="0"/>
              <w:autoSpaceDN w:val="0"/>
              <w:spacing w:after="0" w:line="240" w:lineRule="auto"/>
              <w:rPr>
                <w:rFonts w:ascii="Arial" w:eastAsia="Times New Roman" w:hAnsi="Arial" w:cs="Arial"/>
                <w:color w:val="000000"/>
                <w:sz w:val="18"/>
                <w:szCs w:val="18"/>
                <w:lang w:eastAsia="fr-FR"/>
              </w:rPr>
            </w:pPr>
            <w:r w:rsidRPr="00F9749C">
              <w:rPr>
                <w:rFonts w:ascii="Arial" w:eastAsia="Times New Roman" w:hAnsi="Arial" w:cs="Arial"/>
                <w:color w:val="000000"/>
                <w:sz w:val="18"/>
                <w:szCs w:val="18"/>
                <w:lang w:eastAsia="fr-FR"/>
              </w:rPr>
              <w:t>Ibouaazaouyine</w:t>
            </w:r>
          </w:p>
        </w:tc>
        <w:tc>
          <w:tcPr>
            <w:tcW w:w="941" w:type="dxa"/>
            <w:tcBorders>
              <w:top w:val="nil"/>
              <w:left w:val="nil"/>
              <w:bottom w:val="nil"/>
              <w:right w:val="nil"/>
            </w:tcBorders>
            <w:shd w:val="clear" w:color="000000" w:fill="D34B07"/>
            <w:noWrap/>
            <w:hideMark/>
          </w:tcPr>
          <w:p w:rsidR="005C014D" w:rsidRPr="002462E6" w:rsidRDefault="005C014D" w:rsidP="005C014D">
            <w:pPr>
              <w:widowControl w:val="0"/>
              <w:autoSpaceDE w:val="0"/>
              <w:autoSpaceDN w:val="0"/>
              <w:spacing w:after="0" w:line="240" w:lineRule="auto"/>
              <w:jc w:val="right"/>
              <w:rPr>
                <w:rFonts w:ascii="Arial" w:eastAsia="Times New Roman" w:hAnsi="Arial" w:cs="Arial"/>
                <w:color w:val="000000"/>
                <w:sz w:val="18"/>
                <w:szCs w:val="18"/>
                <w:lang w:eastAsia="fr-FR"/>
              </w:rPr>
            </w:pPr>
            <w:r w:rsidRPr="002462E6">
              <w:rPr>
                <w:rFonts w:ascii="Arial" w:eastAsia="Times New Roman" w:hAnsi="Arial" w:cs="Arial"/>
                <w:color w:val="000000"/>
                <w:sz w:val="18"/>
                <w:szCs w:val="18"/>
                <w:lang w:eastAsia="fr-FR"/>
              </w:rPr>
              <w:t>100%</w:t>
            </w:r>
          </w:p>
        </w:tc>
        <w:tc>
          <w:tcPr>
            <w:tcW w:w="982" w:type="dxa"/>
            <w:tcBorders>
              <w:top w:val="nil"/>
              <w:left w:val="nil"/>
              <w:bottom w:val="nil"/>
              <w:right w:val="nil"/>
            </w:tcBorders>
            <w:shd w:val="clear" w:color="000000" w:fill="D34B07"/>
            <w:noWrap/>
            <w:hideMark/>
          </w:tcPr>
          <w:p w:rsidR="005C014D" w:rsidRPr="002462E6" w:rsidRDefault="005C014D" w:rsidP="005C014D">
            <w:pPr>
              <w:widowControl w:val="0"/>
              <w:autoSpaceDE w:val="0"/>
              <w:autoSpaceDN w:val="0"/>
              <w:spacing w:after="0" w:line="240" w:lineRule="auto"/>
              <w:jc w:val="right"/>
              <w:rPr>
                <w:rFonts w:ascii="Arial" w:eastAsia="Times New Roman" w:hAnsi="Arial" w:cs="Arial"/>
                <w:color w:val="000000"/>
                <w:sz w:val="18"/>
                <w:szCs w:val="18"/>
                <w:lang w:eastAsia="fr-FR"/>
              </w:rPr>
            </w:pPr>
            <w:r w:rsidRPr="002462E6">
              <w:rPr>
                <w:rFonts w:ascii="Arial" w:eastAsia="Times New Roman" w:hAnsi="Arial" w:cs="Arial"/>
                <w:color w:val="000000"/>
                <w:sz w:val="18"/>
                <w:szCs w:val="18"/>
                <w:lang w:eastAsia="fr-FR"/>
              </w:rPr>
              <w:t>100%</w:t>
            </w:r>
          </w:p>
        </w:tc>
        <w:tc>
          <w:tcPr>
            <w:tcW w:w="712" w:type="dxa"/>
            <w:tcBorders>
              <w:top w:val="nil"/>
              <w:left w:val="single" w:sz="4" w:space="0" w:color="000000"/>
              <w:bottom w:val="nil"/>
              <w:right w:val="single" w:sz="4" w:space="0" w:color="000000"/>
            </w:tcBorders>
            <w:shd w:val="clear" w:color="000000" w:fill="D34B07"/>
            <w:noWrap/>
            <w:hideMark/>
          </w:tcPr>
          <w:p w:rsidR="005C014D" w:rsidRPr="002462E6" w:rsidRDefault="005C014D" w:rsidP="005C014D">
            <w:pPr>
              <w:widowControl w:val="0"/>
              <w:autoSpaceDE w:val="0"/>
              <w:autoSpaceDN w:val="0"/>
              <w:spacing w:after="0" w:line="240" w:lineRule="auto"/>
              <w:jc w:val="right"/>
              <w:rPr>
                <w:rFonts w:ascii="Arial" w:eastAsia="Times New Roman" w:hAnsi="Arial" w:cs="Arial"/>
                <w:color w:val="000000"/>
                <w:sz w:val="18"/>
                <w:szCs w:val="18"/>
                <w:lang w:eastAsia="fr-FR"/>
              </w:rPr>
            </w:pPr>
            <w:r w:rsidRPr="002462E6">
              <w:rPr>
                <w:rFonts w:ascii="Arial" w:eastAsia="Times New Roman" w:hAnsi="Arial" w:cs="Arial"/>
                <w:color w:val="000000"/>
                <w:sz w:val="18"/>
                <w:szCs w:val="18"/>
                <w:lang w:eastAsia="fr-FR"/>
              </w:rPr>
              <w:t>80%</w:t>
            </w:r>
          </w:p>
        </w:tc>
        <w:tc>
          <w:tcPr>
            <w:tcW w:w="813" w:type="dxa"/>
            <w:tcBorders>
              <w:top w:val="nil"/>
              <w:left w:val="nil"/>
              <w:bottom w:val="nil"/>
              <w:right w:val="nil"/>
            </w:tcBorders>
            <w:shd w:val="clear" w:color="000000" w:fill="D34B07"/>
            <w:noWrap/>
            <w:hideMark/>
          </w:tcPr>
          <w:p w:rsidR="005C014D" w:rsidRPr="002462E6" w:rsidRDefault="005C014D" w:rsidP="005C014D">
            <w:pPr>
              <w:widowControl w:val="0"/>
              <w:autoSpaceDE w:val="0"/>
              <w:autoSpaceDN w:val="0"/>
              <w:spacing w:after="0" w:line="240" w:lineRule="auto"/>
              <w:jc w:val="right"/>
              <w:rPr>
                <w:rFonts w:ascii="Arial" w:eastAsia="Times New Roman" w:hAnsi="Arial" w:cs="Arial"/>
                <w:color w:val="000000"/>
                <w:sz w:val="18"/>
                <w:szCs w:val="18"/>
                <w:lang w:eastAsia="fr-FR"/>
              </w:rPr>
            </w:pPr>
            <w:r w:rsidRPr="002462E6">
              <w:rPr>
                <w:rFonts w:ascii="Arial" w:eastAsia="Times New Roman" w:hAnsi="Arial" w:cs="Arial"/>
                <w:color w:val="000000"/>
                <w:sz w:val="18"/>
                <w:szCs w:val="18"/>
                <w:lang w:eastAsia="fr-FR"/>
              </w:rPr>
              <w:t>100%</w:t>
            </w:r>
          </w:p>
        </w:tc>
        <w:tc>
          <w:tcPr>
            <w:tcW w:w="698" w:type="dxa"/>
            <w:tcBorders>
              <w:top w:val="nil"/>
              <w:left w:val="nil"/>
              <w:bottom w:val="nil"/>
              <w:right w:val="nil"/>
            </w:tcBorders>
            <w:shd w:val="clear" w:color="000000" w:fill="FFC000"/>
            <w:noWrap/>
            <w:hideMark/>
          </w:tcPr>
          <w:p w:rsidR="005C014D" w:rsidRPr="002462E6" w:rsidRDefault="005C014D" w:rsidP="005C014D">
            <w:pPr>
              <w:widowControl w:val="0"/>
              <w:autoSpaceDE w:val="0"/>
              <w:autoSpaceDN w:val="0"/>
              <w:spacing w:after="0" w:line="240" w:lineRule="auto"/>
              <w:jc w:val="right"/>
              <w:rPr>
                <w:rFonts w:ascii="Arial" w:eastAsia="Times New Roman" w:hAnsi="Arial" w:cs="Arial"/>
                <w:color w:val="000000"/>
                <w:sz w:val="18"/>
                <w:szCs w:val="18"/>
                <w:lang w:eastAsia="fr-FR"/>
              </w:rPr>
            </w:pPr>
            <w:r w:rsidRPr="002462E6">
              <w:rPr>
                <w:rFonts w:ascii="Arial" w:eastAsia="Times New Roman" w:hAnsi="Arial" w:cs="Arial"/>
                <w:color w:val="000000"/>
                <w:sz w:val="18"/>
                <w:szCs w:val="18"/>
                <w:lang w:eastAsia="fr-FR"/>
              </w:rPr>
              <w:t>60%</w:t>
            </w:r>
          </w:p>
        </w:tc>
        <w:tc>
          <w:tcPr>
            <w:tcW w:w="1186" w:type="dxa"/>
            <w:tcBorders>
              <w:top w:val="nil"/>
              <w:left w:val="nil"/>
              <w:bottom w:val="nil"/>
              <w:right w:val="nil"/>
            </w:tcBorders>
            <w:shd w:val="clear" w:color="000000" w:fill="F4F46C"/>
            <w:noWrap/>
            <w:hideMark/>
          </w:tcPr>
          <w:p w:rsidR="005C014D" w:rsidRPr="002462E6" w:rsidRDefault="005C014D" w:rsidP="005C014D">
            <w:pPr>
              <w:widowControl w:val="0"/>
              <w:autoSpaceDE w:val="0"/>
              <w:autoSpaceDN w:val="0"/>
              <w:spacing w:after="0" w:line="240" w:lineRule="auto"/>
              <w:jc w:val="right"/>
              <w:rPr>
                <w:rFonts w:ascii="Arial" w:eastAsia="Times New Roman" w:hAnsi="Arial" w:cs="Arial"/>
                <w:color w:val="000000"/>
                <w:sz w:val="18"/>
                <w:szCs w:val="18"/>
                <w:lang w:eastAsia="fr-FR"/>
              </w:rPr>
            </w:pPr>
            <w:r w:rsidRPr="002462E6">
              <w:rPr>
                <w:rFonts w:ascii="Arial" w:eastAsia="Times New Roman" w:hAnsi="Arial" w:cs="Arial"/>
                <w:color w:val="000000"/>
                <w:sz w:val="18"/>
                <w:szCs w:val="18"/>
                <w:lang w:eastAsia="fr-FR"/>
              </w:rPr>
              <w:t>20%</w:t>
            </w:r>
          </w:p>
        </w:tc>
        <w:tc>
          <w:tcPr>
            <w:tcW w:w="1377" w:type="dxa"/>
            <w:tcBorders>
              <w:top w:val="nil"/>
              <w:left w:val="nil"/>
              <w:bottom w:val="nil"/>
              <w:right w:val="nil"/>
            </w:tcBorders>
            <w:shd w:val="clear" w:color="000000" w:fill="D34B07"/>
            <w:noWrap/>
            <w:hideMark/>
          </w:tcPr>
          <w:p w:rsidR="005C014D" w:rsidRPr="002462E6" w:rsidRDefault="005C014D" w:rsidP="005C014D">
            <w:pPr>
              <w:widowControl w:val="0"/>
              <w:autoSpaceDE w:val="0"/>
              <w:autoSpaceDN w:val="0"/>
              <w:spacing w:after="0" w:line="240" w:lineRule="auto"/>
              <w:jc w:val="right"/>
              <w:rPr>
                <w:rFonts w:ascii="Arial" w:eastAsia="Times New Roman" w:hAnsi="Arial" w:cs="Arial"/>
                <w:color w:val="000000"/>
                <w:sz w:val="18"/>
                <w:szCs w:val="18"/>
                <w:lang w:eastAsia="fr-FR"/>
              </w:rPr>
            </w:pPr>
            <w:r w:rsidRPr="002462E6">
              <w:rPr>
                <w:rFonts w:ascii="Arial" w:eastAsia="Times New Roman" w:hAnsi="Arial" w:cs="Arial"/>
                <w:color w:val="000000"/>
                <w:sz w:val="18"/>
                <w:szCs w:val="18"/>
                <w:lang w:eastAsia="fr-FR"/>
              </w:rPr>
              <w:t>77%</w:t>
            </w:r>
          </w:p>
        </w:tc>
      </w:tr>
      <w:tr w:rsidR="005C014D" w:rsidRPr="002462E6" w:rsidTr="007D633A">
        <w:trPr>
          <w:trHeight w:val="215"/>
        </w:trPr>
        <w:tc>
          <w:tcPr>
            <w:tcW w:w="801" w:type="dxa"/>
            <w:vMerge/>
            <w:tcBorders>
              <w:top w:val="nil"/>
              <w:left w:val="single" w:sz="4" w:space="0" w:color="auto"/>
              <w:bottom w:val="single" w:sz="4" w:space="0" w:color="auto"/>
              <w:right w:val="single" w:sz="4" w:space="0" w:color="auto"/>
            </w:tcBorders>
            <w:vAlign w:val="center"/>
            <w:hideMark/>
          </w:tcPr>
          <w:p w:rsidR="005C014D" w:rsidRPr="002462E6" w:rsidRDefault="005C014D" w:rsidP="005C014D">
            <w:pPr>
              <w:widowControl w:val="0"/>
              <w:autoSpaceDE w:val="0"/>
              <w:autoSpaceDN w:val="0"/>
              <w:spacing w:after="0" w:line="240" w:lineRule="auto"/>
              <w:rPr>
                <w:rFonts w:ascii="Arial" w:eastAsia="Times New Roman" w:hAnsi="Arial" w:cs="Arial"/>
                <w:b/>
                <w:bCs/>
                <w:color w:val="000000"/>
                <w:sz w:val="16"/>
                <w:szCs w:val="16"/>
                <w:lang w:eastAsia="fr-FR"/>
              </w:rPr>
            </w:pPr>
          </w:p>
        </w:tc>
        <w:tc>
          <w:tcPr>
            <w:tcW w:w="907" w:type="dxa"/>
            <w:vMerge/>
            <w:tcBorders>
              <w:top w:val="nil"/>
              <w:left w:val="single" w:sz="4" w:space="0" w:color="auto"/>
              <w:bottom w:val="single" w:sz="4" w:space="0" w:color="auto"/>
              <w:right w:val="single" w:sz="4" w:space="0" w:color="auto"/>
            </w:tcBorders>
            <w:vAlign w:val="center"/>
            <w:hideMark/>
          </w:tcPr>
          <w:p w:rsidR="005C014D" w:rsidRPr="002462E6" w:rsidRDefault="005C014D" w:rsidP="005C014D">
            <w:pPr>
              <w:widowControl w:val="0"/>
              <w:autoSpaceDE w:val="0"/>
              <w:autoSpaceDN w:val="0"/>
              <w:spacing w:after="0" w:line="240" w:lineRule="auto"/>
              <w:rPr>
                <w:rFonts w:ascii="Arial" w:eastAsia="Times New Roman" w:hAnsi="Arial" w:cs="Arial"/>
                <w:color w:val="000000"/>
                <w:sz w:val="16"/>
                <w:szCs w:val="16"/>
                <w:lang w:eastAsia="fr-FR"/>
              </w:rPr>
            </w:pPr>
          </w:p>
        </w:tc>
        <w:tc>
          <w:tcPr>
            <w:tcW w:w="1076" w:type="dxa"/>
            <w:tcBorders>
              <w:top w:val="nil"/>
              <w:left w:val="nil"/>
              <w:bottom w:val="single" w:sz="4" w:space="0" w:color="auto"/>
              <w:right w:val="single" w:sz="4" w:space="0" w:color="auto"/>
            </w:tcBorders>
            <w:shd w:val="clear" w:color="auto" w:fill="auto"/>
            <w:noWrap/>
            <w:vAlign w:val="center"/>
            <w:hideMark/>
          </w:tcPr>
          <w:p w:rsidR="005C014D" w:rsidRPr="00F9749C" w:rsidRDefault="005C014D" w:rsidP="005C014D">
            <w:pPr>
              <w:widowControl w:val="0"/>
              <w:autoSpaceDE w:val="0"/>
              <w:autoSpaceDN w:val="0"/>
              <w:spacing w:after="0" w:line="240" w:lineRule="auto"/>
              <w:rPr>
                <w:rFonts w:ascii="Arial" w:eastAsia="Times New Roman" w:hAnsi="Arial" w:cs="Arial"/>
                <w:color w:val="000000"/>
                <w:sz w:val="18"/>
                <w:szCs w:val="18"/>
                <w:lang w:eastAsia="fr-FR"/>
              </w:rPr>
            </w:pPr>
            <w:r w:rsidRPr="00F9749C">
              <w:rPr>
                <w:rFonts w:ascii="Arial" w:eastAsia="Times New Roman" w:hAnsi="Arial" w:cs="Arial"/>
                <w:color w:val="000000"/>
                <w:sz w:val="18"/>
                <w:szCs w:val="18"/>
                <w:lang w:eastAsia="fr-FR"/>
              </w:rPr>
              <w:t>Oulad Ghait</w:t>
            </w:r>
          </w:p>
        </w:tc>
        <w:tc>
          <w:tcPr>
            <w:tcW w:w="941" w:type="dxa"/>
            <w:tcBorders>
              <w:top w:val="nil"/>
              <w:left w:val="nil"/>
              <w:bottom w:val="nil"/>
              <w:right w:val="nil"/>
            </w:tcBorders>
            <w:shd w:val="clear" w:color="000000" w:fill="D34B07"/>
            <w:noWrap/>
            <w:hideMark/>
          </w:tcPr>
          <w:p w:rsidR="005C014D" w:rsidRPr="002462E6" w:rsidRDefault="005C014D" w:rsidP="005C014D">
            <w:pPr>
              <w:widowControl w:val="0"/>
              <w:autoSpaceDE w:val="0"/>
              <w:autoSpaceDN w:val="0"/>
              <w:spacing w:after="0" w:line="240" w:lineRule="auto"/>
              <w:jc w:val="right"/>
              <w:rPr>
                <w:rFonts w:ascii="Arial" w:eastAsia="Times New Roman" w:hAnsi="Arial" w:cs="Arial"/>
                <w:color w:val="000000"/>
                <w:sz w:val="18"/>
                <w:szCs w:val="18"/>
                <w:lang w:eastAsia="fr-FR"/>
              </w:rPr>
            </w:pPr>
            <w:r w:rsidRPr="002462E6">
              <w:rPr>
                <w:rFonts w:ascii="Arial" w:eastAsia="Times New Roman" w:hAnsi="Arial" w:cs="Arial"/>
                <w:color w:val="000000"/>
                <w:sz w:val="18"/>
                <w:szCs w:val="18"/>
                <w:lang w:eastAsia="fr-FR"/>
              </w:rPr>
              <w:t>100%</w:t>
            </w:r>
          </w:p>
        </w:tc>
        <w:tc>
          <w:tcPr>
            <w:tcW w:w="982" w:type="dxa"/>
            <w:tcBorders>
              <w:top w:val="nil"/>
              <w:left w:val="nil"/>
              <w:bottom w:val="nil"/>
              <w:right w:val="nil"/>
            </w:tcBorders>
            <w:shd w:val="clear" w:color="000000" w:fill="D34B07"/>
            <w:noWrap/>
            <w:hideMark/>
          </w:tcPr>
          <w:p w:rsidR="005C014D" w:rsidRPr="002462E6" w:rsidRDefault="005C014D" w:rsidP="005C014D">
            <w:pPr>
              <w:widowControl w:val="0"/>
              <w:autoSpaceDE w:val="0"/>
              <w:autoSpaceDN w:val="0"/>
              <w:spacing w:after="0" w:line="240" w:lineRule="auto"/>
              <w:jc w:val="right"/>
              <w:rPr>
                <w:rFonts w:ascii="Arial" w:eastAsia="Times New Roman" w:hAnsi="Arial" w:cs="Arial"/>
                <w:color w:val="000000"/>
                <w:sz w:val="18"/>
                <w:szCs w:val="18"/>
                <w:lang w:eastAsia="fr-FR"/>
              </w:rPr>
            </w:pPr>
            <w:r w:rsidRPr="002462E6">
              <w:rPr>
                <w:rFonts w:ascii="Arial" w:eastAsia="Times New Roman" w:hAnsi="Arial" w:cs="Arial"/>
                <w:color w:val="000000"/>
                <w:sz w:val="18"/>
                <w:szCs w:val="18"/>
                <w:lang w:eastAsia="fr-FR"/>
              </w:rPr>
              <w:t>100%</w:t>
            </w:r>
          </w:p>
        </w:tc>
        <w:tc>
          <w:tcPr>
            <w:tcW w:w="712" w:type="dxa"/>
            <w:tcBorders>
              <w:top w:val="nil"/>
              <w:left w:val="single" w:sz="4" w:space="0" w:color="000000"/>
              <w:bottom w:val="nil"/>
              <w:right w:val="single" w:sz="4" w:space="0" w:color="000000"/>
            </w:tcBorders>
            <w:shd w:val="clear" w:color="000000" w:fill="D34B07"/>
            <w:noWrap/>
            <w:hideMark/>
          </w:tcPr>
          <w:p w:rsidR="005C014D" w:rsidRPr="002462E6" w:rsidRDefault="005C014D" w:rsidP="005C014D">
            <w:pPr>
              <w:widowControl w:val="0"/>
              <w:autoSpaceDE w:val="0"/>
              <w:autoSpaceDN w:val="0"/>
              <w:spacing w:after="0" w:line="240" w:lineRule="auto"/>
              <w:jc w:val="right"/>
              <w:rPr>
                <w:rFonts w:ascii="Arial" w:eastAsia="Times New Roman" w:hAnsi="Arial" w:cs="Arial"/>
                <w:color w:val="000000"/>
                <w:sz w:val="18"/>
                <w:szCs w:val="18"/>
                <w:lang w:eastAsia="fr-FR"/>
              </w:rPr>
            </w:pPr>
            <w:r w:rsidRPr="002462E6">
              <w:rPr>
                <w:rFonts w:ascii="Arial" w:eastAsia="Times New Roman" w:hAnsi="Arial" w:cs="Arial"/>
                <w:color w:val="000000"/>
                <w:sz w:val="18"/>
                <w:szCs w:val="18"/>
                <w:lang w:eastAsia="fr-FR"/>
              </w:rPr>
              <w:t>80%</w:t>
            </w:r>
          </w:p>
        </w:tc>
        <w:tc>
          <w:tcPr>
            <w:tcW w:w="813" w:type="dxa"/>
            <w:tcBorders>
              <w:top w:val="nil"/>
              <w:left w:val="nil"/>
              <w:bottom w:val="nil"/>
              <w:right w:val="nil"/>
            </w:tcBorders>
            <w:shd w:val="clear" w:color="000000" w:fill="D34B07"/>
            <w:noWrap/>
            <w:hideMark/>
          </w:tcPr>
          <w:p w:rsidR="005C014D" w:rsidRPr="002462E6" w:rsidRDefault="005C014D" w:rsidP="005C014D">
            <w:pPr>
              <w:widowControl w:val="0"/>
              <w:autoSpaceDE w:val="0"/>
              <w:autoSpaceDN w:val="0"/>
              <w:spacing w:after="0" w:line="240" w:lineRule="auto"/>
              <w:jc w:val="right"/>
              <w:rPr>
                <w:rFonts w:ascii="Arial" w:eastAsia="Times New Roman" w:hAnsi="Arial" w:cs="Arial"/>
                <w:color w:val="000000"/>
                <w:sz w:val="18"/>
                <w:szCs w:val="18"/>
                <w:lang w:eastAsia="fr-FR"/>
              </w:rPr>
            </w:pPr>
            <w:r w:rsidRPr="002462E6">
              <w:rPr>
                <w:rFonts w:ascii="Arial" w:eastAsia="Times New Roman" w:hAnsi="Arial" w:cs="Arial"/>
                <w:color w:val="000000"/>
                <w:sz w:val="18"/>
                <w:szCs w:val="18"/>
                <w:lang w:eastAsia="fr-FR"/>
              </w:rPr>
              <w:t>100%</w:t>
            </w:r>
          </w:p>
        </w:tc>
        <w:tc>
          <w:tcPr>
            <w:tcW w:w="698" w:type="dxa"/>
            <w:tcBorders>
              <w:top w:val="nil"/>
              <w:left w:val="nil"/>
              <w:bottom w:val="nil"/>
              <w:right w:val="nil"/>
            </w:tcBorders>
            <w:shd w:val="clear" w:color="000000" w:fill="D34B07"/>
            <w:noWrap/>
            <w:hideMark/>
          </w:tcPr>
          <w:p w:rsidR="005C014D" w:rsidRPr="002462E6" w:rsidRDefault="005C014D" w:rsidP="005C014D">
            <w:pPr>
              <w:widowControl w:val="0"/>
              <w:autoSpaceDE w:val="0"/>
              <w:autoSpaceDN w:val="0"/>
              <w:spacing w:after="0" w:line="240" w:lineRule="auto"/>
              <w:jc w:val="right"/>
              <w:rPr>
                <w:rFonts w:ascii="Arial" w:eastAsia="Times New Roman" w:hAnsi="Arial" w:cs="Arial"/>
                <w:color w:val="000000"/>
                <w:sz w:val="18"/>
                <w:szCs w:val="18"/>
                <w:lang w:eastAsia="fr-FR"/>
              </w:rPr>
            </w:pPr>
            <w:r w:rsidRPr="002462E6">
              <w:rPr>
                <w:rFonts w:ascii="Arial" w:eastAsia="Times New Roman" w:hAnsi="Arial" w:cs="Arial"/>
                <w:color w:val="000000"/>
                <w:sz w:val="18"/>
                <w:szCs w:val="18"/>
                <w:lang w:eastAsia="fr-FR"/>
              </w:rPr>
              <w:t>80%</w:t>
            </w:r>
          </w:p>
        </w:tc>
        <w:tc>
          <w:tcPr>
            <w:tcW w:w="1186" w:type="dxa"/>
            <w:tcBorders>
              <w:top w:val="nil"/>
              <w:left w:val="nil"/>
              <w:bottom w:val="nil"/>
              <w:right w:val="nil"/>
            </w:tcBorders>
            <w:shd w:val="clear" w:color="000000" w:fill="F4F46C"/>
            <w:noWrap/>
            <w:hideMark/>
          </w:tcPr>
          <w:p w:rsidR="005C014D" w:rsidRPr="002462E6" w:rsidRDefault="005C014D" w:rsidP="005C014D">
            <w:pPr>
              <w:widowControl w:val="0"/>
              <w:autoSpaceDE w:val="0"/>
              <w:autoSpaceDN w:val="0"/>
              <w:spacing w:after="0" w:line="240" w:lineRule="auto"/>
              <w:jc w:val="right"/>
              <w:rPr>
                <w:rFonts w:ascii="Arial" w:eastAsia="Times New Roman" w:hAnsi="Arial" w:cs="Arial"/>
                <w:color w:val="000000"/>
                <w:sz w:val="18"/>
                <w:szCs w:val="18"/>
                <w:lang w:eastAsia="fr-FR"/>
              </w:rPr>
            </w:pPr>
            <w:r w:rsidRPr="002462E6">
              <w:rPr>
                <w:rFonts w:ascii="Arial" w:eastAsia="Times New Roman" w:hAnsi="Arial" w:cs="Arial"/>
                <w:color w:val="000000"/>
                <w:sz w:val="18"/>
                <w:szCs w:val="18"/>
                <w:lang w:eastAsia="fr-FR"/>
              </w:rPr>
              <w:t>20%</w:t>
            </w:r>
          </w:p>
        </w:tc>
        <w:tc>
          <w:tcPr>
            <w:tcW w:w="1377" w:type="dxa"/>
            <w:tcBorders>
              <w:top w:val="nil"/>
              <w:left w:val="nil"/>
              <w:bottom w:val="nil"/>
              <w:right w:val="nil"/>
            </w:tcBorders>
            <w:shd w:val="clear" w:color="000000" w:fill="D34B07"/>
            <w:noWrap/>
            <w:hideMark/>
          </w:tcPr>
          <w:p w:rsidR="005C014D" w:rsidRPr="002462E6" w:rsidRDefault="005C014D" w:rsidP="005C014D">
            <w:pPr>
              <w:widowControl w:val="0"/>
              <w:autoSpaceDE w:val="0"/>
              <w:autoSpaceDN w:val="0"/>
              <w:spacing w:after="0" w:line="240" w:lineRule="auto"/>
              <w:jc w:val="right"/>
              <w:rPr>
                <w:rFonts w:ascii="Arial" w:eastAsia="Times New Roman" w:hAnsi="Arial" w:cs="Arial"/>
                <w:color w:val="000000"/>
                <w:sz w:val="18"/>
                <w:szCs w:val="18"/>
                <w:lang w:eastAsia="fr-FR"/>
              </w:rPr>
            </w:pPr>
            <w:r w:rsidRPr="002462E6">
              <w:rPr>
                <w:rFonts w:ascii="Arial" w:eastAsia="Times New Roman" w:hAnsi="Arial" w:cs="Arial"/>
                <w:color w:val="000000"/>
                <w:sz w:val="18"/>
                <w:szCs w:val="18"/>
                <w:lang w:eastAsia="fr-FR"/>
              </w:rPr>
              <w:t>80%</w:t>
            </w:r>
          </w:p>
        </w:tc>
      </w:tr>
      <w:tr w:rsidR="005C014D" w:rsidRPr="002462E6" w:rsidTr="007D633A">
        <w:trPr>
          <w:trHeight w:val="215"/>
        </w:trPr>
        <w:tc>
          <w:tcPr>
            <w:tcW w:w="801" w:type="dxa"/>
            <w:vMerge/>
            <w:tcBorders>
              <w:top w:val="nil"/>
              <w:left w:val="single" w:sz="4" w:space="0" w:color="auto"/>
              <w:bottom w:val="single" w:sz="4" w:space="0" w:color="auto"/>
              <w:right w:val="single" w:sz="4" w:space="0" w:color="auto"/>
            </w:tcBorders>
            <w:vAlign w:val="center"/>
            <w:hideMark/>
          </w:tcPr>
          <w:p w:rsidR="005C014D" w:rsidRPr="002462E6" w:rsidRDefault="005C014D" w:rsidP="005C014D">
            <w:pPr>
              <w:widowControl w:val="0"/>
              <w:autoSpaceDE w:val="0"/>
              <w:autoSpaceDN w:val="0"/>
              <w:spacing w:after="0" w:line="240" w:lineRule="auto"/>
              <w:rPr>
                <w:rFonts w:ascii="Arial" w:eastAsia="Times New Roman" w:hAnsi="Arial" w:cs="Arial"/>
                <w:b/>
                <w:bCs/>
                <w:color w:val="000000"/>
                <w:sz w:val="16"/>
                <w:szCs w:val="16"/>
                <w:lang w:eastAsia="fr-FR"/>
              </w:rPr>
            </w:pPr>
          </w:p>
        </w:tc>
        <w:tc>
          <w:tcPr>
            <w:tcW w:w="907" w:type="dxa"/>
            <w:vMerge/>
            <w:tcBorders>
              <w:top w:val="nil"/>
              <w:left w:val="single" w:sz="4" w:space="0" w:color="auto"/>
              <w:bottom w:val="single" w:sz="4" w:space="0" w:color="auto"/>
              <w:right w:val="single" w:sz="4" w:space="0" w:color="auto"/>
            </w:tcBorders>
            <w:vAlign w:val="center"/>
            <w:hideMark/>
          </w:tcPr>
          <w:p w:rsidR="005C014D" w:rsidRPr="002462E6" w:rsidRDefault="005C014D" w:rsidP="005C014D">
            <w:pPr>
              <w:widowControl w:val="0"/>
              <w:autoSpaceDE w:val="0"/>
              <w:autoSpaceDN w:val="0"/>
              <w:spacing w:after="0" w:line="240" w:lineRule="auto"/>
              <w:rPr>
                <w:rFonts w:ascii="Arial" w:eastAsia="Times New Roman" w:hAnsi="Arial" w:cs="Arial"/>
                <w:color w:val="000000"/>
                <w:sz w:val="16"/>
                <w:szCs w:val="16"/>
                <w:lang w:eastAsia="fr-FR"/>
              </w:rPr>
            </w:pPr>
          </w:p>
        </w:tc>
        <w:tc>
          <w:tcPr>
            <w:tcW w:w="1076" w:type="dxa"/>
            <w:tcBorders>
              <w:top w:val="nil"/>
              <w:left w:val="nil"/>
              <w:bottom w:val="single" w:sz="4" w:space="0" w:color="auto"/>
              <w:right w:val="single" w:sz="4" w:space="0" w:color="auto"/>
            </w:tcBorders>
            <w:shd w:val="clear" w:color="auto" w:fill="auto"/>
            <w:noWrap/>
            <w:vAlign w:val="center"/>
            <w:hideMark/>
          </w:tcPr>
          <w:p w:rsidR="005C014D" w:rsidRPr="00F9749C" w:rsidRDefault="005C014D" w:rsidP="005C014D">
            <w:pPr>
              <w:widowControl w:val="0"/>
              <w:autoSpaceDE w:val="0"/>
              <w:autoSpaceDN w:val="0"/>
              <w:spacing w:after="0" w:line="240" w:lineRule="auto"/>
              <w:rPr>
                <w:rFonts w:ascii="Arial" w:eastAsia="Times New Roman" w:hAnsi="Arial" w:cs="Arial"/>
                <w:color w:val="000000"/>
                <w:sz w:val="18"/>
                <w:szCs w:val="18"/>
                <w:lang w:eastAsia="fr-FR"/>
              </w:rPr>
            </w:pPr>
            <w:r w:rsidRPr="00F9749C">
              <w:rPr>
                <w:rFonts w:ascii="Arial" w:eastAsia="Times New Roman" w:hAnsi="Arial" w:cs="Arial"/>
                <w:color w:val="000000"/>
                <w:sz w:val="18"/>
                <w:szCs w:val="18"/>
                <w:lang w:eastAsia="fr-FR"/>
              </w:rPr>
              <w:t>Oulad Merzoug</w:t>
            </w:r>
          </w:p>
        </w:tc>
        <w:tc>
          <w:tcPr>
            <w:tcW w:w="941" w:type="dxa"/>
            <w:tcBorders>
              <w:top w:val="nil"/>
              <w:left w:val="nil"/>
              <w:bottom w:val="nil"/>
              <w:right w:val="nil"/>
            </w:tcBorders>
            <w:shd w:val="clear" w:color="000000" w:fill="FFC000"/>
            <w:noWrap/>
            <w:hideMark/>
          </w:tcPr>
          <w:p w:rsidR="005C014D" w:rsidRPr="002462E6" w:rsidRDefault="005C014D" w:rsidP="005C014D">
            <w:pPr>
              <w:widowControl w:val="0"/>
              <w:autoSpaceDE w:val="0"/>
              <w:autoSpaceDN w:val="0"/>
              <w:spacing w:after="0" w:line="240" w:lineRule="auto"/>
              <w:jc w:val="right"/>
              <w:rPr>
                <w:rFonts w:ascii="Arial" w:eastAsia="Times New Roman" w:hAnsi="Arial" w:cs="Arial"/>
                <w:color w:val="000000"/>
                <w:sz w:val="18"/>
                <w:szCs w:val="18"/>
                <w:lang w:eastAsia="fr-FR"/>
              </w:rPr>
            </w:pPr>
            <w:r w:rsidRPr="002462E6">
              <w:rPr>
                <w:rFonts w:ascii="Arial" w:eastAsia="Times New Roman" w:hAnsi="Arial" w:cs="Arial"/>
                <w:color w:val="000000"/>
                <w:sz w:val="18"/>
                <w:szCs w:val="18"/>
                <w:lang w:eastAsia="fr-FR"/>
              </w:rPr>
              <w:t>60%</w:t>
            </w:r>
          </w:p>
        </w:tc>
        <w:tc>
          <w:tcPr>
            <w:tcW w:w="982" w:type="dxa"/>
            <w:tcBorders>
              <w:top w:val="nil"/>
              <w:left w:val="nil"/>
              <w:bottom w:val="nil"/>
              <w:right w:val="nil"/>
            </w:tcBorders>
            <w:shd w:val="clear" w:color="000000" w:fill="D34B07"/>
            <w:noWrap/>
            <w:hideMark/>
          </w:tcPr>
          <w:p w:rsidR="005C014D" w:rsidRPr="002462E6" w:rsidRDefault="005C014D" w:rsidP="005C014D">
            <w:pPr>
              <w:widowControl w:val="0"/>
              <w:autoSpaceDE w:val="0"/>
              <w:autoSpaceDN w:val="0"/>
              <w:spacing w:after="0" w:line="240" w:lineRule="auto"/>
              <w:jc w:val="right"/>
              <w:rPr>
                <w:rFonts w:ascii="Arial" w:eastAsia="Times New Roman" w:hAnsi="Arial" w:cs="Arial"/>
                <w:color w:val="000000"/>
                <w:sz w:val="18"/>
                <w:szCs w:val="18"/>
                <w:lang w:eastAsia="fr-FR"/>
              </w:rPr>
            </w:pPr>
            <w:r w:rsidRPr="002462E6">
              <w:rPr>
                <w:rFonts w:ascii="Arial" w:eastAsia="Times New Roman" w:hAnsi="Arial" w:cs="Arial"/>
                <w:color w:val="000000"/>
                <w:sz w:val="18"/>
                <w:szCs w:val="18"/>
                <w:lang w:eastAsia="fr-FR"/>
              </w:rPr>
              <w:t>100%</w:t>
            </w:r>
          </w:p>
        </w:tc>
        <w:tc>
          <w:tcPr>
            <w:tcW w:w="712" w:type="dxa"/>
            <w:tcBorders>
              <w:top w:val="nil"/>
              <w:left w:val="single" w:sz="4" w:space="0" w:color="000000"/>
              <w:bottom w:val="nil"/>
              <w:right w:val="single" w:sz="4" w:space="0" w:color="000000"/>
            </w:tcBorders>
            <w:shd w:val="clear" w:color="000000" w:fill="D34B07"/>
            <w:noWrap/>
            <w:hideMark/>
          </w:tcPr>
          <w:p w:rsidR="005C014D" w:rsidRPr="002462E6" w:rsidRDefault="005C014D" w:rsidP="005C014D">
            <w:pPr>
              <w:widowControl w:val="0"/>
              <w:autoSpaceDE w:val="0"/>
              <w:autoSpaceDN w:val="0"/>
              <w:spacing w:after="0" w:line="240" w:lineRule="auto"/>
              <w:jc w:val="right"/>
              <w:rPr>
                <w:rFonts w:ascii="Arial" w:eastAsia="Times New Roman" w:hAnsi="Arial" w:cs="Arial"/>
                <w:color w:val="000000"/>
                <w:sz w:val="18"/>
                <w:szCs w:val="18"/>
                <w:lang w:eastAsia="fr-FR"/>
              </w:rPr>
            </w:pPr>
            <w:r w:rsidRPr="002462E6">
              <w:rPr>
                <w:rFonts w:ascii="Arial" w:eastAsia="Times New Roman" w:hAnsi="Arial" w:cs="Arial"/>
                <w:color w:val="000000"/>
                <w:sz w:val="18"/>
                <w:szCs w:val="18"/>
                <w:lang w:eastAsia="fr-FR"/>
              </w:rPr>
              <w:t>80%</w:t>
            </w:r>
          </w:p>
        </w:tc>
        <w:tc>
          <w:tcPr>
            <w:tcW w:w="813" w:type="dxa"/>
            <w:tcBorders>
              <w:top w:val="nil"/>
              <w:left w:val="nil"/>
              <w:bottom w:val="nil"/>
              <w:right w:val="nil"/>
            </w:tcBorders>
            <w:shd w:val="clear" w:color="000000" w:fill="D34B07"/>
            <w:noWrap/>
            <w:hideMark/>
          </w:tcPr>
          <w:p w:rsidR="005C014D" w:rsidRPr="002462E6" w:rsidRDefault="005C014D" w:rsidP="005C014D">
            <w:pPr>
              <w:widowControl w:val="0"/>
              <w:autoSpaceDE w:val="0"/>
              <w:autoSpaceDN w:val="0"/>
              <w:spacing w:after="0" w:line="240" w:lineRule="auto"/>
              <w:jc w:val="right"/>
              <w:rPr>
                <w:rFonts w:ascii="Arial" w:eastAsia="Times New Roman" w:hAnsi="Arial" w:cs="Arial"/>
                <w:color w:val="000000"/>
                <w:sz w:val="18"/>
                <w:szCs w:val="18"/>
                <w:lang w:eastAsia="fr-FR"/>
              </w:rPr>
            </w:pPr>
            <w:r w:rsidRPr="002462E6">
              <w:rPr>
                <w:rFonts w:ascii="Arial" w:eastAsia="Times New Roman" w:hAnsi="Arial" w:cs="Arial"/>
                <w:color w:val="000000"/>
                <w:sz w:val="18"/>
                <w:szCs w:val="18"/>
                <w:lang w:eastAsia="fr-FR"/>
              </w:rPr>
              <w:t>100%</w:t>
            </w:r>
          </w:p>
        </w:tc>
        <w:tc>
          <w:tcPr>
            <w:tcW w:w="698" w:type="dxa"/>
            <w:tcBorders>
              <w:top w:val="nil"/>
              <w:left w:val="nil"/>
              <w:bottom w:val="nil"/>
              <w:right w:val="nil"/>
            </w:tcBorders>
            <w:shd w:val="clear" w:color="000000" w:fill="D34B07"/>
            <w:noWrap/>
            <w:hideMark/>
          </w:tcPr>
          <w:p w:rsidR="005C014D" w:rsidRPr="002462E6" w:rsidRDefault="005C014D" w:rsidP="005C014D">
            <w:pPr>
              <w:widowControl w:val="0"/>
              <w:autoSpaceDE w:val="0"/>
              <w:autoSpaceDN w:val="0"/>
              <w:spacing w:after="0" w:line="240" w:lineRule="auto"/>
              <w:jc w:val="right"/>
              <w:rPr>
                <w:rFonts w:ascii="Arial" w:eastAsia="Times New Roman" w:hAnsi="Arial" w:cs="Arial"/>
                <w:color w:val="000000"/>
                <w:sz w:val="18"/>
                <w:szCs w:val="18"/>
                <w:lang w:eastAsia="fr-FR"/>
              </w:rPr>
            </w:pPr>
            <w:r w:rsidRPr="002462E6">
              <w:rPr>
                <w:rFonts w:ascii="Arial" w:eastAsia="Times New Roman" w:hAnsi="Arial" w:cs="Arial"/>
                <w:color w:val="000000"/>
                <w:sz w:val="18"/>
                <w:szCs w:val="18"/>
                <w:lang w:eastAsia="fr-FR"/>
              </w:rPr>
              <w:t>100%</w:t>
            </w:r>
          </w:p>
        </w:tc>
        <w:tc>
          <w:tcPr>
            <w:tcW w:w="1186" w:type="dxa"/>
            <w:tcBorders>
              <w:top w:val="nil"/>
              <w:left w:val="nil"/>
              <w:bottom w:val="nil"/>
              <w:right w:val="nil"/>
            </w:tcBorders>
            <w:shd w:val="clear" w:color="000000" w:fill="F4F46C"/>
            <w:noWrap/>
            <w:hideMark/>
          </w:tcPr>
          <w:p w:rsidR="005C014D" w:rsidRPr="002462E6" w:rsidRDefault="005C014D" w:rsidP="005C014D">
            <w:pPr>
              <w:widowControl w:val="0"/>
              <w:autoSpaceDE w:val="0"/>
              <w:autoSpaceDN w:val="0"/>
              <w:spacing w:after="0" w:line="240" w:lineRule="auto"/>
              <w:jc w:val="right"/>
              <w:rPr>
                <w:rFonts w:ascii="Arial" w:eastAsia="Times New Roman" w:hAnsi="Arial" w:cs="Arial"/>
                <w:color w:val="000000"/>
                <w:sz w:val="18"/>
                <w:szCs w:val="18"/>
                <w:lang w:eastAsia="fr-FR"/>
              </w:rPr>
            </w:pPr>
            <w:r w:rsidRPr="002462E6">
              <w:rPr>
                <w:rFonts w:ascii="Arial" w:eastAsia="Times New Roman" w:hAnsi="Arial" w:cs="Arial"/>
                <w:color w:val="000000"/>
                <w:sz w:val="18"/>
                <w:szCs w:val="18"/>
                <w:lang w:eastAsia="fr-FR"/>
              </w:rPr>
              <w:t>20%</w:t>
            </w:r>
          </w:p>
        </w:tc>
        <w:tc>
          <w:tcPr>
            <w:tcW w:w="1377" w:type="dxa"/>
            <w:tcBorders>
              <w:top w:val="nil"/>
              <w:left w:val="nil"/>
              <w:bottom w:val="nil"/>
              <w:right w:val="nil"/>
            </w:tcBorders>
            <w:shd w:val="clear" w:color="000000" w:fill="D34B07"/>
            <w:noWrap/>
            <w:hideMark/>
          </w:tcPr>
          <w:p w:rsidR="005C014D" w:rsidRPr="002462E6" w:rsidRDefault="005C014D" w:rsidP="005C014D">
            <w:pPr>
              <w:widowControl w:val="0"/>
              <w:autoSpaceDE w:val="0"/>
              <w:autoSpaceDN w:val="0"/>
              <w:spacing w:after="0" w:line="240" w:lineRule="auto"/>
              <w:jc w:val="right"/>
              <w:rPr>
                <w:rFonts w:ascii="Arial" w:eastAsia="Times New Roman" w:hAnsi="Arial" w:cs="Arial"/>
                <w:color w:val="000000"/>
                <w:sz w:val="18"/>
                <w:szCs w:val="18"/>
                <w:lang w:eastAsia="fr-FR"/>
              </w:rPr>
            </w:pPr>
            <w:r w:rsidRPr="002462E6">
              <w:rPr>
                <w:rFonts w:ascii="Arial" w:eastAsia="Times New Roman" w:hAnsi="Arial" w:cs="Arial"/>
                <w:color w:val="000000"/>
                <w:sz w:val="18"/>
                <w:szCs w:val="18"/>
                <w:lang w:eastAsia="fr-FR"/>
              </w:rPr>
              <w:t>77%</w:t>
            </w:r>
          </w:p>
        </w:tc>
      </w:tr>
      <w:tr w:rsidR="005C014D" w:rsidRPr="002462E6" w:rsidTr="007D633A">
        <w:trPr>
          <w:trHeight w:val="215"/>
        </w:trPr>
        <w:tc>
          <w:tcPr>
            <w:tcW w:w="801" w:type="dxa"/>
            <w:vMerge/>
            <w:tcBorders>
              <w:top w:val="nil"/>
              <w:left w:val="single" w:sz="4" w:space="0" w:color="auto"/>
              <w:bottom w:val="single" w:sz="4" w:space="0" w:color="auto"/>
              <w:right w:val="single" w:sz="4" w:space="0" w:color="auto"/>
            </w:tcBorders>
            <w:vAlign w:val="center"/>
            <w:hideMark/>
          </w:tcPr>
          <w:p w:rsidR="005C014D" w:rsidRPr="002462E6" w:rsidRDefault="005C014D" w:rsidP="005C014D">
            <w:pPr>
              <w:widowControl w:val="0"/>
              <w:autoSpaceDE w:val="0"/>
              <w:autoSpaceDN w:val="0"/>
              <w:spacing w:after="0" w:line="240" w:lineRule="auto"/>
              <w:rPr>
                <w:rFonts w:ascii="Arial" w:eastAsia="Times New Roman" w:hAnsi="Arial" w:cs="Arial"/>
                <w:b/>
                <w:bCs/>
                <w:color w:val="000000"/>
                <w:sz w:val="16"/>
                <w:szCs w:val="16"/>
                <w:lang w:eastAsia="fr-FR"/>
              </w:rPr>
            </w:pPr>
          </w:p>
        </w:tc>
        <w:tc>
          <w:tcPr>
            <w:tcW w:w="907" w:type="dxa"/>
            <w:vMerge/>
            <w:tcBorders>
              <w:top w:val="nil"/>
              <w:left w:val="single" w:sz="4" w:space="0" w:color="auto"/>
              <w:bottom w:val="single" w:sz="4" w:space="0" w:color="auto"/>
              <w:right w:val="single" w:sz="4" w:space="0" w:color="auto"/>
            </w:tcBorders>
            <w:vAlign w:val="center"/>
            <w:hideMark/>
          </w:tcPr>
          <w:p w:rsidR="005C014D" w:rsidRPr="002462E6" w:rsidRDefault="005C014D" w:rsidP="005C014D">
            <w:pPr>
              <w:widowControl w:val="0"/>
              <w:autoSpaceDE w:val="0"/>
              <w:autoSpaceDN w:val="0"/>
              <w:spacing w:after="0" w:line="240" w:lineRule="auto"/>
              <w:rPr>
                <w:rFonts w:ascii="Arial" w:eastAsia="Times New Roman" w:hAnsi="Arial" w:cs="Arial"/>
                <w:color w:val="000000"/>
                <w:sz w:val="16"/>
                <w:szCs w:val="16"/>
                <w:lang w:eastAsia="fr-FR"/>
              </w:rPr>
            </w:pPr>
          </w:p>
        </w:tc>
        <w:tc>
          <w:tcPr>
            <w:tcW w:w="1076" w:type="dxa"/>
            <w:tcBorders>
              <w:top w:val="nil"/>
              <w:left w:val="nil"/>
              <w:bottom w:val="single" w:sz="4" w:space="0" w:color="auto"/>
              <w:right w:val="single" w:sz="4" w:space="0" w:color="auto"/>
            </w:tcBorders>
            <w:shd w:val="clear" w:color="auto" w:fill="auto"/>
            <w:noWrap/>
            <w:vAlign w:val="center"/>
            <w:hideMark/>
          </w:tcPr>
          <w:p w:rsidR="005C014D" w:rsidRPr="00F9749C" w:rsidRDefault="005C014D" w:rsidP="005C014D">
            <w:pPr>
              <w:widowControl w:val="0"/>
              <w:autoSpaceDE w:val="0"/>
              <w:autoSpaceDN w:val="0"/>
              <w:spacing w:after="0" w:line="240" w:lineRule="auto"/>
              <w:rPr>
                <w:rFonts w:ascii="Arial" w:eastAsia="Times New Roman" w:hAnsi="Arial" w:cs="Arial"/>
                <w:color w:val="000000"/>
                <w:sz w:val="18"/>
                <w:szCs w:val="18"/>
                <w:lang w:eastAsia="fr-FR"/>
              </w:rPr>
            </w:pPr>
            <w:r w:rsidRPr="00F9749C">
              <w:rPr>
                <w:rFonts w:ascii="Arial" w:eastAsia="Times New Roman" w:hAnsi="Arial" w:cs="Arial"/>
                <w:color w:val="000000"/>
                <w:sz w:val="18"/>
                <w:szCs w:val="18"/>
                <w:lang w:eastAsia="fr-FR"/>
              </w:rPr>
              <w:t>Oulad Sidi Bouamar</w:t>
            </w:r>
          </w:p>
        </w:tc>
        <w:tc>
          <w:tcPr>
            <w:tcW w:w="941" w:type="dxa"/>
            <w:tcBorders>
              <w:top w:val="nil"/>
              <w:left w:val="nil"/>
              <w:bottom w:val="nil"/>
              <w:right w:val="nil"/>
            </w:tcBorders>
            <w:shd w:val="clear" w:color="000000" w:fill="D34B07"/>
            <w:noWrap/>
            <w:hideMark/>
          </w:tcPr>
          <w:p w:rsidR="005C014D" w:rsidRPr="002462E6" w:rsidRDefault="005C014D" w:rsidP="005C014D">
            <w:pPr>
              <w:widowControl w:val="0"/>
              <w:autoSpaceDE w:val="0"/>
              <w:autoSpaceDN w:val="0"/>
              <w:spacing w:after="0" w:line="240" w:lineRule="auto"/>
              <w:jc w:val="right"/>
              <w:rPr>
                <w:rFonts w:ascii="Arial" w:eastAsia="Times New Roman" w:hAnsi="Arial" w:cs="Arial"/>
                <w:color w:val="000000"/>
                <w:sz w:val="18"/>
                <w:szCs w:val="18"/>
                <w:lang w:eastAsia="fr-FR"/>
              </w:rPr>
            </w:pPr>
            <w:r w:rsidRPr="002462E6">
              <w:rPr>
                <w:rFonts w:ascii="Arial" w:eastAsia="Times New Roman" w:hAnsi="Arial" w:cs="Arial"/>
                <w:color w:val="000000"/>
                <w:sz w:val="18"/>
                <w:szCs w:val="18"/>
                <w:lang w:eastAsia="fr-FR"/>
              </w:rPr>
              <w:t>100%</w:t>
            </w:r>
          </w:p>
        </w:tc>
        <w:tc>
          <w:tcPr>
            <w:tcW w:w="982" w:type="dxa"/>
            <w:tcBorders>
              <w:top w:val="nil"/>
              <w:left w:val="nil"/>
              <w:bottom w:val="nil"/>
              <w:right w:val="nil"/>
            </w:tcBorders>
            <w:shd w:val="clear" w:color="000000" w:fill="D34B07"/>
            <w:noWrap/>
            <w:hideMark/>
          </w:tcPr>
          <w:p w:rsidR="005C014D" w:rsidRPr="002462E6" w:rsidRDefault="005C014D" w:rsidP="005C014D">
            <w:pPr>
              <w:widowControl w:val="0"/>
              <w:autoSpaceDE w:val="0"/>
              <w:autoSpaceDN w:val="0"/>
              <w:spacing w:after="0" w:line="240" w:lineRule="auto"/>
              <w:jc w:val="right"/>
              <w:rPr>
                <w:rFonts w:ascii="Arial" w:eastAsia="Times New Roman" w:hAnsi="Arial" w:cs="Arial"/>
                <w:color w:val="000000"/>
                <w:sz w:val="18"/>
                <w:szCs w:val="18"/>
                <w:lang w:eastAsia="fr-FR"/>
              </w:rPr>
            </w:pPr>
            <w:r w:rsidRPr="002462E6">
              <w:rPr>
                <w:rFonts w:ascii="Arial" w:eastAsia="Times New Roman" w:hAnsi="Arial" w:cs="Arial"/>
                <w:color w:val="000000"/>
                <w:sz w:val="18"/>
                <w:szCs w:val="18"/>
                <w:lang w:eastAsia="fr-FR"/>
              </w:rPr>
              <w:t>100%</w:t>
            </w:r>
          </w:p>
        </w:tc>
        <w:tc>
          <w:tcPr>
            <w:tcW w:w="712" w:type="dxa"/>
            <w:tcBorders>
              <w:top w:val="nil"/>
              <w:left w:val="single" w:sz="4" w:space="0" w:color="000000"/>
              <w:bottom w:val="nil"/>
              <w:right w:val="single" w:sz="4" w:space="0" w:color="000000"/>
            </w:tcBorders>
            <w:shd w:val="clear" w:color="000000" w:fill="D34B07"/>
            <w:noWrap/>
            <w:hideMark/>
          </w:tcPr>
          <w:p w:rsidR="005C014D" w:rsidRPr="002462E6" w:rsidRDefault="005C014D" w:rsidP="005C014D">
            <w:pPr>
              <w:widowControl w:val="0"/>
              <w:autoSpaceDE w:val="0"/>
              <w:autoSpaceDN w:val="0"/>
              <w:spacing w:after="0" w:line="240" w:lineRule="auto"/>
              <w:jc w:val="right"/>
              <w:rPr>
                <w:rFonts w:ascii="Arial" w:eastAsia="Times New Roman" w:hAnsi="Arial" w:cs="Arial"/>
                <w:color w:val="000000"/>
                <w:sz w:val="18"/>
                <w:szCs w:val="18"/>
                <w:lang w:eastAsia="fr-FR"/>
              </w:rPr>
            </w:pPr>
            <w:r w:rsidRPr="002462E6">
              <w:rPr>
                <w:rFonts w:ascii="Arial" w:eastAsia="Times New Roman" w:hAnsi="Arial" w:cs="Arial"/>
                <w:color w:val="000000"/>
                <w:sz w:val="18"/>
                <w:szCs w:val="18"/>
                <w:lang w:eastAsia="fr-FR"/>
              </w:rPr>
              <w:t>80%</w:t>
            </w:r>
          </w:p>
        </w:tc>
        <w:tc>
          <w:tcPr>
            <w:tcW w:w="813" w:type="dxa"/>
            <w:tcBorders>
              <w:top w:val="nil"/>
              <w:left w:val="nil"/>
              <w:bottom w:val="nil"/>
              <w:right w:val="nil"/>
            </w:tcBorders>
            <w:shd w:val="clear" w:color="000000" w:fill="D34B07"/>
            <w:noWrap/>
            <w:hideMark/>
          </w:tcPr>
          <w:p w:rsidR="005C014D" w:rsidRPr="002462E6" w:rsidRDefault="005C014D" w:rsidP="005C014D">
            <w:pPr>
              <w:widowControl w:val="0"/>
              <w:autoSpaceDE w:val="0"/>
              <w:autoSpaceDN w:val="0"/>
              <w:spacing w:after="0" w:line="240" w:lineRule="auto"/>
              <w:jc w:val="right"/>
              <w:rPr>
                <w:rFonts w:ascii="Arial" w:eastAsia="Times New Roman" w:hAnsi="Arial" w:cs="Arial"/>
                <w:color w:val="000000"/>
                <w:sz w:val="18"/>
                <w:szCs w:val="18"/>
                <w:lang w:eastAsia="fr-FR"/>
              </w:rPr>
            </w:pPr>
            <w:r w:rsidRPr="002462E6">
              <w:rPr>
                <w:rFonts w:ascii="Arial" w:eastAsia="Times New Roman" w:hAnsi="Arial" w:cs="Arial"/>
                <w:color w:val="000000"/>
                <w:sz w:val="18"/>
                <w:szCs w:val="18"/>
                <w:lang w:eastAsia="fr-FR"/>
              </w:rPr>
              <w:t>100%</w:t>
            </w:r>
          </w:p>
        </w:tc>
        <w:tc>
          <w:tcPr>
            <w:tcW w:w="698" w:type="dxa"/>
            <w:tcBorders>
              <w:top w:val="nil"/>
              <w:left w:val="nil"/>
              <w:bottom w:val="nil"/>
              <w:right w:val="nil"/>
            </w:tcBorders>
            <w:shd w:val="clear" w:color="000000" w:fill="D34B07"/>
            <w:noWrap/>
            <w:hideMark/>
          </w:tcPr>
          <w:p w:rsidR="005C014D" w:rsidRPr="002462E6" w:rsidRDefault="005C014D" w:rsidP="005C014D">
            <w:pPr>
              <w:widowControl w:val="0"/>
              <w:autoSpaceDE w:val="0"/>
              <w:autoSpaceDN w:val="0"/>
              <w:spacing w:after="0" w:line="240" w:lineRule="auto"/>
              <w:jc w:val="right"/>
              <w:rPr>
                <w:rFonts w:ascii="Arial" w:eastAsia="Times New Roman" w:hAnsi="Arial" w:cs="Arial"/>
                <w:color w:val="000000"/>
                <w:sz w:val="18"/>
                <w:szCs w:val="18"/>
                <w:lang w:eastAsia="fr-FR"/>
              </w:rPr>
            </w:pPr>
            <w:r w:rsidRPr="002462E6">
              <w:rPr>
                <w:rFonts w:ascii="Arial" w:eastAsia="Times New Roman" w:hAnsi="Arial" w:cs="Arial"/>
                <w:color w:val="000000"/>
                <w:sz w:val="18"/>
                <w:szCs w:val="18"/>
                <w:lang w:eastAsia="fr-FR"/>
              </w:rPr>
              <w:t>100%</w:t>
            </w:r>
          </w:p>
        </w:tc>
        <w:tc>
          <w:tcPr>
            <w:tcW w:w="1186" w:type="dxa"/>
            <w:tcBorders>
              <w:top w:val="nil"/>
              <w:left w:val="nil"/>
              <w:bottom w:val="nil"/>
              <w:right w:val="nil"/>
            </w:tcBorders>
            <w:shd w:val="clear" w:color="000000" w:fill="F4F46C"/>
            <w:noWrap/>
            <w:hideMark/>
          </w:tcPr>
          <w:p w:rsidR="005C014D" w:rsidRPr="002462E6" w:rsidRDefault="005C014D" w:rsidP="005C014D">
            <w:pPr>
              <w:widowControl w:val="0"/>
              <w:autoSpaceDE w:val="0"/>
              <w:autoSpaceDN w:val="0"/>
              <w:spacing w:after="0" w:line="240" w:lineRule="auto"/>
              <w:jc w:val="right"/>
              <w:rPr>
                <w:rFonts w:ascii="Arial" w:eastAsia="Times New Roman" w:hAnsi="Arial" w:cs="Arial"/>
                <w:color w:val="000000"/>
                <w:sz w:val="18"/>
                <w:szCs w:val="18"/>
                <w:lang w:eastAsia="fr-FR"/>
              </w:rPr>
            </w:pPr>
            <w:r w:rsidRPr="002462E6">
              <w:rPr>
                <w:rFonts w:ascii="Arial" w:eastAsia="Times New Roman" w:hAnsi="Arial" w:cs="Arial"/>
                <w:color w:val="000000"/>
                <w:sz w:val="18"/>
                <w:szCs w:val="18"/>
                <w:lang w:eastAsia="fr-FR"/>
              </w:rPr>
              <w:t>0%</w:t>
            </w:r>
          </w:p>
        </w:tc>
        <w:tc>
          <w:tcPr>
            <w:tcW w:w="1377" w:type="dxa"/>
            <w:tcBorders>
              <w:top w:val="nil"/>
              <w:left w:val="nil"/>
              <w:bottom w:val="nil"/>
              <w:right w:val="nil"/>
            </w:tcBorders>
            <w:shd w:val="clear" w:color="000000" w:fill="D34B07"/>
            <w:noWrap/>
            <w:hideMark/>
          </w:tcPr>
          <w:p w:rsidR="005C014D" w:rsidRPr="002462E6" w:rsidRDefault="005C014D" w:rsidP="005C014D">
            <w:pPr>
              <w:widowControl w:val="0"/>
              <w:autoSpaceDE w:val="0"/>
              <w:autoSpaceDN w:val="0"/>
              <w:spacing w:after="0" w:line="240" w:lineRule="auto"/>
              <w:jc w:val="right"/>
              <w:rPr>
                <w:rFonts w:ascii="Arial" w:eastAsia="Times New Roman" w:hAnsi="Arial" w:cs="Arial"/>
                <w:color w:val="000000"/>
                <w:sz w:val="18"/>
                <w:szCs w:val="18"/>
                <w:lang w:eastAsia="fr-FR"/>
              </w:rPr>
            </w:pPr>
            <w:r w:rsidRPr="002462E6">
              <w:rPr>
                <w:rFonts w:ascii="Arial" w:eastAsia="Times New Roman" w:hAnsi="Arial" w:cs="Arial"/>
                <w:color w:val="000000"/>
                <w:sz w:val="18"/>
                <w:szCs w:val="18"/>
                <w:lang w:eastAsia="fr-FR"/>
              </w:rPr>
              <w:t>80%</w:t>
            </w:r>
          </w:p>
        </w:tc>
      </w:tr>
      <w:tr w:rsidR="005C014D" w:rsidRPr="002462E6" w:rsidTr="007D633A">
        <w:trPr>
          <w:trHeight w:val="215"/>
        </w:trPr>
        <w:tc>
          <w:tcPr>
            <w:tcW w:w="801" w:type="dxa"/>
            <w:vMerge/>
            <w:tcBorders>
              <w:top w:val="nil"/>
              <w:left w:val="single" w:sz="4" w:space="0" w:color="auto"/>
              <w:bottom w:val="single" w:sz="4" w:space="0" w:color="auto"/>
              <w:right w:val="single" w:sz="4" w:space="0" w:color="auto"/>
            </w:tcBorders>
            <w:vAlign w:val="center"/>
            <w:hideMark/>
          </w:tcPr>
          <w:p w:rsidR="005C014D" w:rsidRPr="002462E6" w:rsidRDefault="005C014D" w:rsidP="005C014D">
            <w:pPr>
              <w:widowControl w:val="0"/>
              <w:autoSpaceDE w:val="0"/>
              <w:autoSpaceDN w:val="0"/>
              <w:spacing w:after="0" w:line="240" w:lineRule="auto"/>
              <w:rPr>
                <w:rFonts w:ascii="Arial" w:eastAsia="Times New Roman" w:hAnsi="Arial" w:cs="Arial"/>
                <w:b/>
                <w:bCs/>
                <w:color w:val="000000"/>
                <w:sz w:val="16"/>
                <w:szCs w:val="16"/>
                <w:lang w:eastAsia="fr-FR"/>
              </w:rPr>
            </w:pPr>
          </w:p>
        </w:tc>
        <w:tc>
          <w:tcPr>
            <w:tcW w:w="907" w:type="dxa"/>
            <w:vMerge/>
            <w:tcBorders>
              <w:top w:val="nil"/>
              <w:left w:val="single" w:sz="4" w:space="0" w:color="auto"/>
              <w:bottom w:val="single" w:sz="4" w:space="0" w:color="auto"/>
              <w:right w:val="single" w:sz="4" w:space="0" w:color="auto"/>
            </w:tcBorders>
            <w:vAlign w:val="center"/>
            <w:hideMark/>
          </w:tcPr>
          <w:p w:rsidR="005C014D" w:rsidRPr="002462E6" w:rsidRDefault="005C014D" w:rsidP="005C014D">
            <w:pPr>
              <w:widowControl w:val="0"/>
              <w:autoSpaceDE w:val="0"/>
              <w:autoSpaceDN w:val="0"/>
              <w:spacing w:after="0" w:line="240" w:lineRule="auto"/>
              <w:rPr>
                <w:rFonts w:ascii="Arial" w:eastAsia="Times New Roman" w:hAnsi="Arial" w:cs="Arial"/>
                <w:color w:val="000000"/>
                <w:sz w:val="16"/>
                <w:szCs w:val="16"/>
                <w:lang w:eastAsia="fr-FR"/>
              </w:rPr>
            </w:pPr>
          </w:p>
        </w:tc>
        <w:tc>
          <w:tcPr>
            <w:tcW w:w="1076" w:type="dxa"/>
            <w:tcBorders>
              <w:top w:val="nil"/>
              <w:left w:val="nil"/>
              <w:bottom w:val="single" w:sz="4" w:space="0" w:color="auto"/>
              <w:right w:val="single" w:sz="4" w:space="0" w:color="auto"/>
            </w:tcBorders>
            <w:shd w:val="clear" w:color="auto" w:fill="auto"/>
            <w:noWrap/>
            <w:vAlign w:val="center"/>
            <w:hideMark/>
          </w:tcPr>
          <w:p w:rsidR="005C014D" w:rsidRPr="00F9749C" w:rsidRDefault="005C014D" w:rsidP="005C014D">
            <w:pPr>
              <w:widowControl w:val="0"/>
              <w:autoSpaceDE w:val="0"/>
              <w:autoSpaceDN w:val="0"/>
              <w:spacing w:after="0" w:line="240" w:lineRule="auto"/>
              <w:rPr>
                <w:rFonts w:ascii="Arial" w:eastAsia="Times New Roman" w:hAnsi="Arial" w:cs="Arial"/>
                <w:color w:val="000000"/>
                <w:sz w:val="18"/>
                <w:szCs w:val="18"/>
                <w:lang w:eastAsia="fr-FR"/>
              </w:rPr>
            </w:pPr>
            <w:r w:rsidRPr="00F9749C">
              <w:rPr>
                <w:rFonts w:ascii="Arial" w:eastAsia="Times New Roman" w:hAnsi="Arial" w:cs="Arial"/>
                <w:color w:val="000000"/>
                <w:sz w:val="18"/>
                <w:szCs w:val="18"/>
                <w:lang w:eastAsia="fr-FR"/>
              </w:rPr>
              <w:t>Lmbarkyine (Oulad Sidi Boujouda)</w:t>
            </w:r>
          </w:p>
        </w:tc>
        <w:tc>
          <w:tcPr>
            <w:tcW w:w="941" w:type="dxa"/>
            <w:tcBorders>
              <w:top w:val="nil"/>
              <w:left w:val="nil"/>
              <w:bottom w:val="nil"/>
              <w:right w:val="nil"/>
            </w:tcBorders>
            <w:shd w:val="clear" w:color="000000" w:fill="D34B07"/>
            <w:noWrap/>
            <w:hideMark/>
          </w:tcPr>
          <w:p w:rsidR="005C014D" w:rsidRPr="002462E6" w:rsidRDefault="005C014D" w:rsidP="005C014D">
            <w:pPr>
              <w:widowControl w:val="0"/>
              <w:autoSpaceDE w:val="0"/>
              <w:autoSpaceDN w:val="0"/>
              <w:spacing w:after="0" w:line="240" w:lineRule="auto"/>
              <w:jc w:val="right"/>
              <w:rPr>
                <w:rFonts w:ascii="Arial" w:eastAsia="Times New Roman" w:hAnsi="Arial" w:cs="Arial"/>
                <w:color w:val="000000"/>
                <w:sz w:val="18"/>
                <w:szCs w:val="18"/>
                <w:lang w:eastAsia="fr-FR"/>
              </w:rPr>
            </w:pPr>
            <w:r w:rsidRPr="002462E6">
              <w:rPr>
                <w:rFonts w:ascii="Arial" w:eastAsia="Times New Roman" w:hAnsi="Arial" w:cs="Arial"/>
                <w:color w:val="000000"/>
                <w:sz w:val="18"/>
                <w:szCs w:val="18"/>
                <w:lang w:eastAsia="fr-FR"/>
              </w:rPr>
              <w:t>100%</w:t>
            </w:r>
          </w:p>
        </w:tc>
        <w:tc>
          <w:tcPr>
            <w:tcW w:w="982" w:type="dxa"/>
            <w:tcBorders>
              <w:top w:val="nil"/>
              <w:left w:val="nil"/>
              <w:bottom w:val="nil"/>
              <w:right w:val="nil"/>
            </w:tcBorders>
            <w:shd w:val="clear" w:color="000000" w:fill="D34B07"/>
            <w:noWrap/>
            <w:hideMark/>
          </w:tcPr>
          <w:p w:rsidR="005C014D" w:rsidRPr="002462E6" w:rsidRDefault="005C014D" w:rsidP="005C014D">
            <w:pPr>
              <w:widowControl w:val="0"/>
              <w:autoSpaceDE w:val="0"/>
              <w:autoSpaceDN w:val="0"/>
              <w:spacing w:after="0" w:line="240" w:lineRule="auto"/>
              <w:jc w:val="right"/>
              <w:rPr>
                <w:rFonts w:ascii="Arial" w:eastAsia="Times New Roman" w:hAnsi="Arial" w:cs="Arial"/>
                <w:color w:val="000000"/>
                <w:sz w:val="18"/>
                <w:szCs w:val="18"/>
                <w:lang w:eastAsia="fr-FR"/>
              </w:rPr>
            </w:pPr>
            <w:r w:rsidRPr="002462E6">
              <w:rPr>
                <w:rFonts w:ascii="Arial" w:eastAsia="Times New Roman" w:hAnsi="Arial" w:cs="Arial"/>
                <w:color w:val="000000"/>
                <w:sz w:val="18"/>
                <w:szCs w:val="18"/>
                <w:lang w:eastAsia="fr-FR"/>
              </w:rPr>
              <w:t>100%</w:t>
            </w:r>
          </w:p>
        </w:tc>
        <w:tc>
          <w:tcPr>
            <w:tcW w:w="712" w:type="dxa"/>
            <w:tcBorders>
              <w:top w:val="nil"/>
              <w:left w:val="single" w:sz="4" w:space="0" w:color="000000"/>
              <w:bottom w:val="nil"/>
              <w:right w:val="single" w:sz="4" w:space="0" w:color="000000"/>
            </w:tcBorders>
            <w:shd w:val="clear" w:color="000000" w:fill="F4F46C"/>
            <w:noWrap/>
            <w:hideMark/>
          </w:tcPr>
          <w:p w:rsidR="005C014D" w:rsidRPr="002462E6" w:rsidRDefault="005C014D" w:rsidP="005C014D">
            <w:pPr>
              <w:widowControl w:val="0"/>
              <w:autoSpaceDE w:val="0"/>
              <w:autoSpaceDN w:val="0"/>
              <w:spacing w:after="0" w:line="240" w:lineRule="auto"/>
              <w:jc w:val="right"/>
              <w:rPr>
                <w:rFonts w:ascii="Arial" w:eastAsia="Times New Roman" w:hAnsi="Arial" w:cs="Arial"/>
                <w:color w:val="000000"/>
                <w:sz w:val="18"/>
                <w:szCs w:val="18"/>
                <w:lang w:eastAsia="fr-FR"/>
              </w:rPr>
            </w:pPr>
            <w:r w:rsidRPr="002462E6">
              <w:rPr>
                <w:rFonts w:ascii="Arial" w:eastAsia="Times New Roman" w:hAnsi="Arial" w:cs="Arial"/>
                <w:color w:val="000000"/>
                <w:sz w:val="18"/>
                <w:szCs w:val="18"/>
                <w:lang w:eastAsia="fr-FR"/>
              </w:rPr>
              <w:t>20%</w:t>
            </w:r>
          </w:p>
        </w:tc>
        <w:tc>
          <w:tcPr>
            <w:tcW w:w="813" w:type="dxa"/>
            <w:tcBorders>
              <w:top w:val="nil"/>
              <w:left w:val="nil"/>
              <w:bottom w:val="nil"/>
              <w:right w:val="nil"/>
            </w:tcBorders>
            <w:shd w:val="clear" w:color="000000" w:fill="FFC000"/>
            <w:noWrap/>
            <w:hideMark/>
          </w:tcPr>
          <w:p w:rsidR="005C014D" w:rsidRPr="002462E6" w:rsidRDefault="005C014D" w:rsidP="005C014D">
            <w:pPr>
              <w:widowControl w:val="0"/>
              <w:autoSpaceDE w:val="0"/>
              <w:autoSpaceDN w:val="0"/>
              <w:spacing w:after="0" w:line="240" w:lineRule="auto"/>
              <w:jc w:val="right"/>
              <w:rPr>
                <w:rFonts w:ascii="Arial" w:eastAsia="Times New Roman" w:hAnsi="Arial" w:cs="Arial"/>
                <w:color w:val="000000"/>
                <w:sz w:val="18"/>
                <w:szCs w:val="18"/>
                <w:lang w:eastAsia="fr-FR"/>
              </w:rPr>
            </w:pPr>
            <w:r w:rsidRPr="002462E6">
              <w:rPr>
                <w:rFonts w:ascii="Arial" w:eastAsia="Times New Roman" w:hAnsi="Arial" w:cs="Arial"/>
                <w:color w:val="000000"/>
                <w:sz w:val="18"/>
                <w:szCs w:val="18"/>
                <w:lang w:eastAsia="fr-FR"/>
              </w:rPr>
              <w:t>60%</w:t>
            </w:r>
          </w:p>
        </w:tc>
        <w:tc>
          <w:tcPr>
            <w:tcW w:w="698" w:type="dxa"/>
            <w:tcBorders>
              <w:top w:val="nil"/>
              <w:left w:val="nil"/>
              <w:bottom w:val="nil"/>
              <w:right w:val="nil"/>
            </w:tcBorders>
            <w:shd w:val="clear" w:color="000000" w:fill="F4F46C"/>
            <w:noWrap/>
            <w:hideMark/>
          </w:tcPr>
          <w:p w:rsidR="005C014D" w:rsidRPr="002462E6" w:rsidRDefault="005C014D" w:rsidP="005C014D">
            <w:pPr>
              <w:widowControl w:val="0"/>
              <w:autoSpaceDE w:val="0"/>
              <w:autoSpaceDN w:val="0"/>
              <w:spacing w:after="0" w:line="240" w:lineRule="auto"/>
              <w:jc w:val="right"/>
              <w:rPr>
                <w:rFonts w:ascii="Arial" w:eastAsia="Times New Roman" w:hAnsi="Arial" w:cs="Arial"/>
                <w:color w:val="000000"/>
                <w:sz w:val="18"/>
                <w:szCs w:val="18"/>
                <w:lang w:eastAsia="fr-FR"/>
              </w:rPr>
            </w:pPr>
            <w:r w:rsidRPr="002462E6">
              <w:rPr>
                <w:rFonts w:ascii="Arial" w:eastAsia="Times New Roman" w:hAnsi="Arial" w:cs="Arial"/>
                <w:color w:val="000000"/>
                <w:sz w:val="18"/>
                <w:szCs w:val="18"/>
                <w:lang w:eastAsia="fr-FR"/>
              </w:rPr>
              <w:t>40%</w:t>
            </w:r>
          </w:p>
        </w:tc>
        <w:tc>
          <w:tcPr>
            <w:tcW w:w="1186" w:type="dxa"/>
            <w:tcBorders>
              <w:top w:val="nil"/>
              <w:left w:val="nil"/>
              <w:bottom w:val="nil"/>
              <w:right w:val="nil"/>
            </w:tcBorders>
            <w:shd w:val="clear" w:color="000000" w:fill="F4F46C"/>
            <w:noWrap/>
            <w:hideMark/>
          </w:tcPr>
          <w:p w:rsidR="005C014D" w:rsidRPr="002462E6" w:rsidRDefault="005C014D" w:rsidP="005C014D">
            <w:pPr>
              <w:widowControl w:val="0"/>
              <w:autoSpaceDE w:val="0"/>
              <w:autoSpaceDN w:val="0"/>
              <w:spacing w:after="0" w:line="240" w:lineRule="auto"/>
              <w:jc w:val="right"/>
              <w:rPr>
                <w:rFonts w:ascii="Arial" w:eastAsia="Times New Roman" w:hAnsi="Arial" w:cs="Arial"/>
                <w:color w:val="000000"/>
                <w:sz w:val="18"/>
                <w:szCs w:val="18"/>
                <w:lang w:eastAsia="fr-FR"/>
              </w:rPr>
            </w:pPr>
            <w:r w:rsidRPr="002462E6">
              <w:rPr>
                <w:rFonts w:ascii="Arial" w:eastAsia="Times New Roman" w:hAnsi="Arial" w:cs="Arial"/>
                <w:color w:val="000000"/>
                <w:sz w:val="18"/>
                <w:szCs w:val="18"/>
                <w:lang w:eastAsia="fr-FR"/>
              </w:rPr>
              <w:t>40%</w:t>
            </w:r>
          </w:p>
        </w:tc>
        <w:tc>
          <w:tcPr>
            <w:tcW w:w="1377" w:type="dxa"/>
            <w:tcBorders>
              <w:top w:val="nil"/>
              <w:left w:val="nil"/>
              <w:bottom w:val="nil"/>
              <w:right w:val="nil"/>
            </w:tcBorders>
            <w:shd w:val="clear" w:color="000000" w:fill="FFC000"/>
            <w:noWrap/>
            <w:hideMark/>
          </w:tcPr>
          <w:p w:rsidR="005C014D" w:rsidRPr="002462E6" w:rsidRDefault="005C014D" w:rsidP="005C014D">
            <w:pPr>
              <w:widowControl w:val="0"/>
              <w:autoSpaceDE w:val="0"/>
              <w:autoSpaceDN w:val="0"/>
              <w:spacing w:after="0" w:line="240" w:lineRule="auto"/>
              <w:jc w:val="right"/>
              <w:rPr>
                <w:rFonts w:ascii="Arial" w:eastAsia="Times New Roman" w:hAnsi="Arial" w:cs="Arial"/>
                <w:color w:val="000000"/>
                <w:sz w:val="18"/>
                <w:szCs w:val="18"/>
                <w:lang w:eastAsia="fr-FR"/>
              </w:rPr>
            </w:pPr>
            <w:r w:rsidRPr="002462E6">
              <w:rPr>
                <w:rFonts w:ascii="Arial" w:eastAsia="Times New Roman" w:hAnsi="Arial" w:cs="Arial"/>
                <w:color w:val="000000"/>
                <w:sz w:val="18"/>
                <w:szCs w:val="18"/>
                <w:lang w:eastAsia="fr-FR"/>
              </w:rPr>
              <w:t>60%</w:t>
            </w:r>
          </w:p>
        </w:tc>
      </w:tr>
    </w:tbl>
    <w:p w:rsidR="005C014D" w:rsidRPr="002462E6" w:rsidRDefault="005C014D" w:rsidP="005C014D">
      <w:pPr>
        <w:widowControl w:val="0"/>
        <w:autoSpaceDE w:val="0"/>
        <w:autoSpaceDN w:val="0"/>
        <w:rPr>
          <w:rFonts w:ascii="Times New Roman" w:eastAsia="Times New Roman" w:hAnsi="Times New Roman" w:cs="Times New Roman"/>
          <w:noProof/>
          <w:lang w:eastAsia="fr-FR"/>
        </w:rPr>
      </w:pPr>
    </w:p>
    <w:p w:rsidR="005C014D" w:rsidRPr="002462E6" w:rsidRDefault="005C014D" w:rsidP="005C014D">
      <w:pPr>
        <w:widowControl w:val="0"/>
        <w:autoSpaceDE w:val="0"/>
        <w:autoSpaceDN w:val="0"/>
        <w:spacing w:before="100" w:beforeAutospacing="1" w:after="100" w:afterAutospacing="1" w:line="360" w:lineRule="auto"/>
        <w:jc w:val="both"/>
        <w:rPr>
          <w:rFonts w:ascii="Tahoma" w:eastAsia="Times New Roman" w:hAnsi="Tahoma" w:cs="Tahoma"/>
          <w:noProof/>
          <w:sz w:val="20"/>
          <w:szCs w:val="20"/>
          <w:lang w:eastAsia="fr-FR"/>
        </w:rPr>
      </w:pPr>
      <w:r w:rsidRPr="002462E6">
        <w:rPr>
          <w:rFonts w:ascii="Tahoma" w:eastAsia="Times New Roman" w:hAnsi="Tahoma" w:cs="Tahoma"/>
          <w:noProof/>
          <w:sz w:val="20"/>
          <w:szCs w:val="20"/>
          <w:lang w:eastAsia="fr-FR"/>
        </w:rPr>
        <w:t>Légende  du tableau synthétique :</w:t>
      </w:r>
    </w:p>
    <w:tbl>
      <w:tblPr>
        <w:tblpPr w:leftFromText="141" w:rightFromText="141" w:vertAnchor="text" w:horzAnchor="margin" w:tblpY="31"/>
        <w:tblW w:w="8466" w:type="dxa"/>
        <w:tblCellMar>
          <w:left w:w="70" w:type="dxa"/>
          <w:right w:w="70" w:type="dxa"/>
        </w:tblCellMar>
        <w:tblLook w:val="04A0" w:firstRow="1" w:lastRow="0" w:firstColumn="1" w:lastColumn="0" w:noHBand="0" w:noVBand="1"/>
      </w:tblPr>
      <w:tblGrid>
        <w:gridCol w:w="2822"/>
        <w:gridCol w:w="2822"/>
        <w:gridCol w:w="2822"/>
      </w:tblGrid>
      <w:tr w:rsidR="005C014D" w:rsidRPr="002462E6" w:rsidTr="007D633A">
        <w:trPr>
          <w:trHeight w:val="255"/>
        </w:trPr>
        <w:tc>
          <w:tcPr>
            <w:tcW w:w="2822" w:type="dxa"/>
            <w:tcBorders>
              <w:top w:val="single" w:sz="4" w:space="0" w:color="auto"/>
              <w:left w:val="single" w:sz="4" w:space="0" w:color="auto"/>
              <w:bottom w:val="single" w:sz="4" w:space="0" w:color="auto"/>
              <w:right w:val="single" w:sz="4" w:space="0" w:color="auto"/>
            </w:tcBorders>
            <w:shd w:val="clear" w:color="000000" w:fill="F4F46C"/>
            <w:vAlign w:val="center"/>
            <w:hideMark/>
          </w:tcPr>
          <w:p w:rsidR="005C014D" w:rsidRPr="002462E6" w:rsidRDefault="005C014D" w:rsidP="005C014D">
            <w:pPr>
              <w:widowControl w:val="0"/>
              <w:autoSpaceDE w:val="0"/>
              <w:autoSpaceDN w:val="0"/>
              <w:spacing w:after="0" w:line="240" w:lineRule="auto"/>
              <w:jc w:val="center"/>
              <w:rPr>
                <w:rFonts w:ascii="Times New Roman" w:eastAsia="Times New Roman" w:hAnsi="Times New Roman" w:cs="Times New Roman"/>
                <w:b/>
                <w:bCs/>
                <w:color w:val="000000"/>
                <w:sz w:val="20"/>
                <w:szCs w:val="20"/>
                <w:lang w:eastAsia="fr-FR"/>
              </w:rPr>
            </w:pPr>
            <w:r w:rsidRPr="002462E6">
              <w:rPr>
                <w:rFonts w:ascii="Times New Roman" w:eastAsia="Times New Roman" w:hAnsi="Times New Roman" w:cs="Times New Roman"/>
                <w:b/>
                <w:bCs/>
                <w:color w:val="000000"/>
                <w:sz w:val="20"/>
                <w:szCs w:val="20"/>
                <w:lang w:eastAsia="fr-FR"/>
              </w:rPr>
              <w:t>1- Moins de 50%</w:t>
            </w:r>
          </w:p>
        </w:tc>
        <w:tc>
          <w:tcPr>
            <w:tcW w:w="2822" w:type="dxa"/>
            <w:tcBorders>
              <w:top w:val="single" w:sz="4" w:space="0" w:color="auto"/>
              <w:left w:val="nil"/>
              <w:bottom w:val="single" w:sz="4" w:space="0" w:color="auto"/>
              <w:right w:val="single" w:sz="4" w:space="0" w:color="auto"/>
            </w:tcBorders>
            <w:shd w:val="clear" w:color="000000" w:fill="FFC000"/>
            <w:vAlign w:val="center"/>
            <w:hideMark/>
          </w:tcPr>
          <w:p w:rsidR="005C014D" w:rsidRPr="002462E6" w:rsidRDefault="005C014D" w:rsidP="005C014D">
            <w:pPr>
              <w:widowControl w:val="0"/>
              <w:autoSpaceDE w:val="0"/>
              <w:autoSpaceDN w:val="0"/>
              <w:spacing w:after="0" w:line="240" w:lineRule="auto"/>
              <w:jc w:val="center"/>
              <w:rPr>
                <w:rFonts w:ascii="Times New Roman" w:eastAsia="Times New Roman" w:hAnsi="Times New Roman" w:cs="Times New Roman"/>
                <w:b/>
                <w:bCs/>
                <w:color w:val="000000"/>
                <w:sz w:val="20"/>
                <w:szCs w:val="20"/>
                <w:lang w:eastAsia="fr-FR"/>
              </w:rPr>
            </w:pPr>
            <w:r w:rsidRPr="002462E6">
              <w:rPr>
                <w:rFonts w:ascii="Times New Roman" w:eastAsia="Times New Roman" w:hAnsi="Times New Roman" w:cs="Times New Roman"/>
                <w:b/>
                <w:bCs/>
                <w:color w:val="000000"/>
                <w:sz w:val="20"/>
                <w:szCs w:val="20"/>
                <w:lang w:eastAsia="fr-FR"/>
              </w:rPr>
              <w:t xml:space="preserve">2- Entre 50% et 75% </w:t>
            </w:r>
          </w:p>
        </w:tc>
        <w:tc>
          <w:tcPr>
            <w:tcW w:w="2822" w:type="dxa"/>
            <w:tcBorders>
              <w:top w:val="single" w:sz="4" w:space="0" w:color="auto"/>
              <w:left w:val="nil"/>
              <w:bottom w:val="single" w:sz="4" w:space="0" w:color="auto"/>
              <w:right w:val="single" w:sz="4" w:space="0" w:color="auto"/>
            </w:tcBorders>
            <w:shd w:val="clear" w:color="000000" w:fill="D34B07"/>
            <w:vAlign w:val="center"/>
            <w:hideMark/>
          </w:tcPr>
          <w:p w:rsidR="005C014D" w:rsidRPr="002462E6" w:rsidRDefault="005C014D" w:rsidP="005C014D">
            <w:pPr>
              <w:widowControl w:val="0"/>
              <w:autoSpaceDE w:val="0"/>
              <w:autoSpaceDN w:val="0"/>
              <w:spacing w:after="0" w:line="240" w:lineRule="auto"/>
              <w:jc w:val="center"/>
              <w:rPr>
                <w:rFonts w:ascii="Times New Roman" w:eastAsia="Times New Roman" w:hAnsi="Times New Roman" w:cs="Times New Roman"/>
                <w:b/>
                <w:bCs/>
                <w:color w:val="000000"/>
                <w:sz w:val="20"/>
                <w:szCs w:val="20"/>
                <w:lang w:eastAsia="fr-FR"/>
              </w:rPr>
            </w:pPr>
            <w:r w:rsidRPr="002462E6">
              <w:rPr>
                <w:rFonts w:ascii="Times New Roman" w:eastAsia="Times New Roman" w:hAnsi="Times New Roman" w:cs="Times New Roman"/>
                <w:b/>
                <w:bCs/>
                <w:color w:val="000000"/>
                <w:sz w:val="20"/>
                <w:szCs w:val="20"/>
                <w:lang w:eastAsia="fr-FR"/>
              </w:rPr>
              <w:t xml:space="preserve"> 3- Plus de 75%</w:t>
            </w:r>
          </w:p>
        </w:tc>
      </w:tr>
      <w:tr w:rsidR="005C014D" w:rsidRPr="002462E6" w:rsidTr="007D633A">
        <w:trPr>
          <w:trHeight w:val="255"/>
        </w:trPr>
        <w:tc>
          <w:tcPr>
            <w:tcW w:w="2822" w:type="dxa"/>
            <w:tcBorders>
              <w:top w:val="nil"/>
              <w:left w:val="single" w:sz="4" w:space="0" w:color="auto"/>
              <w:bottom w:val="single" w:sz="4" w:space="0" w:color="auto"/>
              <w:right w:val="single" w:sz="4" w:space="0" w:color="auto"/>
            </w:tcBorders>
            <w:shd w:val="clear" w:color="000000" w:fill="F4F46C"/>
            <w:vAlign w:val="center"/>
            <w:hideMark/>
          </w:tcPr>
          <w:p w:rsidR="005C014D" w:rsidRPr="002462E6" w:rsidRDefault="005C014D" w:rsidP="005C014D">
            <w:pPr>
              <w:widowControl w:val="0"/>
              <w:autoSpaceDE w:val="0"/>
              <w:autoSpaceDN w:val="0"/>
              <w:spacing w:after="0" w:line="240" w:lineRule="auto"/>
              <w:jc w:val="center"/>
              <w:rPr>
                <w:rFonts w:ascii="Times New Roman" w:eastAsia="Times New Roman" w:hAnsi="Times New Roman" w:cs="Times New Roman"/>
                <w:b/>
                <w:bCs/>
                <w:color w:val="000000"/>
                <w:sz w:val="20"/>
                <w:szCs w:val="20"/>
                <w:lang w:eastAsia="fr-FR"/>
              </w:rPr>
            </w:pPr>
            <w:r w:rsidRPr="002462E6">
              <w:rPr>
                <w:rFonts w:ascii="Times New Roman" w:eastAsia="Times New Roman" w:hAnsi="Times New Roman" w:cs="Times New Roman"/>
                <w:b/>
                <w:bCs/>
                <w:color w:val="000000"/>
                <w:sz w:val="20"/>
                <w:szCs w:val="20"/>
                <w:lang w:eastAsia="fr-FR"/>
              </w:rPr>
              <w:t>Vulnérabilité faible</w:t>
            </w:r>
          </w:p>
        </w:tc>
        <w:tc>
          <w:tcPr>
            <w:tcW w:w="2822" w:type="dxa"/>
            <w:tcBorders>
              <w:top w:val="nil"/>
              <w:left w:val="nil"/>
              <w:bottom w:val="single" w:sz="4" w:space="0" w:color="auto"/>
              <w:right w:val="single" w:sz="4" w:space="0" w:color="auto"/>
            </w:tcBorders>
            <w:shd w:val="clear" w:color="000000" w:fill="FFC000"/>
            <w:vAlign w:val="center"/>
            <w:hideMark/>
          </w:tcPr>
          <w:p w:rsidR="005C014D" w:rsidRPr="002462E6" w:rsidRDefault="005C014D" w:rsidP="005C014D">
            <w:pPr>
              <w:widowControl w:val="0"/>
              <w:autoSpaceDE w:val="0"/>
              <w:autoSpaceDN w:val="0"/>
              <w:spacing w:after="0" w:line="240" w:lineRule="auto"/>
              <w:jc w:val="center"/>
              <w:rPr>
                <w:rFonts w:ascii="Times New Roman" w:eastAsia="Times New Roman" w:hAnsi="Times New Roman" w:cs="Times New Roman"/>
                <w:b/>
                <w:bCs/>
                <w:color w:val="000000"/>
                <w:sz w:val="20"/>
                <w:szCs w:val="20"/>
                <w:lang w:eastAsia="fr-FR"/>
              </w:rPr>
            </w:pPr>
            <w:r w:rsidRPr="002462E6">
              <w:rPr>
                <w:rFonts w:ascii="Times New Roman" w:eastAsia="Times New Roman" w:hAnsi="Times New Roman" w:cs="Times New Roman"/>
                <w:b/>
                <w:bCs/>
                <w:color w:val="000000"/>
                <w:sz w:val="20"/>
                <w:szCs w:val="20"/>
                <w:lang w:eastAsia="fr-FR"/>
              </w:rPr>
              <w:t>Vulnérabilité moyenne</w:t>
            </w:r>
          </w:p>
        </w:tc>
        <w:tc>
          <w:tcPr>
            <w:tcW w:w="2822" w:type="dxa"/>
            <w:tcBorders>
              <w:top w:val="nil"/>
              <w:left w:val="nil"/>
              <w:bottom w:val="single" w:sz="4" w:space="0" w:color="auto"/>
              <w:right w:val="single" w:sz="4" w:space="0" w:color="auto"/>
            </w:tcBorders>
            <w:shd w:val="clear" w:color="000000" w:fill="D34B07"/>
            <w:vAlign w:val="center"/>
            <w:hideMark/>
          </w:tcPr>
          <w:p w:rsidR="005C014D" w:rsidRPr="002462E6" w:rsidRDefault="005C014D" w:rsidP="005C014D">
            <w:pPr>
              <w:widowControl w:val="0"/>
              <w:autoSpaceDE w:val="0"/>
              <w:autoSpaceDN w:val="0"/>
              <w:spacing w:after="0" w:line="240" w:lineRule="auto"/>
              <w:jc w:val="center"/>
              <w:rPr>
                <w:rFonts w:ascii="Times New Roman" w:eastAsia="Times New Roman" w:hAnsi="Times New Roman" w:cs="Times New Roman"/>
                <w:b/>
                <w:bCs/>
                <w:color w:val="000000"/>
                <w:sz w:val="20"/>
                <w:szCs w:val="20"/>
                <w:lang w:eastAsia="fr-FR"/>
              </w:rPr>
            </w:pPr>
            <w:r w:rsidRPr="002462E6">
              <w:rPr>
                <w:rFonts w:ascii="Times New Roman" w:eastAsia="Times New Roman" w:hAnsi="Times New Roman" w:cs="Times New Roman"/>
                <w:b/>
                <w:bCs/>
                <w:color w:val="000000"/>
                <w:sz w:val="20"/>
                <w:szCs w:val="20"/>
                <w:lang w:eastAsia="fr-FR"/>
              </w:rPr>
              <w:t>Vulnérabilité Forte</w:t>
            </w:r>
          </w:p>
        </w:tc>
      </w:tr>
    </w:tbl>
    <w:p w:rsidR="005C014D" w:rsidRPr="002462E6" w:rsidRDefault="005C014D" w:rsidP="005C014D">
      <w:pPr>
        <w:widowControl w:val="0"/>
        <w:autoSpaceDE w:val="0"/>
        <w:autoSpaceDN w:val="0"/>
        <w:spacing w:after="0" w:line="240" w:lineRule="auto"/>
        <w:rPr>
          <w:rFonts w:ascii="Times New Roman" w:eastAsia="Times New Roman" w:hAnsi="Times New Roman" w:cs="Times New Roman"/>
        </w:rPr>
      </w:pPr>
    </w:p>
    <w:p w:rsidR="005C014D" w:rsidRPr="002462E6" w:rsidRDefault="005C014D" w:rsidP="005C014D">
      <w:pPr>
        <w:widowControl w:val="0"/>
        <w:autoSpaceDE w:val="0"/>
        <w:autoSpaceDN w:val="0"/>
        <w:spacing w:after="0" w:line="240" w:lineRule="auto"/>
        <w:rPr>
          <w:rFonts w:ascii="Times New Roman" w:eastAsia="Times New Roman" w:hAnsi="Times New Roman" w:cs="Times New Roman"/>
        </w:rPr>
      </w:pPr>
    </w:p>
    <w:p w:rsidR="005C014D" w:rsidRPr="002462E6" w:rsidRDefault="005C014D" w:rsidP="005C014D">
      <w:pPr>
        <w:widowControl w:val="0"/>
        <w:autoSpaceDE w:val="0"/>
        <w:autoSpaceDN w:val="0"/>
        <w:spacing w:after="0" w:line="240" w:lineRule="auto"/>
        <w:rPr>
          <w:rFonts w:ascii="Times New Roman" w:eastAsia="Times New Roman" w:hAnsi="Times New Roman" w:cs="Times New Roman"/>
        </w:rPr>
      </w:pPr>
    </w:p>
    <w:p w:rsidR="00A27083" w:rsidRPr="002462E6" w:rsidRDefault="00A27083" w:rsidP="00A27083">
      <w:pPr>
        <w:spacing w:before="100" w:beforeAutospacing="1" w:after="100" w:afterAutospacing="1" w:line="360" w:lineRule="auto"/>
        <w:jc w:val="center"/>
        <w:rPr>
          <w:rFonts w:ascii="Tahoma" w:hAnsi="Tahoma" w:cs="Tahoma"/>
          <w:sz w:val="20"/>
          <w:szCs w:val="20"/>
          <w:lang w:eastAsia="fr-FR"/>
        </w:rPr>
      </w:pPr>
      <w:r w:rsidRPr="002462E6">
        <w:rPr>
          <w:rFonts w:ascii="Tahoma" w:hAnsi="Tahoma" w:cs="Tahoma"/>
          <w:b/>
          <w:bCs/>
          <w:sz w:val="20"/>
          <w:szCs w:val="20"/>
          <w:lang w:eastAsia="fr-FR"/>
        </w:rPr>
        <w:t>Source</w:t>
      </w:r>
      <w:r w:rsidRPr="002462E6">
        <w:rPr>
          <w:rFonts w:ascii="Tahoma" w:hAnsi="Tahoma" w:cs="Tahoma"/>
          <w:sz w:val="20"/>
          <w:szCs w:val="20"/>
          <w:lang w:eastAsia="fr-FR"/>
        </w:rPr>
        <w:t xml:space="preserve"> : résultats de l’enquête</w:t>
      </w:r>
    </w:p>
    <w:p w:rsidR="005C014D" w:rsidRPr="002462E6" w:rsidRDefault="005C014D" w:rsidP="005C014D">
      <w:pPr>
        <w:widowControl w:val="0"/>
        <w:autoSpaceDE w:val="0"/>
        <w:autoSpaceDN w:val="0"/>
        <w:spacing w:after="0" w:line="240" w:lineRule="auto"/>
        <w:rPr>
          <w:rFonts w:ascii="Times New Roman" w:eastAsia="Times New Roman" w:hAnsi="Times New Roman" w:cs="Times New Roman"/>
        </w:rPr>
      </w:pPr>
    </w:p>
    <w:p w:rsidR="005C014D" w:rsidRPr="002462E6" w:rsidRDefault="005C014D" w:rsidP="005C014D">
      <w:pPr>
        <w:widowControl w:val="0"/>
        <w:autoSpaceDE w:val="0"/>
        <w:autoSpaceDN w:val="0"/>
        <w:spacing w:before="100" w:beforeAutospacing="1" w:after="100" w:afterAutospacing="1" w:line="360" w:lineRule="auto"/>
        <w:jc w:val="both"/>
        <w:rPr>
          <w:rFonts w:ascii="Tahoma" w:eastAsia="Times New Roman" w:hAnsi="Tahoma" w:cs="Tahoma"/>
          <w:sz w:val="24"/>
          <w:szCs w:val="24"/>
          <w:lang w:eastAsia="fr-FR"/>
        </w:rPr>
      </w:pPr>
      <w:r w:rsidRPr="002462E6">
        <w:rPr>
          <w:rFonts w:ascii="Tahoma" w:eastAsia="Times New Roman" w:hAnsi="Tahoma" w:cs="Tahoma"/>
          <w:sz w:val="24"/>
          <w:szCs w:val="24"/>
          <w:lang w:eastAsia="fr-FR"/>
        </w:rPr>
        <w:t>Cette situation s'inscrit dans un contexte de "pauvreté énergétique" où les populations rurales, faute d'accès à des sources d'énergie modernes et abordables, perpétuent des pratiques de prélèvement qui peuvent compromettre la durabilité de l'écosystème. Le cercle vicieux pauvreté-dégradation s'exprime ici pleinement : l'absence d'alternatives énergétiques contraint les populations à exploiter les ressources forestières, accentuant la dégradation qui, à terme, compromet la disponibilité même de ces ressources.</w:t>
      </w:r>
    </w:p>
    <w:p w:rsidR="005C014D" w:rsidRPr="002462E6" w:rsidRDefault="005C014D" w:rsidP="00501736">
      <w:pPr>
        <w:widowControl w:val="0"/>
        <w:autoSpaceDE w:val="0"/>
        <w:autoSpaceDN w:val="0"/>
        <w:spacing w:before="100" w:beforeAutospacing="1" w:after="100" w:afterAutospacing="1" w:line="360" w:lineRule="auto"/>
        <w:jc w:val="both"/>
        <w:rPr>
          <w:rFonts w:ascii="Tahoma" w:eastAsia="Times New Roman" w:hAnsi="Tahoma" w:cs="Tahoma"/>
          <w:sz w:val="2"/>
          <w:szCs w:val="2"/>
        </w:rPr>
      </w:pPr>
      <w:r w:rsidRPr="002462E6">
        <w:rPr>
          <w:rFonts w:ascii="Tahoma" w:eastAsia="Times New Roman" w:hAnsi="Tahoma" w:cs="Tahoma"/>
          <w:sz w:val="24"/>
          <w:szCs w:val="24"/>
          <w:lang w:eastAsia="fr-FR"/>
        </w:rPr>
        <w:t xml:space="preserve">L'analyse croisée des données économiques précédemment examinées et des indicateurs environnementaux révèle l'existence d'un cercle vicieux pauvreté-dégradation qui constitue l'un des défis majeurs de la gestion forestière en milieu rural. Les populations en situation de vulnérabilité économique (60% des ménages selon l'analyse des revenus) se trouvent contraintes de surexploiter les ressources forestières pour assurer leur subsistance, contribuant ainsi à la dégradation qui, in fine, compromet leur propre base de subsistance. Ce cercle vicieux s'exprime à travers plusieurs mécanismes à savoir la dépendance au bois de feu </w:t>
      </w:r>
      <w:r w:rsidRPr="002462E6">
        <w:rPr>
          <w:rFonts w:ascii="Tahoma" w:eastAsia="Times New Roman" w:hAnsi="Tahoma" w:cs="Tahoma"/>
          <w:sz w:val="24"/>
          <w:szCs w:val="24"/>
        </w:rPr>
        <w:t xml:space="preserve">(cf. </w:t>
      </w:r>
      <w:r w:rsidR="00F9749C">
        <w:rPr>
          <w:rFonts w:ascii="Tahoma" w:eastAsia="Times New Roman" w:hAnsi="Tahoma" w:cs="Tahoma"/>
          <w:b/>
          <w:bCs/>
          <w:sz w:val="24"/>
          <w:szCs w:val="24"/>
        </w:rPr>
        <w:t>Graph</w:t>
      </w:r>
      <w:r w:rsidRPr="00F9749C">
        <w:rPr>
          <w:rFonts w:ascii="Tahoma" w:eastAsia="Times New Roman" w:hAnsi="Tahoma" w:cs="Tahoma"/>
          <w:b/>
          <w:bCs/>
          <w:sz w:val="24"/>
          <w:szCs w:val="24"/>
        </w:rPr>
        <w:t>e n°2</w:t>
      </w:r>
      <w:r w:rsidR="00F9749C" w:rsidRPr="00F9749C">
        <w:rPr>
          <w:rFonts w:ascii="Tahoma" w:eastAsia="Times New Roman" w:hAnsi="Tahoma" w:cs="Tahoma"/>
          <w:b/>
          <w:bCs/>
          <w:sz w:val="24"/>
          <w:szCs w:val="24"/>
        </w:rPr>
        <w:t>5</w:t>
      </w:r>
      <w:r w:rsidRPr="002462E6">
        <w:rPr>
          <w:rFonts w:ascii="Tahoma" w:eastAsia="Times New Roman" w:hAnsi="Tahoma" w:cs="Tahoma"/>
          <w:sz w:val="24"/>
          <w:szCs w:val="24"/>
        </w:rPr>
        <w:t>),</w:t>
      </w:r>
      <w:r w:rsidRPr="002462E6">
        <w:rPr>
          <w:rFonts w:ascii="Times New Roman" w:eastAsia="Times New Roman" w:hAnsi="Times New Roman" w:cs="Times New Roman"/>
          <w:sz w:val="24"/>
          <w:szCs w:val="24"/>
        </w:rPr>
        <w:t xml:space="preserve"> </w:t>
      </w:r>
      <w:r w:rsidRPr="002462E6">
        <w:rPr>
          <w:rFonts w:ascii="Tahoma" w:eastAsia="Times New Roman" w:hAnsi="Tahoma" w:cs="Tahoma"/>
          <w:sz w:val="24"/>
          <w:szCs w:val="24"/>
          <w:lang w:eastAsia="fr-FR"/>
        </w:rPr>
        <w:t xml:space="preserve"> en l'absence d'alternatives énergétiques, la surcharge pastorale faute de revenus suffisants pour diversifier les activités et l'exploitation intensive des produits forestiers non-ligneux par manque d'autres sources de revenus. Cette situation illustre les limites des approches purement conservatoires qui négligent les dimensions socio-économiques de la gestion forestière.</w:t>
      </w:r>
    </w:p>
    <w:p w:rsidR="005C014D" w:rsidRPr="002462E6" w:rsidRDefault="005C014D" w:rsidP="005C014D">
      <w:pPr>
        <w:widowControl w:val="0"/>
        <w:autoSpaceDE w:val="0"/>
        <w:autoSpaceDN w:val="0"/>
        <w:spacing w:after="0" w:line="360" w:lineRule="auto"/>
        <w:jc w:val="center"/>
        <w:rPr>
          <w:rFonts w:ascii="Tahoma" w:eastAsia="Times New Roman" w:hAnsi="Tahoma" w:cs="Tahoma"/>
          <w:sz w:val="6"/>
          <w:szCs w:val="6"/>
        </w:rPr>
      </w:pPr>
    </w:p>
    <w:p w:rsidR="00F9749C" w:rsidRDefault="00F9749C" w:rsidP="00F9749C">
      <w:pPr>
        <w:pStyle w:val="Sous-titre"/>
      </w:pPr>
      <w:bookmarkStart w:id="468" w:name="_Toc203642557"/>
      <w:r>
        <w:t xml:space="preserve">Graphe </w:t>
      </w:r>
      <w:r w:rsidR="00225ED1">
        <w:rPr>
          <w:noProof/>
        </w:rPr>
        <w:fldChar w:fldCharType="begin"/>
      </w:r>
      <w:r w:rsidR="00225ED1">
        <w:rPr>
          <w:noProof/>
        </w:rPr>
        <w:instrText xml:space="preserve"> SEQ Graphe \* ARABIC </w:instrText>
      </w:r>
      <w:r w:rsidR="00225ED1">
        <w:rPr>
          <w:noProof/>
        </w:rPr>
        <w:fldChar w:fldCharType="separate"/>
      </w:r>
      <w:r w:rsidR="00124AFB">
        <w:rPr>
          <w:noProof/>
        </w:rPr>
        <w:t>25</w:t>
      </w:r>
      <w:r w:rsidR="00225ED1">
        <w:rPr>
          <w:noProof/>
        </w:rPr>
        <w:fldChar w:fldCharType="end"/>
      </w:r>
      <w:r>
        <w:t xml:space="preserve"> </w:t>
      </w:r>
      <w:r w:rsidRPr="00545D3D">
        <w:t>: Répartition des enquêtés  en % par rapport au mode de cuisson</w:t>
      </w:r>
      <w:bookmarkEnd w:id="468"/>
    </w:p>
    <w:p w:rsidR="005C014D" w:rsidRPr="002462E6" w:rsidRDefault="005C014D" w:rsidP="005C014D">
      <w:pPr>
        <w:widowControl w:val="0"/>
        <w:autoSpaceDE w:val="0"/>
        <w:autoSpaceDN w:val="0"/>
        <w:bidi/>
        <w:spacing w:before="240" w:line="240" w:lineRule="auto"/>
        <w:jc w:val="center"/>
        <w:rPr>
          <w:rFonts w:ascii="Times New Roman" w:eastAsia="Times New Roman" w:hAnsi="Times New Roman" w:cs="Times New Roman"/>
          <w:b/>
          <w:bCs/>
        </w:rPr>
      </w:pPr>
      <w:r w:rsidRPr="002462E6">
        <w:rPr>
          <w:rFonts w:ascii="Times New Roman" w:eastAsia="Times New Roman" w:hAnsi="Times New Roman" w:cs="Times New Roman"/>
          <w:b/>
          <w:bCs/>
          <w:noProof/>
          <w:lang w:eastAsia="fr-FR"/>
        </w:rPr>
        <w:drawing>
          <wp:inline distT="0" distB="0" distL="0" distR="0" wp14:anchorId="47438B72" wp14:editId="054965A4">
            <wp:extent cx="4987290" cy="3000375"/>
            <wp:effectExtent l="0" t="0" r="3810" b="9525"/>
            <wp:docPr id="1512970663" name="Graphique 1512970663"/>
            <wp:cNvGraphicFramePr/>
            <a:graphic xmlns:a="http://schemas.openxmlformats.org/drawingml/2006/main">
              <a:graphicData uri="http://schemas.openxmlformats.org/drawingml/2006/chart">
                <c:chart xmlns:c="http://schemas.openxmlformats.org/drawingml/2006/chart" xmlns:r="http://schemas.openxmlformats.org/officeDocument/2006/relationships" r:id="rId67"/>
              </a:graphicData>
            </a:graphic>
          </wp:inline>
        </w:drawing>
      </w:r>
    </w:p>
    <w:p w:rsidR="005C014D" w:rsidRPr="002462E6" w:rsidRDefault="005C014D" w:rsidP="008313F3">
      <w:pPr>
        <w:spacing w:before="100" w:beforeAutospacing="1" w:after="100" w:afterAutospacing="1" w:line="360" w:lineRule="auto"/>
        <w:jc w:val="center"/>
        <w:rPr>
          <w:rFonts w:ascii="Tahoma" w:eastAsia="Times New Roman" w:hAnsi="Tahoma" w:cs="Tahoma"/>
          <w:sz w:val="20"/>
          <w:szCs w:val="20"/>
          <w:lang w:eastAsia="fr-FR"/>
        </w:rPr>
      </w:pPr>
      <w:r w:rsidRPr="002462E6">
        <w:rPr>
          <w:rFonts w:ascii="Tahoma" w:eastAsia="Times New Roman" w:hAnsi="Tahoma" w:cs="Tahoma"/>
          <w:b/>
          <w:bCs/>
          <w:sz w:val="20"/>
          <w:szCs w:val="20"/>
          <w:lang w:eastAsia="fr-FR"/>
        </w:rPr>
        <w:t xml:space="preserve">Source </w:t>
      </w:r>
      <w:r w:rsidRPr="002462E6">
        <w:rPr>
          <w:rFonts w:ascii="Tahoma" w:eastAsia="Times New Roman" w:hAnsi="Tahoma" w:cs="Tahoma"/>
          <w:sz w:val="20"/>
          <w:szCs w:val="20"/>
          <w:lang w:eastAsia="fr-FR"/>
        </w:rPr>
        <w:t>: résultats de l’enquête</w:t>
      </w:r>
    </w:p>
    <w:p w:rsidR="005C014D" w:rsidRPr="002462E6" w:rsidRDefault="005C014D" w:rsidP="005C014D">
      <w:pPr>
        <w:widowControl w:val="0"/>
        <w:autoSpaceDE w:val="0"/>
        <w:autoSpaceDN w:val="0"/>
        <w:spacing w:before="100" w:beforeAutospacing="1" w:after="100" w:afterAutospacing="1" w:line="360" w:lineRule="auto"/>
        <w:jc w:val="both"/>
        <w:rPr>
          <w:rFonts w:ascii="Tahoma" w:eastAsia="Times New Roman" w:hAnsi="Tahoma" w:cs="Tahoma"/>
          <w:sz w:val="24"/>
          <w:szCs w:val="24"/>
          <w:lang w:eastAsia="fr-FR"/>
        </w:rPr>
      </w:pPr>
      <w:r w:rsidRPr="002462E6">
        <w:rPr>
          <w:rFonts w:ascii="Tahoma" w:eastAsia="Times New Roman" w:hAnsi="Tahoma" w:cs="Tahoma"/>
          <w:sz w:val="24"/>
          <w:szCs w:val="24"/>
          <w:lang w:eastAsia="fr-FR"/>
        </w:rPr>
        <w:t>Par rapport à l'insatisfaction vis-à-vis du reboisement, l'un des résultats les plus saisissants de cette enquête concerne l'évaluation des politiques de reboisement : vingt douars sur vingt-deux (91%) expriment une insatisfaction totale (100%) concernant les résultats du reboisement, révélant un décalage majeur entre les politiques publiques et les attentes des populations locales. Cette insatisfaction massive interroge fondamentalement l'efficacité des approches technocratiques de restauration forestière qui ont prévalu au Maroc durant les dernières décennies.</w:t>
      </w:r>
    </w:p>
    <w:p w:rsidR="008313F3" w:rsidRPr="002462E6" w:rsidRDefault="005C014D" w:rsidP="00F9749C">
      <w:pPr>
        <w:widowControl w:val="0"/>
        <w:autoSpaceDE w:val="0"/>
        <w:autoSpaceDN w:val="0"/>
        <w:spacing w:before="100" w:beforeAutospacing="1" w:after="100" w:afterAutospacing="1" w:line="360" w:lineRule="auto"/>
        <w:jc w:val="both"/>
        <w:rPr>
          <w:rFonts w:ascii="Tahoma" w:eastAsia="Times New Roman" w:hAnsi="Tahoma" w:cs="Tahoma"/>
          <w:sz w:val="24"/>
          <w:szCs w:val="24"/>
          <w:lang w:eastAsia="fr-FR"/>
        </w:rPr>
      </w:pPr>
      <w:r w:rsidRPr="002462E6">
        <w:rPr>
          <w:rFonts w:ascii="Tahoma" w:eastAsia="Times New Roman" w:hAnsi="Tahoma" w:cs="Tahoma"/>
          <w:sz w:val="24"/>
          <w:szCs w:val="24"/>
          <w:lang w:eastAsia="fr-FR"/>
        </w:rPr>
        <w:t>Selon, les résultats du terrain, les causes de cet échec sont multiples. D'abord, l'inadéquation des espèces reboisées aux conditions écologiques locales et aux besoins des populations. Ensuite, l'absence de participation communautaire dans la conception et la mise en œuvre des programmes de reboisement, créant un sentiment d'appropriation insuffisant. Enfin, le manque de suivi et d'entretien post-plantation, compromettant la survie des plants et l'efficacité des investissements consentis.</w:t>
      </w:r>
    </w:p>
    <w:p w:rsidR="008313F3" w:rsidRPr="002462E6" w:rsidRDefault="005C014D" w:rsidP="00F9749C">
      <w:pPr>
        <w:widowControl w:val="0"/>
        <w:autoSpaceDE w:val="0"/>
        <w:autoSpaceDN w:val="0"/>
        <w:spacing w:before="100" w:beforeAutospacing="1" w:after="100" w:afterAutospacing="1" w:line="360" w:lineRule="auto"/>
        <w:jc w:val="both"/>
        <w:rPr>
          <w:rFonts w:ascii="Tahoma" w:eastAsia="Times New Roman" w:hAnsi="Tahoma" w:cs="Tahoma"/>
          <w:sz w:val="24"/>
          <w:szCs w:val="24"/>
          <w:lang w:eastAsia="fr-FR"/>
        </w:rPr>
      </w:pPr>
      <w:r w:rsidRPr="002462E6">
        <w:rPr>
          <w:rFonts w:ascii="Tahoma" w:eastAsia="Times New Roman" w:hAnsi="Tahoma" w:cs="Tahoma"/>
          <w:sz w:val="24"/>
          <w:szCs w:val="24"/>
          <w:lang w:eastAsia="fr-FR"/>
        </w:rPr>
        <w:t xml:space="preserve">L'analyse des attitudes vis-à-vis des mises en défens révèle une résistance communautaire variable mais </w:t>
      </w:r>
      <w:r w:rsidR="00CE0E1C" w:rsidRPr="002462E6">
        <w:rPr>
          <w:rFonts w:ascii="Tahoma" w:eastAsia="Times New Roman" w:hAnsi="Tahoma" w:cs="Tahoma"/>
          <w:sz w:val="24"/>
          <w:szCs w:val="24"/>
          <w:lang w:eastAsia="fr-FR"/>
        </w:rPr>
        <w:t>significative.</w:t>
      </w:r>
      <w:r w:rsidRPr="002462E6">
        <w:rPr>
          <w:rFonts w:ascii="Tahoma" w:eastAsia="Times New Roman" w:hAnsi="Tahoma" w:cs="Tahoma"/>
          <w:sz w:val="24"/>
          <w:szCs w:val="24"/>
          <w:lang w:eastAsia="fr-FR"/>
        </w:rPr>
        <w:t xml:space="preserve"> Plusieurs douars affichent une forte opposition (Oulad Rgue, Oulad Dlim, Oulad Daoud à 100%), tandis que d'autres montrent une acceptance relative (Lâarâara, Oulad Saîd, Lbghada avec 0% d'opposition). Cette variabilité suggère l'existence de dynamiques sociales locales différenciées qui influencent l'acceptabilité des mesures conservatoires.</w:t>
      </w:r>
    </w:p>
    <w:p w:rsidR="008313F3" w:rsidRPr="002462E6" w:rsidRDefault="005C014D" w:rsidP="00EE28C5">
      <w:pPr>
        <w:widowControl w:val="0"/>
        <w:autoSpaceDE w:val="0"/>
        <w:autoSpaceDN w:val="0"/>
        <w:spacing w:before="100" w:beforeAutospacing="1" w:after="100" w:afterAutospacing="1" w:line="360" w:lineRule="auto"/>
        <w:jc w:val="both"/>
        <w:rPr>
          <w:rFonts w:ascii="Tahoma" w:eastAsia="Times New Roman" w:hAnsi="Tahoma" w:cs="Tahoma"/>
          <w:sz w:val="24"/>
          <w:szCs w:val="24"/>
          <w:lang w:eastAsia="fr-FR"/>
        </w:rPr>
      </w:pPr>
      <w:r w:rsidRPr="002462E6">
        <w:rPr>
          <w:rFonts w:ascii="Tahoma" w:eastAsia="Times New Roman" w:hAnsi="Tahoma" w:cs="Tahoma"/>
          <w:sz w:val="24"/>
          <w:szCs w:val="24"/>
          <w:lang w:eastAsia="fr-FR"/>
        </w:rPr>
        <w:t xml:space="preserve">Les mises en défens, qui consistent à interdire temporairement l'accès à certaines zones forestières pour permettre leur régénération, constituent un outil classique de gestion forestière. Cependant, leur efficacité dépend largement de leur acceptation par les populations locales </w:t>
      </w:r>
      <w:r w:rsidRPr="002462E6">
        <w:rPr>
          <w:rFonts w:ascii="Tahoma" w:eastAsia="Times New Roman" w:hAnsi="Tahoma" w:cs="Tahoma"/>
          <w:sz w:val="24"/>
          <w:szCs w:val="24"/>
        </w:rPr>
        <w:t xml:space="preserve">(cf. </w:t>
      </w:r>
      <w:r w:rsidR="00EE28C5">
        <w:rPr>
          <w:rFonts w:ascii="Tahoma" w:eastAsia="Times New Roman" w:hAnsi="Tahoma" w:cs="Tahoma"/>
          <w:b/>
          <w:bCs/>
          <w:sz w:val="24"/>
          <w:szCs w:val="24"/>
        </w:rPr>
        <w:t>graph</w:t>
      </w:r>
      <w:r w:rsidRPr="00EE28C5">
        <w:rPr>
          <w:rFonts w:ascii="Tahoma" w:eastAsia="Times New Roman" w:hAnsi="Tahoma" w:cs="Tahoma"/>
          <w:b/>
          <w:bCs/>
          <w:sz w:val="24"/>
          <w:szCs w:val="24"/>
        </w:rPr>
        <w:t>e n°2</w:t>
      </w:r>
      <w:r w:rsidR="00EE28C5" w:rsidRPr="00EE28C5">
        <w:rPr>
          <w:rFonts w:ascii="Tahoma" w:eastAsia="Times New Roman" w:hAnsi="Tahoma" w:cs="Tahoma"/>
          <w:b/>
          <w:bCs/>
          <w:sz w:val="24"/>
          <w:szCs w:val="24"/>
        </w:rPr>
        <w:t>6</w:t>
      </w:r>
      <w:r w:rsidRPr="002462E6">
        <w:rPr>
          <w:rFonts w:ascii="Tahoma" w:eastAsia="Times New Roman" w:hAnsi="Tahoma" w:cs="Tahoma"/>
          <w:sz w:val="24"/>
          <w:szCs w:val="24"/>
        </w:rPr>
        <w:t>)</w:t>
      </w:r>
      <w:r w:rsidRPr="002462E6">
        <w:rPr>
          <w:rFonts w:ascii="Tahoma" w:eastAsia="Times New Roman" w:hAnsi="Tahoma" w:cs="Tahoma"/>
          <w:sz w:val="24"/>
          <w:szCs w:val="24"/>
          <w:lang w:eastAsia="fr-FR"/>
        </w:rPr>
        <w:t>. Lorsqu'elles sont perçues comme des mesures autoritaires imposées sans consultation, elles génèrent des résistances qui peuvent compromettre leur efficacité. À l'inverse, lorsqu'elles s'inscrivent dans une démarche participative et sont accompagnées de mesures compensatoires, elles peuvent bénéficier d'un soutien communautaire.</w:t>
      </w:r>
    </w:p>
    <w:p w:rsidR="00F9749C" w:rsidRDefault="00F9749C" w:rsidP="00F9749C">
      <w:pPr>
        <w:pStyle w:val="Sous-titre"/>
      </w:pPr>
      <w:bookmarkStart w:id="469" w:name="_Toc203642558"/>
      <w:r>
        <w:t xml:space="preserve">Graphe </w:t>
      </w:r>
      <w:r w:rsidR="00225ED1">
        <w:rPr>
          <w:noProof/>
        </w:rPr>
        <w:fldChar w:fldCharType="begin"/>
      </w:r>
      <w:r w:rsidR="00225ED1">
        <w:rPr>
          <w:noProof/>
        </w:rPr>
        <w:instrText xml:space="preserve"> SEQ Graphe \* ARABIC </w:instrText>
      </w:r>
      <w:r w:rsidR="00225ED1">
        <w:rPr>
          <w:noProof/>
        </w:rPr>
        <w:fldChar w:fldCharType="separate"/>
      </w:r>
      <w:r w:rsidR="00124AFB">
        <w:rPr>
          <w:noProof/>
        </w:rPr>
        <w:t>26</w:t>
      </w:r>
      <w:r w:rsidR="00225ED1">
        <w:rPr>
          <w:noProof/>
        </w:rPr>
        <w:fldChar w:fldCharType="end"/>
      </w:r>
      <w:r>
        <w:t xml:space="preserve"> </w:t>
      </w:r>
      <w:r w:rsidRPr="00BC6C6E">
        <w:t>: Répartition des enquêtés  en % par rapport aux mises en défens</w:t>
      </w:r>
      <w:bookmarkEnd w:id="469"/>
    </w:p>
    <w:p w:rsidR="005C014D" w:rsidRPr="002462E6" w:rsidRDefault="005C014D" w:rsidP="005C014D">
      <w:pPr>
        <w:widowControl w:val="0"/>
        <w:tabs>
          <w:tab w:val="left" w:pos="5568"/>
        </w:tabs>
        <w:autoSpaceDE w:val="0"/>
        <w:autoSpaceDN w:val="0"/>
        <w:jc w:val="center"/>
        <w:rPr>
          <w:rFonts w:ascii="Times New Roman" w:eastAsia="Times New Roman" w:hAnsi="Times New Roman" w:cs="Times New Roman"/>
          <w:sz w:val="24"/>
          <w:szCs w:val="24"/>
        </w:rPr>
      </w:pPr>
      <w:r w:rsidRPr="002462E6">
        <w:rPr>
          <w:rFonts w:ascii="Times New Roman" w:eastAsia="Times New Roman" w:hAnsi="Times New Roman" w:cs="Times New Roman"/>
          <w:noProof/>
          <w:lang w:eastAsia="fr-FR"/>
        </w:rPr>
        <w:drawing>
          <wp:inline distT="0" distB="0" distL="0" distR="0" wp14:anchorId="6BCCF428" wp14:editId="30BF897C">
            <wp:extent cx="5213268" cy="2505693"/>
            <wp:effectExtent l="0" t="0" r="26035" b="9525"/>
            <wp:docPr id="1512970664" name="Graphique 1512970664"/>
            <wp:cNvGraphicFramePr/>
            <a:graphic xmlns:a="http://schemas.openxmlformats.org/drawingml/2006/main">
              <a:graphicData uri="http://schemas.openxmlformats.org/drawingml/2006/chart">
                <c:chart xmlns:c="http://schemas.openxmlformats.org/drawingml/2006/chart" xmlns:r="http://schemas.openxmlformats.org/officeDocument/2006/relationships" r:id="rId68"/>
              </a:graphicData>
            </a:graphic>
          </wp:inline>
        </w:drawing>
      </w:r>
    </w:p>
    <w:p w:rsidR="005C014D" w:rsidRPr="002462E6" w:rsidRDefault="005C014D" w:rsidP="008313F3">
      <w:pPr>
        <w:spacing w:before="100" w:beforeAutospacing="1" w:after="100" w:afterAutospacing="1" w:line="360" w:lineRule="auto"/>
        <w:jc w:val="center"/>
        <w:rPr>
          <w:rFonts w:ascii="Tahoma" w:eastAsia="Times New Roman" w:hAnsi="Tahoma" w:cs="Tahoma"/>
          <w:sz w:val="20"/>
          <w:szCs w:val="20"/>
          <w:lang w:eastAsia="fr-FR"/>
        </w:rPr>
      </w:pPr>
      <w:r w:rsidRPr="002462E6">
        <w:rPr>
          <w:rFonts w:ascii="Tahoma" w:eastAsia="Times New Roman" w:hAnsi="Tahoma" w:cs="Tahoma"/>
          <w:b/>
          <w:bCs/>
          <w:sz w:val="20"/>
          <w:szCs w:val="20"/>
          <w:lang w:eastAsia="fr-FR"/>
        </w:rPr>
        <w:t>Source :</w:t>
      </w:r>
      <w:r w:rsidRPr="002462E6">
        <w:rPr>
          <w:rFonts w:ascii="Tahoma" w:eastAsia="Times New Roman" w:hAnsi="Tahoma" w:cs="Tahoma"/>
          <w:sz w:val="20"/>
          <w:szCs w:val="20"/>
          <w:lang w:eastAsia="fr-FR"/>
        </w:rPr>
        <w:t xml:space="preserve"> résultats de l’enquête</w:t>
      </w:r>
    </w:p>
    <w:p w:rsidR="005C014D" w:rsidRPr="002462E6" w:rsidRDefault="005C014D" w:rsidP="005C014D">
      <w:pPr>
        <w:widowControl w:val="0"/>
        <w:autoSpaceDE w:val="0"/>
        <w:autoSpaceDN w:val="0"/>
        <w:spacing w:before="100" w:beforeAutospacing="1" w:after="100" w:afterAutospacing="1" w:line="360" w:lineRule="auto"/>
        <w:jc w:val="both"/>
        <w:rPr>
          <w:rFonts w:ascii="Tahoma" w:eastAsia="Times New Roman" w:hAnsi="Tahoma" w:cs="Tahoma"/>
          <w:sz w:val="24"/>
          <w:szCs w:val="24"/>
          <w:lang w:eastAsia="fr-FR"/>
        </w:rPr>
      </w:pPr>
      <w:r w:rsidRPr="002462E6">
        <w:rPr>
          <w:rFonts w:ascii="Tahoma" w:eastAsia="Times New Roman" w:hAnsi="Tahoma" w:cs="Tahoma"/>
          <w:sz w:val="24"/>
          <w:szCs w:val="24"/>
          <w:lang w:eastAsia="fr-FR"/>
        </w:rPr>
        <w:t>L'échec relatif des politiques de conservation dans la forêt de Korifla illustre les limites du modèle de gestion "top-down" qui a longtemps prévalu dans la gestion forestière marocaine. Ce modèle, hérité de la période coloniale et perpétué après l'indépendance, se caractérise par une approche centralisée, technocratique et souvent autoritaire de la gestion des ressources forestières.</w:t>
      </w:r>
    </w:p>
    <w:p w:rsidR="005C014D" w:rsidRPr="002462E6" w:rsidRDefault="005C014D" w:rsidP="005C014D">
      <w:pPr>
        <w:widowControl w:val="0"/>
        <w:autoSpaceDE w:val="0"/>
        <w:autoSpaceDN w:val="0"/>
        <w:spacing w:before="100" w:beforeAutospacing="1" w:after="100" w:afterAutospacing="1" w:line="360" w:lineRule="auto"/>
        <w:jc w:val="both"/>
        <w:rPr>
          <w:rFonts w:ascii="Tahoma" w:eastAsia="Times New Roman" w:hAnsi="Tahoma" w:cs="Tahoma"/>
          <w:sz w:val="24"/>
          <w:szCs w:val="24"/>
          <w:lang w:eastAsia="fr-FR"/>
        </w:rPr>
      </w:pPr>
      <w:r w:rsidRPr="002462E6">
        <w:rPr>
          <w:rFonts w:ascii="Tahoma" w:eastAsia="Times New Roman" w:hAnsi="Tahoma" w:cs="Tahoma"/>
          <w:sz w:val="24"/>
          <w:szCs w:val="24"/>
          <w:lang w:eastAsia="fr-FR"/>
        </w:rPr>
        <w:t>Cette démarche présente plusieurs lacunes structurelles. D'abord, elle méconnaît les savoirs locaux et les pratiques traditionnelles de gestion qui ont souvent permis la préservation des écosystèmes sur de longues périodes. Ensuite, elle néglige les besoins et contraintes des populations locales, créant des résistances et des conflits. Enfin, elle manque de flexibilité et d'adaptation aux spécificités locales, appliquant des solutions standardisées à des contextes écologiques et sociaux diversifiés.</w:t>
      </w:r>
    </w:p>
    <w:p w:rsidR="005C014D" w:rsidRPr="002462E6" w:rsidRDefault="005C014D" w:rsidP="005C014D">
      <w:pPr>
        <w:widowControl w:val="0"/>
        <w:autoSpaceDE w:val="0"/>
        <w:autoSpaceDN w:val="0"/>
        <w:spacing w:before="100" w:beforeAutospacing="1" w:after="100" w:afterAutospacing="1" w:line="360" w:lineRule="auto"/>
        <w:jc w:val="both"/>
        <w:rPr>
          <w:rFonts w:ascii="Tahoma" w:eastAsia="Times New Roman" w:hAnsi="Tahoma" w:cs="Tahoma"/>
          <w:sz w:val="24"/>
          <w:szCs w:val="24"/>
          <w:lang w:eastAsia="fr-FR"/>
        </w:rPr>
      </w:pPr>
      <w:r w:rsidRPr="002462E6">
        <w:rPr>
          <w:rFonts w:ascii="Tahoma" w:eastAsia="Times New Roman" w:hAnsi="Tahoma" w:cs="Tahoma"/>
          <w:sz w:val="24"/>
          <w:szCs w:val="24"/>
          <w:lang w:eastAsia="fr-FR"/>
        </w:rPr>
        <w:t>L'analyse de la carte, ci-</w:t>
      </w:r>
      <w:r w:rsidR="00CE0E1C" w:rsidRPr="002462E6">
        <w:rPr>
          <w:rFonts w:ascii="Tahoma" w:eastAsia="Times New Roman" w:hAnsi="Tahoma" w:cs="Tahoma"/>
          <w:sz w:val="24"/>
          <w:szCs w:val="24"/>
          <w:lang w:eastAsia="fr-FR"/>
        </w:rPr>
        <w:t>dessous, démontre une</w:t>
      </w:r>
      <w:r w:rsidRPr="002462E6">
        <w:rPr>
          <w:rFonts w:ascii="Tahoma" w:eastAsia="Times New Roman" w:hAnsi="Tahoma" w:cs="Tahoma"/>
          <w:sz w:val="24"/>
          <w:szCs w:val="24"/>
          <w:lang w:eastAsia="fr-FR"/>
        </w:rPr>
        <w:t xml:space="preserve"> géographie différenciée de la dégradation forestière au sein de l'écosystème de Korifla, caractérisée par une fragmentation territoriale complexe qui ne suit pas une logique administrative provinciale linéaire mais obéit à des déterminants géographiques, écologiques et socioéconomiques hyper-locaux. Cette distribution spatiale présente des contrastes inter-provinciaux significatifs : la province de Skhirate-Temara affiche une vulnérabilité contrastée où des situations critiques (Oulad Rgue, Oulad Azzouz) côtoient des conditions relativement favorables (Lâarâara), tandis que la province de Khémisset manifeste une vulnérabilité généralement élevée ponctuée d'exceptions considérables (Lbghada, Lmbarkyine) constituant des modèles de gestion comparativement plus durables. Cette hétérogénéité spatiale suggère trois hypothèses explicatives majeures : l'effet de proximité urbaine, où les douars situés le long de l'axe Rabat-Casablanca subissent des pressions anthropiques accrues ; l'influence de l'accessibilité différenciée, les zones enclavées conservant des pratiques traditionnelles plus respectueuses de l'écosystème ; et l'efficacité variable de la gouvernance locale, révélant des disparités dans le fonctionnement des institutions traditionnelles et des modes de régulation communautaire.</w:t>
      </w:r>
    </w:p>
    <w:p w:rsidR="00C226EF" w:rsidRDefault="00C226EF">
      <w:pPr>
        <w:rPr>
          <w:rFonts w:ascii="Tahoma" w:eastAsia="Times New Roman" w:hAnsi="Tahoma" w:cs="Tahoma"/>
          <w:b/>
          <w:sz w:val="24"/>
          <w:szCs w:val="24"/>
        </w:rPr>
      </w:pPr>
      <w:r>
        <w:br w:type="page"/>
      </w:r>
    </w:p>
    <w:p w:rsidR="00C226EF" w:rsidRDefault="00C226EF" w:rsidP="00C226EF">
      <w:pPr>
        <w:pStyle w:val="Sous-titre"/>
      </w:pPr>
      <w:bookmarkStart w:id="470" w:name="_Toc203642689"/>
      <w:r>
        <w:t xml:space="preserve">Carte </w:t>
      </w:r>
      <w:r w:rsidR="00225ED1">
        <w:rPr>
          <w:noProof/>
        </w:rPr>
        <w:fldChar w:fldCharType="begin"/>
      </w:r>
      <w:r w:rsidR="00225ED1">
        <w:rPr>
          <w:noProof/>
        </w:rPr>
        <w:instrText xml:space="preserve"> SEQ Carte \* ARABIC </w:instrText>
      </w:r>
      <w:r w:rsidR="00225ED1">
        <w:rPr>
          <w:noProof/>
        </w:rPr>
        <w:fldChar w:fldCharType="separate"/>
      </w:r>
      <w:r w:rsidR="00124AFB">
        <w:rPr>
          <w:noProof/>
        </w:rPr>
        <w:t>15</w:t>
      </w:r>
      <w:r w:rsidR="00225ED1">
        <w:rPr>
          <w:noProof/>
        </w:rPr>
        <w:fldChar w:fldCharType="end"/>
      </w:r>
      <w:r>
        <w:rPr>
          <w:noProof/>
        </w:rPr>
        <w:t> : L</w:t>
      </w:r>
      <w:r w:rsidRPr="00C05A16">
        <w:rPr>
          <w:noProof/>
        </w:rPr>
        <w:t>a dégradation de la forêt de Korifla selon la perception de la polupation enquêtée</w:t>
      </w:r>
      <w:bookmarkEnd w:id="470"/>
    </w:p>
    <w:p w:rsidR="00C226EF" w:rsidRPr="002462E6" w:rsidRDefault="00F44C4F" w:rsidP="005C014D">
      <w:pPr>
        <w:widowControl w:val="0"/>
        <w:autoSpaceDE w:val="0"/>
        <w:autoSpaceDN w:val="0"/>
        <w:spacing w:after="0" w:line="240" w:lineRule="auto"/>
        <w:jc w:val="center"/>
        <w:rPr>
          <w:rFonts w:ascii="Tahoma" w:eastAsia="Times New Roman" w:hAnsi="Tahoma" w:cs="Tahoma"/>
          <w:sz w:val="24"/>
          <w:szCs w:val="24"/>
          <w:lang w:eastAsia="fr-FR"/>
        </w:rPr>
      </w:pPr>
      <w:r>
        <w:rPr>
          <w:noProof/>
          <w:lang w:eastAsia="fr-FR"/>
        </w:rPr>
        <mc:AlternateContent>
          <mc:Choice Requires="wps">
            <w:drawing>
              <wp:anchor distT="0" distB="0" distL="114300" distR="114300" simplePos="0" relativeHeight="251795456" behindDoc="0" locked="0" layoutInCell="1" allowOverlap="1" wp14:anchorId="3F0A238D" wp14:editId="0302B955">
                <wp:simplePos x="0" y="0"/>
                <wp:positionH relativeFrom="column">
                  <wp:posOffset>324857</wp:posOffset>
                </wp:positionH>
                <wp:positionV relativeFrom="paragraph">
                  <wp:posOffset>6473475</wp:posOffset>
                </wp:positionV>
                <wp:extent cx="1229711" cy="409903"/>
                <wp:effectExtent l="0" t="0" r="8890" b="9525"/>
                <wp:wrapNone/>
                <wp:docPr id="484" name="Rectangle 484"/>
                <wp:cNvGraphicFramePr/>
                <a:graphic xmlns:a="http://schemas.openxmlformats.org/drawingml/2006/main">
                  <a:graphicData uri="http://schemas.microsoft.com/office/word/2010/wordprocessingShape">
                    <wps:wsp>
                      <wps:cNvSpPr/>
                      <wps:spPr>
                        <a:xfrm>
                          <a:off x="0" y="0"/>
                          <a:ext cx="1229711" cy="409903"/>
                        </a:xfrm>
                        <a:prstGeom prst="rect">
                          <a:avLst/>
                        </a:prstGeom>
                        <a:ln>
                          <a:no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39FF0D4" id="Rectangle 484" o:spid="_x0000_s1026" style="position:absolute;margin-left:25.6pt;margin-top:509.7pt;width:96.85pt;height:32.3pt;z-index:251795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" fillcolor="white [3201]" stroked="f" strokeweight="1pt"/>
            </w:pict>
          </mc:Fallback>
        </mc:AlternateContent>
      </w:r>
      <w:r w:rsidR="00C226EF" w:rsidRPr="00446861">
        <w:rPr>
          <w:noProof/>
          <w:lang w:eastAsia="fr-FR"/>
        </w:rPr>
        <w:drawing>
          <wp:inline distT="0" distB="0" distL="0" distR="0" wp14:anchorId="1A8CB4F1" wp14:editId="23064AD6">
            <wp:extent cx="5759532" cy="7089569"/>
            <wp:effectExtent l="0" t="0" r="0" b="0"/>
            <wp:docPr id="480" name="Image 480" descr="E:\these\Aprés soutenance\CartoFrancaisKorifla\ImageCartes\Dégradation4.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E:\these\Aprés soutenance\CartoFrancaisKorifla\ImageCartes\Dégradation4.BMP"/>
                    <pic:cNvPicPr>
                      <a:picLocks noChangeAspect="1" noChangeArrowheads="1"/>
                    </pic:cNvPicPr>
                  </pic:nvPicPr>
                  <pic:blipFill rotWithShape="1">
                    <a:blip r:embed="rId69">
                      <a:extLst>
                        <a:ext uri="{28A0092B-C50C-407E-A947-70E740481C1C}">
                          <a14:useLocalDpi xmlns:a14="http://schemas.microsoft.com/office/drawing/2010/main" val="0"/>
                        </a:ext>
                      </a:extLst>
                    </a:blip>
                    <a:srcRect l="6855" t="15830" r="5599" b="17026"/>
                    <a:stretch/>
                  </pic:blipFill>
                  <pic:spPr bwMode="auto">
                    <a:xfrm>
                      <a:off x="0" y="0"/>
                      <a:ext cx="5760720" cy="7091031"/>
                    </a:xfrm>
                    <a:prstGeom prst="rect">
                      <a:avLst/>
                    </a:prstGeom>
                    <a:noFill/>
                    <a:ln>
                      <a:noFill/>
                    </a:ln>
                    <a:extLst>
                      <a:ext uri="{53640926-AAD7-44D8-BBD7-CCE9431645EC}">
                        <a14:shadowObscured xmlns:a14="http://schemas.microsoft.com/office/drawing/2010/main"/>
                      </a:ext>
                    </a:extLst>
                  </pic:spPr>
                </pic:pic>
              </a:graphicData>
            </a:graphic>
          </wp:inline>
        </w:drawing>
      </w:r>
    </w:p>
    <w:p w:rsidR="005C014D" w:rsidRPr="002462E6" w:rsidRDefault="005C014D" w:rsidP="005C014D">
      <w:pPr>
        <w:widowControl w:val="0"/>
        <w:autoSpaceDE w:val="0"/>
        <w:autoSpaceDN w:val="0"/>
        <w:spacing w:after="0" w:line="240" w:lineRule="auto"/>
        <w:jc w:val="center"/>
        <w:rPr>
          <w:rFonts w:ascii="Tahoma" w:eastAsia="Times New Roman" w:hAnsi="Tahoma" w:cs="Tahoma"/>
          <w:sz w:val="24"/>
          <w:szCs w:val="24"/>
          <w:lang w:eastAsia="fr-FR"/>
        </w:rPr>
      </w:pPr>
    </w:p>
    <w:p w:rsidR="00CE0E1C" w:rsidRDefault="00F44C4F" w:rsidP="00CE0E1C">
      <w:pPr>
        <w:rPr>
          <w:rFonts w:ascii="Tahoma" w:eastAsia="Times New Roman" w:hAnsi="Tahoma" w:cs="Tahoma"/>
          <w:sz w:val="24"/>
          <w:szCs w:val="24"/>
        </w:rPr>
      </w:pPr>
      <w:r w:rsidRPr="0057505F">
        <w:rPr>
          <w:rFonts w:ascii="Tahoma" w:hAnsi="Tahoma" w:cs="Tahoma"/>
          <w:b/>
          <w:bCs/>
          <w:sz w:val="20"/>
          <w:szCs w:val="20"/>
          <w:lang w:eastAsia="fr-FR"/>
        </w:rPr>
        <w:t>Source</w:t>
      </w:r>
      <w:r w:rsidR="00CE0E1C">
        <w:rPr>
          <w:rFonts w:ascii="Tahoma" w:hAnsi="Tahoma" w:cs="Tahoma"/>
          <w:sz w:val="20"/>
          <w:szCs w:val="20"/>
          <w:lang w:eastAsia="fr-FR"/>
        </w:rPr>
        <w:t xml:space="preserve"> : </w:t>
      </w:r>
      <w:r w:rsidR="00CE0E1C">
        <w:rPr>
          <w:rFonts w:ascii="Tahoma" w:eastAsia="Times New Roman" w:hAnsi="Tahoma" w:cs="Tahoma"/>
          <w:sz w:val="24"/>
          <w:szCs w:val="24"/>
        </w:rPr>
        <w:t>Elab</w:t>
      </w:r>
      <w:r w:rsidR="00CE0E1C" w:rsidRPr="00D63D38">
        <w:rPr>
          <w:rFonts w:ascii="Tahoma" w:eastAsia="Times New Roman" w:hAnsi="Tahoma" w:cs="Tahoma"/>
          <w:sz w:val="24"/>
          <w:szCs w:val="24"/>
        </w:rPr>
        <w:t xml:space="preserve">oration de l’auteur sur la base </w:t>
      </w:r>
      <w:r w:rsidR="00CE0E1C">
        <w:rPr>
          <w:rFonts w:ascii="Tahoma" w:eastAsia="Times New Roman" w:hAnsi="Tahoma" w:cs="Tahoma"/>
          <w:sz w:val="24"/>
          <w:szCs w:val="24"/>
        </w:rPr>
        <w:t xml:space="preserve">des résultats </w:t>
      </w:r>
      <w:r w:rsidR="00CE0E1C" w:rsidRPr="00D63D38">
        <w:rPr>
          <w:rFonts w:ascii="Tahoma" w:eastAsia="Times New Roman" w:hAnsi="Tahoma" w:cs="Tahoma"/>
          <w:sz w:val="24"/>
          <w:szCs w:val="24"/>
        </w:rPr>
        <w:t>de l’</w:t>
      </w:r>
      <w:r w:rsidR="00CE0E1C">
        <w:rPr>
          <w:rFonts w:ascii="Tahoma" w:eastAsia="Times New Roman" w:hAnsi="Tahoma" w:cs="Tahoma"/>
          <w:sz w:val="24"/>
          <w:szCs w:val="24"/>
        </w:rPr>
        <w:t>enqu</w:t>
      </w:r>
      <w:r w:rsidR="00CE0E1C" w:rsidRPr="00D63D38">
        <w:rPr>
          <w:rFonts w:ascii="Tahoma" w:eastAsia="Times New Roman" w:hAnsi="Tahoma" w:cs="Tahoma"/>
          <w:sz w:val="24"/>
          <w:szCs w:val="24"/>
        </w:rPr>
        <w:t>ête du ter</w:t>
      </w:r>
      <w:r w:rsidR="00CE0E1C">
        <w:rPr>
          <w:rFonts w:ascii="Tahoma" w:eastAsia="Times New Roman" w:hAnsi="Tahoma" w:cs="Tahoma"/>
          <w:sz w:val="24"/>
          <w:szCs w:val="24"/>
        </w:rPr>
        <w:t>r</w:t>
      </w:r>
      <w:r w:rsidR="00CE0E1C" w:rsidRPr="00D63D38">
        <w:rPr>
          <w:rFonts w:ascii="Tahoma" w:eastAsia="Times New Roman" w:hAnsi="Tahoma" w:cs="Tahoma"/>
          <w:sz w:val="24"/>
          <w:szCs w:val="24"/>
        </w:rPr>
        <w:t>ain</w:t>
      </w:r>
    </w:p>
    <w:p w:rsidR="00F44C4F" w:rsidRPr="0057505F" w:rsidRDefault="00F44C4F" w:rsidP="00CE0E1C">
      <w:pPr>
        <w:widowControl w:val="0"/>
        <w:autoSpaceDE w:val="0"/>
        <w:autoSpaceDN w:val="0"/>
        <w:spacing w:after="0" w:line="360" w:lineRule="auto"/>
        <w:jc w:val="center"/>
        <w:rPr>
          <w:rFonts w:ascii="Tahoma" w:eastAsia="Times New Roman" w:hAnsi="Tahoma" w:cs="Tahoma"/>
          <w:sz w:val="20"/>
          <w:szCs w:val="20"/>
        </w:rPr>
      </w:pPr>
    </w:p>
    <w:p w:rsidR="00C226EF" w:rsidRDefault="00C226EF">
      <w:pPr>
        <w:rPr>
          <w:rFonts w:ascii="Tahoma" w:eastAsia="Times New Roman" w:hAnsi="Tahoma" w:cs="Tahoma"/>
          <w:sz w:val="24"/>
          <w:szCs w:val="24"/>
        </w:rPr>
      </w:pPr>
    </w:p>
    <w:p w:rsidR="00F44C4F" w:rsidRDefault="00F44C4F">
      <w:pPr>
        <w:rPr>
          <w:rFonts w:ascii="Tahoma" w:eastAsia="Times New Roman" w:hAnsi="Tahoma" w:cs="Tahoma"/>
          <w:sz w:val="24"/>
          <w:szCs w:val="24"/>
          <w:lang w:eastAsia="fr-FR"/>
        </w:rPr>
      </w:pPr>
    </w:p>
    <w:p w:rsidR="005C014D" w:rsidRPr="002462E6" w:rsidRDefault="005C014D" w:rsidP="005C014D">
      <w:pPr>
        <w:widowControl w:val="0"/>
        <w:autoSpaceDE w:val="0"/>
        <w:autoSpaceDN w:val="0"/>
        <w:spacing w:line="360" w:lineRule="auto"/>
        <w:jc w:val="both"/>
        <w:rPr>
          <w:rFonts w:ascii="Tahoma" w:eastAsia="Times New Roman" w:hAnsi="Tahoma" w:cs="Tahoma"/>
          <w:sz w:val="24"/>
          <w:szCs w:val="24"/>
          <w:lang w:eastAsia="fr-FR"/>
        </w:rPr>
      </w:pPr>
      <w:r w:rsidRPr="002462E6">
        <w:rPr>
          <w:rFonts w:ascii="Tahoma" w:eastAsia="Times New Roman" w:hAnsi="Tahoma" w:cs="Tahoma"/>
          <w:sz w:val="24"/>
          <w:szCs w:val="24"/>
          <w:lang w:eastAsia="fr-FR"/>
        </w:rPr>
        <w:t>En somme, l'échec perçu des politiques actuelles plaide pour un renouvellement fondamental des approches de gestion forestière, orienté vers des modèles plus participatifs et intégrés. La co-gestion forestière, associant populations locales et administration forestière, émerge comme une alternative prometteuse qui permet de concilier conservation et développement local.</w:t>
      </w:r>
    </w:p>
    <w:p w:rsidR="005C014D" w:rsidRPr="002462E6" w:rsidRDefault="005C014D" w:rsidP="005C014D">
      <w:pPr>
        <w:widowControl w:val="0"/>
        <w:autoSpaceDE w:val="0"/>
        <w:autoSpaceDN w:val="0"/>
        <w:spacing w:before="100" w:beforeAutospacing="1" w:after="100" w:afterAutospacing="1" w:line="360" w:lineRule="auto"/>
        <w:jc w:val="both"/>
        <w:rPr>
          <w:rFonts w:ascii="Tahoma" w:eastAsia="Times New Roman" w:hAnsi="Tahoma" w:cs="Tahoma"/>
          <w:sz w:val="24"/>
          <w:szCs w:val="24"/>
          <w:lang w:eastAsia="fr-FR"/>
        </w:rPr>
      </w:pPr>
      <w:r w:rsidRPr="002462E6">
        <w:rPr>
          <w:rFonts w:ascii="Tahoma" w:eastAsia="Times New Roman" w:hAnsi="Tahoma" w:cs="Tahoma"/>
          <w:sz w:val="24"/>
          <w:szCs w:val="24"/>
          <w:lang w:eastAsia="fr-FR"/>
        </w:rPr>
        <w:t>Cette approche participative implique plusieurs dimensions. D'abord, la reconnaissance des droits d'usage traditionnels et la négociation de nouveaux arrangements institutionnels qui encadrent l'accès aux ressources. Ensuite, l'association des populations locales à la conception et à la mise en œuvre des programmes de conservation et de restauration. Enfin, le renforcement des capacités locales de gestion à travers la formation et l'accompagnement technique.</w:t>
      </w:r>
    </w:p>
    <w:p w:rsidR="005C014D" w:rsidRPr="002462E6" w:rsidRDefault="005C014D" w:rsidP="005C014D">
      <w:pPr>
        <w:widowControl w:val="0"/>
        <w:autoSpaceDE w:val="0"/>
        <w:autoSpaceDN w:val="0"/>
        <w:spacing w:before="100" w:beforeAutospacing="1" w:after="100" w:afterAutospacing="1" w:line="360" w:lineRule="auto"/>
        <w:jc w:val="both"/>
        <w:rPr>
          <w:rFonts w:ascii="Tahoma" w:eastAsia="Times New Roman" w:hAnsi="Tahoma" w:cs="Tahoma"/>
          <w:sz w:val="24"/>
          <w:szCs w:val="24"/>
          <w:lang w:eastAsia="fr-FR"/>
        </w:rPr>
      </w:pPr>
      <w:r w:rsidRPr="002462E6">
        <w:rPr>
          <w:rFonts w:ascii="Tahoma" w:eastAsia="Times New Roman" w:hAnsi="Tahoma" w:cs="Tahoma"/>
          <w:sz w:val="24"/>
          <w:szCs w:val="24"/>
          <w:lang w:eastAsia="fr-FR"/>
        </w:rPr>
        <w:t xml:space="preserve">L'une des clés de la gestion forestière soutenable réside dans le développement d'alternatives économiques qui permettent aux populations locales de réduire leur dépendance aux ressources forestières tout en valorisant durablement l'écosystème. </w:t>
      </w:r>
    </w:p>
    <w:p w:rsidR="005C014D" w:rsidRPr="002462E6" w:rsidRDefault="005C014D" w:rsidP="005C014D">
      <w:pPr>
        <w:widowControl w:val="0"/>
        <w:autoSpaceDE w:val="0"/>
        <w:autoSpaceDN w:val="0"/>
        <w:spacing w:before="100" w:beforeAutospacing="1" w:after="100" w:afterAutospacing="1" w:line="360" w:lineRule="auto"/>
        <w:jc w:val="both"/>
        <w:rPr>
          <w:rFonts w:ascii="Tahoma" w:eastAsia="Times New Roman" w:hAnsi="Tahoma" w:cs="Tahoma"/>
          <w:sz w:val="24"/>
          <w:szCs w:val="24"/>
          <w:lang w:eastAsia="fr-FR"/>
        </w:rPr>
      </w:pPr>
      <w:r w:rsidRPr="002462E6">
        <w:rPr>
          <w:rFonts w:ascii="Tahoma" w:eastAsia="Times New Roman" w:hAnsi="Tahoma" w:cs="Tahoma"/>
          <w:sz w:val="24"/>
          <w:szCs w:val="24"/>
          <w:lang w:eastAsia="fr-FR"/>
        </w:rPr>
        <w:t>Le défi central de la gestion forestière contemporaine consiste à dépasser l'opposition traditionnelle entre conservation et développement pour élaborer des modèles intégrés qui réconcilient ces deux impératifs. Cette intégration passe par plusieurs leviers à savoir  le développement de l'agroforesterie qui combine production agricole et conservation forestière, la promotion de pratiques d'élevage durables qui minimisent l'impact sur l'écosystème, et la diversification économique vers des activités compatibles avec la préservation forestière.</w:t>
      </w:r>
    </w:p>
    <w:p w:rsidR="005C014D" w:rsidRPr="002462E6" w:rsidRDefault="005C014D" w:rsidP="005C014D">
      <w:pPr>
        <w:widowControl w:val="0"/>
        <w:autoSpaceDE w:val="0"/>
        <w:autoSpaceDN w:val="0"/>
        <w:spacing w:before="100" w:beforeAutospacing="1" w:after="100" w:afterAutospacing="1" w:line="360" w:lineRule="auto"/>
        <w:jc w:val="both"/>
        <w:rPr>
          <w:rFonts w:ascii="Tahoma" w:eastAsia="Times New Roman" w:hAnsi="Tahoma" w:cs="Tahoma"/>
          <w:sz w:val="24"/>
          <w:szCs w:val="24"/>
          <w:lang w:eastAsia="fr-FR"/>
        </w:rPr>
      </w:pPr>
      <w:r w:rsidRPr="002462E6">
        <w:rPr>
          <w:rFonts w:ascii="Tahoma" w:eastAsia="Times New Roman" w:hAnsi="Tahoma" w:cs="Tahoma"/>
          <w:sz w:val="24"/>
          <w:szCs w:val="24"/>
          <w:lang w:eastAsia="fr-FR"/>
        </w:rPr>
        <w:t>Cette approche intégrée nécessite également une transformation des politiques publiques, orientées vers un soutien aux initiatives locales de développement durable plutôt que vers l'application de mesures conservatoires contraignantes. Elle implique enfin une évolution des mentalités, tant au niveau des gestionnaires forestiers que des populations locales, vers une conception plus équilibrée des relations homme-nature.</w:t>
      </w:r>
    </w:p>
    <w:p w:rsidR="005C014D" w:rsidRPr="002462E6" w:rsidRDefault="00CE0E1C" w:rsidP="005C014D">
      <w:pPr>
        <w:widowControl w:val="0"/>
        <w:autoSpaceDE w:val="0"/>
        <w:autoSpaceDN w:val="0"/>
        <w:spacing w:before="100" w:beforeAutospacing="1" w:after="100" w:afterAutospacing="1" w:line="360" w:lineRule="auto"/>
        <w:jc w:val="both"/>
        <w:rPr>
          <w:rFonts w:ascii="Tahoma" w:eastAsia="Times New Roman" w:hAnsi="Tahoma" w:cs="Tahoma"/>
          <w:sz w:val="24"/>
          <w:szCs w:val="24"/>
          <w:lang w:eastAsia="fr-FR"/>
        </w:rPr>
      </w:pPr>
      <w:r w:rsidRPr="002462E6">
        <w:rPr>
          <w:rFonts w:ascii="Tahoma" w:eastAsia="Times New Roman" w:hAnsi="Tahoma" w:cs="Tahoma"/>
          <w:sz w:val="24"/>
          <w:szCs w:val="24"/>
          <w:lang w:eastAsia="fr-FR"/>
        </w:rPr>
        <w:t>L’analyse</w:t>
      </w:r>
      <w:r w:rsidR="005C014D" w:rsidRPr="002462E6">
        <w:rPr>
          <w:rFonts w:ascii="Tahoma" w:eastAsia="Times New Roman" w:hAnsi="Tahoma" w:cs="Tahoma"/>
          <w:sz w:val="24"/>
          <w:szCs w:val="24"/>
          <w:lang w:eastAsia="fr-FR"/>
        </w:rPr>
        <w:t xml:space="preserve"> de la dégradation forestière dans la forêt de Korifla révèle la complexité des enjeux environnementaux en milieu rural et les limites des approches traditionnelles de conservation. Le paradoxe apparent entre perception unanime de dégradation et échec des politiques de restauration trouve son explication dans l'inadéquation des modèles de gestion qui ont négligé les dimensions socio-économiques et participatives de la conservation forestière.</w:t>
      </w:r>
    </w:p>
    <w:p w:rsidR="005C014D" w:rsidRPr="002462E6" w:rsidRDefault="005C014D" w:rsidP="005C014D">
      <w:pPr>
        <w:widowControl w:val="0"/>
        <w:autoSpaceDE w:val="0"/>
        <w:autoSpaceDN w:val="0"/>
        <w:spacing w:before="100" w:beforeAutospacing="1" w:after="100" w:afterAutospacing="1" w:line="360" w:lineRule="auto"/>
        <w:jc w:val="both"/>
        <w:rPr>
          <w:rFonts w:ascii="Tahoma" w:eastAsia="Times New Roman" w:hAnsi="Tahoma" w:cs="Tahoma"/>
          <w:sz w:val="24"/>
          <w:szCs w:val="24"/>
          <w:lang w:eastAsia="fr-FR"/>
        </w:rPr>
      </w:pPr>
      <w:r w:rsidRPr="002462E6">
        <w:rPr>
          <w:rFonts w:ascii="Tahoma" w:eastAsia="Times New Roman" w:hAnsi="Tahoma" w:cs="Tahoma"/>
          <w:sz w:val="24"/>
          <w:szCs w:val="24"/>
          <w:lang w:eastAsia="fr-FR"/>
        </w:rPr>
        <w:t>Cette situation n'est pas spécifique à la forêt de Korifla mais illustre des défis plus larges de la gestion environnementale dans les pays en développement. Elle met en lumière la nécessité d'un renouvellement paradigmatique vers des approches plus participatives, intégrées et respectueuses des dynamiques socio-écologiques locales.</w:t>
      </w:r>
    </w:p>
    <w:p w:rsidR="005C014D" w:rsidRPr="002462E6" w:rsidRDefault="005C014D" w:rsidP="005C014D">
      <w:pPr>
        <w:widowControl w:val="0"/>
        <w:autoSpaceDE w:val="0"/>
        <w:autoSpaceDN w:val="0"/>
        <w:spacing w:before="100" w:beforeAutospacing="1" w:after="100" w:afterAutospacing="1" w:line="360" w:lineRule="auto"/>
        <w:jc w:val="both"/>
        <w:rPr>
          <w:rFonts w:ascii="Tahoma" w:eastAsia="Times New Roman" w:hAnsi="Tahoma" w:cs="Tahoma"/>
          <w:sz w:val="24"/>
          <w:szCs w:val="24"/>
          <w:lang w:eastAsia="fr-FR"/>
        </w:rPr>
      </w:pPr>
      <w:r w:rsidRPr="002462E6">
        <w:rPr>
          <w:rFonts w:ascii="Tahoma" w:eastAsia="Times New Roman" w:hAnsi="Tahoma" w:cs="Tahoma"/>
          <w:sz w:val="24"/>
          <w:szCs w:val="24"/>
          <w:lang w:eastAsia="fr-FR"/>
        </w:rPr>
        <w:t>Les enseignements de cette analyse transcendent le cadre territorial local pour alimenter la réflexion théorique sur les paradigmes de développement territorial en contexte rural. Ils soulignent l'impératif méthodologique de concilier les exigences environnementales et les besoins socioéconomiques des populations, de valoriser les savoirs vernaculaires dans les processus décisionnels, et de concevoir des solutions innovantes adaptées aux spécificités contextuelles territoriales. Cette démarche intégrée peut constituer un préalable épistémologique à l'élaboration de politiques publiques territorialisées efficaces.</w:t>
      </w:r>
    </w:p>
    <w:p w:rsidR="005C014D" w:rsidRPr="002462E6" w:rsidRDefault="005C014D" w:rsidP="005C014D">
      <w:pPr>
        <w:spacing w:before="100" w:beforeAutospacing="1" w:after="100" w:afterAutospacing="1" w:line="360" w:lineRule="auto"/>
        <w:jc w:val="both"/>
        <w:rPr>
          <w:rFonts w:ascii="Tahoma" w:eastAsia="Times New Roman" w:hAnsi="Tahoma" w:cs="Tahoma"/>
          <w:sz w:val="24"/>
          <w:szCs w:val="24"/>
          <w:lang w:eastAsia="fr-FR"/>
        </w:rPr>
      </w:pPr>
      <w:r w:rsidRPr="002462E6">
        <w:rPr>
          <w:rFonts w:ascii="Tahoma" w:eastAsia="Times New Roman" w:hAnsi="Tahoma" w:cs="Tahoma"/>
          <w:sz w:val="24"/>
          <w:szCs w:val="24"/>
          <w:lang w:eastAsia="fr-FR"/>
        </w:rPr>
        <w:t>L'avenir de la forêt de Korifla, à l'instar de nombreux écosystèmes forestiers régionaux, demeure tributaire de la capacité des acteurs locaux et des institutions à concevoir collectivement des modèles de gestion intégrée conciliant préservation des équilibres écologiques et satisfaction des aspirations légitimes des populations au développement socioéconomique. Cette ambition, aussi exigeante qu'indispensable, constitue l'un des défis structurels majeurs de la transition écologique contemporaine et s'inscrit au cœur des enjeux de gouvernance environnementale du XXIe siècle.</w:t>
      </w:r>
    </w:p>
    <w:p w:rsidR="005C014D" w:rsidRPr="002462E6" w:rsidRDefault="005C014D" w:rsidP="00BF1F48">
      <w:pPr>
        <w:pStyle w:val="Titre5"/>
      </w:pPr>
      <w:bookmarkStart w:id="471" w:name="_Toc203643134"/>
      <w:r w:rsidRPr="002462E6">
        <w:rPr>
          <w:sz w:val="28"/>
          <w:szCs w:val="28"/>
        </w:rPr>
        <w:t>R</w:t>
      </w:r>
      <w:r w:rsidRPr="002462E6">
        <w:t>isque accélératif migratoire dans la forêt de Korifla : analyse d'un système de vulnérabilités territoriales interconnectées</w:t>
      </w:r>
      <w:bookmarkEnd w:id="471"/>
    </w:p>
    <w:p w:rsidR="005C014D" w:rsidRPr="002462E6" w:rsidRDefault="005C014D" w:rsidP="005C014D">
      <w:pPr>
        <w:widowControl w:val="0"/>
        <w:autoSpaceDE w:val="0"/>
        <w:autoSpaceDN w:val="0"/>
        <w:spacing w:before="100" w:beforeAutospacing="1" w:after="100" w:afterAutospacing="1" w:line="360" w:lineRule="auto"/>
        <w:jc w:val="both"/>
        <w:rPr>
          <w:rFonts w:ascii="Tahoma" w:eastAsia="Times New Roman" w:hAnsi="Tahoma" w:cs="Tahoma"/>
          <w:sz w:val="24"/>
          <w:szCs w:val="24"/>
          <w:lang w:eastAsia="fr-FR"/>
        </w:rPr>
      </w:pPr>
      <w:r w:rsidRPr="002462E6">
        <w:rPr>
          <w:rFonts w:ascii="Tahoma" w:eastAsia="Times New Roman" w:hAnsi="Tahoma" w:cs="Tahoma"/>
          <w:sz w:val="24"/>
          <w:szCs w:val="24"/>
          <w:lang w:eastAsia="fr-FR"/>
        </w:rPr>
        <w:t xml:space="preserve">La question migratoire en milieu rural constitue un révélateur privilégié des dysfonctionnements territoriaux et des inadéquations entre aspirations populaires et capacités de développement local. Dans le contexte spécifique de la forêt de Korifla, l'analyse des dynamiques migratoires révèle une configuration complexe où s'articulent vulnérabilités économiques, défaillances infrastructurelles, dégradation environnementale et échec de politiques publiques. </w:t>
      </w:r>
    </w:p>
    <w:p w:rsidR="005C014D" w:rsidRPr="002462E6" w:rsidRDefault="005C014D" w:rsidP="00A33B4B">
      <w:pPr>
        <w:widowControl w:val="0"/>
        <w:autoSpaceDE w:val="0"/>
        <w:autoSpaceDN w:val="0"/>
        <w:spacing w:after="0" w:line="360" w:lineRule="auto"/>
        <w:jc w:val="both"/>
        <w:rPr>
          <w:rFonts w:ascii="Tahoma" w:eastAsia="Times New Roman" w:hAnsi="Tahoma" w:cs="Tahoma"/>
          <w:sz w:val="24"/>
          <w:szCs w:val="24"/>
        </w:rPr>
      </w:pPr>
      <w:r w:rsidRPr="002462E6">
        <w:rPr>
          <w:rFonts w:ascii="Tahoma" w:eastAsia="Times New Roman" w:hAnsi="Tahoma" w:cs="Tahoma"/>
          <w:sz w:val="24"/>
          <w:szCs w:val="24"/>
          <w:lang w:eastAsia="fr-FR"/>
        </w:rPr>
        <w:t xml:space="preserve">Cette analyse consiste à déconstruire les mécanismes causaux qui sous-tendent les aspirations migratoires </w:t>
      </w:r>
      <w:r w:rsidR="009E3DBC" w:rsidRPr="002462E6">
        <w:rPr>
          <w:rFonts w:ascii="Tahoma" w:eastAsia="Times New Roman" w:hAnsi="Tahoma" w:cs="Tahoma"/>
          <w:sz w:val="24"/>
          <w:szCs w:val="24"/>
          <w:lang w:eastAsia="fr-FR"/>
        </w:rPr>
        <w:t>observées (</w:t>
      </w:r>
      <w:r w:rsidRPr="002462E6">
        <w:rPr>
          <w:rFonts w:ascii="Tahoma" w:eastAsia="Times New Roman" w:hAnsi="Tahoma" w:cs="Tahoma"/>
          <w:sz w:val="24"/>
          <w:szCs w:val="24"/>
          <w:lang w:eastAsia="fr-FR"/>
        </w:rPr>
        <w:t xml:space="preserve">51%) dans la forêt de Korifla, en démontrant que ces dernières ne résultent pas d'un facteur isolé mais d'un système de vulnérabilités interconnectées qui compromettent l'attractivité territoriale et génèrent un déficit structurel de développement </w:t>
      </w:r>
      <w:r w:rsidR="00A33B4B">
        <w:rPr>
          <w:rFonts w:ascii="Tahoma" w:eastAsia="Times New Roman" w:hAnsi="Tahoma" w:cs="Tahoma"/>
          <w:sz w:val="24"/>
          <w:szCs w:val="24"/>
        </w:rPr>
        <w:t xml:space="preserve">(cf. </w:t>
      </w:r>
      <w:r w:rsidR="00A33B4B" w:rsidRPr="00A33B4B">
        <w:rPr>
          <w:rFonts w:ascii="Tahoma" w:eastAsia="Times New Roman" w:hAnsi="Tahoma" w:cs="Tahoma"/>
          <w:b/>
          <w:bCs/>
          <w:sz w:val="24"/>
          <w:szCs w:val="24"/>
        </w:rPr>
        <w:t>Graph</w:t>
      </w:r>
      <w:r w:rsidRPr="00A33B4B">
        <w:rPr>
          <w:rFonts w:ascii="Tahoma" w:eastAsia="Times New Roman" w:hAnsi="Tahoma" w:cs="Tahoma"/>
          <w:b/>
          <w:bCs/>
          <w:sz w:val="24"/>
          <w:szCs w:val="24"/>
        </w:rPr>
        <w:t>e n°2</w:t>
      </w:r>
      <w:r w:rsidR="00A33B4B" w:rsidRPr="00A33B4B">
        <w:rPr>
          <w:rFonts w:ascii="Tahoma" w:eastAsia="Times New Roman" w:hAnsi="Tahoma" w:cs="Tahoma"/>
          <w:b/>
          <w:bCs/>
          <w:sz w:val="24"/>
          <w:szCs w:val="24"/>
        </w:rPr>
        <w:t>7</w:t>
      </w:r>
      <w:r w:rsidRPr="002462E6">
        <w:rPr>
          <w:rFonts w:ascii="Tahoma" w:eastAsia="Times New Roman" w:hAnsi="Tahoma" w:cs="Tahoma"/>
          <w:sz w:val="24"/>
          <w:szCs w:val="24"/>
        </w:rPr>
        <w:t>).</w:t>
      </w:r>
    </w:p>
    <w:p w:rsidR="00BF1F48" w:rsidRPr="002462E6" w:rsidRDefault="005C014D" w:rsidP="005C014D">
      <w:pPr>
        <w:widowControl w:val="0"/>
        <w:autoSpaceDE w:val="0"/>
        <w:autoSpaceDN w:val="0"/>
        <w:spacing w:before="100" w:beforeAutospacing="1" w:after="100" w:afterAutospacing="1" w:line="360" w:lineRule="auto"/>
        <w:jc w:val="both"/>
        <w:rPr>
          <w:rFonts w:ascii="Tahoma" w:eastAsia="Times New Roman" w:hAnsi="Tahoma" w:cs="Tahoma"/>
          <w:sz w:val="24"/>
          <w:szCs w:val="24"/>
          <w:lang w:eastAsia="fr-FR"/>
        </w:rPr>
      </w:pPr>
      <w:r w:rsidRPr="002462E6">
        <w:rPr>
          <w:rFonts w:ascii="Tahoma" w:eastAsia="Times New Roman" w:hAnsi="Tahoma" w:cs="Tahoma"/>
          <w:sz w:val="24"/>
          <w:szCs w:val="24"/>
          <w:lang w:eastAsia="fr-FR"/>
        </w:rPr>
        <w:t>Cette approche systémique permet de dépasser les analyses réductrices qui attribuent la migration rurale à la seule dimension économique, pour révéler la complexité des interactions entre facteurs endogènes et exogènes dans la production du risque migratoire.</w:t>
      </w:r>
    </w:p>
    <w:p w:rsidR="00A33B4B" w:rsidRDefault="00A33B4B" w:rsidP="00A33B4B">
      <w:pPr>
        <w:pStyle w:val="Sous-titre"/>
      </w:pPr>
      <w:bookmarkStart w:id="472" w:name="_Toc203642559"/>
      <w:r>
        <w:t xml:space="preserve">Graphe </w:t>
      </w:r>
      <w:r w:rsidR="00225ED1">
        <w:rPr>
          <w:noProof/>
        </w:rPr>
        <w:fldChar w:fldCharType="begin"/>
      </w:r>
      <w:r w:rsidR="00225ED1">
        <w:rPr>
          <w:noProof/>
        </w:rPr>
        <w:instrText xml:space="preserve"> SEQ Graphe \* ARABIC </w:instrText>
      </w:r>
      <w:r w:rsidR="00225ED1">
        <w:rPr>
          <w:noProof/>
        </w:rPr>
        <w:fldChar w:fldCharType="separate"/>
      </w:r>
      <w:r w:rsidR="00124AFB">
        <w:rPr>
          <w:noProof/>
        </w:rPr>
        <w:t>27</w:t>
      </w:r>
      <w:r w:rsidR="00225ED1">
        <w:rPr>
          <w:noProof/>
        </w:rPr>
        <w:fldChar w:fldCharType="end"/>
      </w:r>
      <w:r>
        <w:t xml:space="preserve"> </w:t>
      </w:r>
      <w:r w:rsidRPr="0056698F">
        <w:t>: Principales causes de migration potentielle de la population locale selon les enquêtés</w:t>
      </w:r>
      <w:bookmarkEnd w:id="472"/>
    </w:p>
    <w:p w:rsidR="005C014D" w:rsidRPr="002462E6" w:rsidRDefault="005C014D" w:rsidP="00A97167">
      <w:pPr>
        <w:widowControl w:val="0"/>
        <w:autoSpaceDE w:val="0"/>
        <w:autoSpaceDN w:val="0"/>
        <w:spacing w:after="0" w:line="360" w:lineRule="auto"/>
        <w:jc w:val="center"/>
        <w:rPr>
          <w:rFonts w:ascii="Tahoma" w:eastAsia="Times New Roman" w:hAnsi="Tahoma" w:cs="Tahoma"/>
          <w:sz w:val="24"/>
          <w:szCs w:val="24"/>
        </w:rPr>
      </w:pPr>
      <w:r w:rsidRPr="002462E6">
        <w:rPr>
          <w:rFonts w:ascii="Times New Roman" w:eastAsia="Times New Roman" w:hAnsi="Times New Roman" w:cs="Times New Roman"/>
          <w:noProof/>
          <w:lang w:eastAsia="fr-FR"/>
        </w:rPr>
        <w:drawing>
          <wp:inline distT="0" distB="0" distL="0" distR="0" wp14:anchorId="4371B096" wp14:editId="7B9030D9">
            <wp:extent cx="6365174" cy="3230089"/>
            <wp:effectExtent l="0" t="0" r="17145" b="27940"/>
            <wp:docPr id="1512970665" name="Graphique 1512970665"/>
            <wp:cNvGraphicFramePr/>
            <a:graphic xmlns:a="http://schemas.openxmlformats.org/drawingml/2006/main">
              <a:graphicData uri="http://schemas.openxmlformats.org/drawingml/2006/chart">
                <c:chart xmlns:c="http://schemas.openxmlformats.org/drawingml/2006/chart" xmlns:r="http://schemas.openxmlformats.org/officeDocument/2006/relationships" r:id="rId70"/>
              </a:graphicData>
            </a:graphic>
          </wp:inline>
        </w:drawing>
      </w:r>
    </w:p>
    <w:p w:rsidR="005C014D" w:rsidRPr="002462E6" w:rsidRDefault="005C014D" w:rsidP="00BF1F48">
      <w:pPr>
        <w:widowControl w:val="0"/>
        <w:autoSpaceDE w:val="0"/>
        <w:autoSpaceDN w:val="0"/>
        <w:spacing w:after="0" w:line="360" w:lineRule="auto"/>
        <w:jc w:val="center"/>
        <w:rPr>
          <w:rFonts w:ascii="Tahoma" w:eastAsia="Times New Roman" w:hAnsi="Tahoma" w:cs="Tahoma"/>
          <w:sz w:val="20"/>
          <w:szCs w:val="20"/>
        </w:rPr>
      </w:pPr>
      <w:r w:rsidRPr="002462E6">
        <w:rPr>
          <w:rFonts w:ascii="Tahoma" w:eastAsia="Times New Roman" w:hAnsi="Tahoma" w:cs="Tahoma"/>
          <w:b/>
          <w:bCs/>
          <w:sz w:val="20"/>
          <w:szCs w:val="20"/>
        </w:rPr>
        <w:t>Source </w:t>
      </w:r>
      <w:r w:rsidRPr="002462E6">
        <w:rPr>
          <w:rFonts w:ascii="Tahoma" w:eastAsia="Times New Roman" w:hAnsi="Tahoma" w:cs="Tahoma"/>
          <w:sz w:val="20"/>
          <w:szCs w:val="20"/>
        </w:rPr>
        <w:t>: résultat de l’enquête</w:t>
      </w:r>
    </w:p>
    <w:p w:rsidR="005C014D" w:rsidRPr="002462E6" w:rsidRDefault="005C014D" w:rsidP="005C014D">
      <w:pPr>
        <w:widowControl w:val="0"/>
        <w:autoSpaceDE w:val="0"/>
        <w:autoSpaceDN w:val="0"/>
        <w:spacing w:after="0" w:line="360" w:lineRule="auto"/>
        <w:rPr>
          <w:rFonts w:ascii="Tahoma" w:eastAsia="Times New Roman" w:hAnsi="Tahoma" w:cs="Tahoma"/>
          <w:sz w:val="24"/>
          <w:szCs w:val="24"/>
        </w:rPr>
      </w:pPr>
    </w:p>
    <w:p w:rsidR="005C014D" w:rsidRPr="002462E6" w:rsidRDefault="005C014D" w:rsidP="005C014D">
      <w:pPr>
        <w:widowControl w:val="0"/>
        <w:autoSpaceDE w:val="0"/>
        <w:autoSpaceDN w:val="0"/>
        <w:spacing w:after="0" w:line="360" w:lineRule="auto"/>
        <w:jc w:val="both"/>
        <w:rPr>
          <w:rFonts w:ascii="Tahoma" w:eastAsia="Times New Roman" w:hAnsi="Tahoma" w:cs="Tahoma"/>
          <w:sz w:val="24"/>
          <w:szCs w:val="24"/>
        </w:rPr>
      </w:pPr>
      <w:r w:rsidRPr="002462E6">
        <w:rPr>
          <w:rFonts w:ascii="Tahoma" w:eastAsia="Times New Roman" w:hAnsi="Tahoma" w:cs="Tahoma"/>
          <w:sz w:val="24"/>
          <w:szCs w:val="24"/>
        </w:rPr>
        <w:t>Le graphique révèle une structure complexe des motivations migratoires où la dimension économique, sans être exclusive, occupe une position centrale. La répartition des réponses confirme l’idée d'un système de vulnérabilités interconnectées.</w:t>
      </w:r>
    </w:p>
    <w:p w:rsidR="005C014D" w:rsidRPr="002462E6" w:rsidRDefault="005C014D" w:rsidP="005C014D">
      <w:pPr>
        <w:widowControl w:val="0"/>
        <w:autoSpaceDE w:val="0"/>
        <w:autoSpaceDN w:val="0"/>
        <w:spacing w:after="0" w:line="360" w:lineRule="auto"/>
        <w:jc w:val="both"/>
        <w:rPr>
          <w:rFonts w:ascii="Tahoma" w:eastAsia="Times New Roman" w:hAnsi="Tahoma" w:cs="Tahoma"/>
          <w:sz w:val="24"/>
          <w:szCs w:val="24"/>
        </w:rPr>
      </w:pPr>
      <w:r w:rsidRPr="002462E6">
        <w:rPr>
          <w:rFonts w:ascii="Tahoma" w:eastAsia="Times New Roman" w:hAnsi="Tahoma" w:cs="Tahoma"/>
          <w:sz w:val="24"/>
          <w:szCs w:val="24"/>
        </w:rPr>
        <w:t>En effet, l'analyse de la hiérarchisation des facteurs migratoires révèle une configuration structurelle où les motivations économiques occupent une position dominante avec 33% des réponses cumulées, se décomposant en recherche d'emploi (23%) et amélioration des conditions socio-économiques (10%). la primauté de la recherche d'emploi sur l'amélioration générale des conditions traduit un contexte de précarité structurelle plutôt qu'une logique d'aspiration à la mobilité sociale ascendante. Cette priorité accordée à l'emploi trouve son explication dans l'épuisement progressif des ressources forestières, phénomène corroboré par la perception unanime de dégradation forestière exprimée à 100% par les enquêtés. La dégradation environnementale observée dans la forêt de Korifla s'inscrit dans un cercle vicieux pauvreté-surexploitation qui constitue l'un des mécanismes centraux de production du risque migratoire : la précarité économique contraint les populations à une exploitation intensive des ressources forestières pour assurer leur subsistance immédiate, compromettant ainsi la durabilité de l'écosystème dont elles dépendent. Paradoxalement, 49% des enquêtés expriment un désintérêt pour la migration et l'expression d'un attachement territorial spécifique. Les facteurs secondaires, bien que quantitativement minoritaires, conservent une signification sociologique : la poursuite des études (9%) s'inscrit dans la logique des migrations éducatives rurales constituant un indicateur de la fuite des cerveaux ruraux et révélant les défaillances du système éducatif local, tandis que le mariage (9%), traditionnellement prépondérant en milieu rural.</w:t>
      </w:r>
    </w:p>
    <w:p w:rsidR="005C014D" w:rsidRPr="002462E6" w:rsidRDefault="005C014D" w:rsidP="005C014D">
      <w:pPr>
        <w:widowControl w:val="0"/>
        <w:autoSpaceDE w:val="0"/>
        <w:autoSpaceDN w:val="0"/>
        <w:spacing w:after="0" w:line="360" w:lineRule="auto"/>
        <w:jc w:val="both"/>
        <w:rPr>
          <w:rFonts w:ascii="Tahoma" w:eastAsia="Times New Roman" w:hAnsi="Tahoma" w:cs="Tahoma"/>
          <w:sz w:val="24"/>
          <w:szCs w:val="24"/>
        </w:rPr>
      </w:pPr>
    </w:p>
    <w:p w:rsidR="005C014D" w:rsidRPr="002462E6" w:rsidRDefault="005C014D" w:rsidP="005C014D">
      <w:pPr>
        <w:widowControl w:val="0"/>
        <w:autoSpaceDE w:val="0"/>
        <w:autoSpaceDN w:val="0"/>
        <w:spacing w:after="0" w:line="360" w:lineRule="auto"/>
        <w:jc w:val="both"/>
        <w:rPr>
          <w:rFonts w:ascii="Tahoma" w:eastAsia="Times New Roman" w:hAnsi="Tahoma" w:cs="Tahoma"/>
          <w:sz w:val="24"/>
          <w:szCs w:val="24"/>
        </w:rPr>
      </w:pPr>
      <w:r w:rsidRPr="002462E6">
        <w:rPr>
          <w:rFonts w:ascii="Tahoma" w:eastAsia="Times New Roman" w:hAnsi="Tahoma" w:cs="Tahoma"/>
          <w:sz w:val="24"/>
          <w:szCs w:val="24"/>
          <w:lang w:eastAsia="fr-FR"/>
        </w:rPr>
        <w:t xml:space="preserve">Dans le </w:t>
      </w:r>
      <w:r w:rsidR="009E3DBC" w:rsidRPr="002462E6">
        <w:rPr>
          <w:rFonts w:ascii="Tahoma" w:eastAsia="Times New Roman" w:hAnsi="Tahoma" w:cs="Tahoma"/>
          <w:sz w:val="24"/>
          <w:szCs w:val="24"/>
          <w:lang w:eastAsia="fr-FR"/>
        </w:rPr>
        <w:t>cadre du</w:t>
      </w:r>
      <w:r w:rsidRPr="002462E6">
        <w:rPr>
          <w:rFonts w:ascii="Tahoma" w:eastAsia="Times New Roman" w:hAnsi="Tahoma" w:cs="Tahoma"/>
          <w:sz w:val="24"/>
          <w:szCs w:val="24"/>
          <w:lang w:eastAsia="fr-FR"/>
        </w:rPr>
        <w:t xml:space="preserve"> prolongement des analyses précédemment menées, l'examen de l'indice synthétique du revenu dans la forêt de Korifla révèle une vulnérabilité économique généralisée dont l'amplitude territoriale oscille entre 25% (Oulad Dlim) et 65% (Lâarâara). Cette distribution inégale reflète des dynamiques différenciées de reproduction de la pauvreté, révélatrices d’un enclavement structurel et d’une faible résilience socio-économique de certains douars. Les disparités observées résultent d’une combinaison de facteurs interdépendants, incluant la marginalisation spatiale, les asymétries dans l’accès aux ressources productives, ainsi que des niveaux hétérogènes d’intégration aux circuits économiques régionaux, autant d’éléments qui prolongent et renforcent les trajectoires locales de sous-développement.</w:t>
      </w:r>
    </w:p>
    <w:p w:rsidR="005C014D" w:rsidRPr="002462E6" w:rsidRDefault="005C014D" w:rsidP="005C014D">
      <w:pPr>
        <w:widowControl w:val="0"/>
        <w:autoSpaceDE w:val="0"/>
        <w:autoSpaceDN w:val="0"/>
        <w:spacing w:before="100" w:beforeAutospacing="1" w:after="100" w:afterAutospacing="1" w:line="360" w:lineRule="auto"/>
        <w:jc w:val="both"/>
        <w:rPr>
          <w:rFonts w:ascii="Tahoma" w:eastAsia="Times New Roman" w:hAnsi="Tahoma" w:cs="Tahoma"/>
          <w:sz w:val="24"/>
          <w:szCs w:val="24"/>
          <w:lang w:eastAsia="fr-FR"/>
        </w:rPr>
      </w:pPr>
      <w:r w:rsidRPr="002462E6">
        <w:rPr>
          <w:rFonts w:ascii="Tahoma" w:eastAsia="Times New Roman" w:hAnsi="Tahoma" w:cs="Tahoma"/>
          <w:sz w:val="24"/>
          <w:szCs w:val="24"/>
          <w:lang w:eastAsia="fr-FR"/>
        </w:rPr>
        <w:t xml:space="preserve">Cette vulnérabilité économique se manifeste prioritairement par l'insuffisance structurelle de revenus qui maintient la majorité des ménages sous le seuil de viabilité économique. Cette situation compromet non seulement leur capacité de satisfaction des besoins essentiels, mais limite également leurs possibilités d'investissement productif et de constitution de réserves financières permettant de faire face aux chocs économiques ou climatiques. L'analyse révèle ainsi que la précarité monétaire constitue un facteur de vulnérabilisation qui entrave les stratégies d'adaptation et de résilience des populations rurales. </w:t>
      </w:r>
    </w:p>
    <w:p w:rsidR="005C014D" w:rsidRPr="002462E6" w:rsidRDefault="005C014D" w:rsidP="005C014D">
      <w:pPr>
        <w:widowControl w:val="0"/>
        <w:autoSpaceDE w:val="0"/>
        <w:autoSpaceDN w:val="0"/>
        <w:spacing w:before="100" w:beforeAutospacing="1" w:after="100" w:afterAutospacing="1" w:line="360" w:lineRule="auto"/>
        <w:jc w:val="both"/>
        <w:rPr>
          <w:rFonts w:ascii="Tahoma" w:eastAsia="Times New Roman" w:hAnsi="Tahoma" w:cs="Tahoma"/>
          <w:sz w:val="24"/>
          <w:szCs w:val="24"/>
          <w:lang w:eastAsia="fr-FR"/>
        </w:rPr>
      </w:pPr>
      <w:r w:rsidRPr="002462E6">
        <w:rPr>
          <w:rFonts w:ascii="Tahoma" w:eastAsia="Times New Roman" w:hAnsi="Tahoma" w:cs="Tahoma"/>
          <w:sz w:val="24"/>
          <w:szCs w:val="24"/>
          <w:lang w:eastAsia="fr-FR"/>
        </w:rPr>
        <w:t>Par ailleurs, l'exclusion massive des transferts financiers familiaux, qui affecte 93% des ménages enquêtés, constitue un handicap structurel majeur qui distingue la forêt de Korifla du paysage rural marocain contemporain. Cette situation, exceptionnelle à l'échelle nationale où les transferts des migrants représentent un pilier de l'économie rurale, témoigne d'un isolement économique qui prive les populations locales d'un filet de sécurité essentiel.</w:t>
      </w:r>
    </w:p>
    <w:p w:rsidR="005C014D" w:rsidRPr="002462E6" w:rsidRDefault="005C014D" w:rsidP="005C014D">
      <w:pPr>
        <w:widowControl w:val="0"/>
        <w:autoSpaceDE w:val="0"/>
        <w:autoSpaceDN w:val="0"/>
        <w:spacing w:before="100" w:beforeAutospacing="1" w:after="100" w:afterAutospacing="1" w:line="360" w:lineRule="auto"/>
        <w:jc w:val="both"/>
        <w:rPr>
          <w:rFonts w:ascii="Tahoma" w:eastAsia="Times New Roman" w:hAnsi="Tahoma" w:cs="Tahoma"/>
          <w:sz w:val="24"/>
          <w:szCs w:val="24"/>
          <w:lang w:eastAsia="fr-FR"/>
        </w:rPr>
      </w:pPr>
      <w:r w:rsidRPr="002462E6">
        <w:rPr>
          <w:rFonts w:ascii="Tahoma" w:eastAsia="Times New Roman" w:hAnsi="Tahoma" w:cs="Tahoma"/>
          <w:sz w:val="24"/>
          <w:szCs w:val="24"/>
          <w:lang w:eastAsia="fr-FR"/>
        </w:rPr>
        <w:t>L'analyse de l'indice synthétique des équipements sociaux révèle des défaillances critiques qui oscillent entre 37% et 83% de vulnérabilité selon les douars. Cette amplitude témoigne d'un échec structurel de l'aménagement territorial qui maintient ces populations dans une situation d'isolement géographique compromettant leur accès aux services essentiels.</w:t>
      </w:r>
    </w:p>
    <w:p w:rsidR="005C014D" w:rsidRPr="002462E6" w:rsidRDefault="005C014D" w:rsidP="005C014D">
      <w:pPr>
        <w:widowControl w:val="0"/>
        <w:autoSpaceDE w:val="0"/>
        <w:autoSpaceDN w:val="0"/>
        <w:spacing w:before="100" w:beforeAutospacing="1" w:after="100" w:afterAutospacing="1" w:line="360" w:lineRule="auto"/>
        <w:jc w:val="both"/>
        <w:rPr>
          <w:rFonts w:ascii="Tahoma" w:eastAsia="Times New Roman" w:hAnsi="Tahoma" w:cs="Tahoma"/>
          <w:sz w:val="24"/>
          <w:szCs w:val="24"/>
          <w:lang w:eastAsia="fr-FR"/>
        </w:rPr>
      </w:pPr>
      <w:r w:rsidRPr="002462E6">
        <w:rPr>
          <w:rFonts w:ascii="Tahoma" w:eastAsia="Times New Roman" w:hAnsi="Tahoma" w:cs="Tahoma"/>
          <w:sz w:val="24"/>
          <w:szCs w:val="24"/>
          <w:lang w:eastAsia="fr-FR"/>
        </w:rPr>
        <w:t>L'isolement géographique se manifeste de manière particulièrement critique dans l'accès aux soins de santé, avec 95% des populations contraintes de parcourir plus de 10 kilomètres pour accéder aux établissements sanitaires. Cette distance, largement supérieure aux recommandations internationales, crée des barrières insurmontables qui découragent le recours aux soins préventifs et d'urgence, compromettant ainsi la santé des populations et particulièrement celle des groupes vulnérables.</w:t>
      </w:r>
    </w:p>
    <w:p w:rsidR="005C014D" w:rsidRPr="002462E6" w:rsidRDefault="005C014D" w:rsidP="005C014D">
      <w:pPr>
        <w:widowControl w:val="0"/>
        <w:autoSpaceDE w:val="0"/>
        <w:autoSpaceDN w:val="0"/>
        <w:spacing w:before="100" w:beforeAutospacing="1" w:after="100" w:afterAutospacing="1" w:line="360" w:lineRule="auto"/>
        <w:jc w:val="both"/>
        <w:rPr>
          <w:rFonts w:ascii="Tahoma" w:eastAsia="Times New Roman" w:hAnsi="Tahoma" w:cs="Tahoma"/>
          <w:sz w:val="24"/>
          <w:szCs w:val="24"/>
          <w:lang w:eastAsia="fr-FR"/>
        </w:rPr>
      </w:pPr>
      <w:r w:rsidRPr="002462E6">
        <w:rPr>
          <w:rFonts w:ascii="Tahoma" w:eastAsia="Times New Roman" w:hAnsi="Tahoma" w:cs="Tahoma"/>
          <w:sz w:val="24"/>
          <w:szCs w:val="24"/>
          <w:lang w:eastAsia="fr-FR"/>
        </w:rPr>
        <w:t>La situation éducative présente des caractéristiques similaires avec 53% des populations situées à plus de 3 kilomètres des établissements scolaires. Cette contrainte géographique génère des coûts directs et indirects qui pèsent disproportionnellement sur les familles précaires et favorisent l'abandon scolaire, perpétuant ainsi les mécanismes de reproduction inégalités socio-spatiales.</w:t>
      </w:r>
    </w:p>
    <w:p w:rsidR="005C014D" w:rsidRPr="002462E6" w:rsidRDefault="005C014D" w:rsidP="005C014D">
      <w:pPr>
        <w:widowControl w:val="0"/>
        <w:autoSpaceDE w:val="0"/>
        <w:autoSpaceDN w:val="0"/>
        <w:spacing w:before="100" w:beforeAutospacing="1" w:after="100" w:afterAutospacing="1" w:line="360" w:lineRule="auto"/>
        <w:jc w:val="both"/>
        <w:rPr>
          <w:rFonts w:ascii="Tahoma" w:eastAsia="Times New Roman" w:hAnsi="Tahoma" w:cs="Tahoma"/>
          <w:sz w:val="24"/>
          <w:szCs w:val="24"/>
          <w:lang w:eastAsia="fr-FR"/>
        </w:rPr>
      </w:pPr>
      <w:r w:rsidRPr="002462E6">
        <w:rPr>
          <w:rFonts w:ascii="Tahoma" w:eastAsia="Times New Roman" w:hAnsi="Tahoma" w:cs="Tahoma"/>
          <w:sz w:val="24"/>
          <w:szCs w:val="24"/>
          <w:lang w:eastAsia="fr-FR"/>
        </w:rPr>
        <w:t>La précarité infrastructurelle constitue un facteur de marginalisation territoriale qui compromet les conditions de vie des populations et limite les opportunités de développement économique local. L'absence de raccordement à l'eau potable, qui affecte 86% des douars, illustre de manière emblématique l'ampleur des défaillances infrastructurelles qui caractérisent ces territoires.</w:t>
      </w:r>
    </w:p>
    <w:p w:rsidR="005C014D" w:rsidRPr="002462E6" w:rsidRDefault="005C014D" w:rsidP="005C014D">
      <w:pPr>
        <w:widowControl w:val="0"/>
        <w:autoSpaceDE w:val="0"/>
        <w:autoSpaceDN w:val="0"/>
        <w:spacing w:before="100" w:beforeAutospacing="1" w:after="100" w:afterAutospacing="1" w:line="360" w:lineRule="auto"/>
        <w:jc w:val="both"/>
        <w:rPr>
          <w:rFonts w:ascii="Tahoma" w:eastAsia="Times New Roman" w:hAnsi="Tahoma" w:cs="Tahoma"/>
          <w:sz w:val="24"/>
          <w:szCs w:val="24"/>
          <w:lang w:eastAsia="fr-FR"/>
        </w:rPr>
      </w:pPr>
      <w:r w:rsidRPr="002462E6">
        <w:rPr>
          <w:rFonts w:ascii="Tahoma" w:eastAsia="Times New Roman" w:hAnsi="Tahoma" w:cs="Tahoma"/>
          <w:sz w:val="24"/>
          <w:szCs w:val="24"/>
          <w:lang w:eastAsia="fr-FR"/>
        </w:rPr>
        <w:t>Cette carence en eau potable ne constitue pas seulement un problème sanitaire majeur, mais révèle également l'inadéquation des politiques d'équipement rural qui ont privilégié les centres urbains et périurbains au détriment des zones rurales périphériques. Cette situation contraint les populations à développer des stratégies d'approvisionnement coûteuses en temps et en énergie qui limitent leurs possibilités d'engagement dans d'autres activités productives.</w:t>
      </w:r>
    </w:p>
    <w:p w:rsidR="005C014D" w:rsidRPr="002462E6" w:rsidRDefault="005C014D" w:rsidP="005C014D">
      <w:pPr>
        <w:widowControl w:val="0"/>
        <w:autoSpaceDE w:val="0"/>
        <w:autoSpaceDN w:val="0"/>
        <w:spacing w:before="100" w:beforeAutospacing="1" w:after="100" w:afterAutospacing="1" w:line="360" w:lineRule="auto"/>
        <w:jc w:val="both"/>
        <w:rPr>
          <w:rFonts w:ascii="Tahoma" w:eastAsia="Times New Roman" w:hAnsi="Tahoma" w:cs="Tahoma"/>
          <w:sz w:val="24"/>
          <w:szCs w:val="24"/>
          <w:lang w:eastAsia="fr-FR"/>
        </w:rPr>
      </w:pPr>
      <w:r w:rsidRPr="002462E6">
        <w:rPr>
          <w:rFonts w:ascii="Tahoma" w:eastAsia="Times New Roman" w:hAnsi="Tahoma" w:cs="Tahoma"/>
          <w:sz w:val="24"/>
          <w:szCs w:val="24"/>
          <w:lang w:eastAsia="fr-FR"/>
        </w:rPr>
        <w:t>Les défaillances routières, caractérisées par l'inexistence de routes de désenclavement (56% des cas) ou leur impraticabilité (54% des cas), aggravent l'isolement géographique et compromettent l'intégration de ces territoires aux dynamiques économiques régionales. Cette situation limite l'accès aux marchés, décourage les investissements privés et entrave le développement de filières économiques alternatives.</w:t>
      </w:r>
    </w:p>
    <w:p w:rsidR="005C014D" w:rsidRPr="002462E6" w:rsidRDefault="005C014D" w:rsidP="005C014D">
      <w:pPr>
        <w:widowControl w:val="0"/>
        <w:autoSpaceDE w:val="0"/>
        <w:autoSpaceDN w:val="0"/>
        <w:spacing w:before="100" w:beforeAutospacing="1" w:after="100" w:afterAutospacing="1" w:line="360" w:lineRule="auto"/>
        <w:jc w:val="both"/>
        <w:rPr>
          <w:rFonts w:ascii="Tahoma" w:eastAsia="Times New Roman" w:hAnsi="Tahoma" w:cs="Tahoma"/>
          <w:sz w:val="24"/>
          <w:szCs w:val="24"/>
          <w:lang w:eastAsia="fr-FR"/>
        </w:rPr>
      </w:pPr>
      <w:r w:rsidRPr="002462E6">
        <w:rPr>
          <w:rFonts w:ascii="Tahoma" w:eastAsia="Times New Roman" w:hAnsi="Tahoma" w:cs="Tahoma"/>
          <w:sz w:val="24"/>
          <w:szCs w:val="24"/>
          <w:lang w:eastAsia="fr-FR"/>
        </w:rPr>
        <w:t>La persistance de l'exclusion numérique et énergétique dans plusieurs douars révèle l'existence de nouvelles formes de marginalisation qui éloignent ces territoires des dynamiques de modernisation. L'absence d'électrification dans des douars comme Lbghada (100% de non-raccordés) ou Nkaila (60%) maintient ces populations dans des conditions de vie précaires qui limitent leurs possibilités d'accès aux technologies modernes et aux services numériques. Cette exclusion numérique compromet l'accès à l'information, limite les possibilités de communication et entrave le développement d'activités économiques modernes. Elle contribue ainsi à creuser l'écart entre ces territoires et les centres urbains connectés, alimentant le sentiment de marginalisation et les aspirations migratoires vers des espaces mieux équipés.</w:t>
      </w:r>
    </w:p>
    <w:p w:rsidR="005C014D" w:rsidRPr="002462E6" w:rsidRDefault="005C014D" w:rsidP="005C014D">
      <w:pPr>
        <w:widowControl w:val="0"/>
        <w:autoSpaceDE w:val="0"/>
        <w:autoSpaceDN w:val="0"/>
        <w:spacing w:before="100" w:beforeAutospacing="1" w:after="100" w:afterAutospacing="1" w:line="360" w:lineRule="auto"/>
        <w:jc w:val="both"/>
        <w:rPr>
          <w:rFonts w:ascii="Tahoma" w:eastAsia="Times New Roman" w:hAnsi="Tahoma" w:cs="Tahoma"/>
          <w:sz w:val="24"/>
          <w:szCs w:val="24"/>
          <w:lang w:eastAsia="fr-FR"/>
        </w:rPr>
      </w:pPr>
      <w:r w:rsidRPr="002462E6">
        <w:rPr>
          <w:rFonts w:ascii="Tahoma" w:eastAsia="Times New Roman" w:hAnsi="Tahoma" w:cs="Tahoma"/>
          <w:sz w:val="24"/>
          <w:szCs w:val="24"/>
          <w:lang w:eastAsia="fr-FR"/>
        </w:rPr>
        <w:t>L'analyse de l'indice de dégradation forestière révèle une situation critique avec des taux de vulnérabilité oscillant entre 55% et 93% selon les douars. Cette amplitude témoigne d'une crise écologique généralisée qui affecte l'ensemble de l'écosystème forestier de Korifla avec des intensités variables selon les territoires.</w:t>
      </w:r>
    </w:p>
    <w:p w:rsidR="005C014D" w:rsidRPr="002462E6" w:rsidRDefault="005C014D" w:rsidP="005C014D">
      <w:pPr>
        <w:widowControl w:val="0"/>
        <w:autoSpaceDE w:val="0"/>
        <w:autoSpaceDN w:val="0"/>
        <w:spacing w:before="100" w:beforeAutospacing="1" w:after="100" w:afterAutospacing="1" w:line="360" w:lineRule="auto"/>
        <w:jc w:val="both"/>
        <w:rPr>
          <w:rFonts w:ascii="Tahoma" w:eastAsia="Times New Roman" w:hAnsi="Tahoma" w:cs="Tahoma"/>
          <w:sz w:val="24"/>
          <w:szCs w:val="24"/>
          <w:lang w:eastAsia="fr-FR"/>
        </w:rPr>
      </w:pPr>
      <w:r w:rsidRPr="002462E6">
        <w:rPr>
          <w:rFonts w:ascii="Tahoma" w:eastAsia="Times New Roman" w:hAnsi="Tahoma" w:cs="Tahoma"/>
          <w:sz w:val="24"/>
          <w:szCs w:val="24"/>
          <w:lang w:eastAsia="fr-FR"/>
        </w:rPr>
        <w:t>La perception unanime de dégradation forestière, exprimée à 100% dans 82% des douars enquêtés, révèle une conscience environnementale aiguë des populations locales qui constituent des "sentinelles" privilégiées des transformations écologiques. Cette perception convergente témoigne de l'ampleur des modifications observées dans l'écosystème forestier et de leur impact sur les conditions de vie et les activités économiques des populations.</w:t>
      </w:r>
    </w:p>
    <w:p w:rsidR="005C014D" w:rsidRPr="002462E6" w:rsidRDefault="005C014D" w:rsidP="00D9390F">
      <w:pPr>
        <w:widowControl w:val="0"/>
        <w:autoSpaceDE w:val="0"/>
        <w:autoSpaceDN w:val="0"/>
        <w:spacing w:before="100" w:beforeAutospacing="1" w:after="100" w:afterAutospacing="1" w:line="360" w:lineRule="auto"/>
        <w:jc w:val="both"/>
        <w:rPr>
          <w:rFonts w:ascii="Tahoma" w:eastAsia="Times New Roman" w:hAnsi="Tahoma" w:cs="Tahoma"/>
          <w:sz w:val="24"/>
          <w:szCs w:val="24"/>
          <w:lang w:eastAsia="fr-FR"/>
        </w:rPr>
      </w:pPr>
      <w:r w:rsidRPr="002462E6">
        <w:rPr>
          <w:rFonts w:ascii="Tahoma" w:eastAsia="Times New Roman" w:hAnsi="Tahoma" w:cs="Tahoma"/>
          <w:sz w:val="24"/>
          <w:szCs w:val="24"/>
          <w:lang w:eastAsia="fr-FR"/>
        </w:rPr>
        <w:t>La dégradation environnementale observée dans la forêt de Korifla s'inscrit dans un cercle vicieux pauvreté-surexploitation qui constitue l'un des mécanismes centraux de production du risque migratoire. La précarité économique contraint les populations à une exploitation intensive des ressources forestières pour assurer leur subsistance immédiate, compromettant ainsi la durabilité de l'écosystème dont elles dépendent. Cette surexploitation se manifeste notamment par la dépendance généralisée au bois de feu, avec des taux d'usage oscillant entre 55% et 93% selon les douars. Cette dépendance énergétique constitue une pression continue sur les ressources ligneuses qui dépasse souvent la capacité de régénération naturelle de la forêt. La situation s'inscrit dans un contexte de "pauvreté énergétique" où l'absence d'alternatives abordables contraint les populations à perpétuer des pratiques extractives.</w:t>
      </w:r>
    </w:p>
    <w:p w:rsidR="005C014D" w:rsidRPr="002462E6" w:rsidRDefault="005C014D" w:rsidP="005C014D">
      <w:pPr>
        <w:spacing w:before="100" w:beforeAutospacing="1" w:after="100" w:afterAutospacing="1" w:line="360" w:lineRule="auto"/>
        <w:jc w:val="both"/>
        <w:rPr>
          <w:rFonts w:ascii="Tahoma" w:eastAsia="Times New Roman" w:hAnsi="Tahoma" w:cs="Tahoma"/>
          <w:sz w:val="24"/>
          <w:szCs w:val="24"/>
          <w:lang w:eastAsia="fr-FR"/>
        </w:rPr>
      </w:pPr>
      <w:r w:rsidRPr="002462E6">
        <w:rPr>
          <w:rFonts w:ascii="Tahoma" w:eastAsia="Times New Roman" w:hAnsi="Tahoma" w:cs="Tahoma"/>
          <w:sz w:val="24"/>
          <w:szCs w:val="24"/>
          <w:lang w:eastAsia="fr-FR"/>
        </w:rPr>
        <w:t>L'impact du changement climatique constitue un facteur exogène qui aggrave la vulnérabilité de l'écosystème forestier et compromet la durabilité des systèmes agropastoraux traditionnels. Cette perception révèle une compréhension empirique des liens entre dérèglement climatique et santé forestière par les populations locales.</w:t>
      </w:r>
    </w:p>
    <w:p w:rsidR="005C014D" w:rsidRPr="002462E6" w:rsidRDefault="005C014D" w:rsidP="005C014D">
      <w:pPr>
        <w:spacing w:before="100" w:beforeAutospacing="1" w:after="100" w:afterAutospacing="1" w:line="360" w:lineRule="auto"/>
        <w:jc w:val="both"/>
        <w:rPr>
          <w:rFonts w:ascii="Tahoma" w:eastAsia="Times New Roman" w:hAnsi="Tahoma" w:cs="Tahoma"/>
          <w:sz w:val="24"/>
          <w:szCs w:val="24"/>
          <w:lang w:eastAsia="fr-FR"/>
        </w:rPr>
      </w:pPr>
      <w:r w:rsidRPr="002462E6">
        <w:rPr>
          <w:rFonts w:ascii="Tahoma" w:eastAsia="Times New Roman" w:hAnsi="Tahoma" w:cs="Tahoma"/>
          <w:sz w:val="24"/>
          <w:szCs w:val="24"/>
          <w:lang w:eastAsia="fr-FR"/>
        </w:rPr>
        <w:t>Les modifications climatiques observées affectent la disponibilité des ressources hydriques, modifient les cycles de végétation et accroissent la vulnérabilité de l'écosystème aux stress environnementaux. Ces transformations compromettent l'efficacité des stratégies d'adaptation traditionnelles et nécessitent le développement de nouvelles approches de gestion qui intègrent la dimension climatique. L'analyse révèle une insatisfaction massive concernant les politiques de reboisement, exprimée par 91% des douars qui déplorent l'inefficacité des interventions publiques. Cette insatisfaction généralisée témoigne de l'inadéquation fondamentale entre les approches technocratiques privilégiées par l'administration forestière et les attentes des populations locales.</w:t>
      </w:r>
    </w:p>
    <w:p w:rsidR="005C014D" w:rsidRPr="002462E6" w:rsidRDefault="005C014D" w:rsidP="005C014D">
      <w:pPr>
        <w:spacing w:before="100" w:beforeAutospacing="1" w:after="100" w:afterAutospacing="1" w:line="360" w:lineRule="auto"/>
        <w:jc w:val="both"/>
        <w:rPr>
          <w:rFonts w:ascii="Tahoma" w:eastAsia="Times New Roman" w:hAnsi="Tahoma" w:cs="Tahoma"/>
          <w:sz w:val="24"/>
          <w:szCs w:val="24"/>
          <w:lang w:eastAsia="fr-FR"/>
        </w:rPr>
      </w:pPr>
      <w:r w:rsidRPr="002462E6">
        <w:rPr>
          <w:rFonts w:ascii="Tahoma" w:eastAsia="Times New Roman" w:hAnsi="Tahoma" w:cs="Tahoma"/>
          <w:sz w:val="24"/>
          <w:szCs w:val="24"/>
          <w:lang w:eastAsia="fr-FR"/>
        </w:rPr>
        <w:t>Cette situation révèle l'échec des approches "top-down" qui ont caractérisé la gestion forestière marocaine depuis la période coloniale. Ces approches, centralisées et souvent autoritaires, ont négligé l'importance de la participation communautaire et de l'appropriation locale des projets de restauration forestière. L'insatisfaction exprimée traduit ainsi un déficit de concertation et d'adaptation des interventions aux spécificités locales. En effet, la résistance variable aux mises en défens révèle l'existence de tensions entre logiques conservatoires et besoins économiques des populations. Cette résistance, qui varie significativement selon les douars, témoigne de l'impact différencié des mesures restrictives sur les stratégies de subsistance locales.</w:t>
      </w:r>
    </w:p>
    <w:p w:rsidR="005C014D" w:rsidRPr="002462E6" w:rsidRDefault="005C014D" w:rsidP="005C014D">
      <w:pPr>
        <w:spacing w:before="100" w:beforeAutospacing="1" w:after="100" w:afterAutospacing="1" w:line="360" w:lineRule="auto"/>
        <w:jc w:val="both"/>
        <w:rPr>
          <w:rFonts w:ascii="Tahoma" w:eastAsia="Times New Roman" w:hAnsi="Tahoma" w:cs="Tahoma"/>
          <w:sz w:val="24"/>
          <w:szCs w:val="24"/>
          <w:lang w:eastAsia="fr-FR"/>
        </w:rPr>
      </w:pPr>
      <w:r w:rsidRPr="002462E6">
        <w:rPr>
          <w:rFonts w:ascii="Tahoma" w:eastAsia="Times New Roman" w:hAnsi="Tahoma" w:cs="Tahoma"/>
          <w:sz w:val="24"/>
          <w:szCs w:val="24"/>
          <w:lang w:eastAsia="fr-FR"/>
        </w:rPr>
        <w:t>Les mises en défens, qui constituent un outil classique de gestion forestière, génèrent des résistances lorsqu'elles sont perçues comme des mesures autoritaires imposées sans consultation. Cette situation révèle l'importance de l'acceptabilité sociale des mesures conservatoires et la nécessité de développer des approches participatives qui concilient conservation et développement local.</w:t>
      </w:r>
    </w:p>
    <w:p w:rsidR="005C014D" w:rsidRPr="002462E6" w:rsidRDefault="005C014D" w:rsidP="005C014D">
      <w:pPr>
        <w:spacing w:before="100" w:beforeAutospacing="1" w:after="100" w:afterAutospacing="1" w:line="360" w:lineRule="auto"/>
        <w:jc w:val="both"/>
        <w:rPr>
          <w:rFonts w:ascii="Tahoma" w:eastAsia="Times New Roman" w:hAnsi="Tahoma" w:cs="Tahoma"/>
          <w:sz w:val="24"/>
          <w:szCs w:val="24"/>
          <w:lang w:eastAsia="fr-FR"/>
        </w:rPr>
      </w:pPr>
      <w:r w:rsidRPr="002462E6">
        <w:rPr>
          <w:rFonts w:ascii="Tahoma" w:eastAsia="Times New Roman" w:hAnsi="Tahoma" w:cs="Tahoma"/>
          <w:sz w:val="24"/>
          <w:szCs w:val="24"/>
          <w:lang w:eastAsia="fr-FR"/>
        </w:rPr>
        <w:t>L'inadéquation des modes de gestion forestière s'enracine dans la persistance de logiques institutionnelles héritées de la période coloniale qui privilégient les approches centralisées et technocratiques. Cette persistance révèle l'insuffisante évolution des cadres institutionnels vers des modèles plus participatifs et adaptés aux réalités contemporaines.</w:t>
      </w:r>
    </w:p>
    <w:p w:rsidR="005C014D" w:rsidRPr="002462E6" w:rsidRDefault="005C014D" w:rsidP="005C014D">
      <w:pPr>
        <w:spacing w:before="100" w:beforeAutospacing="1" w:after="100" w:afterAutospacing="1" w:line="360" w:lineRule="auto"/>
        <w:jc w:val="both"/>
        <w:rPr>
          <w:rFonts w:ascii="Tahoma" w:eastAsia="Times New Roman" w:hAnsi="Tahoma" w:cs="Tahoma"/>
          <w:sz w:val="24"/>
          <w:szCs w:val="24"/>
          <w:lang w:eastAsia="fr-FR"/>
        </w:rPr>
      </w:pPr>
      <w:r w:rsidRPr="002462E6">
        <w:rPr>
          <w:rFonts w:ascii="Tahoma" w:eastAsia="Times New Roman" w:hAnsi="Tahoma" w:cs="Tahoma"/>
          <w:sz w:val="24"/>
          <w:szCs w:val="24"/>
          <w:lang w:eastAsia="fr-FR"/>
        </w:rPr>
        <w:t>Cette inadaptation institutionnelle se manifeste par l'application de solutions standardisées à des contextes écologiques et sociaux diversifiés, négligeant les savoirs locaux et les spécificités territoriales. Elle contribue à maintenir un fossé entre administration forestière et populations locales qui compromet l'efficacité des interventions publiques.</w:t>
      </w:r>
    </w:p>
    <w:p w:rsidR="005C014D" w:rsidRPr="002462E6" w:rsidRDefault="005C014D" w:rsidP="005C014D">
      <w:pPr>
        <w:spacing w:before="100" w:beforeAutospacing="1" w:after="100" w:afterAutospacing="1" w:line="360" w:lineRule="auto"/>
        <w:jc w:val="both"/>
        <w:rPr>
          <w:rFonts w:ascii="Tahoma" w:eastAsia="Times New Roman" w:hAnsi="Tahoma" w:cs="Tahoma"/>
          <w:sz w:val="24"/>
          <w:szCs w:val="24"/>
          <w:lang w:eastAsia="fr-FR"/>
        </w:rPr>
      </w:pPr>
      <w:r w:rsidRPr="002462E6">
        <w:rPr>
          <w:rFonts w:ascii="Tahoma" w:eastAsia="Times New Roman" w:hAnsi="Tahoma" w:cs="Tahoma"/>
          <w:sz w:val="24"/>
          <w:szCs w:val="24"/>
          <w:lang w:eastAsia="fr-FR"/>
        </w:rPr>
        <w:t>Le risque accélératif migratoire dans la forêt de Korifla résulte d'un mécanisme systémique où s'articulent les différentes vulnérabilités identifiées selon une séquence causale complexe. Cette séquence débute par la précarité économique qui contraint les populations à la surexploitation des ressources forestières pour assurer leur subsistance immédiate.</w:t>
      </w:r>
    </w:p>
    <w:p w:rsidR="005C014D" w:rsidRPr="002462E6" w:rsidRDefault="005C014D" w:rsidP="005C014D">
      <w:pPr>
        <w:spacing w:before="100" w:beforeAutospacing="1" w:after="100" w:afterAutospacing="1" w:line="360" w:lineRule="auto"/>
        <w:jc w:val="both"/>
        <w:rPr>
          <w:rFonts w:ascii="Tahoma" w:eastAsia="Times New Roman" w:hAnsi="Tahoma" w:cs="Tahoma"/>
          <w:sz w:val="24"/>
          <w:szCs w:val="24"/>
          <w:lang w:eastAsia="fr-FR"/>
        </w:rPr>
      </w:pPr>
      <w:r w:rsidRPr="002462E6">
        <w:rPr>
          <w:rFonts w:ascii="Tahoma" w:eastAsia="Times New Roman" w:hAnsi="Tahoma" w:cs="Tahoma"/>
          <w:sz w:val="24"/>
          <w:szCs w:val="24"/>
          <w:lang w:eastAsia="fr-FR"/>
        </w:rPr>
        <w:t>Cette surexploitation génère une dégradation environnementale qui réduit progressivement la capacité de charge de l'écosystème, compromettant ainsi la durabilité des activités agropastorales traditionnelles. La diminution des ressources disponibles aggrave la précarité économique, créant un cercle vicieux qui entretient et amplifie les vulnérabilités initiales.</w:t>
      </w:r>
    </w:p>
    <w:p w:rsidR="005C014D" w:rsidRPr="002462E6" w:rsidRDefault="005C014D" w:rsidP="005C014D">
      <w:pPr>
        <w:spacing w:before="100" w:beforeAutospacing="1" w:after="100" w:afterAutospacing="1" w:line="360" w:lineRule="auto"/>
        <w:jc w:val="both"/>
        <w:rPr>
          <w:rFonts w:ascii="Tahoma" w:eastAsia="Times New Roman" w:hAnsi="Tahoma" w:cs="Tahoma"/>
          <w:sz w:val="24"/>
          <w:szCs w:val="24"/>
          <w:lang w:eastAsia="fr-FR"/>
        </w:rPr>
      </w:pPr>
      <w:r w:rsidRPr="002462E6">
        <w:rPr>
          <w:rFonts w:ascii="Tahoma" w:eastAsia="Times New Roman" w:hAnsi="Tahoma" w:cs="Tahoma"/>
          <w:sz w:val="24"/>
          <w:szCs w:val="24"/>
          <w:lang w:eastAsia="fr-FR"/>
        </w:rPr>
        <w:t>Les déficits observés en matière des services de base limitent les opportunités de développement et maintient ces territoires dans une situation d'isolement qui décourage les investissements et l'innovation. Cette situation génère un déficit structurel d'attractivité territoriale qui contraste avec les aspirations légitimes des populations au développement et au bien-être.</w:t>
      </w:r>
    </w:p>
    <w:p w:rsidR="005C014D" w:rsidRPr="002462E6" w:rsidRDefault="005C014D" w:rsidP="005C014D">
      <w:pPr>
        <w:spacing w:before="100" w:beforeAutospacing="1" w:after="100" w:afterAutospacing="1" w:line="360" w:lineRule="auto"/>
        <w:jc w:val="both"/>
        <w:rPr>
          <w:rFonts w:ascii="Tahoma" w:eastAsia="Times New Roman" w:hAnsi="Tahoma" w:cs="Tahoma"/>
          <w:sz w:val="24"/>
          <w:szCs w:val="24"/>
          <w:lang w:eastAsia="fr-FR"/>
        </w:rPr>
      </w:pPr>
      <w:r w:rsidRPr="002462E6">
        <w:rPr>
          <w:rFonts w:ascii="Tahoma" w:eastAsia="Times New Roman" w:hAnsi="Tahoma" w:cs="Tahoma"/>
          <w:sz w:val="24"/>
          <w:szCs w:val="24"/>
          <w:lang w:eastAsia="fr-FR"/>
        </w:rPr>
        <w:t>L'échec des politiques publiques maintient le statu quo en ne parvenant pas à briser les mécanismes de reproduction des vulnérabilités. Cette persistance des dysfonctionnements génère des frustrations qui alimentent les projets migratoires vers des territoires perçus comme offrant de meilleures opportunités d'épanouissement.</w:t>
      </w:r>
    </w:p>
    <w:p w:rsidR="005C014D" w:rsidRPr="002462E6" w:rsidRDefault="005C014D" w:rsidP="00501736">
      <w:pPr>
        <w:spacing w:before="100" w:beforeAutospacing="1" w:after="100" w:afterAutospacing="1" w:line="360" w:lineRule="auto"/>
        <w:jc w:val="both"/>
        <w:rPr>
          <w:rFonts w:ascii="Tahoma" w:eastAsia="Times New Roman" w:hAnsi="Tahoma" w:cs="Tahoma"/>
          <w:sz w:val="24"/>
          <w:szCs w:val="24"/>
          <w:lang w:eastAsia="fr-FR"/>
        </w:rPr>
      </w:pPr>
      <w:r w:rsidRPr="002462E6">
        <w:rPr>
          <w:rFonts w:ascii="Tahoma" w:eastAsia="Times New Roman" w:hAnsi="Tahoma" w:cs="Tahoma"/>
          <w:sz w:val="24"/>
          <w:szCs w:val="24"/>
          <w:lang w:eastAsia="fr-FR"/>
        </w:rPr>
        <w:t>L'accumulation systémique de ces vulnérabilités multidimensionnelles engendre un processus de déstructuration territoriale qui conduit à l'émergence d'un "piège spatial" au sens de Bourdieu</w:t>
      </w:r>
      <w:r w:rsidRPr="002462E6">
        <w:rPr>
          <w:rFonts w:ascii="Tahoma" w:eastAsia="Times New Roman" w:hAnsi="Tahoma" w:cs="Tahoma"/>
          <w:sz w:val="24"/>
          <w:szCs w:val="24"/>
          <w:lang w:eastAsia="fr-FR"/>
        </w:rPr>
        <w:footnoteReference w:id="910"/>
      </w:r>
      <w:r w:rsidRPr="002462E6">
        <w:rPr>
          <w:rFonts w:ascii="Tahoma" w:eastAsia="Times New Roman" w:hAnsi="Tahoma" w:cs="Tahoma"/>
          <w:sz w:val="24"/>
          <w:szCs w:val="24"/>
          <w:lang w:eastAsia="fr-FR"/>
        </w:rPr>
        <w:t>, transformant progressivement la migration en option stratégique d'échappement face à l'érosion des capacités de développement endogène</w:t>
      </w:r>
      <w:r w:rsidRPr="002462E6">
        <w:rPr>
          <w:rFonts w:ascii="Tahoma" w:eastAsia="Times New Roman" w:hAnsi="Tahoma" w:cs="Tahoma"/>
          <w:sz w:val="24"/>
          <w:szCs w:val="24"/>
          <w:lang w:eastAsia="fr-FR"/>
        </w:rPr>
        <w:footnoteReference w:id="911"/>
      </w:r>
      <w:r w:rsidRPr="002462E6">
        <w:rPr>
          <w:rFonts w:ascii="Tahoma" w:eastAsia="Times New Roman" w:hAnsi="Tahoma" w:cs="Tahoma"/>
          <w:sz w:val="24"/>
          <w:szCs w:val="24"/>
          <w:lang w:eastAsia="fr-FR"/>
        </w:rPr>
        <w:t>, dynamique qui sous-tend la formulation de propositions d'amélioration structurelle par les enquêtés, témoignant de leur perception des déficits territoriaux et de leur quête d'alternatives au départ (cf</w:t>
      </w:r>
      <w:r w:rsidR="00BF1F48" w:rsidRPr="002462E6">
        <w:rPr>
          <w:rFonts w:ascii="Tahoma" w:eastAsia="Times New Roman" w:hAnsi="Tahoma" w:cs="Tahoma"/>
          <w:sz w:val="24"/>
          <w:szCs w:val="24"/>
          <w:lang w:eastAsia="fr-FR"/>
        </w:rPr>
        <w:t xml:space="preserve">. </w:t>
      </w:r>
      <w:r w:rsidR="00A33B4B">
        <w:rPr>
          <w:rFonts w:ascii="Tahoma" w:eastAsia="Times New Roman" w:hAnsi="Tahoma" w:cs="Tahoma"/>
          <w:b/>
          <w:bCs/>
          <w:sz w:val="24"/>
          <w:szCs w:val="24"/>
          <w:lang w:eastAsia="fr-FR"/>
        </w:rPr>
        <w:t>G</w:t>
      </w:r>
      <w:r w:rsidR="00BF1F48" w:rsidRPr="00A33B4B">
        <w:rPr>
          <w:rFonts w:ascii="Tahoma" w:eastAsia="Times New Roman" w:hAnsi="Tahoma" w:cs="Tahoma"/>
          <w:b/>
          <w:bCs/>
          <w:sz w:val="24"/>
          <w:szCs w:val="24"/>
          <w:lang w:eastAsia="fr-FR"/>
        </w:rPr>
        <w:t>raphe</w:t>
      </w:r>
      <w:r w:rsidRPr="00A33B4B">
        <w:rPr>
          <w:rFonts w:ascii="Tahoma" w:eastAsia="Times New Roman" w:hAnsi="Tahoma" w:cs="Tahoma"/>
          <w:b/>
          <w:bCs/>
          <w:sz w:val="24"/>
          <w:szCs w:val="24"/>
          <w:lang w:eastAsia="fr-FR"/>
        </w:rPr>
        <w:t xml:space="preserve"> n°2</w:t>
      </w:r>
      <w:r w:rsidR="00A33B4B" w:rsidRPr="00A33B4B">
        <w:rPr>
          <w:rFonts w:ascii="Tahoma" w:eastAsia="Times New Roman" w:hAnsi="Tahoma" w:cs="Tahoma"/>
          <w:b/>
          <w:bCs/>
          <w:sz w:val="24"/>
          <w:szCs w:val="24"/>
          <w:lang w:eastAsia="fr-FR"/>
        </w:rPr>
        <w:t>8</w:t>
      </w:r>
      <w:r w:rsidRPr="002462E6">
        <w:rPr>
          <w:rFonts w:ascii="Tahoma" w:eastAsia="Times New Roman" w:hAnsi="Tahoma" w:cs="Tahoma"/>
          <w:sz w:val="24"/>
          <w:szCs w:val="24"/>
          <w:lang w:eastAsia="fr-FR"/>
        </w:rPr>
        <w:t>).</w:t>
      </w:r>
    </w:p>
    <w:p w:rsidR="00A33B4B" w:rsidRDefault="00A33B4B" w:rsidP="00A33B4B">
      <w:pPr>
        <w:pStyle w:val="Sous-titre"/>
      </w:pPr>
      <w:bookmarkStart w:id="473" w:name="_Toc203642560"/>
      <w:r>
        <w:t xml:space="preserve">Graphe </w:t>
      </w:r>
      <w:r w:rsidR="00225ED1">
        <w:rPr>
          <w:noProof/>
        </w:rPr>
        <w:fldChar w:fldCharType="begin"/>
      </w:r>
      <w:r w:rsidR="00225ED1">
        <w:rPr>
          <w:noProof/>
        </w:rPr>
        <w:instrText xml:space="preserve"> SEQ Graphe \* ARABIC </w:instrText>
      </w:r>
      <w:r w:rsidR="00225ED1">
        <w:rPr>
          <w:noProof/>
        </w:rPr>
        <w:fldChar w:fldCharType="separate"/>
      </w:r>
      <w:r w:rsidR="00124AFB">
        <w:rPr>
          <w:noProof/>
        </w:rPr>
        <w:t>28</w:t>
      </w:r>
      <w:r w:rsidR="00225ED1">
        <w:rPr>
          <w:noProof/>
        </w:rPr>
        <w:fldChar w:fldCharType="end"/>
      </w:r>
      <w:r>
        <w:t xml:space="preserve"> </w:t>
      </w:r>
      <w:r w:rsidRPr="00121653">
        <w:t>: Répartition des suggestions d'amélioration des conditions socio-économiques formulées par les enquêtés dans la forêt de Korifla (en %)</w:t>
      </w:r>
      <w:bookmarkEnd w:id="473"/>
    </w:p>
    <w:p w:rsidR="005C014D" w:rsidRPr="002462E6" w:rsidRDefault="005C014D" w:rsidP="00BF1F48">
      <w:pPr>
        <w:spacing w:before="100" w:beforeAutospacing="1" w:after="100" w:afterAutospacing="1" w:line="360" w:lineRule="auto"/>
        <w:jc w:val="center"/>
        <w:rPr>
          <w:rFonts w:ascii="Tahoma" w:eastAsia="Times New Roman" w:hAnsi="Tahoma" w:cs="Tahoma"/>
          <w:sz w:val="24"/>
          <w:szCs w:val="24"/>
          <w:lang w:eastAsia="fr-FR"/>
        </w:rPr>
      </w:pPr>
      <w:r w:rsidRPr="002462E6">
        <w:rPr>
          <w:rFonts w:ascii="Times New Roman" w:eastAsia="Times New Roman" w:hAnsi="Times New Roman" w:cs="Times New Roman"/>
          <w:noProof/>
          <w:lang w:eastAsia="fr-FR"/>
        </w:rPr>
        <w:drawing>
          <wp:inline distT="0" distB="0" distL="0" distR="0" wp14:anchorId="65AEE42C" wp14:editId="0174690B">
            <wp:extent cx="5985163" cy="3182587"/>
            <wp:effectExtent l="0" t="0" r="15875" b="18415"/>
            <wp:docPr id="1512970666" name="Graphique 1512970666"/>
            <wp:cNvGraphicFramePr/>
            <a:graphic xmlns:a="http://schemas.openxmlformats.org/drawingml/2006/main">
              <a:graphicData uri="http://schemas.openxmlformats.org/drawingml/2006/chart">
                <c:chart xmlns:c="http://schemas.openxmlformats.org/drawingml/2006/chart" xmlns:r="http://schemas.openxmlformats.org/officeDocument/2006/relationships" r:id="rId71"/>
              </a:graphicData>
            </a:graphic>
          </wp:inline>
        </w:drawing>
      </w:r>
    </w:p>
    <w:p w:rsidR="005C014D" w:rsidRPr="002462E6" w:rsidRDefault="005C014D" w:rsidP="00BF1F48">
      <w:pPr>
        <w:spacing w:after="100" w:afterAutospacing="1" w:line="360" w:lineRule="auto"/>
        <w:jc w:val="center"/>
        <w:rPr>
          <w:rFonts w:ascii="Tahoma" w:eastAsia="Times New Roman" w:hAnsi="Tahoma" w:cs="Tahoma"/>
          <w:sz w:val="20"/>
          <w:szCs w:val="20"/>
          <w:lang w:eastAsia="fr-FR"/>
        </w:rPr>
      </w:pPr>
      <w:r w:rsidRPr="002462E6">
        <w:rPr>
          <w:rFonts w:ascii="Tahoma" w:eastAsia="Times New Roman" w:hAnsi="Tahoma" w:cs="Tahoma"/>
          <w:b/>
          <w:bCs/>
          <w:sz w:val="20"/>
          <w:szCs w:val="20"/>
          <w:lang w:eastAsia="fr-FR"/>
        </w:rPr>
        <w:t>Source </w:t>
      </w:r>
      <w:r w:rsidRPr="002462E6">
        <w:rPr>
          <w:rFonts w:ascii="Tahoma" w:eastAsia="Times New Roman" w:hAnsi="Tahoma" w:cs="Tahoma"/>
          <w:sz w:val="20"/>
          <w:szCs w:val="20"/>
          <w:lang w:eastAsia="fr-FR"/>
        </w:rPr>
        <w:t>: résultats de l’enquête</w:t>
      </w:r>
    </w:p>
    <w:p w:rsidR="005C014D" w:rsidRPr="002462E6" w:rsidRDefault="005C014D" w:rsidP="005C014D">
      <w:pPr>
        <w:spacing w:before="100" w:beforeAutospacing="1" w:after="100" w:afterAutospacing="1" w:line="360" w:lineRule="auto"/>
        <w:jc w:val="both"/>
        <w:rPr>
          <w:rFonts w:ascii="Tahoma" w:eastAsia="Times New Roman" w:hAnsi="Tahoma" w:cs="Tahoma"/>
          <w:sz w:val="24"/>
          <w:szCs w:val="24"/>
          <w:lang w:eastAsia="fr-FR"/>
        </w:rPr>
      </w:pPr>
      <w:r w:rsidRPr="002462E6">
        <w:rPr>
          <w:rFonts w:ascii="Tahoma" w:eastAsia="Times New Roman" w:hAnsi="Tahoma" w:cs="Tahoma"/>
          <w:sz w:val="24"/>
          <w:szCs w:val="24"/>
          <w:lang w:eastAsia="fr-FR"/>
        </w:rPr>
        <w:t>L'analyse des suggestions formulées par les enquêtés concernant l'amélioration des conditions socio-économiques révèle une hiérarchisation structurée des priorités développementales qui s'articule autour de trois axes stratégiques interdépendants. La prédominance des besoins infrastructurels (57% cumulés), avec une priorité absolue accordée aux infrastructures éducatives et sanitaires (42%), confirme empiriquement les analyses de Sen sur les capacités humaines comme fondement du développement et s'inscrit dans la logique des "besoins fondamentaux" théorisée par Streeten</w:t>
      </w:r>
      <w:r w:rsidRPr="002462E6">
        <w:rPr>
          <w:rFonts w:ascii="Tahoma" w:eastAsia="Times New Roman" w:hAnsi="Tahoma" w:cs="Tahoma"/>
          <w:sz w:val="24"/>
          <w:szCs w:val="24"/>
          <w:vertAlign w:val="superscript"/>
          <w:lang w:eastAsia="fr-FR"/>
        </w:rPr>
        <w:footnoteReference w:id="912"/>
      </w:r>
      <w:r w:rsidRPr="002462E6">
        <w:rPr>
          <w:rFonts w:ascii="Tahoma" w:eastAsia="Times New Roman" w:hAnsi="Tahoma" w:cs="Tahoma"/>
          <w:sz w:val="24"/>
          <w:szCs w:val="24"/>
          <w:lang w:eastAsia="fr-FR"/>
        </w:rPr>
        <w:t>, traduisant une approche pragmatique où l'accès aux services sociaux de base constitue un préalable à toute dynamique économique, complétée par l'amélioration qualitative des systèmes existants (15%) qui révèle une vision systémique du développement territorial. La dimension économique (32% cumulés) se structure entre la création d'opportunités d'emploi et l'amélioration des conditions sociales (27%), centrée sur l'économie coopérative et s'inscrivant dans les théories du développement endogène de Pecqueur</w:t>
      </w:r>
      <w:r w:rsidRPr="002462E6">
        <w:rPr>
          <w:rFonts w:ascii="Tahoma" w:eastAsia="Times New Roman" w:hAnsi="Tahoma" w:cs="Tahoma"/>
          <w:sz w:val="24"/>
          <w:szCs w:val="24"/>
          <w:vertAlign w:val="superscript"/>
          <w:lang w:eastAsia="fr-FR"/>
        </w:rPr>
        <w:footnoteReference w:id="913"/>
      </w:r>
      <w:r w:rsidRPr="002462E6">
        <w:rPr>
          <w:rFonts w:ascii="Tahoma" w:eastAsia="Times New Roman" w:hAnsi="Tahoma" w:cs="Tahoma"/>
          <w:sz w:val="24"/>
          <w:szCs w:val="24"/>
          <w:lang w:eastAsia="fr-FR"/>
        </w:rPr>
        <w:t>, révélant une conception collective de l'entrepreneuriat rural et une volonté d'autonomisation économique, et l'appui à la supplémentation fourragère avec l'installation de puits (5%), témoignant d'une approche intégrée où sécurité alimentaire et développement de l'élevage constituent des leviers complémentaires de stabilisation économique. L'émergence d'une conscience environnementale (11%), manifestée par la demande de surveillance forestière et de protection contre la dégradation anthropique, révèle une prise de conscience significative qui transcende le paradigme traditionnel opposant développement économique et conservation, s'inscrivant dans la logique du développement durable et suggérant une évolution des représentations locales vers une gestion territoriale intégrée. Cette configuration multidimensionnelle valide l'approche des besoins fondamentaux, confirme l'émergence d'un modèle de développement holistique articulant dimensions sociale, économique et environnementale, et révèle une population consciente des enjeux territoriaux capable de formuler une vision intégrée des transformations nécessaires, suggérant que les stratégies de développement doivent intégrer simultanément renforcement infrastructurel, création d'opportunités économiques et protection environnementale pour répondre aux attentes locales et prévenir les dynamiques migratoires.</w:t>
      </w:r>
    </w:p>
    <w:p w:rsidR="005C014D" w:rsidRPr="002462E6" w:rsidRDefault="005C014D" w:rsidP="005C014D">
      <w:pPr>
        <w:spacing w:before="100" w:beforeAutospacing="1" w:after="100" w:afterAutospacing="1" w:line="360" w:lineRule="auto"/>
        <w:jc w:val="both"/>
        <w:rPr>
          <w:rFonts w:ascii="Tahoma" w:eastAsia="Times New Roman" w:hAnsi="Tahoma" w:cs="Tahoma"/>
          <w:sz w:val="24"/>
          <w:szCs w:val="24"/>
          <w:lang w:eastAsia="fr-FR"/>
        </w:rPr>
      </w:pPr>
      <w:r w:rsidRPr="002462E6">
        <w:rPr>
          <w:rFonts w:ascii="Tahoma" w:eastAsia="Times New Roman" w:hAnsi="Tahoma" w:cs="Tahoma"/>
          <w:sz w:val="24"/>
          <w:szCs w:val="24"/>
          <w:lang w:eastAsia="fr-FR"/>
        </w:rPr>
        <w:t>En définitive, l’analyse des disparités économiques au sein de la forêt de Korifla met en évidence des vulnérabilités structurelles qui appellent une relecture des politiques de développement territorial à l’aune de la gestion des risques. Dans un contexte marqué par la précarité persistante et l’exposition accrue aux chocs socio-économiques et environnementaux, la question de la résilience devient centrale. Il apparaît nécessaire d’adopter une approche intégrée de la gestion des risques, combinant interventions infrastructurelles, renforcement des capacités locales et amélioration de l’accès aux opportunités économiques.</w:t>
      </w:r>
    </w:p>
    <w:p w:rsidR="005C014D" w:rsidRPr="002462E6" w:rsidRDefault="005C014D" w:rsidP="005C014D">
      <w:pPr>
        <w:spacing w:before="100" w:beforeAutospacing="1" w:after="100" w:afterAutospacing="1" w:line="360" w:lineRule="auto"/>
        <w:jc w:val="both"/>
        <w:rPr>
          <w:rFonts w:ascii="Tahoma" w:eastAsia="Times New Roman" w:hAnsi="Tahoma" w:cs="Tahoma"/>
          <w:sz w:val="24"/>
          <w:szCs w:val="24"/>
          <w:lang w:eastAsia="fr-FR"/>
        </w:rPr>
      </w:pPr>
      <w:r w:rsidRPr="002462E6">
        <w:rPr>
          <w:rFonts w:ascii="Tahoma" w:eastAsia="Times New Roman" w:hAnsi="Tahoma" w:cs="Tahoma"/>
          <w:sz w:val="24"/>
          <w:szCs w:val="24"/>
          <w:lang w:eastAsia="fr-FR"/>
        </w:rPr>
        <w:t>Parmi les risques majeurs, le risque migratoire constitue une variable critique. L’intensification des dynamiques migratoires, souvent perçues comme stratégies d’adaptation individuelle face à la pauvreté, témoigne en réalité d’une défaillance des systèmes locaux de soutien et de projection socio-économique. À défaut d’une action publique ciblée, la migration tend à se transformer en symptôme d’un désengagement territorial, entraînant un double coût : la déstructuration des communautés locales et la perte de capital humain.</w:t>
      </w:r>
    </w:p>
    <w:p w:rsidR="005C014D" w:rsidRDefault="005C014D" w:rsidP="005C014D">
      <w:pPr>
        <w:spacing w:before="100" w:beforeAutospacing="1" w:after="100" w:afterAutospacing="1" w:line="360" w:lineRule="auto"/>
        <w:jc w:val="both"/>
        <w:rPr>
          <w:rFonts w:ascii="Tahoma" w:eastAsia="Times New Roman" w:hAnsi="Tahoma" w:cs="Tahoma"/>
          <w:sz w:val="24"/>
          <w:szCs w:val="24"/>
          <w:lang w:eastAsia="fr-FR"/>
        </w:rPr>
      </w:pPr>
      <w:r w:rsidRPr="002462E6">
        <w:rPr>
          <w:rFonts w:ascii="Tahoma" w:eastAsia="Times New Roman" w:hAnsi="Tahoma" w:cs="Tahoma"/>
          <w:sz w:val="24"/>
          <w:szCs w:val="24"/>
          <w:lang w:eastAsia="fr-FR"/>
        </w:rPr>
        <w:t xml:space="preserve">Par conséquent, une politique de développement cohérente dans la région ne saurait faire l’économie d’une gouvernance anticipative des risques. Celle-ci devrait s’appuyer sur des dispositifs de protection sociale adaptés aux spécificités rurales, sur la diversification des économies locales, et sur une meilleure articulation entre les territoires périphériques et les centres de décision régionaux. La gestion du risque migratoire, en particulier, exige une réponse systémique, fondée à la fois sur la sécurisation des conditions de vie </w:t>
      </w:r>
      <w:r w:rsidRPr="002462E6">
        <w:rPr>
          <w:rFonts w:ascii="Tahoma" w:eastAsia="Times New Roman" w:hAnsi="Tahoma" w:cs="Tahoma"/>
          <w:i/>
          <w:iCs/>
          <w:sz w:val="24"/>
          <w:szCs w:val="24"/>
          <w:lang w:eastAsia="fr-FR"/>
        </w:rPr>
        <w:t>in situ</w:t>
      </w:r>
      <w:r w:rsidRPr="002462E6">
        <w:rPr>
          <w:rFonts w:ascii="Tahoma" w:eastAsia="Times New Roman" w:hAnsi="Tahoma" w:cs="Tahoma"/>
          <w:sz w:val="24"/>
          <w:szCs w:val="24"/>
          <w:lang w:eastAsia="fr-FR"/>
        </w:rPr>
        <w:t xml:space="preserve"> et sur la valorisation des mobilités comme leviers de développement territorial, et non comme seules issues à la marginalité</w:t>
      </w:r>
    </w:p>
    <w:p w:rsidR="00E77C1A" w:rsidRPr="00334E80" w:rsidRDefault="00E77C1A" w:rsidP="007A71CC">
      <w:pPr>
        <w:pStyle w:val="Titre3"/>
      </w:pPr>
      <w:bookmarkStart w:id="474" w:name="_Toc203643135"/>
      <w:r w:rsidRPr="007A71CC">
        <w:t>Conclusion du Deuxième Chapitre</w:t>
      </w:r>
      <w:bookmarkEnd w:id="474"/>
    </w:p>
    <w:p w:rsidR="00E77C1A" w:rsidRPr="00334E80" w:rsidRDefault="00E77C1A" w:rsidP="00E77C1A">
      <w:pPr>
        <w:spacing w:before="100" w:beforeAutospacing="1" w:after="100" w:afterAutospacing="1" w:line="360" w:lineRule="auto"/>
        <w:jc w:val="both"/>
        <w:rPr>
          <w:rFonts w:ascii="Tahoma" w:eastAsia="Times New Roman" w:hAnsi="Tahoma" w:cs="Tahoma"/>
          <w:sz w:val="24"/>
          <w:szCs w:val="24"/>
          <w:lang w:eastAsia="fr-FR"/>
        </w:rPr>
      </w:pPr>
      <w:r w:rsidRPr="00C23746">
        <w:rPr>
          <w:rFonts w:ascii="Tahoma" w:eastAsia="Times New Roman" w:hAnsi="Tahoma" w:cs="Tahoma"/>
          <w:sz w:val="24"/>
          <w:szCs w:val="24"/>
          <w:lang w:eastAsia="fr-FR"/>
        </w:rPr>
        <w:t>L'analyse systémique développée révèle l'interdépendance structurelle entre dégradation forestière et risque migratoire, manifestations d'un processus de vulnérabilisation territoriale. L'étude de la forêt de Korifla confirme empiriquement l'existence d'un système d'accélérations mutuelles articulant facteurs environnementaux, structurels et socio-économiques.</w:t>
      </w:r>
    </w:p>
    <w:p w:rsidR="00E77C1A" w:rsidRPr="00334E80" w:rsidRDefault="00E77C1A" w:rsidP="00E77C1A">
      <w:pPr>
        <w:spacing w:before="100" w:beforeAutospacing="1" w:after="100" w:afterAutospacing="1" w:line="360" w:lineRule="auto"/>
        <w:jc w:val="both"/>
        <w:rPr>
          <w:rFonts w:ascii="Tahoma" w:eastAsia="Times New Roman" w:hAnsi="Tahoma" w:cs="Tahoma"/>
          <w:sz w:val="24"/>
          <w:szCs w:val="24"/>
          <w:lang w:eastAsia="fr-FR"/>
        </w:rPr>
      </w:pPr>
      <w:r w:rsidRPr="00C23746">
        <w:rPr>
          <w:rFonts w:ascii="Tahoma" w:eastAsia="Times New Roman" w:hAnsi="Tahoma" w:cs="Tahoma"/>
          <w:sz w:val="24"/>
          <w:szCs w:val="24"/>
          <w:lang w:eastAsia="fr-FR"/>
        </w:rPr>
        <w:t xml:space="preserve">La modélisation </w:t>
      </w:r>
      <w:r w:rsidRPr="00334E80">
        <w:rPr>
          <w:rFonts w:ascii="Tahoma" w:eastAsia="Times New Roman" w:hAnsi="Tahoma" w:cs="Tahoma"/>
          <w:sz w:val="24"/>
          <w:szCs w:val="24"/>
          <w:lang w:eastAsia="fr-FR"/>
        </w:rPr>
        <w:t xml:space="preserve">systémique </w:t>
      </w:r>
      <w:r w:rsidRPr="00C23746">
        <w:rPr>
          <w:rFonts w:ascii="Tahoma" w:eastAsia="Times New Roman" w:hAnsi="Tahoma" w:cs="Tahoma"/>
          <w:sz w:val="24"/>
          <w:szCs w:val="24"/>
          <w:lang w:eastAsia="fr-FR"/>
        </w:rPr>
        <w:t>proposée démontre que la dégradation des écosystèmes forestiers marocains résulte de l'interaction complexe entre déterminants immédiats (pression démographique, surexploitation), structurels (sous-développement rural, déficit de recherche) et systémiques (changement climatique). Cette dynamique génère une spirale de dégradation caractérisée par des effets de rétroaction compromettant les équilibres territoriaux.</w:t>
      </w:r>
    </w:p>
    <w:p w:rsidR="00E77C1A" w:rsidRPr="00C23746" w:rsidRDefault="00E77C1A" w:rsidP="00E77C1A">
      <w:pPr>
        <w:spacing w:before="100" w:beforeAutospacing="1" w:after="100" w:afterAutospacing="1" w:line="360" w:lineRule="auto"/>
        <w:jc w:val="both"/>
        <w:rPr>
          <w:rFonts w:ascii="Tahoma" w:eastAsia="Times New Roman" w:hAnsi="Tahoma" w:cs="Tahoma"/>
          <w:sz w:val="24"/>
          <w:szCs w:val="24"/>
          <w:lang w:eastAsia="fr-FR"/>
        </w:rPr>
      </w:pPr>
      <w:r w:rsidRPr="00C23746">
        <w:rPr>
          <w:rFonts w:ascii="Tahoma" w:eastAsia="Times New Roman" w:hAnsi="Tahoma" w:cs="Tahoma"/>
          <w:sz w:val="24"/>
          <w:szCs w:val="24"/>
          <w:lang w:eastAsia="fr-FR"/>
        </w:rPr>
        <w:t>L'étude de Korifla confirme la convergen</w:t>
      </w:r>
      <w:r w:rsidRPr="00334E80">
        <w:rPr>
          <w:rFonts w:ascii="Tahoma" w:eastAsia="Times New Roman" w:hAnsi="Tahoma" w:cs="Tahoma"/>
          <w:sz w:val="24"/>
          <w:szCs w:val="24"/>
          <w:lang w:eastAsia="fr-FR"/>
        </w:rPr>
        <w:t>ce de vulnérabilités critiques à savoir l’</w:t>
      </w:r>
      <w:r w:rsidRPr="00C23746">
        <w:rPr>
          <w:rFonts w:ascii="Tahoma" w:eastAsia="Times New Roman" w:hAnsi="Tahoma" w:cs="Tahoma"/>
          <w:sz w:val="24"/>
          <w:szCs w:val="24"/>
          <w:lang w:eastAsia="fr-FR"/>
        </w:rPr>
        <w:t xml:space="preserve">isolement géographique (95% des populations à plus de 10 km des centres de santé), </w:t>
      </w:r>
      <w:r w:rsidRPr="00334E80">
        <w:rPr>
          <w:rFonts w:ascii="Tahoma" w:eastAsia="Times New Roman" w:hAnsi="Tahoma" w:cs="Tahoma"/>
          <w:sz w:val="24"/>
          <w:szCs w:val="24"/>
          <w:lang w:eastAsia="fr-FR"/>
        </w:rPr>
        <w:t xml:space="preserve">la </w:t>
      </w:r>
      <w:r w:rsidRPr="00C23746">
        <w:rPr>
          <w:rFonts w:ascii="Tahoma" w:eastAsia="Times New Roman" w:hAnsi="Tahoma" w:cs="Tahoma"/>
          <w:sz w:val="24"/>
          <w:szCs w:val="24"/>
          <w:lang w:eastAsia="fr-FR"/>
        </w:rPr>
        <w:t xml:space="preserve">précarité économique généralisée malgré une hyperparticipation (97% de population active), et </w:t>
      </w:r>
      <w:r w:rsidRPr="00334E80">
        <w:rPr>
          <w:rFonts w:ascii="Tahoma" w:eastAsia="Times New Roman" w:hAnsi="Tahoma" w:cs="Tahoma"/>
          <w:sz w:val="24"/>
          <w:szCs w:val="24"/>
          <w:lang w:eastAsia="fr-FR"/>
        </w:rPr>
        <w:t xml:space="preserve">la </w:t>
      </w:r>
      <w:r w:rsidRPr="00C23746">
        <w:rPr>
          <w:rFonts w:ascii="Tahoma" w:eastAsia="Times New Roman" w:hAnsi="Tahoma" w:cs="Tahoma"/>
          <w:sz w:val="24"/>
          <w:szCs w:val="24"/>
          <w:lang w:eastAsia="fr-FR"/>
        </w:rPr>
        <w:t>perception unanime de dégradation environnementale (95% des enquêtés). Cette configuration illustre le cercle vicieux pauvreté-dégradation où la survie immédiate contraint à la surexploitation forestière.</w:t>
      </w:r>
    </w:p>
    <w:p w:rsidR="00E77C1A" w:rsidRPr="00C23746" w:rsidRDefault="00E77C1A" w:rsidP="00E77C1A">
      <w:pPr>
        <w:spacing w:before="100" w:beforeAutospacing="1" w:after="100" w:afterAutospacing="1" w:line="360" w:lineRule="auto"/>
        <w:jc w:val="both"/>
        <w:rPr>
          <w:rFonts w:ascii="Tahoma" w:eastAsia="Times New Roman" w:hAnsi="Tahoma" w:cs="Tahoma"/>
          <w:sz w:val="24"/>
          <w:szCs w:val="24"/>
          <w:lang w:eastAsia="fr-FR"/>
        </w:rPr>
      </w:pPr>
      <w:r w:rsidRPr="00C23746">
        <w:rPr>
          <w:rFonts w:ascii="Tahoma" w:eastAsia="Times New Roman" w:hAnsi="Tahoma" w:cs="Tahoma"/>
          <w:sz w:val="24"/>
          <w:szCs w:val="24"/>
          <w:lang w:eastAsia="fr-FR"/>
        </w:rPr>
        <w:t>L'analyse des aspirations migratoires (51% des populations) révèle que la migration constitue une stratégie d'échappement face aux déficits territoriaux. Paradoxalement, 49% des enquêtés demeurent attachés au territoire, révélant des mécanismes complexes de résilience locale coexistant avec les projets de départ.</w:t>
      </w:r>
    </w:p>
    <w:p w:rsidR="00E77C1A" w:rsidRPr="00C23746" w:rsidRDefault="00E77C1A" w:rsidP="00E77C1A">
      <w:pPr>
        <w:spacing w:before="100" w:beforeAutospacing="1" w:after="100" w:afterAutospacing="1" w:line="360" w:lineRule="auto"/>
        <w:jc w:val="both"/>
        <w:rPr>
          <w:rFonts w:ascii="Tahoma" w:eastAsia="Times New Roman" w:hAnsi="Tahoma" w:cs="Tahoma"/>
          <w:sz w:val="24"/>
          <w:szCs w:val="24"/>
          <w:lang w:eastAsia="fr-FR"/>
        </w:rPr>
      </w:pPr>
      <w:r w:rsidRPr="00C23746">
        <w:rPr>
          <w:rFonts w:ascii="Tahoma" w:eastAsia="Times New Roman" w:hAnsi="Tahoma" w:cs="Tahoma"/>
          <w:sz w:val="24"/>
          <w:szCs w:val="24"/>
          <w:lang w:eastAsia="fr-FR"/>
        </w:rPr>
        <w:t>L'insatisfaction massive concernant les politiques de reboisement (91% des douars) révèle l'inadéquation des approches technocratiques "top-down". Les suggestions d'amélioration formulées par les populations dessinent une vision intégrée transcendant l'opposition traditionnelle entre conservation et développement.</w:t>
      </w:r>
    </w:p>
    <w:p w:rsidR="00E77C1A" w:rsidRDefault="00E77C1A" w:rsidP="00E77C1A">
      <w:pPr>
        <w:spacing w:before="100" w:beforeAutospacing="1" w:after="100" w:afterAutospacing="1" w:line="360" w:lineRule="auto"/>
        <w:jc w:val="both"/>
        <w:rPr>
          <w:rFonts w:ascii="Tahoma" w:eastAsia="Times New Roman" w:hAnsi="Tahoma" w:cs="Tahoma"/>
          <w:sz w:val="24"/>
          <w:szCs w:val="24"/>
          <w:lang w:eastAsia="fr-FR"/>
        </w:rPr>
      </w:pPr>
      <w:r w:rsidRPr="00334E80">
        <w:rPr>
          <w:rFonts w:ascii="Tahoma" w:eastAsia="Times New Roman" w:hAnsi="Tahoma" w:cs="Tahoma"/>
          <w:sz w:val="24"/>
          <w:szCs w:val="24"/>
          <w:lang w:eastAsia="fr-FR"/>
        </w:rPr>
        <w:t>Cette analyse</w:t>
      </w:r>
      <w:r w:rsidRPr="00C23746">
        <w:rPr>
          <w:rFonts w:ascii="Tahoma" w:eastAsia="Times New Roman" w:hAnsi="Tahoma" w:cs="Tahoma"/>
          <w:sz w:val="24"/>
          <w:szCs w:val="24"/>
          <w:lang w:eastAsia="fr-FR"/>
        </w:rPr>
        <w:t xml:space="preserve"> confirme l'urgence d'un renouvellement paradigmatique vers des modèles participatifs et territorialisés articulant conservation environnementale, justice sociale et viabilité économique.</w:t>
      </w:r>
    </w:p>
    <w:p w:rsidR="00C67460" w:rsidRDefault="00C67460">
      <w:pPr>
        <w:rPr>
          <w:rFonts w:ascii="Tahoma" w:eastAsia="Times New Roman" w:hAnsi="Tahoma" w:cs="Tahoma"/>
          <w:sz w:val="24"/>
          <w:szCs w:val="24"/>
          <w:lang w:eastAsia="fr-FR"/>
        </w:rPr>
      </w:pPr>
      <w:r>
        <w:rPr>
          <w:rFonts w:ascii="Tahoma" w:eastAsia="Times New Roman" w:hAnsi="Tahoma" w:cs="Tahoma"/>
          <w:sz w:val="24"/>
          <w:szCs w:val="24"/>
          <w:lang w:eastAsia="fr-FR"/>
        </w:rPr>
        <w:br w:type="page"/>
      </w:r>
    </w:p>
    <w:p w:rsidR="00C67460" w:rsidRPr="00EA08BF" w:rsidRDefault="00C67460" w:rsidP="007A71CC">
      <w:pPr>
        <w:pStyle w:val="Titre3"/>
      </w:pPr>
      <w:bookmarkStart w:id="475" w:name="_Toc203643136"/>
      <w:r w:rsidRPr="007A71CC">
        <w:t>Conclusion de la deuxième partie :</w:t>
      </w:r>
      <w:bookmarkEnd w:id="475"/>
    </w:p>
    <w:p w:rsidR="00C67460" w:rsidRPr="00EA08BF" w:rsidRDefault="00C67460" w:rsidP="00C67460">
      <w:pPr>
        <w:spacing w:before="100" w:beforeAutospacing="1" w:after="100" w:afterAutospacing="1" w:line="360" w:lineRule="auto"/>
        <w:jc w:val="both"/>
        <w:rPr>
          <w:rFonts w:ascii="Tahoma" w:eastAsia="Times New Roman" w:hAnsi="Tahoma" w:cs="Tahoma"/>
          <w:sz w:val="24"/>
          <w:szCs w:val="24"/>
          <w:lang w:eastAsia="fr-FR"/>
        </w:rPr>
      </w:pPr>
      <w:r w:rsidRPr="00EA08BF">
        <w:rPr>
          <w:rFonts w:ascii="Tahoma" w:eastAsia="Times New Roman" w:hAnsi="Tahoma" w:cs="Tahoma"/>
          <w:sz w:val="24"/>
          <w:szCs w:val="24"/>
          <w:lang w:eastAsia="fr-FR"/>
        </w:rPr>
        <w:t>Cette deuxième partie révèle la complexité des enjeux territoriaux contemporains au Maroc, caractérisée par l'articulation problématique entre paradigmes de développement, impératifs de conservation et aspirations des populations rurales.</w:t>
      </w:r>
    </w:p>
    <w:p w:rsidR="00C67460" w:rsidRPr="00EA08BF" w:rsidRDefault="00C67460" w:rsidP="00C67460">
      <w:pPr>
        <w:spacing w:before="100" w:beforeAutospacing="1" w:after="100" w:afterAutospacing="1" w:line="360" w:lineRule="auto"/>
        <w:jc w:val="both"/>
        <w:rPr>
          <w:rFonts w:ascii="Tahoma" w:eastAsia="Times New Roman" w:hAnsi="Tahoma" w:cs="Tahoma"/>
          <w:sz w:val="24"/>
          <w:szCs w:val="24"/>
          <w:lang w:eastAsia="fr-FR"/>
        </w:rPr>
      </w:pPr>
      <w:r w:rsidRPr="00EA08BF">
        <w:rPr>
          <w:rFonts w:ascii="Tahoma" w:eastAsia="Times New Roman" w:hAnsi="Tahoma" w:cs="Tahoma"/>
          <w:sz w:val="24"/>
          <w:szCs w:val="24"/>
          <w:lang w:eastAsia="fr-FR"/>
        </w:rPr>
        <w:t>L'analyse conceptuelle du territoire et l'investigation empirique de la forêt de Korifla convergent pour révéler un système de contradictions structurelles. Malgré une rhétorique participative omniprésente, la pratique demeure ancrée dans des approches technocratiques héritées de la période coloniale. Cette persis</w:t>
      </w:r>
      <w:r>
        <w:rPr>
          <w:rFonts w:ascii="Tahoma" w:eastAsia="Times New Roman" w:hAnsi="Tahoma" w:cs="Tahoma"/>
          <w:sz w:val="24"/>
          <w:szCs w:val="24"/>
          <w:lang w:eastAsia="fr-FR"/>
        </w:rPr>
        <w:t xml:space="preserve">                                                                                                                       </w:t>
      </w:r>
      <w:r w:rsidRPr="00EA08BF">
        <w:rPr>
          <w:rFonts w:ascii="Tahoma" w:eastAsia="Times New Roman" w:hAnsi="Tahoma" w:cs="Tahoma"/>
          <w:sz w:val="24"/>
          <w:szCs w:val="24"/>
          <w:lang w:eastAsia="fr-FR"/>
        </w:rPr>
        <w:t>tance génère un processus de vulnérabilisation territoriale où s'articulent dégradation forestière, précarité socio-économique et aspirations migratoires selon une logique d'accélérations mutuelles.</w:t>
      </w:r>
    </w:p>
    <w:p w:rsidR="00C67460" w:rsidRPr="00EA08BF" w:rsidRDefault="00C67460" w:rsidP="00C67460">
      <w:pPr>
        <w:spacing w:before="100" w:beforeAutospacing="1" w:after="100" w:afterAutospacing="1" w:line="360" w:lineRule="auto"/>
        <w:jc w:val="both"/>
        <w:rPr>
          <w:rFonts w:ascii="Tahoma" w:eastAsia="Times New Roman" w:hAnsi="Tahoma" w:cs="Tahoma"/>
          <w:sz w:val="24"/>
          <w:szCs w:val="24"/>
          <w:lang w:eastAsia="fr-FR"/>
        </w:rPr>
      </w:pPr>
      <w:r w:rsidRPr="00EA08BF">
        <w:rPr>
          <w:rFonts w:ascii="Tahoma" w:eastAsia="Times New Roman" w:hAnsi="Tahoma" w:cs="Tahoma"/>
          <w:sz w:val="24"/>
          <w:szCs w:val="24"/>
          <w:lang w:eastAsia="fr-FR"/>
        </w:rPr>
        <w:t>L'étude de Korifla confirme empiriquement cette dynamique : isolement géographique critique (95% des populations à plus de 10 km des centres de santé), vulnérabilité économique généralisée malgré une hyperparticipation (97% de population active), et perception unanime de dégradation environnementale. Cette configuration illustre parfaitement le cercle vicieux pauvreté-dégradation qui transforme progressivement la migration (51% d'aspirations) en stratégie d'échappement territorial.</w:t>
      </w:r>
    </w:p>
    <w:p w:rsidR="00C67460" w:rsidRPr="00EA08BF" w:rsidRDefault="00C67460" w:rsidP="00C67460">
      <w:pPr>
        <w:spacing w:before="100" w:beforeAutospacing="1" w:after="100" w:afterAutospacing="1" w:line="360" w:lineRule="auto"/>
        <w:jc w:val="both"/>
        <w:rPr>
          <w:rFonts w:ascii="Tahoma" w:eastAsia="Times New Roman" w:hAnsi="Tahoma" w:cs="Tahoma"/>
          <w:sz w:val="24"/>
          <w:szCs w:val="24"/>
          <w:lang w:eastAsia="fr-FR"/>
        </w:rPr>
      </w:pPr>
      <w:r w:rsidRPr="00EA08BF">
        <w:rPr>
          <w:rFonts w:ascii="Tahoma" w:eastAsia="Times New Roman" w:hAnsi="Tahoma" w:cs="Tahoma"/>
          <w:sz w:val="24"/>
          <w:szCs w:val="24"/>
          <w:lang w:eastAsia="fr-FR"/>
        </w:rPr>
        <w:t>L'insatisfaction massive concernant les politiques publiques (91% pour le reboisement) révèle l'inadéquation fondamentale des approches "top-down" qui négligent la participation communautaire. Paradoxalement, les suggestions d'amélioration formulées par les populations - infrastructures de base (57%), opportunités économiques (32%), gouvernance environnementale (11%) - dessinent une vision intégrée qui transcende l'opposition traditionnelle entre conservation et développement.</w:t>
      </w:r>
    </w:p>
    <w:p w:rsidR="00C67460" w:rsidRPr="00EA08BF" w:rsidRDefault="00C67460" w:rsidP="00C67460">
      <w:pPr>
        <w:spacing w:before="100" w:beforeAutospacing="1" w:after="100" w:afterAutospacing="1" w:line="360" w:lineRule="auto"/>
        <w:jc w:val="both"/>
        <w:rPr>
          <w:rFonts w:ascii="Tahoma" w:eastAsia="Times New Roman" w:hAnsi="Tahoma" w:cs="Tahoma"/>
          <w:sz w:val="24"/>
          <w:szCs w:val="24"/>
          <w:lang w:eastAsia="fr-FR"/>
        </w:rPr>
      </w:pPr>
      <w:r w:rsidRPr="00EA08BF">
        <w:rPr>
          <w:rFonts w:ascii="Tahoma" w:eastAsia="Times New Roman" w:hAnsi="Tahoma" w:cs="Tahoma"/>
          <w:sz w:val="24"/>
          <w:szCs w:val="24"/>
          <w:lang w:eastAsia="fr-FR"/>
        </w:rPr>
        <w:t>Cette investigation démontre l'urgence d'un renouvellement paradigmatique vers des modèles participatifs et territorialisés qui articulent conservation environnementale, justice sociale et viabilité économique. L'avenir des territoires forestiers marocains demeure tributaire de la capacité collective à concevoir des stratégies intégrées valorisant la complémentarité entre expertise technique et savoirs vernaculaires, dépassant les cloisonnements sectoriels pour appréhender la complexité des interactions socio-écologiques.</w:t>
      </w:r>
    </w:p>
    <w:p w:rsidR="00C67460" w:rsidRPr="00EA08BF" w:rsidRDefault="00C67460" w:rsidP="00C67460">
      <w:pPr>
        <w:spacing w:before="100" w:beforeAutospacing="1" w:after="100" w:afterAutospacing="1" w:line="360" w:lineRule="auto"/>
        <w:jc w:val="both"/>
        <w:rPr>
          <w:rFonts w:ascii="Tahoma" w:eastAsia="Times New Roman" w:hAnsi="Tahoma" w:cs="Tahoma"/>
          <w:sz w:val="24"/>
          <w:szCs w:val="24"/>
          <w:lang w:eastAsia="fr-FR"/>
        </w:rPr>
      </w:pPr>
      <w:r w:rsidRPr="00EA08BF">
        <w:rPr>
          <w:rFonts w:ascii="Tahoma" w:eastAsia="Times New Roman" w:hAnsi="Tahoma" w:cs="Tahoma"/>
          <w:sz w:val="24"/>
          <w:szCs w:val="24"/>
          <w:lang w:eastAsia="fr-FR"/>
        </w:rPr>
        <w:t>Cette refondation constitue l'un des défis majeurs de la transition écologique contemporaine et interroge fondamentalement les modalités de mise en œuvre du Nouveau Modèle de Développement face à la diversité des réalités territoriales marocaines.</w:t>
      </w:r>
    </w:p>
    <w:p w:rsidR="00C67460" w:rsidRPr="00EA08BF" w:rsidRDefault="00C67460" w:rsidP="00C67460">
      <w:pPr>
        <w:spacing w:line="360" w:lineRule="auto"/>
        <w:jc w:val="both"/>
        <w:rPr>
          <w:rFonts w:ascii="Tahoma" w:hAnsi="Tahoma" w:cs="Tahoma"/>
        </w:rPr>
      </w:pPr>
    </w:p>
    <w:p w:rsidR="00C67460" w:rsidRPr="00C23746" w:rsidRDefault="00C67460" w:rsidP="00E77C1A">
      <w:pPr>
        <w:spacing w:before="100" w:beforeAutospacing="1" w:after="100" w:afterAutospacing="1" w:line="360" w:lineRule="auto"/>
        <w:jc w:val="both"/>
        <w:rPr>
          <w:rFonts w:ascii="Tahoma" w:eastAsia="Times New Roman" w:hAnsi="Tahoma" w:cs="Tahoma"/>
          <w:sz w:val="24"/>
          <w:szCs w:val="24"/>
          <w:lang w:eastAsia="fr-FR"/>
        </w:rPr>
      </w:pPr>
    </w:p>
    <w:p w:rsidR="00B96EC1" w:rsidRPr="002462E6" w:rsidRDefault="00B96EC1" w:rsidP="005C014D">
      <w:pPr>
        <w:spacing w:before="100" w:beforeAutospacing="1" w:after="100" w:afterAutospacing="1" w:line="360" w:lineRule="auto"/>
        <w:jc w:val="both"/>
        <w:rPr>
          <w:rFonts w:ascii="Tahoma" w:eastAsia="Times New Roman" w:hAnsi="Tahoma" w:cs="Tahoma"/>
          <w:sz w:val="24"/>
          <w:szCs w:val="24"/>
          <w:lang w:eastAsia="fr-FR"/>
        </w:rPr>
      </w:pPr>
    </w:p>
    <w:p w:rsidR="005C014D" w:rsidRPr="002462E6" w:rsidRDefault="005C014D" w:rsidP="00B96EC1">
      <w:pPr>
        <w:rPr>
          <w:rFonts w:ascii="Tahoma" w:hAnsi="Tahoma" w:cs="Tahoma"/>
          <w:sz w:val="24"/>
          <w:szCs w:val="24"/>
        </w:rPr>
      </w:pPr>
      <w:r w:rsidRPr="002462E6">
        <w:rPr>
          <w:rFonts w:ascii="Tahoma" w:hAnsi="Tahoma" w:cs="Tahoma"/>
          <w:sz w:val="24"/>
          <w:szCs w:val="24"/>
        </w:rPr>
        <w:br w:type="page"/>
      </w:r>
    </w:p>
    <w:p w:rsidR="005C014D" w:rsidRPr="002462E6" w:rsidRDefault="004A7654" w:rsidP="005C014D">
      <w:pPr>
        <w:rPr>
          <w:rFonts w:ascii="Tahoma" w:hAnsi="Tahoma" w:cs="Tahoma"/>
          <w:sz w:val="24"/>
          <w:szCs w:val="24"/>
        </w:rPr>
      </w:pPr>
      <w:r w:rsidRPr="002462E6">
        <w:rPr>
          <w:rFonts w:ascii="Tahoma" w:eastAsia="Calibri" w:hAnsi="Tahoma" w:cs="Tahoma"/>
          <w:b/>
          <w:bCs/>
          <w:noProof/>
          <w:color w:val="00B050"/>
          <w:spacing w:val="5"/>
          <w:kern w:val="28"/>
          <w:sz w:val="32"/>
          <w:szCs w:val="32"/>
          <w:lang w:eastAsia="fr-FR"/>
        </w:rPr>
        <mc:AlternateContent>
          <mc:Choice Requires="wps">
            <w:drawing>
              <wp:anchor distT="0" distB="0" distL="114300" distR="114300" simplePos="0" relativeHeight="251761664" behindDoc="0" locked="0" layoutInCell="1" allowOverlap="1" wp14:anchorId="69EE848A" wp14:editId="7E5F8F27">
                <wp:simplePos x="0" y="0"/>
                <wp:positionH relativeFrom="column">
                  <wp:posOffset>-88365</wp:posOffset>
                </wp:positionH>
                <wp:positionV relativeFrom="paragraph">
                  <wp:posOffset>-258011</wp:posOffset>
                </wp:positionV>
                <wp:extent cx="6593205" cy="9721149"/>
                <wp:effectExtent l="19050" t="19050" r="36195" b="33020"/>
                <wp:wrapNone/>
                <wp:docPr id="25" name="Rectangle 25"/>
                <wp:cNvGraphicFramePr/>
                <a:graphic xmlns:a="http://schemas.openxmlformats.org/drawingml/2006/main">
                  <a:graphicData uri="http://schemas.microsoft.com/office/word/2010/wordprocessingShape">
                    <wps:wsp>
                      <wps:cNvSpPr/>
                      <wps:spPr>
                        <a:xfrm>
                          <a:off x="0" y="0"/>
                          <a:ext cx="6593205" cy="9721149"/>
                        </a:xfrm>
                        <a:prstGeom prst="rect">
                          <a:avLst/>
                        </a:prstGeom>
                        <a:solidFill>
                          <a:sysClr val="window" lastClr="FFFFFF"/>
                        </a:solidFill>
                        <a:ln w="57150" cap="flat" cmpd="thinThick" algn="ctr">
                          <a:solidFill>
                            <a:sysClr val="windowText" lastClr="000000"/>
                          </a:solidFill>
                          <a:prstDash val="solid"/>
                          <a:miter lim="800000"/>
                        </a:ln>
                        <a:effectLst/>
                      </wps:spPr>
                      <wps:txbx>
                        <w:txbxContent>
                          <w:p w:rsidR="0083519B" w:rsidRPr="004A7654" w:rsidRDefault="0083519B" w:rsidP="007D3EBC">
                            <w:pPr>
                              <w:jc w:val="center"/>
                              <w:rPr>
                                <w:rFonts w:ascii="Tahoma" w:hAnsi="Tahoma" w:cs="Tahoma"/>
                                <w:b/>
                                <w:bCs/>
                              </w:rPr>
                            </w:pPr>
                            <w:r w:rsidRPr="004A7654">
                              <w:rPr>
                                <w:rFonts w:ascii="Tahoma" w:hAnsi="Tahoma" w:cs="Tahoma"/>
                                <w:b/>
                                <w:bCs/>
                                <w:sz w:val="52"/>
                                <w:szCs w:val="52"/>
                              </w:rPr>
                              <w:t>C</w:t>
                            </w:r>
                            <w:r>
                              <w:rPr>
                                <w:rFonts w:ascii="Tahoma" w:hAnsi="Tahoma" w:cs="Tahoma"/>
                                <w:b/>
                                <w:bCs/>
                                <w:sz w:val="52"/>
                                <w:szCs w:val="52"/>
                              </w:rPr>
                              <w:t>onclusion générale</w:t>
                            </w:r>
                          </w:p>
                          <w:p w:rsidR="0083519B" w:rsidRDefault="0083519B" w:rsidP="00D80A13">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9EE848A" id="Rectangle 25" o:spid="_x0000_s1062" style="position:absolute;margin-left:-6.95pt;margin-top:-20.3pt;width:519.15pt;height:765.45pt;z-index:2517616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" fillcolor="window" strokecolor="windowText" strokeweight="4.5pt">
                <v:stroke linestyle="thinThick"/>
                <v:textbox>
                  <w:txbxContent>
                    <w:p w:rsidR="0083519B" w:rsidRPr="004A7654" w:rsidRDefault="0083519B" w:rsidP="007D3EBC">
                      <w:pPr>
                        <w:jc w:val="center"/>
                        <w:rPr>
                          <w:rFonts w:ascii="Tahoma" w:hAnsi="Tahoma" w:cs="Tahoma"/>
                          <w:b/>
                          <w:bCs/>
                        </w:rPr>
                      </w:pPr>
                      <w:r w:rsidRPr="004A7654">
                        <w:rPr>
                          <w:rFonts w:ascii="Tahoma" w:hAnsi="Tahoma" w:cs="Tahoma"/>
                          <w:b/>
                          <w:bCs/>
                          <w:sz w:val="52"/>
                          <w:szCs w:val="52"/>
                        </w:rPr>
                        <w:t>C</w:t>
                      </w:r>
                      <w:r>
                        <w:rPr>
                          <w:rFonts w:ascii="Tahoma" w:hAnsi="Tahoma" w:cs="Tahoma"/>
                          <w:b/>
                          <w:bCs/>
                          <w:sz w:val="52"/>
                          <w:szCs w:val="52"/>
                        </w:rPr>
                        <w:t>onclusion générale</w:t>
                      </w:r>
                    </w:p>
                    <w:p w:rsidR="0083519B" w:rsidRDefault="0083519B" w:rsidP="00D80A13">
                      <w:pPr>
                        <w:jc w:val="center"/>
                      </w:pPr>
                    </w:p>
                  </w:txbxContent>
                </v:textbox>
              </v:rect>
            </w:pict>
          </mc:Fallback>
        </mc:AlternateContent>
      </w:r>
    </w:p>
    <w:p w:rsidR="00765D4A" w:rsidRPr="002462E6" w:rsidRDefault="00D80A13" w:rsidP="004A7654">
      <w:r w:rsidRPr="002462E6">
        <w:br w:type="page"/>
      </w:r>
    </w:p>
    <w:p w:rsidR="007D3EBC" w:rsidRPr="002F1A32" w:rsidRDefault="00765D4A" w:rsidP="002F1A32">
      <w:pPr>
        <w:pStyle w:val="Titre"/>
      </w:pPr>
      <w:bookmarkStart w:id="476" w:name="_Toc201570871"/>
      <w:bookmarkStart w:id="477" w:name="_Toc201570929"/>
      <w:bookmarkStart w:id="478" w:name="_Toc201655543"/>
      <w:bookmarkStart w:id="479" w:name="_Toc201655559"/>
      <w:bookmarkStart w:id="480" w:name="_Toc203643137"/>
      <w:r w:rsidRPr="002F1A32">
        <w:t>Conclusion générale :</w:t>
      </w:r>
      <w:bookmarkEnd w:id="476"/>
      <w:bookmarkEnd w:id="477"/>
      <w:bookmarkEnd w:id="478"/>
      <w:bookmarkEnd w:id="479"/>
      <w:bookmarkEnd w:id="480"/>
    </w:p>
    <w:p w:rsidR="007D3EBC" w:rsidRPr="002462E6" w:rsidRDefault="007D3EBC" w:rsidP="007D3EBC">
      <w:pPr>
        <w:rPr>
          <w:rFonts w:ascii="Tahoma" w:hAnsi="Tahoma" w:cs="Tahoma"/>
          <w:sz w:val="24"/>
          <w:szCs w:val="24"/>
        </w:rPr>
      </w:pPr>
    </w:p>
    <w:p w:rsidR="007D3EBC" w:rsidRPr="002462E6" w:rsidRDefault="007D3EBC" w:rsidP="007D3EBC">
      <w:pPr>
        <w:spacing w:line="360" w:lineRule="auto"/>
        <w:jc w:val="both"/>
        <w:rPr>
          <w:rFonts w:ascii="Tahoma" w:hAnsi="Tahoma" w:cs="Tahoma"/>
          <w:sz w:val="24"/>
          <w:szCs w:val="24"/>
        </w:rPr>
      </w:pPr>
      <w:r w:rsidRPr="002462E6">
        <w:rPr>
          <w:rFonts w:ascii="Tahoma" w:hAnsi="Tahoma" w:cs="Tahoma"/>
          <w:sz w:val="24"/>
          <w:szCs w:val="24"/>
        </w:rPr>
        <w:t>La présente recherche doctorale s'inscrit dans une démarche épistémologique qui interroge les paradigmes dominants de la gestion forestière au Maroc à travers l'analyse systémique de leurs implications sur les dynamiques migratoires rurales. Cette recherche, fondée sur une approche interdisciplinaire articulant géographie politique, sociologie environnementale et analyse institutionnelle, révèle la complexité des interactions entre dégradation écosystémique, vulnérabilités territoriales et stratégies d'adaptation des populations rurales.</w:t>
      </w:r>
    </w:p>
    <w:p w:rsidR="007D3EBC" w:rsidRPr="002462E6" w:rsidRDefault="007D3EBC" w:rsidP="007D3EBC">
      <w:pPr>
        <w:spacing w:line="360" w:lineRule="auto"/>
        <w:jc w:val="both"/>
        <w:rPr>
          <w:rFonts w:ascii="Tahoma" w:hAnsi="Tahoma" w:cs="Tahoma"/>
          <w:sz w:val="24"/>
          <w:szCs w:val="24"/>
        </w:rPr>
      </w:pPr>
      <w:r w:rsidRPr="002462E6">
        <w:rPr>
          <w:rFonts w:ascii="Tahoma" w:hAnsi="Tahoma" w:cs="Tahoma"/>
          <w:sz w:val="24"/>
          <w:szCs w:val="24"/>
        </w:rPr>
        <w:t>Elle propose une contribution théorique originale à travers la conceptualisation du "risque accélératif migratoire" comme paradigme explicatif des dysfonctionnements territoriaux en contexte de dégradation environnementale. Cette conceptualisation dépasse les approches linéaires traditionnelles de la migration environnementale¹ pour révéler l'existence d'un système d'accélérations mutuelles où s'articulent, selon une logique de rétroaction positive, facteurs environnementaux (dégradation forestière), structurels (défaillances institutionnelles) et socio-économiques (précarité rurale).</w:t>
      </w:r>
    </w:p>
    <w:p w:rsidR="007D3EBC" w:rsidRPr="002462E6" w:rsidRDefault="007D3EBC" w:rsidP="007D3EBC">
      <w:pPr>
        <w:spacing w:line="360" w:lineRule="auto"/>
        <w:jc w:val="both"/>
        <w:rPr>
          <w:rFonts w:ascii="Tahoma" w:hAnsi="Tahoma" w:cs="Tahoma"/>
          <w:sz w:val="24"/>
          <w:szCs w:val="24"/>
        </w:rPr>
      </w:pPr>
      <w:r w:rsidRPr="002462E6">
        <w:rPr>
          <w:rFonts w:ascii="Tahoma" w:hAnsi="Tahoma" w:cs="Tahoma"/>
          <w:sz w:val="24"/>
          <w:szCs w:val="24"/>
        </w:rPr>
        <w:t>Le modèle théorique développé s'appuie sur la théorie des systèmes adaptatifs complexes² pour démontrer que la migration ne constitue pas une simple conséquence de la dégradation environnementale, mais une stratégie d'adaptation révélatrice de l'accumulation systémique des vulnérabilités territoriales. Cette perspective enrichit substantiellement les corpus théoriques existants en intégrant les dimensions temporelles et spatiales des processus de vulnérabilisation dans une approche systémique inédite.</w:t>
      </w:r>
    </w:p>
    <w:p w:rsidR="007D3EBC" w:rsidRPr="002462E6" w:rsidRDefault="007D3EBC" w:rsidP="00B30CB6">
      <w:pPr>
        <w:spacing w:line="360" w:lineRule="auto"/>
        <w:jc w:val="both"/>
        <w:rPr>
          <w:rFonts w:ascii="Tahoma" w:hAnsi="Tahoma" w:cs="Tahoma"/>
          <w:sz w:val="24"/>
          <w:szCs w:val="24"/>
        </w:rPr>
      </w:pPr>
      <w:r w:rsidRPr="002462E6">
        <w:rPr>
          <w:rFonts w:ascii="Tahoma" w:hAnsi="Tahoma" w:cs="Tahoma"/>
          <w:sz w:val="24"/>
          <w:szCs w:val="24"/>
        </w:rPr>
        <w:t>L'analyse diachronique de la trajectoire institutionnelle révèle l'existence d'une dialectique complexe entre institutions coutumières (AGDAL, Jemaâ) et institutions modernes (administration forestière centralisée). Cette recherche confirme la pertinence heuristique des travaux d'Ostrom³ sur la gouvernance polycentrique tout en révélant les mécanismes spécifiques de marginalisation des savoirs vernaculaires dans le contexte post-colonial marocain.</w:t>
      </w:r>
    </w:p>
    <w:p w:rsidR="007D3EBC" w:rsidRPr="002462E6" w:rsidRDefault="007D3EBC" w:rsidP="007D3EBC">
      <w:pPr>
        <w:spacing w:line="360" w:lineRule="auto"/>
        <w:jc w:val="both"/>
        <w:rPr>
          <w:rFonts w:ascii="Tahoma" w:hAnsi="Tahoma" w:cs="Tahoma"/>
          <w:sz w:val="24"/>
          <w:szCs w:val="24"/>
        </w:rPr>
      </w:pPr>
      <w:r w:rsidRPr="002462E6">
        <w:rPr>
          <w:rFonts w:ascii="Tahoma" w:hAnsi="Tahoma" w:cs="Tahoma"/>
          <w:sz w:val="24"/>
          <w:szCs w:val="24"/>
        </w:rPr>
        <w:t>La thèse démontre que la persistance d'approches technocratiques héritées de l'administration coloniale génère un "hiatus institutionnel" qui compromet l'efficacité des politiques de conservation forestière. Cette analyse contribue aux débats théoriques contemporains sur la décolonisation des savoirs environnementaux⁴ en révélant les mécanismes subtils de reproduction des logiques coloniales dans les institutions post-indépendance.</w:t>
      </w:r>
    </w:p>
    <w:p w:rsidR="007D3EBC" w:rsidRPr="002462E6" w:rsidRDefault="007D3EBC" w:rsidP="007D3EBC">
      <w:pPr>
        <w:spacing w:line="360" w:lineRule="auto"/>
        <w:jc w:val="both"/>
        <w:rPr>
          <w:rFonts w:ascii="Tahoma" w:hAnsi="Tahoma" w:cs="Tahoma"/>
          <w:sz w:val="24"/>
          <w:szCs w:val="24"/>
        </w:rPr>
      </w:pPr>
      <w:r w:rsidRPr="002462E6">
        <w:rPr>
          <w:rFonts w:ascii="Tahoma" w:hAnsi="Tahoma" w:cs="Tahoma"/>
          <w:sz w:val="24"/>
          <w:szCs w:val="24"/>
        </w:rPr>
        <w:t>Cette investigation propose une grille d'analyse renouvelée de la territorialisation des vulnérabilités socio-écologiques à travers l'élaboration d'indices composites multidimensionnels (sanitaire, éducatif, économique, environnemental). Cette approche méthodologique, inspirée des travaux de Sen⁵ sur les capacités humaines, permet d'appréhender la complexité des interactions entre dimensions écologiques et sociales dans la production des inégalités territoriales.</w:t>
      </w:r>
    </w:p>
    <w:p w:rsidR="007D3EBC" w:rsidRPr="002462E6" w:rsidRDefault="007D3EBC" w:rsidP="007D3EBC">
      <w:pPr>
        <w:spacing w:line="360" w:lineRule="auto"/>
        <w:jc w:val="both"/>
        <w:rPr>
          <w:rFonts w:ascii="Tahoma" w:hAnsi="Tahoma" w:cs="Tahoma"/>
          <w:sz w:val="24"/>
          <w:szCs w:val="24"/>
        </w:rPr>
      </w:pPr>
      <w:r w:rsidRPr="002462E6">
        <w:rPr>
          <w:rFonts w:ascii="Tahoma" w:hAnsi="Tahoma" w:cs="Tahoma"/>
          <w:sz w:val="24"/>
          <w:szCs w:val="24"/>
        </w:rPr>
        <w:t>L'analyse confirme l'hypothèse de l'hétérogénéité spatiale des vulnérabilités, révélant des mécanismes différenciés de marginalisation territoriale qui remettent en question l'efficacité des politiques publiques uniformisatrices. Cette contribution théorique enrichit les corpus de la géographie critique⁶ en proposant une opérationnalisation empirique des concepts de justice spatiale et environnementale.</w:t>
      </w:r>
    </w:p>
    <w:p w:rsidR="007D3EBC" w:rsidRPr="002462E6" w:rsidRDefault="007D3EBC" w:rsidP="007D3EBC">
      <w:pPr>
        <w:spacing w:line="360" w:lineRule="auto"/>
        <w:jc w:val="both"/>
        <w:rPr>
          <w:rFonts w:ascii="Tahoma" w:hAnsi="Tahoma" w:cs="Tahoma"/>
          <w:sz w:val="24"/>
          <w:szCs w:val="24"/>
        </w:rPr>
      </w:pPr>
      <w:r w:rsidRPr="002462E6">
        <w:rPr>
          <w:rFonts w:ascii="Tahoma" w:hAnsi="Tahoma" w:cs="Tahoma"/>
          <w:sz w:val="24"/>
          <w:szCs w:val="24"/>
        </w:rPr>
        <w:t>L'étude de cas de la forêt de Korifla valide empiriquement l'hypothèse de la multicausalité systémique des processus de dégradation forestière. L'investigation révèle la convergence de vulnérabilités critiques : isolement géographique (95% des populations à plus de 10 km des centres de santé), précarité économique structurelle (exclusion de 93% des transferts financiers familiaux) et perception unanime de dégradation environnementale (95% des enquêtés).</w:t>
      </w:r>
    </w:p>
    <w:p w:rsidR="007D3EBC" w:rsidRPr="002462E6" w:rsidRDefault="007D3EBC" w:rsidP="007D3EBC">
      <w:pPr>
        <w:spacing w:line="360" w:lineRule="auto"/>
        <w:jc w:val="both"/>
        <w:rPr>
          <w:rFonts w:ascii="Tahoma" w:hAnsi="Tahoma" w:cs="Tahoma"/>
          <w:sz w:val="24"/>
          <w:szCs w:val="24"/>
        </w:rPr>
      </w:pPr>
      <w:r w:rsidRPr="002462E6">
        <w:rPr>
          <w:rFonts w:ascii="Tahoma" w:hAnsi="Tahoma" w:cs="Tahoma"/>
          <w:sz w:val="24"/>
          <w:szCs w:val="24"/>
        </w:rPr>
        <w:t>Cette configuration confirme l'existence du cercle vicieux pauvreté-dégradation théorisé par Lambin et Meyfroidt⁷, tout en révélant ses modalités spécifiques d'expression dans le contexte forestier marocain. La perte de 3 120,20 hectares sur quatre décennies (78,01 ha/an) s'inscrit dans une dynamique d'épuisement progressif des ressources qui contraint les populations à des stratégies de survie incompatibles avec la durabilité écosystémique.</w:t>
      </w:r>
    </w:p>
    <w:p w:rsidR="007D3EBC" w:rsidRPr="002462E6" w:rsidRDefault="007D3EBC" w:rsidP="007D3EBC">
      <w:pPr>
        <w:spacing w:line="360" w:lineRule="auto"/>
        <w:jc w:val="both"/>
        <w:rPr>
          <w:rFonts w:ascii="Tahoma" w:hAnsi="Tahoma" w:cs="Tahoma"/>
          <w:sz w:val="24"/>
          <w:szCs w:val="24"/>
        </w:rPr>
      </w:pPr>
      <w:r w:rsidRPr="002462E6">
        <w:rPr>
          <w:rFonts w:ascii="Tahoma" w:hAnsi="Tahoma" w:cs="Tahoma"/>
          <w:sz w:val="24"/>
          <w:szCs w:val="24"/>
        </w:rPr>
        <w:t>L'enquête empirique révèle l'échec massif des politiques publiques forestières, illustré par l'insatisfaction générale concernant le reboisement (91% des douars) et la résistance variable aux mises en défens. Cette situation confirme l'inadéquation fondamentale des approches "top-down" qui négligent la participation communautaire et l'appropriation locale des projets de conservation.</w:t>
      </w:r>
    </w:p>
    <w:p w:rsidR="007D3EBC" w:rsidRPr="002462E6" w:rsidRDefault="007D3EBC" w:rsidP="007D3EBC">
      <w:pPr>
        <w:spacing w:line="360" w:lineRule="auto"/>
        <w:jc w:val="both"/>
        <w:rPr>
          <w:rFonts w:ascii="Tahoma" w:hAnsi="Tahoma" w:cs="Tahoma"/>
          <w:sz w:val="24"/>
          <w:szCs w:val="24"/>
        </w:rPr>
      </w:pPr>
      <w:r w:rsidRPr="002462E6">
        <w:rPr>
          <w:rFonts w:ascii="Tahoma" w:hAnsi="Tahoma" w:cs="Tahoma"/>
          <w:sz w:val="24"/>
          <w:szCs w:val="24"/>
        </w:rPr>
        <w:t>L'analyse révèle un paradoxe institutionnel majeur : malgré une rhétorique participative omniprésente dans les documents de politique publique, la pratique demeure ancrée dans une vision technocratique et sectorielle héritée de l'administration coloniale. Cette persistance illustre ce que Scott⁸ conceptualise comme la "vision d'État" qui simplifie la complexité territoriale au détriment de l'efficacité gestionnaire.</w:t>
      </w:r>
    </w:p>
    <w:p w:rsidR="007D3EBC" w:rsidRPr="002462E6" w:rsidRDefault="007D3EBC" w:rsidP="007D3EBC">
      <w:pPr>
        <w:spacing w:line="360" w:lineRule="auto"/>
        <w:jc w:val="both"/>
        <w:rPr>
          <w:rFonts w:ascii="Tahoma" w:hAnsi="Tahoma" w:cs="Tahoma"/>
          <w:sz w:val="24"/>
          <w:szCs w:val="24"/>
        </w:rPr>
      </w:pPr>
      <w:r w:rsidRPr="002462E6">
        <w:rPr>
          <w:rFonts w:ascii="Tahoma" w:hAnsi="Tahoma" w:cs="Tahoma"/>
          <w:sz w:val="24"/>
          <w:szCs w:val="24"/>
        </w:rPr>
        <w:t>L'investigation révèle l'émergence d'alternatives endogènes à travers les suggestions d'amélioration formulées par les populations : infrastructures de base (57%), opportunités économiques (32%), gouvernance environnementale (11%). Cette hiérarchisation dessine une vision intégrée du développement qui transcende l'opposition traditionnelle entre conservation et développement, confirmant l'existence d'une "conscience territoriale" locale porteuse d'innovations institutionnelles.</w:t>
      </w:r>
    </w:p>
    <w:p w:rsidR="007D3EBC" w:rsidRPr="002462E6" w:rsidRDefault="007D3EBC" w:rsidP="007D3EBC">
      <w:pPr>
        <w:spacing w:line="360" w:lineRule="auto"/>
        <w:jc w:val="both"/>
        <w:rPr>
          <w:rFonts w:ascii="Tahoma" w:hAnsi="Tahoma" w:cs="Tahoma"/>
          <w:sz w:val="24"/>
          <w:szCs w:val="24"/>
        </w:rPr>
      </w:pPr>
      <w:r w:rsidRPr="002462E6">
        <w:rPr>
          <w:rFonts w:ascii="Tahoma" w:hAnsi="Tahoma" w:cs="Tahoma"/>
          <w:sz w:val="24"/>
          <w:szCs w:val="24"/>
        </w:rPr>
        <w:t>Cette observation valide les travaux de Pecqueur sur le développement territorial endogène tout en révélant les modalités spécifiques de formulation des alternatives locales en contexte de marginalisation socio-spatiale. L'attachement territorial persistant (49% des enquêtés malgré les aspirations migratoires) témoigne de l'existence de mécanismes de résilience communautaire qui constituent des leviers potentiels pour des modèles alternatifs de développement.</w:t>
      </w:r>
    </w:p>
    <w:p w:rsidR="007D3EBC" w:rsidRPr="002462E6" w:rsidRDefault="007D3EBC" w:rsidP="007D3EBC">
      <w:pPr>
        <w:spacing w:line="360" w:lineRule="auto"/>
        <w:jc w:val="both"/>
        <w:rPr>
          <w:rFonts w:ascii="Tahoma" w:hAnsi="Tahoma" w:cs="Tahoma"/>
          <w:sz w:val="24"/>
          <w:szCs w:val="24"/>
        </w:rPr>
      </w:pPr>
      <w:r w:rsidRPr="002462E6">
        <w:rPr>
          <w:rFonts w:ascii="Tahoma" w:hAnsi="Tahoma" w:cs="Tahoma"/>
          <w:sz w:val="24"/>
          <w:szCs w:val="24"/>
        </w:rPr>
        <w:t>Cette recherche propose une méthodologie originale d'articulation entre analyse macro-structurelle (échelle nationale) et investigation micro-territoriale (forêt de Korifla), permettant de révéler les mécanismes de production des vulnérabilités territoriales à différentes échelles. Cette approche multi-scalaire, inspirée des travaux de Lefebvre¹⁰ sur la production de l'espace, confirme l'importance méthodologique de la prise en compte des effets d'échelle dans l'analyse des processus territoriaux.</w:t>
      </w:r>
    </w:p>
    <w:p w:rsidR="007D3EBC" w:rsidRPr="002462E6" w:rsidRDefault="007D3EBC" w:rsidP="007D3EBC">
      <w:pPr>
        <w:spacing w:line="360" w:lineRule="auto"/>
        <w:jc w:val="both"/>
        <w:rPr>
          <w:rFonts w:ascii="Tahoma" w:hAnsi="Tahoma" w:cs="Tahoma"/>
          <w:sz w:val="24"/>
          <w:szCs w:val="24"/>
        </w:rPr>
      </w:pPr>
    </w:p>
    <w:p w:rsidR="007D3EBC" w:rsidRPr="002462E6" w:rsidRDefault="007D3EBC" w:rsidP="007D3EBC">
      <w:pPr>
        <w:spacing w:line="360" w:lineRule="auto"/>
        <w:jc w:val="both"/>
        <w:rPr>
          <w:rFonts w:ascii="Tahoma" w:hAnsi="Tahoma" w:cs="Tahoma"/>
          <w:sz w:val="24"/>
          <w:szCs w:val="24"/>
        </w:rPr>
      </w:pPr>
      <w:r w:rsidRPr="002462E6">
        <w:rPr>
          <w:rFonts w:ascii="Tahoma" w:hAnsi="Tahoma" w:cs="Tahoma"/>
          <w:sz w:val="24"/>
          <w:szCs w:val="24"/>
        </w:rPr>
        <w:t>L'intégration de l'analyse diachronique (trajectoire institutionnelle depuis le Protectorat) et synchronique (état actuel des vulnérabilités) permet d'appréhender la temporalité complexe des processus de dégradation et de révéler les inerties institutionnelles qui compromettent l'adaptation aux défis contemporains.</w:t>
      </w:r>
    </w:p>
    <w:p w:rsidR="007D3EBC" w:rsidRPr="002462E6" w:rsidRDefault="007D3EBC" w:rsidP="007D3EBC">
      <w:pPr>
        <w:spacing w:line="360" w:lineRule="auto"/>
        <w:jc w:val="both"/>
        <w:rPr>
          <w:rFonts w:ascii="Tahoma" w:hAnsi="Tahoma" w:cs="Tahoma"/>
          <w:sz w:val="24"/>
          <w:szCs w:val="24"/>
        </w:rPr>
      </w:pPr>
      <w:r w:rsidRPr="002462E6">
        <w:rPr>
          <w:rFonts w:ascii="Tahoma" w:hAnsi="Tahoma" w:cs="Tahoma"/>
          <w:sz w:val="24"/>
          <w:szCs w:val="24"/>
        </w:rPr>
        <w:t>L'investigation combine de manière cohérente méthodes quantitatives (indices composites, analyses cartographiques) et qualitatives (entretiens, observations participantes), confirmant la fécondité heuristique d'une approche interdisciplinaire pour appréhender la complexité des enjeux socio-écologiques. Cette méthodologie contribue aux débats épistémologiques contemporains sur l'interdisciplinarité en sciences sociales¹¹ en proposant une opérationnalisation concrète de l'articulation entre approches disciplinaires.</w:t>
      </w:r>
    </w:p>
    <w:p w:rsidR="007D3EBC" w:rsidRPr="002462E6" w:rsidRDefault="007D3EBC" w:rsidP="007D3EBC">
      <w:pPr>
        <w:spacing w:line="360" w:lineRule="auto"/>
        <w:jc w:val="both"/>
        <w:rPr>
          <w:rFonts w:ascii="Tahoma" w:hAnsi="Tahoma" w:cs="Tahoma"/>
          <w:sz w:val="24"/>
          <w:szCs w:val="24"/>
        </w:rPr>
      </w:pPr>
      <w:r w:rsidRPr="002462E6">
        <w:rPr>
          <w:rFonts w:ascii="Tahoma" w:hAnsi="Tahoma" w:cs="Tahoma"/>
          <w:sz w:val="24"/>
          <w:szCs w:val="24"/>
        </w:rPr>
        <w:t>L'élaboration d'indices composites multidimensionnels (sanitaire, éducatif, économique, environnemental) constitue une innovation méthodologique qui permet la quantification des vulnérabilités territoriales tout en préservant la complexité des interactions entre dimensions. Cette approche enrichit les méthodologies d'évaluation des politiques publiques territoriales en proposant des outils d'aide à la décision adaptés aux spécificités rurales.</w:t>
      </w:r>
    </w:p>
    <w:p w:rsidR="007D3EBC" w:rsidRPr="002462E6" w:rsidRDefault="007D3EBC" w:rsidP="007D3EBC">
      <w:pPr>
        <w:spacing w:line="360" w:lineRule="auto"/>
        <w:jc w:val="both"/>
        <w:rPr>
          <w:rFonts w:ascii="Tahoma" w:hAnsi="Tahoma" w:cs="Tahoma"/>
          <w:sz w:val="24"/>
          <w:szCs w:val="24"/>
        </w:rPr>
      </w:pPr>
      <w:r w:rsidRPr="002462E6">
        <w:rPr>
          <w:rFonts w:ascii="Tahoma" w:hAnsi="Tahoma" w:cs="Tahoma"/>
          <w:sz w:val="24"/>
          <w:szCs w:val="24"/>
        </w:rPr>
        <w:t>Cette recherche présente certaines limites épistémologiques qu'il convient d'expliciter. La stratégie de recherche par étude de cas unique, bien qu'elle permette un approfondissement analytique substantiel, limite la généralisation des résultats à l'ensemble du territoire forestier marocain. L'hétérogénéité des écosystèmes forestiers nationaux (cédraies de l'Atlas, arganeraies du Sud-Ouest, subéraies du Rif) nécessiterait une approche comparative pour consolider la robustesse du modèle théorique proposé.</w:t>
      </w:r>
    </w:p>
    <w:p w:rsidR="007D3EBC" w:rsidRPr="002462E6" w:rsidRDefault="007D3EBC" w:rsidP="007D3EBC">
      <w:pPr>
        <w:spacing w:line="360" w:lineRule="auto"/>
        <w:jc w:val="both"/>
        <w:rPr>
          <w:rFonts w:ascii="Tahoma" w:hAnsi="Tahoma" w:cs="Tahoma"/>
          <w:sz w:val="24"/>
          <w:szCs w:val="24"/>
        </w:rPr>
      </w:pPr>
      <w:r w:rsidRPr="002462E6">
        <w:rPr>
          <w:rFonts w:ascii="Tahoma" w:hAnsi="Tahoma" w:cs="Tahoma"/>
          <w:sz w:val="24"/>
          <w:szCs w:val="24"/>
        </w:rPr>
        <w:t>Par ailleurs, l'analyse temporelle, contrainte par la disponibilité des sources historiques, gagnerait à être étendue pour mieux appréhender les cycles longs de dégradation et de régénération forestière. L'intégration de données paléo-environnementales et d'archives coloniales plus exhaustives pourrait enrichir la compréhension des dynamiques historiques et des trajectoires de transformation territoriale.</w:t>
      </w:r>
    </w:p>
    <w:p w:rsidR="007D3EBC" w:rsidRPr="002462E6" w:rsidRDefault="007D3EBC" w:rsidP="007D3EBC">
      <w:pPr>
        <w:spacing w:line="360" w:lineRule="auto"/>
        <w:jc w:val="both"/>
        <w:rPr>
          <w:rFonts w:ascii="Tahoma" w:hAnsi="Tahoma" w:cs="Tahoma"/>
          <w:sz w:val="24"/>
          <w:szCs w:val="24"/>
        </w:rPr>
      </w:pPr>
      <w:r w:rsidRPr="002462E6">
        <w:rPr>
          <w:rFonts w:ascii="Tahoma" w:hAnsi="Tahoma" w:cs="Tahoma"/>
          <w:sz w:val="24"/>
          <w:szCs w:val="24"/>
        </w:rPr>
        <w:t>Cette thèse ouvre plusieurs pistes de recherche prometteuses. Premièrement, l'approfondissement de l'analyse comparative entre différents modèles de gestion forestière participative au Maghreb permettrait d'identifier les facteurs contextuels de succès et d'échec des expériences de co-gestion. Une investigation comparative intégrant les expériences tunisiennes et algériennes enrichirait la compréhension des déterminants institutionnels de l'efficacité des politiques forestières.</w:t>
      </w:r>
    </w:p>
    <w:p w:rsidR="007D3EBC" w:rsidRPr="002462E6" w:rsidRDefault="007D3EBC" w:rsidP="007D3EBC">
      <w:pPr>
        <w:spacing w:line="360" w:lineRule="auto"/>
        <w:jc w:val="both"/>
        <w:rPr>
          <w:rFonts w:ascii="Tahoma" w:hAnsi="Tahoma" w:cs="Tahoma"/>
          <w:sz w:val="24"/>
          <w:szCs w:val="24"/>
        </w:rPr>
      </w:pPr>
      <w:r w:rsidRPr="002462E6">
        <w:rPr>
          <w:rFonts w:ascii="Tahoma" w:hAnsi="Tahoma" w:cs="Tahoma"/>
          <w:sz w:val="24"/>
          <w:szCs w:val="24"/>
        </w:rPr>
        <w:t>Deuxièmement, l'analyse prospective des scénarios climatiques et de leurs implications sur les écosystèmes forestiers marocains constitue un enjeu de recherche prioritaire. L'intégration des modèles climatiques régionaux et des projections démographiques permettrait d'anticiper les stratégies d'adaptation nécessaires et d'évaluer la résilience des différents modèles de gestion forestière.</w:t>
      </w:r>
    </w:p>
    <w:p w:rsidR="007D3EBC" w:rsidRPr="002462E6" w:rsidRDefault="007D3EBC" w:rsidP="007D3EBC">
      <w:pPr>
        <w:spacing w:line="360" w:lineRule="auto"/>
        <w:jc w:val="both"/>
        <w:rPr>
          <w:rFonts w:ascii="Tahoma" w:hAnsi="Tahoma" w:cs="Tahoma"/>
          <w:sz w:val="24"/>
          <w:szCs w:val="24"/>
        </w:rPr>
      </w:pPr>
      <w:r w:rsidRPr="002462E6">
        <w:rPr>
          <w:rFonts w:ascii="Tahoma" w:hAnsi="Tahoma" w:cs="Tahoma"/>
          <w:sz w:val="24"/>
          <w:szCs w:val="24"/>
        </w:rPr>
        <w:t>Troisièmement, l'investigation des mécanismes financiers innovants (paiements pour services écosystémiques, mécanismes REDD+, finance carbone) pourrait éclairer les modalités de valorisation économique de la conservation forestière et d'incitation à la gestion durable. Cette perspective s'inscrit dans les débats contemporains sur l'économie écologique¹² et la transition vers des modèles économiques soutenables.</w:t>
      </w:r>
    </w:p>
    <w:p w:rsidR="007D3EBC" w:rsidRPr="002462E6" w:rsidRDefault="007D3EBC" w:rsidP="007D3EBC">
      <w:pPr>
        <w:spacing w:line="360" w:lineRule="auto"/>
        <w:jc w:val="both"/>
        <w:rPr>
          <w:rFonts w:ascii="Tahoma" w:hAnsi="Tahoma" w:cs="Tahoma"/>
          <w:sz w:val="24"/>
          <w:szCs w:val="24"/>
        </w:rPr>
      </w:pPr>
      <w:r w:rsidRPr="002462E6">
        <w:rPr>
          <w:rFonts w:ascii="Tahoma" w:hAnsi="Tahoma" w:cs="Tahoma"/>
          <w:sz w:val="24"/>
          <w:szCs w:val="24"/>
        </w:rPr>
        <w:t>Cette recherche converge vers la nécessité d'une refondation épistémologique et institutionnelle du modèle de gestion forestière marocain. Cette transformation paradigmatique requiert l'abandon des logiques sectorielles au profit d'une approche écosystémique intégrée qui reconnaît la complexité des interactions socio-écologiques et la légitimité des savoirs vernaculaires.</w:t>
      </w:r>
    </w:p>
    <w:p w:rsidR="007D3EBC" w:rsidRPr="002462E6" w:rsidRDefault="007D3EBC" w:rsidP="007D3EBC">
      <w:pPr>
        <w:spacing w:line="360" w:lineRule="auto"/>
        <w:jc w:val="both"/>
        <w:rPr>
          <w:rFonts w:ascii="Tahoma" w:hAnsi="Tahoma" w:cs="Tahoma"/>
          <w:sz w:val="24"/>
          <w:szCs w:val="24"/>
        </w:rPr>
      </w:pPr>
      <w:r w:rsidRPr="002462E6">
        <w:rPr>
          <w:rFonts w:ascii="Tahoma" w:hAnsi="Tahoma" w:cs="Tahoma"/>
          <w:sz w:val="24"/>
          <w:szCs w:val="24"/>
        </w:rPr>
        <w:t>La reconnaissance juridique des mécanismes coutumiers de régulation (AGDAL, droits d'usage traditionnels) dans un cadre normatif rénové constitue un préalable indispensable à l'efficacité des politiques de conservation. Cette évolution implique une révision substantielle du corpus juridique forestier pour intégrer les innovations institutionnelles locales dans une architecture juridique cohérente.</w:t>
      </w:r>
    </w:p>
    <w:p w:rsidR="007D3EBC" w:rsidRPr="002462E6" w:rsidRDefault="007D3EBC" w:rsidP="007D3EBC">
      <w:pPr>
        <w:spacing w:line="360" w:lineRule="auto"/>
        <w:jc w:val="both"/>
        <w:rPr>
          <w:rFonts w:ascii="Tahoma" w:hAnsi="Tahoma" w:cs="Tahoma"/>
          <w:sz w:val="24"/>
          <w:szCs w:val="24"/>
        </w:rPr>
      </w:pPr>
      <w:r w:rsidRPr="002462E6">
        <w:rPr>
          <w:rFonts w:ascii="Tahoma" w:hAnsi="Tahoma" w:cs="Tahoma"/>
          <w:sz w:val="24"/>
          <w:szCs w:val="24"/>
        </w:rPr>
        <w:t>L'institutionnalisation de mécanismes de gestion participative et adaptative représente un enjeu crucial pour la légitimation et l'efficacité des politiques forestières. Cette évolution nécessite le dépassement des approches consultatives superficielles au profit de dispositifs de co-gestion qui reconnaissent effectivement l'expertise locale et garantissent la participation communautaire aux processus décisionnels.</w:t>
      </w:r>
    </w:p>
    <w:p w:rsidR="007D3EBC" w:rsidRPr="002462E6" w:rsidRDefault="007D3EBC" w:rsidP="007D3EBC">
      <w:pPr>
        <w:spacing w:line="360" w:lineRule="auto"/>
        <w:jc w:val="both"/>
        <w:rPr>
          <w:rFonts w:ascii="Tahoma" w:hAnsi="Tahoma" w:cs="Tahoma"/>
          <w:sz w:val="24"/>
          <w:szCs w:val="24"/>
        </w:rPr>
      </w:pPr>
      <w:r w:rsidRPr="002462E6">
        <w:rPr>
          <w:rFonts w:ascii="Tahoma" w:hAnsi="Tahoma" w:cs="Tahoma"/>
          <w:sz w:val="24"/>
          <w:szCs w:val="24"/>
        </w:rPr>
        <w:t>L'élaboration de chartes territoriales négociées, associant administration forestière, collectivités territoriales et représentants des usagers, pourrait constituer un mécanisme institutionnel approprié pour opérationnaliser cette transition participative. Cette approche s'inspire des expériences européennes de gestion forestière multifonctionnelle¹³ tout en s'adaptant aux spécificités contextuelles marocaines.</w:t>
      </w:r>
    </w:p>
    <w:p w:rsidR="007D3EBC" w:rsidRPr="002462E6" w:rsidRDefault="007D3EBC" w:rsidP="007D3EBC">
      <w:pPr>
        <w:spacing w:line="360" w:lineRule="auto"/>
        <w:jc w:val="both"/>
        <w:rPr>
          <w:rFonts w:ascii="Tahoma" w:hAnsi="Tahoma" w:cs="Tahoma"/>
          <w:sz w:val="24"/>
          <w:szCs w:val="24"/>
        </w:rPr>
      </w:pPr>
      <w:r w:rsidRPr="002462E6">
        <w:rPr>
          <w:rFonts w:ascii="Tahoma" w:hAnsi="Tahoma" w:cs="Tahoma"/>
          <w:sz w:val="24"/>
          <w:szCs w:val="24"/>
        </w:rPr>
        <w:t>En somme, l'avenir des territoires forestiers marocains, à l'instar de nombreux écosystèmes forestiers dans le monde, demeure tributaire de la capacité collective à concevoir des stratégies intégrées qui concilient préservation des équilibres écologiques et satisfaction des aspirations légitimes des populations au développement. Cette refondation constitue l'un des défis majeurs de la transition écologique contemporaine et s'inscrit pleinement dans les enjeux globaux de lutte contre le changement climatique et de préservation de la biodiversité.</w:t>
      </w:r>
    </w:p>
    <w:p w:rsidR="007D3EBC" w:rsidRPr="002462E6" w:rsidRDefault="007D3EBC" w:rsidP="007D3EBC">
      <w:pPr>
        <w:spacing w:line="360" w:lineRule="auto"/>
        <w:jc w:val="both"/>
        <w:rPr>
          <w:rFonts w:ascii="Tahoma" w:hAnsi="Tahoma" w:cs="Tahoma"/>
          <w:sz w:val="24"/>
          <w:szCs w:val="24"/>
        </w:rPr>
      </w:pPr>
      <w:r w:rsidRPr="002462E6">
        <w:rPr>
          <w:rFonts w:ascii="Tahoma" w:hAnsi="Tahoma" w:cs="Tahoma"/>
          <w:sz w:val="24"/>
          <w:szCs w:val="24"/>
        </w:rPr>
        <w:t>La recherche démontre que cette transformation ne peut s'opérer sans une révolution épistémologique qui reconnaît la légitimité des savoirs locaux et la complexité des interactions socio-écologiques. Elle confirme que l'efficacité des politiques environnementales dépend fondamentalement de leur capacité à articuler expertise technique et savoirs vernaculaires dans des dispositifs institutionnels renouvelés qui garantissent la participation effective des populations concernées.</w:t>
      </w:r>
    </w:p>
    <w:p w:rsidR="007D3EBC" w:rsidRPr="002462E6" w:rsidRDefault="007D3EBC" w:rsidP="007D3EBC">
      <w:pPr>
        <w:spacing w:line="360" w:lineRule="auto"/>
        <w:jc w:val="both"/>
        <w:rPr>
          <w:rFonts w:ascii="Tahoma" w:hAnsi="Tahoma" w:cs="Tahoma"/>
          <w:sz w:val="24"/>
          <w:szCs w:val="24"/>
        </w:rPr>
      </w:pPr>
      <w:r w:rsidRPr="002462E6">
        <w:rPr>
          <w:rFonts w:ascii="Tahoma" w:hAnsi="Tahoma" w:cs="Tahoma"/>
          <w:sz w:val="24"/>
          <w:szCs w:val="24"/>
        </w:rPr>
        <w:t>Cette recherche doctorale, au-delà de ses contributions spécifiques à la compréhension des enjeux forestiers marocains, s'inscrit dans une démarche scientifique plus large qui interroge les fondements épistémologiques des sciences de l'environnement et plaide pour une approche interdisciplinaire et participative de la recherche sur les socio-écosystèmes. Elle confirme que la science contemporaine doit dépasser les cloisonnements disciplinaires et intégrer la pluralité des savoirs pour répondre aux défis complexes du XXIe siècle.</w:t>
      </w:r>
    </w:p>
    <w:p w:rsidR="007D3EBC" w:rsidRPr="002462E6" w:rsidRDefault="007D3EBC" w:rsidP="007D3EBC">
      <w:pPr>
        <w:spacing w:line="360" w:lineRule="auto"/>
        <w:jc w:val="both"/>
        <w:rPr>
          <w:rFonts w:ascii="Tahoma" w:hAnsi="Tahoma" w:cs="Tahoma"/>
          <w:sz w:val="24"/>
          <w:szCs w:val="24"/>
        </w:rPr>
      </w:pPr>
    </w:p>
    <w:p w:rsidR="007D3EBC" w:rsidRPr="002462E6" w:rsidRDefault="007D3EBC" w:rsidP="007D3EBC">
      <w:pPr>
        <w:spacing w:line="360" w:lineRule="auto"/>
        <w:jc w:val="both"/>
        <w:rPr>
          <w:rFonts w:ascii="Tahoma" w:hAnsi="Tahoma" w:cs="Tahoma"/>
          <w:sz w:val="24"/>
          <w:szCs w:val="24"/>
        </w:rPr>
      </w:pPr>
    </w:p>
    <w:p w:rsidR="004A7654" w:rsidRPr="002462E6" w:rsidRDefault="004A7654" w:rsidP="002F1A32">
      <w:pPr>
        <w:pStyle w:val="Titre"/>
      </w:pPr>
    </w:p>
    <w:p w:rsidR="00FD1D56" w:rsidRPr="002462E6" w:rsidRDefault="00FD1D56" w:rsidP="002F1A32">
      <w:pPr>
        <w:pStyle w:val="Titre"/>
        <w:bidi w:val="0"/>
      </w:pPr>
      <w:r w:rsidRPr="002462E6">
        <w:rPr>
          <w:rFonts w:eastAsia="Times New Roman" w:cs="Tahoma"/>
          <w:sz w:val="24"/>
          <w:szCs w:val="24"/>
        </w:rPr>
        <w:br w:type="page"/>
      </w:r>
      <w:bookmarkStart w:id="481" w:name="_Toc201570930"/>
      <w:bookmarkStart w:id="482" w:name="_Toc201655544"/>
      <w:bookmarkStart w:id="483" w:name="_Toc203643138"/>
      <w:r w:rsidR="002D58A6" w:rsidRPr="002462E6">
        <w:t>G</w:t>
      </w:r>
      <w:r w:rsidRPr="002462E6">
        <w:t>lossaire</w:t>
      </w:r>
      <w:bookmarkEnd w:id="481"/>
      <w:bookmarkEnd w:id="482"/>
      <w:bookmarkEnd w:id="483"/>
    </w:p>
    <w:p w:rsidR="00FD1D56" w:rsidRPr="002462E6" w:rsidRDefault="00FD1D56" w:rsidP="00FD1D56">
      <w:pPr>
        <w:spacing w:line="360" w:lineRule="auto"/>
        <w:jc w:val="both"/>
        <w:rPr>
          <w:rFonts w:ascii="Tahoma" w:eastAsia="Calibri" w:hAnsi="Tahoma" w:cs="Tahoma"/>
          <w:sz w:val="24"/>
          <w:szCs w:val="24"/>
        </w:rPr>
      </w:pPr>
      <w:r w:rsidRPr="002462E6">
        <w:rPr>
          <w:rFonts w:ascii="Tahoma" w:eastAsia="Calibri" w:hAnsi="Tahoma" w:cs="Tahoma"/>
          <w:b/>
          <w:bCs/>
          <w:sz w:val="24"/>
          <w:szCs w:val="24"/>
        </w:rPr>
        <w:t>Arganeraies</w:t>
      </w:r>
      <w:r w:rsidRPr="002462E6">
        <w:rPr>
          <w:rFonts w:ascii="Tahoma" w:eastAsia="Calibri" w:hAnsi="Tahoma" w:cs="Tahoma"/>
          <w:sz w:val="24"/>
          <w:szCs w:val="24"/>
        </w:rPr>
        <w:t> : Les arganeraies sont des écosystèmes uniques et fragiles, principalement constitués de l'arganier (Argania spinosa), un arbre endémique du Sud-Ouest marocain. Ces écosystèmes jouent un rôle crucial dans la lutte contre la désertification et sont essentiels pour la biodiversité et l'économie locale. L'arganier fournit du bois de chauffage, des fruits pour l'huile d'argane, et sert de pâturage pour les chèvres.</w:t>
      </w:r>
    </w:p>
    <w:p w:rsidR="00FD1D56" w:rsidRPr="002462E6" w:rsidRDefault="00FD1D56" w:rsidP="00FD1D56">
      <w:pPr>
        <w:spacing w:line="360" w:lineRule="auto"/>
        <w:jc w:val="both"/>
        <w:rPr>
          <w:rFonts w:ascii="Tahoma" w:eastAsia="Calibri" w:hAnsi="Tahoma" w:cs="Tahoma"/>
          <w:sz w:val="24"/>
          <w:szCs w:val="24"/>
        </w:rPr>
      </w:pPr>
    </w:p>
    <w:p w:rsidR="00FD1D56" w:rsidRPr="002462E6" w:rsidRDefault="00FD1D56" w:rsidP="00FD1D56">
      <w:pPr>
        <w:spacing w:line="360" w:lineRule="auto"/>
        <w:jc w:val="both"/>
        <w:rPr>
          <w:rFonts w:ascii="Tahoma" w:eastAsia="Calibri" w:hAnsi="Tahoma" w:cs="Tahoma"/>
          <w:sz w:val="24"/>
          <w:szCs w:val="24"/>
        </w:rPr>
      </w:pPr>
      <w:r w:rsidRPr="002462E6">
        <w:rPr>
          <w:rFonts w:ascii="Tahoma" w:eastAsia="Calibri" w:hAnsi="Tahoma" w:cs="Tahoma"/>
          <w:b/>
          <w:bCs/>
          <w:sz w:val="24"/>
          <w:szCs w:val="24"/>
        </w:rPr>
        <w:t>Biodiversité :</w:t>
      </w:r>
      <w:r w:rsidRPr="002462E6">
        <w:rPr>
          <w:rFonts w:ascii="Calibri" w:eastAsia="Calibri" w:hAnsi="Calibri" w:cs="Arial"/>
        </w:rPr>
        <w:t xml:space="preserve"> </w:t>
      </w:r>
      <w:r w:rsidRPr="002462E6">
        <w:rPr>
          <w:rFonts w:ascii="Tahoma" w:eastAsia="Calibri" w:hAnsi="Tahoma" w:cs="Tahoma"/>
          <w:sz w:val="24"/>
          <w:szCs w:val="24"/>
        </w:rPr>
        <w:t>La biodiversité, ou diversité biologique, est un terme vaste qui englobe la variété de la vie sur Terre à tous les niveaux, des gènes aux écosystèmes, en passant par les espèces.</w:t>
      </w:r>
    </w:p>
    <w:p w:rsidR="00FD1D56" w:rsidRPr="002462E6" w:rsidRDefault="00FD1D56" w:rsidP="00FD1D56">
      <w:pPr>
        <w:spacing w:line="360" w:lineRule="auto"/>
        <w:jc w:val="both"/>
        <w:rPr>
          <w:rFonts w:ascii="Tahoma" w:eastAsia="Calibri" w:hAnsi="Tahoma" w:cs="Tahoma"/>
          <w:sz w:val="24"/>
          <w:szCs w:val="24"/>
        </w:rPr>
      </w:pPr>
    </w:p>
    <w:p w:rsidR="00FD1D56" w:rsidRPr="002462E6" w:rsidRDefault="00FD1D56" w:rsidP="00FD1D56">
      <w:pPr>
        <w:spacing w:line="360" w:lineRule="auto"/>
        <w:jc w:val="both"/>
        <w:rPr>
          <w:rFonts w:ascii="Tahoma" w:eastAsia="Calibri" w:hAnsi="Tahoma" w:cs="Tahoma"/>
          <w:sz w:val="24"/>
          <w:szCs w:val="24"/>
        </w:rPr>
      </w:pPr>
      <w:r w:rsidRPr="002462E6">
        <w:rPr>
          <w:rFonts w:ascii="Tahoma" w:eastAsia="Calibri" w:hAnsi="Tahoma" w:cs="Tahoma"/>
          <w:b/>
          <w:bCs/>
          <w:sz w:val="24"/>
          <w:szCs w:val="24"/>
        </w:rPr>
        <w:t>Biosphère :</w:t>
      </w:r>
      <w:r w:rsidRPr="002462E6">
        <w:rPr>
          <w:rFonts w:ascii="Tahoma" w:eastAsia="Calibri" w:hAnsi="Tahoma" w:cs="Tahoma"/>
          <w:sz w:val="24"/>
          <w:szCs w:val="24"/>
        </w:rPr>
        <w:t xml:space="preserve"> La biosphère est l'endroit sur Terre, ou sur une autre planète, où l'on trouve la vie. Elle comprend toutes les formes de vie, comme les animaux, les plantes et les très petits organismes. Elle inclut aussi comment ces êtres vivants agissent avec ce qui les entoure, comme l'air, l'eau et la terre. Autrement dit, la biosphère est un grand système écologique. Ce système comprend tous les êtres vivants, comment ils se relient les uns aux autres et comment ils agissent avec les roches, l'eau et l'air autour d'eux.</w:t>
      </w:r>
    </w:p>
    <w:p w:rsidR="00FD1D56" w:rsidRPr="002462E6" w:rsidRDefault="00FD1D56" w:rsidP="00FD1D56">
      <w:pPr>
        <w:spacing w:line="360" w:lineRule="auto"/>
        <w:jc w:val="both"/>
        <w:rPr>
          <w:rFonts w:ascii="Tahoma" w:eastAsia="Calibri" w:hAnsi="Tahoma" w:cs="Tahoma"/>
          <w:sz w:val="24"/>
          <w:szCs w:val="24"/>
        </w:rPr>
      </w:pPr>
    </w:p>
    <w:p w:rsidR="00FD1D56" w:rsidRPr="002462E6" w:rsidRDefault="00FD1D56" w:rsidP="00FD1D56">
      <w:pPr>
        <w:spacing w:line="360" w:lineRule="auto"/>
        <w:jc w:val="both"/>
        <w:rPr>
          <w:rFonts w:ascii="Tahoma" w:eastAsia="Calibri" w:hAnsi="Tahoma" w:cs="Tahoma"/>
          <w:sz w:val="24"/>
          <w:szCs w:val="24"/>
        </w:rPr>
      </w:pPr>
      <w:r w:rsidRPr="002462E6">
        <w:rPr>
          <w:rFonts w:ascii="Tahoma" w:eastAsia="Calibri" w:hAnsi="Tahoma" w:cs="Tahoma"/>
          <w:b/>
          <w:bCs/>
          <w:sz w:val="28"/>
          <w:szCs w:val="28"/>
        </w:rPr>
        <w:t xml:space="preserve">Biotope : </w:t>
      </w:r>
      <w:r w:rsidRPr="002462E6">
        <w:rPr>
          <w:rFonts w:ascii="Tahoma" w:eastAsia="Calibri" w:hAnsi="Tahoma" w:cs="Tahoma"/>
          <w:sz w:val="24"/>
          <w:szCs w:val="24"/>
        </w:rPr>
        <w:t>Le terme "biotope" désigne, dans le domaine de l'écologie, un espace géographique défini et caractérisé par des conditions environnementales physico-chimiques uniformes et spécifiques. Ces conditions incluent notamment le climat, le sol, l'hydrologie et la topographie. Le biotope représente donc l'environnement abiotique, c'est-à-dire non vivant, dans lequel une communauté d'êtres vivants, appelée biocénose, se développe. La biocénose et le biotope constituent ensemble un écosystème.</w:t>
      </w:r>
    </w:p>
    <w:p w:rsidR="00FD1D56" w:rsidRPr="002462E6" w:rsidRDefault="00FD1D56" w:rsidP="00FD1D56">
      <w:pPr>
        <w:spacing w:line="360" w:lineRule="auto"/>
        <w:jc w:val="both"/>
        <w:rPr>
          <w:rFonts w:ascii="Tahoma" w:eastAsia="Calibri" w:hAnsi="Tahoma" w:cs="Tahoma"/>
          <w:sz w:val="24"/>
          <w:szCs w:val="24"/>
        </w:rPr>
      </w:pPr>
    </w:p>
    <w:p w:rsidR="00FD1D56" w:rsidRPr="002462E6" w:rsidRDefault="00FD1D56" w:rsidP="00FD1D56">
      <w:pPr>
        <w:spacing w:line="360" w:lineRule="auto"/>
        <w:jc w:val="both"/>
        <w:rPr>
          <w:rFonts w:ascii="Tahoma" w:eastAsia="Calibri" w:hAnsi="Tahoma" w:cs="Tahoma"/>
          <w:sz w:val="24"/>
          <w:szCs w:val="24"/>
        </w:rPr>
      </w:pPr>
      <w:r w:rsidRPr="002462E6">
        <w:rPr>
          <w:rFonts w:ascii="Tahoma" w:eastAsia="Calibri" w:hAnsi="Tahoma" w:cs="Tahoma"/>
          <w:b/>
          <w:bCs/>
          <w:sz w:val="24"/>
          <w:szCs w:val="24"/>
        </w:rPr>
        <w:t xml:space="preserve">Cédraies : </w:t>
      </w:r>
      <w:r w:rsidRPr="002462E6">
        <w:rPr>
          <w:rFonts w:ascii="Tahoma" w:eastAsia="Calibri" w:hAnsi="Tahoma" w:cs="Tahoma"/>
          <w:sz w:val="24"/>
          <w:szCs w:val="24"/>
        </w:rPr>
        <w:t>Les cédraies désignent des formations forestières dominées par des arbres du genre Cedrus, plus communément appelés cèdres. Ces forêts sont caractérisées par la présence d'espèces de cèdres, notamment le cèdre de l'Atlas (Cedrus atlantica), le cèdre du Liban (Cedrus libani), le cèdre de l'Himalaya (Cedrus deodara) et le cèdre de Chypre (Cedrus brevifolia). Les cédraies constituent des écosystèmes importants, à la fois sur le plan écologique, économique et culturel.</w:t>
      </w:r>
    </w:p>
    <w:p w:rsidR="00FD1D56" w:rsidRPr="002462E6" w:rsidRDefault="00FD1D56" w:rsidP="00FD1D56">
      <w:pPr>
        <w:spacing w:line="360" w:lineRule="auto"/>
        <w:jc w:val="both"/>
        <w:rPr>
          <w:rFonts w:ascii="Tahoma" w:eastAsia="Calibri" w:hAnsi="Tahoma" w:cs="Tahoma"/>
          <w:sz w:val="24"/>
          <w:szCs w:val="24"/>
        </w:rPr>
      </w:pPr>
    </w:p>
    <w:p w:rsidR="00FD1D56" w:rsidRPr="002462E6" w:rsidRDefault="00FD1D56" w:rsidP="00FD1D56">
      <w:pPr>
        <w:spacing w:line="360" w:lineRule="auto"/>
        <w:jc w:val="both"/>
        <w:rPr>
          <w:rFonts w:ascii="Tahoma" w:eastAsia="Calibri" w:hAnsi="Tahoma" w:cs="Tahoma"/>
          <w:sz w:val="24"/>
          <w:szCs w:val="24"/>
          <w:lang w:eastAsia="fr-FR"/>
        </w:rPr>
      </w:pPr>
      <w:r w:rsidRPr="002462E6">
        <w:rPr>
          <w:rFonts w:ascii="Tahoma" w:eastAsia="Calibri" w:hAnsi="Tahoma" w:cs="Tahoma"/>
          <w:b/>
          <w:bCs/>
          <w:sz w:val="24"/>
          <w:szCs w:val="24"/>
          <w:lang w:eastAsia="fr-FR"/>
        </w:rPr>
        <w:t>Convention sur la Diversité Biologique :</w:t>
      </w:r>
      <w:r w:rsidRPr="002462E6">
        <w:rPr>
          <w:rFonts w:ascii="Tahoma" w:eastAsia="Calibri" w:hAnsi="Tahoma" w:cs="Tahoma"/>
          <w:sz w:val="24"/>
          <w:szCs w:val="24"/>
          <w:lang w:eastAsia="fr-FR"/>
        </w:rPr>
        <w:t xml:space="preserve"> La Convention sur la diversité biologique (CDB), souvent appelée simplement Convention sur la biodiversité, est un traité international adopté lors du Sommet de la Terre à Rio de Janeiro en 1992. C'est un accord multilatéral qui engage les pays signataires à prendre des mesures pour conserver la diversité biologique, utiliser durablement ses éléments et partager équitablement les avantages découlant de l'utilisation des ressources génétiques.</w:t>
      </w:r>
    </w:p>
    <w:p w:rsidR="00FD1D56" w:rsidRPr="002462E6" w:rsidRDefault="00FD1D56" w:rsidP="00FD1D56">
      <w:pPr>
        <w:spacing w:line="360" w:lineRule="auto"/>
        <w:jc w:val="both"/>
        <w:rPr>
          <w:rFonts w:ascii="Tahoma" w:eastAsia="Calibri" w:hAnsi="Tahoma" w:cs="Tahoma"/>
          <w:sz w:val="24"/>
          <w:szCs w:val="24"/>
        </w:rPr>
      </w:pPr>
      <w:r w:rsidRPr="002462E6">
        <w:rPr>
          <w:rFonts w:ascii="Tahoma" w:eastAsia="Calibri" w:hAnsi="Tahoma" w:cs="Tahoma"/>
          <w:b/>
          <w:bCs/>
          <w:sz w:val="24"/>
          <w:szCs w:val="24"/>
        </w:rPr>
        <w:t xml:space="preserve">Dioxyde de carbone : </w:t>
      </w:r>
      <w:r w:rsidRPr="002462E6">
        <w:rPr>
          <w:rFonts w:ascii="Tahoma" w:eastAsia="Calibri" w:hAnsi="Tahoma" w:cs="Tahoma"/>
          <w:sz w:val="24"/>
          <w:szCs w:val="24"/>
        </w:rPr>
        <w:t>Le dioxyde de carbone (CO2) est un composé chimique constitué d'un atome de carbone (C) et de deux atomes d'oxygène (O), d'où sa formule chimique CO2. C'est un gaz incolore et inodore dans les conditions normales de température et de pression.</w:t>
      </w:r>
    </w:p>
    <w:p w:rsidR="00FD1D56" w:rsidRPr="002462E6" w:rsidRDefault="00FD1D56" w:rsidP="00FD1D56">
      <w:pPr>
        <w:spacing w:line="360" w:lineRule="auto"/>
        <w:jc w:val="both"/>
        <w:rPr>
          <w:rFonts w:ascii="Tahoma" w:eastAsia="Calibri" w:hAnsi="Tahoma" w:cs="Tahoma"/>
          <w:b/>
          <w:bCs/>
          <w:sz w:val="24"/>
          <w:szCs w:val="24"/>
        </w:rPr>
      </w:pPr>
    </w:p>
    <w:p w:rsidR="00FD1D56" w:rsidRPr="002462E6" w:rsidRDefault="00FD1D56" w:rsidP="00FD1D56">
      <w:pPr>
        <w:spacing w:line="360" w:lineRule="auto"/>
        <w:jc w:val="lowKashida"/>
        <w:rPr>
          <w:rFonts w:ascii="Tahoma" w:eastAsia="Calibri" w:hAnsi="Tahoma" w:cs="Tahoma"/>
          <w:sz w:val="24"/>
          <w:szCs w:val="24"/>
        </w:rPr>
      </w:pPr>
      <w:r w:rsidRPr="002462E6">
        <w:rPr>
          <w:rFonts w:ascii="Tahoma" w:eastAsia="Calibri" w:hAnsi="Tahoma" w:cs="Tahoma"/>
          <w:b/>
          <w:bCs/>
          <w:sz w:val="28"/>
          <w:szCs w:val="28"/>
        </w:rPr>
        <w:t xml:space="preserve">Ecosystème : </w:t>
      </w:r>
      <w:r w:rsidRPr="002462E6">
        <w:rPr>
          <w:rFonts w:ascii="Tahoma" w:eastAsia="Calibri" w:hAnsi="Tahoma" w:cs="Tahoma"/>
          <w:sz w:val="24"/>
          <w:szCs w:val="24"/>
        </w:rPr>
        <w:t>L'écosystème est un concept central en écologie qui englobe l'ensemble formé par une communauté d'êtres vivants (la biocénose) et son environnement physique et chimique (le biotope), en interaction dynamique les uns avec les autres. Il s'agit d'un système complexe où les organismes interagissent entre eux, ainsi qu'avec leur environnement abiotique, par le biais de flux d'énergie et de cycles de matière.</w:t>
      </w:r>
    </w:p>
    <w:p w:rsidR="00A82190" w:rsidRPr="002462E6" w:rsidRDefault="00A82190" w:rsidP="00FD1D56">
      <w:pPr>
        <w:spacing w:line="360" w:lineRule="auto"/>
        <w:jc w:val="lowKashida"/>
        <w:rPr>
          <w:rFonts w:ascii="Tahoma" w:eastAsia="Calibri" w:hAnsi="Tahoma" w:cs="Tahoma"/>
          <w:sz w:val="24"/>
          <w:szCs w:val="24"/>
        </w:rPr>
      </w:pPr>
    </w:p>
    <w:p w:rsidR="00FD1D56" w:rsidRPr="002462E6" w:rsidRDefault="00FD1D56" w:rsidP="00FD1D56">
      <w:pPr>
        <w:spacing w:line="360" w:lineRule="auto"/>
        <w:jc w:val="both"/>
        <w:rPr>
          <w:rFonts w:ascii="Tahoma" w:eastAsia="Calibri" w:hAnsi="Tahoma" w:cs="Tahoma"/>
          <w:sz w:val="24"/>
          <w:szCs w:val="24"/>
          <w:lang w:eastAsia="fr-FR"/>
        </w:rPr>
      </w:pPr>
      <w:r w:rsidRPr="002462E6">
        <w:rPr>
          <w:rFonts w:ascii="Tahoma" w:eastAsia="Calibri" w:hAnsi="Tahoma" w:cs="Tahoma"/>
          <w:b/>
          <w:bCs/>
          <w:sz w:val="24"/>
          <w:szCs w:val="24"/>
          <w:lang w:eastAsia="fr-FR"/>
        </w:rPr>
        <w:t>Gaz à effet de serre :</w:t>
      </w:r>
      <w:r w:rsidRPr="002462E6">
        <w:rPr>
          <w:rFonts w:ascii="Tahoma" w:eastAsia="Calibri" w:hAnsi="Tahoma" w:cs="Tahoma"/>
          <w:sz w:val="24"/>
          <w:szCs w:val="24"/>
          <w:lang w:eastAsia="fr-FR"/>
        </w:rPr>
        <w:t xml:space="preserve"> Un gaz à effet de serre (GES) est un composant gazeux de l'atmosphère, naturel ou anthropique (d'origine humaine), qui absorbe et réémet une partie du rayonnement infrarouge (chaleur) émis par la surface de la Terre, contribuant ainsi à l'effet de serre. En termes plus simples : Ce sont des gaz dans l'atmosphère qui piègent la chaleur du soleil, ce qui réchauffe la planète.</w:t>
      </w:r>
    </w:p>
    <w:p w:rsidR="00FD1D56" w:rsidRPr="002462E6" w:rsidRDefault="00FD1D56" w:rsidP="00FD1D56">
      <w:pPr>
        <w:spacing w:line="360" w:lineRule="auto"/>
        <w:jc w:val="both"/>
        <w:rPr>
          <w:rFonts w:ascii="Tahoma" w:eastAsia="Calibri" w:hAnsi="Tahoma" w:cs="Tahoma"/>
          <w:sz w:val="24"/>
          <w:szCs w:val="24"/>
          <w:lang w:eastAsia="fr-FR"/>
        </w:rPr>
      </w:pPr>
    </w:p>
    <w:p w:rsidR="00FD1D56" w:rsidRPr="002462E6" w:rsidRDefault="00FD1D56" w:rsidP="00FD1D56">
      <w:pPr>
        <w:spacing w:line="360" w:lineRule="auto"/>
        <w:jc w:val="both"/>
        <w:rPr>
          <w:rFonts w:ascii="Tahoma" w:eastAsia="Calibri" w:hAnsi="Tahoma" w:cs="Tahoma"/>
          <w:sz w:val="24"/>
          <w:szCs w:val="24"/>
        </w:rPr>
      </w:pPr>
      <w:r w:rsidRPr="002462E6">
        <w:rPr>
          <w:rFonts w:ascii="Tahoma" w:eastAsia="Calibri" w:hAnsi="Tahoma" w:cs="Tahoma"/>
          <w:b/>
          <w:bCs/>
          <w:sz w:val="24"/>
          <w:szCs w:val="24"/>
        </w:rPr>
        <w:t xml:space="preserve">Gestion en futaie régulière ou irrégulière : </w:t>
      </w:r>
      <w:r w:rsidRPr="002462E6">
        <w:rPr>
          <w:rFonts w:ascii="Tahoma" w:eastAsia="Calibri" w:hAnsi="Tahoma" w:cs="Tahoma"/>
          <w:sz w:val="24"/>
          <w:szCs w:val="24"/>
        </w:rPr>
        <w:t>La gestion forestière en futaie régulière ou irrégulière fait référence à deux approches distinctes de gestion des forêts, qui diffèrent fondamentalement dans leur objectif, leur structure et leur impact sur l'écosystème forestier. La futaie régulière vise à créer des peuplements d'arbres d'âge similaire et d'essence dominante, tandis que la futaie irrégulière favorise la diversité d'âge et d'essence au sein d'un même peuplement. (Smith et al., 1997).</w:t>
      </w:r>
    </w:p>
    <w:p w:rsidR="00FD1D56" w:rsidRPr="002462E6" w:rsidRDefault="00FD1D56" w:rsidP="00FD1D56">
      <w:pPr>
        <w:spacing w:line="360" w:lineRule="auto"/>
        <w:jc w:val="both"/>
        <w:rPr>
          <w:rFonts w:ascii="Tahoma" w:eastAsia="Calibri" w:hAnsi="Tahoma" w:cs="Tahoma"/>
          <w:sz w:val="24"/>
          <w:szCs w:val="24"/>
        </w:rPr>
      </w:pPr>
    </w:p>
    <w:p w:rsidR="00FD1D56" w:rsidRPr="002462E6" w:rsidRDefault="00FD1D56" w:rsidP="00FD1D56">
      <w:pPr>
        <w:spacing w:line="360" w:lineRule="auto"/>
        <w:jc w:val="both"/>
        <w:rPr>
          <w:rFonts w:ascii="Tahoma" w:eastAsia="Calibri" w:hAnsi="Tahoma" w:cs="Tahoma"/>
          <w:sz w:val="24"/>
          <w:szCs w:val="24"/>
        </w:rPr>
      </w:pPr>
      <w:r w:rsidRPr="002462E6">
        <w:rPr>
          <w:rFonts w:ascii="Tahoma" w:eastAsia="Calibri" w:hAnsi="Tahoma" w:cs="Tahoma"/>
          <w:b/>
          <w:bCs/>
          <w:sz w:val="24"/>
          <w:szCs w:val="24"/>
        </w:rPr>
        <w:t>Groupe d'experts intergouvernemental sur l'évolution du climat :</w:t>
      </w:r>
      <w:r w:rsidRPr="002462E6">
        <w:rPr>
          <w:rFonts w:ascii="Tahoma" w:eastAsia="Calibri" w:hAnsi="Tahoma" w:cs="Tahoma"/>
          <w:sz w:val="24"/>
          <w:szCs w:val="24"/>
        </w:rPr>
        <w:t xml:space="preserve"> Le Groupe d'experts intergouvernemental sur l'évolution du climat (GIEC), en anglais Intergovernmental Panel on Climate Change (IPCC), est une organisation scientifique de premier plan créée en 1988 par deux entités majeures des Nations Unies : l'Organisation météorologique mondiale (OMM) et le Programme des Nations Unies pour l'environnement (PNUE) (IPCC, 2021). Sa mission fondamentale est de fournir des évaluations exhaustives, objectives et transparentes de l'information scientifique, technique et socio-économique pertinente pour comprendre les risques liés aux changements climatiques induits par l'activité humaine, leurs impacts potentiels, et les options d'adaptation et d'atténuation.</w:t>
      </w:r>
    </w:p>
    <w:p w:rsidR="00FD1D56" w:rsidRPr="002462E6" w:rsidRDefault="00FD1D56" w:rsidP="00FD1D56">
      <w:pPr>
        <w:spacing w:line="360" w:lineRule="auto"/>
        <w:jc w:val="both"/>
        <w:rPr>
          <w:rFonts w:ascii="Tahoma" w:eastAsia="Calibri" w:hAnsi="Tahoma" w:cs="Tahoma"/>
          <w:sz w:val="24"/>
          <w:szCs w:val="24"/>
        </w:rPr>
      </w:pPr>
    </w:p>
    <w:p w:rsidR="00FD1D56" w:rsidRPr="002462E6" w:rsidRDefault="00FD1D56" w:rsidP="00FD1D56">
      <w:pPr>
        <w:spacing w:line="360" w:lineRule="auto"/>
        <w:jc w:val="both"/>
        <w:rPr>
          <w:rFonts w:ascii="Tahoma" w:eastAsia="Calibri" w:hAnsi="Tahoma" w:cs="Tahoma"/>
          <w:sz w:val="24"/>
          <w:szCs w:val="24"/>
        </w:rPr>
      </w:pPr>
      <w:r w:rsidRPr="002462E6">
        <w:rPr>
          <w:rFonts w:ascii="Tahoma" w:eastAsia="Calibri" w:hAnsi="Tahoma" w:cs="Tahoma"/>
          <w:b/>
          <w:bCs/>
          <w:sz w:val="24"/>
          <w:szCs w:val="24"/>
        </w:rPr>
        <w:t xml:space="preserve">Junipéraies : </w:t>
      </w:r>
      <w:r w:rsidRPr="002462E6">
        <w:rPr>
          <w:rFonts w:ascii="Tahoma" w:eastAsia="Calibri" w:hAnsi="Tahoma" w:cs="Tahoma"/>
          <w:sz w:val="24"/>
          <w:szCs w:val="24"/>
        </w:rPr>
        <w:t>Les junipéraies, écosystèmes spécifiques façonnés par des conditions environnementales particulières, se définissent par la prédominance des genévriers (Juniperus spp.) et abritent une biodiversité adaptée à ces milieux. Leur structure, dense ou clairsemée, est directement influencée par ces conditions.</w:t>
      </w:r>
    </w:p>
    <w:p w:rsidR="00FD1D56" w:rsidRPr="002462E6" w:rsidRDefault="00FD1D56" w:rsidP="00FD1D56">
      <w:pPr>
        <w:spacing w:line="360" w:lineRule="auto"/>
        <w:jc w:val="both"/>
        <w:rPr>
          <w:rFonts w:ascii="Tahoma" w:eastAsia="Calibri" w:hAnsi="Tahoma" w:cs="Tahoma"/>
          <w:sz w:val="24"/>
          <w:szCs w:val="24"/>
        </w:rPr>
      </w:pPr>
      <w:r w:rsidRPr="002462E6">
        <w:rPr>
          <w:rFonts w:ascii="Tahoma" w:eastAsia="Calibri" w:hAnsi="Tahoma" w:cs="Tahoma"/>
          <w:b/>
          <w:bCs/>
          <w:sz w:val="24"/>
          <w:szCs w:val="24"/>
        </w:rPr>
        <w:t>Mécanisme de Développement Propre :</w:t>
      </w:r>
      <w:r w:rsidRPr="002462E6">
        <w:rPr>
          <w:rFonts w:ascii="Calibri" w:eastAsia="Calibri" w:hAnsi="Calibri" w:cs="Arial"/>
        </w:rPr>
        <w:t xml:space="preserve"> </w:t>
      </w:r>
      <w:r w:rsidRPr="002462E6">
        <w:rPr>
          <w:rFonts w:ascii="Tahoma" w:eastAsia="Calibri" w:hAnsi="Tahoma" w:cs="Tahoma"/>
          <w:sz w:val="24"/>
          <w:szCs w:val="24"/>
        </w:rPr>
        <w:t>Le Mécanisme de Développement Propre (MDP) (en anglais, Clean Development Mechanism, CDM) est un mécanisme flexible créé dans le cadre du Protocole de Kyoto (un accord international visant à réduire les émissions de gaz à effet de serre).</w:t>
      </w:r>
    </w:p>
    <w:p w:rsidR="00FD1D56" w:rsidRPr="002462E6" w:rsidRDefault="00FD1D56" w:rsidP="00FD1D56">
      <w:pPr>
        <w:spacing w:line="360" w:lineRule="auto"/>
        <w:jc w:val="both"/>
        <w:rPr>
          <w:rFonts w:ascii="Tahoma" w:eastAsia="Calibri" w:hAnsi="Tahoma" w:cs="Tahoma"/>
          <w:sz w:val="24"/>
          <w:szCs w:val="24"/>
        </w:rPr>
      </w:pPr>
    </w:p>
    <w:p w:rsidR="00FD1D56" w:rsidRPr="002462E6" w:rsidRDefault="00FD1D56" w:rsidP="00FD1D56">
      <w:pPr>
        <w:spacing w:line="360" w:lineRule="auto"/>
        <w:jc w:val="both"/>
        <w:rPr>
          <w:rFonts w:ascii="Tahoma" w:eastAsia="Calibri" w:hAnsi="Tahoma" w:cs="Tahoma"/>
          <w:sz w:val="24"/>
          <w:szCs w:val="24"/>
        </w:rPr>
      </w:pPr>
      <w:r w:rsidRPr="002462E6">
        <w:rPr>
          <w:rFonts w:ascii="Tahoma" w:eastAsia="Calibri" w:hAnsi="Tahoma" w:cs="Tahoma"/>
          <w:b/>
          <w:bCs/>
          <w:sz w:val="24"/>
          <w:szCs w:val="24"/>
        </w:rPr>
        <w:t>Objectifs de Développement Durable :</w:t>
      </w:r>
      <w:r w:rsidRPr="002462E6">
        <w:rPr>
          <w:rFonts w:ascii="Tahoma" w:eastAsia="Calibri" w:hAnsi="Tahoma" w:cs="Tahoma"/>
          <w:sz w:val="24"/>
          <w:szCs w:val="24"/>
        </w:rPr>
        <w:t xml:space="preserve"> Les Objectifs de Développement Durable (ODD), également appelés Objectifs mondiaux, sont un ensemble de 17 objectifs interdépendants conçus comme un "plan directeur pour parvenir à un avenir meilleur et plus durable pour tous". Ils ont été adoptés par les Nations Unies en 2015 dans le cadre de l'Agenda 2030 pour le développement durable.</w:t>
      </w:r>
    </w:p>
    <w:p w:rsidR="00FD1D56" w:rsidRPr="002462E6" w:rsidRDefault="00FD1D56" w:rsidP="00FD1D56">
      <w:pPr>
        <w:spacing w:line="360" w:lineRule="auto"/>
        <w:jc w:val="both"/>
        <w:rPr>
          <w:rFonts w:ascii="Tahoma" w:eastAsia="Calibri" w:hAnsi="Tahoma" w:cs="Tahoma"/>
          <w:sz w:val="24"/>
          <w:szCs w:val="24"/>
        </w:rPr>
      </w:pPr>
    </w:p>
    <w:p w:rsidR="00FD1D56" w:rsidRPr="002462E6" w:rsidRDefault="00FD1D56" w:rsidP="00FD1D56">
      <w:pPr>
        <w:spacing w:line="360" w:lineRule="auto"/>
        <w:jc w:val="both"/>
        <w:rPr>
          <w:rFonts w:ascii="Tahoma" w:eastAsia="Calibri" w:hAnsi="Tahoma" w:cs="Tahoma"/>
          <w:sz w:val="24"/>
          <w:szCs w:val="24"/>
        </w:rPr>
      </w:pPr>
      <w:r w:rsidRPr="002462E6">
        <w:rPr>
          <w:rFonts w:ascii="Tahoma" w:eastAsia="Calibri" w:hAnsi="Tahoma" w:cs="Tahoma"/>
          <w:b/>
          <w:bCs/>
          <w:sz w:val="24"/>
          <w:szCs w:val="24"/>
        </w:rPr>
        <w:t>Objectifs mondiaux sur les forêts du NLBI :</w:t>
      </w:r>
      <w:r w:rsidRPr="002462E6">
        <w:rPr>
          <w:rFonts w:ascii="Tahoma" w:eastAsia="Calibri" w:hAnsi="Tahoma" w:cs="Tahoma"/>
          <w:sz w:val="24"/>
          <w:szCs w:val="24"/>
        </w:rPr>
        <w:t xml:space="preserve"> Les Objectifs Mondiaux sur les Forêts du NLBI sont une série de buts que le monde s'est fixés pour mieux gérer et protéger les forêts, même si ce n'est pas une obligation légale pour les pays. C'est un peu comme une "feuille de route" pour la santé des forêts à l'échelle mondiale. Les Objectifs Mondiaux sur les Forêts (Global Objectives on Forests, GOFs) sont un ensemble de 6 objectifs, définis dans le cadre du NLBI, visant à promouvoir la gestion durable des forêts à l'échelle mondiale. Ils ont été adoptés en 2017 par l'Assemblée Générale des Nations Unies.</w:t>
      </w:r>
    </w:p>
    <w:p w:rsidR="00FD1D56" w:rsidRPr="002462E6" w:rsidRDefault="00FD1D56" w:rsidP="00FD1D56">
      <w:pPr>
        <w:spacing w:line="360" w:lineRule="auto"/>
        <w:jc w:val="both"/>
        <w:rPr>
          <w:rFonts w:ascii="Tahoma" w:eastAsia="Calibri" w:hAnsi="Tahoma" w:cs="Tahoma"/>
          <w:sz w:val="24"/>
          <w:szCs w:val="24"/>
        </w:rPr>
      </w:pPr>
    </w:p>
    <w:p w:rsidR="00FD1D56" w:rsidRPr="002462E6" w:rsidRDefault="00FD1D56" w:rsidP="00FD1D56">
      <w:pPr>
        <w:spacing w:line="360" w:lineRule="auto"/>
        <w:jc w:val="both"/>
        <w:rPr>
          <w:rFonts w:ascii="Tahoma" w:eastAsia="Calibri" w:hAnsi="Tahoma" w:cs="Tahoma"/>
          <w:sz w:val="24"/>
          <w:szCs w:val="24"/>
        </w:rPr>
      </w:pPr>
      <w:r w:rsidRPr="002462E6">
        <w:rPr>
          <w:rFonts w:ascii="Tahoma" w:eastAsia="Calibri" w:hAnsi="Tahoma" w:cs="Tahoma"/>
          <w:b/>
          <w:bCs/>
          <w:sz w:val="24"/>
          <w:szCs w:val="24"/>
        </w:rPr>
        <w:t>Photosynthèse :</w:t>
      </w:r>
      <w:r w:rsidRPr="002462E6">
        <w:rPr>
          <w:rFonts w:ascii="Tahoma" w:eastAsia="Calibri" w:hAnsi="Tahoma" w:cs="Tahoma"/>
          <w:sz w:val="24"/>
          <w:szCs w:val="24"/>
        </w:rPr>
        <w:t xml:space="preserve"> La photosynthèse est un processus biochimique essentiel réalisé par les plantes, les algues et certaines bactéries. Ce processus permet de convertir l'énergie lumineuse du soleil en énergie chimique stockée sous forme de sucres (glucides), en utilisant le dioxyde de carbone (CO2) de l'air et l'eau (H2O). L'oxygène (O2) est libéré en tant que sous-produit.</w:t>
      </w:r>
    </w:p>
    <w:p w:rsidR="00FD1D56" w:rsidRPr="002462E6" w:rsidRDefault="00FD1D56" w:rsidP="00FD1D56">
      <w:pPr>
        <w:spacing w:line="360" w:lineRule="auto"/>
        <w:jc w:val="both"/>
        <w:rPr>
          <w:rFonts w:ascii="Tahoma" w:eastAsia="Calibri" w:hAnsi="Tahoma" w:cs="Tahoma"/>
          <w:sz w:val="24"/>
          <w:szCs w:val="24"/>
        </w:rPr>
      </w:pPr>
    </w:p>
    <w:p w:rsidR="00FD1D56" w:rsidRPr="002462E6" w:rsidRDefault="00FD1D56" w:rsidP="00FD1D56">
      <w:pPr>
        <w:spacing w:line="360" w:lineRule="auto"/>
        <w:jc w:val="both"/>
        <w:rPr>
          <w:rFonts w:ascii="Tahoma" w:eastAsia="Calibri" w:hAnsi="Tahoma" w:cs="Tahoma"/>
          <w:sz w:val="24"/>
          <w:szCs w:val="24"/>
        </w:rPr>
      </w:pPr>
      <w:r w:rsidRPr="002462E6">
        <w:rPr>
          <w:rFonts w:ascii="Tahoma" w:eastAsia="Calibri" w:hAnsi="Tahoma" w:cs="Tahoma"/>
          <w:b/>
          <w:bCs/>
          <w:sz w:val="24"/>
          <w:szCs w:val="24"/>
        </w:rPr>
        <w:t>Pluies acides :</w:t>
      </w:r>
      <w:r w:rsidRPr="002462E6">
        <w:rPr>
          <w:rFonts w:ascii="Calibri" w:eastAsia="Calibri" w:hAnsi="Calibri" w:cs="Arial"/>
        </w:rPr>
        <w:t xml:space="preserve"> </w:t>
      </w:r>
      <w:r w:rsidRPr="002462E6">
        <w:rPr>
          <w:rFonts w:ascii="Tahoma" w:eastAsia="Calibri" w:hAnsi="Tahoma" w:cs="Tahoma"/>
          <w:sz w:val="24"/>
          <w:szCs w:val="24"/>
        </w:rPr>
        <w:t>Les pluies acides, également appelées précipitations acides ou dépôts acides, désignent un phénomène de pollution atmosphérique caractérisé par la présence d'acidité excessive dans les précipitations, telles que la pluie, la neige, le brouillard, le grésil ou même les poussières. Plus précisément, on considère que les précipitations sont acides lorsque leur pH est inférieur à 5.6 (Likens &amp; Bormann, 1974). Cette acidification est principalement due à la présence dans l'atmosphère de polluants acides, tels que le dioxyde de soufre (SO₂) et les oxydes d'azote (NOx), qui se dissolvent dans l'eau et forment des acides (Likens et al., 1979).</w:t>
      </w:r>
    </w:p>
    <w:p w:rsidR="00FD1D56" w:rsidRPr="002462E6" w:rsidRDefault="00FD1D56" w:rsidP="00FD1D56">
      <w:pPr>
        <w:spacing w:line="360" w:lineRule="auto"/>
        <w:jc w:val="both"/>
        <w:rPr>
          <w:rFonts w:ascii="Tahoma" w:eastAsia="Calibri" w:hAnsi="Tahoma" w:cs="Tahoma"/>
          <w:sz w:val="24"/>
          <w:szCs w:val="24"/>
        </w:rPr>
      </w:pPr>
    </w:p>
    <w:p w:rsidR="00FD1D56" w:rsidRPr="002462E6" w:rsidRDefault="00FD1D56" w:rsidP="00FD1D56">
      <w:pPr>
        <w:spacing w:line="360" w:lineRule="auto"/>
        <w:jc w:val="both"/>
        <w:rPr>
          <w:rFonts w:ascii="Tahoma" w:eastAsia="Calibri" w:hAnsi="Tahoma" w:cs="Tahoma"/>
          <w:sz w:val="24"/>
          <w:szCs w:val="24"/>
        </w:rPr>
      </w:pPr>
      <w:r w:rsidRPr="002462E6">
        <w:rPr>
          <w:rFonts w:ascii="Tahoma" w:eastAsia="Calibri" w:hAnsi="Tahoma" w:cs="Tahoma"/>
          <w:b/>
          <w:bCs/>
          <w:sz w:val="24"/>
          <w:szCs w:val="24"/>
        </w:rPr>
        <w:t>Protocole de Kyoto</w:t>
      </w:r>
      <w:r w:rsidRPr="002462E6">
        <w:rPr>
          <w:rFonts w:ascii="Tahoma" w:eastAsia="Calibri" w:hAnsi="Tahoma" w:cs="Tahoma"/>
          <w:sz w:val="24"/>
          <w:szCs w:val="24"/>
        </w:rPr>
        <w:t> : Le Protocole de Kyoto est un accord international de 1997 (entré en vigueur en 2005) visant à réduire les émissions de gaz à effet de serre des pays riches, avec des objectifs obligatoires et chiffrés. Bien que largement signé, son importance fut limitée par la non-ratification des États-Unis, le manque d'objectifs pour les pays en développement et des ambitions insuffisantes. Expiré en 2020, il a préparé le terrain pour l'Accord de Paris.</w:t>
      </w:r>
    </w:p>
    <w:p w:rsidR="00FD1D56" w:rsidRPr="002462E6" w:rsidRDefault="00FD1D56" w:rsidP="00FD1D56">
      <w:pPr>
        <w:spacing w:line="360" w:lineRule="auto"/>
        <w:jc w:val="both"/>
        <w:rPr>
          <w:rFonts w:ascii="Tahoma" w:eastAsia="Calibri" w:hAnsi="Tahoma" w:cs="Tahoma"/>
          <w:sz w:val="24"/>
          <w:szCs w:val="24"/>
        </w:rPr>
      </w:pPr>
    </w:p>
    <w:p w:rsidR="00FD1D56" w:rsidRPr="002462E6" w:rsidRDefault="00FD1D56" w:rsidP="00FD1D56">
      <w:pPr>
        <w:spacing w:line="360" w:lineRule="auto"/>
        <w:jc w:val="both"/>
        <w:rPr>
          <w:rFonts w:ascii="Tahoma" w:eastAsia="Calibri" w:hAnsi="Tahoma" w:cs="Tahoma"/>
          <w:sz w:val="24"/>
          <w:szCs w:val="24"/>
        </w:rPr>
      </w:pPr>
      <w:r w:rsidRPr="002462E6">
        <w:rPr>
          <w:rFonts w:ascii="Tahoma" w:eastAsia="Calibri" w:hAnsi="Tahoma" w:cs="Tahoma"/>
          <w:b/>
          <w:bCs/>
          <w:sz w:val="24"/>
          <w:szCs w:val="24"/>
        </w:rPr>
        <w:t>Puits de carbone :</w:t>
      </w:r>
      <w:r w:rsidRPr="002462E6">
        <w:rPr>
          <w:rFonts w:ascii="Tahoma" w:eastAsia="Calibri" w:hAnsi="Tahoma" w:cs="Tahoma"/>
          <w:sz w:val="24"/>
          <w:szCs w:val="24"/>
        </w:rPr>
        <w:t xml:space="preserve"> Un puits de carbone est un réservoir naturel ou artificiel qui absorbe plus de carbone qu'il n'en libère, permettant ainsi de réduire la concentration de CO2 dans l'atmosphère.  C'est un processus clé dans le cycle du carbone et important pour atténuer le changement climatique.</w:t>
      </w:r>
    </w:p>
    <w:p w:rsidR="00FD1D56" w:rsidRPr="002462E6" w:rsidRDefault="00FD1D56" w:rsidP="00FD1D56">
      <w:pPr>
        <w:spacing w:line="360" w:lineRule="auto"/>
        <w:jc w:val="both"/>
        <w:rPr>
          <w:rFonts w:ascii="Tahoma" w:eastAsia="Calibri" w:hAnsi="Tahoma" w:cs="Tahoma"/>
          <w:sz w:val="24"/>
          <w:szCs w:val="24"/>
        </w:rPr>
      </w:pPr>
    </w:p>
    <w:p w:rsidR="00FD1D56" w:rsidRPr="002462E6" w:rsidRDefault="00FD1D56" w:rsidP="00FD1D56">
      <w:pPr>
        <w:spacing w:line="360" w:lineRule="auto"/>
        <w:jc w:val="both"/>
        <w:rPr>
          <w:rFonts w:ascii="Tahoma" w:eastAsia="Calibri" w:hAnsi="Tahoma" w:cs="Tahoma"/>
          <w:sz w:val="24"/>
          <w:szCs w:val="24"/>
        </w:rPr>
      </w:pPr>
      <w:r w:rsidRPr="002462E6">
        <w:rPr>
          <w:rFonts w:ascii="Tahoma" w:eastAsia="Calibri" w:hAnsi="Tahoma" w:cs="Tahoma"/>
          <w:b/>
          <w:bCs/>
          <w:sz w:val="24"/>
          <w:szCs w:val="24"/>
        </w:rPr>
        <w:t>Rapport Brundtland :</w:t>
      </w:r>
      <w:r w:rsidRPr="002462E6">
        <w:rPr>
          <w:rFonts w:ascii="Tahoma" w:eastAsia="Calibri" w:hAnsi="Tahoma" w:cs="Tahoma"/>
          <w:sz w:val="24"/>
          <w:szCs w:val="24"/>
        </w:rPr>
        <w:t xml:space="preserve"> Le Rapport Brundtland, officiellement intitulé "Notre avenir à tous" (Our Common Future), est un document publié en 1987 par la Commission mondiale sur l'environnement et le développement (WCED), présidée par Gro Harlem Brundtland, alors Première ministre de Norvège. Ce rapport est largement reconnu comme ayant popularisé et défini le concept de développement durable (WCED, 1987). Il a eu un impact considérable sur la politique environnementale internationale et a jeté les bases de la Conférence des Nations Unies sur l'environnement et le développement (CNUED), également connue sous le nom de Sommet de la Terre, qui s'est tenue à Rio de Janeiro en 1992.</w:t>
      </w:r>
    </w:p>
    <w:p w:rsidR="00FD1D56" w:rsidRPr="002462E6" w:rsidRDefault="00FD1D56" w:rsidP="00FD1D56">
      <w:pPr>
        <w:spacing w:line="360" w:lineRule="auto"/>
        <w:jc w:val="both"/>
        <w:rPr>
          <w:rFonts w:ascii="Tahoma" w:eastAsia="Calibri" w:hAnsi="Tahoma" w:cs="Tahoma"/>
          <w:sz w:val="24"/>
          <w:szCs w:val="24"/>
        </w:rPr>
      </w:pPr>
      <w:r w:rsidRPr="002462E6">
        <w:rPr>
          <w:rFonts w:ascii="Tahoma" w:eastAsia="Calibri" w:hAnsi="Tahoma" w:cs="Tahoma"/>
          <w:b/>
          <w:bCs/>
          <w:sz w:val="28"/>
          <w:szCs w:val="28"/>
        </w:rPr>
        <w:t>Subéraies </w:t>
      </w:r>
      <w:r w:rsidRPr="002462E6">
        <w:rPr>
          <w:rFonts w:ascii="Tahoma" w:eastAsia="Calibri" w:hAnsi="Tahoma" w:cs="Tahoma"/>
          <w:sz w:val="24"/>
          <w:szCs w:val="24"/>
        </w:rPr>
        <w:t>: Les subéraies sont des formations forestières dominées par le chêne-liège (Quercus suber), un arbre caractéristique des régions méditerranéennes. Elles constituent des écosystèmes uniques et précieux, tant sur le plan écologique qu'économique et culturel. La particularité des subéraies réside dans leur capacité à produire du liège, une écorce épaisse et protectrice qui peut être récoltée sans nuire à l'arbre.</w:t>
      </w:r>
    </w:p>
    <w:p w:rsidR="00FD1D56" w:rsidRPr="002462E6" w:rsidRDefault="00FD1D56" w:rsidP="00FD1D56">
      <w:pPr>
        <w:spacing w:line="360" w:lineRule="auto"/>
        <w:jc w:val="both"/>
        <w:rPr>
          <w:rFonts w:ascii="Tahoma" w:eastAsia="Calibri" w:hAnsi="Tahoma" w:cs="Tahoma"/>
          <w:sz w:val="24"/>
          <w:szCs w:val="24"/>
        </w:rPr>
      </w:pPr>
    </w:p>
    <w:p w:rsidR="00FD1D56" w:rsidRPr="002462E6" w:rsidRDefault="00FD1D56" w:rsidP="00FD1D56">
      <w:pPr>
        <w:spacing w:line="360" w:lineRule="auto"/>
        <w:jc w:val="both"/>
        <w:rPr>
          <w:rFonts w:ascii="Tahoma" w:eastAsia="Calibri" w:hAnsi="Tahoma" w:cs="Tahoma"/>
          <w:sz w:val="24"/>
          <w:szCs w:val="24"/>
        </w:rPr>
      </w:pPr>
      <w:r w:rsidRPr="002462E6">
        <w:rPr>
          <w:rFonts w:ascii="Tahoma" w:eastAsia="Calibri" w:hAnsi="Tahoma" w:cs="Tahoma"/>
          <w:b/>
          <w:bCs/>
          <w:sz w:val="24"/>
          <w:szCs w:val="24"/>
        </w:rPr>
        <w:t>Taxons :</w:t>
      </w:r>
      <w:r w:rsidRPr="002462E6">
        <w:rPr>
          <w:rFonts w:ascii="Calibri" w:eastAsia="Calibri" w:hAnsi="Calibri" w:cs="Arial"/>
          <w:sz w:val="24"/>
          <w:szCs w:val="24"/>
        </w:rPr>
        <w:t xml:space="preserve"> </w:t>
      </w:r>
      <w:r w:rsidRPr="002462E6">
        <w:rPr>
          <w:rFonts w:ascii="Tahoma" w:eastAsia="Calibri" w:hAnsi="Tahoma" w:cs="Tahoma"/>
          <w:sz w:val="24"/>
          <w:szCs w:val="24"/>
        </w:rPr>
        <w:t>Un taxon (pluriel : taxons) est un groupe d'organismes vivants considérés comme une unité dans la classification biologique. Il représente un ensemble d'individus ayant en commun un certain nombre de caractéristiques spécifiques qui les distinguent des autres groupes. En d'autres termes, un taxon est un groupe d'organismes qui partagent une histoire évolutive commune et qui sont reconnus comme une entité distincte dans la classification scientifique.</w:t>
      </w:r>
    </w:p>
    <w:p w:rsidR="00FD1D56" w:rsidRPr="002462E6" w:rsidRDefault="00FD1D56" w:rsidP="00FD1D56">
      <w:pPr>
        <w:spacing w:line="360" w:lineRule="auto"/>
        <w:jc w:val="both"/>
        <w:rPr>
          <w:rFonts w:ascii="Tahoma" w:eastAsia="Calibri" w:hAnsi="Tahoma" w:cs="Tahoma"/>
          <w:sz w:val="24"/>
          <w:szCs w:val="24"/>
        </w:rPr>
      </w:pPr>
    </w:p>
    <w:p w:rsidR="00FD1D56" w:rsidRPr="002462E6" w:rsidRDefault="00FD1D56" w:rsidP="00FD1D56">
      <w:pPr>
        <w:spacing w:line="360" w:lineRule="auto"/>
        <w:jc w:val="both"/>
        <w:rPr>
          <w:rFonts w:ascii="Tahoma" w:eastAsia="Calibri" w:hAnsi="Tahoma" w:cs="Tahoma"/>
          <w:sz w:val="24"/>
          <w:szCs w:val="24"/>
        </w:rPr>
      </w:pPr>
      <w:r w:rsidRPr="002462E6">
        <w:rPr>
          <w:rFonts w:ascii="Tahoma" w:eastAsia="Calibri" w:hAnsi="Tahoma" w:cs="Tahoma"/>
          <w:b/>
          <w:bCs/>
          <w:sz w:val="24"/>
          <w:szCs w:val="24"/>
        </w:rPr>
        <w:t xml:space="preserve">Thuriféraires : </w:t>
      </w:r>
      <w:r w:rsidRPr="002462E6">
        <w:rPr>
          <w:rFonts w:ascii="Tahoma" w:eastAsia="Calibri" w:hAnsi="Tahoma" w:cs="Tahoma"/>
          <w:sz w:val="24"/>
          <w:szCs w:val="24"/>
        </w:rPr>
        <w:t>Genévrier thurifère (Juniperus thurifera), Le genévrier thurifère est une espèce de genévrier que l'on trouve principalement dans les régions montagneuses du bassin méditerranéen occidental (notamment en Espagne, en France, en Italie et en Afrique du Nord).</w:t>
      </w:r>
    </w:p>
    <w:p w:rsidR="000D57A1" w:rsidRPr="002462E6" w:rsidRDefault="00FD1D56" w:rsidP="000D57A1">
      <w:pPr>
        <w:pStyle w:val="Sous-titre"/>
      </w:pPr>
      <w:r w:rsidRPr="002462E6">
        <w:rPr>
          <w:rFonts w:eastAsia="Calibri"/>
        </w:rPr>
        <w:br w:type="page"/>
      </w:r>
      <w:r w:rsidR="000D57A1" w:rsidRPr="002462E6">
        <w:t xml:space="preserve"> Définitions</w:t>
      </w:r>
      <w:r w:rsidR="000D57A1" w:rsidRPr="002462E6">
        <w:rPr>
          <w:spacing w:val="-5"/>
        </w:rPr>
        <w:t xml:space="preserve"> </w:t>
      </w:r>
      <w:r w:rsidR="000D57A1" w:rsidRPr="002462E6">
        <w:t>internationales</w:t>
      </w:r>
      <w:r w:rsidR="000D57A1" w:rsidRPr="002462E6">
        <w:rPr>
          <w:spacing w:val="-5"/>
        </w:rPr>
        <w:t xml:space="preserve"> </w:t>
      </w:r>
      <w:r w:rsidR="000D57A1" w:rsidRPr="002462E6">
        <w:t>de</w:t>
      </w:r>
      <w:r w:rsidR="000D57A1" w:rsidRPr="002462E6">
        <w:rPr>
          <w:spacing w:val="-6"/>
        </w:rPr>
        <w:t xml:space="preserve"> </w:t>
      </w:r>
      <w:r w:rsidR="000D57A1" w:rsidRPr="002462E6">
        <w:t>dégradation</w:t>
      </w:r>
      <w:r w:rsidR="000D57A1" w:rsidRPr="002462E6">
        <w:rPr>
          <w:spacing w:val="-5"/>
        </w:rPr>
        <w:t xml:space="preserve"> </w:t>
      </w:r>
      <w:r w:rsidR="000D57A1" w:rsidRPr="002462E6">
        <w:t>des</w:t>
      </w:r>
      <w:r w:rsidR="000D57A1" w:rsidRPr="002462E6">
        <w:rPr>
          <w:spacing w:val="-6"/>
        </w:rPr>
        <w:t xml:space="preserve"> </w:t>
      </w:r>
      <w:r w:rsidR="000D57A1" w:rsidRPr="002462E6">
        <w:t>forêts/</w:t>
      </w:r>
      <w:r w:rsidR="000D57A1" w:rsidRPr="002462E6">
        <w:rPr>
          <w:spacing w:val="-5"/>
        </w:rPr>
        <w:t xml:space="preserve"> </w:t>
      </w:r>
      <w:r w:rsidR="000D57A1" w:rsidRPr="002462E6">
        <w:t>forêts</w:t>
      </w:r>
      <w:r w:rsidR="000D57A1" w:rsidRPr="002462E6">
        <w:rPr>
          <w:spacing w:val="-6"/>
        </w:rPr>
        <w:t xml:space="preserve"> </w:t>
      </w:r>
      <w:r w:rsidR="000D57A1" w:rsidRPr="002462E6">
        <w:t>dégradées</w:t>
      </w:r>
    </w:p>
    <w:tbl>
      <w:tblPr>
        <w:tblStyle w:val="Grillemoyenne3-Accent61"/>
        <w:tblW w:w="9750" w:type="dxa"/>
        <w:tblLook w:val="04A0" w:firstRow="1" w:lastRow="0" w:firstColumn="1" w:lastColumn="0" w:noHBand="0" w:noVBand="1"/>
      </w:tblPr>
      <w:tblGrid>
        <w:gridCol w:w="1524"/>
        <w:gridCol w:w="8226"/>
      </w:tblGrid>
      <w:tr w:rsidR="000D57A1" w:rsidRPr="002462E6" w:rsidTr="009E7139">
        <w:trPr>
          <w:cnfStyle w:val="100000000000" w:firstRow="1" w:lastRow="0" w:firstColumn="0" w:lastColumn="0" w:oddVBand="0" w:evenVBand="0" w:oddHBand="0" w:evenHBand="0" w:firstRowFirstColumn="0" w:firstRowLastColumn="0" w:lastRowFirstColumn="0" w:lastRowLastColumn="0"/>
          <w:trHeight w:val="239"/>
        </w:trPr>
        <w:tc>
          <w:tcPr>
            <w:cnfStyle w:val="001000000000" w:firstRow="0" w:lastRow="0" w:firstColumn="1" w:lastColumn="0" w:oddVBand="0" w:evenVBand="0" w:oddHBand="0" w:evenHBand="0" w:firstRowFirstColumn="0" w:firstRowLastColumn="0" w:lastRowFirstColumn="0" w:lastRowLastColumn="0"/>
            <w:tcW w:w="1524" w:type="dxa"/>
            <w:hideMark/>
          </w:tcPr>
          <w:p w:rsidR="000D57A1" w:rsidRPr="002462E6" w:rsidRDefault="000D57A1" w:rsidP="009E7139">
            <w:pPr>
              <w:widowControl w:val="0"/>
              <w:autoSpaceDE w:val="0"/>
              <w:autoSpaceDN w:val="0"/>
              <w:jc w:val="center"/>
              <w:rPr>
                <w:rFonts w:ascii="Times New Roman" w:eastAsia="Times New Roman" w:hAnsi="Times New Roman" w:cs="Times New Roman"/>
                <w:b w:val="0"/>
                <w:bCs w:val="0"/>
                <w:position w:val="9"/>
                <w:sz w:val="18"/>
                <w:szCs w:val="18"/>
              </w:rPr>
            </w:pPr>
            <w:r w:rsidRPr="002462E6">
              <w:rPr>
                <w:rFonts w:ascii="Times New Roman" w:eastAsia="Times New Roman" w:hAnsi="Times New Roman" w:cs="Times New Roman"/>
                <w:b w:val="0"/>
                <w:bCs w:val="0"/>
                <w:position w:val="9"/>
                <w:sz w:val="18"/>
                <w:szCs w:val="18"/>
              </w:rPr>
              <w:t>Organisation</w:t>
            </w:r>
          </w:p>
        </w:tc>
        <w:tc>
          <w:tcPr>
            <w:tcW w:w="8226" w:type="dxa"/>
            <w:hideMark/>
          </w:tcPr>
          <w:p w:rsidR="000D57A1" w:rsidRPr="002462E6" w:rsidRDefault="000D57A1" w:rsidP="009E7139">
            <w:pPr>
              <w:widowControl w:val="0"/>
              <w:autoSpaceDE w:val="0"/>
              <w:autoSpaceDN w:val="0"/>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position w:val="9"/>
                <w:sz w:val="18"/>
                <w:szCs w:val="18"/>
              </w:rPr>
            </w:pPr>
            <w:r w:rsidRPr="002462E6">
              <w:rPr>
                <w:rFonts w:ascii="Times New Roman" w:eastAsia="Times New Roman" w:hAnsi="Times New Roman" w:cs="Times New Roman"/>
                <w:b w:val="0"/>
                <w:bCs w:val="0"/>
                <w:position w:val="9"/>
                <w:sz w:val="18"/>
                <w:szCs w:val="18"/>
              </w:rPr>
              <w:t>Définition</w:t>
            </w:r>
          </w:p>
        </w:tc>
      </w:tr>
      <w:tr w:rsidR="000D57A1" w:rsidRPr="002462E6" w:rsidTr="009E7139">
        <w:trPr>
          <w:cnfStyle w:val="000000100000" w:firstRow="0" w:lastRow="0" w:firstColumn="0" w:lastColumn="0" w:oddVBand="0" w:evenVBand="0" w:oddHBand="1" w:evenHBand="0" w:firstRowFirstColumn="0" w:firstRowLastColumn="0" w:lastRowFirstColumn="0" w:lastRowLastColumn="0"/>
          <w:trHeight w:val="750"/>
        </w:trPr>
        <w:tc>
          <w:tcPr>
            <w:cnfStyle w:val="001000000000" w:firstRow="0" w:lastRow="0" w:firstColumn="1" w:lastColumn="0" w:oddVBand="0" w:evenVBand="0" w:oddHBand="0" w:evenHBand="0" w:firstRowFirstColumn="0" w:firstRowLastColumn="0" w:lastRowFirstColumn="0" w:lastRowLastColumn="0"/>
            <w:tcW w:w="1524" w:type="dxa"/>
            <w:vAlign w:val="center"/>
            <w:hideMark/>
          </w:tcPr>
          <w:p w:rsidR="000D57A1" w:rsidRPr="002462E6" w:rsidRDefault="000D57A1" w:rsidP="009E7139">
            <w:pPr>
              <w:widowControl w:val="0"/>
              <w:autoSpaceDE w:val="0"/>
              <w:autoSpaceDN w:val="0"/>
              <w:jc w:val="center"/>
              <w:rPr>
                <w:rFonts w:ascii="Times New Roman" w:eastAsia="Times New Roman" w:hAnsi="Times New Roman" w:cs="Times New Roman"/>
                <w:position w:val="9"/>
                <w:sz w:val="16"/>
              </w:rPr>
            </w:pPr>
            <w:r w:rsidRPr="002462E6">
              <w:rPr>
                <w:rFonts w:ascii="Times New Roman" w:eastAsia="Times New Roman" w:hAnsi="Times New Roman" w:cs="Times New Roman"/>
                <w:position w:val="9"/>
                <w:sz w:val="16"/>
              </w:rPr>
              <w:t>Deuxième réunion d'experts (FAO 2002b)</w:t>
            </w:r>
          </w:p>
        </w:tc>
        <w:tc>
          <w:tcPr>
            <w:tcW w:w="8226" w:type="dxa"/>
            <w:vAlign w:val="center"/>
            <w:hideMark/>
          </w:tcPr>
          <w:p w:rsidR="000D57A1" w:rsidRPr="002462E6" w:rsidRDefault="000D57A1" w:rsidP="009E7139">
            <w:pPr>
              <w:widowControl w:val="0"/>
              <w:autoSpaceDE w:val="0"/>
              <w:autoSpaceDN w:val="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position w:val="9"/>
                <w:sz w:val="16"/>
              </w:rPr>
            </w:pPr>
            <w:r w:rsidRPr="002462E6">
              <w:rPr>
                <w:rFonts w:ascii="Times New Roman" w:eastAsia="Times New Roman" w:hAnsi="Times New Roman" w:cs="Times New Roman"/>
                <w:position w:val="9"/>
                <w:sz w:val="16"/>
              </w:rPr>
              <w:t>Réduction de la capacité d'une forêt à fournir des biens et services.</w:t>
            </w:r>
          </w:p>
        </w:tc>
      </w:tr>
      <w:tr w:rsidR="000D57A1" w:rsidRPr="002462E6" w:rsidTr="009E7139">
        <w:trPr>
          <w:trHeight w:val="495"/>
        </w:trPr>
        <w:tc>
          <w:tcPr>
            <w:cnfStyle w:val="001000000000" w:firstRow="0" w:lastRow="0" w:firstColumn="1" w:lastColumn="0" w:oddVBand="0" w:evenVBand="0" w:oddHBand="0" w:evenHBand="0" w:firstRowFirstColumn="0" w:firstRowLastColumn="0" w:lastRowFirstColumn="0" w:lastRowLastColumn="0"/>
            <w:tcW w:w="1524" w:type="dxa"/>
            <w:vAlign w:val="center"/>
            <w:hideMark/>
          </w:tcPr>
          <w:p w:rsidR="000D57A1" w:rsidRPr="002462E6" w:rsidRDefault="000D57A1" w:rsidP="009E7139">
            <w:pPr>
              <w:widowControl w:val="0"/>
              <w:autoSpaceDE w:val="0"/>
              <w:autoSpaceDN w:val="0"/>
              <w:jc w:val="center"/>
              <w:rPr>
                <w:rFonts w:ascii="Times New Roman" w:eastAsia="Times New Roman" w:hAnsi="Times New Roman" w:cs="Times New Roman"/>
                <w:position w:val="9"/>
                <w:sz w:val="16"/>
              </w:rPr>
            </w:pPr>
            <w:r w:rsidRPr="002462E6">
              <w:rPr>
                <w:rFonts w:ascii="Times New Roman" w:eastAsia="Times New Roman" w:hAnsi="Times New Roman" w:cs="Times New Roman"/>
                <w:position w:val="9"/>
                <w:sz w:val="16"/>
              </w:rPr>
              <w:t>FRA (2001)</w:t>
            </w:r>
          </w:p>
        </w:tc>
        <w:tc>
          <w:tcPr>
            <w:tcW w:w="8226" w:type="dxa"/>
            <w:vAlign w:val="center"/>
            <w:hideMark/>
          </w:tcPr>
          <w:p w:rsidR="000D57A1" w:rsidRPr="002462E6" w:rsidRDefault="000D57A1" w:rsidP="009E7139">
            <w:pPr>
              <w:widowControl w:val="0"/>
              <w:autoSpaceDE w:val="0"/>
              <w:autoSpaceDN w:val="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position w:val="9"/>
                <w:sz w:val="16"/>
              </w:rPr>
            </w:pPr>
            <w:r w:rsidRPr="002462E6">
              <w:rPr>
                <w:rFonts w:ascii="Times New Roman" w:eastAsia="Times New Roman" w:hAnsi="Times New Roman" w:cs="Times New Roman"/>
                <w:position w:val="9"/>
                <w:sz w:val="16"/>
              </w:rPr>
              <w:t>Changements au sein de la forêt qui affectent négativement la structure ou la fonction du peuplement ou du site et qui, par conséquent, diminuent sa capacité à fournir des produits et/ou des services.</w:t>
            </w:r>
          </w:p>
        </w:tc>
      </w:tr>
      <w:tr w:rsidR="000D57A1" w:rsidRPr="002462E6" w:rsidTr="009E7139">
        <w:trPr>
          <w:cnfStyle w:val="000000100000" w:firstRow="0" w:lastRow="0" w:firstColumn="0" w:lastColumn="0" w:oddVBand="0" w:evenVBand="0" w:oddHBand="1" w:evenHBand="0" w:firstRowFirstColumn="0" w:firstRowLastColumn="0" w:lastRowFirstColumn="0" w:lastRowLastColumn="0"/>
          <w:trHeight w:val="1277"/>
        </w:trPr>
        <w:tc>
          <w:tcPr>
            <w:cnfStyle w:val="001000000000" w:firstRow="0" w:lastRow="0" w:firstColumn="1" w:lastColumn="0" w:oddVBand="0" w:evenVBand="0" w:oddHBand="0" w:evenHBand="0" w:firstRowFirstColumn="0" w:firstRowLastColumn="0" w:lastRowFirstColumn="0" w:lastRowLastColumn="0"/>
            <w:tcW w:w="1524" w:type="dxa"/>
            <w:vAlign w:val="center"/>
            <w:hideMark/>
          </w:tcPr>
          <w:p w:rsidR="000D57A1" w:rsidRPr="002462E6" w:rsidRDefault="000D57A1" w:rsidP="009E7139">
            <w:pPr>
              <w:widowControl w:val="0"/>
              <w:autoSpaceDE w:val="0"/>
              <w:autoSpaceDN w:val="0"/>
              <w:jc w:val="center"/>
              <w:rPr>
                <w:rFonts w:ascii="Times New Roman" w:eastAsia="Times New Roman" w:hAnsi="Times New Roman" w:cs="Times New Roman"/>
                <w:position w:val="9"/>
                <w:sz w:val="16"/>
              </w:rPr>
            </w:pPr>
            <w:r w:rsidRPr="002462E6">
              <w:rPr>
                <w:rFonts w:ascii="Times New Roman" w:eastAsia="Times New Roman" w:hAnsi="Times New Roman" w:cs="Times New Roman"/>
                <w:position w:val="9"/>
                <w:sz w:val="16"/>
              </w:rPr>
              <w:t>OIBT (2002 ; 2005)</w:t>
            </w:r>
          </w:p>
        </w:tc>
        <w:tc>
          <w:tcPr>
            <w:tcW w:w="8226" w:type="dxa"/>
            <w:vAlign w:val="center"/>
            <w:hideMark/>
          </w:tcPr>
          <w:p w:rsidR="000D57A1" w:rsidRPr="002462E6" w:rsidRDefault="000D57A1" w:rsidP="009E7139">
            <w:pPr>
              <w:widowControl w:val="0"/>
              <w:autoSpaceDE w:val="0"/>
              <w:autoSpaceDN w:val="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position w:val="9"/>
                <w:sz w:val="16"/>
              </w:rPr>
            </w:pPr>
            <w:r w:rsidRPr="002462E6">
              <w:rPr>
                <w:rFonts w:ascii="Times New Roman" w:eastAsia="Times New Roman" w:hAnsi="Times New Roman" w:cs="Times New Roman"/>
                <w:position w:val="9"/>
                <w:sz w:val="16"/>
              </w:rPr>
              <w:t>La dégradation des forêts se réfère à la réduction de la capacité d'une forêt à produire des biens et des services (OIBT 2002). La capacité comprend le maintien de la structure et des fonctions d'écosystèmes (OIBT 2005). Une forêt dégradée ne fournit qu'une quantité limitée de biens et services et ne conserve qu'une diversité biologique restreinte. Elle a perdu la structure, la fonction, la composition des essences et/ou la productivité normalement associée à la forêt naturelle (OIBT 2002).</w:t>
            </w:r>
          </w:p>
          <w:p w:rsidR="000D57A1" w:rsidRPr="002462E6" w:rsidRDefault="000D57A1" w:rsidP="009E7139">
            <w:pPr>
              <w:widowControl w:val="0"/>
              <w:autoSpaceDE w:val="0"/>
              <w:autoSpaceDN w:val="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position w:val="9"/>
                <w:sz w:val="16"/>
              </w:rPr>
            </w:pPr>
            <w:r w:rsidRPr="002462E6">
              <w:rPr>
                <w:rFonts w:ascii="Times New Roman" w:eastAsia="Times New Roman" w:hAnsi="Times New Roman" w:cs="Times New Roman"/>
                <w:b/>
                <w:bCs/>
                <w:position w:val="9"/>
                <w:sz w:val="16"/>
              </w:rPr>
              <w:t xml:space="preserve"> Notes explicatives ((OIBT 2002 ; 2005):</w:t>
            </w:r>
            <w:r w:rsidRPr="002462E6">
              <w:rPr>
                <w:rFonts w:ascii="Times New Roman" w:eastAsia="Times New Roman" w:hAnsi="Times New Roman" w:cs="Times New Roman"/>
                <w:position w:val="9"/>
                <w:sz w:val="16"/>
              </w:rPr>
              <w:t xml:space="preserve"> Les forêts qui ont été altérées au-delà des effets normaux des processus naturels sont classées soit en forêt primaire dégradée, soit en forêt secondaire, soit en terres boisées dégradées:</w:t>
            </w:r>
          </w:p>
          <w:p w:rsidR="000D57A1" w:rsidRPr="002462E6" w:rsidRDefault="000D57A1" w:rsidP="00D051D7">
            <w:pPr>
              <w:widowControl w:val="0"/>
              <w:numPr>
                <w:ilvl w:val="0"/>
                <w:numId w:val="58"/>
              </w:numPr>
              <w:autoSpaceDE w:val="0"/>
              <w:autoSpaceDN w:val="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position w:val="9"/>
                <w:sz w:val="16"/>
              </w:rPr>
            </w:pPr>
            <w:r w:rsidRPr="002462E6">
              <w:rPr>
                <w:rFonts w:ascii="Times New Roman" w:eastAsia="Times New Roman" w:hAnsi="Times New Roman" w:cs="Times New Roman"/>
                <w:position w:val="9"/>
                <w:sz w:val="16"/>
              </w:rPr>
              <w:t>Forêt primaire dégradée : forêt primaire dont le couvert initial a été affecté par l'exploitation non durable de bois et de PFNL qui fait que sa structure, ses processus, ses fonctions et sa dynamique sont altérés au point de compromettre la capacité d'adaptation à court ou moyen terme de l'écosystème.</w:t>
            </w:r>
          </w:p>
          <w:p w:rsidR="000D57A1" w:rsidRPr="002462E6" w:rsidRDefault="000D57A1" w:rsidP="00D051D7">
            <w:pPr>
              <w:widowControl w:val="0"/>
              <w:numPr>
                <w:ilvl w:val="0"/>
                <w:numId w:val="58"/>
              </w:numPr>
              <w:autoSpaceDE w:val="0"/>
              <w:autoSpaceDN w:val="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position w:val="9"/>
                <w:sz w:val="16"/>
              </w:rPr>
            </w:pPr>
            <w:r w:rsidRPr="002462E6">
              <w:rPr>
                <w:rFonts w:ascii="Times New Roman" w:eastAsia="Times New Roman" w:hAnsi="Times New Roman" w:cs="Times New Roman"/>
                <w:position w:val="9"/>
                <w:sz w:val="16"/>
              </w:rPr>
              <w:t xml:space="preserve"> Forêt secondaire : végétation ligneuse reconstituée sur des terres dont le couvert forestier originel a été en grande partie défriché (au moins à 90%). En général, les forêts secondaires se développent naturellement sur des terres abandonnées après l'agriculture itinérante, l'agriculture sédentaire, les pâturages ou l'échec de plantations d'arbres</w:t>
            </w:r>
          </w:p>
          <w:p w:rsidR="000D57A1" w:rsidRPr="002462E6" w:rsidRDefault="000D57A1" w:rsidP="00D051D7">
            <w:pPr>
              <w:widowControl w:val="0"/>
              <w:numPr>
                <w:ilvl w:val="0"/>
                <w:numId w:val="58"/>
              </w:numPr>
              <w:autoSpaceDE w:val="0"/>
              <w:autoSpaceDN w:val="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position w:val="9"/>
                <w:sz w:val="16"/>
              </w:rPr>
            </w:pPr>
            <w:r w:rsidRPr="002462E6">
              <w:rPr>
                <w:rFonts w:ascii="Times New Roman" w:eastAsia="Times New Roman" w:hAnsi="Times New Roman" w:cs="Times New Roman"/>
                <w:position w:val="9"/>
                <w:sz w:val="16"/>
              </w:rPr>
              <w:t xml:space="preserve"> Terres forestières dégradées: anciennes terres forestières gravement endommagées par une exploitation excessive de produits du bois ou de PFNL, une gestion inadaptée, des feux répétés, le pâturage ou autres utilisations qui endommagent les sols et la végétation, à un degré tel que cela empêche ou retarde fortement la régénération de la forêt après son abandon.</w:t>
            </w:r>
          </w:p>
          <w:p w:rsidR="000D57A1" w:rsidRPr="002462E6" w:rsidRDefault="000D57A1" w:rsidP="009E7139">
            <w:pPr>
              <w:widowControl w:val="0"/>
              <w:autoSpaceDE w:val="0"/>
              <w:autoSpaceDN w:val="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position w:val="9"/>
                <w:sz w:val="16"/>
              </w:rPr>
            </w:pPr>
          </w:p>
        </w:tc>
      </w:tr>
      <w:tr w:rsidR="000D57A1" w:rsidRPr="002462E6" w:rsidTr="009E7139">
        <w:trPr>
          <w:trHeight w:val="766"/>
        </w:trPr>
        <w:tc>
          <w:tcPr>
            <w:cnfStyle w:val="001000000000" w:firstRow="0" w:lastRow="0" w:firstColumn="1" w:lastColumn="0" w:oddVBand="0" w:evenVBand="0" w:oddHBand="0" w:evenHBand="0" w:firstRowFirstColumn="0" w:firstRowLastColumn="0" w:lastRowFirstColumn="0" w:lastRowLastColumn="0"/>
            <w:tcW w:w="1524" w:type="dxa"/>
            <w:vAlign w:val="center"/>
            <w:hideMark/>
          </w:tcPr>
          <w:p w:rsidR="000D57A1" w:rsidRPr="002462E6" w:rsidRDefault="000D57A1" w:rsidP="009E7139">
            <w:pPr>
              <w:widowControl w:val="0"/>
              <w:autoSpaceDE w:val="0"/>
              <w:autoSpaceDN w:val="0"/>
              <w:jc w:val="center"/>
              <w:rPr>
                <w:rFonts w:ascii="Times New Roman" w:eastAsia="Times New Roman" w:hAnsi="Times New Roman" w:cs="Times New Roman"/>
                <w:position w:val="9"/>
                <w:sz w:val="16"/>
              </w:rPr>
            </w:pPr>
            <w:r w:rsidRPr="002462E6">
              <w:rPr>
                <w:rFonts w:ascii="Times New Roman" w:eastAsia="Times New Roman" w:hAnsi="Times New Roman" w:cs="Times New Roman"/>
                <w:position w:val="9"/>
                <w:sz w:val="16"/>
              </w:rPr>
              <w:t>CDB (2005 ; 2001)</w:t>
            </w:r>
          </w:p>
        </w:tc>
        <w:tc>
          <w:tcPr>
            <w:tcW w:w="8226" w:type="dxa"/>
            <w:vAlign w:val="center"/>
            <w:hideMark/>
          </w:tcPr>
          <w:p w:rsidR="000D57A1" w:rsidRPr="002462E6" w:rsidRDefault="000D57A1" w:rsidP="009E7139">
            <w:pPr>
              <w:widowControl w:val="0"/>
              <w:autoSpaceDE w:val="0"/>
              <w:autoSpaceDN w:val="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position w:val="9"/>
                <w:sz w:val="16"/>
              </w:rPr>
            </w:pPr>
            <w:r w:rsidRPr="002462E6">
              <w:rPr>
                <w:rFonts w:ascii="Times New Roman" w:eastAsia="Times New Roman" w:hAnsi="Times New Roman" w:cs="Times New Roman"/>
                <w:position w:val="9"/>
                <w:sz w:val="16"/>
              </w:rPr>
              <w:t xml:space="preserve">Une forêt dégradée est une forêt secondaire qui a perdu, à la suite d'activités humaines, la structure, la fonction, la composition ou la productivité des essences normalement associées à une forêt naturelle. De ce fait, une forêt dégradée offre une fourniture réduite de biens et services et n'a qu'une diversité biologique limitée. La diversité biologique d'une forêt dégradée comprend de nombreuses composantes non arborées, qui peuvent dominer le sous couvert végétal (PNUE/CDB/SBSTTA/7/INF/3). </w:t>
            </w:r>
          </w:p>
          <w:p w:rsidR="000D57A1" w:rsidRPr="002462E6" w:rsidRDefault="000D57A1" w:rsidP="009E7139">
            <w:pPr>
              <w:widowControl w:val="0"/>
              <w:autoSpaceDE w:val="0"/>
              <w:autoSpaceDN w:val="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position w:val="9"/>
                <w:sz w:val="16"/>
              </w:rPr>
            </w:pPr>
          </w:p>
          <w:p w:rsidR="000D57A1" w:rsidRPr="002462E6" w:rsidRDefault="000D57A1" w:rsidP="009E7139">
            <w:pPr>
              <w:widowControl w:val="0"/>
              <w:autoSpaceDE w:val="0"/>
              <w:autoSpaceDN w:val="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position w:val="9"/>
                <w:sz w:val="16"/>
              </w:rPr>
            </w:pPr>
            <w:r w:rsidRPr="002462E6">
              <w:rPr>
                <w:rFonts w:ascii="Times New Roman" w:eastAsia="Times New Roman" w:hAnsi="Times New Roman" w:cs="Times New Roman"/>
                <w:position w:val="9"/>
                <w:sz w:val="16"/>
              </w:rPr>
              <w:t>La dégradation est ... toute association de perte de fertilité des sols, d'absence de couvert forestier, de manque de fonction naturelle, de compaction du sol, et de salinisation qui empêche ou retarde la régénération de la forêt non assistée par succession secondaire. La réduction du couvert forestier, la dégradation des forêts et leur fragmentation conduit à une perte de biodiversité forestière en réduisant l'habitat disponible des espèces dépendantes de la forêt, et indirectement par la perturbation des principaux processus écologiques comme la pollinisation, la dispersion des semences et les flux de gènes. La fragmentation des forêts peut aussi compromettre la capacité des espèces végétales et/ou animales de s'adapter au réchauffement de la planète, à mesure que disparaissent les itinéraires de migration précédemment connectés. Dans certains types de forêt, la fragmentation peut également exacerber la probabilité de feux de forêt, qui mine ultérieurement la diversité biologique. (PNUE/CDB/SBSTTA/11/INF/2)</w:t>
            </w:r>
          </w:p>
        </w:tc>
      </w:tr>
      <w:tr w:rsidR="000D57A1" w:rsidRPr="002462E6" w:rsidTr="009E7139">
        <w:trPr>
          <w:cnfStyle w:val="000000100000" w:firstRow="0" w:lastRow="0" w:firstColumn="0" w:lastColumn="0" w:oddVBand="0" w:evenVBand="0" w:oddHBand="1" w:evenHBand="0" w:firstRowFirstColumn="0" w:firstRowLastColumn="0" w:lastRowFirstColumn="0" w:lastRowLastColumn="0"/>
          <w:trHeight w:val="750"/>
        </w:trPr>
        <w:tc>
          <w:tcPr>
            <w:cnfStyle w:val="001000000000" w:firstRow="0" w:lastRow="0" w:firstColumn="1" w:lastColumn="0" w:oddVBand="0" w:evenVBand="0" w:oddHBand="0" w:evenHBand="0" w:firstRowFirstColumn="0" w:firstRowLastColumn="0" w:lastRowFirstColumn="0" w:lastRowLastColumn="0"/>
            <w:tcW w:w="1524" w:type="dxa"/>
            <w:vAlign w:val="center"/>
            <w:hideMark/>
          </w:tcPr>
          <w:p w:rsidR="000D57A1" w:rsidRPr="002462E6" w:rsidRDefault="000D57A1" w:rsidP="009E7139">
            <w:pPr>
              <w:widowControl w:val="0"/>
              <w:autoSpaceDE w:val="0"/>
              <w:autoSpaceDN w:val="0"/>
              <w:jc w:val="center"/>
              <w:rPr>
                <w:rFonts w:ascii="Times New Roman" w:eastAsia="Times New Roman" w:hAnsi="Times New Roman" w:cs="Times New Roman"/>
                <w:position w:val="9"/>
                <w:sz w:val="16"/>
              </w:rPr>
            </w:pPr>
            <w:r w:rsidRPr="002462E6">
              <w:rPr>
                <w:rFonts w:ascii="Times New Roman" w:eastAsia="Times New Roman" w:hAnsi="Times New Roman" w:cs="Times New Roman"/>
                <w:position w:val="9"/>
                <w:sz w:val="16"/>
              </w:rPr>
              <w:t>GIEC (2003)</w:t>
            </w:r>
          </w:p>
        </w:tc>
        <w:tc>
          <w:tcPr>
            <w:tcW w:w="8226" w:type="dxa"/>
            <w:vAlign w:val="center"/>
            <w:hideMark/>
          </w:tcPr>
          <w:p w:rsidR="000D57A1" w:rsidRPr="002462E6" w:rsidRDefault="000D57A1" w:rsidP="009E7139">
            <w:pPr>
              <w:widowControl w:val="0"/>
              <w:autoSpaceDE w:val="0"/>
              <w:autoSpaceDN w:val="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position w:val="9"/>
                <w:sz w:val="16"/>
              </w:rPr>
            </w:pPr>
            <w:r w:rsidRPr="002462E6">
              <w:rPr>
                <w:rFonts w:ascii="Times New Roman" w:eastAsia="Times New Roman" w:hAnsi="Times New Roman" w:cs="Times New Roman"/>
                <w:position w:val="9"/>
                <w:sz w:val="16"/>
              </w:rPr>
              <w:t>Perte directe à long terme due aux activités humaines (persistant pendant X années ou plus) d'au moins Y% de stocks de carbone forestier [et de valeurs forestières] depuis un temps T et non qualifiables de déforestation ou activité en vertu de l'Article 3.4 du Protocole de Kyoto.</w:t>
            </w:r>
          </w:p>
        </w:tc>
      </w:tr>
      <w:tr w:rsidR="000D57A1" w:rsidRPr="002462E6" w:rsidTr="009E7139">
        <w:trPr>
          <w:trHeight w:val="1006"/>
        </w:trPr>
        <w:tc>
          <w:tcPr>
            <w:cnfStyle w:val="001000000000" w:firstRow="0" w:lastRow="0" w:firstColumn="1" w:lastColumn="0" w:oddVBand="0" w:evenVBand="0" w:oddHBand="0" w:evenHBand="0" w:firstRowFirstColumn="0" w:firstRowLastColumn="0" w:lastRowFirstColumn="0" w:lastRowLastColumn="0"/>
            <w:tcW w:w="1524" w:type="dxa"/>
            <w:vAlign w:val="center"/>
            <w:hideMark/>
          </w:tcPr>
          <w:p w:rsidR="000D57A1" w:rsidRPr="002462E6" w:rsidRDefault="000D57A1" w:rsidP="009E7139">
            <w:pPr>
              <w:widowControl w:val="0"/>
              <w:autoSpaceDE w:val="0"/>
              <w:autoSpaceDN w:val="0"/>
              <w:jc w:val="center"/>
              <w:rPr>
                <w:rFonts w:ascii="Times New Roman" w:eastAsia="Times New Roman" w:hAnsi="Times New Roman" w:cs="Times New Roman"/>
                <w:position w:val="9"/>
                <w:sz w:val="16"/>
              </w:rPr>
            </w:pPr>
            <w:r w:rsidRPr="002462E6">
              <w:rPr>
                <w:rFonts w:ascii="Times New Roman" w:eastAsia="Times New Roman" w:hAnsi="Times New Roman" w:cs="Times New Roman"/>
                <w:position w:val="9"/>
                <w:sz w:val="16"/>
              </w:rPr>
              <w:t>UIFRO (2000)</w:t>
            </w:r>
          </w:p>
        </w:tc>
        <w:tc>
          <w:tcPr>
            <w:tcW w:w="8226" w:type="dxa"/>
            <w:vAlign w:val="center"/>
            <w:hideMark/>
          </w:tcPr>
          <w:p w:rsidR="000D57A1" w:rsidRPr="002462E6" w:rsidRDefault="000D57A1" w:rsidP="009E7139">
            <w:pPr>
              <w:widowControl w:val="0"/>
              <w:autoSpaceDE w:val="0"/>
              <w:autoSpaceDN w:val="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position w:val="9"/>
                <w:sz w:val="16"/>
              </w:rPr>
            </w:pPr>
            <w:r w:rsidRPr="002462E6">
              <w:rPr>
                <w:rFonts w:ascii="Times New Roman" w:eastAsia="Times New Roman" w:hAnsi="Times New Roman" w:cs="Times New Roman"/>
                <w:position w:val="9"/>
                <w:sz w:val="16"/>
              </w:rPr>
              <w:t xml:space="preserve">Dégâts à la structure chimique, biologique et/ou physique d'un sol (dégradation du sol) et à la forêt en elle-même (dégradation de la forêt), à la suite d'une utilisation ou d'une gestion inadaptée, et qui, si elle n'est pas améliorée, réduiront ou détruiront le potentiel de production d'un écosystème forestier (à perpétuité). </w:t>
            </w:r>
            <w:r w:rsidRPr="002462E6">
              <w:rPr>
                <w:rFonts w:ascii="Times New Roman" w:eastAsia="Times New Roman" w:hAnsi="Times New Roman" w:cs="Times New Roman"/>
                <w:b/>
                <w:bCs/>
                <w:position w:val="9"/>
                <w:sz w:val="16"/>
              </w:rPr>
              <w:t>Note explicative :</w:t>
            </w:r>
            <w:r w:rsidRPr="002462E6">
              <w:rPr>
                <w:rFonts w:ascii="Times New Roman" w:eastAsia="Times New Roman" w:hAnsi="Times New Roman" w:cs="Times New Roman"/>
                <w:position w:val="9"/>
                <w:sz w:val="16"/>
              </w:rPr>
              <w:t xml:space="preserve"> Des facteurs externes, comme la pollution atmosphérique, peuvent y contribuer également. (Source: Nieuwenhuis 2000)</w:t>
            </w:r>
          </w:p>
        </w:tc>
      </w:tr>
    </w:tbl>
    <w:p w:rsidR="000D57A1" w:rsidRPr="002462E6" w:rsidRDefault="000D57A1" w:rsidP="000D57A1">
      <w:pPr>
        <w:widowControl w:val="0"/>
        <w:autoSpaceDE w:val="0"/>
        <w:autoSpaceDN w:val="0"/>
        <w:spacing w:before="36" w:after="0" w:line="240" w:lineRule="auto"/>
        <w:rPr>
          <w:rFonts w:ascii="Times New Roman" w:eastAsia="Times New Roman" w:hAnsi="Times New Roman" w:cs="Times New Roman"/>
          <w:b/>
          <w:iCs/>
          <w:sz w:val="20"/>
        </w:rPr>
      </w:pPr>
    </w:p>
    <w:p w:rsidR="000D57A1" w:rsidRPr="002462E6" w:rsidRDefault="000D57A1" w:rsidP="000D57A1">
      <w:pPr>
        <w:widowControl w:val="0"/>
        <w:autoSpaceDE w:val="0"/>
        <w:autoSpaceDN w:val="0"/>
        <w:spacing w:before="36" w:after="0" w:line="240" w:lineRule="auto"/>
        <w:jc w:val="center"/>
        <w:rPr>
          <w:rFonts w:ascii="Times New Roman" w:eastAsia="Times New Roman" w:hAnsi="Times New Roman" w:cs="Times New Roman"/>
          <w:iCs/>
          <w:sz w:val="20"/>
        </w:rPr>
      </w:pPr>
      <w:r w:rsidRPr="002462E6">
        <w:rPr>
          <w:rFonts w:ascii="Times New Roman" w:eastAsia="Times New Roman" w:hAnsi="Times New Roman" w:cs="Times New Roman"/>
          <w:b/>
          <w:iCs/>
          <w:sz w:val="20"/>
        </w:rPr>
        <w:t>Source</w:t>
      </w:r>
      <w:r w:rsidRPr="002462E6">
        <w:rPr>
          <w:rFonts w:ascii="Times New Roman" w:eastAsia="Times New Roman" w:hAnsi="Times New Roman" w:cs="Times New Roman"/>
          <w:b/>
          <w:iCs/>
          <w:spacing w:val="-2"/>
          <w:sz w:val="20"/>
        </w:rPr>
        <w:t xml:space="preserve"> </w:t>
      </w:r>
      <w:r w:rsidRPr="002462E6">
        <w:rPr>
          <w:rFonts w:ascii="Times New Roman" w:eastAsia="Times New Roman" w:hAnsi="Times New Roman" w:cs="Times New Roman"/>
          <w:b/>
          <w:iCs/>
          <w:sz w:val="20"/>
        </w:rPr>
        <w:t xml:space="preserve">: </w:t>
      </w:r>
      <w:r w:rsidRPr="002462E6">
        <w:rPr>
          <w:rFonts w:ascii="Times New Roman" w:eastAsia="Times New Roman" w:hAnsi="Times New Roman" w:cs="Times New Roman"/>
          <w:iCs/>
          <w:sz w:val="20"/>
        </w:rPr>
        <w:t>Rapport</w:t>
      </w:r>
      <w:r w:rsidRPr="002462E6">
        <w:rPr>
          <w:rFonts w:ascii="Times New Roman" w:eastAsia="Times New Roman" w:hAnsi="Times New Roman" w:cs="Times New Roman"/>
          <w:iCs/>
          <w:spacing w:val="-1"/>
          <w:sz w:val="20"/>
        </w:rPr>
        <w:t xml:space="preserve"> </w:t>
      </w:r>
      <w:r w:rsidRPr="002462E6">
        <w:rPr>
          <w:rFonts w:ascii="Times New Roman" w:eastAsia="Times New Roman" w:hAnsi="Times New Roman" w:cs="Times New Roman"/>
          <w:iCs/>
          <w:sz w:val="20"/>
        </w:rPr>
        <w:t>FAO septembre</w:t>
      </w:r>
      <w:r w:rsidRPr="002462E6">
        <w:rPr>
          <w:rFonts w:ascii="Times New Roman" w:eastAsia="Times New Roman" w:hAnsi="Times New Roman" w:cs="Times New Roman"/>
          <w:iCs/>
          <w:spacing w:val="-3"/>
          <w:sz w:val="20"/>
        </w:rPr>
        <w:t xml:space="preserve"> </w:t>
      </w:r>
      <w:r w:rsidRPr="002462E6">
        <w:rPr>
          <w:rFonts w:ascii="Times New Roman" w:eastAsia="Times New Roman" w:hAnsi="Times New Roman" w:cs="Times New Roman"/>
          <w:iCs/>
          <w:sz w:val="20"/>
        </w:rPr>
        <w:t>2009</w:t>
      </w:r>
      <w:r w:rsidRPr="002462E6">
        <w:rPr>
          <w:rFonts w:ascii="Times New Roman" w:eastAsia="Times New Roman" w:hAnsi="Times New Roman" w:cs="Times New Roman"/>
          <w:iCs/>
          <w:sz w:val="20"/>
          <w:vertAlign w:val="superscript"/>
        </w:rPr>
        <w:footnoteReference w:id="914"/>
      </w:r>
    </w:p>
    <w:p w:rsidR="00FD1D56" w:rsidRPr="002462E6" w:rsidRDefault="00FD1D56" w:rsidP="000D57A1">
      <w:pPr>
        <w:rPr>
          <w:rFonts w:ascii="Tahoma" w:eastAsia="Calibri" w:hAnsi="Tahoma" w:cs="Tahoma"/>
          <w:sz w:val="24"/>
          <w:szCs w:val="24"/>
        </w:rPr>
      </w:pPr>
    </w:p>
    <w:p w:rsidR="003A7A6C" w:rsidRPr="002462E6" w:rsidRDefault="003A7A6C" w:rsidP="002F1A32">
      <w:pPr>
        <w:pStyle w:val="Titre"/>
      </w:pPr>
      <w:bookmarkStart w:id="484" w:name="_Toc201570931"/>
      <w:bookmarkStart w:id="485" w:name="_Toc201655545"/>
      <w:bookmarkStart w:id="486" w:name="_Toc203643139"/>
      <w:r w:rsidRPr="00EE28C5">
        <w:t>BIBLIOGRAPHIE</w:t>
      </w:r>
      <w:bookmarkEnd w:id="484"/>
      <w:bookmarkEnd w:id="485"/>
      <w:bookmarkEnd w:id="486"/>
      <w:r w:rsidRPr="002462E6">
        <w:t xml:space="preserve"> </w:t>
      </w:r>
    </w:p>
    <w:p w:rsidR="00E45CE1" w:rsidRPr="002462E6" w:rsidRDefault="00E45CE1" w:rsidP="00E45CE1">
      <w:pPr>
        <w:rPr>
          <w:rFonts w:ascii="Tahoma" w:hAnsi="Tahoma" w:cs="Tahoma"/>
          <w:b/>
          <w:bCs/>
          <w:sz w:val="28"/>
          <w:szCs w:val="28"/>
        </w:rPr>
      </w:pPr>
      <w:bookmarkStart w:id="487" w:name="_Toc201570932"/>
      <w:bookmarkStart w:id="488" w:name="_Toc201655546"/>
      <w:r w:rsidRPr="002462E6">
        <w:rPr>
          <w:rFonts w:ascii="Tahoma" w:hAnsi="Tahoma" w:cs="Tahoma"/>
          <w:b/>
          <w:bCs/>
          <w:sz w:val="28"/>
          <w:szCs w:val="28"/>
        </w:rPr>
        <w:t>Ouvrage</w:t>
      </w:r>
      <w:r>
        <w:rPr>
          <w:rFonts w:ascii="Tahoma" w:hAnsi="Tahoma" w:cs="Tahoma"/>
          <w:b/>
          <w:bCs/>
          <w:sz w:val="28"/>
          <w:szCs w:val="28"/>
        </w:rPr>
        <w:t>s</w:t>
      </w:r>
      <w:r w:rsidRPr="002462E6">
        <w:rPr>
          <w:rFonts w:ascii="Tahoma" w:hAnsi="Tahoma" w:cs="Tahoma"/>
          <w:b/>
          <w:bCs/>
          <w:sz w:val="28"/>
          <w:szCs w:val="28"/>
        </w:rPr>
        <w:t xml:space="preserve"> :</w:t>
      </w:r>
    </w:p>
    <w:p w:rsidR="00E45CE1" w:rsidRPr="002462E6" w:rsidRDefault="00E45CE1" w:rsidP="00E45CE1">
      <w:pPr>
        <w:spacing w:after="0" w:line="276" w:lineRule="auto"/>
        <w:jc w:val="both"/>
        <w:rPr>
          <w:rFonts w:ascii="Tahoma" w:eastAsia="Times New Roman" w:hAnsi="Tahoma" w:cs="Tahoma"/>
          <w:sz w:val="24"/>
          <w:szCs w:val="24"/>
          <w:lang w:eastAsia="fr-FR"/>
        </w:rPr>
      </w:pPr>
    </w:p>
    <w:p w:rsidR="00E45CE1" w:rsidRPr="00F34102" w:rsidRDefault="00E45CE1" w:rsidP="00E45CE1">
      <w:pPr>
        <w:spacing w:line="240" w:lineRule="auto"/>
        <w:jc w:val="both"/>
        <w:rPr>
          <w:rFonts w:ascii="Tahoma" w:eastAsia="Calibri" w:hAnsi="Tahoma" w:cs="Tahoma"/>
          <w:sz w:val="24"/>
          <w:szCs w:val="24"/>
        </w:rPr>
      </w:pPr>
      <w:r w:rsidRPr="00F34102">
        <w:rPr>
          <w:rFonts w:ascii="Tahoma" w:eastAsia="Calibri" w:hAnsi="Tahoma" w:cs="Tahoma"/>
          <w:sz w:val="24"/>
          <w:szCs w:val="24"/>
        </w:rPr>
        <w:t>Abdelmalek BENABID, « La conservation de la biodiversité forestière au Maroc », Forêt méditerranéenne, vol. 16, n° 3, 1995, pp. 263-270.</w:t>
      </w:r>
    </w:p>
    <w:p w:rsidR="00E45CE1" w:rsidRPr="00F34102" w:rsidRDefault="00E45CE1" w:rsidP="00E45CE1">
      <w:pPr>
        <w:spacing w:line="240" w:lineRule="auto"/>
        <w:jc w:val="both"/>
        <w:rPr>
          <w:rFonts w:ascii="Tahoma" w:eastAsia="Calibri" w:hAnsi="Tahoma" w:cs="Tahoma"/>
          <w:sz w:val="24"/>
          <w:szCs w:val="24"/>
        </w:rPr>
      </w:pPr>
      <w:r w:rsidRPr="00F34102">
        <w:rPr>
          <w:rFonts w:ascii="Tahoma" w:eastAsia="Calibri" w:hAnsi="Tahoma" w:cs="Tahoma"/>
          <w:sz w:val="24"/>
          <w:szCs w:val="24"/>
        </w:rPr>
        <w:t>Abdelmalek BENABID, Flore et écosystèmes du Maroc : évaluation et préservation de la biodiversité, Paris, Ibis Press, 2000.</w:t>
      </w:r>
    </w:p>
    <w:p w:rsidR="00E45CE1" w:rsidRPr="00F34102" w:rsidRDefault="00E45CE1" w:rsidP="00E45CE1">
      <w:pPr>
        <w:spacing w:before="100" w:beforeAutospacing="1" w:after="100" w:afterAutospacing="1" w:line="240" w:lineRule="auto"/>
        <w:jc w:val="both"/>
        <w:rPr>
          <w:rFonts w:ascii="Tahoma" w:eastAsia="Times New Roman" w:hAnsi="Tahoma" w:cs="Tahoma"/>
          <w:sz w:val="24"/>
          <w:szCs w:val="24"/>
          <w:lang w:eastAsia="fr-FR"/>
        </w:rPr>
      </w:pPr>
      <w:r w:rsidRPr="00F34102">
        <w:rPr>
          <w:rFonts w:ascii="Tahoma" w:eastAsia="Times New Roman" w:hAnsi="Tahoma" w:cs="Tahoma"/>
          <w:sz w:val="24"/>
          <w:szCs w:val="24"/>
          <w:lang w:eastAsia="fr-FR"/>
        </w:rPr>
        <w:t xml:space="preserve">Adrian PHILLIPS, Management Guidelines for IUCN Category V Protected Areas: Protected Landscapes/Seascapes, No. 9, 2002, xv + 122 pp. </w:t>
      </w:r>
    </w:p>
    <w:p w:rsidR="00E45CE1" w:rsidRPr="00F34102" w:rsidRDefault="00E45CE1" w:rsidP="00E45CE1">
      <w:pPr>
        <w:spacing w:before="100" w:beforeAutospacing="1" w:after="100" w:afterAutospacing="1" w:line="240" w:lineRule="auto"/>
        <w:jc w:val="both"/>
        <w:rPr>
          <w:rFonts w:ascii="Tahoma" w:eastAsia="Times New Roman" w:hAnsi="Tahoma" w:cs="Tahoma"/>
          <w:sz w:val="24"/>
          <w:szCs w:val="24"/>
          <w:lang w:eastAsia="fr-FR"/>
        </w:rPr>
      </w:pPr>
      <w:r w:rsidRPr="00F34102">
        <w:rPr>
          <w:rFonts w:ascii="Tahoma" w:eastAsia="Times New Roman" w:hAnsi="Tahoma" w:cs="Tahoma"/>
          <w:sz w:val="24"/>
          <w:szCs w:val="24"/>
          <w:lang w:eastAsia="fr-FR"/>
        </w:rPr>
        <w:t>Albert E. BOADLE, The British Lumber Market, Washington DC, US Government Printing Office, 1928.</w:t>
      </w:r>
    </w:p>
    <w:p w:rsidR="00E45CE1" w:rsidRPr="00F34102" w:rsidRDefault="00E45CE1" w:rsidP="00E45CE1">
      <w:pPr>
        <w:spacing w:before="100" w:beforeAutospacing="1" w:after="100" w:afterAutospacing="1" w:line="240" w:lineRule="auto"/>
        <w:jc w:val="both"/>
        <w:rPr>
          <w:rFonts w:ascii="Tahoma" w:eastAsia="Times New Roman" w:hAnsi="Tahoma" w:cs="Tahoma"/>
          <w:sz w:val="24"/>
          <w:szCs w:val="24"/>
          <w:lang w:eastAsia="fr-FR"/>
        </w:rPr>
      </w:pPr>
      <w:r w:rsidRPr="00F34102">
        <w:rPr>
          <w:rFonts w:ascii="Tahoma" w:eastAsia="Times New Roman" w:hAnsi="Tahoma" w:cs="Tahoma"/>
          <w:sz w:val="24"/>
          <w:szCs w:val="24"/>
          <w:lang w:eastAsia="fr-FR"/>
        </w:rPr>
        <w:t>Albert MÉLARD, Insuffisance du bois d'œuvre dans le monde, Paris, Imprimerie nationale, 1900.</w:t>
      </w:r>
    </w:p>
    <w:p w:rsidR="00E45CE1" w:rsidRPr="00F34102" w:rsidRDefault="00E45CE1" w:rsidP="00E45CE1">
      <w:pPr>
        <w:spacing w:before="100" w:beforeAutospacing="1" w:after="100" w:afterAutospacing="1" w:line="240" w:lineRule="auto"/>
        <w:jc w:val="both"/>
        <w:rPr>
          <w:rFonts w:ascii="Tahoma" w:eastAsia="Times New Roman" w:hAnsi="Tahoma" w:cs="Tahoma"/>
          <w:sz w:val="24"/>
          <w:szCs w:val="24"/>
          <w:lang w:eastAsia="fr-FR"/>
        </w:rPr>
      </w:pPr>
      <w:r w:rsidRPr="00F34102">
        <w:rPr>
          <w:rFonts w:ascii="Tahoma" w:eastAsia="Times New Roman" w:hAnsi="Tahoma" w:cs="Tahoma"/>
          <w:sz w:val="24"/>
          <w:szCs w:val="24"/>
          <w:lang w:eastAsia="fr-FR"/>
        </w:rPr>
        <w:t>Alfred W., CROSBY, Children of the Sun: A History of Humanity's Unappeasable Appetite for Energy, New York, Norton, 2007.</w:t>
      </w:r>
    </w:p>
    <w:p w:rsidR="00E45CE1" w:rsidRPr="00F34102" w:rsidRDefault="00E45CE1" w:rsidP="00E45CE1">
      <w:pPr>
        <w:spacing w:line="240" w:lineRule="auto"/>
        <w:jc w:val="both"/>
        <w:rPr>
          <w:rFonts w:ascii="Tahoma" w:eastAsia="Calibri" w:hAnsi="Tahoma" w:cs="Tahoma"/>
          <w:sz w:val="24"/>
          <w:szCs w:val="24"/>
        </w:rPr>
      </w:pPr>
      <w:r w:rsidRPr="00F34102">
        <w:rPr>
          <w:rFonts w:ascii="Tahoma" w:eastAsia="Calibri" w:hAnsi="Tahoma" w:cs="Tahoma"/>
          <w:sz w:val="24"/>
          <w:szCs w:val="24"/>
        </w:rPr>
        <w:t xml:space="preserve">AUCLAIR, Laurent, et ALIFRIQUI, Mohamed (dir.), </w:t>
      </w:r>
      <w:r w:rsidRPr="00F34102">
        <w:rPr>
          <w:rFonts w:ascii="Tahoma" w:eastAsia="Calibri" w:hAnsi="Tahoma" w:cs="Tahoma"/>
          <w:i/>
          <w:iCs/>
          <w:sz w:val="24"/>
          <w:szCs w:val="24"/>
        </w:rPr>
        <w:t>Agdal : patrimoine socio-écologique de l’Atlas marocain</w:t>
      </w:r>
      <w:r w:rsidRPr="00F34102">
        <w:rPr>
          <w:rFonts w:ascii="Tahoma" w:eastAsia="Calibri" w:hAnsi="Tahoma" w:cs="Tahoma"/>
          <w:sz w:val="24"/>
          <w:szCs w:val="24"/>
        </w:rPr>
        <w:t>, Rabat, Institut Royal de la Culture Amazighe (IRCAM) &amp; Institut de Recherche pour le Développement (IRD), coll. « Colloques et séminaires » n° 29, 2012, 643 p.</w:t>
      </w:r>
    </w:p>
    <w:p w:rsidR="00E45CE1" w:rsidRPr="00080153" w:rsidRDefault="00E45CE1" w:rsidP="00E45CE1">
      <w:pPr>
        <w:spacing w:before="100" w:beforeAutospacing="1" w:after="100" w:afterAutospacing="1" w:line="240" w:lineRule="auto"/>
        <w:jc w:val="both"/>
        <w:rPr>
          <w:rFonts w:ascii="Tahoma" w:eastAsia="Times New Roman" w:hAnsi="Tahoma" w:cs="Tahoma"/>
          <w:sz w:val="24"/>
          <w:szCs w:val="24"/>
          <w:lang w:eastAsia="fr-FR"/>
        </w:rPr>
      </w:pPr>
      <w:r w:rsidRPr="00080153">
        <w:rPr>
          <w:rFonts w:ascii="Tahoma" w:eastAsia="Times New Roman" w:hAnsi="Tahoma" w:cs="Tahoma"/>
          <w:sz w:val="24"/>
          <w:szCs w:val="24"/>
          <w:lang w:eastAsia="fr-FR"/>
        </w:rPr>
        <w:t>BERRIANE, Mohamed et MICHON, Geneviève (dir.), Les terroirs au Sud, vers un nouveau modèle ? Une expérience marocaine, Marseille/Rabat, IRD Éditions/Faculté des Lettres et des Sciences humaines de Rabat, 2016, 978-2-7099-2243-2 (IRD) / 978-9981-59-336-7 (Faculté de Rabat).</w:t>
      </w:r>
    </w:p>
    <w:p w:rsidR="00E45CE1" w:rsidRPr="00080153" w:rsidRDefault="00E45CE1" w:rsidP="00E45CE1">
      <w:pPr>
        <w:spacing w:before="100" w:beforeAutospacing="1" w:after="100" w:afterAutospacing="1" w:line="240" w:lineRule="auto"/>
        <w:jc w:val="both"/>
        <w:rPr>
          <w:rFonts w:ascii="Tahoma" w:eastAsia="Times New Roman" w:hAnsi="Tahoma" w:cs="Tahoma"/>
          <w:sz w:val="24"/>
          <w:szCs w:val="24"/>
          <w:lang w:eastAsia="fr-FR"/>
        </w:rPr>
      </w:pPr>
      <w:r w:rsidRPr="00080153">
        <w:rPr>
          <w:rFonts w:ascii="Tahoma" w:eastAsia="Times New Roman" w:hAnsi="Tahoma" w:cs="Tahoma"/>
          <w:sz w:val="24"/>
          <w:szCs w:val="24"/>
          <w:lang w:eastAsia="fr-FR"/>
        </w:rPr>
        <w:t>LAZAREV, Grigori, Ruralité et changement social. Études sociologiques, préface de Mohamed Naciri, Rabat, Publication de la Faculté des Lettres et des Sciences humaines, Université Mohammed V-Agdal, coll. « Essais et Études », n° 64, 2014.</w:t>
      </w:r>
    </w:p>
    <w:p w:rsidR="00E45CE1" w:rsidRPr="00080153" w:rsidRDefault="00E45CE1" w:rsidP="00E45CE1">
      <w:pPr>
        <w:spacing w:before="100" w:beforeAutospacing="1" w:after="100" w:afterAutospacing="1" w:line="240" w:lineRule="auto"/>
        <w:jc w:val="both"/>
        <w:rPr>
          <w:rFonts w:ascii="Tahoma" w:eastAsia="Times New Roman" w:hAnsi="Tahoma" w:cs="Tahoma"/>
          <w:sz w:val="24"/>
          <w:szCs w:val="24"/>
          <w:lang w:eastAsia="fr-FR"/>
        </w:rPr>
      </w:pPr>
      <w:r w:rsidRPr="00080153">
        <w:rPr>
          <w:rFonts w:ascii="Tahoma" w:eastAsia="Times New Roman" w:hAnsi="Tahoma" w:cs="Tahoma"/>
          <w:sz w:val="24"/>
          <w:szCs w:val="24"/>
          <w:lang w:eastAsia="fr-FR"/>
        </w:rPr>
        <w:t xml:space="preserve">SANTUCCI, Jean-Claude (éd.), Le Maroc actuel : une modernisation au miroir de la tradition, Aix-en-Provence, Institut de recherches et d’études sur les mondes arabes et musulmans (IREMAM) ; Paris, CNRS Éditions, 1992, 447 p. [En ligne] Disponible sur : </w:t>
      </w:r>
      <w:hyperlink r:id="rId72" w:tgtFrame="_new" w:history="1">
        <w:r w:rsidRPr="00080153">
          <w:rPr>
            <w:rFonts w:ascii="Tahoma" w:eastAsia="Times New Roman" w:hAnsi="Tahoma" w:cs="Tahoma"/>
            <w:sz w:val="24"/>
            <w:szCs w:val="24"/>
            <w:lang w:eastAsia="fr-FR"/>
          </w:rPr>
          <w:t>https://books.openedition.org/iremam/2423?lang=fr</w:t>
        </w:r>
      </w:hyperlink>
      <w:r w:rsidRPr="00080153">
        <w:rPr>
          <w:rFonts w:ascii="Tahoma" w:eastAsia="Times New Roman" w:hAnsi="Tahoma" w:cs="Tahoma"/>
          <w:sz w:val="24"/>
          <w:szCs w:val="24"/>
          <w:lang w:eastAsia="fr-FR"/>
        </w:rPr>
        <w:t>.</w:t>
      </w:r>
    </w:p>
    <w:p w:rsidR="00E45CE1" w:rsidRPr="00F34102" w:rsidRDefault="00E45CE1" w:rsidP="00E45CE1">
      <w:pPr>
        <w:spacing w:before="100" w:beforeAutospacing="1" w:after="100" w:afterAutospacing="1" w:line="240" w:lineRule="auto"/>
        <w:jc w:val="both"/>
        <w:rPr>
          <w:rFonts w:ascii="Tahoma" w:eastAsia="Times New Roman" w:hAnsi="Tahoma" w:cs="Tahoma"/>
          <w:sz w:val="24"/>
          <w:szCs w:val="24"/>
          <w:lang w:eastAsia="fr-FR"/>
        </w:rPr>
      </w:pPr>
    </w:p>
    <w:p w:rsidR="00E45CE1" w:rsidRPr="002A668D" w:rsidRDefault="00E45CE1" w:rsidP="00E45CE1">
      <w:pPr>
        <w:spacing w:line="240" w:lineRule="auto"/>
        <w:jc w:val="both"/>
        <w:rPr>
          <w:rFonts w:ascii="Tahoma" w:eastAsia="Calibri" w:hAnsi="Tahoma" w:cs="Tahoma"/>
          <w:sz w:val="24"/>
          <w:szCs w:val="24"/>
        </w:rPr>
      </w:pPr>
    </w:p>
    <w:p w:rsidR="00E45CE1" w:rsidRDefault="00E45CE1">
      <w:pPr>
        <w:rPr>
          <w:rFonts w:ascii="Tahoma" w:hAnsi="Tahoma" w:cs="Tahoma"/>
          <w:b/>
          <w:bCs/>
          <w:sz w:val="28"/>
          <w:szCs w:val="28"/>
        </w:rPr>
      </w:pPr>
      <w:r>
        <w:rPr>
          <w:rFonts w:ascii="Tahoma" w:hAnsi="Tahoma" w:cs="Tahoma"/>
          <w:b/>
          <w:bCs/>
          <w:sz w:val="28"/>
          <w:szCs w:val="28"/>
        </w:rPr>
        <w:br w:type="page"/>
      </w:r>
    </w:p>
    <w:p w:rsidR="00E45CE1" w:rsidRPr="00080153" w:rsidRDefault="00E45CE1" w:rsidP="00E45CE1">
      <w:pPr>
        <w:rPr>
          <w:rFonts w:ascii="Tahoma" w:hAnsi="Tahoma" w:cs="Tahoma"/>
          <w:b/>
          <w:bCs/>
          <w:sz w:val="28"/>
          <w:szCs w:val="28"/>
        </w:rPr>
      </w:pPr>
      <w:r w:rsidRPr="00080153">
        <w:rPr>
          <w:rFonts w:ascii="Tahoma" w:hAnsi="Tahoma" w:cs="Tahoma"/>
          <w:b/>
          <w:bCs/>
          <w:sz w:val="28"/>
          <w:szCs w:val="28"/>
        </w:rPr>
        <w:t xml:space="preserve">Articles : </w:t>
      </w:r>
    </w:p>
    <w:p w:rsidR="00E45CE1" w:rsidRPr="00155121" w:rsidRDefault="00E45CE1" w:rsidP="00E45CE1">
      <w:pPr>
        <w:spacing w:before="100" w:beforeAutospacing="1" w:after="100" w:afterAutospacing="1" w:line="240" w:lineRule="auto"/>
        <w:jc w:val="both"/>
        <w:rPr>
          <w:rFonts w:ascii="Tahoma" w:eastAsia="Times New Roman" w:hAnsi="Tahoma" w:cs="Tahoma"/>
          <w:sz w:val="24"/>
          <w:szCs w:val="24"/>
          <w:lang w:eastAsia="fr-FR"/>
        </w:rPr>
      </w:pPr>
      <w:r w:rsidRPr="00155121">
        <w:rPr>
          <w:rFonts w:ascii="Tahoma" w:eastAsia="Times New Roman" w:hAnsi="Tahoma" w:cs="Tahoma"/>
          <w:sz w:val="24"/>
          <w:szCs w:val="24"/>
          <w:lang w:eastAsia="fr-FR"/>
        </w:rPr>
        <w:t>Astrid KANDER, Paolo MALAMINA &amp; Paul WARDE, Power to the People. Energy in Europe Over the Last Five Centuries, Princeton, Princeton University Press, 2013.</w:t>
      </w:r>
    </w:p>
    <w:p w:rsidR="00E45CE1" w:rsidRPr="00155121" w:rsidRDefault="00E45CE1" w:rsidP="00E45CE1">
      <w:pPr>
        <w:pStyle w:val="NormalWeb"/>
        <w:jc w:val="both"/>
        <w:rPr>
          <w:rFonts w:ascii="Tahoma" w:eastAsia="Calibri" w:hAnsi="Tahoma" w:cs="Tahoma"/>
          <w:lang w:eastAsia="en-US"/>
        </w:rPr>
      </w:pPr>
      <w:r w:rsidRPr="00155121">
        <w:rPr>
          <w:rFonts w:ascii="Tahoma" w:eastAsia="Calibri" w:hAnsi="Tahoma" w:cs="Tahoma"/>
          <w:lang w:eastAsia="en-US"/>
        </w:rPr>
        <w:t xml:space="preserve">B. Fisher, R. K. Turner et P. Morling, « Defining and classifying ecosystem services for decision making », Ecological Economics, vol. 68, n° 3, 2009. Sur l’URL : </w:t>
      </w:r>
      <w:hyperlink r:id="rId73" w:tgtFrame="_new" w:history="1">
        <w:r w:rsidRPr="00155121">
          <w:rPr>
            <w:rFonts w:ascii="Tahoma" w:eastAsia="Calibri" w:hAnsi="Tahoma" w:cs="Tahoma"/>
            <w:lang w:eastAsia="en-US"/>
          </w:rPr>
          <w:t>http://www.sciencedirect.com/science/article/pii/S0921800908004424</w:t>
        </w:r>
      </w:hyperlink>
    </w:p>
    <w:p w:rsidR="00E45CE1" w:rsidRPr="00155121" w:rsidRDefault="00E45CE1" w:rsidP="00E45CE1">
      <w:pPr>
        <w:spacing w:before="100" w:beforeAutospacing="1" w:after="100" w:afterAutospacing="1" w:line="240" w:lineRule="auto"/>
        <w:jc w:val="both"/>
        <w:rPr>
          <w:rFonts w:ascii="Tahoma" w:eastAsia="Times New Roman" w:hAnsi="Tahoma" w:cs="Tahoma"/>
          <w:sz w:val="24"/>
          <w:szCs w:val="24"/>
          <w:lang w:eastAsia="fr-FR"/>
        </w:rPr>
      </w:pPr>
      <w:r w:rsidRPr="00155121">
        <w:rPr>
          <w:rFonts w:ascii="Tahoma" w:eastAsia="Times New Roman" w:hAnsi="Tahoma" w:cs="Tahoma"/>
          <w:sz w:val="24"/>
          <w:szCs w:val="24"/>
          <w:lang w:eastAsia="fr-FR"/>
        </w:rPr>
        <w:t>Banzhaf S. et Boyd J. 2007. What Are Ecosystem Services? The Need for Standardized Environmental Accounting Units. Disponible sur : https://www.researchgate.net/publication/222569627_What_Are_Ecosystem_Services_The_Need_ for_Standardized_Environmental_Accounting_Units (Consulté le 7 septembre 2020)</w:t>
      </w:r>
    </w:p>
    <w:p w:rsidR="00E45CE1" w:rsidRPr="00155121" w:rsidRDefault="00E45CE1" w:rsidP="00E45CE1">
      <w:pPr>
        <w:spacing w:before="100" w:beforeAutospacing="1" w:after="100" w:afterAutospacing="1" w:line="240" w:lineRule="auto"/>
        <w:jc w:val="both"/>
        <w:rPr>
          <w:rFonts w:ascii="Tahoma" w:eastAsia="Times New Roman" w:hAnsi="Tahoma" w:cs="Tahoma"/>
          <w:sz w:val="24"/>
          <w:szCs w:val="24"/>
          <w:lang w:eastAsia="fr-FR"/>
        </w:rPr>
      </w:pPr>
      <w:r w:rsidRPr="00155121">
        <w:rPr>
          <w:rFonts w:ascii="Tahoma" w:eastAsia="Times New Roman" w:hAnsi="Tahoma" w:cs="Tahoma"/>
          <w:sz w:val="24"/>
          <w:szCs w:val="24"/>
          <w:lang w:eastAsia="fr-FR"/>
        </w:rPr>
        <w:t>BIRCH, T. W., « The Afforestation of Britain », Economic Geography, vol. 12, n° 1, 1936, p. 1-26.</w:t>
      </w:r>
    </w:p>
    <w:p w:rsidR="00E45CE1" w:rsidRPr="00155121" w:rsidRDefault="00E45CE1" w:rsidP="00E45CE1">
      <w:pPr>
        <w:jc w:val="both"/>
        <w:rPr>
          <w:rFonts w:ascii="Tahoma" w:eastAsia="Calibri" w:hAnsi="Tahoma" w:cs="Tahoma"/>
          <w:sz w:val="24"/>
          <w:szCs w:val="24"/>
        </w:rPr>
      </w:pPr>
      <w:r w:rsidRPr="00155121">
        <w:rPr>
          <w:rFonts w:ascii="Tahoma" w:eastAsia="Calibri" w:hAnsi="Tahoma" w:cs="Tahoma"/>
          <w:sz w:val="24"/>
          <w:szCs w:val="24"/>
        </w:rPr>
        <w:t>Bourarach, et al. , Management du sol en milieux arides et semi-arides. In M. El-Gharous &amp; others (Eds.), Proceedings of the International Dryland Agriculture Conference (pp. 74-82). 1995, Rabat, Morocco.</w:t>
      </w:r>
    </w:p>
    <w:p w:rsidR="00E45CE1" w:rsidRPr="00155121" w:rsidRDefault="00E45CE1" w:rsidP="00E45CE1">
      <w:pPr>
        <w:spacing w:before="100" w:beforeAutospacing="1" w:after="100" w:afterAutospacing="1" w:line="240" w:lineRule="auto"/>
        <w:jc w:val="both"/>
        <w:rPr>
          <w:rFonts w:ascii="Tahoma" w:eastAsia="Times New Roman" w:hAnsi="Tahoma" w:cs="Tahoma"/>
          <w:sz w:val="24"/>
          <w:szCs w:val="24"/>
          <w:lang w:eastAsia="fr-FR"/>
        </w:rPr>
      </w:pPr>
      <w:r w:rsidRPr="00155121">
        <w:rPr>
          <w:rFonts w:ascii="Tahoma" w:eastAsia="Times New Roman" w:hAnsi="Tahoma" w:cs="Tahoma"/>
          <w:sz w:val="24"/>
          <w:szCs w:val="24"/>
          <w:lang w:eastAsia="fr-FR"/>
        </w:rPr>
        <w:t>Brahim CHERGUI &amp; Khadija FAHD, « Factors affecting the occurrence and spatial pattern of forest fires in Morocco », Environmental Management, vol. 55, n° 4, 2015, pp. 906-919.</w:t>
      </w:r>
    </w:p>
    <w:p w:rsidR="00E45CE1" w:rsidRPr="00155121" w:rsidRDefault="00E45CE1" w:rsidP="00E45CE1">
      <w:pPr>
        <w:spacing w:before="100" w:beforeAutospacing="1" w:after="100" w:afterAutospacing="1" w:line="240" w:lineRule="auto"/>
        <w:jc w:val="both"/>
        <w:rPr>
          <w:rFonts w:ascii="Tahoma" w:eastAsia="Calibri" w:hAnsi="Tahoma" w:cs="Tahoma"/>
          <w:sz w:val="24"/>
          <w:szCs w:val="24"/>
        </w:rPr>
      </w:pPr>
      <w:r w:rsidRPr="00155121">
        <w:rPr>
          <w:rFonts w:ascii="Tahoma" w:eastAsia="Calibri" w:hAnsi="Tahoma" w:cs="Tahoma"/>
          <w:sz w:val="24"/>
          <w:szCs w:val="24"/>
        </w:rPr>
        <w:t>Brahim EL FASSKAOUI, La déconcentration administrative au Maroc : entre réformes institutionnelles et réalités territoriales. Revue Marocaine d'Administration Locale et de Développement, 2019, pp. 33–52.</w:t>
      </w:r>
    </w:p>
    <w:p w:rsidR="00E45CE1" w:rsidRPr="00155121" w:rsidRDefault="00E45CE1" w:rsidP="00E45CE1">
      <w:pPr>
        <w:spacing w:before="100" w:beforeAutospacing="1" w:after="100" w:afterAutospacing="1" w:line="240" w:lineRule="auto"/>
        <w:jc w:val="both"/>
        <w:rPr>
          <w:rFonts w:ascii="Tahoma" w:eastAsia="Times New Roman" w:hAnsi="Tahoma" w:cs="Tahoma"/>
          <w:sz w:val="24"/>
          <w:szCs w:val="24"/>
          <w:lang w:eastAsia="fr-FR"/>
        </w:rPr>
      </w:pPr>
      <w:r w:rsidRPr="00155121">
        <w:rPr>
          <w:rFonts w:ascii="Tahoma" w:eastAsia="Times New Roman" w:hAnsi="Tahoma" w:cs="Tahoma"/>
          <w:sz w:val="24"/>
          <w:szCs w:val="24"/>
          <w:lang w:eastAsia="fr-FR"/>
        </w:rPr>
        <w:t>Brian C., BLACK, Energy Revolutions: A History, New York, Polity, 2023.</w:t>
      </w:r>
    </w:p>
    <w:p w:rsidR="00E45CE1" w:rsidRPr="00155121" w:rsidRDefault="00E45CE1" w:rsidP="00E45CE1">
      <w:pPr>
        <w:spacing w:before="100" w:beforeAutospacing="1" w:after="100" w:afterAutospacing="1" w:line="240" w:lineRule="auto"/>
        <w:jc w:val="both"/>
        <w:rPr>
          <w:rFonts w:ascii="Tahoma" w:eastAsia="Times New Roman" w:hAnsi="Tahoma" w:cs="Tahoma"/>
          <w:sz w:val="24"/>
          <w:szCs w:val="24"/>
          <w:lang w:eastAsia="fr-FR"/>
        </w:rPr>
      </w:pPr>
      <w:r w:rsidRPr="00155121">
        <w:rPr>
          <w:rFonts w:ascii="Tahoma" w:eastAsia="Times New Roman" w:hAnsi="Tahoma" w:cs="Tahoma"/>
          <w:sz w:val="24"/>
          <w:szCs w:val="24"/>
          <w:lang w:eastAsia="fr-FR"/>
        </w:rPr>
        <w:t>Bruce PODOBNIK, Global Energy Shifts: Fostering Sustainability in a Turbulent Age, Philadelphie, Temple University Press, 2005.</w:t>
      </w:r>
    </w:p>
    <w:p w:rsidR="00E45CE1" w:rsidRPr="00155121" w:rsidRDefault="00E45CE1" w:rsidP="00E45CE1">
      <w:pPr>
        <w:spacing w:before="100" w:beforeAutospacing="1" w:after="100" w:afterAutospacing="1" w:line="240" w:lineRule="auto"/>
        <w:jc w:val="both"/>
        <w:rPr>
          <w:rFonts w:ascii="Tahoma" w:eastAsia="Times New Roman" w:hAnsi="Tahoma" w:cs="Tahoma"/>
          <w:sz w:val="24"/>
          <w:szCs w:val="24"/>
          <w:lang w:eastAsia="fr-FR"/>
        </w:rPr>
      </w:pPr>
      <w:r w:rsidRPr="00155121">
        <w:rPr>
          <w:rFonts w:ascii="Tahoma" w:eastAsia="Times New Roman" w:hAnsi="Tahoma" w:cs="Tahoma"/>
          <w:sz w:val="24"/>
          <w:szCs w:val="24"/>
          <w:lang w:eastAsia="fr-FR"/>
        </w:rPr>
        <w:t>Burkhard B., Santos-Martin F., Nedkov S., et Maes J. 2018. An operational framework for integrated</w:t>
      </w:r>
    </w:p>
    <w:p w:rsidR="00E45CE1" w:rsidRPr="00155121" w:rsidRDefault="00E45CE1" w:rsidP="00E45CE1">
      <w:pPr>
        <w:spacing w:before="100" w:beforeAutospacing="1" w:after="100" w:afterAutospacing="1" w:line="240" w:lineRule="auto"/>
        <w:jc w:val="both"/>
        <w:rPr>
          <w:rFonts w:ascii="Tahoma" w:eastAsia="Times New Roman" w:hAnsi="Tahoma" w:cs="Tahoma"/>
          <w:sz w:val="24"/>
          <w:szCs w:val="24"/>
          <w:lang w:eastAsia="fr-FR"/>
        </w:rPr>
      </w:pPr>
      <w:r w:rsidRPr="00155121">
        <w:rPr>
          <w:rFonts w:ascii="Tahoma" w:eastAsia="Times New Roman" w:hAnsi="Tahoma" w:cs="Tahoma"/>
          <w:sz w:val="24"/>
          <w:szCs w:val="24"/>
          <w:lang w:eastAsia="fr-FR"/>
        </w:rPr>
        <w:t>Cardinale B., Duffy J., Gonzalez A., Hooper D., Perrings C., Venail P., Narwani A., Tilman D., Wardle</w:t>
      </w:r>
    </w:p>
    <w:p w:rsidR="00E45CE1" w:rsidRPr="00155121" w:rsidRDefault="00E45CE1" w:rsidP="00E45CE1">
      <w:pPr>
        <w:pStyle w:val="whitespace-normal"/>
        <w:jc w:val="both"/>
        <w:rPr>
          <w:rFonts w:ascii="Tahoma" w:eastAsia="Calibri" w:hAnsi="Tahoma" w:cs="Tahoma"/>
          <w:lang w:eastAsia="en-US"/>
        </w:rPr>
      </w:pPr>
      <w:r w:rsidRPr="00155121">
        <w:rPr>
          <w:rFonts w:ascii="Tahoma" w:eastAsia="Calibri" w:hAnsi="Tahoma" w:cs="Tahoma"/>
          <w:lang w:eastAsia="en-US"/>
        </w:rPr>
        <w:t>Cbth - ORMVAO. Recueil des pratiques et savoirs locaux en matière de transhumance et conduite du cheptel. Unité du Projet, 2003, 99 p.</w:t>
      </w:r>
    </w:p>
    <w:p w:rsidR="00E45CE1" w:rsidRPr="00155121" w:rsidRDefault="00E45CE1" w:rsidP="00E45CE1">
      <w:pPr>
        <w:pStyle w:val="whitespace-normal"/>
        <w:jc w:val="both"/>
        <w:rPr>
          <w:rFonts w:ascii="Tahoma" w:eastAsia="Calibri" w:hAnsi="Tahoma" w:cs="Tahoma"/>
          <w:lang w:eastAsia="en-US"/>
        </w:rPr>
      </w:pPr>
      <w:r w:rsidRPr="00155121">
        <w:rPr>
          <w:rFonts w:ascii="Tahoma" w:eastAsia="Calibri" w:hAnsi="Tahoma" w:cs="Tahoma"/>
          <w:lang w:eastAsia="en-US"/>
        </w:rPr>
        <w:t>CDB. Review of the Status and Trends of, and Major Threats to, the Forest Biological Diversity. Secretariat of the Convention on Biological Diversity, Montréal: SCBD, 2002, 164 p. (CBD Technical Series No. 7).</w:t>
      </w:r>
    </w:p>
    <w:p w:rsidR="00E45CE1" w:rsidRPr="00155121" w:rsidRDefault="00E45CE1" w:rsidP="00E45CE1">
      <w:pPr>
        <w:pStyle w:val="whitespace-normal"/>
        <w:jc w:val="both"/>
        <w:rPr>
          <w:rFonts w:ascii="Tahoma" w:eastAsia="Calibri" w:hAnsi="Tahoma" w:cs="Tahoma"/>
          <w:color w:val="000000" w:themeColor="text1"/>
          <w:lang w:eastAsia="en-US"/>
        </w:rPr>
      </w:pPr>
      <w:r w:rsidRPr="00155121">
        <w:rPr>
          <w:rFonts w:ascii="Tahoma" w:eastAsia="Calibri" w:hAnsi="Tahoma" w:cs="Tahoma"/>
          <w:color w:val="000000" w:themeColor="text1"/>
          <w:lang w:eastAsia="en-US"/>
        </w:rPr>
        <w:t>Chiche, J. Les conflits pastoraux sur le versant sud du Haut-Atlas. CBTH-ORMVAO, 2003, 302 p.</w:t>
      </w:r>
    </w:p>
    <w:p w:rsidR="00E45CE1" w:rsidRPr="00155121" w:rsidRDefault="00E45CE1" w:rsidP="00E45CE1">
      <w:pPr>
        <w:pStyle w:val="NormalWeb"/>
        <w:spacing w:line="360" w:lineRule="auto"/>
        <w:jc w:val="both"/>
        <w:rPr>
          <w:rFonts w:ascii="Tahoma" w:hAnsi="Tahoma" w:cs="Tahoma"/>
          <w:color w:val="000000" w:themeColor="text1"/>
        </w:rPr>
      </w:pPr>
      <w:r w:rsidRPr="00155121">
        <w:rPr>
          <w:rFonts w:ascii="Tahoma" w:hAnsi="Tahoma" w:cs="Tahoma"/>
          <w:color w:val="000000" w:themeColor="text1"/>
        </w:rPr>
        <w:t xml:space="preserve">Chris Evans et Göran Rydén (dir.), </w:t>
      </w:r>
      <w:r w:rsidRPr="00155121">
        <w:rPr>
          <w:rStyle w:val="Accentuation"/>
          <w:rFonts w:eastAsia="Calibri Light" w:cs="Tahoma"/>
        </w:rPr>
        <w:t>The Industrial Revolution in Iron: The Impact of British Coal Technology in Nineteenth-Century Europe</w:t>
      </w:r>
      <w:r w:rsidRPr="00155121">
        <w:rPr>
          <w:rFonts w:ascii="Tahoma" w:hAnsi="Tahoma" w:cs="Tahoma"/>
          <w:color w:val="000000" w:themeColor="text1"/>
        </w:rPr>
        <w:t>, Londres, Routledge, 2005</w:t>
      </w:r>
    </w:p>
    <w:p w:rsidR="00E45CE1" w:rsidRPr="00155121" w:rsidRDefault="00E45CE1" w:rsidP="00E45CE1">
      <w:pPr>
        <w:spacing w:before="100" w:beforeAutospacing="1" w:after="100" w:afterAutospacing="1" w:line="240" w:lineRule="auto"/>
        <w:jc w:val="both"/>
        <w:rPr>
          <w:rFonts w:ascii="Tahoma" w:eastAsia="Times New Roman" w:hAnsi="Tahoma" w:cs="Tahoma"/>
          <w:color w:val="000000" w:themeColor="text1"/>
          <w:sz w:val="24"/>
          <w:szCs w:val="24"/>
          <w:lang w:eastAsia="fr-FR"/>
        </w:rPr>
      </w:pPr>
      <w:r w:rsidRPr="00155121">
        <w:rPr>
          <w:rFonts w:ascii="Tahoma" w:eastAsia="Times New Roman" w:hAnsi="Tahoma" w:cs="Tahoma"/>
          <w:color w:val="000000" w:themeColor="text1"/>
          <w:sz w:val="24"/>
          <w:szCs w:val="24"/>
          <w:lang w:eastAsia="fr-FR"/>
        </w:rPr>
        <w:t>D., Kinzig A., Daily G., Loreau M., Grace J., Larigauderie A., Srivastava D., et Naeem S. 2012. Biodiversity loss and its impact on humanity. Nature, 486. DOI : 10.1038/nature11148</w:t>
      </w:r>
    </w:p>
    <w:p w:rsidR="00E45CE1" w:rsidRPr="00155121" w:rsidRDefault="00E45CE1" w:rsidP="00E45CE1">
      <w:pPr>
        <w:spacing w:before="100" w:beforeAutospacing="1" w:after="100" w:afterAutospacing="1" w:line="240" w:lineRule="auto"/>
        <w:jc w:val="both"/>
        <w:rPr>
          <w:rFonts w:ascii="Tahoma" w:eastAsia="Times New Roman" w:hAnsi="Tahoma" w:cs="Tahoma"/>
          <w:color w:val="000000" w:themeColor="text1"/>
          <w:sz w:val="24"/>
          <w:szCs w:val="24"/>
          <w:lang w:eastAsia="fr-FR"/>
        </w:rPr>
      </w:pPr>
      <w:r w:rsidRPr="00155121">
        <w:rPr>
          <w:rFonts w:ascii="Tahoma" w:eastAsia="Times New Roman" w:hAnsi="Tahoma" w:cs="Tahoma"/>
          <w:color w:val="000000" w:themeColor="text1"/>
          <w:sz w:val="24"/>
          <w:szCs w:val="24"/>
          <w:lang w:eastAsia="fr-FR"/>
        </w:rPr>
        <w:t>Daniel ALEXANDRIAN &amp; Michel GOUIRAN, « Les incendies de forêts dans la région méditerranéenne », Unasylva, vol. 44, n° 173, 1993, pp. 35-41.</w:t>
      </w:r>
    </w:p>
    <w:p w:rsidR="00E45CE1" w:rsidRPr="00155121" w:rsidRDefault="00E45CE1" w:rsidP="00E45CE1">
      <w:pPr>
        <w:jc w:val="both"/>
        <w:rPr>
          <w:rFonts w:ascii="Tahoma" w:eastAsia="Calibri" w:hAnsi="Tahoma" w:cs="Tahoma"/>
          <w:color w:val="000000" w:themeColor="text1"/>
          <w:sz w:val="24"/>
          <w:szCs w:val="24"/>
        </w:rPr>
      </w:pPr>
      <w:r w:rsidRPr="00155121">
        <w:rPr>
          <w:rFonts w:ascii="Tahoma" w:eastAsia="Calibri" w:hAnsi="Tahoma" w:cs="Tahoma"/>
          <w:color w:val="000000" w:themeColor="text1"/>
          <w:sz w:val="24"/>
          <w:szCs w:val="24"/>
        </w:rPr>
        <w:t>David A. GILMORE, et R. J. FISHER, Villagers, forests and foresters, Kathmandu, Sahogi Press Ltd., 1995.</w:t>
      </w:r>
    </w:p>
    <w:p w:rsidR="00E45CE1" w:rsidRPr="00155121" w:rsidRDefault="00E45CE1" w:rsidP="00E45CE1">
      <w:pPr>
        <w:spacing w:before="100" w:beforeAutospacing="1" w:after="100" w:afterAutospacing="1" w:line="240" w:lineRule="auto"/>
        <w:jc w:val="both"/>
        <w:rPr>
          <w:rFonts w:ascii="Tahoma" w:eastAsia="Times New Roman" w:hAnsi="Tahoma" w:cs="Tahoma"/>
          <w:color w:val="000000" w:themeColor="text1"/>
          <w:sz w:val="24"/>
          <w:szCs w:val="24"/>
          <w:lang w:eastAsia="fr-FR"/>
        </w:rPr>
      </w:pPr>
      <w:r w:rsidRPr="00155121">
        <w:rPr>
          <w:rFonts w:ascii="Tahoma" w:eastAsia="Times New Roman" w:hAnsi="Tahoma" w:cs="Tahoma"/>
          <w:color w:val="000000" w:themeColor="text1"/>
          <w:sz w:val="24"/>
          <w:szCs w:val="24"/>
          <w:lang w:eastAsia="fr-FR"/>
        </w:rPr>
        <w:t>David Sheppard, 2001, xi + 111pp. Reprinted in 2003. Also available in Chinese.</w:t>
      </w:r>
    </w:p>
    <w:p w:rsidR="00E45CE1" w:rsidRPr="00155121" w:rsidRDefault="00E45CE1" w:rsidP="00E45CE1">
      <w:pPr>
        <w:spacing w:before="100" w:beforeAutospacing="1" w:after="100" w:afterAutospacing="1" w:line="240" w:lineRule="auto"/>
        <w:jc w:val="both"/>
        <w:rPr>
          <w:rFonts w:ascii="Tahoma" w:eastAsia="Calibri" w:hAnsi="Tahoma" w:cs="Tahoma"/>
          <w:color w:val="000000" w:themeColor="text1"/>
          <w:sz w:val="24"/>
          <w:szCs w:val="24"/>
        </w:rPr>
      </w:pPr>
      <w:r w:rsidRPr="00155121">
        <w:rPr>
          <w:rFonts w:ascii="Tahoma" w:eastAsia="Calibri" w:hAnsi="Tahoma" w:cs="Tahoma"/>
          <w:color w:val="000000" w:themeColor="text1"/>
          <w:sz w:val="24"/>
          <w:szCs w:val="24"/>
        </w:rPr>
        <w:t>David W. CASH, et al., Scale and Cross-Scale Dynamics: Governance and Information in a Multilevel World. Ecology and Society, 2006, vol. 11, no. 2, article 8.</w:t>
      </w:r>
    </w:p>
    <w:p w:rsidR="00E45CE1" w:rsidRPr="00155121" w:rsidRDefault="00E45CE1" w:rsidP="00E45CE1">
      <w:pPr>
        <w:pStyle w:val="NormalWeb"/>
        <w:spacing w:line="360" w:lineRule="auto"/>
        <w:jc w:val="both"/>
        <w:rPr>
          <w:rFonts w:ascii="Tahoma" w:hAnsi="Tahoma" w:cs="Tahoma"/>
          <w:color w:val="000000" w:themeColor="text1"/>
        </w:rPr>
      </w:pPr>
      <w:r w:rsidRPr="00155121">
        <w:rPr>
          <w:rFonts w:ascii="Tahoma" w:hAnsi="Tahoma" w:cs="Tahoma"/>
          <w:color w:val="000000" w:themeColor="text1"/>
        </w:rPr>
        <w:t xml:space="preserve">E. Arnould, </w:t>
      </w:r>
      <w:r w:rsidRPr="00155121">
        <w:rPr>
          <w:rStyle w:val="Accentuation"/>
          <w:rFonts w:eastAsia="Calibri Light" w:cs="Tahoma"/>
        </w:rPr>
        <w:t>Traité classique d'enseignement de la fabrication du papier</w:t>
      </w:r>
      <w:r w:rsidRPr="00155121">
        <w:rPr>
          <w:rFonts w:ascii="Tahoma" w:hAnsi="Tahoma" w:cs="Tahoma"/>
          <w:color w:val="000000" w:themeColor="text1"/>
        </w:rPr>
        <w:t>, Fontainebleau, Imprimerie brevetée Cuënot-Bouges, 1927.</w:t>
      </w:r>
    </w:p>
    <w:p w:rsidR="00E45CE1" w:rsidRPr="00155121" w:rsidRDefault="00E45CE1" w:rsidP="00E45CE1">
      <w:pPr>
        <w:pStyle w:val="NormalWeb"/>
        <w:spacing w:line="360" w:lineRule="auto"/>
        <w:jc w:val="both"/>
        <w:rPr>
          <w:rFonts w:ascii="Tahoma" w:hAnsi="Tahoma" w:cs="Tahoma"/>
          <w:color w:val="000000" w:themeColor="text1"/>
        </w:rPr>
      </w:pPr>
      <w:r w:rsidRPr="00155121">
        <w:rPr>
          <w:rFonts w:ascii="Tahoma" w:hAnsi="Tahoma" w:cs="Tahoma"/>
          <w:color w:val="000000" w:themeColor="text1"/>
        </w:rPr>
        <w:t xml:space="preserve">Edward R. Andrews, </w:t>
      </w:r>
      <w:r w:rsidRPr="00155121">
        <w:rPr>
          <w:rStyle w:val="Accentuation"/>
          <w:rFonts w:eastAsia="Calibri Light" w:cs="Tahoma"/>
        </w:rPr>
        <w:t>The Hayford Process for Preserving Timber</w:t>
      </w:r>
      <w:r w:rsidRPr="00155121">
        <w:rPr>
          <w:rFonts w:ascii="Tahoma" w:hAnsi="Tahoma" w:cs="Tahoma"/>
          <w:color w:val="000000" w:themeColor="text1"/>
        </w:rPr>
        <w:t>, Journal of the Franklin Institute, vol. 105, n° 3, 1878, p. 182.</w:t>
      </w:r>
    </w:p>
    <w:p w:rsidR="00E45CE1" w:rsidRPr="00155121" w:rsidRDefault="00E45CE1" w:rsidP="00E45CE1">
      <w:pPr>
        <w:pStyle w:val="NormalWeb"/>
        <w:spacing w:line="360" w:lineRule="auto"/>
        <w:jc w:val="both"/>
        <w:rPr>
          <w:rFonts w:ascii="Tahoma" w:hAnsi="Tahoma" w:cs="Tahoma"/>
          <w:color w:val="000000" w:themeColor="text1"/>
        </w:rPr>
      </w:pPr>
      <w:r w:rsidRPr="00155121">
        <w:rPr>
          <w:rFonts w:ascii="Tahoma" w:hAnsi="Tahoma" w:cs="Tahoma"/>
          <w:color w:val="000000" w:themeColor="text1"/>
        </w:rPr>
        <w:t xml:space="preserve">Egon Glesinger, </w:t>
      </w:r>
      <w:r w:rsidRPr="00155121">
        <w:rPr>
          <w:rStyle w:val="Accentuation"/>
          <w:rFonts w:eastAsia="Calibri Light" w:cs="Tahoma"/>
        </w:rPr>
        <w:t>Le bois en Europe. Origines et étude de la crise actuelle</w:t>
      </w:r>
      <w:r w:rsidRPr="00155121">
        <w:rPr>
          <w:rFonts w:ascii="Tahoma" w:hAnsi="Tahoma" w:cs="Tahoma"/>
          <w:color w:val="000000" w:themeColor="text1"/>
        </w:rPr>
        <w:t>, Bordeaux et Paris, Imprimerie J. Bière, Librairie du Recueil Sirey, 1932.</w:t>
      </w:r>
    </w:p>
    <w:p w:rsidR="00E45CE1" w:rsidRPr="00155121" w:rsidRDefault="00E45CE1" w:rsidP="00E45CE1">
      <w:pPr>
        <w:pStyle w:val="NormalWeb"/>
        <w:spacing w:line="360" w:lineRule="auto"/>
        <w:jc w:val="both"/>
        <w:rPr>
          <w:rFonts w:ascii="Tahoma" w:hAnsi="Tahoma" w:cs="Tahoma"/>
          <w:color w:val="000000" w:themeColor="text1"/>
        </w:rPr>
      </w:pPr>
      <w:r w:rsidRPr="00155121">
        <w:rPr>
          <w:rFonts w:ascii="Tahoma" w:hAnsi="Tahoma" w:cs="Tahoma"/>
          <w:color w:val="000000" w:themeColor="text1"/>
        </w:rPr>
        <w:t xml:space="preserve">Éric Jones, R. J. McLain et J. Weigard (dir.), </w:t>
      </w:r>
      <w:r w:rsidRPr="00155121">
        <w:rPr>
          <w:rStyle w:val="Accentuation"/>
          <w:rFonts w:eastAsia="Calibri Light" w:cs="Tahoma"/>
        </w:rPr>
        <w:t>Nontimber Forest Products in the United States</w:t>
      </w:r>
      <w:r w:rsidRPr="00155121">
        <w:rPr>
          <w:rFonts w:ascii="Tahoma" w:hAnsi="Tahoma" w:cs="Tahoma"/>
          <w:color w:val="000000" w:themeColor="text1"/>
        </w:rPr>
        <w:t>, Lawrence, University of Kansas Press, 2002.</w:t>
      </w:r>
    </w:p>
    <w:p w:rsidR="00E45CE1" w:rsidRPr="00155121" w:rsidRDefault="00E45CE1" w:rsidP="00E45CE1">
      <w:pPr>
        <w:spacing w:after="200" w:line="240" w:lineRule="auto"/>
        <w:jc w:val="both"/>
        <w:rPr>
          <w:rFonts w:ascii="Tahoma" w:eastAsia="Calibri" w:hAnsi="Tahoma" w:cs="Tahoma"/>
          <w:color w:val="000000" w:themeColor="text1"/>
          <w:sz w:val="24"/>
          <w:szCs w:val="24"/>
        </w:rPr>
      </w:pPr>
      <w:r w:rsidRPr="00155121">
        <w:rPr>
          <w:rFonts w:ascii="Tahoma" w:eastAsia="Calibri" w:hAnsi="Tahoma" w:cs="Tahoma"/>
          <w:color w:val="000000" w:themeColor="text1"/>
          <w:sz w:val="24"/>
          <w:szCs w:val="24"/>
        </w:rPr>
        <w:t>FAO. Proceedings of FAO Expert Consultation on Global Forest Resources Assessments 2000 in Cooperation with ECE and UNEP, with the Support of the Government of Finland (Kotka III). Kotka, Finland, 10-14 June 1996. Research Papers 620, Helsinki: The Finnish Forest Research Institute, 1996, pp. 36–49.</w:t>
      </w:r>
    </w:p>
    <w:p w:rsidR="00E45CE1" w:rsidRPr="00155121" w:rsidRDefault="00E45CE1" w:rsidP="00E45CE1">
      <w:pPr>
        <w:pStyle w:val="NormalWeb"/>
        <w:spacing w:line="360" w:lineRule="auto"/>
        <w:jc w:val="both"/>
        <w:rPr>
          <w:rFonts w:ascii="Tahoma" w:hAnsi="Tahoma" w:cs="Tahoma"/>
          <w:color w:val="000000" w:themeColor="text1"/>
        </w:rPr>
      </w:pPr>
      <w:r w:rsidRPr="00155121">
        <w:rPr>
          <w:rFonts w:ascii="Tahoma" w:hAnsi="Tahoma" w:cs="Tahoma"/>
          <w:color w:val="000000" w:themeColor="text1"/>
        </w:rPr>
        <w:t xml:space="preserve">Frank J. Nellissen, </w:t>
      </w:r>
      <w:r w:rsidRPr="00155121">
        <w:rPr>
          <w:rStyle w:val="Accentuation"/>
          <w:rFonts w:eastAsia="Calibri Light" w:cs="Tahoma"/>
        </w:rPr>
        <w:t>Das Mannesmann-Engagement in Brasilien von 1892 bis 1995</w:t>
      </w:r>
      <w:r w:rsidRPr="00155121">
        <w:rPr>
          <w:rFonts w:ascii="Tahoma" w:hAnsi="Tahoma" w:cs="Tahoma"/>
          <w:color w:val="000000" w:themeColor="text1"/>
        </w:rPr>
        <w:t>, Munich, C. H. Beck, 1997.</w:t>
      </w:r>
    </w:p>
    <w:p w:rsidR="00E45CE1" w:rsidRPr="00155121" w:rsidRDefault="00E45CE1" w:rsidP="00E45CE1">
      <w:pPr>
        <w:pStyle w:val="NormalWeb"/>
        <w:spacing w:line="360" w:lineRule="auto"/>
        <w:jc w:val="both"/>
        <w:rPr>
          <w:rFonts w:ascii="Tahoma" w:hAnsi="Tahoma" w:cs="Tahoma"/>
          <w:color w:val="000000" w:themeColor="text1"/>
        </w:rPr>
      </w:pPr>
      <w:r w:rsidRPr="00155121">
        <w:rPr>
          <w:rFonts w:ascii="Tahoma" w:hAnsi="Tahoma" w:cs="Tahoma"/>
          <w:color w:val="000000" w:themeColor="text1"/>
        </w:rPr>
        <w:t xml:space="preserve">Frédérick Marshall, « Creosoting Timber », </w:t>
      </w:r>
      <w:r w:rsidRPr="00155121">
        <w:rPr>
          <w:rStyle w:val="Accentuation"/>
          <w:rFonts w:eastAsia="Calibri Light" w:cs="Tahoma"/>
        </w:rPr>
        <w:t>The New Monthly Magazine</w:t>
      </w:r>
      <w:r w:rsidRPr="00155121">
        <w:rPr>
          <w:rFonts w:ascii="Tahoma" w:hAnsi="Tahoma" w:cs="Tahoma"/>
          <w:color w:val="000000" w:themeColor="text1"/>
        </w:rPr>
        <w:t>, vol. 97, n° 385, 1853, pp. 69-71.</w:t>
      </w:r>
    </w:p>
    <w:p w:rsidR="00E45CE1" w:rsidRPr="00155121" w:rsidRDefault="00E45CE1" w:rsidP="00E45CE1">
      <w:pPr>
        <w:pStyle w:val="NormalWeb"/>
        <w:spacing w:line="360" w:lineRule="auto"/>
        <w:jc w:val="both"/>
        <w:rPr>
          <w:rFonts w:ascii="Tahoma" w:hAnsi="Tahoma" w:cs="Tahoma"/>
          <w:color w:val="000000" w:themeColor="text1"/>
        </w:rPr>
      </w:pPr>
      <w:r w:rsidRPr="00155121">
        <w:rPr>
          <w:rFonts w:ascii="Tahoma" w:hAnsi="Tahoma" w:cs="Tahoma"/>
          <w:color w:val="000000" w:themeColor="text1"/>
        </w:rPr>
        <w:t xml:space="preserve">G. B. Magee, </w:t>
      </w:r>
      <w:r w:rsidRPr="00155121">
        <w:rPr>
          <w:rStyle w:val="Accentuation"/>
          <w:rFonts w:eastAsia="Calibri Light" w:cs="Tahoma"/>
        </w:rPr>
        <w:t>Productivity and Performance in the Paper Industry, 1860-1914</w:t>
      </w:r>
      <w:r w:rsidRPr="00155121">
        <w:rPr>
          <w:rFonts w:ascii="Tahoma" w:hAnsi="Tahoma" w:cs="Tahoma"/>
          <w:color w:val="000000" w:themeColor="text1"/>
        </w:rPr>
        <w:t>, Cambridge, Cambridge University Press, 1997.</w:t>
      </w:r>
    </w:p>
    <w:p w:rsidR="00E45CE1" w:rsidRPr="00155121" w:rsidRDefault="00E45CE1" w:rsidP="00E45CE1">
      <w:pPr>
        <w:pStyle w:val="NormalWeb"/>
        <w:jc w:val="both"/>
        <w:rPr>
          <w:rFonts w:ascii="Tahoma" w:eastAsia="Calibri" w:hAnsi="Tahoma" w:cs="Tahoma"/>
          <w:color w:val="000000" w:themeColor="text1"/>
          <w:lang w:eastAsia="en-US"/>
        </w:rPr>
      </w:pPr>
      <w:r w:rsidRPr="00155121">
        <w:rPr>
          <w:rFonts w:ascii="Tahoma" w:eastAsia="Calibri" w:hAnsi="Tahoma" w:cs="Tahoma"/>
          <w:color w:val="000000" w:themeColor="text1"/>
          <w:lang w:eastAsia="en-US"/>
        </w:rPr>
        <w:t>G. Couvreur, « Conditions naturelles, peuplement et genre de vie dans le Haut-Atlas », Méditerranée, n° 1-2, t. 35, 1979, p. 23-25</w:t>
      </w:r>
    </w:p>
    <w:p w:rsidR="00E45CE1" w:rsidRPr="00155121" w:rsidRDefault="00E45CE1" w:rsidP="00E45CE1">
      <w:pPr>
        <w:pStyle w:val="NormalWeb"/>
        <w:spacing w:line="360" w:lineRule="auto"/>
        <w:jc w:val="both"/>
        <w:rPr>
          <w:rFonts w:ascii="Tahoma" w:hAnsi="Tahoma" w:cs="Tahoma"/>
          <w:color w:val="000000" w:themeColor="text1"/>
        </w:rPr>
      </w:pPr>
      <w:r w:rsidRPr="00155121">
        <w:rPr>
          <w:rFonts w:ascii="Tahoma" w:hAnsi="Tahoma" w:cs="Tahoma"/>
          <w:color w:val="000000" w:themeColor="text1"/>
        </w:rPr>
        <w:t xml:space="preserve">George Orwell, </w:t>
      </w:r>
      <w:r w:rsidRPr="00155121">
        <w:rPr>
          <w:rStyle w:val="Accentuation"/>
          <w:rFonts w:eastAsia="Calibri Light" w:cs="Tahoma"/>
        </w:rPr>
        <w:t>The Road to Wigan Pier</w:t>
      </w:r>
      <w:r w:rsidRPr="00155121">
        <w:rPr>
          <w:rFonts w:ascii="Tahoma" w:hAnsi="Tahoma" w:cs="Tahoma"/>
          <w:color w:val="000000" w:themeColor="text1"/>
        </w:rPr>
        <w:t>, Londres, Penguin, 2001 [1937].</w:t>
      </w:r>
    </w:p>
    <w:p w:rsidR="00E45CE1" w:rsidRPr="00155121" w:rsidRDefault="00E45CE1" w:rsidP="00E45CE1">
      <w:pPr>
        <w:pStyle w:val="NormalWeb"/>
        <w:spacing w:line="360" w:lineRule="auto"/>
        <w:jc w:val="both"/>
        <w:rPr>
          <w:rFonts w:ascii="Tahoma" w:hAnsi="Tahoma" w:cs="Tahoma"/>
          <w:color w:val="000000" w:themeColor="text1"/>
        </w:rPr>
      </w:pPr>
      <w:r w:rsidRPr="00155121">
        <w:rPr>
          <w:rFonts w:ascii="Tahoma" w:hAnsi="Tahoma" w:cs="Tahoma"/>
          <w:color w:val="000000" w:themeColor="text1"/>
        </w:rPr>
        <w:t xml:space="preserve">George-Louis Buffon, </w:t>
      </w:r>
      <w:r w:rsidRPr="00155121">
        <w:rPr>
          <w:rStyle w:val="Accentuation"/>
          <w:rFonts w:eastAsia="Calibri Light" w:cs="Tahoma"/>
        </w:rPr>
        <w:t>Les époques de la nature</w:t>
      </w:r>
      <w:r w:rsidRPr="00155121">
        <w:rPr>
          <w:rFonts w:ascii="Tahoma" w:hAnsi="Tahoma" w:cs="Tahoma"/>
          <w:color w:val="000000" w:themeColor="text1"/>
        </w:rPr>
        <w:t>, troisième époque, Amsterdam, Schneider, 1779.</w:t>
      </w:r>
    </w:p>
    <w:p w:rsidR="00E45CE1" w:rsidRPr="00155121" w:rsidRDefault="00E45CE1" w:rsidP="00E45CE1">
      <w:pPr>
        <w:spacing w:before="100" w:beforeAutospacing="1" w:after="100" w:afterAutospacing="1" w:line="240" w:lineRule="auto"/>
        <w:jc w:val="both"/>
        <w:rPr>
          <w:rFonts w:ascii="Tahoma" w:eastAsia="Times New Roman" w:hAnsi="Tahoma" w:cs="Tahoma"/>
          <w:color w:val="000000" w:themeColor="text1"/>
          <w:sz w:val="24"/>
          <w:szCs w:val="24"/>
          <w:lang w:eastAsia="fr-FR"/>
        </w:rPr>
      </w:pPr>
      <w:r w:rsidRPr="00155121">
        <w:rPr>
          <w:rFonts w:ascii="Tahoma" w:eastAsia="Times New Roman" w:hAnsi="Tahoma" w:cs="Tahoma"/>
          <w:color w:val="000000" w:themeColor="text1"/>
          <w:sz w:val="24"/>
          <w:szCs w:val="24"/>
          <w:lang w:eastAsia="fr-FR"/>
        </w:rPr>
        <w:t>Gonzalo OVIEDO, Lessons learned in the establishment and management of protected areas by Indigenous and local communities, Washington D.C., The World Conservation Union (IUCN), 2002. Miméo.</w:t>
      </w:r>
    </w:p>
    <w:p w:rsidR="00E45CE1" w:rsidRPr="00155121" w:rsidRDefault="00E45CE1" w:rsidP="00E45CE1">
      <w:pPr>
        <w:spacing w:before="100" w:beforeAutospacing="1" w:after="100" w:afterAutospacing="1" w:line="240" w:lineRule="auto"/>
        <w:jc w:val="both"/>
        <w:rPr>
          <w:rFonts w:ascii="Tahoma" w:eastAsia="Times New Roman" w:hAnsi="Tahoma" w:cs="Tahoma"/>
          <w:color w:val="000000" w:themeColor="text1"/>
          <w:sz w:val="24"/>
          <w:szCs w:val="24"/>
          <w:lang w:eastAsia="fr-FR"/>
        </w:rPr>
      </w:pPr>
      <w:r w:rsidRPr="00155121">
        <w:rPr>
          <w:rFonts w:ascii="Tahoma" w:eastAsia="Times New Roman" w:hAnsi="Tahoma" w:cs="Tahoma"/>
          <w:color w:val="000000" w:themeColor="text1"/>
          <w:sz w:val="24"/>
          <w:szCs w:val="24"/>
          <w:lang w:eastAsia="fr-FR"/>
        </w:rPr>
        <w:t>Graeme KELLEHER, Guidelines for Marine Protected Areas, No. 3, 1999, xxiv + 107 pp.</w:t>
      </w:r>
    </w:p>
    <w:p w:rsidR="00E45CE1" w:rsidRPr="00155121" w:rsidRDefault="00E45CE1" w:rsidP="00E45CE1">
      <w:pPr>
        <w:spacing w:before="100" w:beforeAutospacing="1" w:after="100" w:afterAutospacing="1" w:line="240" w:lineRule="auto"/>
        <w:jc w:val="both"/>
        <w:rPr>
          <w:rFonts w:ascii="Tahoma" w:eastAsia="Times New Roman" w:hAnsi="Tahoma" w:cs="Tahoma"/>
          <w:color w:val="000000" w:themeColor="text1"/>
          <w:sz w:val="24"/>
          <w:szCs w:val="24"/>
          <w:lang w:eastAsia="fr-FR"/>
        </w:rPr>
      </w:pPr>
      <w:r w:rsidRPr="00155121">
        <w:rPr>
          <w:rFonts w:ascii="Tahoma" w:eastAsia="Times New Roman" w:hAnsi="Tahoma" w:cs="Tahoma"/>
          <w:color w:val="000000" w:themeColor="text1"/>
          <w:sz w:val="24"/>
          <w:szCs w:val="24"/>
          <w:lang w:eastAsia="fr-FR"/>
        </w:rPr>
        <w:t>Grazia BORRINI-FEYERABEND, Ashish KOTHARI et Gonzalo OVIEDO, Indigenous and Local Communities and Protected Areas: Towards Equity and Enhanced Conservation, No. 11, 2004, xvii + 112 pp.</w:t>
      </w:r>
    </w:p>
    <w:p w:rsidR="00E45CE1" w:rsidRPr="00C8198A" w:rsidRDefault="00E45CE1" w:rsidP="00E45CE1">
      <w:pPr>
        <w:spacing w:before="100" w:beforeAutospacing="1" w:after="100" w:afterAutospacing="1" w:line="240" w:lineRule="auto"/>
        <w:jc w:val="both"/>
        <w:rPr>
          <w:rFonts w:ascii="Tahoma" w:eastAsia="Times New Roman" w:hAnsi="Tahoma" w:cs="Tahoma"/>
          <w:color w:val="000000" w:themeColor="text1"/>
          <w:sz w:val="24"/>
          <w:szCs w:val="24"/>
          <w:lang w:val="es-ES" w:eastAsia="fr-FR"/>
        </w:rPr>
      </w:pPr>
      <w:r w:rsidRPr="00155121">
        <w:rPr>
          <w:rFonts w:ascii="Tahoma" w:eastAsia="Times New Roman" w:hAnsi="Tahoma" w:cs="Tahoma"/>
          <w:color w:val="000000" w:themeColor="text1"/>
          <w:sz w:val="24"/>
          <w:szCs w:val="24"/>
          <w:lang w:eastAsia="fr-FR"/>
        </w:rPr>
        <w:t xml:space="preserve">Guidelines for Management Planning of Protected Areas. </w:t>
      </w:r>
      <w:r w:rsidRPr="00E45CE1">
        <w:rPr>
          <w:rFonts w:ascii="Tahoma" w:eastAsia="Times New Roman" w:hAnsi="Tahoma" w:cs="Tahoma"/>
          <w:color w:val="000000" w:themeColor="text1"/>
          <w:sz w:val="24"/>
          <w:szCs w:val="24"/>
          <w:lang w:val="es-ES" w:eastAsia="fr-FR"/>
        </w:rPr>
        <w:t xml:space="preserve">No.10. Lee Thomas and Julie Middleton, 2003, ix + 79pp. </w:t>
      </w:r>
      <w:r w:rsidRPr="00C8198A">
        <w:rPr>
          <w:rFonts w:ascii="Tahoma" w:eastAsia="Times New Roman" w:hAnsi="Tahoma" w:cs="Tahoma"/>
          <w:color w:val="000000" w:themeColor="text1"/>
          <w:sz w:val="24"/>
          <w:szCs w:val="24"/>
          <w:lang w:val="es-ES" w:eastAsia="fr-FR"/>
        </w:rPr>
        <w:t>Also</w:t>
      </w:r>
    </w:p>
    <w:p w:rsidR="00E45CE1" w:rsidRPr="00155121" w:rsidRDefault="00E45CE1" w:rsidP="00E45CE1">
      <w:pPr>
        <w:pStyle w:val="NormalWeb"/>
        <w:jc w:val="both"/>
        <w:rPr>
          <w:rFonts w:ascii="Tahoma" w:eastAsia="Calibri" w:hAnsi="Tahoma" w:cs="Tahoma"/>
          <w:color w:val="000000" w:themeColor="text1"/>
          <w:lang w:eastAsia="en-US"/>
        </w:rPr>
      </w:pPr>
      <w:r w:rsidRPr="00155121">
        <w:rPr>
          <w:rFonts w:ascii="Tahoma" w:eastAsia="Calibri" w:hAnsi="Tahoma" w:cs="Tahoma"/>
          <w:color w:val="000000" w:themeColor="text1"/>
          <w:lang w:eastAsia="en-US"/>
        </w:rPr>
        <w:t xml:space="preserve">H. Ghazi, M. Messouli, M. Yacoubi Khebiza et B. N. Egoh, « Mapping regulating services in Marrakesh Safi region - Morocco », Journal of Arid Environments, vol. 159, 2018. [En ligne] : </w:t>
      </w:r>
      <w:hyperlink r:id="rId74" w:tgtFrame="_new" w:history="1">
        <w:r w:rsidRPr="00155121">
          <w:rPr>
            <w:rFonts w:ascii="Tahoma" w:eastAsia="Calibri" w:hAnsi="Tahoma" w:cs="Tahoma"/>
            <w:color w:val="000000" w:themeColor="text1"/>
            <w:lang w:eastAsia="en-US"/>
          </w:rPr>
          <w:t>http://www.sciencedirect.com/science/article/pii/S0140196318301058</w:t>
        </w:r>
      </w:hyperlink>
    </w:p>
    <w:p w:rsidR="00E45CE1" w:rsidRPr="00155121" w:rsidRDefault="00E45CE1" w:rsidP="00E45CE1">
      <w:pPr>
        <w:spacing w:before="100" w:beforeAutospacing="1" w:after="100" w:afterAutospacing="1" w:line="360" w:lineRule="auto"/>
        <w:jc w:val="both"/>
        <w:rPr>
          <w:rFonts w:ascii="Tahoma" w:eastAsia="Times New Roman" w:hAnsi="Tahoma" w:cs="Tahoma"/>
          <w:color w:val="000000" w:themeColor="text1"/>
          <w:sz w:val="24"/>
          <w:szCs w:val="24"/>
          <w:lang w:eastAsia="fr-FR"/>
        </w:rPr>
      </w:pPr>
      <w:r w:rsidRPr="00155121">
        <w:rPr>
          <w:rFonts w:ascii="Tahoma" w:eastAsia="Times New Roman" w:hAnsi="Tahoma" w:cs="Tahoma"/>
          <w:color w:val="000000" w:themeColor="text1"/>
          <w:sz w:val="24"/>
          <w:szCs w:val="24"/>
          <w:lang w:eastAsia="fr-FR"/>
        </w:rPr>
        <w:t>Henri LE CHATELIER, Le chauffage industriel, Paris, Dunod, 1925.</w:t>
      </w:r>
    </w:p>
    <w:p w:rsidR="00E45CE1" w:rsidRPr="00155121" w:rsidRDefault="00E45CE1" w:rsidP="00E45CE1">
      <w:pPr>
        <w:spacing w:before="100" w:beforeAutospacing="1" w:after="100" w:afterAutospacing="1" w:line="240" w:lineRule="auto"/>
        <w:jc w:val="both"/>
        <w:rPr>
          <w:rFonts w:ascii="Tahoma" w:eastAsia="Times New Roman" w:hAnsi="Tahoma" w:cs="Tahoma"/>
          <w:color w:val="000000" w:themeColor="text1"/>
          <w:sz w:val="24"/>
          <w:szCs w:val="24"/>
          <w:lang w:eastAsia="fr-FR"/>
        </w:rPr>
      </w:pPr>
      <w:r w:rsidRPr="00155121">
        <w:rPr>
          <w:rFonts w:ascii="Tahoma" w:eastAsia="Times New Roman" w:hAnsi="Tahoma" w:cs="Tahoma"/>
          <w:color w:val="000000" w:themeColor="text1"/>
          <w:sz w:val="24"/>
          <w:szCs w:val="24"/>
          <w:lang w:eastAsia="fr-FR"/>
        </w:rPr>
        <w:t>Ian BLANCHARD, « Nineteenth-Century Russian and "Western" Ferrous Metallurgy: Complementary or Competitive technologies? », dans Chris EVANS &amp; Göran RYDÉN (dir.), The Industrial Revolution in Iron: The Impact of British Coal Technology in Nineteenth-Century Europe, Londres, Routledge, 2005, p. 129-150.</w:t>
      </w:r>
    </w:p>
    <w:p w:rsidR="00E45CE1" w:rsidRPr="00155121" w:rsidRDefault="00E45CE1" w:rsidP="00E45CE1">
      <w:pPr>
        <w:spacing w:before="100" w:beforeAutospacing="1" w:after="100" w:afterAutospacing="1" w:line="240" w:lineRule="auto"/>
        <w:jc w:val="both"/>
        <w:rPr>
          <w:rFonts w:ascii="Tahoma" w:eastAsia="Times New Roman" w:hAnsi="Tahoma" w:cs="Tahoma"/>
          <w:color w:val="000000" w:themeColor="text1"/>
          <w:sz w:val="24"/>
          <w:szCs w:val="24"/>
          <w:lang w:eastAsia="fr-FR"/>
        </w:rPr>
      </w:pPr>
      <w:r w:rsidRPr="00155121">
        <w:rPr>
          <w:rFonts w:ascii="Tahoma" w:eastAsia="Times New Roman" w:hAnsi="Tahoma" w:cs="Tahoma"/>
          <w:color w:val="000000" w:themeColor="text1"/>
          <w:sz w:val="24"/>
          <w:szCs w:val="24"/>
          <w:lang w:eastAsia="fr-FR"/>
        </w:rPr>
        <w:t>Ian BLANCHARD, « Russian Railway Construction and the Urals Charcoal Iron and Steel Industry, 1851-1914 », The Economic History Review, vol. 53, n° 1, 2000, p. 107-126.</w:t>
      </w:r>
    </w:p>
    <w:p w:rsidR="00E45CE1" w:rsidRPr="00E45CE1" w:rsidRDefault="00E45CE1" w:rsidP="00E45CE1">
      <w:pPr>
        <w:spacing w:before="100" w:beforeAutospacing="1" w:after="100" w:afterAutospacing="1" w:line="240" w:lineRule="auto"/>
        <w:jc w:val="both"/>
        <w:rPr>
          <w:rFonts w:ascii="Tahoma" w:eastAsia="Times New Roman" w:hAnsi="Tahoma" w:cs="Tahoma"/>
          <w:color w:val="000000" w:themeColor="text1"/>
          <w:sz w:val="24"/>
          <w:szCs w:val="24"/>
          <w:lang w:val="es-ES" w:eastAsia="fr-FR"/>
        </w:rPr>
      </w:pPr>
      <w:r w:rsidRPr="00155121">
        <w:rPr>
          <w:rFonts w:ascii="Tahoma" w:eastAsia="Times New Roman" w:hAnsi="Tahoma" w:cs="Tahoma"/>
          <w:color w:val="000000" w:themeColor="text1"/>
          <w:sz w:val="24"/>
          <w:szCs w:val="24"/>
          <w:lang w:eastAsia="fr-FR"/>
        </w:rPr>
        <w:t xml:space="preserve">Indigenous and Local Communities and Protected Areas: Towards Equity and Enhanced Conservation. </w:t>
      </w:r>
      <w:r w:rsidRPr="00E45CE1">
        <w:rPr>
          <w:rFonts w:ascii="Tahoma" w:eastAsia="Times New Roman" w:hAnsi="Tahoma" w:cs="Tahoma"/>
          <w:color w:val="000000" w:themeColor="text1"/>
          <w:sz w:val="24"/>
          <w:szCs w:val="24"/>
          <w:lang w:val="es-ES" w:eastAsia="fr-FR"/>
        </w:rPr>
        <w:t>No.11. Grazia BorriniFeyerabend, Ashish Kothari and Gonzalo Oviedo, 2004, xvii + 112pp.</w:t>
      </w:r>
    </w:p>
    <w:p w:rsidR="00E45CE1" w:rsidRPr="00155121" w:rsidRDefault="00E45CE1" w:rsidP="00E45CE1">
      <w:pPr>
        <w:spacing w:before="100" w:beforeAutospacing="1" w:after="100" w:afterAutospacing="1" w:line="240" w:lineRule="auto"/>
        <w:jc w:val="both"/>
        <w:rPr>
          <w:rFonts w:ascii="Tahoma" w:eastAsia="Times New Roman" w:hAnsi="Tahoma" w:cs="Tahoma"/>
          <w:color w:val="000000" w:themeColor="text1"/>
          <w:sz w:val="24"/>
          <w:szCs w:val="24"/>
          <w:lang w:eastAsia="fr-FR"/>
        </w:rPr>
      </w:pPr>
      <w:r w:rsidRPr="00155121">
        <w:rPr>
          <w:rFonts w:ascii="Tahoma" w:eastAsia="Times New Roman" w:hAnsi="Tahoma" w:cs="Tahoma"/>
          <w:color w:val="000000" w:themeColor="text1"/>
          <w:sz w:val="24"/>
          <w:szCs w:val="24"/>
          <w:lang w:eastAsia="fr-FR"/>
        </w:rPr>
        <w:t>Indigenous and Traditional Peoples and Protected Areas: Principles, Guidelines and Case Studies. No. 4. Javier Beltrán, (Ed.),</w:t>
      </w:r>
    </w:p>
    <w:p w:rsidR="00E45CE1" w:rsidRPr="00155121" w:rsidRDefault="00E45CE1" w:rsidP="00E45CE1">
      <w:pPr>
        <w:spacing w:after="0" w:line="360" w:lineRule="auto"/>
        <w:jc w:val="both"/>
        <w:rPr>
          <w:rFonts w:ascii="Tahoma" w:eastAsia="Times New Roman" w:hAnsi="Tahoma" w:cs="Tahoma"/>
          <w:color w:val="000000" w:themeColor="text1"/>
          <w:sz w:val="24"/>
          <w:szCs w:val="24"/>
          <w:lang w:eastAsia="fr-FR"/>
        </w:rPr>
      </w:pPr>
      <w:r w:rsidRPr="00155121">
        <w:rPr>
          <w:rFonts w:ascii="Tahoma" w:eastAsia="Times New Roman" w:hAnsi="Tahoma" w:cs="Tahoma"/>
          <w:color w:val="000000" w:themeColor="text1"/>
          <w:sz w:val="24"/>
          <w:szCs w:val="24"/>
          <w:lang w:eastAsia="fr-FR"/>
        </w:rPr>
        <w:t>J.-M. MARTIN, Processus d'industrialisation et développement énergétique du Brésil, Paris, Éditions de l'Institut des hautes études de l'Amérique latine, 1966.</w:t>
      </w:r>
    </w:p>
    <w:p w:rsidR="00E45CE1" w:rsidRPr="00155121" w:rsidRDefault="00E45CE1" w:rsidP="00E45CE1">
      <w:pPr>
        <w:spacing w:before="100" w:beforeAutospacing="1" w:after="100" w:afterAutospacing="1" w:line="240" w:lineRule="auto"/>
        <w:jc w:val="both"/>
        <w:rPr>
          <w:rFonts w:ascii="Tahoma" w:eastAsia="Times New Roman" w:hAnsi="Tahoma" w:cs="Tahoma"/>
          <w:color w:val="000000" w:themeColor="text1"/>
          <w:sz w:val="24"/>
          <w:szCs w:val="24"/>
          <w:lang w:eastAsia="fr-FR"/>
        </w:rPr>
      </w:pPr>
      <w:r w:rsidRPr="00155121">
        <w:rPr>
          <w:rFonts w:ascii="Tahoma" w:eastAsia="Times New Roman" w:hAnsi="Tahoma" w:cs="Tahoma"/>
          <w:color w:val="000000" w:themeColor="text1"/>
          <w:sz w:val="24"/>
          <w:szCs w:val="24"/>
          <w:lang w:eastAsia="fr-FR"/>
        </w:rPr>
        <w:t>Javier BELTRÁN , Indigenous and Traditional Peoples and Protected Areas: Principles, Guidelines and Case Studies, No. 4, IUCN, Gland, Switzerland and Cambridge, UK and WWF International, Gland, Switzerland, 2000, xi + 133 pp. Also available in Spanish.</w:t>
      </w:r>
    </w:p>
    <w:p w:rsidR="00E45CE1" w:rsidRPr="00155121" w:rsidRDefault="00E45CE1" w:rsidP="00E45CE1">
      <w:pPr>
        <w:spacing w:before="100" w:beforeAutospacing="1" w:after="100" w:afterAutospacing="1" w:line="240" w:lineRule="auto"/>
        <w:jc w:val="both"/>
        <w:rPr>
          <w:rFonts w:ascii="Tahoma" w:eastAsia="Times New Roman" w:hAnsi="Tahoma" w:cs="Tahoma"/>
          <w:color w:val="000000" w:themeColor="text1"/>
          <w:sz w:val="24"/>
          <w:szCs w:val="24"/>
          <w:lang w:eastAsia="fr-FR"/>
        </w:rPr>
      </w:pPr>
      <w:r w:rsidRPr="00155121">
        <w:rPr>
          <w:rFonts w:ascii="Tahoma" w:eastAsia="Times New Roman" w:hAnsi="Tahoma" w:cs="Tahoma"/>
          <w:color w:val="000000" w:themeColor="text1"/>
          <w:sz w:val="24"/>
          <w:szCs w:val="24"/>
          <w:lang w:eastAsia="fr-FR"/>
        </w:rPr>
        <w:t>Jawad DAHEUR, « La sylviculture allemande et ses "hectares fantômes" au tournant des XIXe et XXe siècles », Revue forestière française, vol. 69, n° 3, 2017, p. 227-239.</w:t>
      </w:r>
    </w:p>
    <w:p w:rsidR="00E45CE1" w:rsidRPr="00155121" w:rsidRDefault="00E45CE1" w:rsidP="00E45CE1">
      <w:pPr>
        <w:spacing w:after="0" w:line="360" w:lineRule="auto"/>
        <w:jc w:val="both"/>
        <w:rPr>
          <w:rFonts w:ascii="Tahoma" w:eastAsia="Calibri" w:hAnsi="Tahoma" w:cs="Tahoma"/>
          <w:color w:val="000000" w:themeColor="text1"/>
          <w:sz w:val="24"/>
          <w:szCs w:val="24"/>
        </w:rPr>
      </w:pPr>
      <w:r w:rsidRPr="00155121">
        <w:rPr>
          <w:rFonts w:ascii="Tahoma" w:eastAsia="Calibri" w:hAnsi="Tahoma" w:cs="Tahoma"/>
          <w:color w:val="000000" w:themeColor="text1"/>
          <w:sz w:val="24"/>
          <w:szCs w:val="24"/>
        </w:rPr>
        <w:t>Jean BEAUVERIE, Le bois. Paris, Gauthier-Villar, 1905.</w:t>
      </w:r>
    </w:p>
    <w:p w:rsidR="00E45CE1" w:rsidRPr="00155121" w:rsidRDefault="00E45CE1" w:rsidP="00E45CE1">
      <w:pPr>
        <w:spacing w:before="100" w:beforeAutospacing="1" w:after="100" w:afterAutospacing="1" w:line="360" w:lineRule="auto"/>
        <w:jc w:val="both"/>
        <w:rPr>
          <w:rFonts w:ascii="Tahoma" w:eastAsia="Times New Roman" w:hAnsi="Tahoma" w:cs="Tahoma"/>
          <w:color w:val="000000" w:themeColor="text1"/>
          <w:sz w:val="24"/>
          <w:szCs w:val="24"/>
          <w:lang w:eastAsia="fr-FR"/>
        </w:rPr>
      </w:pPr>
      <w:r w:rsidRPr="00155121">
        <w:rPr>
          <w:rFonts w:ascii="Tahoma" w:eastAsia="Times New Roman" w:hAnsi="Tahoma" w:cs="Tahoma"/>
          <w:color w:val="000000" w:themeColor="text1"/>
          <w:sz w:val="24"/>
          <w:szCs w:val="24"/>
          <w:lang w:eastAsia="fr-FR"/>
        </w:rPr>
        <w:t>Jean-Claude DEBEIR, Jean-Paul DELÉAGE &amp; Daniel HÉMERY, Une histoire de l'énergie, Paris, Flammarion, 2013 [1986].</w:t>
      </w:r>
    </w:p>
    <w:p w:rsidR="00E45CE1" w:rsidRPr="00155121" w:rsidRDefault="00E45CE1" w:rsidP="00E45CE1">
      <w:pPr>
        <w:spacing w:before="100" w:beforeAutospacing="1" w:after="100" w:afterAutospacing="1" w:line="240" w:lineRule="auto"/>
        <w:jc w:val="both"/>
        <w:rPr>
          <w:rFonts w:ascii="Tahoma" w:eastAsia="Times New Roman" w:hAnsi="Tahoma" w:cs="Tahoma"/>
          <w:color w:val="000000" w:themeColor="text1"/>
          <w:sz w:val="24"/>
          <w:szCs w:val="24"/>
          <w:lang w:eastAsia="fr-FR"/>
        </w:rPr>
      </w:pPr>
      <w:r w:rsidRPr="00155121">
        <w:rPr>
          <w:rFonts w:ascii="Tahoma" w:eastAsia="Times New Roman" w:hAnsi="Tahoma" w:cs="Tahoma"/>
          <w:color w:val="000000" w:themeColor="text1"/>
          <w:sz w:val="24"/>
          <w:szCs w:val="24"/>
          <w:lang w:eastAsia="fr-FR"/>
        </w:rPr>
        <w:t>John E. MURRAY et Javier SILVESTRE, « Small-Scale Technologies and European Coal Mine Safety, 1850-1900 », The Economic History Review, vol. 68, n° 3, 2015, pp. 887-910.</w:t>
      </w:r>
    </w:p>
    <w:p w:rsidR="00E45CE1" w:rsidRPr="00155121" w:rsidRDefault="00E45CE1" w:rsidP="00E45CE1">
      <w:pPr>
        <w:spacing w:after="200" w:line="240" w:lineRule="auto"/>
        <w:jc w:val="both"/>
        <w:rPr>
          <w:rFonts w:ascii="Tahoma" w:eastAsia="Calibri" w:hAnsi="Tahoma" w:cs="Tahoma"/>
          <w:color w:val="000000" w:themeColor="text1"/>
          <w:sz w:val="24"/>
          <w:szCs w:val="24"/>
        </w:rPr>
      </w:pPr>
      <w:r w:rsidRPr="00155121">
        <w:rPr>
          <w:rFonts w:ascii="Tahoma" w:eastAsia="Times New Roman" w:hAnsi="Tahoma" w:cs="Tahoma"/>
          <w:color w:val="000000" w:themeColor="text1"/>
          <w:sz w:val="24"/>
          <w:szCs w:val="24"/>
          <w:lang w:eastAsia="fr-FR"/>
        </w:rPr>
        <w:t>Judith KOLL HEALEY, Frederick Weyerhaeuser and the American West, St Paul, Minnesota Historical Society Press, 2013.</w:t>
      </w:r>
      <w:r w:rsidRPr="00155121">
        <w:rPr>
          <w:rFonts w:ascii="Tahoma" w:eastAsia="Calibri" w:hAnsi="Tahoma" w:cs="Tahoma"/>
          <w:color w:val="000000" w:themeColor="text1"/>
          <w:sz w:val="24"/>
          <w:szCs w:val="24"/>
        </w:rPr>
        <w:t xml:space="preserve"> </w:t>
      </w:r>
    </w:p>
    <w:p w:rsidR="00E45CE1" w:rsidRPr="00155121" w:rsidRDefault="00E45CE1" w:rsidP="00E45CE1">
      <w:pPr>
        <w:spacing w:after="200" w:line="360" w:lineRule="auto"/>
        <w:jc w:val="both"/>
        <w:rPr>
          <w:rFonts w:ascii="Tahoma" w:eastAsia="Calibri" w:hAnsi="Tahoma" w:cs="Tahoma"/>
          <w:color w:val="000000" w:themeColor="text1"/>
          <w:sz w:val="24"/>
          <w:szCs w:val="24"/>
        </w:rPr>
      </w:pPr>
      <w:r w:rsidRPr="00155121">
        <w:rPr>
          <w:rFonts w:ascii="Tahoma" w:eastAsia="Calibri" w:hAnsi="Tahoma" w:cs="Tahoma"/>
          <w:color w:val="000000" w:themeColor="text1"/>
          <w:sz w:val="24"/>
          <w:szCs w:val="24"/>
        </w:rPr>
        <w:t>Jules N. PRETTY, Agri-Culture: Reconnecting people, land and nature, Londres, Earthscan Publications, 2002.</w:t>
      </w:r>
    </w:p>
    <w:p w:rsidR="00E45CE1" w:rsidRPr="00155121" w:rsidRDefault="00E45CE1" w:rsidP="00E45CE1">
      <w:pPr>
        <w:spacing w:after="200" w:line="276" w:lineRule="auto"/>
        <w:jc w:val="both"/>
        <w:rPr>
          <w:rFonts w:ascii="Tahoma" w:eastAsia="Calibri" w:hAnsi="Tahoma" w:cs="Tahoma"/>
          <w:color w:val="000000" w:themeColor="text1"/>
          <w:sz w:val="24"/>
          <w:szCs w:val="24"/>
        </w:rPr>
      </w:pPr>
      <w:r w:rsidRPr="00155121">
        <w:rPr>
          <w:rFonts w:ascii="Tahoma" w:eastAsia="Calibri" w:hAnsi="Tahoma" w:cs="Tahoma"/>
          <w:color w:val="000000" w:themeColor="text1"/>
          <w:sz w:val="24"/>
          <w:szCs w:val="24"/>
        </w:rPr>
        <w:t>Jules N. PRETTY, et Michel P. PIMBERT, « Diversity and sustainability in community based conservation », Communication présentée à l'atelier régional UNESCO-IIPA sur la conservation communautaire, 9-12 février, Inde, 1997.</w:t>
      </w:r>
    </w:p>
    <w:p w:rsidR="00E45CE1" w:rsidRPr="00155121" w:rsidRDefault="00E45CE1" w:rsidP="00E45CE1">
      <w:pPr>
        <w:spacing w:before="100" w:beforeAutospacing="1" w:after="100" w:afterAutospacing="1" w:line="240" w:lineRule="auto"/>
        <w:jc w:val="both"/>
        <w:rPr>
          <w:rFonts w:ascii="Tahoma" w:eastAsia="Times New Roman" w:hAnsi="Tahoma" w:cs="Tahoma"/>
          <w:color w:val="000000" w:themeColor="text1"/>
          <w:sz w:val="24"/>
          <w:szCs w:val="24"/>
          <w:lang w:eastAsia="fr-FR"/>
        </w:rPr>
      </w:pPr>
      <w:r w:rsidRPr="00155121">
        <w:rPr>
          <w:rFonts w:ascii="Tahoma" w:eastAsia="Times New Roman" w:hAnsi="Tahoma" w:cs="Tahoma"/>
          <w:color w:val="000000" w:themeColor="text1"/>
          <w:sz w:val="24"/>
          <w:szCs w:val="24"/>
          <w:lang w:eastAsia="fr-FR"/>
        </w:rPr>
        <w:t>K. POCHENKOV &amp; V. POZNANSKAYA, « Basic Coal Basins of the USSR in the New Five-Year Plan », dans Soviet Union. Posol'stvo (US), The Great Stalin Five-Year Plan, for the Restoration and Development of the National Economy of the USSR for 1956-1950, Washington DC, Embassy of the Union of Soviet Socialist Republics, 1946, pp. 39-41.</w:t>
      </w:r>
    </w:p>
    <w:p w:rsidR="00E45CE1" w:rsidRPr="00155121" w:rsidRDefault="00E45CE1" w:rsidP="00E45CE1">
      <w:pPr>
        <w:spacing w:before="100" w:beforeAutospacing="1" w:after="100" w:afterAutospacing="1" w:line="240" w:lineRule="auto"/>
        <w:jc w:val="both"/>
        <w:rPr>
          <w:rFonts w:ascii="Tahoma" w:eastAsia="Times New Roman" w:hAnsi="Tahoma" w:cs="Tahoma"/>
          <w:color w:val="000000" w:themeColor="text1"/>
          <w:sz w:val="24"/>
          <w:szCs w:val="24"/>
          <w:lang w:eastAsia="fr-FR"/>
        </w:rPr>
      </w:pPr>
      <w:r w:rsidRPr="00155121">
        <w:rPr>
          <w:rFonts w:ascii="Tahoma" w:eastAsia="Times New Roman" w:hAnsi="Tahoma" w:cs="Tahoma"/>
          <w:color w:val="000000" w:themeColor="text1"/>
          <w:sz w:val="24"/>
          <w:szCs w:val="24"/>
          <w:lang w:eastAsia="fr-FR"/>
        </w:rPr>
        <w:t>Karl BRANDT, « The Fuel Crisis in Europe », Foreign Affairs, vol. 24, n° 2, 1946, p. 337-340.</w:t>
      </w:r>
    </w:p>
    <w:p w:rsidR="00E45CE1" w:rsidRPr="00155121" w:rsidRDefault="00E45CE1" w:rsidP="00E45CE1">
      <w:pPr>
        <w:spacing w:before="100" w:beforeAutospacing="1" w:after="100" w:afterAutospacing="1" w:line="240" w:lineRule="auto"/>
        <w:jc w:val="both"/>
        <w:rPr>
          <w:rFonts w:ascii="Tahoma" w:eastAsia="Calibri" w:hAnsi="Tahoma" w:cs="Tahoma"/>
          <w:color w:val="000000" w:themeColor="text1"/>
          <w:sz w:val="24"/>
          <w:szCs w:val="24"/>
        </w:rPr>
      </w:pPr>
      <w:r w:rsidRPr="00155121">
        <w:rPr>
          <w:rFonts w:ascii="Tahoma" w:eastAsia="Calibri" w:hAnsi="Tahoma" w:cs="Tahoma"/>
          <w:color w:val="000000" w:themeColor="text1"/>
          <w:sz w:val="24"/>
          <w:szCs w:val="24"/>
        </w:rPr>
        <w:t>Kotka III. Proceedings of the FAO Expert Consultation on Global Forest Resources Assessments 2000 in Cooperation with ECE and UNEP with the Support of the Government of Finland (Kotka III). Kotka, Finland, 10-14 juin 1996. The Finnish Forest Research Institute, Research Papers 620, Helsinki, 1996, pp. 36-49.</w:t>
      </w:r>
    </w:p>
    <w:p w:rsidR="00E45CE1" w:rsidRPr="00155121" w:rsidRDefault="00E45CE1" w:rsidP="00E45CE1">
      <w:pPr>
        <w:spacing w:before="100" w:beforeAutospacing="1" w:after="100" w:afterAutospacing="1" w:line="240" w:lineRule="auto"/>
        <w:jc w:val="both"/>
        <w:rPr>
          <w:rFonts w:ascii="Tahoma" w:eastAsia="Calibri" w:hAnsi="Tahoma" w:cs="Tahoma"/>
          <w:color w:val="000000" w:themeColor="text1"/>
          <w:sz w:val="24"/>
          <w:szCs w:val="24"/>
        </w:rPr>
      </w:pPr>
      <w:r w:rsidRPr="00155121">
        <w:rPr>
          <w:rFonts w:ascii="Tahoma" w:eastAsia="Calibri" w:hAnsi="Tahoma" w:cs="Tahoma"/>
          <w:color w:val="000000" w:themeColor="text1"/>
          <w:sz w:val="24"/>
          <w:szCs w:val="24"/>
        </w:rPr>
        <w:t>Kotka IV. Report of the FAO, UNEP, UNECE Meeting on Global Forest Resources Assessment – Linking National and International Efforts. Kotka, Finland, 1-5 juillet 2002.</w:t>
      </w:r>
    </w:p>
    <w:p w:rsidR="00E45CE1" w:rsidRPr="00155121" w:rsidRDefault="00E45CE1" w:rsidP="00E45CE1">
      <w:pPr>
        <w:spacing w:before="100" w:beforeAutospacing="1" w:after="100" w:afterAutospacing="1" w:line="240" w:lineRule="auto"/>
        <w:jc w:val="both"/>
        <w:rPr>
          <w:rFonts w:ascii="Tahoma" w:eastAsia="Times New Roman" w:hAnsi="Tahoma" w:cs="Tahoma"/>
          <w:color w:val="000000" w:themeColor="text1"/>
          <w:sz w:val="24"/>
          <w:szCs w:val="24"/>
          <w:lang w:eastAsia="fr-FR"/>
        </w:rPr>
      </w:pPr>
      <w:r w:rsidRPr="00155121">
        <w:rPr>
          <w:rFonts w:ascii="Tahoma" w:eastAsia="Times New Roman" w:hAnsi="Tahoma" w:cs="Tahoma"/>
          <w:color w:val="000000" w:themeColor="text1"/>
          <w:sz w:val="24"/>
          <w:szCs w:val="24"/>
          <w:lang w:eastAsia="fr-FR"/>
        </w:rPr>
        <w:t>Kris E.  INWOOD, « The Decline and Rise of Charcoal Iron: The Case of Canada », Business and Economic History, vol. 14, 1985, p. 237-243.</w:t>
      </w:r>
    </w:p>
    <w:p w:rsidR="00E45CE1" w:rsidRPr="00155121" w:rsidRDefault="00E45CE1" w:rsidP="00E45CE1">
      <w:pPr>
        <w:spacing w:before="100" w:beforeAutospacing="1" w:after="100" w:afterAutospacing="1" w:line="240" w:lineRule="auto"/>
        <w:jc w:val="both"/>
        <w:rPr>
          <w:rFonts w:ascii="Tahoma" w:eastAsia="Times New Roman" w:hAnsi="Tahoma" w:cs="Tahoma"/>
          <w:color w:val="000000" w:themeColor="text1"/>
          <w:sz w:val="24"/>
          <w:szCs w:val="24"/>
          <w:lang w:eastAsia="fr-FR"/>
        </w:rPr>
      </w:pPr>
      <w:r w:rsidRPr="00155121">
        <w:rPr>
          <w:rFonts w:ascii="Tahoma" w:eastAsia="Times New Roman" w:hAnsi="Tahoma" w:cs="Tahoma"/>
          <w:color w:val="000000" w:themeColor="text1"/>
          <w:sz w:val="24"/>
          <w:szCs w:val="24"/>
          <w:lang w:eastAsia="fr-FR"/>
        </w:rPr>
        <w:t>L. MAFFI, Endangered Languages, Endangered Knowledge, Endangered Environments: Results of an Interdisciplinary Working Paper, 1996.</w:t>
      </w:r>
    </w:p>
    <w:p w:rsidR="00E45CE1" w:rsidRPr="00155121" w:rsidRDefault="00E45CE1" w:rsidP="00E45CE1">
      <w:pPr>
        <w:spacing w:before="100" w:beforeAutospacing="1" w:after="100" w:afterAutospacing="1" w:line="240" w:lineRule="auto"/>
        <w:jc w:val="both"/>
        <w:rPr>
          <w:rFonts w:ascii="Tahoma" w:eastAsia="Times New Roman" w:hAnsi="Tahoma" w:cs="Tahoma"/>
          <w:color w:val="000000" w:themeColor="text1"/>
          <w:sz w:val="24"/>
          <w:szCs w:val="24"/>
          <w:lang w:eastAsia="fr-FR"/>
        </w:rPr>
      </w:pPr>
      <w:r w:rsidRPr="00155121">
        <w:rPr>
          <w:rFonts w:ascii="Tahoma" w:eastAsia="Times New Roman" w:hAnsi="Tahoma" w:cs="Tahoma"/>
          <w:color w:val="000000" w:themeColor="text1"/>
          <w:sz w:val="24"/>
          <w:szCs w:val="24"/>
          <w:lang w:eastAsia="fr-FR"/>
        </w:rPr>
        <w:t>Lahcen Benzyane, "Facteurs socio-économiques de la dégradation forestière au Maroc". Revue Forestière Française, 56(3), 2004, 245-260.</w:t>
      </w:r>
    </w:p>
    <w:p w:rsidR="00E45CE1" w:rsidRPr="00155121" w:rsidRDefault="00E45CE1" w:rsidP="00E45CE1">
      <w:pPr>
        <w:spacing w:before="100" w:beforeAutospacing="1" w:after="100" w:afterAutospacing="1" w:line="240" w:lineRule="auto"/>
        <w:jc w:val="both"/>
        <w:rPr>
          <w:rFonts w:ascii="Tahoma" w:eastAsia="Times New Roman" w:hAnsi="Tahoma" w:cs="Tahoma"/>
          <w:color w:val="000000" w:themeColor="text1"/>
          <w:sz w:val="24"/>
          <w:szCs w:val="24"/>
          <w:lang w:eastAsia="fr-FR"/>
        </w:rPr>
      </w:pPr>
      <w:r w:rsidRPr="00155121">
        <w:rPr>
          <w:rFonts w:ascii="Tahoma" w:eastAsia="Times New Roman" w:hAnsi="Tahoma" w:cs="Tahoma"/>
          <w:color w:val="000000" w:themeColor="text1"/>
          <w:sz w:val="24"/>
          <w:szCs w:val="24"/>
          <w:lang w:eastAsia="fr-FR"/>
        </w:rPr>
        <w:t xml:space="preserve">Lee THOMAS et Julie MIDDLETON, Guidelines for Management Planning of Protected Areas, No. 10, 2003, ix + 79 pp. </w:t>
      </w:r>
    </w:p>
    <w:p w:rsidR="00E45CE1" w:rsidRPr="00155121" w:rsidRDefault="00E45CE1" w:rsidP="00E45CE1">
      <w:pPr>
        <w:spacing w:before="100" w:beforeAutospacing="1" w:after="100" w:afterAutospacing="1" w:line="360" w:lineRule="auto"/>
        <w:jc w:val="both"/>
        <w:rPr>
          <w:rFonts w:ascii="Tahoma" w:eastAsia="Times New Roman" w:hAnsi="Tahoma" w:cs="Tahoma"/>
          <w:color w:val="000000" w:themeColor="text1"/>
          <w:sz w:val="24"/>
          <w:szCs w:val="24"/>
          <w:lang w:eastAsia="fr-FR"/>
        </w:rPr>
      </w:pPr>
      <w:r w:rsidRPr="00155121">
        <w:rPr>
          <w:rFonts w:ascii="Tahoma" w:eastAsia="Times New Roman" w:hAnsi="Tahoma" w:cs="Tahoma"/>
          <w:color w:val="000000" w:themeColor="text1"/>
          <w:sz w:val="24"/>
          <w:szCs w:val="24"/>
          <w:lang w:eastAsia="fr-FR"/>
        </w:rPr>
        <w:t>Lewis MUMFORD, Technics and Civilization, New York, Harcourt, Brace and Company, 1934.</w:t>
      </w:r>
    </w:p>
    <w:p w:rsidR="00E45CE1" w:rsidRPr="00155121" w:rsidRDefault="00E45CE1" w:rsidP="00E45CE1">
      <w:pPr>
        <w:spacing w:line="360" w:lineRule="auto"/>
        <w:jc w:val="both"/>
        <w:rPr>
          <w:rFonts w:ascii="Tahoma" w:eastAsia="Calibri" w:hAnsi="Tahoma" w:cs="Tahoma"/>
          <w:color w:val="000000" w:themeColor="text1"/>
          <w:sz w:val="24"/>
          <w:szCs w:val="24"/>
        </w:rPr>
      </w:pPr>
      <w:r w:rsidRPr="00155121">
        <w:rPr>
          <w:rFonts w:ascii="Tahoma" w:eastAsia="Calibri" w:hAnsi="Tahoma" w:cs="Tahoma"/>
          <w:color w:val="000000" w:themeColor="text1"/>
          <w:sz w:val="24"/>
          <w:szCs w:val="24"/>
        </w:rPr>
        <w:t>Liesbet HOOGHE et Gary MARKS, Unraveling the Central State, but How? Types of Multi-level Governance. American Political Science Review, 2003, vol. 97, no. 2, pp. 233–243</w:t>
      </w:r>
    </w:p>
    <w:p w:rsidR="00E45CE1" w:rsidRPr="00155121" w:rsidRDefault="00E45CE1" w:rsidP="00E45CE1">
      <w:pPr>
        <w:spacing w:before="100" w:beforeAutospacing="1" w:after="100" w:afterAutospacing="1" w:line="360" w:lineRule="auto"/>
        <w:jc w:val="both"/>
        <w:rPr>
          <w:rFonts w:ascii="Tahoma" w:eastAsia="Times New Roman" w:hAnsi="Tahoma" w:cs="Tahoma"/>
          <w:color w:val="000000" w:themeColor="text1"/>
          <w:sz w:val="24"/>
          <w:szCs w:val="24"/>
          <w:lang w:eastAsia="fr-FR"/>
        </w:rPr>
      </w:pPr>
      <w:r w:rsidRPr="00155121">
        <w:rPr>
          <w:rFonts w:ascii="Tahoma" w:eastAsia="Times New Roman" w:hAnsi="Tahoma" w:cs="Tahoma"/>
          <w:color w:val="000000" w:themeColor="text1"/>
          <w:sz w:val="24"/>
          <w:szCs w:val="24"/>
          <w:lang w:eastAsia="fr-FR"/>
        </w:rPr>
        <w:t>Lionel MOSES, « A Review of the Pinchot-Capper Bill », The Cross Tie Bulletin, vol. 2, 1921, p. 11.</w:t>
      </w:r>
    </w:p>
    <w:p w:rsidR="00E45CE1" w:rsidRPr="00155121" w:rsidRDefault="00E45CE1" w:rsidP="00E45CE1">
      <w:pPr>
        <w:spacing w:before="100" w:beforeAutospacing="1" w:after="100" w:afterAutospacing="1" w:line="360" w:lineRule="auto"/>
        <w:jc w:val="both"/>
        <w:rPr>
          <w:rFonts w:ascii="Tahoma" w:eastAsia="Times New Roman" w:hAnsi="Tahoma" w:cs="Tahoma"/>
          <w:color w:val="000000" w:themeColor="text1"/>
          <w:sz w:val="24"/>
          <w:szCs w:val="24"/>
          <w:lang w:eastAsia="fr-FR"/>
        </w:rPr>
      </w:pPr>
      <w:r w:rsidRPr="00155121">
        <w:rPr>
          <w:rFonts w:ascii="Tahoma" w:eastAsia="Times New Roman" w:hAnsi="Tahoma" w:cs="Tahoma"/>
          <w:color w:val="000000" w:themeColor="text1"/>
          <w:sz w:val="24"/>
          <w:szCs w:val="24"/>
          <w:lang w:eastAsia="fr-FR"/>
        </w:rPr>
        <w:t>M. MEISKE &amp; C. ZUMBRAGEL, « Holz im Zeitalter von Kohle und Stahl: Zur Persistenz und Wandelbarkeit eines Werkstoffes in der Hochindustrialisierung », Technikgeschichte, vol. 88, 2021, pp. 251-285.</w:t>
      </w:r>
    </w:p>
    <w:p w:rsidR="00E45CE1" w:rsidRPr="00155121" w:rsidRDefault="00E45CE1" w:rsidP="00E45CE1">
      <w:pPr>
        <w:spacing w:before="100" w:beforeAutospacing="1" w:after="100" w:afterAutospacing="1" w:line="360" w:lineRule="auto"/>
        <w:jc w:val="both"/>
        <w:rPr>
          <w:rFonts w:ascii="Tahoma" w:eastAsia="Times New Roman" w:hAnsi="Tahoma" w:cs="Tahoma"/>
          <w:color w:val="000000" w:themeColor="text1"/>
          <w:sz w:val="24"/>
          <w:szCs w:val="24"/>
          <w:lang w:eastAsia="fr-FR"/>
        </w:rPr>
      </w:pPr>
      <w:r w:rsidRPr="00155121">
        <w:rPr>
          <w:rFonts w:ascii="Tahoma" w:eastAsia="Times New Roman" w:hAnsi="Tahoma" w:cs="Tahoma"/>
          <w:color w:val="000000" w:themeColor="text1"/>
          <w:sz w:val="24"/>
          <w:szCs w:val="24"/>
          <w:lang w:eastAsia="fr-FR"/>
        </w:rPr>
        <w:t>M. MILLER &amp; CULTURAL SURVIVAL, State of the Peoples: A Global Human Rights Report on Societies in Danger, 1993.</w:t>
      </w:r>
    </w:p>
    <w:p w:rsidR="00E45CE1" w:rsidRPr="00155121" w:rsidRDefault="00E45CE1" w:rsidP="00E45CE1">
      <w:pPr>
        <w:spacing w:before="100" w:beforeAutospacing="1" w:after="100" w:afterAutospacing="1" w:line="360" w:lineRule="auto"/>
        <w:jc w:val="both"/>
        <w:rPr>
          <w:rFonts w:ascii="Tahoma" w:eastAsia="Times New Roman" w:hAnsi="Tahoma" w:cs="Tahoma"/>
          <w:color w:val="000000" w:themeColor="text1"/>
          <w:sz w:val="24"/>
          <w:szCs w:val="24"/>
          <w:lang w:eastAsia="fr-FR"/>
        </w:rPr>
      </w:pPr>
      <w:r w:rsidRPr="00155121">
        <w:rPr>
          <w:rFonts w:ascii="Tahoma" w:eastAsia="Times New Roman" w:hAnsi="Tahoma" w:cs="Tahoma"/>
          <w:color w:val="000000" w:themeColor="text1"/>
          <w:sz w:val="24"/>
          <w:szCs w:val="24"/>
          <w:lang w:eastAsia="fr-FR"/>
        </w:rPr>
        <w:t>M’hamed AHDA, Etude Socio-économique des coutumes du Sud : Cas du droit coutumier de Tiydrine (Aït Chaker)-Rteb, Mohammedia, Imprimerie Al Mouttaqi, 2007, 103 p.</w:t>
      </w:r>
    </w:p>
    <w:p w:rsidR="00E45CE1" w:rsidRPr="00155121" w:rsidRDefault="00E45CE1" w:rsidP="00E45CE1">
      <w:pPr>
        <w:spacing w:before="100" w:beforeAutospacing="1" w:after="100" w:afterAutospacing="1" w:line="360" w:lineRule="auto"/>
        <w:jc w:val="both"/>
        <w:rPr>
          <w:rFonts w:ascii="Tahoma" w:eastAsia="Times New Roman" w:hAnsi="Tahoma" w:cs="Tahoma"/>
          <w:color w:val="000000" w:themeColor="text1"/>
          <w:sz w:val="24"/>
          <w:szCs w:val="24"/>
          <w:lang w:eastAsia="fr-FR"/>
        </w:rPr>
      </w:pPr>
      <w:r w:rsidRPr="00155121">
        <w:rPr>
          <w:rFonts w:ascii="Tahoma" w:eastAsia="Times New Roman" w:hAnsi="Tahoma" w:cs="Tahoma"/>
          <w:color w:val="000000" w:themeColor="text1"/>
          <w:sz w:val="24"/>
          <w:szCs w:val="24"/>
          <w:lang w:eastAsia="fr-FR"/>
        </w:rPr>
        <w:t>Management Guidelines for IUCN Category V Protected Areas: Protected Landscapes/Seascapes. No. 9. Adrian Phillips, 2002,</w:t>
      </w:r>
    </w:p>
    <w:p w:rsidR="00E45CE1" w:rsidRPr="00155121" w:rsidRDefault="00E45CE1" w:rsidP="00E45CE1">
      <w:pPr>
        <w:spacing w:before="100" w:beforeAutospacing="1" w:after="100" w:afterAutospacing="1" w:line="360" w:lineRule="auto"/>
        <w:jc w:val="both"/>
        <w:rPr>
          <w:rFonts w:ascii="Tahoma" w:eastAsia="Times New Roman" w:hAnsi="Tahoma" w:cs="Tahoma"/>
          <w:color w:val="000000" w:themeColor="text1"/>
          <w:sz w:val="24"/>
          <w:szCs w:val="24"/>
          <w:lang w:eastAsia="fr-FR"/>
        </w:rPr>
      </w:pPr>
      <w:r w:rsidRPr="00155121">
        <w:rPr>
          <w:rFonts w:ascii="Tahoma" w:eastAsia="Times New Roman" w:hAnsi="Tahoma" w:cs="Tahoma"/>
          <w:color w:val="000000" w:themeColor="text1"/>
          <w:sz w:val="24"/>
          <w:szCs w:val="24"/>
          <w:lang w:eastAsia="fr-FR"/>
        </w:rPr>
        <w:t xml:space="preserve">Marc HOCKINGS, Sue STOLTON et Nigel DUDLEY, Evaluating Effectiveness: A Framework for Assessing the Management of Protected Areas, No. 6, 2000, x + 121 pp. </w:t>
      </w:r>
    </w:p>
    <w:p w:rsidR="00E45CE1" w:rsidRPr="00155121" w:rsidRDefault="00E45CE1" w:rsidP="00E45CE1">
      <w:pPr>
        <w:spacing w:before="100" w:beforeAutospacing="1" w:after="100" w:afterAutospacing="1" w:line="360" w:lineRule="auto"/>
        <w:jc w:val="both"/>
        <w:rPr>
          <w:rFonts w:ascii="Tahoma" w:eastAsia="Calibri" w:hAnsi="Tahoma" w:cs="Tahoma"/>
          <w:color w:val="000000" w:themeColor="text1"/>
          <w:sz w:val="24"/>
          <w:szCs w:val="24"/>
        </w:rPr>
      </w:pPr>
      <w:r w:rsidRPr="00155121">
        <w:rPr>
          <w:rFonts w:ascii="Tahoma" w:eastAsia="Calibri" w:hAnsi="Tahoma" w:cs="Tahoma"/>
          <w:color w:val="000000" w:themeColor="text1"/>
          <w:sz w:val="24"/>
          <w:szCs w:val="24"/>
        </w:rPr>
        <w:t>Marie MASSON-VINCENT et Nicolas DUBUS, Géogouvernance: utilité sociale de l'analyse spatiale. Éditions Quæ, 2013, pp. 78–95.</w:t>
      </w:r>
    </w:p>
    <w:p w:rsidR="00E45CE1" w:rsidRPr="00155121" w:rsidRDefault="00E45CE1" w:rsidP="00E45CE1">
      <w:pPr>
        <w:spacing w:before="100" w:beforeAutospacing="1" w:after="100" w:afterAutospacing="1" w:line="360" w:lineRule="auto"/>
        <w:jc w:val="both"/>
        <w:rPr>
          <w:rFonts w:ascii="Tahoma" w:eastAsia="Times New Roman" w:hAnsi="Tahoma" w:cs="Tahoma"/>
          <w:color w:val="000000" w:themeColor="text1"/>
          <w:sz w:val="24"/>
          <w:szCs w:val="24"/>
          <w:lang w:eastAsia="fr-FR"/>
        </w:rPr>
      </w:pPr>
      <w:r w:rsidRPr="00155121">
        <w:rPr>
          <w:rFonts w:ascii="Tahoma" w:eastAsia="Times New Roman" w:hAnsi="Tahoma" w:cs="Tahoma"/>
          <w:color w:val="000000" w:themeColor="text1"/>
          <w:sz w:val="24"/>
          <w:szCs w:val="24"/>
          <w:lang w:eastAsia="fr-FR"/>
        </w:rPr>
        <w:t>Mark ALDRICH, « From Forest Conservation to Market Preservation: Invention and Diffusion of Wood-Preserving Technology, 1880-1939 », Technology and Culture, vol. 47, n° 2, 2006, pp. 311-340.</w:t>
      </w:r>
    </w:p>
    <w:p w:rsidR="00E45CE1" w:rsidRPr="00155121" w:rsidRDefault="00E45CE1" w:rsidP="00E45CE1">
      <w:pPr>
        <w:spacing w:before="100" w:beforeAutospacing="1" w:after="100" w:afterAutospacing="1" w:line="360" w:lineRule="auto"/>
        <w:jc w:val="both"/>
        <w:rPr>
          <w:rFonts w:ascii="Tahoma" w:eastAsia="Times New Roman" w:hAnsi="Tahoma" w:cs="Tahoma"/>
          <w:color w:val="000000" w:themeColor="text1"/>
          <w:sz w:val="24"/>
          <w:szCs w:val="24"/>
          <w:lang w:eastAsia="fr-FR"/>
        </w:rPr>
      </w:pPr>
      <w:r w:rsidRPr="00155121">
        <w:rPr>
          <w:rFonts w:ascii="Tahoma" w:eastAsia="Times New Roman" w:hAnsi="Tahoma" w:cs="Tahoma"/>
          <w:color w:val="000000" w:themeColor="text1"/>
          <w:sz w:val="24"/>
          <w:szCs w:val="24"/>
          <w:lang w:eastAsia="fr-FR"/>
        </w:rPr>
        <w:t>Mark POFFENBERGER et S. SELIN, Communities and Forest Management in Canada and the United States, New York, Working Group on Community Involvement in Forest Management (WB-CIFM) et IUCN, 1998.</w:t>
      </w:r>
    </w:p>
    <w:p w:rsidR="00E45CE1" w:rsidRPr="00155121" w:rsidRDefault="00E45CE1" w:rsidP="00E45CE1">
      <w:pPr>
        <w:spacing w:before="100" w:beforeAutospacing="1" w:after="100" w:afterAutospacing="1" w:line="360" w:lineRule="auto"/>
        <w:jc w:val="both"/>
        <w:rPr>
          <w:rFonts w:ascii="Tahoma" w:eastAsia="Times New Roman" w:hAnsi="Tahoma" w:cs="Tahoma"/>
          <w:color w:val="000000" w:themeColor="text1"/>
          <w:sz w:val="24"/>
          <w:szCs w:val="24"/>
          <w:lang w:eastAsia="fr-FR"/>
        </w:rPr>
      </w:pPr>
      <w:r w:rsidRPr="00155121">
        <w:rPr>
          <w:rFonts w:ascii="Tahoma" w:eastAsia="Times New Roman" w:hAnsi="Tahoma" w:cs="Tahoma"/>
          <w:color w:val="000000" w:themeColor="text1"/>
          <w:sz w:val="24"/>
          <w:szCs w:val="24"/>
          <w:lang w:eastAsia="fr-FR"/>
        </w:rPr>
        <w:t>Mark POFFENBERGER, Communities and forest management in South Asia, Working Group on Community Involvement in Forest Management, Regional Profile Series, Washington D.C., The World Conservation Union (IUCN), 2000.</w:t>
      </w:r>
    </w:p>
    <w:p w:rsidR="00E45CE1" w:rsidRPr="00155121" w:rsidRDefault="00E45CE1" w:rsidP="00E45CE1">
      <w:pPr>
        <w:pStyle w:val="whitespace-normal"/>
        <w:spacing w:line="360" w:lineRule="auto"/>
        <w:jc w:val="both"/>
        <w:rPr>
          <w:rFonts w:ascii="Tahoma" w:hAnsi="Tahoma" w:cs="Tahoma"/>
          <w:color w:val="000000" w:themeColor="text1"/>
        </w:rPr>
      </w:pPr>
      <w:r w:rsidRPr="00155121">
        <w:rPr>
          <w:rFonts w:ascii="Tahoma" w:hAnsi="Tahoma" w:cs="Tahoma"/>
          <w:color w:val="000000" w:themeColor="text1"/>
        </w:rPr>
        <w:t>Michael KOCH, The Shay Locomotive: Titan of the Timber, Denver, World, 1971.</w:t>
      </w:r>
    </w:p>
    <w:p w:rsidR="00E45CE1" w:rsidRPr="00155121" w:rsidRDefault="00E45CE1" w:rsidP="00E45CE1">
      <w:pPr>
        <w:spacing w:after="0" w:line="276" w:lineRule="auto"/>
        <w:jc w:val="both"/>
        <w:rPr>
          <w:rFonts w:ascii="Tahoma" w:eastAsia="Calibri" w:hAnsi="Tahoma" w:cs="Tahoma"/>
          <w:color w:val="000000" w:themeColor="text1"/>
          <w:sz w:val="24"/>
          <w:szCs w:val="24"/>
        </w:rPr>
      </w:pPr>
      <w:r w:rsidRPr="00155121">
        <w:rPr>
          <w:rFonts w:ascii="Tahoma" w:eastAsia="Calibri" w:hAnsi="Tahoma" w:cs="Tahoma"/>
          <w:color w:val="000000" w:themeColor="text1"/>
          <w:sz w:val="24"/>
          <w:szCs w:val="24"/>
        </w:rPr>
        <w:t>Mohamed KADIRI, « Changements climatiques et risques d'incendies de forêts au Maroc », Revue Marocaine de Géographie, n° 28, 2014, pp. 45-62.</w:t>
      </w:r>
    </w:p>
    <w:p w:rsidR="00E45CE1" w:rsidRPr="00155121" w:rsidRDefault="00E45CE1" w:rsidP="00E45CE1">
      <w:pPr>
        <w:spacing w:after="0" w:line="276" w:lineRule="auto"/>
        <w:jc w:val="both"/>
        <w:rPr>
          <w:rFonts w:ascii="Tahoma" w:eastAsia="Calibri" w:hAnsi="Tahoma" w:cs="Tahoma"/>
          <w:color w:val="000000" w:themeColor="text1"/>
          <w:sz w:val="24"/>
          <w:szCs w:val="24"/>
        </w:rPr>
      </w:pPr>
      <w:r w:rsidRPr="00155121">
        <w:rPr>
          <w:rFonts w:ascii="Tahoma" w:eastAsia="Calibri" w:hAnsi="Tahoma" w:cs="Tahoma"/>
          <w:color w:val="000000" w:themeColor="text1"/>
          <w:sz w:val="24"/>
          <w:szCs w:val="24"/>
        </w:rPr>
        <w:t>Mohamed LAMRANI ALAOUI, « Analyse de la répartition spatiale des incendies de forêt en fonction des facteurs anthropiques, écologiques et biophysiques. Le cas de la forêt de la Mâamora (Maroc septentrional) », Études caribéennes, n° 35, 2016.</w:t>
      </w:r>
    </w:p>
    <w:p w:rsidR="00E45CE1" w:rsidRPr="00155121" w:rsidRDefault="00E45CE1" w:rsidP="00E45CE1">
      <w:pPr>
        <w:spacing w:after="0" w:line="276" w:lineRule="auto"/>
        <w:jc w:val="both"/>
        <w:rPr>
          <w:rFonts w:ascii="Tahoma" w:eastAsia="Calibri" w:hAnsi="Tahoma" w:cs="Tahoma"/>
          <w:color w:val="000000" w:themeColor="text1"/>
          <w:sz w:val="24"/>
          <w:szCs w:val="24"/>
        </w:rPr>
      </w:pPr>
    </w:p>
    <w:p w:rsidR="00E45CE1" w:rsidRPr="00155121" w:rsidRDefault="00E45CE1" w:rsidP="00E45CE1">
      <w:pPr>
        <w:spacing w:after="0" w:line="276" w:lineRule="auto"/>
        <w:jc w:val="both"/>
        <w:rPr>
          <w:rFonts w:ascii="Tahoma" w:eastAsia="Calibri" w:hAnsi="Tahoma" w:cs="Tahoma"/>
          <w:color w:val="000000" w:themeColor="text1"/>
          <w:sz w:val="24"/>
          <w:szCs w:val="24"/>
        </w:rPr>
      </w:pPr>
      <w:r w:rsidRPr="00155121">
        <w:rPr>
          <w:rFonts w:ascii="Tahoma" w:eastAsia="Calibri" w:hAnsi="Tahoma" w:cs="Tahoma"/>
          <w:color w:val="000000" w:themeColor="text1"/>
          <w:sz w:val="24"/>
          <w:szCs w:val="24"/>
        </w:rPr>
        <w:t xml:space="preserve">Nabil Madani, ‘La protection du domaine forestier en droit marocain au crible environnemental’, 14/1 Journal du droit de l’environnement et du développement (2018), p. 19, disponible à </w:t>
      </w:r>
      <w:hyperlink r:id="rId75" w:history="1">
        <w:r w:rsidRPr="00155121">
          <w:rPr>
            <w:rStyle w:val="Lienhypertexte"/>
            <w:rFonts w:ascii="Tahoma" w:eastAsia="Calibri" w:hAnsi="Tahoma" w:cs="Tahoma"/>
            <w:color w:val="000000" w:themeColor="text1"/>
            <w:sz w:val="24"/>
            <w:szCs w:val="24"/>
          </w:rPr>
          <w:t>http://www.lead-journal.org/content/18019.pdf</w:t>
        </w:r>
      </w:hyperlink>
    </w:p>
    <w:p w:rsidR="00E45CE1" w:rsidRPr="00155121" w:rsidRDefault="00E45CE1" w:rsidP="00E45CE1">
      <w:pPr>
        <w:spacing w:after="0" w:line="276" w:lineRule="auto"/>
        <w:jc w:val="both"/>
        <w:rPr>
          <w:rFonts w:ascii="Tahoma" w:eastAsia="Calibri" w:hAnsi="Tahoma" w:cs="Tahoma"/>
          <w:color w:val="000000" w:themeColor="text1"/>
          <w:sz w:val="24"/>
          <w:szCs w:val="24"/>
        </w:rPr>
      </w:pPr>
    </w:p>
    <w:p w:rsidR="00E45CE1" w:rsidRPr="00155121" w:rsidRDefault="00E45CE1" w:rsidP="00E45CE1">
      <w:pPr>
        <w:spacing w:before="100" w:beforeAutospacing="1" w:after="100" w:afterAutospacing="1" w:line="240" w:lineRule="auto"/>
        <w:jc w:val="both"/>
        <w:rPr>
          <w:rFonts w:ascii="Tahoma" w:eastAsia="Times New Roman" w:hAnsi="Tahoma" w:cs="Tahoma"/>
          <w:color w:val="000000" w:themeColor="text1"/>
          <w:sz w:val="24"/>
          <w:szCs w:val="24"/>
          <w:lang w:eastAsia="fr-FR"/>
        </w:rPr>
      </w:pPr>
      <w:r w:rsidRPr="00155121">
        <w:rPr>
          <w:rFonts w:ascii="Tahoma" w:eastAsia="Times New Roman" w:hAnsi="Tahoma" w:cs="Tahoma"/>
          <w:color w:val="000000" w:themeColor="text1"/>
          <w:sz w:val="24"/>
          <w:szCs w:val="24"/>
          <w:lang w:eastAsia="fr-FR"/>
        </w:rPr>
        <w:t>N. L. MADUREIRA, « The Anxiety of Abundance: William Stanley Jevons and Coal Scarcity in the Nineteenth Century », Environment and History, vol. 18, 2012, pp. 395-421.</w:t>
      </w:r>
    </w:p>
    <w:p w:rsidR="00E45CE1" w:rsidRPr="00155121" w:rsidRDefault="00E45CE1" w:rsidP="00E45CE1">
      <w:pPr>
        <w:spacing w:after="0" w:line="240" w:lineRule="auto"/>
        <w:jc w:val="both"/>
        <w:rPr>
          <w:rFonts w:ascii="Tahoma" w:eastAsia="Calibri" w:hAnsi="Tahoma" w:cs="Tahoma"/>
          <w:color w:val="000000" w:themeColor="text1"/>
          <w:sz w:val="24"/>
          <w:szCs w:val="24"/>
        </w:rPr>
      </w:pPr>
      <w:r w:rsidRPr="00155121">
        <w:rPr>
          <w:rFonts w:ascii="Tahoma" w:eastAsia="Calibri" w:hAnsi="Tahoma" w:cs="Tahoma"/>
          <w:color w:val="000000" w:themeColor="text1"/>
          <w:sz w:val="24"/>
          <w:szCs w:val="24"/>
        </w:rPr>
        <w:t>Organisation des Nations Unies pour l'alimentation et l'agriculture (FAO), Gestion intégrée des incendies de forêts au Maroc, Document technique, Rome, 2021.</w:t>
      </w:r>
    </w:p>
    <w:p w:rsidR="00E45CE1" w:rsidRPr="00155121" w:rsidRDefault="00E45CE1" w:rsidP="00E45CE1">
      <w:pPr>
        <w:spacing w:before="100" w:beforeAutospacing="1" w:after="100" w:afterAutospacing="1" w:line="240" w:lineRule="auto"/>
        <w:jc w:val="both"/>
        <w:rPr>
          <w:rFonts w:ascii="Tahoma" w:eastAsia="Times New Roman" w:hAnsi="Tahoma" w:cs="Tahoma"/>
          <w:color w:val="000000" w:themeColor="text1"/>
          <w:sz w:val="24"/>
          <w:szCs w:val="24"/>
          <w:lang w:eastAsia="fr-FR"/>
        </w:rPr>
      </w:pPr>
      <w:r w:rsidRPr="00155121">
        <w:rPr>
          <w:rFonts w:ascii="Tahoma" w:eastAsia="Times New Roman" w:hAnsi="Tahoma" w:cs="Tahoma"/>
          <w:color w:val="000000" w:themeColor="text1"/>
          <w:sz w:val="24"/>
          <w:szCs w:val="24"/>
          <w:lang w:eastAsia="fr-FR"/>
        </w:rPr>
        <w:t>P. G. LE BEL, Energy Economics and Technology, Baltimore, Johns Hopkins University Press, 1982.</w:t>
      </w:r>
    </w:p>
    <w:p w:rsidR="00E45CE1" w:rsidRPr="00155121" w:rsidRDefault="00E45CE1" w:rsidP="00E45CE1">
      <w:pPr>
        <w:spacing w:before="100" w:beforeAutospacing="1" w:after="100" w:afterAutospacing="1" w:line="240" w:lineRule="auto"/>
        <w:jc w:val="both"/>
        <w:rPr>
          <w:rFonts w:ascii="Tahoma" w:eastAsia="Times New Roman" w:hAnsi="Tahoma" w:cs="Tahoma"/>
          <w:color w:val="000000" w:themeColor="text1"/>
          <w:sz w:val="24"/>
          <w:szCs w:val="24"/>
          <w:lang w:eastAsia="fr-FR"/>
        </w:rPr>
      </w:pPr>
      <w:r w:rsidRPr="00155121">
        <w:rPr>
          <w:rFonts w:ascii="Tahoma" w:eastAsia="Times New Roman" w:hAnsi="Tahoma" w:cs="Tahoma"/>
          <w:color w:val="000000" w:themeColor="text1"/>
          <w:sz w:val="24"/>
          <w:szCs w:val="24"/>
          <w:lang w:eastAsia="fr-FR"/>
        </w:rPr>
        <w:t>P. LANDON, « Great Exhibitions: Representations of the Crystal Palace in Mayhew, Dickens, and Dostoevsky », Nineteenth-Century Contexts, vol. 20, n° 1, 1997, pp. 27-59.</w:t>
      </w:r>
    </w:p>
    <w:p w:rsidR="00E45CE1" w:rsidRPr="00155121" w:rsidRDefault="00E45CE1" w:rsidP="00E45CE1">
      <w:pPr>
        <w:spacing w:before="100" w:beforeAutospacing="1" w:after="100" w:afterAutospacing="1" w:line="240" w:lineRule="auto"/>
        <w:jc w:val="both"/>
        <w:rPr>
          <w:rFonts w:ascii="Tahoma" w:eastAsia="Times New Roman" w:hAnsi="Tahoma" w:cs="Tahoma"/>
          <w:color w:val="000000" w:themeColor="text1"/>
          <w:sz w:val="24"/>
          <w:szCs w:val="24"/>
          <w:lang w:eastAsia="fr-FR"/>
        </w:rPr>
      </w:pPr>
      <w:r w:rsidRPr="00155121">
        <w:rPr>
          <w:rFonts w:ascii="Tahoma" w:eastAsia="Times New Roman" w:hAnsi="Tahoma" w:cs="Tahoma"/>
          <w:color w:val="000000" w:themeColor="text1"/>
          <w:sz w:val="24"/>
          <w:szCs w:val="24"/>
          <w:lang w:eastAsia="fr-FR"/>
        </w:rPr>
        <w:t>Patrick J. CAFFREY, « Transforming the Forests of a Counterfeit Nation: Japan's "Manchu Nation" in Northeast China », Environmental History, vol. 18, n° 2, 2013, p. 309-332.</w:t>
      </w:r>
    </w:p>
    <w:p w:rsidR="00E45CE1" w:rsidRPr="00155121" w:rsidRDefault="00E45CE1" w:rsidP="00E45CE1">
      <w:pPr>
        <w:spacing w:before="100" w:beforeAutospacing="1" w:after="100" w:afterAutospacing="1" w:line="240" w:lineRule="auto"/>
        <w:jc w:val="both"/>
        <w:rPr>
          <w:rFonts w:ascii="Tahoma" w:eastAsia="Times New Roman" w:hAnsi="Tahoma" w:cs="Tahoma"/>
          <w:color w:val="000000" w:themeColor="text1"/>
          <w:sz w:val="24"/>
          <w:szCs w:val="24"/>
          <w:lang w:eastAsia="fr-FR"/>
        </w:rPr>
      </w:pPr>
      <w:r w:rsidRPr="00155121">
        <w:rPr>
          <w:rFonts w:ascii="Tahoma" w:eastAsia="Times New Roman" w:hAnsi="Tahoma" w:cs="Tahoma"/>
          <w:color w:val="000000" w:themeColor="text1"/>
          <w:sz w:val="24"/>
          <w:szCs w:val="24"/>
          <w:lang w:eastAsia="fr-FR"/>
        </w:rPr>
        <w:t>Paul F. J. EAGLES, Stephen F. McCOOL et Christopher D. HAYNES, Sustainable Tourism in Protected Areas: Guidelines for Planning and Management, No. 8, 2002, xv + 183 pp. Also available in Chinese and Spanish.</w:t>
      </w:r>
    </w:p>
    <w:p w:rsidR="00E45CE1" w:rsidRPr="00155121" w:rsidRDefault="00E45CE1" w:rsidP="00E45CE1">
      <w:pPr>
        <w:spacing w:before="100" w:beforeAutospacing="1" w:after="100" w:afterAutospacing="1" w:line="240" w:lineRule="auto"/>
        <w:jc w:val="both"/>
        <w:rPr>
          <w:rFonts w:ascii="Tahoma" w:eastAsia="Times New Roman" w:hAnsi="Tahoma" w:cs="Tahoma"/>
          <w:color w:val="000000" w:themeColor="text1"/>
          <w:sz w:val="24"/>
          <w:szCs w:val="24"/>
          <w:lang w:eastAsia="fr-FR"/>
        </w:rPr>
      </w:pPr>
      <w:r w:rsidRPr="00155121">
        <w:rPr>
          <w:rFonts w:ascii="Tahoma" w:eastAsia="Times New Roman" w:hAnsi="Tahoma" w:cs="Tahoma"/>
          <w:color w:val="000000" w:themeColor="text1"/>
          <w:sz w:val="24"/>
          <w:szCs w:val="24"/>
          <w:lang w:eastAsia="fr-FR"/>
        </w:rPr>
        <w:t>Paul JOSEPHSON, Industrialized Nature, Brute Force Technology and the Transformation of the Natural World, Washington DC, Island Press, 2002.</w:t>
      </w:r>
    </w:p>
    <w:p w:rsidR="00E45CE1" w:rsidRPr="00155121" w:rsidRDefault="00E45CE1" w:rsidP="00E45CE1">
      <w:pPr>
        <w:spacing w:before="100" w:beforeAutospacing="1" w:after="100" w:afterAutospacing="1" w:line="240" w:lineRule="auto"/>
        <w:jc w:val="both"/>
        <w:rPr>
          <w:rFonts w:ascii="Tahoma" w:eastAsia="Times New Roman" w:hAnsi="Tahoma" w:cs="Tahoma"/>
          <w:color w:val="000000" w:themeColor="text1"/>
          <w:sz w:val="24"/>
          <w:szCs w:val="24"/>
          <w:lang w:eastAsia="fr-FR"/>
        </w:rPr>
      </w:pPr>
      <w:r w:rsidRPr="00155121">
        <w:rPr>
          <w:rFonts w:ascii="Tahoma" w:eastAsia="Times New Roman" w:hAnsi="Tahoma" w:cs="Tahoma"/>
          <w:color w:val="000000" w:themeColor="text1"/>
          <w:sz w:val="24"/>
          <w:szCs w:val="24"/>
          <w:lang w:eastAsia="fr-FR"/>
        </w:rPr>
        <w:t>Peter J. GOLAS, Joseph Needham's Science and Civilisation in China, vol. 5 : Chemistry and Chemical Technology, Part XIII: Mining, Cambridge, Cambridge University Press, 1999.</w:t>
      </w:r>
    </w:p>
    <w:p w:rsidR="00E45CE1" w:rsidRPr="00155121" w:rsidRDefault="00E45CE1" w:rsidP="00E45CE1">
      <w:pPr>
        <w:spacing w:before="100" w:beforeAutospacing="1" w:after="100" w:afterAutospacing="1" w:line="240" w:lineRule="auto"/>
        <w:jc w:val="both"/>
        <w:rPr>
          <w:rFonts w:ascii="Tahoma" w:eastAsia="Times New Roman" w:hAnsi="Tahoma" w:cs="Tahoma"/>
          <w:color w:val="000000" w:themeColor="text1"/>
          <w:sz w:val="24"/>
          <w:szCs w:val="24"/>
          <w:lang w:eastAsia="fr-FR"/>
        </w:rPr>
      </w:pPr>
      <w:r w:rsidRPr="00155121">
        <w:rPr>
          <w:rFonts w:ascii="Tahoma" w:eastAsia="Times New Roman" w:hAnsi="Tahoma" w:cs="Tahoma"/>
          <w:color w:val="000000" w:themeColor="text1"/>
          <w:sz w:val="24"/>
          <w:szCs w:val="24"/>
          <w:lang w:eastAsia="fr-FR"/>
        </w:rPr>
        <w:t>Peter POOLE, Indigenous peoples, mapping and biodiversity conservation: An analysis of current activities and opportunities for applying geomatics technologies, Biodiversity Support Program, Peoples and Forest Program, Discussion Paper Series, 1995.</w:t>
      </w:r>
    </w:p>
    <w:p w:rsidR="00E45CE1" w:rsidRPr="00155121" w:rsidRDefault="00E45CE1" w:rsidP="00E45CE1">
      <w:pPr>
        <w:spacing w:after="200" w:line="276" w:lineRule="auto"/>
        <w:jc w:val="both"/>
        <w:rPr>
          <w:rFonts w:ascii="Tahoma" w:eastAsia="Calibri" w:hAnsi="Tahoma" w:cs="Tahoma"/>
          <w:color w:val="000000" w:themeColor="text1"/>
          <w:sz w:val="24"/>
          <w:szCs w:val="24"/>
        </w:rPr>
      </w:pPr>
      <w:r w:rsidRPr="00155121">
        <w:rPr>
          <w:rFonts w:ascii="Tahoma" w:eastAsia="Calibri" w:hAnsi="Tahoma" w:cs="Tahoma"/>
          <w:color w:val="000000" w:themeColor="text1"/>
          <w:sz w:val="24"/>
          <w:szCs w:val="24"/>
        </w:rPr>
        <w:t>Quièvre, Adrien. « Entendre le travail à la mine aux XIXe et XXe siècles. » Revue du Nord, no 435, 2020, p. 311-325.</w:t>
      </w:r>
    </w:p>
    <w:p w:rsidR="00E45CE1" w:rsidRPr="00155121" w:rsidRDefault="00E45CE1" w:rsidP="00E45CE1">
      <w:pPr>
        <w:spacing w:before="100" w:beforeAutospacing="1" w:after="100" w:afterAutospacing="1" w:line="240" w:lineRule="auto"/>
        <w:jc w:val="both"/>
        <w:rPr>
          <w:rFonts w:ascii="Tahoma" w:eastAsia="Times New Roman" w:hAnsi="Tahoma" w:cs="Tahoma"/>
          <w:color w:val="000000" w:themeColor="text1"/>
          <w:sz w:val="24"/>
          <w:szCs w:val="24"/>
          <w:lang w:eastAsia="fr-FR"/>
        </w:rPr>
      </w:pPr>
      <w:r w:rsidRPr="00155121">
        <w:rPr>
          <w:rFonts w:ascii="Tahoma" w:eastAsia="Times New Roman" w:hAnsi="Tahoma" w:cs="Tahoma"/>
          <w:color w:val="000000" w:themeColor="text1"/>
          <w:sz w:val="24"/>
          <w:szCs w:val="24"/>
          <w:lang w:eastAsia="fr-FR"/>
        </w:rPr>
        <w:t>Rachid Mrabet. "Changements climatiques et écosystèmes forestiers méditerranéens : le cas du Maroc". Sécheresse, 2008, 19(4), 271-278.</w:t>
      </w:r>
    </w:p>
    <w:p w:rsidR="00E45CE1" w:rsidRPr="00155121" w:rsidRDefault="00E45CE1" w:rsidP="00E45CE1">
      <w:pPr>
        <w:spacing w:before="100" w:beforeAutospacing="1" w:after="100" w:afterAutospacing="1" w:line="240" w:lineRule="auto"/>
        <w:jc w:val="both"/>
        <w:rPr>
          <w:rFonts w:ascii="Tahoma" w:eastAsia="Times New Roman" w:hAnsi="Tahoma" w:cs="Tahoma"/>
          <w:color w:val="000000" w:themeColor="text1"/>
          <w:sz w:val="24"/>
          <w:szCs w:val="24"/>
          <w:lang w:eastAsia="fr-FR"/>
        </w:rPr>
      </w:pPr>
      <w:r w:rsidRPr="00155121">
        <w:rPr>
          <w:rFonts w:ascii="Tahoma" w:eastAsia="Times New Roman" w:hAnsi="Tahoma" w:cs="Tahoma"/>
          <w:color w:val="000000" w:themeColor="text1"/>
          <w:sz w:val="24"/>
          <w:szCs w:val="24"/>
          <w:lang w:eastAsia="fr-FR"/>
        </w:rPr>
        <w:t xml:space="preserve">Rankovic A., Lapeyre R., et Yann L. 2016. COP13 - Comment réellement intégrer la biodiversité dans l’économie ? Disponible sur : </w:t>
      </w:r>
      <w:hyperlink r:id="rId76" w:history="1">
        <w:r w:rsidRPr="00155121">
          <w:rPr>
            <w:rFonts w:ascii="Tahoma" w:eastAsia="Times New Roman" w:hAnsi="Tahoma" w:cs="Tahoma"/>
            <w:color w:val="000000" w:themeColor="text1"/>
            <w:sz w:val="24"/>
            <w:szCs w:val="24"/>
            <w:lang w:eastAsia="fr-FR"/>
          </w:rPr>
          <w:t>https://www.iddri.org/fr/publications-et-evenements/billet-de-blog/cop13-</w:t>
        </w:r>
      </w:hyperlink>
      <w:r w:rsidRPr="00155121">
        <w:rPr>
          <w:rFonts w:ascii="Tahoma" w:eastAsia="Times New Roman" w:hAnsi="Tahoma" w:cs="Tahoma"/>
          <w:color w:val="000000" w:themeColor="text1"/>
          <w:sz w:val="24"/>
          <w:szCs w:val="24"/>
          <w:lang w:eastAsia="fr-FR"/>
        </w:rPr>
        <w:t xml:space="preserve"> comment-reellement-integrer-la-biodiversite-dans (Consulté le 3 novembre 2020).</w:t>
      </w:r>
    </w:p>
    <w:p w:rsidR="00E45CE1" w:rsidRPr="00155121" w:rsidRDefault="00E45CE1" w:rsidP="00E45CE1">
      <w:pPr>
        <w:spacing w:before="100" w:beforeAutospacing="1" w:after="100" w:afterAutospacing="1" w:line="240" w:lineRule="auto"/>
        <w:jc w:val="both"/>
        <w:rPr>
          <w:rFonts w:ascii="Tahoma" w:eastAsia="Times New Roman" w:hAnsi="Tahoma" w:cs="Tahoma"/>
          <w:color w:val="000000" w:themeColor="text1"/>
          <w:sz w:val="24"/>
          <w:szCs w:val="24"/>
          <w:lang w:eastAsia="fr-FR"/>
        </w:rPr>
      </w:pPr>
      <w:r w:rsidRPr="00155121">
        <w:rPr>
          <w:rFonts w:ascii="Tahoma" w:eastAsia="Times New Roman" w:hAnsi="Tahoma" w:cs="Tahoma"/>
          <w:color w:val="000000" w:themeColor="text1"/>
          <w:sz w:val="24"/>
          <w:szCs w:val="24"/>
          <w:lang w:eastAsia="fr-FR"/>
        </w:rPr>
        <w:t>REDMAYNE, Richard Augustine Studdert, The British Coal-Mining Industry During the War, Oxford, Londres et New York, The Clarendon Press et H. Milford, 1923.</w:t>
      </w:r>
    </w:p>
    <w:p w:rsidR="00E45CE1" w:rsidRPr="00155121" w:rsidRDefault="00E45CE1" w:rsidP="00E45CE1">
      <w:pPr>
        <w:spacing w:before="100" w:beforeAutospacing="1" w:after="100" w:afterAutospacing="1" w:line="360" w:lineRule="auto"/>
        <w:jc w:val="both"/>
        <w:rPr>
          <w:rFonts w:ascii="Tahoma" w:eastAsia="Times New Roman" w:hAnsi="Tahoma" w:cs="Tahoma"/>
          <w:color w:val="000000" w:themeColor="text1"/>
          <w:sz w:val="24"/>
          <w:szCs w:val="24"/>
          <w:lang w:eastAsia="fr-FR"/>
        </w:rPr>
      </w:pPr>
      <w:r w:rsidRPr="00155121">
        <w:rPr>
          <w:rFonts w:ascii="Tahoma" w:eastAsia="Times New Roman" w:hAnsi="Tahoma" w:cs="Tahoma"/>
          <w:color w:val="000000" w:themeColor="text1"/>
          <w:sz w:val="24"/>
          <w:szCs w:val="24"/>
          <w:lang w:eastAsia="fr-FR"/>
        </w:rPr>
        <w:t>Régine PERRON, Le marché du charbon, un enjeu entre l'Europe et les États-Unis de 1945 à 1958, Paris, Éditions de la Sorbonne, 1996.</w:t>
      </w:r>
    </w:p>
    <w:p w:rsidR="00E45CE1" w:rsidRPr="00155121" w:rsidRDefault="00E45CE1" w:rsidP="00E45CE1">
      <w:pPr>
        <w:spacing w:after="200" w:line="240" w:lineRule="auto"/>
        <w:jc w:val="both"/>
        <w:rPr>
          <w:rFonts w:ascii="Tahoma" w:eastAsia="Times New Roman" w:hAnsi="Tahoma" w:cs="Tahoma"/>
          <w:color w:val="000000" w:themeColor="text1"/>
          <w:sz w:val="24"/>
          <w:szCs w:val="24"/>
          <w:lang w:eastAsia="fr-FR"/>
        </w:rPr>
      </w:pPr>
      <w:r w:rsidRPr="00155121">
        <w:rPr>
          <w:rFonts w:ascii="Tahoma" w:eastAsia="Times New Roman" w:hAnsi="Tahoma" w:cs="Tahoma"/>
          <w:color w:val="000000" w:themeColor="text1"/>
          <w:sz w:val="24"/>
          <w:szCs w:val="24"/>
          <w:lang w:eastAsia="fr-FR"/>
        </w:rPr>
        <w:t>Report of the Commissioners for the Exhibition of 1851. Londres, W. Clowes &amp; Sons, 1852.</w:t>
      </w:r>
    </w:p>
    <w:p w:rsidR="00E45CE1" w:rsidRPr="00155121" w:rsidRDefault="00E45CE1" w:rsidP="00E45CE1">
      <w:pPr>
        <w:spacing w:after="200" w:line="240" w:lineRule="auto"/>
        <w:jc w:val="both"/>
        <w:rPr>
          <w:rFonts w:ascii="Tahoma" w:eastAsia="Times New Roman" w:hAnsi="Tahoma" w:cs="Tahoma"/>
          <w:color w:val="000000" w:themeColor="text1"/>
          <w:sz w:val="24"/>
          <w:szCs w:val="24"/>
          <w:lang w:eastAsia="fr-FR"/>
        </w:rPr>
      </w:pPr>
      <w:r w:rsidRPr="00155121">
        <w:rPr>
          <w:rFonts w:ascii="Tahoma" w:eastAsia="Times New Roman" w:hAnsi="Tahoma" w:cs="Tahoma"/>
          <w:color w:val="000000" w:themeColor="text1"/>
          <w:sz w:val="24"/>
          <w:szCs w:val="24"/>
          <w:lang w:eastAsia="fr-FR"/>
        </w:rPr>
        <w:t>Resources Assessment 2000; Geneva Timber and Forest Study Papers No. 17. UNECE, Genève.</w:t>
      </w:r>
    </w:p>
    <w:p w:rsidR="00E45CE1" w:rsidRPr="00155121" w:rsidRDefault="00E45CE1" w:rsidP="00E45CE1">
      <w:pPr>
        <w:spacing w:after="200" w:line="276" w:lineRule="auto"/>
        <w:jc w:val="both"/>
        <w:rPr>
          <w:rFonts w:ascii="Tahoma" w:eastAsia="Calibri" w:hAnsi="Tahoma" w:cs="Tahoma"/>
          <w:color w:val="000000" w:themeColor="text1"/>
          <w:sz w:val="24"/>
          <w:szCs w:val="24"/>
        </w:rPr>
      </w:pPr>
      <w:r w:rsidRPr="00155121">
        <w:rPr>
          <w:rFonts w:ascii="Tahoma" w:eastAsia="Calibri" w:hAnsi="Tahoma" w:cs="Tahoma"/>
          <w:color w:val="000000" w:themeColor="text1"/>
          <w:sz w:val="24"/>
          <w:szCs w:val="24"/>
        </w:rPr>
        <w:t>Resources Assessments – Linking National and International Efforts; 1-5 juillet 2002, Kotka, Finlande. 9. OIBT. (2002): ITTO guidelines for the restoration, management and rehabilitation of degraded and secondary tropical forests; ITTO in collaboration with CIFOR, FAO, IUCN and WWF; ITTO Policy Development Series No.</w:t>
      </w:r>
    </w:p>
    <w:p w:rsidR="00E45CE1" w:rsidRPr="00155121" w:rsidRDefault="00E45CE1" w:rsidP="00E45CE1">
      <w:pPr>
        <w:spacing w:before="100" w:beforeAutospacing="1" w:after="100" w:afterAutospacing="1" w:line="276" w:lineRule="auto"/>
        <w:jc w:val="both"/>
        <w:rPr>
          <w:rFonts w:ascii="Tahoma" w:eastAsia="Times New Roman" w:hAnsi="Tahoma" w:cs="Tahoma"/>
          <w:color w:val="000000" w:themeColor="text1"/>
          <w:sz w:val="24"/>
          <w:szCs w:val="24"/>
          <w:lang w:eastAsia="fr-FR"/>
        </w:rPr>
      </w:pPr>
      <w:r w:rsidRPr="00155121">
        <w:rPr>
          <w:rFonts w:ascii="Tahoma" w:eastAsia="Times New Roman" w:hAnsi="Tahoma" w:cs="Tahoma"/>
          <w:color w:val="000000" w:themeColor="text1"/>
          <w:sz w:val="24"/>
          <w:szCs w:val="24"/>
          <w:lang w:eastAsia="fr-FR"/>
        </w:rPr>
        <w:t>Reynald ABAD, « L'Ancien Régime à la recherche d'une transition énergétique ? La France du XVIIIe siècle face au bois », dans Yves BOUVIER &amp; Léonard LABORIE (dir.), L'Europe en transitions. Énergie, mobilité, communication, XVIIIe-XXIe siècles, Paris, Nouveau monde, 2016, pp. 67-80.</w:t>
      </w:r>
    </w:p>
    <w:p w:rsidR="00E45CE1" w:rsidRPr="00155121" w:rsidRDefault="00E45CE1" w:rsidP="00E45CE1">
      <w:pPr>
        <w:spacing w:before="100" w:beforeAutospacing="1" w:after="100" w:afterAutospacing="1" w:line="360" w:lineRule="auto"/>
        <w:jc w:val="both"/>
        <w:rPr>
          <w:rFonts w:ascii="Tahoma" w:eastAsia="Times New Roman" w:hAnsi="Tahoma" w:cs="Tahoma"/>
          <w:color w:val="000000" w:themeColor="text1"/>
          <w:sz w:val="24"/>
          <w:szCs w:val="24"/>
          <w:lang w:eastAsia="fr-FR"/>
        </w:rPr>
      </w:pPr>
      <w:r w:rsidRPr="00155121">
        <w:rPr>
          <w:rFonts w:ascii="Tahoma" w:eastAsia="Times New Roman" w:hAnsi="Tahoma" w:cs="Tahoma"/>
          <w:color w:val="000000" w:themeColor="text1"/>
          <w:sz w:val="24"/>
          <w:szCs w:val="24"/>
          <w:lang w:eastAsia="fr-FR"/>
        </w:rPr>
        <w:t>Rhodes, Richard. Energy: A Human History. New York, Simon &amp; Schuster, 2019.</w:t>
      </w:r>
    </w:p>
    <w:p w:rsidR="00E45CE1" w:rsidRPr="00155121" w:rsidRDefault="00E45CE1" w:rsidP="00E45CE1">
      <w:pPr>
        <w:spacing w:after="0" w:line="240" w:lineRule="auto"/>
        <w:jc w:val="both"/>
        <w:rPr>
          <w:rFonts w:ascii="Tahoma" w:eastAsia="Calibri" w:hAnsi="Tahoma" w:cs="Tahoma"/>
          <w:color w:val="000000" w:themeColor="text1"/>
          <w:sz w:val="24"/>
          <w:szCs w:val="24"/>
        </w:rPr>
      </w:pPr>
      <w:r w:rsidRPr="00155121">
        <w:rPr>
          <w:rFonts w:ascii="Tahoma" w:eastAsia="Calibri" w:hAnsi="Tahoma" w:cs="Tahoma"/>
          <w:color w:val="000000" w:themeColor="text1"/>
          <w:sz w:val="24"/>
          <w:szCs w:val="24"/>
        </w:rPr>
        <w:t>Ricardo VÉLEZ, « La défense contre les incendies de forêts : fondements et expériences », Options méditerranéennes, Série A, n° 26, 1995, 234 p.</w:t>
      </w:r>
    </w:p>
    <w:p w:rsidR="00E45CE1" w:rsidRPr="00155121" w:rsidRDefault="00E45CE1" w:rsidP="00E45CE1">
      <w:pPr>
        <w:spacing w:before="100" w:beforeAutospacing="1" w:after="100" w:afterAutospacing="1" w:line="240" w:lineRule="auto"/>
        <w:jc w:val="both"/>
        <w:rPr>
          <w:rFonts w:ascii="Tahoma" w:eastAsia="Times New Roman" w:hAnsi="Tahoma" w:cs="Tahoma"/>
          <w:color w:val="000000" w:themeColor="text1"/>
          <w:sz w:val="24"/>
          <w:szCs w:val="24"/>
          <w:lang w:eastAsia="fr-FR"/>
        </w:rPr>
      </w:pPr>
      <w:r w:rsidRPr="00155121">
        <w:rPr>
          <w:rFonts w:ascii="Tahoma" w:eastAsia="Calibri" w:hAnsi="Tahoma" w:cs="Tahoma"/>
          <w:color w:val="000000" w:themeColor="text1"/>
          <w:sz w:val="24"/>
          <w:szCs w:val="24"/>
          <w:lang w:eastAsia="fr-FR"/>
        </w:rPr>
        <w:t>RICE, George Samuel &amp; HARTMANN, Irving</w:t>
      </w:r>
      <w:r w:rsidRPr="00155121">
        <w:rPr>
          <w:rFonts w:ascii="Tahoma" w:eastAsia="Times New Roman" w:hAnsi="Tahoma" w:cs="Tahoma"/>
          <w:color w:val="000000" w:themeColor="text1"/>
          <w:sz w:val="24"/>
          <w:szCs w:val="24"/>
          <w:lang w:eastAsia="fr-FR"/>
        </w:rPr>
        <w:t>, « Coal Mining in Europe: A Study of Practices in Different Coal Formations and Under Various Economic and Regulatory Conditions Compared with Those in the United States », bulletin n° 414 du Bureau of Mines, Washington DC, US Government Printing Office, 1939.</w:t>
      </w:r>
    </w:p>
    <w:p w:rsidR="00E45CE1" w:rsidRPr="00155121" w:rsidRDefault="00E45CE1" w:rsidP="00E45CE1">
      <w:pPr>
        <w:spacing w:before="100" w:beforeAutospacing="1" w:after="100" w:afterAutospacing="1" w:line="240" w:lineRule="auto"/>
        <w:jc w:val="both"/>
        <w:rPr>
          <w:rFonts w:ascii="Tahoma" w:eastAsia="Times New Roman" w:hAnsi="Tahoma" w:cs="Tahoma"/>
          <w:color w:val="000000" w:themeColor="text1"/>
          <w:sz w:val="24"/>
          <w:szCs w:val="24"/>
          <w:lang w:eastAsia="fr-FR"/>
        </w:rPr>
      </w:pPr>
      <w:r w:rsidRPr="00155121">
        <w:rPr>
          <w:rFonts w:ascii="Tahoma" w:eastAsia="Times New Roman" w:hAnsi="Tahoma" w:cs="Tahoma"/>
          <w:color w:val="000000" w:themeColor="text1"/>
          <w:sz w:val="24"/>
          <w:szCs w:val="24"/>
          <w:lang w:eastAsia="fr-FR"/>
        </w:rPr>
        <w:t>Richardson, Stanley Denis, Forestry in Communist China, Baltimore, Johns Hopkins University Press, 1966.</w:t>
      </w:r>
    </w:p>
    <w:p w:rsidR="00E45CE1" w:rsidRPr="00155121" w:rsidRDefault="00E45CE1" w:rsidP="00E45CE1">
      <w:pPr>
        <w:spacing w:before="100" w:beforeAutospacing="1" w:after="100" w:afterAutospacing="1" w:line="240" w:lineRule="auto"/>
        <w:jc w:val="both"/>
        <w:rPr>
          <w:rFonts w:ascii="Tahoma" w:eastAsia="Times New Roman" w:hAnsi="Tahoma" w:cs="Tahoma"/>
          <w:color w:val="000000" w:themeColor="text1"/>
          <w:sz w:val="24"/>
          <w:szCs w:val="24"/>
          <w:lang w:eastAsia="fr-FR"/>
        </w:rPr>
      </w:pPr>
      <w:r w:rsidRPr="00155121">
        <w:rPr>
          <w:rFonts w:ascii="Tahoma" w:eastAsia="Calibri" w:hAnsi="Tahoma" w:cs="Tahoma"/>
          <w:color w:val="000000" w:themeColor="text1"/>
          <w:sz w:val="24"/>
          <w:szCs w:val="24"/>
          <w:lang w:eastAsia="fr-FR"/>
        </w:rPr>
        <w:t>Robert BOYLE</w:t>
      </w:r>
      <w:r w:rsidRPr="00155121">
        <w:rPr>
          <w:rFonts w:ascii="Tahoma" w:eastAsia="Times New Roman" w:hAnsi="Tahoma" w:cs="Tahoma"/>
          <w:color w:val="000000" w:themeColor="text1"/>
          <w:sz w:val="24"/>
          <w:szCs w:val="24"/>
          <w:lang w:eastAsia="fr-FR"/>
        </w:rPr>
        <w:t>, « Articles of Inquiries Concerning the Mines », Philosophical Transactions, vol. 1, n° 19, 1666, p. 330-342.</w:t>
      </w:r>
    </w:p>
    <w:p w:rsidR="00E45CE1" w:rsidRPr="00155121" w:rsidRDefault="00E45CE1" w:rsidP="00E45CE1">
      <w:pPr>
        <w:spacing w:before="100" w:beforeAutospacing="1" w:after="100" w:afterAutospacing="1" w:line="240" w:lineRule="auto"/>
        <w:jc w:val="both"/>
        <w:rPr>
          <w:rFonts w:ascii="Tahoma" w:eastAsia="Times New Roman" w:hAnsi="Tahoma" w:cs="Tahoma"/>
          <w:color w:val="000000" w:themeColor="text1"/>
          <w:sz w:val="24"/>
          <w:szCs w:val="24"/>
          <w:lang w:eastAsia="fr-FR"/>
        </w:rPr>
      </w:pPr>
      <w:r w:rsidRPr="00155121">
        <w:rPr>
          <w:rFonts w:ascii="Tahoma" w:eastAsia="Times New Roman" w:hAnsi="Tahoma" w:cs="Tahoma"/>
          <w:color w:val="000000" w:themeColor="text1"/>
          <w:sz w:val="24"/>
          <w:szCs w:val="24"/>
          <w:lang w:eastAsia="fr-FR"/>
        </w:rPr>
        <w:t>Robert C. ALLEN, « Backward into the Future: The Shift to Coal and Implications for the Next Energy Transition », Energy Policy, vol. 50, 2012, pp. 17-23.</w:t>
      </w:r>
    </w:p>
    <w:p w:rsidR="00E45CE1" w:rsidRPr="00155121" w:rsidRDefault="00E45CE1" w:rsidP="00E45CE1">
      <w:pPr>
        <w:spacing w:before="100" w:beforeAutospacing="1" w:after="100" w:afterAutospacing="1" w:line="240" w:lineRule="auto"/>
        <w:jc w:val="both"/>
        <w:rPr>
          <w:rFonts w:ascii="Tahoma" w:eastAsia="Times New Roman" w:hAnsi="Tahoma" w:cs="Tahoma"/>
          <w:color w:val="000000" w:themeColor="text1"/>
          <w:sz w:val="24"/>
          <w:szCs w:val="24"/>
          <w:lang w:eastAsia="fr-FR"/>
        </w:rPr>
      </w:pPr>
      <w:r w:rsidRPr="00155121">
        <w:rPr>
          <w:rFonts w:ascii="Tahoma" w:eastAsia="Times New Roman" w:hAnsi="Tahoma" w:cs="Tahoma"/>
          <w:color w:val="000000" w:themeColor="text1"/>
          <w:sz w:val="24"/>
          <w:szCs w:val="24"/>
          <w:lang w:eastAsia="fr-FR"/>
        </w:rPr>
        <w:t>Robert William FOGEL, « Railroads as an Analogy to the Space Effort: Some Economic Aspects », The Economic Journal, vol. 76, n° 301, 1966, p. 16-43.</w:t>
      </w:r>
    </w:p>
    <w:p w:rsidR="00E45CE1" w:rsidRPr="00155121" w:rsidRDefault="00E45CE1" w:rsidP="00E45CE1">
      <w:pPr>
        <w:spacing w:before="100" w:beforeAutospacing="1" w:after="100" w:afterAutospacing="1" w:line="240" w:lineRule="auto"/>
        <w:jc w:val="both"/>
        <w:rPr>
          <w:rFonts w:ascii="Tahoma" w:eastAsia="Times New Roman" w:hAnsi="Tahoma" w:cs="Tahoma"/>
          <w:color w:val="000000" w:themeColor="text1"/>
          <w:sz w:val="24"/>
          <w:szCs w:val="24"/>
          <w:lang w:eastAsia="fr-FR"/>
        </w:rPr>
      </w:pPr>
      <w:r w:rsidRPr="00155121">
        <w:rPr>
          <w:rFonts w:ascii="Tahoma" w:eastAsia="Times New Roman" w:hAnsi="Tahoma" w:cs="Tahoma"/>
          <w:color w:val="000000" w:themeColor="text1"/>
          <w:sz w:val="24"/>
          <w:szCs w:val="24"/>
          <w:lang w:eastAsia="fr-FR"/>
        </w:rPr>
        <w:t>Robin DOUGHTY, The Eucalyptus: A Natural and Commercial History of the Gum Tree, Baltimore, Johns Hopkins University Press, 2000.</w:t>
      </w:r>
    </w:p>
    <w:p w:rsidR="00E45CE1" w:rsidRPr="00155121" w:rsidRDefault="00E45CE1" w:rsidP="00E45CE1">
      <w:pPr>
        <w:spacing w:before="100" w:beforeAutospacing="1" w:after="100" w:afterAutospacing="1" w:line="240" w:lineRule="auto"/>
        <w:jc w:val="both"/>
        <w:rPr>
          <w:rFonts w:ascii="Tahoma" w:eastAsia="Times New Roman" w:hAnsi="Tahoma" w:cs="Tahoma"/>
          <w:color w:val="000000" w:themeColor="text1"/>
          <w:sz w:val="24"/>
          <w:szCs w:val="24"/>
          <w:lang w:eastAsia="fr-FR"/>
        </w:rPr>
      </w:pPr>
      <w:r w:rsidRPr="00155121">
        <w:rPr>
          <w:rFonts w:ascii="Tahoma" w:eastAsia="Times New Roman" w:hAnsi="Tahoma" w:cs="Tahoma"/>
          <w:color w:val="000000" w:themeColor="text1"/>
          <w:sz w:val="24"/>
          <w:szCs w:val="24"/>
          <w:lang w:eastAsia="fr-FR"/>
        </w:rPr>
        <w:t>Roderick NEUMANN, Imposing wilderness: Struggles over livelihood and nature preservation in Africa, Berkeley et Los Angeles, University of California Press, 1998.</w:t>
      </w:r>
    </w:p>
    <w:p w:rsidR="00E45CE1" w:rsidRPr="00155121" w:rsidRDefault="00E45CE1" w:rsidP="00E45CE1">
      <w:pPr>
        <w:spacing w:before="100" w:beforeAutospacing="1" w:after="100" w:afterAutospacing="1" w:line="240" w:lineRule="auto"/>
        <w:jc w:val="both"/>
        <w:rPr>
          <w:rFonts w:ascii="Tahoma" w:eastAsia="Times New Roman" w:hAnsi="Tahoma" w:cs="Tahoma"/>
          <w:color w:val="000000" w:themeColor="text1"/>
          <w:sz w:val="24"/>
          <w:szCs w:val="24"/>
          <w:lang w:eastAsia="fr-FR"/>
        </w:rPr>
      </w:pPr>
      <w:r w:rsidRPr="00155121">
        <w:rPr>
          <w:rFonts w:ascii="Tahoma" w:eastAsia="Calibri" w:hAnsi="Tahoma" w:cs="Tahoma"/>
          <w:color w:val="000000" w:themeColor="text1"/>
          <w:sz w:val="24"/>
          <w:szCs w:val="24"/>
          <w:lang w:eastAsia="fr-FR"/>
        </w:rPr>
        <w:t>Rowland Routledge GIBSON</w:t>
      </w:r>
      <w:r w:rsidRPr="00155121">
        <w:rPr>
          <w:rFonts w:ascii="Tahoma" w:eastAsia="Times New Roman" w:hAnsi="Tahoma" w:cs="Tahoma"/>
          <w:color w:val="000000" w:themeColor="text1"/>
          <w:sz w:val="24"/>
          <w:szCs w:val="24"/>
          <w:lang w:eastAsia="fr-FR"/>
        </w:rPr>
        <w:t>, Forces Mining and Undermining China, New York, The Century Co., 1914.</w:t>
      </w:r>
    </w:p>
    <w:p w:rsidR="00E45CE1" w:rsidRPr="00155121" w:rsidRDefault="00E45CE1" w:rsidP="00E45CE1">
      <w:pPr>
        <w:spacing w:before="100" w:beforeAutospacing="1" w:after="100" w:afterAutospacing="1" w:line="240" w:lineRule="auto"/>
        <w:jc w:val="both"/>
        <w:rPr>
          <w:rFonts w:ascii="Tahoma" w:eastAsia="Times New Roman" w:hAnsi="Tahoma" w:cs="Tahoma"/>
          <w:color w:val="000000" w:themeColor="text1"/>
          <w:sz w:val="24"/>
          <w:szCs w:val="24"/>
          <w:lang w:eastAsia="fr-FR"/>
        </w:rPr>
      </w:pPr>
      <w:r w:rsidRPr="00155121">
        <w:rPr>
          <w:rFonts w:ascii="Tahoma" w:eastAsia="Times New Roman" w:hAnsi="Tahoma" w:cs="Tahoma"/>
          <w:color w:val="000000" w:themeColor="text1"/>
          <w:sz w:val="24"/>
          <w:szCs w:val="24"/>
          <w:lang w:eastAsia="fr-FR"/>
        </w:rPr>
        <w:t>S. H. OLSON, The Depletion Myth: A History of Railroad Use of Timber, Cambridge, Harvard University Press, 1971.</w:t>
      </w:r>
    </w:p>
    <w:p w:rsidR="00E45CE1" w:rsidRPr="00155121" w:rsidRDefault="00E45CE1" w:rsidP="00E45CE1">
      <w:pPr>
        <w:spacing w:before="100" w:beforeAutospacing="1" w:after="100" w:afterAutospacing="1" w:line="276" w:lineRule="auto"/>
        <w:jc w:val="both"/>
        <w:rPr>
          <w:rFonts w:ascii="Tahoma" w:eastAsia="Times New Roman" w:hAnsi="Tahoma" w:cs="Tahoma"/>
          <w:color w:val="000000" w:themeColor="text1"/>
          <w:sz w:val="24"/>
          <w:szCs w:val="24"/>
          <w:lang w:eastAsia="fr-FR"/>
        </w:rPr>
      </w:pPr>
      <w:r w:rsidRPr="00155121">
        <w:rPr>
          <w:rFonts w:ascii="Tahoma" w:eastAsia="Times New Roman" w:hAnsi="Tahoma" w:cs="Tahoma"/>
          <w:color w:val="000000" w:themeColor="text1"/>
          <w:sz w:val="24"/>
          <w:szCs w:val="24"/>
          <w:lang w:eastAsia="fr-FR"/>
        </w:rPr>
        <w:t>S. IREMONGER, C. RAVILIOUS &amp; T. QUINTON (Eds.), A Global Overview of Forest Conservation. Including: GIS Files of Forests and Protected Areas, Version 2, CD-ROM, CIFOR et WCMC, Cambridge, Royaume-Uni, 1997. [PNUE-WCMC/CIFOR]</w:t>
      </w:r>
    </w:p>
    <w:p w:rsidR="00E45CE1" w:rsidRPr="00155121" w:rsidRDefault="00E45CE1" w:rsidP="00E45CE1">
      <w:pPr>
        <w:spacing w:before="100" w:beforeAutospacing="1" w:after="100" w:afterAutospacing="1" w:line="240" w:lineRule="auto"/>
        <w:jc w:val="both"/>
        <w:rPr>
          <w:rFonts w:ascii="Tahoma" w:eastAsia="Times New Roman" w:hAnsi="Tahoma" w:cs="Tahoma"/>
          <w:color w:val="000000" w:themeColor="text1"/>
          <w:sz w:val="24"/>
          <w:szCs w:val="24"/>
          <w:lang w:eastAsia="fr-FR"/>
        </w:rPr>
      </w:pPr>
      <w:r w:rsidRPr="00155121">
        <w:rPr>
          <w:rFonts w:ascii="Tahoma" w:eastAsia="Times New Roman" w:hAnsi="Tahoma" w:cs="Tahoma"/>
          <w:color w:val="000000" w:themeColor="text1"/>
          <w:sz w:val="24"/>
          <w:szCs w:val="24"/>
          <w:lang w:eastAsia="fr-FR"/>
        </w:rPr>
        <w:t>Samira Kasimi (2015). "Gouvernance forestière participative et développement local au Maroc". Revue de Géographie Alpine, 103(2), 1-16.</w:t>
      </w:r>
    </w:p>
    <w:p w:rsidR="00E45CE1" w:rsidRPr="00155121" w:rsidRDefault="00E45CE1" w:rsidP="00E45CE1">
      <w:pPr>
        <w:spacing w:after="0" w:line="240" w:lineRule="auto"/>
        <w:jc w:val="both"/>
        <w:rPr>
          <w:rFonts w:ascii="Tahoma" w:eastAsia="Times New Roman" w:hAnsi="Tahoma" w:cs="Tahoma"/>
          <w:color w:val="000000" w:themeColor="text1"/>
          <w:sz w:val="24"/>
          <w:szCs w:val="24"/>
          <w:lang w:eastAsia="fr-FR"/>
        </w:rPr>
      </w:pPr>
      <w:r w:rsidRPr="00155121">
        <w:rPr>
          <w:rFonts w:ascii="Tahoma" w:eastAsia="Times New Roman" w:hAnsi="Tahoma" w:cs="Tahoma"/>
          <w:color w:val="000000" w:themeColor="text1"/>
          <w:sz w:val="24"/>
          <w:szCs w:val="24"/>
          <w:lang w:eastAsia="fr-FR"/>
        </w:rPr>
        <w:t xml:space="preserve">Samuel BAGSTER BOULTON, "On the Antiseptic Treatment of Timber", Van Nostrand's Engineering Magazine, vol. 33, n° 201, 1885, p. 204. </w:t>
      </w:r>
    </w:p>
    <w:p w:rsidR="00E45CE1" w:rsidRPr="00155121" w:rsidRDefault="00E45CE1" w:rsidP="00E45CE1">
      <w:pPr>
        <w:spacing w:after="0" w:line="240" w:lineRule="auto"/>
        <w:jc w:val="both"/>
        <w:rPr>
          <w:rFonts w:ascii="Tahoma" w:eastAsia="Times New Roman" w:hAnsi="Tahoma" w:cs="Tahoma"/>
          <w:color w:val="000000" w:themeColor="text1"/>
          <w:sz w:val="24"/>
          <w:szCs w:val="24"/>
          <w:lang w:eastAsia="fr-FR"/>
        </w:rPr>
      </w:pPr>
    </w:p>
    <w:p w:rsidR="00E45CE1" w:rsidRPr="00155121" w:rsidRDefault="00E45CE1" w:rsidP="00E45CE1">
      <w:pPr>
        <w:spacing w:after="0" w:line="360" w:lineRule="auto"/>
        <w:jc w:val="both"/>
        <w:rPr>
          <w:rFonts w:ascii="Tahoma" w:eastAsia="Times New Roman" w:hAnsi="Tahoma" w:cs="Tahoma"/>
          <w:color w:val="000000" w:themeColor="text1"/>
          <w:sz w:val="24"/>
          <w:szCs w:val="24"/>
          <w:lang w:eastAsia="fr-FR"/>
        </w:rPr>
      </w:pPr>
      <w:r w:rsidRPr="00155121">
        <w:rPr>
          <w:rFonts w:ascii="Tahoma" w:eastAsia="Times New Roman" w:hAnsi="Tahoma" w:cs="Tahoma"/>
          <w:color w:val="000000" w:themeColor="text1"/>
          <w:sz w:val="24"/>
          <w:szCs w:val="24"/>
          <w:lang w:eastAsia="fr-FR"/>
        </w:rPr>
        <w:t xml:space="preserve">SARDJONO, M., A. AGUNG et I. SAMSOEDIN, "Traditional knowledge and practice of biodiversity conservation: The Benuaq Dayak community of East Kalimantan, Indonesia", in C. COLFER et Y. BYRON (dir.), People managing forests: The link between human well-being and sustainability, Washington D.C., CIFOR et Resources for the Future, 2001. </w:t>
      </w:r>
    </w:p>
    <w:p w:rsidR="00E45CE1" w:rsidRPr="00155121" w:rsidRDefault="00E45CE1" w:rsidP="00E45CE1">
      <w:pPr>
        <w:spacing w:after="0" w:line="360" w:lineRule="auto"/>
        <w:jc w:val="both"/>
        <w:rPr>
          <w:rFonts w:ascii="Tahoma" w:eastAsia="Times New Roman" w:hAnsi="Tahoma" w:cs="Tahoma"/>
          <w:color w:val="000000" w:themeColor="text1"/>
          <w:sz w:val="8"/>
          <w:szCs w:val="8"/>
          <w:lang w:eastAsia="fr-FR"/>
        </w:rPr>
      </w:pPr>
    </w:p>
    <w:p w:rsidR="00E45CE1" w:rsidRPr="00155121" w:rsidRDefault="00E45CE1" w:rsidP="00E45CE1">
      <w:pPr>
        <w:spacing w:after="0" w:line="240" w:lineRule="auto"/>
        <w:jc w:val="both"/>
        <w:rPr>
          <w:rFonts w:ascii="Tahoma" w:eastAsia="Times New Roman" w:hAnsi="Tahoma" w:cs="Tahoma"/>
          <w:color w:val="000000" w:themeColor="text1"/>
          <w:sz w:val="24"/>
          <w:szCs w:val="24"/>
          <w:lang w:eastAsia="fr-FR"/>
        </w:rPr>
      </w:pPr>
      <w:r w:rsidRPr="00155121">
        <w:rPr>
          <w:rFonts w:ascii="Tahoma" w:eastAsia="Times New Roman" w:hAnsi="Tahoma" w:cs="Tahoma"/>
          <w:color w:val="000000" w:themeColor="text1"/>
          <w:sz w:val="24"/>
          <w:szCs w:val="24"/>
          <w:lang w:eastAsia="fr-FR"/>
        </w:rPr>
        <w:t xml:space="preserve">Schallenberg, Richard H., "Evolution, Adaptation and Survival: The Very Slow Death of the American Charcoal Iron Industry", Annals of Science, vol. 32, no 4, 1975, p. 341-358. </w:t>
      </w:r>
    </w:p>
    <w:p w:rsidR="00E45CE1" w:rsidRPr="00155121" w:rsidRDefault="00E45CE1" w:rsidP="00E45CE1">
      <w:pPr>
        <w:spacing w:before="100" w:beforeAutospacing="1" w:after="100" w:afterAutospacing="1" w:line="360" w:lineRule="auto"/>
        <w:jc w:val="both"/>
        <w:rPr>
          <w:rFonts w:ascii="Tahoma" w:eastAsia="Times New Roman" w:hAnsi="Tahoma" w:cs="Tahoma"/>
          <w:color w:val="000000" w:themeColor="text1"/>
          <w:sz w:val="24"/>
          <w:szCs w:val="24"/>
          <w:lang w:eastAsia="fr-FR"/>
        </w:rPr>
      </w:pPr>
      <w:r w:rsidRPr="00155121">
        <w:rPr>
          <w:rFonts w:ascii="Tahoma" w:eastAsia="Times New Roman" w:hAnsi="Tahoma" w:cs="Tahoma"/>
          <w:color w:val="000000" w:themeColor="text1"/>
          <w:sz w:val="24"/>
          <w:szCs w:val="24"/>
          <w:lang w:eastAsia="fr-FR"/>
        </w:rPr>
        <w:t>Seow, Victor, Carbon Technocracy: Energy Regimes in Modern East Asia, Chicago, The University of Chicago Press, 2021.</w:t>
      </w:r>
    </w:p>
    <w:p w:rsidR="00E45CE1" w:rsidRPr="00155121" w:rsidRDefault="00E45CE1" w:rsidP="00E45CE1">
      <w:pPr>
        <w:spacing w:before="100" w:beforeAutospacing="1" w:after="100" w:afterAutospacing="1" w:line="360" w:lineRule="auto"/>
        <w:jc w:val="both"/>
        <w:rPr>
          <w:rFonts w:ascii="Tahoma" w:eastAsia="Times New Roman" w:hAnsi="Tahoma" w:cs="Tahoma"/>
          <w:color w:val="000000" w:themeColor="text1"/>
          <w:sz w:val="24"/>
          <w:szCs w:val="24"/>
          <w:lang w:eastAsia="fr-FR"/>
        </w:rPr>
      </w:pPr>
      <w:r w:rsidRPr="00155121">
        <w:rPr>
          <w:rFonts w:ascii="Tahoma" w:eastAsia="Times New Roman" w:hAnsi="Tahoma" w:cs="Tahoma"/>
          <w:color w:val="000000" w:themeColor="text1"/>
          <w:sz w:val="24"/>
          <w:szCs w:val="24"/>
          <w:lang w:eastAsia="fr-FR"/>
        </w:rPr>
        <w:t>Serge BENOIT, D'eau et de feu : forges et énergie hydraulique, XVIIIe-XXe siècle. Une histoire singulière de l'industrialisation française, Rennes, Presses universitaires de Rennes, 2020.</w:t>
      </w:r>
    </w:p>
    <w:p w:rsidR="00E45CE1" w:rsidRPr="00155121" w:rsidRDefault="00E45CE1" w:rsidP="00E45CE1">
      <w:pPr>
        <w:spacing w:before="100" w:beforeAutospacing="1" w:after="100" w:afterAutospacing="1" w:line="360" w:lineRule="auto"/>
        <w:jc w:val="both"/>
        <w:rPr>
          <w:rFonts w:ascii="Tahoma" w:eastAsia="Times New Roman" w:hAnsi="Tahoma" w:cs="Tahoma"/>
          <w:color w:val="000000" w:themeColor="text1"/>
          <w:sz w:val="24"/>
          <w:szCs w:val="24"/>
          <w:lang w:eastAsia="fr-FR"/>
        </w:rPr>
      </w:pPr>
      <w:r w:rsidRPr="00155121">
        <w:rPr>
          <w:rFonts w:ascii="Tahoma" w:eastAsia="Times New Roman" w:hAnsi="Tahoma" w:cs="Tahoma"/>
          <w:color w:val="000000" w:themeColor="text1"/>
          <w:sz w:val="24"/>
          <w:szCs w:val="24"/>
          <w:lang w:eastAsia="fr-FR"/>
        </w:rPr>
        <w:t>SHERLOCK, Robert Lionel, Man as a Geological Agent: An Account of his Action on Inanimate Nature, Londres, H. F &amp; G. Witherby, 1922.</w:t>
      </w:r>
    </w:p>
    <w:p w:rsidR="00E45CE1" w:rsidRPr="00155121" w:rsidRDefault="00E45CE1" w:rsidP="00E45CE1">
      <w:pPr>
        <w:spacing w:after="0" w:line="240" w:lineRule="auto"/>
        <w:jc w:val="both"/>
        <w:rPr>
          <w:rFonts w:ascii="Tahoma" w:eastAsia="Times New Roman" w:hAnsi="Tahoma" w:cs="Tahoma"/>
          <w:color w:val="000000" w:themeColor="text1"/>
          <w:sz w:val="24"/>
          <w:szCs w:val="24"/>
          <w:lang w:eastAsia="fr-FR"/>
        </w:rPr>
      </w:pPr>
      <w:r w:rsidRPr="00155121">
        <w:rPr>
          <w:rFonts w:ascii="Tahoma" w:eastAsia="Times New Roman" w:hAnsi="Tahoma" w:cs="Tahoma"/>
          <w:color w:val="000000" w:themeColor="text1"/>
          <w:sz w:val="24"/>
          <w:szCs w:val="24"/>
          <w:lang w:eastAsia="fr-FR"/>
        </w:rPr>
        <w:t xml:space="preserve">SHOCKLEY, William H., "Richesses minérales et procédés métallurgiques du Chan-Si (Chine Septentrionale)", Le génie civil, vol. 45, n° 19, 1904, p. 309-312. </w:t>
      </w:r>
    </w:p>
    <w:p w:rsidR="00E45CE1" w:rsidRPr="00155121" w:rsidRDefault="00E45CE1" w:rsidP="00E45CE1">
      <w:pPr>
        <w:spacing w:before="100" w:beforeAutospacing="1" w:after="100" w:afterAutospacing="1" w:line="360" w:lineRule="auto"/>
        <w:jc w:val="both"/>
        <w:rPr>
          <w:rFonts w:ascii="Tahoma" w:eastAsia="Times New Roman" w:hAnsi="Tahoma" w:cs="Tahoma"/>
          <w:color w:val="000000" w:themeColor="text1"/>
          <w:sz w:val="24"/>
          <w:szCs w:val="24"/>
          <w:lang w:eastAsia="fr-FR"/>
        </w:rPr>
      </w:pPr>
      <w:r w:rsidRPr="00155121">
        <w:rPr>
          <w:rFonts w:ascii="Tahoma" w:eastAsia="Times New Roman" w:hAnsi="Tahoma" w:cs="Tahoma"/>
          <w:color w:val="000000" w:themeColor="text1"/>
          <w:sz w:val="24"/>
          <w:szCs w:val="24"/>
          <w:lang w:eastAsia="fr-FR"/>
        </w:rPr>
        <w:t>Siegelbaum, Lewis H. &amp; Walkowitz, Daniel J., Workers of the Donbass Speak: Survival and Identity in the New Ukraine, 1989-1992, Albany, State University of New York Press, 1995.</w:t>
      </w:r>
    </w:p>
    <w:p w:rsidR="00E45CE1" w:rsidRPr="00155121" w:rsidRDefault="00E45CE1" w:rsidP="00E45CE1">
      <w:pPr>
        <w:spacing w:before="100" w:beforeAutospacing="1" w:after="100" w:afterAutospacing="1" w:line="360" w:lineRule="auto"/>
        <w:jc w:val="both"/>
        <w:rPr>
          <w:rFonts w:ascii="Tahoma" w:eastAsia="Times New Roman" w:hAnsi="Tahoma" w:cs="Tahoma"/>
          <w:color w:val="000000" w:themeColor="text1"/>
          <w:sz w:val="24"/>
          <w:szCs w:val="24"/>
          <w:lang w:eastAsia="fr-FR"/>
        </w:rPr>
      </w:pPr>
      <w:r w:rsidRPr="00155121">
        <w:rPr>
          <w:rFonts w:ascii="Tahoma" w:eastAsia="Times New Roman" w:hAnsi="Tahoma" w:cs="Tahoma"/>
          <w:color w:val="000000" w:themeColor="text1"/>
          <w:sz w:val="24"/>
          <w:szCs w:val="24"/>
          <w:lang w:eastAsia="fr-FR"/>
        </w:rPr>
        <w:t>SIMONIN, Louis-Laurent, La vie souterraine, ou la mine et les mineurs, Paris, L. Hachette, 1867.</w:t>
      </w:r>
    </w:p>
    <w:p w:rsidR="00E45CE1" w:rsidRPr="00155121" w:rsidRDefault="00E45CE1" w:rsidP="00E45CE1">
      <w:pPr>
        <w:spacing w:before="100" w:beforeAutospacing="1" w:after="100" w:afterAutospacing="1" w:line="360" w:lineRule="auto"/>
        <w:jc w:val="both"/>
        <w:rPr>
          <w:rFonts w:ascii="Tahoma" w:eastAsia="Times New Roman" w:hAnsi="Tahoma" w:cs="Tahoma"/>
          <w:color w:val="000000" w:themeColor="text1"/>
          <w:sz w:val="24"/>
          <w:szCs w:val="24"/>
          <w:lang w:eastAsia="fr-FR"/>
        </w:rPr>
      </w:pPr>
      <w:r w:rsidRPr="00155121">
        <w:rPr>
          <w:rFonts w:ascii="Tahoma" w:eastAsia="Times New Roman" w:hAnsi="Tahoma" w:cs="Tahoma"/>
          <w:color w:val="000000" w:themeColor="text1"/>
          <w:sz w:val="24"/>
          <w:szCs w:val="24"/>
          <w:lang w:eastAsia="fr-FR"/>
        </w:rPr>
        <w:t>Sloterdijk, Peter, Le palais de cristal. À l'intérieur du capitalisme planétaire, Paris, Maren Sell Éditeurs, 2006.</w:t>
      </w:r>
    </w:p>
    <w:p w:rsidR="00E45CE1" w:rsidRPr="00155121" w:rsidRDefault="00E45CE1" w:rsidP="00E45CE1">
      <w:pPr>
        <w:spacing w:before="100" w:beforeAutospacing="1" w:after="100" w:afterAutospacing="1" w:line="360" w:lineRule="auto"/>
        <w:jc w:val="both"/>
        <w:rPr>
          <w:rFonts w:ascii="Tahoma" w:eastAsia="Times New Roman" w:hAnsi="Tahoma" w:cs="Tahoma"/>
          <w:color w:val="000000" w:themeColor="text1"/>
          <w:sz w:val="24"/>
          <w:szCs w:val="24"/>
          <w:lang w:eastAsia="fr-FR"/>
        </w:rPr>
      </w:pPr>
      <w:r w:rsidRPr="00155121">
        <w:rPr>
          <w:rFonts w:ascii="Tahoma" w:eastAsia="Times New Roman" w:hAnsi="Tahoma" w:cs="Tahoma"/>
          <w:color w:val="000000" w:themeColor="text1"/>
          <w:sz w:val="24"/>
          <w:szCs w:val="24"/>
          <w:lang w:eastAsia="fr-FR"/>
        </w:rPr>
        <w:t>Smil, Vaclav, Energy and Civilization: A History, Cambridge, The MIT Press, 2018.</w:t>
      </w:r>
    </w:p>
    <w:p w:rsidR="00E45CE1" w:rsidRPr="00155121" w:rsidRDefault="00E45CE1" w:rsidP="00E45CE1">
      <w:pPr>
        <w:spacing w:before="100" w:beforeAutospacing="1" w:after="100" w:afterAutospacing="1" w:line="360" w:lineRule="auto"/>
        <w:jc w:val="both"/>
        <w:rPr>
          <w:rFonts w:ascii="Tahoma" w:eastAsia="Times New Roman" w:hAnsi="Tahoma" w:cs="Tahoma"/>
          <w:color w:val="000000" w:themeColor="text1"/>
          <w:sz w:val="24"/>
          <w:szCs w:val="24"/>
          <w:lang w:eastAsia="fr-FR"/>
        </w:rPr>
      </w:pPr>
      <w:r w:rsidRPr="00155121">
        <w:rPr>
          <w:rFonts w:ascii="Tahoma" w:eastAsia="Times New Roman" w:hAnsi="Tahoma" w:cs="Tahoma"/>
          <w:color w:val="000000" w:themeColor="text1"/>
          <w:sz w:val="24"/>
          <w:szCs w:val="24"/>
          <w:lang w:eastAsia="fr-FR"/>
        </w:rPr>
        <w:t>Smil, Vaclav, Energy Transitions: History, Requirements, Prospects, Santa Barbara, Praeger, 2010.</w:t>
      </w:r>
    </w:p>
    <w:p w:rsidR="00E45CE1" w:rsidRPr="00155121" w:rsidRDefault="00E45CE1" w:rsidP="00E45CE1">
      <w:pPr>
        <w:spacing w:after="0" w:line="276" w:lineRule="auto"/>
        <w:jc w:val="both"/>
        <w:rPr>
          <w:rFonts w:ascii="Tahoma" w:eastAsia="Times New Roman" w:hAnsi="Tahoma" w:cs="Tahoma"/>
          <w:color w:val="000000" w:themeColor="text1"/>
          <w:sz w:val="24"/>
          <w:szCs w:val="24"/>
          <w:lang w:eastAsia="fr-FR"/>
        </w:rPr>
      </w:pPr>
      <w:r w:rsidRPr="00155121">
        <w:rPr>
          <w:rFonts w:ascii="Tahoma" w:eastAsia="Times New Roman" w:hAnsi="Tahoma" w:cs="Tahoma"/>
          <w:color w:val="000000" w:themeColor="text1"/>
          <w:sz w:val="24"/>
          <w:szCs w:val="24"/>
          <w:lang w:eastAsia="fr-FR"/>
        </w:rPr>
        <w:t xml:space="preserve">Söderlund, E. F., "The Swedish Iron Industry during the First World War and the Post-War Depression", Scandinavian Economic History Review, vol. 6, no 1, 1958, p. 53-94. </w:t>
      </w:r>
    </w:p>
    <w:p w:rsidR="00E45CE1" w:rsidRPr="00155121" w:rsidRDefault="00E45CE1" w:rsidP="00E45CE1">
      <w:pPr>
        <w:spacing w:after="0" w:line="276" w:lineRule="auto"/>
        <w:jc w:val="both"/>
        <w:rPr>
          <w:rFonts w:ascii="Tahoma" w:eastAsia="Times New Roman" w:hAnsi="Tahoma" w:cs="Tahoma"/>
          <w:color w:val="000000" w:themeColor="text1"/>
          <w:sz w:val="24"/>
          <w:szCs w:val="24"/>
          <w:lang w:eastAsia="fr-FR"/>
        </w:rPr>
      </w:pPr>
      <w:r w:rsidRPr="00155121">
        <w:rPr>
          <w:rFonts w:ascii="Tahoma" w:eastAsia="Times New Roman" w:hAnsi="Tahoma" w:cs="Tahoma"/>
          <w:color w:val="000000" w:themeColor="text1"/>
          <w:sz w:val="24"/>
          <w:szCs w:val="24"/>
          <w:lang w:eastAsia="fr-FR"/>
        </w:rPr>
        <w:t xml:space="preserve">Soultan A., Wikelski M., et Safi K., "Risk of biodiversity collapse under climate change in the AfroArabian region", Scientific Reports, 9(1), 2019. </w:t>
      </w:r>
    </w:p>
    <w:p w:rsidR="00E45CE1" w:rsidRPr="00155121" w:rsidRDefault="00E45CE1" w:rsidP="00E45CE1">
      <w:pPr>
        <w:spacing w:after="0" w:line="240" w:lineRule="auto"/>
        <w:jc w:val="both"/>
        <w:rPr>
          <w:rFonts w:ascii="Tahoma" w:eastAsia="Times New Roman" w:hAnsi="Tahoma" w:cs="Tahoma"/>
          <w:color w:val="000000" w:themeColor="text1"/>
          <w:sz w:val="24"/>
          <w:szCs w:val="24"/>
          <w:lang w:eastAsia="fr-FR"/>
        </w:rPr>
      </w:pPr>
    </w:p>
    <w:p w:rsidR="00E45CE1" w:rsidRPr="00155121" w:rsidRDefault="00E45CE1" w:rsidP="00E45CE1">
      <w:pPr>
        <w:spacing w:line="360" w:lineRule="auto"/>
        <w:jc w:val="both"/>
        <w:rPr>
          <w:rFonts w:ascii="Tahoma" w:eastAsia="Times New Roman" w:hAnsi="Tahoma" w:cs="Tahoma"/>
          <w:color w:val="000000" w:themeColor="text1"/>
          <w:sz w:val="24"/>
          <w:szCs w:val="24"/>
          <w:lang w:eastAsia="fr-FR"/>
        </w:rPr>
      </w:pPr>
      <w:r w:rsidRPr="00155121">
        <w:rPr>
          <w:rFonts w:ascii="Tahoma" w:eastAsia="Times New Roman" w:hAnsi="Tahoma" w:cs="Tahoma"/>
          <w:color w:val="000000" w:themeColor="text1"/>
          <w:sz w:val="24"/>
          <w:szCs w:val="24"/>
          <w:lang w:eastAsia="fr-FR"/>
        </w:rPr>
        <w:t>SOZA, C., "The process of forest certification in the Mayan Biosphere Reserve in Petén, Guatemala", in A. MOLNAR (dir.), Forest certification and communities: Looking forward to the next decade, Washington D.C., Forest Trends, 2002.</w:t>
      </w:r>
    </w:p>
    <w:p w:rsidR="00E45CE1" w:rsidRPr="00155121" w:rsidRDefault="00E45CE1" w:rsidP="00E45CE1">
      <w:pPr>
        <w:spacing w:after="0" w:line="240" w:lineRule="auto"/>
        <w:jc w:val="both"/>
        <w:rPr>
          <w:rFonts w:ascii="Tahoma" w:eastAsia="Times New Roman" w:hAnsi="Tahoma" w:cs="Tahoma"/>
          <w:color w:val="000000" w:themeColor="text1"/>
          <w:sz w:val="24"/>
          <w:szCs w:val="24"/>
          <w:lang w:eastAsia="fr-FR"/>
        </w:rPr>
      </w:pPr>
      <w:r w:rsidRPr="00155121">
        <w:rPr>
          <w:rFonts w:ascii="Tahoma" w:eastAsia="Times New Roman" w:hAnsi="Tahoma" w:cs="Tahoma"/>
          <w:color w:val="000000" w:themeColor="text1"/>
          <w:sz w:val="24"/>
          <w:szCs w:val="24"/>
          <w:lang w:eastAsia="fr-FR"/>
        </w:rPr>
        <w:t xml:space="preserve">STAMP, Dudley L., "The Forests of Europe: Present and Future", Empire Forestry Journal, vol. 7, n° 2, 1928, p. 185-202. </w:t>
      </w:r>
    </w:p>
    <w:p w:rsidR="00E45CE1" w:rsidRPr="00155121" w:rsidRDefault="00E45CE1" w:rsidP="00E45CE1">
      <w:pPr>
        <w:spacing w:before="100" w:beforeAutospacing="1" w:after="100" w:afterAutospacing="1" w:line="360" w:lineRule="auto"/>
        <w:jc w:val="both"/>
        <w:rPr>
          <w:rFonts w:ascii="Tahoma" w:eastAsia="Times New Roman" w:hAnsi="Tahoma" w:cs="Tahoma"/>
          <w:color w:val="000000" w:themeColor="text1"/>
          <w:sz w:val="24"/>
          <w:szCs w:val="24"/>
          <w:lang w:eastAsia="fr-FR"/>
        </w:rPr>
      </w:pPr>
      <w:r w:rsidRPr="00155121">
        <w:rPr>
          <w:rFonts w:ascii="Tahoma" w:eastAsia="Times New Roman" w:hAnsi="Tahoma" w:cs="Tahoma"/>
          <w:color w:val="000000" w:themeColor="text1"/>
          <w:sz w:val="24"/>
          <w:szCs w:val="24"/>
          <w:lang w:eastAsia="fr-FR"/>
        </w:rPr>
        <w:t>STEBBING, E. P., The Forests of India, Londres, John Lane, 1923.</w:t>
      </w:r>
    </w:p>
    <w:p w:rsidR="00E45CE1" w:rsidRPr="00155121" w:rsidRDefault="00E45CE1" w:rsidP="00E45CE1">
      <w:pPr>
        <w:spacing w:before="100" w:beforeAutospacing="1" w:after="100" w:afterAutospacing="1" w:line="360" w:lineRule="auto"/>
        <w:jc w:val="both"/>
        <w:rPr>
          <w:rFonts w:ascii="Tahoma" w:eastAsia="Times New Roman" w:hAnsi="Tahoma" w:cs="Tahoma"/>
          <w:color w:val="000000" w:themeColor="text1"/>
          <w:sz w:val="24"/>
          <w:szCs w:val="24"/>
          <w:lang w:eastAsia="fr-FR"/>
        </w:rPr>
      </w:pPr>
      <w:r w:rsidRPr="00155121">
        <w:rPr>
          <w:rFonts w:ascii="Tahoma" w:eastAsia="Times New Roman" w:hAnsi="Tahoma" w:cs="Tahoma"/>
          <w:color w:val="000000" w:themeColor="text1"/>
          <w:sz w:val="24"/>
          <w:szCs w:val="24"/>
          <w:lang w:eastAsia="fr-FR"/>
        </w:rPr>
        <w:t>Stéphane AULAGNIER, Cuzin F., et Thévenot M., Mammifères sauvages du Maroc : peuplement, répartition, écologie, 2017.</w:t>
      </w:r>
    </w:p>
    <w:p w:rsidR="00E45CE1" w:rsidRPr="00155121" w:rsidRDefault="00E45CE1" w:rsidP="00E45CE1">
      <w:pPr>
        <w:spacing w:line="276" w:lineRule="auto"/>
        <w:jc w:val="both"/>
        <w:rPr>
          <w:rFonts w:ascii="Tahoma" w:eastAsia="Times New Roman" w:hAnsi="Tahoma" w:cs="Tahoma"/>
          <w:color w:val="000000" w:themeColor="text1"/>
          <w:sz w:val="24"/>
          <w:szCs w:val="24"/>
          <w:lang w:eastAsia="fr-FR"/>
        </w:rPr>
      </w:pPr>
      <w:r w:rsidRPr="00155121">
        <w:rPr>
          <w:rFonts w:ascii="Tahoma" w:eastAsia="Times New Roman" w:hAnsi="Tahoma" w:cs="Tahoma"/>
          <w:color w:val="000000" w:themeColor="text1"/>
          <w:sz w:val="24"/>
          <w:szCs w:val="24"/>
          <w:lang w:eastAsia="fr-FR"/>
        </w:rPr>
        <w:t>Stéphane NAHRATH, Frédéric VARONE et Jean-DAVID GERBER, "Les espaces fonctionnels: nouveau référentiel de la gestion durable des ressources?", Vertig O - la revue électronique en sciences de l'environnement, 2009, vol. 9, no. 1, pp.1-14.</w:t>
      </w:r>
    </w:p>
    <w:p w:rsidR="00E45CE1" w:rsidRPr="00155121" w:rsidRDefault="00E45CE1" w:rsidP="00E45CE1">
      <w:pPr>
        <w:spacing w:line="276" w:lineRule="auto"/>
        <w:jc w:val="both"/>
        <w:rPr>
          <w:rFonts w:ascii="Tahoma" w:hAnsi="Tahoma" w:cs="Tahoma"/>
          <w:color w:val="000000" w:themeColor="text1"/>
          <w:sz w:val="2"/>
          <w:szCs w:val="2"/>
        </w:rPr>
      </w:pPr>
    </w:p>
    <w:p w:rsidR="00E45CE1" w:rsidRPr="00155121" w:rsidRDefault="00E45CE1" w:rsidP="00E45CE1">
      <w:pPr>
        <w:spacing w:after="0" w:line="276" w:lineRule="auto"/>
        <w:jc w:val="both"/>
        <w:rPr>
          <w:rFonts w:ascii="Tahoma" w:eastAsia="Times New Roman" w:hAnsi="Tahoma" w:cs="Tahoma"/>
          <w:color w:val="000000" w:themeColor="text1"/>
          <w:sz w:val="24"/>
          <w:szCs w:val="24"/>
          <w:lang w:eastAsia="fr-FR"/>
        </w:rPr>
      </w:pPr>
      <w:r w:rsidRPr="00155121">
        <w:rPr>
          <w:rFonts w:ascii="Tahoma" w:eastAsia="Times New Roman" w:hAnsi="Tahoma" w:cs="Tahoma"/>
          <w:color w:val="000000" w:themeColor="text1"/>
          <w:sz w:val="24"/>
          <w:szCs w:val="24"/>
          <w:lang w:eastAsia="fr-FR"/>
        </w:rPr>
        <w:t xml:space="preserve">STONE, Robert, RISBRUDT, Christopher &amp; HOWARD, James, "Wood Products Used by Coal Mines", Forest Products Journal, vol. 35, n° 6, 1985, p. 45-52. </w:t>
      </w:r>
    </w:p>
    <w:p w:rsidR="00E45CE1" w:rsidRPr="00155121" w:rsidRDefault="00E45CE1" w:rsidP="00E45CE1">
      <w:pPr>
        <w:spacing w:after="0" w:line="276" w:lineRule="auto"/>
        <w:jc w:val="both"/>
        <w:rPr>
          <w:rFonts w:ascii="Tahoma" w:eastAsia="Times New Roman" w:hAnsi="Tahoma" w:cs="Tahoma"/>
          <w:color w:val="000000" w:themeColor="text1"/>
          <w:sz w:val="24"/>
          <w:szCs w:val="24"/>
          <w:lang w:eastAsia="fr-FR"/>
        </w:rPr>
      </w:pPr>
    </w:p>
    <w:p w:rsidR="00E45CE1" w:rsidRPr="00155121" w:rsidRDefault="00E45CE1" w:rsidP="00E45CE1">
      <w:pPr>
        <w:spacing w:after="0" w:line="276" w:lineRule="auto"/>
        <w:jc w:val="both"/>
        <w:rPr>
          <w:rFonts w:ascii="Tahoma" w:eastAsia="Times New Roman" w:hAnsi="Tahoma" w:cs="Tahoma"/>
          <w:color w:val="000000" w:themeColor="text1"/>
          <w:sz w:val="24"/>
          <w:szCs w:val="24"/>
          <w:lang w:eastAsia="fr-FR"/>
        </w:rPr>
      </w:pPr>
      <w:r w:rsidRPr="00155121">
        <w:rPr>
          <w:rFonts w:ascii="Tahoma" w:eastAsia="Times New Roman" w:hAnsi="Tahoma" w:cs="Tahoma"/>
          <w:color w:val="000000" w:themeColor="text1"/>
          <w:sz w:val="24"/>
          <w:szCs w:val="24"/>
          <w:lang w:eastAsia="fr-FR"/>
        </w:rPr>
        <w:t xml:space="preserve">SUNDBERG, J., "Strategies for authenticity, space and place in the Maya Biosphere Reserve, Petén, Guatemala", Yearbook, Conference of Latin Americanist Geographers, vol. 24, 1998, p. 85-96. </w:t>
      </w:r>
    </w:p>
    <w:p w:rsidR="00E45CE1" w:rsidRPr="00155121" w:rsidRDefault="00E45CE1" w:rsidP="00E45CE1">
      <w:pPr>
        <w:spacing w:after="0" w:line="276" w:lineRule="auto"/>
        <w:jc w:val="both"/>
        <w:rPr>
          <w:rFonts w:ascii="Tahoma" w:eastAsia="Times New Roman" w:hAnsi="Tahoma" w:cs="Tahoma"/>
          <w:color w:val="000000" w:themeColor="text1"/>
          <w:sz w:val="24"/>
          <w:szCs w:val="24"/>
          <w:lang w:eastAsia="fr-FR"/>
        </w:rPr>
      </w:pPr>
    </w:p>
    <w:p w:rsidR="00E45CE1" w:rsidRPr="00155121" w:rsidRDefault="00E45CE1" w:rsidP="00E45CE1">
      <w:pPr>
        <w:tabs>
          <w:tab w:val="left" w:pos="0"/>
        </w:tabs>
        <w:spacing w:after="0" w:line="360" w:lineRule="auto"/>
        <w:jc w:val="both"/>
        <w:rPr>
          <w:rFonts w:ascii="Tahoma" w:eastAsia="Times New Roman" w:hAnsi="Tahoma" w:cs="Tahoma"/>
          <w:color w:val="000000" w:themeColor="text1"/>
          <w:sz w:val="24"/>
          <w:szCs w:val="24"/>
          <w:lang w:eastAsia="fr-FR"/>
        </w:rPr>
      </w:pPr>
      <w:r w:rsidRPr="00155121">
        <w:rPr>
          <w:rFonts w:ascii="Tahoma" w:eastAsia="Times New Roman" w:hAnsi="Tahoma" w:cs="Tahoma"/>
          <w:color w:val="000000" w:themeColor="text1"/>
          <w:sz w:val="24"/>
          <w:szCs w:val="24"/>
          <w:lang w:eastAsia="fr-FR"/>
        </w:rPr>
        <w:t xml:space="preserve">SUTHERLAND, M. et B. SCARSBRICK, "Conservation of biodiversity through landcare", in M. BRIDGES, I. HANNAM, F. PENNING DE VRIES, R. OLDEMAN, S. J. SCHERR et S. SOMBATPANIT (dir.), Response to land degradation, Enfield, Science Publishers, 2001. </w:t>
      </w:r>
    </w:p>
    <w:p w:rsidR="00E45CE1" w:rsidRPr="00155121" w:rsidRDefault="00E45CE1" w:rsidP="00E45CE1">
      <w:pPr>
        <w:spacing w:before="100" w:beforeAutospacing="1" w:after="100" w:afterAutospacing="1" w:line="276" w:lineRule="auto"/>
        <w:jc w:val="both"/>
        <w:rPr>
          <w:rFonts w:ascii="Tahoma" w:eastAsia="Times New Roman" w:hAnsi="Tahoma" w:cs="Tahoma"/>
          <w:color w:val="000000" w:themeColor="text1"/>
          <w:sz w:val="24"/>
          <w:szCs w:val="24"/>
          <w:lang w:eastAsia="fr-FR"/>
        </w:rPr>
      </w:pPr>
      <w:r w:rsidRPr="00155121">
        <w:rPr>
          <w:rFonts w:ascii="Tahoma" w:eastAsia="Times New Roman" w:hAnsi="Tahoma" w:cs="Tahoma"/>
          <w:color w:val="000000" w:themeColor="text1"/>
          <w:sz w:val="24"/>
          <w:szCs w:val="24"/>
          <w:lang w:eastAsia="fr-FR"/>
        </w:rPr>
        <w:t>The Black Diamond, "How Much Coal Is Burned in Clay Products Plants", vol. 63, n° 1, 1919, p. 321.</w:t>
      </w:r>
    </w:p>
    <w:p w:rsidR="00E45CE1" w:rsidRPr="00155121" w:rsidRDefault="00E45CE1" w:rsidP="00E45CE1">
      <w:pPr>
        <w:spacing w:after="0" w:line="360" w:lineRule="auto"/>
        <w:jc w:val="both"/>
        <w:rPr>
          <w:rFonts w:ascii="Tahoma" w:eastAsia="Times New Roman" w:hAnsi="Tahoma" w:cs="Tahoma"/>
          <w:color w:val="000000" w:themeColor="text1"/>
          <w:sz w:val="24"/>
          <w:szCs w:val="24"/>
          <w:lang w:eastAsia="fr-FR"/>
        </w:rPr>
      </w:pPr>
      <w:r w:rsidRPr="00155121">
        <w:rPr>
          <w:rFonts w:ascii="Tahoma" w:eastAsia="Times New Roman" w:hAnsi="Tahoma" w:cs="Tahoma"/>
          <w:color w:val="000000" w:themeColor="text1"/>
          <w:sz w:val="24"/>
          <w:szCs w:val="24"/>
          <w:lang w:eastAsia="fr-FR"/>
        </w:rPr>
        <w:t xml:space="preserve">Thomas G. ANDREWS, Killing for Coal, America's Deadliest Labor War, Cambridge, Harvard University Press, 2010. </w:t>
      </w:r>
    </w:p>
    <w:p w:rsidR="00E45CE1" w:rsidRPr="00155121" w:rsidRDefault="00E45CE1" w:rsidP="00E45CE1">
      <w:pPr>
        <w:spacing w:after="0" w:line="360" w:lineRule="auto"/>
        <w:jc w:val="both"/>
        <w:rPr>
          <w:rFonts w:ascii="Tahoma" w:eastAsia="Times New Roman" w:hAnsi="Tahoma" w:cs="Tahoma"/>
          <w:color w:val="000000" w:themeColor="text1"/>
          <w:sz w:val="20"/>
          <w:szCs w:val="20"/>
          <w:lang w:eastAsia="fr-FR"/>
        </w:rPr>
      </w:pPr>
    </w:p>
    <w:p w:rsidR="00E45CE1" w:rsidRPr="00155121" w:rsidRDefault="00E45CE1" w:rsidP="00E45CE1">
      <w:pPr>
        <w:spacing w:after="0" w:line="360" w:lineRule="auto"/>
        <w:jc w:val="both"/>
        <w:rPr>
          <w:rFonts w:ascii="Tahoma" w:eastAsia="Times New Roman" w:hAnsi="Tahoma" w:cs="Tahoma"/>
          <w:color w:val="000000" w:themeColor="text1"/>
          <w:sz w:val="24"/>
          <w:szCs w:val="24"/>
          <w:lang w:eastAsia="fr-FR"/>
        </w:rPr>
      </w:pPr>
      <w:r w:rsidRPr="00155121">
        <w:rPr>
          <w:rFonts w:ascii="Tahoma" w:eastAsia="Times New Roman" w:hAnsi="Tahoma" w:cs="Tahoma"/>
          <w:color w:val="000000" w:themeColor="text1"/>
          <w:sz w:val="24"/>
          <w:szCs w:val="24"/>
          <w:lang w:eastAsia="fr-FR"/>
        </w:rPr>
        <w:t xml:space="preserve">Thompson, Elspeth, The Chinese Coal Industry: An Economic History, Londres, Routledge, 2003. </w:t>
      </w:r>
    </w:p>
    <w:p w:rsidR="00E45CE1" w:rsidRPr="00155121" w:rsidRDefault="00E45CE1" w:rsidP="00E45CE1">
      <w:pPr>
        <w:spacing w:after="0" w:line="360" w:lineRule="auto"/>
        <w:jc w:val="both"/>
        <w:rPr>
          <w:rFonts w:ascii="Tahoma" w:eastAsia="Times New Roman" w:hAnsi="Tahoma" w:cs="Tahoma"/>
          <w:color w:val="000000" w:themeColor="text1"/>
          <w:sz w:val="16"/>
          <w:szCs w:val="16"/>
          <w:lang w:eastAsia="fr-FR"/>
        </w:rPr>
      </w:pPr>
    </w:p>
    <w:p w:rsidR="00E45CE1" w:rsidRPr="00155121" w:rsidRDefault="00E45CE1" w:rsidP="00E45CE1">
      <w:pPr>
        <w:spacing w:after="0" w:line="360" w:lineRule="auto"/>
        <w:jc w:val="both"/>
        <w:rPr>
          <w:rFonts w:ascii="Tahoma" w:eastAsia="Times New Roman" w:hAnsi="Tahoma" w:cs="Tahoma"/>
          <w:color w:val="000000" w:themeColor="text1"/>
          <w:sz w:val="24"/>
          <w:szCs w:val="24"/>
          <w:lang w:eastAsia="fr-FR"/>
        </w:rPr>
      </w:pPr>
      <w:r w:rsidRPr="00155121">
        <w:rPr>
          <w:rFonts w:ascii="Tahoma" w:eastAsia="Times New Roman" w:hAnsi="Tahoma" w:cs="Tahoma"/>
          <w:color w:val="000000" w:themeColor="text1"/>
          <w:sz w:val="24"/>
          <w:szCs w:val="24"/>
          <w:lang w:eastAsia="fr-FR"/>
        </w:rPr>
        <w:t xml:space="preserve">TOLEDO, V. M., "Ethnoecology: A conceptual framework for the study of Indigenous knowledge of nature", in R. STEPP, F. WYNDHAM et R. ZARGER (dir.), Ethnobiology </w:t>
      </w:r>
    </w:p>
    <w:p w:rsidR="00E45CE1" w:rsidRPr="00155121" w:rsidRDefault="00E45CE1" w:rsidP="00E45CE1">
      <w:pPr>
        <w:spacing w:after="0" w:line="276" w:lineRule="auto"/>
        <w:jc w:val="both"/>
        <w:rPr>
          <w:rFonts w:ascii="Tahoma" w:eastAsia="Times New Roman" w:hAnsi="Tahoma" w:cs="Tahoma"/>
          <w:color w:val="000000" w:themeColor="text1"/>
          <w:sz w:val="24"/>
          <w:szCs w:val="24"/>
          <w:lang w:eastAsia="fr-FR"/>
        </w:rPr>
      </w:pPr>
    </w:p>
    <w:p w:rsidR="00E45CE1" w:rsidRPr="00155121" w:rsidRDefault="00E45CE1" w:rsidP="00E45CE1">
      <w:pPr>
        <w:spacing w:after="0" w:line="360" w:lineRule="auto"/>
        <w:jc w:val="both"/>
        <w:rPr>
          <w:rFonts w:ascii="Tahoma" w:eastAsia="Times New Roman" w:hAnsi="Tahoma" w:cs="Tahoma"/>
          <w:color w:val="000000" w:themeColor="text1"/>
          <w:sz w:val="24"/>
          <w:szCs w:val="24"/>
          <w:lang w:eastAsia="fr-FR"/>
        </w:rPr>
      </w:pPr>
      <w:r w:rsidRPr="00155121">
        <w:rPr>
          <w:rFonts w:ascii="Tahoma" w:eastAsia="Times New Roman" w:hAnsi="Tahoma" w:cs="Tahoma"/>
          <w:color w:val="000000" w:themeColor="text1"/>
          <w:sz w:val="24"/>
          <w:szCs w:val="24"/>
          <w:lang w:eastAsia="fr-FR"/>
        </w:rPr>
        <w:t xml:space="preserve">Tyrrell, Ian, Crisis of the Wasteful Nation: Empire and Conservation in Theodore Roosevelt's America, Chicago, The University of Chicago Press, 2015. </w:t>
      </w:r>
    </w:p>
    <w:p w:rsidR="00E45CE1" w:rsidRPr="00155121" w:rsidRDefault="00E45CE1" w:rsidP="00E45CE1">
      <w:pPr>
        <w:spacing w:after="0" w:line="360" w:lineRule="auto"/>
        <w:jc w:val="both"/>
        <w:rPr>
          <w:rFonts w:ascii="Tahoma" w:eastAsia="Times New Roman" w:hAnsi="Tahoma" w:cs="Tahoma"/>
          <w:color w:val="000000" w:themeColor="text1"/>
          <w:sz w:val="6"/>
          <w:szCs w:val="6"/>
          <w:lang w:eastAsia="fr-FR"/>
        </w:rPr>
      </w:pPr>
    </w:p>
    <w:p w:rsidR="00E45CE1" w:rsidRPr="00155121" w:rsidRDefault="00E45CE1" w:rsidP="00E45CE1">
      <w:pPr>
        <w:spacing w:after="0" w:line="276" w:lineRule="auto"/>
        <w:jc w:val="both"/>
        <w:rPr>
          <w:rFonts w:ascii="Tahoma" w:eastAsia="Times New Roman" w:hAnsi="Tahoma" w:cs="Tahoma"/>
          <w:color w:val="000000" w:themeColor="text1"/>
          <w:sz w:val="24"/>
          <w:szCs w:val="24"/>
          <w:lang w:eastAsia="fr-FR"/>
        </w:rPr>
      </w:pPr>
      <w:r w:rsidRPr="00155121">
        <w:rPr>
          <w:rFonts w:ascii="Tahoma" w:eastAsia="Times New Roman" w:hAnsi="Tahoma" w:cs="Tahoma"/>
          <w:color w:val="000000" w:themeColor="text1"/>
          <w:sz w:val="24"/>
          <w:szCs w:val="24"/>
          <w:lang w:eastAsia="fr-FR"/>
        </w:rPr>
        <w:t>Valen, Dustin, "On the Horticultural Origins of Victorian Glasshouse Culture", Journal of the Society of Architectural Historians, vol. 75, no 4, 2016, p. 403-423.</w:t>
      </w:r>
    </w:p>
    <w:p w:rsidR="00E45CE1" w:rsidRPr="00155121" w:rsidRDefault="00E45CE1" w:rsidP="00E45CE1">
      <w:pPr>
        <w:spacing w:after="0" w:line="276" w:lineRule="auto"/>
        <w:jc w:val="both"/>
        <w:rPr>
          <w:rFonts w:ascii="Tahoma" w:eastAsia="Times New Roman" w:hAnsi="Tahoma" w:cs="Tahoma"/>
          <w:color w:val="000000" w:themeColor="text1"/>
          <w:sz w:val="24"/>
          <w:szCs w:val="24"/>
          <w:lang w:eastAsia="fr-FR"/>
        </w:rPr>
      </w:pPr>
      <w:r w:rsidRPr="00155121">
        <w:rPr>
          <w:rFonts w:ascii="Tahoma" w:eastAsia="Times New Roman" w:hAnsi="Tahoma" w:cs="Tahoma"/>
          <w:color w:val="000000" w:themeColor="text1"/>
          <w:sz w:val="24"/>
          <w:szCs w:val="24"/>
          <w:lang w:eastAsia="fr-FR"/>
        </w:rPr>
        <w:t xml:space="preserve"> </w:t>
      </w:r>
    </w:p>
    <w:p w:rsidR="00E45CE1" w:rsidRPr="00155121" w:rsidRDefault="00E45CE1" w:rsidP="00E45CE1">
      <w:pPr>
        <w:spacing w:after="0" w:line="276" w:lineRule="auto"/>
        <w:jc w:val="both"/>
        <w:rPr>
          <w:rFonts w:ascii="Tahoma" w:eastAsia="Times New Roman" w:hAnsi="Tahoma" w:cs="Tahoma"/>
          <w:color w:val="000000" w:themeColor="text1"/>
          <w:sz w:val="24"/>
          <w:szCs w:val="24"/>
          <w:lang w:eastAsia="fr-FR"/>
        </w:rPr>
      </w:pPr>
      <w:r w:rsidRPr="00155121">
        <w:rPr>
          <w:rFonts w:ascii="Tahoma" w:eastAsia="Times New Roman" w:hAnsi="Tahoma" w:cs="Tahoma"/>
          <w:color w:val="000000" w:themeColor="text1"/>
          <w:sz w:val="24"/>
          <w:szCs w:val="24"/>
          <w:lang w:eastAsia="fr-FR"/>
        </w:rPr>
        <w:t xml:space="preserve">Warde, Paul, "Firewood Consumption and Energy Transition: A Survey of Sources, Methods and Explanations in Europe and North America", Historia Agraria, no 77, 2019, p. 7-32. </w:t>
      </w:r>
    </w:p>
    <w:p w:rsidR="00E45CE1" w:rsidRPr="00155121" w:rsidRDefault="00E45CE1" w:rsidP="00E45CE1">
      <w:pPr>
        <w:spacing w:after="0" w:line="276" w:lineRule="auto"/>
        <w:jc w:val="both"/>
        <w:rPr>
          <w:rFonts w:ascii="Tahoma" w:eastAsia="Times New Roman" w:hAnsi="Tahoma" w:cs="Tahoma"/>
          <w:color w:val="000000" w:themeColor="text1"/>
          <w:sz w:val="24"/>
          <w:szCs w:val="24"/>
          <w:lang w:eastAsia="fr-FR"/>
        </w:rPr>
      </w:pPr>
    </w:p>
    <w:p w:rsidR="00E45CE1" w:rsidRPr="00155121" w:rsidRDefault="00E45CE1" w:rsidP="00E45CE1">
      <w:pPr>
        <w:spacing w:after="0" w:line="360" w:lineRule="auto"/>
        <w:jc w:val="both"/>
        <w:rPr>
          <w:rFonts w:ascii="Tahoma" w:eastAsia="Times New Roman" w:hAnsi="Tahoma" w:cs="Tahoma"/>
          <w:color w:val="000000" w:themeColor="text1"/>
          <w:sz w:val="24"/>
          <w:szCs w:val="24"/>
          <w:lang w:eastAsia="fr-FR"/>
        </w:rPr>
      </w:pPr>
    </w:p>
    <w:p w:rsidR="00E45CE1" w:rsidRPr="00155121" w:rsidRDefault="00E45CE1" w:rsidP="00E45CE1">
      <w:pPr>
        <w:spacing w:after="0" w:line="360" w:lineRule="auto"/>
        <w:jc w:val="both"/>
        <w:rPr>
          <w:rFonts w:ascii="Tahoma" w:eastAsia="Times New Roman" w:hAnsi="Tahoma" w:cs="Tahoma"/>
          <w:color w:val="000000" w:themeColor="text1"/>
          <w:sz w:val="24"/>
          <w:szCs w:val="24"/>
          <w:lang w:eastAsia="fr-FR"/>
        </w:rPr>
      </w:pPr>
      <w:r w:rsidRPr="00155121">
        <w:rPr>
          <w:rFonts w:ascii="Tahoma" w:eastAsia="Times New Roman" w:hAnsi="Tahoma" w:cs="Tahoma"/>
          <w:color w:val="000000" w:themeColor="text1"/>
          <w:sz w:val="24"/>
          <w:szCs w:val="24"/>
          <w:lang w:eastAsia="fr-FR"/>
        </w:rPr>
        <w:t xml:space="preserve">West, Geoffrey, Scale: The Universal Laws of Growth, Innovation, Sustainability, and the Pace of Life in Organisms, Cities, Economies, and Companies, New York, Penguin Press, 2017. </w:t>
      </w:r>
    </w:p>
    <w:p w:rsidR="00E45CE1" w:rsidRPr="00155121" w:rsidRDefault="00E45CE1" w:rsidP="00E45CE1">
      <w:pPr>
        <w:spacing w:after="0" w:line="360" w:lineRule="auto"/>
        <w:jc w:val="both"/>
        <w:rPr>
          <w:rFonts w:ascii="Tahoma" w:eastAsia="Times New Roman" w:hAnsi="Tahoma" w:cs="Tahoma"/>
          <w:color w:val="000000" w:themeColor="text1"/>
          <w:sz w:val="24"/>
          <w:szCs w:val="24"/>
          <w:lang w:eastAsia="fr-FR"/>
        </w:rPr>
      </w:pPr>
    </w:p>
    <w:p w:rsidR="00E45CE1" w:rsidRPr="00155121" w:rsidRDefault="00E45CE1" w:rsidP="00E45CE1">
      <w:pPr>
        <w:spacing w:line="360" w:lineRule="auto"/>
        <w:jc w:val="both"/>
        <w:rPr>
          <w:rFonts w:ascii="Tahoma" w:hAnsi="Tahoma" w:cs="Tahoma"/>
          <w:color w:val="000000" w:themeColor="text1"/>
          <w:sz w:val="24"/>
          <w:szCs w:val="24"/>
        </w:rPr>
      </w:pPr>
      <w:r w:rsidRPr="00155121">
        <w:rPr>
          <w:rFonts w:ascii="Tahoma" w:eastAsia="Times New Roman" w:hAnsi="Tahoma" w:cs="Tahoma"/>
          <w:color w:val="000000" w:themeColor="text1"/>
          <w:sz w:val="24"/>
          <w:szCs w:val="24"/>
          <w:lang w:eastAsia="fr-FR"/>
        </w:rPr>
        <w:t>William D. MIDDLETON, "Logging Railways", dans William D. MIDDLETON, George M. SMERK &amp; Roberta L. DIEHL, Encyclopedia of North American Railroads, Bloomington, Indiana University Press, 2007, p. 628.</w:t>
      </w:r>
    </w:p>
    <w:p w:rsidR="00E45CE1" w:rsidRPr="00155121" w:rsidRDefault="00E45CE1" w:rsidP="00E45CE1">
      <w:pPr>
        <w:pStyle w:val="NormalWeb"/>
        <w:jc w:val="both"/>
        <w:rPr>
          <w:rFonts w:ascii="Tahoma" w:eastAsia="Calibri" w:hAnsi="Tahoma" w:cs="Tahoma"/>
          <w:color w:val="000000" w:themeColor="text1"/>
          <w:lang w:eastAsia="en-US"/>
        </w:rPr>
      </w:pPr>
      <w:r w:rsidRPr="00155121">
        <w:rPr>
          <w:rFonts w:ascii="Tahoma" w:eastAsia="Calibri" w:hAnsi="Tahoma" w:cs="Tahoma"/>
          <w:color w:val="000000" w:themeColor="text1"/>
          <w:lang w:eastAsia="en-US"/>
        </w:rPr>
        <w:t>William Diebold, « East-West Trade and the Marshall Plan », Foreign Affairs, vol. 26, n° 4, 1946, p. 709–722.</w:t>
      </w:r>
    </w:p>
    <w:p w:rsidR="00E45CE1" w:rsidRPr="00155121" w:rsidRDefault="00E45CE1" w:rsidP="00E45CE1">
      <w:pPr>
        <w:spacing w:after="0" w:line="276" w:lineRule="auto"/>
        <w:jc w:val="both"/>
        <w:rPr>
          <w:rFonts w:ascii="Tahoma" w:eastAsia="Times New Roman" w:hAnsi="Tahoma" w:cs="Tahoma"/>
          <w:color w:val="000000" w:themeColor="text1"/>
          <w:sz w:val="24"/>
          <w:szCs w:val="24"/>
          <w:lang w:eastAsia="fr-FR"/>
        </w:rPr>
      </w:pPr>
      <w:r w:rsidRPr="00155121">
        <w:rPr>
          <w:rFonts w:ascii="Tahoma" w:eastAsia="Times New Roman" w:hAnsi="Tahoma" w:cs="Tahoma"/>
          <w:color w:val="000000" w:themeColor="text1"/>
          <w:sz w:val="24"/>
          <w:szCs w:val="24"/>
          <w:lang w:eastAsia="fr-FR"/>
        </w:rPr>
        <w:t xml:space="preserve">William PHILLIPS, "La luminosité des champignons", Revue mycologique, n° 37, 1888, pp. 120-126. </w:t>
      </w:r>
    </w:p>
    <w:p w:rsidR="00E45CE1" w:rsidRPr="00155121" w:rsidRDefault="00E45CE1" w:rsidP="00E45CE1">
      <w:pPr>
        <w:spacing w:after="0" w:line="276" w:lineRule="auto"/>
        <w:jc w:val="both"/>
        <w:rPr>
          <w:rFonts w:ascii="Tahoma" w:eastAsia="Times New Roman" w:hAnsi="Tahoma" w:cs="Tahoma"/>
          <w:color w:val="000000" w:themeColor="text1"/>
          <w:sz w:val="24"/>
          <w:szCs w:val="24"/>
          <w:lang w:eastAsia="fr-FR"/>
        </w:rPr>
      </w:pPr>
    </w:p>
    <w:p w:rsidR="00E45CE1" w:rsidRPr="00155121" w:rsidRDefault="00E45CE1" w:rsidP="00E45CE1">
      <w:pPr>
        <w:spacing w:after="0" w:line="360" w:lineRule="auto"/>
        <w:jc w:val="both"/>
        <w:rPr>
          <w:rFonts w:ascii="Tahoma" w:eastAsia="Times New Roman" w:hAnsi="Tahoma" w:cs="Tahoma"/>
          <w:color w:val="000000" w:themeColor="text1"/>
          <w:sz w:val="24"/>
          <w:szCs w:val="24"/>
          <w:lang w:eastAsia="fr-FR"/>
        </w:rPr>
      </w:pPr>
      <w:r w:rsidRPr="00155121">
        <w:rPr>
          <w:rFonts w:ascii="Tahoma" w:eastAsia="Times New Roman" w:hAnsi="Tahoma" w:cs="Tahoma"/>
          <w:color w:val="000000" w:themeColor="text1"/>
          <w:sz w:val="24"/>
          <w:szCs w:val="24"/>
          <w:lang w:eastAsia="fr-FR"/>
        </w:rPr>
        <w:t xml:space="preserve">Williams, Michael, Americans and Their Forests: A Historical Geography, Cambridge, Cambridge University Press, 1992. </w:t>
      </w:r>
    </w:p>
    <w:p w:rsidR="00E45CE1" w:rsidRPr="00155121" w:rsidRDefault="00E45CE1" w:rsidP="00E45CE1">
      <w:pPr>
        <w:spacing w:after="0" w:line="360" w:lineRule="auto"/>
        <w:jc w:val="both"/>
        <w:rPr>
          <w:rFonts w:ascii="Tahoma" w:eastAsia="Times New Roman" w:hAnsi="Tahoma" w:cs="Tahoma"/>
          <w:color w:val="000000" w:themeColor="text1"/>
          <w:sz w:val="24"/>
          <w:szCs w:val="24"/>
          <w:lang w:eastAsia="fr-FR"/>
        </w:rPr>
      </w:pPr>
    </w:p>
    <w:p w:rsidR="00E45CE1" w:rsidRPr="00155121" w:rsidRDefault="00E45CE1" w:rsidP="00E45CE1">
      <w:pPr>
        <w:spacing w:after="0" w:line="276" w:lineRule="auto"/>
        <w:jc w:val="both"/>
        <w:rPr>
          <w:rFonts w:ascii="Tahoma" w:eastAsia="Times New Roman" w:hAnsi="Tahoma" w:cs="Tahoma"/>
          <w:color w:val="000000" w:themeColor="text1"/>
          <w:sz w:val="24"/>
          <w:szCs w:val="24"/>
          <w:lang w:eastAsia="fr-FR"/>
        </w:rPr>
      </w:pPr>
      <w:r w:rsidRPr="00155121">
        <w:rPr>
          <w:rFonts w:ascii="Tahoma" w:eastAsia="Times New Roman" w:hAnsi="Tahoma" w:cs="Tahoma"/>
          <w:color w:val="000000" w:themeColor="text1"/>
          <w:sz w:val="24"/>
          <w:szCs w:val="24"/>
          <w:lang w:eastAsia="fr-FR"/>
        </w:rPr>
        <w:t xml:space="preserve">Wright, Tim, "Entrepreneurs, Politicians and the Chinese Coal Industry, 1895-1937", Modern Asian Studies, vol. 14, no 4, 1980, p. 579-602. </w:t>
      </w:r>
    </w:p>
    <w:p w:rsidR="00E45CE1" w:rsidRPr="00155121" w:rsidRDefault="00E45CE1" w:rsidP="00E45CE1">
      <w:pPr>
        <w:spacing w:after="0" w:line="276" w:lineRule="auto"/>
        <w:jc w:val="both"/>
        <w:rPr>
          <w:rFonts w:ascii="Tahoma" w:eastAsia="Times New Roman" w:hAnsi="Tahoma" w:cs="Tahoma"/>
          <w:color w:val="000000" w:themeColor="text1"/>
          <w:sz w:val="24"/>
          <w:szCs w:val="24"/>
          <w:lang w:eastAsia="fr-FR"/>
        </w:rPr>
      </w:pPr>
    </w:p>
    <w:p w:rsidR="00E45CE1" w:rsidRPr="00155121" w:rsidRDefault="00E45CE1" w:rsidP="00E45CE1">
      <w:pPr>
        <w:spacing w:line="360" w:lineRule="auto"/>
        <w:jc w:val="both"/>
        <w:rPr>
          <w:rFonts w:ascii="Tahoma" w:eastAsia="Times New Roman" w:hAnsi="Tahoma" w:cs="Tahoma"/>
          <w:color w:val="000000" w:themeColor="text1"/>
          <w:sz w:val="24"/>
          <w:szCs w:val="24"/>
          <w:lang w:eastAsia="fr-FR"/>
        </w:rPr>
      </w:pPr>
      <w:r w:rsidRPr="00155121">
        <w:rPr>
          <w:rFonts w:ascii="Tahoma" w:eastAsia="Times New Roman" w:hAnsi="Tahoma" w:cs="Tahoma"/>
          <w:color w:val="000000" w:themeColor="text1"/>
          <w:sz w:val="24"/>
          <w:szCs w:val="24"/>
          <w:lang w:eastAsia="fr-FR"/>
        </w:rPr>
        <w:t>Wrigley, Edward Anthony, Energy and the English Industrial Revolution, Cambridge, Cambridge University Press, 2010.</w:t>
      </w:r>
    </w:p>
    <w:p w:rsidR="00E45CE1" w:rsidRPr="00155121" w:rsidRDefault="00E45CE1" w:rsidP="00E45CE1">
      <w:pPr>
        <w:spacing w:after="0" w:line="276" w:lineRule="auto"/>
        <w:jc w:val="both"/>
        <w:rPr>
          <w:rFonts w:ascii="Tahoma" w:eastAsia="Times New Roman" w:hAnsi="Tahoma" w:cs="Tahoma"/>
          <w:color w:val="000000" w:themeColor="text1"/>
          <w:sz w:val="24"/>
          <w:szCs w:val="24"/>
          <w:lang w:eastAsia="fr-FR"/>
        </w:rPr>
      </w:pPr>
      <w:r w:rsidRPr="00155121">
        <w:rPr>
          <w:rFonts w:ascii="Tahoma" w:eastAsia="Times New Roman" w:hAnsi="Tahoma" w:cs="Tahoma"/>
          <w:color w:val="000000" w:themeColor="text1"/>
          <w:sz w:val="24"/>
          <w:szCs w:val="24"/>
          <w:lang w:eastAsia="fr-FR"/>
        </w:rPr>
        <w:t xml:space="preserve">ZON, Raphael, "Forestry and the Mining Industry", Proceedings of the Lake Superior Mining Institute, vol. 21-24, 1916-1917, p. 271-279. </w:t>
      </w:r>
    </w:p>
    <w:p w:rsidR="00E45CE1" w:rsidRPr="00155121" w:rsidRDefault="00E45CE1" w:rsidP="00E45CE1">
      <w:pPr>
        <w:spacing w:after="0" w:line="276" w:lineRule="auto"/>
        <w:jc w:val="both"/>
        <w:rPr>
          <w:rFonts w:ascii="Tahoma" w:eastAsia="Times New Roman" w:hAnsi="Tahoma" w:cs="Tahoma"/>
          <w:color w:val="000000" w:themeColor="text1"/>
          <w:sz w:val="24"/>
          <w:szCs w:val="24"/>
          <w:lang w:eastAsia="fr-FR"/>
        </w:rPr>
      </w:pPr>
    </w:p>
    <w:p w:rsidR="00E45CE1" w:rsidRPr="00155121" w:rsidRDefault="00E45CE1" w:rsidP="00E45CE1">
      <w:pPr>
        <w:spacing w:after="0" w:line="276" w:lineRule="auto"/>
        <w:jc w:val="both"/>
        <w:rPr>
          <w:rFonts w:ascii="Tahoma" w:eastAsia="Times New Roman" w:hAnsi="Tahoma" w:cs="Tahoma"/>
          <w:color w:val="000000" w:themeColor="text1"/>
          <w:sz w:val="24"/>
          <w:szCs w:val="24"/>
          <w:lang w:eastAsia="fr-FR"/>
        </w:rPr>
      </w:pPr>
      <w:r w:rsidRPr="00155121">
        <w:rPr>
          <w:rFonts w:ascii="Tahoma" w:eastAsia="Times New Roman" w:hAnsi="Tahoma" w:cs="Tahoma"/>
          <w:color w:val="000000" w:themeColor="text1"/>
          <w:sz w:val="24"/>
          <w:szCs w:val="24"/>
          <w:lang w:eastAsia="fr-FR"/>
        </w:rPr>
        <w:t xml:space="preserve">ZVONKOV, V., "Volga-Don Canal Opens New Ship Routes", USSR Information Bulletin, vol. 12, 1952, p. 387-388. </w:t>
      </w:r>
    </w:p>
    <w:p w:rsidR="00E45CE1" w:rsidRPr="00155121" w:rsidRDefault="00E45CE1" w:rsidP="00E45CE1">
      <w:pPr>
        <w:spacing w:after="0" w:line="276" w:lineRule="auto"/>
        <w:jc w:val="both"/>
        <w:rPr>
          <w:rFonts w:ascii="Tahoma" w:eastAsia="Times New Roman" w:hAnsi="Tahoma" w:cs="Tahoma"/>
          <w:color w:val="000000" w:themeColor="text1"/>
          <w:sz w:val="24"/>
          <w:szCs w:val="24"/>
          <w:lang w:eastAsia="fr-FR"/>
        </w:rPr>
      </w:pPr>
    </w:p>
    <w:p w:rsidR="00E45CE1" w:rsidRDefault="00E45CE1" w:rsidP="00E45CE1">
      <w:pPr>
        <w:spacing w:after="0" w:line="276" w:lineRule="auto"/>
        <w:jc w:val="both"/>
        <w:rPr>
          <w:rFonts w:ascii="Tahoma" w:eastAsia="Times New Roman" w:hAnsi="Tahoma" w:cs="Tahoma"/>
          <w:sz w:val="24"/>
          <w:szCs w:val="24"/>
          <w:lang w:eastAsia="fr-FR"/>
        </w:rPr>
      </w:pPr>
    </w:p>
    <w:p w:rsidR="00E45CE1" w:rsidRPr="002462E6" w:rsidRDefault="00E45CE1" w:rsidP="00E45CE1">
      <w:pPr>
        <w:rPr>
          <w:rFonts w:ascii="Tahoma" w:hAnsi="Tahoma" w:cs="Tahoma"/>
          <w:b/>
          <w:bCs/>
          <w:sz w:val="32"/>
          <w:szCs w:val="32"/>
        </w:rPr>
      </w:pPr>
      <w:r w:rsidRPr="002462E6">
        <w:rPr>
          <w:rFonts w:ascii="Tahoma" w:hAnsi="Tahoma" w:cs="Tahoma"/>
          <w:b/>
          <w:bCs/>
          <w:sz w:val="32"/>
          <w:szCs w:val="32"/>
        </w:rPr>
        <w:t xml:space="preserve">Thèses et mémoire : </w:t>
      </w:r>
    </w:p>
    <w:p w:rsidR="00E45CE1" w:rsidRDefault="00E45CE1" w:rsidP="00E45CE1">
      <w:pPr>
        <w:spacing w:after="0" w:line="276" w:lineRule="auto"/>
        <w:jc w:val="both"/>
        <w:rPr>
          <w:rFonts w:ascii="Tahoma" w:eastAsia="Times New Roman" w:hAnsi="Tahoma" w:cs="Tahoma"/>
          <w:sz w:val="24"/>
          <w:szCs w:val="24"/>
          <w:lang w:eastAsia="fr-FR"/>
        </w:rPr>
      </w:pPr>
    </w:p>
    <w:p w:rsidR="00E45CE1" w:rsidRDefault="00E45CE1" w:rsidP="00E45CE1">
      <w:pPr>
        <w:pStyle w:val="Notedebasdepage"/>
        <w:jc w:val="both"/>
        <w:rPr>
          <w:rFonts w:ascii="Tahoma" w:hAnsi="Tahoma" w:cs="Tahoma"/>
          <w:sz w:val="24"/>
          <w:szCs w:val="24"/>
          <w:lang w:eastAsia="fr-FR"/>
        </w:rPr>
      </w:pPr>
      <w:r w:rsidRPr="00701BCB">
        <w:rPr>
          <w:rFonts w:ascii="Tahoma" w:hAnsi="Tahoma" w:cs="Tahoma"/>
          <w:sz w:val="24"/>
          <w:szCs w:val="24"/>
          <w:lang w:eastAsia="fr-FR"/>
        </w:rPr>
        <w:t>AUBERT, Pierre-Marie, Action publique et société rurale dans la gestion des forêts marocaines : changement social et efficacité environnementale, thèse de doctorat en Sciences sociales de l'environnement, sous la direction de Maya Leroy, AgroParisTech, 2010, 19 octobre 2010, HAL Id: tel-00987319.</w:t>
      </w:r>
    </w:p>
    <w:p w:rsidR="00E45CE1" w:rsidRDefault="00E45CE1" w:rsidP="00E45CE1">
      <w:pPr>
        <w:pStyle w:val="Notedebasdepage"/>
        <w:jc w:val="both"/>
        <w:rPr>
          <w:rFonts w:ascii="Tahoma" w:hAnsi="Tahoma" w:cs="Tahoma"/>
          <w:sz w:val="24"/>
          <w:szCs w:val="24"/>
          <w:lang w:eastAsia="fr-FR"/>
        </w:rPr>
      </w:pPr>
    </w:p>
    <w:p w:rsidR="00E45CE1" w:rsidRPr="00701BCB" w:rsidRDefault="00E45CE1" w:rsidP="00E45CE1">
      <w:pPr>
        <w:pStyle w:val="Notedebasdepage"/>
        <w:jc w:val="both"/>
        <w:rPr>
          <w:rFonts w:ascii="Tahoma" w:hAnsi="Tahoma" w:cs="Tahoma"/>
          <w:sz w:val="24"/>
          <w:szCs w:val="24"/>
          <w:lang w:eastAsia="fr-FR"/>
        </w:rPr>
      </w:pPr>
      <w:r w:rsidRPr="00701BCB">
        <w:rPr>
          <w:rFonts w:ascii="Tahoma" w:hAnsi="Tahoma" w:cs="Tahoma"/>
          <w:sz w:val="24"/>
          <w:szCs w:val="24"/>
          <w:lang w:eastAsia="fr-FR"/>
        </w:rPr>
        <w:t>BRAHMA, Mustapha, Le rôle des acteurs dans la gestion de l'arganeraie : du vernaculaire aux pratiques actuelles, thèse de doctorat en Urbanisme et Aménagement, sous la direction de Mohamed Haddy et la co-direction de Fayçal Benchekroun, Institut National d'Aménagement et d'Urbanisme (INAU), Rabat, 2021.</w:t>
      </w:r>
    </w:p>
    <w:p w:rsidR="00E45CE1" w:rsidRPr="00701BCB" w:rsidRDefault="00E45CE1" w:rsidP="00E45CE1">
      <w:pPr>
        <w:pStyle w:val="Notedebasdepage"/>
        <w:jc w:val="both"/>
        <w:rPr>
          <w:rFonts w:ascii="Tahoma" w:hAnsi="Tahoma" w:cs="Tahoma"/>
          <w:sz w:val="24"/>
          <w:szCs w:val="24"/>
          <w:lang w:eastAsia="fr-FR"/>
        </w:rPr>
      </w:pPr>
    </w:p>
    <w:p w:rsidR="00E45CE1" w:rsidRPr="00701BCB" w:rsidRDefault="00E45CE1" w:rsidP="00E45CE1">
      <w:pPr>
        <w:pStyle w:val="Notedebasdepage"/>
        <w:jc w:val="both"/>
        <w:rPr>
          <w:rFonts w:ascii="Tahoma" w:hAnsi="Tahoma" w:cs="Tahoma"/>
          <w:sz w:val="24"/>
          <w:szCs w:val="24"/>
          <w:lang w:eastAsia="fr-FR"/>
        </w:rPr>
      </w:pPr>
    </w:p>
    <w:p w:rsidR="00E45CE1" w:rsidRDefault="00E45CE1" w:rsidP="00E45CE1">
      <w:pPr>
        <w:spacing w:after="0" w:line="276" w:lineRule="auto"/>
        <w:jc w:val="both"/>
        <w:rPr>
          <w:rFonts w:ascii="Tahoma" w:hAnsi="Tahoma" w:cs="Tahoma"/>
          <w:sz w:val="24"/>
          <w:szCs w:val="24"/>
        </w:rPr>
      </w:pPr>
      <w:r w:rsidRPr="00701BCB">
        <w:rPr>
          <w:rStyle w:val="lev"/>
          <w:rFonts w:cs="Tahoma"/>
          <w:b w:val="0"/>
          <w:bCs w:val="0"/>
        </w:rPr>
        <w:t>CHATENET, Antoine</w:t>
      </w:r>
      <w:r w:rsidRPr="00701BCB">
        <w:rPr>
          <w:rFonts w:ascii="Tahoma" w:hAnsi="Tahoma" w:cs="Tahoma"/>
          <w:b/>
          <w:bCs/>
          <w:sz w:val="24"/>
          <w:szCs w:val="24"/>
        </w:rPr>
        <w:t>,</w:t>
      </w:r>
      <w:r w:rsidRPr="00701BCB">
        <w:rPr>
          <w:rFonts w:ascii="Tahoma" w:hAnsi="Tahoma" w:cs="Tahoma"/>
          <w:sz w:val="24"/>
          <w:szCs w:val="24"/>
        </w:rPr>
        <w:t xml:space="preserve"> </w:t>
      </w:r>
      <w:r w:rsidRPr="00701BCB">
        <w:rPr>
          <w:rStyle w:val="Accentuation"/>
          <w:rFonts w:cs="Tahoma"/>
          <w:sz w:val="24"/>
          <w:szCs w:val="24"/>
        </w:rPr>
        <w:t>Forêts et droit international : les aspects juridiques de la protection internationale des forêts</w:t>
      </w:r>
      <w:r w:rsidRPr="00701BCB">
        <w:rPr>
          <w:rFonts w:ascii="Tahoma" w:hAnsi="Tahoma" w:cs="Tahoma"/>
          <w:sz w:val="24"/>
          <w:szCs w:val="24"/>
        </w:rPr>
        <w:t>, mémoire de Master II droit de l'environnement, sous la direction de Stéphane Doumbé-Billé, Université Jean Moulin Lyon 3, Lyon, Publication de l'Université Jean Moulin Lyon 3, coll. « Collection des mémoires de l'équipe de droit public », n° 14, 2010, 978-2-916377-92-6.</w:t>
      </w:r>
    </w:p>
    <w:p w:rsidR="00E45CE1" w:rsidRDefault="00E45CE1" w:rsidP="00E45CE1">
      <w:pPr>
        <w:spacing w:after="0" w:line="276" w:lineRule="auto"/>
        <w:jc w:val="both"/>
        <w:rPr>
          <w:rFonts w:ascii="Tahoma" w:hAnsi="Tahoma" w:cs="Tahoma"/>
          <w:sz w:val="24"/>
          <w:szCs w:val="24"/>
        </w:rPr>
      </w:pPr>
    </w:p>
    <w:p w:rsidR="00E45CE1" w:rsidRPr="00701BCB" w:rsidRDefault="00E45CE1" w:rsidP="00E45CE1">
      <w:pPr>
        <w:pStyle w:val="Notedebasdepage"/>
        <w:jc w:val="both"/>
        <w:rPr>
          <w:rFonts w:ascii="Tahoma" w:hAnsi="Tahoma" w:cs="Tahoma"/>
          <w:sz w:val="24"/>
          <w:szCs w:val="24"/>
          <w:lang w:eastAsia="fr-FR"/>
        </w:rPr>
      </w:pPr>
      <w:r w:rsidRPr="00701BCB">
        <w:rPr>
          <w:rFonts w:ascii="Tahoma" w:hAnsi="Tahoma" w:cs="Tahoma"/>
          <w:sz w:val="24"/>
          <w:szCs w:val="24"/>
          <w:lang w:eastAsia="fr-FR"/>
        </w:rPr>
        <w:t>Fatima Zahra Berahou, Impacts socio-économiques de la gestion forestière communautaire au Maroc, Thèse de doctorat, Université Mohammed V, Rabat, 2018.</w:t>
      </w:r>
    </w:p>
    <w:p w:rsidR="00E45CE1" w:rsidRPr="00701BCB" w:rsidRDefault="00E45CE1" w:rsidP="00E45CE1">
      <w:pPr>
        <w:spacing w:after="0" w:line="276" w:lineRule="auto"/>
        <w:jc w:val="both"/>
        <w:rPr>
          <w:rFonts w:ascii="Tahoma" w:hAnsi="Tahoma" w:cs="Tahoma"/>
          <w:sz w:val="24"/>
          <w:szCs w:val="24"/>
        </w:rPr>
      </w:pPr>
    </w:p>
    <w:p w:rsidR="00E45CE1" w:rsidRPr="00701BCB" w:rsidRDefault="00E45CE1" w:rsidP="00E45CE1">
      <w:pPr>
        <w:pStyle w:val="Notedebasdepage"/>
        <w:jc w:val="both"/>
        <w:rPr>
          <w:rFonts w:ascii="Tahoma" w:hAnsi="Tahoma" w:cs="Tahoma"/>
          <w:sz w:val="24"/>
          <w:szCs w:val="24"/>
          <w:lang w:eastAsia="fr-FR"/>
        </w:rPr>
      </w:pPr>
    </w:p>
    <w:p w:rsidR="00E45CE1" w:rsidRPr="00701BCB" w:rsidRDefault="00E45CE1" w:rsidP="00E45CE1">
      <w:pPr>
        <w:pStyle w:val="Notedebasdepage"/>
        <w:jc w:val="both"/>
        <w:rPr>
          <w:rFonts w:ascii="Tahoma" w:hAnsi="Tahoma" w:cs="Tahoma"/>
          <w:sz w:val="24"/>
          <w:szCs w:val="24"/>
          <w:lang w:eastAsia="fr-FR"/>
        </w:rPr>
      </w:pPr>
      <w:r w:rsidRPr="00701BCB">
        <w:rPr>
          <w:rFonts w:ascii="Tahoma" w:hAnsi="Tahoma" w:cs="Tahoma"/>
          <w:sz w:val="24"/>
          <w:szCs w:val="24"/>
          <w:lang w:eastAsia="fr-FR"/>
        </w:rPr>
        <w:t>HASAN, Ali Fadhil, Évaluation de la dégradation des forêts primaires par télédétection dans un espace de front pionnier consolidé d'Amazonie orientale (Paragominas), thèse de doctorat en Géographie physique, sous la direction de François Laurent et Lilian Blanc, Le Mans Université, Laboratoire ESO - Espace et Société, 2019, 18 mars 2019, HAL Id: tel-02081519.</w:t>
      </w:r>
    </w:p>
    <w:p w:rsidR="00E45CE1" w:rsidRPr="00701BCB" w:rsidRDefault="00E45CE1" w:rsidP="00E45CE1">
      <w:pPr>
        <w:spacing w:after="0" w:line="276" w:lineRule="auto"/>
        <w:jc w:val="both"/>
        <w:rPr>
          <w:sz w:val="24"/>
          <w:szCs w:val="24"/>
        </w:rPr>
      </w:pPr>
    </w:p>
    <w:p w:rsidR="00E45CE1" w:rsidRPr="00701BCB" w:rsidRDefault="00E45CE1" w:rsidP="00E45CE1">
      <w:pPr>
        <w:pStyle w:val="Notedebasdepage"/>
        <w:jc w:val="both"/>
        <w:rPr>
          <w:rFonts w:ascii="Tahoma" w:hAnsi="Tahoma" w:cs="Tahoma"/>
          <w:sz w:val="24"/>
          <w:szCs w:val="24"/>
          <w:lang w:eastAsia="fr-FR"/>
        </w:rPr>
      </w:pPr>
      <w:r w:rsidRPr="00701BCB">
        <w:rPr>
          <w:rFonts w:ascii="Tahoma" w:hAnsi="Tahoma" w:cs="Tahoma"/>
          <w:sz w:val="24"/>
          <w:szCs w:val="24"/>
          <w:lang w:eastAsia="fr-FR"/>
        </w:rPr>
        <w:t xml:space="preserve">Mohammed ELLATIFI. L’économie de la forêt et des produits forestiers au Maroc : bilan et perspectives. Thèse de Doctorat en Sciences Economiques. Université Montesquieu Bordeau IV. Juin 2012. P : 46.  </w:t>
      </w:r>
    </w:p>
    <w:p w:rsidR="00E45CE1" w:rsidRPr="00701BCB" w:rsidRDefault="00E45CE1" w:rsidP="00E45CE1">
      <w:pPr>
        <w:pStyle w:val="Notedebasdepage"/>
        <w:jc w:val="both"/>
        <w:rPr>
          <w:rFonts w:ascii="Tahoma" w:hAnsi="Tahoma" w:cs="Tahoma"/>
          <w:sz w:val="24"/>
          <w:szCs w:val="24"/>
          <w:lang w:eastAsia="fr-FR"/>
        </w:rPr>
      </w:pPr>
    </w:p>
    <w:p w:rsidR="00E45CE1" w:rsidRPr="00977F39" w:rsidRDefault="00E45CE1" w:rsidP="00E45CE1">
      <w:pPr>
        <w:pStyle w:val="Notedebasdepage"/>
        <w:jc w:val="both"/>
        <w:rPr>
          <w:rFonts w:ascii="Tahoma" w:hAnsi="Tahoma" w:cs="Tahoma"/>
          <w:sz w:val="8"/>
          <w:szCs w:val="8"/>
          <w:lang w:eastAsia="fr-FR"/>
        </w:rPr>
      </w:pPr>
    </w:p>
    <w:p w:rsidR="00E45CE1" w:rsidRDefault="00E45CE1" w:rsidP="00E45CE1">
      <w:pPr>
        <w:pStyle w:val="Notedebasdepage"/>
        <w:jc w:val="both"/>
        <w:rPr>
          <w:rFonts w:ascii="Tahoma" w:hAnsi="Tahoma" w:cs="Tahoma"/>
          <w:sz w:val="24"/>
          <w:szCs w:val="24"/>
          <w:lang w:eastAsia="fr-FR"/>
        </w:rPr>
      </w:pPr>
      <w:r w:rsidRPr="00701BCB">
        <w:rPr>
          <w:rFonts w:ascii="Tahoma" w:hAnsi="Tahoma" w:cs="Tahoma"/>
          <w:sz w:val="24"/>
          <w:szCs w:val="24"/>
          <w:lang w:eastAsia="fr-FR"/>
        </w:rPr>
        <w:t>MONTÈS, Nicolas, Potentialités, dynamique et gestion d'une formation arborée à genévrier thurifère (Juniperus thurifera L.) des Atlas marocains : le cas de la vallée de l'Azzaden, thèse de doctorat en Géographie - Aménagement, sous la direction de Thierry Gauquelin, Université Toulouse le Mirail - Toulouse II, 1999, 28 septembre 1999, HAL Id: tel-00137746.</w:t>
      </w:r>
    </w:p>
    <w:p w:rsidR="00E45CE1" w:rsidRPr="00701BCB" w:rsidRDefault="00E45CE1" w:rsidP="00E45CE1">
      <w:pPr>
        <w:pStyle w:val="Notedebasdepage"/>
        <w:jc w:val="both"/>
        <w:rPr>
          <w:rFonts w:ascii="Tahoma" w:hAnsi="Tahoma" w:cs="Tahoma"/>
          <w:sz w:val="24"/>
          <w:szCs w:val="24"/>
          <w:lang w:eastAsia="fr-FR"/>
        </w:rPr>
      </w:pPr>
    </w:p>
    <w:p w:rsidR="00E45CE1" w:rsidRPr="00977F39" w:rsidRDefault="00E45CE1" w:rsidP="00E45CE1">
      <w:pPr>
        <w:pStyle w:val="Notedebasdepage"/>
        <w:jc w:val="both"/>
        <w:rPr>
          <w:rFonts w:ascii="Tahoma" w:hAnsi="Tahoma" w:cs="Tahoma"/>
          <w:sz w:val="12"/>
          <w:szCs w:val="12"/>
          <w:lang w:eastAsia="fr-FR"/>
        </w:rPr>
      </w:pPr>
    </w:p>
    <w:p w:rsidR="00E45CE1" w:rsidRPr="00701BCB" w:rsidRDefault="00E45CE1" w:rsidP="00E45CE1">
      <w:pPr>
        <w:pStyle w:val="Notedebasdepage"/>
        <w:jc w:val="both"/>
        <w:rPr>
          <w:rFonts w:ascii="Tahoma" w:hAnsi="Tahoma" w:cs="Tahoma"/>
          <w:sz w:val="24"/>
          <w:szCs w:val="24"/>
          <w:lang w:eastAsia="fr-FR"/>
        </w:rPr>
      </w:pPr>
      <w:r w:rsidRPr="00701BCB">
        <w:rPr>
          <w:rFonts w:ascii="Tahoma" w:hAnsi="Tahoma" w:cs="Tahoma"/>
          <w:sz w:val="24"/>
          <w:szCs w:val="24"/>
          <w:lang w:eastAsia="fr-FR"/>
        </w:rPr>
        <w:t>TRA BI, Zamblé Armand, Étude de l'impact des activités anthropiques et de la variabilité climatique sur la végétation et les usages des sols, par utilisation de la télédétection et des statistiques agricoles, sur le bassin versant du Bouregreg (Maroc), thèse de doctorat en Géographie, spécialité Géographie physique, sous la direction de Yao Télesphore Brou et la co-direction de Bidi Jean Tape, soutenue le 20 juin 2013.</w:t>
      </w:r>
    </w:p>
    <w:p w:rsidR="00E45CE1" w:rsidRPr="00701BCB" w:rsidRDefault="00E45CE1" w:rsidP="00E45CE1">
      <w:pPr>
        <w:pStyle w:val="Notedebasdepage"/>
        <w:jc w:val="both"/>
        <w:rPr>
          <w:rFonts w:ascii="Tahoma" w:hAnsi="Tahoma" w:cs="Tahoma"/>
          <w:sz w:val="24"/>
          <w:szCs w:val="24"/>
          <w:lang w:eastAsia="fr-FR"/>
        </w:rPr>
      </w:pPr>
    </w:p>
    <w:p w:rsidR="00E45CE1" w:rsidRDefault="00E45CE1" w:rsidP="00E45CE1">
      <w:pPr>
        <w:spacing w:after="0" w:line="276" w:lineRule="auto"/>
        <w:jc w:val="both"/>
        <w:rPr>
          <w:rFonts w:ascii="Tahoma" w:eastAsia="Times New Roman" w:hAnsi="Tahoma" w:cs="Tahoma"/>
          <w:sz w:val="24"/>
          <w:szCs w:val="24"/>
          <w:lang w:eastAsia="fr-FR"/>
        </w:rPr>
      </w:pPr>
    </w:p>
    <w:p w:rsidR="00E45CE1" w:rsidRPr="002462E6" w:rsidRDefault="00E45CE1" w:rsidP="00E45CE1">
      <w:pPr>
        <w:spacing w:after="0" w:line="276" w:lineRule="auto"/>
        <w:jc w:val="both"/>
        <w:rPr>
          <w:rFonts w:ascii="Tahoma" w:eastAsia="Times New Roman" w:hAnsi="Tahoma" w:cs="Tahoma"/>
          <w:sz w:val="24"/>
          <w:szCs w:val="24"/>
          <w:lang w:eastAsia="fr-FR"/>
        </w:rPr>
      </w:pPr>
    </w:p>
    <w:p w:rsidR="00E45CE1" w:rsidRPr="002462E6" w:rsidRDefault="00E45CE1" w:rsidP="00E45CE1">
      <w:pPr>
        <w:rPr>
          <w:rFonts w:ascii="Tahoma" w:hAnsi="Tahoma" w:cs="Tahoma"/>
          <w:b/>
          <w:bCs/>
          <w:sz w:val="28"/>
          <w:szCs w:val="28"/>
        </w:rPr>
      </w:pPr>
      <w:r w:rsidRPr="002462E6">
        <w:rPr>
          <w:rFonts w:ascii="Tahoma" w:hAnsi="Tahoma" w:cs="Tahoma"/>
          <w:b/>
          <w:bCs/>
          <w:sz w:val="28"/>
          <w:szCs w:val="28"/>
        </w:rPr>
        <w:t>Rapports et Etudes</w:t>
      </w:r>
    </w:p>
    <w:p w:rsidR="00E45CE1" w:rsidRPr="00155121" w:rsidRDefault="00E45CE1" w:rsidP="00E45CE1">
      <w:pPr>
        <w:spacing w:before="100" w:beforeAutospacing="1" w:after="100" w:afterAutospacing="1" w:line="240" w:lineRule="auto"/>
        <w:jc w:val="both"/>
        <w:rPr>
          <w:rFonts w:ascii="Tahoma" w:eastAsia="Times New Roman" w:hAnsi="Tahoma" w:cs="Tahoma"/>
          <w:sz w:val="24"/>
          <w:szCs w:val="24"/>
          <w:lang w:eastAsia="fr-FR"/>
        </w:rPr>
      </w:pPr>
      <w:r w:rsidRPr="00155121">
        <w:rPr>
          <w:rFonts w:ascii="Tahoma" w:eastAsia="Times New Roman" w:hAnsi="Tahoma" w:cs="Tahoma"/>
          <w:sz w:val="24"/>
          <w:szCs w:val="24"/>
          <w:lang w:eastAsia="fr-FR"/>
        </w:rPr>
        <w:t>Abdelkader El Firdoussi (2000). Modernisation de la formation forestière au Maroc : enjeux et perspectives. FAO, Rome.</w:t>
      </w:r>
    </w:p>
    <w:p w:rsidR="00E45CE1" w:rsidRPr="00155121" w:rsidRDefault="00E45CE1" w:rsidP="00E45CE1">
      <w:pPr>
        <w:spacing w:after="0" w:line="240" w:lineRule="auto"/>
        <w:jc w:val="both"/>
        <w:rPr>
          <w:rFonts w:ascii="Tahoma" w:eastAsia="Calibri" w:hAnsi="Tahoma" w:cs="Tahoma"/>
          <w:sz w:val="24"/>
          <w:szCs w:val="24"/>
        </w:rPr>
      </w:pPr>
      <w:r w:rsidRPr="00155121">
        <w:rPr>
          <w:rFonts w:ascii="Tahoma" w:eastAsia="Calibri" w:hAnsi="Tahoma" w:cs="Tahoma"/>
          <w:sz w:val="24"/>
          <w:szCs w:val="24"/>
        </w:rPr>
        <w:t>Banque Mondiale, Coût de la dégradation de l'environnement au Maroc. Chiffre de PIB actualisé, 2021.</w:t>
      </w:r>
    </w:p>
    <w:p w:rsidR="00E45CE1" w:rsidRPr="00155121" w:rsidRDefault="00E45CE1" w:rsidP="00E45CE1">
      <w:pPr>
        <w:spacing w:after="0" w:line="240" w:lineRule="auto"/>
        <w:jc w:val="both"/>
        <w:rPr>
          <w:rFonts w:ascii="Tahoma" w:eastAsia="Calibri" w:hAnsi="Tahoma" w:cs="Tahoma"/>
          <w:sz w:val="24"/>
          <w:szCs w:val="24"/>
        </w:rPr>
      </w:pPr>
    </w:p>
    <w:p w:rsidR="00E45CE1" w:rsidRPr="00155121" w:rsidRDefault="00E45CE1" w:rsidP="00E45CE1">
      <w:pPr>
        <w:spacing w:after="0" w:line="240" w:lineRule="auto"/>
        <w:jc w:val="both"/>
        <w:rPr>
          <w:rFonts w:ascii="Tahoma" w:eastAsia="Calibri" w:hAnsi="Tahoma" w:cs="Tahoma"/>
          <w:sz w:val="24"/>
          <w:szCs w:val="24"/>
        </w:rPr>
      </w:pPr>
      <w:r w:rsidRPr="00155121">
        <w:rPr>
          <w:rFonts w:ascii="Tahoma" w:eastAsia="Calibri" w:hAnsi="Tahoma" w:cs="Tahoma"/>
          <w:sz w:val="24"/>
          <w:szCs w:val="24"/>
        </w:rPr>
        <w:t>Banque Mondiale, Programme axé sur les résultats – Génération Green du Maroc, n.d.2O2O</w:t>
      </w:r>
    </w:p>
    <w:p w:rsidR="00E45CE1" w:rsidRPr="00155121" w:rsidRDefault="00E45CE1" w:rsidP="00E45CE1">
      <w:pPr>
        <w:spacing w:after="0" w:line="240" w:lineRule="auto"/>
        <w:jc w:val="both"/>
        <w:rPr>
          <w:rFonts w:ascii="Tahoma" w:eastAsia="Calibri" w:hAnsi="Tahoma" w:cs="Tahoma"/>
          <w:sz w:val="24"/>
          <w:szCs w:val="24"/>
        </w:rPr>
      </w:pPr>
    </w:p>
    <w:p w:rsidR="00E45CE1" w:rsidRPr="00155121" w:rsidRDefault="00E45CE1" w:rsidP="00E45CE1">
      <w:pPr>
        <w:spacing w:after="0" w:line="240" w:lineRule="auto"/>
        <w:jc w:val="both"/>
        <w:rPr>
          <w:rFonts w:ascii="Tahoma" w:eastAsia="Calibri" w:hAnsi="Tahoma" w:cs="Tahoma"/>
          <w:sz w:val="24"/>
          <w:szCs w:val="24"/>
        </w:rPr>
      </w:pPr>
      <w:r w:rsidRPr="00155121">
        <w:rPr>
          <w:rFonts w:ascii="Tahoma" w:eastAsia="Calibri" w:hAnsi="Tahoma" w:cs="Tahoma"/>
          <w:sz w:val="24"/>
          <w:szCs w:val="24"/>
        </w:rPr>
        <w:t>Bernard HEUSCH, « Cinquante ans de banquettes de DRS en Afrique du Nord : un bilan », Cahiers ORSTOM Pédologie, vol. 22, 1986, pp. 153-162.</w:t>
      </w:r>
    </w:p>
    <w:p w:rsidR="00E45CE1" w:rsidRPr="00155121" w:rsidRDefault="00E45CE1" w:rsidP="00E45CE1">
      <w:pPr>
        <w:spacing w:after="0" w:line="240" w:lineRule="auto"/>
        <w:jc w:val="both"/>
        <w:rPr>
          <w:rFonts w:ascii="Tahoma" w:eastAsia="Calibri" w:hAnsi="Tahoma" w:cs="Tahoma"/>
          <w:sz w:val="24"/>
          <w:szCs w:val="24"/>
        </w:rPr>
      </w:pPr>
    </w:p>
    <w:p w:rsidR="00E45CE1" w:rsidRPr="00155121" w:rsidRDefault="00E45CE1" w:rsidP="00E45CE1">
      <w:pPr>
        <w:spacing w:after="0" w:line="240" w:lineRule="auto"/>
        <w:jc w:val="both"/>
        <w:rPr>
          <w:rFonts w:ascii="Tahoma" w:eastAsia="Calibri" w:hAnsi="Tahoma" w:cs="Tahoma"/>
          <w:sz w:val="24"/>
          <w:szCs w:val="24"/>
        </w:rPr>
      </w:pPr>
      <w:r w:rsidRPr="00155121">
        <w:rPr>
          <w:rFonts w:ascii="Tahoma" w:eastAsia="Calibri" w:hAnsi="Tahoma" w:cs="Tahoma"/>
          <w:sz w:val="24"/>
          <w:szCs w:val="24"/>
        </w:rPr>
        <w:t>Bernard HEUSCH, « L'érosion du Pré-Rif. Étude quantitative dans les collines marneuses », Annales de Recherches Forestières du Maroc, vol. 12, 1970, pp. 9-176.</w:t>
      </w:r>
    </w:p>
    <w:p w:rsidR="00E45CE1" w:rsidRPr="00155121" w:rsidRDefault="00E45CE1" w:rsidP="00E45CE1">
      <w:pPr>
        <w:spacing w:after="0" w:line="240" w:lineRule="auto"/>
        <w:jc w:val="both"/>
        <w:rPr>
          <w:rFonts w:ascii="Tahoma" w:eastAsia="Calibri" w:hAnsi="Tahoma" w:cs="Tahoma"/>
          <w:sz w:val="24"/>
          <w:szCs w:val="24"/>
        </w:rPr>
      </w:pPr>
    </w:p>
    <w:p w:rsidR="00E45CE1" w:rsidRPr="00155121" w:rsidRDefault="00E45CE1" w:rsidP="00E45CE1">
      <w:pPr>
        <w:jc w:val="both"/>
        <w:rPr>
          <w:rFonts w:ascii="Tahoma" w:eastAsia="Calibri" w:hAnsi="Tahoma" w:cs="Tahoma"/>
          <w:sz w:val="24"/>
          <w:szCs w:val="24"/>
        </w:rPr>
      </w:pPr>
      <w:r w:rsidRPr="00155121">
        <w:rPr>
          <w:rFonts w:ascii="Tahoma" w:eastAsia="Calibri" w:hAnsi="Tahoma" w:cs="Tahoma"/>
          <w:sz w:val="24"/>
          <w:szCs w:val="24"/>
        </w:rPr>
        <w:t>Bouhouch, S. , Résultat de l’enquête nationale sur les terres agricoles soumises à l’érosion. AGR/DAF. Journées d’information sur la gestion conservatoire des terres agricoles, Mahdia, 11-12 et 17-18 juin 1996.</w:t>
      </w:r>
    </w:p>
    <w:p w:rsidR="00E45CE1" w:rsidRPr="00155121" w:rsidRDefault="00E45CE1" w:rsidP="00E45CE1">
      <w:pPr>
        <w:jc w:val="both"/>
        <w:rPr>
          <w:rFonts w:ascii="Tahoma" w:eastAsia="Times New Roman" w:hAnsi="Tahoma" w:cs="Tahoma"/>
          <w:sz w:val="24"/>
          <w:szCs w:val="24"/>
          <w:lang w:eastAsia="fr-FR"/>
        </w:rPr>
      </w:pPr>
      <w:r w:rsidRPr="00155121">
        <w:rPr>
          <w:rFonts w:ascii="Tahoma" w:eastAsia="Times New Roman" w:hAnsi="Tahoma" w:cs="Tahoma"/>
          <w:sz w:val="24"/>
          <w:szCs w:val="24"/>
          <w:lang w:eastAsia="fr-FR"/>
        </w:rPr>
        <w:t>Conseil Économique Social et Environnemental. La gouvernance par la gestion intégrée des ressources en eau au Maroc : levier fondamental de développement durable, 2014.</w:t>
      </w:r>
    </w:p>
    <w:p w:rsidR="00E45CE1" w:rsidRPr="00155121" w:rsidRDefault="00E45CE1" w:rsidP="00E45CE1">
      <w:pPr>
        <w:spacing w:before="100" w:beforeAutospacing="1" w:after="100" w:afterAutospacing="1" w:line="240" w:lineRule="auto"/>
        <w:jc w:val="both"/>
        <w:rPr>
          <w:rFonts w:ascii="Tahoma" w:eastAsia="Times New Roman" w:hAnsi="Tahoma" w:cs="Tahoma"/>
          <w:sz w:val="24"/>
          <w:szCs w:val="24"/>
          <w:lang w:eastAsia="fr-FR"/>
        </w:rPr>
      </w:pPr>
      <w:r w:rsidRPr="00155121">
        <w:rPr>
          <w:rFonts w:ascii="Tahoma" w:eastAsia="Times New Roman" w:hAnsi="Tahoma" w:cs="Tahoma"/>
          <w:sz w:val="24"/>
          <w:szCs w:val="24"/>
          <w:lang w:eastAsia="fr-FR"/>
        </w:rPr>
        <w:t>Conseil Économique, Social et Environnemental (CESE), Les écosystèmes forestiers du Maroc : Risques, défis et opportunités, Rapport, Rabat, 2025.</w:t>
      </w:r>
    </w:p>
    <w:p w:rsidR="00E45CE1" w:rsidRPr="00155121" w:rsidRDefault="00E45CE1" w:rsidP="00E45CE1">
      <w:pPr>
        <w:spacing w:before="100" w:beforeAutospacing="1" w:after="100" w:afterAutospacing="1" w:line="240" w:lineRule="auto"/>
        <w:jc w:val="both"/>
        <w:rPr>
          <w:rFonts w:ascii="Tahoma" w:eastAsia="Times New Roman" w:hAnsi="Tahoma" w:cs="Tahoma"/>
          <w:sz w:val="24"/>
          <w:szCs w:val="24"/>
          <w:lang w:eastAsia="fr-FR"/>
        </w:rPr>
      </w:pPr>
      <w:r w:rsidRPr="00155121">
        <w:rPr>
          <w:rFonts w:ascii="Tahoma" w:eastAsia="Times New Roman" w:hAnsi="Tahoma" w:cs="Tahoma"/>
          <w:sz w:val="24"/>
          <w:szCs w:val="24"/>
          <w:lang w:eastAsia="fr-FR"/>
        </w:rPr>
        <w:t>Conseil Economique, Social et Environnemental. 2017. Le développement rural : espace des zones montagneuses. 98 p. Disponible sur https://www.chambredesrepresentants.ma/sites/default/files/le_developpement_rural_espace_des_zones_montagneuses_c.e.e_en_francais.pdf (Consulté le 26 mai 2020).</w:t>
      </w:r>
    </w:p>
    <w:p w:rsidR="00E45CE1" w:rsidRPr="00155121" w:rsidRDefault="00E45CE1" w:rsidP="00E45CE1">
      <w:pPr>
        <w:spacing w:before="100" w:beforeAutospacing="1" w:after="100" w:afterAutospacing="1" w:line="240" w:lineRule="auto"/>
        <w:jc w:val="both"/>
        <w:rPr>
          <w:rFonts w:ascii="Tahoma" w:eastAsia="Times New Roman" w:hAnsi="Tahoma" w:cs="Tahoma"/>
          <w:sz w:val="24"/>
          <w:szCs w:val="24"/>
          <w:lang w:eastAsia="fr-FR"/>
        </w:rPr>
      </w:pPr>
      <w:r w:rsidRPr="00155121">
        <w:rPr>
          <w:rFonts w:ascii="Tahoma" w:eastAsia="Times New Roman" w:hAnsi="Tahoma" w:cs="Tahoma"/>
          <w:sz w:val="24"/>
          <w:szCs w:val="24"/>
          <w:lang w:eastAsia="fr-FR"/>
        </w:rPr>
        <w:t>Département de l’Environnement. 2016a. Recueil des lois relatives à la protection de l’environnement. Rabat : 174 p. Disponible sur : http://mapecology.ma/wp-content/uploads/2016/11/Recueil_Des_Loisfr1.pdf (Consulté le 3 septembre 2020)</w:t>
      </w:r>
    </w:p>
    <w:p w:rsidR="00E45CE1" w:rsidRPr="00155121" w:rsidRDefault="00E45CE1" w:rsidP="00E45CE1">
      <w:pPr>
        <w:pStyle w:val="whitespace-normal"/>
        <w:jc w:val="both"/>
        <w:rPr>
          <w:rFonts w:ascii="Tahoma" w:hAnsi="Tahoma" w:cs="Tahoma"/>
        </w:rPr>
      </w:pPr>
      <w:r w:rsidRPr="00155121">
        <w:rPr>
          <w:rFonts w:ascii="Tahoma" w:hAnsi="Tahoma" w:cs="Tahoma"/>
        </w:rPr>
        <w:t>DEPARTMENT OF COMMERCE, Abstract of the Census of Manufactures, 1914, Washington DC, US Government Printing Office, 1917.</w:t>
      </w:r>
    </w:p>
    <w:p w:rsidR="00E45CE1" w:rsidRPr="00155121" w:rsidRDefault="00E45CE1" w:rsidP="00E45CE1">
      <w:pPr>
        <w:jc w:val="both"/>
        <w:rPr>
          <w:rFonts w:ascii="Tahoma" w:eastAsia="Times New Roman" w:hAnsi="Tahoma" w:cs="Tahoma"/>
          <w:sz w:val="24"/>
          <w:szCs w:val="24"/>
          <w:lang w:eastAsia="fr-FR"/>
        </w:rPr>
      </w:pPr>
      <w:r w:rsidRPr="00155121">
        <w:rPr>
          <w:rFonts w:ascii="Tahoma" w:eastAsia="Times New Roman" w:hAnsi="Tahoma" w:cs="Tahoma"/>
          <w:sz w:val="24"/>
          <w:szCs w:val="24"/>
          <w:lang w:eastAsia="fr-FR"/>
        </w:rPr>
        <w:t>DEPARTMENT OF STATE, « The Coal Situation in Europe », Foreign Affairs Background Summary, octobre 1947</w:t>
      </w:r>
    </w:p>
    <w:p w:rsidR="00E45CE1" w:rsidRPr="00155121" w:rsidRDefault="00E45CE1" w:rsidP="00E45CE1">
      <w:pPr>
        <w:spacing w:before="100" w:beforeAutospacing="1" w:after="100" w:afterAutospacing="1" w:line="240" w:lineRule="auto"/>
        <w:jc w:val="both"/>
        <w:rPr>
          <w:rFonts w:ascii="Tahoma" w:eastAsia="Times New Roman" w:hAnsi="Tahoma" w:cs="Tahoma"/>
          <w:sz w:val="24"/>
          <w:szCs w:val="24"/>
          <w:lang w:eastAsia="fr-FR"/>
        </w:rPr>
      </w:pPr>
      <w:r w:rsidRPr="00155121">
        <w:rPr>
          <w:rFonts w:ascii="Tahoma" w:eastAsia="Times New Roman" w:hAnsi="Tahoma" w:cs="Tahoma"/>
          <w:sz w:val="24"/>
          <w:szCs w:val="24"/>
          <w:lang w:eastAsia="fr-FR"/>
        </w:rPr>
        <w:t>DEPF (Direction des Études et des Prévisions Financières), Le secteur agricole marocain : tendances structurelles, enjeux et perspectives de développement, 2019.</w:t>
      </w:r>
    </w:p>
    <w:p w:rsidR="00E45CE1" w:rsidRPr="00155121" w:rsidRDefault="00E45CE1" w:rsidP="00E45CE1">
      <w:pPr>
        <w:spacing w:before="100" w:beforeAutospacing="1" w:after="100" w:afterAutospacing="1" w:line="240" w:lineRule="auto"/>
        <w:jc w:val="both"/>
        <w:rPr>
          <w:rFonts w:ascii="Tahoma" w:eastAsia="Times New Roman" w:hAnsi="Tahoma" w:cs="Tahoma"/>
          <w:sz w:val="24"/>
          <w:szCs w:val="24"/>
          <w:lang w:eastAsia="fr-FR"/>
        </w:rPr>
      </w:pPr>
      <w:r w:rsidRPr="00155121">
        <w:rPr>
          <w:rFonts w:ascii="Tahoma" w:eastAsia="Times New Roman" w:hAnsi="Tahoma" w:cs="Tahoma"/>
          <w:sz w:val="24"/>
          <w:szCs w:val="24"/>
          <w:lang w:eastAsia="fr-FR"/>
        </w:rPr>
        <w:t>Direction Générale de la Météorologie, Ministère de l’Équipement et de l’Eau, s.d.</w:t>
      </w:r>
    </w:p>
    <w:p w:rsidR="00E45CE1" w:rsidRPr="00155121" w:rsidRDefault="00E45CE1" w:rsidP="00E45CE1">
      <w:pPr>
        <w:spacing w:before="100" w:beforeAutospacing="1" w:after="100" w:afterAutospacing="1" w:line="240" w:lineRule="auto"/>
        <w:jc w:val="both"/>
        <w:rPr>
          <w:rFonts w:ascii="Tahoma" w:eastAsia="Times New Roman" w:hAnsi="Tahoma" w:cs="Tahoma"/>
          <w:sz w:val="24"/>
          <w:szCs w:val="24"/>
          <w:lang w:eastAsia="fr-FR"/>
        </w:rPr>
      </w:pPr>
      <w:r w:rsidRPr="00155121">
        <w:rPr>
          <w:rFonts w:ascii="Tahoma" w:eastAsia="Times New Roman" w:hAnsi="Tahoma" w:cs="Tahoma"/>
          <w:sz w:val="24"/>
          <w:szCs w:val="24"/>
          <w:lang w:eastAsia="fr-FR"/>
        </w:rPr>
        <w:t>Direction Régionale des Eaux et Forêts et de la Lutte Contre la Désertification (DREFLCD), Plan d'aménagement de la forêt de Korifla 2020–2040, 2019, pp. 15–17.</w:t>
      </w:r>
    </w:p>
    <w:p w:rsidR="00E45CE1" w:rsidRPr="00155121" w:rsidRDefault="00E45CE1" w:rsidP="00E45CE1">
      <w:pPr>
        <w:spacing w:before="100" w:beforeAutospacing="1" w:after="100" w:afterAutospacing="1" w:line="240" w:lineRule="auto"/>
        <w:jc w:val="both"/>
        <w:rPr>
          <w:rFonts w:ascii="Tahoma" w:eastAsia="Times New Roman" w:hAnsi="Tahoma" w:cs="Tahoma"/>
          <w:sz w:val="24"/>
          <w:szCs w:val="24"/>
          <w:lang w:eastAsia="fr-FR"/>
        </w:rPr>
      </w:pPr>
      <w:r w:rsidRPr="00155121">
        <w:rPr>
          <w:rFonts w:ascii="Tahoma" w:eastAsia="Times New Roman" w:hAnsi="Tahoma" w:cs="Tahoma"/>
          <w:sz w:val="24"/>
          <w:szCs w:val="24"/>
          <w:lang w:eastAsia="fr-FR"/>
        </w:rPr>
        <w:t>FAO, European Timber Statistics 1913–1950 / Statistiques européennes du bois, Genève, Nations Unies, 1953.</w:t>
      </w:r>
    </w:p>
    <w:p w:rsidR="00E45CE1" w:rsidRPr="00155121" w:rsidRDefault="00E45CE1" w:rsidP="00E45CE1">
      <w:pPr>
        <w:spacing w:before="100" w:beforeAutospacing="1" w:after="100" w:afterAutospacing="1" w:line="240" w:lineRule="auto"/>
        <w:jc w:val="both"/>
        <w:rPr>
          <w:rFonts w:ascii="Tahoma" w:eastAsia="Times New Roman" w:hAnsi="Tahoma" w:cs="Tahoma"/>
          <w:sz w:val="24"/>
          <w:szCs w:val="24"/>
          <w:lang w:eastAsia="fr-FR"/>
        </w:rPr>
      </w:pPr>
      <w:r w:rsidRPr="00155121">
        <w:rPr>
          <w:rFonts w:ascii="Tahoma" w:eastAsia="Times New Roman" w:hAnsi="Tahoma" w:cs="Tahoma"/>
          <w:sz w:val="24"/>
          <w:szCs w:val="24"/>
          <w:lang w:eastAsia="fr-FR"/>
        </w:rPr>
        <w:t>FAO, Expert Meeting on Harmonizing Forest-related Definitions, Rome, 22-25 janvier 2002.</w:t>
      </w:r>
    </w:p>
    <w:p w:rsidR="00E45CE1" w:rsidRPr="00155121" w:rsidRDefault="00E45CE1" w:rsidP="00E45CE1">
      <w:pPr>
        <w:spacing w:before="100" w:beforeAutospacing="1" w:after="100" w:afterAutospacing="1" w:line="240" w:lineRule="auto"/>
        <w:jc w:val="both"/>
        <w:rPr>
          <w:rFonts w:ascii="Tahoma" w:eastAsia="Times New Roman" w:hAnsi="Tahoma" w:cs="Tahoma"/>
          <w:sz w:val="24"/>
          <w:szCs w:val="24"/>
          <w:lang w:eastAsia="fr-FR"/>
        </w:rPr>
      </w:pPr>
      <w:r w:rsidRPr="00155121">
        <w:rPr>
          <w:rFonts w:ascii="Tahoma" w:eastAsia="Times New Roman" w:hAnsi="Tahoma" w:cs="Tahoma"/>
          <w:sz w:val="24"/>
          <w:szCs w:val="24"/>
          <w:lang w:eastAsia="fr-FR"/>
        </w:rPr>
        <w:t>FAO, FRA 2000: On Definitions on Forests and Forest Change, Forest Resources Assessment Programme, Working Paper n° 33, Rome, 2000.</w:t>
      </w:r>
    </w:p>
    <w:p w:rsidR="00E45CE1" w:rsidRPr="00155121" w:rsidRDefault="00E45CE1" w:rsidP="00E45CE1">
      <w:pPr>
        <w:spacing w:before="100" w:beforeAutospacing="1" w:after="100" w:afterAutospacing="1" w:line="240" w:lineRule="auto"/>
        <w:jc w:val="both"/>
        <w:rPr>
          <w:rFonts w:ascii="Tahoma" w:eastAsia="Times New Roman" w:hAnsi="Tahoma" w:cs="Tahoma"/>
          <w:sz w:val="24"/>
          <w:szCs w:val="24"/>
          <w:lang w:eastAsia="fr-FR"/>
        </w:rPr>
      </w:pPr>
      <w:r w:rsidRPr="00155121">
        <w:rPr>
          <w:rFonts w:ascii="Tahoma" w:eastAsia="Times New Roman" w:hAnsi="Tahoma" w:cs="Tahoma"/>
          <w:sz w:val="24"/>
          <w:szCs w:val="24"/>
          <w:lang w:eastAsia="fr-FR"/>
        </w:rPr>
        <w:t>FAO, Global Forest Resource Assessment 2000. Main Report, FAO Forestry Paper 140, Rome, 2001.</w:t>
      </w:r>
    </w:p>
    <w:p w:rsidR="00E45CE1" w:rsidRPr="00155121" w:rsidRDefault="00E45CE1" w:rsidP="00E45CE1">
      <w:pPr>
        <w:spacing w:before="100" w:beforeAutospacing="1" w:after="100" w:afterAutospacing="1" w:line="240" w:lineRule="auto"/>
        <w:jc w:val="both"/>
        <w:rPr>
          <w:rFonts w:ascii="Tahoma" w:eastAsia="Times New Roman" w:hAnsi="Tahoma" w:cs="Tahoma"/>
          <w:sz w:val="24"/>
          <w:szCs w:val="24"/>
          <w:lang w:eastAsia="fr-FR"/>
        </w:rPr>
      </w:pPr>
      <w:r w:rsidRPr="00155121">
        <w:rPr>
          <w:rFonts w:ascii="Tahoma" w:eastAsia="Times New Roman" w:hAnsi="Tahoma" w:cs="Tahoma"/>
          <w:sz w:val="24"/>
          <w:szCs w:val="24"/>
          <w:lang w:eastAsia="fr-FR"/>
        </w:rPr>
        <w:t>FAO, Second Expert Meeting on Harmonizing Forest-related Definitions, Rome, 11-13 septembre 2002.</w:t>
      </w:r>
    </w:p>
    <w:p w:rsidR="00E45CE1" w:rsidRPr="00155121" w:rsidRDefault="00E45CE1" w:rsidP="00E45CE1">
      <w:pPr>
        <w:spacing w:before="100" w:beforeAutospacing="1" w:after="100" w:afterAutospacing="1" w:line="240" w:lineRule="auto"/>
        <w:jc w:val="both"/>
        <w:rPr>
          <w:rFonts w:ascii="Tahoma" w:eastAsia="Times New Roman" w:hAnsi="Tahoma" w:cs="Tahoma"/>
          <w:sz w:val="24"/>
          <w:szCs w:val="24"/>
          <w:lang w:eastAsia="fr-FR"/>
        </w:rPr>
      </w:pPr>
      <w:r w:rsidRPr="00155121">
        <w:rPr>
          <w:rFonts w:ascii="Tahoma" w:eastAsia="Times New Roman" w:hAnsi="Tahoma" w:cs="Tahoma"/>
          <w:sz w:val="24"/>
          <w:szCs w:val="24"/>
          <w:lang w:eastAsia="fr-FR"/>
        </w:rPr>
        <w:t>FAO, State of the World's Forests 2001, Rome, 2001.</w:t>
      </w:r>
    </w:p>
    <w:p w:rsidR="00E45CE1" w:rsidRPr="00155121" w:rsidRDefault="00E45CE1" w:rsidP="00E45CE1">
      <w:pPr>
        <w:spacing w:before="100" w:beforeAutospacing="1" w:after="100" w:afterAutospacing="1" w:line="240" w:lineRule="auto"/>
        <w:jc w:val="both"/>
        <w:rPr>
          <w:rFonts w:ascii="Tahoma" w:eastAsia="Times New Roman" w:hAnsi="Tahoma" w:cs="Tahoma"/>
          <w:sz w:val="24"/>
          <w:szCs w:val="24"/>
          <w:lang w:eastAsia="fr-FR"/>
        </w:rPr>
      </w:pPr>
      <w:r w:rsidRPr="00155121">
        <w:rPr>
          <w:rFonts w:ascii="Tahoma" w:eastAsia="Times New Roman" w:hAnsi="Tahoma" w:cs="Tahoma"/>
          <w:sz w:val="24"/>
          <w:szCs w:val="24"/>
          <w:lang w:eastAsia="fr-FR"/>
        </w:rPr>
        <w:t>FAO, UNEP, UNECE, Report: Kotka IV – Expert Consultation on Global Forest Resources Assessment – Linking National and International Efforts, Kotka, Finlande, 1-5 juillet 2003.</w:t>
      </w:r>
    </w:p>
    <w:p w:rsidR="00E45CE1" w:rsidRPr="00155121" w:rsidRDefault="00E45CE1" w:rsidP="00E45CE1">
      <w:pPr>
        <w:spacing w:before="100" w:beforeAutospacing="1" w:after="100" w:afterAutospacing="1" w:line="240" w:lineRule="auto"/>
        <w:jc w:val="both"/>
        <w:rPr>
          <w:rFonts w:ascii="Tahoma" w:eastAsia="Times New Roman" w:hAnsi="Tahoma" w:cs="Tahoma"/>
          <w:sz w:val="24"/>
          <w:szCs w:val="24"/>
          <w:lang w:eastAsia="fr-FR"/>
        </w:rPr>
      </w:pPr>
      <w:r w:rsidRPr="00155121">
        <w:rPr>
          <w:rFonts w:ascii="Tahoma" w:eastAsia="Times New Roman" w:hAnsi="Tahoma" w:cs="Tahoma"/>
          <w:sz w:val="24"/>
          <w:szCs w:val="24"/>
          <w:lang w:eastAsia="fr-FR"/>
        </w:rPr>
        <w:t>FNUF (Forum des Nations Unies sur les Forêts), Report of the Secretary General on Monitoring, Assessment and Report, Including Concepts, Terminology and Definitions, 20 décembre 2001.</w:t>
      </w:r>
    </w:p>
    <w:p w:rsidR="00E45CE1" w:rsidRPr="00155121" w:rsidRDefault="00E45CE1" w:rsidP="00E45CE1">
      <w:pPr>
        <w:spacing w:before="100" w:beforeAutospacing="1" w:after="100" w:afterAutospacing="1" w:line="240" w:lineRule="auto"/>
        <w:jc w:val="both"/>
        <w:rPr>
          <w:rFonts w:ascii="Tahoma" w:eastAsia="Times New Roman" w:hAnsi="Tahoma" w:cs="Tahoma"/>
          <w:sz w:val="24"/>
          <w:szCs w:val="24"/>
          <w:lang w:eastAsia="fr-FR"/>
        </w:rPr>
      </w:pPr>
      <w:r w:rsidRPr="00155121">
        <w:rPr>
          <w:rFonts w:ascii="Tahoma" w:eastAsia="Times New Roman" w:hAnsi="Tahoma" w:cs="Tahoma"/>
          <w:sz w:val="24"/>
          <w:szCs w:val="24"/>
          <w:lang w:eastAsia="fr-FR"/>
        </w:rPr>
        <w:t>Fonds de Lutte contre les Effets des Catastrophes Naturelles (FLCN), Stratégie nationale de gestion des risques de catastrophes naturelles, Ministère de l’Intérieur, Rabat, 2019.</w:t>
      </w:r>
    </w:p>
    <w:p w:rsidR="00E45CE1" w:rsidRPr="00155121" w:rsidRDefault="00E45CE1" w:rsidP="00E45CE1">
      <w:pPr>
        <w:spacing w:before="100" w:beforeAutospacing="1" w:after="100" w:afterAutospacing="1" w:line="240" w:lineRule="auto"/>
        <w:jc w:val="both"/>
        <w:rPr>
          <w:rFonts w:ascii="Tahoma" w:eastAsia="Times New Roman" w:hAnsi="Tahoma" w:cs="Tahoma"/>
          <w:sz w:val="24"/>
          <w:szCs w:val="24"/>
          <w:lang w:eastAsia="fr-FR"/>
        </w:rPr>
      </w:pPr>
      <w:r w:rsidRPr="00155121">
        <w:rPr>
          <w:rFonts w:ascii="Tahoma" w:eastAsia="Times New Roman" w:hAnsi="Tahoma" w:cs="Tahoma"/>
          <w:sz w:val="24"/>
          <w:szCs w:val="24"/>
          <w:lang w:eastAsia="fr-FR"/>
        </w:rPr>
        <w:t>FRATB, Forest Resources of Europe, CIS, North America, Australia, Japan and New Zealand, 2000.</w:t>
      </w:r>
    </w:p>
    <w:p w:rsidR="00E45CE1" w:rsidRPr="00155121" w:rsidRDefault="00E45CE1" w:rsidP="00E45CE1">
      <w:pPr>
        <w:spacing w:before="100" w:beforeAutospacing="1" w:after="100" w:afterAutospacing="1" w:line="240" w:lineRule="auto"/>
        <w:jc w:val="both"/>
        <w:rPr>
          <w:rFonts w:ascii="Tahoma" w:eastAsia="Times New Roman" w:hAnsi="Tahoma" w:cs="Tahoma"/>
          <w:sz w:val="24"/>
          <w:szCs w:val="24"/>
          <w:lang w:eastAsia="fr-FR"/>
        </w:rPr>
      </w:pPr>
      <w:r w:rsidRPr="00155121">
        <w:rPr>
          <w:rFonts w:ascii="Tahoma" w:eastAsia="Times New Roman" w:hAnsi="Tahoma" w:cs="Tahoma"/>
          <w:sz w:val="24"/>
          <w:szCs w:val="24"/>
          <w:lang w:eastAsia="fr-FR"/>
        </w:rPr>
        <w:t>G. Gao, S. Huang, J. Jiang, G. Miao, K. Zhang &amp; S. Zhou, « Collective Forests in China », rapport préparé pour Forest Miller et Cultural Survival, 2004.</w:t>
      </w:r>
    </w:p>
    <w:p w:rsidR="00E45CE1" w:rsidRPr="00155121" w:rsidRDefault="00E45CE1" w:rsidP="00E45CE1">
      <w:pPr>
        <w:spacing w:after="0" w:line="240" w:lineRule="auto"/>
        <w:jc w:val="both"/>
        <w:rPr>
          <w:rFonts w:ascii="Tahoma" w:eastAsia="Calibri" w:hAnsi="Tahoma" w:cs="Tahoma"/>
          <w:sz w:val="24"/>
          <w:szCs w:val="24"/>
        </w:rPr>
      </w:pPr>
      <w:r w:rsidRPr="00155121">
        <w:rPr>
          <w:rFonts w:ascii="Tahoma" w:eastAsia="Calibri" w:hAnsi="Tahoma" w:cs="Tahoma"/>
          <w:sz w:val="24"/>
          <w:szCs w:val="24"/>
        </w:rPr>
        <w:t>Haut-Commissariat aux Eaux et Forêts et à la Lutte Contre la Désertification, Stratégie "Forêts du Maroc 2020-2030" : Ghabati, Hayati, Rabat, 2020.</w:t>
      </w:r>
    </w:p>
    <w:p w:rsidR="00E45CE1" w:rsidRPr="00155121" w:rsidRDefault="00E45CE1" w:rsidP="00E45CE1">
      <w:pPr>
        <w:spacing w:after="0" w:line="240" w:lineRule="auto"/>
        <w:jc w:val="both"/>
        <w:rPr>
          <w:rFonts w:ascii="Tahoma" w:eastAsia="Calibri" w:hAnsi="Tahoma" w:cs="Tahoma"/>
          <w:sz w:val="24"/>
          <w:szCs w:val="24"/>
        </w:rPr>
      </w:pPr>
    </w:p>
    <w:p w:rsidR="00E45CE1" w:rsidRPr="00155121" w:rsidRDefault="00E45CE1" w:rsidP="00E45CE1">
      <w:pPr>
        <w:spacing w:after="200" w:line="276" w:lineRule="auto"/>
        <w:jc w:val="both"/>
        <w:rPr>
          <w:rFonts w:ascii="Tahoma" w:eastAsia="Calibri" w:hAnsi="Tahoma" w:cs="Tahoma"/>
          <w:sz w:val="24"/>
          <w:szCs w:val="24"/>
        </w:rPr>
      </w:pPr>
      <w:r w:rsidRPr="00155121">
        <w:rPr>
          <w:rFonts w:ascii="Tahoma" w:eastAsia="Calibri" w:hAnsi="Tahoma" w:cs="Tahoma"/>
          <w:sz w:val="24"/>
          <w:szCs w:val="24"/>
        </w:rPr>
        <w:t>Institut international pour l'environnement et le développement (IIED), Whose Eden? An overview of community approaches to wildlife management, Londres, IIED, 1994.</w:t>
      </w:r>
    </w:p>
    <w:p w:rsidR="00E45CE1" w:rsidRPr="008A6A7E" w:rsidRDefault="00E45CE1" w:rsidP="00E45CE1">
      <w:pPr>
        <w:spacing w:after="200" w:line="276" w:lineRule="auto"/>
        <w:jc w:val="both"/>
        <w:rPr>
          <w:rFonts w:ascii="Tahoma" w:eastAsia="Calibri" w:hAnsi="Tahoma" w:cs="Tahoma"/>
          <w:sz w:val="24"/>
          <w:szCs w:val="24"/>
          <w:lang w:val="es-ES"/>
        </w:rPr>
      </w:pPr>
      <w:r w:rsidRPr="008A6A7E">
        <w:rPr>
          <w:rFonts w:ascii="Tahoma" w:eastAsia="Calibri" w:hAnsi="Tahoma" w:cs="Tahoma"/>
          <w:sz w:val="24"/>
          <w:szCs w:val="24"/>
          <w:lang w:val="es-ES"/>
        </w:rPr>
        <w:t>Instituto Socioambiental (ISA), Mapa: Amazônia Brasileira, 2001.</w:t>
      </w:r>
    </w:p>
    <w:p w:rsidR="00E45CE1" w:rsidRPr="00155121" w:rsidRDefault="00E45CE1" w:rsidP="00E45CE1">
      <w:pPr>
        <w:spacing w:after="200" w:line="276" w:lineRule="auto"/>
        <w:jc w:val="both"/>
        <w:rPr>
          <w:rFonts w:ascii="Tahoma" w:eastAsia="Calibri" w:hAnsi="Tahoma" w:cs="Tahoma"/>
          <w:sz w:val="24"/>
          <w:szCs w:val="24"/>
        </w:rPr>
      </w:pPr>
      <w:r w:rsidRPr="00155121">
        <w:rPr>
          <w:rFonts w:ascii="Tahoma" w:eastAsia="Calibri" w:hAnsi="Tahoma" w:cs="Tahoma"/>
          <w:sz w:val="24"/>
          <w:szCs w:val="24"/>
        </w:rPr>
        <w:t>International Working Group for Indigenous Affairs, The Indigenous world 1999-2000, Copenhague, International Working Group for Indigenous Affairs, 2000.</w:t>
      </w:r>
    </w:p>
    <w:p w:rsidR="00E45CE1" w:rsidRPr="00155121" w:rsidRDefault="00E45CE1" w:rsidP="00E45CE1">
      <w:pPr>
        <w:spacing w:before="100" w:beforeAutospacing="1" w:after="100" w:afterAutospacing="1" w:line="276" w:lineRule="auto"/>
        <w:jc w:val="both"/>
        <w:rPr>
          <w:rFonts w:ascii="Tahoma" w:eastAsia="Times New Roman" w:hAnsi="Tahoma" w:cs="Tahoma"/>
          <w:sz w:val="24"/>
          <w:szCs w:val="24"/>
          <w:lang w:eastAsia="fr-FR"/>
        </w:rPr>
      </w:pPr>
      <w:r w:rsidRPr="00155121">
        <w:rPr>
          <w:rFonts w:ascii="Tahoma" w:eastAsia="Times New Roman" w:hAnsi="Tahoma" w:cs="Tahoma"/>
          <w:sz w:val="24"/>
          <w:szCs w:val="24"/>
          <w:lang w:eastAsia="fr-FR"/>
        </w:rPr>
        <w:t>IPCC (INTERGOVERNMENTAL PANEL ON CLIMATE CHANGE), Climate Change 2022: Mitigation of Climate Change. Contribution of Working Group III to the Sixth Assessment Report of the Intergovernmental Panel on Climate Change [en ligne], Cambridge et New York, Cambridge University Press, 2022. DOI : 10.1017/9781009157926</w:t>
      </w:r>
    </w:p>
    <w:p w:rsidR="00E45CE1" w:rsidRPr="00155121" w:rsidRDefault="00E45CE1" w:rsidP="00E45CE1">
      <w:pPr>
        <w:spacing w:before="100" w:beforeAutospacing="1" w:after="100" w:afterAutospacing="1" w:line="240" w:lineRule="auto"/>
        <w:jc w:val="both"/>
        <w:rPr>
          <w:rFonts w:ascii="Tahoma" w:eastAsia="Times New Roman" w:hAnsi="Tahoma" w:cs="Tahoma"/>
          <w:sz w:val="24"/>
          <w:szCs w:val="24"/>
          <w:lang w:eastAsia="fr-FR"/>
        </w:rPr>
      </w:pPr>
      <w:r w:rsidRPr="00155121">
        <w:rPr>
          <w:rFonts w:ascii="Tahoma" w:eastAsia="Times New Roman" w:hAnsi="Tahoma" w:cs="Tahoma"/>
          <w:sz w:val="24"/>
          <w:szCs w:val="24"/>
          <w:lang w:eastAsia="fr-FR"/>
        </w:rPr>
        <w:t>IUCN, Economics Service Unit, Economic Values of Protected Areas: Guidelines for Protected Area Managers, No. 2, 1998.</w:t>
      </w:r>
    </w:p>
    <w:p w:rsidR="00E45CE1" w:rsidRPr="00155121" w:rsidRDefault="00E45CE1" w:rsidP="00E45CE1">
      <w:pPr>
        <w:spacing w:before="100" w:beforeAutospacing="1" w:after="100" w:afterAutospacing="1" w:line="240" w:lineRule="auto"/>
        <w:jc w:val="both"/>
        <w:rPr>
          <w:rFonts w:ascii="Tahoma" w:eastAsia="Times New Roman" w:hAnsi="Tahoma" w:cs="Tahoma"/>
          <w:sz w:val="24"/>
          <w:szCs w:val="24"/>
          <w:lang w:eastAsia="fr-FR"/>
        </w:rPr>
      </w:pPr>
      <w:r w:rsidRPr="00155121">
        <w:rPr>
          <w:rFonts w:ascii="Tahoma" w:eastAsia="Times New Roman" w:hAnsi="Tahoma" w:cs="Tahoma"/>
          <w:sz w:val="24"/>
          <w:szCs w:val="24"/>
          <w:lang w:eastAsia="fr-FR"/>
        </w:rPr>
        <w:t>IUCN, Gland, Switzerland and Cambridge, UK and WWF International, Gland, Switzerland, 2000, xi + 133pp. Also</w:t>
      </w:r>
    </w:p>
    <w:p w:rsidR="00E45CE1" w:rsidRPr="00155121" w:rsidRDefault="00E45CE1" w:rsidP="00E45CE1">
      <w:pPr>
        <w:spacing w:before="100" w:beforeAutospacing="1" w:after="100" w:afterAutospacing="1" w:line="240" w:lineRule="auto"/>
        <w:jc w:val="both"/>
        <w:rPr>
          <w:rFonts w:ascii="Tahoma" w:eastAsia="Times New Roman" w:hAnsi="Tahoma" w:cs="Tahoma"/>
          <w:sz w:val="24"/>
          <w:szCs w:val="24"/>
          <w:lang w:eastAsia="fr-FR"/>
        </w:rPr>
      </w:pPr>
      <w:r w:rsidRPr="00155121">
        <w:rPr>
          <w:rFonts w:ascii="Tahoma" w:eastAsia="Times New Roman" w:hAnsi="Tahoma" w:cs="Tahoma"/>
          <w:sz w:val="24"/>
          <w:szCs w:val="24"/>
          <w:lang w:eastAsia="fr-FR"/>
        </w:rPr>
        <w:t>IUCN, Task Force on Financing Protected Areas, Financing Protected Areas: Guidelines for Protected Area Managers, No. 5, 2000.</w:t>
      </w:r>
    </w:p>
    <w:p w:rsidR="00E45CE1" w:rsidRPr="00155121" w:rsidRDefault="00E45CE1" w:rsidP="00E45CE1">
      <w:pPr>
        <w:spacing w:before="100" w:beforeAutospacing="1" w:after="100" w:afterAutospacing="1" w:line="240" w:lineRule="auto"/>
        <w:jc w:val="both"/>
        <w:rPr>
          <w:rFonts w:ascii="Tahoma" w:eastAsia="Times New Roman" w:hAnsi="Tahoma" w:cs="Tahoma"/>
          <w:sz w:val="24"/>
          <w:szCs w:val="24"/>
          <w:lang w:eastAsia="fr-FR"/>
        </w:rPr>
      </w:pPr>
      <w:r w:rsidRPr="00155121">
        <w:rPr>
          <w:rFonts w:ascii="Tahoma" w:eastAsia="Times New Roman" w:hAnsi="Tahoma" w:cs="Tahoma"/>
          <w:sz w:val="24"/>
          <w:szCs w:val="24"/>
          <w:lang w:eastAsia="fr-FR"/>
        </w:rPr>
        <w:t>J. A. MCNEELY, « Forests, Figs and Fauna: Critical Issues in Conserving Forest Biodiversity », Communication présentée à la conférence de Forest Trends, 1999.</w:t>
      </w:r>
    </w:p>
    <w:p w:rsidR="00E45CE1" w:rsidRPr="00155121" w:rsidRDefault="00E45CE1" w:rsidP="00E45CE1">
      <w:pPr>
        <w:spacing w:before="100" w:beforeAutospacing="1" w:after="100" w:afterAutospacing="1" w:line="240" w:lineRule="auto"/>
        <w:jc w:val="both"/>
        <w:rPr>
          <w:rFonts w:ascii="Tahoma" w:eastAsia="Times New Roman" w:hAnsi="Tahoma" w:cs="Tahoma"/>
          <w:sz w:val="24"/>
          <w:szCs w:val="24"/>
          <w:lang w:eastAsia="fr-FR"/>
        </w:rPr>
      </w:pPr>
      <w:r w:rsidRPr="00155121">
        <w:rPr>
          <w:rFonts w:ascii="Tahoma" w:eastAsia="Times New Roman" w:hAnsi="Tahoma" w:cs="Tahoma"/>
          <w:sz w:val="24"/>
          <w:szCs w:val="24"/>
          <w:lang w:eastAsia="fr-FR"/>
        </w:rPr>
        <w:t>J. CULTURAL SURVIVAL &amp; M. MILLER, State of the Peoples: A Global Human Rights Report on Societies in Danger, 1993.</w:t>
      </w:r>
    </w:p>
    <w:p w:rsidR="00E45CE1" w:rsidRPr="00155121" w:rsidRDefault="00E45CE1" w:rsidP="00E45CE1">
      <w:pPr>
        <w:spacing w:before="100" w:beforeAutospacing="1" w:after="100" w:afterAutospacing="1" w:line="240" w:lineRule="auto"/>
        <w:jc w:val="both"/>
        <w:rPr>
          <w:rFonts w:ascii="Tahoma" w:eastAsia="Times New Roman" w:hAnsi="Tahoma" w:cs="Tahoma"/>
          <w:sz w:val="24"/>
          <w:szCs w:val="24"/>
          <w:lang w:eastAsia="fr-FR"/>
        </w:rPr>
      </w:pPr>
      <w:r w:rsidRPr="00155121">
        <w:rPr>
          <w:rFonts w:ascii="Tahoma" w:eastAsia="Times New Roman" w:hAnsi="Tahoma" w:cs="Tahoma"/>
          <w:sz w:val="24"/>
          <w:szCs w:val="24"/>
          <w:lang w:eastAsia="fr-FR"/>
        </w:rPr>
        <w:t>J. J. MACGREGOR, « Timber Statistics », Journal of the Royal Statistical Society, vol. 116, n° 3, 1953, pp. 298-322.</w:t>
      </w:r>
    </w:p>
    <w:p w:rsidR="00E45CE1" w:rsidRPr="00155121" w:rsidRDefault="00E45CE1" w:rsidP="00E45CE1">
      <w:pPr>
        <w:spacing w:before="100" w:beforeAutospacing="1" w:after="100" w:afterAutospacing="1" w:line="240" w:lineRule="auto"/>
        <w:jc w:val="both"/>
        <w:rPr>
          <w:rFonts w:ascii="Tahoma" w:eastAsia="Times New Roman" w:hAnsi="Tahoma" w:cs="Tahoma"/>
          <w:sz w:val="24"/>
          <w:szCs w:val="24"/>
          <w:lang w:eastAsia="fr-FR"/>
        </w:rPr>
      </w:pPr>
      <w:r w:rsidRPr="00155121">
        <w:rPr>
          <w:rFonts w:ascii="Tahoma" w:eastAsia="Times New Roman" w:hAnsi="Tahoma" w:cs="Tahoma"/>
          <w:sz w:val="24"/>
          <w:szCs w:val="24"/>
          <w:lang w:eastAsia="fr-FR"/>
        </w:rPr>
        <w:t>J. L. MEIKLE, American Plastics: A Cultural History, New Brunswick, Rutgers University Press, 1997.</w:t>
      </w:r>
    </w:p>
    <w:p w:rsidR="00E45CE1" w:rsidRPr="00155121" w:rsidRDefault="00E45CE1" w:rsidP="00E45CE1">
      <w:pPr>
        <w:spacing w:before="100" w:beforeAutospacing="1" w:after="100" w:afterAutospacing="1" w:line="240" w:lineRule="auto"/>
        <w:jc w:val="both"/>
        <w:rPr>
          <w:rFonts w:ascii="Tahoma" w:eastAsia="Times New Roman" w:hAnsi="Tahoma" w:cs="Tahoma"/>
          <w:sz w:val="24"/>
          <w:szCs w:val="24"/>
          <w:lang w:eastAsia="fr-FR"/>
        </w:rPr>
      </w:pPr>
      <w:r w:rsidRPr="00155121">
        <w:rPr>
          <w:rFonts w:ascii="Tahoma" w:eastAsia="Times New Roman" w:hAnsi="Tahoma" w:cs="Tahoma"/>
          <w:sz w:val="24"/>
          <w:szCs w:val="24"/>
          <w:lang w:eastAsia="fr-FR"/>
        </w:rPr>
        <w:t>La nature, l'exploitation des forêts et les chemins de fer à rail en bois en Amérique, 1883, p. 404-406.</w:t>
      </w:r>
    </w:p>
    <w:p w:rsidR="00E45CE1" w:rsidRPr="00155121" w:rsidRDefault="00E45CE1" w:rsidP="00E45CE1">
      <w:pPr>
        <w:spacing w:before="100" w:beforeAutospacing="1" w:after="100" w:afterAutospacing="1" w:line="240" w:lineRule="auto"/>
        <w:jc w:val="both"/>
        <w:rPr>
          <w:rFonts w:ascii="Tahoma" w:eastAsia="Times New Roman" w:hAnsi="Tahoma" w:cs="Tahoma"/>
          <w:sz w:val="24"/>
          <w:szCs w:val="24"/>
          <w:lang w:eastAsia="fr-FR"/>
        </w:rPr>
      </w:pPr>
      <w:r w:rsidRPr="00155121">
        <w:rPr>
          <w:rFonts w:ascii="Tahoma" w:eastAsia="Times New Roman" w:hAnsi="Tahoma" w:cs="Tahoma"/>
          <w:sz w:val="24"/>
          <w:szCs w:val="24"/>
          <w:lang w:eastAsia="fr-FR"/>
        </w:rPr>
        <w:t>L'accord franco-anglais poteaux-charbons, Revue des eaux et forêts, vol. 72, 1934, p. 650-651.</w:t>
      </w:r>
    </w:p>
    <w:p w:rsidR="00E45CE1" w:rsidRPr="00155121" w:rsidRDefault="00E45CE1" w:rsidP="00E45CE1">
      <w:pPr>
        <w:spacing w:before="100" w:beforeAutospacing="1" w:after="100" w:afterAutospacing="1" w:line="240" w:lineRule="auto"/>
        <w:jc w:val="both"/>
        <w:rPr>
          <w:rFonts w:ascii="Tahoma" w:eastAsia="Times New Roman" w:hAnsi="Tahoma" w:cs="Tahoma"/>
          <w:sz w:val="24"/>
          <w:szCs w:val="24"/>
          <w:lang w:eastAsia="fr-FR"/>
        </w:rPr>
      </w:pPr>
      <w:r w:rsidRPr="00155121">
        <w:rPr>
          <w:rFonts w:ascii="Tahoma" w:eastAsia="Times New Roman" w:hAnsi="Tahoma" w:cs="Tahoma"/>
          <w:sz w:val="24"/>
          <w:szCs w:val="24"/>
          <w:lang w:eastAsia="fr-FR"/>
        </w:rPr>
        <w:t>Mapping and Assessment of Ecosystems and their Services (MAES). One Ecosystem, 3. DOI : 10.3897/oneeco.3.e22831</w:t>
      </w:r>
    </w:p>
    <w:p w:rsidR="00E45CE1" w:rsidRPr="00155121" w:rsidRDefault="00E45CE1" w:rsidP="00E45CE1">
      <w:pPr>
        <w:spacing w:before="100" w:beforeAutospacing="1" w:after="100" w:afterAutospacing="1" w:line="240" w:lineRule="auto"/>
        <w:jc w:val="both"/>
        <w:rPr>
          <w:rFonts w:ascii="Tahoma" w:eastAsia="Times New Roman" w:hAnsi="Tahoma" w:cs="Tahoma"/>
          <w:sz w:val="24"/>
          <w:szCs w:val="24"/>
          <w:lang w:eastAsia="fr-FR"/>
        </w:rPr>
      </w:pPr>
      <w:r w:rsidRPr="00155121">
        <w:rPr>
          <w:rFonts w:ascii="Tahoma" w:eastAsia="Times New Roman" w:hAnsi="Tahoma" w:cs="Tahoma"/>
          <w:sz w:val="24"/>
          <w:szCs w:val="24"/>
          <w:lang w:eastAsia="fr-FR"/>
        </w:rPr>
        <w:t>Marc Hockings, Sue Stolton, et al., Evaluating Effectiveness: A Framework for Assessing the Management of Protected Areas, No. 6.</w:t>
      </w:r>
    </w:p>
    <w:p w:rsidR="00E45CE1" w:rsidRPr="00155121" w:rsidRDefault="00E45CE1" w:rsidP="00E45CE1">
      <w:pPr>
        <w:spacing w:before="100" w:beforeAutospacing="1" w:after="100" w:afterAutospacing="1" w:line="240" w:lineRule="auto"/>
        <w:jc w:val="both"/>
        <w:rPr>
          <w:rFonts w:ascii="Tahoma" w:eastAsia="Times New Roman" w:hAnsi="Tahoma" w:cs="Tahoma"/>
          <w:sz w:val="24"/>
          <w:szCs w:val="24"/>
          <w:lang w:eastAsia="fr-FR"/>
        </w:rPr>
      </w:pPr>
      <w:r w:rsidRPr="00155121">
        <w:rPr>
          <w:rFonts w:ascii="Tahoma" w:eastAsia="Times New Roman" w:hAnsi="Tahoma" w:cs="Tahoma"/>
          <w:sz w:val="24"/>
          <w:szCs w:val="24"/>
          <w:lang w:eastAsia="fr-FR"/>
        </w:rPr>
        <w:t>MCPFE, The State of Europe's Forests 2003 – The MCPFE Report on Forests in Europe, Ministerial Conference on the Protection of Forests in Europe, Vienne, Autriche, 2003.</w:t>
      </w:r>
    </w:p>
    <w:p w:rsidR="00E45CE1" w:rsidRPr="00155121" w:rsidRDefault="00E45CE1" w:rsidP="00E45CE1">
      <w:pPr>
        <w:spacing w:before="100" w:beforeAutospacing="1" w:after="100" w:afterAutospacing="1" w:line="240" w:lineRule="auto"/>
        <w:jc w:val="both"/>
        <w:rPr>
          <w:rFonts w:ascii="Tahoma" w:eastAsia="Calibri" w:hAnsi="Tahoma" w:cs="Tahoma"/>
          <w:sz w:val="24"/>
          <w:szCs w:val="24"/>
        </w:rPr>
      </w:pPr>
      <w:r w:rsidRPr="00155121">
        <w:rPr>
          <w:rFonts w:ascii="Tahoma" w:eastAsia="Calibri" w:hAnsi="Tahoma" w:cs="Tahoma"/>
          <w:sz w:val="24"/>
          <w:szCs w:val="24"/>
        </w:rPr>
        <w:t>Michael LIPSKY, Street-Level Bureaucracy: Dilemmas of the Individual in Public Services. 30th Anniversary ed. Russell Sage Foundation, 2010, pp. 13–25.</w:t>
      </w:r>
    </w:p>
    <w:p w:rsidR="00E45CE1" w:rsidRPr="00155121" w:rsidRDefault="00E45CE1" w:rsidP="00E45CE1">
      <w:pPr>
        <w:spacing w:before="100" w:beforeAutospacing="1" w:after="100" w:afterAutospacing="1" w:line="240" w:lineRule="auto"/>
        <w:jc w:val="both"/>
        <w:rPr>
          <w:rFonts w:ascii="Tahoma" w:eastAsia="Times New Roman" w:hAnsi="Tahoma" w:cs="Tahoma"/>
          <w:sz w:val="24"/>
          <w:szCs w:val="24"/>
          <w:lang w:eastAsia="fr-FR"/>
        </w:rPr>
      </w:pPr>
      <w:r w:rsidRPr="00155121">
        <w:rPr>
          <w:rFonts w:ascii="Tahoma" w:eastAsia="Times New Roman" w:hAnsi="Tahoma" w:cs="Tahoma"/>
          <w:sz w:val="24"/>
          <w:szCs w:val="24"/>
          <w:lang w:eastAsia="fr-FR"/>
        </w:rPr>
        <w:t>Michel P. PIMBERT et J. PRETTY, Parks, people and professionals: "Participation" in protected area management, Genève, United Nations Research Institute for Social Development, 1995.</w:t>
      </w:r>
    </w:p>
    <w:p w:rsidR="00E45CE1" w:rsidRPr="00155121" w:rsidRDefault="00E45CE1" w:rsidP="00E45CE1">
      <w:pPr>
        <w:spacing w:before="100" w:beforeAutospacing="1" w:after="100" w:afterAutospacing="1" w:line="240" w:lineRule="auto"/>
        <w:jc w:val="both"/>
        <w:rPr>
          <w:rFonts w:ascii="Tahoma" w:eastAsia="Times New Roman" w:hAnsi="Tahoma" w:cs="Tahoma"/>
          <w:sz w:val="24"/>
          <w:szCs w:val="24"/>
          <w:lang w:eastAsia="fr-FR"/>
        </w:rPr>
      </w:pPr>
      <w:r w:rsidRPr="00155121">
        <w:rPr>
          <w:rFonts w:ascii="Tahoma" w:eastAsia="Times New Roman" w:hAnsi="Tahoma" w:cs="Tahoma"/>
          <w:sz w:val="24"/>
          <w:szCs w:val="24"/>
          <w:lang w:eastAsia="fr-FR"/>
        </w:rPr>
        <w:t>Mohamed AÏT HAMZA, Les Mgouna : Etude des systèmes d'organisation communautaire, Projet PHAC, (DAR-PNUD/MOR/92/010), (Rapport), 1993, 69 p.</w:t>
      </w:r>
    </w:p>
    <w:p w:rsidR="00E45CE1" w:rsidRPr="00155121" w:rsidRDefault="00E45CE1" w:rsidP="00E45CE1">
      <w:pPr>
        <w:spacing w:before="100" w:beforeAutospacing="1" w:after="100" w:afterAutospacing="1" w:line="240" w:lineRule="auto"/>
        <w:jc w:val="both"/>
        <w:rPr>
          <w:rFonts w:ascii="Tahoma" w:eastAsia="Calibri" w:hAnsi="Tahoma" w:cs="Tahoma"/>
          <w:sz w:val="24"/>
          <w:szCs w:val="24"/>
        </w:rPr>
      </w:pPr>
      <w:r w:rsidRPr="00155121">
        <w:rPr>
          <w:rFonts w:ascii="Tahoma" w:eastAsia="Calibri" w:hAnsi="Tahoma" w:cs="Tahoma"/>
          <w:sz w:val="24"/>
          <w:szCs w:val="24"/>
        </w:rPr>
        <w:t>Mohamed El Alaoui, Le Statut juridique des terres collectives au Maroc et les institutions coutumières locales dans la zone du Projet CBTHA. ORMVAO, PNUD, Unité du Projet, 2002, 97 p. et annexe.</w:t>
      </w:r>
    </w:p>
    <w:p w:rsidR="00E45CE1" w:rsidRPr="00155121" w:rsidRDefault="00E45CE1" w:rsidP="00E45CE1">
      <w:pPr>
        <w:spacing w:before="100" w:beforeAutospacing="1" w:after="100" w:afterAutospacing="1" w:line="240" w:lineRule="auto"/>
        <w:jc w:val="both"/>
        <w:rPr>
          <w:rFonts w:ascii="Tahoma" w:eastAsia="Times New Roman" w:hAnsi="Tahoma" w:cs="Tahoma"/>
          <w:sz w:val="24"/>
          <w:szCs w:val="24"/>
          <w:lang w:eastAsia="fr-FR"/>
        </w:rPr>
      </w:pPr>
      <w:r w:rsidRPr="00155121">
        <w:rPr>
          <w:rFonts w:ascii="Tahoma" w:eastAsia="Times New Roman" w:hAnsi="Tahoma" w:cs="Tahoma"/>
          <w:sz w:val="24"/>
          <w:szCs w:val="24"/>
          <w:lang w:eastAsia="fr-FR"/>
        </w:rPr>
        <w:t>Mustapha Naggar. "Démographie rurale et pression sur les ressources forestières marocaines". Cahiers d'Études Africaines, 52(2), 2012, 387-412.</w:t>
      </w:r>
    </w:p>
    <w:p w:rsidR="00E45CE1" w:rsidRPr="00155121" w:rsidRDefault="00E45CE1" w:rsidP="00E45CE1">
      <w:pPr>
        <w:spacing w:before="100" w:beforeAutospacing="1" w:after="100" w:afterAutospacing="1" w:line="240" w:lineRule="auto"/>
        <w:jc w:val="both"/>
        <w:rPr>
          <w:rFonts w:ascii="Tahoma" w:eastAsia="Times New Roman" w:hAnsi="Tahoma" w:cs="Tahoma"/>
          <w:sz w:val="24"/>
          <w:szCs w:val="24"/>
          <w:lang w:eastAsia="fr-FR"/>
        </w:rPr>
      </w:pPr>
      <w:r w:rsidRPr="00155121">
        <w:rPr>
          <w:rFonts w:ascii="Tahoma" w:eastAsia="Times New Roman" w:hAnsi="Tahoma" w:cs="Tahoma"/>
          <w:sz w:val="24"/>
          <w:szCs w:val="24"/>
          <w:lang w:eastAsia="fr-FR"/>
        </w:rPr>
        <w:t>Najib Magri (2010). Économie forestière et développement durable au Maroc. Centre de Recherche Forestière, Rabat.</w:t>
      </w:r>
    </w:p>
    <w:p w:rsidR="00E45CE1" w:rsidRPr="00155121" w:rsidRDefault="00E45CE1" w:rsidP="00E45CE1">
      <w:pPr>
        <w:spacing w:before="100" w:beforeAutospacing="1" w:after="100" w:afterAutospacing="1" w:line="240" w:lineRule="auto"/>
        <w:jc w:val="both"/>
        <w:rPr>
          <w:rFonts w:ascii="Tahoma" w:eastAsia="Times New Roman" w:hAnsi="Tahoma" w:cs="Tahoma"/>
          <w:sz w:val="24"/>
          <w:szCs w:val="24"/>
          <w:lang w:eastAsia="fr-FR"/>
        </w:rPr>
      </w:pPr>
      <w:r w:rsidRPr="00155121">
        <w:rPr>
          <w:rFonts w:ascii="Tahoma" w:eastAsia="Times New Roman" w:hAnsi="Tahoma" w:cs="Tahoma"/>
          <w:sz w:val="24"/>
          <w:szCs w:val="24"/>
          <w:lang w:eastAsia="fr-FR"/>
        </w:rPr>
        <w:t xml:space="preserve">Neema PATHAK, Lessons learned in the establishment and management of protected areas by the communities of South Asia, TILCEPA/CEESP, 2002. </w:t>
      </w:r>
    </w:p>
    <w:p w:rsidR="00E45CE1" w:rsidRPr="00155121" w:rsidRDefault="00E45CE1" w:rsidP="00E45CE1">
      <w:pPr>
        <w:spacing w:before="100" w:beforeAutospacing="1" w:after="100" w:afterAutospacing="1" w:line="240" w:lineRule="auto"/>
        <w:jc w:val="both"/>
        <w:rPr>
          <w:rFonts w:ascii="Tahoma" w:eastAsia="Times New Roman" w:hAnsi="Tahoma" w:cs="Tahoma"/>
          <w:sz w:val="24"/>
          <w:szCs w:val="24"/>
          <w:lang w:eastAsia="fr-FR"/>
        </w:rPr>
      </w:pPr>
      <w:r w:rsidRPr="00155121">
        <w:rPr>
          <w:rFonts w:ascii="Tahoma" w:eastAsia="Times New Roman" w:hAnsi="Tahoma" w:cs="Tahoma"/>
          <w:sz w:val="24"/>
          <w:szCs w:val="24"/>
          <w:lang w:eastAsia="fr-FR"/>
        </w:rPr>
        <w:t>Nicholas A., BILL, « Timber Bridge Construction on British and Irish Railways, 1840-1870: the Scale of Construction and Factors Influencing Material Selection », Construction History, vol. 31, n° 1, 2016, p. 75-98.</w:t>
      </w:r>
    </w:p>
    <w:p w:rsidR="00E45CE1" w:rsidRPr="00155121" w:rsidRDefault="00E45CE1" w:rsidP="00E45CE1">
      <w:pPr>
        <w:spacing w:before="100" w:beforeAutospacing="1" w:after="100" w:afterAutospacing="1" w:line="240" w:lineRule="auto"/>
        <w:jc w:val="both"/>
        <w:rPr>
          <w:rFonts w:ascii="Tahoma" w:eastAsia="Times New Roman" w:hAnsi="Tahoma" w:cs="Tahoma"/>
          <w:sz w:val="24"/>
          <w:szCs w:val="24"/>
          <w:lang w:eastAsia="fr-FR"/>
        </w:rPr>
      </w:pPr>
      <w:r w:rsidRPr="00155121">
        <w:rPr>
          <w:rFonts w:ascii="Tahoma" w:eastAsia="Calibri" w:hAnsi="Tahoma" w:cs="Tahoma"/>
          <w:sz w:val="24"/>
          <w:szCs w:val="24"/>
          <w:lang w:eastAsia="fr-FR"/>
        </w:rPr>
        <w:t>Nicolas CONDORCET</w:t>
      </w:r>
      <w:r w:rsidRPr="00155121">
        <w:rPr>
          <w:rFonts w:ascii="Tahoma" w:eastAsia="Times New Roman" w:hAnsi="Tahoma" w:cs="Tahoma"/>
          <w:sz w:val="24"/>
          <w:szCs w:val="24"/>
          <w:lang w:eastAsia="fr-FR"/>
        </w:rPr>
        <w:t>, « Éloge de M. Morand », Histoire de l'Académie royale des sciences, Paris, Imprimerie royale, 1784, p. 48-53.</w:t>
      </w:r>
    </w:p>
    <w:p w:rsidR="00E45CE1" w:rsidRPr="00155121" w:rsidRDefault="00E45CE1" w:rsidP="00E45CE1">
      <w:pPr>
        <w:spacing w:before="100" w:beforeAutospacing="1" w:after="100" w:afterAutospacing="1" w:line="240" w:lineRule="auto"/>
        <w:jc w:val="both"/>
        <w:rPr>
          <w:rFonts w:ascii="Tahoma" w:eastAsia="Times New Roman" w:hAnsi="Tahoma" w:cs="Tahoma"/>
          <w:sz w:val="24"/>
          <w:szCs w:val="24"/>
          <w:lang w:eastAsia="fr-FR"/>
        </w:rPr>
      </w:pPr>
      <w:r w:rsidRPr="00155121">
        <w:rPr>
          <w:rFonts w:ascii="Tahoma" w:eastAsia="Times New Roman" w:hAnsi="Tahoma" w:cs="Tahoma"/>
          <w:sz w:val="24"/>
          <w:szCs w:val="24"/>
          <w:lang w:eastAsia="fr-FR"/>
        </w:rPr>
        <w:t>Nigel DUDLEY et Adrian PHILLIPS, Forests and Protected Areas: Guidance on the use of the IUCN protected area management categories, No. 12, 2006, x + 58 pp.</w:t>
      </w:r>
    </w:p>
    <w:p w:rsidR="00E45CE1" w:rsidRPr="00155121" w:rsidRDefault="00E45CE1" w:rsidP="00E45CE1">
      <w:pPr>
        <w:spacing w:before="100" w:beforeAutospacing="1" w:after="100" w:afterAutospacing="1" w:line="240" w:lineRule="auto"/>
        <w:jc w:val="both"/>
        <w:rPr>
          <w:rFonts w:ascii="Tahoma" w:eastAsia="Times New Roman" w:hAnsi="Tahoma" w:cs="Tahoma"/>
          <w:sz w:val="24"/>
          <w:szCs w:val="24"/>
          <w:lang w:eastAsia="fr-FR"/>
        </w:rPr>
      </w:pPr>
      <w:r w:rsidRPr="00155121">
        <w:rPr>
          <w:rFonts w:ascii="Tahoma" w:eastAsia="Times New Roman" w:hAnsi="Tahoma" w:cs="Tahoma"/>
          <w:sz w:val="24"/>
          <w:szCs w:val="24"/>
          <w:lang w:eastAsia="fr-FR"/>
        </w:rPr>
        <w:t>Nigel Dudley, Forests and Protected Areas: Guidance on the Use of the IUCN Protected Area Management Categories, No. 12.</w:t>
      </w:r>
    </w:p>
    <w:p w:rsidR="00E45CE1" w:rsidRPr="00155121" w:rsidRDefault="00E45CE1" w:rsidP="00E45CE1">
      <w:pPr>
        <w:spacing w:before="100" w:beforeAutospacing="1" w:after="100" w:afterAutospacing="1" w:line="240" w:lineRule="auto"/>
        <w:jc w:val="both"/>
        <w:rPr>
          <w:rFonts w:ascii="Tahoma" w:eastAsia="Times New Roman" w:hAnsi="Tahoma" w:cs="Tahoma"/>
          <w:sz w:val="24"/>
          <w:szCs w:val="24"/>
          <w:lang w:eastAsia="fr-FR"/>
        </w:rPr>
      </w:pPr>
      <w:r w:rsidRPr="00155121">
        <w:rPr>
          <w:rFonts w:ascii="Tahoma" w:eastAsia="Times New Roman" w:hAnsi="Tahoma" w:cs="Tahoma"/>
          <w:sz w:val="24"/>
          <w:szCs w:val="24"/>
          <w:lang w:eastAsia="fr-FR"/>
        </w:rPr>
        <w:t>Power Economic Conference, Current History, vol. 13, n° 75, novembre 1947, pp. 297-302.</w:t>
      </w:r>
    </w:p>
    <w:p w:rsidR="00E45CE1" w:rsidRPr="00155121" w:rsidRDefault="00E45CE1" w:rsidP="00E45CE1">
      <w:pPr>
        <w:spacing w:after="200" w:line="276" w:lineRule="auto"/>
        <w:jc w:val="both"/>
        <w:rPr>
          <w:rFonts w:ascii="Tahoma" w:eastAsia="Calibri" w:hAnsi="Tahoma" w:cs="Tahoma"/>
          <w:color w:val="000000" w:themeColor="text1"/>
          <w:sz w:val="24"/>
          <w:szCs w:val="24"/>
        </w:rPr>
      </w:pPr>
      <w:r w:rsidRPr="00155121">
        <w:rPr>
          <w:rFonts w:ascii="Tahoma" w:eastAsia="Calibri" w:hAnsi="Tahoma" w:cs="Tahoma"/>
          <w:sz w:val="24"/>
          <w:szCs w:val="24"/>
        </w:rPr>
        <w:t xml:space="preserve">Programme des Nations Unies pour l'Environnement et Centre mondial de surveillance de la conservation (PNUE-WCMC), Protected areas database: Annex summary of all protected areas recorded, Disponible sur : </w:t>
      </w:r>
      <w:hyperlink r:id="rId77" w:history="1">
        <w:r w:rsidRPr="00155121">
          <w:rPr>
            <w:rFonts w:ascii="Tahoma" w:eastAsia="Calibri" w:hAnsi="Tahoma" w:cs="Tahoma"/>
            <w:color w:val="000000" w:themeColor="text1"/>
            <w:sz w:val="24"/>
            <w:szCs w:val="24"/>
            <w:u w:val="single"/>
          </w:rPr>
          <w:t>http://www.unep-wcmc.org/protected_areas/data/un_annex.htm</w:t>
        </w:r>
      </w:hyperlink>
      <w:r w:rsidRPr="00155121">
        <w:rPr>
          <w:rFonts w:ascii="Tahoma" w:eastAsia="Calibri" w:hAnsi="Tahoma" w:cs="Tahoma"/>
          <w:color w:val="000000" w:themeColor="text1"/>
          <w:sz w:val="24"/>
          <w:szCs w:val="24"/>
        </w:rPr>
        <w:t xml:space="preserve"> (consulté le 20 juillet 2004).</w:t>
      </w:r>
    </w:p>
    <w:p w:rsidR="00E45CE1" w:rsidRPr="00155121" w:rsidRDefault="00E45CE1" w:rsidP="00E45CE1">
      <w:pPr>
        <w:spacing w:after="200" w:line="276" w:lineRule="auto"/>
        <w:jc w:val="both"/>
        <w:rPr>
          <w:rFonts w:ascii="Tahoma" w:eastAsia="Calibri" w:hAnsi="Tahoma" w:cs="Tahoma"/>
          <w:sz w:val="24"/>
          <w:szCs w:val="24"/>
        </w:rPr>
      </w:pPr>
      <w:r w:rsidRPr="00155121">
        <w:rPr>
          <w:rFonts w:ascii="Tahoma" w:eastAsia="Calibri" w:hAnsi="Tahoma" w:cs="Tahoma"/>
          <w:sz w:val="24"/>
          <w:szCs w:val="24"/>
        </w:rPr>
        <w:t>Puustjärvi, E. &amp; Simula, M. Forest-related Definitions: Issues and Development Needs. Discussion Paper préparée pour la réunion d'experts sur l'harmonisation des définitions forestières pour divers intervenants, Rome, 22-25 janvier 2002.</w:t>
      </w:r>
    </w:p>
    <w:p w:rsidR="00E45CE1" w:rsidRPr="00155121" w:rsidRDefault="00E45CE1" w:rsidP="00E45CE1">
      <w:pPr>
        <w:spacing w:before="100" w:beforeAutospacing="1" w:after="100" w:afterAutospacing="1" w:line="240" w:lineRule="auto"/>
        <w:jc w:val="both"/>
        <w:rPr>
          <w:rFonts w:ascii="Tahoma" w:eastAsia="Times New Roman" w:hAnsi="Tahoma" w:cs="Tahoma"/>
          <w:sz w:val="24"/>
          <w:szCs w:val="24"/>
          <w:lang w:eastAsia="fr-FR"/>
        </w:rPr>
      </w:pPr>
      <w:r w:rsidRPr="00155121">
        <w:rPr>
          <w:rFonts w:ascii="Tahoma" w:eastAsia="Times New Roman" w:hAnsi="Tahoma" w:cs="Tahoma"/>
          <w:sz w:val="24"/>
          <w:szCs w:val="24"/>
          <w:lang w:eastAsia="fr-FR"/>
        </w:rPr>
        <w:t>Radford E.A., Catullo G., et De Montmollin B. 2011. Zones importantes pour les plantes en Méditerranée méridionale et orientale : sites prioritaires pour la conservation. Gland : IUCN</w:t>
      </w:r>
    </w:p>
    <w:p w:rsidR="00E45CE1" w:rsidRPr="00155121" w:rsidRDefault="00E45CE1" w:rsidP="00E45CE1">
      <w:pPr>
        <w:spacing w:after="200" w:line="276" w:lineRule="auto"/>
        <w:jc w:val="both"/>
        <w:rPr>
          <w:rFonts w:ascii="Tahoma" w:eastAsia="Calibri" w:hAnsi="Tahoma" w:cs="Tahoma"/>
          <w:sz w:val="24"/>
          <w:szCs w:val="24"/>
        </w:rPr>
      </w:pPr>
      <w:r w:rsidRPr="00155121">
        <w:rPr>
          <w:rFonts w:ascii="Tahoma" w:eastAsia="Calibri" w:hAnsi="Tahoma" w:cs="Tahoma"/>
          <w:sz w:val="24"/>
          <w:szCs w:val="24"/>
        </w:rPr>
        <w:t>Radkau, Joachim. Technik in Deutschland : Vom 18. Jahrhundert bis heute. Francfort-sur-le-Main, Campus Verlag, 2016.</w:t>
      </w:r>
    </w:p>
    <w:p w:rsidR="00E45CE1" w:rsidRPr="00155121" w:rsidRDefault="00E45CE1" w:rsidP="00E45CE1">
      <w:pPr>
        <w:spacing w:after="200" w:line="276" w:lineRule="auto"/>
        <w:jc w:val="both"/>
        <w:rPr>
          <w:rFonts w:ascii="Tahoma" w:eastAsia="Calibri" w:hAnsi="Tahoma" w:cs="Tahoma"/>
          <w:sz w:val="24"/>
          <w:szCs w:val="24"/>
        </w:rPr>
      </w:pPr>
      <w:r w:rsidRPr="00155121">
        <w:rPr>
          <w:rFonts w:ascii="Tahoma" w:eastAsia="Calibri" w:hAnsi="Tahoma" w:cs="Tahoma"/>
          <w:sz w:val="24"/>
          <w:szCs w:val="24"/>
        </w:rPr>
        <w:t>RAMIREZ, G., « Indigenous community investment in conservation in southern Mexico: The growing significance of community conservation », Communication orale en espagnol à la conférence bi-annuelle IASCP 2004 "The Commons in an Age of Global Transition: Challenges Risks and Opportunities", Oaxaca, 2004.</w:t>
      </w:r>
    </w:p>
    <w:p w:rsidR="00E45CE1" w:rsidRPr="00155121" w:rsidRDefault="00E45CE1" w:rsidP="00E45CE1">
      <w:pPr>
        <w:spacing w:before="100" w:beforeAutospacing="1" w:after="100" w:afterAutospacing="1" w:line="240" w:lineRule="auto"/>
        <w:jc w:val="both"/>
        <w:rPr>
          <w:rFonts w:ascii="Tahoma" w:eastAsia="Calibri" w:hAnsi="Tahoma" w:cs="Tahoma"/>
          <w:sz w:val="24"/>
          <w:szCs w:val="24"/>
        </w:rPr>
      </w:pPr>
      <w:r w:rsidRPr="00155121">
        <w:rPr>
          <w:rFonts w:ascii="Tahoma" w:eastAsia="Calibri" w:hAnsi="Tahoma" w:cs="Tahoma"/>
          <w:sz w:val="24"/>
          <w:szCs w:val="24"/>
        </w:rPr>
        <w:t>Royaume du Maroc et FAO, Cartographie des unités de gestion forestière au Maroc. Rapport technique, 2019, pp. 28–34.</w:t>
      </w:r>
    </w:p>
    <w:p w:rsidR="00E45CE1" w:rsidRPr="00155121" w:rsidRDefault="00E45CE1" w:rsidP="00E45CE1">
      <w:pPr>
        <w:spacing w:after="200" w:line="276" w:lineRule="auto"/>
        <w:jc w:val="both"/>
        <w:rPr>
          <w:rFonts w:ascii="Tahoma" w:eastAsia="Calibri" w:hAnsi="Tahoma" w:cs="Tahoma"/>
          <w:sz w:val="24"/>
          <w:szCs w:val="24"/>
        </w:rPr>
      </w:pPr>
      <w:r w:rsidRPr="00155121">
        <w:rPr>
          <w:rFonts w:ascii="Tahoma" w:eastAsia="Calibri" w:hAnsi="Tahoma" w:cs="Tahoma"/>
          <w:sz w:val="24"/>
          <w:szCs w:val="24"/>
        </w:rPr>
        <w:t>Rural Action and the Communities Strategies Group, The herb basket of Appalachia: Community based forestry and sustainable communities, Forest Harvest Occasional Report 1, Washington D.C., Aspen Institute, Community-Based Forestry Demonstration Program, 2002.</w:t>
      </w:r>
    </w:p>
    <w:p w:rsidR="00E45CE1" w:rsidRPr="00155121" w:rsidRDefault="00E45CE1" w:rsidP="00E45CE1">
      <w:pPr>
        <w:spacing w:before="100" w:beforeAutospacing="1" w:after="100" w:afterAutospacing="1" w:line="240" w:lineRule="auto"/>
        <w:jc w:val="both"/>
        <w:rPr>
          <w:rFonts w:ascii="Tahoma" w:eastAsia="Times New Roman" w:hAnsi="Tahoma" w:cs="Tahoma"/>
          <w:sz w:val="24"/>
          <w:szCs w:val="24"/>
          <w:lang w:eastAsia="fr-FR"/>
        </w:rPr>
      </w:pPr>
      <w:r w:rsidRPr="00155121">
        <w:rPr>
          <w:rFonts w:ascii="Tahoma" w:eastAsia="Calibri" w:hAnsi="Tahoma" w:cs="Tahoma"/>
          <w:sz w:val="24"/>
          <w:szCs w:val="24"/>
          <w:lang w:eastAsia="fr-FR"/>
        </w:rPr>
        <w:t>RUSSELL-TRATMAN, M. E. &amp; FERNOW, M. B. E.</w:t>
      </w:r>
      <w:r w:rsidRPr="00155121">
        <w:rPr>
          <w:rFonts w:ascii="Tahoma" w:eastAsia="Times New Roman" w:hAnsi="Tahoma" w:cs="Tahoma"/>
          <w:sz w:val="24"/>
          <w:szCs w:val="24"/>
          <w:lang w:eastAsia="fr-FR"/>
        </w:rPr>
        <w:t>, « Consommation des traverses par les chemins de fer des États-Unis d'Amérique », Revue générale des chemins de fer, vol. 14, 1891, p. 44-49.</w:t>
      </w:r>
    </w:p>
    <w:p w:rsidR="00E45CE1" w:rsidRPr="00155121" w:rsidRDefault="00E45CE1" w:rsidP="00E45CE1">
      <w:pPr>
        <w:spacing w:before="100" w:beforeAutospacing="1" w:after="100" w:afterAutospacing="1" w:line="240" w:lineRule="auto"/>
        <w:jc w:val="both"/>
        <w:rPr>
          <w:rFonts w:ascii="Tahoma" w:eastAsia="Times New Roman" w:hAnsi="Tahoma" w:cs="Tahoma"/>
          <w:sz w:val="24"/>
          <w:szCs w:val="24"/>
          <w:lang w:eastAsia="fr-FR"/>
        </w:rPr>
      </w:pPr>
      <w:r w:rsidRPr="00155121">
        <w:rPr>
          <w:rFonts w:ascii="Tahoma" w:eastAsia="Times New Roman" w:hAnsi="Tahoma" w:cs="Tahoma"/>
          <w:sz w:val="24"/>
          <w:szCs w:val="24"/>
          <w:lang w:eastAsia="fr-FR"/>
        </w:rPr>
        <w:t>Secrétariat de la Convention sur la diversité biologique, Plan stratégique pour la diversité biologique 2011-2020 et les Objectifs d'Aichi, Montréal, Québec, Canada, 2010.</w:t>
      </w:r>
    </w:p>
    <w:p w:rsidR="00E45CE1" w:rsidRPr="00155121" w:rsidRDefault="00E45CE1" w:rsidP="00E45CE1">
      <w:pPr>
        <w:spacing w:before="100" w:beforeAutospacing="1" w:after="100" w:afterAutospacing="1" w:line="240" w:lineRule="auto"/>
        <w:jc w:val="both"/>
        <w:rPr>
          <w:rFonts w:ascii="Tahoma" w:eastAsia="Times New Roman" w:hAnsi="Tahoma" w:cs="Tahoma"/>
          <w:sz w:val="24"/>
          <w:szCs w:val="24"/>
          <w:lang w:eastAsia="fr-FR"/>
        </w:rPr>
      </w:pPr>
      <w:r w:rsidRPr="00155121">
        <w:rPr>
          <w:rFonts w:ascii="Tahoma" w:eastAsia="Times New Roman" w:hAnsi="Tahoma" w:cs="Tahoma"/>
          <w:sz w:val="24"/>
          <w:szCs w:val="24"/>
          <w:lang w:eastAsia="fr-FR"/>
        </w:rPr>
        <w:t>SMITH, J. et S. J. SCHERR, Forest carbon and local livelihoods: Assessment of opportunities and policy recommendations, Occasional Paper No. 37, Bogor, Center for International Forestry Research, 2002.</w:t>
      </w:r>
    </w:p>
    <w:p w:rsidR="00E45CE1" w:rsidRPr="00155121" w:rsidRDefault="00E45CE1" w:rsidP="00E45CE1">
      <w:pPr>
        <w:spacing w:before="100" w:beforeAutospacing="1" w:after="100" w:afterAutospacing="1" w:line="240" w:lineRule="auto"/>
        <w:jc w:val="both"/>
        <w:rPr>
          <w:rFonts w:ascii="Tahoma" w:eastAsia="Times New Roman" w:hAnsi="Tahoma" w:cs="Tahoma"/>
          <w:sz w:val="24"/>
          <w:szCs w:val="24"/>
          <w:lang w:eastAsia="fr-FR"/>
        </w:rPr>
      </w:pPr>
      <w:r w:rsidRPr="00155121">
        <w:rPr>
          <w:rFonts w:ascii="Tahoma" w:eastAsia="Times New Roman" w:hAnsi="Tahoma" w:cs="Tahoma"/>
          <w:sz w:val="24"/>
          <w:szCs w:val="24"/>
          <w:lang w:eastAsia="fr-FR"/>
        </w:rPr>
        <w:t>Socialist Construction in the U.S.S.R.: Statistical Abstract, Moscou, Soyuzorgouchet, 1936.</w:t>
      </w:r>
    </w:p>
    <w:p w:rsidR="00E45CE1" w:rsidRPr="00155121" w:rsidRDefault="00E45CE1" w:rsidP="00E45CE1">
      <w:pPr>
        <w:spacing w:before="100" w:beforeAutospacing="1" w:after="100" w:afterAutospacing="1" w:line="240" w:lineRule="auto"/>
        <w:jc w:val="both"/>
        <w:rPr>
          <w:rFonts w:ascii="Tahoma" w:eastAsia="Times New Roman" w:hAnsi="Tahoma" w:cs="Tahoma"/>
          <w:sz w:val="24"/>
          <w:szCs w:val="24"/>
          <w:lang w:eastAsia="fr-FR"/>
        </w:rPr>
      </w:pPr>
      <w:r w:rsidRPr="00155121">
        <w:rPr>
          <w:rFonts w:ascii="Tahoma" w:eastAsia="Times New Roman" w:hAnsi="Tahoma" w:cs="Tahoma"/>
          <w:sz w:val="24"/>
          <w:szCs w:val="24"/>
          <w:lang w:eastAsia="fr-FR"/>
        </w:rPr>
        <w:t>Souheila Bensalem, Évaluation de la biodiversité et des services écosystémiques au Maroc, Sciences de l'environnement, 2020.</w:t>
      </w:r>
    </w:p>
    <w:p w:rsidR="00E45CE1" w:rsidRPr="00155121" w:rsidRDefault="00E45CE1" w:rsidP="00E45CE1">
      <w:pPr>
        <w:spacing w:before="100" w:beforeAutospacing="1" w:after="100" w:afterAutospacing="1" w:line="240" w:lineRule="auto"/>
        <w:jc w:val="both"/>
        <w:rPr>
          <w:rFonts w:ascii="Tahoma" w:eastAsia="Times New Roman" w:hAnsi="Tahoma" w:cs="Tahoma"/>
          <w:sz w:val="24"/>
          <w:szCs w:val="24"/>
          <w:lang w:eastAsia="fr-FR"/>
        </w:rPr>
      </w:pPr>
      <w:r w:rsidRPr="00155121">
        <w:rPr>
          <w:rFonts w:ascii="Tahoma" w:eastAsia="Times New Roman" w:hAnsi="Tahoma" w:cs="Tahoma"/>
          <w:sz w:val="24"/>
          <w:szCs w:val="24"/>
          <w:lang w:eastAsia="fr-FR"/>
        </w:rPr>
        <w:t>Statistique forestière, vol. 1, Paris, Imprimerie nationale, 1878.</w:t>
      </w:r>
    </w:p>
    <w:p w:rsidR="00E45CE1" w:rsidRPr="00155121" w:rsidRDefault="00E45CE1" w:rsidP="00E45CE1">
      <w:pPr>
        <w:spacing w:before="100" w:beforeAutospacing="1" w:after="100" w:afterAutospacing="1" w:line="276" w:lineRule="auto"/>
        <w:jc w:val="both"/>
        <w:rPr>
          <w:rFonts w:ascii="Tahoma" w:eastAsia="Times New Roman" w:hAnsi="Tahoma" w:cs="Tahoma"/>
          <w:sz w:val="24"/>
          <w:szCs w:val="24"/>
          <w:lang w:eastAsia="fr-FR"/>
        </w:rPr>
      </w:pPr>
      <w:r w:rsidRPr="00155121">
        <w:rPr>
          <w:rFonts w:ascii="Tahoma" w:eastAsia="Times New Roman" w:hAnsi="Tahoma" w:cs="Tahoma"/>
          <w:sz w:val="24"/>
          <w:szCs w:val="24"/>
          <w:lang w:eastAsia="fr-FR"/>
        </w:rPr>
        <w:t>SUBEDI, B., "Towards expanded property rights of local communities over forest resources in Nepal: Lessons and strategies", Communication présentée à la conférence Global Perspectives on Indigenous Peoples' Forestry: Linking Communities, Commerce and Conservation, 2-6 juin, Vancouver, Asia Network for Sustainable Agriculture and Bioresources (ANSAB), 2002.</w:t>
      </w:r>
    </w:p>
    <w:p w:rsidR="00E45CE1" w:rsidRPr="00155121" w:rsidRDefault="00E45CE1" w:rsidP="00E45CE1">
      <w:pPr>
        <w:spacing w:before="100" w:beforeAutospacing="1" w:after="100" w:afterAutospacing="1" w:line="240" w:lineRule="auto"/>
        <w:jc w:val="both"/>
        <w:rPr>
          <w:rFonts w:ascii="Tahoma" w:eastAsia="Times New Roman" w:hAnsi="Tahoma" w:cs="Tahoma"/>
          <w:sz w:val="24"/>
          <w:szCs w:val="24"/>
          <w:lang w:eastAsia="fr-FR"/>
        </w:rPr>
      </w:pPr>
      <w:r w:rsidRPr="00155121">
        <w:rPr>
          <w:rFonts w:ascii="Tahoma" w:eastAsia="Times New Roman" w:hAnsi="Tahoma" w:cs="Tahoma"/>
          <w:sz w:val="24"/>
          <w:szCs w:val="24"/>
          <w:lang w:eastAsia="fr-FR"/>
        </w:rPr>
        <w:t>Sustainable Tourism in Protected Areas: Guidelines for Planning and Management, No. 8, Paul F. J. Eagles, Stephen F. McCool.</w:t>
      </w:r>
    </w:p>
    <w:p w:rsidR="00E45CE1" w:rsidRPr="00155121" w:rsidRDefault="00E45CE1" w:rsidP="00E45CE1">
      <w:pPr>
        <w:spacing w:before="100" w:beforeAutospacing="1" w:after="100" w:afterAutospacing="1" w:line="240" w:lineRule="auto"/>
        <w:jc w:val="both"/>
        <w:rPr>
          <w:rFonts w:ascii="Tahoma" w:eastAsia="Times New Roman" w:hAnsi="Tahoma" w:cs="Tahoma"/>
          <w:sz w:val="24"/>
          <w:szCs w:val="24"/>
          <w:lang w:eastAsia="fr-FR"/>
        </w:rPr>
      </w:pPr>
      <w:r w:rsidRPr="00155121">
        <w:rPr>
          <w:rFonts w:ascii="Tahoma" w:eastAsia="Times New Roman" w:hAnsi="Tahoma" w:cs="Tahoma"/>
          <w:sz w:val="24"/>
          <w:szCs w:val="24"/>
          <w:lang w:eastAsia="fr-FR"/>
        </w:rPr>
        <w:t>Task Force on Economic Benefits of Protected Areas of the World Commission on Protected Areas (WCPA) of IUCN, Economic Values of Protected Areas: Guidelines for Protected Area Managers, No. 2, 1998.</w:t>
      </w:r>
    </w:p>
    <w:p w:rsidR="00E45CE1" w:rsidRPr="00155121" w:rsidRDefault="00E45CE1" w:rsidP="00E45CE1">
      <w:pPr>
        <w:spacing w:before="100" w:beforeAutospacing="1" w:after="100" w:afterAutospacing="1" w:line="240" w:lineRule="auto"/>
        <w:jc w:val="both"/>
        <w:rPr>
          <w:rFonts w:ascii="Tahoma" w:eastAsia="Times New Roman" w:hAnsi="Tahoma" w:cs="Tahoma"/>
          <w:sz w:val="24"/>
          <w:szCs w:val="24"/>
          <w:lang w:eastAsia="fr-FR"/>
        </w:rPr>
      </w:pPr>
      <w:r w:rsidRPr="00155121">
        <w:rPr>
          <w:rFonts w:ascii="Tahoma" w:eastAsia="Times New Roman" w:hAnsi="Tahoma" w:cs="Tahoma"/>
          <w:sz w:val="24"/>
          <w:szCs w:val="24"/>
          <w:lang w:eastAsia="fr-FR"/>
        </w:rPr>
        <w:t>THÉLU, André César, Notice sur les étais de mines en France [Exposition universelle de 1878. Ministère de l'Agriculture et du Commerce. Administration des forêts], Paris, Imprimerie nationale, 1878.</w:t>
      </w:r>
    </w:p>
    <w:p w:rsidR="00E45CE1" w:rsidRPr="00155121" w:rsidRDefault="00E45CE1" w:rsidP="00E45CE1">
      <w:pPr>
        <w:spacing w:before="100" w:beforeAutospacing="1" w:after="100" w:afterAutospacing="1" w:line="240" w:lineRule="auto"/>
        <w:jc w:val="both"/>
        <w:rPr>
          <w:rFonts w:ascii="Tahoma" w:eastAsia="Times New Roman" w:hAnsi="Tahoma" w:cs="Tahoma"/>
          <w:sz w:val="24"/>
          <w:szCs w:val="24"/>
          <w:lang w:eastAsia="fr-FR"/>
        </w:rPr>
      </w:pPr>
      <w:r w:rsidRPr="00155121">
        <w:rPr>
          <w:rFonts w:ascii="Tahoma" w:eastAsia="Times New Roman" w:hAnsi="Tahoma" w:cs="Tahoma"/>
          <w:sz w:val="24"/>
          <w:szCs w:val="24"/>
          <w:lang w:eastAsia="fr-FR"/>
        </w:rPr>
        <w:t>Tretyakova, Albina &amp; Heinemeier, Meredith, Cost Estimate for the Soviet Coal Industry, 1970 to 1980, Washington DC, US Department of Commerce, 1986.</w:t>
      </w:r>
    </w:p>
    <w:p w:rsidR="00E45CE1" w:rsidRPr="00155121" w:rsidRDefault="00E45CE1" w:rsidP="00E45CE1">
      <w:pPr>
        <w:spacing w:before="100" w:beforeAutospacing="1" w:after="100" w:afterAutospacing="1" w:line="240" w:lineRule="auto"/>
        <w:jc w:val="both"/>
        <w:rPr>
          <w:rFonts w:ascii="Tahoma" w:eastAsia="Times New Roman" w:hAnsi="Tahoma" w:cs="Tahoma"/>
          <w:sz w:val="24"/>
          <w:szCs w:val="24"/>
          <w:lang w:eastAsia="fr-FR"/>
        </w:rPr>
      </w:pPr>
      <w:r w:rsidRPr="00155121">
        <w:rPr>
          <w:rFonts w:ascii="Tahoma" w:eastAsia="Times New Roman" w:hAnsi="Tahoma" w:cs="Tahoma"/>
          <w:sz w:val="24"/>
          <w:szCs w:val="24"/>
          <w:lang w:eastAsia="fr-FR"/>
        </w:rPr>
        <w:t>Trevor SANDWITH, Clare SHINE, Lawrence HAMILTON et David SHEPPARD, Transboundary Protected Areas for Peace and Co-operation, No. 7, 2001.</w:t>
      </w:r>
    </w:p>
    <w:p w:rsidR="00E45CE1" w:rsidRPr="00155121" w:rsidRDefault="00E45CE1" w:rsidP="00E45CE1">
      <w:pPr>
        <w:spacing w:before="100" w:beforeAutospacing="1" w:after="100" w:afterAutospacing="1" w:line="240" w:lineRule="auto"/>
        <w:jc w:val="both"/>
        <w:rPr>
          <w:rFonts w:ascii="Tahoma" w:eastAsia="Times New Roman" w:hAnsi="Tahoma" w:cs="Tahoma"/>
          <w:sz w:val="24"/>
          <w:szCs w:val="24"/>
          <w:lang w:eastAsia="fr-FR"/>
        </w:rPr>
      </w:pPr>
      <w:r w:rsidRPr="00155121">
        <w:rPr>
          <w:rFonts w:ascii="Tahoma" w:eastAsia="Times New Roman" w:hAnsi="Tahoma" w:cs="Tahoma"/>
          <w:sz w:val="24"/>
          <w:szCs w:val="24"/>
          <w:lang w:eastAsia="fr-FR"/>
        </w:rPr>
        <w:t>Union mondiale pour la nature (UICN), The Durban accord and action plan, Vème UICN, 2003.</w:t>
      </w:r>
    </w:p>
    <w:p w:rsidR="00E45CE1" w:rsidRPr="00155121" w:rsidRDefault="00E45CE1" w:rsidP="00E45CE1">
      <w:pPr>
        <w:spacing w:before="100" w:beforeAutospacing="1" w:after="100" w:afterAutospacing="1" w:line="240" w:lineRule="auto"/>
        <w:jc w:val="both"/>
        <w:rPr>
          <w:rFonts w:ascii="Tahoma" w:eastAsia="Times New Roman" w:hAnsi="Tahoma" w:cs="Tahoma"/>
          <w:sz w:val="24"/>
          <w:szCs w:val="24"/>
          <w:lang w:eastAsia="fr-FR"/>
        </w:rPr>
      </w:pPr>
      <w:r w:rsidRPr="00155121">
        <w:rPr>
          <w:rFonts w:ascii="Tahoma" w:eastAsia="Times New Roman" w:hAnsi="Tahoma" w:cs="Tahoma"/>
          <w:sz w:val="24"/>
          <w:szCs w:val="24"/>
          <w:lang w:eastAsia="fr-FR"/>
        </w:rPr>
        <w:t>US DEPARTMENT OF AGRICULTURE, Charcoal Production in the United States, Washington DC, US Government Printing Office, 1957.</w:t>
      </w:r>
    </w:p>
    <w:p w:rsidR="00E45CE1" w:rsidRPr="00155121" w:rsidRDefault="00E45CE1" w:rsidP="00E45CE1">
      <w:pPr>
        <w:spacing w:before="100" w:beforeAutospacing="1" w:after="100" w:afterAutospacing="1" w:line="240" w:lineRule="auto"/>
        <w:jc w:val="both"/>
        <w:rPr>
          <w:rFonts w:ascii="Tahoma" w:eastAsia="Times New Roman" w:hAnsi="Tahoma" w:cs="Tahoma"/>
          <w:sz w:val="24"/>
          <w:szCs w:val="24"/>
          <w:lang w:eastAsia="fr-FR"/>
        </w:rPr>
      </w:pPr>
      <w:r w:rsidRPr="00155121">
        <w:rPr>
          <w:rFonts w:ascii="Tahoma" w:eastAsia="Times New Roman" w:hAnsi="Tahoma" w:cs="Tahoma"/>
          <w:sz w:val="24"/>
          <w:szCs w:val="24"/>
          <w:lang w:eastAsia="fr-FR"/>
        </w:rPr>
        <w:t>US FOREST SERVICE, "Timber Resources for America's Future", Forest Resource Report n° 14, 1958.</w:t>
      </w:r>
    </w:p>
    <w:p w:rsidR="00E45CE1" w:rsidRPr="00155121" w:rsidRDefault="00E45CE1" w:rsidP="00E45CE1">
      <w:pPr>
        <w:spacing w:before="100" w:beforeAutospacing="1" w:after="100" w:afterAutospacing="1" w:line="240" w:lineRule="auto"/>
        <w:jc w:val="both"/>
        <w:rPr>
          <w:rFonts w:ascii="Tahoma" w:eastAsia="Times New Roman" w:hAnsi="Tahoma" w:cs="Tahoma"/>
          <w:sz w:val="24"/>
          <w:szCs w:val="24"/>
          <w:lang w:eastAsia="fr-FR"/>
        </w:rPr>
      </w:pPr>
      <w:r w:rsidRPr="00155121">
        <w:rPr>
          <w:rFonts w:ascii="Tahoma" w:eastAsia="Times New Roman" w:hAnsi="Tahoma" w:cs="Tahoma"/>
          <w:sz w:val="24"/>
          <w:szCs w:val="24"/>
          <w:lang w:eastAsia="fr-FR"/>
        </w:rPr>
        <w:t>VAN TASSEL, Alfred J., Mechanization in the Lumber Industry, National Research Project, mars 1940.</w:t>
      </w:r>
    </w:p>
    <w:p w:rsidR="00E45CE1" w:rsidRPr="00155121" w:rsidRDefault="00E45CE1" w:rsidP="00E45CE1">
      <w:pPr>
        <w:spacing w:before="100" w:beforeAutospacing="1" w:after="100" w:afterAutospacing="1" w:line="240" w:lineRule="auto"/>
        <w:jc w:val="both"/>
        <w:rPr>
          <w:rFonts w:ascii="Tahoma" w:eastAsia="Times New Roman" w:hAnsi="Tahoma" w:cs="Tahoma"/>
          <w:sz w:val="24"/>
          <w:szCs w:val="24"/>
          <w:lang w:eastAsia="fr-FR"/>
        </w:rPr>
      </w:pPr>
      <w:r w:rsidRPr="00155121">
        <w:rPr>
          <w:rFonts w:ascii="Tahoma" w:eastAsia="Times New Roman" w:hAnsi="Tahoma" w:cs="Tahoma"/>
          <w:sz w:val="24"/>
          <w:szCs w:val="24"/>
          <w:lang w:eastAsia="fr-FR"/>
        </w:rPr>
        <w:t>WHITE, Andy et A. MARTIN, Who owns the world's forests?, Washington D.C., Forest Trends, 2002.</w:t>
      </w:r>
    </w:p>
    <w:p w:rsidR="00E45CE1" w:rsidRPr="00155121" w:rsidRDefault="00E45CE1" w:rsidP="00E45CE1">
      <w:pPr>
        <w:spacing w:before="100" w:beforeAutospacing="1" w:after="100" w:afterAutospacing="1" w:line="240" w:lineRule="auto"/>
        <w:jc w:val="both"/>
        <w:rPr>
          <w:rFonts w:ascii="Tahoma" w:eastAsia="Times New Roman" w:hAnsi="Tahoma" w:cs="Tahoma"/>
          <w:sz w:val="24"/>
          <w:szCs w:val="24"/>
          <w:lang w:eastAsia="fr-FR"/>
        </w:rPr>
      </w:pPr>
      <w:r w:rsidRPr="00155121">
        <w:rPr>
          <w:rFonts w:ascii="Tahoma" w:eastAsia="Times New Roman" w:hAnsi="Tahoma" w:cs="Tahoma"/>
          <w:sz w:val="24"/>
          <w:szCs w:val="24"/>
          <w:lang w:eastAsia="fr-FR"/>
        </w:rPr>
        <w:t>WHITE, Andy et L. ELLSWORTH, Deeper roots: Strengthening community tenure security and community livelihoods, New York, Ford Foundation, 2004.</w:t>
      </w:r>
    </w:p>
    <w:p w:rsidR="00E45CE1" w:rsidRPr="00155121" w:rsidRDefault="00E45CE1" w:rsidP="00E45CE1">
      <w:pPr>
        <w:spacing w:before="100" w:beforeAutospacing="1" w:after="100" w:afterAutospacing="1" w:line="240" w:lineRule="auto"/>
        <w:jc w:val="both"/>
        <w:rPr>
          <w:rFonts w:ascii="Tahoma" w:eastAsia="Times New Roman" w:hAnsi="Tahoma" w:cs="Tahoma"/>
          <w:sz w:val="24"/>
          <w:szCs w:val="24"/>
          <w:lang w:eastAsia="fr-FR"/>
        </w:rPr>
      </w:pPr>
      <w:r w:rsidRPr="00155121">
        <w:rPr>
          <w:rFonts w:ascii="Tahoma" w:eastAsia="Times New Roman" w:hAnsi="Tahoma" w:cs="Tahoma"/>
          <w:sz w:val="24"/>
          <w:szCs w:val="24"/>
          <w:lang w:eastAsia="fr-FR"/>
        </w:rPr>
        <w:t>William Buckhout GREELEY, Earle Hart CLAPP, Herbert Augustine SMITH, Raphael ZON, William Norwood SPARHAWK, Ward SHEPARD &amp; Joseph KITTREDGE, "Timber: Mine or Crop?", Washington DC, US Department of Agriculture (Yearbook), 1922, p. 83-180.</w:t>
      </w:r>
    </w:p>
    <w:p w:rsidR="00E45CE1" w:rsidRDefault="00E45CE1">
      <w:pPr>
        <w:rPr>
          <w:rFonts w:ascii="Tahoma" w:eastAsia="Calibri" w:hAnsi="Tahoma" w:cs="Times New Roman"/>
          <w:b/>
          <w:bCs/>
          <w:iCs/>
          <w:noProof/>
          <w:color w:val="000000" w:themeColor="text1"/>
          <w:sz w:val="36"/>
          <w:szCs w:val="40"/>
          <w:lang w:eastAsia="fr-FR"/>
        </w:rPr>
      </w:pPr>
      <w:r>
        <w:br w:type="page"/>
      </w:r>
    </w:p>
    <w:p w:rsidR="00FD1D56" w:rsidRPr="002462E6" w:rsidRDefault="00FD1D56" w:rsidP="002F1A32">
      <w:pPr>
        <w:pStyle w:val="Titre"/>
      </w:pPr>
      <w:bookmarkStart w:id="489" w:name="_Toc203643140"/>
      <w:r w:rsidRPr="002462E6">
        <w:t>Liste des tableaux</w:t>
      </w:r>
      <w:bookmarkEnd w:id="487"/>
      <w:bookmarkEnd w:id="488"/>
      <w:bookmarkEnd w:id="489"/>
    </w:p>
    <w:p w:rsidR="00EE28C5" w:rsidRPr="00EE28C5" w:rsidRDefault="0011420C" w:rsidP="00EE28C5">
      <w:pPr>
        <w:pStyle w:val="Tabledesillustrations"/>
        <w:tabs>
          <w:tab w:val="right" w:leader="dot" w:pos="9346"/>
        </w:tabs>
        <w:spacing w:line="360" w:lineRule="auto"/>
        <w:jc w:val="both"/>
        <w:rPr>
          <w:rFonts w:ascii="Tahoma" w:eastAsiaTheme="minorEastAsia" w:hAnsi="Tahoma" w:cs="Tahoma"/>
          <w:noProof/>
          <w:sz w:val="24"/>
          <w:szCs w:val="24"/>
          <w:lang w:eastAsia="fr-FR"/>
        </w:rPr>
      </w:pPr>
      <w:r w:rsidRPr="00EE28C5">
        <w:rPr>
          <w:rFonts w:ascii="Tahoma" w:hAnsi="Tahoma" w:cs="Tahoma"/>
          <w:iCs/>
          <w:sz w:val="24"/>
          <w:szCs w:val="24"/>
        </w:rPr>
        <w:fldChar w:fldCharType="begin"/>
      </w:r>
      <w:r w:rsidRPr="00EE28C5">
        <w:rPr>
          <w:rFonts w:ascii="Tahoma" w:hAnsi="Tahoma" w:cs="Tahoma"/>
          <w:iCs/>
          <w:sz w:val="24"/>
          <w:szCs w:val="24"/>
        </w:rPr>
        <w:instrText xml:space="preserve"> TOC \h \z \c "Tableau" </w:instrText>
      </w:r>
      <w:r w:rsidRPr="00EE28C5">
        <w:rPr>
          <w:rFonts w:ascii="Tahoma" w:hAnsi="Tahoma" w:cs="Tahoma"/>
          <w:iCs/>
          <w:sz w:val="24"/>
          <w:szCs w:val="24"/>
        </w:rPr>
        <w:fldChar w:fldCharType="separate"/>
      </w:r>
      <w:hyperlink w:anchor="_Toc203642500" w:history="1">
        <w:r w:rsidR="00EE28C5" w:rsidRPr="00EE28C5">
          <w:rPr>
            <w:rStyle w:val="Lienhypertexte"/>
            <w:rFonts w:ascii="Tahoma" w:hAnsi="Tahoma" w:cs="Tahoma"/>
            <w:noProof/>
            <w:sz w:val="24"/>
            <w:szCs w:val="24"/>
          </w:rPr>
          <w:t>Tableau 1 : Ressources humaines du HCEFLCD</w:t>
        </w:r>
        <w:r w:rsidR="00EE28C5" w:rsidRPr="00EE28C5">
          <w:rPr>
            <w:rFonts w:ascii="Tahoma" w:hAnsi="Tahoma" w:cs="Tahoma"/>
            <w:noProof/>
            <w:webHidden/>
            <w:sz w:val="24"/>
            <w:szCs w:val="24"/>
          </w:rPr>
          <w:tab/>
        </w:r>
        <w:r w:rsidR="00EE28C5" w:rsidRPr="00EE28C5">
          <w:rPr>
            <w:rFonts w:ascii="Tahoma" w:hAnsi="Tahoma" w:cs="Tahoma"/>
            <w:noProof/>
            <w:webHidden/>
            <w:sz w:val="24"/>
            <w:szCs w:val="24"/>
          </w:rPr>
          <w:fldChar w:fldCharType="begin"/>
        </w:r>
        <w:r w:rsidR="00EE28C5" w:rsidRPr="00EE28C5">
          <w:rPr>
            <w:rFonts w:ascii="Tahoma" w:hAnsi="Tahoma" w:cs="Tahoma"/>
            <w:noProof/>
            <w:webHidden/>
            <w:sz w:val="24"/>
            <w:szCs w:val="24"/>
          </w:rPr>
          <w:instrText xml:space="preserve"> PAGEREF _Toc203642500 \h </w:instrText>
        </w:r>
        <w:r w:rsidR="00EE28C5" w:rsidRPr="00EE28C5">
          <w:rPr>
            <w:rFonts w:ascii="Tahoma" w:hAnsi="Tahoma" w:cs="Tahoma"/>
            <w:noProof/>
            <w:webHidden/>
            <w:sz w:val="24"/>
            <w:szCs w:val="24"/>
          </w:rPr>
        </w:r>
        <w:r w:rsidR="00EE28C5" w:rsidRPr="00EE28C5">
          <w:rPr>
            <w:rFonts w:ascii="Tahoma" w:hAnsi="Tahoma" w:cs="Tahoma"/>
            <w:noProof/>
            <w:webHidden/>
            <w:sz w:val="24"/>
            <w:szCs w:val="24"/>
          </w:rPr>
          <w:fldChar w:fldCharType="separate"/>
        </w:r>
        <w:r w:rsidR="00124AFB">
          <w:rPr>
            <w:rFonts w:ascii="Tahoma" w:hAnsi="Tahoma" w:cs="Tahoma"/>
            <w:noProof/>
            <w:webHidden/>
            <w:sz w:val="24"/>
            <w:szCs w:val="24"/>
          </w:rPr>
          <w:t>112</w:t>
        </w:r>
        <w:r w:rsidR="00EE28C5" w:rsidRPr="00EE28C5">
          <w:rPr>
            <w:rFonts w:ascii="Tahoma" w:hAnsi="Tahoma" w:cs="Tahoma"/>
            <w:noProof/>
            <w:webHidden/>
            <w:sz w:val="24"/>
            <w:szCs w:val="24"/>
          </w:rPr>
          <w:fldChar w:fldCharType="end"/>
        </w:r>
      </w:hyperlink>
    </w:p>
    <w:p w:rsidR="00EE28C5" w:rsidRPr="00EE28C5" w:rsidRDefault="00642CE5" w:rsidP="00EE28C5">
      <w:pPr>
        <w:pStyle w:val="Tabledesillustrations"/>
        <w:tabs>
          <w:tab w:val="right" w:leader="dot" w:pos="9346"/>
        </w:tabs>
        <w:spacing w:line="360" w:lineRule="auto"/>
        <w:jc w:val="both"/>
        <w:rPr>
          <w:rFonts w:ascii="Tahoma" w:eastAsiaTheme="minorEastAsia" w:hAnsi="Tahoma" w:cs="Tahoma"/>
          <w:noProof/>
          <w:sz w:val="24"/>
          <w:szCs w:val="24"/>
          <w:lang w:eastAsia="fr-FR"/>
        </w:rPr>
      </w:pPr>
      <w:hyperlink w:anchor="_Toc203642501" w:history="1">
        <w:r w:rsidR="00EE28C5" w:rsidRPr="00EE28C5">
          <w:rPr>
            <w:rStyle w:val="Lienhypertexte"/>
            <w:rFonts w:ascii="Tahoma" w:hAnsi="Tahoma" w:cs="Tahoma"/>
            <w:noProof/>
            <w:sz w:val="24"/>
            <w:szCs w:val="24"/>
          </w:rPr>
          <w:t>Tableau 2 : Evolution du personnel technique du service forestier des Eaux et Forêts entre 1914 et 1980</w:t>
        </w:r>
        <w:r w:rsidR="00EE28C5" w:rsidRPr="00EE28C5">
          <w:rPr>
            <w:rFonts w:ascii="Tahoma" w:hAnsi="Tahoma" w:cs="Tahoma"/>
            <w:noProof/>
            <w:webHidden/>
            <w:sz w:val="24"/>
            <w:szCs w:val="24"/>
          </w:rPr>
          <w:tab/>
        </w:r>
        <w:r w:rsidR="00EE28C5" w:rsidRPr="00EE28C5">
          <w:rPr>
            <w:rFonts w:ascii="Tahoma" w:hAnsi="Tahoma" w:cs="Tahoma"/>
            <w:noProof/>
            <w:webHidden/>
            <w:sz w:val="24"/>
            <w:szCs w:val="24"/>
          </w:rPr>
          <w:fldChar w:fldCharType="begin"/>
        </w:r>
        <w:r w:rsidR="00EE28C5" w:rsidRPr="00EE28C5">
          <w:rPr>
            <w:rFonts w:ascii="Tahoma" w:hAnsi="Tahoma" w:cs="Tahoma"/>
            <w:noProof/>
            <w:webHidden/>
            <w:sz w:val="24"/>
            <w:szCs w:val="24"/>
          </w:rPr>
          <w:instrText xml:space="preserve"> PAGEREF _Toc203642501 \h </w:instrText>
        </w:r>
        <w:r w:rsidR="00EE28C5" w:rsidRPr="00EE28C5">
          <w:rPr>
            <w:rFonts w:ascii="Tahoma" w:hAnsi="Tahoma" w:cs="Tahoma"/>
            <w:noProof/>
            <w:webHidden/>
            <w:sz w:val="24"/>
            <w:szCs w:val="24"/>
          </w:rPr>
        </w:r>
        <w:r w:rsidR="00EE28C5" w:rsidRPr="00EE28C5">
          <w:rPr>
            <w:rFonts w:ascii="Tahoma" w:hAnsi="Tahoma" w:cs="Tahoma"/>
            <w:noProof/>
            <w:webHidden/>
            <w:sz w:val="24"/>
            <w:szCs w:val="24"/>
          </w:rPr>
          <w:fldChar w:fldCharType="separate"/>
        </w:r>
        <w:r w:rsidR="00124AFB">
          <w:rPr>
            <w:rFonts w:ascii="Tahoma" w:hAnsi="Tahoma" w:cs="Tahoma"/>
            <w:noProof/>
            <w:webHidden/>
            <w:sz w:val="24"/>
            <w:szCs w:val="24"/>
          </w:rPr>
          <w:t>121</w:t>
        </w:r>
        <w:r w:rsidR="00EE28C5" w:rsidRPr="00EE28C5">
          <w:rPr>
            <w:rFonts w:ascii="Tahoma" w:hAnsi="Tahoma" w:cs="Tahoma"/>
            <w:noProof/>
            <w:webHidden/>
            <w:sz w:val="24"/>
            <w:szCs w:val="24"/>
          </w:rPr>
          <w:fldChar w:fldCharType="end"/>
        </w:r>
      </w:hyperlink>
    </w:p>
    <w:p w:rsidR="00EE28C5" w:rsidRPr="00EE28C5" w:rsidRDefault="00642CE5" w:rsidP="00EE28C5">
      <w:pPr>
        <w:pStyle w:val="Tabledesillustrations"/>
        <w:tabs>
          <w:tab w:val="right" w:leader="dot" w:pos="9346"/>
        </w:tabs>
        <w:spacing w:line="360" w:lineRule="auto"/>
        <w:jc w:val="both"/>
        <w:rPr>
          <w:rFonts w:ascii="Tahoma" w:eastAsiaTheme="minorEastAsia" w:hAnsi="Tahoma" w:cs="Tahoma"/>
          <w:noProof/>
          <w:sz w:val="24"/>
          <w:szCs w:val="24"/>
          <w:lang w:eastAsia="fr-FR"/>
        </w:rPr>
      </w:pPr>
      <w:hyperlink w:anchor="_Toc203642502" w:history="1">
        <w:r w:rsidR="00EE28C5" w:rsidRPr="00EE28C5">
          <w:rPr>
            <w:rStyle w:val="Lienhypertexte"/>
            <w:rFonts w:ascii="Tahoma" w:hAnsi="Tahoma" w:cs="Tahoma"/>
            <w:noProof/>
            <w:sz w:val="24"/>
            <w:szCs w:val="24"/>
          </w:rPr>
          <w:t>Tableau 3 : Nombre du personnel technique et administratif du département des Eaux et Forêts en l'année 2001</w:t>
        </w:r>
        <w:r w:rsidR="00EE28C5" w:rsidRPr="00EE28C5">
          <w:rPr>
            <w:rFonts w:ascii="Tahoma" w:hAnsi="Tahoma" w:cs="Tahoma"/>
            <w:noProof/>
            <w:webHidden/>
            <w:sz w:val="24"/>
            <w:szCs w:val="24"/>
          </w:rPr>
          <w:tab/>
        </w:r>
        <w:r w:rsidR="00EE28C5" w:rsidRPr="00EE28C5">
          <w:rPr>
            <w:rFonts w:ascii="Tahoma" w:hAnsi="Tahoma" w:cs="Tahoma"/>
            <w:noProof/>
            <w:webHidden/>
            <w:sz w:val="24"/>
            <w:szCs w:val="24"/>
          </w:rPr>
          <w:fldChar w:fldCharType="begin"/>
        </w:r>
        <w:r w:rsidR="00EE28C5" w:rsidRPr="00EE28C5">
          <w:rPr>
            <w:rFonts w:ascii="Tahoma" w:hAnsi="Tahoma" w:cs="Tahoma"/>
            <w:noProof/>
            <w:webHidden/>
            <w:sz w:val="24"/>
            <w:szCs w:val="24"/>
          </w:rPr>
          <w:instrText xml:space="preserve"> PAGEREF _Toc203642502 \h </w:instrText>
        </w:r>
        <w:r w:rsidR="00EE28C5" w:rsidRPr="00EE28C5">
          <w:rPr>
            <w:rFonts w:ascii="Tahoma" w:hAnsi="Tahoma" w:cs="Tahoma"/>
            <w:noProof/>
            <w:webHidden/>
            <w:sz w:val="24"/>
            <w:szCs w:val="24"/>
          </w:rPr>
        </w:r>
        <w:r w:rsidR="00EE28C5" w:rsidRPr="00EE28C5">
          <w:rPr>
            <w:rFonts w:ascii="Tahoma" w:hAnsi="Tahoma" w:cs="Tahoma"/>
            <w:noProof/>
            <w:webHidden/>
            <w:sz w:val="24"/>
            <w:szCs w:val="24"/>
          </w:rPr>
          <w:fldChar w:fldCharType="separate"/>
        </w:r>
        <w:r w:rsidR="00124AFB">
          <w:rPr>
            <w:rFonts w:ascii="Tahoma" w:hAnsi="Tahoma" w:cs="Tahoma"/>
            <w:noProof/>
            <w:webHidden/>
            <w:sz w:val="24"/>
            <w:szCs w:val="24"/>
          </w:rPr>
          <w:t>123</w:t>
        </w:r>
        <w:r w:rsidR="00EE28C5" w:rsidRPr="00EE28C5">
          <w:rPr>
            <w:rFonts w:ascii="Tahoma" w:hAnsi="Tahoma" w:cs="Tahoma"/>
            <w:noProof/>
            <w:webHidden/>
            <w:sz w:val="24"/>
            <w:szCs w:val="24"/>
          </w:rPr>
          <w:fldChar w:fldCharType="end"/>
        </w:r>
      </w:hyperlink>
    </w:p>
    <w:p w:rsidR="00EE28C5" w:rsidRPr="00EE28C5" w:rsidRDefault="00642CE5" w:rsidP="00EE28C5">
      <w:pPr>
        <w:pStyle w:val="Tabledesillustrations"/>
        <w:tabs>
          <w:tab w:val="right" w:leader="dot" w:pos="9346"/>
        </w:tabs>
        <w:spacing w:line="360" w:lineRule="auto"/>
        <w:jc w:val="both"/>
        <w:rPr>
          <w:rFonts w:ascii="Tahoma" w:eastAsiaTheme="minorEastAsia" w:hAnsi="Tahoma" w:cs="Tahoma"/>
          <w:noProof/>
          <w:sz w:val="24"/>
          <w:szCs w:val="24"/>
          <w:lang w:eastAsia="fr-FR"/>
        </w:rPr>
      </w:pPr>
      <w:hyperlink w:anchor="_Toc203642503" w:history="1">
        <w:r w:rsidR="00EE28C5" w:rsidRPr="00EE28C5">
          <w:rPr>
            <w:rStyle w:val="Lienhypertexte"/>
            <w:rFonts w:ascii="Tahoma" w:hAnsi="Tahoma" w:cs="Tahoma"/>
            <w:noProof/>
            <w:sz w:val="24"/>
            <w:szCs w:val="24"/>
          </w:rPr>
          <w:t>Tableau 4 : Nombre des élèves ingénieurs étrangers formés à l'ENFI,</w:t>
        </w:r>
        <w:r w:rsidR="00EE28C5" w:rsidRPr="00EE28C5">
          <w:rPr>
            <w:rFonts w:ascii="Tahoma" w:hAnsi="Tahoma" w:cs="Tahoma"/>
            <w:noProof/>
            <w:webHidden/>
            <w:sz w:val="24"/>
            <w:szCs w:val="24"/>
          </w:rPr>
          <w:tab/>
        </w:r>
        <w:r w:rsidR="00EE28C5" w:rsidRPr="00EE28C5">
          <w:rPr>
            <w:rFonts w:ascii="Tahoma" w:hAnsi="Tahoma" w:cs="Tahoma"/>
            <w:noProof/>
            <w:webHidden/>
            <w:sz w:val="24"/>
            <w:szCs w:val="24"/>
          </w:rPr>
          <w:fldChar w:fldCharType="begin"/>
        </w:r>
        <w:r w:rsidR="00EE28C5" w:rsidRPr="00EE28C5">
          <w:rPr>
            <w:rFonts w:ascii="Tahoma" w:hAnsi="Tahoma" w:cs="Tahoma"/>
            <w:noProof/>
            <w:webHidden/>
            <w:sz w:val="24"/>
            <w:szCs w:val="24"/>
          </w:rPr>
          <w:instrText xml:space="preserve"> PAGEREF _Toc203642503 \h </w:instrText>
        </w:r>
        <w:r w:rsidR="00EE28C5" w:rsidRPr="00EE28C5">
          <w:rPr>
            <w:rFonts w:ascii="Tahoma" w:hAnsi="Tahoma" w:cs="Tahoma"/>
            <w:noProof/>
            <w:webHidden/>
            <w:sz w:val="24"/>
            <w:szCs w:val="24"/>
          </w:rPr>
        </w:r>
        <w:r w:rsidR="00EE28C5" w:rsidRPr="00EE28C5">
          <w:rPr>
            <w:rFonts w:ascii="Tahoma" w:hAnsi="Tahoma" w:cs="Tahoma"/>
            <w:noProof/>
            <w:webHidden/>
            <w:sz w:val="24"/>
            <w:szCs w:val="24"/>
          </w:rPr>
          <w:fldChar w:fldCharType="separate"/>
        </w:r>
        <w:r w:rsidR="00124AFB">
          <w:rPr>
            <w:rFonts w:ascii="Tahoma" w:hAnsi="Tahoma" w:cs="Tahoma"/>
            <w:noProof/>
            <w:webHidden/>
            <w:sz w:val="24"/>
            <w:szCs w:val="24"/>
          </w:rPr>
          <w:t>131</w:t>
        </w:r>
        <w:r w:rsidR="00EE28C5" w:rsidRPr="00EE28C5">
          <w:rPr>
            <w:rFonts w:ascii="Tahoma" w:hAnsi="Tahoma" w:cs="Tahoma"/>
            <w:noProof/>
            <w:webHidden/>
            <w:sz w:val="24"/>
            <w:szCs w:val="24"/>
          </w:rPr>
          <w:fldChar w:fldCharType="end"/>
        </w:r>
      </w:hyperlink>
    </w:p>
    <w:p w:rsidR="00EE28C5" w:rsidRPr="00EE28C5" w:rsidRDefault="00642CE5" w:rsidP="00EE28C5">
      <w:pPr>
        <w:pStyle w:val="Tabledesillustrations"/>
        <w:tabs>
          <w:tab w:val="right" w:leader="dot" w:pos="9346"/>
        </w:tabs>
        <w:spacing w:line="360" w:lineRule="auto"/>
        <w:jc w:val="both"/>
        <w:rPr>
          <w:rFonts w:ascii="Tahoma" w:eastAsiaTheme="minorEastAsia" w:hAnsi="Tahoma" w:cs="Tahoma"/>
          <w:noProof/>
          <w:sz w:val="24"/>
          <w:szCs w:val="24"/>
          <w:lang w:eastAsia="fr-FR"/>
        </w:rPr>
      </w:pPr>
      <w:hyperlink w:anchor="_Toc203642504" w:history="1">
        <w:r w:rsidR="00EE28C5" w:rsidRPr="00EE28C5">
          <w:rPr>
            <w:rStyle w:val="Lienhypertexte"/>
            <w:rFonts w:ascii="Tahoma" w:hAnsi="Tahoma" w:cs="Tahoma"/>
            <w:noProof/>
            <w:sz w:val="24"/>
            <w:szCs w:val="24"/>
          </w:rPr>
          <w:t>Tableau 5 : Surface forestière mobilisée au Maroc pour les projets de développement</w:t>
        </w:r>
        <w:r w:rsidR="00EE28C5" w:rsidRPr="00EE28C5">
          <w:rPr>
            <w:rFonts w:ascii="Tahoma" w:hAnsi="Tahoma" w:cs="Tahoma"/>
            <w:noProof/>
            <w:webHidden/>
            <w:sz w:val="24"/>
            <w:szCs w:val="24"/>
          </w:rPr>
          <w:tab/>
        </w:r>
        <w:r w:rsidR="00EE28C5" w:rsidRPr="00EE28C5">
          <w:rPr>
            <w:rFonts w:ascii="Tahoma" w:hAnsi="Tahoma" w:cs="Tahoma"/>
            <w:noProof/>
            <w:webHidden/>
            <w:sz w:val="24"/>
            <w:szCs w:val="24"/>
          </w:rPr>
          <w:fldChar w:fldCharType="begin"/>
        </w:r>
        <w:r w:rsidR="00EE28C5" w:rsidRPr="00EE28C5">
          <w:rPr>
            <w:rFonts w:ascii="Tahoma" w:hAnsi="Tahoma" w:cs="Tahoma"/>
            <w:noProof/>
            <w:webHidden/>
            <w:sz w:val="24"/>
            <w:szCs w:val="24"/>
          </w:rPr>
          <w:instrText xml:space="preserve"> PAGEREF _Toc203642504 \h </w:instrText>
        </w:r>
        <w:r w:rsidR="00EE28C5" w:rsidRPr="00EE28C5">
          <w:rPr>
            <w:rFonts w:ascii="Tahoma" w:hAnsi="Tahoma" w:cs="Tahoma"/>
            <w:noProof/>
            <w:webHidden/>
            <w:sz w:val="24"/>
            <w:szCs w:val="24"/>
          </w:rPr>
        </w:r>
        <w:r w:rsidR="00EE28C5" w:rsidRPr="00EE28C5">
          <w:rPr>
            <w:rFonts w:ascii="Tahoma" w:hAnsi="Tahoma" w:cs="Tahoma"/>
            <w:noProof/>
            <w:webHidden/>
            <w:sz w:val="24"/>
            <w:szCs w:val="24"/>
          </w:rPr>
          <w:fldChar w:fldCharType="separate"/>
        </w:r>
        <w:r w:rsidR="00124AFB">
          <w:rPr>
            <w:rFonts w:ascii="Tahoma" w:hAnsi="Tahoma" w:cs="Tahoma"/>
            <w:noProof/>
            <w:webHidden/>
            <w:sz w:val="24"/>
            <w:szCs w:val="24"/>
          </w:rPr>
          <w:t>145</w:t>
        </w:r>
        <w:r w:rsidR="00EE28C5" w:rsidRPr="00EE28C5">
          <w:rPr>
            <w:rFonts w:ascii="Tahoma" w:hAnsi="Tahoma" w:cs="Tahoma"/>
            <w:noProof/>
            <w:webHidden/>
            <w:sz w:val="24"/>
            <w:szCs w:val="24"/>
          </w:rPr>
          <w:fldChar w:fldCharType="end"/>
        </w:r>
      </w:hyperlink>
    </w:p>
    <w:p w:rsidR="00EE28C5" w:rsidRPr="00EE28C5" w:rsidRDefault="00642CE5" w:rsidP="00EE28C5">
      <w:pPr>
        <w:pStyle w:val="Tabledesillustrations"/>
        <w:tabs>
          <w:tab w:val="right" w:leader="dot" w:pos="9346"/>
        </w:tabs>
        <w:spacing w:line="360" w:lineRule="auto"/>
        <w:jc w:val="both"/>
        <w:rPr>
          <w:rFonts w:ascii="Tahoma" w:eastAsiaTheme="minorEastAsia" w:hAnsi="Tahoma" w:cs="Tahoma"/>
          <w:noProof/>
          <w:sz w:val="24"/>
          <w:szCs w:val="24"/>
          <w:lang w:eastAsia="fr-FR"/>
        </w:rPr>
      </w:pPr>
      <w:hyperlink w:anchor="_Toc203642505" w:history="1">
        <w:r w:rsidR="00EE28C5" w:rsidRPr="00EE28C5">
          <w:rPr>
            <w:rStyle w:val="Lienhypertexte"/>
            <w:rFonts w:ascii="Tahoma" w:hAnsi="Tahoma" w:cs="Tahoma"/>
            <w:noProof/>
            <w:sz w:val="24"/>
            <w:szCs w:val="24"/>
          </w:rPr>
          <w:t>Tableau 6 : Situation des Occupations temporaires dans la zone de recherche</w:t>
        </w:r>
        <w:r w:rsidR="00EE28C5" w:rsidRPr="00EE28C5">
          <w:rPr>
            <w:rFonts w:ascii="Tahoma" w:hAnsi="Tahoma" w:cs="Tahoma"/>
            <w:noProof/>
            <w:webHidden/>
            <w:sz w:val="24"/>
            <w:szCs w:val="24"/>
          </w:rPr>
          <w:tab/>
        </w:r>
        <w:r w:rsidR="00EE28C5" w:rsidRPr="00EE28C5">
          <w:rPr>
            <w:rFonts w:ascii="Tahoma" w:hAnsi="Tahoma" w:cs="Tahoma"/>
            <w:noProof/>
            <w:webHidden/>
            <w:sz w:val="24"/>
            <w:szCs w:val="24"/>
          </w:rPr>
          <w:fldChar w:fldCharType="begin"/>
        </w:r>
        <w:r w:rsidR="00EE28C5" w:rsidRPr="00EE28C5">
          <w:rPr>
            <w:rFonts w:ascii="Tahoma" w:hAnsi="Tahoma" w:cs="Tahoma"/>
            <w:noProof/>
            <w:webHidden/>
            <w:sz w:val="24"/>
            <w:szCs w:val="24"/>
          </w:rPr>
          <w:instrText xml:space="preserve"> PAGEREF _Toc203642505 \h </w:instrText>
        </w:r>
        <w:r w:rsidR="00EE28C5" w:rsidRPr="00EE28C5">
          <w:rPr>
            <w:rFonts w:ascii="Tahoma" w:hAnsi="Tahoma" w:cs="Tahoma"/>
            <w:noProof/>
            <w:webHidden/>
            <w:sz w:val="24"/>
            <w:szCs w:val="24"/>
          </w:rPr>
        </w:r>
        <w:r w:rsidR="00EE28C5" w:rsidRPr="00EE28C5">
          <w:rPr>
            <w:rFonts w:ascii="Tahoma" w:hAnsi="Tahoma" w:cs="Tahoma"/>
            <w:noProof/>
            <w:webHidden/>
            <w:sz w:val="24"/>
            <w:szCs w:val="24"/>
          </w:rPr>
          <w:fldChar w:fldCharType="separate"/>
        </w:r>
        <w:r w:rsidR="00124AFB">
          <w:rPr>
            <w:rFonts w:ascii="Tahoma" w:hAnsi="Tahoma" w:cs="Tahoma"/>
            <w:noProof/>
            <w:webHidden/>
            <w:sz w:val="24"/>
            <w:szCs w:val="24"/>
          </w:rPr>
          <w:t>170</w:t>
        </w:r>
        <w:r w:rsidR="00EE28C5" w:rsidRPr="00EE28C5">
          <w:rPr>
            <w:rFonts w:ascii="Tahoma" w:hAnsi="Tahoma" w:cs="Tahoma"/>
            <w:noProof/>
            <w:webHidden/>
            <w:sz w:val="24"/>
            <w:szCs w:val="24"/>
          </w:rPr>
          <w:fldChar w:fldCharType="end"/>
        </w:r>
      </w:hyperlink>
    </w:p>
    <w:p w:rsidR="00EE28C5" w:rsidRPr="00EE28C5" w:rsidRDefault="00642CE5" w:rsidP="00EE28C5">
      <w:pPr>
        <w:pStyle w:val="Tabledesillustrations"/>
        <w:tabs>
          <w:tab w:val="right" w:leader="dot" w:pos="9346"/>
        </w:tabs>
        <w:spacing w:line="360" w:lineRule="auto"/>
        <w:jc w:val="both"/>
        <w:rPr>
          <w:rFonts w:ascii="Tahoma" w:eastAsiaTheme="minorEastAsia" w:hAnsi="Tahoma" w:cs="Tahoma"/>
          <w:noProof/>
          <w:sz w:val="24"/>
          <w:szCs w:val="24"/>
          <w:lang w:eastAsia="fr-FR"/>
        </w:rPr>
      </w:pPr>
      <w:hyperlink w:anchor="_Toc203642506" w:history="1">
        <w:r w:rsidR="00EE28C5" w:rsidRPr="00EE28C5">
          <w:rPr>
            <w:rStyle w:val="Lienhypertexte"/>
            <w:rFonts w:ascii="Tahoma" w:hAnsi="Tahoma" w:cs="Tahoma"/>
            <w:noProof/>
            <w:sz w:val="24"/>
            <w:szCs w:val="24"/>
          </w:rPr>
          <w:t>Tableau 7 : Principaux textes juridiques relatifs à la forêt</w:t>
        </w:r>
        <w:r w:rsidR="00EE28C5" w:rsidRPr="00EE28C5">
          <w:rPr>
            <w:rFonts w:ascii="Tahoma" w:hAnsi="Tahoma" w:cs="Tahoma"/>
            <w:noProof/>
            <w:webHidden/>
            <w:sz w:val="24"/>
            <w:szCs w:val="24"/>
          </w:rPr>
          <w:tab/>
        </w:r>
        <w:r w:rsidR="00EE28C5" w:rsidRPr="00EE28C5">
          <w:rPr>
            <w:rFonts w:ascii="Tahoma" w:hAnsi="Tahoma" w:cs="Tahoma"/>
            <w:noProof/>
            <w:webHidden/>
            <w:sz w:val="24"/>
            <w:szCs w:val="24"/>
          </w:rPr>
          <w:fldChar w:fldCharType="begin"/>
        </w:r>
        <w:r w:rsidR="00EE28C5" w:rsidRPr="00EE28C5">
          <w:rPr>
            <w:rFonts w:ascii="Tahoma" w:hAnsi="Tahoma" w:cs="Tahoma"/>
            <w:noProof/>
            <w:webHidden/>
            <w:sz w:val="24"/>
            <w:szCs w:val="24"/>
          </w:rPr>
          <w:instrText xml:space="preserve"> PAGEREF _Toc203642506 \h </w:instrText>
        </w:r>
        <w:r w:rsidR="00EE28C5" w:rsidRPr="00EE28C5">
          <w:rPr>
            <w:rFonts w:ascii="Tahoma" w:hAnsi="Tahoma" w:cs="Tahoma"/>
            <w:noProof/>
            <w:webHidden/>
            <w:sz w:val="24"/>
            <w:szCs w:val="24"/>
          </w:rPr>
        </w:r>
        <w:r w:rsidR="00EE28C5" w:rsidRPr="00EE28C5">
          <w:rPr>
            <w:rFonts w:ascii="Tahoma" w:hAnsi="Tahoma" w:cs="Tahoma"/>
            <w:noProof/>
            <w:webHidden/>
            <w:sz w:val="24"/>
            <w:szCs w:val="24"/>
          </w:rPr>
          <w:fldChar w:fldCharType="separate"/>
        </w:r>
        <w:r w:rsidR="00124AFB">
          <w:rPr>
            <w:rFonts w:ascii="Tahoma" w:hAnsi="Tahoma" w:cs="Tahoma"/>
            <w:noProof/>
            <w:webHidden/>
            <w:sz w:val="24"/>
            <w:szCs w:val="24"/>
          </w:rPr>
          <w:t>171</w:t>
        </w:r>
        <w:r w:rsidR="00EE28C5" w:rsidRPr="00EE28C5">
          <w:rPr>
            <w:rFonts w:ascii="Tahoma" w:hAnsi="Tahoma" w:cs="Tahoma"/>
            <w:noProof/>
            <w:webHidden/>
            <w:sz w:val="24"/>
            <w:szCs w:val="24"/>
          </w:rPr>
          <w:fldChar w:fldCharType="end"/>
        </w:r>
      </w:hyperlink>
    </w:p>
    <w:p w:rsidR="00EE28C5" w:rsidRPr="00EE28C5" w:rsidRDefault="00642CE5" w:rsidP="00EE28C5">
      <w:pPr>
        <w:pStyle w:val="Tabledesillustrations"/>
        <w:tabs>
          <w:tab w:val="right" w:leader="dot" w:pos="9346"/>
        </w:tabs>
        <w:spacing w:line="360" w:lineRule="auto"/>
        <w:jc w:val="both"/>
        <w:rPr>
          <w:rFonts w:ascii="Tahoma" w:eastAsiaTheme="minorEastAsia" w:hAnsi="Tahoma" w:cs="Tahoma"/>
          <w:noProof/>
          <w:sz w:val="24"/>
          <w:szCs w:val="24"/>
          <w:lang w:eastAsia="fr-FR"/>
        </w:rPr>
      </w:pPr>
      <w:hyperlink w:anchor="_Toc203642507" w:history="1">
        <w:r w:rsidR="00EE28C5" w:rsidRPr="00EE28C5">
          <w:rPr>
            <w:rStyle w:val="Lienhypertexte"/>
            <w:rFonts w:ascii="Tahoma" w:hAnsi="Tahoma" w:cs="Tahoma"/>
            <w:noProof/>
            <w:sz w:val="24"/>
            <w:szCs w:val="24"/>
          </w:rPr>
          <w:t>Tableau 8 : Evolution du taux de vulnérabilité  au Maroc par milieu entre</w:t>
        </w:r>
        <w:r w:rsidR="00EE28C5" w:rsidRPr="00EE28C5">
          <w:rPr>
            <w:rFonts w:ascii="Tahoma" w:hAnsi="Tahoma" w:cs="Tahoma"/>
            <w:noProof/>
            <w:webHidden/>
            <w:sz w:val="24"/>
            <w:szCs w:val="24"/>
          </w:rPr>
          <w:tab/>
        </w:r>
        <w:r w:rsidR="00EE28C5" w:rsidRPr="00EE28C5">
          <w:rPr>
            <w:rFonts w:ascii="Tahoma" w:hAnsi="Tahoma" w:cs="Tahoma"/>
            <w:noProof/>
            <w:webHidden/>
            <w:sz w:val="24"/>
            <w:szCs w:val="24"/>
          </w:rPr>
          <w:fldChar w:fldCharType="begin"/>
        </w:r>
        <w:r w:rsidR="00EE28C5" w:rsidRPr="00EE28C5">
          <w:rPr>
            <w:rFonts w:ascii="Tahoma" w:hAnsi="Tahoma" w:cs="Tahoma"/>
            <w:noProof/>
            <w:webHidden/>
            <w:sz w:val="24"/>
            <w:szCs w:val="24"/>
          </w:rPr>
          <w:instrText xml:space="preserve"> PAGEREF _Toc203642507 \h </w:instrText>
        </w:r>
        <w:r w:rsidR="00EE28C5" w:rsidRPr="00EE28C5">
          <w:rPr>
            <w:rFonts w:ascii="Tahoma" w:hAnsi="Tahoma" w:cs="Tahoma"/>
            <w:noProof/>
            <w:webHidden/>
            <w:sz w:val="24"/>
            <w:szCs w:val="24"/>
          </w:rPr>
        </w:r>
        <w:r w:rsidR="00EE28C5" w:rsidRPr="00EE28C5">
          <w:rPr>
            <w:rFonts w:ascii="Tahoma" w:hAnsi="Tahoma" w:cs="Tahoma"/>
            <w:noProof/>
            <w:webHidden/>
            <w:sz w:val="24"/>
            <w:szCs w:val="24"/>
          </w:rPr>
          <w:fldChar w:fldCharType="separate"/>
        </w:r>
        <w:r w:rsidR="00124AFB">
          <w:rPr>
            <w:rFonts w:ascii="Tahoma" w:hAnsi="Tahoma" w:cs="Tahoma"/>
            <w:noProof/>
            <w:webHidden/>
            <w:sz w:val="24"/>
            <w:szCs w:val="24"/>
          </w:rPr>
          <w:t>270</w:t>
        </w:r>
        <w:r w:rsidR="00EE28C5" w:rsidRPr="00EE28C5">
          <w:rPr>
            <w:rFonts w:ascii="Tahoma" w:hAnsi="Tahoma" w:cs="Tahoma"/>
            <w:noProof/>
            <w:webHidden/>
            <w:sz w:val="24"/>
            <w:szCs w:val="24"/>
          </w:rPr>
          <w:fldChar w:fldCharType="end"/>
        </w:r>
      </w:hyperlink>
    </w:p>
    <w:p w:rsidR="00EE28C5" w:rsidRPr="00EE28C5" w:rsidRDefault="00642CE5" w:rsidP="00EE28C5">
      <w:pPr>
        <w:pStyle w:val="Tabledesillustrations"/>
        <w:tabs>
          <w:tab w:val="right" w:leader="dot" w:pos="9346"/>
        </w:tabs>
        <w:spacing w:line="360" w:lineRule="auto"/>
        <w:jc w:val="both"/>
        <w:rPr>
          <w:rFonts w:ascii="Tahoma" w:eastAsiaTheme="minorEastAsia" w:hAnsi="Tahoma" w:cs="Tahoma"/>
          <w:noProof/>
          <w:sz w:val="24"/>
          <w:szCs w:val="24"/>
          <w:lang w:eastAsia="fr-FR"/>
        </w:rPr>
      </w:pPr>
      <w:hyperlink w:anchor="_Toc203642508" w:history="1">
        <w:r w:rsidR="00EE28C5" w:rsidRPr="00EE28C5">
          <w:rPr>
            <w:rStyle w:val="Lienhypertexte"/>
            <w:rFonts w:ascii="Tahoma" w:hAnsi="Tahoma" w:cs="Tahoma"/>
            <w:noProof/>
            <w:sz w:val="24"/>
            <w:szCs w:val="24"/>
          </w:rPr>
          <w:t>Tableau 9 : indice synthétique sanitaire de la forêt de Korifla selon les résultats de l’enquête</w:t>
        </w:r>
        <w:r w:rsidR="00EE28C5" w:rsidRPr="00EE28C5">
          <w:rPr>
            <w:rFonts w:ascii="Tahoma" w:hAnsi="Tahoma" w:cs="Tahoma"/>
            <w:noProof/>
            <w:webHidden/>
            <w:sz w:val="24"/>
            <w:szCs w:val="24"/>
          </w:rPr>
          <w:tab/>
        </w:r>
        <w:r w:rsidR="00EE28C5" w:rsidRPr="00EE28C5">
          <w:rPr>
            <w:rFonts w:ascii="Tahoma" w:hAnsi="Tahoma" w:cs="Tahoma"/>
            <w:noProof/>
            <w:webHidden/>
            <w:sz w:val="24"/>
            <w:szCs w:val="24"/>
          </w:rPr>
          <w:fldChar w:fldCharType="begin"/>
        </w:r>
        <w:r w:rsidR="00EE28C5" w:rsidRPr="00EE28C5">
          <w:rPr>
            <w:rFonts w:ascii="Tahoma" w:hAnsi="Tahoma" w:cs="Tahoma"/>
            <w:noProof/>
            <w:webHidden/>
            <w:sz w:val="24"/>
            <w:szCs w:val="24"/>
          </w:rPr>
          <w:instrText xml:space="preserve"> PAGEREF _Toc203642508 \h </w:instrText>
        </w:r>
        <w:r w:rsidR="00EE28C5" w:rsidRPr="00EE28C5">
          <w:rPr>
            <w:rFonts w:ascii="Tahoma" w:hAnsi="Tahoma" w:cs="Tahoma"/>
            <w:noProof/>
            <w:webHidden/>
            <w:sz w:val="24"/>
            <w:szCs w:val="24"/>
          </w:rPr>
        </w:r>
        <w:r w:rsidR="00EE28C5" w:rsidRPr="00EE28C5">
          <w:rPr>
            <w:rFonts w:ascii="Tahoma" w:hAnsi="Tahoma" w:cs="Tahoma"/>
            <w:noProof/>
            <w:webHidden/>
            <w:sz w:val="24"/>
            <w:szCs w:val="24"/>
          </w:rPr>
          <w:fldChar w:fldCharType="separate"/>
        </w:r>
        <w:r w:rsidR="00124AFB">
          <w:rPr>
            <w:rFonts w:ascii="Tahoma" w:hAnsi="Tahoma" w:cs="Tahoma"/>
            <w:noProof/>
            <w:webHidden/>
            <w:sz w:val="24"/>
            <w:szCs w:val="24"/>
          </w:rPr>
          <w:t>342</w:t>
        </w:r>
        <w:r w:rsidR="00EE28C5" w:rsidRPr="00EE28C5">
          <w:rPr>
            <w:rFonts w:ascii="Tahoma" w:hAnsi="Tahoma" w:cs="Tahoma"/>
            <w:noProof/>
            <w:webHidden/>
            <w:sz w:val="24"/>
            <w:szCs w:val="24"/>
          </w:rPr>
          <w:fldChar w:fldCharType="end"/>
        </w:r>
      </w:hyperlink>
    </w:p>
    <w:p w:rsidR="00EE28C5" w:rsidRPr="00EE28C5" w:rsidRDefault="00642CE5" w:rsidP="00EE28C5">
      <w:pPr>
        <w:pStyle w:val="Tabledesillustrations"/>
        <w:tabs>
          <w:tab w:val="right" w:leader="dot" w:pos="9346"/>
        </w:tabs>
        <w:spacing w:line="360" w:lineRule="auto"/>
        <w:jc w:val="both"/>
        <w:rPr>
          <w:rFonts w:ascii="Tahoma" w:eastAsiaTheme="minorEastAsia" w:hAnsi="Tahoma" w:cs="Tahoma"/>
          <w:noProof/>
          <w:sz w:val="24"/>
          <w:szCs w:val="24"/>
          <w:lang w:eastAsia="fr-FR"/>
        </w:rPr>
      </w:pPr>
      <w:hyperlink w:anchor="_Toc203642509" w:history="1">
        <w:r w:rsidR="00EE28C5" w:rsidRPr="00EE28C5">
          <w:rPr>
            <w:rStyle w:val="Lienhypertexte"/>
            <w:rFonts w:ascii="Tahoma" w:hAnsi="Tahoma" w:cs="Tahoma"/>
            <w:noProof/>
            <w:sz w:val="24"/>
            <w:szCs w:val="24"/>
          </w:rPr>
          <w:t>Tableau 10 :Iindice synthétique de l’éducation selon la perception de la polupation enquêtée</w:t>
        </w:r>
        <w:r w:rsidR="00EE28C5" w:rsidRPr="00EE28C5">
          <w:rPr>
            <w:rFonts w:ascii="Tahoma" w:hAnsi="Tahoma" w:cs="Tahoma"/>
            <w:noProof/>
            <w:webHidden/>
            <w:sz w:val="24"/>
            <w:szCs w:val="24"/>
          </w:rPr>
          <w:tab/>
        </w:r>
        <w:r w:rsidR="00EE28C5" w:rsidRPr="00EE28C5">
          <w:rPr>
            <w:rFonts w:ascii="Tahoma" w:hAnsi="Tahoma" w:cs="Tahoma"/>
            <w:noProof/>
            <w:webHidden/>
            <w:sz w:val="24"/>
            <w:szCs w:val="24"/>
          </w:rPr>
          <w:fldChar w:fldCharType="begin"/>
        </w:r>
        <w:r w:rsidR="00EE28C5" w:rsidRPr="00EE28C5">
          <w:rPr>
            <w:rFonts w:ascii="Tahoma" w:hAnsi="Tahoma" w:cs="Tahoma"/>
            <w:noProof/>
            <w:webHidden/>
            <w:sz w:val="24"/>
            <w:szCs w:val="24"/>
          </w:rPr>
          <w:instrText xml:space="preserve"> PAGEREF _Toc203642509 \h </w:instrText>
        </w:r>
        <w:r w:rsidR="00EE28C5" w:rsidRPr="00EE28C5">
          <w:rPr>
            <w:rFonts w:ascii="Tahoma" w:hAnsi="Tahoma" w:cs="Tahoma"/>
            <w:noProof/>
            <w:webHidden/>
            <w:sz w:val="24"/>
            <w:szCs w:val="24"/>
          </w:rPr>
        </w:r>
        <w:r w:rsidR="00EE28C5" w:rsidRPr="00EE28C5">
          <w:rPr>
            <w:rFonts w:ascii="Tahoma" w:hAnsi="Tahoma" w:cs="Tahoma"/>
            <w:noProof/>
            <w:webHidden/>
            <w:sz w:val="24"/>
            <w:szCs w:val="24"/>
          </w:rPr>
          <w:fldChar w:fldCharType="separate"/>
        </w:r>
        <w:r w:rsidR="00124AFB">
          <w:rPr>
            <w:rFonts w:ascii="Tahoma" w:hAnsi="Tahoma" w:cs="Tahoma"/>
            <w:noProof/>
            <w:webHidden/>
            <w:sz w:val="24"/>
            <w:szCs w:val="24"/>
          </w:rPr>
          <w:t>351</w:t>
        </w:r>
        <w:r w:rsidR="00EE28C5" w:rsidRPr="00EE28C5">
          <w:rPr>
            <w:rFonts w:ascii="Tahoma" w:hAnsi="Tahoma" w:cs="Tahoma"/>
            <w:noProof/>
            <w:webHidden/>
            <w:sz w:val="24"/>
            <w:szCs w:val="24"/>
          </w:rPr>
          <w:fldChar w:fldCharType="end"/>
        </w:r>
      </w:hyperlink>
    </w:p>
    <w:p w:rsidR="00EE28C5" w:rsidRPr="00EE28C5" w:rsidRDefault="00642CE5" w:rsidP="00EE28C5">
      <w:pPr>
        <w:pStyle w:val="Tabledesillustrations"/>
        <w:tabs>
          <w:tab w:val="right" w:leader="dot" w:pos="9346"/>
        </w:tabs>
        <w:spacing w:line="360" w:lineRule="auto"/>
        <w:jc w:val="both"/>
        <w:rPr>
          <w:rFonts w:ascii="Tahoma" w:eastAsiaTheme="minorEastAsia" w:hAnsi="Tahoma" w:cs="Tahoma"/>
          <w:noProof/>
          <w:sz w:val="24"/>
          <w:szCs w:val="24"/>
          <w:lang w:eastAsia="fr-FR"/>
        </w:rPr>
      </w:pPr>
      <w:hyperlink w:anchor="_Toc203642510" w:history="1">
        <w:r w:rsidR="00EE28C5" w:rsidRPr="00EE28C5">
          <w:rPr>
            <w:rStyle w:val="Lienhypertexte"/>
            <w:rFonts w:ascii="Tahoma" w:hAnsi="Tahoma" w:cs="Tahoma"/>
            <w:noProof/>
            <w:sz w:val="24"/>
            <w:szCs w:val="24"/>
          </w:rPr>
          <w:t>Tableau 11 : indice synthétique des équipements sociaux selon la perception de la population enquêtée</w:t>
        </w:r>
        <w:r w:rsidR="00EE28C5" w:rsidRPr="00EE28C5">
          <w:rPr>
            <w:rFonts w:ascii="Tahoma" w:hAnsi="Tahoma" w:cs="Tahoma"/>
            <w:noProof/>
            <w:webHidden/>
            <w:sz w:val="24"/>
            <w:szCs w:val="24"/>
          </w:rPr>
          <w:tab/>
        </w:r>
        <w:r w:rsidR="00EE28C5" w:rsidRPr="00EE28C5">
          <w:rPr>
            <w:rFonts w:ascii="Tahoma" w:hAnsi="Tahoma" w:cs="Tahoma"/>
            <w:noProof/>
            <w:webHidden/>
            <w:sz w:val="24"/>
            <w:szCs w:val="24"/>
          </w:rPr>
          <w:fldChar w:fldCharType="begin"/>
        </w:r>
        <w:r w:rsidR="00EE28C5" w:rsidRPr="00EE28C5">
          <w:rPr>
            <w:rFonts w:ascii="Tahoma" w:hAnsi="Tahoma" w:cs="Tahoma"/>
            <w:noProof/>
            <w:webHidden/>
            <w:sz w:val="24"/>
            <w:szCs w:val="24"/>
          </w:rPr>
          <w:instrText xml:space="preserve"> PAGEREF _Toc203642510 \h </w:instrText>
        </w:r>
        <w:r w:rsidR="00EE28C5" w:rsidRPr="00EE28C5">
          <w:rPr>
            <w:rFonts w:ascii="Tahoma" w:hAnsi="Tahoma" w:cs="Tahoma"/>
            <w:noProof/>
            <w:webHidden/>
            <w:sz w:val="24"/>
            <w:szCs w:val="24"/>
          </w:rPr>
        </w:r>
        <w:r w:rsidR="00EE28C5" w:rsidRPr="00EE28C5">
          <w:rPr>
            <w:rFonts w:ascii="Tahoma" w:hAnsi="Tahoma" w:cs="Tahoma"/>
            <w:noProof/>
            <w:webHidden/>
            <w:sz w:val="24"/>
            <w:szCs w:val="24"/>
          </w:rPr>
          <w:fldChar w:fldCharType="separate"/>
        </w:r>
        <w:r w:rsidR="00124AFB">
          <w:rPr>
            <w:rFonts w:ascii="Tahoma" w:hAnsi="Tahoma" w:cs="Tahoma"/>
            <w:noProof/>
            <w:webHidden/>
            <w:sz w:val="24"/>
            <w:szCs w:val="24"/>
          </w:rPr>
          <w:t>356</w:t>
        </w:r>
        <w:r w:rsidR="00EE28C5" w:rsidRPr="00EE28C5">
          <w:rPr>
            <w:rFonts w:ascii="Tahoma" w:hAnsi="Tahoma" w:cs="Tahoma"/>
            <w:noProof/>
            <w:webHidden/>
            <w:sz w:val="24"/>
            <w:szCs w:val="24"/>
          </w:rPr>
          <w:fldChar w:fldCharType="end"/>
        </w:r>
      </w:hyperlink>
    </w:p>
    <w:p w:rsidR="00EE28C5" w:rsidRPr="00EE28C5" w:rsidRDefault="00642CE5" w:rsidP="00EE28C5">
      <w:pPr>
        <w:pStyle w:val="Tabledesillustrations"/>
        <w:tabs>
          <w:tab w:val="right" w:leader="dot" w:pos="9346"/>
        </w:tabs>
        <w:spacing w:line="360" w:lineRule="auto"/>
        <w:jc w:val="both"/>
        <w:rPr>
          <w:rFonts w:ascii="Tahoma" w:eastAsiaTheme="minorEastAsia" w:hAnsi="Tahoma" w:cs="Tahoma"/>
          <w:noProof/>
          <w:sz w:val="24"/>
          <w:szCs w:val="24"/>
          <w:lang w:eastAsia="fr-FR"/>
        </w:rPr>
      </w:pPr>
      <w:hyperlink w:anchor="_Toc203642511" w:history="1">
        <w:r w:rsidR="00EE28C5" w:rsidRPr="00EE28C5">
          <w:rPr>
            <w:rStyle w:val="Lienhypertexte"/>
            <w:rFonts w:ascii="Tahoma" w:hAnsi="Tahoma" w:cs="Tahoma"/>
            <w:noProof/>
            <w:sz w:val="24"/>
            <w:szCs w:val="24"/>
          </w:rPr>
          <w:t>Tableau 12 : indice synthétique des revenus des ménages enquêtés selon la</w:t>
        </w:r>
        <w:r w:rsidR="00EE28C5" w:rsidRPr="00EE28C5">
          <w:rPr>
            <w:rFonts w:ascii="Tahoma" w:hAnsi="Tahoma" w:cs="Tahoma"/>
            <w:noProof/>
            <w:webHidden/>
            <w:sz w:val="24"/>
            <w:szCs w:val="24"/>
          </w:rPr>
          <w:tab/>
        </w:r>
        <w:r w:rsidR="00EE28C5" w:rsidRPr="00EE28C5">
          <w:rPr>
            <w:rFonts w:ascii="Tahoma" w:hAnsi="Tahoma" w:cs="Tahoma"/>
            <w:noProof/>
            <w:webHidden/>
            <w:sz w:val="24"/>
            <w:szCs w:val="24"/>
          </w:rPr>
          <w:fldChar w:fldCharType="begin"/>
        </w:r>
        <w:r w:rsidR="00EE28C5" w:rsidRPr="00EE28C5">
          <w:rPr>
            <w:rFonts w:ascii="Tahoma" w:hAnsi="Tahoma" w:cs="Tahoma"/>
            <w:noProof/>
            <w:webHidden/>
            <w:sz w:val="24"/>
            <w:szCs w:val="24"/>
          </w:rPr>
          <w:instrText xml:space="preserve"> PAGEREF _Toc203642511 \h </w:instrText>
        </w:r>
        <w:r w:rsidR="00EE28C5" w:rsidRPr="00EE28C5">
          <w:rPr>
            <w:rFonts w:ascii="Tahoma" w:hAnsi="Tahoma" w:cs="Tahoma"/>
            <w:noProof/>
            <w:webHidden/>
            <w:sz w:val="24"/>
            <w:szCs w:val="24"/>
          </w:rPr>
        </w:r>
        <w:r w:rsidR="00EE28C5" w:rsidRPr="00EE28C5">
          <w:rPr>
            <w:rFonts w:ascii="Tahoma" w:hAnsi="Tahoma" w:cs="Tahoma"/>
            <w:noProof/>
            <w:webHidden/>
            <w:sz w:val="24"/>
            <w:szCs w:val="24"/>
          </w:rPr>
          <w:fldChar w:fldCharType="separate"/>
        </w:r>
        <w:r w:rsidR="00124AFB">
          <w:rPr>
            <w:rFonts w:ascii="Tahoma" w:hAnsi="Tahoma" w:cs="Tahoma"/>
            <w:noProof/>
            <w:webHidden/>
            <w:sz w:val="24"/>
            <w:szCs w:val="24"/>
          </w:rPr>
          <w:t>372</w:t>
        </w:r>
        <w:r w:rsidR="00EE28C5" w:rsidRPr="00EE28C5">
          <w:rPr>
            <w:rFonts w:ascii="Tahoma" w:hAnsi="Tahoma" w:cs="Tahoma"/>
            <w:noProof/>
            <w:webHidden/>
            <w:sz w:val="24"/>
            <w:szCs w:val="24"/>
          </w:rPr>
          <w:fldChar w:fldCharType="end"/>
        </w:r>
      </w:hyperlink>
    </w:p>
    <w:p w:rsidR="00EE28C5" w:rsidRPr="00EE28C5" w:rsidRDefault="00642CE5" w:rsidP="00EE28C5">
      <w:pPr>
        <w:pStyle w:val="Tabledesillustrations"/>
        <w:tabs>
          <w:tab w:val="right" w:leader="dot" w:pos="9346"/>
        </w:tabs>
        <w:spacing w:line="360" w:lineRule="auto"/>
        <w:jc w:val="both"/>
        <w:rPr>
          <w:rFonts w:ascii="Tahoma" w:eastAsiaTheme="minorEastAsia" w:hAnsi="Tahoma" w:cs="Tahoma"/>
          <w:noProof/>
          <w:sz w:val="24"/>
          <w:szCs w:val="24"/>
          <w:lang w:eastAsia="fr-FR"/>
        </w:rPr>
      </w:pPr>
      <w:hyperlink w:anchor="_Toc203642512" w:history="1">
        <w:r w:rsidR="00EE28C5" w:rsidRPr="00EE28C5">
          <w:rPr>
            <w:rStyle w:val="Lienhypertexte"/>
            <w:rFonts w:ascii="Tahoma" w:hAnsi="Tahoma" w:cs="Tahoma"/>
            <w:noProof/>
            <w:sz w:val="24"/>
            <w:szCs w:val="24"/>
          </w:rPr>
          <w:t>Tableau 13 : indice synthétique de la dégradation de la forêt de Korifla selon la perception de la polupation enquêtée</w:t>
        </w:r>
        <w:r w:rsidR="00EE28C5" w:rsidRPr="00EE28C5">
          <w:rPr>
            <w:rFonts w:ascii="Tahoma" w:hAnsi="Tahoma" w:cs="Tahoma"/>
            <w:noProof/>
            <w:webHidden/>
            <w:sz w:val="24"/>
            <w:szCs w:val="24"/>
          </w:rPr>
          <w:tab/>
        </w:r>
        <w:r w:rsidR="00EE28C5" w:rsidRPr="00EE28C5">
          <w:rPr>
            <w:rFonts w:ascii="Tahoma" w:hAnsi="Tahoma" w:cs="Tahoma"/>
            <w:noProof/>
            <w:webHidden/>
            <w:sz w:val="24"/>
            <w:szCs w:val="24"/>
          </w:rPr>
          <w:fldChar w:fldCharType="begin"/>
        </w:r>
        <w:r w:rsidR="00EE28C5" w:rsidRPr="00EE28C5">
          <w:rPr>
            <w:rFonts w:ascii="Tahoma" w:hAnsi="Tahoma" w:cs="Tahoma"/>
            <w:noProof/>
            <w:webHidden/>
            <w:sz w:val="24"/>
            <w:szCs w:val="24"/>
          </w:rPr>
          <w:instrText xml:space="preserve"> PAGEREF _Toc203642512 \h </w:instrText>
        </w:r>
        <w:r w:rsidR="00EE28C5" w:rsidRPr="00EE28C5">
          <w:rPr>
            <w:rFonts w:ascii="Tahoma" w:hAnsi="Tahoma" w:cs="Tahoma"/>
            <w:noProof/>
            <w:webHidden/>
            <w:sz w:val="24"/>
            <w:szCs w:val="24"/>
          </w:rPr>
        </w:r>
        <w:r w:rsidR="00EE28C5" w:rsidRPr="00EE28C5">
          <w:rPr>
            <w:rFonts w:ascii="Tahoma" w:hAnsi="Tahoma" w:cs="Tahoma"/>
            <w:noProof/>
            <w:webHidden/>
            <w:sz w:val="24"/>
            <w:szCs w:val="24"/>
          </w:rPr>
          <w:fldChar w:fldCharType="separate"/>
        </w:r>
        <w:r w:rsidR="00124AFB">
          <w:rPr>
            <w:rFonts w:ascii="Tahoma" w:hAnsi="Tahoma" w:cs="Tahoma"/>
            <w:noProof/>
            <w:webHidden/>
            <w:sz w:val="24"/>
            <w:szCs w:val="24"/>
          </w:rPr>
          <w:t>379</w:t>
        </w:r>
        <w:r w:rsidR="00EE28C5" w:rsidRPr="00EE28C5">
          <w:rPr>
            <w:rFonts w:ascii="Tahoma" w:hAnsi="Tahoma" w:cs="Tahoma"/>
            <w:noProof/>
            <w:webHidden/>
            <w:sz w:val="24"/>
            <w:szCs w:val="24"/>
          </w:rPr>
          <w:fldChar w:fldCharType="end"/>
        </w:r>
      </w:hyperlink>
    </w:p>
    <w:p w:rsidR="00EB117E" w:rsidRPr="00EE28C5" w:rsidRDefault="0011420C" w:rsidP="00EE28C5">
      <w:pPr>
        <w:pStyle w:val="Titre"/>
        <w:rPr>
          <w:rFonts w:cs="Tahoma"/>
          <w:sz w:val="24"/>
          <w:szCs w:val="24"/>
        </w:rPr>
      </w:pPr>
      <w:r w:rsidRPr="00EE28C5">
        <w:rPr>
          <w:rFonts w:cs="Tahoma"/>
          <w:sz w:val="24"/>
          <w:szCs w:val="24"/>
        </w:rPr>
        <w:fldChar w:fldCharType="end"/>
      </w:r>
    </w:p>
    <w:p w:rsidR="00EB117E" w:rsidRPr="00EE28C5" w:rsidRDefault="00EB117E" w:rsidP="00EE28C5">
      <w:pPr>
        <w:spacing w:line="360" w:lineRule="auto"/>
        <w:jc w:val="both"/>
        <w:rPr>
          <w:rFonts w:ascii="Tahoma" w:eastAsia="Calibri" w:hAnsi="Tahoma" w:cs="Tahoma"/>
          <w:b/>
          <w:bCs/>
          <w:iCs/>
          <w:color w:val="000000" w:themeColor="text1"/>
          <w:sz w:val="24"/>
          <w:szCs w:val="24"/>
          <w:lang w:eastAsia="fr-FR"/>
        </w:rPr>
      </w:pPr>
      <w:r w:rsidRPr="00EE28C5">
        <w:rPr>
          <w:rFonts w:ascii="Tahoma" w:hAnsi="Tahoma" w:cs="Tahoma"/>
          <w:sz w:val="24"/>
          <w:szCs w:val="24"/>
        </w:rPr>
        <w:br w:type="page"/>
      </w:r>
    </w:p>
    <w:p w:rsidR="00EB117E" w:rsidRPr="002462E6" w:rsidRDefault="00EB117E" w:rsidP="002F1A32">
      <w:pPr>
        <w:pStyle w:val="Titre"/>
        <w:bidi w:val="0"/>
      </w:pPr>
      <w:bookmarkStart w:id="490" w:name="_Toc203643141"/>
      <w:r w:rsidRPr="002462E6">
        <w:t>Liste des graphes</w:t>
      </w:r>
      <w:bookmarkEnd w:id="490"/>
    </w:p>
    <w:p w:rsidR="00EE28C5" w:rsidRPr="00EE28C5" w:rsidRDefault="00EB117E" w:rsidP="00EE28C5">
      <w:pPr>
        <w:pStyle w:val="Tabledesillustrations"/>
        <w:tabs>
          <w:tab w:val="right" w:leader="dot" w:pos="9346"/>
        </w:tabs>
        <w:spacing w:line="360" w:lineRule="auto"/>
        <w:jc w:val="both"/>
        <w:rPr>
          <w:rFonts w:ascii="Tahoma" w:eastAsiaTheme="minorEastAsia" w:hAnsi="Tahoma" w:cs="Tahoma"/>
          <w:noProof/>
          <w:sz w:val="24"/>
          <w:szCs w:val="24"/>
          <w:lang w:eastAsia="fr-FR"/>
        </w:rPr>
      </w:pPr>
      <w:r w:rsidRPr="00EE28C5">
        <w:rPr>
          <w:rFonts w:ascii="Tahoma" w:hAnsi="Tahoma" w:cs="Tahoma"/>
          <w:sz w:val="24"/>
          <w:szCs w:val="24"/>
        </w:rPr>
        <w:fldChar w:fldCharType="begin"/>
      </w:r>
      <w:r w:rsidRPr="00EE28C5">
        <w:rPr>
          <w:rFonts w:ascii="Tahoma" w:hAnsi="Tahoma" w:cs="Tahoma"/>
          <w:sz w:val="24"/>
          <w:szCs w:val="24"/>
        </w:rPr>
        <w:instrText xml:space="preserve"> TOC \h \z \c "Graphe" </w:instrText>
      </w:r>
      <w:r w:rsidRPr="00EE28C5">
        <w:rPr>
          <w:rFonts w:ascii="Tahoma" w:hAnsi="Tahoma" w:cs="Tahoma"/>
          <w:sz w:val="24"/>
          <w:szCs w:val="24"/>
        </w:rPr>
        <w:fldChar w:fldCharType="separate"/>
      </w:r>
      <w:hyperlink w:anchor="_Toc203642533" w:history="1">
        <w:r w:rsidR="00EE28C5" w:rsidRPr="00EE28C5">
          <w:rPr>
            <w:rStyle w:val="Lienhypertexte"/>
            <w:rFonts w:ascii="Tahoma" w:hAnsi="Tahoma" w:cs="Tahoma"/>
            <w:noProof/>
            <w:sz w:val="24"/>
            <w:szCs w:val="24"/>
          </w:rPr>
          <w:t>Graphe 1 : Superficies des essences forestières à la forêt de Korifla</w:t>
        </w:r>
        <w:r w:rsidR="00EE28C5" w:rsidRPr="00EE28C5">
          <w:rPr>
            <w:rFonts w:ascii="Tahoma" w:hAnsi="Tahoma" w:cs="Tahoma"/>
            <w:noProof/>
            <w:webHidden/>
            <w:sz w:val="24"/>
            <w:szCs w:val="24"/>
          </w:rPr>
          <w:tab/>
        </w:r>
        <w:r w:rsidR="00EE28C5" w:rsidRPr="00EE28C5">
          <w:rPr>
            <w:rFonts w:ascii="Tahoma" w:hAnsi="Tahoma" w:cs="Tahoma"/>
            <w:noProof/>
            <w:webHidden/>
            <w:sz w:val="24"/>
            <w:szCs w:val="24"/>
          </w:rPr>
          <w:fldChar w:fldCharType="begin"/>
        </w:r>
        <w:r w:rsidR="00EE28C5" w:rsidRPr="00EE28C5">
          <w:rPr>
            <w:rFonts w:ascii="Tahoma" w:hAnsi="Tahoma" w:cs="Tahoma"/>
            <w:noProof/>
            <w:webHidden/>
            <w:sz w:val="24"/>
            <w:szCs w:val="24"/>
          </w:rPr>
          <w:instrText xml:space="preserve"> PAGEREF _Toc203642533 \h </w:instrText>
        </w:r>
        <w:r w:rsidR="00EE28C5" w:rsidRPr="00EE28C5">
          <w:rPr>
            <w:rFonts w:ascii="Tahoma" w:hAnsi="Tahoma" w:cs="Tahoma"/>
            <w:noProof/>
            <w:webHidden/>
            <w:sz w:val="24"/>
            <w:szCs w:val="24"/>
          </w:rPr>
        </w:r>
        <w:r w:rsidR="00EE28C5" w:rsidRPr="00EE28C5">
          <w:rPr>
            <w:rFonts w:ascii="Tahoma" w:hAnsi="Tahoma" w:cs="Tahoma"/>
            <w:noProof/>
            <w:webHidden/>
            <w:sz w:val="24"/>
            <w:szCs w:val="24"/>
          </w:rPr>
          <w:fldChar w:fldCharType="separate"/>
        </w:r>
        <w:r w:rsidR="00124AFB">
          <w:rPr>
            <w:rFonts w:ascii="Tahoma" w:hAnsi="Tahoma" w:cs="Tahoma"/>
            <w:noProof/>
            <w:webHidden/>
            <w:sz w:val="24"/>
            <w:szCs w:val="24"/>
          </w:rPr>
          <w:t>162</w:t>
        </w:r>
        <w:r w:rsidR="00EE28C5" w:rsidRPr="00EE28C5">
          <w:rPr>
            <w:rFonts w:ascii="Tahoma" w:hAnsi="Tahoma" w:cs="Tahoma"/>
            <w:noProof/>
            <w:webHidden/>
            <w:sz w:val="24"/>
            <w:szCs w:val="24"/>
          </w:rPr>
          <w:fldChar w:fldCharType="end"/>
        </w:r>
      </w:hyperlink>
    </w:p>
    <w:p w:rsidR="00EE28C5" w:rsidRPr="00EE28C5" w:rsidRDefault="00642CE5" w:rsidP="00EE28C5">
      <w:pPr>
        <w:pStyle w:val="Tabledesillustrations"/>
        <w:tabs>
          <w:tab w:val="right" w:leader="dot" w:pos="9346"/>
        </w:tabs>
        <w:spacing w:line="360" w:lineRule="auto"/>
        <w:jc w:val="both"/>
        <w:rPr>
          <w:rFonts w:ascii="Tahoma" w:eastAsiaTheme="minorEastAsia" w:hAnsi="Tahoma" w:cs="Tahoma"/>
          <w:noProof/>
          <w:sz w:val="24"/>
          <w:szCs w:val="24"/>
          <w:lang w:eastAsia="fr-FR"/>
        </w:rPr>
      </w:pPr>
      <w:hyperlink w:anchor="_Toc203642534" w:history="1">
        <w:r w:rsidR="00EE28C5" w:rsidRPr="00EE28C5">
          <w:rPr>
            <w:rStyle w:val="Lienhypertexte"/>
            <w:rFonts w:ascii="Tahoma" w:hAnsi="Tahoma" w:cs="Tahoma"/>
            <w:noProof/>
            <w:sz w:val="24"/>
            <w:szCs w:val="24"/>
          </w:rPr>
          <w:t>Graphe 2 : Répartition de la population enquêtée en % vivant à plus de 10 km du centre de santé</w:t>
        </w:r>
        <w:r w:rsidR="00EE28C5" w:rsidRPr="00EE28C5">
          <w:rPr>
            <w:rFonts w:ascii="Tahoma" w:hAnsi="Tahoma" w:cs="Tahoma"/>
            <w:noProof/>
            <w:webHidden/>
            <w:sz w:val="24"/>
            <w:szCs w:val="24"/>
          </w:rPr>
          <w:tab/>
        </w:r>
        <w:r w:rsidR="00EE28C5" w:rsidRPr="00EE28C5">
          <w:rPr>
            <w:rFonts w:ascii="Tahoma" w:hAnsi="Tahoma" w:cs="Tahoma"/>
            <w:noProof/>
            <w:webHidden/>
            <w:sz w:val="24"/>
            <w:szCs w:val="24"/>
          </w:rPr>
          <w:fldChar w:fldCharType="begin"/>
        </w:r>
        <w:r w:rsidR="00EE28C5" w:rsidRPr="00EE28C5">
          <w:rPr>
            <w:rFonts w:ascii="Tahoma" w:hAnsi="Tahoma" w:cs="Tahoma"/>
            <w:noProof/>
            <w:webHidden/>
            <w:sz w:val="24"/>
            <w:szCs w:val="24"/>
          </w:rPr>
          <w:instrText xml:space="preserve"> PAGEREF _Toc203642534 \h </w:instrText>
        </w:r>
        <w:r w:rsidR="00EE28C5" w:rsidRPr="00EE28C5">
          <w:rPr>
            <w:rFonts w:ascii="Tahoma" w:hAnsi="Tahoma" w:cs="Tahoma"/>
            <w:noProof/>
            <w:webHidden/>
            <w:sz w:val="24"/>
            <w:szCs w:val="24"/>
          </w:rPr>
        </w:r>
        <w:r w:rsidR="00EE28C5" w:rsidRPr="00EE28C5">
          <w:rPr>
            <w:rFonts w:ascii="Tahoma" w:hAnsi="Tahoma" w:cs="Tahoma"/>
            <w:noProof/>
            <w:webHidden/>
            <w:sz w:val="24"/>
            <w:szCs w:val="24"/>
          </w:rPr>
          <w:fldChar w:fldCharType="separate"/>
        </w:r>
        <w:r w:rsidR="00124AFB">
          <w:rPr>
            <w:rFonts w:ascii="Tahoma" w:hAnsi="Tahoma" w:cs="Tahoma"/>
            <w:noProof/>
            <w:webHidden/>
            <w:sz w:val="24"/>
            <w:szCs w:val="24"/>
          </w:rPr>
          <w:t>334</w:t>
        </w:r>
        <w:r w:rsidR="00EE28C5" w:rsidRPr="00EE28C5">
          <w:rPr>
            <w:rFonts w:ascii="Tahoma" w:hAnsi="Tahoma" w:cs="Tahoma"/>
            <w:noProof/>
            <w:webHidden/>
            <w:sz w:val="24"/>
            <w:szCs w:val="24"/>
          </w:rPr>
          <w:fldChar w:fldCharType="end"/>
        </w:r>
      </w:hyperlink>
    </w:p>
    <w:p w:rsidR="00EE28C5" w:rsidRPr="00EE28C5" w:rsidRDefault="00642CE5" w:rsidP="00EE28C5">
      <w:pPr>
        <w:pStyle w:val="Tabledesillustrations"/>
        <w:tabs>
          <w:tab w:val="right" w:leader="dot" w:pos="9346"/>
        </w:tabs>
        <w:spacing w:line="360" w:lineRule="auto"/>
        <w:jc w:val="both"/>
        <w:rPr>
          <w:rFonts w:ascii="Tahoma" w:eastAsiaTheme="minorEastAsia" w:hAnsi="Tahoma" w:cs="Tahoma"/>
          <w:noProof/>
          <w:sz w:val="24"/>
          <w:szCs w:val="24"/>
          <w:lang w:eastAsia="fr-FR"/>
        </w:rPr>
      </w:pPr>
      <w:hyperlink w:anchor="_Toc203642535" w:history="1">
        <w:r w:rsidR="00EE28C5" w:rsidRPr="00EE28C5">
          <w:rPr>
            <w:rStyle w:val="Lienhypertexte"/>
            <w:rFonts w:ascii="Tahoma" w:hAnsi="Tahoma" w:cs="Tahoma"/>
            <w:noProof/>
            <w:sz w:val="24"/>
            <w:szCs w:val="24"/>
          </w:rPr>
          <w:t>Graphe 3 : Taux de mortalité infantile dans les Douars enquêtés</w:t>
        </w:r>
        <w:r w:rsidR="00EE28C5" w:rsidRPr="00EE28C5">
          <w:rPr>
            <w:rFonts w:ascii="Tahoma" w:hAnsi="Tahoma" w:cs="Tahoma"/>
            <w:noProof/>
            <w:webHidden/>
            <w:sz w:val="24"/>
            <w:szCs w:val="24"/>
          </w:rPr>
          <w:tab/>
        </w:r>
        <w:r w:rsidR="00EE28C5" w:rsidRPr="00EE28C5">
          <w:rPr>
            <w:rFonts w:ascii="Tahoma" w:hAnsi="Tahoma" w:cs="Tahoma"/>
            <w:noProof/>
            <w:webHidden/>
            <w:sz w:val="24"/>
            <w:szCs w:val="24"/>
          </w:rPr>
          <w:fldChar w:fldCharType="begin"/>
        </w:r>
        <w:r w:rsidR="00EE28C5" w:rsidRPr="00EE28C5">
          <w:rPr>
            <w:rFonts w:ascii="Tahoma" w:hAnsi="Tahoma" w:cs="Tahoma"/>
            <w:noProof/>
            <w:webHidden/>
            <w:sz w:val="24"/>
            <w:szCs w:val="24"/>
          </w:rPr>
          <w:instrText xml:space="preserve"> PAGEREF _Toc203642535 \h </w:instrText>
        </w:r>
        <w:r w:rsidR="00EE28C5" w:rsidRPr="00EE28C5">
          <w:rPr>
            <w:rFonts w:ascii="Tahoma" w:hAnsi="Tahoma" w:cs="Tahoma"/>
            <w:noProof/>
            <w:webHidden/>
            <w:sz w:val="24"/>
            <w:szCs w:val="24"/>
          </w:rPr>
        </w:r>
        <w:r w:rsidR="00EE28C5" w:rsidRPr="00EE28C5">
          <w:rPr>
            <w:rFonts w:ascii="Tahoma" w:hAnsi="Tahoma" w:cs="Tahoma"/>
            <w:noProof/>
            <w:webHidden/>
            <w:sz w:val="24"/>
            <w:szCs w:val="24"/>
          </w:rPr>
          <w:fldChar w:fldCharType="separate"/>
        </w:r>
        <w:r w:rsidR="00124AFB">
          <w:rPr>
            <w:rFonts w:ascii="Tahoma" w:hAnsi="Tahoma" w:cs="Tahoma"/>
            <w:noProof/>
            <w:webHidden/>
            <w:sz w:val="24"/>
            <w:szCs w:val="24"/>
          </w:rPr>
          <w:t>335</w:t>
        </w:r>
        <w:r w:rsidR="00EE28C5" w:rsidRPr="00EE28C5">
          <w:rPr>
            <w:rFonts w:ascii="Tahoma" w:hAnsi="Tahoma" w:cs="Tahoma"/>
            <w:noProof/>
            <w:webHidden/>
            <w:sz w:val="24"/>
            <w:szCs w:val="24"/>
          </w:rPr>
          <w:fldChar w:fldCharType="end"/>
        </w:r>
      </w:hyperlink>
    </w:p>
    <w:p w:rsidR="00EE28C5" w:rsidRPr="00EE28C5" w:rsidRDefault="00642CE5" w:rsidP="00EE28C5">
      <w:pPr>
        <w:pStyle w:val="Tabledesillustrations"/>
        <w:tabs>
          <w:tab w:val="right" w:leader="dot" w:pos="9346"/>
        </w:tabs>
        <w:spacing w:line="360" w:lineRule="auto"/>
        <w:jc w:val="both"/>
        <w:rPr>
          <w:rFonts w:ascii="Tahoma" w:eastAsiaTheme="minorEastAsia" w:hAnsi="Tahoma" w:cs="Tahoma"/>
          <w:noProof/>
          <w:sz w:val="24"/>
          <w:szCs w:val="24"/>
          <w:lang w:eastAsia="fr-FR"/>
        </w:rPr>
      </w:pPr>
      <w:hyperlink w:anchor="_Toc203642536" w:history="1">
        <w:r w:rsidR="00EE28C5" w:rsidRPr="00EE28C5">
          <w:rPr>
            <w:rStyle w:val="Lienhypertexte"/>
            <w:rFonts w:ascii="Tahoma" w:hAnsi="Tahoma" w:cs="Tahoma"/>
            <w:noProof/>
            <w:sz w:val="24"/>
            <w:szCs w:val="24"/>
          </w:rPr>
          <w:t>Graphe 4 : Répartition des enquêtés par détention de la carte du Régime d’Assistance Médicale (RAMED)</w:t>
        </w:r>
        <w:r w:rsidR="00EE28C5" w:rsidRPr="00EE28C5">
          <w:rPr>
            <w:rFonts w:ascii="Tahoma" w:hAnsi="Tahoma" w:cs="Tahoma"/>
            <w:noProof/>
            <w:webHidden/>
            <w:sz w:val="24"/>
            <w:szCs w:val="24"/>
          </w:rPr>
          <w:tab/>
        </w:r>
        <w:r w:rsidR="00EE28C5" w:rsidRPr="00EE28C5">
          <w:rPr>
            <w:rFonts w:ascii="Tahoma" w:hAnsi="Tahoma" w:cs="Tahoma"/>
            <w:noProof/>
            <w:webHidden/>
            <w:sz w:val="24"/>
            <w:szCs w:val="24"/>
          </w:rPr>
          <w:fldChar w:fldCharType="begin"/>
        </w:r>
        <w:r w:rsidR="00EE28C5" w:rsidRPr="00EE28C5">
          <w:rPr>
            <w:rFonts w:ascii="Tahoma" w:hAnsi="Tahoma" w:cs="Tahoma"/>
            <w:noProof/>
            <w:webHidden/>
            <w:sz w:val="24"/>
            <w:szCs w:val="24"/>
          </w:rPr>
          <w:instrText xml:space="preserve"> PAGEREF _Toc203642536 \h </w:instrText>
        </w:r>
        <w:r w:rsidR="00EE28C5" w:rsidRPr="00EE28C5">
          <w:rPr>
            <w:rFonts w:ascii="Tahoma" w:hAnsi="Tahoma" w:cs="Tahoma"/>
            <w:noProof/>
            <w:webHidden/>
            <w:sz w:val="24"/>
            <w:szCs w:val="24"/>
          </w:rPr>
        </w:r>
        <w:r w:rsidR="00EE28C5" w:rsidRPr="00EE28C5">
          <w:rPr>
            <w:rFonts w:ascii="Tahoma" w:hAnsi="Tahoma" w:cs="Tahoma"/>
            <w:noProof/>
            <w:webHidden/>
            <w:sz w:val="24"/>
            <w:szCs w:val="24"/>
          </w:rPr>
          <w:fldChar w:fldCharType="separate"/>
        </w:r>
        <w:r w:rsidR="00124AFB">
          <w:rPr>
            <w:rFonts w:ascii="Tahoma" w:hAnsi="Tahoma" w:cs="Tahoma"/>
            <w:noProof/>
            <w:webHidden/>
            <w:sz w:val="24"/>
            <w:szCs w:val="24"/>
          </w:rPr>
          <w:t>336</w:t>
        </w:r>
        <w:r w:rsidR="00EE28C5" w:rsidRPr="00EE28C5">
          <w:rPr>
            <w:rFonts w:ascii="Tahoma" w:hAnsi="Tahoma" w:cs="Tahoma"/>
            <w:noProof/>
            <w:webHidden/>
            <w:sz w:val="24"/>
            <w:szCs w:val="24"/>
          </w:rPr>
          <w:fldChar w:fldCharType="end"/>
        </w:r>
      </w:hyperlink>
    </w:p>
    <w:p w:rsidR="00EE28C5" w:rsidRPr="00EE28C5" w:rsidRDefault="00642CE5" w:rsidP="00EE28C5">
      <w:pPr>
        <w:pStyle w:val="Tabledesillustrations"/>
        <w:tabs>
          <w:tab w:val="right" w:leader="dot" w:pos="9346"/>
        </w:tabs>
        <w:spacing w:line="360" w:lineRule="auto"/>
        <w:jc w:val="both"/>
        <w:rPr>
          <w:rFonts w:ascii="Tahoma" w:eastAsiaTheme="minorEastAsia" w:hAnsi="Tahoma" w:cs="Tahoma"/>
          <w:noProof/>
          <w:sz w:val="24"/>
          <w:szCs w:val="24"/>
          <w:lang w:eastAsia="fr-FR"/>
        </w:rPr>
      </w:pPr>
      <w:hyperlink w:anchor="_Toc203642537" w:history="1">
        <w:r w:rsidR="00EE28C5" w:rsidRPr="00EE28C5">
          <w:rPr>
            <w:rStyle w:val="Lienhypertexte"/>
            <w:rFonts w:ascii="Tahoma" w:hAnsi="Tahoma" w:cs="Tahoma"/>
            <w:noProof/>
            <w:sz w:val="24"/>
            <w:szCs w:val="24"/>
          </w:rPr>
          <w:t>Graphe 5 : Appréciation des enquêtés en % par rapport à l’alimentation saine et équilibrée</w:t>
        </w:r>
        <w:r w:rsidR="00EE28C5" w:rsidRPr="00EE28C5">
          <w:rPr>
            <w:rFonts w:ascii="Tahoma" w:hAnsi="Tahoma" w:cs="Tahoma"/>
            <w:noProof/>
            <w:webHidden/>
            <w:sz w:val="24"/>
            <w:szCs w:val="24"/>
          </w:rPr>
          <w:tab/>
        </w:r>
        <w:r w:rsidR="00EE28C5" w:rsidRPr="00EE28C5">
          <w:rPr>
            <w:rFonts w:ascii="Tahoma" w:hAnsi="Tahoma" w:cs="Tahoma"/>
            <w:noProof/>
            <w:webHidden/>
            <w:sz w:val="24"/>
            <w:szCs w:val="24"/>
          </w:rPr>
          <w:fldChar w:fldCharType="begin"/>
        </w:r>
        <w:r w:rsidR="00EE28C5" w:rsidRPr="00EE28C5">
          <w:rPr>
            <w:rFonts w:ascii="Tahoma" w:hAnsi="Tahoma" w:cs="Tahoma"/>
            <w:noProof/>
            <w:webHidden/>
            <w:sz w:val="24"/>
            <w:szCs w:val="24"/>
          </w:rPr>
          <w:instrText xml:space="preserve"> PAGEREF _Toc203642537 \h </w:instrText>
        </w:r>
        <w:r w:rsidR="00EE28C5" w:rsidRPr="00EE28C5">
          <w:rPr>
            <w:rFonts w:ascii="Tahoma" w:hAnsi="Tahoma" w:cs="Tahoma"/>
            <w:noProof/>
            <w:webHidden/>
            <w:sz w:val="24"/>
            <w:szCs w:val="24"/>
          </w:rPr>
        </w:r>
        <w:r w:rsidR="00EE28C5" w:rsidRPr="00EE28C5">
          <w:rPr>
            <w:rFonts w:ascii="Tahoma" w:hAnsi="Tahoma" w:cs="Tahoma"/>
            <w:noProof/>
            <w:webHidden/>
            <w:sz w:val="24"/>
            <w:szCs w:val="24"/>
          </w:rPr>
          <w:fldChar w:fldCharType="separate"/>
        </w:r>
        <w:r w:rsidR="00124AFB">
          <w:rPr>
            <w:rFonts w:ascii="Tahoma" w:hAnsi="Tahoma" w:cs="Tahoma"/>
            <w:noProof/>
            <w:webHidden/>
            <w:sz w:val="24"/>
            <w:szCs w:val="24"/>
          </w:rPr>
          <w:t>337</w:t>
        </w:r>
        <w:r w:rsidR="00EE28C5" w:rsidRPr="00EE28C5">
          <w:rPr>
            <w:rFonts w:ascii="Tahoma" w:hAnsi="Tahoma" w:cs="Tahoma"/>
            <w:noProof/>
            <w:webHidden/>
            <w:sz w:val="24"/>
            <w:szCs w:val="24"/>
          </w:rPr>
          <w:fldChar w:fldCharType="end"/>
        </w:r>
      </w:hyperlink>
    </w:p>
    <w:p w:rsidR="00EE28C5" w:rsidRPr="00EE28C5" w:rsidRDefault="00642CE5" w:rsidP="00EE28C5">
      <w:pPr>
        <w:pStyle w:val="Tabledesillustrations"/>
        <w:tabs>
          <w:tab w:val="right" w:leader="dot" w:pos="9346"/>
        </w:tabs>
        <w:spacing w:line="360" w:lineRule="auto"/>
        <w:jc w:val="both"/>
        <w:rPr>
          <w:rFonts w:ascii="Tahoma" w:eastAsiaTheme="minorEastAsia" w:hAnsi="Tahoma" w:cs="Tahoma"/>
          <w:noProof/>
          <w:sz w:val="24"/>
          <w:szCs w:val="24"/>
          <w:lang w:eastAsia="fr-FR"/>
        </w:rPr>
      </w:pPr>
      <w:hyperlink w:anchor="_Toc203642538" w:history="1">
        <w:r w:rsidR="00EE28C5" w:rsidRPr="00EE28C5">
          <w:rPr>
            <w:rStyle w:val="Lienhypertexte"/>
            <w:rFonts w:ascii="Tahoma" w:hAnsi="Tahoma" w:cs="Tahoma"/>
            <w:noProof/>
            <w:sz w:val="24"/>
            <w:szCs w:val="24"/>
          </w:rPr>
          <w:t>Graphe 6 : Part en % des enquêtés par rapport aux dépenses de l'alimentation</w:t>
        </w:r>
        <w:r w:rsidR="00EE28C5" w:rsidRPr="00EE28C5">
          <w:rPr>
            <w:rFonts w:ascii="Tahoma" w:hAnsi="Tahoma" w:cs="Tahoma"/>
            <w:noProof/>
            <w:webHidden/>
            <w:sz w:val="24"/>
            <w:szCs w:val="24"/>
          </w:rPr>
          <w:tab/>
        </w:r>
        <w:r w:rsidR="00EE28C5" w:rsidRPr="00EE28C5">
          <w:rPr>
            <w:rFonts w:ascii="Tahoma" w:hAnsi="Tahoma" w:cs="Tahoma"/>
            <w:noProof/>
            <w:webHidden/>
            <w:sz w:val="24"/>
            <w:szCs w:val="24"/>
          </w:rPr>
          <w:fldChar w:fldCharType="begin"/>
        </w:r>
        <w:r w:rsidR="00EE28C5" w:rsidRPr="00EE28C5">
          <w:rPr>
            <w:rFonts w:ascii="Tahoma" w:hAnsi="Tahoma" w:cs="Tahoma"/>
            <w:noProof/>
            <w:webHidden/>
            <w:sz w:val="24"/>
            <w:szCs w:val="24"/>
          </w:rPr>
          <w:instrText xml:space="preserve"> PAGEREF _Toc203642538 \h </w:instrText>
        </w:r>
        <w:r w:rsidR="00EE28C5" w:rsidRPr="00EE28C5">
          <w:rPr>
            <w:rFonts w:ascii="Tahoma" w:hAnsi="Tahoma" w:cs="Tahoma"/>
            <w:noProof/>
            <w:webHidden/>
            <w:sz w:val="24"/>
            <w:szCs w:val="24"/>
          </w:rPr>
        </w:r>
        <w:r w:rsidR="00EE28C5" w:rsidRPr="00EE28C5">
          <w:rPr>
            <w:rFonts w:ascii="Tahoma" w:hAnsi="Tahoma" w:cs="Tahoma"/>
            <w:noProof/>
            <w:webHidden/>
            <w:sz w:val="24"/>
            <w:szCs w:val="24"/>
          </w:rPr>
          <w:fldChar w:fldCharType="separate"/>
        </w:r>
        <w:r w:rsidR="00124AFB">
          <w:rPr>
            <w:rFonts w:ascii="Tahoma" w:hAnsi="Tahoma" w:cs="Tahoma"/>
            <w:noProof/>
            <w:webHidden/>
            <w:sz w:val="24"/>
            <w:szCs w:val="24"/>
          </w:rPr>
          <w:t>338</w:t>
        </w:r>
        <w:r w:rsidR="00EE28C5" w:rsidRPr="00EE28C5">
          <w:rPr>
            <w:rFonts w:ascii="Tahoma" w:hAnsi="Tahoma" w:cs="Tahoma"/>
            <w:noProof/>
            <w:webHidden/>
            <w:sz w:val="24"/>
            <w:szCs w:val="24"/>
          </w:rPr>
          <w:fldChar w:fldCharType="end"/>
        </w:r>
      </w:hyperlink>
    </w:p>
    <w:p w:rsidR="00EE28C5" w:rsidRPr="00EE28C5" w:rsidRDefault="00642CE5" w:rsidP="00EE28C5">
      <w:pPr>
        <w:pStyle w:val="Tabledesillustrations"/>
        <w:tabs>
          <w:tab w:val="right" w:leader="dot" w:pos="9346"/>
        </w:tabs>
        <w:spacing w:line="360" w:lineRule="auto"/>
        <w:jc w:val="both"/>
        <w:rPr>
          <w:rFonts w:ascii="Tahoma" w:eastAsiaTheme="minorEastAsia" w:hAnsi="Tahoma" w:cs="Tahoma"/>
          <w:noProof/>
          <w:sz w:val="24"/>
          <w:szCs w:val="24"/>
          <w:lang w:eastAsia="fr-FR"/>
        </w:rPr>
      </w:pPr>
      <w:hyperlink w:anchor="_Toc203642539" w:history="1">
        <w:r w:rsidR="00EE28C5" w:rsidRPr="00EE28C5">
          <w:rPr>
            <w:rStyle w:val="Lienhypertexte"/>
            <w:rFonts w:ascii="Tahoma" w:hAnsi="Tahoma" w:cs="Tahoma"/>
            <w:noProof/>
            <w:sz w:val="24"/>
            <w:szCs w:val="24"/>
          </w:rPr>
          <w:t>Graphe 7 : Répartition des ménages selon la présence d'un membre handicapé</w:t>
        </w:r>
        <w:r w:rsidR="00EE28C5" w:rsidRPr="00EE28C5">
          <w:rPr>
            <w:rFonts w:ascii="Tahoma" w:hAnsi="Tahoma" w:cs="Tahoma"/>
            <w:noProof/>
            <w:webHidden/>
            <w:sz w:val="24"/>
            <w:szCs w:val="24"/>
          </w:rPr>
          <w:tab/>
        </w:r>
        <w:r w:rsidR="00EE28C5" w:rsidRPr="00EE28C5">
          <w:rPr>
            <w:rFonts w:ascii="Tahoma" w:hAnsi="Tahoma" w:cs="Tahoma"/>
            <w:noProof/>
            <w:webHidden/>
            <w:sz w:val="24"/>
            <w:szCs w:val="24"/>
          </w:rPr>
          <w:fldChar w:fldCharType="begin"/>
        </w:r>
        <w:r w:rsidR="00EE28C5" w:rsidRPr="00EE28C5">
          <w:rPr>
            <w:rFonts w:ascii="Tahoma" w:hAnsi="Tahoma" w:cs="Tahoma"/>
            <w:noProof/>
            <w:webHidden/>
            <w:sz w:val="24"/>
            <w:szCs w:val="24"/>
          </w:rPr>
          <w:instrText xml:space="preserve"> PAGEREF _Toc203642539 \h </w:instrText>
        </w:r>
        <w:r w:rsidR="00EE28C5" w:rsidRPr="00EE28C5">
          <w:rPr>
            <w:rFonts w:ascii="Tahoma" w:hAnsi="Tahoma" w:cs="Tahoma"/>
            <w:noProof/>
            <w:webHidden/>
            <w:sz w:val="24"/>
            <w:szCs w:val="24"/>
          </w:rPr>
        </w:r>
        <w:r w:rsidR="00EE28C5" w:rsidRPr="00EE28C5">
          <w:rPr>
            <w:rFonts w:ascii="Tahoma" w:hAnsi="Tahoma" w:cs="Tahoma"/>
            <w:noProof/>
            <w:webHidden/>
            <w:sz w:val="24"/>
            <w:szCs w:val="24"/>
          </w:rPr>
          <w:fldChar w:fldCharType="separate"/>
        </w:r>
        <w:r w:rsidR="00124AFB">
          <w:rPr>
            <w:rFonts w:ascii="Tahoma" w:hAnsi="Tahoma" w:cs="Tahoma"/>
            <w:noProof/>
            <w:webHidden/>
            <w:sz w:val="24"/>
            <w:szCs w:val="24"/>
          </w:rPr>
          <w:t>340</w:t>
        </w:r>
        <w:r w:rsidR="00EE28C5" w:rsidRPr="00EE28C5">
          <w:rPr>
            <w:rFonts w:ascii="Tahoma" w:hAnsi="Tahoma" w:cs="Tahoma"/>
            <w:noProof/>
            <w:webHidden/>
            <w:sz w:val="24"/>
            <w:szCs w:val="24"/>
          </w:rPr>
          <w:fldChar w:fldCharType="end"/>
        </w:r>
      </w:hyperlink>
    </w:p>
    <w:p w:rsidR="00EE28C5" w:rsidRPr="00EE28C5" w:rsidRDefault="00642CE5" w:rsidP="00EE28C5">
      <w:pPr>
        <w:pStyle w:val="Tabledesillustrations"/>
        <w:tabs>
          <w:tab w:val="right" w:leader="dot" w:pos="9346"/>
        </w:tabs>
        <w:spacing w:line="360" w:lineRule="auto"/>
        <w:jc w:val="both"/>
        <w:rPr>
          <w:rFonts w:ascii="Tahoma" w:eastAsiaTheme="minorEastAsia" w:hAnsi="Tahoma" w:cs="Tahoma"/>
          <w:noProof/>
          <w:sz w:val="24"/>
          <w:szCs w:val="24"/>
          <w:lang w:eastAsia="fr-FR"/>
        </w:rPr>
      </w:pPr>
      <w:hyperlink w:anchor="_Toc203642540" w:history="1">
        <w:r w:rsidR="00EE28C5" w:rsidRPr="00EE28C5">
          <w:rPr>
            <w:rStyle w:val="Lienhypertexte"/>
            <w:rFonts w:ascii="Tahoma" w:hAnsi="Tahoma" w:cs="Tahoma"/>
            <w:noProof/>
            <w:sz w:val="24"/>
            <w:szCs w:val="24"/>
          </w:rPr>
          <w:t>Graphe 8 : Répartition des enquêtés par niveau d’instruction</w:t>
        </w:r>
        <w:r w:rsidR="00EE28C5" w:rsidRPr="00EE28C5">
          <w:rPr>
            <w:rFonts w:ascii="Tahoma" w:hAnsi="Tahoma" w:cs="Tahoma"/>
            <w:noProof/>
            <w:webHidden/>
            <w:sz w:val="24"/>
            <w:szCs w:val="24"/>
          </w:rPr>
          <w:tab/>
        </w:r>
        <w:r w:rsidR="00EE28C5" w:rsidRPr="00EE28C5">
          <w:rPr>
            <w:rFonts w:ascii="Tahoma" w:hAnsi="Tahoma" w:cs="Tahoma"/>
            <w:noProof/>
            <w:webHidden/>
            <w:sz w:val="24"/>
            <w:szCs w:val="24"/>
          </w:rPr>
          <w:fldChar w:fldCharType="begin"/>
        </w:r>
        <w:r w:rsidR="00EE28C5" w:rsidRPr="00EE28C5">
          <w:rPr>
            <w:rFonts w:ascii="Tahoma" w:hAnsi="Tahoma" w:cs="Tahoma"/>
            <w:noProof/>
            <w:webHidden/>
            <w:sz w:val="24"/>
            <w:szCs w:val="24"/>
          </w:rPr>
          <w:instrText xml:space="preserve"> PAGEREF _Toc203642540 \h </w:instrText>
        </w:r>
        <w:r w:rsidR="00EE28C5" w:rsidRPr="00EE28C5">
          <w:rPr>
            <w:rFonts w:ascii="Tahoma" w:hAnsi="Tahoma" w:cs="Tahoma"/>
            <w:noProof/>
            <w:webHidden/>
            <w:sz w:val="24"/>
            <w:szCs w:val="24"/>
          </w:rPr>
        </w:r>
        <w:r w:rsidR="00EE28C5" w:rsidRPr="00EE28C5">
          <w:rPr>
            <w:rFonts w:ascii="Tahoma" w:hAnsi="Tahoma" w:cs="Tahoma"/>
            <w:noProof/>
            <w:webHidden/>
            <w:sz w:val="24"/>
            <w:szCs w:val="24"/>
          </w:rPr>
          <w:fldChar w:fldCharType="separate"/>
        </w:r>
        <w:r w:rsidR="00124AFB">
          <w:rPr>
            <w:rFonts w:ascii="Tahoma" w:hAnsi="Tahoma" w:cs="Tahoma"/>
            <w:noProof/>
            <w:webHidden/>
            <w:sz w:val="24"/>
            <w:szCs w:val="24"/>
          </w:rPr>
          <w:t>345</w:t>
        </w:r>
        <w:r w:rsidR="00EE28C5" w:rsidRPr="00EE28C5">
          <w:rPr>
            <w:rFonts w:ascii="Tahoma" w:hAnsi="Tahoma" w:cs="Tahoma"/>
            <w:noProof/>
            <w:webHidden/>
            <w:sz w:val="24"/>
            <w:szCs w:val="24"/>
          </w:rPr>
          <w:fldChar w:fldCharType="end"/>
        </w:r>
      </w:hyperlink>
    </w:p>
    <w:p w:rsidR="00EE28C5" w:rsidRPr="00EE28C5" w:rsidRDefault="00642CE5" w:rsidP="00EE28C5">
      <w:pPr>
        <w:pStyle w:val="Tabledesillustrations"/>
        <w:tabs>
          <w:tab w:val="right" w:leader="dot" w:pos="9346"/>
        </w:tabs>
        <w:spacing w:line="360" w:lineRule="auto"/>
        <w:jc w:val="both"/>
        <w:rPr>
          <w:rFonts w:ascii="Tahoma" w:eastAsiaTheme="minorEastAsia" w:hAnsi="Tahoma" w:cs="Tahoma"/>
          <w:noProof/>
          <w:sz w:val="24"/>
          <w:szCs w:val="24"/>
          <w:lang w:eastAsia="fr-FR"/>
        </w:rPr>
      </w:pPr>
      <w:hyperlink w:anchor="_Toc203642541" w:history="1">
        <w:r w:rsidR="00EE28C5" w:rsidRPr="00EE28C5">
          <w:rPr>
            <w:rStyle w:val="Lienhypertexte"/>
            <w:rFonts w:ascii="Tahoma" w:hAnsi="Tahoma" w:cs="Tahoma"/>
            <w:noProof/>
            <w:sz w:val="24"/>
            <w:szCs w:val="24"/>
          </w:rPr>
          <w:t>Graphe 9 : Répartition des enfants des enquêtés par niveau d’instruction</w:t>
        </w:r>
        <w:r w:rsidR="00EE28C5" w:rsidRPr="00EE28C5">
          <w:rPr>
            <w:rFonts w:ascii="Tahoma" w:hAnsi="Tahoma" w:cs="Tahoma"/>
            <w:noProof/>
            <w:webHidden/>
            <w:sz w:val="24"/>
            <w:szCs w:val="24"/>
          </w:rPr>
          <w:tab/>
        </w:r>
        <w:r w:rsidR="00EE28C5" w:rsidRPr="00EE28C5">
          <w:rPr>
            <w:rFonts w:ascii="Tahoma" w:hAnsi="Tahoma" w:cs="Tahoma"/>
            <w:noProof/>
            <w:webHidden/>
            <w:sz w:val="24"/>
            <w:szCs w:val="24"/>
          </w:rPr>
          <w:fldChar w:fldCharType="begin"/>
        </w:r>
        <w:r w:rsidR="00EE28C5" w:rsidRPr="00EE28C5">
          <w:rPr>
            <w:rFonts w:ascii="Tahoma" w:hAnsi="Tahoma" w:cs="Tahoma"/>
            <w:noProof/>
            <w:webHidden/>
            <w:sz w:val="24"/>
            <w:szCs w:val="24"/>
          </w:rPr>
          <w:instrText xml:space="preserve"> PAGEREF _Toc203642541 \h </w:instrText>
        </w:r>
        <w:r w:rsidR="00EE28C5" w:rsidRPr="00EE28C5">
          <w:rPr>
            <w:rFonts w:ascii="Tahoma" w:hAnsi="Tahoma" w:cs="Tahoma"/>
            <w:noProof/>
            <w:webHidden/>
            <w:sz w:val="24"/>
            <w:szCs w:val="24"/>
          </w:rPr>
        </w:r>
        <w:r w:rsidR="00EE28C5" w:rsidRPr="00EE28C5">
          <w:rPr>
            <w:rFonts w:ascii="Tahoma" w:hAnsi="Tahoma" w:cs="Tahoma"/>
            <w:noProof/>
            <w:webHidden/>
            <w:sz w:val="24"/>
            <w:szCs w:val="24"/>
          </w:rPr>
          <w:fldChar w:fldCharType="separate"/>
        </w:r>
        <w:r w:rsidR="00124AFB">
          <w:rPr>
            <w:rFonts w:ascii="Tahoma" w:hAnsi="Tahoma" w:cs="Tahoma"/>
            <w:noProof/>
            <w:webHidden/>
            <w:sz w:val="24"/>
            <w:szCs w:val="24"/>
          </w:rPr>
          <w:t>346</w:t>
        </w:r>
        <w:r w:rsidR="00EE28C5" w:rsidRPr="00EE28C5">
          <w:rPr>
            <w:rFonts w:ascii="Tahoma" w:hAnsi="Tahoma" w:cs="Tahoma"/>
            <w:noProof/>
            <w:webHidden/>
            <w:sz w:val="24"/>
            <w:szCs w:val="24"/>
          </w:rPr>
          <w:fldChar w:fldCharType="end"/>
        </w:r>
      </w:hyperlink>
    </w:p>
    <w:p w:rsidR="00EE28C5" w:rsidRPr="00EE28C5" w:rsidRDefault="00642CE5" w:rsidP="00EE28C5">
      <w:pPr>
        <w:pStyle w:val="Tabledesillustrations"/>
        <w:tabs>
          <w:tab w:val="right" w:leader="dot" w:pos="9346"/>
        </w:tabs>
        <w:spacing w:line="360" w:lineRule="auto"/>
        <w:jc w:val="both"/>
        <w:rPr>
          <w:rFonts w:ascii="Tahoma" w:eastAsiaTheme="minorEastAsia" w:hAnsi="Tahoma" w:cs="Tahoma"/>
          <w:noProof/>
          <w:sz w:val="24"/>
          <w:szCs w:val="24"/>
          <w:lang w:eastAsia="fr-FR"/>
        </w:rPr>
      </w:pPr>
      <w:hyperlink w:anchor="_Toc203642542" w:history="1">
        <w:r w:rsidR="00EE28C5" w:rsidRPr="00EE28C5">
          <w:rPr>
            <w:rStyle w:val="Lienhypertexte"/>
            <w:rFonts w:ascii="Tahoma" w:hAnsi="Tahoma" w:cs="Tahoma"/>
            <w:noProof/>
            <w:sz w:val="24"/>
            <w:szCs w:val="24"/>
          </w:rPr>
          <w:t>Graphe 10  : Graphique : Répartition des enquêtés selon la distance domicile-école (supérieure à 3 km)</w:t>
        </w:r>
        <w:r w:rsidR="00EE28C5" w:rsidRPr="00EE28C5">
          <w:rPr>
            <w:rFonts w:ascii="Tahoma" w:hAnsi="Tahoma" w:cs="Tahoma"/>
            <w:noProof/>
            <w:webHidden/>
            <w:sz w:val="24"/>
            <w:szCs w:val="24"/>
          </w:rPr>
          <w:tab/>
        </w:r>
        <w:r w:rsidR="00EE28C5" w:rsidRPr="00EE28C5">
          <w:rPr>
            <w:rFonts w:ascii="Tahoma" w:hAnsi="Tahoma" w:cs="Tahoma"/>
            <w:noProof/>
            <w:webHidden/>
            <w:sz w:val="24"/>
            <w:szCs w:val="24"/>
          </w:rPr>
          <w:fldChar w:fldCharType="begin"/>
        </w:r>
        <w:r w:rsidR="00EE28C5" w:rsidRPr="00EE28C5">
          <w:rPr>
            <w:rFonts w:ascii="Tahoma" w:hAnsi="Tahoma" w:cs="Tahoma"/>
            <w:noProof/>
            <w:webHidden/>
            <w:sz w:val="24"/>
            <w:szCs w:val="24"/>
          </w:rPr>
          <w:instrText xml:space="preserve"> PAGEREF _Toc203642542 \h </w:instrText>
        </w:r>
        <w:r w:rsidR="00EE28C5" w:rsidRPr="00EE28C5">
          <w:rPr>
            <w:rFonts w:ascii="Tahoma" w:hAnsi="Tahoma" w:cs="Tahoma"/>
            <w:noProof/>
            <w:webHidden/>
            <w:sz w:val="24"/>
            <w:szCs w:val="24"/>
          </w:rPr>
        </w:r>
        <w:r w:rsidR="00EE28C5" w:rsidRPr="00EE28C5">
          <w:rPr>
            <w:rFonts w:ascii="Tahoma" w:hAnsi="Tahoma" w:cs="Tahoma"/>
            <w:noProof/>
            <w:webHidden/>
            <w:sz w:val="24"/>
            <w:szCs w:val="24"/>
          </w:rPr>
          <w:fldChar w:fldCharType="separate"/>
        </w:r>
        <w:r w:rsidR="00124AFB">
          <w:rPr>
            <w:rFonts w:ascii="Tahoma" w:hAnsi="Tahoma" w:cs="Tahoma"/>
            <w:noProof/>
            <w:webHidden/>
            <w:sz w:val="24"/>
            <w:szCs w:val="24"/>
          </w:rPr>
          <w:t>347</w:t>
        </w:r>
        <w:r w:rsidR="00EE28C5" w:rsidRPr="00EE28C5">
          <w:rPr>
            <w:rFonts w:ascii="Tahoma" w:hAnsi="Tahoma" w:cs="Tahoma"/>
            <w:noProof/>
            <w:webHidden/>
            <w:sz w:val="24"/>
            <w:szCs w:val="24"/>
          </w:rPr>
          <w:fldChar w:fldCharType="end"/>
        </w:r>
      </w:hyperlink>
    </w:p>
    <w:p w:rsidR="00EE28C5" w:rsidRPr="00EE28C5" w:rsidRDefault="00642CE5" w:rsidP="00EE28C5">
      <w:pPr>
        <w:pStyle w:val="Tabledesillustrations"/>
        <w:tabs>
          <w:tab w:val="right" w:leader="dot" w:pos="9346"/>
        </w:tabs>
        <w:spacing w:line="360" w:lineRule="auto"/>
        <w:jc w:val="both"/>
        <w:rPr>
          <w:rFonts w:ascii="Tahoma" w:eastAsiaTheme="minorEastAsia" w:hAnsi="Tahoma" w:cs="Tahoma"/>
          <w:noProof/>
          <w:sz w:val="24"/>
          <w:szCs w:val="24"/>
          <w:lang w:eastAsia="fr-FR"/>
        </w:rPr>
      </w:pPr>
      <w:hyperlink w:anchor="_Toc203642543" w:history="1">
        <w:r w:rsidR="00EE28C5" w:rsidRPr="00EE28C5">
          <w:rPr>
            <w:rStyle w:val="Lienhypertexte"/>
            <w:rFonts w:ascii="Tahoma" w:hAnsi="Tahoma" w:cs="Tahoma"/>
            <w:noProof/>
            <w:sz w:val="24"/>
            <w:szCs w:val="24"/>
          </w:rPr>
          <w:t>Graphe 11 : Principaux problèmes rencontrés vis-à-vis de la poursuite des études dans la zone d’étude</w:t>
        </w:r>
        <w:r w:rsidR="00EE28C5" w:rsidRPr="00EE28C5">
          <w:rPr>
            <w:rFonts w:ascii="Tahoma" w:hAnsi="Tahoma" w:cs="Tahoma"/>
            <w:noProof/>
            <w:webHidden/>
            <w:sz w:val="24"/>
            <w:szCs w:val="24"/>
          </w:rPr>
          <w:tab/>
        </w:r>
        <w:r w:rsidR="00EE28C5" w:rsidRPr="00EE28C5">
          <w:rPr>
            <w:rFonts w:ascii="Tahoma" w:hAnsi="Tahoma" w:cs="Tahoma"/>
            <w:noProof/>
            <w:webHidden/>
            <w:sz w:val="24"/>
            <w:szCs w:val="24"/>
          </w:rPr>
          <w:fldChar w:fldCharType="begin"/>
        </w:r>
        <w:r w:rsidR="00EE28C5" w:rsidRPr="00EE28C5">
          <w:rPr>
            <w:rFonts w:ascii="Tahoma" w:hAnsi="Tahoma" w:cs="Tahoma"/>
            <w:noProof/>
            <w:webHidden/>
            <w:sz w:val="24"/>
            <w:szCs w:val="24"/>
          </w:rPr>
          <w:instrText xml:space="preserve"> PAGEREF _Toc203642543 \h </w:instrText>
        </w:r>
        <w:r w:rsidR="00EE28C5" w:rsidRPr="00EE28C5">
          <w:rPr>
            <w:rFonts w:ascii="Tahoma" w:hAnsi="Tahoma" w:cs="Tahoma"/>
            <w:noProof/>
            <w:webHidden/>
            <w:sz w:val="24"/>
            <w:szCs w:val="24"/>
          </w:rPr>
        </w:r>
        <w:r w:rsidR="00EE28C5" w:rsidRPr="00EE28C5">
          <w:rPr>
            <w:rFonts w:ascii="Tahoma" w:hAnsi="Tahoma" w:cs="Tahoma"/>
            <w:noProof/>
            <w:webHidden/>
            <w:sz w:val="24"/>
            <w:szCs w:val="24"/>
          </w:rPr>
          <w:fldChar w:fldCharType="separate"/>
        </w:r>
        <w:r w:rsidR="00124AFB">
          <w:rPr>
            <w:rFonts w:ascii="Tahoma" w:hAnsi="Tahoma" w:cs="Tahoma"/>
            <w:noProof/>
            <w:webHidden/>
            <w:sz w:val="24"/>
            <w:szCs w:val="24"/>
          </w:rPr>
          <w:t>348</w:t>
        </w:r>
        <w:r w:rsidR="00EE28C5" w:rsidRPr="00EE28C5">
          <w:rPr>
            <w:rFonts w:ascii="Tahoma" w:hAnsi="Tahoma" w:cs="Tahoma"/>
            <w:noProof/>
            <w:webHidden/>
            <w:sz w:val="24"/>
            <w:szCs w:val="24"/>
          </w:rPr>
          <w:fldChar w:fldCharType="end"/>
        </w:r>
      </w:hyperlink>
    </w:p>
    <w:p w:rsidR="00EE28C5" w:rsidRPr="00EE28C5" w:rsidRDefault="00642CE5" w:rsidP="00EE28C5">
      <w:pPr>
        <w:pStyle w:val="Tabledesillustrations"/>
        <w:tabs>
          <w:tab w:val="right" w:leader="dot" w:pos="9346"/>
        </w:tabs>
        <w:spacing w:line="360" w:lineRule="auto"/>
        <w:jc w:val="both"/>
        <w:rPr>
          <w:rFonts w:ascii="Tahoma" w:eastAsiaTheme="minorEastAsia" w:hAnsi="Tahoma" w:cs="Tahoma"/>
          <w:noProof/>
          <w:sz w:val="24"/>
          <w:szCs w:val="24"/>
          <w:lang w:eastAsia="fr-FR"/>
        </w:rPr>
      </w:pPr>
      <w:hyperlink w:anchor="_Toc203642544" w:history="1">
        <w:r w:rsidR="00EE28C5" w:rsidRPr="00EE28C5">
          <w:rPr>
            <w:rStyle w:val="Lienhypertexte"/>
            <w:rFonts w:ascii="Tahoma" w:hAnsi="Tahoma" w:cs="Tahoma"/>
            <w:noProof/>
            <w:sz w:val="24"/>
            <w:szCs w:val="24"/>
          </w:rPr>
          <w:t>Graphe 12 : Taux d'équipement des enquêtés en électricité</w:t>
        </w:r>
        <w:r w:rsidR="00EE28C5" w:rsidRPr="00EE28C5">
          <w:rPr>
            <w:rFonts w:ascii="Tahoma" w:hAnsi="Tahoma" w:cs="Tahoma"/>
            <w:noProof/>
            <w:webHidden/>
            <w:sz w:val="24"/>
            <w:szCs w:val="24"/>
          </w:rPr>
          <w:tab/>
        </w:r>
        <w:r w:rsidR="00EE28C5" w:rsidRPr="00EE28C5">
          <w:rPr>
            <w:rFonts w:ascii="Tahoma" w:hAnsi="Tahoma" w:cs="Tahoma"/>
            <w:noProof/>
            <w:webHidden/>
            <w:sz w:val="24"/>
            <w:szCs w:val="24"/>
          </w:rPr>
          <w:fldChar w:fldCharType="begin"/>
        </w:r>
        <w:r w:rsidR="00EE28C5" w:rsidRPr="00EE28C5">
          <w:rPr>
            <w:rFonts w:ascii="Tahoma" w:hAnsi="Tahoma" w:cs="Tahoma"/>
            <w:noProof/>
            <w:webHidden/>
            <w:sz w:val="24"/>
            <w:szCs w:val="24"/>
          </w:rPr>
          <w:instrText xml:space="preserve"> PAGEREF _Toc203642544 \h </w:instrText>
        </w:r>
        <w:r w:rsidR="00EE28C5" w:rsidRPr="00EE28C5">
          <w:rPr>
            <w:rFonts w:ascii="Tahoma" w:hAnsi="Tahoma" w:cs="Tahoma"/>
            <w:noProof/>
            <w:webHidden/>
            <w:sz w:val="24"/>
            <w:szCs w:val="24"/>
          </w:rPr>
        </w:r>
        <w:r w:rsidR="00EE28C5" w:rsidRPr="00EE28C5">
          <w:rPr>
            <w:rFonts w:ascii="Tahoma" w:hAnsi="Tahoma" w:cs="Tahoma"/>
            <w:noProof/>
            <w:webHidden/>
            <w:sz w:val="24"/>
            <w:szCs w:val="24"/>
          </w:rPr>
          <w:fldChar w:fldCharType="separate"/>
        </w:r>
        <w:r w:rsidR="00124AFB">
          <w:rPr>
            <w:rFonts w:ascii="Tahoma" w:hAnsi="Tahoma" w:cs="Tahoma"/>
            <w:noProof/>
            <w:webHidden/>
            <w:sz w:val="24"/>
            <w:szCs w:val="24"/>
          </w:rPr>
          <w:t>359</w:t>
        </w:r>
        <w:r w:rsidR="00EE28C5" w:rsidRPr="00EE28C5">
          <w:rPr>
            <w:rFonts w:ascii="Tahoma" w:hAnsi="Tahoma" w:cs="Tahoma"/>
            <w:noProof/>
            <w:webHidden/>
            <w:sz w:val="24"/>
            <w:szCs w:val="24"/>
          </w:rPr>
          <w:fldChar w:fldCharType="end"/>
        </w:r>
      </w:hyperlink>
    </w:p>
    <w:p w:rsidR="00EE28C5" w:rsidRPr="00EE28C5" w:rsidRDefault="00642CE5" w:rsidP="00EE28C5">
      <w:pPr>
        <w:pStyle w:val="Tabledesillustrations"/>
        <w:tabs>
          <w:tab w:val="right" w:leader="dot" w:pos="9346"/>
        </w:tabs>
        <w:spacing w:line="360" w:lineRule="auto"/>
        <w:jc w:val="both"/>
        <w:rPr>
          <w:rFonts w:ascii="Tahoma" w:eastAsiaTheme="minorEastAsia" w:hAnsi="Tahoma" w:cs="Tahoma"/>
          <w:noProof/>
          <w:sz w:val="24"/>
          <w:szCs w:val="24"/>
          <w:lang w:eastAsia="fr-FR"/>
        </w:rPr>
      </w:pPr>
      <w:hyperlink w:anchor="_Toc203642545" w:history="1">
        <w:r w:rsidR="00EE28C5" w:rsidRPr="00EE28C5">
          <w:rPr>
            <w:rStyle w:val="Lienhypertexte"/>
            <w:rFonts w:ascii="Tahoma" w:hAnsi="Tahoma" w:cs="Tahoma"/>
            <w:noProof/>
            <w:sz w:val="24"/>
            <w:szCs w:val="24"/>
          </w:rPr>
          <w:t>Graphe 13 : Année d’électrification des douars selon les enquêtés</w:t>
        </w:r>
        <w:r w:rsidR="00EE28C5" w:rsidRPr="00EE28C5">
          <w:rPr>
            <w:rFonts w:ascii="Tahoma" w:hAnsi="Tahoma" w:cs="Tahoma"/>
            <w:noProof/>
            <w:webHidden/>
            <w:sz w:val="24"/>
            <w:szCs w:val="24"/>
          </w:rPr>
          <w:tab/>
        </w:r>
        <w:r w:rsidR="00EE28C5" w:rsidRPr="00EE28C5">
          <w:rPr>
            <w:rFonts w:ascii="Tahoma" w:hAnsi="Tahoma" w:cs="Tahoma"/>
            <w:noProof/>
            <w:webHidden/>
            <w:sz w:val="24"/>
            <w:szCs w:val="24"/>
          </w:rPr>
          <w:fldChar w:fldCharType="begin"/>
        </w:r>
        <w:r w:rsidR="00EE28C5" w:rsidRPr="00EE28C5">
          <w:rPr>
            <w:rFonts w:ascii="Tahoma" w:hAnsi="Tahoma" w:cs="Tahoma"/>
            <w:noProof/>
            <w:webHidden/>
            <w:sz w:val="24"/>
            <w:szCs w:val="24"/>
          </w:rPr>
          <w:instrText xml:space="preserve"> PAGEREF _Toc203642545 \h </w:instrText>
        </w:r>
        <w:r w:rsidR="00EE28C5" w:rsidRPr="00EE28C5">
          <w:rPr>
            <w:rFonts w:ascii="Tahoma" w:hAnsi="Tahoma" w:cs="Tahoma"/>
            <w:noProof/>
            <w:webHidden/>
            <w:sz w:val="24"/>
            <w:szCs w:val="24"/>
          </w:rPr>
        </w:r>
        <w:r w:rsidR="00EE28C5" w:rsidRPr="00EE28C5">
          <w:rPr>
            <w:rFonts w:ascii="Tahoma" w:hAnsi="Tahoma" w:cs="Tahoma"/>
            <w:noProof/>
            <w:webHidden/>
            <w:sz w:val="24"/>
            <w:szCs w:val="24"/>
          </w:rPr>
          <w:fldChar w:fldCharType="separate"/>
        </w:r>
        <w:r w:rsidR="00124AFB">
          <w:rPr>
            <w:rFonts w:ascii="Tahoma" w:hAnsi="Tahoma" w:cs="Tahoma"/>
            <w:noProof/>
            <w:webHidden/>
            <w:sz w:val="24"/>
            <w:szCs w:val="24"/>
          </w:rPr>
          <w:t>359</w:t>
        </w:r>
        <w:r w:rsidR="00EE28C5" w:rsidRPr="00EE28C5">
          <w:rPr>
            <w:rFonts w:ascii="Tahoma" w:hAnsi="Tahoma" w:cs="Tahoma"/>
            <w:noProof/>
            <w:webHidden/>
            <w:sz w:val="24"/>
            <w:szCs w:val="24"/>
          </w:rPr>
          <w:fldChar w:fldCharType="end"/>
        </w:r>
      </w:hyperlink>
    </w:p>
    <w:p w:rsidR="00EE28C5" w:rsidRPr="00EE28C5" w:rsidRDefault="00642CE5" w:rsidP="00EE28C5">
      <w:pPr>
        <w:pStyle w:val="Tabledesillustrations"/>
        <w:tabs>
          <w:tab w:val="right" w:leader="dot" w:pos="9346"/>
        </w:tabs>
        <w:spacing w:line="360" w:lineRule="auto"/>
        <w:jc w:val="both"/>
        <w:rPr>
          <w:rFonts w:ascii="Tahoma" w:eastAsiaTheme="minorEastAsia" w:hAnsi="Tahoma" w:cs="Tahoma"/>
          <w:noProof/>
          <w:sz w:val="24"/>
          <w:szCs w:val="24"/>
          <w:lang w:eastAsia="fr-FR"/>
        </w:rPr>
      </w:pPr>
      <w:hyperlink w:anchor="_Toc203642546" w:history="1">
        <w:r w:rsidR="00EE28C5" w:rsidRPr="00EE28C5">
          <w:rPr>
            <w:rStyle w:val="Lienhypertexte"/>
            <w:rFonts w:ascii="Tahoma" w:hAnsi="Tahoma" w:cs="Tahoma"/>
            <w:noProof/>
            <w:sz w:val="24"/>
            <w:szCs w:val="24"/>
          </w:rPr>
          <w:t>Graphe 14 : Répartition des enquêtés selon l’accès à l’eau</w:t>
        </w:r>
        <w:r w:rsidR="00EE28C5" w:rsidRPr="00EE28C5">
          <w:rPr>
            <w:rFonts w:ascii="Tahoma" w:hAnsi="Tahoma" w:cs="Tahoma"/>
            <w:noProof/>
            <w:webHidden/>
            <w:sz w:val="24"/>
            <w:szCs w:val="24"/>
          </w:rPr>
          <w:tab/>
        </w:r>
        <w:r w:rsidR="00EE28C5" w:rsidRPr="00EE28C5">
          <w:rPr>
            <w:rFonts w:ascii="Tahoma" w:hAnsi="Tahoma" w:cs="Tahoma"/>
            <w:noProof/>
            <w:webHidden/>
            <w:sz w:val="24"/>
            <w:szCs w:val="24"/>
          </w:rPr>
          <w:fldChar w:fldCharType="begin"/>
        </w:r>
        <w:r w:rsidR="00EE28C5" w:rsidRPr="00EE28C5">
          <w:rPr>
            <w:rFonts w:ascii="Tahoma" w:hAnsi="Tahoma" w:cs="Tahoma"/>
            <w:noProof/>
            <w:webHidden/>
            <w:sz w:val="24"/>
            <w:szCs w:val="24"/>
          </w:rPr>
          <w:instrText xml:space="preserve"> PAGEREF _Toc203642546 \h </w:instrText>
        </w:r>
        <w:r w:rsidR="00EE28C5" w:rsidRPr="00EE28C5">
          <w:rPr>
            <w:rFonts w:ascii="Tahoma" w:hAnsi="Tahoma" w:cs="Tahoma"/>
            <w:noProof/>
            <w:webHidden/>
            <w:sz w:val="24"/>
            <w:szCs w:val="24"/>
          </w:rPr>
        </w:r>
        <w:r w:rsidR="00EE28C5" w:rsidRPr="00EE28C5">
          <w:rPr>
            <w:rFonts w:ascii="Tahoma" w:hAnsi="Tahoma" w:cs="Tahoma"/>
            <w:noProof/>
            <w:webHidden/>
            <w:sz w:val="24"/>
            <w:szCs w:val="24"/>
          </w:rPr>
          <w:fldChar w:fldCharType="separate"/>
        </w:r>
        <w:r w:rsidR="00124AFB">
          <w:rPr>
            <w:rFonts w:ascii="Tahoma" w:hAnsi="Tahoma" w:cs="Tahoma"/>
            <w:noProof/>
            <w:webHidden/>
            <w:sz w:val="24"/>
            <w:szCs w:val="24"/>
          </w:rPr>
          <w:t>360</w:t>
        </w:r>
        <w:r w:rsidR="00EE28C5" w:rsidRPr="00EE28C5">
          <w:rPr>
            <w:rFonts w:ascii="Tahoma" w:hAnsi="Tahoma" w:cs="Tahoma"/>
            <w:noProof/>
            <w:webHidden/>
            <w:sz w:val="24"/>
            <w:szCs w:val="24"/>
          </w:rPr>
          <w:fldChar w:fldCharType="end"/>
        </w:r>
      </w:hyperlink>
    </w:p>
    <w:p w:rsidR="00EE28C5" w:rsidRPr="00EE28C5" w:rsidRDefault="00642CE5" w:rsidP="00EE28C5">
      <w:pPr>
        <w:pStyle w:val="Tabledesillustrations"/>
        <w:tabs>
          <w:tab w:val="right" w:leader="dot" w:pos="9346"/>
        </w:tabs>
        <w:spacing w:line="360" w:lineRule="auto"/>
        <w:jc w:val="both"/>
        <w:rPr>
          <w:rFonts w:ascii="Tahoma" w:eastAsiaTheme="minorEastAsia" w:hAnsi="Tahoma" w:cs="Tahoma"/>
          <w:noProof/>
          <w:sz w:val="24"/>
          <w:szCs w:val="24"/>
          <w:lang w:eastAsia="fr-FR"/>
        </w:rPr>
      </w:pPr>
      <w:hyperlink w:anchor="_Toc203642547" w:history="1">
        <w:r w:rsidR="00EE28C5" w:rsidRPr="00EE28C5">
          <w:rPr>
            <w:rStyle w:val="Lienhypertexte"/>
            <w:rFonts w:ascii="Tahoma" w:hAnsi="Tahoma" w:cs="Tahoma"/>
            <w:noProof/>
            <w:sz w:val="24"/>
            <w:szCs w:val="24"/>
          </w:rPr>
          <w:t>Graphe 15 : Nature de construction des logements à Korifla selon les enquêtés</w:t>
        </w:r>
        <w:r w:rsidR="00EE28C5" w:rsidRPr="00EE28C5">
          <w:rPr>
            <w:rFonts w:ascii="Tahoma" w:hAnsi="Tahoma" w:cs="Tahoma"/>
            <w:noProof/>
            <w:webHidden/>
            <w:sz w:val="24"/>
            <w:szCs w:val="24"/>
          </w:rPr>
          <w:tab/>
        </w:r>
        <w:r w:rsidR="00EE28C5" w:rsidRPr="00EE28C5">
          <w:rPr>
            <w:rFonts w:ascii="Tahoma" w:hAnsi="Tahoma" w:cs="Tahoma"/>
            <w:noProof/>
            <w:webHidden/>
            <w:sz w:val="24"/>
            <w:szCs w:val="24"/>
          </w:rPr>
          <w:fldChar w:fldCharType="begin"/>
        </w:r>
        <w:r w:rsidR="00EE28C5" w:rsidRPr="00EE28C5">
          <w:rPr>
            <w:rFonts w:ascii="Tahoma" w:hAnsi="Tahoma" w:cs="Tahoma"/>
            <w:noProof/>
            <w:webHidden/>
            <w:sz w:val="24"/>
            <w:szCs w:val="24"/>
          </w:rPr>
          <w:instrText xml:space="preserve"> PAGEREF _Toc203642547 \h </w:instrText>
        </w:r>
        <w:r w:rsidR="00EE28C5" w:rsidRPr="00EE28C5">
          <w:rPr>
            <w:rFonts w:ascii="Tahoma" w:hAnsi="Tahoma" w:cs="Tahoma"/>
            <w:noProof/>
            <w:webHidden/>
            <w:sz w:val="24"/>
            <w:szCs w:val="24"/>
          </w:rPr>
        </w:r>
        <w:r w:rsidR="00EE28C5" w:rsidRPr="00EE28C5">
          <w:rPr>
            <w:rFonts w:ascii="Tahoma" w:hAnsi="Tahoma" w:cs="Tahoma"/>
            <w:noProof/>
            <w:webHidden/>
            <w:sz w:val="24"/>
            <w:szCs w:val="24"/>
          </w:rPr>
          <w:fldChar w:fldCharType="separate"/>
        </w:r>
        <w:r w:rsidR="00124AFB">
          <w:rPr>
            <w:rFonts w:ascii="Tahoma" w:hAnsi="Tahoma" w:cs="Tahoma"/>
            <w:noProof/>
            <w:webHidden/>
            <w:sz w:val="24"/>
            <w:szCs w:val="24"/>
          </w:rPr>
          <w:t>362</w:t>
        </w:r>
        <w:r w:rsidR="00EE28C5" w:rsidRPr="00EE28C5">
          <w:rPr>
            <w:rFonts w:ascii="Tahoma" w:hAnsi="Tahoma" w:cs="Tahoma"/>
            <w:noProof/>
            <w:webHidden/>
            <w:sz w:val="24"/>
            <w:szCs w:val="24"/>
          </w:rPr>
          <w:fldChar w:fldCharType="end"/>
        </w:r>
      </w:hyperlink>
    </w:p>
    <w:p w:rsidR="00EE28C5" w:rsidRPr="00EE28C5" w:rsidRDefault="00642CE5" w:rsidP="00EE28C5">
      <w:pPr>
        <w:pStyle w:val="Tabledesillustrations"/>
        <w:tabs>
          <w:tab w:val="right" w:leader="dot" w:pos="9346"/>
        </w:tabs>
        <w:spacing w:line="360" w:lineRule="auto"/>
        <w:jc w:val="both"/>
        <w:rPr>
          <w:rFonts w:ascii="Tahoma" w:eastAsiaTheme="minorEastAsia" w:hAnsi="Tahoma" w:cs="Tahoma"/>
          <w:noProof/>
          <w:sz w:val="24"/>
          <w:szCs w:val="24"/>
          <w:lang w:eastAsia="fr-FR"/>
        </w:rPr>
      </w:pPr>
      <w:hyperlink w:anchor="_Toc203642548" w:history="1">
        <w:r w:rsidR="00EE28C5" w:rsidRPr="00EE28C5">
          <w:rPr>
            <w:rStyle w:val="Lienhypertexte"/>
            <w:rFonts w:ascii="Tahoma" w:hAnsi="Tahoma" w:cs="Tahoma"/>
            <w:noProof/>
            <w:sz w:val="24"/>
            <w:szCs w:val="24"/>
          </w:rPr>
          <w:t>Graphe 16 : Répartition des enquêtés par nombre de chamb</w:t>
        </w:r>
        <w:r w:rsidR="00EE28C5" w:rsidRPr="00EE28C5">
          <w:rPr>
            <w:rFonts w:ascii="Tahoma" w:hAnsi="Tahoma" w:cs="Tahoma"/>
            <w:noProof/>
            <w:webHidden/>
            <w:sz w:val="24"/>
            <w:szCs w:val="24"/>
          </w:rPr>
          <w:tab/>
        </w:r>
        <w:r w:rsidR="00EE28C5" w:rsidRPr="00EE28C5">
          <w:rPr>
            <w:rFonts w:ascii="Tahoma" w:hAnsi="Tahoma" w:cs="Tahoma"/>
            <w:noProof/>
            <w:webHidden/>
            <w:sz w:val="24"/>
            <w:szCs w:val="24"/>
          </w:rPr>
          <w:fldChar w:fldCharType="begin"/>
        </w:r>
        <w:r w:rsidR="00EE28C5" w:rsidRPr="00EE28C5">
          <w:rPr>
            <w:rFonts w:ascii="Tahoma" w:hAnsi="Tahoma" w:cs="Tahoma"/>
            <w:noProof/>
            <w:webHidden/>
            <w:sz w:val="24"/>
            <w:szCs w:val="24"/>
          </w:rPr>
          <w:instrText xml:space="preserve"> PAGEREF _Toc203642548 \h </w:instrText>
        </w:r>
        <w:r w:rsidR="00EE28C5" w:rsidRPr="00EE28C5">
          <w:rPr>
            <w:rFonts w:ascii="Tahoma" w:hAnsi="Tahoma" w:cs="Tahoma"/>
            <w:noProof/>
            <w:webHidden/>
            <w:sz w:val="24"/>
            <w:szCs w:val="24"/>
          </w:rPr>
        </w:r>
        <w:r w:rsidR="00EE28C5" w:rsidRPr="00EE28C5">
          <w:rPr>
            <w:rFonts w:ascii="Tahoma" w:hAnsi="Tahoma" w:cs="Tahoma"/>
            <w:noProof/>
            <w:webHidden/>
            <w:sz w:val="24"/>
            <w:szCs w:val="24"/>
          </w:rPr>
          <w:fldChar w:fldCharType="separate"/>
        </w:r>
        <w:r w:rsidR="00124AFB">
          <w:rPr>
            <w:rFonts w:ascii="Tahoma" w:hAnsi="Tahoma" w:cs="Tahoma"/>
            <w:noProof/>
            <w:webHidden/>
            <w:sz w:val="24"/>
            <w:szCs w:val="24"/>
          </w:rPr>
          <w:t>362</w:t>
        </w:r>
        <w:r w:rsidR="00EE28C5" w:rsidRPr="00EE28C5">
          <w:rPr>
            <w:rFonts w:ascii="Tahoma" w:hAnsi="Tahoma" w:cs="Tahoma"/>
            <w:noProof/>
            <w:webHidden/>
            <w:sz w:val="24"/>
            <w:szCs w:val="24"/>
          </w:rPr>
          <w:fldChar w:fldCharType="end"/>
        </w:r>
      </w:hyperlink>
    </w:p>
    <w:p w:rsidR="00EE28C5" w:rsidRPr="00EE28C5" w:rsidRDefault="00642CE5" w:rsidP="00EE28C5">
      <w:pPr>
        <w:pStyle w:val="Tabledesillustrations"/>
        <w:tabs>
          <w:tab w:val="right" w:leader="dot" w:pos="9346"/>
        </w:tabs>
        <w:spacing w:line="360" w:lineRule="auto"/>
        <w:jc w:val="both"/>
        <w:rPr>
          <w:rFonts w:ascii="Tahoma" w:eastAsiaTheme="minorEastAsia" w:hAnsi="Tahoma" w:cs="Tahoma"/>
          <w:noProof/>
          <w:sz w:val="24"/>
          <w:szCs w:val="24"/>
          <w:lang w:eastAsia="fr-FR"/>
        </w:rPr>
      </w:pPr>
      <w:hyperlink w:anchor="_Toc203642549" w:history="1">
        <w:r w:rsidR="00EE28C5" w:rsidRPr="00EE28C5">
          <w:rPr>
            <w:rStyle w:val="Lienhypertexte"/>
            <w:rFonts w:ascii="Tahoma" w:hAnsi="Tahoma" w:cs="Tahoma"/>
            <w:noProof/>
            <w:sz w:val="24"/>
            <w:szCs w:val="24"/>
          </w:rPr>
          <w:t>Graphe 17 : Appréciation des enquêtés en % par rapport aux routes de désenclavement</w:t>
        </w:r>
        <w:r w:rsidR="00EE28C5" w:rsidRPr="00EE28C5">
          <w:rPr>
            <w:rFonts w:ascii="Tahoma" w:hAnsi="Tahoma" w:cs="Tahoma"/>
            <w:noProof/>
            <w:webHidden/>
            <w:sz w:val="24"/>
            <w:szCs w:val="24"/>
          </w:rPr>
          <w:tab/>
        </w:r>
        <w:r w:rsidR="00EE28C5" w:rsidRPr="00EE28C5">
          <w:rPr>
            <w:rFonts w:ascii="Tahoma" w:hAnsi="Tahoma" w:cs="Tahoma"/>
            <w:noProof/>
            <w:webHidden/>
            <w:sz w:val="24"/>
            <w:szCs w:val="24"/>
          </w:rPr>
          <w:fldChar w:fldCharType="begin"/>
        </w:r>
        <w:r w:rsidR="00EE28C5" w:rsidRPr="00EE28C5">
          <w:rPr>
            <w:rFonts w:ascii="Tahoma" w:hAnsi="Tahoma" w:cs="Tahoma"/>
            <w:noProof/>
            <w:webHidden/>
            <w:sz w:val="24"/>
            <w:szCs w:val="24"/>
          </w:rPr>
          <w:instrText xml:space="preserve"> PAGEREF _Toc203642549 \h </w:instrText>
        </w:r>
        <w:r w:rsidR="00EE28C5" w:rsidRPr="00EE28C5">
          <w:rPr>
            <w:rFonts w:ascii="Tahoma" w:hAnsi="Tahoma" w:cs="Tahoma"/>
            <w:noProof/>
            <w:webHidden/>
            <w:sz w:val="24"/>
            <w:szCs w:val="24"/>
          </w:rPr>
        </w:r>
        <w:r w:rsidR="00EE28C5" w:rsidRPr="00EE28C5">
          <w:rPr>
            <w:rFonts w:ascii="Tahoma" w:hAnsi="Tahoma" w:cs="Tahoma"/>
            <w:noProof/>
            <w:webHidden/>
            <w:sz w:val="24"/>
            <w:szCs w:val="24"/>
          </w:rPr>
          <w:fldChar w:fldCharType="separate"/>
        </w:r>
        <w:r w:rsidR="00124AFB">
          <w:rPr>
            <w:rFonts w:ascii="Tahoma" w:hAnsi="Tahoma" w:cs="Tahoma"/>
            <w:noProof/>
            <w:webHidden/>
            <w:sz w:val="24"/>
            <w:szCs w:val="24"/>
          </w:rPr>
          <w:t>363</w:t>
        </w:r>
        <w:r w:rsidR="00EE28C5" w:rsidRPr="00EE28C5">
          <w:rPr>
            <w:rFonts w:ascii="Tahoma" w:hAnsi="Tahoma" w:cs="Tahoma"/>
            <w:noProof/>
            <w:webHidden/>
            <w:sz w:val="24"/>
            <w:szCs w:val="24"/>
          </w:rPr>
          <w:fldChar w:fldCharType="end"/>
        </w:r>
      </w:hyperlink>
    </w:p>
    <w:p w:rsidR="00EE28C5" w:rsidRPr="00EE28C5" w:rsidRDefault="00642CE5" w:rsidP="00EE28C5">
      <w:pPr>
        <w:pStyle w:val="Tabledesillustrations"/>
        <w:tabs>
          <w:tab w:val="right" w:leader="dot" w:pos="9346"/>
        </w:tabs>
        <w:spacing w:line="360" w:lineRule="auto"/>
        <w:jc w:val="both"/>
        <w:rPr>
          <w:rFonts w:ascii="Tahoma" w:eastAsiaTheme="minorEastAsia" w:hAnsi="Tahoma" w:cs="Tahoma"/>
          <w:noProof/>
          <w:sz w:val="24"/>
          <w:szCs w:val="24"/>
          <w:lang w:eastAsia="fr-FR"/>
        </w:rPr>
      </w:pPr>
      <w:hyperlink w:anchor="_Toc203642550" w:history="1">
        <w:r w:rsidR="00EE28C5" w:rsidRPr="00EE28C5">
          <w:rPr>
            <w:rStyle w:val="Lienhypertexte"/>
            <w:rFonts w:ascii="Tahoma" w:hAnsi="Tahoma" w:cs="Tahoma"/>
            <w:noProof/>
            <w:sz w:val="24"/>
            <w:szCs w:val="24"/>
          </w:rPr>
          <w:t>Graphe 18 : Appréciation des enquêtés en % par rapport à la praticabilité des routes</w:t>
        </w:r>
        <w:r w:rsidR="00EE28C5" w:rsidRPr="00EE28C5">
          <w:rPr>
            <w:rFonts w:ascii="Tahoma" w:hAnsi="Tahoma" w:cs="Tahoma"/>
            <w:noProof/>
            <w:webHidden/>
            <w:sz w:val="24"/>
            <w:szCs w:val="24"/>
          </w:rPr>
          <w:tab/>
        </w:r>
        <w:r w:rsidR="00EE28C5" w:rsidRPr="00EE28C5">
          <w:rPr>
            <w:rFonts w:ascii="Tahoma" w:hAnsi="Tahoma" w:cs="Tahoma"/>
            <w:noProof/>
            <w:webHidden/>
            <w:sz w:val="24"/>
            <w:szCs w:val="24"/>
          </w:rPr>
          <w:fldChar w:fldCharType="begin"/>
        </w:r>
        <w:r w:rsidR="00EE28C5" w:rsidRPr="00EE28C5">
          <w:rPr>
            <w:rFonts w:ascii="Tahoma" w:hAnsi="Tahoma" w:cs="Tahoma"/>
            <w:noProof/>
            <w:webHidden/>
            <w:sz w:val="24"/>
            <w:szCs w:val="24"/>
          </w:rPr>
          <w:instrText xml:space="preserve"> PAGEREF _Toc203642550 \h </w:instrText>
        </w:r>
        <w:r w:rsidR="00EE28C5" w:rsidRPr="00EE28C5">
          <w:rPr>
            <w:rFonts w:ascii="Tahoma" w:hAnsi="Tahoma" w:cs="Tahoma"/>
            <w:noProof/>
            <w:webHidden/>
            <w:sz w:val="24"/>
            <w:szCs w:val="24"/>
          </w:rPr>
        </w:r>
        <w:r w:rsidR="00EE28C5" w:rsidRPr="00EE28C5">
          <w:rPr>
            <w:rFonts w:ascii="Tahoma" w:hAnsi="Tahoma" w:cs="Tahoma"/>
            <w:noProof/>
            <w:webHidden/>
            <w:sz w:val="24"/>
            <w:szCs w:val="24"/>
          </w:rPr>
          <w:fldChar w:fldCharType="separate"/>
        </w:r>
        <w:r w:rsidR="00124AFB">
          <w:rPr>
            <w:rFonts w:ascii="Tahoma" w:hAnsi="Tahoma" w:cs="Tahoma"/>
            <w:noProof/>
            <w:webHidden/>
            <w:sz w:val="24"/>
            <w:szCs w:val="24"/>
          </w:rPr>
          <w:t>364</w:t>
        </w:r>
        <w:r w:rsidR="00EE28C5" w:rsidRPr="00EE28C5">
          <w:rPr>
            <w:rFonts w:ascii="Tahoma" w:hAnsi="Tahoma" w:cs="Tahoma"/>
            <w:noProof/>
            <w:webHidden/>
            <w:sz w:val="24"/>
            <w:szCs w:val="24"/>
          </w:rPr>
          <w:fldChar w:fldCharType="end"/>
        </w:r>
      </w:hyperlink>
    </w:p>
    <w:p w:rsidR="00EE28C5" w:rsidRPr="00EE28C5" w:rsidRDefault="00642CE5" w:rsidP="00EE28C5">
      <w:pPr>
        <w:pStyle w:val="Tabledesillustrations"/>
        <w:tabs>
          <w:tab w:val="right" w:leader="dot" w:pos="9346"/>
        </w:tabs>
        <w:spacing w:line="360" w:lineRule="auto"/>
        <w:jc w:val="both"/>
        <w:rPr>
          <w:rFonts w:ascii="Tahoma" w:eastAsiaTheme="minorEastAsia" w:hAnsi="Tahoma" w:cs="Tahoma"/>
          <w:noProof/>
          <w:sz w:val="24"/>
          <w:szCs w:val="24"/>
          <w:lang w:eastAsia="fr-FR"/>
        </w:rPr>
      </w:pPr>
      <w:hyperlink w:anchor="_Toc203642551" w:history="1">
        <w:r w:rsidR="00EE28C5" w:rsidRPr="00EE28C5">
          <w:rPr>
            <w:rStyle w:val="Lienhypertexte"/>
            <w:rFonts w:ascii="Tahoma" w:hAnsi="Tahoma" w:cs="Tahoma"/>
            <w:noProof/>
            <w:sz w:val="24"/>
            <w:szCs w:val="24"/>
          </w:rPr>
          <w:t>Graphe 19 : Répartition des enquêtés  en % par population active</w:t>
        </w:r>
        <w:r w:rsidR="00EE28C5" w:rsidRPr="00EE28C5">
          <w:rPr>
            <w:rFonts w:ascii="Tahoma" w:hAnsi="Tahoma" w:cs="Tahoma"/>
            <w:noProof/>
            <w:webHidden/>
            <w:sz w:val="24"/>
            <w:szCs w:val="24"/>
          </w:rPr>
          <w:tab/>
        </w:r>
        <w:r w:rsidR="00EE28C5" w:rsidRPr="00EE28C5">
          <w:rPr>
            <w:rFonts w:ascii="Tahoma" w:hAnsi="Tahoma" w:cs="Tahoma"/>
            <w:noProof/>
            <w:webHidden/>
            <w:sz w:val="24"/>
            <w:szCs w:val="24"/>
          </w:rPr>
          <w:fldChar w:fldCharType="begin"/>
        </w:r>
        <w:r w:rsidR="00EE28C5" w:rsidRPr="00EE28C5">
          <w:rPr>
            <w:rFonts w:ascii="Tahoma" w:hAnsi="Tahoma" w:cs="Tahoma"/>
            <w:noProof/>
            <w:webHidden/>
            <w:sz w:val="24"/>
            <w:szCs w:val="24"/>
          </w:rPr>
          <w:instrText xml:space="preserve"> PAGEREF _Toc203642551 \h </w:instrText>
        </w:r>
        <w:r w:rsidR="00EE28C5" w:rsidRPr="00EE28C5">
          <w:rPr>
            <w:rFonts w:ascii="Tahoma" w:hAnsi="Tahoma" w:cs="Tahoma"/>
            <w:noProof/>
            <w:webHidden/>
            <w:sz w:val="24"/>
            <w:szCs w:val="24"/>
          </w:rPr>
        </w:r>
        <w:r w:rsidR="00EE28C5" w:rsidRPr="00EE28C5">
          <w:rPr>
            <w:rFonts w:ascii="Tahoma" w:hAnsi="Tahoma" w:cs="Tahoma"/>
            <w:noProof/>
            <w:webHidden/>
            <w:sz w:val="24"/>
            <w:szCs w:val="24"/>
          </w:rPr>
          <w:fldChar w:fldCharType="separate"/>
        </w:r>
        <w:r w:rsidR="00124AFB">
          <w:rPr>
            <w:rFonts w:ascii="Tahoma" w:hAnsi="Tahoma" w:cs="Tahoma"/>
            <w:noProof/>
            <w:webHidden/>
            <w:sz w:val="24"/>
            <w:szCs w:val="24"/>
          </w:rPr>
          <w:t>367</w:t>
        </w:r>
        <w:r w:rsidR="00EE28C5" w:rsidRPr="00EE28C5">
          <w:rPr>
            <w:rFonts w:ascii="Tahoma" w:hAnsi="Tahoma" w:cs="Tahoma"/>
            <w:noProof/>
            <w:webHidden/>
            <w:sz w:val="24"/>
            <w:szCs w:val="24"/>
          </w:rPr>
          <w:fldChar w:fldCharType="end"/>
        </w:r>
      </w:hyperlink>
    </w:p>
    <w:p w:rsidR="00EE28C5" w:rsidRPr="00EE28C5" w:rsidRDefault="00642CE5" w:rsidP="00EE28C5">
      <w:pPr>
        <w:pStyle w:val="Tabledesillustrations"/>
        <w:tabs>
          <w:tab w:val="right" w:leader="dot" w:pos="9346"/>
        </w:tabs>
        <w:spacing w:line="360" w:lineRule="auto"/>
        <w:jc w:val="both"/>
        <w:rPr>
          <w:rFonts w:ascii="Tahoma" w:eastAsiaTheme="minorEastAsia" w:hAnsi="Tahoma" w:cs="Tahoma"/>
          <w:noProof/>
          <w:sz w:val="24"/>
          <w:szCs w:val="24"/>
          <w:lang w:eastAsia="fr-FR"/>
        </w:rPr>
      </w:pPr>
      <w:hyperlink w:anchor="_Toc203642552" w:history="1">
        <w:r w:rsidR="00EE28C5" w:rsidRPr="00EE28C5">
          <w:rPr>
            <w:rStyle w:val="Lienhypertexte"/>
            <w:rFonts w:ascii="Tahoma" w:hAnsi="Tahoma" w:cs="Tahoma"/>
            <w:noProof/>
            <w:sz w:val="24"/>
            <w:szCs w:val="24"/>
          </w:rPr>
          <w:t>Graphe 20 : Répartition des enquêtés  en % par type d’activité principale</w:t>
        </w:r>
        <w:r w:rsidR="00EE28C5" w:rsidRPr="00EE28C5">
          <w:rPr>
            <w:rFonts w:ascii="Tahoma" w:hAnsi="Tahoma" w:cs="Tahoma"/>
            <w:noProof/>
            <w:webHidden/>
            <w:sz w:val="24"/>
            <w:szCs w:val="24"/>
          </w:rPr>
          <w:tab/>
        </w:r>
        <w:r w:rsidR="00EE28C5" w:rsidRPr="00EE28C5">
          <w:rPr>
            <w:rFonts w:ascii="Tahoma" w:hAnsi="Tahoma" w:cs="Tahoma"/>
            <w:noProof/>
            <w:webHidden/>
            <w:sz w:val="24"/>
            <w:szCs w:val="24"/>
          </w:rPr>
          <w:fldChar w:fldCharType="begin"/>
        </w:r>
        <w:r w:rsidR="00EE28C5" w:rsidRPr="00EE28C5">
          <w:rPr>
            <w:rFonts w:ascii="Tahoma" w:hAnsi="Tahoma" w:cs="Tahoma"/>
            <w:noProof/>
            <w:webHidden/>
            <w:sz w:val="24"/>
            <w:szCs w:val="24"/>
          </w:rPr>
          <w:instrText xml:space="preserve"> PAGEREF _Toc203642552 \h </w:instrText>
        </w:r>
        <w:r w:rsidR="00EE28C5" w:rsidRPr="00EE28C5">
          <w:rPr>
            <w:rFonts w:ascii="Tahoma" w:hAnsi="Tahoma" w:cs="Tahoma"/>
            <w:noProof/>
            <w:webHidden/>
            <w:sz w:val="24"/>
            <w:szCs w:val="24"/>
          </w:rPr>
        </w:r>
        <w:r w:rsidR="00EE28C5" w:rsidRPr="00EE28C5">
          <w:rPr>
            <w:rFonts w:ascii="Tahoma" w:hAnsi="Tahoma" w:cs="Tahoma"/>
            <w:noProof/>
            <w:webHidden/>
            <w:sz w:val="24"/>
            <w:szCs w:val="24"/>
          </w:rPr>
          <w:fldChar w:fldCharType="separate"/>
        </w:r>
        <w:r w:rsidR="00124AFB">
          <w:rPr>
            <w:rFonts w:ascii="Tahoma" w:hAnsi="Tahoma" w:cs="Tahoma"/>
            <w:noProof/>
            <w:webHidden/>
            <w:sz w:val="24"/>
            <w:szCs w:val="24"/>
          </w:rPr>
          <w:t>368</w:t>
        </w:r>
        <w:r w:rsidR="00EE28C5" w:rsidRPr="00EE28C5">
          <w:rPr>
            <w:rFonts w:ascii="Tahoma" w:hAnsi="Tahoma" w:cs="Tahoma"/>
            <w:noProof/>
            <w:webHidden/>
            <w:sz w:val="24"/>
            <w:szCs w:val="24"/>
          </w:rPr>
          <w:fldChar w:fldCharType="end"/>
        </w:r>
      </w:hyperlink>
    </w:p>
    <w:p w:rsidR="00EE28C5" w:rsidRPr="00EE28C5" w:rsidRDefault="00642CE5" w:rsidP="00EE28C5">
      <w:pPr>
        <w:pStyle w:val="Tabledesillustrations"/>
        <w:tabs>
          <w:tab w:val="right" w:leader="dot" w:pos="9346"/>
        </w:tabs>
        <w:spacing w:line="360" w:lineRule="auto"/>
        <w:jc w:val="both"/>
        <w:rPr>
          <w:rFonts w:ascii="Tahoma" w:eastAsiaTheme="minorEastAsia" w:hAnsi="Tahoma" w:cs="Tahoma"/>
          <w:noProof/>
          <w:sz w:val="24"/>
          <w:szCs w:val="24"/>
          <w:lang w:eastAsia="fr-FR"/>
        </w:rPr>
      </w:pPr>
      <w:hyperlink w:anchor="_Toc203642553" w:history="1">
        <w:r w:rsidR="00EE28C5" w:rsidRPr="00EE28C5">
          <w:rPr>
            <w:rStyle w:val="Lienhypertexte"/>
            <w:rFonts w:ascii="Tahoma" w:hAnsi="Tahoma" w:cs="Tahoma"/>
            <w:noProof/>
            <w:sz w:val="24"/>
            <w:szCs w:val="24"/>
          </w:rPr>
          <w:t>Graphe 21 : Répartition des enquêtés  en % par type d’activité secondaire</w:t>
        </w:r>
        <w:r w:rsidR="00EE28C5" w:rsidRPr="00EE28C5">
          <w:rPr>
            <w:rFonts w:ascii="Tahoma" w:hAnsi="Tahoma" w:cs="Tahoma"/>
            <w:noProof/>
            <w:webHidden/>
            <w:sz w:val="24"/>
            <w:szCs w:val="24"/>
          </w:rPr>
          <w:tab/>
        </w:r>
        <w:r w:rsidR="00EE28C5" w:rsidRPr="00EE28C5">
          <w:rPr>
            <w:rFonts w:ascii="Tahoma" w:hAnsi="Tahoma" w:cs="Tahoma"/>
            <w:noProof/>
            <w:webHidden/>
            <w:sz w:val="24"/>
            <w:szCs w:val="24"/>
          </w:rPr>
          <w:fldChar w:fldCharType="begin"/>
        </w:r>
        <w:r w:rsidR="00EE28C5" w:rsidRPr="00EE28C5">
          <w:rPr>
            <w:rFonts w:ascii="Tahoma" w:hAnsi="Tahoma" w:cs="Tahoma"/>
            <w:noProof/>
            <w:webHidden/>
            <w:sz w:val="24"/>
            <w:szCs w:val="24"/>
          </w:rPr>
          <w:instrText xml:space="preserve"> PAGEREF _Toc203642553 \h </w:instrText>
        </w:r>
        <w:r w:rsidR="00EE28C5" w:rsidRPr="00EE28C5">
          <w:rPr>
            <w:rFonts w:ascii="Tahoma" w:hAnsi="Tahoma" w:cs="Tahoma"/>
            <w:noProof/>
            <w:webHidden/>
            <w:sz w:val="24"/>
            <w:szCs w:val="24"/>
          </w:rPr>
        </w:r>
        <w:r w:rsidR="00EE28C5" w:rsidRPr="00EE28C5">
          <w:rPr>
            <w:rFonts w:ascii="Tahoma" w:hAnsi="Tahoma" w:cs="Tahoma"/>
            <w:noProof/>
            <w:webHidden/>
            <w:sz w:val="24"/>
            <w:szCs w:val="24"/>
          </w:rPr>
          <w:fldChar w:fldCharType="separate"/>
        </w:r>
        <w:r w:rsidR="00124AFB">
          <w:rPr>
            <w:rFonts w:ascii="Tahoma" w:hAnsi="Tahoma" w:cs="Tahoma"/>
            <w:noProof/>
            <w:webHidden/>
            <w:sz w:val="24"/>
            <w:szCs w:val="24"/>
          </w:rPr>
          <w:t>369</w:t>
        </w:r>
        <w:r w:rsidR="00EE28C5" w:rsidRPr="00EE28C5">
          <w:rPr>
            <w:rFonts w:ascii="Tahoma" w:hAnsi="Tahoma" w:cs="Tahoma"/>
            <w:noProof/>
            <w:webHidden/>
            <w:sz w:val="24"/>
            <w:szCs w:val="24"/>
          </w:rPr>
          <w:fldChar w:fldCharType="end"/>
        </w:r>
      </w:hyperlink>
    </w:p>
    <w:p w:rsidR="00EE28C5" w:rsidRPr="00EE28C5" w:rsidRDefault="00642CE5" w:rsidP="00EE28C5">
      <w:pPr>
        <w:pStyle w:val="Tabledesillustrations"/>
        <w:tabs>
          <w:tab w:val="right" w:leader="dot" w:pos="9346"/>
        </w:tabs>
        <w:spacing w:line="360" w:lineRule="auto"/>
        <w:jc w:val="both"/>
        <w:rPr>
          <w:rFonts w:ascii="Tahoma" w:eastAsiaTheme="minorEastAsia" w:hAnsi="Tahoma" w:cs="Tahoma"/>
          <w:noProof/>
          <w:sz w:val="24"/>
          <w:szCs w:val="24"/>
          <w:lang w:eastAsia="fr-FR"/>
        </w:rPr>
      </w:pPr>
      <w:hyperlink w:anchor="_Toc203642554" w:history="1">
        <w:r w:rsidR="00EE28C5" w:rsidRPr="00EE28C5">
          <w:rPr>
            <w:rStyle w:val="Lienhypertexte"/>
            <w:rFonts w:ascii="Tahoma" w:hAnsi="Tahoma" w:cs="Tahoma"/>
            <w:noProof/>
            <w:sz w:val="24"/>
            <w:szCs w:val="24"/>
          </w:rPr>
          <w:t>Graphe 22 : Répartition des enquêtés  en % par transferts financiers perçus</w:t>
        </w:r>
        <w:r w:rsidR="00EE28C5" w:rsidRPr="00EE28C5">
          <w:rPr>
            <w:rFonts w:ascii="Tahoma" w:hAnsi="Tahoma" w:cs="Tahoma"/>
            <w:noProof/>
            <w:webHidden/>
            <w:sz w:val="24"/>
            <w:szCs w:val="24"/>
          </w:rPr>
          <w:tab/>
        </w:r>
        <w:r w:rsidR="00EE28C5" w:rsidRPr="00EE28C5">
          <w:rPr>
            <w:rFonts w:ascii="Tahoma" w:hAnsi="Tahoma" w:cs="Tahoma"/>
            <w:noProof/>
            <w:webHidden/>
            <w:sz w:val="24"/>
            <w:szCs w:val="24"/>
          </w:rPr>
          <w:fldChar w:fldCharType="begin"/>
        </w:r>
        <w:r w:rsidR="00EE28C5" w:rsidRPr="00EE28C5">
          <w:rPr>
            <w:rFonts w:ascii="Tahoma" w:hAnsi="Tahoma" w:cs="Tahoma"/>
            <w:noProof/>
            <w:webHidden/>
            <w:sz w:val="24"/>
            <w:szCs w:val="24"/>
          </w:rPr>
          <w:instrText xml:space="preserve"> PAGEREF _Toc203642554 \h </w:instrText>
        </w:r>
        <w:r w:rsidR="00EE28C5" w:rsidRPr="00EE28C5">
          <w:rPr>
            <w:rFonts w:ascii="Tahoma" w:hAnsi="Tahoma" w:cs="Tahoma"/>
            <w:noProof/>
            <w:webHidden/>
            <w:sz w:val="24"/>
            <w:szCs w:val="24"/>
          </w:rPr>
        </w:r>
        <w:r w:rsidR="00EE28C5" w:rsidRPr="00EE28C5">
          <w:rPr>
            <w:rFonts w:ascii="Tahoma" w:hAnsi="Tahoma" w:cs="Tahoma"/>
            <w:noProof/>
            <w:webHidden/>
            <w:sz w:val="24"/>
            <w:szCs w:val="24"/>
          </w:rPr>
          <w:fldChar w:fldCharType="separate"/>
        </w:r>
        <w:r w:rsidR="00124AFB">
          <w:rPr>
            <w:rFonts w:ascii="Tahoma" w:hAnsi="Tahoma" w:cs="Tahoma"/>
            <w:noProof/>
            <w:webHidden/>
            <w:sz w:val="24"/>
            <w:szCs w:val="24"/>
          </w:rPr>
          <w:t>370</w:t>
        </w:r>
        <w:r w:rsidR="00EE28C5" w:rsidRPr="00EE28C5">
          <w:rPr>
            <w:rFonts w:ascii="Tahoma" w:hAnsi="Tahoma" w:cs="Tahoma"/>
            <w:noProof/>
            <w:webHidden/>
            <w:sz w:val="24"/>
            <w:szCs w:val="24"/>
          </w:rPr>
          <w:fldChar w:fldCharType="end"/>
        </w:r>
      </w:hyperlink>
    </w:p>
    <w:p w:rsidR="00EE28C5" w:rsidRPr="00EE28C5" w:rsidRDefault="00642CE5" w:rsidP="00EE28C5">
      <w:pPr>
        <w:pStyle w:val="Tabledesillustrations"/>
        <w:tabs>
          <w:tab w:val="right" w:leader="dot" w:pos="9346"/>
        </w:tabs>
        <w:spacing w:line="360" w:lineRule="auto"/>
        <w:jc w:val="both"/>
        <w:rPr>
          <w:rFonts w:ascii="Tahoma" w:eastAsiaTheme="minorEastAsia" w:hAnsi="Tahoma" w:cs="Tahoma"/>
          <w:noProof/>
          <w:sz w:val="24"/>
          <w:szCs w:val="24"/>
          <w:lang w:eastAsia="fr-FR"/>
        </w:rPr>
      </w:pPr>
      <w:hyperlink w:anchor="_Toc203642555" w:history="1">
        <w:r w:rsidR="00EE28C5" w:rsidRPr="00EE28C5">
          <w:rPr>
            <w:rStyle w:val="Lienhypertexte"/>
            <w:rFonts w:ascii="Tahoma" w:hAnsi="Tahoma" w:cs="Tahoma"/>
            <w:noProof/>
            <w:sz w:val="24"/>
            <w:szCs w:val="24"/>
          </w:rPr>
          <w:t>Graphe 23 : Répartition des enquêtés  en % par rapport à la dégradation de la forêt de Korifla</w:t>
        </w:r>
        <w:r w:rsidR="00EE28C5" w:rsidRPr="00EE28C5">
          <w:rPr>
            <w:rFonts w:ascii="Tahoma" w:hAnsi="Tahoma" w:cs="Tahoma"/>
            <w:noProof/>
            <w:webHidden/>
            <w:sz w:val="24"/>
            <w:szCs w:val="24"/>
          </w:rPr>
          <w:tab/>
        </w:r>
        <w:r w:rsidR="00EE28C5" w:rsidRPr="00EE28C5">
          <w:rPr>
            <w:rFonts w:ascii="Tahoma" w:hAnsi="Tahoma" w:cs="Tahoma"/>
            <w:noProof/>
            <w:webHidden/>
            <w:sz w:val="24"/>
            <w:szCs w:val="24"/>
          </w:rPr>
          <w:fldChar w:fldCharType="begin"/>
        </w:r>
        <w:r w:rsidR="00EE28C5" w:rsidRPr="00EE28C5">
          <w:rPr>
            <w:rFonts w:ascii="Tahoma" w:hAnsi="Tahoma" w:cs="Tahoma"/>
            <w:noProof/>
            <w:webHidden/>
            <w:sz w:val="24"/>
            <w:szCs w:val="24"/>
          </w:rPr>
          <w:instrText xml:space="preserve"> PAGEREF _Toc203642555 \h </w:instrText>
        </w:r>
        <w:r w:rsidR="00EE28C5" w:rsidRPr="00EE28C5">
          <w:rPr>
            <w:rFonts w:ascii="Tahoma" w:hAnsi="Tahoma" w:cs="Tahoma"/>
            <w:noProof/>
            <w:webHidden/>
            <w:sz w:val="24"/>
            <w:szCs w:val="24"/>
          </w:rPr>
        </w:r>
        <w:r w:rsidR="00EE28C5" w:rsidRPr="00EE28C5">
          <w:rPr>
            <w:rFonts w:ascii="Tahoma" w:hAnsi="Tahoma" w:cs="Tahoma"/>
            <w:noProof/>
            <w:webHidden/>
            <w:sz w:val="24"/>
            <w:szCs w:val="24"/>
          </w:rPr>
          <w:fldChar w:fldCharType="separate"/>
        </w:r>
        <w:r w:rsidR="00124AFB">
          <w:rPr>
            <w:rFonts w:ascii="Tahoma" w:hAnsi="Tahoma" w:cs="Tahoma"/>
            <w:noProof/>
            <w:webHidden/>
            <w:sz w:val="24"/>
            <w:szCs w:val="24"/>
          </w:rPr>
          <w:t>376</w:t>
        </w:r>
        <w:r w:rsidR="00EE28C5" w:rsidRPr="00EE28C5">
          <w:rPr>
            <w:rFonts w:ascii="Tahoma" w:hAnsi="Tahoma" w:cs="Tahoma"/>
            <w:noProof/>
            <w:webHidden/>
            <w:sz w:val="24"/>
            <w:szCs w:val="24"/>
          </w:rPr>
          <w:fldChar w:fldCharType="end"/>
        </w:r>
      </w:hyperlink>
    </w:p>
    <w:p w:rsidR="00EE28C5" w:rsidRPr="00EE28C5" w:rsidRDefault="00642CE5" w:rsidP="00EE28C5">
      <w:pPr>
        <w:pStyle w:val="Tabledesillustrations"/>
        <w:tabs>
          <w:tab w:val="right" w:leader="dot" w:pos="9346"/>
        </w:tabs>
        <w:spacing w:line="360" w:lineRule="auto"/>
        <w:jc w:val="both"/>
        <w:rPr>
          <w:rFonts w:ascii="Tahoma" w:eastAsiaTheme="minorEastAsia" w:hAnsi="Tahoma" w:cs="Tahoma"/>
          <w:noProof/>
          <w:sz w:val="24"/>
          <w:szCs w:val="24"/>
          <w:lang w:eastAsia="fr-FR"/>
        </w:rPr>
      </w:pPr>
      <w:hyperlink w:anchor="_Toc203642556" w:history="1">
        <w:r w:rsidR="00EE28C5" w:rsidRPr="00EE28C5">
          <w:rPr>
            <w:rStyle w:val="Lienhypertexte"/>
            <w:rFonts w:ascii="Tahoma" w:hAnsi="Tahoma" w:cs="Tahoma"/>
            <w:noProof/>
            <w:sz w:val="24"/>
            <w:szCs w:val="24"/>
          </w:rPr>
          <w:t>Graphe 24 : Répartition des enquêtés  en % par rapport au changement</w:t>
        </w:r>
        <w:r w:rsidR="00EE28C5" w:rsidRPr="00EE28C5">
          <w:rPr>
            <w:rFonts w:ascii="Tahoma" w:hAnsi="Tahoma" w:cs="Tahoma"/>
            <w:noProof/>
            <w:webHidden/>
            <w:sz w:val="24"/>
            <w:szCs w:val="24"/>
          </w:rPr>
          <w:tab/>
        </w:r>
        <w:r w:rsidR="00EE28C5" w:rsidRPr="00EE28C5">
          <w:rPr>
            <w:rFonts w:ascii="Tahoma" w:hAnsi="Tahoma" w:cs="Tahoma"/>
            <w:noProof/>
            <w:webHidden/>
            <w:sz w:val="24"/>
            <w:szCs w:val="24"/>
          </w:rPr>
          <w:fldChar w:fldCharType="begin"/>
        </w:r>
        <w:r w:rsidR="00EE28C5" w:rsidRPr="00EE28C5">
          <w:rPr>
            <w:rFonts w:ascii="Tahoma" w:hAnsi="Tahoma" w:cs="Tahoma"/>
            <w:noProof/>
            <w:webHidden/>
            <w:sz w:val="24"/>
            <w:szCs w:val="24"/>
          </w:rPr>
          <w:instrText xml:space="preserve"> PAGEREF _Toc203642556 \h </w:instrText>
        </w:r>
        <w:r w:rsidR="00EE28C5" w:rsidRPr="00EE28C5">
          <w:rPr>
            <w:rFonts w:ascii="Tahoma" w:hAnsi="Tahoma" w:cs="Tahoma"/>
            <w:noProof/>
            <w:webHidden/>
            <w:sz w:val="24"/>
            <w:szCs w:val="24"/>
          </w:rPr>
        </w:r>
        <w:r w:rsidR="00EE28C5" w:rsidRPr="00EE28C5">
          <w:rPr>
            <w:rFonts w:ascii="Tahoma" w:hAnsi="Tahoma" w:cs="Tahoma"/>
            <w:noProof/>
            <w:webHidden/>
            <w:sz w:val="24"/>
            <w:szCs w:val="24"/>
          </w:rPr>
          <w:fldChar w:fldCharType="separate"/>
        </w:r>
        <w:r w:rsidR="00124AFB">
          <w:rPr>
            <w:rFonts w:ascii="Tahoma" w:hAnsi="Tahoma" w:cs="Tahoma"/>
            <w:noProof/>
            <w:webHidden/>
            <w:sz w:val="24"/>
            <w:szCs w:val="24"/>
          </w:rPr>
          <w:t>377</w:t>
        </w:r>
        <w:r w:rsidR="00EE28C5" w:rsidRPr="00EE28C5">
          <w:rPr>
            <w:rFonts w:ascii="Tahoma" w:hAnsi="Tahoma" w:cs="Tahoma"/>
            <w:noProof/>
            <w:webHidden/>
            <w:sz w:val="24"/>
            <w:szCs w:val="24"/>
          </w:rPr>
          <w:fldChar w:fldCharType="end"/>
        </w:r>
      </w:hyperlink>
    </w:p>
    <w:p w:rsidR="00EE28C5" w:rsidRPr="00EE28C5" w:rsidRDefault="00642CE5" w:rsidP="00EE28C5">
      <w:pPr>
        <w:pStyle w:val="Tabledesillustrations"/>
        <w:tabs>
          <w:tab w:val="right" w:leader="dot" w:pos="9346"/>
        </w:tabs>
        <w:spacing w:line="360" w:lineRule="auto"/>
        <w:jc w:val="both"/>
        <w:rPr>
          <w:rFonts w:ascii="Tahoma" w:eastAsiaTheme="minorEastAsia" w:hAnsi="Tahoma" w:cs="Tahoma"/>
          <w:noProof/>
          <w:sz w:val="24"/>
          <w:szCs w:val="24"/>
          <w:lang w:eastAsia="fr-FR"/>
        </w:rPr>
      </w:pPr>
      <w:hyperlink w:anchor="_Toc203642557" w:history="1">
        <w:r w:rsidR="00EE28C5" w:rsidRPr="00EE28C5">
          <w:rPr>
            <w:rStyle w:val="Lienhypertexte"/>
            <w:rFonts w:ascii="Tahoma" w:hAnsi="Tahoma" w:cs="Tahoma"/>
            <w:noProof/>
            <w:sz w:val="24"/>
            <w:szCs w:val="24"/>
          </w:rPr>
          <w:t>Graphe 25 : Répartition des enquêtés  en % par rapport au mode de cuisson</w:t>
        </w:r>
        <w:r w:rsidR="00EE28C5" w:rsidRPr="00EE28C5">
          <w:rPr>
            <w:rFonts w:ascii="Tahoma" w:hAnsi="Tahoma" w:cs="Tahoma"/>
            <w:noProof/>
            <w:webHidden/>
            <w:sz w:val="24"/>
            <w:szCs w:val="24"/>
          </w:rPr>
          <w:tab/>
        </w:r>
        <w:r w:rsidR="00EE28C5" w:rsidRPr="00EE28C5">
          <w:rPr>
            <w:rFonts w:ascii="Tahoma" w:hAnsi="Tahoma" w:cs="Tahoma"/>
            <w:noProof/>
            <w:webHidden/>
            <w:sz w:val="24"/>
            <w:szCs w:val="24"/>
          </w:rPr>
          <w:fldChar w:fldCharType="begin"/>
        </w:r>
        <w:r w:rsidR="00EE28C5" w:rsidRPr="00EE28C5">
          <w:rPr>
            <w:rFonts w:ascii="Tahoma" w:hAnsi="Tahoma" w:cs="Tahoma"/>
            <w:noProof/>
            <w:webHidden/>
            <w:sz w:val="24"/>
            <w:szCs w:val="24"/>
          </w:rPr>
          <w:instrText xml:space="preserve"> PAGEREF _Toc203642557 \h </w:instrText>
        </w:r>
        <w:r w:rsidR="00EE28C5" w:rsidRPr="00EE28C5">
          <w:rPr>
            <w:rFonts w:ascii="Tahoma" w:hAnsi="Tahoma" w:cs="Tahoma"/>
            <w:noProof/>
            <w:webHidden/>
            <w:sz w:val="24"/>
            <w:szCs w:val="24"/>
          </w:rPr>
        </w:r>
        <w:r w:rsidR="00EE28C5" w:rsidRPr="00EE28C5">
          <w:rPr>
            <w:rFonts w:ascii="Tahoma" w:hAnsi="Tahoma" w:cs="Tahoma"/>
            <w:noProof/>
            <w:webHidden/>
            <w:sz w:val="24"/>
            <w:szCs w:val="24"/>
          </w:rPr>
          <w:fldChar w:fldCharType="separate"/>
        </w:r>
        <w:r w:rsidR="00124AFB">
          <w:rPr>
            <w:rFonts w:ascii="Tahoma" w:hAnsi="Tahoma" w:cs="Tahoma"/>
            <w:noProof/>
            <w:webHidden/>
            <w:sz w:val="24"/>
            <w:szCs w:val="24"/>
          </w:rPr>
          <w:t>380</w:t>
        </w:r>
        <w:r w:rsidR="00EE28C5" w:rsidRPr="00EE28C5">
          <w:rPr>
            <w:rFonts w:ascii="Tahoma" w:hAnsi="Tahoma" w:cs="Tahoma"/>
            <w:noProof/>
            <w:webHidden/>
            <w:sz w:val="24"/>
            <w:szCs w:val="24"/>
          </w:rPr>
          <w:fldChar w:fldCharType="end"/>
        </w:r>
      </w:hyperlink>
    </w:p>
    <w:p w:rsidR="00EE28C5" w:rsidRPr="00EE28C5" w:rsidRDefault="00642CE5" w:rsidP="00EE28C5">
      <w:pPr>
        <w:pStyle w:val="Tabledesillustrations"/>
        <w:tabs>
          <w:tab w:val="right" w:leader="dot" w:pos="9346"/>
        </w:tabs>
        <w:spacing w:line="360" w:lineRule="auto"/>
        <w:jc w:val="both"/>
        <w:rPr>
          <w:rFonts w:ascii="Tahoma" w:eastAsiaTheme="minorEastAsia" w:hAnsi="Tahoma" w:cs="Tahoma"/>
          <w:noProof/>
          <w:sz w:val="24"/>
          <w:szCs w:val="24"/>
          <w:lang w:eastAsia="fr-FR"/>
        </w:rPr>
      </w:pPr>
      <w:hyperlink w:anchor="_Toc203642558" w:history="1">
        <w:r w:rsidR="00EE28C5" w:rsidRPr="00EE28C5">
          <w:rPr>
            <w:rStyle w:val="Lienhypertexte"/>
            <w:rFonts w:ascii="Tahoma" w:hAnsi="Tahoma" w:cs="Tahoma"/>
            <w:noProof/>
            <w:sz w:val="24"/>
            <w:szCs w:val="24"/>
          </w:rPr>
          <w:t>Graphe 26 : Répartition des enquêtés  en % par rapport aux mises en défens</w:t>
        </w:r>
        <w:r w:rsidR="00EE28C5" w:rsidRPr="00EE28C5">
          <w:rPr>
            <w:rFonts w:ascii="Tahoma" w:hAnsi="Tahoma" w:cs="Tahoma"/>
            <w:noProof/>
            <w:webHidden/>
            <w:sz w:val="24"/>
            <w:szCs w:val="24"/>
          </w:rPr>
          <w:tab/>
        </w:r>
        <w:r w:rsidR="00EE28C5" w:rsidRPr="00EE28C5">
          <w:rPr>
            <w:rFonts w:ascii="Tahoma" w:hAnsi="Tahoma" w:cs="Tahoma"/>
            <w:noProof/>
            <w:webHidden/>
            <w:sz w:val="24"/>
            <w:szCs w:val="24"/>
          </w:rPr>
          <w:fldChar w:fldCharType="begin"/>
        </w:r>
        <w:r w:rsidR="00EE28C5" w:rsidRPr="00EE28C5">
          <w:rPr>
            <w:rFonts w:ascii="Tahoma" w:hAnsi="Tahoma" w:cs="Tahoma"/>
            <w:noProof/>
            <w:webHidden/>
            <w:sz w:val="24"/>
            <w:szCs w:val="24"/>
          </w:rPr>
          <w:instrText xml:space="preserve"> PAGEREF _Toc203642558 \h </w:instrText>
        </w:r>
        <w:r w:rsidR="00EE28C5" w:rsidRPr="00EE28C5">
          <w:rPr>
            <w:rFonts w:ascii="Tahoma" w:hAnsi="Tahoma" w:cs="Tahoma"/>
            <w:noProof/>
            <w:webHidden/>
            <w:sz w:val="24"/>
            <w:szCs w:val="24"/>
          </w:rPr>
        </w:r>
        <w:r w:rsidR="00EE28C5" w:rsidRPr="00EE28C5">
          <w:rPr>
            <w:rFonts w:ascii="Tahoma" w:hAnsi="Tahoma" w:cs="Tahoma"/>
            <w:noProof/>
            <w:webHidden/>
            <w:sz w:val="24"/>
            <w:szCs w:val="24"/>
          </w:rPr>
          <w:fldChar w:fldCharType="separate"/>
        </w:r>
        <w:r w:rsidR="00124AFB">
          <w:rPr>
            <w:rFonts w:ascii="Tahoma" w:hAnsi="Tahoma" w:cs="Tahoma"/>
            <w:noProof/>
            <w:webHidden/>
            <w:sz w:val="24"/>
            <w:szCs w:val="24"/>
          </w:rPr>
          <w:t>382</w:t>
        </w:r>
        <w:r w:rsidR="00EE28C5" w:rsidRPr="00EE28C5">
          <w:rPr>
            <w:rFonts w:ascii="Tahoma" w:hAnsi="Tahoma" w:cs="Tahoma"/>
            <w:noProof/>
            <w:webHidden/>
            <w:sz w:val="24"/>
            <w:szCs w:val="24"/>
          </w:rPr>
          <w:fldChar w:fldCharType="end"/>
        </w:r>
      </w:hyperlink>
    </w:p>
    <w:p w:rsidR="00EE28C5" w:rsidRPr="00EE28C5" w:rsidRDefault="00642CE5" w:rsidP="00EE28C5">
      <w:pPr>
        <w:pStyle w:val="Tabledesillustrations"/>
        <w:tabs>
          <w:tab w:val="right" w:leader="dot" w:pos="9346"/>
        </w:tabs>
        <w:spacing w:line="360" w:lineRule="auto"/>
        <w:jc w:val="both"/>
        <w:rPr>
          <w:rFonts w:ascii="Tahoma" w:eastAsiaTheme="minorEastAsia" w:hAnsi="Tahoma" w:cs="Tahoma"/>
          <w:noProof/>
          <w:sz w:val="24"/>
          <w:szCs w:val="24"/>
          <w:lang w:eastAsia="fr-FR"/>
        </w:rPr>
      </w:pPr>
      <w:hyperlink w:anchor="_Toc203642559" w:history="1">
        <w:r w:rsidR="00EE28C5" w:rsidRPr="00EE28C5">
          <w:rPr>
            <w:rStyle w:val="Lienhypertexte"/>
            <w:rFonts w:ascii="Tahoma" w:hAnsi="Tahoma" w:cs="Tahoma"/>
            <w:noProof/>
            <w:sz w:val="24"/>
            <w:szCs w:val="24"/>
          </w:rPr>
          <w:t>Graphe 27 : Principales causes de migration potentielle de la population locale selon les enquêtés</w:t>
        </w:r>
        <w:r w:rsidR="00EE28C5" w:rsidRPr="00EE28C5">
          <w:rPr>
            <w:rFonts w:ascii="Tahoma" w:hAnsi="Tahoma" w:cs="Tahoma"/>
            <w:noProof/>
            <w:webHidden/>
            <w:sz w:val="24"/>
            <w:szCs w:val="24"/>
          </w:rPr>
          <w:tab/>
        </w:r>
        <w:r w:rsidR="00EE28C5" w:rsidRPr="00EE28C5">
          <w:rPr>
            <w:rFonts w:ascii="Tahoma" w:hAnsi="Tahoma" w:cs="Tahoma"/>
            <w:noProof/>
            <w:webHidden/>
            <w:sz w:val="24"/>
            <w:szCs w:val="24"/>
          </w:rPr>
          <w:fldChar w:fldCharType="begin"/>
        </w:r>
        <w:r w:rsidR="00EE28C5" w:rsidRPr="00EE28C5">
          <w:rPr>
            <w:rFonts w:ascii="Tahoma" w:hAnsi="Tahoma" w:cs="Tahoma"/>
            <w:noProof/>
            <w:webHidden/>
            <w:sz w:val="24"/>
            <w:szCs w:val="24"/>
          </w:rPr>
          <w:instrText xml:space="preserve"> PAGEREF _Toc203642559 \h </w:instrText>
        </w:r>
        <w:r w:rsidR="00EE28C5" w:rsidRPr="00EE28C5">
          <w:rPr>
            <w:rFonts w:ascii="Tahoma" w:hAnsi="Tahoma" w:cs="Tahoma"/>
            <w:noProof/>
            <w:webHidden/>
            <w:sz w:val="24"/>
            <w:szCs w:val="24"/>
          </w:rPr>
        </w:r>
        <w:r w:rsidR="00EE28C5" w:rsidRPr="00EE28C5">
          <w:rPr>
            <w:rFonts w:ascii="Tahoma" w:hAnsi="Tahoma" w:cs="Tahoma"/>
            <w:noProof/>
            <w:webHidden/>
            <w:sz w:val="24"/>
            <w:szCs w:val="24"/>
          </w:rPr>
          <w:fldChar w:fldCharType="separate"/>
        </w:r>
        <w:r w:rsidR="00124AFB">
          <w:rPr>
            <w:rFonts w:ascii="Tahoma" w:hAnsi="Tahoma" w:cs="Tahoma"/>
            <w:noProof/>
            <w:webHidden/>
            <w:sz w:val="24"/>
            <w:szCs w:val="24"/>
          </w:rPr>
          <w:t>387</w:t>
        </w:r>
        <w:r w:rsidR="00EE28C5" w:rsidRPr="00EE28C5">
          <w:rPr>
            <w:rFonts w:ascii="Tahoma" w:hAnsi="Tahoma" w:cs="Tahoma"/>
            <w:noProof/>
            <w:webHidden/>
            <w:sz w:val="24"/>
            <w:szCs w:val="24"/>
          </w:rPr>
          <w:fldChar w:fldCharType="end"/>
        </w:r>
      </w:hyperlink>
    </w:p>
    <w:p w:rsidR="00EE28C5" w:rsidRPr="00EE28C5" w:rsidRDefault="00642CE5" w:rsidP="00EE28C5">
      <w:pPr>
        <w:pStyle w:val="Tabledesillustrations"/>
        <w:tabs>
          <w:tab w:val="right" w:leader="dot" w:pos="9346"/>
        </w:tabs>
        <w:spacing w:line="360" w:lineRule="auto"/>
        <w:jc w:val="both"/>
        <w:rPr>
          <w:rFonts w:ascii="Tahoma" w:eastAsiaTheme="minorEastAsia" w:hAnsi="Tahoma" w:cs="Tahoma"/>
          <w:noProof/>
          <w:sz w:val="24"/>
          <w:szCs w:val="24"/>
          <w:lang w:eastAsia="fr-FR"/>
        </w:rPr>
      </w:pPr>
      <w:hyperlink w:anchor="_Toc203642560" w:history="1">
        <w:r w:rsidR="00EE28C5" w:rsidRPr="00EE28C5">
          <w:rPr>
            <w:rStyle w:val="Lienhypertexte"/>
            <w:rFonts w:ascii="Tahoma" w:hAnsi="Tahoma" w:cs="Tahoma"/>
            <w:noProof/>
            <w:sz w:val="24"/>
            <w:szCs w:val="24"/>
          </w:rPr>
          <w:t>Graphe 28 : Répartition des suggestions d'amélioration des conditions socio-économiques formulées par les enquêtés dans la forêt de Korifla (en %)</w:t>
        </w:r>
        <w:r w:rsidR="00EE28C5" w:rsidRPr="00EE28C5">
          <w:rPr>
            <w:rFonts w:ascii="Tahoma" w:hAnsi="Tahoma" w:cs="Tahoma"/>
            <w:noProof/>
            <w:webHidden/>
            <w:sz w:val="24"/>
            <w:szCs w:val="24"/>
          </w:rPr>
          <w:tab/>
        </w:r>
        <w:r w:rsidR="00EE28C5" w:rsidRPr="00EE28C5">
          <w:rPr>
            <w:rFonts w:ascii="Tahoma" w:hAnsi="Tahoma" w:cs="Tahoma"/>
            <w:noProof/>
            <w:webHidden/>
            <w:sz w:val="24"/>
            <w:szCs w:val="24"/>
          </w:rPr>
          <w:fldChar w:fldCharType="begin"/>
        </w:r>
        <w:r w:rsidR="00EE28C5" w:rsidRPr="00EE28C5">
          <w:rPr>
            <w:rFonts w:ascii="Tahoma" w:hAnsi="Tahoma" w:cs="Tahoma"/>
            <w:noProof/>
            <w:webHidden/>
            <w:sz w:val="24"/>
            <w:szCs w:val="24"/>
          </w:rPr>
          <w:instrText xml:space="preserve"> PAGEREF _Toc203642560 \h </w:instrText>
        </w:r>
        <w:r w:rsidR="00EE28C5" w:rsidRPr="00EE28C5">
          <w:rPr>
            <w:rFonts w:ascii="Tahoma" w:hAnsi="Tahoma" w:cs="Tahoma"/>
            <w:noProof/>
            <w:webHidden/>
            <w:sz w:val="24"/>
            <w:szCs w:val="24"/>
          </w:rPr>
        </w:r>
        <w:r w:rsidR="00EE28C5" w:rsidRPr="00EE28C5">
          <w:rPr>
            <w:rFonts w:ascii="Tahoma" w:hAnsi="Tahoma" w:cs="Tahoma"/>
            <w:noProof/>
            <w:webHidden/>
            <w:sz w:val="24"/>
            <w:szCs w:val="24"/>
          </w:rPr>
          <w:fldChar w:fldCharType="separate"/>
        </w:r>
        <w:r w:rsidR="00124AFB">
          <w:rPr>
            <w:rFonts w:ascii="Tahoma" w:hAnsi="Tahoma" w:cs="Tahoma"/>
            <w:noProof/>
            <w:webHidden/>
            <w:sz w:val="24"/>
            <w:szCs w:val="24"/>
          </w:rPr>
          <w:t>394</w:t>
        </w:r>
        <w:r w:rsidR="00EE28C5" w:rsidRPr="00EE28C5">
          <w:rPr>
            <w:rFonts w:ascii="Tahoma" w:hAnsi="Tahoma" w:cs="Tahoma"/>
            <w:noProof/>
            <w:webHidden/>
            <w:sz w:val="24"/>
            <w:szCs w:val="24"/>
          </w:rPr>
          <w:fldChar w:fldCharType="end"/>
        </w:r>
      </w:hyperlink>
    </w:p>
    <w:p w:rsidR="00EB117E" w:rsidRPr="00B96EC1" w:rsidRDefault="00EB117E" w:rsidP="00EE28C5">
      <w:pPr>
        <w:pStyle w:val="Titre"/>
        <w:bidi w:val="0"/>
        <w:jc w:val="both"/>
      </w:pPr>
      <w:r w:rsidRPr="00EE28C5">
        <w:rPr>
          <w:rFonts w:cs="Tahoma"/>
          <w:sz w:val="24"/>
          <w:szCs w:val="24"/>
        </w:rPr>
        <w:fldChar w:fldCharType="end"/>
      </w:r>
    </w:p>
    <w:p w:rsidR="00FD1D56" w:rsidRPr="002462E6" w:rsidRDefault="00FD1D56" w:rsidP="002F1A32">
      <w:pPr>
        <w:pStyle w:val="Titre"/>
      </w:pPr>
      <w:r w:rsidRPr="002462E6">
        <w:br w:type="page"/>
      </w:r>
      <w:bookmarkStart w:id="491" w:name="_Toc201570933"/>
      <w:bookmarkStart w:id="492" w:name="_Toc201655547"/>
      <w:bookmarkStart w:id="493" w:name="_Toc203643142"/>
      <w:r w:rsidRPr="002462E6">
        <w:t>Liste des cartes</w:t>
      </w:r>
      <w:bookmarkEnd w:id="491"/>
      <w:bookmarkEnd w:id="492"/>
      <w:bookmarkEnd w:id="493"/>
    </w:p>
    <w:p w:rsidR="00EE28C5" w:rsidRPr="00EE28C5" w:rsidRDefault="0011420C" w:rsidP="00EE28C5">
      <w:pPr>
        <w:pStyle w:val="Tabledesillustrations"/>
        <w:tabs>
          <w:tab w:val="right" w:leader="dot" w:pos="9346"/>
        </w:tabs>
        <w:spacing w:line="360" w:lineRule="auto"/>
        <w:jc w:val="both"/>
        <w:rPr>
          <w:rFonts w:ascii="Tahoma" w:eastAsiaTheme="minorEastAsia" w:hAnsi="Tahoma" w:cs="Tahoma"/>
          <w:noProof/>
          <w:sz w:val="24"/>
          <w:szCs w:val="24"/>
          <w:lang w:eastAsia="fr-FR"/>
        </w:rPr>
      </w:pPr>
      <w:r w:rsidRPr="00B96EC1">
        <w:rPr>
          <w:rStyle w:val="Lienhypertexte"/>
          <w:rFonts w:ascii="Tahoma" w:hAnsi="Tahoma" w:cs="Tahoma"/>
          <w:noProof/>
          <w:sz w:val="24"/>
          <w:szCs w:val="24"/>
        </w:rPr>
        <w:fldChar w:fldCharType="begin"/>
      </w:r>
      <w:r w:rsidRPr="00B96EC1">
        <w:rPr>
          <w:rStyle w:val="Lienhypertexte"/>
          <w:rFonts w:ascii="Tahoma" w:hAnsi="Tahoma" w:cs="Tahoma"/>
          <w:noProof/>
          <w:sz w:val="24"/>
          <w:szCs w:val="24"/>
        </w:rPr>
        <w:instrText xml:space="preserve"> TOC \h \z \c "Carte" </w:instrText>
      </w:r>
      <w:r w:rsidRPr="00B96EC1">
        <w:rPr>
          <w:rStyle w:val="Lienhypertexte"/>
          <w:rFonts w:ascii="Tahoma" w:hAnsi="Tahoma" w:cs="Tahoma"/>
          <w:noProof/>
          <w:sz w:val="24"/>
          <w:szCs w:val="24"/>
        </w:rPr>
        <w:fldChar w:fldCharType="separate"/>
      </w:r>
      <w:hyperlink r:id="rId78" w:anchor="_Toc203642675" w:history="1">
        <w:r w:rsidR="00EE28C5" w:rsidRPr="00EE28C5">
          <w:rPr>
            <w:rStyle w:val="Lienhypertexte"/>
            <w:rFonts w:ascii="Tahoma" w:hAnsi="Tahoma" w:cs="Tahoma"/>
            <w:noProof/>
            <w:sz w:val="24"/>
            <w:szCs w:val="24"/>
          </w:rPr>
          <w:t>Carte 1 : Evolution du couvert forestier de 1900 à 1994 et projection à l'horizon 2050</w:t>
        </w:r>
        <w:r w:rsidR="00EE28C5" w:rsidRPr="00EE28C5">
          <w:rPr>
            <w:rFonts w:ascii="Tahoma" w:hAnsi="Tahoma" w:cs="Tahoma"/>
            <w:noProof/>
            <w:webHidden/>
            <w:sz w:val="24"/>
            <w:szCs w:val="24"/>
          </w:rPr>
          <w:tab/>
        </w:r>
        <w:r w:rsidR="00EE28C5" w:rsidRPr="00EE28C5">
          <w:rPr>
            <w:rFonts w:ascii="Tahoma" w:hAnsi="Tahoma" w:cs="Tahoma"/>
            <w:noProof/>
            <w:webHidden/>
            <w:sz w:val="24"/>
            <w:szCs w:val="24"/>
          </w:rPr>
          <w:fldChar w:fldCharType="begin"/>
        </w:r>
        <w:r w:rsidR="00EE28C5" w:rsidRPr="00EE28C5">
          <w:rPr>
            <w:rFonts w:ascii="Tahoma" w:hAnsi="Tahoma" w:cs="Tahoma"/>
            <w:noProof/>
            <w:webHidden/>
            <w:sz w:val="24"/>
            <w:szCs w:val="24"/>
          </w:rPr>
          <w:instrText xml:space="preserve"> PAGEREF _Toc203642675 \h </w:instrText>
        </w:r>
        <w:r w:rsidR="00EE28C5" w:rsidRPr="00EE28C5">
          <w:rPr>
            <w:rFonts w:ascii="Tahoma" w:hAnsi="Tahoma" w:cs="Tahoma"/>
            <w:noProof/>
            <w:webHidden/>
            <w:sz w:val="24"/>
            <w:szCs w:val="24"/>
          </w:rPr>
        </w:r>
        <w:r w:rsidR="00EE28C5" w:rsidRPr="00EE28C5">
          <w:rPr>
            <w:rFonts w:ascii="Tahoma" w:hAnsi="Tahoma" w:cs="Tahoma"/>
            <w:noProof/>
            <w:webHidden/>
            <w:sz w:val="24"/>
            <w:szCs w:val="24"/>
          </w:rPr>
          <w:fldChar w:fldCharType="separate"/>
        </w:r>
        <w:r w:rsidR="00124AFB">
          <w:rPr>
            <w:rFonts w:ascii="Tahoma" w:hAnsi="Tahoma" w:cs="Tahoma"/>
            <w:noProof/>
            <w:webHidden/>
            <w:sz w:val="24"/>
            <w:szCs w:val="24"/>
          </w:rPr>
          <w:t>44</w:t>
        </w:r>
        <w:r w:rsidR="00EE28C5" w:rsidRPr="00EE28C5">
          <w:rPr>
            <w:rFonts w:ascii="Tahoma" w:hAnsi="Tahoma" w:cs="Tahoma"/>
            <w:noProof/>
            <w:webHidden/>
            <w:sz w:val="24"/>
            <w:szCs w:val="24"/>
          </w:rPr>
          <w:fldChar w:fldCharType="end"/>
        </w:r>
      </w:hyperlink>
    </w:p>
    <w:p w:rsidR="00EE28C5" w:rsidRPr="00EE28C5" w:rsidRDefault="00642CE5" w:rsidP="00EE28C5">
      <w:pPr>
        <w:pStyle w:val="Tabledesillustrations"/>
        <w:tabs>
          <w:tab w:val="right" w:leader="dot" w:pos="9346"/>
        </w:tabs>
        <w:spacing w:line="360" w:lineRule="auto"/>
        <w:jc w:val="both"/>
        <w:rPr>
          <w:rFonts w:ascii="Tahoma" w:eastAsiaTheme="minorEastAsia" w:hAnsi="Tahoma" w:cs="Tahoma"/>
          <w:noProof/>
          <w:sz w:val="24"/>
          <w:szCs w:val="24"/>
          <w:lang w:eastAsia="fr-FR"/>
        </w:rPr>
      </w:pPr>
      <w:hyperlink r:id="rId79" w:anchor="_Toc203642676" w:history="1">
        <w:r w:rsidR="00EE28C5" w:rsidRPr="00EE28C5">
          <w:rPr>
            <w:rStyle w:val="Lienhypertexte"/>
            <w:rFonts w:ascii="Tahoma" w:hAnsi="Tahoma" w:cs="Tahoma"/>
            <w:noProof/>
            <w:sz w:val="24"/>
            <w:szCs w:val="24"/>
          </w:rPr>
          <w:t>Carte 2 : Situation géographique et groupes socio-historiques de la vallée des Aït Bouguemez</w:t>
        </w:r>
        <w:r w:rsidR="00EE28C5" w:rsidRPr="00EE28C5">
          <w:rPr>
            <w:rFonts w:ascii="Tahoma" w:hAnsi="Tahoma" w:cs="Tahoma"/>
            <w:noProof/>
            <w:webHidden/>
            <w:sz w:val="24"/>
            <w:szCs w:val="24"/>
          </w:rPr>
          <w:tab/>
        </w:r>
        <w:r w:rsidR="00EE28C5" w:rsidRPr="00EE28C5">
          <w:rPr>
            <w:rFonts w:ascii="Tahoma" w:hAnsi="Tahoma" w:cs="Tahoma"/>
            <w:noProof/>
            <w:webHidden/>
            <w:sz w:val="24"/>
            <w:szCs w:val="24"/>
          </w:rPr>
          <w:fldChar w:fldCharType="begin"/>
        </w:r>
        <w:r w:rsidR="00EE28C5" w:rsidRPr="00EE28C5">
          <w:rPr>
            <w:rFonts w:ascii="Tahoma" w:hAnsi="Tahoma" w:cs="Tahoma"/>
            <w:noProof/>
            <w:webHidden/>
            <w:sz w:val="24"/>
            <w:szCs w:val="24"/>
          </w:rPr>
          <w:instrText xml:space="preserve"> PAGEREF _Toc203642676 \h </w:instrText>
        </w:r>
        <w:r w:rsidR="00EE28C5" w:rsidRPr="00EE28C5">
          <w:rPr>
            <w:rFonts w:ascii="Tahoma" w:hAnsi="Tahoma" w:cs="Tahoma"/>
            <w:noProof/>
            <w:webHidden/>
            <w:sz w:val="24"/>
            <w:szCs w:val="24"/>
          </w:rPr>
        </w:r>
        <w:r w:rsidR="00EE28C5" w:rsidRPr="00EE28C5">
          <w:rPr>
            <w:rFonts w:ascii="Tahoma" w:hAnsi="Tahoma" w:cs="Tahoma"/>
            <w:noProof/>
            <w:webHidden/>
            <w:sz w:val="24"/>
            <w:szCs w:val="24"/>
          </w:rPr>
          <w:fldChar w:fldCharType="separate"/>
        </w:r>
        <w:r w:rsidR="00124AFB">
          <w:rPr>
            <w:rFonts w:ascii="Tahoma" w:hAnsi="Tahoma" w:cs="Tahoma"/>
            <w:noProof/>
            <w:webHidden/>
            <w:sz w:val="24"/>
            <w:szCs w:val="24"/>
          </w:rPr>
          <w:t>78</w:t>
        </w:r>
        <w:r w:rsidR="00EE28C5" w:rsidRPr="00EE28C5">
          <w:rPr>
            <w:rFonts w:ascii="Tahoma" w:hAnsi="Tahoma" w:cs="Tahoma"/>
            <w:noProof/>
            <w:webHidden/>
            <w:sz w:val="24"/>
            <w:szCs w:val="24"/>
          </w:rPr>
          <w:fldChar w:fldCharType="end"/>
        </w:r>
      </w:hyperlink>
    </w:p>
    <w:p w:rsidR="00EE28C5" w:rsidRPr="00EE28C5" w:rsidRDefault="00642CE5" w:rsidP="00EE28C5">
      <w:pPr>
        <w:pStyle w:val="Tabledesillustrations"/>
        <w:tabs>
          <w:tab w:val="right" w:leader="dot" w:pos="9346"/>
        </w:tabs>
        <w:spacing w:line="360" w:lineRule="auto"/>
        <w:jc w:val="both"/>
        <w:rPr>
          <w:rFonts w:ascii="Tahoma" w:eastAsiaTheme="minorEastAsia" w:hAnsi="Tahoma" w:cs="Tahoma"/>
          <w:noProof/>
          <w:sz w:val="24"/>
          <w:szCs w:val="24"/>
          <w:lang w:eastAsia="fr-FR"/>
        </w:rPr>
      </w:pPr>
      <w:hyperlink w:anchor="_Toc203642677" w:history="1">
        <w:r w:rsidR="00EE28C5" w:rsidRPr="00EE28C5">
          <w:rPr>
            <w:rStyle w:val="Lienhypertexte"/>
            <w:rFonts w:ascii="Tahoma" w:hAnsi="Tahoma" w:cs="Tahoma"/>
            <w:noProof/>
            <w:sz w:val="24"/>
            <w:szCs w:val="24"/>
          </w:rPr>
          <w:t>Carte 3 : Localisation des principaux écosystèmes forestiers marocains</w:t>
        </w:r>
        <w:r w:rsidR="00EE28C5" w:rsidRPr="00EE28C5">
          <w:rPr>
            <w:rFonts w:ascii="Tahoma" w:hAnsi="Tahoma" w:cs="Tahoma"/>
            <w:noProof/>
            <w:webHidden/>
            <w:sz w:val="24"/>
            <w:szCs w:val="24"/>
          </w:rPr>
          <w:tab/>
        </w:r>
        <w:r w:rsidR="00EE28C5" w:rsidRPr="00EE28C5">
          <w:rPr>
            <w:rFonts w:ascii="Tahoma" w:hAnsi="Tahoma" w:cs="Tahoma"/>
            <w:noProof/>
            <w:webHidden/>
            <w:sz w:val="24"/>
            <w:szCs w:val="24"/>
          </w:rPr>
          <w:fldChar w:fldCharType="begin"/>
        </w:r>
        <w:r w:rsidR="00EE28C5" w:rsidRPr="00EE28C5">
          <w:rPr>
            <w:rFonts w:ascii="Tahoma" w:hAnsi="Tahoma" w:cs="Tahoma"/>
            <w:noProof/>
            <w:webHidden/>
            <w:sz w:val="24"/>
            <w:szCs w:val="24"/>
          </w:rPr>
          <w:instrText xml:space="preserve"> PAGEREF _Toc203642677 \h </w:instrText>
        </w:r>
        <w:r w:rsidR="00EE28C5" w:rsidRPr="00EE28C5">
          <w:rPr>
            <w:rFonts w:ascii="Tahoma" w:hAnsi="Tahoma" w:cs="Tahoma"/>
            <w:noProof/>
            <w:webHidden/>
            <w:sz w:val="24"/>
            <w:szCs w:val="24"/>
          </w:rPr>
        </w:r>
        <w:r w:rsidR="00EE28C5" w:rsidRPr="00EE28C5">
          <w:rPr>
            <w:rFonts w:ascii="Tahoma" w:hAnsi="Tahoma" w:cs="Tahoma"/>
            <w:noProof/>
            <w:webHidden/>
            <w:sz w:val="24"/>
            <w:szCs w:val="24"/>
          </w:rPr>
          <w:fldChar w:fldCharType="separate"/>
        </w:r>
        <w:r w:rsidR="00124AFB">
          <w:rPr>
            <w:rFonts w:ascii="Tahoma" w:hAnsi="Tahoma" w:cs="Tahoma"/>
            <w:noProof/>
            <w:webHidden/>
            <w:sz w:val="24"/>
            <w:szCs w:val="24"/>
          </w:rPr>
          <w:t>148</w:t>
        </w:r>
        <w:r w:rsidR="00EE28C5" w:rsidRPr="00EE28C5">
          <w:rPr>
            <w:rFonts w:ascii="Tahoma" w:hAnsi="Tahoma" w:cs="Tahoma"/>
            <w:noProof/>
            <w:webHidden/>
            <w:sz w:val="24"/>
            <w:szCs w:val="24"/>
          </w:rPr>
          <w:fldChar w:fldCharType="end"/>
        </w:r>
      </w:hyperlink>
    </w:p>
    <w:p w:rsidR="00EE28C5" w:rsidRPr="00EE28C5" w:rsidRDefault="00642CE5" w:rsidP="00EE28C5">
      <w:pPr>
        <w:pStyle w:val="Tabledesillustrations"/>
        <w:tabs>
          <w:tab w:val="right" w:leader="dot" w:pos="9346"/>
        </w:tabs>
        <w:spacing w:line="360" w:lineRule="auto"/>
        <w:jc w:val="both"/>
        <w:rPr>
          <w:rFonts w:ascii="Tahoma" w:eastAsiaTheme="minorEastAsia" w:hAnsi="Tahoma" w:cs="Tahoma"/>
          <w:noProof/>
          <w:sz w:val="24"/>
          <w:szCs w:val="24"/>
          <w:lang w:eastAsia="fr-FR"/>
        </w:rPr>
      </w:pPr>
      <w:hyperlink w:anchor="_Toc203642678" w:history="1">
        <w:r w:rsidR="00EE28C5" w:rsidRPr="00EE28C5">
          <w:rPr>
            <w:rStyle w:val="Lienhypertexte"/>
            <w:rFonts w:ascii="Tahoma" w:hAnsi="Tahoma" w:cs="Tahoma"/>
            <w:noProof/>
            <w:sz w:val="24"/>
            <w:szCs w:val="24"/>
          </w:rPr>
          <w:t>Carte 4 : Localisation de la région Rabat-Salé-Kénitra</w:t>
        </w:r>
        <w:r w:rsidR="00EE28C5" w:rsidRPr="00EE28C5">
          <w:rPr>
            <w:rFonts w:ascii="Tahoma" w:hAnsi="Tahoma" w:cs="Tahoma"/>
            <w:noProof/>
            <w:webHidden/>
            <w:sz w:val="24"/>
            <w:szCs w:val="24"/>
          </w:rPr>
          <w:tab/>
        </w:r>
        <w:r w:rsidR="00EE28C5" w:rsidRPr="00EE28C5">
          <w:rPr>
            <w:rFonts w:ascii="Tahoma" w:hAnsi="Tahoma" w:cs="Tahoma"/>
            <w:noProof/>
            <w:webHidden/>
            <w:sz w:val="24"/>
            <w:szCs w:val="24"/>
          </w:rPr>
          <w:fldChar w:fldCharType="begin"/>
        </w:r>
        <w:r w:rsidR="00EE28C5" w:rsidRPr="00EE28C5">
          <w:rPr>
            <w:rFonts w:ascii="Tahoma" w:hAnsi="Tahoma" w:cs="Tahoma"/>
            <w:noProof/>
            <w:webHidden/>
            <w:sz w:val="24"/>
            <w:szCs w:val="24"/>
          </w:rPr>
          <w:instrText xml:space="preserve"> PAGEREF _Toc203642678 \h </w:instrText>
        </w:r>
        <w:r w:rsidR="00EE28C5" w:rsidRPr="00EE28C5">
          <w:rPr>
            <w:rFonts w:ascii="Tahoma" w:hAnsi="Tahoma" w:cs="Tahoma"/>
            <w:noProof/>
            <w:webHidden/>
            <w:sz w:val="24"/>
            <w:szCs w:val="24"/>
          </w:rPr>
        </w:r>
        <w:r w:rsidR="00EE28C5" w:rsidRPr="00EE28C5">
          <w:rPr>
            <w:rFonts w:ascii="Tahoma" w:hAnsi="Tahoma" w:cs="Tahoma"/>
            <w:noProof/>
            <w:webHidden/>
            <w:sz w:val="24"/>
            <w:szCs w:val="24"/>
          </w:rPr>
          <w:fldChar w:fldCharType="separate"/>
        </w:r>
        <w:r w:rsidR="00124AFB">
          <w:rPr>
            <w:rFonts w:ascii="Tahoma" w:hAnsi="Tahoma" w:cs="Tahoma"/>
            <w:noProof/>
            <w:webHidden/>
            <w:sz w:val="24"/>
            <w:szCs w:val="24"/>
          </w:rPr>
          <w:t>153</w:t>
        </w:r>
        <w:r w:rsidR="00EE28C5" w:rsidRPr="00EE28C5">
          <w:rPr>
            <w:rFonts w:ascii="Tahoma" w:hAnsi="Tahoma" w:cs="Tahoma"/>
            <w:noProof/>
            <w:webHidden/>
            <w:sz w:val="24"/>
            <w:szCs w:val="24"/>
          </w:rPr>
          <w:fldChar w:fldCharType="end"/>
        </w:r>
      </w:hyperlink>
    </w:p>
    <w:p w:rsidR="00EE28C5" w:rsidRPr="00EE28C5" w:rsidRDefault="00642CE5" w:rsidP="00EE28C5">
      <w:pPr>
        <w:pStyle w:val="Tabledesillustrations"/>
        <w:tabs>
          <w:tab w:val="right" w:leader="dot" w:pos="9346"/>
        </w:tabs>
        <w:spacing w:line="360" w:lineRule="auto"/>
        <w:jc w:val="both"/>
        <w:rPr>
          <w:rFonts w:ascii="Tahoma" w:eastAsiaTheme="minorEastAsia" w:hAnsi="Tahoma" w:cs="Tahoma"/>
          <w:noProof/>
          <w:sz w:val="24"/>
          <w:szCs w:val="24"/>
          <w:lang w:eastAsia="fr-FR"/>
        </w:rPr>
      </w:pPr>
      <w:hyperlink w:anchor="_Toc203642679" w:history="1">
        <w:r w:rsidR="00EE28C5" w:rsidRPr="00EE28C5">
          <w:rPr>
            <w:rStyle w:val="Lienhypertexte"/>
            <w:rFonts w:ascii="Tahoma" w:hAnsi="Tahoma" w:cs="Tahoma"/>
            <w:noProof/>
            <w:sz w:val="24"/>
            <w:szCs w:val="24"/>
          </w:rPr>
          <w:t>Carte 5 : Couvert forestier de la région Rabat-Salé-Kénitra</w:t>
        </w:r>
        <w:r w:rsidR="00EE28C5" w:rsidRPr="00EE28C5">
          <w:rPr>
            <w:rFonts w:ascii="Tahoma" w:hAnsi="Tahoma" w:cs="Tahoma"/>
            <w:noProof/>
            <w:webHidden/>
            <w:sz w:val="24"/>
            <w:szCs w:val="24"/>
          </w:rPr>
          <w:tab/>
        </w:r>
        <w:r w:rsidR="00EE28C5" w:rsidRPr="00EE28C5">
          <w:rPr>
            <w:rFonts w:ascii="Tahoma" w:hAnsi="Tahoma" w:cs="Tahoma"/>
            <w:noProof/>
            <w:webHidden/>
            <w:sz w:val="24"/>
            <w:szCs w:val="24"/>
          </w:rPr>
          <w:fldChar w:fldCharType="begin"/>
        </w:r>
        <w:r w:rsidR="00EE28C5" w:rsidRPr="00EE28C5">
          <w:rPr>
            <w:rFonts w:ascii="Tahoma" w:hAnsi="Tahoma" w:cs="Tahoma"/>
            <w:noProof/>
            <w:webHidden/>
            <w:sz w:val="24"/>
            <w:szCs w:val="24"/>
          </w:rPr>
          <w:instrText xml:space="preserve"> PAGEREF _Toc203642679 \h </w:instrText>
        </w:r>
        <w:r w:rsidR="00EE28C5" w:rsidRPr="00EE28C5">
          <w:rPr>
            <w:rFonts w:ascii="Tahoma" w:hAnsi="Tahoma" w:cs="Tahoma"/>
            <w:noProof/>
            <w:webHidden/>
            <w:sz w:val="24"/>
            <w:szCs w:val="24"/>
          </w:rPr>
        </w:r>
        <w:r w:rsidR="00EE28C5" w:rsidRPr="00EE28C5">
          <w:rPr>
            <w:rFonts w:ascii="Tahoma" w:hAnsi="Tahoma" w:cs="Tahoma"/>
            <w:noProof/>
            <w:webHidden/>
            <w:sz w:val="24"/>
            <w:szCs w:val="24"/>
          </w:rPr>
          <w:fldChar w:fldCharType="separate"/>
        </w:r>
        <w:r w:rsidR="00124AFB">
          <w:rPr>
            <w:rFonts w:ascii="Tahoma" w:hAnsi="Tahoma" w:cs="Tahoma"/>
            <w:noProof/>
            <w:webHidden/>
            <w:sz w:val="24"/>
            <w:szCs w:val="24"/>
          </w:rPr>
          <w:t>155</w:t>
        </w:r>
        <w:r w:rsidR="00EE28C5" w:rsidRPr="00EE28C5">
          <w:rPr>
            <w:rFonts w:ascii="Tahoma" w:hAnsi="Tahoma" w:cs="Tahoma"/>
            <w:noProof/>
            <w:webHidden/>
            <w:sz w:val="24"/>
            <w:szCs w:val="24"/>
          </w:rPr>
          <w:fldChar w:fldCharType="end"/>
        </w:r>
      </w:hyperlink>
    </w:p>
    <w:p w:rsidR="00EE28C5" w:rsidRPr="00EE28C5" w:rsidRDefault="00642CE5" w:rsidP="00EE28C5">
      <w:pPr>
        <w:pStyle w:val="Tabledesillustrations"/>
        <w:tabs>
          <w:tab w:val="right" w:leader="dot" w:pos="9346"/>
        </w:tabs>
        <w:spacing w:line="360" w:lineRule="auto"/>
        <w:jc w:val="both"/>
        <w:rPr>
          <w:rFonts w:ascii="Tahoma" w:eastAsiaTheme="minorEastAsia" w:hAnsi="Tahoma" w:cs="Tahoma"/>
          <w:noProof/>
          <w:sz w:val="24"/>
          <w:szCs w:val="24"/>
          <w:lang w:eastAsia="fr-FR"/>
        </w:rPr>
      </w:pPr>
      <w:hyperlink r:id="rId80" w:anchor="_Toc203642680" w:history="1">
        <w:r w:rsidR="00EE28C5" w:rsidRPr="00EE28C5">
          <w:rPr>
            <w:rStyle w:val="Lienhypertexte"/>
            <w:rFonts w:ascii="Tahoma" w:hAnsi="Tahoma" w:cs="Tahoma"/>
            <w:noProof/>
            <w:sz w:val="24"/>
            <w:szCs w:val="24"/>
          </w:rPr>
          <w:t>Carte 6 : Localisation de la zone d’étude au niveau de la région Rabat-Salé-Kénitra</w:t>
        </w:r>
        <w:r w:rsidR="00EE28C5" w:rsidRPr="00EE28C5">
          <w:rPr>
            <w:rFonts w:ascii="Tahoma" w:hAnsi="Tahoma" w:cs="Tahoma"/>
            <w:noProof/>
            <w:webHidden/>
            <w:sz w:val="24"/>
            <w:szCs w:val="24"/>
          </w:rPr>
          <w:tab/>
        </w:r>
        <w:r w:rsidR="00EE28C5" w:rsidRPr="00EE28C5">
          <w:rPr>
            <w:rFonts w:ascii="Tahoma" w:hAnsi="Tahoma" w:cs="Tahoma"/>
            <w:noProof/>
            <w:webHidden/>
            <w:sz w:val="24"/>
            <w:szCs w:val="24"/>
          </w:rPr>
          <w:fldChar w:fldCharType="begin"/>
        </w:r>
        <w:r w:rsidR="00EE28C5" w:rsidRPr="00EE28C5">
          <w:rPr>
            <w:rFonts w:ascii="Tahoma" w:hAnsi="Tahoma" w:cs="Tahoma"/>
            <w:noProof/>
            <w:webHidden/>
            <w:sz w:val="24"/>
            <w:szCs w:val="24"/>
          </w:rPr>
          <w:instrText xml:space="preserve"> PAGEREF _Toc203642680 \h </w:instrText>
        </w:r>
        <w:r w:rsidR="00EE28C5" w:rsidRPr="00EE28C5">
          <w:rPr>
            <w:rFonts w:ascii="Tahoma" w:hAnsi="Tahoma" w:cs="Tahoma"/>
            <w:noProof/>
            <w:webHidden/>
            <w:sz w:val="24"/>
            <w:szCs w:val="24"/>
          </w:rPr>
        </w:r>
        <w:r w:rsidR="00EE28C5" w:rsidRPr="00EE28C5">
          <w:rPr>
            <w:rFonts w:ascii="Tahoma" w:hAnsi="Tahoma" w:cs="Tahoma"/>
            <w:noProof/>
            <w:webHidden/>
            <w:sz w:val="24"/>
            <w:szCs w:val="24"/>
          </w:rPr>
          <w:fldChar w:fldCharType="separate"/>
        </w:r>
        <w:r w:rsidR="00124AFB">
          <w:rPr>
            <w:rFonts w:ascii="Tahoma" w:hAnsi="Tahoma" w:cs="Tahoma"/>
            <w:noProof/>
            <w:webHidden/>
            <w:sz w:val="24"/>
            <w:szCs w:val="24"/>
          </w:rPr>
          <w:t>160</w:t>
        </w:r>
        <w:r w:rsidR="00EE28C5" w:rsidRPr="00EE28C5">
          <w:rPr>
            <w:rFonts w:ascii="Tahoma" w:hAnsi="Tahoma" w:cs="Tahoma"/>
            <w:noProof/>
            <w:webHidden/>
            <w:sz w:val="24"/>
            <w:szCs w:val="24"/>
          </w:rPr>
          <w:fldChar w:fldCharType="end"/>
        </w:r>
      </w:hyperlink>
    </w:p>
    <w:p w:rsidR="00EE28C5" w:rsidRPr="00EE28C5" w:rsidRDefault="00642CE5" w:rsidP="00EE28C5">
      <w:pPr>
        <w:pStyle w:val="Tabledesillustrations"/>
        <w:tabs>
          <w:tab w:val="right" w:leader="dot" w:pos="9346"/>
        </w:tabs>
        <w:spacing w:line="360" w:lineRule="auto"/>
        <w:jc w:val="both"/>
        <w:rPr>
          <w:rFonts w:ascii="Tahoma" w:eastAsiaTheme="minorEastAsia" w:hAnsi="Tahoma" w:cs="Tahoma"/>
          <w:noProof/>
          <w:sz w:val="24"/>
          <w:szCs w:val="24"/>
          <w:lang w:eastAsia="fr-FR"/>
        </w:rPr>
      </w:pPr>
      <w:hyperlink w:anchor="_Toc203642681" w:history="1">
        <w:r w:rsidR="00EE28C5" w:rsidRPr="00EE28C5">
          <w:rPr>
            <w:rStyle w:val="Lienhypertexte"/>
            <w:rFonts w:ascii="Tahoma" w:hAnsi="Tahoma" w:cs="Tahoma"/>
            <w:noProof/>
            <w:sz w:val="24"/>
            <w:szCs w:val="24"/>
          </w:rPr>
          <w:t>Carte 7 : Localisation de la forêt de Korifla</w:t>
        </w:r>
        <w:r w:rsidR="00EE28C5" w:rsidRPr="00EE28C5">
          <w:rPr>
            <w:rFonts w:ascii="Tahoma" w:hAnsi="Tahoma" w:cs="Tahoma"/>
            <w:noProof/>
            <w:webHidden/>
            <w:sz w:val="24"/>
            <w:szCs w:val="24"/>
          </w:rPr>
          <w:tab/>
        </w:r>
        <w:r w:rsidR="00EE28C5" w:rsidRPr="00EE28C5">
          <w:rPr>
            <w:rFonts w:ascii="Tahoma" w:hAnsi="Tahoma" w:cs="Tahoma"/>
            <w:noProof/>
            <w:webHidden/>
            <w:sz w:val="24"/>
            <w:szCs w:val="24"/>
          </w:rPr>
          <w:fldChar w:fldCharType="begin"/>
        </w:r>
        <w:r w:rsidR="00EE28C5" w:rsidRPr="00EE28C5">
          <w:rPr>
            <w:rFonts w:ascii="Tahoma" w:hAnsi="Tahoma" w:cs="Tahoma"/>
            <w:noProof/>
            <w:webHidden/>
            <w:sz w:val="24"/>
            <w:szCs w:val="24"/>
          </w:rPr>
          <w:instrText xml:space="preserve"> PAGEREF _Toc203642681 \h </w:instrText>
        </w:r>
        <w:r w:rsidR="00EE28C5" w:rsidRPr="00EE28C5">
          <w:rPr>
            <w:rFonts w:ascii="Tahoma" w:hAnsi="Tahoma" w:cs="Tahoma"/>
            <w:noProof/>
            <w:webHidden/>
            <w:sz w:val="24"/>
            <w:szCs w:val="24"/>
          </w:rPr>
        </w:r>
        <w:r w:rsidR="00EE28C5" w:rsidRPr="00EE28C5">
          <w:rPr>
            <w:rFonts w:ascii="Tahoma" w:hAnsi="Tahoma" w:cs="Tahoma"/>
            <w:noProof/>
            <w:webHidden/>
            <w:sz w:val="24"/>
            <w:szCs w:val="24"/>
          </w:rPr>
          <w:fldChar w:fldCharType="separate"/>
        </w:r>
        <w:r w:rsidR="00124AFB">
          <w:rPr>
            <w:rFonts w:ascii="Tahoma" w:hAnsi="Tahoma" w:cs="Tahoma"/>
            <w:noProof/>
            <w:webHidden/>
            <w:sz w:val="24"/>
            <w:szCs w:val="24"/>
          </w:rPr>
          <w:t>161</w:t>
        </w:r>
        <w:r w:rsidR="00EE28C5" w:rsidRPr="00EE28C5">
          <w:rPr>
            <w:rFonts w:ascii="Tahoma" w:hAnsi="Tahoma" w:cs="Tahoma"/>
            <w:noProof/>
            <w:webHidden/>
            <w:sz w:val="24"/>
            <w:szCs w:val="24"/>
          </w:rPr>
          <w:fldChar w:fldCharType="end"/>
        </w:r>
      </w:hyperlink>
    </w:p>
    <w:p w:rsidR="00EE28C5" w:rsidRPr="00EE28C5" w:rsidRDefault="00642CE5" w:rsidP="00EE28C5">
      <w:pPr>
        <w:pStyle w:val="Tabledesillustrations"/>
        <w:tabs>
          <w:tab w:val="right" w:leader="dot" w:pos="9346"/>
        </w:tabs>
        <w:spacing w:line="360" w:lineRule="auto"/>
        <w:jc w:val="both"/>
        <w:rPr>
          <w:rFonts w:ascii="Tahoma" w:eastAsiaTheme="minorEastAsia" w:hAnsi="Tahoma" w:cs="Tahoma"/>
          <w:noProof/>
          <w:sz w:val="24"/>
          <w:szCs w:val="24"/>
          <w:lang w:eastAsia="fr-FR"/>
        </w:rPr>
      </w:pPr>
      <w:hyperlink w:anchor="_Toc203642682" w:history="1">
        <w:r w:rsidR="00EE28C5" w:rsidRPr="00EE28C5">
          <w:rPr>
            <w:rStyle w:val="Lienhypertexte"/>
            <w:rFonts w:ascii="Tahoma" w:hAnsi="Tahoma" w:cs="Tahoma"/>
            <w:noProof/>
            <w:sz w:val="24"/>
            <w:szCs w:val="24"/>
          </w:rPr>
          <w:t>Carte 8 : Carte des altitudes de la forêt de Korifla</w:t>
        </w:r>
        <w:r w:rsidR="00EE28C5" w:rsidRPr="00EE28C5">
          <w:rPr>
            <w:rFonts w:ascii="Tahoma" w:hAnsi="Tahoma" w:cs="Tahoma"/>
            <w:noProof/>
            <w:webHidden/>
            <w:sz w:val="24"/>
            <w:szCs w:val="24"/>
          </w:rPr>
          <w:tab/>
        </w:r>
        <w:r w:rsidR="00EE28C5" w:rsidRPr="00EE28C5">
          <w:rPr>
            <w:rFonts w:ascii="Tahoma" w:hAnsi="Tahoma" w:cs="Tahoma"/>
            <w:noProof/>
            <w:webHidden/>
            <w:sz w:val="24"/>
            <w:szCs w:val="24"/>
          </w:rPr>
          <w:fldChar w:fldCharType="begin"/>
        </w:r>
        <w:r w:rsidR="00EE28C5" w:rsidRPr="00EE28C5">
          <w:rPr>
            <w:rFonts w:ascii="Tahoma" w:hAnsi="Tahoma" w:cs="Tahoma"/>
            <w:noProof/>
            <w:webHidden/>
            <w:sz w:val="24"/>
            <w:szCs w:val="24"/>
          </w:rPr>
          <w:instrText xml:space="preserve"> PAGEREF _Toc203642682 \h </w:instrText>
        </w:r>
        <w:r w:rsidR="00EE28C5" w:rsidRPr="00EE28C5">
          <w:rPr>
            <w:rFonts w:ascii="Tahoma" w:hAnsi="Tahoma" w:cs="Tahoma"/>
            <w:noProof/>
            <w:webHidden/>
            <w:sz w:val="24"/>
            <w:szCs w:val="24"/>
          </w:rPr>
        </w:r>
        <w:r w:rsidR="00EE28C5" w:rsidRPr="00EE28C5">
          <w:rPr>
            <w:rFonts w:ascii="Tahoma" w:hAnsi="Tahoma" w:cs="Tahoma"/>
            <w:noProof/>
            <w:webHidden/>
            <w:sz w:val="24"/>
            <w:szCs w:val="24"/>
          </w:rPr>
          <w:fldChar w:fldCharType="separate"/>
        </w:r>
        <w:r w:rsidR="00124AFB">
          <w:rPr>
            <w:rFonts w:ascii="Tahoma" w:hAnsi="Tahoma" w:cs="Tahoma"/>
            <w:noProof/>
            <w:webHidden/>
            <w:sz w:val="24"/>
            <w:szCs w:val="24"/>
          </w:rPr>
          <w:t>215</w:t>
        </w:r>
        <w:r w:rsidR="00EE28C5" w:rsidRPr="00EE28C5">
          <w:rPr>
            <w:rFonts w:ascii="Tahoma" w:hAnsi="Tahoma" w:cs="Tahoma"/>
            <w:noProof/>
            <w:webHidden/>
            <w:sz w:val="24"/>
            <w:szCs w:val="24"/>
          </w:rPr>
          <w:fldChar w:fldCharType="end"/>
        </w:r>
      </w:hyperlink>
    </w:p>
    <w:p w:rsidR="00EE28C5" w:rsidRPr="00EE28C5" w:rsidRDefault="00642CE5" w:rsidP="00EE28C5">
      <w:pPr>
        <w:pStyle w:val="Tabledesillustrations"/>
        <w:tabs>
          <w:tab w:val="right" w:leader="dot" w:pos="9346"/>
        </w:tabs>
        <w:spacing w:line="360" w:lineRule="auto"/>
        <w:jc w:val="both"/>
        <w:rPr>
          <w:rFonts w:ascii="Tahoma" w:eastAsiaTheme="minorEastAsia" w:hAnsi="Tahoma" w:cs="Tahoma"/>
          <w:noProof/>
          <w:sz w:val="24"/>
          <w:szCs w:val="24"/>
          <w:lang w:eastAsia="fr-FR"/>
        </w:rPr>
      </w:pPr>
      <w:hyperlink w:anchor="_Toc203642683" w:history="1">
        <w:r w:rsidR="00EE28C5" w:rsidRPr="00EE28C5">
          <w:rPr>
            <w:rStyle w:val="Lienhypertexte"/>
            <w:rFonts w:ascii="Tahoma" w:hAnsi="Tahoma" w:cs="Tahoma"/>
            <w:noProof/>
            <w:sz w:val="24"/>
            <w:szCs w:val="24"/>
          </w:rPr>
          <w:t>Carte 9 : Réseau Hydrographique du terrain d’analyse</w:t>
        </w:r>
        <w:r w:rsidR="00EE28C5" w:rsidRPr="00EE28C5">
          <w:rPr>
            <w:rFonts w:ascii="Tahoma" w:hAnsi="Tahoma" w:cs="Tahoma"/>
            <w:noProof/>
            <w:webHidden/>
            <w:sz w:val="24"/>
            <w:szCs w:val="24"/>
          </w:rPr>
          <w:tab/>
        </w:r>
        <w:r w:rsidR="00EE28C5" w:rsidRPr="00EE28C5">
          <w:rPr>
            <w:rFonts w:ascii="Tahoma" w:hAnsi="Tahoma" w:cs="Tahoma"/>
            <w:noProof/>
            <w:webHidden/>
            <w:sz w:val="24"/>
            <w:szCs w:val="24"/>
          </w:rPr>
          <w:fldChar w:fldCharType="begin"/>
        </w:r>
        <w:r w:rsidR="00EE28C5" w:rsidRPr="00EE28C5">
          <w:rPr>
            <w:rFonts w:ascii="Tahoma" w:hAnsi="Tahoma" w:cs="Tahoma"/>
            <w:noProof/>
            <w:webHidden/>
            <w:sz w:val="24"/>
            <w:szCs w:val="24"/>
          </w:rPr>
          <w:instrText xml:space="preserve"> PAGEREF _Toc203642683 \h </w:instrText>
        </w:r>
        <w:r w:rsidR="00EE28C5" w:rsidRPr="00EE28C5">
          <w:rPr>
            <w:rFonts w:ascii="Tahoma" w:hAnsi="Tahoma" w:cs="Tahoma"/>
            <w:noProof/>
            <w:webHidden/>
            <w:sz w:val="24"/>
            <w:szCs w:val="24"/>
          </w:rPr>
        </w:r>
        <w:r w:rsidR="00EE28C5" w:rsidRPr="00EE28C5">
          <w:rPr>
            <w:rFonts w:ascii="Tahoma" w:hAnsi="Tahoma" w:cs="Tahoma"/>
            <w:noProof/>
            <w:webHidden/>
            <w:sz w:val="24"/>
            <w:szCs w:val="24"/>
          </w:rPr>
          <w:fldChar w:fldCharType="separate"/>
        </w:r>
        <w:r w:rsidR="00124AFB">
          <w:rPr>
            <w:rFonts w:ascii="Tahoma" w:hAnsi="Tahoma" w:cs="Tahoma"/>
            <w:noProof/>
            <w:webHidden/>
            <w:sz w:val="24"/>
            <w:szCs w:val="24"/>
          </w:rPr>
          <w:t>218</w:t>
        </w:r>
        <w:r w:rsidR="00EE28C5" w:rsidRPr="00EE28C5">
          <w:rPr>
            <w:rFonts w:ascii="Tahoma" w:hAnsi="Tahoma" w:cs="Tahoma"/>
            <w:noProof/>
            <w:webHidden/>
            <w:sz w:val="24"/>
            <w:szCs w:val="24"/>
          </w:rPr>
          <w:fldChar w:fldCharType="end"/>
        </w:r>
      </w:hyperlink>
    </w:p>
    <w:p w:rsidR="00EE28C5" w:rsidRPr="00EE28C5" w:rsidRDefault="00642CE5" w:rsidP="00EE28C5">
      <w:pPr>
        <w:pStyle w:val="Tabledesillustrations"/>
        <w:tabs>
          <w:tab w:val="right" w:leader="dot" w:pos="9346"/>
        </w:tabs>
        <w:spacing w:line="360" w:lineRule="auto"/>
        <w:jc w:val="both"/>
        <w:rPr>
          <w:rFonts w:ascii="Tahoma" w:eastAsiaTheme="minorEastAsia" w:hAnsi="Tahoma" w:cs="Tahoma"/>
          <w:noProof/>
          <w:sz w:val="24"/>
          <w:szCs w:val="24"/>
          <w:lang w:eastAsia="fr-FR"/>
        </w:rPr>
      </w:pPr>
      <w:hyperlink r:id="rId81" w:anchor="_Toc203642684" w:history="1">
        <w:r w:rsidR="00EE28C5" w:rsidRPr="00EE28C5">
          <w:rPr>
            <w:rStyle w:val="Lienhypertexte"/>
            <w:rFonts w:ascii="Tahoma" w:hAnsi="Tahoma" w:cs="Tahoma"/>
            <w:noProof/>
            <w:sz w:val="24"/>
            <w:szCs w:val="24"/>
          </w:rPr>
          <w:t>Carte 10 : Impact des dynamiques démographiques et socioéconomiques sur la dégradation de la forêt de Korifla</w:t>
        </w:r>
        <w:r w:rsidR="00EE28C5" w:rsidRPr="00EE28C5">
          <w:rPr>
            <w:rFonts w:ascii="Tahoma" w:hAnsi="Tahoma" w:cs="Tahoma"/>
            <w:noProof/>
            <w:webHidden/>
            <w:sz w:val="24"/>
            <w:szCs w:val="24"/>
          </w:rPr>
          <w:tab/>
        </w:r>
        <w:r w:rsidR="00EE28C5" w:rsidRPr="00EE28C5">
          <w:rPr>
            <w:rFonts w:ascii="Tahoma" w:hAnsi="Tahoma" w:cs="Tahoma"/>
            <w:noProof/>
            <w:webHidden/>
            <w:sz w:val="24"/>
            <w:szCs w:val="24"/>
          </w:rPr>
          <w:fldChar w:fldCharType="begin"/>
        </w:r>
        <w:r w:rsidR="00EE28C5" w:rsidRPr="00EE28C5">
          <w:rPr>
            <w:rFonts w:ascii="Tahoma" w:hAnsi="Tahoma" w:cs="Tahoma"/>
            <w:noProof/>
            <w:webHidden/>
            <w:sz w:val="24"/>
            <w:szCs w:val="24"/>
          </w:rPr>
          <w:instrText xml:space="preserve"> PAGEREF _Toc203642684 \h </w:instrText>
        </w:r>
        <w:r w:rsidR="00EE28C5" w:rsidRPr="00EE28C5">
          <w:rPr>
            <w:rFonts w:ascii="Tahoma" w:hAnsi="Tahoma" w:cs="Tahoma"/>
            <w:noProof/>
            <w:webHidden/>
            <w:sz w:val="24"/>
            <w:szCs w:val="24"/>
          </w:rPr>
        </w:r>
        <w:r w:rsidR="00EE28C5" w:rsidRPr="00EE28C5">
          <w:rPr>
            <w:rFonts w:ascii="Tahoma" w:hAnsi="Tahoma" w:cs="Tahoma"/>
            <w:noProof/>
            <w:webHidden/>
            <w:sz w:val="24"/>
            <w:szCs w:val="24"/>
          </w:rPr>
          <w:fldChar w:fldCharType="separate"/>
        </w:r>
        <w:r w:rsidR="00124AFB">
          <w:rPr>
            <w:rFonts w:ascii="Tahoma" w:hAnsi="Tahoma" w:cs="Tahoma"/>
            <w:noProof/>
            <w:webHidden/>
            <w:sz w:val="24"/>
            <w:szCs w:val="24"/>
          </w:rPr>
          <w:t>223</w:t>
        </w:r>
        <w:r w:rsidR="00EE28C5" w:rsidRPr="00EE28C5">
          <w:rPr>
            <w:rFonts w:ascii="Tahoma" w:hAnsi="Tahoma" w:cs="Tahoma"/>
            <w:noProof/>
            <w:webHidden/>
            <w:sz w:val="24"/>
            <w:szCs w:val="24"/>
          </w:rPr>
          <w:fldChar w:fldCharType="end"/>
        </w:r>
      </w:hyperlink>
    </w:p>
    <w:p w:rsidR="00EE28C5" w:rsidRPr="00EE28C5" w:rsidRDefault="00642CE5" w:rsidP="00EE28C5">
      <w:pPr>
        <w:pStyle w:val="Tabledesillustrations"/>
        <w:tabs>
          <w:tab w:val="right" w:leader="dot" w:pos="9346"/>
        </w:tabs>
        <w:spacing w:line="360" w:lineRule="auto"/>
        <w:jc w:val="both"/>
        <w:rPr>
          <w:rFonts w:ascii="Tahoma" w:eastAsiaTheme="minorEastAsia" w:hAnsi="Tahoma" w:cs="Tahoma"/>
          <w:noProof/>
          <w:sz w:val="24"/>
          <w:szCs w:val="24"/>
          <w:lang w:eastAsia="fr-FR"/>
        </w:rPr>
      </w:pPr>
      <w:hyperlink w:anchor="_Toc203642685" w:history="1">
        <w:r w:rsidR="00EE28C5" w:rsidRPr="00EE28C5">
          <w:rPr>
            <w:rStyle w:val="Lienhypertexte"/>
            <w:rFonts w:ascii="Tahoma" w:hAnsi="Tahoma" w:cs="Tahoma"/>
            <w:noProof/>
            <w:sz w:val="24"/>
            <w:szCs w:val="24"/>
          </w:rPr>
          <w:t>Carte 11 : santé  de la forêt de Korifla selon la perception de la polupation enquêtée</w:t>
        </w:r>
        <w:r w:rsidR="00EE28C5" w:rsidRPr="00EE28C5">
          <w:rPr>
            <w:rFonts w:ascii="Tahoma" w:hAnsi="Tahoma" w:cs="Tahoma"/>
            <w:noProof/>
            <w:webHidden/>
            <w:sz w:val="24"/>
            <w:szCs w:val="24"/>
          </w:rPr>
          <w:tab/>
        </w:r>
        <w:r w:rsidR="00EE28C5" w:rsidRPr="00EE28C5">
          <w:rPr>
            <w:rFonts w:ascii="Tahoma" w:hAnsi="Tahoma" w:cs="Tahoma"/>
            <w:noProof/>
            <w:webHidden/>
            <w:sz w:val="24"/>
            <w:szCs w:val="24"/>
          </w:rPr>
          <w:fldChar w:fldCharType="begin"/>
        </w:r>
        <w:r w:rsidR="00EE28C5" w:rsidRPr="00EE28C5">
          <w:rPr>
            <w:rFonts w:ascii="Tahoma" w:hAnsi="Tahoma" w:cs="Tahoma"/>
            <w:noProof/>
            <w:webHidden/>
            <w:sz w:val="24"/>
            <w:szCs w:val="24"/>
          </w:rPr>
          <w:instrText xml:space="preserve"> PAGEREF _Toc203642685 \h </w:instrText>
        </w:r>
        <w:r w:rsidR="00EE28C5" w:rsidRPr="00EE28C5">
          <w:rPr>
            <w:rFonts w:ascii="Tahoma" w:hAnsi="Tahoma" w:cs="Tahoma"/>
            <w:noProof/>
            <w:webHidden/>
            <w:sz w:val="24"/>
            <w:szCs w:val="24"/>
          </w:rPr>
        </w:r>
        <w:r w:rsidR="00EE28C5" w:rsidRPr="00EE28C5">
          <w:rPr>
            <w:rFonts w:ascii="Tahoma" w:hAnsi="Tahoma" w:cs="Tahoma"/>
            <w:noProof/>
            <w:webHidden/>
            <w:sz w:val="24"/>
            <w:szCs w:val="24"/>
          </w:rPr>
          <w:fldChar w:fldCharType="separate"/>
        </w:r>
        <w:r w:rsidR="00124AFB">
          <w:rPr>
            <w:rFonts w:ascii="Tahoma" w:hAnsi="Tahoma" w:cs="Tahoma"/>
            <w:noProof/>
            <w:webHidden/>
            <w:sz w:val="24"/>
            <w:szCs w:val="24"/>
          </w:rPr>
          <w:t>343</w:t>
        </w:r>
        <w:r w:rsidR="00EE28C5" w:rsidRPr="00EE28C5">
          <w:rPr>
            <w:rFonts w:ascii="Tahoma" w:hAnsi="Tahoma" w:cs="Tahoma"/>
            <w:noProof/>
            <w:webHidden/>
            <w:sz w:val="24"/>
            <w:szCs w:val="24"/>
          </w:rPr>
          <w:fldChar w:fldCharType="end"/>
        </w:r>
      </w:hyperlink>
    </w:p>
    <w:p w:rsidR="00EE28C5" w:rsidRPr="00EE28C5" w:rsidRDefault="00642CE5" w:rsidP="00EE28C5">
      <w:pPr>
        <w:pStyle w:val="Tabledesillustrations"/>
        <w:tabs>
          <w:tab w:val="right" w:leader="dot" w:pos="9346"/>
        </w:tabs>
        <w:spacing w:line="360" w:lineRule="auto"/>
        <w:jc w:val="both"/>
        <w:rPr>
          <w:rFonts w:ascii="Tahoma" w:eastAsiaTheme="minorEastAsia" w:hAnsi="Tahoma" w:cs="Tahoma"/>
          <w:noProof/>
          <w:sz w:val="24"/>
          <w:szCs w:val="24"/>
          <w:lang w:eastAsia="fr-FR"/>
        </w:rPr>
      </w:pPr>
      <w:hyperlink w:anchor="_Toc203642686" w:history="1">
        <w:r w:rsidR="00EE28C5" w:rsidRPr="00EE28C5">
          <w:rPr>
            <w:rStyle w:val="Lienhypertexte"/>
            <w:rFonts w:ascii="Tahoma" w:hAnsi="Tahoma" w:cs="Tahoma"/>
            <w:noProof/>
            <w:sz w:val="24"/>
            <w:szCs w:val="24"/>
          </w:rPr>
          <w:t xml:space="preserve">Carte 12 : </w:t>
        </w:r>
        <w:r w:rsidR="00EE28C5" w:rsidRPr="00EE28C5">
          <w:rPr>
            <w:rStyle w:val="Lienhypertexte"/>
            <w:rFonts w:ascii="Tahoma" w:hAnsi="Tahoma" w:cs="Tahoma"/>
            <w:noProof/>
            <w:sz w:val="24"/>
            <w:szCs w:val="24"/>
            <w:lang w:eastAsia="fr-FR"/>
          </w:rPr>
          <w:t>l’éducation de Korifla selon la perception de la polupation enquêtée</w:t>
        </w:r>
        <w:r w:rsidR="00EE28C5" w:rsidRPr="00EE28C5">
          <w:rPr>
            <w:rFonts w:ascii="Tahoma" w:hAnsi="Tahoma" w:cs="Tahoma"/>
            <w:noProof/>
            <w:webHidden/>
            <w:sz w:val="24"/>
            <w:szCs w:val="24"/>
          </w:rPr>
          <w:tab/>
        </w:r>
        <w:r w:rsidR="00EE28C5" w:rsidRPr="00EE28C5">
          <w:rPr>
            <w:rFonts w:ascii="Tahoma" w:hAnsi="Tahoma" w:cs="Tahoma"/>
            <w:noProof/>
            <w:webHidden/>
            <w:sz w:val="24"/>
            <w:szCs w:val="24"/>
          </w:rPr>
          <w:fldChar w:fldCharType="begin"/>
        </w:r>
        <w:r w:rsidR="00EE28C5" w:rsidRPr="00EE28C5">
          <w:rPr>
            <w:rFonts w:ascii="Tahoma" w:hAnsi="Tahoma" w:cs="Tahoma"/>
            <w:noProof/>
            <w:webHidden/>
            <w:sz w:val="24"/>
            <w:szCs w:val="24"/>
          </w:rPr>
          <w:instrText xml:space="preserve"> PAGEREF _Toc203642686 \h </w:instrText>
        </w:r>
        <w:r w:rsidR="00EE28C5" w:rsidRPr="00EE28C5">
          <w:rPr>
            <w:rFonts w:ascii="Tahoma" w:hAnsi="Tahoma" w:cs="Tahoma"/>
            <w:noProof/>
            <w:webHidden/>
            <w:sz w:val="24"/>
            <w:szCs w:val="24"/>
          </w:rPr>
        </w:r>
        <w:r w:rsidR="00EE28C5" w:rsidRPr="00EE28C5">
          <w:rPr>
            <w:rFonts w:ascii="Tahoma" w:hAnsi="Tahoma" w:cs="Tahoma"/>
            <w:noProof/>
            <w:webHidden/>
            <w:sz w:val="24"/>
            <w:szCs w:val="24"/>
          </w:rPr>
          <w:fldChar w:fldCharType="separate"/>
        </w:r>
        <w:r w:rsidR="00124AFB">
          <w:rPr>
            <w:rFonts w:ascii="Tahoma" w:hAnsi="Tahoma" w:cs="Tahoma"/>
            <w:noProof/>
            <w:webHidden/>
            <w:sz w:val="24"/>
            <w:szCs w:val="24"/>
          </w:rPr>
          <w:t>352</w:t>
        </w:r>
        <w:r w:rsidR="00EE28C5" w:rsidRPr="00EE28C5">
          <w:rPr>
            <w:rFonts w:ascii="Tahoma" w:hAnsi="Tahoma" w:cs="Tahoma"/>
            <w:noProof/>
            <w:webHidden/>
            <w:sz w:val="24"/>
            <w:szCs w:val="24"/>
          </w:rPr>
          <w:fldChar w:fldCharType="end"/>
        </w:r>
      </w:hyperlink>
    </w:p>
    <w:p w:rsidR="00EE28C5" w:rsidRPr="00EE28C5" w:rsidRDefault="00642CE5" w:rsidP="00EE28C5">
      <w:pPr>
        <w:pStyle w:val="Tabledesillustrations"/>
        <w:tabs>
          <w:tab w:val="right" w:leader="dot" w:pos="9346"/>
        </w:tabs>
        <w:spacing w:line="360" w:lineRule="auto"/>
        <w:jc w:val="both"/>
        <w:rPr>
          <w:rFonts w:ascii="Tahoma" w:eastAsiaTheme="minorEastAsia" w:hAnsi="Tahoma" w:cs="Tahoma"/>
          <w:noProof/>
          <w:sz w:val="24"/>
          <w:szCs w:val="24"/>
          <w:lang w:eastAsia="fr-FR"/>
        </w:rPr>
      </w:pPr>
      <w:hyperlink w:anchor="_Toc203642687" w:history="1">
        <w:r w:rsidR="00EE28C5" w:rsidRPr="00EE28C5">
          <w:rPr>
            <w:rStyle w:val="Lienhypertexte"/>
            <w:rFonts w:ascii="Tahoma" w:hAnsi="Tahoma" w:cs="Tahoma"/>
            <w:noProof/>
            <w:sz w:val="24"/>
            <w:szCs w:val="24"/>
          </w:rPr>
          <w:t>Carte 13 : Les équipements sociaux selon la perception de la population enquêtée</w:t>
        </w:r>
        <w:r w:rsidR="00EE28C5" w:rsidRPr="00EE28C5">
          <w:rPr>
            <w:rFonts w:ascii="Tahoma" w:hAnsi="Tahoma" w:cs="Tahoma"/>
            <w:noProof/>
            <w:webHidden/>
            <w:sz w:val="24"/>
            <w:szCs w:val="24"/>
          </w:rPr>
          <w:tab/>
        </w:r>
        <w:r w:rsidR="00EE28C5" w:rsidRPr="00EE28C5">
          <w:rPr>
            <w:rFonts w:ascii="Tahoma" w:hAnsi="Tahoma" w:cs="Tahoma"/>
            <w:noProof/>
            <w:webHidden/>
            <w:sz w:val="24"/>
            <w:szCs w:val="24"/>
          </w:rPr>
          <w:fldChar w:fldCharType="begin"/>
        </w:r>
        <w:r w:rsidR="00EE28C5" w:rsidRPr="00EE28C5">
          <w:rPr>
            <w:rFonts w:ascii="Tahoma" w:hAnsi="Tahoma" w:cs="Tahoma"/>
            <w:noProof/>
            <w:webHidden/>
            <w:sz w:val="24"/>
            <w:szCs w:val="24"/>
          </w:rPr>
          <w:instrText xml:space="preserve"> PAGEREF _Toc203642687 \h </w:instrText>
        </w:r>
        <w:r w:rsidR="00EE28C5" w:rsidRPr="00EE28C5">
          <w:rPr>
            <w:rFonts w:ascii="Tahoma" w:hAnsi="Tahoma" w:cs="Tahoma"/>
            <w:noProof/>
            <w:webHidden/>
            <w:sz w:val="24"/>
            <w:szCs w:val="24"/>
          </w:rPr>
        </w:r>
        <w:r w:rsidR="00EE28C5" w:rsidRPr="00EE28C5">
          <w:rPr>
            <w:rFonts w:ascii="Tahoma" w:hAnsi="Tahoma" w:cs="Tahoma"/>
            <w:noProof/>
            <w:webHidden/>
            <w:sz w:val="24"/>
            <w:szCs w:val="24"/>
          </w:rPr>
          <w:fldChar w:fldCharType="separate"/>
        </w:r>
        <w:r w:rsidR="00124AFB">
          <w:rPr>
            <w:rFonts w:ascii="Tahoma" w:hAnsi="Tahoma" w:cs="Tahoma"/>
            <w:noProof/>
            <w:webHidden/>
            <w:sz w:val="24"/>
            <w:szCs w:val="24"/>
          </w:rPr>
          <w:t>357</w:t>
        </w:r>
        <w:r w:rsidR="00EE28C5" w:rsidRPr="00EE28C5">
          <w:rPr>
            <w:rFonts w:ascii="Tahoma" w:hAnsi="Tahoma" w:cs="Tahoma"/>
            <w:noProof/>
            <w:webHidden/>
            <w:sz w:val="24"/>
            <w:szCs w:val="24"/>
          </w:rPr>
          <w:fldChar w:fldCharType="end"/>
        </w:r>
      </w:hyperlink>
    </w:p>
    <w:p w:rsidR="00EE28C5" w:rsidRPr="00EE28C5" w:rsidRDefault="00642CE5" w:rsidP="00EE28C5">
      <w:pPr>
        <w:pStyle w:val="Tabledesillustrations"/>
        <w:tabs>
          <w:tab w:val="right" w:leader="dot" w:pos="9346"/>
        </w:tabs>
        <w:spacing w:line="360" w:lineRule="auto"/>
        <w:jc w:val="both"/>
        <w:rPr>
          <w:rFonts w:ascii="Tahoma" w:eastAsiaTheme="minorEastAsia" w:hAnsi="Tahoma" w:cs="Tahoma"/>
          <w:noProof/>
          <w:sz w:val="24"/>
          <w:szCs w:val="24"/>
          <w:lang w:eastAsia="fr-FR"/>
        </w:rPr>
      </w:pPr>
      <w:hyperlink w:anchor="_Toc203642688" w:history="1">
        <w:r w:rsidR="00EE28C5" w:rsidRPr="00EE28C5">
          <w:rPr>
            <w:rStyle w:val="Lienhypertexte"/>
            <w:rFonts w:ascii="Tahoma" w:hAnsi="Tahoma" w:cs="Tahoma"/>
            <w:noProof/>
            <w:sz w:val="24"/>
            <w:szCs w:val="24"/>
          </w:rPr>
          <w:t xml:space="preserve">Carte 14 </w:t>
        </w:r>
        <w:r w:rsidR="00EE28C5" w:rsidRPr="00EE28C5">
          <w:rPr>
            <w:rStyle w:val="Lienhypertexte"/>
            <w:rFonts w:ascii="Tahoma" w:hAnsi="Tahoma" w:cs="Tahoma"/>
            <w:noProof/>
            <w:sz w:val="24"/>
            <w:szCs w:val="24"/>
            <w:lang w:eastAsia="fr-FR"/>
          </w:rPr>
          <w:t>: Revenus des ménages enquêtés selon la source</w:t>
        </w:r>
        <w:r w:rsidR="00EE28C5" w:rsidRPr="00EE28C5">
          <w:rPr>
            <w:rFonts w:ascii="Tahoma" w:hAnsi="Tahoma" w:cs="Tahoma"/>
            <w:noProof/>
            <w:webHidden/>
            <w:sz w:val="24"/>
            <w:szCs w:val="24"/>
          </w:rPr>
          <w:tab/>
        </w:r>
        <w:r w:rsidR="00EE28C5" w:rsidRPr="00EE28C5">
          <w:rPr>
            <w:rFonts w:ascii="Tahoma" w:hAnsi="Tahoma" w:cs="Tahoma"/>
            <w:noProof/>
            <w:webHidden/>
            <w:sz w:val="24"/>
            <w:szCs w:val="24"/>
          </w:rPr>
          <w:fldChar w:fldCharType="begin"/>
        </w:r>
        <w:r w:rsidR="00EE28C5" w:rsidRPr="00EE28C5">
          <w:rPr>
            <w:rFonts w:ascii="Tahoma" w:hAnsi="Tahoma" w:cs="Tahoma"/>
            <w:noProof/>
            <w:webHidden/>
            <w:sz w:val="24"/>
            <w:szCs w:val="24"/>
          </w:rPr>
          <w:instrText xml:space="preserve"> PAGEREF _Toc203642688 \h </w:instrText>
        </w:r>
        <w:r w:rsidR="00EE28C5" w:rsidRPr="00EE28C5">
          <w:rPr>
            <w:rFonts w:ascii="Tahoma" w:hAnsi="Tahoma" w:cs="Tahoma"/>
            <w:noProof/>
            <w:webHidden/>
            <w:sz w:val="24"/>
            <w:szCs w:val="24"/>
          </w:rPr>
        </w:r>
        <w:r w:rsidR="00EE28C5" w:rsidRPr="00EE28C5">
          <w:rPr>
            <w:rFonts w:ascii="Tahoma" w:hAnsi="Tahoma" w:cs="Tahoma"/>
            <w:noProof/>
            <w:webHidden/>
            <w:sz w:val="24"/>
            <w:szCs w:val="24"/>
          </w:rPr>
          <w:fldChar w:fldCharType="separate"/>
        </w:r>
        <w:r w:rsidR="00124AFB">
          <w:rPr>
            <w:rFonts w:ascii="Tahoma" w:hAnsi="Tahoma" w:cs="Tahoma"/>
            <w:noProof/>
            <w:webHidden/>
            <w:sz w:val="24"/>
            <w:szCs w:val="24"/>
          </w:rPr>
          <w:t>373</w:t>
        </w:r>
        <w:r w:rsidR="00EE28C5" w:rsidRPr="00EE28C5">
          <w:rPr>
            <w:rFonts w:ascii="Tahoma" w:hAnsi="Tahoma" w:cs="Tahoma"/>
            <w:noProof/>
            <w:webHidden/>
            <w:sz w:val="24"/>
            <w:szCs w:val="24"/>
          </w:rPr>
          <w:fldChar w:fldCharType="end"/>
        </w:r>
      </w:hyperlink>
    </w:p>
    <w:p w:rsidR="00EE28C5" w:rsidRPr="00EE28C5" w:rsidRDefault="00642CE5" w:rsidP="00EE28C5">
      <w:pPr>
        <w:pStyle w:val="Tabledesillustrations"/>
        <w:tabs>
          <w:tab w:val="right" w:leader="dot" w:pos="9346"/>
        </w:tabs>
        <w:spacing w:line="360" w:lineRule="auto"/>
        <w:jc w:val="both"/>
        <w:rPr>
          <w:rFonts w:ascii="Tahoma" w:eastAsiaTheme="minorEastAsia" w:hAnsi="Tahoma" w:cs="Tahoma"/>
          <w:noProof/>
          <w:sz w:val="24"/>
          <w:szCs w:val="24"/>
          <w:lang w:eastAsia="fr-FR"/>
        </w:rPr>
      </w:pPr>
      <w:hyperlink w:anchor="_Toc203642689" w:history="1">
        <w:r w:rsidR="00EE28C5" w:rsidRPr="00EE28C5">
          <w:rPr>
            <w:rStyle w:val="Lienhypertexte"/>
            <w:rFonts w:ascii="Tahoma" w:hAnsi="Tahoma" w:cs="Tahoma"/>
            <w:noProof/>
            <w:sz w:val="24"/>
            <w:szCs w:val="24"/>
          </w:rPr>
          <w:t>Carte 15 : La dégradation de la forêt de Korifla selon la perception de la polupation enquêtée</w:t>
        </w:r>
        <w:r w:rsidR="00EE28C5" w:rsidRPr="00EE28C5">
          <w:rPr>
            <w:rFonts w:ascii="Tahoma" w:hAnsi="Tahoma" w:cs="Tahoma"/>
            <w:noProof/>
            <w:webHidden/>
            <w:sz w:val="24"/>
            <w:szCs w:val="24"/>
          </w:rPr>
          <w:tab/>
        </w:r>
        <w:r w:rsidR="00EE28C5" w:rsidRPr="00EE28C5">
          <w:rPr>
            <w:rFonts w:ascii="Tahoma" w:hAnsi="Tahoma" w:cs="Tahoma"/>
            <w:noProof/>
            <w:webHidden/>
            <w:sz w:val="24"/>
            <w:szCs w:val="24"/>
          </w:rPr>
          <w:fldChar w:fldCharType="begin"/>
        </w:r>
        <w:r w:rsidR="00EE28C5" w:rsidRPr="00EE28C5">
          <w:rPr>
            <w:rFonts w:ascii="Tahoma" w:hAnsi="Tahoma" w:cs="Tahoma"/>
            <w:noProof/>
            <w:webHidden/>
            <w:sz w:val="24"/>
            <w:szCs w:val="24"/>
          </w:rPr>
          <w:instrText xml:space="preserve"> PAGEREF _Toc203642689 \h </w:instrText>
        </w:r>
        <w:r w:rsidR="00EE28C5" w:rsidRPr="00EE28C5">
          <w:rPr>
            <w:rFonts w:ascii="Tahoma" w:hAnsi="Tahoma" w:cs="Tahoma"/>
            <w:noProof/>
            <w:webHidden/>
            <w:sz w:val="24"/>
            <w:szCs w:val="24"/>
          </w:rPr>
        </w:r>
        <w:r w:rsidR="00EE28C5" w:rsidRPr="00EE28C5">
          <w:rPr>
            <w:rFonts w:ascii="Tahoma" w:hAnsi="Tahoma" w:cs="Tahoma"/>
            <w:noProof/>
            <w:webHidden/>
            <w:sz w:val="24"/>
            <w:szCs w:val="24"/>
          </w:rPr>
          <w:fldChar w:fldCharType="separate"/>
        </w:r>
        <w:r w:rsidR="00124AFB">
          <w:rPr>
            <w:rFonts w:ascii="Tahoma" w:hAnsi="Tahoma" w:cs="Tahoma"/>
            <w:noProof/>
            <w:webHidden/>
            <w:sz w:val="24"/>
            <w:szCs w:val="24"/>
          </w:rPr>
          <w:t>384</w:t>
        </w:r>
        <w:r w:rsidR="00EE28C5" w:rsidRPr="00EE28C5">
          <w:rPr>
            <w:rFonts w:ascii="Tahoma" w:hAnsi="Tahoma" w:cs="Tahoma"/>
            <w:noProof/>
            <w:webHidden/>
            <w:sz w:val="24"/>
            <w:szCs w:val="24"/>
          </w:rPr>
          <w:fldChar w:fldCharType="end"/>
        </w:r>
      </w:hyperlink>
    </w:p>
    <w:p w:rsidR="00B449CB" w:rsidRPr="00B96EC1" w:rsidRDefault="0011420C" w:rsidP="00EE28C5">
      <w:pPr>
        <w:pStyle w:val="Tabledesillustrations"/>
        <w:tabs>
          <w:tab w:val="right" w:leader="dot" w:pos="9346"/>
        </w:tabs>
        <w:spacing w:line="360" w:lineRule="auto"/>
        <w:jc w:val="both"/>
        <w:rPr>
          <w:rFonts w:ascii="Tahoma" w:hAnsi="Tahoma" w:cs="Tahoma"/>
          <w:sz w:val="24"/>
          <w:szCs w:val="24"/>
        </w:rPr>
      </w:pPr>
      <w:r w:rsidRPr="00B96EC1">
        <w:rPr>
          <w:rStyle w:val="Lienhypertexte"/>
          <w:rFonts w:ascii="Tahoma" w:hAnsi="Tahoma" w:cs="Tahoma"/>
          <w:noProof/>
          <w:sz w:val="24"/>
          <w:szCs w:val="24"/>
        </w:rPr>
        <w:fldChar w:fldCharType="end"/>
      </w:r>
    </w:p>
    <w:p w:rsidR="0048296C" w:rsidRPr="002462E6" w:rsidRDefault="0048296C" w:rsidP="002F1A32">
      <w:pPr>
        <w:pStyle w:val="Titre"/>
        <w:bidi w:val="0"/>
      </w:pPr>
    </w:p>
    <w:p w:rsidR="0048296C" w:rsidRPr="002462E6" w:rsidRDefault="0048296C" w:rsidP="00D957FD">
      <w:pPr>
        <w:jc w:val="both"/>
        <w:rPr>
          <w:lang w:eastAsia="fr-FR"/>
        </w:rPr>
      </w:pPr>
    </w:p>
    <w:p w:rsidR="00BF3FCB" w:rsidRPr="002462E6" w:rsidRDefault="00BF3FCB" w:rsidP="00D957FD">
      <w:pPr>
        <w:jc w:val="both"/>
        <w:rPr>
          <w:lang w:eastAsia="fr-FR"/>
        </w:rPr>
      </w:pPr>
    </w:p>
    <w:p w:rsidR="00BF3FCB" w:rsidRPr="002462E6" w:rsidRDefault="00BF3FCB" w:rsidP="00BF3FCB">
      <w:pPr>
        <w:rPr>
          <w:lang w:eastAsia="fr-FR"/>
        </w:rPr>
      </w:pPr>
    </w:p>
    <w:p w:rsidR="00BF3FCB" w:rsidRPr="002462E6" w:rsidRDefault="00BF3FCB" w:rsidP="00BF3FCB">
      <w:pPr>
        <w:rPr>
          <w:lang w:eastAsia="fr-FR"/>
        </w:rPr>
      </w:pPr>
    </w:p>
    <w:p w:rsidR="00BF3FCB" w:rsidRPr="002462E6" w:rsidRDefault="00BF3FCB" w:rsidP="00BF3FCB">
      <w:pPr>
        <w:rPr>
          <w:lang w:eastAsia="fr-FR"/>
        </w:rPr>
      </w:pPr>
    </w:p>
    <w:p w:rsidR="009E7139" w:rsidRDefault="009E7139">
      <w:pPr>
        <w:rPr>
          <w:lang w:eastAsia="fr-FR"/>
        </w:rPr>
      </w:pPr>
      <w:r>
        <w:rPr>
          <w:lang w:eastAsia="fr-FR"/>
        </w:rPr>
        <w:br w:type="page"/>
      </w:r>
    </w:p>
    <w:p w:rsidR="00FD1D56" w:rsidRPr="002462E6" w:rsidRDefault="00FD1D56" w:rsidP="002F1A32">
      <w:pPr>
        <w:pStyle w:val="Titre"/>
        <w:bidi w:val="0"/>
      </w:pPr>
      <w:bookmarkStart w:id="494" w:name="_Toc190769617"/>
      <w:bookmarkStart w:id="495" w:name="_Toc190774756"/>
      <w:bookmarkStart w:id="496" w:name="_Toc201570934"/>
      <w:bookmarkStart w:id="497" w:name="_Toc201655548"/>
      <w:bookmarkStart w:id="498" w:name="_Toc203643143"/>
      <w:r w:rsidRPr="002462E6">
        <w:t>Liste des figures</w:t>
      </w:r>
      <w:bookmarkEnd w:id="494"/>
      <w:bookmarkEnd w:id="495"/>
      <w:bookmarkEnd w:id="496"/>
      <w:bookmarkEnd w:id="497"/>
      <w:bookmarkEnd w:id="498"/>
    </w:p>
    <w:p w:rsidR="00DF521C" w:rsidRPr="00DF521C" w:rsidRDefault="0011420C" w:rsidP="00DF521C">
      <w:pPr>
        <w:pStyle w:val="Tabledesillustrations"/>
        <w:tabs>
          <w:tab w:val="right" w:leader="dot" w:pos="9346"/>
        </w:tabs>
        <w:spacing w:line="360" w:lineRule="auto"/>
        <w:jc w:val="both"/>
        <w:rPr>
          <w:rFonts w:ascii="Tahoma" w:eastAsiaTheme="minorEastAsia" w:hAnsi="Tahoma" w:cs="Tahoma"/>
          <w:noProof/>
          <w:sz w:val="24"/>
          <w:szCs w:val="24"/>
          <w:lang w:eastAsia="fr-FR"/>
        </w:rPr>
      </w:pPr>
      <w:r w:rsidRPr="00DF521C">
        <w:rPr>
          <w:rStyle w:val="Lienhypertexte"/>
          <w:rFonts w:ascii="Tahoma" w:hAnsi="Tahoma" w:cs="Tahoma"/>
          <w:noProof/>
          <w:sz w:val="24"/>
          <w:szCs w:val="24"/>
        </w:rPr>
        <w:fldChar w:fldCharType="begin"/>
      </w:r>
      <w:r w:rsidRPr="00DF521C">
        <w:rPr>
          <w:rStyle w:val="Lienhypertexte"/>
          <w:rFonts w:ascii="Tahoma" w:hAnsi="Tahoma" w:cs="Tahoma"/>
          <w:noProof/>
          <w:sz w:val="24"/>
          <w:szCs w:val="24"/>
        </w:rPr>
        <w:instrText xml:space="preserve"> TOC \h \z \c "Figure" </w:instrText>
      </w:r>
      <w:r w:rsidRPr="00DF521C">
        <w:rPr>
          <w:rStyle w:val="Lienhypertexte"/>
          <w:rFonts w:ascii="Tahoma" w:hAnsi="Tahoma" w:cs="Tahoma"/>
          <w:noProof/>
          <w:sz w:val="24"/>
          <w:szCs w:val="24"/>
        </w:rPr>
        <w:fldChar w:fldCharType="separate"/>
      </w:r>
      <w:hyperlink w:anchor="_Toc203642793" w:history="1">
        <w:r w:rsidR="00DF521C" w:rsidRPr="00DF521C">
          <w:rPr>
            <w:rStyle w:val="Lienhypertexte"/>
            <w:rFonts w:ascii="Tahoma" w:hAnsi="Tahoma" w:cs="Tahoma"/>
            <w:noProof/>
            <w:sz w:val="24"/>
            <w:szCs w:val="24"/>
          </w:rPr>
          <w:t>Figure 1 : Les cinq orientations de la stratégie des "Forêts du Maroc 2020-2030"</w:t>
        </w:r>
        <w:r w:rsidR="00DF521C" w:rsidRPr="00DF521C">
          <w:rPr>
            <w:rFonts w:ascii="Tahoma" w:hAnsi="Tahoma" w:cs="Tahoma"/>
            <w:noProof/>
            <w:webHidden/>
            <w:sz w:val="24"/>
            <w:szCs w:val="24"/>
          </w:rPr>
          <w:tab/>
        </w:r>
        <w:r w:rsidR="00DF521C" w:rsidRPr="00DF521C">
          <w:rPr>
            <w:rFonts w:ascii="Tahoma" w:hAnsi="Tahoma" w:cs="Tahoma"/>
            <w:noProof/>
            <w:webHidden/>
            <w:sz w:val="24"/>
            <w:szCs w:val="24"/>
          </w:rPr>
          <w:fldChar w:fldCharType="begin"/>
        </w:r>
        <w:r w:rsidR="00DF521C" w:rsidRPr="00DF521C">
          <w:rPr>
            <w:rFonts w:ascii="Tahoma" w:hAnsi="Tahoma" w:cs="Tahoma"/>
            <w:noProof/>
            <w:webHidden/>
            <w:sz w:val="24"/>
            <w:szCs w:val="24"/>
          </w:rPr>
          <w:instrText xml:space="preserve"> PAGEREF _Toc203642793 \h </w:instrText>
        </w:r>
        <w:r w:rsidR="00DF521C" w:rsidRPr="00DF521C">
          <w:rPr>
            <w:rFonts w:ascii="Tahoma" w:hAnsi="Tahoma" w:cs="Tahoma"/>
            <w:noProof/>
            <w:webHidden/>
            <w:sz w:val="24"/>
            <w:szCs w:val="24"/>
          </w:rPr>
        </w:r>
        <w:r w:rsidR="00DF521C" w:rsidRPr="00DF521C">
          <w:rPr>
            <w:rFonts w:ascii="Tahoma" w:hAnsi="Tahoma" w:cs="Tahoma"/>
            <w:noProof/>
            <w:webHidden/>
            <w:sz w:val="24"/>
            <w:szCs w:val="24"/>
          </w:rPr>
          <w:fldChar w:fldCharType="separate"/>
        </w:r>
        <w:r w:rsidR="00124AFB">
          <w:rPr>
            <w:rFonts w:ascii="Tahoma" w:hAnsi="Tahoma" w:cs="Tahoma"/>
            <w:noProof/>
            <w:webHidden/>
            <w:sz w:val="24"/>
            <w:szCs w:val="24"/>
          </w:rPr>
          <w:t>62</w:t>
        </w:r>
        <w:r w:rsidR="00DF521C" w:rsidRPr="00DF521C">
          <w:rPr>
            <w:rFonts w:ascii="Tahoma" w:hAnsi="Tahoma" w:cs="Tahoma"/>
            <w:noProof/>
            <w:webHidden/>
            <w:sz w:val="24"/>
            <w:szCs w:val="24"/>
          </w:rPr>
          <w:fldChar w:fldCharType="end"/>
        </w:r>
      </w:hyperlink>
    </w:p>
    <w:p w:rsidR="00DF521C" w:rsidRPr="00DF521C" w:rsidRDefault="00642CE5" w:rsidP="00DF521C">
      <w:pPr>
        <w:pStyle w:val="Tabledesillustrations"/>
        <w:tabs>
          <w:tab w:val="right" w:leader="dot" w:pos="9346"/>
        </w:tabs>
        <w:spacing w:line="360" w:lineRule="auto"/>
        <w:jc w:val="both"/>
        <w:rPr>
          <w:rFonts w:ascii="Tahoma" w:eastAsiaTheme="minorEastAsia" w:hAnsi="Tahoma" w:cs="Tahoma"/>
          <w:noProof/>
          <w:sz w:val="24"/>
          <w:szCs w:val="24"/>
          <w:lang w:eastAsia="fr-FR"/>
        </w:rPr>
      </w:pPr>
      <w:hyperlink w:anchor="_Toc203642794" w:history="1">
        <w:r w:rsidR="00DF521C" w:rsidRPr="00DF521C">
          <w:rPr>
            <w:rStyle w:val="Lienhypertexte"/>
            <w:rFonts w:ascii="Tahoma" w:hAnsi="Tahoma" w:cs="Tahoma"/>
            <w:noProof/>
            <w:sz w:val="24"/>
            <w:szCs w:val="24"/>
          </w:rPr>
          <w:t>Figure 2 : Verticalité et modes d'appropriation des ressources</w:t>
        </w:r>
        <w:r w:rsidR="00DF521C" w:rsidRPr="00DF521C">
          <w:rPr>
            <w:rFonts w:ascii="Tahoma" w:hAnsi="Tahoma" w:cs="Tahoma"/>
            <w:noProof/>
            <w:webHidden/>
            <w:sz w:val="24"/>
            <w:szCs w:val="24"/>
          </w:rPr>
          <w:tab/>
        </w:r>
        <w:r w:rsidR="00DF521C" w:rsidRPr="00DF521C">
          <w:rPr>
            <w:rFonts w:ascii="Tahoma" w:hAnsi="Tahoma" w:cs="Tahoma"/>
            <w:noProof/>
            <w:webHidden/>
            <w:sz w:val="24"/>
            <w:szCs w:val="24"/>
          </w:rPr>
          <w:fldChar w:fldCharType="begin"/>
        </w:r>
        <w:r w:rsidR="00DF521C" w:rsidRPr="00DF521C">
          <w:rPr>
            <w:rFonts w:ascii="Tahoma" w:hAnsi="Tahoma" w:cs="Tahoma"/>
            <w:noProof/>
            <w:webHidden/>
            <w:sz w:val="24"/>
            <w:szCs w:val="24"/>
          </w:rPr>
          <w:instrText xml:space="preserve"> PAGEREF _Toc203642794 \h </w:instrText>
        </w:r>
        <w:r w:rsidR="00DF521C" w:rsidRPr="00DF521C">
          <w:rPr>
            <w:rFonts w:ascii="Tahoma" w:hAnsi="Tahoma" w:cs="Tahoma"/>
            <w:noProof/>
            <w:webHidden/>
            <w:sz w:val="24"/>
            <w:szCs w:val="24"/>
          </w:rPr>
        </w:r>
        <w:r w:rsidR="00DF521C" w:rsidRPr="00DF521C">
          <w:rPr>
            <w:rFonts w:ascii="Tahoma" w:hAnsi="Tahoma" w:cs="Tahoma"/>
            <w:noProof/>
            <w:webHidden/>
            <w:sz w:val="24"/>
            <w:szCs w:val="24"/>
          </w:rPr>
          <w:fldChar w:fldCharType="separate"/>
        </w:r>
        <w:r w:rsidR="00124AFB">
          <w:rPr>
            <w:rFonts w:ascii="Tahoma" w:hAnsi="Tahoma" w:cs="Tahoma"/>
            <w:noProof/>
            <w:webHidden/>
            <w:sz w:val="24"/>
            <w:szCs w:val="24"/>
          </w:rPr>
          <w:t>79</w:t>
        </w:r>
        <w:r w:rsidR="00DF521C" w:rsidRPr="00DF521C">
          <w:rPr>
            <w:rFonts w:ascii="Tahoma" w:hAnsi="Tahoma" w:cs="Tahoma"/>
            <w:noProof/>
            <w:webHidden/>
            <w:sz w:val="24"/>
            <w:szCs w:val="24"/>
          </w:rPr>
          <w:fldChar w:fldCharType="end"/>
        </w:r>
      </w:hyperlink>
    </w:p>
    <w:p w:rsidR="00DF521C" w:rsidRPr="00DF521C" w:rsidRDefault="00642CE5" w:rsidP="00DF521C">
      <w:pPr>
        <w:pStyle w:val="Tabledesillustrations"/>
        <w:tabs>
          <w:tab w:val="right" w:leader="dot" w:pos="9346"/>
        </w:tabs>
        <w:spacing w:line="360" w:lineRule="auto"/>
        <w:jc w:val="both"/>
        <w:rPr>
          <w:rFonts w:ascii="Tahoma" w:eastAsiaTheme="minorEastAsia" w:hAnsi="Tahoma" w:cs="Tahoma"/>
          <w:noProof/>
          <w:sz w:val="24"/>
          <w:szCs w:val="24"/>
          <w:lang w:eastAsia="fr-FR"/>
        </w:rPr>
      </w:pPr>
      <w:hyperlink w:anchor="_Toc203642795" w:history="1">
        <w:r w:rsidR="00DF521C" w:rsidRPr="00DF521C">
          <w:rPr>
            <w:rStyle w:val="Lienhypertexte"/>
            <w:rFonts w:ascii="Tahoma" w:hAnsi="Tahoma" w:cs="Tahoma"/>
            <w:noProof/>
            <w:sz w:val="24"/>
            <w:szCs w:val="24"/>
          </w:rPr>
          <w:t>Figure 3 : Piliers et axes stratégiques du programme décennal 2005-2014</w:t>
        </w:r>
        <w:r w:rsidR="00DF521C" w:rsidRPr="00DF521C">
          <w:rPr>
            <w:rFonts w:ascii="Tahoma" w:hAnsi="Tahoma" w:cs="Tahoma"/>
            <w:noProof/>
            <w:webHidden/>
            <w:sz w:val="24"/>
            <w:szCs w:val="24"/>
          </w:rPr>
          <w:tab/>
        </w:r>
        <w:r w:rsidR="00DF521C" w:rsidRPr="00DF521C">
          <w:rPr>
            <w:rFonts w:ascii="Tahoma" w:hAnsi="Tahoma" w:cs="Tahoma"/>
            <w:noProof/>
            <w:webHidden/>
            <w:sz w:val="24"/>
            <w:szCs w:val="24"/>
          </w:rPr>
          <w:fldChar w:fldCharType="begin"/>
        </w:r>
        <w:r w:rsidR="00DF521C" w:rsidRPr="00DF521C">
          <w:rPr>
            <w:rFonts w:ascii="Tahoma" w:hAnsi="Tahoma" w:cs="Tahoma"/>
            <w:noProof/>
            <w:webHidden/>
            <w:sz w:val="24"/>
            <w:szCs w:val="24"/>
          </w:rPr>
          <w:instrText xml:space="preserve"> PAGEREF _Toc203642795 \h </w:instrText>
        </w:r>
        <w:r w:rsidR="00DF521C" w:rsidRPr="00DF521C">
          <w:rPr>
            <w:rFonts w:ascii="Tahoma" w:hAnsi="Tahoma" w:cs="Tahoma"/>
            <w:noProof/>
            <w:webHidden/>
            <w:sz w:val="24"/>
            <w:szCs w:val="24"/>
          </w:rPr>
        </w:r>
        <w:r w:rsidR="00DF521C" w:rsidRPr="00DF521C">
          <w:rPr>
            <w:rFonts w:ascii="Tahoma" w:hAnsi="Tahoma" w:cs="Tahoma"/>
            <w:noProof/>
            <w:webHidden/>
            <w:sz w:val="24"/>
            <w:szCs w:val="24"/>
          </w:rPr>
          <w:fldChar w:fldCharType="separate"/>
        </w:r>
        <w:r w:rsidR="00124AFB">
          <w:rPr>
            <w:rFonts w:ascii="Tahoma" w:hAnsi="Tahoma" w:cs="Tahoma"/>
            <w:noProof/>
            <w:webHidden/>
            <w:sz w:val="24"/>
            <w:szCs w:val="24"/>
          </w:rPr>
          <w:t>95</w:t>
        </w:r>
        <w:r w:rsidR="00DF521C" w:rsidRPr="00DF521C">
          <w:rPr>
            <w:rFonts w:ascii="Tahoma" w:hAnsi="Tahoma" w:cs="Tahoma"/>
            <w:noProof/>
            <w:webHidden/>
            <w:sz w:val="24"/>
            <w:szCs w:val="24"/>
          </w:rPr>
          <w:fldChar w:fldCharType="end"/>
        </w:r>
      </w:hyperlink>
    </w:p>
    <w:p w:rsidR="00DF521C" w:rsidRPr="00DF521C" w:rsidRDefault="00642CE5" w:rsidP="00DF521C">
      <w:pPr>
        <w:pStyle w:val="Tabledesillustrations"/>
        <w:tabs>
          <w:tab w:val="right" w:leader="dot" w:pos="9346"/>
        </w:tabs>
        <w:spacing w:line="360" w:lineRule="auto"/>
        <w:jc w:val="both"/>
        <w:rPr>
          <w:rFonts w:ascii="Tahoma" w:eastAsiaTheme="minorEastAsia" w:hAnsi="Tahoma" w:cs="Tahoma"/>
          <w:noProof/>
          <w:sz w:val="24"/>
          <w:szCs w:val="24"/>
          <w:lang w:eastAsia="fr-FR"/>
        </w:rPr>
      </w:pPr>
      <w:hyperlink w:anchor="_Toc203642796" w:history="1">
        <w:r w:rsidR="00DF521C" w:rsidRPr="00DF521C">
          <w:rPr>
            <w:rStyle w:val="Lienhypertexte"/>
            <w:rFonts w:ascii="Tahoma" w:hAnsi="Tahoma" w:cs="Tahoma"/>
            <w:noProof/>
            <w:sz w:val="24"/>
            <w:szCs w:val="24"/>
          </w:rPr>
          <w:t>Figure 4 : Stratégie de prévention et de lutte contre les incendies de forêts</w:t>
        </w:r>
        <w:r w:rsidR="00DF521C" w:rsidRPr="00DF521C">
          <w:rPr>
            <w:rFonts w:ascii="Tahoma" w:hAnsi="Tahoma" w:cs="Tahoma"/>
            <w:noProof/>
            <w:webHidden/>
            <w:sz w:val="24"/>
            <w:szCs w:val="24"/>
          </w:rPr>
          <w:tab/>
        </w:r>
        <w:r w:rsidR="00DF521C" w:rsidRPr="00DF521C">
          <w:rPr>
            <w:rFonts w:ascii="Tahoma" w:hAnsi="Tahoma" w:cs="Tahoma"/>
            <w:noProof/>
            <w:webHidden/>
            <w:sz w:val="24"/>
            <w:szCs w:val="24"/>
          </w:rPr>
          <w:fldChar w:fldCharType="begin"/>
        </w:r>
        <w:r w:rsidR="00DF521C" w:rsidRPr="00DF521C">
          <w:rPr>
            <w:rFonts w:ascii="Tahoma" w:hAnsi="Tahoma" w:cs="Tahoma"/>
            <w:noProof/>
            <w:webHidden/>
            <w:sz w:val="24"/>
            <w:szCs w:val="24"/>
          </w:rPr>
          <w:instrText xml:space="preserve"> PAGEREF _Toc203642796 \h </w:instrText>
        </w:r>
        <w:r w:rsidR="00DF521C" w:rsidRPr="00DF521C">
          <w:rPr>
            <w:rFonts w:ascii="Tahoma" w:hAnsi="Tahoma" w:cs="Tahoma"/>
            <w:noProof/>
            <w:webHidden/>
            <w:sz w:val="24"/>
            <w:szCs w:val="24"/>
          </w:rPr>
        </w:r>
        <w:r w:rsidR="00DF521C" w:rsidRPr="00DF521C">
          <w:rPr>
            <w:rFonts w:ascii="Tahoma" w:hAnsi="Tahoma" w:cs="Tahoma"/>
            <w:noProof/>
            <w:webHidden/>
            <w:sz w:val="24"/>
            <w:szCs w:val="24"/>
          </w:rPr>
          <w:fldChar w:fldCharType="separate"/>
        </w:r>
        <w:r w:rsidR="00124AFB">
          <w:rPr>
            <w:rFonts w:ascii="Tahoma" w:hAnsi="Tahoma" w:cs="Tahoma"/>
            <w:noProof/>
            <w:webHidden/>
            <w:sz w:val="24"/>
            <w:szCs w:val="24"/>
          </w:rPr>
          <w:t>97</w:t>
        </w:r>
        <w:r w:rsidR="00DF521C" w:rsidRPr="00DF521C">
          <w:rPr>
            <w:rFonts w:ascii="Tahoma" w:hAnsi="Tahoma" w:cs="Tahoma"/>
            <w:noProof/>
            <w:webHidden/>
            <w:sz w:val="24"/>
            <w:szCs w:val="24"/>
          </w:rPr>
          <w:fldChar w:fldCharType="end"/>
        </w:r>
      </w:hyperlink>
    </w:p>
    <w:p w:rsidR="00DF521C" w:rsidRPr="00DF521C" w:rsidRDefault="00642CE5" w:rsidP="00DF521C">
      <w:pPr>
        <w:pStyle w:val="Tabledesillustrations"/>
        <w:tabs>
          <w:tab w:val="right" w:leader="dot" w:pos="9346"/>
        </w:tabs>
        <w:spacing w:line="360" w:lineRule="auto"/>
        <w:jc w:val="both"/>
        <w:rPr>
          <w:rFonts w:ascii="Tahoma" w:eastAsiaTheme="minorEastAsia" w:hAnsi="Tahoma" w:cs="Tahoma"/>
          <w:noProof/>
          <w:sz w:val="24"/>
          <w:szCs w:val="24"/>
          <w:lang w:eastAsia="fr-FR"/>
        </w:rPr>
      </w:pPr>
      <w:hyperlink w:anchor="_Toc203642797" w:history="1">
        <w:r w:rsidR="00DF521C" w:rsidRPr="00DF521C">
          <w:rPr>
            <w:rStyle w:val="Lienhypertexte"/>
            <w:rFonts w:ascii="Tahoma" w:hAnsi="Tahoma" w:cs="Tahoma"/>
            <w:noProof/>
            <w:sz w:val="24"/>
            <w:szCs w:val="24"/>
          </w:rPr>
          <w:t>Figure 5 : Axes majeurs de la nouvelle stratégie « Forêts du Maroc 2020-2030 »</w:t>
        </w:r>
        <w:r w:rsidR="00DF521C" w:rsidRPr="00DF521C">
          <w:rPr>
            <w:rFonts w:ascii="Tahoma" w:hAnsi="Tahoma" w:cs="Tahoma"/>
            <w:noProof/>
            <w:webHidden/>
            <w:sz w:val="24"/>
            <w:szCs w:val="24"/>
          </w:rPr>
          <w:tab/>
        </w:r>
        <w:r w:rsidR="00DF521C" w:rsidRPr="00DF521C">
          <w:rPr>
            <w:rFonts w:ascii="Tahoma" w:hAnsi="Tahoma" w:cs="Tahoma"/>
            <w:noProof/>
            <w:webHidden/>
            <w:sz w:val="24"/>
            <w:szCs w:val="24"/>
          </w:rPr>
          <w:fldChar w:fldCharType="begin"/>
        </w:r>
        <w:r w:rsidR="00DF521C" w:rsidRPr="00DF521C">
          <w:rPr>
            <w:rFonts w:ascii="Tahoma" w:hAnsi="Tahoma" w:cs="Tahoma"/>
            <w:noProof/>
            <w:webHidden/>
            <w:sz w:val="24"/>
            <w:szCs w:val="24"/>
          </w:rPr>
          <w:instrText xml:space="preserve"> PAGEREF _Toc203642797 \h </w:instrText>
        </w:r>
        <w:r w:rsidR="00DF521C" w:rsidRPr="00DF521C">
          <w:rPr>
            <w:rFonts w:ascii="Tahoma" w:hAnsi="Tahoma" w:cs="Tahoma"/>
            <w:noProof/>
            <w:webHidden/>
            <w:sz w:val="24"/>
            <w:szCs w:val="24"/>
          </w:rPr>
        </w:r>
        <w:r w:rsidR="00DF521C" w:rsidRPr="00DF521C">
          <w:rPr>
            <w:rFonts w:ascii="Tahoma" w:hAnsi="Tahoma" w:cs="Tahoma"/>
            <w:noProof/>
            <w:webHidden/>
            <w:sz w:val="24"/>
            <w:szCs w:val="24"/>
          </w:rPr>
          <w:fldChar w:fldCharType="separate"/>
        </w:r>
        <w:r w:rsidR="00124AFB">
          <w:rPr>
            <w:rFonts w:ascii="Tahoma" w:hAnsi="Tahoma" w:cs="Tahoma"/>
            <w:noProof/>
            <w:webHidden/>
            <w:sz w:val="24"/>
            <w:szCs w:val="24"/>
          </w:rPr>
          <w:t>102</w:t>
        </w:r>
        <w:r w:rsidR="00DF521C" w:rsidRPr="00DF521C">
          <w:rPr>
            <w:rFonts w:ascii="Tahoma" w:hAnsi="Tahoma" w:cs="Tahoma"/>
            <w:noProof/>
            <w:webHidden/>
            <w:sz w:val="24"/>
            <w:szCs w:val="24"/>
          </w:rPr>
          <w:fldChar w:fldCharType="end"/>
        </w:r>
      </w:hyperlink>
    </w:p>
    <w:p w:rsidR="00DF521C" w:rsidRPr="00DF521C" w:rsidRDefault="00642CE5" w:rsidP="00DF521C">
      <w:pPr>
        <w:pStyle w:val="Tabledesillustrations"/>
        <w:tabs>
          <w:tab w:val="right" w:leader="dot" w:pos="9346"/>
        </w:tabs>
        <w:spacing w:line="360" w:lineRule="auto"/>
        <w:jc w:val="both"/>
        <w:rPr>
          <w:rFonts w:ascii="Tahoma" w:eastAsiaTheme="minorEastAsia" w:hAnsi="Tahoma" w:cs="Tahoma"/>
          <w:noProof/>
          <w:sz w:val="24"/>
          <w:szCs w:val="24"/>
          <w:lang w:eastAsia="fr-FR"/>
        </w:rPr>
      </w:pPr>
      <w:hyperlink w:anchor="_Toc203642798" w:history="1">
        <w:r w:rsidR="00DF521C" w:rsidRPr="00DF521C">
          <w:rPr>
            <w:rStyle w:val="Lienhypertexte"/>
            <w:rFonts w:ascii="Tahoma" w:hAnsi="Tahoma" w:cs="Tahoma"/>
            <w:noProof/>
            <w:sz w:val="24"/>
            <w:szCs w:val="24"/>
          </w:rPr>
          <w:t>Figure 6 : Organigramme administratif de l'ANEF</w:t>
        </w:r>
        <w:r w:rsidR="00DF521C" w:rsidRPr="00DF521C">
          <w:rPr>
            <w:rFonts w:ascii="Tahoma" w:hAnsi="Tahoma" w:cs="Tahoma"/>
            <w:noProof/>
            <w:webHidden/>
            <w:sz w:val="24"/>
            <w:szCs w:val="24"/>
          </w:rPr>
          <w:tab/>
        </w:r>
        <w:r w:rsidR="00DF521C" w:rsidRPr="00DF521C">
          <w:rPr>
            <w:rFonts w:ascii="Tahoma" w:hAnsi="Tahoma" w:cs="Tahoma"/>
            <w:noProof/>
            <w:webHidden/>
            <w:sz w:val="24"/>
            <w:szCs w:val="24"/>
          </w:rPr>
          <w:fldChar w:fldCharType="begin"/>
        </w:r>
        <w:r w:rsidR="00DF521C" w:rsidRPr="00DF521C">
          <w:rPr>
            <w:rFonts w:ascii="Tahoma" w:hAnsi="Tahoma" w:cs="Tahoma"/>
            <w:noProof/>
            <w:webHidden/>
            <w:sz w:val="24"/>
            <w:szCs w:val="24"/>
          </w:rPr>
          <w:instrText xml:space="preserve"> PAGEREF _Toc203642798 \h </w:instrText>
        </w:r>
        <w:r w:rsidR="00DF521C" w:rsidRPr="00DF521C">
          <w:rPr>
            <w:rFonts w:ascii="Tahoma" w:hAnsi="Tahoma" w:cs="Tahoma"/>
            <w:noProof/>
            <w:webHidden/>
            <w:sz w:val="24"/>
            <w:szCs w:val="24"/>
          </w:rPr>
        </w:r>
        <w:r w:rsidR="00DF521C" w:rsidRPr="00DF521C">
          <w:rPr>
            <w:rFonts w:ascii="Tahoma" w:hAnsi="Tahoma" w:cs="Tahoma"/>
            <w:noProof/>
            <w:webHidden/>
            <w:sz w:val="24"/>
            <w:szCs w:val="24"/>
          </w:rPr>
          <w:fldChar w:fldCharType="separate"/>
        </w:r>
        <w:r w:rsidR="00124AFB">
          <w:rPr>
            <w:rFonts w:ascii="Tahoma" w:hAnsi="Tahoma" w:cs="Tahoma"/>
            <w:noProof/>
            <w:webHidden/>
            <w:sz w:val="24"/>
            <w:szCs w:val="24"/>
          </w:rPr>
          <w:t>118</w:t>
        </w:r>
        <w:r w:rsidR="00DF521C" w:rsidRPr="00DF521C">
          <w:rPr>
            <w:rFonts w:ascii="Tahoma" w:hAnsi="Tahoma" w:cs="Tahoma"/>
            <w:noProof/>
            <w:webHidden/>
            <w:sz w:val="24"/>
            <w:szCs w:val="24"/>
          </w:rPr>
          <w:fldChar w:fldCharType="end"/>
        </w:r>
      </w:hyperlink>
    </w:p>
    <w:p w:rsidR="00DF521C" w:rsidRPr="00DF521C" w:rsidRDefault="00642CE5" w:rsidP="00DF521C">
      <w:pPr>
        <w:pStyle w:val="Tabledesillustrations"/>
        <w:tabs>
          <w:tab w:val="right" w:leader="dot" w:pos="9346"/>
        </w:tabs>
        <w:spacing w:line="360" w:lineRule="auto"/>
        <w:jc w:val="both"/>
        <w:rPr>
          <w:rFonts w:ascii="Tahoma" w:eastAsiaTheme="minorEastAsia" w:hAnsi="Tahoma" w:cs="Tahoma"/>
          <w:noProof/>
          <w:sz w:val="24"/>
          <w:szCs w:val="24"/>
          <w:lang w:eastAsia="fr-FR"/>
        </w:rPr>
      </w:pPr>
      <w:hyperlink r:id="rId82" w:anchor="_Toc203642799" w:history="1">
        <w:r w:rsidR="00DF521C" w:rsidRPr="00DF521C">
          <w:rPr>
            <w:rStyle w:val="Lienhypertexte"/>
            <w:rFonts w:ascii="Tahoma" w:hAnsi="Tahoma" w:cs="Tahoma"/>
            <w:noProof/>
            <w:sz w:val="24"/>
            <w:szCs w:val="24"/>
          </w:rPr>
          <w:t>Figure 7  : Cérémonie de sortie de la 8</w:t>
        </w:r>
        <w:r w:rsidR="00DF521C" w:rsidRPr="00DF521C">
          <w:rPr>
            <w:rStyle w:val="Lienhypertexte"/>
            <w:rFonts w:ascii="Tahoma" w:hAnsi="Tahoma" w:cs="Tahoma"/>
            <w:noProof/>
            <w:sz w:val="24"/>
            <w:szCs w:val="24"/>
            <w:vertAlign w:val="superscript"/>
          </w:rPr>
          <w:t>ème</w:t>
        </w:r>
        <w:r w:rsidR="00DF521C" w:rsidRPr="00DF521C">
          <w:rPr>
            <w:rStyle w:val="Lienhypertexte"/>
            <w:rFonts w:ascii="Tahoma" w:hAnsi="Tahoma" w:cs="Tahoma"/>
            <w:noProof/>
            <w:sz w:val="24"/>
            <w:szCs w:val="24"/>
          </w:rPr>
          <w:t xml:space="preserve"> promotion d'ingénieurs en juillet 1977</w:t>
        </w:r>
        <w:r w:rsidR="00DF521C" w:rsidRPr="00DF521C">
          <w:rPr>
            <w:rFonts w:ascii="Tahoma" w:hAnsi="Tahoma" w:cs="Tahoma"/>
            <w:noProof/>
            <w:webHidden/>
            <w:sz w:val="24"/>
            <w:szCs w:val="24"/>
          </w:rPr>
          <w:tab/>
        </w:r>
        <w:r w:rsidR="00DF521C" w:rsidRPr="00DF521C">
          <w:rPr>
            <w:rFonts w:ascii="Tahoma" w:hAnsi="Tahoma" w:cs="Tahoma"/>
            <w:noProof/>
            <w:webHidden/>
            <w:sz w:val="24"/>
            <w:szCs w:val="24"/>
          </w:rPr>
          <w:fldChar w:fldCharType="begin"/>
        </w:r>
        <w:r w:rsidR="00DF521C" w:rsidRPr="00DF521C">
          <w:rPr>
            <w:rFonts w:ascii="Tahoma" w:hAnsi="Tahoma" w:cs="Tahoma"/>
            <w:noProof/>
            <w:webHidden/>
            <w:sz w:val="24"/>
            <w:szCs w:val="24"/>
          </w:rPr>
          <w:instrText xml:space="preserve"> PAGEREF _Toc203642799 \h </w:instrText>
        </w:r>
        <w:r w:rsidR="00DF521C" w:rsidRPr="00DF521C">
          <w:rPr>
            <w:rFonts w:ascii="Tahoma" w:hAnsi="Tahoma" w:cs="Tahoma"/>
            <w:noProof/>
            <w:webHidden/>
            <w:sz w:val="24"/>
            <w:szCs w:val="24"/>
          </w:rPr>
        </w:r>
        <w:r w:rsidR="00DF521C" w:rsidRPr="00DF521C">
          <w:rPr>
            <w:rFonts w:ascii="Tahoma" w:hAnsi="Tahoma" w:cs="Tahoma"/>
            <w:noProof/>
            <w:webHidden/>
            <w:sz w:val="24"/>
            <w:szCs w:val="24"/>
          </w:rPr>
          <w:fldChar w:fldCharType="separate"/>
        </w:r>
        <w:r w:rsidR="00124AFB">
          <w:rPr>
            <w:rFonts w:ascii="Tahoma" w:hAnsi="Tahoma" w:cs="Tahoma"/>
            <w:noProof/>
            <w:webHidden/>
            <w:sz w:val="24"/>
            <w:szCs w:val="24"/>
          </w:rPr>
          <w:t>129</w:t>
        </w:r>
        <w:r w:rsidR="00DF521C" w:rsidRPr="00DF521C">
          <w:rPr>
            <w:rFonts w:ascii="Tahoma" w:hAnsi="Tahoma" w:cs="Tahoma"/>
            <w:noProof/>
            <w:webHidden/>
            <w:sz w:val="24"/>
            <w:szCs w:val="24"/>
          </w:rPr>
          <w:fldChar w:fldCharType="end"/>
        </w:r>
      </w:hyperlink>
    </w:p>
    <w:p w:rsidR="00DF521C" w:rsidRPr="00DF521C" w:rsidRDefault="00642CE5" w:rsidP="00DF521C">
      <w:pPr>
        <w:pStyle w:val="Tabledesillustrations"/>
        <w:tabs>
          <w:tab w:val="right" w:leader="dot" w:pos="9346"/>
        </w:tabs>
        <w:spacing w:line="360" w:lineRule="auto"/>
        <w:jc w:val="both"/>
        <w:rPr>
          <w:rFonts w:ascii="Tahoma" w:eastAsiaTheme="minorEastAsia" w:hAnsi="Tahoma" w:cs="Tahoma"/>
          <w:noProof/>
          <w:sz w:val="24"/>
          <w:szCs w:val="24"/>
          <w:lang w:eastAsia="fr-FR"/>
        </w:rPr>
      </w:pPr>
      <w:hyperlink w:anchor="_Toc203642800" w:history="1">
        <w:r w:rsidR="00DF521C" w:rsidRPr="00DF521C">
          <w:rPr>
            <w:rStyle w:val="Lienhypertexte"/>
            <w:rFonts w:ascii="Tahoma" w:hAnsi="Tahoma" w:cs="Tahoma"/>
            <w:noProof/>
            <w:sz w:val="24"/>
            <w:szCs w:val="24"/>
          </w:rPr>
          <w:t>Figure 8 : Organigramme de l'ENFI</w:t>
        </w:r>
        <w:r w:rsidR="00DF521C" w:rsidRPr="00DF521C">
          <w:rPr>
            <w:rFonts w:ascii="Tahoma" w:hAnsi="Tahoma" w:cs="Tahoma"/>
            <w:noProof/>
            <w:webHidden/>
            <w:sz w:val="24"/>
            <w:szCs w:val="24"/>
          </w:rPr>
          <w:tab/>
        </w:r>
        <w:r w:rsidR="00DF521C" w:rsidRPr="00DF521C">
          <w:rPr>
            <w:rFonts w:ascii="Tahoma" w:hAnsi="Tahoma" w:cs="Tahoma"/>
            <w:noProof/>
            <w:webHidden/>
            <w:sz w:val="24"/>
            <w:szCs w:val="24"/>
          </w:rPr>
          <w:fldChar w:fldCharType="begin"/>
        </w:r>
        <w:r w:rsidR="00DF521C" w:rsidRPr="00DF521C">
          <w:rPr>
            <w:rFonts w:ascii="Tahoma" w:hAnsi="Tahoma" w:cs="Tahoma"/>
            <w:noProof/>
            <w:webHidden/>
            <w:sz w:val="24"/>
            <w:szCs w:val="24"/>
          </w:rPr>
          <w:instrText xml:space="preserve"> PAGEREF _Toc203642800 \h </w:instrText>
        </w:r>
        <w:r w:rsidR="00DF521C" w:rsidRPr="00DF521C">
          <w:rPr>
            <w:rFonts w:ascii="Tahoma" w:hAnsi="Tahoma" w:cs="Tahoma"/>
            <w:noProof/>
            <w:webHidden/>
            <w:sz w:val="24"/>
            <w:szCs w:val="24"/>
          </w:rPr>
        </w:r>
        <w:r w:rsidR="00DF521C" w:rsidRPr="00DF521C">
          <w:rPr>
            <w:rFonts w:ascii="Tahoma" w:hAnsi="Tahoma" w:cs="Tahoma"/>
            <w:noProof/>
            <w:webHidden/>
            <w:sz w:val="24"/>
            <w:szCs w:val="24"/>
          </w:rPr>
          <w:fldChar w:fldCharType="separate"/>
        </w:r>
        <w:r w:rsidR="00124AFB">
          <w:rPr>
            <w:rFonts w:ascii="Tahoma" w:hAnsi="Tahoma" w:cs="Tahoma"/>
            <w:noProof/>
            <w:webHidden/>
            <w:sz w:val="24"/>
            <w:szCs w:val="24"/>
          </w:rPr>
          <w:t>132</w:t>
        </w:r>
        <w:r w:rsidR="00DF521C" w:rsidRPr="00DF521C">
          <w:rPr>
            <w:rFonts w:ascii="Tahoma" w:hAnsi="Tahoma" w:cs="Tahoma"/>
            <w:noProof/>
            <w:webHidden/>
            <w:sz w:val="24"/>
            <w:szCs w:val="24"/>
          </w:rPr>
          <w:fldChar w:fldCharType="end"/>
        </w:r>
      </w:hyperlink>
    </w:p>
    <w:p w:rsidR="00DF521C" w:rsidRPr="00DF521C" w:rsidRDefault="00642CE5" w:rsidP="00DF521C">
      <w:pPr>
        <w:pStyle w:val="Tabledesillustrations"/>
        <w:tabs>
          <w:tab w:val="right" w:leader="dot" w:pos="9346"/>
        </w:tabs>
        <w:spacing w:line="360" w:lineRule="auto"/>
        <w:jc w:val="both"/>
        <w:rPr>
          <w:rFonts w:ascii="Tahoma" w:eastAsiaTheme="minorEastAsia" w:hAnsi="Tahoma" w:cs="Tahoma"/>
          <w:noProof/>
          <w:sz w:val="24"/>
          <w:szCs w:val="24"/>
          <w:lang w:eastAsia="fr-FR"/>
        </w:rPr>
      </w:pPr>
      <w:hyperlink r:id="rId83" w:anchor="_Toc203642801" w:history="1">
        <w:r w:rsidR="00DF521C" w:rsidRPr="00DF521C">
          <w:rPr>
            <w:rStyle w:val="Lienhypertexte"/>
            <w:rFonts w:ascii="Tahoma" w:hAnsi="Tahoma" w:cs="Tahoma"/>
            <w:noProof/>
            <w:sz w:val="24"/>
            <w:szCs w:val="24"/>
          </w:rPr>
          <w:t>Figure 9 : Photo témoignant la surexploitation de la forêt de Senoual</w:t>
        </w:r>
        <w:r w:rsidR="00DF521C" w:rsidRPr="00DF521C">
          <w:rPr>
            <w:rFonts w:ascii="Tahoma" w:hAnsi="Tahoma" w:cs="Tahoma"/>
            <w:noProof/>
            <w:webHidden/>
            <w:sz w:val="24"/>
            <w:szCs w:val="24"/>
          </w:rPr>
          <w:tab/>
        </w:r>
        <w:r w:rsidR="00DF521C" w:rsidRPr="00DF521C">
          <w:rPr>
            <w:rFonts w:ascii="Tahoma" w:hAnsi="Tahoma" w:cs="Tahoma"/>
            <w:noProof/>
            <w:webHidden/>
            <w:sz w:val="24"/>
            <w:szCs w:val="24"/>
          </w:rPr>
          <w:fldChar w:fldCharType="begin"/>
        </w:r>
        <w:r w:rsidR="00DF521C" w:rsidRPr="00DF521C">
          <w:rPr>
            <w:rFonts w:ascii="Tahoma" w:hAnsi="Tahoma" w:cs="Tahoma"/>
            <w:noProof/>
            <w:webHidden/>
            <w:sz w:val="24"/>
            <w:szCs w:val="24"/>
          </w:rPr>
          <w:instrText xml:space="preserve"> PAGEREF _Toc203642801 \h </w:instrText>
        </w:r>
        <w:r w:rsidR="00DF521C" w:rsidRPr="00DF521C">
          <w:rPr>
            <w:rFonts w:ascii="Tahoma" w:hAnsi="Tahoma" w:cs="Tahoma"/>
            <w:noProof/>
            <w:webHidden/>
            <w:sz w:val="24"/>
            <w:szCs w:val="24"/>
          </w:rPr>
        </w:r>
        <w:r w:rsidR="00DF521C" w:rsidRPr="00DF521C">
          <w:rPr>
            <w:rFonts w:ascii="Tahoma" w:hAnsi="Tahoma" w:cs="Tahoma"/>
            <w:noProof/>
            <w:webHidden/>
            <w:sz w:val="24"/>
            <w:szCs w:val="24"/>
          </w:rPr>
          <w:fldChar w:fldCharType="separate"/>
        </w:r>
        <w:r w:rsidR="00124AFB">
          <w:rPr>
            <w:rFonts w:ascii="Tahoma" w:hAnsi="Tahoma" w:cs="Tahoma"/>
            <w:noProof/>
            <w:webHidden/>
            <w:sz w:val="24"/>
            <w:szCs w:val="24"/>
          </w:rPr>
          <w:t>137</w:t>
        </w:r>
        <w:r w:rsidR="00DF521C" w:rsidRPr="00DF521C">
          <w:rPr>
            <w:rFonts w:ascii="Tahoma" w:hAnsi="Tahoma" w:cs="Tahoma"/>
            <w:noProof/>
            <w:webHidden/>
            <w:sz w:val="24"/>
            <w:szCs w:val="24"/>
          </w:rPr>
          <w:fldChar w:fldCharType="end"/>
        </w:r>
      </w:hyperlink>
    </w:p>
    <w:p w:rsidR="00DF521C" w:rsidRPr="00DF521C" w:rsidRDefault="00642CE5" w:rsidP="00DF521C">
      <w:pPr>
        <w:pStyle w:val="Tabledesillustrations"/>
        <w:tabs>
          <w:tab w:val="right" w:leader="dot" w:pos="9346"/>
        </w:tabs>
        <w:spacing w:line="360" w:lineRule="auto"/>
        <w:jc w:val="both"/>
        <w:rPr>
          <w:rFonts w:ascii="Tahoma" w:eastAsiaTheme="minorEastAsia" w:hAnsi="Tahoma" w:cs="Tahoma"/>
          <w:noProof/>
          <w:sz w:val="24"/>
          <w:szCs w:val="24"/>
          <w:lang w:eastAsia="fr-FR"/>
        </w:rPr>
      </w:pPr>
      <w:hyperlink w:anchor="_Toc203642802" w:history="1">
        <w:r w:rsidR="00DF521C" w:rsidRPr="00DF521C">
          <w:rPr>
            <w:rStyle w:val="Lienhypertexte"/>
            <w:rFonts w:ascii="Tahoma" w:hAnsi="Tahoma" w:cs="Tahoma"/>
            <w:noProof/>
            <w:sz w:val="24"/>
            <w:szCs w:val="24"/>
          </w:rPr>
          <w:t>Figure 10 : Relation « écologie-économie » en forêt</w:t>
        </w:r>
        <w:r w:rsidR="00DF521C" w:rsidRPr="00DF521C">
          <w:rPr>
            <w:rFonts w:ascii="Tahoma" w:hAnsi="Tahoma" w:cs="Tahoma"/>
            <w:noProof/>
            <w:webHidden/>
            <w:sz w:val="24"/>
            <w:szCs w:val="24"/>
          </w:rPr>
          <w:tab/>
        </w:r>
        <w:r w:rsidR="00DF521C" w:rsidRPr="00DF521C">
          <w:rPr>
            <w:rFonts w:ascii="Tahoma" w:hAnsi="Tahoma" w:cs="Tahoma"/>
            <w:noProof/>
            <w:webHidden/>
            <w:sz w:val="24"/>
            <w:szCs w:val="24"/>
          </w:rPr>
          <w:fldChar w:fldCharType="begin"/>
        </w:r>
        <w:r w:rsidR="00DF521C" w:rsidRPr="00DF521C">
          <w:rPr>
            <w:rFonts w:ascii="Tahoma" w:hAnsi="Tahoma" w:cs="Tahoma"/>
            <w:noProof/>
            <w:webHidden/>
            <w:sz w:val="24"/>
            <w:szCs w:val="24"/>
          </w:rPr>
          <w:instrText xml:space="preserve"> PAGEREF _Toc203642802 \h </w:instrText>
        </w:r>
        <w:r w:rsidR="00DF521C" w:rsidRPr="00DF521C">
          <w:rPr>
            <w:rFonts w:ascii="Tahoma" w:hAnsi="Tahoma" w:cs="Tahoma"/>
            <w:noProof/>
            <w:webHidden/>
            <w:sz w:val="24"/>
            <w:szCs w:val="24"/>
          </w:rPr>
        </w:r>
        <w:r w:rsidR="00DF521C" w:rsidRPr="00DF521C">
          <w:rPr>
            <w:rFonts w:ascii="Tahoma" w:hAnsi="Tahoma" w:cs="Tahoma"/>
            <w:noProof/>
            <w:webHidden/>
            <w:sz w:val="24"/>
            <w:szCs w:val="24"/>
          </w:rPr>
          <w:fldChar w:fldCharType="separate"/>
        </w:r>
        <w:r w:rsidR="00124AFB">
          <w:rPr>
            <w:rFonts w:ascii="Tahoma" w:hAnsi="Tahoma" w:cs="Tahoma"/>
            <w:noProof/>
            <w:webHidden/>
            <w:sz w:val="24"/>
            <w:szCs w:val="24"/>
          </w:rPr>
          <w:t>144</w:t>
        </w:r>
        <w:r w:rsidR="00DF521C" w:rsidRPr="00DF521C">
          <w:rPr>
            <w:rFonts w:ascii="Tahoma" w:hAnsi="Tahoma" w:cs="Tahoma"/>
            <w:noProof/>
            <w:webHidden/>
            <w:sz w:val="24"/>
            <w:szCs w:val="24"/>
          </w:rPr>
          <w:fldChar w:fldCharType="end"/>
        </w:r>
      </w:hyperlink>
    </w:p>
    <w:p w:rsidR="00DF521C" w:rsidRPr="00DF521C" w:rsidRDefault="00642CE5" w:rsidP="00DF521C">
      <w:pPr>
        <w:pStyle w:val="Tabledesillustrations"/>
        <w:tabs>
          <w:tab w:val="right" w:leader="dot" w:pos="9346"/>
        </w:tabs>
        <w:spacing w:line="360" w:lineRule="auto"/>
        <w:jc w:val="both"/>
        <w:rPr>
          <w:rFonts w:ascii="Tahoma" w:eastAsiaTheme="minorEastAsia" w:hAnsi="Tahoma" w:cs="Tahoma"/>
          <w:noProof/>
          <w:sz w:val="24"/>
          <w:szCs w:val="24"/>
          <w:lang w:eastAsia="fr-FR"/>
        </w:rPr>
      </w:pPr>
      <w:hyperlink w:anchor="_Toc203642803" w:history="1">
        <w:r w:rsidR="00DF521C" w:rsidRPr="00DF521C">
          <w:rPr>
            <w:rStyle w:val="Lienhypertexte"/>
            <w:rFonts w:ascii="Tahoma" w:hAnsi="Tahoma" w:cs="Tahoma"/>
            <w:noProof/>
            <w:sz w:val="24"/>
            <w:szCs w:val="24"/>
          </w:rPr>
          <w:t>Figure 11 : Répartition des surfaces forestières marocaines</w:t>
        </w:r>
        <w:r w:rsidR="00DF521C" w:rsidRPr="00DF521C">
          <w:rPr>
            <w:rFonts w:ascii="Tahoma" w:hAnsi="Tahoma" w:cs="Tahoma"/>
            <w:noProof/>
            <w:webHidden/>
            <w:sz w:val="24"/>
            <w:szCs w:val="24"/>
          </w:rPr>
          <w:tab/>
        </w:r>
        <w:r w:rsidR="00DF521C" w:rsidRPr="00DF521C">
          <w:rPr>
            <w:rFonts w:ascii="Tahoma" w:hAnsi="Tahoma" w:cs="Tahoma"/>
            <w:noProof/>
            <w:webHidden/>
            <w:sz w:val="24"/>
            <w:szCs w:val="24"/>
          </w:rPr>
          <w:fldChar w:fldCharType="begin"/>
        </w:r>
        <w:r w:rsidR="00DF521C" w:rsidRPr="00DF521C">
          <w:rPr>
            <w:rFonts w:ascii="Tahoma" w:hAnsi="Tahoma" w:cs="Tahoma"/>
            <w:noProof/>
            <w:webHidden/>
            <w:sz w:val="24"/>
            <w:szCs w:val="24"/>
          </w:rPr>
          <w:instrText xml:space="preserve"> PAGEREF _Toc203642803 \h </w:instrText>
        </w:r>
        <w:r w:rsidR="00DF521C" w:rsidRPr="00DF521C">
          <w:rPr>
            <w:rFonts w:ascii="Tahoma" w:hAnsi="Tahoma" w:cs="Tahoma"/>
            <w:noProof/>
            <w:webHidden/>
            <w:sz w:val="24"/>
            <w:szCs w:val="24"/>
          </w:rPr>
        </w:r>
        <w:r w:rsidR="00DF521C" w:rsidRPr="00DF521C">
          <w:rPr>
            <w:rFonts w:ascii="Tahoma" w:hAnsi="Tahoma" w:cs="Tahoma"/>
            <w:noProof/>
            <w:webHidden/>
            <w:sz w:val="24"/>
            <w:szCs w:val="24"/>
          </w:rPr>
          <w:fldChar w:fldCharType="separate"/>
        </w:r>
        <w:r w:rsidR="00124AFB">
          <w:rPr>
            <w:rFonts w:ascii="Tahoma" w:hAnsi="Tahoma" w:cs="Tahoma"/>
            <w:noProof/>
            <w:webHidden/>
            <w:sz w:val="24"/>
            <w:szCs w:val="24"/>
          </w:rPr>
          <w:t>149</w:t>
        </w:r>
        <w:r w:rsidR="00DF521C" w:rsidRPr="00DF521C">
          <w:rPr>
            <w:rFonts w:ascii="Tahoma" w:hAnsi="Tahoma" w:cs="Tahoma"/>
            <w:noProof/>
            <w:webHidden/>
            <w:sz w:val="24"/>
            <w:szCs w:val="24"/>
          </w:rPr>
          <w:fldChar w:fldCharType="end"/>
        </w:r>
      </w:hyperlink>
    </w:p>
    <w:p w:rsidR="00DF521C" w:rsidRPr="00DF521C" w:rsidRDefault="00642CE5" w:rsidP="00DF521C">
      <w:pPr>
        <w:pStyle w:val="Tabledesillustrations"/>
        <w:tabs>
          <w:tab w:val="right" w:leader="dot" w:pos="9346"/>
        </w:tabs>
        <w:spacing w:line="360" w:lineRule="auto"/>
        <w:jc w:val="both"/>
        <w:rPr>
          <w:rFonts w:ascii="Tahoma" w:eastAsiaTheme="minorEastAsia" w:hAnsi="Tahoma" w:cs="Tahoma"/>
          <w:noProof/>
          <w:sz w:val="24"/>
          <w:szCs w:val="24"/>
          <w:lang w:eastAsia="fr-FR"/>
        </w:rPr>
      </w:pPr>
      <w:hyperlink w:anchor="_Toc203642804" w:history="1">
        <w:r w:rsidR="00DF521C" w:rsidRPr="00DF521C">
          <w:rPr>
            <w:rStyle w:val="Lienhypertexte"/>
            <w:rFonts w:ascii="Tahoma" w:hAnsi="Tahoma" w:cs="Tahoma"/>
            <w:noProof/>
            <w:sz w:val="24"/>
            <w:szCs w:val="24"/>
          </w:rPr>
          <w:t>Figure 12 : Structure de gestion administrative de la forêt de Korifla</w:t>
        </w:r>
        <w:r w:rsidR="00DF521C" w:rsidRPr="00DF521C">
          <w:rPr>
            <w:rFonts w:ascii="Tahoma" w:hAnsi="Tahoma" w:cs="Tahoma"/>
            <w:noProof/>
            <w:webHidden/>
            <w:sz w:val="24"/>
            <w:szCs w:val="24"/>
          </w:rPr>
          <w:tab/>
        </w:r>
        <w:r w:rsidR="00DF521C" w:rsidRPr="00DF521C">
          <w:rPr>
            <w:rFonts w:ascii="Tahoma" w:hAnsi="Tahoma" w:cs="Tahoma"/>
            <w:noProof/>
            <w:webHidden/>
            <w:sz w:val="24"/>
            <w:szCs w:val="24"/>
          </w:rPr>
          <w:fldChar w:fldCharType="begin"/>
        </w:r>
        <w:r w:rsidR="00DF521C" w:rsidRPr="00DF521C">
          <w:rPr>
            <w:rFonts w:ascii="Tahoma" w:hAnsi="Tahoma" w:cs="Tahoma"/>
            <w:noProof/>
            <w:webHidden/>
            <w:sz w:val="24"/>
            <w:szCs w:val="24"/>
          </w:rPr>
          <w:instrText xml:space="preserve"> PAGEREF _Toc203642804 \h </w:instrText>
        </w:r>
        <w:r w:rsidR="00DF521C" w:rsidRPr="00DF521C">
          <w:rPr>
            <w:rFonts w:ascii="Tahoma" w:hAnsi="Tahoma" w:cs="Tahoma"/>
            <w:noProof/>
            <w:webHidden/>
            <w:sz w:val="24"/>
            <w:szCs w:val="24"/>
          </w:rPr>
        </w:r>
        <w:r w:rsidR="00DF521C" w:rsidRPr="00DF521C">
          <w:rPr>
            <w:rFonts w:ascii="Tahoma" w:hAnsi="Tahoma" w:cs="Tahoma"/>
            <w:noProof/>
            <w:webHidden/>
            <w:sz w:val="24"/>
            <w:szCs w:val="24"/>
          </w:rPr>
          <w:fldChar w:fldCharType="separate"/>
        </w:r>
        <w:r w:rsidR="00124AFB">
          <w:rPr>
            <w:rFonts w:ascii="Tahoma" w:hAnsi="Tahoma" w:cs="Tahoma"/>
            <w:noProof/>
            <w:webHidden/>
            <w:sz w:val="24"/>
            <w:szCs w:val="24"/>
          </w:rPr>
          <w:t>157</w:t>
        </w:r>
        <w:r w:rsidR="00DF521C" w:rsidRPr="00DF521C">
          <w:rPr>
            <w:rFonts w:ascii="Tahoma" w:hAnsi="Tahoma" w:cs="Tahoma"/>
            <w:noProof/>
            <w:webHidden/>
            <w:sz w:val="24"/>
            <w:szCs w:val="24"/>
          </w:rPr>
          <w:fldChar w:fldCharType="end"/>
        </w:r>
      </w:hyperlink>
    </w:p>
    <w:p w:rsidR="00DF521C" w:rsidRPr="00DF521C" w:rsidRDefault="00642CE5" w:rsidP="00DF521C">
      <w:pPr>
        <w:pStyle w:val="Tabledesillustrations"/>
        <w:tabs>
          <w:tab w:val="right" w:leader="dot" w:pos="9346"/>
        </w:tabs>
        <w:spacing w:line="360" w:lineRule="auto"/>
        <w:jc w:val="both"/>
        <w:rPr>
          <w:rFonts w:ascii="Tahoma" w:eastAsiaTheme="minorEastAsia" w:hAnsi="Tahoma" w:cs="Tahoma"/>
          <w:noProof/>
          <w:sz w:val="24"/>
          <w:szCs w:val="24"/>
          <w:lang w:eastAsia="fr-FR"/>
        </w:rPr>
      </w:pPr>
      <w:hyperlink w:anchor="_Toc203642805" w:history="1">
        <w:r w:rsidR="00DF521C" w:rsidRPr="00DF521C">
          <w:rPr>
            <w:rStyle w:val="Lienhypertexte"/>
            <w:rFonts w:ascii="Tahoma" w:hAnsi="Tahoma" w:cs="Tahoma"/>
            <w:noProof/>
            <w:sz w:val="24"/>
            <w:szCs w:val="24"/>
          </w:rPr>
          <w:t>Figure 13 </w:t>
        </w:r>
        <w:r w:rsidR="00DF521C" w:rsidRPr="00DF521C">
          <w:rPr>
            <w:rStyle w:val="Lienhypertexte"/>
            <w:rFonts w:ascii="Tahoma" w:eastAsia="Calibri" w:hAnsi="Tahoma" w:cs="Tahoma"/>
            <w:noProof/>
            <w:sz w:val="24"/>
            <w:szCs w:val="24"/>
          </w:rPr>
          <w:t>: Evolution de la dégradation du couvert forestier de Korifla sur la période 1984-2024</w:t>
        </w:r>
        <w:r w:rsidR="00DF521C" w:rsidRPr="00DF521C">
          <w:rPr>
            <w:rFonts w:ascii="Tahoma" w:hAnsi="Tahoma" w:cs="Tahoma"/>
            <w:noProof/>
            <w:webHidden/>
            <w:sz w:val="24"/>
            <w:szCs w:val="24"/>
          </w:rPr>
          <w:tab/>
        </w:r>
        <w:r w:rsidR="00DF521C" w:rsidRPr="00DF521C">
          <w:rPr>
            <w:rFonts w:ascii="Tahoma" w:hAnsi="Tahoma" w:cs="Tahoma"/>
            <w:noProof/>
            <w:webHidden/>
            <w:sz w:val="24"/>
            <w:szCs w:val="24"/>
          </w:rPr>
          <w:fldChar w:fldCharType="begin"/>
        </w:r>
        <w:r w:rsidR="00DF521C" w:rsidRPr="00DF521C">
          <w:rPr>
            <w:rFonts w:ascii="Tahoma" w:hAnsi="Tahoma" w:cs="Tahoma"/>
            <w:noProof/>
            <w:webHidden/>
            <w:sz w:val="24"/>
            <w:szCs w:val="24"/>
          </w:rPr>
          <w:instrText xml:space="preserve"> PAGEREF _Toc203642805 \h </w:instrText>
        </w:r>
        <w:r w:rsidR="00DF521C" w:rsidRPr="00DF521C">
          <w:rPr>
            <w:rFonts w:ascii="Tahoma" w:hAnsi="Tahoma" w:cs="Tahoma"/>
            <w:noProof/>
            <w:webHidden/>
            <w:sz w:val="24"/>
            <w:szCs w:val="24"/>
          </w:rPr>
        </w:r>
        <w:r w:rsidR="00DF521C" w:rsidRPr="00DF521C">
          <w:rPr>
            <w:rFonts w:ascii="Tahoma" w:hAnsi="Tahoma" w:cs="Tahoma"/>
            <w:noProof/>
            <w:webHidden/>
            <w:sz w:val="24"/>
            <w:szCs w:val="24"/>
          </w:rPr>
          <w:fldChar w:fldCharType="separate"/>
        </w:r>
        <w:r w:rsidR="00124AFB">
          <w:rPr>
            <w:rFonts w:ascii="Tahoma" w:hAnsi="Tahoma" w:cs="Tahoma"/>
            <w:noProof/>
            <w:webHidden/>
            <w:sz w:val="24"/>
            <w:szCs w:val="24"/>
          </w:rPr>
          <w:t>212</w:t>
        </w:r>
        <w:r w:rsidR="00DF521C" w:rsidRPr="00DF521C">
          <w:rPr>
            <w:rFonts w:ascii="Tahoma" w:hAnsi="Tahoma" w:cs="Tahoma"/>
            <w:noProof/>
            <w:webHidden/>
            <w:sz w:val="24"/>
            <w:szCs w:val="24"/>
          </w:rPr>
          <w:fldChar w:fldCharType="end"/>
        </w:r>
      </w:hyperlink>
    </w:p>
    <w:p w:rsidR="00DF521C" w:rsidRPr="00DF521C" w:rsidRDefault="00642CE5" w:rsidP="00DF521C">
      <w:pPr>
        <w:pStyle w:val="Tabledesillustrations"/>
        <w:tabs>
          <w:tab w:val="right" w:leader="dot" w:pos="9346"/>
        </w:tabs>
        <w:spacing w:line="360" w:lineRule="auto"/>
        <w:jc w:val="both"/>
        <w:rPr>
          <w:rFonts w:ascii="Tahoma" w:eastAsiaTheme="minorEastAsia" w:hAnsi="Tahoma" w:cs="Tahoma"/>
          <w:noProof/>
          <w:sz w:val="24"/>
          <w:szCs w:val="24"/>
          <w:lang w:eastAsia="fr-FR"/>
        </w:rPr>
      </w:pPr>
      <w:hyperlink w:anchor="_Toc203642806" w:history="1">
        <w:r w:rsidR="00DF521C" w:rsidRPr="00DF521C">
          <w:rPr>
            <w:rStyle w:val="Lienhypertexte"/>
            <w:rFonts w:ascii="Tahoma" w:hAnsi="Tahoma" w:cs="Tahoma"/>
            <w:noProof/>
            <w:sz w:val="24"/>
            <w:szCs w:val="24"/>
          </w:rPr>
          <w:t>Figure 14 : Analyse systémique des facteurs accélérateurs</w:t>
        </w:r>
        <w:r w:rsidR="00DF521C" w:rsidRPr="00DF521C">
          <w:rPr>
            <w:rFonts w:ascii="Tahoma" w:hAnsi="Tahoma" w:cs="Tahoma"/>
            <w:noProof/>
            <w:webHidden/>
            <w:sz w:val="24"/>
            <w:szCs w:val="24"/>
          </w:rPr>
          <w:tab/>
        </w:r>
        <w:r w:rsidR="00DF521C" w:rsidRPr="00DF521C">
          <w:rPr>
            <w:rFonts w:ascii="Tahoma" w:hAnsi="Tahoma" w:cs="Tahoma"/>
            <w:noProof/>
            <w:webHidden/>
            <w:sz w:val="24"/>
            <w:szCs w:val="24"/>
          </w:rPr>
          <w:fldChar w:fldCharType="begin"/>
        </w:r>
        <w:r w:rsidR="00DF521C" w:rsidRPr="00DF521C">
          <w:rPr>
            <w:rFonts w:ascii="Tahoma" w:hAnsi="Tahoma" w:cs="Tahoma"/>
            <w:noProof/>
            <w:webHidden/>
            <w:sz w:val="24"/>
            <w:szCs w:val="24"/>
          </w:rPr>
          <w:instrText xml:space="preserve"> PAGEREF _Toc203642806 \h </w:instrText>
        </w:r>
        <w:r w:rsidR="00DF521C" w:rsidRPr="00DF521C">
          <w:rPr>
            <w:rFonts w:ascii="Tahoma" w:hAnsi="Tahoma" w:cs="Tahoma"/>
            <w:noProof/>
            <w:webHidden/>
            <w:sz w:val="24"/>
            <w:szCs w:val="24"/>
          </w:rPr>
        </w:r>
        <w:r w:rsidR="00DF521C" w:rsidRPr="00DF521C">
          <w:rPr>
            <w:rFonts w:ascii="Tahoma" w:hAnsi="Tahoma" w:cs="Tahoma"/>
            <w:noProof/>
            <w:webHidden/>
            <w:sz w:val="24"/>
            <w:szCs w:val="24"/>
          </w:rPr>
          <w:fldChar w:fldCharType="separate"/>
        </w:r>
        <w:r w:rsidR="00124AFB">
          <w:rPr>
            <w:rFonts w:ascii="Tahoma" w:hAnsi="Tahoma" w:cs="Tahoma"/>
            <w:noProof/>
            <w:webHidden/>
            <w:sz w:val="24"/>
            <w:szCs w:val="24"/>
          </w:rPr>
          <w:t>315</w:t>
        </w:r>
        <w:r w:rsidR="00DF521C" w:rsidRPr="00DF521C">
          <w:rPr>
            <w:rFonts w:ascii="Tahoma" w:hAnsi="Tahoma" w:cs="Tahoma"/>
            <w:noProof/>
            <w:webHidden/>
            <w:sz w:val="24"/>
            <w:szCs w:val="24"/>
          </w:rPr>
          <w:fldChar w:fldCharType="end"/>
        </w:r>
      </w:hyperlink>
    </w:p>
    <w:p w:rsidR="00D63D38" w:rsidRDefault="0011420C" w:rsidP="00DF521C">
      <w:pPr>
        <w:pStyle w:val="Titre"/>
        <w:bidi w:val="0"/>
        <w:jc w:val="both"/>
      </w:pPr>
      <w:r w:rsidRPr="00DF521C">
        <w:rPr>
          <w:rStyle w:val="Lienhypertexte"/>
          <w:rFonts w:cs="Tahoma"/>
          <w:color w:val="734100" w:themeColor="hyperlink" w:themeShade="80"/>
          <w:sz w:val="24"/>
          <w:szCs w:val="24"/>
        </w:rPr>
        <w:fldChar w:fldCharType="end"/>
      </w:r>
      <w:r w:rsidR="00FD1D56" w:rsidRPr="002462E6">
        <w:br w:type="page"/>
      </w:r>
    </w:p>
    <w:p w:rsidR="001A36FE" w:rsidRPr="002462E6" w:rsidRDefault="001A36FE" w:rsidP="002F1A32">
      <w:pPr>
        <w:pStyle w:val="Titre"/>
      </w:pPr>
      <w:bookmarkStart w:id="499" w:name="_Toc190769622"/>
      <w:bookmarkStart w:id="500" w:name="_Toc190774761"/>
      <w:bookmarkStart w:id="501" w:name="_Toc183614388"/>
      <w:bookmarkStart w:id="502" w:name="_Toc201570936"/>
      <w:bookmarkStart w:id="503" w:name="_Toc201655550"/>
      <w:bookmarkStart w:id="504" w:name="_Toc203643144"/>
      <w:r w:rsidRPr="002462E6">
        <w:t xml:space="preserve">ANNEXE </w:t>
      </w:r>
      <w:bookmarkEnd w:id="499"/>
      <w:bookmarkEnd w:id="500"/>
      <w:bookmarkEnd w:id="501"/>
      <w:r w:rsidRPr="002462E6">
        <w:t>1</w:t>
      </w:r>
      <w:bookmarkEnd w:id="502"/>
      <w:bookmarkEnd w:id="503"/>
      <w:bookmarkEnd w:id="504"/>
    </w:p>
    <w:p w:rsidR="001A36FE" w:rsidRPr="002462E6" w:rsidRDefault="00AC59BD" w:rsidP="001A36FE">
      <w:pPr>
        <w:keepNext/>
        <w:keepLines/>
        <w:spacing w:after="0" w:line="240" w:lineRule="auto"/>
        <w:outlineLvl w:val="0"/>
        <w:rPr>
          <w:rFonts w:ascii="Tahoma" w:eastAsia="Calibri" w:hAnsi="Tahoma" w:cs="Tahoma"/>
          <w:b/>
          <w:bCs/>
          <w:sz w:val="20"/>
          <w:szCs w:val="20"/>
        </w:rPr>
      </w:pPr>
      <w:bookmarkStart w:id="505" w:name="_Toc201570872"/>
      <w:bookmarkStart w:id="506" w:name="_Toc201655560"/>
      <w:r w:rsidRPr="002462E6">
        <w:rPr>
          <w:rFonts w:eastAsia="Times New Roman" w:cstheme="minorHAnsi"/>
          <w:b/>
          <w:bCs/>
          <w:noProof/>
          <w:sz w:val="24"/>
          <w:szCs w:val="24"/>
          <w:lang w:eastAsia="fr-FR"/>
        </w:rPr>
        <w:drawing>
          <wp:anchor distT="0" distB="0" distL="114300" distR="114300" simplePos="0" relativeHeight="251688960" behindDoc="0" locked="0" layoutInCell="1" allowOverlap="1" wp14:anchorId="29C42551" wp14:editId="64D85D08">
            <wp:simplePos x="0" y="0"/>
            <wp:positionH relativeFrom="column">
              <wp:posOffset>-339725</wp:posOffset>
            </wp:positionH>
            <wp:positionV relativeFrom="paragraph">
              <wp:posOffset>104140</wp:posOffset>
            </wp:positionV>
            <wp:extent cx="1758315" cy="1019175"/>
            <wp:effectExtent l="0" t="0" r="0" b="9525"/>
            <wp:wrapSquare wrapText="bothSides"/>
            <wp:docPr id="95699565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4" cstate="print"/>
                    <a:srcRect/>
                    <a:stretch>
                      <a:fillRect/>
                    </a:stretch>
                  </pic:blipFill>
                  <pic:spPr bwMode="auto">
                    <a:xfrm>
                      <a:off x="0" y="0"/>
                      <a:ext cx="1758315" cy="1019175"/>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bookmarkEnd w:id="505"/>
      <w:bookmarkEnd w:id="506"/>
    </w:p>
    <w:p w:rsidR="00BD111D" w:rsidRPr="002462E6" w:rsidRDefault="00BD111D" w:rsidP="00BD111D">
      <w:r w:rsidRPr="002462E6">
        <w:rPr>
          <w:rFonts w:eastAsia="Times New Roman" w:cstheme="minorHAnsi"/>
          <w:b/>
          <w:bCs/>
          <w:noProof/>
          <w:sz w:val="24"/>
          <w:szCs w:val="24"/>
          <w:lang w:eastAsia="fr-FR"/>
        </w:rPr>
        <w:drawing>
          <wp:anchor distT="0" distB="0" distL="114300" distR="114300" simplePos="0" relativeHeight="251687936" behindDoc="0" locked="0" layoutInCell="1" allowOverlap="1" wp14:anchorId="5C8E0A21" wp14:editId="502780DC">
            <wp:simplePos x="0" y="0"/>
            <wp:positionH relativeFrom="margin">
              <wp:posOffset>4392295</wp:posOffset>
            </wp:positionH>
            <wp:positionV relativeFrom="margin">
              <wp:posOffset>799465</wp:posOffset>
            </wp:positionV>
            <wp:extent cx="1986915" cy="1232535"/>
            <wp:effectExtent l="0" t="0" r="0" b="5715"/>
            <wp:wrapSquare wrapText="bothSides"/>
            <wp:docPr id="956995652" name="Image 3"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logo"/>
                    <pic:cNvPicPr>
                      <a:picLocks noChangeAspect="1" noChangeArrowheads="1"/>
                    </pic:cNvPicPr>
                  </pic:nvPicPr>
                  <pic:blipFill>
                    <a:blip r:embed="rId85" cstate="print">
                      <a:extLst>
                        <a:ext uri="{28A0092B-C50C-407E-A947-70E740481C1C}">
                          <a14:useLocalDpi xmlns:a14="http://schemas.microsoft.com/office/drawing/2010/main" val="0"/>
                        </a:ext>
                      </a:extLst>
                    </a:blip>
                    <a:srcRect/>
                    <a:stretch>
                      <a:fillRect/>
                    </a:stretch>
                  </pic:blipFill>
                  <pic:spPr bwMode="auto">
                    <a:xfrm>
                      <a:off x="0" y="0"/>
                      <a:ext cx="1986915" cy="1232535"/>
                    </a:xfrm>
                    <a:prstGeom prst="rect">
                      <a:avLst/>
                    </a:prstGeom>
                    <a:noFill/>
                    <a:ln>
                      <a:noFill/>
                    </a:ln>
                  </pic:spPr>
                </pic:pic>
              </a:graphicData>
            </a:graphic>
            <wp14:sizeRelH relativeFrom="margin">
              <wp14:pctWidth>0</wp14:pctWidth>
            </wp14:sizeRelH>
          </wp:anchor>
        </w:drawing>
      </w:r>
    </w:p>
    <w:p w:rsidR="00BD111D" w:rsidRPr="002462E6" w:rsidRDefault="00BD111D" w:rsidP="00BD111D">
      <w:pPr>
        <w:jc w:val="center"/>
      </w:pPr>
    </w:p>
    <w:p w:rsidR="00BD111D" w:rsidRPr="002462E6" w:rsidRDefault="00BD111D" w:rsidP="00BD111D">
      <w:pPr>
        <w:jc w:val="center"/>
        <w:rPr>
          <w:b/>
          <w:bCs/>
          <w:sz w:val="28"/>
          <w:szCs w:val="28"/>
        </w:rPr>
      </w:pPr>
    </w:p>
    <w:p w:rsidR="00BD111D" w:rsidRPr="002462E6" w:rsidRDefault="00BD111D" w:rsidP="00BD111D">
      <w:pPr>
        <w:jc w:val="center"/>
        <w:rPr>
          <w:b/>
          <w:bCs/>
          <w:sz w:val="28"/>
          <w:szCs w:val="28"/>
        </w:rPr>
      </w:pPr>
    </w:p>
    <w:p w:rsidR="00BD111D" w:rsidRPr="002462E6" w:rsidRDefault="00BD111D" w:rsidP="00BD111D">
      <w:pPr>
        <w:rPr>
          <w:b/>
          <w:bCs/>
          <w:sz w:val="28"/>
          <w:szCs w:val="28"/>
        </w:rPr>
      </w:pPr>
    </w:p>
    <w:p w:rsidR="00BD111D" w:rsidRPr="002462E6" w:rsidRDefault="00BD111D" w:rsidP="00BD111D">
      <w:pPr>
        <w:jc w:val="center"/>
        <w:rPr>
          <w:b/>
          <w:bCs/>
          <w:sz w:val="28"/>
          <w:szCs w:val="28"/>
        </w:rPr>
      </w:pPr>
    </w:p>
    <w:p w:rsidR="00BD111D" w:rsidRPr="002462E6" w:rsidRDefault="00BD111D" w:rsidP="00BD111D">
      <w:pPr>
        <w:jc w:val="center"/>
        <w:rPr>
          <w:b/>
          <w:bCs/>
          <w:sz w:val="28"/>
          <w:szCs w:val="28"/>
        </w:rPr>
      </w:pPr>
      <w:r w:rsidRPr="002462E6">
        <w:rPr>
          <w:b/>
          <w:bCs/>
          <w:sz w:val="28"/>
          <w:szCs w:val="28"/>
        </w:rPr>
        <w:t>QUESTIONNAIRE</w:t>
      </w:r>
    </w:p>
    <w:p w:rsidR="00BD111D" w:rsidRPr="002462E6" w:rsidRDefault="00BD111D" w:rsidP="00BD111D">
      <w:pPr>
        <w:jc w:val="center"/>
      </w:pPr>
      <w:r w:rsidRPr="002462E6">
        <w:rPr>
          <w:rFonts w:ascii="Arial" w:hAnsi="Arial" w:cs="Arial"/>
          <w:color w:val="202124"/>
          <w:spacing w:val="3"/>
          <w:sz w:val="21"/>
          <w:szCs w:val="21"/>
        </w:rPr>
        <w:br/>
      </w:r>
    </w:p>
    <w:p w:rsidR="00BD111D" w:rsidRPr="002462E6" w:rsidRDefault="00BD111D" w:rsidP="00BD111D">
      <w:pPr>
        <w:jc w:val="both"/>
        <w:rPr>
          <w:sz w:val="28"/>
          <w:szCs w:val="28"/>
        </w:rPr>
      </w:pPr>
      <w:r w:rsidRPr="002462E6">
        <w:rPr>
          <w:sz w:val="28"/>
          <w:szCs w:val="28"/>
        </w:rPr>
        <w:t>Ce questionnaire est élaboré spécialement pour étudier le mode de vie de la population rurale de la forêt de Korifla et sa dépendance par rapport aux ressources forestières.</w:t>
      </w:r>
    </w:p>
    <w:p w:rsidR="00BD111D" w:rsidRPr="002462E6" w:rsidRDefault="00BD111D" w:rsidP="00BD111D">
      <w:pPr>
        <w:jc w:val="both"/>
        <w:rPr>
          <w:sz w:val="28"/>
          <w:szCs w:val="28"/>
        </w:rPr>
      </w:pPr>
      <w:r w:rsidRPr="002462E6">
        <w:rPr>
          <w:sz w:val="28"/>
          <w:szCs w:val="28"/>
        </w:rPr>
        <w:t xml:space="preserve">Il s’inscrit dans la cadre d’une recherche scientifique afin de mettre l’éclairage sur la surexploitation des ressources forestières qui risque d’être un facteur de désertification, de paupérisation et de migration de la population locale en fin de compte. </w:t>
      </w:r>
    </w:p>
    <w:p w:rsidR="00BD111D" w:rsidRPr="002462E6" w:rsidRDefault="00BD111D" w:rsidP="00BD111D">
      <w:pPr>
        <w:jc w:val="both"/>
        <w:rPr>
          <w:sz w:val="28"/>
          <w:szCs w:val="28"/>
        </w:rPr>
      </w:pPr>
      <w:r w:rsidRPr="002462E6">
        <w:rPr>
          <w:sz w:val="28"/>
          <w:szCs w:val="28"/>
        </w:rPr>
        <w:t>Vos réponses seront traitées de manière confidentielle et anonyme et comptons énormément sur votre collaboration.</w:t>
      </w:r>
    </w:p>
    <w:p w:rsidR="00BD111D" w:rsidRPr="002462E6" w:rsidRDefault="00BD111D" w:rsidP="00BD111D">
      <w:pPr>
        <w:jc w:val="both"/>
        <w:rPr>
          <w:sz w:val="28"/>
          <w:szCs w:val="28"/>
        </w:rPr>
      </w:pPr>
      <w:r w:rsidRPr="002462E6">
        <w:rPr>
          <w:sz w:val="28"/>
          <w:szCs w:val="28"/>
        </w:rPr>
        <w:t>Nous vous remercions du temps consacré pour répondre à nos questions.</w:t>
      </w:r>
    </w:p>
    <w:p w:rsidR="00BD111D" w:rsidRPr="002462E6" w:rsidRDefault="00BD111D" w:rsidP="00BD111D">
      <w:pPr>
        <w:jc w:val="both"/>
        <w:rPr>
          <w:sz w:val="28"/>
          <w:szCs w:val="28"/>
        </w:rPr>
      </w:pPr>
    </w:p>
    <w:tbl>
      <w:tblPr>
        <w:tblStyle w:val="Grilledetableauclaire1"/>
        <w:tblW w:w="0" w:type="auto"/>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4531"/>
        <w:gridCol w:w="4531"/>
      </w:tblGrid>
      <w:tr w:rsidR="00BD111D" w:rsidRPr="002462E6" w:rsidTr="00AB299B">
        <w:tc>
          <w:tcPr>
            <w:tcW w:w="4531" w:type="dxa"/>
          </w:tcPr>
          <w:p w:rsidR="00BD111D" w:rsidRPr="002462E6" w:rsidRDefault="00BD111D" w:rsidP="00AB299B">
            <w:pPr>
              <w:rPr>
                <w:sz w:val="28"/>
                <w:szCs w:val="28"/>
              </w:rPr>
            </w:pPr>
            <w:r w:rsidRPr="002462E6">
              <w:rPr>
                <w:sz w:val="28"/>
                <w:szCs w:val="28"/>
              </w:rPr>
              <w:t xml:space="preserve">Commune :       </w:t>
            </w:r>
          </w:p>
          <w:p w:rsidR="00BD111D" w:rsidRPr="002462E6" w:rsidRDefault="00BD111D" w:rsidP="00AB299B">
            <w:pPr>
              <w:jc w:val="both"/>
              <w:rPr>
                <w:sz w:val="28"/>
                <w:szCs w:val="28"/>
              </w:rPr>
            </w:pPr>
          </w:p>
        </w:tc>
        <w:tc>
          <w:tcPr>
            <w:tcW w:w="4531" w:type="dxa"/>
          </w:tcPr>
          <w:p w:rsidR="00BD111D" w:rsidRPr="002462E6" w:rsidRDefault="00BD111D" w:rsidP="00AB299B">
            <w:pPr>
              <w:rPr>
                <w:sz w:val="28"/>
                <w:szCs w:val="28"/>
              </w:rPr>
            </w:pPr>
            <w:r w:rsidRPr="002462E6">
              <w:rPr>
                <w:sz w:val="28"/>
                <w:szCs w:val="28"/>
              </w:rPr>
              <w:t xml:space="preserve">                       Douar : </w:t>
            </w:r>
          </w:p>
          <w:p w:rsidR="00BD111D" w:rsidRPr="002462E6" w:rsidRDefault="00BD111D" w:rsidP="00AB299B">
            <w:pPr>
              <w:jc w:val="both"/>
              <w:rPr>
                <w:sz w:val="28"/>
                <w:szCs w:val="28"/>
              </w:rPr>
            </w:pPr>
          </w:p>
        </w:tc>
      </w:tr>
    </w:tbl>
    <w:p w:rsidR="00BD111D" w:rsidRPr="002462E6" w:rsidRDefault="00BD111D" w:rsidP="00BD111D">
      <w:pPr>
        <w:jc w:val="both"/>
        <w:rPr>
          <w:sz w:val="28"/>
          <w:szCs w:val="28"/>
        </w:rPr>
      </w:pPr>
    </w:p>
    <w:p w:rsidR="00BD111D" w:rsidRPr="002462E6" w:rsidRDefault="00BD111D" w:rsidP="00D051D7">
      <w:pPr>
        <w:pStyle w:val="Paragraphedeliste"/>
        <w:widowControl/>
        <w:numPr>
          <w:ilvl w:val="0"/>
          <w:numId w:val="46"/>
        </w:numPr>
        <w:autoSpaceDE/>
        <w:autoSpaceDN/>
        <w:spacing w:after="160" w:line="259" w:lineRule="auto"/>
        <w:contextualSpacing/>
        <w:jc w:val="left"/>
        <w:rPr>
          <w:b/>
          <w:bCs/>
          <w:sz w:val="28"/>
          <w:szCs w:val="28"/>
        </w:rPr>
      </w:pPr>
      <w:r w:rsidRPr="002462E6">
        <w:rPr>
          <w:b/>
          <w:bCs/>
          <w:sz w:val="28"/>
          <w:szCs w:val="28"/>
        </w:rPr>
        <w:t>Sa distance par rapport à la forêt :</w:t>
      </w:r>
    </w:p>
    <w:p w:rsidR="00BD111D" w:rsidRPr="002462E6" w:rsidRDefault="00BD111D" w:rsidP="00BD111D">
      <w:pPr>
        <w:pStyle w:val="Paragraphedeliste"/>
        <w:ind w:left="1068"/>
        <w:rPr>
          <w:sz w:val="28"/>
          <w:szCs w:val="28"/>
        </w:rPr>
      </w:pPr>
      <w:r w:rsidRPr="002462E6">
        <w:rPr>
          <w:rFonts w:ascii="Helvetica" w:hAnsi="Helvetica" w:cs="Helvetica"/>
          <w:b/>
          <w:bCs/>
          <w:color w:val="000000" w:themeColor="text1"/>
          <w:sz w:val="45"/>
          <w:szCs w:val="45"/>
          <w:lang w:eastAsia="fr-FR"/>
        </w:rPr>
        <w:t>□</w:t>
      </w:r>
      <w:r w:rsidRPr="002462E6">
        <w:rPr>
          <w:sz w:val="28"/>
          <w:szCs w:val="28"/>
        </w:rPr>
        <w:t>A l’intérieur de la forêt</w:t>
      </w:r>
    </w:p>
    <w:p w:rsidR="00BD111D" w:rsidRPr="002462E6" w:rsidRDefault="00BD111D" w:rsidP="00BD111D">
      <w:pPr>
        <w:pStyle w:val="Paragraphedeliste"/>
        <w:ind w:left="1068"/>
        <w:rPr>
          <w:sz w:val="28"/>
          <w:szCs w:val="28"/>
        </w:rPr>
      </w:pPr>
      <w:r w:rsidRPr="002462E6">
        <w:rPr>
          <w:rFonts w:ascii="Helvetica" w:hAnsi="Helvetica" w:cs="Helvetica"/>
          <w:b/>
          <w:bCs/>
          <w:color w:val="000000" w:themeColor="text1"/>
          <w:sz w:val="45"/>
          <w:szCs w:val="45"/>
          <w:lang w:eastAsia="fr-FR"/>
        </w:rPr>
        <w:t>□</w:t>
      </w:r>
      <w:r w:rsidRPr="002462E6">
        <w:rPr>
          <w:sz w:val="28"/>
          <w:szCs w:val="28"/>
        </w:rPr>
        <w:t xml:space="preserve">Limitrophe </w:t>
      </w:r>
    </w:p>
    <w:p w:rsidR="00BD111D" w:rsidRPr="002462E6" w:rsidRDefault="00BD111D" w:rsidP="00BD111D">
      <w:pPr>
        <w:pStyle w:val="Paragraphedeliste"/>
        <w:ind w:left="1068"/>
        <w:rPr>
          <w:sz w:val="28"/>
          <w:szCs w:val="28"/>
        </w:rPr>
      </w:pPr>
      <w:r w:rsidRPr="002462E6">
        <w:rPr>
          <w:rFonts w:ascii="Helvetica" w:hAnsi="Helvetica" w:cs="Helvetica"/>
          <w:b/>
          <w:bCs/>
          <w:color w:val="000000" w:themeColor="text1"/>
          <w:sz w:val="45"/>
          <w:szCs w:val="45"/>
          <w:lang w:eastAsia="fr-FR"/>
        </w:rPr>
        <w:t>□</w:t>
      </w:r>
      <w:r w:rsidRPr="002462E6">
        <w:rPr>
          <w:sz w:val="28"/>
          <w:szCs w:val="28"/>
        </w:rPr>
        <w:t>Entre 100 et 200 m</w:t>
      </w:r>
    </w:p>
    <w:p w:rsidR="00BD111D" w:rsidRPr="002462E6" w:rsidRDefault="00BD111D" w:rsidP="00BD111D">
      <w:pPr>
        <w:pStyle w:val="Paragraphedeliste"/>
        <w:ind w:left="1068"/>
        <w:rPr>
          <w:sz w:val="28"/>
          <w:szCs w:val="28"/>
        </w:rPr>
      </w:pPr>
      <w:r w:rsidRPr="002462E6">
        <w:rPr>
          <w:rFonts w:ascii="Helvetica" w:hAnsi="Helvetica" w:cs="Helvetica"/>
          <w:b/>
          <w:bCs/>
          <w:color w:val="000000" w:themeColor="text1"/>
          <w:sz w:val="45"/>
          <w:szCs w:val="45"/>
          <w:lang w:eastAsia="fr-FR"/>
        </w:rPr>
        <w:t>□</w:t>
      </w:r>
      <w:r w:rsidRPr="002462E6">
        <w:rPr>
          <w:sz w:val="28"/>
          <w:szCs w:val="28"/>
        </w:rPr>
        <w:t>Entre 300 et 400 m</w:t>
      </w:r>
    </w:p>
    <w:p w:rsidR="00BD111D" w:rsidRPr="002462E6" w:rsidRDefault="00BD111D" w:rsidP="00BD111D">
      <w:pPr>
        <w:pStyle w:val="Paragraphedeliste"/>
        <w:ind w:left="1068"/>
        <w:rPr>
          <w:sz w:val="28"/>
          <w:szCs w:val="28"/>
        </w:rPr>
      </w:pPr>
      <w:r w:rsidRPr="002462E6">
        <w:rPr>
          <w:rFonts w:ascii="Helvetica" w:hAnsi="Helvetica" w:cs="Helvetica"/>
          <w:b/>
          <w:bCs/>
          <w:color w:val="000000" w:themeColor="text1"/>
          <w:sz w:val="45"/>
          <w:szCs w:val="45"/>
          <w:lang w:eastAsia="fr-FR"/>
        </w:rPr>
        <w:t>□</w:t>
      </w:r>
      <w:r w:rsidRPr="002462E6">
        <w:rPr>
          <w:sz w:val="28"/>
          <w:szCs w:val="28"/>
        </w:rPr>
        <w:t>Entre 500 et 600 m</w:t>
      </w:r>
    </w:p>
    <w:p w:rsidR="00BD111D" w:rsidRPr="002462E6" w:rsidRDefault="00BD111D" w:rsidP="00BD111D">
      <w:pPr>
        <w:pStyle w:val="Paragraphedeliste"/>
        <w:ind w:left="1068"/>
        <w:rPr>
          <w:sz w:val="28"/>
          <w:szCs w:val="28"/>
        </w:rPr>
      </w:pPr>
      <w:r w:rsidRPr="002462E6">
        <w:rPr>
          <w:rFonts w:ascii="Helvetica" w:hAnsi="Helvetica" w:cs="Helvetica"/>
          <w:b/>
          <w:bCs/>
          <w:color w:val="000000" w:themeColor="text1"/>
          <w:sz w:val="45"/>
          <w:szCs w:val="45"/>
          <w:lang w:eastAsia="fr-FR"/>
        </w:rPr>
        <w:t>□</w:t>
      </w:r>
      <w:r w:rsidRPr="002462E6">
        <w:rPr>
          <w:sz w:val="28"/>
          <w:szCs w:val="28"/>
        </w:rPr>
        <w:t>Entre 700 et 800 m</w:t>
      </w:r>
    </w:p>
    <w:p w:rsidR="00BD111D" w:rsidRPr="002462E6" w:rsidRDefault="00BD111D" w:rsidP="00BD111D">
      <w:pPr>
        <w:pStyle w:val="Paragraphedeliste"/>
        <w:ind w:left="1068"/>
        <w:rPr>
          <w:sz w:val="28"/>
          <w:szCs w:val="28"/>
        </w:rPr>
      </w:pPr>
      <w:r w:rsidRPr="002462E6">
        <w:rPr>
          <w:rFonts w:ascii="Helvetica" w:hAnsi="Helvetica" w:cs="Helvetica"/>
          <w:b/>
          <w:bCs/>
          <w:color w:val="000000" w:themeColor="text1"/>
          <w:sz w:val="45"/>
          <w:szCs w:val="45"/>
          <w:lang w:eastAsia="fr-FR"/>
        </w:rPr>
        <w:t>□</w:t>
      </w:r>
      <w:r w:rsidRPr="002462E6">
        <w:rPr>
          <w:sz w:val="28"/>
          <w:szCs w:val="28"/>
        </w:rPr>
        <w:t>Entre 900 et 1000 m</w:t>
      </w:r>
    </w:p>
    <w:p w:rsidR="00BD111D" w:rsidRPr="002462E6" w:rsidRDefault="00BD111D" w:rsidP="00BD111D">
      <w:pPr>
        <w:pStyle w:val="Paragraphedeliste"/>
        <w:ind w:left="1068"/>
        <w:rPr>
          <w:sz w:val="28"/>
          <w:szCs w:val="28"/>
        </w:rPr>
      </w:pPr>
      <w:r w:rsidRPr="002462E6">
        <w:rPr>
          <w:rFonts w:ascii="Helvetica" w:hAnsi="Helvetica" w:cs="Helvetica"/>
          <w:b/>
          <w:bCs/>
          <w:color w:val="000000" w:themeColor="text1"/>
          <w:sz w:val="45"/>
          <w:szCs w:val="45"/>
          <w:lang w:eastAsia="fr-FR"/>
        </w:rPr>
        <w:t>□</w:t>
      </w:r>
      <w:r w:rsidRPr="002462E6">
        <w:rPr>
          <w:sz w:val="28"/>
          <w:szCs w:val="28"/>
        </w:rPr>
        <w:t>Entre 2 et 3 Km</w:t>
      </w:r>
    </w:p>
    <w:p w:rsidR="00BD111D" w:rsidRPr="002462E6" w:rsidRDefault="00BD111D" w:rsidP="00BD111D">
      <w:pPr>
        <w:pStyle w:val="Paragraphedeliste"/>
        <w:ind w:left="1068"/>
        <w:rPr>
          <w:sz w:val="28"/>
          <w:szCs w:val="28"/>
        </w:rPr>
      </w:pPr>
      <w:r w:rsidRPr="002462E6">
        <w:rPr>
          <w:rFonts w:ascii="Helvetica" w:hAnsi="Helvetica" w:cs="Helvetica"/>
          <w:b/>
          <w:bCs/>
          <w:color w:val="000000" w:themeColor="text1"/>
          <w:sz w:val="45"/>
          <w:szCs w:val="45"/>
          <w:lang w:eastAsia="fr-FR"/>
        </w:rPr>
        <w:t>□</w:t>
      </w:r>
      <w:r w:rsidRPr="002462E6">
        <w:rPr>
          <w:sz w:val="28"/>
          <w:szCs w:val="28"/>
        </w:rPr>
        <w:t xml:space="preserve">Entre 4 et 5 Km </w:t>
      </w:r>
    </w:p>
    <w:p w:rsidR="00BD111D" w:rsidRPr="002462E6" w:rsidRDefault="00BD111D" w:rsidP="00BD111D">
      <w:pPr>
        <w:pStyle w:val="Paragraphedeliste"/>
        <w:ind w:left="1068"/>
        <w:rPr>
          <w:sz w:val="28"/>
          <w:szCs w:val="28"/>
        </w:rPr>
      </w:pPr>
      <w:r w:rsidRPr="002462E6">
        <w:rPr>
          <w:rFonts w:ascii="Helvetica" w:hAnsi="Helvetica" w:cs="Helvetica"/>
          <w:b/>
          <w:bCs/>
          <w:color w:val="000000" w:themeColor="text1"/>
          <w:sz w:val="45"/>
          <w:szCs w:val="45"/>
          <w:lang w:eastAsia="fr-FR"/>
        </w:rPr>
        <w:t>□</w:t>
      </w:r>
      <w:r w:rsidRPr="002462E6">
        <w:rPr>
          <w:sz w:val="28"/>
          <w:szCs w:val="28"/>
        </w:rPr>
        <w:t>Entre 6 et 7 Km</w:t>
      </w:r>
    </w:p>
    <w:p w:rsidR="00BD111D" w:rsidRPr="002462E6" w:rsidRDefault="00BD111D" w:rsidP="00BD111D">
      <w:pPr>
        <w:pStyle w:val="Paragraphedeliste"/>
        <w:ind w:left="1068"/>
        <w:rPr>
          <w:sz w:val="28"/>
          <w:szCs w:val="28"/>
        </w:rPr>
      </w:pPr>
      <w:r w:rsidRPr="002462E6">
        <w:rPr>
          <w:rFonts w:ascii="Helvetica" w:hAnsi="Helvetica" w:cs="Helvetica"/>
          <w:b/>
          <w:bCs/>
          <w:color w:val="000000" w:themeColor="text1"/>
          <w:sz w:val="45"/>
          <w:szCs w:val="45"/>
          <w:lang w:eastAsia="fr-FR"/>
        </w:rPr>
        <w:t>□</w:t>
      </w:r>
      <w:r w:rsidRPr="002462E6">
        <w:rPr>
          <w:sz w:val="28"/>
          <w:szCs w:val="28"/>
        </w:rPr>
        <w:t>Entre 8 et 9 Km</w:t>
      </w:r>
    </w:p>
    <w:p w:rsidR="00BD111D" w:rsidRPr="002462E6" w:rsidRDefault="00BD111D" w:rsidP="00BD111D">
      <w:pPr>
        <w:pStyle w:val="Paragraphedeliste"/>
        <w:ind w:left="1068"/>
        <w:rPr>
          <w:sz w:val="28"/>
          <w:szCs w:val="28"/>
        </w:rPr>
      </w:pPr>
      <w:r w:rsidRPr="002462E6">
        <w:rPr>
          <w:rFonts w:ascii="Helvetica" w:hAnsi="Helvetica" w:cs="Helvetica"/>
          <w:b/>
          <w:bCs/>
          <w:color w:val="000000" w:themeColor="text1"/>
          <w:sz w:val="45"/>
          <w:szCs w:val="45"/>
          <w:lang w:eastAsia="fr-FR"/>
        </w:rPr>
        <w:t>□</w:t>
      </w:r>
      <w:r w:rsidRPr="002462E6">
        <w:rPr>
          <w:sz w:val="28"/>
          <w:szCs w:val="28"/>
        </w:rPr>
        <w:t>Plus de 10 Km</w:t>
      </w:r>
    </w:p>
    <w:p w:rsidR="00BD111D" w:rsidRPr="002462E6" w:rsidRDefault="00BD111D" w:rsidP="00BD111D"/>
    <w:p w:rsidR="00BD111D" w:rsidRPr="002462E6" w:rsidRDefault="00BD111D" w:rsidP="00D051D7">
      <w:pPr>
        <w:pStyle w:val="Paragraphedeliste"/>
        <w:widowControl/>
        <w:numPr>
          <w:ilvl w:val="0"/>
          <w:numId w:val="46"/>
        </w:numPr>
        <w:autoSpaceDE/>
        <w:autoSpaceDN/>
        <w:spacing w:after="160" w:line="259" w:lineRule="auto"/>
        <w:contextualSpacing/>
        <w:jc w:val="left"/>
        <w:rPr>
          <w:b/>
          <w:bCs/>
          <w:sz w:val="28"/>
          <w:szCs w:val="28"/>
        </w:rPr>
      </w:pPr>
      <w:r w:rsidRPr="002462E6">
        <w:rPr>
          <w:b/>
          <w:bCs/>
          <w:sz w:val="28"/>
          <w:szCs w:val="28"/>
        </w:rPr>
        <w:t xml:space="preserve">Sexe : </w:t>
      </w:r>
    </w:p>
    <w:p w:rsidR="00BD111D" w:rsidRPr="002462E6" w:rsidRDefault="00BD111D" w:rsidP="00BD111D">
      <w:pPr>
        <w:ind w:left="502" w:firstLine="708"/>
      </w:pPr>
      <w:r w:rsidRPr="002462E6">
        <w:rPr>
          <w:rFonts w:ascii="Helvetica" w:eastAsia="Times New Roman" w:hAnsi="Helvetica" w:cs="Helvetica"/>
          <w:b/>
          <w:bCs/>
          <w:color w:val="000000" w:themeColor="text1"/>
          <w:sz w:val="45"/>
          <w:szCs w:val="45"/>
          <w:lang w:eastAsia="fr-FR"/>
        </w:rPr>
        <w:t>□</w:t>
      </w:r>
      <w:r w:rsidRPr="002462E6">
        <w:t xml:space="preserve">Homme                                   </w:t>
      </w:r>
      <w:r w:rsidRPr="002462E6">
        <w:rPr>
          <w:rFonts w:ascii="Helvetica" w:eastAsia="Times New Roman" w:hAnsi="Helvetica" w:cs="Helvetica"/>
          <w:b/>
          <w:bCs/>
          <w:color w:val="000000" w:themeColor="text1"/>
          <w:sz w:val="45"/>
          <w:szCs w:val="45"/>
          <w:lang w:eastAsia="fr-FR"/>
        </w:rPr>
        <w:t>□</w:t>
      </w:r>
      <w:r w:rsidRPr="002462E6">
        <w:t xml:space="preserve"> Femme </w:t>
      </w:r>
    </w:p>
    <w:p w:rsidR="00BD111D" w:rsidRPr="002462E6" w:rsidRDefault="00BD111D" w:rsidP="00BD111D"/>
    <w:p w:rsidR="00BD111D" w:rsidRPr="002462E6" w:rsidRDefault="00BD111D" w:rsidP="00D051D7">
      <w:pPr>
        <w:pStyle w:val="Paragraphedeliste"/>
        <w:widowControl/>
        <w:numPr>
          <w:ilvl w:val="0"/>
          <w:numId w:val="46"/>
        </w:numPr>
        <w:autoSpaceDE/>
        <w:autoSpaceDN/>
        <w:spacing w:after="160" w:line="259" w:lineRule="auto"/>
        <w:contextualSpacing/>
        <w:jc w:val="left"/>
        <w:rPr>
          <w:b/>
          <w:bCs/>
          <w:sz w:val="28"/>
          <w:szCs w:val="28"/>
        </w:rPr>
      </w:pPr>
      <w:r w:rsidRPr="002462E6">
        <w:rPr>
          <w:b/>
          <w:bCs/>
          <w:sz w:val="28"/>
          <w:szCs w:val="28"/>
        </w:rPr>
        <w:t>Etes-vous né(e) dans ce douar ?</w:t>
      </w:r>
    </w:p>
    <w:p w:rsidR="00BD111D" w:rsidRPr="002462E6" w:rsidRDefault="00BD111D" w:rsidP="00AC59BD">
      <w:pPr>
        <w:rPr>
          <w:rFonts w:ascii="Helvetica" w:hAnsi="Helvetica" w:cs="Helvetica"/>
          <w:sz w:val="45"/>
          <w:szCs w:val="45"/>
          <w:lang w:eastAsia="fr-FR"/>
        </w:rPr>
      </w:pPr>
      <w:r w:rsidRPr="002462E6">
        <w:rPr>
          <w:rFonts w:ascii="Helvetica" w:hAnsi="Helvetica" w:cs="Helvetica"/>
          <w:sz w:val="45"/>
          <w:szCs w:val="45"/>
          <w:lang w:eastAsia="fr-FR"/>
        </w:rPr>
        <w:t>□</w:t>
      </w:r>
      <w:r w:rsidRPr="002462E6">
        <w:t xml:space="preserve">Oui                     </w:t>
      </w:r>
      <w:r w:rsidRPr="002462E6">
        <w:rPr>
          <w:rFonts w:ascii="Helvetica" w:hAnsi="Helvetica" w:cs="Helvetica"/>
          <w:sz w:val="45"/>
          <w:szCs w:val="45"/>
          <w:lang w:eastAsia="fr-FR"/>
        </w:rPr>
        <w:t>□</w:t>
      </w:r>
      <w:r w:rsidRPr="002462E6">
        <w:t>non</w:t>
      </w:r>
    </w:p>
    <w:p w:rsidR="00BD111D" w:rsidRPr="002462E6" w:rsidRDefault="00BD111D" w:rsidP="00BD111D">
      <w:pPr>
        <w:ind w:left="708" w:firstLine="708"/>
      </w:pPr>
      <w:r w:rsidRPr="002462E6">
        <w:t xml:space="preserve">Si non, où ? </w:t>
      </w:r>
    </w:p>
    <w:p w:rsidR="00BD111D" w:rsidRPr="002462E6" w:rsidRDefault="00BD111D" w:rsidP="00BD111D"/>
    <w:p w:rsidR="00BD111D" w:rsidRPr="002462E6" w:rsidRDefault="00BD111D" w:rsidP="00D051D7">
      <w:pPr>
        <w:pStyle w:val="Paragraphedeliste"/>
        <w:widowControl/>
        <w:numPr>
          <w:ilvl w:val="0"/>
          <w:numId w:val="46"/>
        </w:numPr>
        <w:autoSpaceDE/>
        <w:autoSpaceDN/>
        <w:spacing w:after="160" w:line="259" w:lineRule="auto"/>
        <w:contextualSpacing/>
        <w:jc w:val="left"/>
        <w:rPr>
          <w:b/>
          <w:bCs/>
          <w:sz w:val="28"/>
          <w:szCs w:val="28"/>
        </w:rPr>
      </w:pPr>
      <w:r w:rsidRPr="002462E6">
        <w:rPr>
          <w:b/>
          <w:bCs/>
          <w:sz w:val="28"/>
          <w:szCs w:val="28"/>
        </w:rPr>
        <w:t>Quel est votre âge ?</w:t>
      </w:r>
    </w:p>
    <w:p w:rsidR="00BD111D" w:rsidRPr="002462E6" w:rsidRDefault="00BD111D" w:rsidP="00BD111D">
      <w:pPr>
        <w:ind w:left="1210"/>
      </w:pPr>
      <w:r w:rsidRPr="002462E6">
        <w:rPr>
          <w:rFonts w:ascii="Helvetica" w:eastAsia="Times New Roman" w:hAnsi="Helvetica" w:cs="Helvetica"/>
          <w:b/>
          <w:bCs/>
          <w:color w:val="000000" w:themeColor="text1"/>
          <w:sz w:val="45"/>
          <w:szCs w:val="45"/>
          <w:lang w:eastAsia="fr-FR"/>
        </w:rPr>
        <w:t>□</w:t>
      </w:r>
      <w:r w:rsidRPr="002462E6">
        <w:t xml:space="preserve">Entre 20 et 30 ans. </w:t>
      </w:r>
    </w:p>
    <w:p w:rsidR="00BD111D" w:rsidRPr="002462E6" w:rsidRDefault="00BD111D" w:rsidP="00BD111D">
      <w:pPr>
        <w:ind w:left="1210"/>
      </w:pPr>
      <w:r w:rsidRPr="002462E6">
        <w:rPr>
          <w:rFonts w:ascii="Helvetica" w:eastAsia="Times New Roman" w:hAnsi="Helvetica" w:cs="Helvetica"/>
          <w:b/>
          <w:bCs/>
          <w:color w:val="000000" w:themeColor="text1"/>
          <w:sz w:val="45"/>
          <w:szCs w:val="45"/>
          <w:lang w:eastAsia="fr-FR"/>
        </w:rPr>
        <w:t>□</w:t>
      </w:r>
      <w:r w:rsidRPr="002462E6">
        <w:t xml:space="preserve">Entre 31 et 40 ans. </w:t>
      </w:r>
    </w:p>
    <w:p w:rsidR="00BD111D" w:rsidRPr="002462E6" w:rsidRDefault="00BD111D" w:rsidP="00BD111D">
      <w:pPr>
        <w:ind w:left="1210"/>
      </w:pPr>
      <w:r w:rsidRPr="002462E6">
        <w:rPr>
          <w:rFonts w:ascii="Helvetica" w:eastAsia="Times New Roman" w:hAnsi="Helvetica" w:cs="Helvetica"/>
          <w:b/>
          <w:bCs/>
          <w:color w:val="000000" w:themeColor="text1"/>
          <w:sz w:val="45"/>
          <w:szCs w:val="45"/>
          <w:lang w:eastAsia="fr-FR"/>
        </w:rPr>
        <w:t>□</w:t>
      </w:r>
      <w:r w:rsidRPr="002462E6">
        <w:t xml:space="preserve">Entre 41 et 50 ans. </w:t>
      </w:r>
    </w:p>
    <w:p w:rsidR="00BD111D" w:rsidRPr="002462E6" w:rsidRDefault="00BD111D" w:rsidP="00BD111D">
      <w:pPr>
        <w:ind w:left="1210"/>
      </w:pPr>
      <w:r w:rsidRPr="002462E6">
        <w:rPr>
          <w:rFonts w:ascii="Helvetica" w:eastAsia="Times New Roman" w:hAnsi="Helvetica" w:cs="Helvetica"/>
          <w:b/>
          <w:bCs/>
          <w:color w:val="000000" w:themeColor="text1"/>
          <w:sz w:val="45"/>
          <w:szCs w:val="45"/>
          <w:lang w:eastAsia="fr-FR"/>
        </w:rPr>
        <w:t>□</w:t>
      </w:r>
      <w:r w:rsidRPr="002462E6">
        <w:t xml:space="preserve">Entre 51 et 60 ans. </w:t>
      </w:r>
    </w:p>
    <w:p w:rsidR="00BD111D" w:rsidRPr="002462E6" w:rsidRDefault="00BD111D" w:rsidP="00BD111D">
      <w:pPr>
        <w:ind w:left="1210"/>
      </w:pPr>
      <w:r w:rsidRPr="002462E6">
        <w:rPr>
          <w:rFonts w:ascii="Helvetica" w:eastAsia="Times New Roman" w:hAnsi="Helvetica" w:cs="Helvetica"/>
          <w:b/>
          <w:bCs/>
          <w:color w:val="000000" w:themeColor="text1"/>
          <w:sz w:val="45"/>
          <w:szCs w:val="45"/>
          <w:lang w:eastAsia="fr-FR"/>
        </w:rPr>
        <w:t>□</w:t>
      </w:r>
      <w:r w:rsidRPr="002462E6">
        <w:t xml:space="preserve">Entre 61 et 70 ans. </w:t>
      </w:r>
    </w:p>
    <w:p w:rsidR="00BD111D" w:rsidRPr="002462E6" w:rsidRDefault="00BD111D" w:rsidP="00BD111D">
      <w:pPr>
        <w:ind w:left="1210"/>
      </w:pPr>
      <w:r w:rsidRPr="002462E6">
        <w:rPr>
          <w:rFonts w:ascii="Helvetica" w:eastAsia="Times New Roman" w:hAnsi="Helvetica" w:cs="Helvetica"/>
          <w:b/>
          <w:bCs/>
          <w:color w:val="000000" w:themeColor="text1"/>
          <w:sz w:val="45"/>
          <w:szCs w:val="45"/>
          <w:lang w:eastAsia="fr-FR"/>
        </w:rPr>
        <w:t>□</w:t>
      </w:r>
      <w:r w:rsidRPr="002462E6">
        <w:t>Entre 71 et 80 ans.</w:t>
      </w:r>
    </w:p>
    <w:p w:rsidR="00BD111D" w:rsidRPr="002462E6" w:rsidRDefault="00BD111D" w:rsidP="00BD111D">
      <w:pPr>
        <w:ind w:left="1210"/>
      </w:pPr>
      <w:r w:rsidRPr="002462E6">
        <w:rPr>
          <w:rFonts w:ascii="Helvetica" w:eastAsia="Times New Roman" w:hAnsi="Helvetica" w:cs="Helvetica"/>
          <w:b/>
          <w:bCs/>
          <w:color w:val="000000" w:themeColor="text1"/>
          <w:sz w:val="45"/>
          <w:szCs w:val="45"/>
          <w:lang w:eastAsia="fr-FR"/>
        </w:rPr>
        <w:t>□</w:t>
      </w:r>
      <w:r w:rsidRPr="002462E6">
        <w:t xml:space="preserve">Entre 81 et 90 ans. </w:t>
      </w:r>
    </w:p>
    <w:p w:rsidR="00BD111D" w:rsidRPr="002462E6" w:rsidRDefault="00BD111D" w:rsidP="00BD111D">
      <w:pPr>
        <w:ind w:left="1210"/>
      </w:pPr>
      <w:r w:rsidRPr="002462E6">
        <w:rPr>
          <w:rFonts w:ascii="Helvetica" w:eastAsia="Times New Roman" w:hAnsi="Helvetica" w:cs="Helvetica"/>
          <w:b/>
          <w:bCs/>
          <w:color w:val="000000" w:themeColor="text1"/>
          <w:sz w:val="45"/>
          <w:szCs w:val="45"/>
          <w:lang w:eastAsia="fr-FR"/>
        </w:rPr>
        <w:t>□</w:t>
      </w:r>
      <w:r w:rsidRPr="002462E6">
        <w:t>Entre 91 et 100 ans</w:t>
      </w:r>
    </w:p>
    <w:p w:rsidR="00BD111D" w:rsidRPr="002462E6" w:rsidRDefault="00BD111D" w:rsidP="00BD111D">
      <w:pPr>
        <w:ind w:left="1210"/>
      </w:pPr>
    </w:p>
    <w:p w:rsidR="00BD111D" w:rsidRPr="002462E6" w:rsidRDefault="00BD111D" w:rsidP="00BD111D"/>
    <w:p w:rsidR="00BD111D" w:rsidRPr="002462E6" w:rsidRDefault="00BD111D" w:rsidP="00D051D7">
      <w:pPr>
        <w:pStyle w:val="Paragraphedeliste"/>
        <w:widowControl/>
        <w:numPr>
          <w:ilvl w:val="0"/>
          <w:numId w:val="46"/>
        </w:numPr>
        <w:autoSpaceDE/>
        <w:autoSpaceDN/>
        <w:spacing w:after="160" w:line="259" w:lineRule="auto"/>
        <w:contextualSpacing/>
        <w:jc w:val="left"/>
        <w:rPr>
          <w:b/>
          <w:bCs/>
          <w:sz w:val="28"/>
          <w:szCs w:val="28"/>
        </w:rPr>
      </w:pPr>
      <w:r w:rsidRPr="002462E6">
        <w:rPr>
          <w:b/>
          <w:bCs/>
          <w:sz w:val="28"/>
          <w:szCs w:val="28"/>
        </w:rPr>
        <w:t xml:space="preserve">Niveau d’instruction : </w:t>
      </w:r>
    </w:p>
    <w:p w:rsidR="00BD111D" w:rsidRPr="002462E6" w:rsidRDefault="00BD111D" w:rsidP="00BD111D">
      <w:pPr>
        <w:ind w:left="1210"/>
      </w:pPr>
      <w:r w:rsidRPr="002462E6">
        <w:rPr>
          <w:rFonts w:ascii="Helvetica" w:eastAsia="Times New Roman" w:hAnsi="Helvetica" w:cs="Helvetica"/>
          <w:b/>
          <w:bCs/>
          <w:color w:val="000000" w:themeColor="text1"/>
          <w:sz w:val="45"/>
          <w:szCs w:val="45"/>
          <w:lang w:eastAsia="fr-FR"/>
        </w:rPr>
        <w:t>□</w:t>
      </w:r>
      <w:r w:rsidRPr="002462E6">
        <w:t>Primaire</w:t>
      </w:r>
    </w:p>
    <w:p w:rsidR="00BD111D" w:rsidRPr="002462E6" w:rsidRDefault="00BD111D" w:rsidP="00BD111D">
      <w:pPr>
        <w:ind w:left="1210"/>
      </w:pPr>
      <w:r w:rsidRPr="002462E6">
        <w:rPr>
          <w:rFonts w:ascii="Helvetica" w:eastAsia="Times New Roman" w:hAnsi="Helvetica" w:cs="Helvetica"/>
          <w:b/>
          <w:bCs/>
          <w:color w:val="000000" w:themeColor="text1"/>
          <w:sz w:val="45"/>
          <w:szCs w:val="45"/>
          <w:lang w:eastAsia="fr-FR"/>
        </w:rPr>
        <w:t>□</w:t>
      </w:r>
      <w:r w:rsidRPr="002462E6">
        <w:t>Collège</w:t>
      </w:r>
    </w:p>
    <w:p w:rsidR="00BD111D" w:rsidRPr="002462E6" w:rsidRDefault="00BD111D" w:rsidP="00BD111D">
      <w:pPr>
        <w:ind w:left="1210"/>
      </w:pPr>
      <w:r w:rsidRPr="002462E6">
        <w:rPr>
          <w:rFonts w:ascii="Helvetica" w:eastAsia="Times New Roman" w:hAnsi="Helvetica" w:cs="Helvetica"/>
          <w:b/>
          <w:bCs/>
          <w:color w:val="000000" w:themeColor="text1"/>
          <w:sz w:val="45"/>
          <w:szCs w:val="45"/>
          <w:lang w:eastAsia="fr-FR"/>
        </w:rPr>
        <w:t>□</w:t>
      </w:r>
      <w:r w:rsidRPr="002462E6">
        <w:t>Lycée</w:t>
      </w:r>
    </w:p>
    <w:p w:rsidR="00BD111D" w:rsidRPr="002462E6" w:rsidRDefault="00BD111D" w:rsidP="00BD111D">
      <w:pPr>
        <w:ind w:left="502" w:firstLine="708"/>
      </w:pPr>
      <w:r w:rsidRPr="002462E6">
        <w:rPr>
          <w:rFonts w:ascii="Helvetica" w:eastAsia="Times New Roman" w:hAnsi="Helvetica" w:cs="Helvetica"/>
          <w:b/>
          <w:bCs/>
          <w:color w:val="000000" w:themeColor="text1"/>
          <w:sz w:val="45"/>
          <w:szCs w:val="45"/>
          <w:lang w:eastAsia="fr-FR"/>
        </w:rPr>
        <w:t>□</w:t>
      </w:r>
      <w:r w:rsidRPr="002462E6">
        <w:t>Université</w:t>
      </w:r>
    </w:p>
    <w:p w:rsidR="00BD111D" w:rsidRPr="002462E6" w:rsidRDefault="00BD111D" w:rsidP="00BD111D">
      <w:pPr>
        <w:ind w:left="862"/>
      </w:pPr>
      <w:r w:rsidRPr="002462E6">
        <w:t xml:space="preserve">     </w:t>
      </w:r>
      <w:r w:rsidRPr="002462E6">
        <w:rPr>
          <w:rFonts w:ascii="Helvetica" w:eastAsia="Times New Roman" w:hAnsi="Helvetica" w:cs="Helvetica"/>
          <w:b/>
          <w:bCs/>
          <w:color w:val="000000" w:themeColor="text1"/>
          <w:sz w:val="45"/>
          <w:szCs w:val="45"/>
          <w:lang w:eastAsia="fr-FR"/>
        </w:rPr>
        <w:t>□</w:t>
      </w:r>
      <w:r w:rsidRPr="002462E6">
        <w:t xml:space="preserve"> Analphabète</w:t>
      </w:r>
    </w:p>
    <w:p w:rsidR="00BD111D" w:rsidRPr="002462E6" w:rsidRDefault="00BD111D" w:rsidP="00BD111D"/>
    <w:p w:rsidR="00BD111D" w:rsidRPr="002462E6" w:rsidRDefault="00BD111D" w:rsidP="00D051D7">
      <w:pPr>
        <w:pStyle w:val="Paragraphedeliste"/>
        <w:widowControl/>
        <w:numPr>
          <w:ilvl w:val="0"/>
          <w:numId w:val="46"/>
        </w:numPr>
        <w:autoSpaceDE/>
        <w:autoSpaceDN/>
        <w:spacing w:after="160" w:line="259" w:lineRule="auto"/>
        <w:contextualSpacing/>
        <w:jc w:val="left"/>
      </w:pPr>
      <w:r w:rsidRPr="002462E6">
        <w:rPr>
          <w:b/>
          <w:bCs/>
          <w:sz w:val="28"/>
          <w:szCs w:val="28"/>
        </w:rPr>
        <w:t>Etat matrimonial :</w:t>
      </w:r>
      <w:r w:rsidRPr="002462E6">
        <w:br/>
      </w:r>
    </w:p>
    <w:p w:rsidR="00BD111D" w:rsidRPr="002462E6" w:rsidRDefault="00BD111D" w:rsidP="00BD111D">
      <w:pPr>
        <w:ind w:left="1210"/>
      </w:pPr>
      <w:r w:rsidRPr="002462E6">
        <w:rPr>
          <w:rFonts w:ascii="Helvetica" w:eastAsia="Times New Roman" w:hAnsi="Helvetica" w:cs="Helvetica"/>
          <w:b/>
          <w:bCs/>
          <w:color w:val="000000" w:themeColor="text1"/>
          <w:sz w:val="45"/>
          <w:szCs w:val="45"/>
          <w:lang w:eastAsia="fr-FR"/>
        </w:rPr>
        <w:t>□</w:t>
      </w:r>
      <w:r w:rsidRPr="002462E6">
        <w:t>Célibataire</w:t>
      </w:r>
    </w:p>
    <w:p w:rsidR="00BD111D" w:rsidRPr="002462E6" w:rsidRDefault="00BD111D" w:rsidP="00BD111D">
      <w:pPr>
        <w:ind w:left="1210"/>
      </w:pPr>
      <w:r w:rsidRPr="002462E6">
        <w:rPr>
          <w:rFonts w:ascii="Helvetica" w:eastAsia="Times New Roman" w:hAnsi="Helvetica" w:cs="Helvetica"/>
          <w:b/>
          <w:bCs/>
          <w:color w:val="000000" w:themeColor="text1"/>
          <w:sz w:val="45"/>
          <w:szCs w:val="45"/>
          <w:lang w:eastAsia="fr-FR"/>
        </w:rPr>
        <w:t>□</w:t>
      </w:r>
      <w:r w:rsidRPr="002462E6">
        <w:t>Marié</w:t>
      </w:r>
    </w:p>
    <w:p w:rsidR="00BD111D" w:rsidRPr="002462E6" w:rsidRDefault="00BD111D" w:rsidP="00BD111D">
      <w:pPr>
        <w:ind w:left="1210"/>
      </w:pPr>
      <w:r w:rsidRPr="002462E6">
        <w:rPr>
          <w:rFonts w:ascii="Helvetica" w:eastAsia="Times New Roman" w:hAnsi="Helvetica" w:cs="Helvetica"/>
          <w:b/>
          <w:bCs/>
          <w:color w:val="000000" w:themeColor="text1"/>
          <w:sz w:val="45"/>
          <w:szCs w:val="45"/>
          <w:lang w:eastAsia="fr-FR"/>
        </w:rPr>
        <w:t>□</w:t>
      </w:r>
      <w:r w:rsidRPr="002462E6">
        <w:t>Divorcé</w:t>
      </w:r>
    </w:p>
    <w:p w:rsidR="00BD111D" w:rsidRPr="002462E6" w:rsidRDefault="00BD111D" w:rsidP="00BD111D">
      <w:pPr>
        <w:ind w:left="1210"/>
      </w:pPr>
      <w:r w:rsidRPr="002462E6">
        <w:rPr>
          <w:rFonts w:ascii="Helvetica" w:eastAsia="Times New Roman" w:hAnsi="Helvetica" w:cs="Helvetica"/>
          <w:b/>
          <w:bCs/>
          <w:color w:val="000000" w:themeColor="text1"/>
          <w:sz w:val="45"/>
          <w:szCs w:val="45"/>
          <w:lang w:eastAsia="fr-FR"/>
        </w:rPr>
        <w:t>□</w:t>
      </w:r>
      <w:r w:rsidRPr="002462E6">
        <w:t>Veuf</w:t>
      </w:r>
    </w:p>
    <w:p w:rsidR="00BD111D" w:rsidRPr="002462E6" w:rsidRDefault="00BD111D" w:rsidP="00D051D7">
      <w:pPr>
        <w:pStyle w:val="Paragraphedeliste"/>
        <w:widowControl/>
        <w:numPr>
          <w:ilvl w:val="0"/>
          <w:numId w:val="46"/>
        </w:numPr>
        <w:autoSpaceDE/>
        <w:autoSpaceDN/>
        <w:spacing w:after="160" w:line="259" w:lineRule="auto"/>
        <w:contextualSpacing/>
        <w:jc w:val="left"/>
      </w:pPr>
      <w:r w:rsidRPr="002462E6">
        <w:rPr>
          <w:b/>
          <w:bCs/>
          <w:sz w:val="28"/>
          <w:szCs w:val="28"/>
        </w:rPr>
        <w:t>Avez-vous des enfants ?</w:t>
      </w:r>
      <w:r w:rsidRPr="002462E6">
        <w:br/>
      </w:r>
      <w:r w:rsidRPr="002462E6">
        <w:rPr>
          <w:rFonts w:ascii="Helvetica" w:hAnsi="Helvetica" w:cs="Helvetica"/>
          <w:b/>
          <w:bCs/>
          <w:color w:val="000000" w:themeColor="text1"/>
          <w:sz w:val="45"/>
          <w:szCs w:val="45"/>
          <w:lang w:eastAsia="fr-FR"/>
        </w:rPr>
        <w:t>□</w:t>
      </w:r>
      <w:r w:rsidRPr="002462E6">
        <w:rPr>
          <w:color w:val="000000" w:themeColor="text1"/>
        </w:rPr>
        <w:t xml:space="preserve">Oui                     </w:t>
      </w:r>
      <w:r w:rsidRPr="002462E6">
        <w:rPr>
          <w:rFonts w:ascii="Helvetica" w:hAnsi="Helvetica" w:cs="Helvetica"/>
          <w:b/>
          <w:bCs/>
          <w:color w:val="000000" w:themeColor="text1"/>
          <w:sz w:val="45"/>
          <w:szCs w:val="45"/>
          <w:lang w:eastAsia="fr-FR"/>
        </w:rPr>
        <w:t>□</w:t>
      </w:r>
      <w:r w:rsidRPr="002462E6">
        <w:rPr>
          <w:color w:val="000000" w:themeColor="text1"/>
        </w:rPr>
        <w:t>non</w:t>
      </w:r>
    </w:p>
    <w:p w:rsidR="00BD111D" w:rsidRPr="002462E6" w:rsidRDefault="00BD111D" w:rsidP="00BD111D">
      <w:pPr>
        <w:pStyle w:val="Paragraphedeliste"/>
        <w:ind w:left="1210"/>
      </w:pPr>
    </w:p>
    <w:p w:rsidR="00BD111D" w:rsidRPr="002462E6" w:rsidRDefault="00BD111D" w:rsidP="00D051D7">
      <w:pPr>
        <w:pStyle w:val="Paragraphedeliste"/>
        <w:widowControl/>
        <w:numPr>
          <w:ilvl w:val="0"/>
          <w:numId w:val="46"/>
        </w:numPr>
        <w:autoSpaceDE/>
        <w:autoSpaceDN/>
        <w:spacing w:after="160" w:line="259" w:lineRule="auto"/>
        <w:contextualSpacing/>
        <w:jc w:val="left"/>
      </w:pPr>
      <w:r w:rsidRPr="002462E6">
        <w:rPr>
          <w:b/>
          <w:bCs/>
          <w:sz w:val="28"/>
          <w:szCs w:val="28"/>
        </w:rPr>
        <w:t>Si oui, quel est leur nombre ?</w:t>
      </w:r>
      <w:r w:rsidRPr="002462E6">
        <w:br/>
      </w:r>
      <w:r w:rsidRPr="002462E6">
        <w:rPr>
          <w:rFonts w:ascii="Helvetica" w:hAnsi="Helvetica" w:cs="Helvetica"/>
          <w:b/>
          <w:bCs/>
          <w:color w:val="000000" w:themeColor="text1"/>
          <w:sz w:val="45"/>
          <w:szCs w:val="45"/>
          <w:lang w:eastAsia="fr-FR"/>
        </w:rPr>
        <w:t>□</w:t>
      </w:r>
      <w:r w:rsidRPr="002462E6">
        <w:t>1</w:t>
      </w:r>
      <w:r w:rsidRPr="002462E6">
        <w:br/>
      </w:r>
      <w:r w:rsidRPr="002462E6">
        <w:rPr>
          <w:rFonts w:ascii="Helvetica" w:hAnsi="Helvetica" w:cs="Helvetica"/>
          <w:b/>
          <w:bCs/>
          <w:color w:val="000000" w:themeColor="text1"/>
          <w:sz w:val="45"/>
          <w:szCs w:val="45"/>
          <w:lang w:eastAsia="fr-FR"/>
        </w:rPr>
        <w:t>□</w:t>
      </w:r>
      <w:r w:rsidRPr="002462E6">
        <w:t>2</w:t>
      </w:r>
      <w:r w:rsidRPr="002462E6">
        <w:br/>
      </w:r>
      <w:r w:rsidRPr="002462E6">
        <w:rPr>
          <w:rFonts w:ascii="Helvetica" w:hAnsi="Helvetica" w:cs="Helvetica"/>
          <w:b/>
          <w:bCs/>
          <w:color w:val="000000" w:themeColor="text1"/>
          <w:sz w:val="45"/>
          <w:szCs w:val="45"/>
          <w:lang w:eastAsia="fr-FR"/>
        </w:rPr>
        <w:t>□</w:t>
      </w:r>
      <w:r w:rsidRPr="002462E6">
        <w:t>3</w:t>
      </w:r>
      <w:r w:rsidRPr="002462E6">
        <w:br/>
      </w:r>
      <w:r w:rsidRPr="002462E6">
        <w:rPr>
          <w:rFonts w:ascii="Helvetica" w:hAnsi="Helvetica" w:cs="Helvetica"/>
          <w:b/>
          <w:bCs/>
          <w:color w:val="000000" w:themeColor="text1"/>
          <w:sz w:val="45"/>
          <w:szCs w:val="45"/>
          <w:lang w:eastAsia="fr-FR"/>
        </w:rPr>
        <w:t>□</w:t>
      </w:r>
      <w:r w:rsidRPr="002462E6">
        <w:t>4</w:t>
      </w:r>
      <w:r w:rsidRPr="002462E6">
        <w:br/>
      </w:r>
      <w:r w:rsidRPr="002462E6">
        <w:rPr>
          <w:rFonts w:ascii="Helvetica" w:hAnsi="Helvetica" w:cs="Helvetica"/>
          <w:b/>
          <w:bCs/>
          <w:color w:val="000000" w:themeColor="text1"/>
          <w:sz w:val="45"/>
          <w:szCs w:val="45"/>
          <w:lang w:eastAsia="fr-FR"/>
        </w:rPr>
        <w:t>□</w:t>
      </w:r>
      <w:r w:rsidRPr="002462E6">
        <w:t>5</w:t>
      </w:r>
      <w:r w:rsidRPr="002462E6">
        <w:br/>
      </w:r>
      <w:r w:rsidRPr="002462E6">
        <w:rPr>
          <w:rFonts w:ascii="Helvetica" w:hAnsi="Helvetica" w:cs="Helvetica"/>
          <w:b/>
          <w:bCs/>
          <w:color w:val="000000" w:themeColor="text1"/>
          <w:sz w:val="45"/>
          <w:szCs w:val="45"/>
          <w:lang w:eastAsia="fr-FR"/>
        </w:rPr>
        <w:t>□</w:t>
      </w:r>
      <w:r w:rsidRPr="002462E6">
        <w:t>6</w:t>
      </w:r>
    </w:p>
    <w:p w:rsidR="00BD111D" w:rsidRPr="002462E6" w:rsidRDefault="00BD111D" w:rsidP="00BD111D">
      <w:pPr>
        <w:ind w:left="502" w:firstLine="708"/>
      </w:pPr>
      <w:r w:rsidRPr="002462E6">
        <w:rPr>
          <w:rFonts w:ascii="Helvetica" w:eastAsia="Times New Roman" w:hAnsi="Helvetica" w:cs="Helvetica"/>
          <w:b/>
          <w:bCs/>
          <w:color w:val="000000" w:themeColor="text1"/>
          <w:sz w:val="45"/>
          <w:szCs w:val="45"/>
          <w:lang w:eastAsia="fr-FR"/>
        </w:rPr>
        <w:t>□</w:t>
      </w:r>
      <w:r w:rsidRPr="002462E6">
        <w:t xml:space="preserve"> Plus</w:t>
      </w:r>
    </w:p>
    <w:p w:rsidR="00BD111D" w:rsidRPr="002462E6" w:rsidRDefault="00BD111D" w:rsidP="00BD111D">
      <w:pPr>
        <w:ind w:left="502" w:firstLine="708"/>
      </w:pPr>
    </w:p>
    <w:p w:rsidR="00BD111D" w:rsidRPr="002462E6" w:rsidRDefault="00BD111D" w:rsidP="00BD111D">
      <w:pPr>
        <w:ind w:left="502" w:firstLine="708"/>
      </w:pPr>
    </w:p>
    <w:p w:rsidR="00BD111D" w:rsidRPr="002462E6" w:rsidRDefault="00BD111D" w:rsidP="00D051D7">
      <w:pPr>
        <w:pStyle w:val="Paragraphedeliste"/>
        <w:widowControl/>
        <w:numPr>
          <w:ilvl w:val="0"/>
          <w:numId w:val="46"/>
        </w:numPr>
        <w:autoSpaceDE/>
        <w:autoSpaceDN/>
        <w:spacing w:after="160" w:line="259" w:lineRule="auto"/>
        <w:contextualSpacing/>
        <w:jc w:val="left"/>
      </w:pPr>
      <w:r w:rsidRPr="002462E6">
        <w:t xml:space="preserve"> </w:t>
      </w:r>
      <w:r w:rsidRPr="002462E6">
        <w:rPr>
          <w:b/>
          <w:bCs/>
          <w:sz w:val="28"/>
          <w:szCs w:val="28"/>
        </w:rPr>
        <w:t>Quel est leur niveau d’instruction ?</w:t>
      </w:r>
    </w:p>
    <w:tbl>
      <w:tblPr>
        <w:tblW w:w="10206" w:type="dxa"/>
        <w:tblCellMar>
          <w:left w:w="70" w:type="dxa"/>
          <w:right w:w="70" w:type="dxa"/>
        </w:tblCellMar>
        <w:tblLook w:val="04A0" w:firstRow="1" w:lastRow="0" w:firstColumn="1" w:lastColumn="0" w:noHBand="0" w:noVBand="1"/>
      </w:tblPr>
      <w:tblGrid>
        <w:gridCol w:w="1200"/>
        <w:gridCol w:w="1000"/>
        <w:gridCol w:w="797"/>
        <w:gridCol w:w="689"/>
        <w:gridCol w:w="1134"/>
        <w:gridCol w:w="1284"/>
        <w:gridCol w:w="1834"/>
        <w:gridCol w:w="2268"/>
      </w:tblGrid>
      <w:tr w:rsidR="00BD111D" w:rsidRPr="002462E6" w:rsidTr="00AB299B">
        <w:trPr>
          <w:trHeight w:val="315"/>
        </w:trPr>
        <w:tc>
          <w:tcPr>
            <w:tcW w:w="1200" w:type="dxa"/>
            <w:tcBorders>
              <w:top w:val="nil"/>
              <w:left w:val="nil"/>
              <w:bottom w:val="nil"/>
              <w:right w:val="nil"/>
            </w:tcBorders>
            <w:shd w:val="clear" w:color="auto" w:fill="auto"/>
            <w:noWrap/>
            <w:vAlign w:val="bottom"/>
            <w:hideMark/>
          </w:tcPr>
          <w:p w:rsidR="00BD111D" w:rsidRPr="002462E6" w:rsidRDefault="00BD111D" w:rsidP="00AB299B">
            <w:pPr>
              <w:spacing w:after="0" w:line="240" w:lineRule="auto"/>
              <w:rPr>
                <w:rFonts w:ascii="Times New Roman" w:eastAsia="Times New Roman" w:hAnsi="Times New Roman" w:cs="Times New Roman"/>
                <w:sz w:val="24"/>
                <w:szCs w:val="24"/>
                <w:lang w:eastAsia="fr-FR"/>
              </w:rPr>
            </w:pPr>
          </w:p>
        </w:tc>
        <w:tc>
          <w:tcPr>
            <w:tcW w:w="1000" w:type="dxa"/>
            <w:tcBorders>
              <w:top w:val="single" w:sz="8" w:space="0" w:color="auto"/>
              <w:left w:val="single" w:sz="8" w:space="0" w:color="auto"/>
              <w:bottom w:val="single" w:sz="8" w:space="0" w:color="auto"/>
              <w:right w:val="single" w:sz="8" w:space="0" w:color="auto"/>
            </w:tcBorders>
            <w:shd w:val="clear" w:color="auto" w:fill="auto"/>
            <w:noWrap/>
            <w:vAlign w:val="bottom"/>
            <w:hideMark/>
          </w:tcPr>
          <w:p w:rsidR="00BD111D" w:rsidRPr="002462E6" w:rsidRDefault="00BD111D" w:rsidP="00AB299B">
            <w:pPr>
              <w:spacing w:after="0" w:line="240" w:lineRule="auto"/>
              <w:rPr>
                <w:rFonts w:ascii="Calibri" w:eastAsia="Times New Roman" w:hAnsi="Calibri" w:cs="Calibri"/>
                <w:color w:val="000000"/>
                <w:lang w:eastAsia="fr-FR"/>
              </w:rPr>
            </w:pPr>
            <w:r w:rsidRPr="002462E6">
              <w:rPr>
                <w:rFonts w:ascii="Calibri" w:eastAsia="Times New Roman" w:hAnsi="Calibri" w:cs="Calibri"/>
                <w:color w:val="000000"/>
                <w:lang w:eastAsia="fr-FR"/>
              </w:rPr>
              <w:t xml:space="preserve">Primaire </w:t>
            </w:r>
          </w:p>
        </w:tc>
        <w:tc>
          <w:tcPr>
            <w:tcW w:w="797" w:type="dxa"/>
            <w:tcBorders>
              <w:top w:val="single" w:sz="8" w:space="0" w:color="auto"/>
              <w:left w:val="nil"/>
              <w:bottom w:val="single" w:sz="8" w:space="0" w:color="auto"/>
              <w:right w:val="single" w:sz="8" w:space="0" w:color="auto"/>
            </w:tcBorders>
            <w:shd w:val="clear" w:color="auto" w:fill="auto"/>
            <w:noWrap/>
            <w:vAlign w:val="bottom"/>
            <w:hideMark/>
          </w:tcPr>
          <w:p w:rsidR="00BD111D" w:rsidRPr="002462E6" w:rsidRDefault="00BD111D" w:rsidP="00AB299B">
            <w:pPr>
              <w:spacing w:after="0" w:line="240" w:lineRule="auto"/>
              <w:rPr>
                <w:rFonts w:ascii="Calibri" w:eastAsia="Times New Roman" w:hAnsi="Calibri" w:cs="Calibri"/>
                <w:color w:val="000000"/>
                <w:lang w:eastAsia="fr-FR"/>
              </w:rPr>
            </w:pPr>
            <w:r w:rsidRPr="002462E6">
              <w:rPr>
                <w:rFonts w:ascii="Calibri" w:eastAsia="Times New Roman" w:hAnsi="Calibri" w:cs="Calibri"/>
                <w:color w:val="000000"/>
                <w:lang w:eastAsia="fr-FR"/>
              </w:rPr>
              <w:t xml:space="preserve">Collège </w:t>
            </w:r>
          </w:p>
        </w:tc>
        <w:tc>
          <w:tcPr>
            <w:tcW w:w="689" w:type="dxa"/>
            <w:tcBorders>
              <w:top w:val="single" w:sz="8" w:space="0" w:color="auto"/>
              <w:left w:val="nil"/>
              <w:bottom w:val="single" w:sz="8" w:space="0" w:color="auto"/>
              <w:right w:val="single" w:sz="8" w:space="0" w:color="auto"/>
            </w:tcBorders>
            <w:shd w:val="clear" w:color="auto" w:fill="auto"/>
            <w:noWrap/>
            <w:vAlign w:val="bottom"/>
            <w:hideMark/>
          </w:tcPr>
          <w:p w:rsidR="00BD111D" w:rsidRPr="002462E6" w:rsidRDefault="00BD111D" w:rsidP="00AB299B">
            <w:pPr>
              <w:spacing w:after="0" w:line="240" w:lineRule="auto"/>
              <w:rPr>
                <w:rFonts w:ascii="Calibri" w:eastAsia="Times New Roman" w:hAnsi="Calibri" w:cs="Calibri"/>
                <w:color w:val="000000"/>
                <w:lang w:eastAsia="fr-FR"/>
              </w:rPr>
            </w:pPr>
            <w:r w:rsidRPr="002462E6">
              <w:rPr>
                <w:rFonts w:ascii="Calibri" w:eastAsia="Times New Roman" w:hAnsi="Calibri" w:cs="Calibri"/>
                <w:color w:val="000000"/>
                <w:lang w:eastAsia="fr-FR"/>
              </w:rPr>
              <w:t>Lycée</w:t>
            </w:r>
          </w:p>
        </w:tc>
        <w:tc>
          <w:tcPr>
            <w:tcW w:w="1134" w:type="dxa"/>
            <w:tcBorders>
              <w:top w:val="single" w:sz="8" w:space="0" w:color="auto"/>
              <w:left w:val="nil"/>
              <w:bottom w:val="single" w:sz="8" w:space="0" w:color="auto"/>
              <w:right w:val="single" w:sz="8" w:space="0" w:color="auto"/>
            </w:tcBorders>
            <w:shd w:val="clear" w:color="auto" w:fill="auto"/>
            <w:noWrap/>
            <w:vAlign w:val="bottom"/>
            <w:hideMark/>
          </w:tcPr>
          <w:p w:rsidR="00BD111D" w:rsidRPr="002462E6" w:rsidRDefault="00BD111D" w:rsidP="00AB299B">
            <w:pPr>
              <w:spacing w:after="0" w:line="240" w:lineRule="auto"/>
              <w:rPr>
                <w:rFonts w:ascii="Calibri" w:eastAsia="Times New Roman" w:hAnsi="Calibri" w:cs="Calibri"/>
                <w:color w:val="000000"/>
                <w:lang w:eastAsia="fr-FR"/>
              </w:rPr>
            </w:pPr>
            <w:r w:rsidRPr="002462E6">
              <w:rPr>
                <w:rFonts w:ascii="Calibri" w:eastAsia="Times New Roman" w:hAnsi="Calibri" w:cs="Calibri"/>
                <w:color w:val="000000"/>
                <w:lang w:eastAsia="fr-FR"/>
              </w:rPr>
              <w:t>Université</w:t>
            </w:r>
          </w:p>
        </w:tc>
        <w:tc>
          <w:tcPr>
            <w:tcW w:w="1284" w:type="dxa"/>
            <w:tcBorders>
              <w:top w:val="single" w:sz="8" w:space="0" w:color="auto"/>
              <w:left w:val="nil"/>
              <w:bottom w:val="single" w:sz="8" w:space="0" w:color="auto"/>
              <w:right w:val="single" w:sz="8" w:space="0" w:color="auto"/>
            </w:tcBorders>
            <w:shd w:val="clear" w:color="auto" w:fill="auto"/>
            <w:noWrap/>
            <w:vAlign w:val="bottom"/>
            <w:hideMark/>
          </w:tcPr>
          <w:p w:rsidR="00BD111D" w:rsidRPr="002462E6" w:rsidRDefault="00BD111D" w:rsidP="00AB299B">
            <w:pPr>
              <w:spacing w:after="0" w:line="240" w:lineRule="auto"/>
              <w:rPr>
                <w:rFonts w:ascii="Calibri" w:eastAsia="Times New Roman" w:hAnsi="Calibri" w:cs="Calibri"/>
                <w:color w:val="000000"/>
                <w:lang w:eastAsia="fr-FR"/>
              </w:rPr>
            </w:pPr>
            <w:r w:rsidRPr="002462E6">
              <w:rPr>
                <w:rFonts w:ascii="Calibri" w:eastAsia="Times New Roman" w:hAnsi="Calibri" w:cs="Calibri"/>
                <w:color w:val="000000"/>
                <w:lang w:eastAsia="fr-FR"/>
              </w:rPr>
              <w:t>Analphabète</w:t>
            </w:r>
          </w:p>
        </w:tc>
        <w:tc>
          <w:tcPr>
            <w:tcW w:w="1834" w:type="dxa"/>
            <w:tcBorders>
              <w:top w:val="single" w:sz="8" w:space="0" w:color="auto"/>
              <w:left w:val="nil"/>
              <w:bottom w:val="single" w:sz="8" w:space="0" w:color="auto"/>
              <w:right w:val="single" w:sz="8" w:space="0" w:color="auto"/>
            </w:tcBorders>
            <w:shd w:val="clear" w:color="auto" w:fill="auto"/>
            <w:noWrap/>
            <w:vAlign w:val="bottom"/>
            <w:hideMark/>
          </w:tcPr>
          <w:p w:rsidR="00BD111D" w:rsidRPr="002462E6" w:rsidRDefault="00BD111D" w:rsidP="00AB299B">
            <w:pPr>
              <w:spacing w:after="0" w:line="240" w:lineRule="auto"/>
              <w:rPr>
                <w:rFonts w:ascii="Calibri" w:eastAsia="Times New Roman" w:hAnsi="Calibri" w:cs="Calibri"/>
                <w:color w:val="000000"/>
                <w:lang w:eastAsia="fr-FR"/>
              </w:rPr>
            </w:pPr>
            <w:r w:rsidRPr="002462E6">
              <w:rPr>
                <w:rFonts w:ascii="Calibri" w:eastAsia="Times New Roman" w:hAnsi="Calibri" w:cs="Calibri"/>
                <w:color w:val="000000"/>
                <w:lang w:eastAsia="fr-FR"/>
              </w:rPr>
              <w:t>Abandon d’étude</w:t>
            </w:r>
          </w:p>
        </w:tc>
        <w:tc>
          <w:tcPr>
            <w:tcW w:w="2268" w:type="dxa"/>
            <w:tcBorders>
              <w:top w:val="single" w:sz="8" w:space="0" w:color="auto"/>
              <w:left w:val="nil"/>
              <w:bottom w:val="single" w:sz="8" w:space="0" w:color="auto"/>
              <w:right w:val="single" w:sz="8" w:space="0" w:color="auto"/>
            </w:tcBorders>
          </w:tcPr>
          <w:p w:rsidR="00BD111D" w:rsidRPr="002462E6" w:rsidRDefault="00BD111D" w:rsidP="00AB299B">
            <w:pPr>
              <w:spacing w:after="0" w:line="240" w:lineRule="auto"/>
              <w:rPr>
                <w:rFonts w:ascii="Calibri" w:eastAsia="Times New Roman" w:hAnsi="Calibri" w:cs="Calibri"/>
                <w:color w:val="000000"/>
                <w:lang w:eastAsia="fr-FR"/>
              </w:rPr>
            </w:pPr>
            <w:r w:rsidRPr="002462E6">
              <w:rPr>
                <w:rFonts w:ascii="Calibri" w:eastAsia="Times New Roman" w:hAnsi="Calibri" w:cs="Calibri"/>
                <w:color w:val="000000"/>
                <w:lang w:eastAsia="fr-FR"/>
              </w:rPr>
              <w:t>Non atteinte de l’âge d'apprentissage</w:t>
            </w:r>
          </w:p>
        </w:tc>
      </w:tr>
      <w:tr w:rsidR="00BD111D" w:rsidRPr="002462E6" w:rsidTr="00AB299B">
        <w:trPr>
          <w:trHeight w:val="315"/>
        </w:trPr>
        <w:tc>
          <w:tcPr>
            <w:tcW w:w="1200" w:type="dxa"/>
            <w:tcBorders>
              <w:top w:val="single" w:sz="8" w:space="0" w:color="auto"/>
              <w:left w:val="single" w:sz="8" w:space="0" w:color="auto"/>
              <w:bottom w:val="single" w:sz="8" w:space="0" w:color="auto"/>
              <w:right w:val="single" w:sz="8" w:space="0" w:color="auto"/>
            </w:tcBorders>
            <w:shd w:val="clear" w:color="auto" w:fill="auto"/>
            <w:noWrap/>
            <w:vAlign w:val="bottom"/>
            <w:hideMark/>
          </w:tcPr>
          <w:p w:rsidR="00BD111D" w:rsidRPr="002462E6" w:rsidRDefault="00BD111D" w:rsidP="00AB299B">
            <w:pPr>
              <w:spacing w:after="0" w:line="240" w:lineRule="auto"/>
              <w:jc w:val="right"/>
              <w:rPr>
                <w:rFonts w:ascii="Calibri" w:eastAsia="Times New Roman" w:hAnsi="Calibri" w:cs="Calibri"/>
                <w:color w:val="000000"/>
                <w:lang w:eastAsia="fr-FR"/>
              </w:rPr>
            </w:pPr>
            <w:r w:rsidRPr="002462E6">
              <w:rPr>
                <w:rFonts w:ascii="Calibri" w:eastAsia="Times New Roman" w:hAnsi="Calibri" w:cs="Calibri"/>
                <w:color w:val="000000"/>
                <w:lang w:eastAsia="fr-FR"/>
              </w:rPr>
              <w:t>1</w:t>
            </w:r>
          </w:p>
        </w:tc>
        <w:tc>
          <w:tcPr>
            <w:tcW w:w="1000" w:type="dxa"/>
            <w:tcBorders>
              <w:top w:val="nil"/>
              <w:left w:val="nil"/>
              <w:bottom w:val="single" w:sz="8" w:space="0" w:color="auto"/>
              <w:right w:val="single" w:sz="8" w:space="0" w:color="auto"/>
            </w:tcBorders>
            <w:shd w:val="clear" w:color="auto" w:fill="auto"/>
            <w:noWrap/>
            <w:vAlign w:val="bottom"/>
            <w:hideMark/>
          </w:tcPr>
          <w:p w:rsidR="00BD111D" w:rsidRPr="002462E6" w:rsidRDefault="00BD111D" w:rsidP="00AB299B">
            <w:pPr>
              <w:spacing w:after="0" w:line="240" w:lineRule="auto"/>
              <w:rPr>
                <w:rFonts w:ascii="Calibri" w:eastAsia="Times New Roman" w:hAnsi="Calibri" w:cs="Calibri"/>
                <w:color w:val="000000"/>
                <w:lang w:eastAsia="fr-FR"/>
              </w:rPr>
            </w:pPr>
            <w:r w:rsidRPr="002462E6">
              <w:rPr>
                <w:rFonts w:ascii="Calibri" w:eastAsia="Times New Roman" w:hAnsi="Calibri" w:cs="Calibri"/>
                <w:color w:val="000000"/>
                <w:lang w:eastAsia="fr-FR"/>
              </w:rPr>
              <w:t> </w:t>
            </w:r>
          </w:p>
        </w:tc>
        <w:tc>
          <w:tcPr>
            <w:tcW w:w="797" w:type="dxa"/>
            <w:tcBorders>
              <w:top w:val="nil"/>
              <w:left w:val="nil"/>
              <w:bottom w:val="single" w:sz="8" w:space="0" w:color="auto"/>
              <w:right w:val="single" w:sz="8" w:space="0" w:color="auto"/>
            </w:tcBorders>
            <w:shd w:val="clear" w:color="auto" w:fill="auto"/>
            <w:noWrap/>
            <w:vAlign w:val="bottom"/>
            <w:hideMark/>
          </w:tcPr>
          <w:p w:rsidR="00BD111D" w:rsidRPr="002462E6" w:rsidRDefault="00BD111D" w:rsidP="00AB299B">
            <w:pPr>
              <w:spacing w:after="0" w:line="240" w:lineRule="auto"/>
              <w:rPr>
                <w:rFonts w:ascii="Calibri" w:eastAsia="Times New Roman" w:hAnsi="Calibri" w:cs="Calibri"/>
                <w:color w:val="000000"/>
                <w:lang w:eastAsia="fr-FR"/>
              </w:rPr>
            </w:pPr>
            <w:r w:rsidRPr="002462E6">
              <w:rPr>
                <w:rFonts w:ascii="Calibri" w:eastAsia="Times New Roman" w:hAnsi="Calibri" w:cs="Calibri"/>
                <w:color w:val="000000"/>
                <w:lang w:eastAsia="fr-FR"/>
              </w:rPr>
              <w:t> </w:t>
            </w:r>
          </w:p>
        </w:tc>
        <w:tc>
          <w:tcPr>
            <w:tcW w:w="689" w:type="dxa"/>
            <w:tcBorders>
              <w:top w:val="nil"/>
              <w:left w:val="nil"/>
              <w:bottom w:val="single" w:sz="8" w:space="0" w:color="auto"/>
              <w:right w:val="single" w:sz="8" w:space="0" w:color="auto"/>
            </w:tcBorders>
            <w:shd w:val="clear" w:color="auto" w:fill="auto"/>
            <w:noWrap/>
            <w:vAlign w:val="bottom"/>
            <w:hideMark/>
          </w:tcPr>
          <w:p w:rsidR="00BD111D" w:rsidRPr="002462E6" w:rsidRDefault="00BD111D" w:rsidP="00AB299B">
            <w:pPr>
              <w:spacing w:after="0" w:line="240" w:lineRule="auto"/>
              <w:rPr>
                <w:rFonts w:ascii="Calibri" w:eastAsia="Times New Roman" w:hAnsi="Calibri" w:cs="Calibri"/>
                <w:color w:val="000000"/>
                <w:lang w:eastAsia="fr-FR"/>
              </w:rPr>
            </w:pPr>
            <w:r w:rsidRPr="002462E6">
              <w:rPr>
                <w:rFonts w:ascii="Calibri" w:eastAsia="Times New Roman" w:hAnsi="Calibri" w:cs="Calibri"/>
                <w:color w:val="000000"/>
                <w:lang w:eastAsia="fr-FR"/>
              </w:rPr>
              <w:t> </w:t>
            </w:r>
          </w:p>
        </w:tc>
        <w:tc>
          <w:tcPr>
            <w:tcW w:w="1134" w:type="dxa"/>
            <w:tcBorders>
              <w:top w:val="nil"/>
              <w:left w:val="nil"/>
              <w:bottom w:val="single" w:sz="8" w:space="0" w:color="auto"/>
              <w:right w:val="single" w:sz="8" w:space="0" w:color="auto"/>
            </w:tcBorders>
            <w:shd w:val="clear" w:color="auto" w:fill="auto"/>
            <w:noWrap/>
            <w:vAlign w:val="bottom"/>
            <w:hideMark/>
          </w:tcPr>
          <w:p w:rsidR="00BD111D" w:rsidRPr="002462E6" w:rsidRDefault="00BD111D" w:rsidP="00AB299B">
            <w:pPr>
              <w:spacing w:after="0" w:line="240" w:lineRule="auto"/>
              <w:rPr>
                <w:rFonts w:ascii="Calibri" w:eastAsia="Times New Roman" w:hAnsi="Calibri" w:cs="Calibri"/>
                <w:color w:val="000000"/>
                <w:lang w:eastAsia="fr-FR"/>
              </w:rPr>
            </w:pPr>
            <w:r w:rsidRPr="002462E6">
              <w:rPr>
                <w:rFonts w:ascii="Calibri" w:eastAsia="Times New Roman" w:hAnsi="Calibri" w:cs="Calibri"/>
                <w:color w:val="000000"/>
                <w:lang w:eastAsia="fr-FR"/>
              </w:rPr>
              <w:t> </w:t>
            </w:r>
          </w:p>
        </w:tc>
        <w:tc>
          <w:tcPr>
            <w:tcW w:w="1284" w:type="dxa"/>
            <w:tcBorders>
              <w:top w:val="nil"/>
              <w:left w:val="nil"/>
              <w:bottom w:val="single" w:sz="8" w:space="0" w:color="auto"/>
              <w:right w:val="single" w:sz="8" w:space="0" w:color="auto"/>
            </w:tcBorders>
            <w:shd w:val="clear" w:color="auto" w:fill="auto"/>
            <w:noWrap/>
            <w:vAlign w:val="bottom"/>
            <w:hideMark/>
          </w:tcPr>
          <w:p w:rsidR="00BD111D" w:rsidRPr="002462E6" w:rsidRDefault="00BD111D" w:rsidP="00AB299B">
            <w:pPr>
              <w:spacing w:after="0" w:line="240" w:lineRule="auto"/>
              <w:rPr>
                <w:rFonts w:ascii="Calibri" w:eastAsia="Times New Roman" w:hAnsi="Calibri" w:cs="Calibri"/>
                <w:color w:val="000000"/>
                <w:lang w:eastAsia="fr-FR"/>
              </w:rPr>
            </w:pPr>
            <w:r w:rsidRPr="002462E6">
              <w:rPr>
                <w:rFonts w:ascii="Calibri" w:eastAsia="Times New Roman" w:hAnsi="Calibri" w:cs="Calibri"/>
                <w:color w:val="000000"/>
                <w:lang w:eastAsia="fr-FR"/>
              </w:rPr>
              <w:t> </w:t>
            </w:r>
          </w:p>
        </w:tc>
        <w:tc>
          <w:tcPr>
            <w:tcW w:w="1834" w:type="dxa"/>
            <w:tcBorders>
              <w:top w:val="nil"/>
              <w:left w:val="nil"/>
              <w:bottom w:val="single" w:sz="8" w:space="0" w:color="auto"/>
              <w:right w:val="single" w:sz="8" w:space="0" w:color="auto"/>
            </w:tcBorders>
            <w:shd w:val="clear" w:color="auto" w:fill="auto"/>
            <w:noWrap/>
            <w:vAlign w:val="bottom"/>
            <w:hideMark/>
          </w:tcPr>
          <w:p w:rsidR="00BD111D" w:rsidRPr="002462E6" w:rsidRDefault="00BD111D" w:rsidP="00AB299B">
            <w:pPr>
              <w:spacing w:after="0" w:line="240" w:lineRule="auto"/>
              <w:rPr>
                <w:rFonts w:ascii="Calibri" w:eastAsia="Times New Roman" w:hAnsi="Calibri" w:cs="Calibri"/>
                <w:color w:val="000000"/>
                <w:lang w:eastAsia="fr-FR"/>
              </w:rPr>
            </w:pPr>
            <w:r w:rsidRPr="002462E6">
              <w:rPr>
                <w:rFonts w:ascii="Calibri" w:eastAsia="Times New Roman" w:hAnsi="Calibri" w:cs="Calibri"/>
                <w:color w:val="000000"/>
                <w:lang w:eastAsia="fr-FR"/>
              </w:rPr>
              <w:t> </w:t>
            </w:r>
          </w:p>
        </w:tc>
        <w:tc>
          <w:tcPr>
            <w:tcW w:w="2268" w:type="dxa"/>
            <w:tcBorders>
              <w:top w:val="nil"/>
              <w:left w:val="nil"/>
              <w:bottom w:val="single" w:sz="8" w:space="0" w:color="auto"/>
              <w:right w:val="single" w:sz="8" w:space="0" w:color="auto"/>
            </w:tcBorders>
          </w:tcPr>
          <w:p w:rsidR="00BD111D" w:rsidRPr="002462E6" w:rsidRDefault="00BD111D" w:rsidP="00AB299B">
            <w:pPr>
              <w:spacing w:after="0" w:line="240" w:lineRule="auto"/>
              <w:rPr>
                <w:rFonts w:ascii="Calibri" w:eastAsia="Times New Roman" w:hAnsi="Calibri" w:cs="Calibri"/>
                <w:color w:val="000000"/>
                <w:lang w:eastAsia="fr-FR"/>
              </w:rPr>
            </w:pPr>
          </w:p>
        </w:tc>
      </w:tr>
      <w:tr w:rsidR="00BD111D" w:rsidRPr="002462E6" w:rsidTr="00AB299B">
        <w:trPr>
          <w:trHeight w:val="315"/>
        </w:trPr>
        <w:tc>
          <w:tcPr>
            <w:tcW w:w="1200" w:type="dxa"/>
            <w:tcBorders>
              <w:top w:val="nil"/>
              <w:left w:val="single" w:sz="8" w:space="0" w:color="auto"/>
              <w:bottom w:val="single" w:sz="8" w:space="0" w:color="auto"/>
              <w:right w:val="single" w:sz="8" w:space="0" w:color="auto"/>
            </w:tcBorders>
            <w:shd w:val="clear" w:color="auto" w:fill="auto"/>
            <w:noWrap/>
            <w:vAlign w:val="bottom"/>
            <w:hideMark/>
          </w:tcPr>
          <w:p w:rsidR="00BD111D" w:rsidRPr="002462E6" w:rsidRDefault="00BD111D" w:rsidP="00AB299B">
            <w:pPr>
              <w:spacing w:after="0" w:line="240" w:lineRule="auto"/>
              <w:jc w:val="right"/>
              <w:rPr>
                <w:rFonts w:ascii="Calibri" w:eastAsia="Times New Roman" w:hAnsi="Calibri" w:cs="Calibri"/>
                <w:color w:val="000000"/>
                <w:lang w:eastAsia="fr-FR"/>
              </w:rPr>
            </w:pPr>
            <w:r w:rsidRPr="002462E6">
              <w:rPr>
                <w:rFonts w:ascii="Calibri" w:eastAsia="Times New Roman" w:hAnsi="Calibri" w:cs="Calibri"/>
                <w:color w:val="000000"/>
                <w:lang w:eastAsia="fr-FR"/>
              </w:rPr>
              <w:t>2</w:t>
            </w:r>
          </w:p>
        </w:tc>
        <w:tc>
          <w:tcPr>
            <w:tcW w:w="1000" w:type="dxa"/>
            <w:tcBorders>
              <w:top w:val="nil"/>
              <w:left w:val="nil"/>
              <w:bottom w:val="single" w:sz="8" w:space="0" w:color="auto"/>
              <w:right w:val="single" w:sz="8" w:space="0" w:color="auto"/>
            </w:tcBorders>
            <w:shd w:val="clear" w:color="auto" w:fill="auto"/>
            <w:noWrap/>
            <w:vAlign w:val="bottom"/>
            <w:hideMark/>
          </w:tcPr>
          <w:p w:rsidR="00BD111D" w:rsidRPr="002462E6" w:rsidRDefault="00BD111D" w:rsidP="00AB299B">
            <w:pPr>
              <w:spacing w:after="0" w:line="240" w:lineRule="auto"/>
              <w:rPr>
                <w:rFonts w:ascii="Calibri" w:eastAsia="Times New Roman" w:hAnsi="Calibri" w:cs="Calibri"/>
                <w:color w:val="000000"/>
                <w:lang w:eastAsia="fr-FR"/>
              </w:rPr>
            </w:pPr>
            <w:r w:rsidRPr="002462E6">
              <w:rPr>
                <w:rFonts w:ascii="Calibri" w:eastAsia="Times New Roman" w:hAnsi="Calibri" w:cs="Calibri"/>
                <w:color w:val="000000"/>
                <w:lang w:eastAsia="fr-FR"/>
              </w:rPr>
              <w:t> </w:t>
            </w:r>
          </w:p>
        </w:tc>
        <w:tc>
          <w:tcPr>
            <w:tcW w:w="797" w:type="dxa"/>
            <w:tcBorders>
              <w:top w:val="nil"/>
              <w:left w:val="nil"/>
              <w:bottom w:val="single" w:sz="8" w:space="0" w:color="auto"/>
              <w:right w:val="single" w:sz="8" w:space="0" w:color="auto"/>
            </w:tcBorders>
            <w:shd w:val="clear" w:color="auto" w:fill="auto"/>
            <w:noWrap/>
            <w:vAlign w:val="bottom"/>
            <w:hideMark/>
          </w:tcPr>
          <w:p w:rsidR="00BD111D" w:rsidRPr="002462E6" w:rsidRDefault="00BD111D" w:rsidP="00AB299B">
            <w:pPr>
              <w:spacing w:after="0" w:line="240" w:lineRule="auto"/>
              <w:rPr>
                <w:rFonts w:ascii="Calibri" w:eastAsia="Times New Roman" w:hAnsi="Calibri" w:cs="Calibri"/>
                <w:color w:val="000000"/>
                <w:lang w:eastAsia="fr-FR"/>
              </w:rPr>
            </w:pPr>
            <w:r w:rsidRPr="002462E6">
              <w:rPr>
                <w:rFonts w:ascii="Calibri" w:eastAsia="Times New Roman" w:hAnsi="Calibri" w:cs="Calibri"/>
                <w:color w:val="000000"/>
                <w:lang w:eastAsia="fr-FR"/>
              </w:rPr>
              <w:t> </w:t>
            </w:r>
          </w:p>
        </w:tc>
        <w:tc>
          <w:tcPr>
            <w:tcW w:w="689" w:type="dxa"/>
            <w:tcBorders>
              <w:top w:val="nil"/>
              <w:left w:val="nil"/>
              <w:bottom w:val="single" w:sz="8" w:space="0" w:color="auto"/>
              <w:right w:val="single" w:sz="8" w:space="0" w:color="auto"/>
            </w:tcBorders>
            <w:shd w:val="clear" w:color="auto" w:fill="auto"/>
            <w:noWrap/>
            <w:vAlign w:val="bottom"/>
            <w:hideMark/>
          </w:tcPr>
          <w:p w:rsidR="00BD111D" w:rsidRPr="002462E6" w:rsidRDefault="00BD111D" w:rsidP="00AB299B">
            <w:pPr>
              <w:spacing w:after="0" w:line="240" w:lineRule="auto"/>
              <w:rPr>
                <w:rFonts w:ascii="Calibri" w:eastAsia="Times New Roman" w:hAnsi="Calibri" w:cs="Calibri"/>
                <w:color w:val="000000"/>
                <w:lang w:eastAsia="fr-FR"/>
              </w:rPr>
            </w:pPr>
            <w:r w:rsidRPr="002462E6">
              <w:rPr>
                <w:rFonts w:ascii="Calibri" w:eastAsia="Times New Roman" w:hAnsi="Calibri" w:cs="Calibri"/>
                <w:color w:val="000000"/>
                <w:lang w:eastAsia="fr-FR"/>
              </w:rPr>
              <w:t> </w:t>
            </w:r>
          </w:p>
        </w:tc>
        <w:tc>
          <w:tcPr>
            <w:tcW w:w="1134" w:type="dxa"/>
            <w:tcBorders>
              <w:top w:val="nil"/>
              <w:left w:val="nil"/>
              <w:bottom w:val="single" w:sz="8" w:space="0" w:color="auto"/>
              <w:right w:val="single" w:sz="8" w:space="0" w:color="auto"/>
            </w:tcBorders>
            <w:shd w:val="clear" w:color="auto" w:fill="auto"/>
            <w:noWrap/>
            <w:vAlign w:val="bottom"/>
            <w:hideMark/>
          </w:tcPr>
          <w:p w:rsidR="00BD111D" w:rsidRPr="002462E6" w:rsidRDefault="00BD111D" w:rsidP="00AB299B">
            <w:pPr>
              <w:spacing w:after="0" w:line="240" w:lineRule="auto"/>
              <w:rPr>
                <w:rFonts w:ascii="Calibri" w:eastAsia="Times New Roman" w:hAnsi="Calibri" w:cs="Calibri"/>
                <w:color w:val="000000"/>
                <w:lang w:eastAsia="fr-FR"/>
              </w:rPr>
            </w:pPr>
            <w:r w:rsidRPr="002462E6">
              <w:rPr>
                <w:rFonts w:ascii="Calibri" w:eastAsia="Times New Roman" w:hAnsi="Calibri" w:cs="Calibri"/>
                <w:color w:val="000000"/>
                <w:lang w:eastAsia="fr-FR"/>
              </w:rPr>
              <w:t> </w:t>
            </w:r>
          </w:p>
        </w:tc>
        <w:tc>
          <w:tcPr>
            <w:tcW w:w="1284" w:type="dxa"/>
            <w:tcBorders>
              <w:top w:val="nil"/>
              <w:left w:val="nil"/>
              <w:bottom w:val="single" w:sz="8" w:space="0" w:color="auto"/>
              <w:right w:val="single" w:sz="8" w:space="0" w:color="auto"/>
            </w:tcBorders>
            <w:shd w:val="clear" w:color="auto" w:fill="auto"/>
            <w:noWrap/>
            <w:vAlign w:val="bottom"/>
            <w:hideMark/>
          </w:tcPr>
          <w:p w:rsidR="00BD111D" w:rsidRPr="002462E6" w:rsidRDefault="00BD111D" w:rsidP="00AB299B">
            <w:pPr>
              <w:spacing w:after="0" w:line="240" w:lineRule="auto"/>
              <w:rPr>
                <w:rFonts w:ascii="Calibri" w:eastAsia="Times New Roman" w:hAnsi="Calibri" w:cs="Calibri"/>
                <w:color w:val="000000"/>
                <w:lang w:eastAsia="fr-FR"/>
              </w:rPr>
            </w:pPr>
            <w:r w:rsidRPr="002462E6">
              <w:rPr>
                <w:rFonts w:ascii="Calibri" w:eastAsia="Times New Roman" w:hAnsi="Calibri" w:cs="Calibri"/>
                <w:color w:val="000000"/>
                <w:lang w:eastAsia="fr-FR"/>
              </w:rPr>
              <w:t> </w:t>
            </w:r>
          </w:p>
        </w:tc>
        <w:tc>
          <w:tcPr>
            <w:tcW w:w="1834" w:type="dxa"/>
            <w:tcBorders>
              <w:top w:val="nil"/>
              <w:left w:val="nil"/>
              <w:bottom w:val="single" w:sz="8" w:space="0" w:color="auto"/>
              <w:right w:val="single" w:sz="8" w:space="0" w:color="auto"/>
            </w:tcBorders>
            <w:shd w:val="clear" w:color="auto" w:fill="auto"/>
            <w:noWrap/>
            <w:vAlign w:val="bottom"/>
            <w:hideMark/>
          </w:tcPr>
          <w:p w:rsidR="00BD111D" w:rsidRPr="002462E6" w:rsidRDefault="00BD111D" w:rsidP="00AB299B">
            <w:pPr>
              <w:spacing w:after="0" w:line="240" w:lineRule="auto"/>
              <w:rPr>
                <w:rFonts w:ascii="Calibri" w:eastAsia="Times New Roman" w:hAnsi="Calibri" w:cs="Calibri"/>
                <w:color w:val="000000"/>
                <w:lang w:eastAsia="fr-FR"/>
              </w:rPr>
            </w:pPr>
            <w:r w:rsidRPr="002462E6">
              <w:rPr>
                <w:rFonts w:ascii="Calibri" w:eastAsia="Times New Roman" w:hAnsi="Calibri" w:cs="Calibri"/>
                <w:color w:val="000000"/>
                <w:lang w:eastAsia="fr-FR"/>
              </w:rPr>
              <w:t> </w:t>
            </w:r>
          </w:p>
        </w:tc>
        <w:tc>
          <w:tcPr>
            <w:tcW w:w="2268" w:type="dxa"/>
            <w:tcBorders>
              <w:top w:val="nil"/>
              <w:left w:val="nil"/>
              <w:bottom w:val="single" w:sz="8" w:space="0" w:color="auto"/>
              <w:right w:val="single" w:sz="8" w:space="0" w:color="auto"/>
            </w:tcBorders>
          </w:tcPr>
          <w:p w:rsidR="00BD111D" w:rsidRPr="002462E6" w:rsidRDefault="00BD111D" w:rsidP="00AB299B">
            <w:pPr>
              <w:spacing w:after="0" w:line="240" w:lineRule="auto"/>
              <w:rPr>
                <w:rFonts w:ascii="Calibri" w:eastAsia="Times New Roman" w:hAnsi="Calibri" w:cs="Calibri"/>
                <w:color w:val="000000"/>
                <w:lang w:eastAsia="fr-FR"/>
              </w:rPr>
            </w:pPr>
          </w:p>
        </w:tc>
      </w:tr>
      <w:tr w:rsidR="00BD111D" w:rsidRPr="002462E6" w:rsidTr="00AB299B">
        <w:trPr>
          <w:trHeight w:val="315"/>
        </w:trPr>
        <w:tc>
          <w:tcPr>
            <w:tcW w:w="1200" w:type="dxa"/>
            <w:tcBorders>
              <w:top w:val="nil"/>
              <w:left w:val="single" w:sz="8" w:space="0" w:color="auto"/>
              <w:bottom w:val="single" w:sz="8" w:space="0" w:color="auto"/>
              <w:right w:val="single" w:sz="8" w:space="0" w:color="auto"/>
            </w:tcBorders>
            <w:shd w:val="clear" w:color="auto" w:fill="auto"/>
            <w:noWrap/>
            <w:vAlign w:val="bottom"/>
            <w:hideMark/>
          </w:tcPr>
          <w:p w:rsidR="00BD111D" w:rsidRPr="002462E6" w:rsidRDefault="00BD111D" w:rsidP="00AB299B">
            <w:pPr>
              <w:spacing w:after="0" w:line="240" w:lineRule="auto"/>
              <w:jc w:val="right"/>
              <w:rPr>
                <w:rFonts w:ascii="Calibri" w:eastAsia="Times New Roman" w:hAnsi="Calibri" w:cs="Calibri"/>
                <w:color w:val="000000"/>
                <w:lang w:eastAsia="fr-FR"/>
              </w:rPr>
            </w:pPr>
            <w:r w:rsidRPr="002462E6">
              <w:rPr>
                <w:rFonts w:ascii="Calibri" w:eastAsia="Times New Roman" w:hAnsi="Calibri" w:cs="Calibri"/>
                <w:color w:val="000000"/>
                <w:lang w:eastAsia="fr-FR"/>
              </w:rPr>
              <w:t>3</w:t>
            </w:r>
          </w:p>
        </w:tc>
        <w:tc>
          <w:tcPr>
            <w:tcW w:w="1000" w:type="dxa"/>
            <w:tcBorders>
              <w:top w:val="nil"/>
              <w:left w:val="nil"/>
              <w:bottom w:val="single" w:sz="8" w:space="0" w:color="auto"/>
              <w:right w:val="single" w:sz="8" w:space="0" w:color="auto"/>
            </w:tcBorders>
            <w:shd w:val="clear" w:color="auto" w:fill="auto"/>
            <w:noWrap/>
            <w:vAlign w:val="bottom"/>
            <w:hideMark/>
          </w:tcPr>
          <w:p w:rsidR="00BD111D" w:rsidRPr="002462E6" w:rsidRDefault="00BD111D" w:rsidP="00AB299B">
            <w:pPr>
              <w:spacing w:after="0" w:line="240" w:lineRule="auto"/>
              <w:rPr>
                <w:rFonts w:ascii="Calibri" w:eastAsia="Times New Roman" w:hAnsi="Calibri" w:cs="Calibri"/>
                <w:color w:val="000000"/>
                <w:lang w:eastAsia="fr-FR"/>
              </w:rPr>
            </w:pPr>
            <w:r w:rsidRPr="002462E6">
              <w:rPr>
                <w:rFonts w:ascii="Calibri" w:eastAsia="Times New Roman" w:hAnsi="Calibri" w:cs="Calibri"/>
                <w:color w:val="000000"/>
                <w:lang w:eastAsia="fr-FR"/>
              </w:rPr>
              <w:t> </w:t>
            </w:r>
          </w:p>
        </w:tc>
        <w:tc>
          <w:tcPr>
            <w:tcW w:w="797" w:type="dxa"/>
            <w:tcBorders>
              <w:top w:val="nil"/>
              <w:left w:val="nil"/>
              <w:bottom w:val="single" w:sz="8" w:space="0" w:color="auto"/>
              <w:right w:val="single" w:sz="8" w:space="0" w:color="auto"/>
            </w:tcBorders>
            <w:shd w:val="clear" w:color="auto" w:fill="auto"/>
            <w:noWrap/>
            <w:vAlign w:val="bottom"/>
            <w:hideMark/>
          </w:tcPr>
          <w:p w:rsidR="00BD111D" w:rsidRPr="002462E6" w:rsidRDefault="00BD111D" w:rsidP="00AB299B">
            <w:pPr>
              <w:spacing w:after="0" w:line="240" w:lineRule="auto"/>
              <w:rPr>
                <w:rFonts w:ascii="Calibri" w:eastAsia="Times New Roman" w:hAnsi="Calibri" w:cs="Calibri"/>
                <w:color w:val="000000"/>
                <w:lang w:eastAsia="fr-FR"/>
              </w:rPr>
            </w:pPr>
            <w:r w:rsidRPr="002462E6">
              <w:rPr>
                <w:rFonts w:ascii="Calibri" w:eastAsia="Times New Roman" w:hAnsi="Calibri" w:cs="Calibri"/>
                <w:color w:val="000000"/>
                <w:lang w:eastAsia="fr-FR"/>
              </w:rPr>
              <w:t> </w:t>
            </w:r>
          </w:p>
        </w:tc>
        <w:tc>
          <w:tcPr>
            <w:tcW w:w="689" w:type="dxa"/>
            <w:tcBorders>
              <w:top w:val="nil"/>
              <w:left w:val="nil"/>
              <w:bottom w:val="single" w:sz="8" w:space="0" w:color="auto"/>
              <w:right w:val="single" w:sz="8" w:space="0" w:color="auto"/>
            </w:tcBorders>
            <w:shd w:val="clear" w:color="auto" w:fill="auto"/>
            <w:noWrap/>
            <w:vAlign w:val="bottom"/>
            <w:hideMark/>
          </w:tcPr>
          <w:p w:rsidR="00BD111D" w:rsidRPr="002462E6" w:rsidRDefault="00BD111D" w:rsidP="00AB299B">
            <w:pPr>
              <w:spacing w:after="0" w:line="240" w:lineRule="auto"/>
              <w:rPr>
                <w:rFonts w:ascii="Calibri" w:eastAsia="Times New Roman" w:hAnsi="Calibri" w:cs="Calibri"/>
                <w:color w:val="000000"/>
                <w:lang w:eastAsia="fr-FR"/>
              </w:rPr>
            </w:pPr>
            <w:r w:rsidRPr="002462E6">
              <w:rPr>
                <w:rFonts w:ascii="Calibri" w:eastAsia="Times New Roman" w:hAnsi="Calibri" w:cs="Calibri"/>
                <w:color w:val="000000"/>
                <w:lang w:eastAsia="fr-FR"/>
              </w:rPr>
              <w:t> </w:t>
            </w:r>
          </w:p>
        </w:tc>
        <w:tc>
          <w:tcPr>
            <w:tcW w:w="1134" w:type="dxa"/>
            <w:tcBorders>
              <w:top w:val="nil"/>
              <w:left w:val="nil"/>
              <w:bottom w:val="single" w:sz="8" w:space="0" w:color="auto"/>
              <w:right w:val="single" w:sz="8" w:space="0" w:color="auto"/>
            </w:tcBorders>
            <w:shd w:val="clear" w:color="auto" w:fill="auto"/>
            <w:noWrap/>
            <w:vAlign w:val="bottom"/>
            <w:hideMark/>
          </w:tcPr>
          <w:p w:rsidR="00BD111D" w:rsidRPr="002462E6" w:rsidRDefault="00BD111D" w:rsidP="00AB299B">
            <w:pPr>
              <w:spacing w:after="0" w:line="240" w:lineRule="auto"/>
              <w:rPr>
                <w:rFonts w:ascii="Calibri" w:eastAsia="Times New Roman" w:hAnsi="Calibri" w:cs="Calibri"/>
                <w:color w:val="000000"/>
                <w:lang w:eastAsia="fr-FR"/>
              </w:rPr>
            </w:pPr>
            <w:r w:rsidRPr="002462E6">
              <w:rPr>
                <w:rFonts w:ascii="Calibri" w:eastAsia="Times New Roman" w:hAnsi="Calibri" w:cs="Calibri"/>
                <w:color w:val="000000"/>
                <w:lang w:eastAsia="fr-FR"/>
              </w:rPr>
              <w:t> </w:t>
            </w:r>
          </w:p>
        </w:tc>
        <w:tc>
          <w:tcPr>
            <w:tcW w:w="1284" w:type="dxa"/>
            <w:tcBorders>
              <w:top w:val="nil"/>
              <w:left w:val="nil"/>
              <w:bottom w:val="single" w:sz="8" w:space="0" w:color="auto"/>
              <w:right w:val="single" w:sz="8" w:space="0" w:color="auto"/>
            </w:tcBorders>
            <w:shd w:val="clear" w:color="auto" w:fill="auto"/>
            <w:noWrap/>
            <w:vAlign w:val="bottom"/>
            <w:hideMark/>
          </w:tcPr>
          <w:p w:rsidR="00BD111D" w:rsidRPr="002462E6" w:rsidRDefault="00BD111D" w:rsidP="00AB299B">
            <w:pPr>
              <w:spacing w:after="0" w:line="240" w:lineRule="auto"/>
              <w:rPr>
                <w:rFonts w:ascii="Calibri" w:eastAsia="Times New Roman" w:hAnsi="Calibri" w:cs="Calibri"/>
                <w:color w:val="000000"/>
                <w:lang w:eastAsia="fr-FR"/>
              </w:rPr>
            </w:pPr>
            <w:r w:rsidRPr="002462E6">
              <w:rPr>
                <w:rFonts w:ascii="Calibri" w:eastAsia="Times New Roman" w:hAnsi="Calibri" w:cs="Calibri"/>
                <w:color w:val="000000"/>
                <w:lang w:eastAsia="fr-FR"/>
              </w:rPr>
              <w:t> </w:t>
            </w:r>
          </w:p>
        </w:tc>
        <w:tc>
          <w:tcPr>
            <w:tcW w:w="1834" w:type="dxa"/>
            <w:tcBorders>
              <w:top w:val="nil"/>
              <w:left w:val="nil"/>
              <w:bottom w:val="single" w:sz="8" w:space="0" w:color="auto"/>
              <w:right w:val="single" w:sz="8" w:space="0" w:color="auto"/>
            </w:tcBorders>
            <w:shd w:val="clear" w:color="auto" w:fill="auto"/>
            <w:noWrap/>
            <w:vAlign w:val="bottom"/>
            <w:hideMark/>
          </w:tcPr>
          <w:p w:rsidR="00BD111D" w:rsidRPr="002462E6" w:rsidRDefault="00BD111D" w:rsidP="00AB299B">
            <w:pPr>
              <w:spacing w:after="0" w:line="240" w:lineRule="auto"/>
              <w:rPr>
                <w:rFonts w:ascii="Calibri" w:eastAsia="Times New Roman" w:hAnsi="Calibri" w:cs="Calibri"/>
                <w:color w:val="000000"/>
                <w:lang w:eastAsia="fr-FR"/>
              </w:rPr>
            </w:pPr>
            <w:r w:rsidRPr="002462E6">
              <w:rPr>
                <w:rFonts w:ascii="Calibri" w:eastAsia="Times New Roman" w:hAnsi="Calibri" w:cs="Calibri"/>
                <w:color w:val="000000"/>
                <w:lang w:eastAsia="fr-FR"/>
              </w:rPr>
              <w:t> </w:t>
            </w:r>
          </w:p>
        </w:tc>
        <w:tc>
          <w:tcPr>
            <w:tcW w:w="2268" w:type="dxa"/>
            <w:tcBorders>
              <w:top w:val="nil"/>
              <w:left w:val="nil"/>
              <w:bottom w:val="single" w:sz="8" w:space="0" w:color="auto"/>
              <w:right w:val="single" w:sz="8" w:space="0" w:color="auto"/>
            </w:tcBorders>
          </w:tcPr>
          <w:p w:rsidR="00BD111D" w:rsidRPr="002462E6" w:rsidRDefault="00BD111D" w:rsidP="00AB299B">
            <w:pPr>
              <w:spacing w:after="0" w:line="240" w:lineRule="auto"/>
              <w:rPr>
                <w:rFonts w:ascii="Calibri" w:eastAsia="Times New Roman" w:hAnsi="Calibri" w:cs="Calibri"/>
                <w:color w:val="000000"/>
                <w:lang w:eastAsia="fr-FR"/>
              </w:rPr>
            </w:pPr>
          </w:p>
        </w:tc>
      </w:tr>
      <w:tr w:rsidR="00BD111D" w:rsidRPr="002462E6" w:rsidTr="00AB299B">
        <w:trPr>
          <w:trHeight w:val="315"/>
        </w:trPr>
        <w:tc>
          <w:tcPr>
            <w:tcW w:w="1200" w:type="dxa"/>
            <w:tcBorders>
              <w:top w:val="nil"/>
              <w:left w:val="single" w:sz="8" w:space="0" w:color="auto"/>
              <w:bottom w:val="single" w:sz="8" w:space="0" w:color="auto"/>
              <w:right w:val="single" w:sz="8" w:space="0" w:color="auto"/>
            </w:tcBorders>
            <w:shd w:val="clear" w:color="auto" w:fill="auto"/>
            <w:noWrap/>
            <w:vAlign w:val="bottom"/>
            <w:hideMark/>
          </w:tcPr>
          <w:p w:rsidR="00BD111D" w:rsidRPr="002462E6" w:rsidRDefault="00BD111D" w:rsidP="00AB299B">
            <w:pPr>
              <w:spacing w:after="0" w:line="240" w:lineRule="auto"/>
              <w:jc w:val="right"/>
              <w:rPr>
                <w:rFonts w:ascii="Calibri" w:eastAsia="Times New Roman" w:hAnsi="Calibri" w:cs="Calibri"/>
                <w:color w:val="000000"/>
                <w:lang w:eastAsia="fr-FR"/>
              </w:rPr>
            </w:pPr>
            <w:r w:rsidRPr="002462E6">
              <w:rPr>
                <w:rFonts w:ascii="Calibri" w:eastAsia="Times New Roman" w:hAnsi="Calibri" w:cs="Calibri"/>
                <w:color w:val="000000"/>
                <w:lang w:eastAsia="fr-FR"/>
              </w:rPr>
              <w:t>4</w:t>
            </w:r>
          </w:p>
        </w:tc>
        <w:tc>
          <w:tcPr>
            <w:tcW w:w="1000" w:type="dxa"/>
            <w:tcBorders>
              <w:top w:val="nil"/>
              <w:left w:val="nil"/>
              <w:bottom w:val="single" w:sz="8" w:space="0" w:color="auto"/>
              <w:right w:val="single" w:sz="8" w:space="0" w:color="auto"/>
            </w:tcBorders>
            <w:shd w:val="clear" w:color="auto" w:fill="auto"/>
            <w:noWrap/>
            <w:vAlign w:val="bottom"/>
            <w:hideMark/>
          </w:tcPr>
          <w:p w:rsidR="00BD111D" w:rsidRPr="002462E6" w:rsidRDefault="00BD111D" w:rsidP="00AB299B">
            <w:pPr>
              <w:spacing w:after="0" w:line="240" w:lineRule="auto"/>
              <w:rPr>
                <w:rFonts w:ascii="Calibri" w:eastAsia="Times New Roman" w:hAnsi="Calibri" w:cs="Calibri"/>
                <w:color w:val="000000"/>
                <w:lang w:eastAsia="fr-FR"/>
              </w:rPr>
            </w:pPr>
            <w:r w:rsidRPr="002462E6">
              <w:rPr>
                <w:rFonts w:ascii="Calibri" w:eastAsia="Times New Roman" w:hAnsi="Calibri" w:cs="Calibri"/>
                <w:color w:val="000000"/>
                <w:lang w:eastAsia="fr-FR"/>
              </w:rPr>
              <w:t> </w:t>
            </w:r>
          </w:p>
        </w:tc>
        <w:tc>
          <w:tcPr>
            <w:tcW w:w="797" w:type="dxa"/>
            <w:tcBorders>
              <w:top w:val="nil"/>
              <w:left w:val="nil"/>
              <w:bottom w:val="single" w:sz="8" w:space="0" w:color="auto"/>
              <w:right w:val="single" w:sz="8" w:space="0" w:color="auto"/>
            </w:tcBorders>
            <w:shd w:val="clear" w:color="auto" w:fill="auto"/>
            <w:noWrap/>
            <w:vAlign w:val="bottom"/>
            <w:hideMark/>
          </w:tcPr>
          <w:p w:rsidR="00BD111D" w:rsidRPr="002462E6" w:rsidRDefault="00BD111D" w:rsidP="00AB299B">
            <w:pPr>
              <w:spacing w:after="0" w:line="240" w:lineRule="auto"/>
              <w:rPr>
                <w:rFonts w:ascii="Calibri" w:eastAsia="Times New Roman" w:hAnsi="Calibri" w:cs="Calibri"/>
                <w:color w:val="000000"/>
                <w:lang w:eastAsia="fr-FR"/>
              </w:rPr>
            </w:pPr>
            <w:r w:rsidRPr="002462E6">
              <w:rPr>
                <w:rFonts w:ascii="Calibri" w:eastAsia="Times New Roman" w:hAnsi="Calibri" w:cs="Calibri"/>
                <w:color w:val="000000"/>
                <w:lang w:eastAsia="fr-FR"/>
              </w:rPr>
              <w:t> </w:t>
            </w:r>
          </w:p>
        </w:tc>
        <w:tc>
          <w:tcPr>
            <w:tcW w:w="689" w:type="dxa"/>
            <w:tcBorders>
              <w:top w:val="nil"/>
              <w:left w:val="nil"/>
              <w:bottom w:val="single" w:sz="8" w:space="0" w:color="auto"/>
              <w:right w:val="single" w:sz="8" w:space="0" w:color="auto"/>
            </w:tcBorders>
            <w:shd w:val="clear" w:color="auto" w:fill="auto"/>
            <w:noWrap/>
            <w:vAlign w:val="bottom"/>
            <w:hideMark/>
          </w:tcPr>
          <w:p w:rsidR="00BD111D" w:rsidRPr="002462E6" w:rsidRDefault="00BD111D" w:rsidP="00AB299B">
            <w:pPr>
              <w:spacing w:after="0" w:line="240" w:lineRule="auto"/>
              <w:rPr>
                <w:rFonts w:ascii="Calibri" w:eastAsia="Times New Roman" w:hAnsi="Calibri" w:cs="Calibri"/>
                <w:color w:val="000000"/>
                <w:lang w:eastAsia="fr-FR"/>
              </w:rPr>
            </w:pPr>
            <w:r w:rsidRPr="002462E6">
              <w:rPr>
                <w:rFonts w:ascii="Calibri" w:eastAsia="Times New Roman" w:hAnsi="Calibri" w:cs="Calibri"/>
                <w:color w:val="000000"/>
                <w:lang w:eastAsia="fr-FR"/>
              </w:rPr>
              <w:t> </w:t>
            </w:r>
          </w:p>
        </w:tc>
        <w:tc>
          <w:tcPr>
            <w:tcW w:w="1134" w:type="dxa"/>
            <w:tcBorders>
              <w:top w:val="nil"/>
              <w:left w:val="nil"/>
              <w:bottom w:val="single" w:sz="8" w:space="0" w:color="auto"/>
              <w:right w:val="single" w:sz="8" w:space="0" w:color="auto"/>
            </w:tcBorders>
            <w:shd w:val="clear" w:color="auto" w:fill="auto"/>
            <w:noWrap/>
            <w:vAlign w:val="bottom"/>
            <w:hideMark/>
          </w:tcPr>
          <w:p w:rsidR="00BD111D" w:rsidRPr="002462E6" w:rsidRDefault="00BD111D" w:rsidP="00AB299B">
            <w:pPr>
              <w:spacing w:after="0" w:line="240" w:lineRule="auto"/>
              <w:rPr>
                <w:rFonts w:ascii="Calibri" w:eastAsia="Times New Roman" w:hAnsi="Calibri" w:cs="Calibri"/>
                <w:color w:val="000000"/>
                <w:lang w:eastAsia="fr-FR"/>
              </w:rPr>
            </w:pPr>
            <w:r w:rsidRPr="002462E6">
              <w:rPr>
                <w:rFonts w:ascii="Calibri" w:eastAsia="Times New Roman" w:hAnsi="Calibri" w:cs="Calibri"/>
                <w:color w:val="000000"/>
                <w:lang w:eastAsia="fr-FR"/>
              </w:rPr>
              <w:t> </w:t>
            </w:r>
          </w:p>
        </w:tc>
        <w:tc>
          <w:tcPr>
            <w:tcW w:w="1284" w:type="dxa"/>
            <w:tcBorders>
              <w:top w:val="nil"/>
              <w:left w:val="nil"/>
              <w:bottom w:val="single" w:sz="8" w:space="0" w:color="auto"/>
              <w:right w:val="single" w:sz="8" w:space="0" w:color="auto"/>
            </w:tcBorders>
            <w:shd w:val="clear" w:color="auto" w:fill="auto"/>
            <w:noWrap/>
            <w:vAlign w:val="bottom"/>
            <w:hideMark/>
          </w:tcPr>
          <w:p w:rsidR="00BD111D" w:rsidRPr="002462E6" w:rsidRDefault="00BD111D" w:rsidP="00AB299B">
            <w:pPr>
              <w:spacing w:after="0" w:line="240" w:lineRule="auto"/>
              <w:rPr>
                <w:rFonts w:ascii="Calibri" w:eastAsia="Times New Roman" w:hAnsi="Calibri" w:cs="Calibri"/>
                <w:color w:val="000000"/>
                <w:lang w:eastAsia="fr-FR"/>
              </w:rPr>
            </w:pPr>
            <w:r w:rsidRPr="002462E6">
              <w:rPr>
                <w:rFonts w:ascii="Calibri" w:eastAsia="Times New Roman" w:hAnsi="Calibri" w:cs="Calibri"/>
                <w:color w:val="000000"/>
                <w:lang w:eastAsia="fr-FR"/>
              </w:rPr>
              <w:t> </w:t>
            </w:r>
          </w:p>
        </w:tc>
        <w:tc>
          <w:tcPr>
            <w:tcW w:w="1834" w:type="dxa"/>
            <w:tcBorders>
              <w:top w:val="nil"/>
              <w:left w:val="nil"/>
              <w:bottom w:val="single" w:sz="8" w:space="0" w:color="auto"/>
              <w:right w:val="single" w:sz="8" w:space="0" w:color="auto"/>
            </w:tcBorders>
            <w:shd w:val="clear" w:color="auto" w:fill="auto"/>
            <w:noWrap/>
            <w:vAlign w:val="bottom"/>
            <w:hideMark/>
          </w:tcPr>
          <w:p w:rsidR="00BD111D" w:rsidRPr="002462E6" w:rsidRDefault="00BD111D" w:rsidP="00AB299B">
            <w:pPr>
              <w:spacing w:after="0" w:line="240" w:lineRule="auto"/>
              <w:rPr>
                <w:rFonts w:ascii="Calibri" w:eastAsia="Times New Roman" w:hAnsi="Calibri" w:cs="Calibri"/>
                <w:color w:val="000000"/>
                <w:lang w:eastAsia="fr-FR"/>
              </w:rPr>
            </w:pPr>
            <w:r w:rsidRPr="002462E6">
              <w:rPr>
                <w:rFonts w:ascii="Calibri" w:eastAsia="Times New Roman" w:hAnsi="Calibri" w:cs="Calibri"/>
                <w:color w:val="000000"/>
                <w:lang w:eastAsia="fr-FR"/>
              </w:rPr>
              <w:t> </w:t>
            </w:r>
          </w:p>
        </w:tc>
        <w:tc>
          <w:tcPr>
            <w:tcW w:w="2268" w:type="dxa"/>
            <w:tcBorders>
              <w:top w:val="nil"/>
              <w:left w:val="nil"/>
              <w:bottom w:val="single" w:sz="8" w:space="0" w:color="auto"/>
              <w:right w:val="single" w:sz="8" w:space="0" w:color="auto"/>
            </w:tcBorders>
          </w:tcPr>
          <w:p w:rsidR="00BD111D" w:rsidRPr="002462E6" w:rsidRDefault="00BD111D" w:rsidP="00AB299B">
            <w:pPr>
              <w:spacing w:after="0" w:line="240" w:lineRule="auto"/>
              <w:rPr>
                <w:rFonts w:ascii="Calibri" w:eastAsia="Times New Roman" w:hAnsi="Calibri" w:cs="Calibri"/>
                <w:color w:val="000000"/>
                <w:lang w:eastAsia="fr-FR"/>
              </w:rPr>
            </w:pPr>
          </w:p>
        </w:tc>
      </w:tr>
      <w:tr w:rsidR="00BD111D" w:rsidRPr="002462E6" w:rsidTr="00AB299B">
        <w:trPr>
          <w:trHeight w:val="315"/>
        </w:trPr>
        <w:tc>
          <w:tcPr>
            <w:tcW w:w="1200" w:type="dxa"/>
            <w:tcBorders>
              <w:top w:val="nil"/>
              <w:left w:val="single" w:sz="8" w:space="0" w:color="auto"/>
              <w:bottom w:val="single" w:sz="8" w:space="0" w:color="auto"/>
              <w:right w:val="single" w:sz="8" w:space="0" w:color="auto"/>
            </w:tcBorders>
            <w:shd w:val="clear" w:color="auto" w:fill="auto"/>
            <w:noWrap/>
            <w:vAlign w:val="bottom"/>
            <w:hideMark/>
          </w:tcPr>
          <w:p w:rsidR="00BD111D" w:rsidRPr="002462E6" w:rsidRDefault="00BD111D" w:rsidP="00AB299B">
            <w:pPr>
              <w:spacing w:after="0" w:line="240" w:lineRule="auto"/>
              <w:jc w:val="right"/>
              <w:rPr>
                <w:rFonts w:ascii="Calibri" w:eastAsia="Times New Roman" w:hAnsi="Calibri" w:cs="Calibri"/>
                <w:color w:val="000000"/>
                <w:lang w:eastAsia="fr-FR"/>
              </w:rPr>
            </w:pPr>
            <w:r w:rsidRPr="002462E6">
              <w:rPr>
                <w:rFonts w:ascii="Calibri" w:eastAsia="Times New Roman" w:hAnsi="Calibri" w:cs="Calibri"/>
                <w:color w:val="000000"/>
                <w:lang w:eastAsia="fr-FR"/>
              </w:rPr>
              <w:t>5</w:t>
            </w:r>
          </w:p>
        </w:tc>
        <w:tc>
          <w:tcPr>
            <w:tcW w:w="1000" w:type="dxa"/>
            <w:tcBorders>
              <w:top w:val="nil"/>
              <w:left w:val="nil"/>
              <w:bottom w:val="single" w:sz="8" w:space="0" w:color="auto"/>
              <w:right w:val="single" w:sz="8" w:space="0" w:color="auto"/>
            </w:tcBorders>
            <w:shd w:val="clear" w:color="auto" w:fill="auto"/>
            <w:noWrap/>
            <w:vAlign w:val="bottom"/>
            <w:hideMark/>
          </w:tcPr>
          <w:p w:rsidR="00BD111D" w:rsidRPr="002462E6" w:rsidRDefault="00BD111D" w:rsidP="00AB299B">
            <w:pPr>
              <w:spacing w:after="0" w:line="240" w:lineRule="auto"/>
              <w:rPr>
                <w:rFonts w:ascii="Calibri" w:eastAsia="Times New Roman" w:hAnsi="Calibri" w:cs="Calibri"/>
                <w:color w:val="000000"/>
                <w:lang w:eastAsia="fr-FR"/>
              </w:rPr>
            </w:pPr>
            <w:r w:rsidRPr="002462E6">
              <w:rPr>
                <w:rFonts w:ascii="Calibri" w:eastAsia="Times New Roman" w:hAnsi="Calibri" w:cs="Calibri"/>
                <w:color w:val="000000"/>
                <w:lang w:eastAsia="fr-FR"/>
              </w:rPr>
              <w:t> </w:t>
            </w:r>
          </w:p>
        </w:tc>
        <w:tc>
          <w:tcPr>
            <w:tcW w:w="797" w:type="dxa"/>
            <w:tcBorders>
              <w:top w:val="nil"/>
              <w:left w:val="nil"/>
              <w:bottom w:val="single" w:sz="8" w:space="0" w:color="auto"/>
              <w:right w:val="single" w:sz="8" w:space="0" w:color="auto"/>
            </w:tcBorders>
            <w:shd w:val="clear" w:color="auto" w:fill="auto"/>
            <w:noWrap/>
            <w:vAlign w:val="bottom"/>
            <w:hideMark/>
          </w:tcPr>
          <w:p w:rsidR="00BD111D" w:rsidRPr="002462E6" w:rsidRDefault="00BD111D" w:rsidP="00AB299B">
            <w:pPr>
              <w:spacing w:after="0" w:line="240" w:lineRule="auto"/>
              <w:rPr>
                <w:rFonts w:ascii="Calibri" w:eastAsia="Times New Roman" w:hAnsi="Calibri" w:cs="Calibri"/>
                <w:color w:val="000000"/>
                <w:lang w:eastAsia="fr-FR"/>
              </w:rPr>
            </w:pPr>
            <w:r w:rsidRPr="002462E6">
              <w:rPr>
                <w:rFonts w:ascii="Calibri" w:eastAsia="Times New Roman" w:hAnsi="Calibri" w:cs="Calibri"/>
                <w:color w:val="000000"/>
                <w:lang w:eastAsia="fr-FR"/>
              </w:rPr>
              <w:t> </w:t>
            </w:r>
          </w:p>
        </w:tc>
        <w:tc>
          <w:tcPr>
            <w:tcW w:w="689" w:type="dxa"/>
            <w:tcBorders>
              <w:top w:val="nil"/>
              <w:left w:val="nil"/>
              <w:bottom w:val="single" w:sz="8" w:space="0" w:color="auto"/>
              <w:right w:val="single" w:sz="8" w:space="0" w:color="auto"/>
            </w:tcBorders>
            <w:shd w:val="clear" w:color="auto" w:fill="auto"/>
            <w:noWrap/>
            <w:vAlign w:val="bottom"/>
            <w:hideMark/>
          </w:tcPr>
          <w:p w:rsidR="00BD111D" w:rsidRPr="002462E6" w:rsidRDefault="00BD111D" w:rsidP="00AB299B">
            <w:pPr>
              <w:spacing w:after="0" w:line="240" w:lineRule="auto"/>
              <w:rPr>
                <w:rFonts w:ascii="Calibri" w:eastAsia="Times New Roman" w:hAnsi="Calibri" w:cs="Calibri"/>
                <w:color w:val="000000"/>
                <w:lang w:eastAsia="fr-FR"/>
              </w:rPr>
            </w:pPr>
            <w:r w:rsidRPr="002462E6">
              <w:rPr>
                <w:rFonts w:ascii="Calibri" w:eastAsia="Times New Roman" w:hAnsi="Calibri" w:cs="Calibri"/>
                <w:color w:val="000000"/>
                <w:lang w:eastAsia="fr-FR"/>
              </w:rPr>
              <w:t> </w:t>
            </w:r>
          </w:p>
        </w:tc>
        <w:tc>
          <w:tcPr>
            <w:tcW w:w="1134" w:type="dxa"/>
            <w:tcBorders>
              <w:top w:val="nil"/>
              <w:left w:val="nil"/>
              <w:bottom w:val="single" w:sz="8" w:space="0" w:color="auto"/>
              <w:right w:val="single" w:sz="8" w:space="0" w:color="auto"/>
            </w:tcBorders>
            <w:shd w:val="clear" w:color="auto" w:fill="auto"/>
            <w:noWrap/>
            <w:vAlign w:val="bottom"/>
            <w:hideMark/>
          </w:tcPr>
          <w:p w:rsidR="00BD111D" w:rsidRPr="002462E6" w:rsidRDefault="00BD111D" w:rsidP="00AB299B">
            <w:pPr>
              <w:spacing w:after="0" w:line="240" w:lineRule="auto"/>
              <w:rPr>
                <w:rFonts w:ascii="Calibri" w:eastAsia="Times New Roman" w:hAnsi="Calibri" w:cs="Calibri"/>
                <w:color w:val="000000"/>
                <w:lang w:eastAsia="fr-FR"/>
              </w:rPr>
            </w:pPr>
            <w:r w:rsidRPr="002462E6">
              <w:rPr>
                <w:rFonts w:ascii="Calibri" w:eastAsia="Times New Roman" w:hAnsi="Calibri" w:cs="Calibri"/>
                <w:color w:val="000000"/>
                <w:lang w:eastAsia="fr-FR"/>
              </w:rPr>
              <w:t> </w:t>
            </w:r>
          </w:p>
        </w:tc>
        <w:tc>
          <w:tcPr>
            <w:tcW w:w="1284" w:type="dxa"/>
            <w:tcBorders>
              <w:top w:val="nil"/>
              <w:left w:val="nil"/>
              <w:bottom w:val="single" w:sz="8" w:space="0" w:color="auto"/>
              <w:right w:val="single" w:sz="8" w:space="0" w:color="auto"/>
            </w:tcBorders>
            <w:shd w:val="clear" w:color="auto" w:fill="auto"/>
            <w:noWrap/>
            <w:vAlign w:val="bottom"/>
            <w:hideMark/>
          </w:tcPr>
          <w:p w:rsidR="00BD111D" w:rsidRPr="002462E6" w:rsidRDefault="00BD111D" w:rsidP="00AB299B">
            <w:pPr>
              <w:spacing w:after="0" w:line="240" w:lineRule="auto"/>
              <w:rPr>
                <w:rFonts w:ascii="Calibri" w:eastAsia="Times New Roman" w:hAnsi="Calibri" w:cs="Calibri"/>
                <w:color w:val="000000"/>
                <w:lang w:eastAsia="fr-FR"/>
              </w:rPr>
            </w:pPr>
            <w:r w:rsidRPr="002462E6">
              <w:rPr>
                <w:rFonts w:ascii="Calibri" w:eastAsia="Times New Roman" w:hAnsi="Calibri" w:cs="Calibri"/>
                <w:color w:val="000000"/>
                <w:lang w:eastAsia="fr-FR"/>
              </w:rPr>
              <w:t> </w:t>
            </w:r>
          </w:p>
        </w:tc>
        <w:tc>
          <w:tcPr>
            <w:tcW w:w="1834" w:type="dxa"/>
            <w:tcBorders>
              <w:top w:val="nil"/>
              <w:left w:val="nil"/>
              <w:bottom w:val="single" w:sz="8" w:space="0" w:color="auto"/>
              <w:right w:val="single" w:sz="8" w:space="0" w:color="auto"/>
            </w:tcBorders>
            <w:shd w:val="clear" w:color="auto" w:fill="auto"/>
            <w:noWrap/>
            <w:vAlign w:val="bottom"/>
            <w:hideMark/>
          </w:tcPr>
          <w:p w:rsidR="00BD111D" w:rsidRPr="002462E6" w:rsidRDefault="00BD111D" w:rsidP="00AB299B">
            <w:pPr>
              <w:spacing w:after="0" w:line="240" w:lineRule="auto"/>
              <w:rPr>
                <w:rFonts w:ascii="Calibri" w:eastAsia="Times New Roman" w:hAnsi="Calibri" w:cs="Calibri"/>
                <w:color w:val="000000"/>
                <w:lang w:eastAsia="fr-FR"/>
              </w:rPr>
            </w:pPr>
            <w:r w:rsidRPr="002462E6">
              <w:rPr>
                <w:rFonts w:ascii="Calibri" w:eastAsia="Times New Roman" w:hAnsi="Calibri" w:cs="Calibri"/>
                <w:color w:val="000000"/>
                <w:lang w:eastAsia="fr-FR"/>
              </w:rPr>
              <w:t> </w:t>
            </w:r>
          </w:p>
        </w:tc>
        <w:tc>
          <w:tcPr>
            <w:tcW w:w="2268" w:type="dxa"/>
            <w:tcBorders>
              <w:top w:val="nil"/>
              <w:left w:val="nil"/>
              <w:bottom w:val="single" w:sz="8" w:space="0" w:color="auto"/>
              <w:right w:val="single" w:sz="8" w:space="0" w:color="auto"/>
            </w:tcBorders>
          </w:tcPr>
          <w:p w:rsidR="00BD111D" w:rsidRPr="002462E6" w:rsidRDefault="00BD111D" w:rsidP="00AB299B">
            <w:pPr>
              <w:spacing w:after="0" w:line="240" w:lineRule="auto"/>
              <w:rPr>
                <w:rFonts w:ascii="Calibri" w:eastAsia="Times New Roman" w:hAnsi="Calibri" w:cs="Calibri"/>
                <w:color w:val="000000"/>
                <w:lang w:eastAsia="fr-FR"/>
              </w:rPr>
            </w:pPr>
          </w:p>
        </w:tc>
      </w:tr>
      <w:tr w:rsidR="00BD111D" w:rsidRPr="002462E6" w:rsidTr="00AB299B">
        <w:trPr>
          <w:trHeight w:val="315"/>
        </w:trPr>
        <w:tc>
          <w:tcPr>
            <w:tcW w:w="1200" w:type="dxa"/>
            <w:tcBorders>
              <w:top w:val="nil"/>
              <w:left w:val="single" w:sz="8" w:space="0" w:color="auto"/>
              <w:bottom w:val="single" w:sz="8" w:space="0" w:color="auto"/>
              <w:right w:val="single" w:sz="8" w:space="0" w:color="auto"/>
            </w:tcBorders>
            <w:shd w:val="clear" w:color="auto" w:fill="auto"/>
            <w:noWrap/>
            <w:vAlign w:val="bottom"/>
            <w:hideMark/>
          </w:tcPr>
          <w:p w:rsidR="00BD111D" w:rsidRPr="002462E6" w:rsidRDefault="00BD111D" w:rsidP="00AB299B">
            <w:pPr>
              <w:spacing w:after="0" w:line="240" w:lineRule="auto"/>
              <w:jc w:val="right"/>
              <w:rPr>
                <w:rFonts w:ascii="Calibri" w:eastAsia="Times New Roman" w:hAnsi="Calibri" w:cs="Calibri"/>
                <w:color w:val="000000"/>
                <w:lang w:eastAsia="fr-FR"/>
              </w:rPr>
            </w:pPr>
            <w:r w:rsidRPr="002462E6">
              <w:rPr>
                <w:rFonts w:ascii="Calibri" w:eastAsia="Times New Roman" w:hAnsi="Calibri" w:cs="Calibri"/>
                <w:color w:val="000000"/>
                <w:lang w:eastAsia="fr-FR"/>
              </w:rPr>
              <w:t>6</w:t>
            </w:r>
          </w:p>
        </w:tc>
        <w:tc>
          <w:tcPr>
            <w:tcW w:w="1000" w:type="dxa"/>
            <w:tcBorders>
              <w:top w:val="nil"/>
              <w:left w:val="nil"/>
              <w:bottom w:val="single" w:sz="8" w:space="0" w:color="auto"/>
              <w:right w:val="single" w:sz="8" w:space="0" w:color="auto"/>
            </w:tcBorders>
            <w:shd w:val="clear" w:color="auto" w:fill="auto"/>
            <w:noWrap/>
            <w:vAlign w:val="bottom"/>
            <w:hideMark/>
          </w:tcPr>
          <w:p w:rsidR="00BD111D" w:rsidRPr="002462E6" w:rsidRDefault="00BD111D" w:rsidP="00AB299B">
            <w:pPr>
              <w:spacing w:after="0" w:line="240" w:lineRule="auto"/>
              <w:rPr>
                <w:rFonts w:ascii="Calibri" w:eastAsia="Times New Roman" w:hAnsi="Calibri" w:cs="Calibri"/>
                <w:color w:val="000000"/>
                <w:lang w:eastAsia="fr-FR"/>
              </w:rPr>
            </w:pPr>
            <w:r w:rsidRPr="002462E6">
              <w:rPr>
                <w:rFonts w:ascii="Calibri" w:eastAsia="Times New Roman" w:hAnsi="Calibri" w:cs="Calibri"/>
                <w:color w:val="000000"/>
                <w:lang w:eastAsia="fr-FR"/>
              </w:rPr>
              <w:t> </w:t>
            </w:r>
          </w:p>
        </w:tc>
        <w:tc>
          <w:tcPr>
            <w:tcW w:w="797" w:type="dxa"/>
            <w:tcBorders>
              <w:top w:val="nil"/>
              <w:left w:val="nil"/>
              <w:bottom w:val="single" w:sz="8" w:space="0" w:color="auto"/>
              <w:right w:val="single" w:sz="8" w:space="0" w:color="auto"/>
            </w:tcBorders>
            <w:shd w:val="clear" w:color="auto" w:fill="auto"/>
            <w:noWrap/>
            <w:vAlign w:val="bottom"/>
            <w:hideMark/>
          </w:tcPr>
          <w:p w:rsidR="00BD111D" w:rsidRPr="002462E6" w:rsidRDefault="00BD111D" w:rsidP="00AB299B">
            <w:pPr>
              <w:spacing w:after="0" w:line="240" w:lineRule="auto"/>
              <w:rPr>
                <w:rFonts w:ascii="Calibri" w:eastAsia="Times New Roman" w:hAnsi="Calibri" w:cs="Calibri"/>
                <w:color w:val="000000"/>
                <w:lang w:eastAsia="fr-FR"/>
              </w:rPr>
            </w:pPr>
            <w:r w:rsidRPr="002462E6">
              <w:rPr>
                <w:rFonts w:ascii="Calibri" w:eastAsia="Times New Roman" w:hAnsi="Calibri" w:cs="Calibri"/>
                <w:color w:val="000000"/>
                <w:lang w:eastAsia="fr-FR"/>
              </w:rPr>
              <w:t> </w:t>
            </w:r>
          </w:p>
        </w:tc>
        <w:tc>
          <w:tcPr>
            <w:tcW w:w="689" w:type="dxa"/>
            <w:tcBorders>
              <w:top w:val="nil"/>
              <w:left w:val="nil"/>
              <w:bottom w:val="single" w:sz="8" w:space="0" w:color="auto"/>
              <w:right w:val="single" w:sz="8" w:space="0" w:color="auto"/>
            </w:tcBorders>
            <w:shd w:val="clear" w:color="auto" w:fill="auto"/>
            <w:noWrap/>
            <w:vAlign w:val="bottom"/>
            <w:hideMark/>
          </w:tcPr>
          <w:p w:rsidR="00BD111D" w:rsidRPr="002462E6" w:rsidRDefault="00BD111D" w:rsidP="00AB299B">
            <w:pPr>
              <w:spacing w:after="0" w:line="240" w:lineRule="auto"/>
              <w:rPr>
                <w:rFonts w:ascii="Calibri" w:eastAsia="Times New Roman" w:hAnsi="Calibri" w:cs="Calibri"/>
                <w:color w:val="000000"/>
                <w:lang w:eastAsia="fr-FR"/>
              </w:rPr>
            </w:pPr>
            <w:r w:rsidRPr="002462E6">
              <w:rPr>
                <w:rFonts w:ascii="Calibri" w:eastAsia="Times New Roman" w:hAnsi="Calibri" w:cs="Calibri"/>
                <w:color w:val="000000"/>
                <w:lang w:eastAsia="fr-FR"/>
              </w:rPr>
              <w:t> </w:t>
            </w:r>
          </w:p>
        </w:tc>
        <w:tc>
          <w:tcPr>
            <w:tcW w:w="1134" w:type="dxa"/>
            <w:tcBorders>
              <w:top w:val="nil"/>
              <w:left w:val="nil"/>
              <w:bottom w:val="single" w:sz="8" w:space="0" w:color="auto"/>
              <w:right w:val="single" w:sz="8" w:space="0" w:color="auto"/>
            </w:tcBorders>
            <w:shd w:val="clear" w:color="auto" w:fill="auto"/>
            <w:noWrap/>
            <w:vAlign w:val="bottom"/>
            <w:hideMark/>
          </w:tcPr>
          <w:p w:rsidR="00BD111D" w:rsidRPr="002462E6" w:rsidRDefault="00BD111D" w:rsidP="00AB299B">
            <w:pPr>
              <w:spacing w:after="0" w:line="240" w:lineRule="auto"/>
              <w:rPr>
                <w:rFonts w:ascii="Calibri" w:eastAsia="Times New Roman" w:hAnsi="Calibri" w:cs="Calibri"/>
                <w:color w:val="000000"/>
                <w:lang w:eastAsia="fr-FR"/>
              </w:rPr>
            </w:pPr>
            <w:r w:rsidRPr="002462E6">
              <w:rPr>
                <w:rFonts w:ascii="Calibri" w:eastAsia="Times New Roman" w:hAnsi="Calibri" w:cs="Calibri"/>
                <w:color w:val="000000"/>
                <w:lang w:eastAsia="fr-FR"/>
              </w:rPr>
              <w:t> </w:t>
            </w:r>
          </w:p>
        </w:tc>
        <w:tc>
          <w:tcPr>
            <w:tcW w:w="1284" w:type="dxa"/>
            <w:tcBorders>
              <w:top w:val="nil"/>
              <w:left w:val="nil"/>
              <w:bottom w:val="single" w:sz="8" w:space="0" w:color="auto"/>
              <w:right w:val="single" w:sz="8" w:space="0" w:color="auto"/>
            </w:tcBorders>
            <w:shd w:val="clear" w:color="auto" w:fill="auto"/>
            <w:noWrap/>
            <w:vAlign w:val="bottom"/>
            <w:hideMark/>
          </w:tcPr>
          <w:p w:rsidR="00BD111D" w:rsidRPr="002462E6" w:rsidRDefault="00BD111D" w:rsidP="00AB299B">
            <w:pPr>
              <w:spacing w:after="0" w:line="240" w:lineRule="auto"/>
              <w:rPr>
                <w:rFonts w:ascii="Calibri" w:eastAsia="Times New Roman" w:hAnsi="Calibri" w:cs="Calibri"/>
                <w:color w:val="000000"/>
                <w:lang w:eastAsia="fr-FR"/>
              </w:rPr>
            </w:pPr>
            <w:r w:rsidRPr="002462E6">
              <w:rPr>
                <w:rFonts w:ascii="Calibri" w:eastAsia="Times New Roman" w:hAnsi="Calibri" w:cs="Calibri"/>
                <w:color w:val="000000"/>
                <w:lang w:eastAsia="fr-FR"/>
              </w:rPr>
              <w:t> </w:t>
            </w:r>
          </w:p>
        </w:tc>
        <w:tc>
          <w:tcPr>
            <w:tcW w:w="1834" w:type="dxa"/>
            <w:tcBorders>
              <w:top w:val="nil"/>
              <w:left w:val="nil"/>
              <w:bottom w:val="single" w:sz="8" w:space="0" w:color="auto"/>
              <w:right w:val="single" w:sz="8" w:space="0" w:color="auto"/>
            </w:tcBorders>
            <w:shd w:val="clear" w:color="auto" w:fill="auto"/>
            <w:noWrap/>
            <w:vAlign w:val="bottom"/>
            <w:hideMark/>
          </w:tcPr>
          <w:p w:rsidR="00BD111D" w:rsidRPr="002462E6" w:rsidRDefault="00BD111D" w:rsidP="00AB299B">
            <w:pPr>
              <w:spacing w:after="0" w:line="240" w:lineRule="auto"/>
              <w:rPr>
                <w:rFonts w:ascii="Calibri" w:eastAsia="Times New Roman" w:hAnsi="Calibri" w:cs="Calibri"/>
                <w:color w:val="000000"/>
                <w:lang w:eastAsia="fr-FR"/>
              </w:rPr>
            </w:pPr>
            <w:r w:rsidRPr="002462E6">
              <w:rPr>
                <w:rFonts w:ascii="Calibri" w:eastAsia="Times New Roman" w:hAnsi="Calibri" w:cs="Calibri"/>
                <w:color w:val="000000"/>
                <w:lang w:eastAsia="fr-FR"/>
              </w:rPr>
              <w:t> </w:t>
            </w:r>
          </w:p>
        </w:tc>
        <w:tc>
          <w:tcPr>
            <w:tcW w:w="2268" w:type="dxa"/>
            <w:tcBorders>
              <w:top w:val="nil"/>
              <w:left w:val="nil"/>
              <w:bottom w:val="single" w:sz="8" w:space="0" w:color="auto"/>
              <w:right w:val="single" w:sz="8" w:space="0" w:color="auto"/>
            </w:tcBorders>
          </w:tcPr>
          <w:p w:rsidR="00BD111D" w:rsidRPr="002462E6" w:rsidRDefault="00BD111D" w:rsidP="00AB299B">
            <w:pPr>
              <w:spacing w:after="0" w:line="240" w:lineRule="auto"/>
              <w:rPr>
                <w:rFonts w:ascii="Calibri" w:eastAsia="Times New Roman" w:hAnsi="Calibri" w:cs="Calibri"/>
                <w:color w:val="000000"/>
                <w:lang w:eastAsia="fr-FR"/>
              </w:rPr>
            </w:pPr>
          </w:p>
        </w:tc>
      </w:tr>
      <w:tr w:rsidR="00BD111D" w:rsidRPr="002462E6" w:rsidTr="00AB299B">
        <w:trPr>
          <w:trHeight w:val="300"/>
        </w:trPr>
        <w:tc>
          <w:tcPr>
            <w:tcW w:w="1200" w:type="dxa"/>
            <w:tcBorders>
              <w:top w:val="nil"/>
              <w:left w:val="nil"/>
              <w:bottom w:val="nil"/>
              <w:right w:val="nil"/>
            </w:tcBorders>
            <w:shd w:val="clear" w:color="auto" w:fill="auto"/>
            <w:noWrap/>
            <w:vAlign w:val="bottom"/>
            <w:hideMark/>
          </w:tcPr>
          <w:p w:rsidR="00BD111D" w:rsidRPr="002462E6" w:rsidRDefault="00BD111D" w:rsidP="00AB299B">
            <w:pPr>
              <w:spacing w:after="0" w:line="240" w:lineRule="auto"/>
              <w:rPr>
                <w:rFonts w:ascii="Calibri" w:eastAsia="Times New Roman" w:hAnsi="Calibri" w:cs="Calibri"/>
                <w:color w:val="000000"/>
                <w:lang w:eastAsia="fr-FR"/>
              </w:rPr>
            </w:pPr>
          </w:p>
        </w:tc>
        <w:tc>
          <w:tcPr>
            <w:tcW w:w="1000" w:type="dxa"/>
            <w:tcBorders>
              <w:top w:val="nil"/>
              <w:left w:val="nil"/>
              <w:bottom w:val="nil"/>
              <w:right w:val="nil"/>
            </w:tcBorders>
            <w:shd w:val="clear" w:color="auto" w:fill="auto"/>
            <w:noWrap/>
            <w:vAlign w:val="bottom"/>
            <w:hideMark/>
          </w:tcPr>
          <w:p w:rsidR="00BD111D" w:rsidRPr="002462E6" w:rsidRDefault="00BD111D" w:rsidP="00AB299B">
            <w:pPr>
              <w:spacing w:after="0" w:line="240" w:lineRule="auto"/>
              <w:rPr>
                <w:rFonts w:ascii="Times New Roman" w:eastAsia="Times New Roman" w:hAnsi="Times New Roman" w:cs="Times New Roman"/>
                <w:sz w:val="20"/>
                <w:szCs w:val="20"/>
                <w:lang w:eastAsia="fr-FR"/>
              </w:rPr>
            </w:pPr>
          </w:p>
        </w:tc>
        <w:tc>
          <w:tcPr>
            <w:tcW w:w="797" w:type="dxa"/>
            <w:tcBorders>
              <w:top w:val="nil"/>
              <w:left w:val="nil"/>
              <w:bottom w:val="nil"/>
              <w:right w:val="nil"/>
            </w:tcBorders>
            <w:shd w:val="clear" w:color="auto" w:fill="auto"/>
            <w:noWrap/>
            <w:vAlign w:val="bottom"/>
            <w:hideMark/>
          </w:tcPr>
          <w:p w:rsidR="00BD111D" w:rsidRPr="002462E6" w:rsidRDefault="00BD111D" w:rsidP="00AB299B">
            <w:pPr>
              <w:spacing w:after="0" w:line="240" w:lineRule="auto"/>
              <w:rPr>
                <w:rFonts w:ascii="Times New Roman" w:eastAsia="Times New Roman" w:hAnsi="Times New Roman" w:cs="Times New Roman"/>
                <w:sz w:val="20"/>
                <w:szCs w:val="20"/>
                <w:lang w:eastAsia="fr-FR"/>
              </w:rPr>
            </w:pPr>
          </w:p>
        </w:tc>
        <w:tc>
          <w:tcPr>
            <w:tcW w:w="689" w:type="dxa"/>
            <w:tcBorders>
              <w:top w:val="nil"/>
              <w:left w:val="nil"/>
              <w:bottom w:val="nil"/>
              <w:right w:val="nil"/>
            </w:tcBorders>
            <w:shd w:val="clear" w:color="auto" w:fill="auto"/>
            <w:noWrap/>
            <w:vAlign w:val="bottom"/>
            <w:hideMark/>
          </w:tcPr>
          <w:p w:rsidR="00BD111D" w:rsidRPr="002462E6" w:rsidRDefault="00BD111D" w:rsidP="00AB299B">
            <w:pPr>
              <w:spacing w:after="0" w:line="240" w:lineRule="auto"/>
              <w:rPr>
                <w:rFonts w:ascii="Times New Roman" w:eastAsia="Times New Roman" w:hAnsi="Times New Roman" w:cs="Times New Roman"/>
                <w:sz w:val="20"/>
                <w:szCs w:val="20"/>
                <w:lang w:eastAsia="fr-FR"/>
              </w:rPr>
            </w:pPr>
          </w:p>
        </w:tc>
        <w:tc>
          <w:tcPr>
            <w:tcW w:w="1134" w:type="dxa"/>
            <w:tcBorders>
              <w:top w:val="nil"/>
              <w:left w:val="nil"/>
              <w:bottom w:val="nil"/>
              <w:right w:val="nil"/>
            </w:tcBorders>
            <w:shd w:val="clear" w:color="auto" w:fill="auto"/>
            <w:noWrap/>
            <w:vAlign w:val="bottom"/>
            <w:hideMark/>
          </w:tcPr>
          <w:p w:rsidR="00BD111D" w:rsidRPr="002462E6" w:rsidRDefault="00BD111D" w:rsidP="00AB299B">
            <w:pPr>
              <w:spacing w:after="0" w:line="240" w:lineRule="auto"/>
              <w:rPr>
                <w:rFonts w:ascii="Times New Roman" w:eastAsia="Times New Roman" w:hAnsi="Times New Roman" w:cs="Times New Roman"/>
                <w:sz w:val="20"/>
                <w:szCs w:val="20"/>
                <w:lang w:eastAsia="fr-FR"/>
              </w:rPr>
            </w:pPr>
          </w:p>
        </w:tc>
        <w:tc>
          <w:tcPr>
            <w:tcW w:w="1284" w:type="dxa"/>
            <w:tcBorders>
              <w:top w:val="nil"/>
              <w:left w:val="nil"/>
              <w:bottom w:val="nil"/>
              <w:right w:val="nil"/>
            </w:tcBorders>
            <w:shd w:val="clear" w:color="auto" w:fill="auto"/>
            <w:noWrap/>
            <w:vAlign w:val="bottom"/>
            <w:hideMark/>
          </w:tcPr>
          <w:p w:rsidR="00BD111D" w:rsidRPr="002462E6" w:rsidRDefault="00BD111D" w:rsidP="00AB299B">
            <w:pPr>
              <w:spacing w:after="0" w:line="240" w:lineRule="auto"/>
              <w:rPr>
                <w:rFonts w:ascii="Times New Roman" w:eastAsia="Times New Roman" w:hAnsi="Times New Roman" w:cs="Times New Roman"/>
                <w:sz w:val="20"/>
                <w:szCs w:val="20"/>
                <w:lang w:eastAsia="fr-FR"/>
              </w:rPr>
            </w:pPr>
          </w:p>
        </w:tc>
        <w:tc>
          <w:tcPr>
            <w:tcW w:w="1834" w:type="dxa"/>
            <w:tcBorders>
              <w:top w:val="nil"/>
              <w:left w:val="nil"/>
              <w:bottom w:val="nil"/>
              <w:right w:val="nil"/>
            </w:tcBorders>
            <w:shd w:val="clear" w:color="auto" w:fill="auto"/>
            <w:noWrap/>
            <w:vAlign w:val="bottom"/>
            <w:hideMark/>
          </w:tcPr>
          <w:p w:rsidR="00BD111D" w:rsidRPr="002462E6" w:rsidRDefault="00BD111D" w:rsidP="00AB299B">
            <w:pPr>
              <w:spacing w:after="0" w:line="240" w:lineRule="auto"/>
              <w:rPr>
                <w:rFonts w:ascii="Times New Roman" w:eastAsia="Times New Roman" w:hAnsi="Times New Roman" w:cs="Times New Roman"/>
                <w:sz w:val="20"/>
                <w:szCs w:val="20"/>
                <w:lang w:eastAsia="fr-FR"/>
              </w:rPr>
            </w:pPr>
          </w:p>
        </w:tc>
        <w:tc>
          <w:tcPr>
            <w:tcW w:w="2268" w:type="dxa"/>
            <w:tcBorders>
              <w:top w:val="nil"/>
              <w:left w:val="nil"/>
              <w:bottom w:val="nil"/>
              <w:right w:val="nil"/>
            </w:tcBorders>
          </w:tcPr>
          <w:p w:rsidR="00BD111D" w:rsidRPr="002462E6" w:rsidRDefault="00BD111D" w:rsidP="00AB299B">
            <w:pPr>
              <w:spacing w:after="0" w:line="240" w:lineRule="auto"/>
              <w:rPr>
                <w:rFonts w:ascii="Times New Roman" w:eastAsia="Times New Roman" w:hAnsi="Times New Roman" w:cs="Times New Roman"/>
                <w:sz w:val="20"/>
                <w:szCs w:val="20"/>
                <w:lang w:eastAsia="fr-FR"/>
              </w:rPr>
            </w:pPr>
          </w:p>
        </w:tc>
      </w:tr>
    </w:tbl>
    <w:p w:rsidR="00BD111D" w:rsidRPr="002462E6" w:rsidRDefault="00BD111D" w:rsidP="00BD111D">
      <w:pPr>
        <w:pStyle w:val="Paragraphedeliste"/>
        <w:ind w:left="927"/>
        <w:rPr>
          <w:b/>
          <w:bCs/>
          <w:sz w:val="28"/>
          <w:szCs w:val="28"/>
        </w:rPr>
      </w:pPr>
    </w:p>
    <w:p w:rsidR="00BD111D" w:rsidRPr="002462E6" w:rsidRDefault="00BD111D" w:rsidP="00D051D7">
      <w:pPr>
        <w:pStyle w:val="Paragraphedeliste"/>
        <w:widowControl/>
        <w:numPr>
          <w:ilvl w:val="0"/>
          <w:numId w:val="46"/>
        </w:numPr>
        <w:autoSpaceDE/>
        <w:autoSpaceDN/>
        <w:spacing w:after="160" w:line="259" w:lineRule="auto"/>
        <w:contextualSpacing/>
        <w:jc w:val="left"/>
        <w:rPr>
          <w:b/>
          <w:bCs/>
          <w:sz w:val="28"/>
          <w:szCs w:val="28"/>
        </w:rPr>
      </w:pPr>
      <w:r w:rsidRPr="002462E6">
        <w:rPr>
          <w:b/>
          <w:bCs/>
          <w:sz w:val="28"/>
          <w:szCs w:val="28"/>
        </w:rPr>
        <w:t xml:space="preserve"> Ya-t-il des problèmes qui entravent la poursuite de leurs études ?</w:t>
      </w:r>
    </w:p>
    <w:p w:rsidR="00BD111D" w:rsidRPr="002462E6" w:rsidRDefault="00BD111D" w:rsidP="00BD111D"/>
    <w:p w:rsidR="00BD111D" w:rsidRPr="002462E6" w:rsidRDefault="00BD111D" w:rsidP="00D051D7">
      <w:pPr>
        <w:pStyle w:val="Paragraphedeliste"/>
        <w:widowControl/>
        <w:numPr>
          <w:ilvl w:val="0"/>
          <w:numId w:val="46"/>
        </w:numPr>
        <w:autoSpaceDE/>
        <w:autoSpaceDN/>
        <w:spacing w:after="160" w:line="259" w:lineRule="auto"/>
        <w:contextualSpacing/>
        <w:jc w:val="left"/>
      </w:pPr>
      <w:r w:rsidRPr="002462E6">
        <w:rPr>
          <w:b/>
          <w:bCs/>
          <w:sz w:val="28"/>
          <w:szCs w:val="28"/>
        </w:rPr>
        <w:t>Avez-vous une activité professionnelle ?</w:t>
      </w:r>
      <w:r w:rsidRPr="002462E6">
        <w:br/>
        <w:t xml:space="preserve">      </w:t>
      </w:r>
    </w:p>
    <w:p w:rsidR="00BD111D" w:rsidRPr="002462E6" w:rsidRDefault="00BD111D" w:rsidP="00AC59BD">
      <w:pPr>
        <w:rPr>
          <w:rFonts w:ascii="Helvetica" w:hAnsi="Helvetica" w:cs="Helvetica"/>
          <w:sz w:val="45"/>
          <w:szCs w:val="45"/>
          <w:lang w:eastAsia="fr-FR"/>
        </w:rPr>
      </w:pPr>
      <w:r w:rsidRPr="002462E6">
        <w:rPr>
          <w:rFonts w:ascii="Helvetica" w:hAnsi="Helvetica" w:cs="Helvetica"/>
          <w:sz w:val="45"/>
          <w:szCs w:val="45"/>
          <w:lang w:eastAsia="fr-FR"/>
        </w:rPr>
        <w:t>□</w:t>
      </w:r>
      <w:r w:rsidRPr="002462E6">
        <w:t xml:space="preserve">Oui                     </w:t>
      </w:r>
      <w:r w:rsidRPr="002462E6">
        <w:rPr>
          <w:rFonts w:ascii="Helvetica" w:hAnsi="Helvetica" w:cs="Helvetica"/>
          <w:sz w:val="45"/>
          <w:szCs w:val="45"/>
          <w:lang w:eastAsia="fr-FR"/>
        </w:rPr>
        <w:t>□</w:t>
      </w:r>
      <w:r w:rsidRPr="002462E6">
        <w:t>non</w:t>
      </w:r>
    </w:p>
    <w:p w:rsidR="00BD111D" w:rsidRPr="002462E6" w:rsidRDefault="00BD111D" w:rsidP="00BD111D"/>
    <w:p w:rsidR="00BD111D" w:rsidRPr="002462E6" w:rsidRDefault="00BD111D" w:rsidP="00D051D7">
      <w:pPr>
        <w:pStyle w:val="Paragraphedeliste"/>
        <w:widowControl/>
        <w:numPr>
          <w:ilvl w:val="0"/>
          <w:numId w:val="46"/>
        </w:numPr>
        <w:autoSpaceDE/>
        <w:autoSpaceDN/>
        <w:spacing w:after="160" w:line="259" w:lineRule="auto"/>
        <w:contextualSpacing/>
        <w:jc w:val="left"/>
        <w:rPr>
          <w:b/>
          <w:bCs/>
          <w:sz w:val="28"/>
          <w:szCs w:val="28"/>
        </w:rPr>
      </w:pPr>
      <w:r w:rsidRPr="002462E6">
        <w:rPr>
          <w:b/>
          <w:bCs/>
          <w:sz w:val="28"/>
          <w:szCs w:val="28"/>
        </w:rPr>
        <w:t>Si c’est oui, êtes-vous ?</w:t>
      </w:r>
    </w:p>
    <w:p w:rsidR="00BD111D" w:rsidRPr="002462E6" w:rsidRDefault="00BD111D" w:rsidP="00BD111D">
      <w:pPr>
        <w:pStyle w:val="Paragraphedeliste"/>
        <w:ind w:left="2136"/>
      </w:pPr>
      <w:r w:rsidRPr="002462E6">
        <w:rPr>
          <w:rFonts w:ascii="Helvetica" w:hAnsi="Helvetica" w:cs="Helvetica"/>
          <w:b/>
          <w:bCs/>
          <w:color w:val="000000" w:themeColor="text1"/>
          <w:sz w:val="45"/>
          <w:szCs w:val="45"/>
          <w:lang w:eastAsia="fr-FR"/>
        </w:rPr>
        <w:t>□</w:t>
      </w:r>
      <w:r w:rsidRPr="002462E6">
        <w:t>Eleveur</w:t>
      </w:r>
    </w:p>
    <w:p w:rsidR="00BD111D" w:rsidRPr="002462E6" w:rsidRDefault="00BD111D" w:rsidP="00BD111D">
      <w:pPr>
        <w:pStyle w:val="Paragraphedeliste"/>
        <w:ind w:left="2136"/>
      </w:pPr>
      <w:r w:rsidRPr="002462E6">
        <w:rPr>
          <w:rFonts w:ascii="Helvetica" w:hAnsi="Helvetica" w:cs="Helvetica"/>
          <w:b/>
          <w:bCs/>
          <w:color w:val="000000" w:themeColor="text1"/>
          <w:sz w:val="45"/>
          <w:szCs w:val="45"/>
          <w:lang w:eastAsia="fr-FR"/>
        </w:rPr>
        <w:t>□</w:t>
      </w:r>
      <w:r w:rsidRPr="002462E6">
        <w:t>Paysan</w:t>
      </w:r>
    </w:p>
    <w:p w:rsidR="00BD111D" w:rsidRPr="002462E6" w:rsidRDefault="00BD111D" w:rsidP="00BD111D">
      <w:pPr>
        <w:pStyle w:val="Paragraphedeliste"/>
        <w:ind w:left="2136"/>
      </w:pPr>
      <w:r w:rsidRPr="002462E6">
        <w:rPr>
          <w:rFonts w:ascii="Helvetica" w:hAnsi="Helvetica" w:cs="Helvetica"/>
          <w:b/>
          <w:bCs/>
          <w:color w:val="000000" w:themeColor="text1"/>
          <w:sz w:val="45"/>
          <w:szCs w:val="45"/>
          <w:lang w:eastAsia="fr-FR"/>
        </w:rPr>
        <w:t>□</w:t>
      </w:r>
      <w:r w:rsidRPr="002462E6">
        <w:t>Commerçant</w:t>
      </w:r>
    </w:p>
    <w:p w:rsidR="00BD111D" w:rsidRPr="002462E6" w:rsidRDefault="00BD111D" w:rsidP="00BD111D">
      <w:pPr>
        <w:pStyle w:val="Paragraphedeliste"/>
        <w:ind w:left="2136"/>
      </w:pPr>
      <w:r w:rsidRPr="002462E6">
        <w:rPr>
          <w:rFonts w:ascii="Helvetica" w:hAnsi="Helvetica" w:cs="Helvetica"/>
          <w:b/>
          <w:bCs/>
          <w:color w:val="000000" w:themeColor="text1"/>
          <w:sz w:val="45"/>
          <w:szCs w:val="45"/>
          <w:lang w:eastAsia="fr-FR"/>
        </w:rPr>
        <w:t>□</w:t>
      </w:r>
      <w:r w:rsidRPr="002462E6">
        <w:t>Salarié</w:t>
      </w:r>
    </w:p>
    <w:p w:rsidR="00BD111D" w:rsidRPr="002462E6" w:rsidRDefault="00BD111D" w:rsidP="00BD111D">
      <w:pPr>
        <w:pStyle w:val="Paragraphedeliste"/>
        <w:ind w:left="2136"/>
      </w:pPr>
      <w:r w:rsidRPr="002462E6">
        <w:rPr>
          <w:rFonts w:ascii="Helvetica" w:hAnsi="Helvetica" w:cs="Helvetica"/>
          <w:b/>
          <w:bCs/>
          <w:color w:val="000000" w:themeColor="text1"/>
          <w:sz w:val="45"/>
          <w:szCs w:val="45"/>
          <w:lang w:eastAsia="fr-FR"/>
        </w:rPr>
        <w:t>□</w:t>
      </w:r>
      <w:r w:rsidRPr="002462E6">
        <w:t>Fonctionnaire</w:t>
      </w:r>
    </w:p>
    <w:p w:rsidR="00BD111D" w:rsidRPr="002462E6" w:rsidRDefault="00BD111D" w:rsidP="00BD111D">
      <w:pPr>
        <w:ind w:left="1416"/>
      </w:pPr>
      <w:r w:rsidRPr="002462E6">
        <w:rPr>
          <w:rFonts w:ascii="Helvetica" w:eastAsia="Times New Roman" w:hAnsi="Helvetica" w:cs="Helvetica"/>
          <w:b/>
          <w:bCs/>
          <w:color w:val="000000" w:themeColor="text1"/>
          <w:sz w:val="45"/>
          <w:szCs w:val="45"/>
          <w:lang w:eastAsia="fr-FR"/>
        </w:rPr>
        <w:tab/>
        <w:t>□</w:t>
      </w:r>
      <w:r w:rsidRPr="002462E6">
        <w:t>Autre :</w:t>
      </w:r>
    </w:p>
    <w:p w:rsidR="00BD111D" w:rsidRPr="002462E6" w:rsidRDefault="00BD111D" w:rsidP="00BD111D"/>
    <w:p w:rsidR="00BD111D" w:rsidRPr="002462E6" w:rsidRDefault="00BD111D" w:rsidP="00D051D7">
      <w:pPr>
        <w:pStyle w:val="Paragraphedeliste"/>
        <w:widowControl/>
        <w:numPr>
          <w:ilvl w:val="0"/>
          <w:numId w:val="46"/>
        </w:numPr>
        <w:autoSpaceDE/>
        <w:autoSpaceDN/>
        <w:spacing w:after="160" w:line="259" w:lineRule="auto"/>
        <w:contextualSpacing/>
        <w:jc w:val="left"/>
        <w:rPr>
          <w:b/>
          <w:bCs/>
          <w:sz w:val="28"/>
          <w:szCs w:val="28"/>
        </w:rPr>
      </w:pPr>
      <w:r w:rsidRPr="002462E6">
        <w:rPr>
          <w:b/>
          <w:bCs/>
          <w:sz w:val="28"/>
          <w:szCs w:val="28"/>
        </w:rPr>
        <w:t>Quel est le lieu d’exercice de cette activité ?</w:t>
      </w:r>
    </w:p>
    <w:p w:rsidR="00BD111D" w:rsidRPr="002462E6" w:rsidRDefault="00BD111D" w:rsidP="00BD111D">
      <w:pPr>
        <w:ind w:left="1416"/>
      </w:pPr>
      <w:r w:rsidRPr="002462E6">
        <w:rPr>
          <w:rFonts w:ascii="Helvetica" w:eastAsia="Times New Roman" w:hAnsi="Helvetica" w:cs="Helvetica"/>
          <w:b/>
          <w:bCs/>
          <w:color w:val="000000" w:themeColor="text1"/>
          <w:sz w:val="45"/>
          <w:szCs w:val="45"/>
          <w:lang w:eastAsia="fr-FR"/>
        </w:rPr>
        <w:t xml:space="preserve">□ </w:t>
      </w:r>
      <w:r w:rsidRPr="002462E6">
        <w:t>À l’intérieur de la zone</w:t>
      </w:r>
      <w:r w:rsidRPr="002462E6">
        <w:br/>
      </w:r>
      <w:r w:rsidRPr="002462E6">
        <w:rPr>
          <w:rFonts w:ascii="Helvetica" w:eastAsia="Times New Roman" w:hAnsi="Helvetica" w:cs="Helvetica"/>
          <w:b/>
          <w:bCs/>
          <w:color w:val="000000" w:themeColor="text1"/>
          <w:sz w:val="45"/>
          <w:szCs w:val="45"/>
          <w:lang w:eastAsia="fr-FR"/>
        </w:rPr>
        <w:t xml:space="preserve">□ </w:t>
      </w:r>
      <w:r w:rsidRPr="002462E6">
        <w:t>En dehors de la zone</w:t>
      </w:r>
    </w:p>
    <w:p w:rsidR="00BD111D" w:rsidRPr="002462E6" w:rsidRDefault="00BD111D" w:rsidP="00D051D7">
      <w:pPr>
        <w:pStyle w:val="Paragraphedeliste"/>
        <w:widowControl/>
        <w:numPr>
          <w:ilvl w:val="0"/>
          <w:numId w:val="46"/>
        </w:numPr>
        <w:autoSpaceDE/>
        <w:autoSpaceDN/>
        <w:spacing w:after="160" w:line="259" w:lineRule="auto"/>
        <w:contextualSpacing/>
        <w:jc w:val="left"/>
        <w:rPr>
          <w:b/>
          <w:bCs/>
          <w:sz w:val="28"/>
          <w:szCs w:val="28"/>
        </w:rPr>
      </w:pPr>
      <w:r w:rsidRPr="002462E6">
        <w:rPr>
          <w:b/>
          <w:bCs/>
          <w:sz w:val="28"/>
          <w:szCs w:val="28"/>
        </w:rPr>
        <w:t>Avez-vous une activité secondaire ?</w:t>
      </w:r>
    </w:p>
    <w:p w:rsidR="00BD111D" w:rsidRPr="002462E6" w:rsidRDefault="00BD111D" w:rsidP="00AC59BD">
      <w:pPr>
        <w:rPr>
          <w:rFonts w:ascii="Helvetica" w:hAnsi="Helvetica" w:cs="Helvetica"/>
          <w:sz w:val="45"/>
          <w:szCs w:val="45"/>
          <w:lang w:eastAsia="fr-FR"/>
        </w:rPr>
      </w:pPr>
      <w:r w:rsidRPr="002462E6">
        <w:rPr>
          <w:rFonts w:ascii="Helvetica" w:hAnsi="Helvetica" w:cs="Helvetica"/>
          <w:sz w:val="45"/>
          <w:szCs w:val="45"/>
          <w:lang w:eastAsia="fr-FR"/>
        </w:rPr>
        <w:t>□</w:t>
      </w:r>
      <w:r w:rsidRPr="002462E6">
        <w:t xml:space="preserve">Oui                     </w:t>
      </w:r>
      <w:r w:rsidRPr="002462E6">
        <w:rPr>
          <w:rFonts w:ascii="Helvetica" w:hAnsi="Helvetica" w:cs="Helvetica"/>
          <w:sz w:val="45"/>
          <w:szCs w:val="45"/>
          <w:lang w:eastAsia="fr-FR"/>
        </w:rPr>
        <w:t>□</w:t>
      </w:r>
      <w:r w:rsidRPr="002462E6">
        <w:t>non</w:t>
      </w:r>
    </w:p>
    <w:p w:rsidR="00BD111D" w:rsidRPr="002462E6" w:rsidRDefault="00BD111D" w:rsidP="00BD111D">
      <w:pPr>
        <w:pStyle w:val="Paragraphedeliste"/>
        <w:ind w:left="1210"/>
        <w:rPr>
          <w:b/>
          <w:bCs/>
          <w:sz w:val="28"/>
          <w:szCs w:val="28"/>
        </w:rPr>
      </w:pPr>
      <w:r w:rsidRPr="002462E6">
        <w:rPr>
          <w:b/>
          <w:bCs/>
          <w:sz w:val="28"/>
          <w:szCs w:val="28"/>
        </w:rPr>
        <w:t xml:space="preserve"> Si oui, laquelle </w:t>
      </w:r>
    </w:p>
    <w:p w:rsidR="00BD111D" w:rsidRPr="002462E6" w:rsidRDefault="00BD111D" w:rsidP="00D051D7">
      <w:pPr>
        <w:pStyle w:val="Paragraphedeliste"/>
        <w:widowControl/>
        <w:numPr>
          <w:ilvl w:val="0"/>
          <w:numId w:val="46"/>
        </w:numPr>
        <w:autoSpaceDE/>
        <w:autoSpaceDN/>
        <w:spacing w:after="160" w:line="259" w:lineRule="auto"/>
        <w:contextualSpacing/>
        <w:jc w:val="left"/>
        <w:rPr>
          <w:b/>
          <w:bCs/>
          <w:sz w:val="28"/>
          <w:szCs w:val="28"/>
        </w:rPr>
      </w:pPr>
      <w:r w:rsidRPr="002462E6">
        <w:rPr>
          <w:b/>
          <w:bCs/>
          <w:sz w:val="28"/>
          <w:szCs w:val="28"/>
        </w:rPr>
        <w:t>Quel est votre revenu mensuel moyen ?</w:t>
      </w:r>
    </w:p>
    <w:p w:rsidR="00BD111D" w:rsidRPr="002462E6" w:rsidRDefault="00BD111D" w:rsidP="00BD111D">
      <w:pPr>
        <w:rPr>
          <w:b/>
          <w:bCs/>
          <w:sz w:val="28"/>
          <w:szCs w:val="28"/>
        </w:rPr>
      </w:pPr>
    </w:p>
    <w:p w:rsidR="00BD111D" w:rsidRPr="002462E6" w:rsidRDefault="00BD111D" w:rsidP="00D051D7">
      <w:pPr>
        <w:pStyle w:val="Paragraphedeliste"/>
        <w:widowControl/>
        <w:numPr>
          <w:ilvl w:val="0"/>
          <w:numId w:val="46"/>
        </w:numPr>
        <w:autoSpaceDE/>
        <w:autoSpaceDN/>
        <w:spacing w:after="160" w:line="259" w:lineRule="auto"/>
        <w:contextualSpacing/>
        <w:jc w:val="left"/>
        <w:rPr>
          <w:b/>
          <w:bCs/>
          <w:sz w:val="28"/>
          <w:szCs w:val="28"/>
        </w:rPr>
      </w:pPr>
      <w:r w:rsidRPr="002462E6">
        <w:rPr>
          <w:b/>
          <w:bCs/>
          <w:sz w:val="28"/>
          <w:szCs w:val="28"/>
        </w:rPr>
        <w:t>Quel est votre revenu annuel moyen ?</w:t>
      </w:r>
    </w:p>
    <w:p w:rsidR="00BD111D" w:rsidRPr="002462E6" w:rsidRDefault="00BD111D" w:rsidP="00BD111D">
      <w:pPr>
        <w:rPr>
          <w:b/>
          <w:bCs/>
          <w:sz w:val="28"/>
          <w:szCs w:val="28"/>
        </w:rPr>
      </w:pPr>
    </w:p>
    <w:p w:rsidR="00BD111D" w:rsidRPr="002462E6" w:rsidRDefault="00BD111D" w:rsidP="00D051D7">
      <w:pPr>
        <w:pStyle w:val="Paragraphedeliste"/>
        <w:widowControl/>
        <w:numPr>
          <w:ilvl w:val="0"/>
          <w:numId w:val="46"/>
        </w:numPr>
        <w:autoSpaceDE/>
        <w:autoSpaceDN/>
        <w:spacing w:after="160" w:line="259" w:lineRule="auto"/>
        <w:contextualSpacing/>
        <w:jc w:val="left"/>
        <w:rPr>
          <w:b/>
          <w:bCs/>
          <w:sz w:val="28"/>
          <w:szCs w:val="28"/>
        </w:rPr>
      </w:pPr>
      <w:r w:rsidRPr="002462E6">
        <w:rPr>
          <w:b/>
          <w:bCs/>
          <w:sz w:val="28"/>
          <w:szCs w:val="28"/>
        </w:rPr>
        <w:t xml:space="preserve">Recevez-vous des aides ou transferts financiers familiaux ? </w:t>
      </w:r>
    </w:p>
    <w:p w:rsidR="00BD111D" w:rsidRPr="002462E6" w:rsidRDefault="00BD111D" w:rsidP="00AC59BD">
      <w:pPr>
        <w:rPr>
          <w:rFonts w:ascii="Helvetica" w:hAnsi="Helvetica" w:cs="Helvetica"/>
          <w:sz w:val="45"/>
          <w:szCs w:val="45"/>
          <w:lang w:eastAsia="fr-FR"/>
        </w:rPr>
      </w:pPr>
      <w:r w:rsidRPr="002462E6">
        <w:rPr>
          <w:rFonts w:ascii="Helvetica" w:hAnsi="Helvetica" w:cs="Helvetica"/>
          <w:sz w:val="45"/>
          <w:szCs w:val="45"/>
          <w:lang w:eastAsia="fr-FR"/>
        </w:rPr>
        <w:t>□</w:t>
      </w:r>
      <w:r w:rsidRPr="002462E6">
        <w:t xml:space="preserve">Oui                     </w:t>
      </w:r>
      <w:r w:rsidRPr="002462E6">
        <w:rPr>
          <w:rFonts w:ascii="Helvetica" w:hAnsi="Helvetica" w:cs="Helvetica"/>
          <w:sz w:val="45"/>
          <w:szCs w:val="45"/>
          <w:lang w:eastAsia="fr-FR"/>
        </w:rPr>
        <w:t>□</w:t>
      </w:r>
      <w:r w:rsidRPr="002462E6">
        <w:t>non</w:t>
      </w:r>
    </w:p>
    <w:p w:rsidR="00BD111D" w:rsidRPr="002462E6" w:rsidRDefault="00BD111D" w:rsidP="00BD111D">
      <w:pPr>
        <w:rPr>
          <w:b/>
          <w:bCs/>
          <w:sz w:val="28"/>
          <w:szCs w:val="28"/>
        </w:rPr>
      </w:pPr>
    </w:p>
    <w:p w:rsidR="00BD111D" w:rsidRPr="002462E6" w:rsidRDefault="00BD111D" w:rsidP="00D051D7">
      <w:pPr>
        <w:pStyle w:val="Paragraphedeliste"/>
        <w:widowControl/>
        <w:numPr>
          <w:ilvl w:val="0"/>
          <w:numId w:val="46"/>
        </w:numPr>
        <w:autoSpaceDE/>
        <w:autoSpaceDN/>
        <w:spacing w:after="160" w:line="259" w:lineRule="auto"/>
        <w:contextualSpacing/>
        <w:jc w:val="left"/>
        <w:rPr>
          <w:b/>
          <w:bCs/>
          <w:sz w:val="28"/>
          <w:szCs w:val="28"/>
        </w:rPr>
      </w:pPr>
      <w:r w:rsidRPr="002462E6">
        <w:rPr>
          <w:b/>
          <w:bCs/>
          <w:sz w:val="28"/>
          <w:szCs w:val="28"/>
        </w:rPr>
        <w:t>Quel est le montant mensuel moyen perçu ?</w:t>
      </w:r>
    </w:p>
    <w:p w:rsidR="00BD111D" w:rsidRPr="002462E6" w:rsidRDefault="00BD111D" w:rsidP="00BD111D"/>
    <w:p w:rsidR="00BD111D" w:rsidRPr="002462E6" w:rsidRDefault="00BD111D" w:rsidP="00D051D7">
      <w:pPr>
        <w:pStyle w:val="Paragraphedeliste"/>
        <w:widowControl/>
        <w:numPr>
          <w:ilvl w:val="0"/>
          <w:numId w:val="46"/>
        </w:numPr>
        <w:autoSpaceDE/>
        <w:autoSpaceDN/>
        <w:spacing w:after="160" w:line="259" w:lineRule="auto"/>
        <w:contextualSpacing/>
        <w:jc w:val="left"/>
        <w:rPr>
          <w:b/>
          <w:bCs/>
          <w:sz w:val="28"/>
          <w:szCs w:val="28"/>
        </w:rPr>
      </w:pPr>
      <w:r w:rsidRPr="002462E6">
        <w:rPr>
          <w:b/>
          <w:bCs/>
          <w:sz w:val="28"/>
          <w:szCs w:val="28"/>
        </w:rPr>
        <w:t>Avez-vous un revenu secondaire ?</w:t>
      </w:r>
    </w:p>
    <w:p w:rsidR="00BD111D" w:rsidRPr="002462E6" w:rsidRDefault="00BD111D" w:rsidP="00AC59BD">
      <w:pPr>
        <w:rPr>
          <w:rFonts w:ascii="Helvetica" w:hAnsi="Helvetica" w:cs="Helvetica"/>
          <w:sz w:val="45"/>
          <w:szCs w:val="45"/>
          <w:lang w:eastAsia="fr-FR"/>
        </w:rPr>
      </w:pPr>
      <w:r w:rsidRPr="002462E6">
        <w:rPr>
          <w:rFonts w:ascii="Helvetica" w:hAnsi="Helvetica" w:cs="Helvetica"/>
          <w:sz w:val="45"/>
          <w:szCs w:val="45"/>
          <w:lang w:eastAsia="fr-FR"/>
        </w:rPr>
        <w:t>□</w:t>
      </w:r>
      <w:r w:rsidRPr="002462E6">
        <w:t xml:space="preserve">Oui                     </w:t>
      </w:r>
      <w:r w:rsidRPr="002462E6">
        <w:rPr>
          <w:rFonts w:ascii="Helvetica" w:hAnsi="Helvetica" w:cs="Helvetica"/>
          <w:sz w:val="45"/>
          <w:szCs w:val="45"/>
          <w:lang w:eastAsia="fr-FR"/>
        </w:rPr>
        <w:t>□</w:t>
      </w:r>
      <w:r w:rsidRPr="002462E6">
        <w:t>non</w:t>
      </w:r>
    </w:p>
    <w:p w:rsidR="00BD111D" w:rsidRPr="002462E6" w:rsidRDefault="00BD111D" w:rsidP="00D051D7">
      <w:pPr>
        <w:pStyle w:val="Paragraphedeliste"/>
        <w:widowControl/>
        <w:numPr>
          <w:ilvl w:val="0"/>
          <w:numId w:val="46"/>
        </w:numPr>
        <w:autoSpaceDE/>
        <w:autoSpaceDN/>
        <w:spacing w:after="160" w:line="259" w:lineRule="auto"/>
        <w:contextualSpacing/>
        <w:jc w:val="left"/>
        <w:rPr>
          <w:b/>
          <w:bCs/>
          <w:sz w:val="28"/>
          <w:szCs w:val="28"/>
        </w:rPr>
      </w:pPr>
      <w:r w:rsidRPr="002462E6">
        <w:rPr>
          <w:b/>
          <w:bCs/>
          <w:sz w:val="28"/>
          <w:szCs w:val="28"/>
        </w:rPr>
        <w:t>Quelle est sa source et le montant reçu ?</w:t>
      </w:r>
    </w:p>
    <w:p w:rsidR="00BD111D" w:rsidRPr="002462E6" w:rsidRDefault="00BD111D" w:rsidP="00BD111D">
      <w:pPr>
        <w:pStyle w:val="Paragraphedeliste"/>
        <w:ind w:left="1210"/>
        <w:rPr>
          <w:b/>
          <w:bCs/>
          <w:sz w:val="28"/>
          <w:szCs w:val="28"/>
        </w:rPr>
      </w:pPr>
    </w:p>
    <w:p w:rsidR="00BD111D" w:rsidRPr="002462E6" w:rsidRDefault="00BD111D" w:rsidP="00D051D7">
      <w:pPr>
        <w:pStyle w:val="Paragraphedeliste"/>
        <w:widowControl/>
        <w:numPr>
          <w:ilvl w:val="0"/>
          <w:numId w:val="46"/>
        </w:numPr>
        <w:autoSpaceDE/>
        <w:autoSpaceDN/>
        <w:spacing w:after="160" w:line="259" w:lineRule="auto"/>
        <w:contextualSpacing/>
        <w:jc w:val="left"/>
        <w:rPr>
          <w:b/>
          <w:bCs/>
          <w:sz w:val="28"/>
          <w:szCs w:val="28"/>
        </w:rPr>
      </w:pPr>
      <w:r w:rsidRPr="002462E6">
        <w:rPr>
          <w:b/>
          <w:bCs/>
          <w:sz w:val="28"/>
          <w:szCs w:val="28"/>
        </w:rPr>
        <w:t>Comment êtes-vous approvisionné en eau ?</w:t>
      </w:r>
    </w:p>
    <w:p w:rsidR="00BD111D" w:rsidRPr="002462E6" w:rsidRDefault="00BD111D" w:rsidP="00BD111D">
      <w:pPr>
        <w:pStyle w:val="Paragraphedeliste"/>
        <w:ind w:left="1210"/>
        <w:rPr>
          <w:b/>
          <w:bCs/>
          <w:sz w:val="28"/>
          <w:szCs w:val="28"/>
        </w:rPr>
      </w:pPr>
    </w:p>
    <w:tbl>
      <w:tblPr>
        <w:tblW w:w="6374" w:type="dxa"/>
        <w:jc w:val="center"/>
        <w:tblCellMar>
          <w:left w:w="70" w:type="dxa"/>
          <w:right w:w="70" w:type="dxa"/>
        </w:tblCellMar>
        <w:tblLook w:val="04A0" w:firstRow="1" w:lastRow="0" w:firstColumn="1" w:lastColumn="0" w:noHBand="0" w:noVBand="1"/>
      </w:tblPr>
      <w:tblGrid>
        <w:gridCol w:w="3823"/>
        <w:gridCol w:w="2551"/>
      </w:tblGrid>
      <w:tr w:rsidR="00BD111D" w:rsidRPr="002462E6" w:rsidTr="00AB299B">
        <w:trPr>
          <w:trHeight w:val="300"/>
          <w:jc w:val="center"/>
        </w:trPr>
        <w:tc>
          <w:tcPr>
            <w:tcW w:w="382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BD111D" w:rsidRPr="002462E6" w:rsidRDefault="00BD111D" w:rsidP="00AB299B">
            <w:pPr>
              <w:spacing w:after="0" w:line="240" w:lineRule="auto"/>
              <w:rPr>
                <w:rFonts w:ascii="Calibri" w:eastAsia="Times New Roman" w:hAnsi="Calibri" w:cs="Calibri"/>
                <w:color w:val="000000"/>
                <w:sz w:val="28"/>
                <w:szCs w:val="28"/>
                <w:lang w:eastAsia="fr-FR"/>
              </w:rPr>
            </w:pPr>
            <w:r w:rsidRPr="002462E6">
              <w:rPr>
                <w:rFonts w:ascii="Calibri" w:eastAsia="Times New Roman" w:hAnsi="Calibri" w:cs="Calibri"/>
                <w:color w:val="000000"/>
                <w:sz w:val="28"/>
                <w:szCs w:val="28"/>
                <w:lang w:eastAsia="fr-FR"/>
              </w:rPr>
              <w:t xml:space="preserve"> Par puits                      </w:t>
            </w:r>
            <w:r w:rsidRPr="002462E6">
              <w:rPr>
                <w:rFonts w:ascii="Helvetica" w:eastAsia="Times New Roman" w:hAnsi="Helvetica" w:cs="Helvetica"/>
                <w:b/>
                <w:bCs/>
                <w:color w:val="000000" w:themeColor="text1"/>
                <w:sz w:val="45"/>
                <w:szCs w:val="45"/>
                <w:lang w:eastAsia="fr-FR"/>
              </w:rPr>
              <w:t>□</w:t>
            </w:r>
          </w:p>
        </w:tc>
        <w:tc>
          <w:tcPr>
            <w:tcW w:w="2551" w:type="dxa"/>
            <w:tcBorders>
              <w:top w:val="single" w:sz="4" w:space="0" w:color="auto"/>
              <w:left w:val="nil"/>
              <w:bottom w:val="single" w:sz="4" w:space="0" w:color="auto"/>
              <w:right w:val="single" w:sz="4" w:space="0" w:color="auto"/>
            </w:tcBorders>
            <w:shd w:val="clear" w:color="auto" w:fill="auto"/>
            <w:noWrap/>
            <w:vAlign w:val="bottom"/>
            <w:hideMark/>
          </w:tcPr>
          <w:p w:rsidR="00BD111D" w:rsidRPr="002462E6" w:rsidRDefault="00BD111D" w:rsidP="00AB299B">
            <w:pPr>
              <w:spacing w:after="0" w:line="240" w:lineRule="auto"/>
              <w:rPr>
                <w:rFonts w:ascii="Calibri" w:eastAsia="Times New Roman" w:hAnsi="Calibri" w:cs="Calibri"/>
                <w:color w:val="000000"/>
                <w:sz w:val="28"/>
                <w:szCs w:val="28"/>
                <w:lang w:eastAsia="fr-FR"/>
              </w:rPr>
            </w:pPr>
            <w:r w:rsidRPr="002462E6">
              <w:rPr>
                <w:rFonts w:ascii="Calibri" w:eastAsia="Times New Roman" w:hAnsi="Calibri" w:cs="Calibri"/>
                <w:color w:val="000000"/>
                <w:sz w:val="28"/>
                <w:szCs w:val="28"/>
                <w:lang w:eastAsia="fr-FR"/>
              </w:rPr>
              <w:t xml:space="preserve"> proximité en mètre :</w:t>
            </w:r>
          </w:p>
        </w:tc>
      </w:tr>
      <w:tr w:rsidR="00BD111D" w:rsidRPr="002462E6" w:rsidTr="00AB299B">
        <w:trPr>
          <w:trHeight w:val="300"/>
          <w:jc w:val="center"/>
        </w:trPr>
        <w:tc>
          <w:tcPr>
            <w:tcW w:w="3823" w:type="dxa"/>
            <w:tcBorders>
              <w:top w:val="nil"/>
              <w:left w:val="single" w:sz="4" w:space="0" w:color="auto"/>
              <w:bottom w:val="single" w:sz="4" w:space="0" w:color="auto"/>
              <w:right w:val="single" w:sz="4" w:space="0" w:color="auto"/>
            </w:tcBorders>
            <w:shd w:val="clear" w:color="auto" w:fill="auto"/>
            <w:noWrap/>
            <w:vAlign w:val="bottom"/>
            <w:hideMark/>
          </w:tcPr>
          <w:p w:rsidR="00BD111D" w:rsidRPr="002462E6" w:rsidRDefault="00BD111D" w:rsidP="00AB299B">
            <w:pPr>
              <w:spacing w:after="0" w:line="240" w:lineRule="auto"/>
              <w:rPr>
                <w:rFonts w:ascii="Calibri" w:eastAsia="Times New Roman" w:hAnsi="Calibri" w:cs="Calibri"/>
                <w:color w:val="000000"/>
                <w:sz w:val="28"/>
                <w:szCs w:val="28"/>
                <w:lang w:eastAsia="fr-FR"/>
              </w:rPr>
            </w:pPr>
            <w:r w:rsidRPr="002462E6">
              <w:rPr>
                <w:rFonts w:ascii="Calibri" w:eastAsia="Times New Roman" w:hAnsi="Calibri" w:cs="Calibri"/>
                <w:color w:val="000000"/>
                <w:sz w:val="28"/>
                <w:szCs w:val="28"/>
                <w:lang w:eastAsia="fr-FR"/>
              </w:rPr>
              <w:t> </w:t>
            </w:r>
            <w:r w:rsidRPr="002462E6">
              <w:rPr>
                <w:sz w:val="28"/>
                <w:szCs w:val="28"/>
              </w:rPr>
              <w:t xml:space="preserve">Par fontaine                </w:t>
            </w:r>
            <w:r w:rsidRPr="002462E6">
              <w:rPr>
                <w:rFonts w:ascii="Helvetica" w:eastAsia="Times New Roman" w:hAnsi="Helvetica" w:cs="Helvetica"/>
                <w:b/>
                <w:bCs/>
                <w:color w:val="000000" w:themeColor="text1"/>
                <w:sz w:val="45"/>
                <w:szCs w:val="45"/>
                <w:lang w:eastAsia="fr-FR"/>
              </w:rPr>
              <w:t>□</w:t>
            </w:r>
          </w:p>
        </w:tc>
        <w:tc>
          <w:tcPr>
            <w:tcW w:w="2551" w:type="dxa"/>
            <w:tcBorders>
              <w:top w:val="nil"/>
              <w:left w:val="nil"/>
              <w:bottom w:val="single" w:sz="4" w:space="0" w:color="auto"/>
              <w:right w:val="single" w:sz="4" w:space="0" w:color="auto"/>
            </w:tcBorders>
            <w:shd w:val="clear" w:color="auto" w:fill="auto"/>
            <w:noWrap/>
            <w:vAlign w:val="bottom"/>
            <w:hideMark/>
          </w:tcPr>
          <w:p w:rsidR="00BD111D" w:rsidRPr="002462E6" w:rsidRDefault="00BD111D" w:rsidP="00AB299B">
            <w:pPr>
              <w:spacing w:after="0" w:line="240" w:lineRule="auto"/>
              <w:rPr>
                <w:rFonts w:ascii="Calibri" w:eastAsia="Times New Roman" w:hAnsi="Calibri" w:cs="Calibri"/>
                <w:color w:val="000000"/>
                <w:sz w:val="28"/>
                <w:szCs w:val="28"/>
                <w:lang w:eastAsia="fr-FR"/>
              </w:rPr>
            </w:pPr>
            <w:r w:rsidRPr="002462E6">
              <w:rPr>
                <w:rFonts w:ascii="Calibri" w:eastAsia="Times New Roman" w:hAnsi="Calibri" w:cs="Calibri"/>
                <w:color w:val="000000"/>
                <w:sz w:val="28"/>
                <w:szCs w:val="28"/>
                <w:lang w:eastAsia="fr-FR"/>
              </w:rPr>
              <w:t>proximité en mètre :</w:t>
            </w:r>
          </w:p>
        </w:tc>
      </w:tr>
      <w:tr w:rsidR="00BD111D" w:rsidRPr="002462E6" w:rsidTr="00AB299B">
        <w:trPr>
          <w:trHeight w:val="300"/>
          <w:jc w:val="center"/>
        </w:trPr>
        <w:tc>
          <w:tcPr>
            <w:tcW w:w="3823" w:type="dxa"/>
            <w:tcBorders>
              <w:top w:val="nil"/>
              <w:left w:val="single" w:sz="4" w:space="0" w:color="auto"/>
              <w:bottom w:val="single" w:sz="4" w:space="0" w:color="auto"/>
              <w:right w:val="single" w:sz="4" w:space="0" w:color="auto"/>
            </w:tcBorders>
            <w:shd w:val="clear" w:color="auto" w:fill="auto"/>
            <w:noWrap/>
            <w:vAlign w:val="bottom"/>
            <w:hideMark/>
          </w:tcPr>
          <w:p w:rsidR="00BD111D" w:rsidRPr="002462E6" w:rsidRDefault="00BD111D" w:rsidP="00AB299B">
            <w:pPr>
              <w:spacing w:after="0" w:line="240" w:lineRule="auto"/>
              <w:rPr>
                <w:rFonts w:ascii="Calibri" w:eastAsia="Times New Roman" w:hAnsi="Calibri" w:cs="Calibri"/>
                <w:color w:val="000000"/>
                <w:sz w:val="28"/>
                <w:szCs w:val="28"/>
                <w:lang w:eastAsia="fr-FR"/>
              </w:rPr>
            </w:pPr>
            <w:r w:rsidRPr="002462E6">
              <w:rPr>
                <w:rFonts w:ascii="Calibri" w:eastAsia="Times New Roman" w:hAnsi="Calibri" w:cs="Calibri"/>
                <w:color w:val="000000"/>
                <w:sz w:val="28"/>
                <w:szCs w:val="28"/>
                <w:lang w:eastAsia="fr-FR"/>
              </w:rPr>
              <w:t xml:space="preserve"> Par source d’eau        </w:t>
            </w:r>
            <w:r w:rsidRPr="002462E6">
              <w:rPr>
                <w:rFonts w:ascii="Helvetica" w:eastAsia="Times New Roman" w:hAnsi="Helvetica" w:cs="Helvetica"/>
                <w:b/>
                <w:bCs/>
                <w:color w:val="000000" w:themeColor="text1"/>
                <w:sz w:val="45"/>
                <w:szCs w:val="45"/>
                <w:lang w:eastAsia="fr-FR"/>
              </w:rPr>
              <w:t>□</w:t>
            </w:r>
          </w:p>
          <w:p w:rsidR="00BD111D" w:rsidRPr="002462E6" w:rsidRDefault="00BD111D" w:rsidP="00AB299B">
            <w:pPr>
              <w:spacing w:after="0" w:line="240" w:lineRule="auto"/>
              <w:rPr>
                <w:rFonts w:ascii="Calibri" w:eastAsia="Times New Roman" w:hAnsi="Calibri" w:cs="Calibri"/>
                <w:color w:val="000000"/>
                <w:sz w:val="28"/>
                <w:szCs w:val="28"/>
                <w:lang w:eastAsia="fr-FR"/>
              </w:rPr>
            </w:pPr>
            <w:r w:rsidRPr="002462E6">
              <w:rPr>
                <w:rFonts w:ascii="Calibri" w:eastAsia="Times New Roman" w:hAnsi="Calibri" w:cs="Calibri"/>
                <w:color w:val="000000"/>
                <w:sz w:val="28"/>
                <w:szCs w:val="28"/>
                <w:lang w:eastAsia="fr-FR"/>
              </w:rPr>
              <w:t xml:space="preserve">naturelle                 </w:t>
            </w:r>
          </w:p>
        </w:tc>
        <w:tc>
          <w:tcPr>
            <w:tcW w:w="2551" w:type="dxa"/>
            <w:tcBorders>
              <w:top w:val="nil"/>
              <w:left w:val="nil"/>
              <w:bottom w:val="single" w:sz="4" w:space="0" w:color="auto"/>
              <w:right w:val="single" w:sz="4" w:space="0" w:color="auto"/>
            </w:tcBorders>
            <w:shd w:val="clear" w:color="auto" w:fill="auto"/>
            <w:noWrap/>
            <w:vAlign w:val="bottom"/>
            <w:hideMark/>
          </w:tcPr>
          <w:p w:rsidR="00BD111D" w:rsidRPr="002462E6" w:rsidRDefault="00BD111D" w:rsidP="00AB299B">
            <w:pPr>
              <w:spacing w:after="0" w:line="240" w:lineRule="auto"/>
              <w:rPr>
                <w:rFonts w:ascii="Calibri" w:eastAsia="Times New Roman" w:hAnsi="Calibri" w:cs="Calibri"/>
                <w:color w:val="000000"/>
                <w:sz w:val="28"/>
                <w:szCs w:val="28"/>
                <w:lang w:eastAsia="fr-FR"/>
              </w:rPr>
            </w:pPr>
            <w:r w:rsidRPr="002462E6">
              <w:rPr>
                <w:rFonts w:ascii="Calibri" w:eastAsia="Times New Roman" w:hAnsi="Calibri" w:cs="Calibri"/>
                <w:color w:val="000000"/>
                <w:sz w:val="28"/>
                <w:szCs w:val="28"/>
                <w:lang w:eastAsia="fr-FR"/>
              </w:rPr>
              <w:t>proximité en mètre :</w:t>
            </w:r>
          </w:p>
        </w:tc>
      </w:tr>
      <w:tr w:rsidR="00BD111D" w:rsidRPr="002462E6" w:rsidTr="00AB299B">
        <w:trPr>
          <w:trHeight w:val="300"/>
          <w:jc w:val="center"/>
        </w:trPr>
        <w:tc>
          <w:tcPr>
            <w:tcW w:w="3823" w:type="dxa"/>
            <w:tcBorders>
              <w:top w:val="nil"/>
              <w:left w:val="single" w:sz="4" w:space="0" w:color="auto"/>
              <w:bottom w:val="single" w:sz="4" w:space="0" w:color="auto"/>
              <w:right w:val="single" w:sz="4" w:space="0" w:color="auto"/>
            </w:tcBorders>
            <w:shd w:val="clear" w:color="auto" w:fill="auto"/>
            <w:noWrap/>
            <w:vAlign w:val="bottom"/>
            <w:hideMark/>
          </w:tcPr>
          <w:p w:rsidR="00BD111D" w:rsidRPr="002462E6" w:rsidRDefault="00BD111D" w:rsidP="00AB299B">
            <w:pPr>
              <w:spacing w:after="0" w:line="240" w:lineRule="auto"/>
              <w:rPr>
                <w:sz w:val="28"/>
                <w:szCs w:val="28"/>
              </w:rPr>
            </w:pPr>
            <w:r w:rsidRPr="002462E6">
              <w:rPr>
                <w:sz w:val="28"/>
                <w:szCs w:val="28"/>
              </w:rPr>
              <w:t xml:space="preserve">Par raccordement        </w:t>
            </w:r>
            <w:r w:rsidRPr="002462E6">
              <w:rPr>
                <w:rFonts w:ascii="Helvetica" w:eastAsia="Times New Roman" w:hAnsi="Helvetica" w:cs="Helvetica"/>
                <w:b/>
                <w:bCs/>
                <w:color w:val="000000" w:themeColor="text1"/>
                <w:sz w:val="45"/>
                <w:szCs w:val="45"/>
                <w:lang w:eastAsia="fr-FR"/>
              </w:rPr>
              <w:t>□</w:t>
            </w:r>
          </w:p>
          <w:p w:rsidR="00BD111D" w:rsidRPr="002462E6" w:rsidRDefault="00BD111D" w:rsidP="00AB299B">
            <w:pPr>
              <w:spacing w:after="0" w:line="240" w:lineRule="auto"/>
              <w:rPr>
                <w:rFonts w:ascii="Calibri" w:eastAsia="Times New Roman" w:hAnsi="Calibri" w:cs="Calibri"/>
                <w:color w:val="000000"/>
                <w:sz w:val="28"/>
                <w:szCs w:val="28"/>
                <w:lang w:eastAsia="fr-FR"/>
              </w:rPr>
            </w:pPr>
            <w:r w:rsidRPr="002462E6">
              <w:rPr>
                <w:sz w:val="28"/>
                <w:szCs w:val="28"/>
              </w:rPr>
              <w:t>au réseau d’eau potable</w:t>
            </w:r>
          </w:p>
        </w:tc>
        <w:tc>
          <w:tcPr>
            <w:tcW w:w="2551" w:type="dxa"/>
            <w:tcBorders>
              <w:top w:val="nil"/>
              <w:left w:val="nil"/>
              <w:bottom w:val="single" w:sz="4" w:space="0" w:color="auto"/>
              <w:right w:val="single" w:sz="4" w:space="0" w:color="auto"/>
            </w:tcBorders>
            <w:shd w:val="clear" w:color="auto" w:fill="auto"/>
            <w:noWrap/>
            <w:vAlign w:val="bottom"/>
            <w:hideMark/>
          </w:tcPr>
          <w:p w:rsidR="00BD111D" w:rsidRPr="002462E6" w:rsidRDefault="00BD111D" w:rsidP="00AB299B">
            <w:pPr>
              <w:spacing w:after="0" w:line="240" w:lineRule="auto"/>
              <w:rPr>
                <w:rFonts w:ascii="Calibri" w:eastAsia="Times New Roman" w:hAnsi="Calibri" w:cs="Calibri"/>
                <w:color w:val="000000"/>
                <w:sz w:val="28"/>
                <w:szCs w:val="28"/>
                <w:lang w:eastAsia="fr-FR"/>
              </w:rPr>
            </w:pPr>
            <w:r w:rsidRPr="002462E6">
              <w:rPr>
                <w:rFonts w:ascii="Calibri" w:eastAsia="Times New Roman" w:hAnsi="Calibri" w:cs="Calibri"/>
                <w:color w:val="000000"/>
                <w:sz w:val="28"/>
                <w:szCs w:val="28"/>
                <w:lang w:eastAsia="fr-FR"/>
              </w:rPr>
              <w:t> </w:t>
            </w:r>
          </w:p>
        </w:tc>
      </w:tr>
    </w:tbl>
    <w:p w:rsidR="00BD111D" w:rsidRPr="002462E6" w:rsidRDefault="00BD111D" w:rsidP="00D051D7">
      <w:pPr>
        <w:pStyle w:val="Paragraphedeliste"/>
        <w:widowControl/>
        <w:numPr>
          <w:ilvl w:val="0"/>
          <w:numId w:val="46"/>
        </w:numPr>
        <w:autoSpaceDE/>
        <w:autoSpaceDN/>
        <w:spacing w:after="160" w:line="259" w:lineRule="auto"/>
        <w:contextualSpacing/>
        <w:jc w:val="left"/>
        <w:rPr>
          <w:b/>
          <w:bCs/>
          <w:sz w:val="28"/>
          <w:szCs w:val="28"/>
        </w:rPr>
      </w:pPr>
      <w:r w:rsidRPr="002462E6">
        <w:rPr>
          <w:rFonts w:ascii="Tahoma" w:hAnsi="Tahoma" w:cs="Tahoma"/>
          <w:color w:val="000000"/>
          <w:sz w:val="27"/>
          <w:szCs w:val="27"/>
          <w:shd w:val="clear" w:color="auto" w:fill="FFFFFF"/>
        </w:rPr>
        <w:t xml:space="preserve"> </w:t>
      </w:r>
      <w:r w:rsidRPr="002462E6">
        <w:rPr>
          <w:b/>
          <w:bCs/>
          <w:sz w:val="28"/>
          <w:szCs w:val="28"/>
        </w:rPr>
        <w:t>Avez-vous accès à l’électricité ?</w:t>
      </w:r>
    </w:p>
    <w:p w:rsidR="00BD111D" w:rsidRPr="002462E6" w:rsidRDefault="00BD111D" w:rsidP="00BD111D">
      <w:pPr>
        <w:pStyle w:val="Paragraphedeliste"/>
        <w:ind w:left="1210"/>
        <w:rPr>
          <w:b/>
          <w:bCs/>
          <w:sz w:val="28"/>
          <w:szCs w:val="28"/>
        </w:rPr>
      </w:pPr>
    </w:p>
    <w:p w:rsidR="00BD111D" w:rsidRPr="002462E6" w:rsidRDefault="00BD111D" w:rsidP="00AC59BD">
      <w:pPr>
        <w:rPr>
          <w:rFonts w:ascii="Helvetica" w:hAnsi="Helvetica" w:cs="Helvetica"/>
          <w:sz w:val="45"/>
          <w:szCs w:val="45"/>
          <w:lang w:eastAsia="fr-FR"/>
        </w:rPr>
      </w:pPr>
      <w:r w:rsidRPr="002462E6">
        <w:rPr>
          <w:rFonts w:ascii="Helvetica" w:hAnsi="Helvetica" w:cs="Helvetica"/>
          <w:sz w:val="45"/>
          <w:szCs w:val="45"/>
          <w:lang w:eastAsia="fr-FR"/>
        </w:rPr>
        <w:t>□</w:t>
      </w:r>
      <w:r w:rsidRPr="002462E6">
        <w:t xml:space="preserve">Oui                     </w:t>
      </w:r>
      <w:r w:rsidRPr="002462E6">
        <w:rPr>
          <w:rFonts w:ascii="Helvetica" w:hAnsi="Helvetica" w:cs="Helvetica"/>
          <w:sz w:val="45"/>
          <w:szCs w:val="45"/>
          <w:lang w:eastAsia="fr-FR"/>
        </w:rPr>
        <w:t>□</w:t>
      </w:r>
      <w:r w:rsidRPr="002462E6">
        <w:t>non</w:t>
      </w:r>
    </w:p>
    <w:p w:rsidR="00BD111D" w:rsidRPr="002462E6" w:rsidRDefault="00BD111D" w:rsidP="00D051D7">
      <w:pPr>
        <w:pStyle w:val="Paragraphedeliste"/>
        <w:widowControl/>
        <w:numPr>
          <w:ilvl w:val="0"/>
          <w:numId w:val="46"/>
        </w:numPr>
        <w:autoSpaceDE/>
        <w:autoSpaceDN/>
        <w:spacing w:after="160" w:line="259" w:lineRule="auto"/>
        <w:contextualSpacing/>
        <w:jc w:val="left"/>
        <w:rPr>
          <w:b/>
          <w:bCs/>
          <w:sz w:val="28"/>
          <w:szCs w:val="28"/>
        </w:rPr>
      </w:pPr>
      <w:r w:rsidRPr="002462E6">
        <w:rPr>
          <w:b/>
          <w:bCs/>
          <w:sz w:val="28"/>
          <w:szCs w:val="28"/>
        </w:rPr>
        <w:t>Si oui, par quel moyen ?</w:t>
      </w:r>
    </w:p>
    <w:p w:rsidR="00BD111D" w:rsidRPr="002462E6" w:rsidRDefault="00BD111D" w:rsidP="00BD111D">
      <w:pPr>
        <w:pStyle w:val="Paragraphedeliste"/>
        <w:ind w:left="1210"/>
        <w:rPr>
          <w:b/>
          <w:bCs/>
          <w:sz w:val="28"/>
          <w:szCs w:val="28"/>
        </w:rPr>
      </w:pPr>
    </w:p>
    <w:p w:rsidR="00BD111D" w:rsidRPr="002462E6" w:rsidRDefault="00BD111D" w:rsidP="00BD111D">
      <w:pPr>
        <w:pStyle w:val="Paragraphedeliste"/>
        <w:ind w:left="1210"/>
        <w:rPr>
          <w:b/>
          <w:bCs/>
          <w:sz w:val="28"/>
          <w:szCs w:val="28"/>
        </w:rPr>
      </w:pPr>
      <w:r w:rsidRPr="002462E6">
        <w:rPr>
          <w:rFonts w:ascii="Helvetica" w:hAnsi="Helvetica" w:cs="Helvetica"/>
          <w:b/>
          <w:bCs/>
          <w:color w:val="000000" w:themeColor="text1"/>
          <w:sz w:val="45"/>
          <w:szCs w:val="45"/>
          <w:lang w:eastAsia="fr-FR"/>
        </w:rPr>
        <w:t xml:space="preserve">□ </w:t>
      </w:r>
      <w:r w:rsidRPr="002462E6">
        <w:rPr>
          <w:b/>
          <w:bCs/>
          <w:sz w:val="28"/>
          <w:szCs w:val="28"/>
        </w:rPr>
        <w:t>Raccordement au réseau d’électricité, depuis quand ?</w:t>
      </w:r>
    </w:p>
    <w:p w:rsidR="00BD111D" w:rsidRPr="002462E6" w:rsidRDefault="00BD111D" w:rsidP="00BD111D">
      <w:pPr>
        <w:pStyle w:val="Paragraphedeliste"/>
        <w:ind w:left="1210"/>
        <w:rPr>
          <w:b/>
          <w:bCs/>
          <w:sz w:val="28"/>
          <w:szCs w:val="28"/>
        </w:rPr>
      </w:pPr>
      <w:r w:rsidRPr="002462E6">
        <w:rPr>
          <w:rFonts w:ascii="Helvetica" w:hAnsi="Helvetica" w:cs="Helvetica"/>
          <w:b/>
          <w:bCs/>
          <w:color w:val="000000" w:themeColor="text1"/>
          <w:sz w:val="45"/>
          <w:szCs w:val="45"/>
          <w:lang w:eastAsia="fr-FR"/>
        </w:rPr>
        <w:t xml:space="preserve">□ </w:t>
      </w:r>
      <w:r w:rsidRPr="002462E6">
        <w:rPr>
          <w:b/>
          <w:bCs/>
          <w:sz w:val="28"/>
          <w:szCs w:val="28"/>
        </w:rPr>
        <w:t>Plaque solaire, depuis quand ?</w:t>
      </w:r>
    </w:p>
    <w:p w:rsidR="00BD111D" w:rsidRPr="002462E6" w:rsidRDefault="00BD111D" w:rsidP="00BD111D">
      <w:pPr>
        <w:pStyle w:val="Paragraphedeliste"/>
        <w:ind w:left="1210"/>
        <w:rPr>
          <w:b/>
          <w:bCs/>
          <w:sz w:val="28"/>
          <w:szCs w:val="28"/>
        </w:rPr>
      </w:pPr>
    </w:p>
    <w:p w:rsidR="00BD111D" w:rsidRPr="002462E6" w:rsidRDefault="00BD111D" w:rsidP="00D051D7">
      <w:pPr>
        <w:pStyle w:val="Paragraphedeliste"/>
        <w:widowControl/>
        <w:numPr>
          <w:ilvl w:val="0"/>
          <w:numId w:val="46"/>
        </w:numPr>
        <w:autoSpaceDE/>
        <w:autoSpaceDN/>
        <w:spacing w:after="160" w:line="259" w:lineRule="auto"/>
        <w:contextualSpacing/>
        <w:jc w:val="left"/>
        <w:rPr>
          <w:b/>
          <w:bCs/>
          <w:sz w:val="28"/>
          <w:szCs w:val="28"/>
        </w:rPr>
      </w:pPr>
      <w:r w:rsidRPr="002462E6">
        <w:rPr>
          <w:b/>
          <w:bCs/>
          <w:sz w:val="28"/>
          <w:szCs w:val="28"/>
        </w:rPr>
        <w:t>Avez-vous un raccordement au réseau d’assainissement ?</w:t>
      </w:r>
    </w:p>
    <w:p w:rsidR="00BD111D" w:rsidRPr="002462E6" w:rsidRDefault="00BD111D" w:rsidP="00BD111D">
      <w:pPr>
        <w:pStyle w:val="Paragraphedeliste"/>
        <w:ind w:left="1210"/>
        <w:rPr>
          <w:b/>
          <w:bCs/>
          <w:sz w:val="28"/>
          <w:szCs w:val="28"/>
        </w:rPr>
      </w:pPr>
    </w:p>
    <w:p w:rsidR="00BD111D" w:rsidRPr="002462E6" w:rsidRDefault="00BD111D" w:rsidP="00AC59BD">
      <w:r w:rsidRPr="002462E6">
        <w:t xml:space="preserve">                   </w:t>
      </w:r>
      <w:r w:rsidRPr="002462E6">
        <w:rPr>
          <w:rFonts w:ascii="Helvetica" w:hAnsi="Helvetica" w:cs="Helvetica"/>
          <w:sz w:val="45"/>
          <w:szCs w:val="45"/>
          <w:lang w:eastAsia="fr-FR"/>
        </w:rPr>
        <w:t>□</w:t>
      </w:r>
      <w:r w:rsidRPr="002462E6">
        <w:t xml:space="preserve">Oui                     </w:t>
      </w:r>
      <w:r w:rsidRPr="002462E6">
        <w:rPr>
          <w:rFonts w:ascii="Helvetica" w:hAnsi="Helvetica" w:cs="Helvetica"/>
          <w:sz w:val="45"/>
          <w:szCs w:val="45"/>
          <w:lang w:eastAsia="fr-FR"/>
        </w:rPr>
        <w:t>□</w:t>
      </w:r>
      <w:r w:rsidRPr="002462E6">
        <w:t>non</w:t>
      </w:r>
    </w:p>
    <w:p w:rsidR="00BD111D" w:rsidRPr="002462E6" w:rsidRDefault="00BD111D" w:rsidP="00D051D7">
      <w:pPr>
        <w:pStyle w:val="Paragraphedeliste"/>
        <w:widowControl/>
        <w:numPr>
          <w:ilvl w:val="0"/>
          <w:numId w:val="46"/>
        </w:numPr>
        <w:autoSpaceDE/>
        <w:autoSpaceDN/>
        <w:spacing w:after="160" w:line="259" w:lineRule="auto"/>
        <w:contextualSpacing/>
        <w:jc w:val="left"/>
        <w:rPr>
          <w:b/>
          <w:bCs/>
          <w:sz w:val="28"/>
          <w:szCs w:val="28"/>
        </w:rPr>
      </w:pPr>
      <w:r w:rsidRPr="002462E6">
        <w:rPr>
          <w:b/>
          <w:bCs/>
          <w:sz w:val="28"/>
          <w:szCs w:val="28"/>
        </w:rPr>
        <w:t xml:space="preserve">  Est-ce que l’évacuation des ordures ménagères se fait dans la nature ?</w:t>
      </w:r>
    </w:p>
    <w:p w:rsidR="00BD111D" w:rsidRPr="002462E6" w:rsidRDefault="00BD111D" w:rsidP="00AC59BD">
      <w:pPr>
        <w:rPr>
          <w:rFonts w:ascii="Helvetica" w:hAnsi="Helvetica" w:cs="Helvetica"/>
          <w:sz w:val="45"/>
          <w:szCs w:val="45"/>
          <w:lang w:eastAsia="fr-FR"/>
        </w:rPr>
      </w:pPr>
      <w:r w:rsidRPr="002462E6">
        <w:t xml:space="preserve">                    </w:t>
      </w:r>
      <w:r w:rsidRPr="002462E6">
        <w:rPr>
          <w:rFonts w:ascii="Helvetica" w:hAnsi="Helvetica" w:cs="Helvetica"/>
          <w:sz w:val="45"/>
          <w:szCs w:val="45"/>
          <w:lang w:eastAsia="fr-FR"/>
        </w:rPr>
        <w:t>□</w:t>
      </w:r>
      <w:r w:rsidRPr="002462E6">
        <w:t xml:space="preserve">Oui                     </w:t>
      </w:r>
      <w:r w:rsidRPr="002462E6">
        <w:rPr>
          <w:rFonts w:ascii="Helvetica" w:hAnsi="Helvetica" w:cs="Helvetica"/>
          <w:sz w:val="45"/>
          <w:szCs w:val="45"/>
          <w:lang w:eastAsia="fr-FR"/>
        </w:rPr>
        <w:t>□</w:t>
      </w:r>
      <w:r w:rsidRPr="002462E6">
        <w:t>non</w:t>
      </w:r>
    </w:p>
    <w:p w:rsidR="00BD111D" w:rsidRPr="002462E6" w:rsidRDefault="00BD111D" w:rsidP="00BD111D">
      <w:pPr>
        <w:pStyle w:val="Paragraphedeliste"/>
        <w:ind w:left="1210"/>
        <w:rPr>
          <w:b/>
          <w:bCs/>
          <w:sz w:val="28"/>
          <w:szCs w:val="28"/>
        </w:rPr>
      </w:pPr>
    </w:p>
    <w:p w:rsidR="00BD111D" w:rsidRPr="002462E6" w:rsidRDefault="00BD111D" w:rsidP="00D051D7">
      <w:pPr>
        <w:pStyle w:val="Paragraphedeliste"/>
        <w:widowControl/>
        <w:numPr>
          <w:ilvl w:val="0"/>
          <w:numId w:val="46"/>
        </w:numPr>
        <w:autoSpaceDE/>
        <w:autoSpaceDN/>
        <w:spacing w:after="160" w:line="259" w:lineRule="auto"/>
        <w:contextualSpacing/>
        <w:jc w:val="left"/>
        <w:rPr>
          <w:b/>
          <w:bCs/>
          <w:sz w:val="28"/>
          <w:szCs w:val="28"/>
        </w:rPr>
      </w:pPr>
      <w:r w:rsidRPr="002462E6">
        <w:rPr>
          <w:b/>
          <w:bCs/>
          <w:sz w:val="28"/>
          <w:szCs w:val="28"/>
        </w:rPr>
        <w:t xml:space="preserve">Est-ce que vous avez accès à la route ? </w:t>
      </w:r>
    </w:p>
    <w:p w:rsidR="00BD111D" w:rsidRPr="002462E6" w:rsidRDefault="00BD111D" w:rsidP="00AC59BD">
      <w:pPr>
        <w:rPr>
          <w:rFonts w:ascii="Helvetica" w:hAnsi="Helvetica" w:cs="Helvetica"/>
          <w:sz w:val="45"/>
          <w:szCs w:val="45"/>
          <w:lang w:eastAsia="fr-FR"/>
        </w:rPr>
      </w:pPr>
      <w:r w:rsidRPr="002462E6">
        <w:t xml:space="preserve">                  </w:t>
      </w:r>
      <w:r w:rsidRPr="002462E6">
        <w:rPr>
          <w:rFonts w:ascii="Helvetica" w:hAnsi="Helvetica" w:cs="Helvetica"/>
          <w:sz w:val="45"/>
          <w:szCs w:val="45"/>
          <w:lang w:eastAsia="fr-FR"/>
        </w:rPr>
        <w:t>□</w:t>
      </w:r>
      <w:r w:rsidRPr="002462E6">
        <w:t xml:space="preserve">Oui                     </w:t>
      </w:r>
      <w:r w:rsidRPr="002462E6">
        <w:rPr>
          <w:rFonts w:ascii="Helvetica" w:hAnsi="Helvetica" w:cs="Helvetica"/>
          <w:sz w:val="45"/>
          <w:szCs w:val="45"/>
          <w:lang w:eastAsia="fr-FR"/>
        </w:rPr>
        <w:t>□</w:t>
      </w:r>
      <w:r w:rsidRPr="002462E6">
        <w:t>non</w:t>
      </w:r>
    </w:p>
    <w:p w:rsidR="00BD111D" w:rsidRPr="002462E6" w:rsidRDefault="00BD111D" w:rsidP="00BD111D">
      <w:pPr>
        <w:pStyle w:val="Paragraphedeliste"/>
        <w:ind w:left="1210"/>
      </w:pPr>
    </w:p>
    <w:p w:rsidR="00BD111D" w:rsidRPr="002462E6" w:rsidRDefault="00BD111D" w:rsidP="00D051D7">
      <w:pPr>
        <w:pStyle w:val="Paragraphedeliste"/>
        <w:widowControl/>
        <w:numPr>
          <w:ilvl w:val="0"/>
          <w:numId w:val="46"/>
        </w:numPr>
        <w:autoSpaceDE/>
        <w:autoSpaceDN/>
        <w:spacing w:after="160" w:line="259" w:lineRule="auto"/>
        <w:contextualSpacing/>
        <w:jc w:val="left"/>
        <w:rPr>
          <w:b/>
          <w:bCs/>
          <w:sz w:val="28"/>
          <w:szCs w:val="28"/>
        </w:rPr>
      </w:pPr>
      <w:r w:rsidRPr="002462E6">
        <w:rPr>
          <w:b/>
          <w:bCs/>
          <w:sz w:val="28"/>
          <w:szCs w:val="28"/>
        </w:rPr>
        <w:t>Est-ce que vous avez accès à un réseau de télécommunication mobile ?</w:t>
      </w:r>
    </w:p>
    <w:p w:rsidR="00BD111D" w:rsidRPr="002462E6" w:rsidRDefault="00BD111D" w:rsidP="00BD111D">
      <w:pPr>
        <w:pStyle w:val="Paragraphedeliste"/>
        <w:ind w:left="1210"/>
      </w:pPr>
    </w:p>
    <w:p w:rsidR="00BD111D" w:rsidRPr="002462E6" w:rsidRDefault="00BD111D" w:rsidP="00AC59BD">
      <w:pPr>
        <w:rPr>
          <w:rFonts w:ascii="Helvetica" w:hAnsi="Helvetica" w:cs="Helvetica"/>
          <w:sz w:val="45"/>
          <w:szCs w:val="45"/>
          <w:lang w:eastAsia="fr-FR"/>
        </w:rPr>
      </w:pPr>
      <w:r w:rsidRPr="002462E6">
        <w:t xml:space="preserve">                  </w:t>
      </w:r>
      <w:r w:rsidRPr="002462E6">
        <w:rPr>
          <w:rFonts w:ascii="Helvetica" w:hAnsi="Helvetica" w:cs="Helvetica"/>
          <w:sz w:val="45"/>
          <w:szCs w:val="45"/>
          <w:lang w:eastAsia="fr-FR"/>
        </w:rPr>
        <w:t>□</w:t>
      </w:r>
      <w:r w:rsidRPr="002462E6">
        <w:t xml:space="preserve">Oui                     </w:t>
      </w:r>
      <w:r w:rsidRPr="002462E6">
        <w:rPr>
          <w:rFonts w:ascii="Helvetica" w:hAnsi="Helvetica" w:cs="Helvetica"/>
          <w:sz w:val="45"/>
          <w:szCs w:val="45"/>
          <w:lang w:eastAsia="fr-FR"/>
        </w:rPr>
        <w:t>□</w:t>
      </w:r>
      <w:r w:rsidRPr="002462E6">
        <w:t>non</w:t>
      </w:r>
    </w:p>
    <w:p w:rsidR="00BD111D" w:rsidRPr="002462E6" w:rsidRDefault="00BD111D" w:rsidP="00BD111D">
      <w:pPr>
        <w:pStyle w:val="Paragraphedeliste"/>
        <w:ind w:left="1210"/>
      </w:pPr>
    </w:p>
    <w:p w:rsidR="00BD111D" w:rsidRPr="002462E6" w:rsidRDefault="00BD111D" w:rsidP="00D051D7">
      <w:pPr>
        <w:pStyle w:val="Paragraphedeliste"/>
        <w:widowControl/>
        <w:numPr>
          <w:ilvl w:val="0"/>
          <w:numId w:val="46"/>
        </w:numPr>
        <w:autoSpaceDE/>
        <w:autoSpaceDN/>
        <w:spacing w:after="160" w:line="259" w:lineRule="auto"/>
        <w:contextualSpacing/>
        <w:jc w:val="left"/>
        <w:rPr>
          <w:b/>
          <w:bCs/>
          <w:sz w:val="28"/>
          <w:szCs w:val="28"/>
        </w:rPr>
      </w:pPr>
      <w:r w:rsidRPr="002462E6">
        <w:rPr>
          <w:b/>
          <w:bCs/>
          <w:sz w:val="28"/>
          <w:szCs w:val="28"/>
        </w:rPr>
        <w:t xml:space="preserve">De quoi se compose votre logement ? </w:t>
      </w:r>
    </w:p>
    <w:p w:rsidR="00BD111D" w:rsidRPr="002462E6" w:rsidRDefault="00BD111D" w:rsidP="00BD111D">
      <w:pPr>
        <w:ind w:left="708"/>
        <w:rPr>
          <w:rFonts w:ascii="Tahoma" w:hAnsi="Tahoma" w:cs="Tahoma"/>
          <w:color w:val="000000"/>
          <w:sz w:val="27"/>
          <w:szCs w:val="27"/>
          <w:shd w:val="clear" w:color="auto" w:fill="FFFFFF"/>
        </w:rPr>
      </w:pPr>
      <w:r w:rsidRPr="002462E6">
        <w:rPr>
          <w:rFonts w:ascii="Tahoma" w:hAnsi="Tahoma" w:cs="Tahoma"/>
          <w:color w:val="000000"/>
          <w:sz w:val="27"/>
          <w:szCs w:val="27"/>
          <w:shd w:val="clear" w:color="auto" w:fill="FFFFFF"/>
        </w:rPr>
        <w:t xml:space="preserve">         </w:t>
      </w:r>
      <w:r w:rsidRPr="002462E6">
        <w:rPr>
          <w:rFonts w:ascii="Helvetica" w:eastAsia="Times New Roman" w:hAnsi="Helvetica" w:cs="Helvetica"/>
          <w:b/>
          <w:bCs/>
          <w:color w:val="000000" w:themeColor="text1"/>
          <w:sz w:val="45"/>
          <w:szCs w:val="45"/>
          <w:lang w:eastAsia="fr-FR"/>
        </w:rPr>
        <w:t>□</w:t>
      </w:r>
      <w:r w:rsidRPr="002462E6">
        <w:rPr>
          <w:rFonts w:ascii="Tahoma" w:hAnsi="Tahoma" w:cs="Tahoma"/>
          <w:color w:val="000000"/>
          <w:sz w:val="27"/>
          <w:szCs w:val="27"/>
          <w:shd w:val="clear" w:color="auto" w:fill="FFFFFF"/>
        </w:rPr>
        <w:t xml:space="preserve"> Une chambre</w:t>
      </w:r>
    </w:p>
    <w:p w:rsidR="00BD111D" w:rsidRPr="002462E6" w:rsidRDefault="00BD111D" w:rsidP="00BD111D">
      <w:pPr>
        <w:ind w:left="708" w:firstLine="708"/>
        <w:rPr>
          <w:rFonts w:ascii="Tahoma" w:hAnsi="Tahoma" w:cs="Tahoma"/>
          <w:color w:val="000000"/>
          <w:sz w:val="27"/>
          <w:szCs w:val="27"/>
          <w:shd w:val="clear" w:color="auto" w:fill="FFFFFF"/>
        </w:rPr>
      </w:pPr>
      <w:r w:rsidRPr="002462E6">
        <w:rPr>
          <w:rFonts w:ascii="Helvetica" w:eastAsia="Times New Roman" w:hAnsi="Helvetica" w:cs="Helvetica"/>
          <w:b/>
          <w:bCs/>
          <w:color w:val="000000" w:themeColor="text1"/>
          <w:sz w:val="45"/>
          <w:szCs w:val="45"/>
          <w:lang w:eastAsia="fr-FR"/>
        </w:rPr>
        <w:t xml:space="preserve">□ </w:t>
      </w:r>
      <w:r w:rsidRPr="002462E6">
        <w:rPr>
          <w:rFonts w:ascii="Tahoma" w:hAnsi="Tahoma" w:cs="Tahoma"/>
          <w:color w:val="000000"/>
          <w:sz w:val="27"/>
          <w:szCs w:val="27"/>
          <w:shd w:val="clear" w:color="auto" w:fill="FFFFFF"/>
        </w:rPr>
        <w:t>Deux chambres</w:t>
      </w:r>
    </w:p>
    <w:p w:rsidR="00BD111D" w:rsidRPr="002462E6" w:rsidRDefault="00BD111D" w:rsidP="00BD111D">
      <w:pPr>
        <w:ind w:left="708" w:firstLine="708"/>
        <w:rPr>
          <w:rFonts w:ascii="Tahoma" w:hAnsi="Tahoma" w:cs="Tahoma"/>
          <w:color w:val="000000"/>
          <w:sz w:val="27"/>
          <w:szCs w:val="27"/>
          <w:shd w:val="clear" w:color="auto" w:fill="FFFFFF"/>
        </w:rPr>
      </w:pPr>
      <w:r w:rsidRPr="002462E6">
        <w:rPr>
          <w:rFonts w:ascii="Helvetica" w:eastAsia="Times New Roman" w:hAnsi="Helvetica" w:cs="Helvetica"/>
          <w:b/>
          <w:bCs/>
          <w:color w:val="000000" w:themeColor="text1"/>
          <w:sz w:val="45"/>
          <w:szCs w:val="45"/>
          <w:lang w:eastAsia="fr-FR"/>
        </w:rPr>
        <w:t xml:space="preserve">□ </w:t>
      </w:r>
      <w:r w:rsidRPr="002462E6">
        <w:rPr>
          <w:rFonts w:ascii="Tahoma" w:hAnsi="Tahoma" w:cs="Tahoma"/>
          <w:color w:val="000000"/>
          <w:sz w:val="27"/>
          <w:szCs w:val="27"/>
          <w:shd w:val="clear" w:color="auto" w:fill="FFFFFF"/>
        </w:rPr>
        <w:t xml:space="preserve">Trois chambres </w:t>
      </w:r>
    </w:p>
    <w:p w:rsidR="00BD111D" w:rsidRPr="002462E6" w:rsidRDefault="00BD111D" w:rsidP="00BD111D">
      <w:pPr>
        <w:ind w:left="708" w:firstLine="708"/>
        <w:rPr>
          <w:rFonts w:ascii="Tahoma" w:hAnsi="Tahoma" w:cs="Tahoma"/>
          <w:color w:val="000000"/>
          <w:sz w:val="27"/>
          <w:szCs w:val="27"/>
          <w:shd w:val="clear" w:color="auto" w:fill="FFFFFF"/>
        </w:rPr>
      </w:pPr>
      <w:r w:rsidRPr="002462E6">
        <w:rPr>
          <w:rFonts w:ascii="Helvetica" w:eastAsia="Times New Roman" w:hAnsi="Helvetica" w:cs="Helvetica"/>
          <w:b/>
          <w:bCs/>
          <w:color w:val="000000" w:themeColor="text1"/>
          <w:sz w:val="45"/>
          <w:szCs w:val="45"/>
          <w:lang w:eastAsia="fr-FR"/>
        </w:rPr>
        <w:t xml:space="preserve">□ </w:t>
      </w:r>
      <w:r w:rsidRPr="002462E6">
        <w:rPr>
          <w:rFonts w:ascii="Tahoma" w:hAnsi="Tahoma" w:cs="Tahoma"/>
          <w:color w:val="000000"/>
          <w:sz w:val="27"/>
          <w:szCs w:val="27"/>
          <w:shd w:val="clear" w:color="auto" w:fill="FFFFFF"/>
        </w:rPr>
        <w:t xml:space="preserve">Cuisine </w:t>
      </w:r>
    </w:p>
    <w:p w:rsidR="00BD111D" w:rsidRPr="002462E6" w:rsidRDefault="00BD111D" w:rsidP="00BD111D">
      <w:pPr>
        <w:rPr>
          <w:rFonts w:ascii="Tahoma" w:hAnsi="Tahoma" w:cs="Tahoma"/>
          <w:color w:val="000000"/>
          <w:sz w:val="27"/>
          <w:szCs w:val="27"/>
          <w:shd w:val="clear" w:color="auto" w:fill="FFFFFF"/>
        </w:rPr>
      </w:pPr>
      <w:r w:rsidRPr="002462E6">
        <w:rPr>
          <w:rFonts w:ascii="Tahoma" w:hAnsi="Tahoma" w:cs="Tahoma"/>
          <w:color w:val="000000"/>
          <w:sz w:val="27"/>
          <w:szCs w:val="27"/>
          <w:shd w:val="clear" w:color="auto" w:fill="FFFFFF"/>
        </w:rPr>
        <w:t xml:space="preserve">           </w:t>
      </w:r>
      <w:r w:rsidRPr="002462E6">
        <w:rPr>
          <w:rFonts w:ascii="Tahoma" w:hAnsi="Tahoma" w:cs="Tahoma"/>
          <w:color w:val="000000"/>
          <w:sz w:val="27"/>
          <w:szCs w:val="27"/>
          <w:shd w:val="clear" w:color="auto" w:fill="FFFFFF"/>
        </w:rPr>
        <w:tab/>
      </w:r>
      <w:r w:rsidRPr="002462E6">
        <w:rPr>
          <w:rFonts w:ascii="Helvetica" w:eastAsia="Times New Roman" w:hAnsi="Helvetica" w:cs="Helvetica"/>
          <w:b/>
          <w:bCs/>
          <w:color w:val="000000" w:themeColor="text1"/>
          <w:sz w:val="45"/>
          <w:szCs w:val="45"/>
          <w:lang w:eastAsia="fr-FR"/>
        </w:rPr>
        <w:t xml:space="preserve">□ </w:t>
      </w:r>
      <w:r w:rsidRPr="002462E6">
        <w:rPr>
          <w:rFonts w:ascii="Tahoma" w:hAnsi="Tahoma" w:cs="Tahoma"/>
          <w:color w:val="000000"/>
          <w:sz w:val="27"/>
          <w:szCs w:val="27"/>
          <w:shd w:val="clear" w:color="auto" w:fill="FFFFFF"/>
        </w:rPr>
        <w:t>Toilettes</w:t>
      </w:r>
    </w:p>
    <w:p w:rsidR="00BD111D" w:rsidRPr="002462E6" w:rsidRDefault="00BD111D" w:rsidP="00BD111D">
      <w:pPr>
        <w:ind w:left="708" w:firstLine="708"/>
        <w:rPr>
          <w:rFonts w:ascii="Tahoma" w:hAnsi="Tahoma" w:cs="Tahoma"/>
          <w:color w:val="000000"/>
          <w:sz w:val="27"/>
          <w:szCs w:val="27"/>
          <w:shd w:val="clear" w:color="auto" w:fill="FFFFFF"/>
        </w:rPr>
      </w:pPr>
      <w:r w:rsidRPr="002462E6">
        <w:rPr>
          <w:rFonts w:ascii="Helvetica" w:eastAsia="Times New Roman" w:hAnsi="Helvetica" w:cs="Helvetica"/>
          <w:b/>
          <w:bCs/>
          <w:color w:val="000000" w:themeColor="text1"/>
          <w:sz w:val="45"/>
          <w:szCs w:val="45"/>
          <w:lang w:eastAsia="fr-FR"/>
        </w:rPr>
        <w:t xml:space="preserve">□ </w:t>
      </w:r>
      <w:r w:rsidRPr="002462E6">
        <w:rPr>
          <w:rFonts w:ascii="Tahoma" w:hAnsi="Tahoma" w:cs="Tahoma"/>
          <w:color w:val="000000"/>
          <w:sz w:val="27"/>
          <w:szCs w:val="27"/>
          <w:shd w:val="clear" w:color="auto" w:fill="FFFFFF"/>
        </w:rPr>
        <w:t>Autre à préciser :</w:t>
      </w:r>
    </w:p>
    <w:p w:rsidR="00BD111D" w:rsidRPr="002462E6" w:rsidRDefault="00BD111D" w:rsidP="00BD111D">
      <w:pPr>
        <w:ind w:left="1558"/>
        <w:rPr>
          <w:rFonts w:ascii="Tahoma" w:hAnsi="Tahoma" w:cs="Tahoma"/>
          <w:color w:val="000000"/>
          <w:sz w:val="27"/>
          <w:szCs w:val="27"/>
          <w:shd w:val="clear" w:color="auto" w:fill="FFFFFF"/>
        </w:rPr>
      </w:pPr>
    </w:p>
    <w:p w:rsidR="00BD111D" w:rsidRPr="002462E6" w:rsidRDefault="00BD111D" w:rsidP="00D051D7">
      <w:pPr>
        <w:pStyle w:val="Paragraphedeliste"/>
        <w:widowControl/>
        <w:numPr>
          <w:ilvl w:val="0"/>
          <w:numId w:val="46"/>
        </w:numPr>
        <w:autoSpaceDE/>
        <w:autoSpaceDN/>
        <w:spacing w:after="160" w:line="259" w:lineRule="auto"/>
        <w:contextualSpacing/>
        <w:jc w:val="left"/>
        <w:rPr>
          <w:b/>
          <w:bCs/>
          <w:sz w:val="28"/>
          <w:szCs w:val="28"/>
        </w:rPr>
      </w:pPr>
      <w:r w:rsidRPr="002462E6">
        <w:rPr>
          <w:b/>
          <w:bCs/>
          <w:sz w:val="28"/>
          <w:szCs w:val="28"/>
        </w:rPr>
        <w:t>Quelle est la nature de votre logement ?</w:t>
      </w:r>
    </w:p>
    <w:p w:rsidR="00BD111D" w:rsidRPr="002462E6" w:rsidRDefault="00BD111D" w:rsidP="00BD111D">
      <w:pPr>
        <w:pStyle w:val="Paragraphedeliste"/>
        <w:ind w:left="1210"/>
        <w:rPr>
          <w:b/>
          <w:bCs/>
          <w:sz w:val="28"/>
          <w:szCs w:val="28"/>
        </w:rPr>
      </w:pPr>
    </w:p>
    <w:p w:rsidR="00BD111D" w:rsidRPr="002462E6" w:rsidRDefault="00BD111D" w:rsidP="00BD111D">
      <w:pPr>
        <w:ind w:left="1416"/>
      </w:pPr>
      <w:r w:rsidRPr="002462E6">
        <w:rPr>
          <w:rFonts w:ascii="Helvetica" w:eastAsia="Times New Roman" w:hAnsi="Helvetica" w:cs="Helvetica"/>
          <w:b/>
          <w:bCs/>
          <w:color w:val="000000" w:themeColor="text1"/>
          <w:sz w:val="45"/>
          <w:szCs w:val="45"/>
          <w:lang w:eastAsia="fr-FR"/>
        </w:rPr>
        <w:t>□</w:t>
      </w:r>
      <w:r w:rsidRPr="002462E6">
        <w:t>En tôle fine</w:t>
      </w:r>
    </w:p>
    <w:p w:rsidR="00BD111D" w:rsidRPr="002462E6" w:rsidRDefault="00BD111D" w:rsidP="00BD111D">
      <w:pPr>
        <w:ind w:left="1416"/>
      </w:pPr>
      <w:r w:rsidRPr="002462E6">
        <w:rPr>
          <w:rFonts w:ascii="Helvetica" w:eastAsia="Times New Roman" w:hAnsi="Helvetica" w:cs="Helvetica"/>
          <w:b/>
          <w:bCs/>
          <w:color w:val="000000" w:themeColor="text1"/>
          <w:sz w:val="45"/>
          <w:szCs w:val="45"/>
          <w:lang w:eastAsia="fr-FR"/>
        </w:rPr>
        <w:t>□</w:t>
      </w:r>
      <w:r w:rsidRPr="002462E6">
        <w:t>Fragile</w:t>
      </w:r>
    </w:p>
    <w:p w:rsidR="00BD111D" w:rsidRPr="002462E6" w:rsidRDefault="00BD111D" w:rsidP="00BD111D">
      <w:pPr>
        <w:ind w:left="1416"/>
      </w:pPr>
      <w:r w:rsidRPr="002462E6">
        <w:rPr>
          <w:rFonts w:ascii="Helvetica" w:eastAsia="Times New Roman" w:hAnsi="Helvetica" w:cs="Helvetica"/>
          <w:b/>
          <w:bCs/>
          <w:color w:val="000000" w:themeColor="text1"/>
          <w:sz w:val="45"/>
          <w:szCs w:val="45"/>
          <w:lang w:eastAsia="fr-FR"/>
        </w:rPr>
        <w:t>□</w:t>
      </w:r>
      <w:r w:rsidRPr="002462E6">
        <w:t xml:space="preserve"> Dur rural</w:t>
      </w:r>
    </w:p>
    <w:p w:rsidR="00BD111D" w:rsidRPr="002462E6" w:rsidRDefault="00BD111D" w:rsidP="00BD111D">
      <w:pPr>
        <w:ind w:left="1416"/>
      </w:pPr>
      <w:r w:rsidRPr="002462E6">
        <w:rPr>
          <w:rFonts w:ascii="Helvetica" w:eastAsia="Times New Roman" w:hAnsi="Helvetica" w:cs="Helvetica"/>
          <w:b/>
          <w:bCs/>
          <w:color w:val="000000" w:themeColor="text1"/>
          <w:sz w:val="45"/>
          <w:szCs w:val="45"/>
          <w:lang w:eastAsia="fr-FR"/>
        </w:rPr>
        <w:t>□</w:t>
      </w:r>
      <w:r w:rsidRPr="002462E6">
        <w:t>Dur avec architecture urbaine</w:t>
      </w:r>
    </w:p>
    <w:p w:rsidR="00BD111D" w:rsidRPr="002462E6" w:rsidRDefault="00BD111D" w:rsidP="00D051D7">
      <w:pPr>
        <w:pStyle w:val="Paragraphedeliste"/>
        <w:widowControl/>
        <w:numPr>
          <w:ilvl w:val="0"/>
          <w:numId w:val="46"/>
        </w:numPr>
        <w:autoSpaceDE/>
        <w:autoSpaceDN/>
        <w:spacing w:after="160" w:line="259" w:lineRule="auto"/>
        <w:contextualSpacing/>
        <w:jc w:val="left"/>
        <w:rPr>
          <w:b/>
          <w:bCs/>
          <w:sz w:val="28"/>
          <w:szCs w:val="28"/>
        </w:rPr>
      </w:pPr>
      <w:r w:rsidRPr="002462E6">
        <w:rPr>
          <w:b/>
          <w:bCs/>
          <w:sz w:val="28"/>
          <w:szCs w:val="28"/>
        </w:rPr>
        <w:t>Est-ce que vous disposez des équipements sociaux suivants ?</w:t>
      </w:r>
    </w:p>
    <w:tbl>
      <w:tblPr>
        <w:tblW w:w="7539" w:type="dxa"/>
        <w:tblInd w:w="846" w:type="dxa"/>
        <w:tblCellMar>
          <w:left w:w="70" w:type="dxa"/>
          <w:right w:w="70" w:type="dxa"/>
        </w:tblCellMar>
        <w:tblLook w:val="04A0" w:firstRow="1" w:lastRow="0" w:firstColumn="1" w:lastColumn="0" w:noHBand="0" w:noVBand="1"/>
      </w:tblPr>
      <w:tblGrid>
        <w:gridCol w:w="3118"/>
        <w:gridCol w:w="709"/>
        <w:gridCol w:w="877"/>
        <w:gridCol w:w="2835"/>
      </w:tblGrid>
      <w:tr w:rsidR="00BD111D" w:rsidRPr="002462E6" w:rsidTr="00AB299B">
        <w:trPr>
          <w:trHeight w:val="300"/>
        </w:trPr>
        <w:tc>
          <w:tcPr>
            <w:tcW w:w="311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BD111D" w:rsidRPr="002462E6" w:rsidRDefault="00BD111D" w:rsidP="00AB299B">
            <w:pPr>
              <w:spacing w:after="0" w:line="240" w:lineRule="auto"/>
              <w:rPr>
                <w:rFonts w:ascii="Calibri" w:eastAsia="Times New Roman" w:hAnsi="Calibri" w:cs="Calibri"/>
                <w:color w:val="000000"/>
                <w:lang w:eastAsia="fr-FR"/>
              </w:rPr>
            </w:pPr>
            <w:r w:rsidRPr="002462E6">
              <w:rPr>
                <w:rFonts w:ascii="Calibri" w:eastAsia="Times New Roman" w:hAnsi="Calibri" w:cs="Calibri"/>
                <w:color w:val="000000"/>
                <w:lang w:eastAsia="fr-FR"/>
              </w:rPr>
              <w:t>Equipements Sociaux</w:t>
            </w:r>
          </w:p>
        </w:tc>
        <w:tc>
          <w:tcPr>
            <w:tcW w:w="709" w:type="dxa"/>
            <w:tcBorders>
              <w:top w:val="single" w:sz="4" w:space="0" w:color="auto"/>
              <w:left w:val="nil"/>
              <w:bottom w:val="single" w:sz="4" w:space="0" w:color="auto"/>
              <w:right w:val="single" w:sz="4" w:space="0" w:color="auto"/>
            </w:tcBorders>
            <w:shd w:val="clear" w:color="auto" w:fill="auto"/>
            <w:noWrap/>
            <w:vAlign w:val="bottom"/>
            <w:hideMark/>
          </w:tcPr>
          <w:p w:rsidR="00BD111D" w:rsidRPr="002462E6" w:rsidRDefault="00BD111D" w:rsidP="00AB299B">
            <w:pPr>
              <w:spacing w:after="0" w:line="240" w:lineRule="auto"/>
              <w:rPr>
                <w:rFonts w:ascii="Calibri" w:eastAsia="Times New Roman" w:hAnsi="Calibri" w:cs="Calibri"/>
                <w:color w:val="000000"/>
                <w:lang w:eastAsia="fr-FR"/>
              </w:rPr>
            </w:pPr>
            <w:r w:rsidRPr="002462E6">
              <w:rPr>
                <w:rFonts w:ascii="Calibri" w:eastAsia="Times New Roman" w:hAnsi="Calibri" w:cs="Calibri"/>
                <w:color w:val="000000"/>
                <w:lang w:eastAsia="fr-FR"/>
              </w:rPr>
              <w:t xml:space="preserve">Oui </w:t>
            </w:r>
          </w:p>
        </w:tc>
        <w:tc>
          <w:tcPr>
            <w:tcW w:w="877" w:type="dxa"/>
            <w:tcBorders>
              <w:top w:val="single" w:sz="4" w:space="0" w:color="auto"/>
              <w:left w:val="nil"/>
              <w:bottom w:val="single" w:sz="4" w:space="0" w:color="auto"/>
              <w:right w:val="single" w:sz="4" w:space="0" w:color="auto"/>
            </w:tcBorders>
            <w:shd w:val="clear" w:color="auto" w:fill="auto"/>
            <w:noWrap/>
            <w:vAlign w:val="bottom"/>
            <w:hideMark/>
          </w:tcPr>
          <w:p w:rsidR="00BD111D" w:rsidRPr="002462E6" w:rsidRDefault="00BD111D" w:rsidP="00AB299B">
            <w:pPr>
              <w:spacing w:after="0" w:line="240" w:lineRule="auto"/>
              <w:rPr>
                <w:rFonts w:ascii="Calibri" w:eastAsia="Times New Roman" w:hAnsi="Calibri" w:cs="Calibri"/>
                <w:color w:val="000000"/>
                <w:lang w:eastAsia="fr-FR"/>
              </w:rPr>
            </w:pPr>
            <w:r w:rsidRPr="002462E6">
              <w:rPr>
                <w:rFonts w:ascii="Calibri" w:eastAsia="Times New Roman" w:hAnsi="Calibri" w:cs="Calibri"/>
                <w:color w:val="000000"/>
                <w:lang w:eastAsia="fr-FR"/>
              </w:rPr>
              <w:t>Non</w:t>
            </w:r>
          </w:p>
        </w:tc>
        <w:tc>
          <w:tcPr>
            <w:tcW w:w="2835" w:type="dxa"/>
            <w:tcBorders>
              <w:top w:val="single" w:sz="4" w:space="0" w:color="auto"/>
              <w:left w:val="nil"/>
              <w:bottom w:val="single" w:sz="4" w:space="0" w:color="auto"/>
              <w:right w:val="single" w:sz="4" w:space="0" w:color="auto"/>
            </w:tcBorders>
            <w:shd w:val="clear" w:color="auto" w:fill="auto"/>
            <w:noWrap/>
            <w:vAlign w:val="bottom"/>
            <w:hideMark/>
          </w:tcPr>
          <w:p w:rsidR="00BD111D" w:rsidRPr="002462E6" w:rsidRDefault="00BD111D" w:rsidP="00AB299B">
            <w:pPr>
              <w:spacing w:after="0" w:line="240" w:lineRule="auto"/>
              <w:rPr>
                <w:rFonts w:ascii="Calibri" w:eastAsia="Times New Roman" w:hAnsi="Calibri" w:cs="Calibri"/>
                <w:color w:val="000000"/>
                <w:lang w:eastAsia="fr-FR"/>
              </w:rPr>
            </w:pPr>
            <w:r w:rsidRPr="002462E6">
              <w:rPr>
                <w:rFonts w:ascii="Calibri" w:eastAsia="Times New Roman" w:hAnsi="Calibri" w:cs="Calibri"/>
                <w:color w:val="000000"/>
                <w:lang w:eastAsia="fr-FR"/>
              </w:rPr>
              <w:t xml:space="preserve">Distance/Douar en mètre </w:t>
            </w:r>
          </w:p>
        </w:tc>
      </w:tr>
      <w:tr w:rsidR="00BD111D" w:rsidRPr="002462E6" w:rsidTr="00AB299B">
        <w:trPr>
          <w:trHeight w:val="300"/>
        </w:trPr>
        <w:tc>
          <w:tcPr>
            <w:tcW w:w="3118" w:type="dxa"/>
            <w:tcBorders>
              <w:top w:val="nil"/>
              <w:left w:val="single" w:sz="4" w:space="0" w:color="auto"/>
              <w:bottom w:val="single" w:sz="4" w:space="0" w:color="auto"/>
              <w:right w:val="single" w:sz="4" w:space="0" w:color="auto"/>
            </w:tcBorders>
            <w:shd w:val="clear" w:color="auto" w:fill="auto"/>
            <w:noWrap/>
            <w:vAlign w:val="bottom"/>
            <w:hideMark/>
          </w:tcPr>
          <w:p w:rsidR="00BD111D" w:rsidRPr="002462E6" w:rsidRDefault="00BD111D" w:rsidP="00AB299B">
            <w:pPr>
              <w:spacing w:after="0" w:line="240" w:lineRule="auto"/>
              <w:rPr>
                <w:rFonts w:ascii="Calibri" w:eastAsia="Times New Roman" w:hAnsi="Calibri" w:cs="Calibri"/>
                <w:color w:val="000000"/>
                <w:lang w:eastAsia="fr-FR"/>
              </w:rPr>
            </w:pPr>
            <w:r w:rsidRPr="002462E6">
              <w:rPr>
                <w:rFonts w:ascii="Calibri" w:eastAsia="Times New Roman" w:hAnsi="Calibri" w:cs="Calibri"/>
                <w:color w:val="000000"/>
                <w:lang w:eastAsia="fr-FR"/>
              </w:rPr>
              <w:t>Mosquée</w:t>
            </w:r>
          </w:p>
        </w:tc>
        <w:tc>
          <w:tcPr>
            <w:tcW w:w="709" w:type="dxa"/>
            <w:tcBorders>
              <w:top w:val="nil"/>
              <w:left w:val="nil"/>
              <w:bottom w:val="single" w:sz="4" w:space="0" w:color="auto"/>
              <w:right w:val="single" w:sz="4" w:space="0" w:color="auto"/>
            </w:tcBorders>
            <w:shd w:val="clear" w:color="auto" w:fill="auto"/>
            <w:noWrap/>
            <w:vAlign w:val="bottom"/>
            <w:hideMark/>
          </w:tcPr>
          <w:p w:rsidR="00BD111D" w:rsidRPr="002462E6" w:rsidRDefault="00BD111D" w:rsidP="00AB299B">
            <w:pPr>
              <w:spacing w:after="0" w:line="240" w:lineRule="auto"/>
              <w:rPr>
                <w:rFonts w:ascii="Calibri" w:eastAsia="Times New Roman" w:hAnsi="Calibri" w:cs="Calibri"/>
                <w:color w:val="000000"/>
                <w:lang w:eastAsia="fr-FR"/>
              </w:rPr>
            </w:pPr>
            <w:r w:rsidRPr="002462E6">
              <w:rPr>
                <w:rFonts w:ascii="Calibri" w:eastAsia="Times New Roman" w:hAnsi="Calibri" w:cs="Calibri"/>
                <w:color w:val="000000"/>
                <w:lang w:eastAsia="fr-FR"/>
              </w:rPr>
              <w:t> </w:t>
            </w:r>
          </w:p>
        </w:tc>
        <w:tc>
          <w:tcPr>
            <w:tcW w:w="877" w:type="dxa"/>
            <w:tcBorders>
              <w:top w:val="nil"/>
              <w:left w:val="nil"/>
              <w:bottom w:val="single" w:sz="4" w:space="0" w:color="auto"/>
              <w:right w:val="single" w:sz="4" w:space="0" w:color="auto"/>
            </w:tcBorders>
            <w:shd w:val="clear" w:color="auto" w:fill="auto"/>
            <w:noWrap/>
            <w:vAlign w:val="bottom"/>
            <w:hideMark/>
          </w:tcPr>
          <w:p w:rsidR="00BD111D" w:rsidRPr="002462E6" w:rsidRDefault="00BD111D" w:rsidP="00AB299B">
            <w:pPr>
              <w:spacing w:after="0" w:line="240" w:lineRule="auto"/>
              <w:rPr>
                <w:rFonts w:ascii="Calibri" w:eastAsia="Times New Roman" w:hAnsi="Calibri" w:cs="Calibri"/>
                <w:color w:val="000000"/>
                <w:lang w:eastAsia="fr-FR"/>
              </w:rPr>
            </w:pPr>
            <w:r w:rsidRPr="002462E6">
              <w:rPr>
                <w:rFonts w:ascii="Calibri" w:eastAsia="Times New Roman" w:hAnsi="Calibri" w:cs="Calibri"/>
                <w:color w:val="000000"/>
                <w:lang w:eastAsia="fr-FR"/>
              </w:rPr>
              <w:t> </w:t>
            </w:r>
          </w:p>
        </w:tc>
        <w:tc>
          <w:tcPr>
            <w:tcW w:w="2835" w:type="dxa"/>
            <w:tcBorders>
              <w:top w:val="nil"/>
              <w:left w:val="nil"/>
              <w:bottom w:val="single" w:sz="4" w:space="0" w:color="auto"/>
              <w:right w:val="single" w:sz="4" w:space="0" w:color="auto"/>
            </w:tcBorders>
            <w:shd w:val="clear" w:color="auto" w:fill="auto"/>
            <w:noWrap/>
            <w:vAlign w:val="bottom"/>
            <w:hideMark/>
          </w:tcPr>
          <w:p w:rsidR="00BD111D" w:rsidRPr="002462E6" w:rsidRDefault="00BD111D" w:rsidP="00AB299B">
            <w:pPr>
              <w:spacing w:after="0" w:line="240" w:lineRule="auto"/>
              <w:rPr>
                <w:rFonts w:ascii="Calibri" w:eastAsia="Times New Roman" w:hAnsi="Calibri" w:cs="Calibri"/>
                <w:color w:val="000000"/>
                <w:lang w:eastAsia="fr-FR"/>
              </w:rPr>
            </w:pPr>
            <w:r w:rsidRPr="002462E6">
              <w:rPr>
                <w:rFonts w:ascii="Calibri" w:eastAsia="Times New Roman" w:hAnsi="Calibri" w:cs="Calibri"/>
                <w:color w:val="000000"/>
                <w:lang w:eastAsia="fr-FR"/>
              </w:rPr>
              <w:t> </w:t>
            </w:r>
          </w:p>
        </w:tc>
      </w:tr>
      <w:tr w:rsidR="00BD111D" w:rsidRPr="002462E6" w:rsidTr="00AB299B">
        <w:trPr>
          <w:trHeight w:val="300"/>
        </w:trPr>
        <w:tc>
          <w:tcPr>
            <w:tcW w:w="3118" w:type="dxa"/>
            <w:tcBorders>
              <w:top w:val="nil"/>
              <w:left w:val="single" w:sz="4" w:space="0" w:color="auto"/>
              <w:bottom w:val="single" w:sz="4" w:space="0" w:color="auto"/>
              <w:right w:val="single" w:sz="4" w:space="0" w:color="auto"/>
            </w:tcBorders>
            <w:shd w:val="clear" w:color="auto" w:fill="auto"/>
            <w:noWrap/>
            <w:vAlign w:val="bottom"/>
            <w:hideMark/>
          </w:tcPr>
          <w:p w:rsidR="00BD111D" w:rsidRPr="002462E6" w:rsidRDefault="00BD111D" w:rsidP="00AB299B">
            <w:pPr>
              <w:spacing w:after="0" w:line="240" w:lineRule="auto"/>
              <w:rPr>
                <w:rFonts w:ascii="Calibri" w:eastAsia="Times New Roman" w:hAnsi="Calibri" w:cs="Calibri"/>
                <w:color w:val="000000"/>
                <w:lang w:eastAsia="fr-FR"/>
              </w:rPr>
            </w:pPr>
            <w:r w:rsidRPr="002462E6">
              <w:rPr>
                <w:rFonts w:ascii="Calibri" w:eastAsia="Times New Roman" w:hAnsi="Calibri" w:cs="Calibri"/>
                <w:color w:val="000000"/>
                <w:lang w:eastAsia="fr-FR"/>
              </w:rPr>
              <w:t>Dispensaire ou centre de santé</w:t>
            </w:r>
          </w:p>
        </w:tc>
        <w:tc>
          <w:tcPr>
            <w:tcW w:w="709" w:type="dxa"/>
            <w:tcBorders>
              <w:top w:val="nil"/>
              <w:left w:val="nil"/>
              <w:bottom w:val="single" w:sz="4" w:space="0" w:color="auto"/>
              <w:right w:val="single" w:sz="4" w:space="0" w:color="auto"/>
            </w:tcBorders>
            <w:shd w:val="clear" w:color="auto" w:fill="auto"/>
            <w:noWrap/>
            <w:vAlign w:val="bottom"/>
            <w:hideMark/>
          </w:tcPr>
          <w:p w:rsidR="00BD111D" w:rsidRPr="002462E6" w:rsidRDefault="00BD111D" w:rsidP="00AB299B">
            <w:pPr>
              <w:spacing w:after="0" w:line="240" w:lineRule="auto"/>
              <w:rPr>
                <w:rFonts w:ascii="Calibri" w:eastAsia="Times New Roman" w:hAnsi="Calibri" w:cs="Calibri"/>
                <w:color w:val="000000"/>
                <w:lang w:eastAsia="fr-FR"/>
              </w:rPr>
            </w:pPr>
            <w:r w:rsidRPr="002462E6">
              <w:rPr>
                <w:rFonts w:ascii="Calibri" w:eastAsia="Times New Roman" w:hAnsi="Calibri" w:cs="Calibri"/>
                <w:color w:val="000000"/>
                <w:lang w:eastAsia="fr-FR"/>
              </w:rPr>
              <w:t> </w:t>
            </w:r>
          </w:p>
        </w:tc>
        <w:tc>
          <w:tcPr>
            <w:tcW w:w="877" w:type="dxa"/>
            <w:tcBorders>
              <w:top w:val="nil"/>
              <w:left w:val="nil"/>
              <w:bottom w:val="single" w:sz="4" w:space="0" w:color="auto"/>
              <w:right w:val="single" w:sz="4" w:space="0" w:color="auto"/>
            </w:tcBorders>
            <w:shd w:val="clear" w:color="auto" w:fill="auto"/>
            <w:noWrap/>
            <w:vAlign w:val="bottom"/>
            <w:hideMark/>
          </w:tcPr>
          <w:p w:rsidR="00BD111D" w:rsidRPr="002462E6" w:rsidRDefault="00BD111D" w:rsidP="00AB299B">
            <w:pPr>
              <w:spacing w:after="0" w:line="240" w:lineRule="auto"/>
              <w:rPr>
                <w:rFonts w:ascii="Calibri" w:eastAsia="Times New Roman" w:hAnsi="Calibri" w:cs="Calibri"/>
                <w:color w:val="000000"/>
                <w:lang w:eastAsia="fr-FR"/>
              </w:rPr>
            </w:pPr>
            <w:r w:rsidRPr="002462E6">
              <w:rPr>
                <w:rFonts w:ascii="Calibri" w:eastAsia="Times New Roman" w:hAnsi="Calibri" w:cs="Calibri"/>
                <w:color w:val="000000"/>
                <w:lang w:eastAsia="fr-FR"/>
              </w:rPr>
              <w:t> </w:t>
            </w:r>
          </w:p>
        </w:tc>
        <w:tc>
          <w:tcPr>
            <w:tcW w:w="2835" w:type="dxa"/>
            <w:tcBorders>
              <w:top w:val="nil"/>
              <w:left w:val="nil"/>
              <w:bottom w:val="single" w:sz="4" w:space="0" w:color="auto"/>
              <w:right w:val="single" w:sz="4" w:space="0" w:color="auto"/>
            </w:tcBorders>
            <w:shd w:val="clear" w:color="auto" w:fill="auto"/>
            <w:noWrap/>
            <w:vAlign w:val="bottom"/>
            <w:hideMark/>
          </w:tcPr>
          <w:p w:rsidR="00BD111D" w:rsidRPr="002462E6" w:rsidRDefault="00BD111D" w:rsidP="00AB299B">
            <w:pPr>
              <w:spacing w:after="0" w:line="240" w:lineRule="auto"/>
              <w:rPr>
                <w:rFonts w:ascii="Calibri" w:eastAsia="Times New Roman" w:hAnsi="Calibri" w:cs="Calibri"/>
                <w:color w:val="000000"/>
                <w:lang w:eastAsia="fr-FR"/>
              </w:rPr>
            </w:pPr>
            <w:r w:rsidRPr="002462E6">
              <w:rPr>
                <w:rFonts w:ascii="Calibri" w:eastAsia="Times New Roman" w:hAnsi="Calibri" w:cs="Calibri"/>
                <w:color w:val="000000"/>
                <w:lang w:eastAsia="fr-FR"/>
              </w:rPr>
              <w:t> </w:t>
            </w:r>
          </w:p>
        </w:tc>
      </w:tr>
      <w:tr w:rsidR="00BD111D" w:rsidRPr="002462E6" w:rsidTr="00AB299B">
        <w:trPr>
          <w:trHeight w:val="300"/>
        </w:trPr>
        <w:tc>
          <w:tcPr>
            <w:tcW w:w="3118" w:type="dxa"/>
            <w:tcBorders>
              <w:top w:val="nil"/>
              <w:left w:val="single" w:sz="4" w:space="0" w:color="auto"/>
              <w:bottom w:val="single" w:sz="4" w:space="0" w:color="auto"/>
              <w:right w:val="single" w:sz="4" w:space="0" w:color="auto"/>
            </w:tcBorders>
            <w:shd w:val="clear" w:color="auto" w:fill="auto"/>
            <w:noWrap/>
            <w:vAlign w:val="bottom"/>
          </w:tcPr>
          <w:p w:rsidR="00BD111D" w:rsidRPr="002462E6" w:rsidRDefault="00BD111D" w:rsidP="00AB299B">
            <w:pPr>
              <w:spacing w:after="0" w:line="240" w:lineRule="auto"/>
              <w:rPr>
                <w:rFonts w:ascii="Calibri" w:eastAsia="Times New Roman" w:hAnsi="Calibri" w:cs="Calibri"/>
                <w:color w:val="000000"/>
                <w:lang w:eastAsia="fr-FR"/>
              </w:rPr>
            </w:pPr>
            <w:r w:rsidRPr="002462E6">
              <w:rPr>
                <w:rFonts w:ascii="Calibri" w:eastAsia="Times New Roman" w:hAnsi="Calibri" w:cs="Calibri"/>
                <w:color w:val="000000"/>
                <w:lang w:eastAsia="fr-FR"/>
              </w:rPr>
              <w:t>Ecole</w:t>
            </w:r>
          </w:p>
        </w:tc>
        <w:tc>
          <w:tcPr>
            <w:tcW w:w="709" w:type="dxa"/>
            <w:tcBorders>
              <w:top w:val="nil"/>
              <w:left w:val="nil"/>
              <w:bottom w:val="single" w:sz="4" w:space="0" w:color="auto"/>
              <w:right w:val="single" w:sz="4" w:space="0" w:color="auto"/>
            </w:tcBorders>
            <w:shd w:val="clear" w:color="auto" w:fill="auto"/>
            <w:noWrap/>
            <w:vAlign w:val="bottom"/>
          </w:tcPr>
          <w:p w:rsidR="00BD111D" w:rsidRPr="002462E6" w:rsidRDefault="00BD111D" w:rsidP="00AB299B">
            <w:pPr>
              <w:spacing w:after="0" w:line="240" w:lineRule="auto"/>
              <w:rPr>
                <w:rFonts w:ascii="Calibri" w:eastAsia="Times New Roman" w:hAnsi="Calibri" w:cs="Calibri"/>
                <w:color w:val="000000"/>
                <w:lang w:eastAsia="fr-FR"/>
              </w:rPr>
            </w:pPr>
          </w:p>
        </w:tc>
        <w:tc>
          <w:tcPr>
            <w:tcW w:w="877" w:type="dxa"/>
            <w:tcBorders>
              <w:top w:val="nil"/>
              <w:left w:val="nil"/>
              <w:bottom w:val="single" w:sz="4" w:space="0" w:color="auto"/>
              <w:right w:val="single" w:sz="4" w:space="0" w:color="auto"/>
            </w:tcBorders>
            <w:shd w:val="clear" w:color="auto" w:fill="auto"/>
            <w:noWrap/>
            <w:vAlign w:val="bottom"/>
          </w:tcPr>
          <w:p w:rsidR="00BD111D" w:rsidRPr="002462E6" w:rsidRDefault="00BD111D" w:rsidP="00AB299B">
            <w:pPr>
              <w:spacing w:after="0" w:line="240" w:lineRule="auto"/>
              <w:rPr>
                <w:rFonts w:ascii="Calibri" w:eastAsia="Times New Roman" w:hAnsi="Calibri" w:cs="Calibri"/>
                <w:color w:val="000000"/>
                <w:lang w:eastAsia="fr-FR"/>
              </w:rPr>
            </w:pPr>
          </w:p>
        </w:tc>
        <w:tc>
          <w:tcPr>
            <w:tcW w:w="2835" w:type="dxa"/>
            <w:tcBorders>
              <w:top w:val="nil"/>
              <w:left w:val="nil"/>
              <w:bottom w:val="single" w:sz="4" w:space="0" w:color="auto"/>
              <w:right w:val="single" w:sz="4" w:space="0" w:color="auto"/>
            </w:tcBorders>
            <w:shd w:val="clear" w:color="auto" w:fill="auto"/>
            <w:noWrap/>
            <w:vAlign w:val="bottom"/>
          </w:tcPr>
          <w:p w:rsidR="00BD111D" w:rsidRPr="002462E6" w:rsidRDefault="00BD111D" w:rsidP="00AB299B">
            <w:pPr>
              <w:spacing w:after="0" w:line="240" w:lineRule="auto"/>
              <w:rPr>
                <w:rFonts w:ascii="Calibri" w:eastAsia="Times New Roman" w:hAnsi="Calibri" w:cs="Calibri"/>
                <w:color w:val="000000"/>
                <w:lang w:eastAsia="fr-FR"/>
              </w:rPr>
            </w:pPr>
          </w:p>
        </w:tc>
      </w:tr>
      <w:tr w:rsidR="00BD111D" w:rsidRPr="002462E6" w:rsidTr="00AB299B">
        <w:trPr>
          <w:trHeight w:val="300"/>
        </w:trPr>
        <w:tc>
          <w:tcPr>
            <w:tcW w:w="3118" w:type="dxa"/>
            <w:tcBorders>
              <w:top w:val="nil"/>
              <w:left w:val="single" w:sz="4" w:space="0" w:color="auto"/>
              <w:bottom w:val="single" w:sz="4" w:space="0" w:color="auto"/>
              <w:right w:val="single" w:sz="4" w:space="0" w:color="auto"/>
            </w:tcBorders>
            <w:shd w:val="clear" w:color="auto" w:fill="auto"/>
            <w:noWrap/>
            <w:vAlign w:val="bottom"/>
            <w:hideMark/>
          </w:tcPr>
          <w:p w:rsidR="00BD111D" w:rsidRPr="002462E6" w:rsidRDefault="00BD111D" w:rsidP="00AB299B">
            <w:pPr>
              <w:spacing w:after="0" w:line="240" w:lineRule="auto"/>
              <w:rPr>
                <w:rFonts w:ascii="Calibri" w:eastAsia="Times New Roman" w:hAnsi="Calibri" w:cs="Calibri"/>
                <w:color w:val="000000"/>
                <w:lang w:eastAsia="fr-FR"/>
              </w:rPr>
            </w:pPr>
            <w:r w:rsidRPr="002462E6">
              <w:rPr>
                <w:rFonts w:ascii="Calibri" w:eastAsia="Times New Roman" w:hAnsi="Calibri" w:cs="Calibri"/>
                <w:color w:val="000000"/>
                <w:lang w:eastAsia="fr-FR"/>
              </w:rPr>
              <w:t>Souk</w:t>
            </w:r>
          </w:p>
        </w:tc>
        <w:tc>
          <w:tcPr>
            <w:tcW w:w="709" w:type="dxa"/>
            <w:tcBorders>
              <w:top w:val="nil"/>
              <w:left w:val="nil"/>
              <w:bottom w:val="single" w:sz="4" w:space="0" w:color="auto"/>
              <w:right w:val="single" w:sz="4" w:space="0" w:color="auto"/>
            </w:tcBorders>
            <w:shd w:val="clear" w:color="auto" w:fill="auto"/>
            <w:noWrap/>
            <w:vAlign w:val="bottom"/>
            <w:hideMark/>
          </w:tcPr>
          <w:p w:rsidR="00BD111D" w:rsidRPr="002462E6" w:rsidRDefault="00BD111D" w:rsidP="00AB299B">
            <w:pPr>
              <w:spacing w:after="0" w:line="240" w:lineRule="auto"/>
              <w:rPr>
                <w:rFonts w:ascii="Calibri" w:eastAsia="Times New Roman" w:hAnsi="Calibri" w:cs="Calibri"/>
                <w:color w:val="000000"/>
                <w:lang w:eastAsia="fr-FR"/>
              </w:rPr>
            </w:pPr>
            <w:r w:rsidRPr="002462E6">
              <w:rPr>
                <w:rFonts w:ascii="Calibri" w:eastAsia="Times New Roman" w:hAnsi="Calibri" w:cs="Calibri"/>
                <w:color w:val="000000"/>
                <w:lang w:eastAsia="fr-FR"/>
              </w:rPr>
              <w:t> </w:t>
            </w:r>
          </w:p>
        </w:tc>
        <w:tc>
          <w:tcPr>
            <w:tcW w:w="877" w:type="dxa"/>
            <w:tcBorders>
              <w:top w:val="nil"/>
              <w:left w:val="nil"/>
              <w:bottom w:val="single" w:sz="4" w:space="0" w:color="auto"/>
              <w:right w:val="single" w:sz="4" w:space="0" w:color="auto"/>
            </w:tcBorders>
            <w:shd w:val="clear" w:color="auto" w:fill="auto"/>
            <w:noWrap/>
            <w:vAlign w:val="bottom"/>
            <w:hideMark/>
          </w:tcPr>
          <w:p w:rsidR="00BD111D" w:rsidRPr="002462E6" w:rsidRDefault="00BD111D" w:rsidP="00AB299B">
            <w:pPr>
              <w:spacing w:after="0" w:line="240" w:lineRule="auto"/>
              <w:rPr>
                <w:rFonts w:ascii="Calibri" w:eastAsia="Times New Roman" w:hAnsi="Calibri" w:cs="Calibri"/>
                <w:color w:val="000000"/>
                <w:lang w:eastAsia="fr-FR"/>
              </w:rPr>
            </w:pPr>
            <w:r w:rsidRPr="002462E6">
              <w:rPr>
                <w:rFonts w:ascii="Calibri" w:eastAsia="Times New Roman" w:hAnsi="Calibri" w:cs="Calibri"/>
                <w:color w:val="000000"/>
                <w:lang w:eastAsia="fr-FR"/>
              </w:rPr>
              <w:t> </w:t>
            </w:r>
          </w:p>
        </w:tc>
        <w:tc>
          <w:tcPr>
            <w:tcW w:w="2835" w:type="dxa"/>
            <w:tcBorders>
              <w:top w:val="nil"/>
              <w:left w:val="nil"/>
              <w:bottom w:val="single" w:sz="4" w:space="0" w:color="auto"/>
              <w:right w:val="single" w:sz="4" w:space="0" w:color="auto"/>
            </w:tcBorders>
            <w:shd w:val="clear" w:color="auto" w:fill="auto"/>
            <w:noWrap/>
            <w:vAlign w:val="bottom"/>
            <w:hideMark/>
          </w:tcPr>
          <w:p w:rsidR="00BD111D" w:rsidRPr="002462E6" w:rsidRDefault="00BD111D" w:rsidP="00AB299B">
            <w:pPr>
              <w:spacing w:after="0" w:line="240" w:lineRule="auto"/>
              <w:rPr>
                <w:rFonts w:ascii="Calibri" w:eastAsia="Times New Roman" w:hAnsi="Calibri" w:cs="Calibri"/>
                <w:color w:val="000000"/>
                <w:lang w:eastAsia="fr-FR"/>
              </w:rPr>
            </w:pPr>
            <w:r w:rsidRPr="002462E6">
              <w:rPr>
                <w:rFonts w:ascii="Calibri" w:eastAsia="Times New Roman" w:hAnsi="Calibri" w:cs="Calibri"/>
                <w:color w:val="000000"/>
                <w:lang w:eastAsia="fr-FR"/>
              </w:rPr>
              <w:t> </w:t>
            </w:r>
          </w:p>
        </w:tc>
      </w:tr>
      <w:tr w:rsidR="00BD111D" w:rsidRPr="002462E6" w:rsidTr="00AB299B">
        <w:trPr>
          <w:trHeight w:val="300"/>
        </w:trPr>
        <w:tc>
          <w:tcPr>
            <w:tcW w:w="3118" w:type="dxa"/>
            <w:tcBorders>
              <w:top w:val="nil"/>
              <w:left w:val="single" w:sz="4" w:space="0" w:color="auto"/>
              <w:bottom w:val="single" w:sz="4" w:space="0" w:color="auto"/>
              <w:right w:val="single" w:sz="4" w:space="0" w:color="auto"/>
            </w:tcBorders>
            <w:shd w:val="clear" w:color="auto" w:fill="auto"/>
            <w:noWrap/>
            <w:vAlign w:val="bottom"/>
            <w:hideMark/>
          </w:tcPr>
          <w:p w:rsidR="00BD111D" w:rsidRPr="002462E6" w:rsidRDefault="00BD111D" w:rsidP="00AB299B">
            <w:pPr>
              <w:spacing w:after="0" w:line="240" w:lineRule="auto"/>
              <w:rPr>
                <w:rFonts w:ascii="Calibri" w:eastAsia="Times New Roman" w:hAnsi="Calibri" w:cs="Calibri"/>
                <w:color w:val="000000"/>
                <w:lang w:eastAsia="fr-FR"/>
              </w:rPr>
            </w:pPr>
            <w:r w:rsidRPr="002462E6">
              <w:rPr>
                <w:rFonts w:ascii="Calibri" w:eastAsia="Times New Roman" w:hAnsi="Calibri" w:cs="Calibri"/>
                <w:color w:val="000000"/>
                <w:lang w:eastAsia="fr-FR"/>
              </w:rPr>
              <w:t>Moulin</w:t>
            </w:r>
          </w:p>
        </w:tc>
        <w:tc>
          <w:tcPr>
            <w:tcW w:w="709" w:type="dxa"/>
            <w:tcBorders>
              <w:top w:val="nil"/>
              <w:left w:val="nil"/>
              <w:bottom w:val="single" w:sz="4" w:space="0" w:color="auto"/>
              <w:right w:val="single" w:sz="4" w:space="0" w:color="auto"/>
            </w:tcBorders>
            <w:shd w:val="clear" w:color="auto" w:fill="auto"/>
            <w:noWrap/>
            <w:vAlign w:val="bottom"/>
            <w:hideMark/>
          </w:tcPr>
          <w:p w:rsidR="00BD111D" w:rsidRPr="002462E6" w:rsidRDefault="00BD111D" w:rsidP="00AB299B">
            <w:pPr>
              <w:spacing w:after="0" w:line="240" w:lineRule="auto"/>
              <w:rPr>
                <w:rFonts w:ascii="Calibri" w:eastAsia="Times New Roman" w:hAnsi="Calibri" w:cs="Calibri"/>
                <w:color w:val="000000"/>
                <w:lang w:eastAsia="fr-FR"/>
              </w:rPr>
            </w:pPr>
            <w:r w:rsidRPr="002462E6">
              <w:rPr>
                <w:rFonts w:ascii="Calibri" w:eastAsia="Times New Roman" w:hAnsi="Calibri" w:cs="Calibri"/>
                <w:color w:val="000000"/>
                <w:lang w:eastAsia="fr-FR"/>
              </w:rPr>
              <w:t> </w:t>
            </w:r>
          </w:p>
        </w:tc>
        <w:tc>
          <w:tcPr>
            <w:tcW w:w="877" w:type="dxa"/>
            <w:tcBorders>
              <w:top w:val="nil"/>
              <w:left w:val="nil"/>
              <w:bottom w:val="single" w:sz="4" w:space="0" w:color="auto"/>
              <w:right w:val="single" w:sz="4" w:space="0" w:color="auto"/>
            </w:tcBorders>
            <w:shd w:val="clear" w:color="auto" w:fill="auto"/>
            <w:noWrap/>
            <w:vAlign w:val="bottom"/>
            <w:hideMark/>
          </w:tcPr>
          <w:p w:rsidR="00BD111D" w:rsidRPr="002462E6" w:rsidRDefault="00BD111D" w:rsidP="00AB299B">
            <w:pPr>
              <w:spacing w:after="0" w:line="240" w:lineRule="auto"/>
              <w:rPr>
                <w:rFonts w:ascii="Calibri" w:eastAsia="Times New Roman" w:hAnsi="Calibri" w:cs="Calibri"/>
                <w:color w:val="000000"/>
                <w:lang w:eastAsia="fr-FR"/>
              </w:rPr>
            </w:pPr>
            <w:r w:rsidRPr="002462E6">
              <w:rPr>
                <w:rFonts w:ascii="Calibri" w:eastAsia="Times New Roman" w:hAnsi="Calibri" w:cs="Calibri"/>
                <w:color w:val="000000"/>
                <w:lang w:eastAsia="fr-FR"/>
              </w:rPr>
              <w:t> </w:t>
            </w:r>
          </w:p>
        </w:tc>
        <w:tc>
          <w:tcPr>
            <w:tcW w:w="2835" w:type="dxa"/>
            <w:tcBorders>
              <w:top w:val="nil"/>
              <w:left w:val="nil"/>
              <w:bottom w:val="single" w:sz="4" w:space="0" w:color="auto"/>
              <w:right w:val="single" w:sz="4" w:space="0" w:color="auto"/>
            </w:tcBorders>
            <w:shd w:val="clear" w:color="auto" w:fill="auto"/>
            <w:noWrap/>
            <w:vAlign w:val="bottom"/>
            <w:hideMark/>
          </w:tcPr>
          <w:p w:rsidR="00BD111D" w:rsidRPr="002462E6" w:rsidRDefault="00BD111D" w:rsidP="00AB299B">
            <w:pPr>
              <w:spacing w:after="0" w:line="240" w:lineRule="auto"/>
              <w:rPr>
                <w:rFonts w:ascii="Calibri" w:eastAsia="Times New Roman" w:hAnsi="Calibri" w:cs="Calibri"/>
                <w:color w:val="000000"/>
                <w:lang w:eastAsia="fr-FR"/>
              </w:rPr>
            </w:pPr>
            <w:r w:rsidRPr="002462E6">
              <w:rPr>
                <w:rFonts w:ascii="Calibri" w:eastAsia="Times New Roman" w:hAnsi="Calibri" w:cs="Calibri"/>
                <w:color w:val="000000"/>
                <w:lang w:eastAsia="fr-FR"/>
              </w:rPr>
              <w:t> </w:t>
            </w:r>
          </w:p>
        </w:tc>
      </w:tr>
      <w:tr w:rsidR="00BD111D" w:rsidRPr="002462E6" w:rsidTr="00AB299B">
        <w:trPr>
          <w:trHeight w:val="300"/>
        </w:trPr>
        <w:tc>
          <w:tcPr>
            <w:tcW w:w="3118" w:type="dxa"/>
            <w:tcBorders>
              <w:top w:val="nil"/>
              <w:left w:val="single" w:sz="4" w:space="0" w:color="auto"/>
              <w:bottom w:val="single" w:sz="4" w:space="0" w:color="auto"/>
              <w:right w:val="single" w:sz="4" w:space="0" w:color="auto"/>
            </w:tcBorders>
            <w:shd w:val="clear" w:color="auto" w:fill="auto"/>
            <w:noWrap/>
            <w:vAlign w:val="bottom"/>
          </w:tcPr>
          <w:p w:rsidR="00BD111D" w:rsidRPr="002462E6" w:rsidRDefault="00BD111D" w:rsidP="00AB299B">
            <w:pPr>
              <w:spacing w:after="0" w:line="240" w:lineRule="auto"/>
              <w:rPr>
                <w:rFonts w:ascii="Calibri" w:eastAsia="Times New Roman" w:hAnsi="Calibri" w:cs="Calibri"/>
                <w:color w:val="000000"/>
                <w:lang w:eastAsia="fr-FR"/>
              </w:rPr>
            </w:pPr>
            <w:r w:rsidRPr="002462E6">
              <w:rPr>
                <w:rFonts w:ascii="Calibri" w:eastAsia="Times New Roman" w:hAnsi="Calibri" w:cs="Calibri"/>
                <w:color w:val="000000"/>
                <w:lang w:eastAsia="fr-FR"/>
              </w:rPr>
              <w:t>Epicier</w:t>
            </w:r>
          </w:p>
        </w:tc>
        <w:tc>
          <w:tcPr>
            <w:tcW w:w="709" w:type="dxa"/>
            <w:tcBorders>
              <w:top w:val="nil"/>
              <w:left w:val="nil"/>
              <w:bottom w:val="single" w:sz="4" w:space="0" w:color="auto"/>
              <w:right w:val="single" w:sz="4" w:space="0" w:color="auto"/>
            </w:tcBorders>
            <w:shd w:val="clear" w:color="auto" w:fill="auto"/>
            <w:noWrap/>
            <w:vAlign w:val="bottom"/>
          </w:tcPr>
          <w:p w:rsidR="00BD111D" w:rsidRPr="002462E6" w:rsidRDefault="00BD111D" w:rsidP="00AB299B">
            <w:pPr>
              <w:spacing w:after="0" w:line="240" w:lineRule="auto"/>
              <w:rPr>
                <w:rFonts w:ascii="Calibri" w:eastAsia="Times New Roman" w:hAnsi="Calibri" w:cs="Calibri"/>
                <w:color w:val="000000"/>
                <w:lang w:eastAsia="fr-FR"/>
              </w:rPr>
            </w:pPr>
          </w:p>
        </w:tc>
        <w:tc>
          <w:tcPr>
            <w:tcW w:w="877" w:type="dxa"/>
            <w:tcBorders>
              <w:top w:val="nil"/>
              <w:left w:val="nil"/>
              <w:bottom w:val="single" w:sz="4" w:space="0" w:color="auto"/>
              <w:right w:val="single" w:sz="4" w:space="0" w:color="auto"/>
            </w:tcBorders>
            <w:shd w:val="clear" w:color="auto" w:fill="auto"/>
            <w:noWrap/>
            <w:vAlign w:val="bottom"/>
          </w:tcPr>
          <w:p w:rsidR="00BD111D" w:rsidRPr="002462E6" w:rsidRDefault="00BD111D" w:rsidP="00AB299B">
            <w:pPr>
              <w:spacing w:after="0" w:line="240" w:lineRule="auto"/>
              <w:rPr>
                <w:rFonts w:ascii="Calibri" w:eastAsia="Times New Roman" w:hAnsi="Calibri" w:cs="Calibri"/>
                <w:color w:val="000000"/>
                <w:lang w:eastAsia="fr-FR"/>
              </w:rPr>
            </w:pPr>
          </w:p>
        </w:tc>
        <w:tc>
          <w:tcPr>
            <w:tcW w:w="2835" w:type="dxa"/>
            <w:tcBorders>
              <w:top w:val="nil"/>
              <w:left w:val="nil"/>
              <w:bottom w:val="single" w:sz="4" w:space="0" w:color="auto"/>
              <w:right w:val="single" w:sz="4" w:space="0" w:color="auto"/>
            </w:tcBorders>
            <w:shd w:val="clear" w:color="auto" w:fill="auto"/>
            <w:noWrap/>
            <w:vAlign w:val="bottom"/>
          </w:tcPr>
          <w:p w:rsidR="00BD111D" w:rsidRPr="002462E6" w:rsidRDefault="00BD111D" w:rsidP="00AB299B">
            <w:pPr>
              <w:spacing w:after="0" w:line="240" w:lineRule="auto"/>
              <w:rPr>
                <w:rFonts w:ascii="Calibri" w:eastAsia="Times New Roman" w:hAnsi="Calibri" w:cs="Calibri"/>
                <w:color w:val="000000"/>
                <w:lang w:eastAsia="fr-FR"/>
              </w:rPr>
            </w:pPr>
          </w:p>
        </w:tc>
      </w:tr>
      <w:tr w:rsidR="00BD111D" w:rsidRPr="002462E6" w:rsidTr="00AB299B">
        <w:trPr>
          <w:trHeight w:val="300"/>
        </w:trPr>
        <w:tc>
          <w:tcPr>
            <w:tcW w:w="3118" w:type="dxa"/>
            <w:tcBorders>
              <w:top w:val="nil"/>
              <w:left w:val="single" w:sz="4" w:space="0" w:color="auto"/>
              <w:bottom w:val="single" w:sz="4" w:space="0" w:color="auto"/>
              <w:right w:val="single" w:sz="4" w:space="0" w:color="auto"/>
            </w:tcBorders>
            <w:shd w:val="clear" w:color="auto" w:fill="auto"/>
            <w:noWrap/>
            <w:vAlign w:val="bottom"/>
            <w:hideMark/>
          </w:tcPr>
          <w:p w:rsidR="00BD111D" w:rsidRPr="002462E6" w:rsidRDefault="00BD111D" w:rsidP="00AB299B">
            <w:pPr>
              <w:spacing w:after="0" w:line="240" w:lineRule="auto"/>
              <w:rPr>
                <w:rFonts w:ascii="Calibri" w:eastAsia="Times New Roman" w:hAnsi="Calibri" w:cs="Calibri"/>
                <w:color w:val="000000"/>
                <w:lang w:eastAsia="fr-FR"/>
              </w:rPr>
            </w:pPr>
            <w:r w:rsidRPr="002462E6">
              <w:rPr>
                <w:rFonts w:ascii="Calibri" w:eastAsia="Times New Roman" w:hAnsi="Calibri" w:cs="Calibri"/>
                <w:color w:val="000000"/>
                <w:lang w:eastAsia="fr-FR"/>
              </w:rPr>
              <w:t>Café</w:t>
            </w:r>
          </w:p>
        </w:tc>
        <w:tc>
          <w:tcPr>
            <w:tcW w:w="709" w:type="dxa"/>
            <w:tcBorders>
              <w:top w:val="nil"/>
              <w:left w:val="nil"/>
              <w:bottom w:val="single" w:sz="4" w:space="0" w:color="auto"/>
              <w:right w:val="single" w:sz="4" w:space="0" w:color="auto"/>
            </w:tcBorders>
            <w:shd w:val="clear" w:color="auto" w:fill="auto"/>
            <w:noWrap/>
            <w:vAlign w:val="bottom"/>
            <w:hideMark/>
          </w:tcPr>
          <w:p w:rsidR="00BD111D" w:rsidRPr="002462E6" w:rsidRDefault="00BD111D" w:rsidP="00AB299B">
            <w:pPr>
              <w:spacing w:after="0" w:line="240" w:lineRule="auto"/>
              <w:rPr>
                <w:rFonts w:ascii="Calibri" w:eastAsia="Times New Roman" w:hAnsi="Calibri" w:cs="Calibri"/>
                <w:color w:val="000000"/>
                <w:lang w:eastAsia="fr-FR"/>
              </w:rPr>
            </w:pPr>
            <w:r w:rsidRPr="002462E6">
              <w:rPr>
                <w:rFonts w:ascii="Calibri" w:eastAsia="Times New Roman" w:hAnsi="Calibri" w:cs="Calibri"/>
                <w:color w:val="000000"/>
                <w:lang w:eastAsia="fr-FR"/>
              </w:rPr>
              <w:t> </w:t>
            </w:r>
          </w:p>
        </w:tc>
        <w:tc>
          <w:tcPr>
            <w:tcW w:w="877" w:type="dxa"/>
            <w:tcBorders>
              <w:top w:val="nil"/>
              <w:left w:val="nil"/>
              <w:bottom w:val="single" w:sz="4" w:space="0" w:color="auto"/>
              <w:right w:val="single" w:sz="4" w:space="0" w:color="auto"/>
            </w:tcBorders>
            <w:shd w:val="clear" w:color="auto" w:fill="auto"/>
            <w:noWrap/>
            <w:vAlign w:val="bottom"/>
            <w:hideMark/>
          </w:tcPr>
          <w:p w:rsidR="00BD111D" w:rsidRPr="002462E6" w:rsidRDefault="00BD111D" w:rsidP="00AB299B">
            <w:pPr>
              <w:spacing w:after="0" w:line="240" w:lineRule="auto"/>
              <w:rPr>
                <w:rFonts w:ascii="Calibri" w:eastAsia="Times New Roman" w:hAnsi="Calibri" w:cs="Calibri"/>
                <w:color w:val="000000"/>
                <w:lang w:eastAsia="fr-FR"/>
              </w:rPr>
            </w:pPr>
            <w:r w:rsidRPr="002462E6">
              <w:rPr>
                <w:rFonts w:ascii="Calibri" w:eastAsia="Times New Roman" w:hAnsi="Calibri" w:cs="Calibri"/>
                <w:color w:val="000000"/>
                <w:lang w:eastAsia="fr-FR"/>
              </w:rPr>
              <w:t> </w:t>
            </w:r>
          </w:p>
        </w:tc>
        <w:tc>
          <w:tcPr>
            <w:tcW w:w="2835" w:type="dxa"/>
            <w:tcBorders>
              <w:top w:val="nil"/>
              <w:left w:val="nil"/>
              <w:bottom w:val="single" w:sz="4" w:space="0" w:color="auto"/>
              <w:right w:val="single" w:sz="4" w:space="0" w:color="auto"/>
            </w:tcBorders>
            <w:shd w:val="clear" w:color="auto" w:fill="auto"/>
            <w:noWrap/>
            <w:vAlign w:val="bottom"/>
            <w:hideMark/>
          </w:tcPr>
          <w:p w:rsidR="00BD111D" w:rsidRPr="002462E6" w:rsidRDefault="00BD111D" w:rsidP="00AB299B">
            <w:pPr>
              <w:spacing w:after="0" w:line="240" w:lineRule="auto"/>
              <w:rPr>
                <w:rFonts w:ascii="Calibri" w:eastAsia="Times New Roman" w:hAnsi="Calibri" w:cs="Calibri"/>
                <w:color w:val="000000"/>
                <w:lang w:eastAsia="fr-FR"/>
              </w:rPr>
            </w:pPr>
            <w:r w:rsidRPr="002462E6">
              <w:rPr>
                <w:rFonts w:ascii="Calibri" w:eastAsia="Times New Roman" w:hAnsi="Calibri" w:cs="Calibri"/>
                <w:color w:val="000000"/>
                <w:lang w:eastAsia="fr-FR"/>
              </w:rPr>
              <w:t> </w:t>
            </w:r>
          </w:p>
        </w:tc>
      </w:tr>
    </w:tbl>
    <w:p w:rsidR="00BD111D" w:rsidRPr="002462E6" w:rsidRDefault="00BD111D" w:rsidP="00BD111D">
      <w:pPr>
        <w:ind w:left="1210"/>
      </w:pPr>
    </w:p>
    <w:p w:rsidR="00BD111D" w:rsidRPr="002462E6" w:rsidRDefault="00BD111D" w:rsidP="00D051D7">
      <w:pPr>
        <w:pStyle w:val="Paragraphedeliste"/>
        <w:widowControl/>
        <w:numPr>
          <w:ilvl w:val="0"/>
          <w:numId w:val="46"/>
        </w:numPr>
        <w:autoSpaceDE/>
        <w:autoSpaceDN/>
        <w:spacing w:after="160" w:line="259" w:lineRule="auto"/>
        <w:contextualSpacing/>
        <w:jc w:val="left"/>
        <w:rPr>
          <w:b/>
          <w:bCs/>
          <w:sz w:val="28"/>
          <w:szCs w:val="28"/>
        </w:rPr>
      </w:pPr>
      <w:r w:rsidRPr="002462E6">
        <w:rPr>
          <w:b/>
          <w:bCs/>
          <w:sz w:val="28"/>
          <w:szCs w:val="28"/>
        </w:rPr>
        <w:t xml:space="preserve">Quel est le statut foncier de votre logement ? </w:t>
      </w:r>
    </w:p>
    <w:p w:rsidR="00BD111D" w:rsidRPr="002462E6" w:rsidRDefault="00BD111D" w:rsidP="00BD111D">
      <w:pPr>
        <w:pStyle w:val="Paragraphedeliste"/>
        <w:ind w:left="2124"/>
      </w:pPr>
      <w:r w:rsidRPr="002462E6">
        <w:rPr>
          <w:rFonts w:ascii="Helvetica" w:hAnsi="Helvetica" w:cs="Helvetica"/>
          <w:b/>
          <w:bCs/>
          <w:color w:val="000000" w:themeColor="text1"/>
          <w:sz w:val="45"/>
          <w:szCs w:val="45"/>
          <w:lang w:eastAsia="fr-FR"/>
        </w:rPr>
        <w:t>□</w:t>
      </w:r>
      <w:r w:rsidRPr="002462E6">
        <w:t xml:space="preserve">Melk </w:t>
      </w:r>
    </w:p>
    <w:p w:rsidR="00BD111D" w:rsidRPr="002462E6" w:rsidRDefault="00BD111D" w:rsidP="00BD111D">
      <w:pPr>
        <w:pStyle w:val="Paragraphedeliste"/>
        <w:ind w:left="2124"/>
      </w:pPr>
      <w:r w:rsidRPr="002462E6">
        <w:rPr>
          <w:rFonts w:ascii="Helvetica" w:hAnsi="Helvetica" w:cs="Helvetica"/>
          <w:b/>
          <w:bCs/>
          <w:color w:val="000000" w:themeColor="text1"/>
          <w:sz w:val="45"/>
          <w:szCs w:val="45"/>
          <w:lang w:eastAsia="fr-FR"/>
        </w:rPr>
        <w:t>□</w:t>
      </w:r>
      <w:r w:rsidRPr="002462E6">
        <w:t>Habous</w:t>
      </w:r>
    </w:p>
    <w:p w:rsidR="00BD111D" w:rsidRPr="002462E6" w:rsidRDefault="00BD111D" w:rsidP="00BD111D">
      <w:pPr>
        <w:pStyle w:val="Paragraphedeliste"/>
        <w:ind w:left="2124"/>
      </w:pPr>
      <w:r w:rsidRPr="002462E6">
        <w:rPr>
          <w:rFonts w:ascii="Helvetica" w:hAnsi="Helvetica" w:cs="Helvetica"/>
          <w:b/>
          <w:bCs/>
          <w:color w:val="000000" w:themeColor="text1"/>
          <w:sz w:val="45"/>
          <w:szCs w:val="45"/>
          <w:lang w:eastAsia="fr-FR"/>
        </w:rPr>
        <w:t>□</w:t>
      </w:r>
      <w:r w:rsidRPr="002462E6">
        <w:t>Domanial</w:t>
      </w:r>
    </w:p>
    <w:p w:rsidR="00BD111D" w:rsidRPr="002462E6" w:rsidRDefault="00BD111D" w:rsidP="00BD111D">
      <w:pPr>
        <w:pStyle w:val="Paragraphedeliste"/>
        <w:ind w:left="2124"/>
      </w:pPr>
      <w:r w:rsidRPr="002462E6">
        <w:rPr>
          <w:rFonts w:ascii="Helvetica" w:hAnsi="Helvetica" w:cs="Helvetica"/>
          <w:b/>
          <w:bCs/>
          <w:color w:val="000000" w:themeColor="text1"/>
          <w:sz w:val="45"/>
          <w:szCs w:val="45"/>
          <w:lang w:eastAsia="fr-FR"/>
        </w:rPr>
        <w:t>□</w:t>
      </w:r>
      <w:r w:rsidRPr="002462E6">
        <w:t>Collectif</w:t>
      </w:r>
    </w:p>
    <w:p w:rsidR="00BD111D" w:rsidRPr="002462E6" w:rsidRDefault="00BD111D" w:rsidP="00BD111D">
      <w:pPr>
        <w:pStyle w:val="Paragraphedeliste"/>
        <w:ind w:left="2124"/>
      </w:pPr>
      <w:r w:rsidRPr="002462E6">
        <w:rPr>
          <w:rFonts w:ascii="Helvetica" w:hAnsi="Helvetica" w:cs="Helvetica"/>
          <w:b/>
          <w:bCs/>
          <w:color w:val="000000" w:themeColor="text1"/>
          <w:sz w:val="45"/>
          <w:szCs w:val="45"/>
          <w:lang w:eastAsia="fr-FR"/>
        </w:rPr>
        <w:t>□</w:t>
      </w:r>
      <w:r w:rsidRPr="002462E6">
        <w:t xml:space="preserve">Bail </w:t>
      </w:r>
    </w:p>
    <w:p w:rsidR="00BD111D" w:rsidRPr="002462E6" w:rsidRDefault="00BD111D" w:rsidP="00BD111D">
      <w:pPr>
        <w:pStyle w:val="Paragraphedeliste"/>
        <w:ind w:left="2124"/>
      </w:pPr>
      <w:r w:rsidRPr="002462E6">
        <w:rPr>
          <w:rFonts w:ascii="Helvetica" w:hAnsi="Helvetica" w:cs="Helvetica"/>
          <w:b/>
          <w:bCs/>
          <w:color w:val="000000" w:themeColor="text1"/>
          <w:sz w:val="45"/>
          <w:szCs w:val="45"/>
          <w:lang w:eastAsia="fr-FR"/>
        </w:rPr>
        <w:t>□</w:t>
      </w:r>
      <w:r w:rsidRPr="002462E6">
        <w:t xml:space="preserve">Autre </w:t>
      </w:r>
    </w:p>
    <w:p w:rsidR="00BD111D" w:rsidRPr="002462E6" w:rsidRDefault="00BD111D" w:rsidP="00BD111D">
      <w:pPr>
        <w:pStyle w:val="Paragraphedeliste"/>
        <w:ind w:left="2124"/>
      </w:pPr>
    </w:p>
    <w:p w:rsidR="00BD111D" w:rsidRPr="002462E6" w:rsidRDefault="00BD111D" w:rsidP="00BD111D">
      <w:pPr>
        <w:pStyle w:val="Paragraphedeliste"/>
        <w:ind w:left="1210"/>
      </w:pPr>
    </w:p>
    <w:p w:rsidR="00C62A66" w:rsidRPr="002462E6" w:rsidRDefault="00C62A66" w:rsidP="00BD111D">
      <w:pPr>
        <w:pStyle w:val="Paragraphedeliste"/>
        <w:ind w:left="1210"/>
      </w:pPr>
    </w:p>
    <w:p w:rsidR="00C62A66" w:rsidRPr="002462E6" w:rsidRDefault="00C62A66" w:rsidP="00BD111D">
      <w:pPr>
        <w:pStyle w:val="Paragraphedeliste"/>
        <w:ind w:left="1210"/>
      </w:pPr>
    </w:p>
    <w:p w:rsidR="00BD111D" w:rsidRPr="002462E6" w:rsidRDefault="00BD111D" w:rsidP="00D051D7">
      <w:pPr>
        <w:pStyle w:val="Paragraphedeliste"/>
        <w:widowControl/>
        <w:numPr>
          <w:ilvl w:val="0"/>
          <w:numId w:val="46"/>
        </w:numPr>
        <w:autoSpaceDE/>
        <w:autoSpaceDN/>
        <w:spacing w:after="160" w:line="259" w:lineRule="auto"/>
        <w:contextualSpacing/>
        <w:jc w:val="left"/>
        <w:rPr>
          <w:rFonts w:ascii="Tahoma" w:hAnsi="Tahoma" w:cs="Tahoma"/>
          <w:b/>
          <w:bCs/>
          <w:color w:val="000000"/>
          <w:sz w:val="27"/>
          <w:szCs w:val="27"/>
          <w:shd w:val="clear" w:color="auto" w:fill="FFFFFF"/>
        </w:rPr>
      </w:pPr>
      <w:r w:rsidRPr="002462E6">
        <w:rPr>
          <w:rFonts w:ascii="Tahoma" w:hAnsi="Tahoma" w:cs="Tahoma"/>
          <w:b/>
          <w:bCs/>
          <w:color w:val="000000"/>
          <w:sz w:val="27"/>
          <w:szCs w:val="27"/>
          <w:shd w:val="clear" w:color="auto" w:fill="FFFFFF"/>
        </w:rPr>
        <w:t xml:space="preserve">Avez-vous la carte médicale RAMED ? </w:t>
      </w:r>
    </w:p>
    <w:p w:rsidR="00BD111D" w:rsidRPr="002462E6" w:rsidRDefault="00BD111D" w:rsidP="00BD111D">
      <w:pPr>
        <w:pStyle w:val="Paragraphedeliste"/>
        <w:ind w:left="1210"/>
      </w:pPr>
      <w:r w:rsidRPr="002462E6">
        <w:t xml:space="preserve">                      </w:t>
      </w:r>
    </w:p>
    <w:p w:rsidR="00BD111D" w:rsidRPr="002462E6" w:rsidRDefault="00BD111D" w:rsidP="00AC59BD">
      <w:pPr>
        <w:rPr>
          <w:rFonts w:ascii="Helvetica" w:hAnsi="Helvetica" w:cs="Helvetica"/>
          <w:sz w:val="45"/>
          <w:szCs w:val="45"/>
          <w:lang w:eastAsia="fr-FR"/>
        </w:rPr>
      </w:pPr>
      <w:r w:rsidRPr="002462E6">
        <w:t xml:space="preserve">                     </w:t>
      </w:r>
      <w:r w:rsidRPr="002462E6">
        <w:rPr>
          <w:rFonts w:ascii="Helvetica" w:hAnsi="Helvetica" w:cs="Helvetica"/>
          <w:sz w:val="45"/>
          <w:szCs w:val="45"/>
          <w:lang w:eastAsia="fr-FR"/>
        </w:rPr>
        <w:t>□</w:t>
      </w:r>
      <w:r w:rsidRPr="002462E6">
        <w:t xml:space="preserve">Oui                     </w:t>
      </w:r>
      <w:r w:rsidRPr="002462E6">
        <w:rPr>
          <w:rFonts w:ascii="Helvetica" w:hAnsi="Helvetica" w:cs="Helvetica"/>
          <w:sz w:val="45"/>
          <w:szCs w:val="45"/>
          <w:lang w:eastAsia="fr-FR"/>
        </w:rPr>
        <w:t>□</w:t>
      </w:r>
      <w:r w:rsidRPr="002462E6">
        <w:t>non</w:t>
      </w:r>
    </w:p>
    <w:p w:rsidR="00BD111D" w:rsidRPr="002462E6" w:rsidRDefault="00BD111D" w:rsidP="00BD111D">
      <w:pPr>
        <w:pStyle w:val="Paragraphedeliste"/>
        <w:ind w:left="1210"/>
      </w:pPr>
    </w:p>
    <w:p w:rsidR="00BD111D" w:rsidRPr="002462E6" w:rsidRDefault="00BD111D" w:rsidP="00BD111D">
      <w:pPr>
        <w:pStyle w:val="Paragraphedeliste"/>
        <w:ind w:left="1210"/>
      </w:pPr>
    </w:p>
    <w:p w:rsidR="00BD111D" w:rsidRPr="002462E6" w:rsidRDefault="00BD111D" w:rsidP="00BD111D">
      <w:pPr>
        <w:pStyle w:val="Paragraphedeliste"/>
        <w:ind w:left="1210"/>
      </w:pPr>
      <w:r w:rsidRPr="002462E6">
        <w:t xml:space="preserve">Sinon, pourquoi ? </w:t>
      </w:r>
    </w:p>
    <w:p w:rsidR="00BD111D" w:rsidRPr="002462E6" w:rsidRDefault="00BD111D" w:rsidP="00BD111D">
      <w:pPr>
        <w:pStyle w:val="Paragraphedeliste"/>
        <w:ind w:left="1210"/>
      </w:pPr>
    </w:p>
    <w:p w:rsidR="00BD111D" w:rsidRPr="002462E6" w:rsidRDefault="00BD111D" w:rsidP="00D051D7">
      <w:pPr>
        <w:pStyle w:val="Paragraphedeliste"/>
        <w:widowControl/>
        <w:numPr>
          <w:ilvl w:val="0"/>
          <w:numId w:val="46"/>
        </w:numPr>
        <w:autoSpaceDE/>
        <w:autoSpaceDN/>
        <w:spacing w:after="160" w:line="259" w:lineRule="auto"/>
        <w:contextualSpacing/>
        <w:jc w:val="left"/>
        <w:rPr>
          <w:rFonts w:ascii="Tahoma" w:hAnsi="Tahoma" w:cs="Tahoma"/>
          <w:b/>
          <w:bCs/>
          <w:color w:val="000000"/>
          <w:sz w:val="27"/>
          <w:szCs w:val="27"/>
          <w:shd w:val="clear" w:color="auto" w:fill="FFFFFF"/>
        </w:rPr>
      </w:pPr>
      <w:r w:rsidRPr="002462E6">
        <w:rPr>
          <w:rFonts w:ascii="Tahoma" w:hAnsi="Tahoma" w:cs="Tahoma"/>
          <w:b/>
          <w:bCs/>
          <w:color w:val="000000"/>
          <w:sz w:val="27"/>
          <w:szCs w:val="27"/>
          <w:shd w:val="clear" w:color="auto" w:fill="FFFFFF"/>
        </w:rPr>
        <w:t>Avez-vous une association pastorale dans votre Douar ?</w:t>
      </w:r>
    </w:p>
    <w:p w:rsidR="00BD111D" w:rsidRPr="002462E6" w:rsidRDefault="00BD111D" w:rsidP="00AC59BD">
      <w:pPr>
        <w:rPr>
          <w:rFonts w:ascii="Helvetica" w:hAnsi="Helvetica" w:cs="Helvetica"/>
          <w:sz w:val="45"/>
          <w:szCs w:val="45"/>
          <w:lang w:eastAsia="fr-FR"/>
        </w:rPr>
      </w:pPr>
      <w:r w:rsidRPr="002462E6">
        <w:t xml:space="preserve"> </w:t>
      </w:r>
      <w:r w:rsidRPr="002462E6">
        <w:tab/>
        <w:t xml:space="preserve">        </w:t>
      </w:r>
      <w:r w:rsidRPr="002462E6">
        <w:tab/>
        <w:t xml:space="preserve"> </w:t>
      </w:r>
      <w:r w:rsidRPr="002462E6">
        <w:rPr>
          <w:rFonts w:ascii="Helvetica" w:hAnsi="Helvetica" w:cs="Helvetica"/>
          <w:sz w:val="45"/>
          <w:szCs w:val="45"/>
          <w:lang w:eastAsia="fr-FR"/>
        </w:rPr>
        <w:t>□</w:t>
      </w:r>
      <w:r w:rsidRPr="002462E6">
        <w:t xml:space="preserve">Oui                     </w:t>
      </w:r>
      <w:r w:rsidRPr="002462E6">
        <w:rPr>
          <w:rFonts w:ascii="Helvetica" w:hAnsi="Helvetica" w:cs="Helvetica"/>
          <w:sz w:val="45"/>
          <w:szCs w:val="45"/>
          <w:lang w:eastAsia="fr-FR"/>
        </w:rPr>
        <w:t>□</w:t>
      </w:r>
      <w:r w:rsidRPr="002462E6">
        <w:t>non</w:t>
      </w:r>
    </w:p>
    <w:p w:rsidR="00BD111D" w:rsidRPr="002462E6" w:rsidRDefault="00BD111D" w:rsidP="00AC59BD"/>
    <w:p w:rsidR="00BD111D" w:rsidRPr="002462E6" w:rsidRDefault="00BD111D" w:rsidP="00BD111D"/>
    <w:p w:rsidR="00BD111D" w:rsidRPr="002462E6" w:rsidRDefault="00BD111D" w:rsidP="00D051D7">
      <w:pPr>
        <w:pStyle w:val="Paragraphedeliste"/>
        <w:widowControl/>
        <w:numPr>
          <w:ilvl w:val="0"/>
          <w:numId w:val="46"/>
        </w:numPr>
        <w:autoSpaceDE/>
        <w:autoSpaceDN/>
        <w:spacing w:after="160" w:line="259" w:lineRule="auto"/>
        <w:contextualSpacing/>
        <w:jc w:val="left"/>
        <w:rPr>
          <w:rFonts w:ascii="Tahoma" w:hAnsi="Tahoma" w:cs="Tahoma"/>
          <w:b/>
          <w:bCs/>
          <w:color w:val="000000"/>
          <w:sz w:val="27"/>
          <w:szCs w:val="27"/>
          <w:shd w:val="clear" w:color="auto" w:fill="FFFFFF"/>
        </w:rPr>
      </w:pPr>
      <w:r w:rsidRPr="002462E6">
        <w:rPr>
          <w:rFonts w:ascii="Tahoma" w:hAnsi="Tahoma" w:cs="Tahoma"/>
          <w:b/>
          <w:bCs/>
          <w:color w:val="000000"/>
          <w:sz w:val="27"/>
          <w:szCs w:val="27"/>
          <w:shd w:val="clear" w:color="auto" w:fill="FFFFFF"/>
        </w:rPr>
        <w:t xml:space="preserve">Si oui, est ce que vous y êtes adhéré ? </w:t>
      </w:r>
    </w:p>
    <w:p w:rsidR="00BD111D" w:rsidRPr="002462E6" w:rsidRDefault="00BD111D" w:rsidP="00BD111D">
      <w:pPr>
        <w:pStyle w:val="Paragraphedeliste"/>
        <w:ind w:left="1210"/>
        <w:rPr>
          <w:rFonts w:ascii="Tahoma" w:hAnsi="Tahoma" w:cs="Tahoma"/>
          <w:color w:val="000000"/>
          <w:sz w:val="27"/>
          <w:szCs w:val="27"/>
          <w:shd w:val="clear" w:color="auto" w:fill="FFFFFF"/>
        </w:rPr>
      </w:pPr>
    </w:p>
    <w:p w:rsidR="00BD111D" w:rsidRPr="002462E6" w:rsidRDefault="00BD111D" w:rsidP="00AC59BD">
      <w:pPr>
        <w:rPr>
          <w:rFonts w:ascii="Helvetica" w:hAnsi="Helvetica" w:cs="Helvetica"/>
          <w:sz w:val="45"/>
          <w:szCs w:val="45"/>
          <w:lang w:eastAsia="fr-FR"/>
        </w:rPr>
      </w:pPr>
      <w:r w:rsidRPr="002462E6">
        <w:t xml:space="preserve">                  </w:t>
      </w:r>
      <w:r w:rsidRPr="002462E6">
        <w:tab/>
      </w:r>
      <w:r w:rsidRPr="002462E6">
        <w:rPr>
          <w:rFonts w:ascii="Helvetica" w:hAnsi="Helvetica" w:cs="Helvetica"/>
          <w:sz w:val="45"/>
          <w:szCs w:val="45"/>
          <w:lang w:eastAsia="fr-FR"/>
        </w:rPr>
        <w:t>□</w:t>
      </w:r>
      <w:r w:rsidRPr="002462E6">
        <w:t xml:space="preserve">Oui                     </w:t>
      </w:r>
      <w:r w:rsidRPr="002462E6">
        <w:rPr>
          <w:rFonts w:ascii="Helvetica" w:hAnsi="Helvetica" w:cs="Helvetica"/>
          <w:sz w:val="45"/>
          <w:szCs w:val="45"/>
          <w:lang w:eastAsia="fr-FR"/>
        </w:rPr>
        <w:t>□</w:t>
      </w:r>
      <w:r w:rsidRPr="002462E6">
        <w:t>non</w:t>
      </w:r>
    </w:p>
    <w:p w:rsidR="00BD111D" w:rsidRPr="002462E6" w:rsidRDefault="00BD111D" w:rsidP="00BD111D">
      <w:pPr>
        <w:pStyle w:val="Paragraphedeliste"/>
        <w:ind w:left="1918" w:firstLine="206"/>
      </w:pPr>
    </w:p>
    <w:p w:rsidR="00BD111D" w:rsidRPr="002462E6" w:rsidRDefault="00BD111D" w:rsidP="00D051D7">
      <w:pPr>
        <w:pStyle w:val="Paragraphedeliste"/>
        <w:widowControl/>
        <w:numPr>
          <w:ilvl w:val="0"/>
          <w:numId w:val="46"/>
        </w:numPr>
        <w:autoSpaceDE/>
        <w:autoSpaceDN/>
        <w:spacing w:after="160" w:line="259" w:lineRule="auto"/>
        <w:contextualSpacing/>
        <w:jc w:val="left"/>
        <w:rPr>
          <w:rFonts w:ascii="Tahoma" w:hAnsi="Tahoma" w:cs="Tahoma"/>
          <w:b/>
          <w:bCs/>
          <w:color w:val="000000"/>
          <w:sz w:val="27"/>
          <w:szCs w:val="27"/>
          <w:shd w:val="clear" w:color="auto" w:fill="FFFFFF"/>
        </w:rPr>
      </w:pPr>
      <w:r w:rsidRPr="002462E6">
        <w:rPr>
          <w:rFonts w:ascii="Tahoma" w:hAnsi="Tahoma" w:cs="Tahoma"/>
          <w:b/>
          <w:bCs/>
          <w:color w:val="000000"/>
          <w:sz w:val="27"/>
          <w:szCs w:val="27"/>
          <w:shd w:val="clear" w:color="auto" w:fill="FFFFFF"/>
        </w:rPr>
        <w:t>Avez-vous une coopérative forestière dans votre Douar ?</w:t>
      </w:r>
    </w:p>
    <w:p w:rsidR="00BD111D" w:rsidRPr="002462E6" w:rsidRDefault="00BD111D" w:rsidP="00AC59BD">
      <w:pPr>
        <w:rPr>
          <w:rFonts w:ascii="Helvetica" w:hAnsi="Helvetica" w:cs="Helvetica"/>
          <w:sz w:val="45"/>
          <w:szCs w:val="45"/>
          <w:lang w:eastAsia="fr-FR"/>
        </w:rPr>
      </w:pPr>
      <w:r w:rsidRPr="002462E6">
        <w:t xml:space="preserve">          </w:t>
      </w:r>
      <w:r w:rsidRPr="002462E6">
        <w:tab/>
      </w:r>
      <w:r w:rsidRPr="002462E6">
        <w:tab/>
        <w:t xml:space="preserve"> </w:t>
      </w:r>
      <w:r w:rsidRPr="002462E6">
        <w:rPr>
          <w:rFonts w:ascii="Helvetica" w:hAnsi="Helvetica" w:cs="Helvetica"/>
          <w:sz w:val="45"/>
          <w:szCs w:val="45"/>
          <w:lang w:eastAsia="fr-FR"/>
        </w:rPr>
        <w:t>□</w:t>
      </w:r>
      <w:r w:rsidRPr="002462E6">
        <w:t xml:space="preserve">Oui                     </w:t>
      </w:r>
      <w:r w:rsidRPr="002462E6">
        <w:rPr>
          <w:rFonts w:ascii="Helvetica" w:hAnsi="Helvetica" w:cs="Helvetica"/>
          <w:sz w:val="45"/>
          <w:szCs w:val="45"/>
          <w:lang w:eastAsia="fr-FR"/>
        </w:rPr>
        <w:t>□</w:t>
      </w:r>
      <w:r w:rsidRPr="002462E6">
        <w:t>non</w:t>
      </w:r>
    </w:p>
    <w:p w:rsidR="00BD111D" w:rsidRPr="002462E6" w:rsidRDefault="00BD111D" w:rsidP="00BD111D">
      <w:pPr>
        <w:pStyle w:val="Paragraphedeliste"/>
        <w:ind w:left="1210"/>
        <w:rPr>
          <w:b/>
          <w:bCs/>
          <w:sz w:val="28"/>
          <w:szCs w:val="28"/>
        </w:rPr>
      </w:pPr>
    </w:p>
    <w:p w:rsidR="00BD111D" w:rsidRPr="002462E6" w:rsidRDefault="00BD111D" w:rsidP="00BD111D">
      <w:pPr>
        <w:pStyle w:val="Paragraphedeliste"/>
        <w:ind w:left="1210"/>
        <w:rPr>
          <w:rFonts w:ascii="Tahoma" w:hAnsi="Tahoma" w:cs="Tahoma"/>
          <w:color w:val="000000"/>
          <w:sz w:val="27"/>
          <w:szCs w:val="27"/>
          <w:shd w:val="clear" w:color="auto" w:fill="FFFFFF"/>
        </w:rPr>
      </w:pPr>
    </w:p>
    <w:p w:rsidR="00BD111D" w:rsidRPr="002462E6" w:rsidRDefault="00BD111D" w:rsidP="00D051D7">
      <w:pPr>
        <w:pStyle w:val="Paragraphedeliste"/>
        <w:widowControl/>
        <w:numPr>
          <w:ilvl w:val="0"/>
          <w:numId w:val="46"/>
        </w:numPr>
        <w:autoSpaceDE/>
        <w:autoSpaceDN/>
        <w:spacing w:after="160" w:line="259" w:lineRule="auto"/>
        <w:contextualSpacing/>
        <w:jc w:val="left"/>
        <w:rPr>
          <w:rFonts w:ascii="Tahoma" w:hAnsi="Tahoma" w:cs="Tahoma"/>
          <w:b/>
          <w:bCs/>
          <w:color w:val="000000"/>
          <w:sz w:val="27"/>
          <w:szCs w:val="27"/>
          <w:shd w:val="clear" w:color="auto" w:fill="FFFFFF"/>
        </w:rPr>
      </w:pPr>
      <w:r w:rsidRPr="002462E6">
        <w:rPr>
          <w:rFonts w:ascii="Tahoma" w:hAnsi="Tahoma" w:cs="Tahoma"/>
          <w:b/>
          <w:bCs/>
          <w:color w:val="000000"/>
          <w:sz w:val="27"/>
          <w:szCs w:val="27"/>
          <w:shd w:val="clear" w:color="auto" w:fill="FFFFFF"/>
        </w:rPr>
        <w:t xml:space="preserve">Si oui, est ce que vous y êtes adhéré ? </w:t>
      </w:r>
    </w:p>
    <w:p w:rsidR="00BD111D" w:rsidRPr="002462E6" w:rsidRDefault="00BD111D" w:rsidP="00BD111D">
      <w:pPr>
        <w:rPr>
          <w:rFonts w:ascii="Tahoma" w:hAnsi="Tahoma" w:cs="Tahoma"/>
          <w:color w:val="000000"/>
          <w:sz w:val="27"/>
          <w:szCs w:val="27"/>
          <w:shd w:val="clear" w:color="auto" w:fill="FFFFFF"/>
        </w:rPr>
      </w:pPr>
    </w:p>
    <w:p w:rsidR="00BD111D" w:rsidRPr="002462E6" w:rsidRDefault="00BD111D" w:rsidP="00AC59BD">
      <w:pPr>
        <w:rPr>
          <w:rFonts w:ascii="Helvetica" w:hAnsi="Helvetica" w:cs="Helvetica"/>
          <w:sz w:val="45"/>
          <w:szCs w:val="45"/>
          <w:lang w:eastAsia="fr-FR"/>
        </w:rPr>
      </w:pPr>
      <w:r w:rsidRPr="002462E6">
        <w:t xml:space="preserve">                 </w:t>
      </w:r>
      <w:r w:rsidRPr="002462E6">
        <w:tab/>
        <w:t xml:space="preserve"> </w:t>
      </w:r>
      <w:r w:rsidRPr="002462E6">
        <w:rPr>
          <w:rFonts w:ascii="Helvetica" w:hAnsi="Helvetica" w:cs="Helvetica"/>
          <w:sz w:val="45"/>
          <w:szCs w:val="45"/>
          <w:lang w:eastAsia="fr-FR"/>
        </w:rPr>
        <w:t>□</w:t>
      </w:r>
      <w:r w:rsidRPr="002462E6">
        <w:t xml:space="preserve">Oui                     </w:t>
      </w:r>
      <w:r w:rsidRPr="002462E6">
        <w:rPr>
          <w:rFonts w:ascii="Helvetica" w:hAnsi="Helvetica" w:cs="Helvetica"/>
          <w:sz w:val="45"/>
          <w:szCs w:val="45"/>
          <w:lang w:eastAsia="fr-FR"/>
        </w:rPr>
        <w:t>□</w:t>
      </w:r>
      <w:r w:rsidRPr="002462E6">
        <w:t>non</w:t>
      </w:r>
    </w:p>
    <w:p w:rsidR="00BD111D" w:rsidRPr="002462E6" w:rsidRDefault="00BD111D" w:rsidP="00BD111D">
      <w:pPr>
        <w:pStyle w:val="Paragraphedeliste"/>
        <w:ind w:left="1918" w:firstLine="206"/>
      </w:pPr>
    </w:p>
    <w:p w:rsidR="00BD111D" w:rsidRPr="002462E6" w:rsidRDefault="00BD111D" w:rsidP="00BD111D">
      <w:pPr>
        <w:pStyle w:val="Paragraphedeliste"/>
        <w:ind w:left="1918" w:firstLine="206"/>
      </w:pPr>
    </w:p>
    <w:p w:rsidR="00BD111D" w:rsidRPr="002462E6" w:rsidRDefault="00BD111D" w:rsidP="00D051D7">
      <w:pPr>
        <w:pStyle w:val="Paragraphedeliste"/>
        <w:widowControl/>
        <w:numPr>
          <w:ilvl w:val="0"/>
          <w:numId w:val="46"/>
        </w:numPr>
        <w:autoSpaceDE/>
        <w:autoSpaceDN/>
        <w:spacing w:after="160" w:line="259" w:lineRule="auto"/>
        <w:contextualSpacing/>
        <w:jc w:val="left"/>
        <w:rPr>
          <w:rFonts w:ascii="Tahoma" w:hAnsi="Tahoma" w:cs="Tahoma"/>
          <w:b/>
          <w:bCs/>
          <w:color w:val="000000"/>
          <w:sz w:val="27"/>
          <w:szCs w:val="27"/>
          <w:shd w:val="clear" w:color="auto" w:fill="FFFFFF"/>
        </w:rPr>
      </w:pPr>
      <w:r w:rsidRPr="002462E6">
        <w:rPr>
          <w:rFonts w:ascii="Tahoma" w:hAnsi="Tahoma" w:cs="Tahoma"/>
          <w:b/>
          <w:bCs/>
          <w:color w:val="000000"/>
          <w:sz w:val="27"/>
          <w:szCs w:val="27"/>
          <w:shd w:val="clear" w:color="auto" w:fill="FFFFFF"/>
        </w:rPr>
        <w:t xml:space="preserve"> Faites-vous de l’agriculture ?</w:t>
      </w:r>
    </w:p>
    <w:p w:rsidR="00BD111D" w:rsidRPr="002462E6" w:rsidRDefault="00BD111D" w:rsidP="00BD111D">
      <w:pPr>
        <w:pStyle w:val="Paragraphedeliste"/>
        <w:ind w:left="1210"/>
        <w:rPr>
          <w:rFonts w:ascii="Tahoma" w:hAnsi="Tahoma" w:cs="Tahoma"/>
          <w:color w:val="000000"/>
          <w:sz w:val="27"/>
          <w:szCs w:val="27"/>
          <w:shd w:val="clear" w:color="auto" w:fill="FFFFFF"/>
        </w:rPr>
      </w:pPr>
    </w:p>
    <w:p w:rsidR="00BD111D" w:rsidRPr="002462E6" w:rsidRDefault="00BD111D" w:rsidP="00BD111D">
      <w:pPr>
        <w:pStyle w:val="Paragraphedeliste"/>
        <w:ind w:left="1210"/>
        <w:rPr>
          <w:b/>
          <w:bCs/>
          <w:sz w:val="28"/>
          <w:szCs w:val="28"/>
        </w:rPr>
      </w:pPr>
    </w:p>
    <w:p w:rsidR="00BD111D" w:rsidRPr="002462E6" w:rsidRDefault="00BD111D" w:rsidP="00AC59BD">
      <w:pPr>
        <w:rPr>
          <w:rFonts w:ascii="Helvetica" w:hAnsi="Helvetica" w:cs="Helvetica"/>
          <w:sz w:val="45"/>
          <w:szCs w:val="45"/>
          <w:lang w:eastAsia="fr-FR"/>
        </w:rPr>
      </w:pPr>
      <w:r w:rsidRPr="002462E6">
        <w:t xml:space="preserve">                  </w:t>
      </w:r>
      <w:r w:rsidRPr="002462E6">
        <w:rPr>
          <w:rFonts w:ascii="Helvetica" w:hAnsi="Helvetica" w:cs="Helvetica"/>
          <w:sz w:val="45"/>
          <w:szCs w:val="45"/>
          <w:lang w:eastAsia="fr-FR"/>
        </w:rPr>
        <w:t>□</w:t>
      </w:r>
      <w:r w:rsidRPr="002462E6">
        <w:t xml:space="preserve">Oui                     </w:t>
      </w:r>
      <w:r w:rsidRPr="002462E6">
        <w:rPr>
          <w:rFonts w:ascii="Helvetica" w:hAnsi="Helvetica" w:cs="Helvetica"/>
          <w:sz w:val="45"/>
          <w:szCs w:val="45"/>
          <w:lang w:eastAsia="fr-FR"/>
        </w:rPr>
        <w:t>□</w:t>
      </w:r>
      <w:r w:rsidRPr="002462E6">
        <w:t>non</w:t>
      </w:r>
    </w:p>
    <w:p w:rsidR="00BD111D" w:rsidRPr="002462E6" w:rsidRDefault="00BD111D" w:rsidP="00BD111D">
      <w:pPr>
        <w:pStyle w:val="Paragraphedeliste"/>
        <w:ind w:left="1210"/>
      </w:pPr>
    </w:p>
    <w:p w:rsidR="00BD111D" w:rsidRPr="002462E6" w:rsidRDefault="00BD111D" w:rsidP="00BD111D">
      <w:pPr>
        <w:pStyle w:val="Paragraphedeliste"/>
        <w:ind w:left="1210"/>
        <w:rPr>
          <w:b/>
          <w:bCs/>
          <w:sz w:val="28"/>
          <w:szCs w:val="28"/>
        </w:rPr>
      </w:pPr>
    </w:p>
    <w:p w:rsidR="00BD111D" w:rsidRPr="002462E6" w:rsidRDefault="00BD111D" w:rsidP="00D051D7">
      <w:pPr>
        <w:pStyle w:val="Paragraphedeliste"/>
        <w:widowControl/>
        <w:numPr>
          <w:ilvl w:val="0"/>
          <w:numId w:val="46"/>
        </w:numPr>
        <w:autoSpaceDE/>
        <w:autoSpaceDN/>
        <w:spacing w:after="160" w:line="259" w:lineRule="auto"/>
        <w:contextualSpacing/>
        <w:jc w:val="left"/>
        <w:rPr>
          <w:rFonts w:ascii="Tahoma" w:hAnsi="Tahoma" w:cs="Tahoma"/>
          <w:b/>
          <w:bCs/>
          <w:color w:val="000000"/>
          <w:sz w:val="27"/>
          <w:szCs w:val="27"/>
          <w:shd w:val="clear" w:color="auto" w:fill="FFFFFF"/>
        </w:rPr>
      </w:pPr>
      <w:r w:rsidRPr="002462E6">
        <w:rPr>
          <w:rFonts w:ascii="Tahoma" w:hAnsi="Tahoma" w:cs="Tahoma"/>
          <w:b/>
          <w:bCs/>
          <w:color w:val="000000"/>
          <w:sz w:val="27"/>
          <w:szCs w:val="27"/>
          <w:shd w:val="clear" w:color="auto" w:fill="FFFFFF"/>
        </w:rPr>
        <w:t xml:space="preserve">Quel est le statut foncier de votre terrain cultivé ? </w:t>
      </w:r>
    </w:p>
    <w:p w:rsidR="00BD111D" w:rsidRPr="002462E6" w:rsidRDefault="00BD111D" w:rsidP="00BD111D">
      <w:pPr>
        <w:pStyle w:val="Paragraphedeliste"/>
        <w:ind w:left="1210"/>
      </w:pPr>
      <w:r w:rsidRPr="002462E6">
        <w:rPr>
          <w:rFonts w:ascii="Helvetica" w:hAnsi="Helvetica" w:cs="Helvetica"/>
          <w:b/>
          <w:bCs/>
          <w:color w:val="000000" w:themeColor="text1"/>
          <w:sz w:val="45"/>
          <w:szCs w:val="45"/>
          <w:lang w:eastAsia="fr-FR"/>
        </w:rPr>
        <w:t>□</w:t>
      </w:r>
      <w:r w:rsidRPr="002462E6">
        <w:t xml:space="preserve">Melk </w:t>
      </w:r>
    </w:p>
    <w:p w:rsidR="00BD111D" w:rsidRPr="002462E6" w:rsidRDefault="00BD111D" w:rsidP="00BD111D">
      <w:pPr>
        <w:pStyle w:val="Paragraphedeliste"/>
        <w:ind w:left="1210"/>
      </w:pPr>
      <w:r w:rsidRPr="002462E6">
        <w:rPr>
          <w:rFonts w:ascii="Helvetica" w:hAnsi="Helvetica" w:cs="Helvetica"/>
          <w:b/>
          <w:bCs/>
          <w:color w:val="000000" w:themeColor="text1"/>
          <w:sz w:val="45"/>
          <w:szCs w:val="45"/>
          <w:lang w:eastAsia="fr-FR"/>
        </w:rPr>
        <w:t>□</w:t>
      </w:r>
      <w:r w:rsidRPr="002462E6">
        <w:t>Habous</w:t>
      </w:r>
    </w:p>
    <w:p w:rsidR="00BD111D" w:rsidRPr="002462E6" w:rsidRDefault="00BD111D" w:rsidP="00BD111D">
      <w:pPr>
        <w:pStyle w:val="Paragraphedeliste"/>
        <w:ind w:left="1210"/>
      </w:pPr>
      <w:r w:rsidRPr="002462E6">
        <w:rPr>
          <w:rFonts w:ascii="Helvetica" w:hAnsi="Helvetica" w:cs="Helvetica"/>
          <w:b/>
          <w:bCs/>
          <w:color w:val="000000" w:themeColor="text1"/>
          <w:sz w:val="45"/>
          <w:szCs w:val="45"/>
          <w:lang w:eastAsia="fr-FR"/>
        </w:rPr>
        <w:t>□</w:t>
      </w:r>
      <w:r w:rsidRPr="002462E6">
        <w:t>Domanial</w:t>
      </w:r>
    </w:p>
    <w:p w:rsidR="00BD111D" w:rsidRPr="002462E6" w:rsidRDefault="00BD111D" w:rsidP="00BD111D">
      <w:pPr>
        <w:pStyle w:val="Paragraphedeliste"/>
        <w:ind w:left="1210"/>
      </w:pPr>
      <w:r w:rsidRPr="002462E6">
        <w:rPr>
          <w:rFonts w:ascii="Helvetica" w:hAnsi="Helvetica" w:cs="Helvetica"/>
          <w:b/>
          <w:bCs/>
          <w:color w:val="000000" w:themeColor="text1"/>
          <w:sz w:val="45"/>
          <w:szCs w:val="45"/>
          <w:lang w:eastAsia="fr-FR"/>
        </w:rPr>
        <w:t>□</w:t>
      </w:r>
      <w:r w:rsidRPr="002462E6">
        <w:t xml:space="preserve">Collectif </w:t>
      </w:r>
    </w:p>
    <w:p w:rsidR="00BD111D" w:rsidRPr="002462E6" w:rsidRDefault="00BD111D" w:rsidP="00BD111D">
      <w:pPr>
        <w:pStyle w:val="Paragraphedeliste"/>
        <w:ind w:left="1210"/>
      </w:pPr>
      <w:r w:rsidRPr="002462E6">
        <w:rPr>
          <w:rFonts w:ascii="Helvetica" w:hAnsi="Helvetica" w:cs="Helvetica"/>
          <w:b/>
          <w:bCs/>
          <w:color w:val="000000" w:themeColor="text1"/>
          <w:sz w:val="45"/>
          <w:szCs w:val="45"/>
          <w:lang w:eastAsia="fr-FR"/>
        </w:rPr>
        <w:t>□</w:t>
      </w:r>
      <w:r w:rsidRPr="002462E6">
        <w:t>Bail</w:t>
      </w:r>
    </w:p>
    <w:p w:rsidR="00BD111D" w:rsidRPr="002462E6" w:rsidRDefault="00BD111D" w:rsidP="00BD111D">
      <w:pPr>
        <w:pStyle w:val="Paragraphedeliste"/>
        <w:ind w:left="1210"/>
      </w:pPr>
    </w:p>
    <w:p w:rsidR="00BD111D" w:rsidRPr="002462E6" w:rsidRDefault="00BD111D" w:rsidP="00BD111D">
      <w:pPr>
        <w:pStyle w:val="Paragraphedeliste"/>
        <w:ind w:left="1210"/>
      </w:pPr>
      <w:r w:rsidRPr="002462E6">
        <w:rPr>
          <w:rFonts w:ascii="Helvetica" w:hAnsi="Helvetica" w:cs="Helvetica"/>
          <w:b/>
          <w:bCs/>
          <w:color w:val="000000" w:themeColor="text1"/>
          <w:sz w:val="45"/>
          <w:szCs w:val="45"/>
          <w:lang w:eastAsia="fr-FR"/>
        </w:rPr>
        <w:t>□</w:t>
      </w:r>
      <w:r w:rsidRPr="002462E6">
        <w:t xml:space="preserve">Autre </w:t>
      </w:r>
    </w:p>
    <w:p w:rsidR="00BD111D" w:rsidRPr="002462E6" w:rsidRDefault="00BD111D" w:rsidP="00BD111D"/>
    <w:p w:rsidR="00BD111D" w:rsidRPr="002462E6" w:rsidRDefault="00BD111D" w:rsidP="00D051D7">
      <w:pPr>
        <w:pStyle w:val="Paragraphedeliste"/>
        <w:widowControl/>
        <w:numPr>
          <w:ilvl w:val="0"/>
          <w:numId w:val="46"/>
        </w:numPr>
        <w:shd w:val="clear" w:color="auto" w:fill="FFFFFF"/>
        <w:autoSpaceDE/>
        <w:autoSpaceDN/>
        <w:contextualSpacing/>
        <w:jc w:val="left"/>
        <w:rPr>
          <w:rFonts w:ascii="Tahoma" w:hAnsi="Tahoma" w:cs="Tahoma"/>
          <w:b/>
          <w:bCs/>
          <w:color w:val="000000"/>
          <w:sz w:val="27"/>
          <w:szCs w:val="27"/>
          <w:shd w:val="clear" w:color="auto" w:fill="FFFFFF"/>
        </w:rPr>
      </w:pPr>
      <w:r w:rsidRPr="002462E6">
        <w:rPr>
          <w:rFonts w:ascii="Tahoma" w:hAnsi="Tahoma" w:cs="Tahoma"/>
          <w:b/>
          <w:bCs/>
          <w:color w:val="000000"/>
          <w:sz w:val="27"/>
          <w:szCs w:val="27"/>
          <w:shd w:val="clear" w:color="auto" w:fill="FFFFFF"/>
        </w:rPr>
        <w:t>Quelle est la superficie cultivée par hectare ?</w:t>
      </w:r>
    </w:p>
    <w:p w:rsidR="00BD111D" w:rsidRPr="002462E6" w:rsidRDefault="00BD111D" w:rsidP="00BD111D">
      <w:pPr>
        <w:pStyle w:val="Paragraphedeliste"/>
        <w:shd w:val="clear" w:color="auto" w:fill="FFFFFF"/>
        <w:ind w:left="1210"/>
        <w:rPr>
          <w:rFonts w:ascii="Tahoma" w:hAnsi="Tahoma" w:cs="Tahoma"/>
          <w:color w:val="000000"/>
          <w:sz w:val="27"/>
          <w:szCs w:val="27"/>
          <w:lang w:eastAsia="fr-FR"/>
        </w:rPr>
      </w:pPr>
    </w:p>
    <w:p w:rsidR="00BD111D" w:rsidRPr="002462E6" w:rsidRDefault="00BD111D" w:rsidP="00BD111D">
      <w:pPr>
        <w:shd w:val="clear" w:color="auto" w:fill="FFFFFF"/>
        <w:spacing w:after="0" w:line="240" w:lineRule="auto"/>
        <w:ind w:left="850"/>
        <w:rPr>
          <w:rFonts w:ascii="Tahoma" w:eastAsia="Times New Roman" w:hAnsi="Tahoma" w:cs="Tahoma"/>
          <w:color w:val="000000"/>
          <w:sz w:val="27"/>
          <w:szCs w:val="27"/>
          <w:lang w:eastAsia="fr-FR"/>
        </w:rPr>
      </w:pPr>
    </w:p>
    <w:p w:rsidR="00BD111D" w:rsidRPr="002462E6" w:rsidRDefault="00BD111D" w:rsidP="00D051D7">
      <w:pPr>
        <w:pStyle w:val="Paragraphedeliste"/>
        <w:widowControl/>
        <w:numPr>
          <w:ilvl w:val="0"/>
          <w:numId w:val="46"/>
        </w:numPr>
        <w:shd w:val="clear" w:color="auto" w:fill="FFFFFF"/>
        <w:autoSpaceDE/>
        <w:autoSpaceDN/>
        <w:contextualSpacing/>
        <w:jc w:val="left"/>
        <w:rPr>
          <w:rFonts w:ascii="Tahoma" w:hAnsi="Tahoma" w:cs="Tahoma"/>
          <w:b/>
          <w:bCs/>
          <w:color w:val="000000"/>
          <w:sz w:val="27"/>
          <w:szCs w:val="27"/>
          <w:shd w:val="clear" w:color="auto" w:fill="FFFFFF"/>
        </w:rPr>
      </w:pPr>
      <w:r w:rsidRPr="002462E6">
        <w:rPr>
          <w:rFonts w:ascii="Tahoma" w:hAnsi="Tahoma" w:cs="Tahoma"/>
          <w:b/>
          <w:bCs/>
          <w:color w:val="000000"/>
          <w:sz w:val="27"/>
          <w:szCs w:val="27"/>
          <w:shd w:val="clear" w:color="auto" w:fill="FFFFFF"/>
        </w:rPr>
        <w:t xml:space="preserve">Pour votre culture, faites-vous recours à ? </w:t>
      </w:r>
    </w:p>
    <w:p w:rsidR="00BD111D" w:rsidRPr="002462E6" w:rsidRDefault="00BD111D" w:rsidP="00BD111D">
      <w:pPr>
        <w:pStyle w:val="Paragraphedeliste"/>
        <w:rPr>
          <w:rFonts w:ascii="Tahoma" w:hAnsi="Tahoma" w:cs="Tahoma"/>
          <w:color w:val="000000"/>
          <w:sz w:val="27"/>
          <w:szCs w:val="27"/>
          <w:lang w:eastAsia="fr-FR"/>
        </w:rPr>
      </w:pPr>
    </w:p>
    <w:p w:rsidR="00BD111D" w:rsidRPr="002462E6" w:rsidRDefault="00BD111D" w:rsidP="00BD111D">
      <w:pPr>
        <w:pStyle w:val="Paragraphedeliste"/>
        <w:shd w:val="clear" w:color="auto" w:fill="FFFFFF"/>
        <w:ind w:left="1210"/>
        <w:rPr>
          <w:rFonts w:ascii="Tahoma" w:hAnsi="Tahoma" w:cs="Tahoma"/>
          <w:color w:val="000000"/>
          <w:sz w:val="27"/>
          <w:szCs w:val="27"/>
          <w:lang w:eastAsia="fr-FR"/>
        </w:rPr>
      </w:pPr>
      <w:r w:rsidRPr="002462E6">
        <w:rPr>
          <w:rFonts w:ascii="Helvetica" w:hAnsi="Helvetica" w:cs="Helvetica"/>
          <w:b/>
          <w:bCs/>
          <w:color w:val="000000" w:themeColor="text1"/>
          <w:sz w:val="45"/>
          <w:szCs w:val="45"/>
          <w:lang w:eastAsia="fr-FR"/>
        </w:rPr>
        <w:t>□</w:t>
      </w:r>
      <w:r w:rsidRPr="002462E6">
        <w:rPr>
          <w:rFonts w:ascii="Tahoma" w:hAnsi="Tahoma" w:cs="Tahoma"/>
          <w:color w:val="000000"/>
          <w:sz w:val="27"/>
          <w:szCs w:val="27"/>
          <w:lang w:eastAsia="fr-FR"/>
        </w:rPr>
        <w:t xml:space="preserve">L’irrigation </w:t>
      </w:r>
    </w:p>
    <w:p w:rsidR="00BD111D" w:rsidRPr="002462E6" w:rsidRDefault="00BD111D" w:rsidP="00BD111D">
      <w:pPr>
        <w:pStyle w:val="Paragraphedeliste"/>
        <w:shd w:val="clear" w:color="auto" w:fill="FFFFFF"/>
        <w:ind w:left="1210"/>
        <w:rPr>
          <w:rFonts w:ascii="Helvetica" w:hAnsi="Helvetica" w:cs="Helvetica"/>
          <w:b/>
          <w:bCs/>
          <w:color w:val="000000" w:themeColor="text1"/>
          <w:sz w:val="45"/>
          <w:szCs w:val="45"/>
          <w:lang w:eastAsia="fr-FR"/>
        </w:rPr>
      </w:pPr>
      <w:r w:rsidRPr="002462E6">
        <w:rPr>
          <w:rFonts w:ascii="Helvetica" w:hAnsi="Helvetica" w:cs="Helvetica"/>
          <w:b/>
          <w:bCs/>
          <w:color w:val="000000" w:themeColor="text1"/>
          <w:sz w:val="45"/>
          <w:szCs w:val="45"/>
          <w:lang w:eastAsia="fr-FR"/>
        </w:rPr>
        <w:t>□</w:t>
      </w:r>
      <w:r w:rsidRPr="002462E6">
        <w:rPr>
          <w:rFonts w:ascii="Tahoma" w:hAnsi="Tahoma" w:cs="Tahoma"/>
          <w:color w:val="000000"/>
          <w:sz w:val="27"/>
          <w:szCs w:val="27"/>
          <w:lang w:eastAsia="fr-FR"/>
        </w:rPr>
        <w:t>Le Bour</w:t>
      </w:r>
      <w:r w:rsidRPr="002462E6">
        <w:rPr>
          <w:rFonts w:ascii="Helvetica" w:hAnsi="Helvetica" w:cs="Helvetica"/>
          <w:b/>
          <w:bCs/>
          <w:color w:val="000000" w:themeColor="text1"/>
          <w:sz w:val="45"/>
          <w:szCs w:val="45"/>
          <w:lang w:eastAsia="fr-FR"/>
        </w:rPr>
        <w:t xml:space="preserve"> </w:t>
      </w:r>
    </w:p>
    <w:p w:rsidR="00BD111D" w:rsidRPr="002462E6" w:rsidRDefault="00BD111D" w:rsidP="00BD111D">
      <w:pPr>
        <w:pStyle w:val="Paragraphedeliste"/>
        <w:shd w:val="clear" w:color="auto" w:fill="FFFFFF"/>
        <w:ind w:left="1210"/>
        <w:rPr>
          <w:rFonts w:ascii="Tahoma" w:hAnsi="Tahoma" w:cs="Tahoma"/>
          <w:color w:val="000000"/>
          <w:sz w:val="27"/>
          <w:szCs w:val="27"/>
          <w:lang w:eastAsia="fr-FR"/>
        </w:rPr>
      </w:pPr>
      <w:r w:rsidRPr="002462E6">
        <w:rPr>
          <w:rFonts w:ascii="Helvetica" w:hAnsi="Helvetica" w:cs="Helvetica"/>
          <w:b/>
          <w:bCs/>
          <w:color w:val="000000" w:themeColor="text1"/>
          <w:sz w:val="45"/>
          <w:szCs w:val="45"/>
          <w:lang w:eastAsia="fr-FR"/>
        </w:rPr>
        <w:t>□</w:t>
      </w:r>
      <w:r w:rsidRPr="002462E6">
        <w:rPr>
          <w:rFonts w:ascii="Tahoma" w:hAnsi="Tahoma" w:cs="Tahoma"/>
          <w:color w:val="000000"/>
          <w:sz w:val="27"/>
          <w:szCs w:val="27"/>
          <w:lang w:eastAsia="fr-FR"/>
        </w:rPr>
        <w:t>Les deux</w:t>
      </w:r>
    </w:p>
    <w:p w:rsidR="00BD111D" w:rsidRPr="002462E6" w:rsidRDefault="00BD111D" w:rsidP="00BD111D">
      <w:pPr>
        <w:pStyle w:val="Paragraphedeliste"/>
        <w:shd w:val="clear" w:color="auto" w:fill="FFFFFF"/>
        <w:ind w:left="1210"/>
        <w:rPr>
          <w:rFonts w:ascii="Tahoma" w:hAnsi="Tahoma" w:cs="Tahoma"/>
          <w:color w:val="000000"/>
          <w:sz w:val="27"/>
          <w:szCs w:val="27"/>
          <w:lang w:eastAsia="fr-FR"/>
        </w:rPr>
      </w:pPr>
    </w:p>
    <w:p w:rsidR="00BD111D" w:rsidRPr="002462E6" w:rsidRDefault="00BD111D" w:rsidP="00D051D7">
      <w:pPr>
        <w:pStyle w:val="Paragraphedeliste"/>
        <w:widowControl/>
        <w:numPr>
          <w:ilvl w:val="0"/>
          <w:numId w:val="46"/>
        </w:numPr>
        <w:shd w:val="clear" w:color="auto" w:fill="FFFFFF"/>
        <w:autoSpaceDE/>
        <w:autoSpaceDN/>
        <w:contextualSpacing/>
        <w:jc w:val="left"/>
        <w:rPr>
          <w:rFonts w:ascii="Tahoma" w:hAnsi="Tahoma" w:cs="Tahoma"/>
          <w:b/>
          <w:bCs/>
          <w:color w:val="000000"/>
          <w:sz w:val="27"/>
          <w:szCs w:val="27"/>
          <w:shd w:val="clear" w:color="auto" w:fill="FFFFFF"/>
        </w:rPr>
      </w:pPr>
      <w:r w:rsidRPr="002462E6">
        <w:rPr>
          <w:rFonts w:ascii="Tahoma" w:hAnsi="Tahoma" w:cs="Tahoma"/>
          <w:b/>
          <w:bCs/>
          <w:color w:val="000000"/>
          <w:sz w:val="27"/>
          <w:szCs w:val="27"/>
          <w:shd w:val="clear" w:color="auto" w:fill="FFFFFF"/>
        </w:rPr>
        <w:t>En cas d’irrigation, utilisez-vous ?</w:t>
      </w:r>
    </w:p>
    <w:p w:rsidR="00BD111D" w:rsidRPr="002462E6" w:rsidRDefault="00BD111D" w:rsidP="00BD111D">
      <w:pPr>
        <w:pStyle w:val="Paragraphedeliste"/>
        <w:shd w:val="clear" w:color="auto" w:fill="FFFFFF"/>
        <w:ind w:left="1210"/>
        <w:rPr>
          <w:rFonts w:ascii="Tahoma" w:hAnsi="Tahoma" w:cs="Tahoma"/>
          <w:color w:val="000000"/>
          <w:sz w:val="27"/>
          <w:szCs w:val="27"/>
          <w:lang w:eastAsia="fr-FR"/>
        </w:rPr>
      </w:pPr>
    </w:p>
    <w:p w:rsidR="00BD111D" w:rsidRPr="002462E6" w:rsidRDefault="00BD111D" w:rsidP="00BD111D">
      <w:pPr>
        <w:pStyle w:val="Paragraphedeliste"/>
        <w:ind w:left="1210"/>
      </w:pPr>
      <w:r w:rsidRPr="002462E6">
        <w:rPr>
          <w:rFonts w:ascii="Helvetica" w:hAnsi="Helvetica" w:cs="Helvetica"/>
          <w:b/>
          <w:bCs/>
          <w:color w:val="000000" w:themeColor="text1"/>
          <w:sz w:val="45"/>
          <w:szCs w:val="45"/>
          <w:lang w:eastAsia="fr-FR"/>
        </w:rPr>
        <w:t>□</w:t>
      </w:r>
      <w:r w:rsidRPr="002462E6">
        <w:rPr>
          <w:rFonts w:ascii="Tahoma" w:hAnsi="Tahoma" w:cs="Tahoma"/>
          <w:color w:val="000000"/>
          <w:sz w:val="27"/>
          <w:szCs w:val="27"/>
          <w:lang w:eastAsia="fr-FR"/>
        </w:rPr>
        <w:t>Les eaux du barrage</w:t>
      </w:r>
    </w:p>
    <w:p w:rsidR="00BD111D" w:rsidRPr="002462E6" w:rsidRDefault="00BD111D" w:rsidP="00BD111D">
      <w:pPr>
        <w:pStyle w:val="Paragraphedeliste"/>
        <w:ind w:left="1210"/>
      </w:pPr>
    </w:p>
    <w:p w:rsidR="00BD111D" w:rsidRPr="002462E6" w:rsidRDefault="00BD111D" w:rsidP="00BD111D">
      <w:pPr>
        <w:pStyle w:val="Paragraphedeliste"/>
        <w:ind w:left="1210"/>
      </w:pPr>
      <w:r w:rsidRPr="002462E6">
        <w:rPr>
          <w:rFonts w:ascii="Helvetica" w:hAnsi="Helvetica" w:cs="Helvetica"/>
          <w:color w:val="000000" w:themeColor="text1"/>
          <w:sz w:val="45"/>
          <w:szCs w:val="45"/>
          <w:lang w:eastAsia="fr-FR"/>
        </w:rPr>
        <w:t>□</w:t>
      </w:r>
      <w:r w:rsidRPr="002462E6">
        <w:rPr>
          <w:rFonts w:ascii="Tahoma" w:hAnsi="Tahoma" w:cs="Tahoma"/>
          <w:color w:val="000000"/>
          <w:sz w:val="27"/>
          <w:szCs w:val="27"/>
          <w:lang w:eastAsia="fr-FR"/>
        </w:rPr>
        <w:t>Les eaux de l’oued (Korifla, mechraa)</w:t>
      </w:r>
    </w:p>
    <w:p w:rsidR="00BD111D" w:rsidRPr="002462E6" w:rsidRDefault="00BD111D" w:rsidP="00BD111D">
      <w:pPr>
        <w:rPr>
          <w:rFonts w:ascii="Helvetica" w:eastAsia="Times New Roman" w:hAnsi="Helvetica" w:cs="Helvetica"/>
          <w:color w:val="000000" w:themeColor="text1"/>
          <w:sz w:val="45"/>
          <w:szCs w:val="45"/>
          <w:lang w:eastAsia="fr-FR"/>
        </w:rPr>
      </w:pPr>
      <w:r w:rsidRPr="002462E6">
        <w:rPr>
          <w:rFonts w:ascii="Helvetica" w:eastAsia="Times New Roman" w:hAnsi="Helvetica" w:cs="Helvetica"/>
          <w:color w:val="000000" w:themeColor="text1"/>
          <w:sz w:val="45"/>
          <w:szCs w:val="45"/>
          <w:lang w:eastAsia="fr-FR"/>
        </w:rPr>
        <w:tab/>
        <w:t xml:space="preserve">    □</w:t>
      </w:r>
      <w:r w:rsidRPr="002462E6">
        <w:rPr>
          <w:rFonts w:ascii="Tahoma" w:eastAsia="Times New Roman" w:hAnsi="Tahoma" w:cs="Tahoma"/>
          <w:color w:val="000000"/>
          <w:sz w:val="27"/>
          <w:szCs w:val="27"/>
          <w:lang w:eastAsia="fr-FR"/>
        </w:rPr>
        <w:t>La nappe phréatique</w:t>
      </w:r>
      <w:r w:rsidRPr="002462E6">
        <w:rPr>
          <w:rFonts w:ascii="Helvetica" w:eastAsia="Times New Roman" w:hAnsi="Helvetica" w:cs="Helvetica"/>
          <w:color w:val="000000" w:themeColor="text1"/>
          <w:sz w:val="45"/>
          <w:szCs w:val="45"/>
          <w:lang w:eastAsia="fr-FR"/>
        </w:rPr>
        <w:t xml:space="preserve"> </w:t>
      </w:r>
    </w:p>
    <w:p w:rsidR="00BD111D" w:rsidRPr="002462E6" w:rsidRDefault="00BD111D" w:rsidP="00BD111D"/>
    <w:p w:rsidR="00BD111D" w:rsidRPr="002462E6" w:rsidRDefault="00BD111D" w:rsidP="00D051D7">
      <w:pPr>
        <w:pStyle w:val="Paragraphedeliste"/>
        <w:widowControl/>
        <w:numPr>
          <w:ilvl w:val="0"/>
          <w:numId w:val="46"/>
        </w:numPr>
        <w:shd w:val="clear" w:color="auto" w:fill="FFFFFF"/>
        <w:autoSpaceDE/>
        <w:autoSpaceDN/>
        <w:contextualSpacing/>
        <w:jc w:val="left"/>
        <w:rPr>
          <w:rFonts w:ascii="Tahoma" w:hAnsi="Tahoma" w:cs="Tahoma"/>
          <w:b/>
          <w:bCs/>
          <w:color w:val="000000"/>
          <w:sz w:val="27"/>
          <w:szCs w:val="27"/>
          <w:shd w:val="clear" w:color="auto" w:fill="FFFFFF"/>
        </w:rPr>
      </w:pPr>
      <w:r w:rsidRPr="002462E6">
        <w:rPr>
          <w:rFonts w:ascii="Tahoma" w:hAnsi="Tahoma" w:cs="Tahoma"/>
          <w:b/>
          <w:bCs/>
          <w:color w:val="000000"/>
          <w:sz w:val="27"/>
          <w:szCs w:val="27"/>
          <w:shd w:val="clear" w:color="auto" w:fill="FFFFFF"/>
        </w:rPr>
        <w:t xml:space="preserve">Quels moyens, utilisez-vous pour cultiver la terre ? </w:t>
      </w:r>
    </w:p>
    <w:p w:rsidR="00BD111D" w:rsidRPr="002462E6" w:rsidRDefault="00BD111D" w:rsidP="00BD111D">
      <w:pPr>
        <w:pStyle w:val="Paragraphedeliste"/>
        <w:shd w:val="clear" w:color="auto" w:fill="FFFFFF"/>
        <w:ind w:left="1210"/>
        <w:rPr>
          <w:rFonts w:ascii="Tahoma" w:hAnsi="Tahoma" w:cs="Tahoma"/>
          <w:color w:val="000000"/>
          <w:sz w:val="27"/>
          <w:szCs w:val="27"/>
          <w:lang w:eastAsia="fr-FR"/>
        </w:rPr>
      </w:pPr>
    </w:p>
    <w:p w:rsidR="00BD111D" w:rsidRPr="002462E6" w:rsidRDefault="00BD111D" w:rsidP="00BD111D">
      <w:pPr>
        <w:ind w:left="1416"/>
        <w:rPr>
          <w:rFonts w:ascii="Tahoma" w:eastAsia="Times New Roman" w:hAnsi="Tahoma" w:cs="Tahoma"/>
          <w:color w:val="000000"/>
          <w:sz w:val="27"/>
          <w:szCs w:val="27"/>
          <w:lang w:eastAsia="fr-FR"/>
        </w:rPr>
      </w:pPr>
      <w:r w:rsidRPr="002462E6">
        <w:rPr>
          <w:rFonts w:ascii="Helvetica" w:eastAsia="Times New Roman" w:hAnsi="Helvetica" w:cs="Helvetica"/>
          <w:b/>
          <w:bCs/>
          <w:color w:val="000000" w:themeColor="text1"/>
          <w:sz w:val="45"/>
          <w:szCs w:val="45"/>
          <w:lang w:eastAsia="fr-FR"/>
        </w:rPr>
        <w:t>□</w:t>
      </w:r>
      <w:r w:rsidRPr="002462E6">
        <w:rPr>
          <w:rFonts w:ascii="Tahoma" w:eastAsia="Times New Roman" w:hAnsi="Tahoma" w:cs="Tahoma"/>
          <w:color w:val="000000"/>
          <w:sz w:val="27"/>
          <w:szCs w:val="27"/>
          <w:lang w:eastAsia="fr-FR"/>
        </w:rPr>
        <w:t xml:space="preserve">Tracteur </w:t>
      </w:r>
    </w:p>
    <w:p w:rsidR="00BD111D" w:rsidRPr="002462E6" w:rsidRDefault="00BD111D" w:rsidP="00BD111D">
      <w:pPr>
        <w:ind w:left="1416"/>
        <w:rPr>
          <w:rFonts w:ascii="Tahoma" w:eastAsia="Times New Roman" w:hAnsi="Tahoma" w:cs="Tahoma"/>
          <w:color w:val="000000"/>
          <w:sz w:val="27"/>
          <w:szCs w:val="27"/>
          <w:lang w:eastAsia="fr-FR"/>
        </w:rPr>
      </w:pPr>
      <w:r w:rsidRPr="002462E6">
        <w:rPr>
          <w:rFonts w:ascii="Helvetica" w:eastAsia="Times New Roman" w:hAnsi="Helvetica" w:cs="Helvetica"/>
          <w:b/>
          <w:bCs/>
          <w:color w:val="000000" w:themeColor="text1"/>
          <w:sz w:val="45"/>
          <w:szCs w:val="45"/>
          <w:lang w:eastAsia="fr-FR"/>
        </w:rPr>
        <w:t>□</w:t>
      </w:r>
      <w:r w:rsidRPr="002462E6">
        <w:rPr>
          <w:rFonts w:ascii="Tahoma" w:eastAsia="Times New Roman" w:hAnsi="Tahoma" w:cs="Tahoma"/>
          <w:color w:val="000000"/>
          <w:sz w:val="27"/>
          <w:szCs w:val="27"/>
          <w:lang w:eastAsia="fr-FR"/>
        </w:rPr>
        <w:t>Charrue</w:t>
      </w:r>
    </w:p>
    <w:p w:rsidR="00BD111D" w:rsidRPr="002462E6" w:rsidRDefault="00BD111D" w:rsidP="00BD111D">
      <w:pPr>
        <w:ind w:left="1416"/>
        <w:rPr>
          <w:rFonts w:ascii="Tahoma" w:eastAsia="Times New Roman" w:hAnsi="Tahoma" w:cs="Tahoma"/>
          <w:color w:val="000000"/>
          <w:sz w:val="27"/>
          <w:szCs w:val="27"/>
          <w:lang w:eastAsia="fr-FR"/>
        </w:rPr>
      </w:pPr>
      <w:r w:rsidRPr="002462E6">
        <w:rPr>
          <w:rFonts w:ascii="Helvetica" w:eastAsia="Times New Roman" w:hAnsi="Helvetica" w:cs="Helvetica"/>
          <w:b/>
          <w:bCs/>
          <w:color w:val="000000" w:themeColor="text1"/>
          <w:sz w:val="45"/>
          <w:szCs w:val="45"/>
          <w:lang w:eastAsia="fr-FR"/>
        </w:rPr>
        <w:t>□</w:t>
      </w:r>
      <w:r w:rsidRPr="002462E6">
        <w:rPr>
          <w:rFonts w:ascii="Tahoma" w:eastAsia="Times New Roman" w:hAnsi="Tahoma" w:cs="Tahoma"/>
          <w:color w:val="000000"/>
          <w:sz w:val="27"/>
          <w:szCs w:val="27"/>
          <w:lang w:eastAsia="fr-FR"/>
        </w:rPr>
        <w:t>Bétail</w:t>
      </w:r>
    </w:p>
    <w:p w:rsidR="00BD111D" w:rsidRPr="002462E6" w:rsidRDefault="00BD111D" w:rsidP="00BD111D">
      <w:pPr>
        <w:ind w:left="1416"/>
        <w:rPr>
          <w:rFonts w:ascii="Tahoma" w:eastAsia="Times New Roman" w:hAnsi="Tahoma" w:cs="Tahoma"/>
          <w:color w:val="000000"/>
          <w:sz w:val="27"/>
          <w:szCs w:val="27"/>
          <w:lang w:eastAsia="fr-FR"/>
        </w:rPr>
      </w:pPr>
      <w:r w:rsidRPr="002462E6">
        <w:rPr>
          <w:rFonts w:ascii="Helvetica" w:eastAsia="Times New Roman" w:hAnsi="Helvetica" w:cs="Helvetica"/>
          <w:b/>
          <w:bCs/>
          <w:color w:val="000000" w:themeColor="text1"/>
          <w:sz w:val="45"/>
          <w:szCs w:val="45"/>
          <w:lang w:eastAsia="fr-FR"/>
        </w:rPr>
        <w:t>□</w:t>
      </w:r>
      <w:r w:rsidRPr="002462E6">
        <w:rPr>
          <w:rFonts w:ascii="Tahoma" w:eastAsia="Times New Roman" w:hAnsi="Tahoma" w:cs="Tahoma"/>
          <w:color w:val="000000"/>
          <w:sz w:val="27"/>
          <w:szCs w:val="27"/>
          <w:lang w:eastAsia="fr-FR"/>
        </w:rPr>
        <w:t>Moissonneuse</w:t>
      </w:r>
    </w:p>
    <w:p w:rsidR="00BD111D" w:rsidRPr="002462E6" w:rsidRDefault="00BD111D" w:rsidP="00BD111D">
      <w:pPr>
        <w:ind w:left="1416"/>
        <w:rPr>
          <w:rFonts w:ascii="Tahoma" w:eastAsia="Times New Roman" w:hAnsi="Tahoma" w:cs="Tahoma"/>
          <w:color w:val="000000"/>
          <w:sz w:val="27"/>
          <w:szCs w:val="27"/>
          <w:lang w:eastAsia="fr-FR"/>
        </w:rPr>
      </w:pPr>
      <w:r w:rsidRPr="002462E6">
        <w:rPr>
          <w:rFonts w:ascii="Helvetica" w:eastAsia="Times New Roman" w:hAnsi="Helvetica" w:cs="Helvetica"/>
          <w:b/>
          <w:bCs/>
          <w:color w:val="000000" w:themeColor="text1"/>
          <w:sz w:val="45"/>
          <w:szCs w:val="45"/>
          <w:lang w:eastAsia="fr-FR"/>
        </w:rPr>
        <w:t>□</w:t>
      </w:r>
      <w:r w:rsidRPr="002462E6">
        <w:rPr>
          <w:rFonts w:ascii="Tahoma" w:eastAsia="Times New Roman" w:hAnsi="Tahoma" w:cs="Tahoma"/>
          <w:color w:val="000000"/>
          <w:sz w:val="27"/>
          <w:szCs w:val="27"/>
          <w:lang w:eastAsia="fr-FR"/>
        </w:rPr>
        <w:t xml:space="preserve">Autre à préciser : </w:t>
      </w:r>
    </w:p>
    <w:p w:rsidR="00BD111D" w:rsidRPr="002462E6" w:rsidRDefault="00BD111D" w:rsidP="00BD111D">
      <w:pPr>
        <w:ind w:left="1416"/>
        <w:rPr>
          <w:rFonts w:ascii="Tahoma" w:eastAsia="Times New Roman" w:hAnsi="Tahoma" w:cs="Tahoma"/>
          <w:color w:val="000000"/>
          <w:sz w:val="27"/>
          <w:szCs w:val="27"/>
          <w:lang w:eastAsia="fr-FR"/>
        </w:rPr>
      </w:pPr>
    </w:p>
    <w:p w:rsidR="00BD111D" w:rsidRPr="002462E6" w:rsidRDefault="00BD111D" w:rsidP="00BD111D">
      <w:pPr>
        <w:shd w:val="clear" w:color="auto" w:fill="FFFFFF"/>
        <w:spacing w:after="0" w:line="240" w:lineRule="auto"/>
        <w:ind w:left="850"/>
        <w:rPr>
          <w:rFonts w:ascii="Tahoma" w:hAnsi="Tahoma" w:cs="Tahoma"/>
          <w:b/>
          <w:bCs/>
          <w:color w:val="000000"/>
          <w:sz w:val="27"/>
          <w:szCs w:val="27"/>
          <w:shd w:val="clear" w:color="auto" w:fill="FFFFFF"/>
        </w:rPr>
      </w:pPr>
      <w:r w:rsidRPr="002462E6">
        <w:rPr>
          <w:rFonts w:ascii="Tahoma" w:eastAsia="Times New Roman" w:hAnsi="Tahoma" w:cs="Tahoma"/>
          <w:color w:val="000000"/>
          <w:sz w:val="27"/>
          <w:szCs w:val="27"/>
          <w:lang w:eastAsia="fr-FR"/>
        </w:rPr>
        <w:t xml:space="preserve">42. </w:t>
      </w:r>
      <w:r w:rsidRPr="002462E6">
        <w:rPr>
          <w:rFonts w:ascii="Tahoma" w:hAnsi="Tahoma" w:cs="Tahoma"/>
          <w:b/>
          <w:bCs/>
          <w:color w:val="000000"/>
          <w:sz w:val="27"/>
          <w:szCs w:val="27"/>
          <w:shd w:val="clear" w:color="auto" w:fill="FFFFFF"/>
        </w:rPr>
        <w:t>Est-ce que ces mêmes moyens étaient-ils utilisés depuis 10 ans ?</w:t>
      </w:r>
    </w:p>
    <w:p w:rsidR="00BD111D" w:rsidRPr="002462E6" w:rsidRDefault="00BD111D" w:rsidP="00BD111D">
      <w:pPr>
        <w:ind w:left="1416"/>
      </w:pPr>
    </w:p>
    <w:p w:rsidR="00BD111D" w:rsidRPr="002462E6" w:rsidRDefault="00BD111D" w:rsidP="00BD111D">
      <w:pPr>
        <w:ind w:left="708" w:firstLine="708"/>
        <w:rPr>
          <w:color w:val="000000" w:themeColor="text1"/>
        </w:rPr>
      </w:pPr>
      <w:r w:rsidRPr="002462E6">
        <w:rPr>
          <w:rFonts w:ascii="Helvetica" w:eastAsia="Times New Roman" w:hAnsi="Helvetica" w:cs="Helvetica"/>
          <w:b/>
          <w:bCs/>
          <w:color w:val="000000" w:themeColor="text1"/>
          <w:sz w:val="45"/>
          <w:szCs w:val="45"/>
          <w:lang w:eastAsia="fr-FR"/>
        </w:rPr>
        <w:t>□</w:t>
      </w:r>
      <w:r w:rsidRPr="002462E6">
        <w:rPr>
          <w:color w:val="000000" w:themeColor="text1"/>
        </w:rPr>
        <w:t xml:space="preserve">Oui                     </w:t>
      </w:r>
      <w:r w:rsidRPr="002462E6">
        <w:rPr>
          <w:rFonts w:ascii="Helvetica" w:eastAsia="Times New Roman" w:hAnsi="Helvetica" w:cs="Helvetica"/>
          <w:b/>
          <w:bCs/>
          <w:color w:val="000000" w:themeColor="text1"/>
          <w:sz w:val="45"/>
          <w:szCs w:val="45"/>
          <w:lang w:eastAsia="fr-FR"/>
        </w:rPr>
        <w:t>□</w:t>
      </w:r>
      <w:r w:rsidRPr="002462E6">
        <w:rPr>
          <w:color w:val="000000" w:themeColor="text1"/>
        </w:rPr>
        <w:t>non</w:t>
      </w:r>
    </w:p>
    <w:p w:rsidR="00BD111D" w:rsidRPr="002462E6" w:rsidRDefault="00BD111D" w:rsidP="00BD111D">
      <w:pPr>
        <w:shd w:val="clear" w:color="auto" w:fill="FFFFFF"/>
        <w:spacing w:after="0" w:line="240" w:lineRule="auto"/>
        <w:ind w:left="850"/>
        <w:rPr>
          <w:rFonts w:ascii="Tahoma" w:eastAsia="Times New Roman" w:hAnsi="Tahoma" w:cs="Tahoma"/>
          <w:color w:val="000000"/>
          <w:sz w:val="27"/>
          <w:szCs w:val="27"/>
          <w:lang w:eastAsia="fr-FR"/>
        </w:rPr>
      </w:pPr>
      <w:r w:rsidRPr="002462E6">
        <w:rPr>
          <w:rFonts w:ascii="Tahoma" w:eastAsia="Times New Roman" w:hAnsi="Tahoma" w:cs="Tahoma"/>
          <w:color w:val="000000"/>
          <w:sz w:val="27"/>
          <w:szCs w:val="27"/>
          <w:lang w:eastAsia="fr-FR"/>
        </w:rPr>
        <w:t xml:space="preserve">43. </w:t>
      </w:r>
      <w:r w:rsidRPr="002462E6">
        <w:rPr>
          <w:rFonts w:ascii="Tahoma" w:hAnsi="Tahoma" w:cs="Tahoma"/>
          <w:b/>
          <w:bCs/>
          <w:color w:val="000000"/>
          <w:sz w:val="27"/>
          <w:szCs w:val="27"/>
          <w:shd w:val="clear" w:color="auto" w:fill="FFFFFF"/>
        </w:rPr>
        <w:t>Quelle genre de cultures, faites-vous ?</w:t>
      </w:r>
    </w:p>
    <w:p w:rsidR="00BD111D" w:rsidRPr="002462E6" w:rsidRDefault="00BD111D" w:rsidP="00BD111D"/>
    <w:p w:rsidR="00BD111D" w:rsidRPr="002462E6" w:rsidRDefault="00BD111D" w:rsidP="00BD111D">
      <w:pPr>
        <w:ind w:left="1416"/>
        <w:rPr>
          <w:rFonts w:ascii="Tahoma" w:eastAsia="Times New Roman" w:hAnsi="Tahoma" w:cs="Tahoma"/>
          <w:color w:val="000000"/>
          <w:sz w:val="27"/>
          <w:szCs w:val="27"/>
          <w:lang w:eastAsia="fr-FR"/>
        </w:rPr>
      </w:pPr>
      <w:r w:rsidRPr="002462E6">
        <w:rPr>
          <w:rFonts w:ascii="Helvetica" w:eastAsia="Times New Roman" w:hAnsi="Helvetica" w:cs="Helvetica"/>
          <w:b/>
          <w:bCs/>
          <w:color w:val="000000" w:themeColor="text1"/>
          <w:sz w:val="45"/>
          <w:szCs w:val="45"/>
          <w:lang w:eastAsia="fr-FR"/>
        </w:rPr>
        <w:t>□</w:t>
      </w:r>
      <w:r w:rsidRPr="002462E6">
        <w:rPr>
          <w:rFonts w:ascii="Tahoma" w:eastAsia="Times New Roman" w:hAnsi="Tahoma" w:cs="Tahoma"/>
          <w:color w:val="000000"/>
          <w:sz w:val="27"/>
          <w:szCs w:val="27"/>
          <w:lang w:eastAsia="fr-FR"/>
        </w:rPr>
        <w:t>Céréales</w:t>
      </w:r>
    </w:p>
    <w:p w:rsidR="00BD111D" w:rsidRPr="002462E6" w:rsidRDefault="00BD111D" w:rsidP="00BD111D">
      <w:pPr>
        <w:ind w:left="1416"/>
        <w:rPr>
          <w:rFonts w:ascii="Tahoma" w:eastAsia="Times New Roman" w:hAnsi="Tahoma" w:cs="Tahoma"/>
          <w:color w:val="000000"/>
          <w:sz w:val="27"/>
          <w:szCs w:val="27"/>
          <w:lang w:eastAsia="fr-FR"/>
        </w:rPr>
      </w:pPr>
      <w:r w:rsidRPr="002462E6">
        <w:rPr>
          <w:rFonts w:ascii="Helvetica" w:eastAsia="Times New Roman" w:hAnsi="Helvetica" w:cs="Helvetica"/>
          <w:b/>
          <w:bCs/>
          <w:color w:val="000000" w:themeColor="text1"/>
          <w:sz w:val="45"/>
          <w:szCs w:val="45"/>
          <w:lang w:eastAsia="fr-FR"/>
        </w:rPr>
        <w:t>□</w:t>
      </w:r>
      <w:r w:rsidRPr="002462E6">
        <w:rPr>
          <w:rFonts w:ascii="Tahoma" w:eastAsia="Times New Roman" w:hAnsi="Tahoma" w:cs="Tahoma"/>
          <w:color w:val="000000"/>
          <w:sz w:val="27"/>
          <w:szCs w:val="27"/>
          <w:lang w:eastAsia="fr-FR"/>
        </w:rPr>
        <w:t>Cultures fourragères</w:t>
      </w:r>
    </w:p>
    <w:p w:rsidR="00BD111D" w:rsidRPr="002462E6" w:rsidRDefault="00BD111D" w:rsidP="00BD111D">
      <w:pPr>
        <w:ind w:left="1416"/>
        <w:rPr>
          <w:rFonts w:ascii="Tahoma" w:eastAsia="Times New Roman" w:hAnsi="Tahoma" w:cs="Tahoma"/>
          <w:color w:val="000000"/>
          <w:sz w:val="27"/>
          <w:szCs w:val="27"/>
          <w:lang w:eastAsia="fr-FR"/>
        </w:rPr>
      </w:pPr>
      <w:r w:rsidRPr="002462E6">
        <w:rPr>
          <w:rFonts w:ascii="Helvetica" w:eastAsia="Times New Roman" w:hAnsi="Helvetica" w:cs="Helvetica"/>
          <w:b/>
          <w:bCs/>
          <w:color w:val="000000" w:themeColor="text1"/>
          <w:sz w:val="45"/>
          <w:szCs w:val="45"/>
          <w:lang w:eastAsia="fr-FR"/>
        </w:rPr>
        <w:t>□</w:t>
      </w:r>
      <w:r w:rsidRPr="002462E6">
        <w:rPr>
          <w:rFonts w:ascii="Tahoma" w:eastAsia="Times New Roman" w:hAnsi="Tahoma" w:cs="Tahoma"/>
          <w:color w:val="000000"/>
          <w:sz w:val="27"/>
          <w:szCs w:val="27"/>
          <w:lang w:eastAsia="fr-FR"/>
        </w:rPr>
        <w:t>Légumineuses et fruits</w:t>
      </w:r>
    </w:p>
    <w:p w:rsidR="00BD111D" w:rsidRPr="002462E6" w:rsidRDefault="00BD111D" w:rsidP="00BD111D">
      <w:pPr>
        <w:ind w:left="1416"/>
        <w:rPr>
          <w:rFonts w:ascii="Tahoma" w:eastAsia="Times New Roman" w:hAnsi="Tahoma" w:cs="Tahoma"/>
          <w:color w:val="000000"/>
          <w:sz w:val="27"/>
          <w:szCs w:val="27"/>
          <w:lang w:eastAsia="fr-FR"/>
        </w:rPr>
      </w:pPr>
      <w:r w:rsidRPr="002462E6">
        <w:rPr>
          <w:rFonts w:ascii="Helvetica" w:eastAsia="Times New Roman" w:hAnsi="Helvetica" w:cs="Helvetica"/>
          <w:b/>
          <w:bCs/>
          <w:color w:val="000000" w:themeColor="text1"/>
          <w:sz w:val="45"/>
          <w:szCs w:val="45"/>
          <w:lang w:eastAsia="fr-FR"/>
        </w:rPr>
        <w:t>□</w:t>
      </w:r>
      <w:r w:rsidRPr="002462E6">
        <w:rPr>
          <w:rFonts w:ascii="Tahoma" w:eastAsia="Times New Roman" w:hAnsi="Tahoma" w:cs="Tahoma"/>
          <w:color w:val="000000"/>
          <w:sz w:val="27"/>
          <w:szCs w:val="27"/>
          <w:lang w:eastAsia="fr-FR"/>
        </w:rPr>
        <w:t xml:space="preserve">Autres à préciser : </w:t>
      </w:r>
    </w:p>
    <w:p w:rsidR="00BD111D" w:rsidRPr="002462E6" w:rsidRDefault="00BD111D" w:rsidP="00BD111D">
      <w:pPr>
        <w:ind w:left="708"/>
        <w:rPr>
          <w:rFonts w:ascii="Tahoma" w:eastAsia="Times New Roman" w:hAnsi="Tahoma" w:cs="Tahoma"/>
          <w:color w:val="000000"/>
          <w:sz w:val="27"/>
          <w:szCs w:val="27"/>
          <w:lang w:eastAsia="fr-FR"/>
        </w:rPr>
      </w:pPr>
      <w:r w:rsidRPr="002462E6">
        <w:rPr>
          <w:rFonts w:ascii="Tahoma" w:eastAsia="Times New Roman" w:hAnsi="Tahoma" w:cs="Tahoma"/>
          <w:color w:val="000000"/>
          <w:sz w:val="27"/>
          <w:szCs w:val="27"/>
          <w:lang w:eastAsia="fr-FR"/>
        </w:rPr>
        <w:t xml:space="preserve">44. </w:t>
      </w:r>
      <w:r w:rsidRPr="002462E6">
        <w:rPr>
          <w:rFonts w:ascii="Tahoma" w:hAnsi="Tahoma" w:cs="Tahoma"/>
          <w:b/>
          <w:bCs/>
          <w:color w:val="000000"/>
          <w:sz w:val="27"/>
          <w:szCs w:val="27"/>
          <w:shd w:val="clear" w:color="auto" w:fill="FFFFFF"/>
        </w:rPr>
        <w:t>Pourquoi faites-vous ce genre de cultures ?</w:t>
      </w:r>
    </w:p>
    <w:p w:rsidR="00BD111D" w:rsidRPr="002462E6" w:rsidRDefault="00BD111D" w:rsidP="00BD111D">
      <w:pPr>
        <w:ind w:left="708"/>
        <w:rPr>
          <w:rFonts w:ascii="Tahoma" w:hAnsi="Tahoma" w:cs="Tahoma"/>
          <w:b/>
          <w:bCs/>
          <w:color w:val="000000"/>
          <w:sz w:val="27"/>
          <w:szCs w:val="27"/>
          <w:shd w:val="clear" w:color="auto" w:fill="FFFFFF"/>
        </w:rPr>
      </w:pPr>
    </w:p>
    <w:p w:rsidR="00BD111D" w:rsidRPr="002462E6" w:rsidRDefault="00BD111D" w:rsidP="00BD111D">
      <w:pPr>
        <w:ind w:left="708"/>
        <w:rPr>
          <w:rFonts w:ascii="Tahoma" w:hAnsi="Tahoma" w:cs="Tahoma"/>
          <w:b/>
          <w:bCs/>
          <w:color w:val="000000"/>
          <w:sz w:val="27"/>
          <w:szCs w:val="27"/>
          <w:shd w:val="clear" w:color="auto" w:fill="FFFFFF"/>
        </w:rPr>
      </w:pPr>
      <w:r w:rsidRPr="002462E6">
        <w:rPr>
          <w:rFonts w:ascii="Tahoma" w:hAnsi="Tahoma" w:cs="Tahoma"/>
          <w:b/>
          <w:bCs/>
          <w:color w:val="000000"/>
          <w:sz w:val="27"/>
          <w:szCs w:val="27"/>
          <w:shd w:val="clear" w:color="auto" w:fill="FFFFFF"/>
        </w:rPr>
        <w:t>45. Est-ce que vous en servez pour nourrir votre bétail ?</w:t>
      </w:r>
    </w:p>
    <w:p w:rsidR="00BD111D" w:rsidRPr="002462E6" w:rsidRDefault="00BD111D" w:rsidP="00BD111D">
      <w:pPr>
        <w:ind w:left="708" w:firstLine="708"/>
        <w:rPr>
          <w:color w:val="000000" w:themeColor="text1"/>
        </w:rPr>
      </w:pPr>
      <w:r w:rsidRPr="002462E6">
        <w:rPr>
          <w:rFonts w:ascii="Helvetica" w:eastAsia="Times New Roman" w:hAnsi="Helvetica" w:cs="Helvetica"/>
          <w:b/>
          <w:bCs/>
          <w:color w:val="000000" w:themeColor="text1"/>
          <w:sz w:val="45"/>
          <w:szCs w:val="45"/>
          <w:lang w:eastAsia="fr-FR"/>
        </w:rPr>
        <w:t>□</w:t>
      </w:r>
      <w:r w:rsidRPr="002462E6">
        <w:rPr>
          <w:color w:val="000000" w:themeColor="text1"/>
        </w:rPr>
        <w:t xml:space="preserve">Oui                     </w:t>
      </w:r>
      <w:r w:rsidRPr="002462E6">
        <w:rPr>
          <w:rFonts w:ascii="Helvetica" w:eastAsia="Times New Roman" w:hAnsi="Helvetica" w:cs="Helvetica"/>
          <w:b/>
          <w:bCs/>
          <w:color w:val="000000" w:themeColor="text1"/>
          <w:sz w:val="45"/>
          <w:szCs w:val="45"/>
          <w:lang w:eastAsia="fr-FR"/>
        </w:rPr>
        <w:t>□</w:t>
      </w:r>
      <w:r w:rsidRPr="002462E6">
        <w:rPr>
          <w:color w:val="000000" w:themeColor="text1"/>
        </w:rPr>
        <w:t>non</w:t>
      </w:r>
    </w:p>
    <w:p w:rsidR="00BD111D" w:rsidRPr="002462E6" w:rsidRDefault="00BD111D" w:rsidP="00BD111D">
      <w:pPr>
        <w:ind w:left="708"/>
        <w:rPr>
          <w:rFonts w:ascii="Tahoma" w:hAnsi="Tahoma" w:cs="Tahoma"/>
          <w:b/>
          <w:bCs/>
          <w:color w:val="000000"/>
          <w:sz w:val="27"/>
          <w:szCs w:val="27"/>
          <w:shd w:val="clear" w:color="auto" w:fill="FFFFFF"/>
        </w:rPr>
      </w:pPr>
      <w:r w:rsidRPr="002462E6">
        <w:rPr>
          <w:rFonts w:ascii="Tahoma" w:hAnsi="Tahoma" w:cs="Tahoma"/>
          <w:b/>
          <w:bCs/>
          <w:color w:val="000000"/>
          <w:sz w:val="27"/>
          <w:szCs w:val="27"/>
          <w:shd w:val="clear" w:color="auto" w:fill="FFFFFF"/>
        </w:rPr>
        <w:t xml:space="preserve">46. Pratiquez-vous une activité pastorale ? </w:t>
      </w:r>
    </w:p>
    <w:p w:rsidR="00BD111D" w:rsidRPr="002462E6" w:rsidRDefault="00BD111D" w:rsidP="00BD111D">
      <w:pPr>
        <w:ind w:left="708"/>
        <w:rPr>
          <w:rFonts w:ascii="Tahoma" w:eastAsia="Times New Roman" w:hAnsi="Tahoma" w:cs="Tahoma"/>
          <w:color w:val="000000"/>
          <w:sz w:val="27"/>
          <w:szCs w:val="27"/>
          <w:lang w:eastAsia="fr-FR"/>
        </w:rPr>
      </w:pPr>
    </w:p>
    <w:p w:rsidR="00BD111D" w:rsidRPr="002462E6" w:rsidRDefault="00BD111D" w:rsidP="00BD111D">
      <w:pPr>
        <w:ind w:left="708" w:firstLine="708"/>
        <w:rPr>
          <w:color w:val="000000" w:themeColor="text1"/>
        </w:rPr>
      </w:pPr>
      <w:r w:rsidRPr="002462E6">
        <w:rPr>
          <w:rFonts w:ascii="Helvetica" w:eastAsia="Times New Roman" w:hAnsi="Helvetica" w:cs="Helvetica"/>
          <w:b/>
          <w:bCs/>
          <w:color w:val="000000" w:themeColor="text1"/>
          <w:sz w:val="45"/>
          <w:szCs w:val="45"/>
          <w:lang w:eastAsia="fr-FR"/>
        </w:rPr>
        <w:t>□</w:t>
      </w:r>
      <w:r w:rsidRPr="002462E6">
        <w:rPr>
          <w:color w:val="000000" w:themeColor="text1"/>
        </w:rPr>
        <w:t xml:space="preserve">Oui                     </w:t>
      </w:r>
      <w:r w:rsidRPr="002462E6">
        <w:rPr>
          <w:rFonts w:ascii="Helvetica" w:eastAsia="Times New Roman" w:hAnsi="Helvetica" w:cs="Helvetica"/>
          <w:b/>
          <w:bCs/>
          <w:color w:val="000000" w:themeColor="text1"/>
          <w:sz w:val="45"/>
          <w:szCs w:val="45"/>
          <w:lang w:eastAsia="fr-FR"/>
        </w:rPr>
        <w:t>□</w:t>
      </w:r>
      <w:r w:rsidRPr="002462E6">
        <w:rPr>
          <w:color w:val="000000" w:themeColor="text1"/>
        </w:rPr>
        <w:t>non</w:t>
      </w:r>
    </w:p>
    <w:p w:rsidR="00BD111D" w:rsidRPr="002462E6" w:rsidRDefault="00BD111D" w:rsidP="00BD111D">
      <w:pPr>
        <w:ind w:left="708"/>
        <w:rPr>
          <w:rFonts w:ascii="Tahoma" w:hAnsi="Tahoma" w:cs="Tahoma"/>
          <w:b/>
          <w:bCs/>
          <w:color w:val="000000"/>
          <w:sz w:val="27"/>
          <w:szCs w:val="27"/>
          <w:shd w:val="clear" w:color="auto" w:fill="FFFFFF"/>
        </w:rPr>
      </w:pPr>
      <w:r w:rsidRPr="002462E6">
        <w:rPr>
          <w:rFonts w:ascii="Tahoma" w:hAnsi="Tahoma" w:cs="Tahoma"/>
          <w:b/>
          <w:bCs/>
          <w:color w:val="000000"/>
          <w:sz w:val="27"/>
          <w:szCs w:val="27"/>
          <w:shd w:val="clear" w:color="auto" w:fill="FFFFFF"/>
        </w:rPr>
        <w:t xml:space="preserve">47. Pour le pâturage de votre cheptel, comptez-vous sur ?  </w:t>
      </w:r>
    </w:p>
    <w:p w:rsidR="00BD111D" w:rsidRPr="002462E6" w:rsidRDefault="00BD111D" w:rsidP="00BD111D">
      <w:pPr>
        <w:ind w:left="1416"/>
        <w:rPr>
          <w:rFonts w:ascii="Helvetica" w:eastAsia="Times New Roman" w:hAnsi="Helvetica" w:cs="Helvetica"/>
          <w:b/>
          <w:bCs/>
          <w:color w:val="000000" w:themeColor="text1"/>
          <w:sz w:val="45"/>
          <w:szCs w:val="45"/>
          <w:lang w:eastAsia="fr-FR"/>
        </w:rPr>
      </w:pPr>
      <w:r w:rsidRPr="002462E6">
        <w:rPr>
          <w:rFonts w:ascii="Helvetica" w:eastAsia="Times New Roman" w:hAnsi="Helvetica" w:cs="Helvetica"/>
          <w:b/>
          <w:bCs/>
          <w:color w:val="000000" w:themeColor="text1"/>
          <w:sz w:val="45"/>
          <w:szCs w:val="45"/>
          <w:lang w:eastAsia="fr-FR"/>
        </w:rPr>
        <w:t>□</w:t>
      </w:r>
      <w:r w:rsidRPr="002462E6">
        <w:rPr>
          <w:rFonts w:ascii="Tahoma" w:eastAsia="Times New Roman" w:hAnsi="Tahoma" w:cs="Tahoma"/>
          <w:color w:val="000000"/>
          <w:sz w:val="27"/>
          <w:szCs w:val="27"/>
          <w:lang w:eastAsia="fr-FR"/>
        </w:rPr>
        <w:t>La forêt</w:t>
      </w:r>
    </w:p>
    <w:p w:rsidR="00BD111D" w:rsidRPr="002462E6" w:rsidRDefault="00BD111D" w:rsidP="00BD111D">
      <w:pPr>
        <w:ind w:left="1416"/>
        <w:rPr>
          <w:rFonts w:ascii="Tahoma" w:eastAsia="Times New Roman" w:hAnsi="Tahoma" w:cs="Tahoma"/>
          <w:color w:val="000000"/>
          <w:sz w:val="27"/>
          <w:szCs w:val="27"/>
          <w:lang w:eastAsia="fr-FR"/>
        </w:rPr>
      </w:pPr>
      <w:r w:rsidRPr="002462E6">
        <w:rPr>
          <w:rFonts w:ascii="Helvetica" w:eastAsia="Times New Roman" w:hAnsi="Helvetica" w:cs="Helvetica"/>
          <w:b/>
          <w:bCs/>
          <w:color w:val="000000" w:themeColor="text1"/>
          <w:sz w:val="45"/>
          <w:szCs w:val="45"/>
          <w:lang w:eastAsia="fr-FR"/>
        </w:rPr>
        <w:t>□</w:t>
      </w:r>
      <w:r w:rsidRPr="002462E6">
        <w:rPr>
          <w:rFonts w:ascii="Tahoma" w:eastAsia="Times New Roman" w:hAnsi="Tahoma" w:cs="Tahoma"/>
          <w:color w:val="000000"/>
          <w:sz w:val="27"/>
          <w:szCs w:val="27"/>
          <w:lang w:eastAsia="fr-FR"/>
        </w:rPr>
        <w:t>Le fourrage</w:t>
      </w:r>
    </w:p>
    <w:p w:rsidR="00BD111D" w:rsidRPr="002462E6" w:rsidRDefault="00BD111D" w:rsidP="00BD111D">
      <w:pPr>
        <w:ind w:left="1416"/>
        <w:rPr>
          <w:rFonts w:ascii="Tahoma" w:eastAsia="Times New Roman" w:hAnsi="Tahoma" w:cs="Tahoma"/>
          <w:color w:val="000000"/>
          <w:sz w:val="27"/>
          <w:szCs w:val="27"/>
          <w:lang w:eastAsia="fr-FR"/>
        </w:rPr>
      </w:pPr>
      <w:r w:rsidRPr="002462E6">
        <w:rPr>
          <w:rFonts w:ascii="Helvetica" w:eastAsia="Times New Roman" w:hAnsi="Helvetica" w:cs="Helvetica"/>
          <w:b/>
          <w:bCs/>
          <w:color w:val="000000" w:themeColor="text1"/>
          <w:sz w:val="45"/>
          <w:szCs w:val="45"/>
          <w:lang w:eastAsia="fr-FR"/>
        </w:rPr>
        <w:t>□</w:t>
      </w:r>
      <w:r w:rsidRPr="002462E6">
        <w:rPr>
          <w:rFonts w:ascii="Tahoma" w:eastAsia="Times New Roman" w:hAnsi="Tahoma" w:cs="Tahoma"/>
          <w:color w:val="000000"/>
          <w:sz w:val="27"/>
          <w:szCs w:val="27"/>
          <w:lang w:eastAsia="fr-FR"/>
        </w:rPr>
        <w:t>Les deux</w:t>
      </w:r>
    </w:p>
    <w:p w:rsidR="00BD111D" w:rsidRPr="002462E6" w:rsidRDefault="00BD111D" w:rsidP="00BD111D">
      <w:pPr>
        <w:ind w:left="1416"/>
        <w:rPr>
          <w:rFonts w:ascii="Tahoma" w:hAnsi="Tahoma" w:cs="Tahoma"/>
          <w:b/>
          <w:bCs/>
          <w:color w:val="000000"/>
          <w:sz w:val="27"/>
          <w:szCs w:val="27"/>
          <w:shd w:val="clear" w:color="auto" w:fill="FFFFFF"/>
        </w:rPr>
      </w:pPr>
      <w:r w:rsidRPr="002462E6">
        <w:rPr>
          <w:rFonts w:ascii="Tahoma" w:hAnsi="Tahoma" w:cs="Tahoma"/>
          <w:b/>
          <w:bCs/>
          <w:color w:val="000000"/>
          <w:sz w:val="27"/>
          <w:szCs w:val="27"/>
          <w:shd w:val="clear" w:color="auto" w:fill="FFFFFF"/>
        </w:rPr>
        <w:t xml:space="preserve">48. Quelle est la distance qui vous sépare du parcours de pâturage forestier en KM ? </w:t>
      </w:r>
    </w:p>
    <w:p w:rsidR="00BD111D" w:rsidRPr="002462E6" w:rsidRDefault="00BD111D" w:rsidP="00BD111D">
      <w:pPr>
        <w:ind w:left="1416"/>
        <w:rPr>
          <w:rFonts w:ascii="Tahoma" w:hAnsi="Tahoma" w:cs="Tahoma"/>
          <w:b/>
          <w:bCs/>
          <w:color w:val="000000"/>
          <w:sz w:val="27"/>
          <w:szCs w:val="27"/>
          <w:shd w:val="clear" w:color="auto" w:fill="FFFFFF"/>
        </w:rPr>
      </w:pPr>
    </w:p>
    <w:p w:rsidR="00BD111D" w:rsidRPr="002462E6" w:rsidRDefault="00BD111D" w:rsidP="00BD111D">
      <w:pPr>
        <w:ind w:left="1416"/>
        <w:rPr>
          <w:rFonts w:ascii="Tahoma" w:hAnsi="Tahoma" w:cs="Tahoma"/>
          <w:b/>
          <w:bCs/>
          <w:color w:val="000000"/>
          <w:sz w:val="27"/>
          <w:szCs w:val="27"/>
          <w:shd w:val="clear" w:color="auto" w:fill="FFFFFF"/>
        </w:rPr>
      </w:pPr>
      <w:r w:rsidRPr="002462E6">
        <w:rPr>
          <w:rFonts w:ascii="Tahoma" w:hAnsi="Tahoma" w:cs="Tahoma"/>
          <w:b/>
          <w:bCs/>
          <w:color w:val="000000"/>
          <w:sz w:val="27"/>
          <w:szCs w:val="27"/>
          <w:shd w:val="clear" w:color="auto" w:fill="FFFFFF"/>
        </w:rPr>
        <w:t>49. Combien de moutons avez-vous ?</w:t>
      </w:r>
    </w:p>
    <w:p w:rsidR="00BD111D" w:rsidRPr="002462E6" w:rsidRDefault="00BD111D" w:rsidP="00BD111D">
      <w:pPr>
        <w:ind w:left="1416"/>
        <w:rPr>
          <w:rFonts w:ascii="Tahoma" w:hAnsi="Tahoma" w:cs="Tahoma"/>
          <w:b/>
          <w:bCs/>
          <w:color w:val="000000"/>
          <w:sz w:val="27"/>
          <w:szCs w:val="27"/>
          <w:shd w:val="clear" w:color="auto" w:fill="FFFFFF"/>
        </w:rPr>
      </w:pPr>
    </w:p>
    <w:p w:rsidR="00BD111D" w:rsidRPr="002462E6" w:rsidRDefault="00BD111D" w:rsidP="00BD111D">
      <w:pPr>
        <w:ind w:left="1416"/>
        <w:rPr>
          <w:rFonts w:ascii="Tahoma" w:hAnsi="Tahoma" w:cs="Tahoma"/>
          <w:b/>
          <w:bCs/>
          <w:color w:val="000000"/>
          <w:sz w:val="27"/>
          <w:szCs w:val="27"/>
          <w:shd w:val="clear" w:color="auto" w:fill="FFFFFF"/>
        </w:rPr>
      </w:pPr>
      <w:r w:rsidRPr="002462E6">
        <w:rPr>
          <w:rFonts w:ascii="Tahoma" w:hAnsi="Tahoma" w:cs="Tahoma"/>
          <w:b/>
          <w:bCs/>
          <w:color w:val="000000"/>
          <w:sz w:val="27"/>
          <w:szCs w:val="27"/>
          <w:shd w:val="clear" w:color="auto" w:fill="FFFFFF"/>
        </w:rPr>
        <w:t>50. Combien de chèvres avez-vous ?</w:t>
      </w:r>
    </w:p>
    <w:p w:rsidR="00BD111D" w:rsidRPr="002462E6" w:rsidRDefault="00BD111D" w:rsidP="00BD111D">
      <w:pPr>
        <w:ind w:left="1416"/>
        <w:rPr>
          <w:rFonts w:ascii="Tahoma" w:hAnsi="Tahoma" w:cs="Tahoma"/>
          <w:b/>
          <w:bCs/>
          <w:color w:val="000000"/>
          <w:sz w:val="27"/>
          <w:szCs w:val="27"/>
          <w:shd w:val="clear" w:color="auto" w:fill="FFFFFF"/>
        </w:rPr>
      </w:pPr>
    </w:p>
    <w:p w:rsidR="00BD111D" w:rsidRPr="002462E6" w:rsidRDefault="00BD111D" w:rsidP="00BD111D">
      <w:pPr>
        <w:ind w:left="1416"/>
        <w:rPr>
          <w:rFonts w:ascii="Tahoma" w:hAnsi="Tahoma" w:cs="Tahoma"/>
          <w:b/>
          <w:bCs/>
          <w:color w:val="000000"/>
          <w:sz w:val="27"/>
          <w:szCs w:val="27"/>
          <w:shd w:val="clear" w:color="auto" w:fill="FFFFFF"/>
        </w:rPr>
      </w:pPr>
      <w:r w:rsidRPr="002462E6">
        <w:rPr>
          <w:rFonts w:ascii="Tahoma" w:hAnsi="Tahoma" w:cs="Tahoma"/>
          <w:b/>
          <w:bCs/>
          <w:color w:val="000000"/>
          <w:sz w:val="27"/>
          <w:szCs w:val="27"/>
          <w:shd w:val="clear" w:color="auto" w:fill="FFFFFF"/>
        </w:rPr>
        <w:t>51. Combien de vaches avez-vous ?</w:t>
      </w:r>
    </w:p>
    <w:p w:rsidR="00BD111D" w:rsidRPr="002462E6" w:rsidRDefault="00BD111D" w:rsidP="00BD111D">
      <w:pPr>
        <w:ind w:left="1416"/>
        <w:rPr>
          <w:rFonts w:ascii="Tahoma" w:hAnsi="Tahoma" w:cs="Tahoma"/>
          <w:b/>
          <w:bCs/>
          <w:color w:val="000000"/>
          <w:sz w:val="27"/>
          <w:szCs w:val="27"/>
          <w:shd w:val="clear" w:color="auto" w:fill="FFFFFF"/>
        </w:rPr>
      </w:pPr>
    </w:p>
    <w:p w:rsidR="00BD111D" w:rsidRPr="002462E6" w:rsidRDefault="00BD111D" w:rsidP="00BD111D">
      <w:pPr>
        <w:ind w:left="1416"/>
        <w:rPr>
          <w:rFonts w:ascii="Tahoma" w:hAnsi="Tahoma" w:cs="Tahoma"/>
          <w:b/>
          <w:bCs/>
          <w:color w:val="000000"/>
          <w:sz w:val="27"/>
          <w:szCs w:val="27"/>
          <w:shd w:val="clear" w:color="auto" w:fill="FFFFFF"/>
        </w:rPr>
      </w:pPr>
      <w:r w:rsidRPr="002462E6">
        <w:rPr>
          <w:rFonts w:ascii="Tahoma" w:hAnsi="Tahoma" w:cs="Tahoma"/>
          <w:b/>
          <w:bCs/>
          <w:color w:val="000000"/>
          <w:sz w:val="27"/>
          <w:szCs w:val="27"/>
          <w:shd w:val="clear" w:color="auto" w:fill="FFFFFF"/>
        </w:rPr>
        <w:t>52. Combien de chevaux avez-vous ?</w:t>
      </w:r>
    </w:p>
    <w:p w:rsidR="00BD111D" w:rsidRPr="002462E6" w:rsidRDefault="00BD111D" w:rsidP="00BD111D">
      <w:pPr>
        <w:ind w:left="1416"/>
        <w:rPr>
          <w:rFonts w:ascii="Tahoma" w:hAnsi="Tahoma" w:cs="Tahoma"/>
          <w:b/>
          <w:bCs/>
          <w:color w:val="000000"/>
          <w:sz w:val="27"/>
          <w:szCs w:val="27"/>
          <w:shd w:val="clear" w:color="auto" w:fill="FFFFFF"/>
        </w:rPr>
      </w:pPr>
      <w:r w:rsidRPr="002462E6">
        <w:rPr>
          <w:rFonts w:ascii="Tahoma" w:hAnsi="Tahoma" w:cs="Tahoma"/>
          <w:b/>
          <w:bCs/>
          <w:color w:val="000000"/>
          <w:sz w:val="27"/>
          <w:szCs w:val="27"/>
          <w:shd w:val="clear" w:color="auto" w:fill="FFFFFF"/>
        </w:rPr>
        <w:t>53. Combien d’ânes avez-vous ?</w:t>
      </w:r>
    </w:p>
    <w:p w:rsidR="00BD111D" w:rsidRPr="002462E6" w:rsidRDefault="00BD111D" w:rsidP="00BD111D">
      <w:pPr>
        <w:ind w:left="1416"/>
        <w:rPr>
          <w:rFonts w:ascii="Tahoma" w:hAnsi="Tahoma" w:cs="Tahoma"/>
          <w:b/>
          <w:bCs/>
          <w:color w:val="000000"/>
          <w:sz w:val="27"/>
          <w:szCs w:val="27"/>
          <w:shd w:val="clear" w:color="auto" w:fill="FFFFFF"/>
        </w:rPr>
      </w:pPr>
      <w:r w:rsidRPr="002462E6">
        <w:rPr>
          <w:rFonts w:ascii="Tahoma" w:hAnsi="Tahoma" w:cs="Tahoma"/>
          <w:b/>
          <w:bCs/>
          <w:color w:val="000000"/>
          <w:sz w:val="27"/>
          <w:szCs w:val="27"/>
          <w:shd w:val="clear" w:color="auto" w:fill="FFFFFF"/>
        </w:rPr>
        <w:t>54. Bénéficiez-vous de services de la banque « Crédit Agricole » ?</w:t>
      </w:r>
    </w:p>
    <w:p w:rsidR="00BD111D" w:rsidRPr="002462E6" w:rsidRDefault="00BD111D" w:rsidP="00BD111D">
      <w:pPr>
        <w:ind w:left="2124" w:firstLine="708"/>
        <w:rPr>
          <w:color w:val="000000" w:themeColor="text1"/>
        </w:rPr>
      </w:pPr>
      <w:r w:rsidRPr="002462E6">
        <w:rPr>
          <w:rFonts w:ascii="Helvetica" w:eastAsia="Times New Roman" w:hAnsi="Helvetica" w:cs="Helvetica"/>
          <w:b/>
          <w:bCs/>
          <w:color w:val="000000" w:themeColor="text1"/>
          <w:sz w:val="45"/>
          <w:szCs w:val="45"/>
          <w:lang w:eastAsia="fr-FR"/>
        </w:rPr>
        <w:t>□</w:t>
      </w:r>
      <w:r w:rsidRPr="002462E6">
        <w:rPr>
          <w:color w:val="000000" w:themeColor="text1"/>
        </w:rPr>
        <w:t xml:space="preserve">Oui                     </w:t>
      </w:r>
      <w:r w:rsidRPr="002462E6">
        <w:rPr>
          <w:rFonts w:ascii="Helvetica" w:eastAsia="Times New Roman" w:hAnsi="Helvetica" w:cs="Helvetica"/>
          <w:b/>
          <w:bCs/>
          <w:color w:val="000000" w:themeColor="text1"/>
          <w:sz w:val="45"/>
          <w:szCs w:val="45"/>
          <w:lang w:eastAsia="fr-FR"/>
        </w:rPr>
        <w:t>□</w:t>
      </w:r>
      <w:r w:rsidRPr="002462E6">
        <w:rPr>
          <w:color w:val="000000" w:themeColor="text1"/>
        </w:rPr>
        <w:t>non</w:t>
      </w:r>
    </w:p>
    <w:p w:rsidR="00BD111D" w:rsidRPr="002462E6" w:rsidRDefault="00BD111D" w:rsidP="00BD111D">
      <w:pPr>
        <w:ind w:left="1416"/>
        <w:rPr>
          <w:rFonts w:ascii="Tahoma" w:hAnsi="Tahoma" w:cs="Tahoma"/>
          <w:color w:val="000000"/>
          <w:sz w:val="27"/>
          <w:szCs w:val="27"/>
          <w:shd w:val="clear" w:color="auto" w:fill="FFFFFF"/>
        </w:rPr>
      </w:pPr>
    </w:p>
    <w:p w:rsidR="00BD111D" w:rsidRPr="002462E6" w:rsidRDefault="00BD111D" w:rsidP="00BD111D">
      <w:pPr>
        <w:ind w:left="1416"/>
        <w:rPr>
          <w:rFonts w:ascii="Tahoma" w:hAnsi="Tahoma" w:cs="Tahoma"/>
          <w:b/>
          <w:bCs/>
          <w:color w:val="000000"/>
          <w:sz w:val="27"/>
          <w:szCs w:val="27"/>
          <w:shd w:val="clear" w:color="auto" w:fill="FFFFFF"/>
        </w:rPr>
      </w:pPr>
      <w:r w:rsidRPr="002462E6">
        <w:rPr>
          <w:rFonts w:ascii="Tahoma" w:hAnsi="Tahoma" w:cs="Tahoma"/>
          <w:b/>
          <w:bCs/>
          <w:color w:val="000000"/>
          <w:sz w:val="27"/>
          <w:szCs w:val="27"/>
          <w:shd w:val="clear" w:color="auto" w:fill="FFFFFF"/>
        </w:rPr>
        <w:t>56. Si oui, est ce que vous êtes satisfait des services bancaires ?</w:t>
      </w:r>
    </w:p>
    <w:p w:rsidR="00BD111D" w:rsidRPr="002462E6" w:rsidRDefault="00BD111D" w:rsidP="00BD111D">
      <w:pPr>
        <w:ind w:left="1416"/>
        <w:rPr>
          <w:rFonts w:ascii="Helvetica" w:eastAsia="Times New Roman" w:hAnsi="Helvetica" w:cs="Helvetica"/>
          <w:b/>
          <w:bCs/>
          <w:color w:val="000000" w:themeColor="text1"/>
          <w:sz w:val="45"/>
          <w:szCs w:val="45"/>
          <w:lang w:eastAsia="fr-FR"/>
        </w:rPr>
      </w:pPr>
      <w:r w:rsidRPr="002462E6">
        <w:rPr>
          <w:rFonts w:ascii="Helvetica" w:eastAsia="Times New Roman" w:hAnsi="Helvetica" w:cs="Helvetica"/>
          <w:b/>
          <w:bCs/>
          <w:color w:val="000000" w:themeColor="text1"/>
          <w:sz w:val="45"/>
          <w:szCs w:val="45"/>
          <w:lang w:eastAsia="fr-FR"/>
        </w:rPr>
        <w:t>□</w:t>
      </w:r>
      <w:r w:rsidRPr="002462E6">
        <w:rPr>
          <w:rStyle w:val="Accentuation"/>
          <w:rFonts w:ascii="Arial" w:hAnsi="Arial" w:cs="Arial"/>
          <w:color w:val="444444"/>
          <w:sz w:val="25"/>
          <w:szCs w:val="25"/>
          <w:shd w:val="clear" w:color="auto" w:fill="FFFFFF"/>
        </w:rPr>
        <w:t xml:space="preserve"> </w:t>
      </w:r>
      <w:r w:rsidRPr="002462E6">
        <w:rPr>
          <w:rFonts w:ascii="Tahoma" w:eastAsia="Times New Roman" w:hAnsi="Tahoma" w:cs="Tahoma"/>
          <w:color w:val="000000"/>
          <w:sz w:val="27"/>
          <w:szCs w:val="27"/>
          <w:lang w:eastAsia="fr-FR"/>
        </w:rPr>
        <w:t>Très satisfait</w:t>
      </w:r>
      <w:r w:rsidRPr="002462E6">
        <w:rPr>
          <w:rStyle w:val="Accentuation"/>
          <w:rFonts w:ascii="Arial" w:hAnsi="Arial" w:cs="Arial"/>
          <w:color w:val="444444"/>
          <w:sz w:val="25"/>
          <w:szCs w:val="25"/>
          <w:shd w:val="clear" w:color="auto" w:fill="FFFFFF"/>
        </w:rPr>
        <w:t> </w:t>
      </w:r>
    </w:p>
    <w:p w:rsidR="00BD111D" w:rsidRPr="002462E6" w:rsidRDefault="00BD111D" w:rsidP="00BD111D">
      <w:pPr>
        <w:ind w:left="1416"/>
        <w:rPr>
          <w:rFonts w:ascii="Tahoma" w:hAnsi="Tahoma" w:cs="Tahoma"/>
          <w:i/>
          <w:iCs/>
          <w:color w:val="000000"/>
          <w:sz w:val="27"/>
          <w:szCs w:val="27"/>
          <w:shd w:val="clear" w:color="auto" w:fill="FFFFFF"/>
        </w:rPr>
      </w:pPr>
      <w:r w:rsidRPr="002462E6">
        <w:rPr>
          <w:rFonts w:ascii="Helvetica" w:eastAsia="Times New Roman" w:hAnsi="Helvetica" w:cs="Helvetica"/>
          <w:b/>
          <w:bCs/>
          <w:i/>
          <w:iCs/>
          <w:color w:val="000000" w:themeColor="text1"/>
          <w:sz w:val="45"/>
          <w:szCs w:val="45"/>
          <w:lang w:eastAsia="fr-FR"/>
        </w:rPr>
        <w:t>□</w:t>
      </w:r>
      <w:r w:rsidRPr="002462E6">
        <w:rPr>
          <w:rStyle w:val="Accentuation"/>
          <w:rFonts w:ascii="Arial" w:hAnsi="Arial" w:cs="Arial"/>
          <w:color w:val="444444"/>
          <w:sz w:val="25"/>
          <w:szCs w:val="25"/>
          <w:shd w:val="clear" w:color="auto" w:fill="FFFFFF"/>
        </w:rPr>
        <w:t xml:space="preserve"> </w:t>
      </w:r>
      <w:r w:rsidRPr="002462E6">
        <w:rPr>
          <w:rFonts w:ascii="Tahoma" w:eastAsia="Times New Roman" w:hAnsi="Tahoma" w:cs="Tahoma"/>
          <w:color w:val="000000"/>
          <w:sz w:val="27"/>
          <w:szCs w:val="27"/>
          <w:lang w:eastAsia="fr-FR"/>
        </w:rPr>
        <w:t>Plutôt satisfait </w:t>
      </w:r>
    </w:p>
    <w:p w:rsidR="00BD111D" w:rsidRPr="002462E6" w:rsidRDefault="00BD111D" w:rsidP="00BD111D">
      <w:pPr>
        <w:ind w:left="1416"/>
        <w:rPr>
          <w:rFonts w:ascii="Tahoma" w:hAnsi="Tahoma" w:cs="Tahoma"/>
          <w:i/>
          <w:iCs/>
          <w:color w:val="000000"/>
          <w:sz w:val="27"/>
          <w:szCs w:val="27"/>
          <w:shd w:val="clear" w:color="auto" w:fill="FFFFFF"/>
        </w:rPr>
      </w:pPr>
      <w:r w:rsidRPr="002462E6">
        <w:rPr>
          <w:rFonts w:ascii="Helvetica" w:eastAsia="Times New Roman" w:hAnsi="Helvetica" w:cs="Helvetica"/>
          <w:b/>
          <w:bCs/>
          <w:i/>
          <w:iCs/>
          <w:color w:val="000000" w:themeColor="text1"/>
          <w:sz w:val="45"/>
          <w:szCs w:val="45"/>
          <w:lang w:eastAsia="fr-FR"/>
        </w:rPr>
        <w:t>□</w:t>
      </w:r>
      <w:r w:rsidRPr="002462E6">
        <w:rPr>
          <w:rStyle w:val="Accentuation"/>
          <w:rFonts w:ascii="Arial" w:hAnsi="Arial" w:cs="Arial"/>
          <w:color w:val="444444"/>
          <w:sz w:val="25"/>
          <w:szCs w:val="25"/>
          <w:shd w:val="clear" w:color="auto" w:fill="FFFFFF"/>
        </w:rPr>
        <w:t xml:space="preserve"> </w:t>
      </w:r>
      <w:r w:rsidRPr="002462E6">
        <w:rPr>
          <w:rFonts w:ascii="Tahoma" w:eastAsia="Times New Roman" w:hAnsi="Tahoma" w:cs="Tahoma"/>
          <w:color w:val="000000"/>
          <w:sz w:val="27"/>
          <w:szCs w:val="27"/>
          <w:lang w:eastAsia="fr-FR"/>
        </w:rPr>
        <w:t>Peu satisfait</w:t>
      </w:r>
      <w:r w:rsidRPr="002462E6">
        <w:rPr>
          <w:rStyle w:val="Accentuation"/>
          <w:rFonts w:ascii="Arial" w:hAnsi="Arial" w:cs="Arial"/>
          <w:color w:val="444444"/>
          <w:sz w:val="25"/>
          <w:szCs w:val="25"/>
          <w:shd w:val="clear" w:color="auto" w:fill="FFFFFF"/>
        </w:rPr>
        <w:t> </w:t>
      </w:r>
    </w:p>
    <w:p w:rsidR="00BD111D" w:rsidRPr="002462E6" w:rsidRDefault="00BD111D" w:rsidP="00BD111D">
      <w:pPr>
        <w:ind w:left="1416"/>
        <w:rPr>
          <w:rStyle w:val="Accentuation"/>
          <w:rFonts w:ascii="Arial" w:hAnsi="Arial" w:cs="Arial"/>
          <w:i w:val="0"/>
          <w:iCs w:val="0"/>
          <w:color w:val="444444"/>
          <w:sz w:val="25"/>
          <w:szCs w:val="25"/>
          <w:shd w:val="clear" w:color="auto" w:fill="FFFFFF"/>
        </w:rPr>
      </w:pPr>
      <w:r w:rsidRPr="002462E6">
        <w:rPr>
          <w:rFonts w:ascii="Helvetica" w:eastAsia="Times New Roman" w:hAnsi="Helvetica" w:cs="Helvetica"/>
          <w:b/>
          <w:bCs/>
          <w:i/>
          <w:iCs/>
          <w:color w:val="000000" w:themeColor="text1"/>
          <w:sz w:val="45"/>
          <w:szCs w:val="45"/>
          <w:lang w:eastAsia="fr-FR"/>
        </w:rPr>
        <w:t>□</w:t>
      </w:r>
      <w:r w:rsidRPr="002462E6">
        <w:rPr>
          <w:rStyle w:val="Accentuation"/>
          <w:rFonts w:ascii="Arial" w:hAnsi="Arial" w:cs="Arial"/>
          <w:color w:val="444444"/>
          <w:sz w:val="25"/>
          <w:szCs w:val="25"/>
          <w:shd w:val="clear" w:color="auto" w:fill="FFFFFF"/>
        </w:rPr>
        <w:t xml:space="preserve"> </w:t>
      </w:r>
      <w:r w:rsidRPr="002462E6">
        <w:rPr>
          <w:rFonts w:ascii="Tahoma" w:eastAsia="Times New Roman" w:hAnsi="Tahoma" w:cs="Tahoma"/>
          <w:color w:val="000000"/>
          <w:sz w:val="27"/>
          <w:szCs w:val="27"/>
          <w:lang w:eastAsia="fr-FR"/>
        </w:rPr>
        <w:t>Pas satisfait</w:t>
      </w:r>
      <w:r w:rsidRPr="002462E6">
        <w:rPr>
          <w:rStyle w:val="Accentuation"/>
          <w:rFonts w:ascii="Arial" w:hAnsi="Arial" w:cs="Arial"/>
          <w:color w:val="444444"/>
          <w:sz w:val="25"/>
          <w:szCs w:val="25"/>
          <w:shd w:val="clear" w:color="auto" w:fill="FFFFFF"/>
        </w:rPr>
        <w:t> </w:t>
      </w:r>
    </w:p>
    <w:p w:rsidR="00BD111D" w:rsidRPr="002462E6" w:rsidRDefault="00BD111D" w:rsidP="00BD111D">
      <w:pPr>
        <w:ind w:left="708" w:firstLine="708"/>
        <w:rPr>
          <w:i/>
          <w:iCs/>
        </w:rPr>
      </w:pPr>
      <w:r w:rsidRPr="002462E6">
        <w:rPr>
          <w:rFonts w:ascii="Helvetica" w:eastAsia="Times New Roman" w:hAnsi="Helvetica" w:cs="Helvetica"/>
          <w:b/>
          <w:bCs/>
          <w:i/>
          <w:iCs/>
          <w:color w:val="000000" w:themeColor="text1"/>
          <w:sz w:val="45"/>
          <w:szCs w:val="45"/>
          <w:lang w:eastAsia="fr-FR"/>
        </w:rPr>
        <w:t>□</w:t>
      </w:r>
      <w:r w:rsidRPr="002462E6">
        <w:rPr>
          <w:rStyle w:val="Accentuation"/>
          <w:rFonts w:ascii="Arial" w:hAnsi="Arial" w:cs="Arial"/>
          <w:color w:val="444444"/>
          <w:sz w:val="25"/>
          <w:szCs w:val="25"/>
          <w:shd w:val="clear" w:color="auto" w:fill="FFFFFF"/>
        </w:rPr>
        <w:t xml:space="preserve"> </w:t>
      </w:r>
      <w:r w:rsidRPr="002462E6">
        <w:rPr>
          <w:rFonts w:ascii="Tahoma" w:eastAsia="Times New Roman" w:hAnsi="Tahoma" w:cs="Tahoma"/>
          <w:color w:val="000000"/>
          <w:sz w:val="27"/>
          <w:szCs w:val="27"/>
          <w:lang w:eastAsia="fr-FR"/>
        </w:rPr>
        <w:t>Pas du tout satisfait</w:t>
      </w:r>
    </w:p>
    <w:p w:rsidR="00BD111D" w:rsidRPr="002462E6" w:rsidRDefault="00BD111D" w:rsidP="00BD111D">
      <w:pPr>
        <w:ind w:left="1416"/>
        <w:rPr>
          <w:rFonts w:ascii="Tahoma" w:hAnsi="Tahoma" w:cs="Tahoma"/>
          <w:color w:val="000000"/>
          <w:sz w:val="27"/>
          <w:szCs w:val="27"/>
          <w:shd w:val="clear" w:color="auto" w:fill="FFFFFF"/>
        </w:rPr>
      </w:pPr>
      <w:r w:rsidRPr="002462E6">
        <w:rPr>
          <w:rFonts w:ascii="Tahoma" w:hAnsi="Tahoma" w:cs="Tahoma"/>
          <w:color w:val="000000"/>
          <w:sz w:val="27"/>
          <w:szCs w:val="27"/>
          <w:shd w:val="clear" w:color="auto" w:fill="FFFFFF"/>
        </w:rPr>
        <w:t>Pourquoi ?</w:t>
      </w:r>
    </w:p>
    <w:p w:rsidR="00BD111D" w:rsidRPr="002462E6" w:rsidRDefault="00BD111D" w:rsidP="00BD111D">
      <w:pPr>
        <w:ind w:left="1416"/>
        <w:rPr>
          <w:rFonts w:ascii="Tahoma" w:hAnsi="Tahoma" w:cs="Tahoma"/>
          <w:color w:val="000000"/>
          <w:sz w:val="27"/>
          <w:szCs w:val="27"/>
          <w:shd w:val="clear" w:color="auto" w:fill="FFFFFF"/>
        </w:rPr>
      </w:pPr>
    </w:p>
    <w:p w:rsidR="00BD111D" w:rsidRPr="002462E6" w:rsidRDefault="00BD111D" w:rsidP="00BD111D">
      <w:pPr>
        <w:ind w:left="1416"/>
        <w:rPr>
          <w:rFonts w:ascii="Tahoma" w:hAnsi="Tahoma" w:cs="Tahoma"/>
          <w:b/>
          <w:bCs/>
          <w:color w:val="000000"/>
          <w:sz w:val="27"/>
          <w:szCs w:val="27"/>
          <w:shd w:val="clear" w:color="auto" w:fill="FFFFFF"/>
        </w:rPr>
      </w:pPr>
      <w:r w:rsidRPr="002462E6">
        <w:rPr>
          <w:rFonts w:ascii="Tahoma" w:hAnsi="Tahoma" w:cs="Tahoma"/>
          <w:b/>
          <w:bCs/>
          <w:color w:val="000000"/>
          <w:sz w:val="27"/>
          <w:szCs w:val="27"/>
          <w:shd w:val="clear" w:color="auto" w:fill="FFFFFF"/>
        </w:rPr>
        <w:t xml:space="preserve">57. Est-ce que votre cheptel pâture durant toute l’année en forêt ? </w:t>
      </w:r>
    </w:p>
    <w:p w:rsidR="00BD111D" w:rsidRPr="002462E6" w:rsidRDefault="00BD111D" w:rsidP="00BD111D">
      <w:pPr>
        <w:ind w:left="1416"/>
        <w:rPr>
          <w:rFonts w:ascii="Tahoma" w:hAnsi="Tahoma" w:cs="Tahoma"/>
          <w:color w:val="000000"/>
          <w:sz w:val="27"/>
          <w:szCs w:val="27"/>
          <w:shd w:val="clear" w:color="auto" w:fill="FFFFFF"/>
        </w:rPr>
      </w:pPr>
      <w:r w:rsidRPr="002462E6">
        <w:rPr>
          <w:rFonts w:ascii="Helvetica" w:eastAsia="Times New Roman" w:hAnsi="Helvetica" w:cs="Helvetica"/>
          <w:b/>
          <w:bCs/>
          <w:color w:val="000000" w:themeColor="text1"/>
          <w:sz w:val="45"/>
          <w:szCs w:val="45"/>
          <w:lang w:eastAsia="fr-FR"/>
        </w:rPr>
        <w:t>□</w:t>
      </w:r>
      <w:r w:rsidRPr="002462E6">
        <w:rPr>
          <w:rFonts w:ascii="Tahoma" w:hAnsi="Tahoma" w:cs="Tahoma"/>
          <w:color w:val="000000"/>
          <w:sz w:val="27"/>
          <w:szCs w:val="27"/>
          <w:shd w:val="clear" w:color="auto" w:fill="FFFFFF"/>
        </w:rPr>
        <w:t xml:space="preserve">Oui, pourquoi ?                                                                                                                                   </w:t>
      </w:r>
      <w:r w:rsidRPr="002462E6">
        <w:rPr>
          <w:rFonts w:ascii="Helvetica" w:eastAsia="Times New Roman" w:hAnsi="Helvetica" w:cs="Helvetica"/>
          <w:b/>
          <w:bCs/>
          <w:color w:val="000000" w:themeColor="text1"/>
          <w:sz w:val="45"/>
          <w:szCs w:val="45"/>
          <w:lang w:eastAsia="fr-FR"/>
        </w:rPr>
        <w:t>□</w:t>
      </w:r>
      <w:r w:rsidRPr="002462E6">
        <w:rPr>
          <w:rFonts w:ascii="Tahoma" w:hAnsi="Tahoma" w:cs="Tahoma"/>
          <w:color w:val="000000"/>
          <w:sz w:val="27"/>
          <w:szCs w:val="27"/>
          <w:shd w:val="clear" w:color="auto" w:fill="FFFFFF"/>
        </w:rPr>
        <w:t>Non, pourquoi ?</w:t>
      </w:r>
    </w:p>
    <w:p w:rsidR="00BD111D" w:rsidRPr="002462E6" w:rsidRDefault="00BD111D" w:rsidP="00BD111D">
      <w:pPr>
        <w:ind w:left="1416"/>
        <w:rPr>
          <w:rFonts w:ascii="Helvetica" w:eastAsia="Times New Roman" w:hAnsi="Helvetica" w:cs="Helvetica"/>
          <w:b/>
          <w:bCs/>
          <w:color w:val="000000" w:themeColor="text1"/>
          <w:sz w:val="45"/>
          <w:szCs w:val="45"/>
          <w:lang w:eastAsia="fr-FR"/>
        </w:rPr>
      </w:pPr>
      <w:r w:rsidRPr="002462E6">
        <w:rPr>
          <w:rFonts w:ascii="Helvetica" w:eastAsia="Times New Roman" w:hAnsi="Helvetica" w:cs="Helvetica"/>
          <w:b/>
          <w:bCs/>
          <w:color w:val="000000" w:themeColor="text1"/>
          <w:sz w:val="45"/>
          <w:szCs w:val="45"/>
          <w:lang w:eastAsia="fr-FR"/>
        </w:rPr>
        <w:t>□</w:t>
      </w:r>
      <w:r w:rsidRPr="002462E6">
        <w:rPr>
          <w:rFonts w:ascii="Tahoma" w:hAnsi="Tahoma" w:cs="Tahoma"/>
          <w:color w:val="000000"/>
          <w:sz w:val="27"/>
          <w:szCs w:val="27"/>
          <w:shd w:val="clear" w:color="auto" w:fill="FFFFFF"/>
        </w:rPr>
        <w:t>Autre à préciser :</w:t>
      </w:r>
      <w:r w:rsidRPr="002462E6">
        <w:rPr>
          <w:rFonts w:ascii="Helvetica" w:eastAsia="Times New Roman" w:hAnsi="Helvetica" w:cs="Helvetica"/>
          <w:b/>
          <w:bCs/>
          <w:color w:val="000000" w:themeColor="text1"/>
          <w:sz w:val="45"/>
          <w:szCs w:val="45"/>
          <w:lang w:eastAsia="fr-FR"/>
        </w:rPr>
        <w:t xml:space="preserve">  </w:t>
      </w:r>
    </w:p>
    <w:p w:rsidR="00BD111D" w:rsidRPr="002462E6" w:rsidRDefault="00BD111D" w:rsidP="00BD111D">
      <w:pPr>
        <w:ind w:left="1416"/>
        <w:rPr>
          <w:rFonts w:ascii="Tahoma" w:hAnsi="Tahoma" w:cs="Tahoma"/>
          <w:b/>
          <w:bCs/>
          <w:color w:val="000000"/>
          <w:sz w:val="27"/>
          <w:szCs w:val="27"/>
          <w:shd w:val="clear" w:color="auto" w:fill="FFFFFF"/>
        </w:rPr>
      </w:pPr>
      <w:r w:rsidRPr="002462E6">
        <w:rPr>
          <w:rFonts w:ascii="Tahoma" w:hAnsi="Tahoma" w:cs="Tahoma"/>
          <w:b/>
          <w:bCs/>
          <w:color w:val="000000"/>
          <w:sz w:val="27"/>
          <w:szCs w:val="27"/>
          <w:shd w:val="clear" w:color="auto" w:fill="FFFFFF"/>
        </w:rPr>
        <w:t>58. Faites-vous recours au fourrage complémentaire pour votre bétail ?</w:t>
      </w:r>
    </w:p>
    <w:p w:rsidR="00BD111D" w:rsidRPr="002462E6" w:rsidRDefault="00BD111D" w:rsidP="00BD111D">
      <w:pPr>
        <w:ind w:left="2124" w:firstLine="708"/>
        <w:rPr>
          <w:color w:val="000000" w:themeColor="text1"/>
        </w:rPr>
      </w:pPr>
      <w:r w:rsidRPr="002462E6">
        <w:rPr>
          <w:rFonts w:ascii="Helvetica" w:eastAsia="Times New Roman" w:hAnsi="Helvetica" w:cs="Helvetica"/>
          <w:b/>
          <w:bCs/>
          <w:color w:val="000000" w:themeColor="text1"/>
          <w:sz w:val="45"/>
          <w:szCs w:val="45"/>
          <w:lang w:eastAsia="fr-FR"/>
        </w:rPr>
        <w:t>□</w:t>
      </w:r>
      <w:r w:rsidRPr="002462E6">
        <w:rPr>
          <w:color w:val="000000" w:themeColor="text1"/>
        </w:rPr>
        <w:t xml:space="preserve">Oui                     </w:t>
      </w:r>
      <w:r w:rsidRPr="002462E6">
        <w:rPr>
          <w:rFonts w:ascii="Helvetica" w:eastAsia="Times New Roman" w:hAnsi="Helvetica" w:cs="Helvetica"/>
          <w:b/>
          <w:bCs/>
          <w:color w:val="000000" w:themeColor="text1"/>
          <w:sz w:val="45"/>
          <w:szCs w:val="45"/>
          <w:lang w:eastAsia="fr-FR"/>
        </w:rPr>
        <w:t>□</w:t>
      </w:r>
      <w:r w:rsidRPr="002462E6">
        <w:rPr>
          <w:color w:val="000000" w:themeColor="text1"/>
        </w:rPr>
        <w:t>non</w:t>
      </w:r>
    </w:p>
    <w:p w:rsidR="00BD111D" w:rsidRPr="002462E6" w:rsidRDefault="00BD111D" w:rsidP="00BD111D">
      <w:pPr>
        <w:ind w:left="1416"/>
        <w:rPr>
          <w:rFonts w:ascii="Tahoma" w:hAnsi="Tahoma" w:cs="Tahoma"/>
          <w:b/>
          <w:bCs/>
          <w:color w:val="000000"/>
          <w:sz w:val="27"/>
          <w:szCs w:val="27"/>
          <w:shd w:val="clear" w:color="auto" w:fill="FFFFFF"/>
        </w:rPr>
      </w:pPr>
      <w:r w:rsidRPr="002462E6">
        <w:rPr>
          <w:rFonts w:ascii="Tahoma" w:hAnsi="Tahoma" w:cs="Tahoma"/>
          <w:b/>
          <w:bCs/>
          <w:color w:val="000000"/>
          <w:sz w:val="27"/>
          <w:szCs w:val="27"/>
          <w:shd w:val="clear" w:color="auto" w:fill="FFFFFF"/>
        </w:rPr>
        <w:t xml:space="preserve">59. Si oui, avec quel pourcentage ? </w:t>
      </w:r>
    </w:p>
    <w:p w:rsidR="00BD111D" w:rsidRPr="002462E6" w:rsidRDefault="00BD111D" w:rsidP="00BD111D">
      <w:pPr>
        <w:ind w:left="1416"/>
        <w:rPr>
          <w:rFonts w:ascii="Tahoma" w:hAnsi="Tahoma" w:cs="Tahoma"/>
          <w:color w:val="000000"/>
          <w:sz w:val="27"/>
          <w:szCs w:val="27"/>
          <w:shd w:val="clear" w:color="auto" w:fill="FFFFFF"/>
        </w:rPr>
      </w:pPr>
    </w:p>
    <w:p w:rsidR="00BD111D" w:rsidRPr="002462E6" w:rsidRDefault="00BD111D" w:rsidP="00BD111D">
      <w:pPr>
        <w:ind w:left="1416"/>
        <w:rPr>
          <w:rFonts w:ascii="Tahoma" w:hAnsi="Tahoma" w:cs="Tahoma"/>
          <w:b/>
          <w:bCs/>
          <w:color w:val="000000"/>
          <w:sz w:val="27"/>
          <w:szCs w:val="27"/>
          <w:shd w:val="clear" w:color="auto" w:fill="FFFFFF"/>
        </w:rPr>
      </w:pPr>
      <w:r w:rsidRPr="002462E6">
        <w:rPr>
          <w:rFonts w:ascii="Tahoma" w:hAnsi="Tahoma" w:cs="Tahoma"/>
          <w:b/>
          <w:bCs/>
          <w:color w:val="000000"/>
          <w:sz w:val="27"/>
          <w:szCs w:val="27"/>
          <w:shd w:val="clear" w:color="auto" w:fill="FFFFFF"/>
        </w:rPr>
        <w:t xml:space="preserve">60. Qu’est-ce que vous utilisez comme matière fourragère ?  </w:t>
      </w:r>
    </w:p>
    <w:p w:rsidR="00BD111D" w:rsidRPr="002462E6" w:rsidRDefault="00BD111D" w:rsidP="00BD111D">
      <w:pPr>
        <w:ind w:left="1416"/>
        <w:rPr>
          <w:rFonts w:ascii="Helvetica" w:eastAsia="Times New Roman" w:hAnsi="Helvetica" w:cs="Helvetica"/>
          <w:b/>
          <w:bCs/>
          <w:color w:val="000000" w:themeColor="text1"/>
          <w:sz w:val="45"/>
          <w:szCs w:val="45"/>
          <w:lang w:eastAsia="fr-FR"/>
        </w:rPr>
      </w:pPr>
      <w:r w:rsidRPr="002462E6">
        <w:rPr>
          <w:rFonts w:ascii="Helvetica" w:eastAsia="Times New Roman" w:hAnsi="Helvetica" w:cs="Helvetica"/>
          <w:b/>
          <w:bCs/>
          <w:color w:val="000000" w:themeColor="text1"/>
          <w:sz w:val="45"/>
          <w:szCs w:val="45"/>
          <w:lang w:eastAsia="fr-FR"/>
        </w:rPr>
        <w:t>□</w:t>
      </w:r>
      <w:r w:rsidRPr="002462E6">
        <w:rPr>
          <w:rFonts w:ascii="Tahoma" w:hAnsi="Tahoma" w:cs="Tahoma"/>
          <w:color w:val="000000"/>
          <w:sz w:val="27"/>
          <w:szCs w:val="27"/>
          <w:shd w:val="clear" w:color="auto" w:fill="FFFFFF"/>
        </w:rPr>
        <w:t>Orge</w:t>
      </w:r>
    </w:p>
    <w:p w:rsidR="00BD111D" w:rsidRPr="002462E6" w:rsidRDefault="00BD111D" w:rsidP="00BD111D">
      <w:pPr>
        <w:ind w:left="1416"/>
        <w:rPr>
          <w:rFonts w:ascii="Helvetica" w:eastAsia="Times New Roman" w:hAnsi="Helvetica" w:cs="Helvetica"/>
          <w:b/>
          <w:bCs/>
          <w:color w:val="000000" w:themeColor="text1"/>
          <w:sz w:val="45"/>
          <w:szCs w:val="45"/>
          <w:lang w:eastAsia="fr-FR"/>
        </w:rPr>
      </w:pPr>
      <w:r w:rsidRPr="002462E6">
        <w:rPr>
          <w:rFonts w:ascii="Helvetica" w:eastAsia="Times New Roman" w:hAnsi="Helvetica" w:cs="Helvetica"/>
          <w:b/>
          <w:bCs/>
          <w:color w:val="000000" w:themeColor="text1"/>
          <w:sz w:val="45"/>
          <w:szCs w:val="45"/>
          <w:lang w:eastAsia="fr-FR"/>
        </w:rPr>
        <w:t>□</w:t>
      </w:r>
      <w:r w:rsidRPr="002462E6">
        <w:rPr>
          <w:rFonts w:ascii="Tahoma" w:hAnsi="Tahoma" w:cs="Tahoma"/>
          <w:color w:val="000000"/>
          <w:sz w:val="27"/>
          <w:szCs w:val="27"/>
          <w:shd w:val="clear" w:color="auto" w:fill="FFFFFF"/>
        </w:rPr>
        <w:t>Mais</w:t>
      </w:r>
    </w:p>
    <w:p w:rsidR="00BD111D" w:rsidRPr="002462E6" w:rsidRDefault="00BD111D" w:rsidP="00BD111D">
      <w:pPr>
        <w:ind w:left="1416"/>
        <w:rPr>
          <w:rFonts w:ascii="Tahoma" w:hAnsi="Tahoma" w:cs="Tahoma"/>
          <w:color w:val="000000"/>
          <w:sz w:val="27"/>
          <w:szCs w:val="27"/>
          <w:shd w:val="clear" w:color="auto" w:fill="FFFFFF"/>
        </w:rPr>
      </w:pPr>
      <w:r w:rsidRPr="002462E6">
        <w:rPr>
          <w:rFonts w:ascii="Helvetica" w:eastAsia="Times New Roman" w:hAnsi="Helvetica" w:cs="Helvetica"/>
          <w:b/>
          <w:bCs/>
          <w:color w:val="000000" w:themeColor="text1"/>
          <w:sz w:val="45"/>
          <w:szCs w:val="45"/>
          <w:lang w:eastAsia="fr-FR"/>
        </w:rPr>
        <w:t>□</w:t>
      </w:r>
      <w:r w:rsidRPr="002462E6">
        <w:rPr>
          <w:rFonts w:ascii="Tahoma" w:hAnsi="Tahoma" w:cs="Tahoma"/>
          <w:color w:val="000000"/>
          <w:sz w:val="27"/>
          <w:szCs w:val="27"/>
          <w:shd w:val="clear" w:color="auto" w:fill="FFFFFF"/>
        </w:rPr>
        <w:t>Fourrage vert</w:t>
      </w:r>
    </w:p>
    <w:p w:rsidR="00BD111D" w:rsidRPr="002462E6" w:rsidRDefault="00BD111D" w:rsidP="00BD111D">
      <w:pPr>
        <w:ind w:left="1416"/>
        <w:rPr>
          <w:rFonts w:ascii="Tahoma" w:hAnsi="Tahoma" w:cs="Tahoma"/>
          <w:color w:val="000000"/>
          <w:sz w:val="27"/>
          <w:szCs w:val="27"/>
          <w:shd w:val="clear" w:color="auto" w:fill="FFFFFF"/>
        </w:rPr>
      </w:pPr>
      <w:r w:rsidRPr="002462E6">
        <w:rPr>
          <w:rFonts w:ascii="Helvetica" w:eastAsia="Times New Roman" w:hAnsi="Helvetica" w:cs="Helvetica"/>
          <w:b/>
          <w:bCs/>
          <w:color w:val="000000" w:themeColor="text1"/>
          <w:sz w:val="45"/>
          <w:szCs w:val="45"/>
          <w:lang w:eastAsia="fr-FR"/>
        </w:rPr>
        <w:t>□</w:t>
      </w:r>
      <w:r w:rsidRPr="002462E6">
        <w:rPr>
          <w:rFonts w:ascii="Tahoma" w:hAnsi="Tahoma" w:cs="Tahoma"/>
          <w:color w:val="000000"/>
          <w:sz w:val="27"/>
          <w:szCs w:val="27"/>
          <w:shd w:val="clear" w:color="auto" w:fill="FFFFFF"/>
        </w:rPr>
        <w:t>Fourrage sec</w:t>
      </w:r>
    </w:p>
    <w:p w:rsidR="00BD111D" w:rsidRPr="002462E6" w:rsidRDefault="00BD111D" w:rsidP="00BD111D">
      <w:pPr>
        <w:ind w:left="708" w:firstLine="708"/>
        <w:rPr>
          <w:rFonts w:ascii="Tahoma" w:hAnsi="Tahoma" w:cs="Tahoma"/>
          <w:color w:val="000000"/>
          <w:sz w:val="27"/>
          <w:szCs w:val="27"/>
          <w:shd w:val="clear" w:color="auto" w:fill="FFFFFF"/>
        </w:rPr>
      </w:pPr>
      <w:r w:rsidRPr="002462E6">
        <w:rPr>
          <w:rFonts w:ascii="Helvetica" w:eastAsia="Times New Roman" w:hAnsi="Helvetica" w:cs="Helvetica"/>
          <w:b/>
          <w:bCs/>
          <w:color w:val="000000" w:themeColor="text1"/>
          <w:sz w:val="45"/>
          <w:szCs w:val="45"/>
          <w:lang w:eastAsia="fr-FR"/>
        </w:rPr>
        <w:t>□</w:t>
      </w:r>
      <w:r w:rsidRPr="002462E6">
        <w:rPr>
          <w:rFonts w:ascii="Tahoma" w:hAnsi="Tahoma" w:cs="Tahoma"/>
          <w:color w:val="000000"/>
          <w:sz w:val="27"/>
          <w:szCs w:val="27"/>
          <w:shd w:val="clear" w:color="auto" w:fill="FFFFFF"/>
        </w:rPr>
        <w:t>Fève</w:t>
      </w:r>
    </w:p>
    <w:p w:rsidR="00BD111D" w:rsidRPr="002462E6" w:rsidRDefault="00BD111D" w:rsidP="00BD111D">
      <w:pPr>
        <w:ind w:left="1416"/>
        <w:rPr>
          <w:rFonts w:ascii="Tahoma" w:hAnsi="Tahoma" w:cs="Tahoma"/>
          <w:color w:val="000000"/>
          <w:sz w:val="27"/>
          <w:szCs w:val="27"/>
          <w:shd w:val="clear" w:color="auto" w:fill="FFFFFF"/>
        </w:rPr>
      </w:pPr>
      <w:r w:rsidRPr="002462E6">
        <w:rPr>
          <w:rFonts w:ascii="Helvetica" w:eastAsia="Times New Roman" w:hAnsi="Helvetica" w:cs="Helvetica"/>
          <w:b/>
          <w:bCs/>
          <w:color w:val="000000" w:themeColor="text1"/>
          <w:sz w:val="45"/>
          <w:szCs w:val="45"/>
          <w:lang w:eastAsia="fr-FR"/>
        </w:rPr>
        <w:t>□</w:t>
      </w:r>
      <w:r w:rsidRPr="002462E6">
        <w:rPr>
          <w:rFonts w:ascii="Tahoma" w:hAnsi="Tahoma" w:cs="Tahoma"/>
          <w:color w:val="000000"/>
          <w:sz w:val="27"/>
          <w:szCs w:val="27"/>
          <w:shd w:val="clear" w:color="auto" w:fill="FFFFFF"/>
        </w:rPr>
        <w:t xml:space="preserve">Son </w:t>
      </w:r>
    </w:p>
    <w:p w:rsidR="00BD111D" w:rsidRPr="002462E6" w:rsidRDefault="00BD111D" w:rsidP="00BD111D">
      <w:pPr>
        <w:ind w:left="1416"/>
        <w:rPr>
          <w:rFonts w:ascii="Tahoma" w:hAnsi="Tahoma" w:cs="Tahoma"/>
          <w:color w:val="000000"/>
          <w:sz w:val="27"/>
          <w:szCs w:val="27"/>
          <w:shd w:val="clear" w:color="auto" w:fill="FFFFFF"/>
        </w:rPr>
      </w:pPr>
      <w:r w:rsidRPr="002462E6">
        <w:rPr>
          <w:rFonts w:ascii="Helvetica" w:eastAsia="Times New Roman" w:hAnsi="Helvetica" w:cs="Helvetica"/>
          <w:b/>
          <w:bCs/>
          <w:color w:val="000000" w:themeColor="text1"/>
          <w:sz w:val="45"/>
          <w:szCs w:val="45"/>
          <w:lang w:eastAsia="fr-FR"/>
        </w:rPr>
        <w:t>□</w:t>
      </w:r>
      <w:r w:rsidRPr="002462E6">
        <w:rPr>
          <w:rFonts w:ascii="Tahoma" w:hAnsi="Tahoma" w:cs="Tahoma"/>
          <w:color w:val="000000"/>
          <w:sz w:val="27"/>
          <w:szCs w:val="27"/>
          <w:shd w:val="clear" w:color="auto" w:fill="FFFFFF"/>
        </w:rPr>
        <w:t>Aliment de bétails (CICALIM)</w:t>
      </w:r>
    </w:p>
    <w:p w:rsidR="00BD111D" w:rsidRPr="002462E6" w:rsidRDefault="00BD111D" w:rsidP="00BD111D">
      <w:pPr>
        <w:ind w:left="1416"/>
        <w:rPr>
          <w:rFonts w:ascii="Tahoma" w:hAnsi="Tahoma" w:cs="Tahoma"/>
          <w:color w:val="000000"/>
          <w:sz w:val="27"/>
          <w:szCs w:val="27"/>
          <w:shd w:val="clear" w:color="auto" w:fill="FFFFFF"/>
        </w:rPr>
      </w:pPr>
      <w:r w:rsidRPr="002462E6">
        <w:rPr>
          <w:rFonts w:ascii="Helvetica" w:eastAsia="Times New Roman" w:hAnsi="Helvetica" w:cs="Helvetica"/>
          <w:b/>
          <w:bCs/>
          <w:color w:val="000000" w:themeColor="text1"/>
          <w:sz w:val="45"/>
          <w:szCs w:val="45"/>
          <w:lang w:eastAsia="fr-FR"/>
        </w:rPr>
        <w:t>□</w:t>
      </w:r>
      <w:r w:rsidRPr="002462E6">
        <w:rPr>
          <w:rFonts w:ascii="Tahoma" w:hAnsi="Tahoma" w:cs="Tahoma"/>
          <w:color w:val="000000"/>
          <w:sz w:val="27"/>
          <w:szCs w:val="27"/>
          <w:shd w:val="clear" w:color="auto" w:fill="FFFFFF"/>
        </w:rPr>
        <w:t xml:space="preserve">Autre à préciser : </w:t>
      </w:r>
    </w:p>
    <w:p w:rsidR="00BD111D" w:rsidRPr="002462E6" w:rsidRDefault="00BD111D" w:rsidP="00BD111D">
      <w:pPr>
        <w:ind w:left="1416"/>
        <w:rPr>
          <w:rFonts w:ascii="Tahoma" w:hAnsi="Tahoma" w:cs="Tahoma"/>
          <w:b/>
          <w:bCs/>
          <w:color w:val="000000"/>
          <w:sz w:val="27"/>
          <w:szCs w:val="27"/>
          <w:shd w:val="clear" w:color="auto" w:fill="FFFFFF"/>
        </w:rPr>
      </w:pPr>
      <w:r w:rsidRPr="002462E6">
        <w:rPr>
          <w:rFonts w:ascii="Tahoma" w:hAnsi="Tahoma" w:cs="Tahoma"/>
          <w:b/>
          <w:bCs/>
          <w:color w:val="000000"/>
          <w:sz w:val="27"/>
          <w:szCs w:val="27"/>
          <w:shd w:val="clear" w:color="auto" w:fill="FFFFFF"/>
        </w:rPr>
        <w:t>61. Elevez-vous du bétail à vendre ? </w:t>
      </w:r>
    </w:p>
    <w:p w:rsidR="00BD111D" w:rsidRPr="002462E6" w:rsidRDefault="00BD111D" w:rsidP="00BD111D">
      <w:pPr>
        <w:ind w:left="2124" w:firstLine="708"/>
        <w:rPr>
          <w:color w:val="000000" w:themeColor="text1"/>
        </w:rPr>
      </w:pPr>
      <w:r w:rsidRPr="002462E6">
        <w:rPr>
          <w:rFonts w:ascii="Helvetica" w:eastAsia="Times New Roman" w:hAnsi="Helvetica" w:cs="Helvetica"/>
          <w:b/>
          <w:bCs/>
          <w:color w:val="000000" w:themeColor="text1"/>
          <w:sz w:val="45"/>
          <w:szCs w:val="45"/>
          <w:lang w:eastAsia="fr-FR"/>
        </w:rPr>
        <w:t>□</w:t>
      </w:r>
      <w:r w:rsidRPr="002462E6">
        <w:rPr>
          <w:color w:val="000000" w:themeColor="text1"/>
        </w:rPr>
        <w:t xml:space="preserve">Oui                     </w:t>
      </w:r>
      <w:r w:rsidRPr="002462E6">
        <w:rPr>
          <w:rFonts w:ascii="Helvetica" w:eastAsia="Times New Roman" w:hAnsi="Helvetica" w:cs="Helvetica"/>
          <w:b/>
          <w:bCs/>
          <w:color w:val="000000" w:themeColor="text1"/>
          <w:sz w:val="45"/>
          <w:szCs w:val="45"/>
          <w:lang w:eastAsia="fr-FR"/>
        </w:rPr>
        <w:t>□</w:t>
      </w:r>
      <w:r w:rsidRPr="002462E6">
        <w:rPr>
          <w:color w:val="000000" w:themeColor="text1"/>
        </w:rPr>
        <w:t>non</w:t>
      </w:r>
    </w:p>
    <w:p w:rsidR="00BD111D" w:rsidRPr="002462E6" w:rsidRDefault="00BD111D" w:rsidP="00BD111D">
      <w:pPr>
        <w:ind w:left="2124" w:firstLine="708"/>
        <w:rPr>
          <w:color w:val="000000" w:themeColor="text1"/>
        </w:rPr>
      </w:pPr>
    </w:p>
    <w:p w:rsidR="00BD111D" w:rsidRPr="002462E6" w:rsidRDefault="00BD111D" w:rsidP="00BD111D">
      <w:pPr>
        <w:ind w:left="1416"/>
        <w:rPr>
          <w:rFonts w:ascii="Tahoma" w:hAnsi="Tahoma" w:cs="Tahoma"/>
          <w:b/>
          <w:bCs/>
          <w:color w:val="000000"/>
          <w:sz w:val="27"/>
          <w:szCs w:val="27"/>
          <w:shd w:val="clear" w:color="auto" w:fill="FFFFFF"/>
        </w:rPr>
      </w:pPr>
      <w:r w:rsidRPr="002462E6">
        <w:rPr>
          <w:rFonts w:ascii="Tahoma" w:hAnsi="Tahoma" w:cs="Tahoma"/>
          <w:b/>
          <w:bCs/>
          <w:color w:val="000000"/>
          <w:sz w:val="27"/>
          <w:szCs w:val="27"/>
          <w:shd w:val="clear" w:color="auto" w:fill="FFFFFF"/>
        </w:rPr>
        <w:t>62. Est-ce que vous observez la détérioration de la forêt autour de vous ?</w:t>
      </w:r>
    </w:p>
    <w:p w:rsidR="00BD111D" w:rsidRPr="002462E6" w:rsidRDefault="00BD111D" w:rsidP="00BD111D">
      <w:pPr>
        <w:ind w:left="2124" w:firstLine="708"/>
        <w:rPr>
          <w:color w:val="000000" w:themeColor="text1"/>
        </w:rPr>
      </w:pPr>
      <w:r w:rsidRPr="002462E6">
        <w:rPr>
          <w:rFonts w:ascii="Helvetica" w:eastAsia="Times New Roman" w:hAnsi="Helvetica" w:cs="Helvetica"/>
          <w:b/>
          <w:bCs/>
          <w:color w:val="000000" w:themeColor="text1"/>
          <w:sz w:val="45"/>
          <w:szCs w:val="45"/>
          <w:lang w:eastAsia="fr-FR"/>
        </w:rPr>
        <w:t>□</w:t>
      </w:r>
      <w:r w:rsidRPr="002462E6">
        <w:rPr>
          <w:color w:val="000000" w:themeColor="text1"/>
        </w:rPr>
        <w:t xml:space="preserve">Oui                     </w:t>
      </w:r>
      <w:r w:rsidRPr="002462E6">
        <w:rPr>
          <w:rFonts w:ascii="Helvetica" w:eastAsia="Times New Roman" w:hAnsi="Helvetica" w:cs="Helvetica"/>
          <w:b/>
          <w:bCs/>
          <w:color w:val="000000" w:themeColor="text1"/>
          <w:sz w:val="45"/>
          <w:szCs w:val="45"/>
          <w:lang w:eastAsia="fr-FR"/>
        </w:rPr>
        <w:t>□</w:t>
      </w:r>
      <w:r w:rsidRPr="002462E6">
        <w:rPr>
          <w:color w:val="000000" w:themeColor="text1"/>
        </w:rPr>
        <w:t>non</w:t>
      </w:r>
    </w:p>
    <w:p w:rsidR="00BD111D" w:rsidRPr="002462E6" w:rsidRDefault="00BD111D" w:rsidP="00BD111D">
      <w:pPr>
        <w:ind w:left="1416"/>
        <w:rPr>
          <w:rFonts w:ascii="Tahoma" w:hAnsi="Tahoma" w:cs="Tahoma"/>
          <w:b/>
          <w:bCs/>
          <w:color w:val="000000"/>
          <w:sz w:val="27"/>
          <w:szCs w:val="27"/>
          <w:shd w:val="clear" w:color="auto" w:fill="FFFFFF"/>
        </w:rPr>
      </w:pPr>
    </w:p>
    <w:p w:rsidR="00BD111D" w:rsidRPr="002462E6" w:rsidRDefault="00BD111D" w:rsidP="00BD111D">
      <w:pPr>
        <w:ind w:left="1416"/>
        <w:rPr>
          <w:rFonts w:ascii="Tahoma" w:hAnsi="Tahoma" w:cs="Tahoma"/>
          <w:b/>
          <w:bCs/>
          <w:color w:val="000000"/>
          <w:sz w:val="27"/>
          <w:szCs w:val="27"/>
          <w:shd w:val="clear" w:color="auto" w:fill="FFFFFF"/>
        </w:rPr>
      </w:pPr>
      <w:r w:rsidRPr="002462E6">
        <w:rPr>
          <w:rFonts w:ascii="Tahoma" w:hAnsi="Tahoma" w:cs="Tahoma"/>
          <w:b/>
          <w:bCs/>
          <w:color w:val="000000"/>
          <w:sz w:val="27"/>
          <w:szCs w:val="27"/>
          <w:shd w:val="clear" w:color="auto" w:fill="FFFFFF"/>
        </w:rPr>
        <w:t>63. A votre avis, pourquoi ?</w:t>
      </w:r>
    </w:p>
    <w:p w:rsidR="00BD111D" w:rsidRPr="002462E6" w:rsidRDefault="00BD111D" w:rsidP="00BD111D">
      <w:pPr>
        <w:ind w:left="1416"/>
        <w:rPr>
          <w:rFonts w:ascii="Tahoma" w:hAnsi="Tahoma" w:cs="Tahoma"/>
          <w:b/>
          <w:bCs/>
          <w:color w:val="000000"/>
          <w:sz w:val="27"/>
          <w:szCs w:val="27"/>
          <w:shd w:val="clear" w:color="auto" w:fill="FFFFFF"/>
        </w:rPr>
      </w:pPr>
      <w:r w:rsidRPr="002462E6">
        <w:rPr>
          <w:rFonts w:ascii="Tahoma" w:hAnsi="Tahoma" w:cs="Tahoma"/>
          <w:b/>
          <w:bCs/>
          <w:color w:val="000000"/>
          <w:sz w:val="27"/>
          <w:szCs w:val="27"/>
          <w:shd w:val="clear" w:color="auto" w:fill="FFFFFF"/>
        </w:rPr>
        <w:t>64. Est-ce que vous observez, au fil des années, le changement du climat ?</w:t>
      </w:r>
    </w:p>
    <w:p w:rsidR="00BD111D" w:rsidRPr="002462E6" w:rsidRDefault="00BD111D" w:rsidP="00BD111D">
      <w:pPr>
        <w:ind w:left="2124" w:firstLine="708"/>
        <w:rPr>
          <w:color w:val="000000" w:themeColor="text1"/>
        </w:rPr>
      </w:pPr>
      <w:r w:rsidRPr="002462E6">
        <w:rPr>
          <w:rFonts w:ascii="Helvetica" w:eastAsia="Times New Roman" w:hAnsi="Helvetica" w:cs="Helvetica"/>
          <w:b/>
          <w:bCs/>
          <w:color w:val="000000" w:themeColor="text1"/>
          <w:sz w:val="45"/>
          <w:szCs w:val="45"/>
          <w:lang w:eastAsia="fr-FR"/>
        </w:rPr>
        <w:t>□</w:t>
      </w:r>
      <w:r w:rsidRPr="002462E6">
        <w:rPr>
          <w:color w:val="000000" w:themeColor="text1"/>
        </w:rPr>
        <w:t xml:space="preserve">Oui, pourquoi ?                   </w:t>
      </w:r>
    </w:p>
    <w:p w:rsidR="00BD111D" w:rsidRPr="002462E6" w:rsidRDefault="00BD111D" w:rsidP="00BD111D">
      <w:pPr>
        <w:ind w:left="2124" w:firstLine="708"/>
        <w:rPr>
          <w:color w:val="000000" w:themeColor="text1"/>
        </w:rPr>
      </w:pPr>
      <w:r w:rsidRPr="002462E6">
        <w:rPr>
          <w:rFonts w:ascii="Helvetica" w:eastAsia="Times New Roman" w:hAnsi="Helvetica" w:cs="Helvetica"/>
          <w:b/>
          <w:bCs/>
          <w:color w:val="000000" w:themeColor="text1"/>
          <w:sz w:val="45"/>
          <w:szCs w:val="45"/>
          <w:lang w:eastAsia="fr-FR"/>
        </w:rPr>
        <w:t>□</w:t>
      </w:r>
      <w:r w:rsidRPr="002462E6">
        <w:rPr>
          <w:color w:val="000000" w:themeColor="text1"/>
        </w:rPr>
        <w:t>Non, pourquoi ?</w:t>
      </w:r>
    </w:p>
    <w:p w:rsidR="00BD111D" w:rsidRPr="002462E6" w:rsidRDefault="00BD111D" w:rsidP="00BD111D">
      <w:pPr>
        <w:ind w:left="1416"/>
        <w:rPr>
          <w:rFonts w:ascii="Tahoma" w:hAnsi="Tahoma" w:cs="Tahoma"/>
          <w:color w:val="000000"/>
          <w:sz w:val="27"/>
          <w:szCs w:val="27"/>
          <w:shd w:val="clear" w:color="auto" w:fill="FFFFFF"/>
        </w:rPr>
      </w:pPr>
      <w:r w:rsidRPr="002462E6">
        <w:rPr>
          <w:rFonts w:ascii="Tahoma" w:hAnsi="Tahoma" w:cs="Tahoma"/>
          <w:b/>
          <w:bCs/>
          <w:color w:val="000000"/>
          <w:sz w:val="27"/>
          <w:szCs w:val="27"/>
          <w:shd w:val="clear" w:color="auto" w:fill="FFFFFF"/>
        </w:rPr>
        <w:t>65. À votre avis, quels sont les dangers qui menacent la forêt ?</w:t>
      </w:r>
    </w:p>
    <w:p w:rsidR="00BD111D" w:rsidRPr="002462E6" w:rsidRDefault="00BD111D" w:rsidP="00BD111D">
      <w:pPr>
        <w:ind w:left="2124" w:firstLine="708"/>
        <w:rPr>
          <w:color w:val="000000" w:themeColor="text1"/>
        </w:rPr>
      </w:pPr>
      <w:r w:rsidRPr="002462E6">
        <w:rPr>
          <w:rFonts w:ascii="Helvetica" w:eastAsia="Times New Roman" w:hAnsi="Helvetica" w:cs="Helvetica"/>
          <w:b/>
          <w:bCs/>
          <w:color w:val="000000" w:themeColor="text1"/>
          <w:sz w:val="45"/>
          <w:szCs w:val="45"/>
          <w:lang w:eastAsia="fr-FR"/>
        </w:rPr>
        <w:t>□</w:t>
      </w:r>
      <w:r w:rsidRPr="002462E6">
        <w:rPr>
          <w:color w:val="000000" w:themeColor="text1"/>
        </w:rPr>
        <w:t>Incendies</w:t>
      </w:r>
    </w:p>
    <w:p w:rsidR="00BD111D" w:rsidRPr="002462E6" w:rsidRDefault="00BD111D" w:rsidP="00BD111D">
      <w:pPr>
        <w:ind w:left="2124" w:firstLine="708"/>
        <w:rPr>
          <w:color w:val="000000" w:themeColor="text1"/>
        </w:rPr>
      </w:pPr>
      <w:r w:rsidRPr="002462E6">
        <w:rPr>
          <w:rFonts w:ascii="Helvetica" w:eastAsia="Times New Roman" w:hAnsi="Helvetica" w:cs="Helvetica"/>
          <w:b/>
          <w:bCs/>
          <w:color w:val="000000" w:themeColor="text1"/>
          <w:sz w:val="45"/>
          <w:szCs w:val="45"/>
          <w:lang w:eastAsia="fr-FR"/>
        </w:rPr>
        <w:t>□</w:t>
      </w:r>
      <w:r w:rsidRPr="002462E6">
        <w:rPr>
          <w:color w:val="000000" w:themeColor="text1"/>
        </w:rPr>
        <w:t xml:space="preserve">Désertification </w:t>
      </w:r>
    </w:p>
    <w:p w:rsidR="00BD111D" w:rsidRPr="002462E6" w:rsidRDefault="00BD111D" w:rsidP="00BD111D">
      <w:pPr>
        <w:ind w:left="2124" w:firstLine="708"/>
        <w:rPr>
          <w:color w:val="000000" w:themeColor="text1"/>
        </w:rPr>
      </w:pPr>
      <w:r w:rsidRPr="002462E6">
        <w:rPr>
          <w:rFonts w:ascii="Helvetica" w:eastAsia="Times New Roman" w:hAnsi="Helvetica" w:cs="Helvetica"/>
          <w:b/>
          <w:bCs/>
          <w:color w:val="000000" w:themeColor="text1"/>
          <w:sz w:val="45"/>
          <w:szCs w:val="45"/>
          <w:lang w:eastAsia="fr-FR"/>
        </w:rPr>
        <w:t>□</w:t>
      </w:r>
      <w:r w:rsidRPr="002462E6">
        <w:rPr>
          <w:color w:val="000000" w:themeColor="text1"/>
        </w:rPr>
        <w:t>Maladies et attaques parasitaires</w:t>
      </w:r>
    </w:p>
    <w:p w:rsidR="00BD111D" w:rsidRPr="002462E6" w:rsidRDefault="00BD111D" w:rsidP="00BD111D">
      <w:pPr>
        <w:ind w:left="2124" w:firstLine="708"/>
        <w:rPr>
          <w:color w:val="000000" w:themeColor="text1"/>
        </w:rPr>
      </w:pPr>
      <w:r w:rsidRPr="002462E6">
        <w:rPr>
          <w:rFonts w:ascii="Helvetica" w:eastAsia="Times New Roman" w:hAnsi="Helvetica" w:cs="Helvetica"/>
          <w:b/>
          <w:bCs/>
          <w:color w:val="000000" w:themeColor="text1"/>
          <w:sz w:val="45"/>
          <w:szCs w:val="45"/>
          <w:lang w:eastAsia="fr-FR"/>
        </w:rPr>
        <w:t>□</w:t>
      </w:r>
      <w:r w:rsidRPr="002462E6">
        <w:rPr>
          <w:color w:val="000000" w:themeColor="text1"/>
        </w:rPr>
        <w:t xml:space="preserve">Coupe illicite </w:t>
      </w:r>
    </w:p>
    <w:p w:rsidR="00BD111D" w:rsidRPr="002462E6" w:rsidRDefault="00BD111D" w:rsidP="00BD111D">
      <w:pPr>
        <w:ind w:left="2124" w:firstLine="708"/>
        <w:rPr>
          <w:color w:val="000000" w:themeColor="text1"/>
        </w:rPr>
      </w:pPr>
      <w:r w:rsidRPr="002462E6">
        <w:rPr>
          <w:rFonts w:ascii="Helvetica" w:eastAsia="Times New Roman" w:hAnsi="Helvetica" w:cs="Helvetica"/>
          <w:b/>
          <w:bCs/>
          <w:color w:val="000000" w:themeColor="text1"/>
          <w:sz w:val="45"/>
          <w:szCs w:val="45"/>
          <w:lang w:eastAsia="fr-FR"/>
        </w:rPr>
        <w:t>□</w:t>
      </w:r>
      <w:r w:rsidRPr="002462E6">
        <w:rPr>
          <w:color w:val="000000" w:themeColor="text1"/>
        </w:rPr>
        <w:t>Erosion du sol</w:t>
      </w:r>
    </w:p>
    <w:p w:rsidR="00BD111D" w:rsidRPr="002462E6" w:rsidRDefault="00BD111D" w:rsidP="00BD111D">
      <w:pPr>
        <w:ind w:left="2124" w:firstLine="708"/>
        <w:rPr>
          <w:color w:val="000000" w:themeColor="text1"/>
        </w:rPr>
      </w:pPr>
      <w:r w:rsidRPr="002462E6">
        <w:rPr>
          <w:rFonts w:ascii="Helvetica" w:eastAsia="Times New Roman" w:hAnsi="Helvetica" w:cs="Helvetica"/>
          <w:b/>
          <w:bCs/>
          <w:color w:val="000000" w:themeColor="text1"/>
          <w:sz w:val="45"/>
          <w:szCs w:val="45"/>
          <w:lang w:eastAsia="fr-FR"/>
        </w:rPr>
        <w:t>□</w:t>
      </w:r>
      <w:r w:rsidRPr="002462E6">
        <w:rPr>
          <w:color w:val="000000" w:themeColor="text1"/>
        </w:rPr>
        <w:t xml:space="preserve">Autre, à préciser : </w:t>
      </w:r>
    </w:p>
    <w:p w:rsidR="00BD111D" w:rsidRPr="002462E6" w:rsidRDefault="00BD111D" w:rsidP="00BD111D">
      <w:pPr>
        <w:ind w:left="1416"/>
        <w:jc w:val="both"/>
        <w:rPr>
          <w:rFonts w:ascii="Tahoma" w:hAnsi="Tahoma" w:cs="Tahoma"/>
          <w:b/>
          <w:bCs/>
          <w:color w:val="000000"/>
          <w:sz w:val="27"/>
          <w:szCs w:val="27"/>
          <w:shd w:val="clear" w:color="auto" w:fill="FFFFFF"/>
        </w:rPr>
      </w:pPr>
      <w:r w:rsidRPr="002462E6">
        <w:rPr>
          <w:rFonts w:ascii="Tahoma" w:hAnsi="Tahoma" w:cs="Tahoma"/>
          <w:b/>
          <w:bCs/>
          <w:color w:val="000000"/>
          <w:sz w:val="27"/>
          <w:szCs w:val="27"/>
          <w:shd w:val="clear" w:color="auto" w:fill="FFFFFF"/>
        </w:rPr>
        <w:t xml:space="preserve">66. A votre avis, comment faire pour réduire ou éliminer ces dangers ? </w:t>
      </w:r>
    </w:p>
    <w:p w:rsidR="00BD111D" w:rsidRPr="002462E6" w:rsidRDefault="00BD111D" w:rsidP="00BD111D">
      <w:pPr>
        <w:ind w:left="1416"/>
        <w:rPr>
          <w:rFonts w:ascii="Tahoma" w:hAnsi="Tahoma" w:cs="Tahoma"/>
          <w:color w:val="000000"/>
          <w:sz w:val="27"/>
          <w:szCs w:val="27"/>
          <w:shd w:val="clear" w:color="auto" w:fill="FFFFFF"/>
        </w:rPr>
      </w:pPr>
    </w:p>
    <w:p w:rsidR="00BD111D" w:rsidRPr="002462E6" w:rsidRDefault="00BD111D" w:rsidP="00BD111D">
      <w:pPr>
        <w:ind w:left="1416"/>
        <w:jc w:val="both"/>
        <w:rPr>
          <w:rFonts w:ascii="Tahoma" w:hAnsi="Tahoma" w:cs="Tahoma"/>
          <w:b/>
          <w:bCs/>
          <w:color w:val="000000"/>
          <w:sz w:val="27"/>
          <w:szCs w:val="27"/>
          <w:shd w:val="clear" w:color="auto" w:fill="FFFFFF"/>
        </w:rPr>
      </w:pPr>
      <w:r w:rsidRPr="002462E6">
        <w:rPr>
          <w:rFonts w:ascii="Tahoma" w:hAnsi="Tahoma" w:cs="Tahoma"/>
          <w:b/>
          <w:bCs/>
          <w:color w:val="000000"/>
          <w:sz w:val="27"/>
          <w:szCs w:val="27"/>
          <w:shd w:val="clear" w:color="auto" w:fill="FFFFFF"/>
        </w:rPr>
        <w:t>67. Avez-vous déjà bénéficié d’activités de sensibilisation et de conscientisation pour faire face à la dégradation de la forêt ?</w:t>
      </w:r>
    </w:p>
    <w:p w:rsidR="00BD111D" w:rsidRPr="002462E6" w:rsidRDefault="00BD111D" w:rsidP="00BD111D">
      <w:pPr>
        <w:ind w:left="2124" w:firstLine="708"/>
        <w:rPr>
          <w:color w:val="000000" w:themeColor="text1"/>
        </w:rPr>
      </w:pPr>
      <w:r w:rsidRPr="002462E6">
        <w:rPr>
          <w:rFonts w:ascii="Helvetica" w:eastAsia="Times New Roman" w:hAnsi="Helvetica" w:cs="Helvetica"/>
          <w:b/>
          <w:bCs/>
          <w:color w:val="000000" w:themeColor="text1"/>
          <w:sz w:val="45"/>
          <w:szCs w:val="45"/>
          <w:lang w:eastAsia="fr-FR"/>
        </w:rPr>
        <w:t>□</w:t>
      </w:r>
      <w:r w:rsidRPr="002462E6">
        <w:rPr>
          <w:color w:val="000000" w:themeColor="text1"/>
        </w:rPr>
        <w:t xml:space="preserve">Oui                                     </w:t>
      </w:r>
      <w:r w:rsidRPr="002462E6">
        <w:rPr>
          <w:rFonts w:ascii="Helvetica" w:eastAsia="Times New Roman" w:hAnsi="Helvetica" w:cs="Helvetica"/>
          <w:b/>
          <w:bCs/>
          <w:color w:val="000000" w:themeColor="text1"/>
          <w:sz w:val="45"/>
          <w:szCs w:val="45"/>
          <w:lang w:eastAsia="fr-FR"/>
        </w:rPr>
        <w:t>□</w:t>
      </w:r>
      <w:r w:rsidRPr="002462E6">
        <w:rPr>
          <w:color w:val="000000" w:themeColor="text1"/>
        </w:rPr>
        <w:t>non</w:t>
      </w:r>
    </w:p>
    <w:p w:rsidR="00BD111D" w:rsidRPr="002462E6" w:rsidRDefault="00BD111D" w:rsidP="00BD111D">
      <w:pPr>
        <w:ind w:left="2124" w:firstLine="708"/>
        <w:rPr>
          <w:color w:val="000000" w:themeColor="text1"/>
        </w:rPr>
      </w:pPr>
    </w:p>
    <w:p w:rsidR="00BD111D" w:rsidRPr="002462E6" w:rsidRDefault="00BD111D" w:rsidP="00BD111D">
      <w:pPr>
        <w:ind w:left="1416"/>
        <w:jc w:val="both"/>
        <w:rPr>
          <w:rFonts w:ascii="Tahoma" w:hAnsi="Tahoma" w:cs="Tahoma"/>
          <w:b/>
          <w:bCs/>
          <w:color w:val="000000"/>
          <w:sz w:val="27"/>
          <w:szCs w:val="27"/>
          <w:shd w:val="clear" w:color="auto" w:fill="FFFFFF"/>
        </w:rPr>
      </w:pPr>
      <w:r w:rsidRPr="002462E6">
        <w:rPr>
          <w:rFonts w:ascii="Tahoma" w:hAnsi="Tahoma" w:cs="Tahoma"/>
          <w:b/>
          <w:bCs/>
          <w:color w:val="000000"/>
          <w:sz w:val="27"/>
          <w:szCs w:val="27"/>
          <w:shd w:val="clear" w:color="auto" w:fill="FFFFFF"/>
        </w:rPr>
        <w:t>68. Y-a-t-il des opérations de reboisement dans votre forêt ?</w:t>
      </w:r>
    </w:p>
    <w:p w:rsidR="00BD111D" w:rsidRPr="002462E6" w:rsidRDefault="00BD111D" w:rsidP="00BD111D">
      <w:pPr>
        <w:ind w:left="2124" w:firstLine="708"/>
        <w:rPr>
          <w:color w:val="000000" w:themeColor="text1"/>
        </w:rPr>
      </w:pPr>
      <w:r w:rsidRPr="002462E6">
        <w:rPr>
          <w:rFonts w:ascii="Helvetica" w:eastAsia="Times New Roman" w:hAnsi="Helvetica" w:cs="Helvetica"/>
          <w:b/>
          <w:bCs/>
          <w:color w:val="000000" w:themeColor="text1"/>
          <w:sz w:val="45"/>
          <w:szCs w:val="45"/>
          <w:lang w:eastAsia="fr-FR"/>
        </w:rPr>
        <w:t>□</w:t>
      </w:r>
      <w:r w:rsidRPr="002462E6">
        <w:rPr>
          <w:color w:val="000000" w:themeColor="text1"/>
        </w:rPr>
        <w:t xml:space="preserve">Oui                                     </w:t>
      </w:r>
      <w:r w:rsidRPr="002462E6">
        <w:rPr>
          <w:rFonts w:ascii="Helvetica" w:eastAsia="Times New Roman" w:hAnsi="Helvetica" w:cs="Helvetica"/>
          <w:b/>
          <w:bCs/>
          <w:color w:val="000000" w:themeColor="text1"/>
          <w:sz w:val="45"/>
          <w:szCs w:val="45"/>
          <w:lang w:eastAsia="fr-FR"/>
        </w:rPr>
        <w:t>□</w:t>
      </w:r>
      <w:r w:rsidRPr="002462E6">
        <w:rPr>
          <w:color w:val="000000" w:themeColor="text1"/>
        </w:rPr>
        <w:t>non</w:t>
      </w:r>
    </w:p>
    <w:p w:rsidR="00BD111D" w:rsidRPr="002462E6" w:rsidRDefault="00BD111D" w:rsidP="00BD111D">
      <w:pPr>
        <w:ind w:left="1416"/>
        <w:rPr>
          <w:rFonts w:ascii="Tahoma" w:hAnsi="Tahoma" w:cs="Tahoma"/>
          <w:color w:val="000000"/>
          <w:sz w:val="27"/>
          <w:szCs w:val="27"/>
          <w:shd w:val="clear" w:color="auto" w:fill="FFFFFF"/>
        </w:rPr>
      </w:pPr>
    </w:p>
    <w:p w:rsidR="00BD111D" w:rsidRPr="002462E6" w:rsidRDefault="00BD111D" w:rsidP="00BD111D">
      <w:pPr>
        <w:ind w:left="1416"/>
        <w:jc w:val="both"/>
        <w:rPr>
          <w:rFonts w:ascii="Tahoma" w:hAnsi="Tahoma" w:cs="Tahoma"/>
          <w:b/>
          <w:bCs/>
          <w:color w:val="000000"/>
          <w:sz w:val="27"/>
          <w:szCs w:val="27"/>
          <w:shd w:val="clear" w:color="auto" w:fill="FFFFFF"/>
        </w:rPr>
      </w:pPr>
      <w:r w:rsidRPr="002462E6">
        <w:rPr>
          <w:rFonts w:ascii="Tahoma" w:hAnsi="Tahoma" w:cs="Tahoma"/>
          <w:b/>
          <w:bCs/>
          <w:color w:val="000000"/>
          <w:sz w:val="27"/>
          <w:szCs w:val="27"/>
          <w:shd w:val="clear" w:color="auto" w:fill="FFFFFF"/>
        </w:rPr>
        <w:t>69. Est-ce que vous avez participé à ces opérations de reboisement ?</w:t>
      </w:r>
    </w:p>
    <w:p w:rsidR="00BD111D" w:rsidRPr="002462E6" w:rsidRDefault="00BD111D" w:rsidP="00BD111D">
      <w:pPr>
        <w:ind w:left="2124" w:firstLine="708"/>
        <w:rPr>
          <w:color w:val="000000" w:themeColor="text1"/>
        </w:rPr>
      </w:pPr>
      <w:r w:rsidRPr="002462E6">
        <w:rPr>
          <w:rFonts w:ascii="Helvetica" w:eastAsia="Times New Roman" w:hAnsi="Helvetica" w:cs="Helvetica"/>
          <w:b/>
          <w:bCs/>
          <w:color w:val="000000" w:themeColor="text1"/>
          <w:sz w:val="45"/>
          <w:szCs w:val="45"/>
          <w:lang w:eastAsia="fr-FR"/>
        </w:rPr>
        <w:t>□</w:t>
      </w:r>
      <w:r w:rsidRPr="002462E6">
        <w:rPr>
          <w:color w:val="000000" w:themeColor="text1"/>
        </w:rPr>
        <w:t xml:space="preserve">Oui                                     </w:t>
      </w:r>
      <w:r w:rsidRPr="002462E6">
        <w:rPr>
          <w:rFonts w:ascii="Helvetica" w:eastAsia="Times New Roman" w:hAnsi="Helvetica" w:cs="Helvetica"/>
          <w:b/>
          <w:bCs/>
          <w:color w:val="000000" w:themeColor="text1"/>
          <w:sz w:val="45"/>
          <w:szCs w:val="45"/>
          <w:lang w:eastAsia="fr-FR"/>
        </w:rPr>
        <w:t>□</w:t>
      </w:r>
      <w:r w:rsidRPr="002462E6">
        <w:rPr>
          <w:color w:val="000000" w:themeColor="text1"/>
        </w:rPr>
        <w:t>non</w:t>
      </w:r>
    </w:p>
    <w:p w:rsidR="00BD111D" w:rsidRPr="002462E6" w:rsidRDefault="00BD111D" w:rsidP="00BD111D">
      <w:pPr>
        <w:ind w:left="1416"/>
        <w:jc w:val="both"/>
        <w:rPr>
          <w:rFonts w:ascii="Tahoma" w:hAnsi="Tahoma" w:cs="Tahoma"/>
          <w:b/>
          <w:bCs/>
          <w:color w:val="000000"/>
          <w:sz w:val="27"/>
          <w:szCs w:val="27"/>
          <w:shd w:val="clear" w:color="auto" w:fill="FFFFFF"/>
        </w:rPr>
      </w:pPr>
      <w:r w:rsidRPr="002462E6">
        <w:rPr>
          <w:rFonts w:ascii="Tahoma" w:hAnsi="Tahoma" w:cs="Tahoma"/>
          <w:b/>
          <w:bCs/>
          <w:color w:val="000000"/>
          <w:sz w:val="27"/>
          <w:szCs w:val="27"/>
          <w:shd w:val="clear" w:color="auto" w:fill="FFFFFF"/>
        </w:rPr>
        <w:t>70. À votre avis, ces opérations sont-elles suffisantes pour faire face à la dégradation de de la forêt ?</w:t>
      </w:r>
    </w:p>
    <w:p w:rsidR="00BD111D" w:rsidRPr="002462E6" w:rsidRDefault="00BD111D" w:rsidP="00BD111D">
      <w:pPr>
        <w:ind w:left="1416"/>
        <w:rPr>
          <w:rFonts w:ascii="Tahoma" w:hAnsi="Tahoma" w:cs="Tahoma"/>
          <w:color w:val="000000"/>
          <w:sz w:val="27"/>
          <w:szCs w:val="27"/>
          <w:shd w:val="clear" w:color="auto" w:fill="FFFFFF"/>
        </w:rPr>
      </w:pPr>
    </w:p>
    <w:p w:rsidR="00BD111D" w:rsidRPr="002462E6" w:rsidRDefault="00BD111D" w:rsidP="00BD111D">
      <w:pPr>
        <w:ind w:left="1416"/>
        <w:jc w:val="both"/>
        <w:rPr>
          <w:rFonts w:ascii="Tahoma" w:hAnsi="Tahoma" w:cs="Tahoma"/>
          <w:b/>
          <w:bCs/>
          <w:color w:val="000000"/>
          <w:sz w:val="27"/>
          <w:szCs w:val="27"/>
          <w:shd w:val="clear" w:color="auto" w:fill="FFFFFF"/>
        </w:rPr>
      </w:pPr>
    </w:p>
    <w:p w:rsidR="00BD111D" w:rsidRPr="002462E6" w:rsidRDefault="00BD111D" w:rsidP="00BD111D">
      <w:pPr>
        <w:ind w:left="1416"/>
        <w:jc w:val="both"/>
        <w:rPr>
          <w:rFonts w:ascii="Tahoma" w:hAnsi="Tahoma" w:cs="Tahoma"/>
          <w:b/>
          <w:bCs/>
          <w:color w:val="000000"/>
          <w:sz w:val="27"/>
          <w:szCs w:val="27"/>
          <w:shd w:val="clear" w:color="auto" w:fill="FFFFFF"/>
        </w:rPr>
      </w:pPr>
      <w:r w:rsidRPr="002462E6">
        <w:rPr>
          <w:rFonts w:ascii="Tahoma" w:hAnsi="Tahoma" w:cs="Tahoma"/>
          <w:b/>
          <w:bCs/>
          <w:color w:val="000000"/>
          <w:sz w:val="27"/>
          <w:szCs w:val="27"/>
          <w:shd w:val="clear" w:color="auto" w:fill="FFFFFF"/>
        </w:rPr>
        <w:t>71. Est-ce que ces opérations de reboisement connaissent-elles un succès ?</w:t>
      </w:r>
    </w:p>
    <w:p w:rsidR="00BD111D" w:rsidRPr="002462E6" w:rsidRDefault="00BD111D" w:rsidP="00BD111D">
      <w:pPr>
        <w:ind w:left="2124" w:firstLine="708"/>
        <w:rPr>
          <w:color w:val="000000" w:themeColor="text1"/>
        </w:rPr>
      </w:pPr>
      <w:r w:rsidRPr="002462E6">
        <w:rPr>
          <w:rFonts w:ascii="Helvetica" w:eastAsia="Times New Roman" w:hAnsi="Helvetica" w:cs="Helvetica"/>
          <w:b/>
          <w:bCs/>
          <w:color w:val="000000" w:themeColor="text1"/>
          <w:sz w:val="45"/>
          <w:szCs w:val="45"/>
          <w:lang w:eastAsia="fr-FR"/>
        </w:rPr>
        <w:t>□</w:t>
      </w:r>
      <w:r w:rsidRPr="002462E6">
        <w:rPr>
          <w:color w:val="000000" w:themeColor="text1"/>
        </w:rPr>
        <w:t xml:space="preserve">Oui, pourquoi ?                   </w:t>
      </w:r>
    </w:p>
    <w:p w:rsidR="00BD111D" w:rsidRPr="002462E6" w:rsidRDefault="00BD111D" w:rsidP="00BD111D">
      <w:pPr>
        <w:ind w:left="2124" w:firstLine="708"/>
        <w:rPr>
          <w:color w:val="000000" w:themeColor="text1"/>
        </w:rPr>
      </w:pPr>
      <w:r w:rsidRPr="002462E6">
        <w:rPr>
          <w:rFonts w:ascii="Helvetica" w:eastAsia="Times New Roman" w:hAnsi="Helvetica" w:cs="Helvetica"/>
          <w:b/>
          <w:bCs/>
          <w:color w:val="000000" w:themeColor="text1"/>
          <w:sz w:val="45"/>
          <w:szCs w:val="45"/>
          <w:lang w:eastAsia="fr-FR"/>
        </w:rPr>
        <w:t>□</w:t>
      </w:r>
      <w:r w:rsidRPr="002462E6">
        <w:rPr>
          <w:color w:val="000000" w:themeColor="text1"/>
        </w:rPr>
        <w:t>Non, pourquoi ?</w:t>
      </w:r>
    </w:p>
    <w:p w:rsidR="00BD111D" w:rsidRPr="002462E6" w:rsidRDefault="00BD111D" w:rsidP="00BD111D">
      <w:pPr>
        <w:ind w:left="1416"/>
        <w:rPr>
          <w:rFonts w:ascii="Tahoma" w:hAnsi="Tahoma" w:cs="Tahoma"/>
          <w:color w:val="000000"/>
          <w:sz w:val="27"/>
          <w:szCs w:val="27"/>
          <w:shd w:val="clear" w:color="auto" w:fill="FFFFFF"/>
        </w:rPr>
      </w:pPr>
    </w:p>
    <w:p w:rsidR="00BD111D" w:rsidRPr="002462E6" w:rsidRDefault="00BD111D" w:rsidP="00BD111D">
      <w:pPr>
        <w:ind w:left="1416"/>
        <w:jc w:val="both"/>
        <w:rPr>
          <w:rFonts w:ascii="Tahoma" w:hAnsi="Tahoma" w:cs="Tahoma"/>
          <w:b/>
          <w:bCs/>
          <w:color w:val="000000"/>
          <w:sz w:val="27"/>
          <w:szCs w:val="27"/>
          <w:shd w:val="clear" w:color="auto" w:fill="FFFFFF"/>
        </w:rPr>
      </w:pPr>
      <w:r w:rsidRPr="002462E6">
        <w:rPr>
          <w:rFonts w:ascii="Tahoma" w:hAnsi="Tahoma" w:cs="Tahoma"/>
          <w:b/>
          <w:bCs/>
          <w:color w:val="000000"/>
          <w:sz w:val="27"/>
          <w:szCs w:val="27"/>
          <w:shd w:val="clear" w:color="auto" w:fill="FFFFFF"/>
        </w:rPr>
        <w:t xml:space="preserve">72. Existe-t-il des opérations de mise en défens dans votre forêt ? </w:t>
      </w:r>
    </w:p>
    <w:p w:rsidR="00BD111D" w:rsidRPr="002462E6" w:rsidRDefault="00BD111D" w:rsidP="00BD111D">
      <w:pPr>
        <w:ind w:left="2124" w:firstLine="708"/>
        <w:rPr>
          <w:color w:val="000000" w:themeColor="text1"/>
        </w:rPr>
      </w:pPr>
      <w:r w:rsidRPr="002462E6">
        <w:rPr>
          <w:rFonts w:ascii="Helvetica" w:eastAsia="Times New Roman" w:hAnsi="Helvetica" w:cs="Helvetica"/>
          <w:b/>
          <w:bCs/>
          <w:color w:val="000000" w:themeColor="text1"/>
          <w:sz w:val="45"/>
          <w:szCs w:val="45"/>
          <w:lang w:eastAsia="fr-FR"/>
        </w:rPr>
        <w:t>□</w:t>
      </w:r>
      <w:r w:rsidRPr="002462E6">
        <w:rPr>
          <w:color w:val="000000" w:themeColor="text1"/>
        </w:rPr>
        <w:t xml:space="preserve">Oui                                     </w:t>
      </w:r>
      <w:r w:rsidRPr="002462E6">
        <w:rPr>
          <w:rFonts w:ascii="Helvetica" w:eastAsia="Times New Roman" w:hAnsi="Helvetica" w:cs="Helvetica"/>
          <w:b/>
          <w:bCs/>
          <w:color w:val="000000" w:themeColor="text1"/>
          <w:sz w:val="45"/>
          <w:szCs w:val="45"/>
          <w:lang w:eastAsia="fr-FR"/>
        </w:rPr>
        <w:t>□</w:t>
      </w:r>
      <w:r w:rsidRPr="002462E6">
        <w:rPr>
          <w:color w:val="000000" w:themeColor="text1"/>
        </w:rPr>
        <w:t>non</w:t>
      </w:r>
    </w:p>
    <w:p w:rsidR="00BD111D" w:rsidRPr="002462E6" w:rsidRDefault="00BD111D" w:rsidP="00BD111D">
      <w:pPr>
        <w:ind w:left="2124" w:firstLine="708"/>
        <w:rPr>
          <w:color w:val="000000" w:themeColor="text1"/>
        </w:rPr>
      </w:pPr>
    </w:p>
    <w:p w:rsidR="00BD111D" w:rsidRPr="002462E6" w:rsidRDefault="00BD111D" w:rsidP="00BD111D">
      <w:pPr>
        <w:ind w:left="1416"/>
        <w:jc w:val="both"/>
        <w:rPr>
          <w:rFonts w:ascii="Tahoma" w:hAnsi="Tahoma" w:cs="Tahoma"/>
          <w:b/>
          <w:bCs/>
          <w:color w:val="000000"/>
          <w:sz w:val="27"/>
          <w:szCs w:val="27"/>
          <w:shd w:val="clear" w:color="auto" w:fill="FFFFFF"/>
        </w:rPr>
      </w:pPr>
      <w:r w:rsidRPr="002462E6">
        <w:rPr>
          <w:rFonts w:ascii="Tahoma" w:hAnsi="Tahoma" w:cs="Tahoma"/>
          <w:b/>
          <w:bCs/>
          <w:color w:val="000000"/>
          <w:sz w:val="27"/>
          <w:szCs w:val="27"/>
          <w:shd w:val="clear" w:color="auto" w:fill="FFFFFF"/>
        </w:rPr>
        <w:t xml:space="preserve">73. A votre avis sont-elles utiles pour lutter contre la dégradation de la forêt ? </w:t>
      </w:r>
    </w:p>
    <w:p w:rsidR="00BD111D" w:rsidRPr="002462E6" w:rsidRDefault="00BD111D" w:rsidP="00BD111D">
      <w:pPr>
        <w:ind w:left="2124" w:firstLine="708"/>
        <w:rPr>
          <w:color w:val="000000" w:themeColor="text1"/>
        </w:rPr>
      </w:pPr>
      <w:r w:rsidRPr="002462E6">
        <w:rPr>
          <w:rFonts w:ascii="Helvetica" w:eastAsia="Times New Roman" w:hAnsi="Helvetica" w:cs="Helvetica"/>
          <w:b/>
          <w:bCs/>
          <w:color w:val="000000" w:themeColor="text1"/>
          <w:sz w:val="45"/>
          <w:szCs w:val="45"/>
          <w:lang w:eastAsia="fr-FR"/>
        </w:rPr>
        <w:t>□</w:t>
      </w:r>
      <w:r w:rsidRPr="002462E6">
        <w:rPr>
          <w:color w:val="000000" w:themeColor="text1"/>
        </w:rPr>
        <w:t xml:space="preserve">Oui, pourquoi ?                   </w:t>
      </w:r>
    </w:p>
    <w:p w:rsidR="00BD111D" w:rsidRPr="002462E6" w:rsidRDefault="00BD111D" w:rsidP="00BD111D">
      <w:pPr>
        <w:ind w:left="2124" w:firstLine="708"/>
        <w:rPr>
          <w:color w:val="000000" w:themeColor="text1"/>
        </w:rPr>
      </w:pPr>
      <w:r w:rsidRPr="002462E6">
        <w:rPr>
          <w:rFonts w:ascii="Helvetica" w:eastAsia="Times New Roman" w:hAnsi="Helvetica" w:cs="Helvetica"/>
          <w:b/>
          <w:bCs/>
          <w:color w:val="000000" w:themeColor="text1"/>
          <w:sz w:val="45"/>
          <w:szCs w:val="45"/>
          <w:lang w:eastAsia="fr-FR"/>
        </w:rPr>
        <w:t>□</w:t>
      </w:r>
      <w:r w:rsidRPr="002462E6">
        <w:rPr>
          <w:color w:val="000000" w:themeColor="text1"/>
        </w:rPr>
        <w:t>Non, pourquoi ?</w:t>
      </w:r>
    </w:p>
    <w:p w:rsidR="00BD111D" w:rsidRPr="002462E6" w:rsidRDefault="00BD111D" w:rsidP="00BD111D">
      <w:pPr>
        <w:ind w:left="1416"/>
        <w:jc w:val="both"/>
        <w:rPr>
          <w:rFonts w:ascii="Tahoma" w:hAnsi="Tahoma" w:cs="Tahoma"/>
          <w:b/>
          <w:bCs/>
          <w:color w:val="000000"/>
          <w:sz w:val="27"/>
          <w:szCs w:val="27"/>
          <w:shd w:val="clear" w:color="auto" w:fill="FFFFFF"/>
        </w:rPr>
      </w:pPr>
      <w:r w:rsidRPr="002462E6">
        <w:rPr>
          <w:rFonts w:ascii="Tahoma" w:hAnsi="Tahoma" w:cs="Tahoma"/>
          <w:b/>
          <w:bCs/>
          <w:color w:val="000000"/>
          <w:sz w:val="27"/>
          <w:szCs w:val="27"/>
          <w:shd w:val="clear" w:color="auto" w:fill="FFFFFF"/>
        </w:rPr>
        <w:t>74. Avez-vous bénéficié de la fourniture de plants (Arbres fruitiers/fourragers et forestiers) par l’administration des eaux et forêts ?</w:t>
      </w:r>
    </w:p>
    <w:p w:rsidR="00BD111D" w:rsidRPr="002462E6" w:rsidRDefault="00BD111D" w:rsidP="00BD111D">
      <w:pPr>
        <w:ind w:left="1416"/>
        <w:rPr>
          <w:color w:val="000000"/>
          <w:sz w:val="27"/>
          <w:szCs w:val="27"/>
        </w:rPr>
      </w:pPr>
    </w:p>
    <w:p w:rsidR="00BD111D" w:rsidRPr="002462E6" w:rsidRDefault="00BD111D" w:rsidP="00BD111D">
      <w:pPr>
        <w:ind w:left="2124" w:firstLine="708"/>
        <w:rPr>
          <w:color w:val="000000" w:themeColor="text1"/>
        </w:rPr>
      </w:pPr>
      <w:r w:rsidRPr="002462E6">
        <w:rPr>
          <w:rFonts w:ascii="Helvetica" w:eastAsia="Times New Roman" w:hAnsi="Helvetica" w:cs="Helvetica"/>
          <w:b/>
          <w:bCs/>
          <w:color w:val="000000" w:themeColor="text1"/>
          <w:sz w:val="45"/>
          <w:szCs w:val="45"/>
          <w:lang w:eastAsia="fr-FR"/>
        </w:rPr>
        <w:t>□</w:t>
      </w:r>
      <w:r w:rsidRPr="002462E6">
        <w:rPr>
          <w:color w:val="000000" w:themeColor="text1"/>
        </w:rPr>
        <w:t xml:space="preserve">Oui                                     </w:t>
      </w:r>
      <w:r w:rsidRPr="002462E6">
        <w:rPr>
          <w:rFonts w:ascii="Helvetica" w:eastAsia="Times New Roman" w:hAnsi="Helvetica" w:cs="Helvetica"/>
          <w:b/>
          <w:bCs/>
          <w:color w:val="000000" w:themeColor="text1"/>
          <w:sz w:val="45"/>
          <w:szCs w:val="45"/>
          <w:lang w:eastAsia="fr-FR"/>
        </w:rPr>
        <w:t>□</w:t>
      </w:r>
      <w:r w:rsidRPr="002462E6">
        <w:rPr>
          <w:color w:val="000000" w:themeColor="text1"/>
        </w:rPr>
        <w:t>non</w:t>
      </w:r>
    </w:p>
    <w:p w:rsidR="00BD111D" w:rsidRPr="002462E6" w:rsidRDefault="00BD111D" w:rsidP="00BD111D">
      <w:pPr>
        <w:ind w:left="1416"/>
        <w:jc w:val="both"/>
        <w:rPr>
          <w:rFonts w:ascii="Tahoma" w:hAnsi="Tahoma" w:cs="Tahoma"/>
          <w:b/>
          <w:bCs/>
          <w:color w:val="000000"/>
          <w:sz w:val="27"/>
          <w:szCs w:val="27"/>
          <w:shd w:val="clear" w:color="auto" w:fill="FFFFFF"/>
        </w:rPr>
      </w:pPr>
      <w:r w:rsidRPr="002462E6">
        <w:rPr>
          <w:rFonts w:ascii="Tahoma" w:hAnsi="Tahoma" w:cs="Tahoma"/>
          <w:b/>
          <w:bCs/>
          <w:color w:val="000000"/>
          <w:sz w:val="27"/>
          <w:szCs w:val="27"/>
          <w:shd w:val="clear" w:color="auto" w:fill="FFFFFF"/>
        </w:rPr>
        <w:t xml:space="preserve">75. </w:t>
      </w:r>
      <w:r w:rsidRPr="002462E6">
        <w:rPr>
          <w:b/>
          <w:bCs/>
          <w:color w:val="000000"/>
          <w:sz w:val="27"/>
          <w:szCs w:val="27"/>
        </w:rPr>
        <w:t xml:space="preserve"> </w:t>
      </w:r>
      <w:r w:rsidRPr="002462E6">
        <w:rPr>
          <w:rFonts w:ascii="Tahoma" w:hAnsi="Tahoma" w:cs="Tahoma"/>
          <w:b/>
          <w:bCs/>
          <w:color w:val="000000"/>
          <w:sz w:val="27"/>
          <w:szCs w:val="27"/>
          <w:shd w:val="clear" w:color="auto" w:fill="FFFFFF"/>
        </w:rPr>
        <w:t>Avez-vous bénéficié de la distribution des fours améliorés/fours à pain par l’administration des eaux et forêts ?</w:t>
      </w:r>
    </w:p>
    <w:p w:rsidR="00BD111D" w:rsidRPr="002462E6" w:rsidRDefault="00BD111D" w:rsidP="00BD111D">
      <w:pPr>
        <w:ind w:left="2124" w:firstLine="708"/>
        <w:rPr>
          <w:color w:val="000000" w:themeColor="text1"/>
        </w:rPr>
      </w:pPr>
      <w:r w:rsidRPr="002462E6">
        <w:rPr>
          <w:rFonts w:ascii="Helvetica" w:eastAsia="Times New Roman" w:hAnsi="Helvetica" w:cs="Helvetica"/>
          <w:b/>
          <w:bCs/>
          <w:color w:val="000000" w:themeColor="text1"/>
          <w:sz w:val="45"/>
          <w:szCs w:val="45"/>
          <w:lang w:eastAsia="fr-FR"/>
        </w:rPr>
        <w:t>□</w:t>
      </w:r>
      <w:r w:rsidRPr="002462E6">
        <w:rPr>
          <w:color w:val="000000" w:themeColor="text1"/>
        </w:rPr>
        <w:t xml:space="preserve">Oui                                     </w:t>
      </w:r>
      <w:r w:rsidRPr="002462E6">
        <w:rPr>
          <w:rFonts w:ascii="Helvetica" w:eastAsia="Times New Roman" w:hAnsi="Helvetica" w:cs="Helvetica"/>
          <w:b/>
          <w:bCs/>
          <w:color w:val="000000" w:themeColor="text1"/>
          <w:sz w:val="45"/>
          <w:szCs w:val="45"/>
          <w:lang w:eastAsia="fr-FR"/>
        </w:rPr>
        <w:t>□</w:t>
      </w:r>
      <w:r w:rsidRPr="002462E6">
        <w:rPr>
          <w:color w:val="000000" w:themeColor="text1"/>
        </w:rPr>
        <w:t>non</w:t>
      </w:r>
    </w:p>
    <w:p w:rsidR="00BD111D" w:rsidRPr="002462E6" w:rsidRDefault="00BD111D" w:rsidP="00BD111D">
      <w:pPr>
        <w:ind w:left="1416"/>
        <w:jc w:val="both"/>
        <w:rPr>
          <w:rFonts w:ascii="Tahoma" w:hAnsi="Tahoma" w:cs="Tahoma"/>
          <w:b/>
          <w:bCs/>
          <w:color w:val="000000"/>
          <w:sz w:val="27"/>
          <w:szCs w:val="27"/>
          <w:shd w:val="clear" w:color="auto" w:fill="FFFFFF"/>
        </w:rPr>
      </w:pPr>
      <w:r w:rsidRPr="002462E6">
        <w:rPr>
          <w:rFonts w:ascii="Tahoma" w:hAnsi="Tahoma" w:cs="Tahoma"/>
          <w:b/>
          <w:bCs/>
          <w:color w:val="000000"/>
          <w:sz w:val="27"/>
          <w:szCs w:val="27"/>
          <w:shd w:val="clear" w:color="auto" w:fill="FFFFFF"/>
        </w:rPr>
        <w:t>76. Avez-vous bénéficié d’activités génératrices de revenu (apiculture, cuniculture, aviculture etc) ?</w:t>
      </w:r>
    </w:p>
    <w:p w:rsidR="00BD111D" w:rsidRPr="002462E6" w:rsidRDefault="00BD111D" w:rsidP="00BD111D">
      <w:pPr>
        <w:ind w:left="1416"/>
        <w:jc w:val="both"/>
        <w:rPr>
          <w:rFonts w:ascii="Tahoma" w:hAnsi="Tahoma" w:cs="Tahoma"/>
          <w:b/>
          <w:bCs/>
          <w:color w:val="000000"/>
          <w:sz w:val="27"/>
          <w:szCs w:val="27"/>
          <w:shd w:val="clear" w:color="auto" w:fill="FFFFFF"/>
        </w:rPr>
      </w:pPr>
      <w:r w:rsidRPr="002462E6">
        <w:rPr>
          <w:rFonts w:ascii="Tahoma" w:hAnsi="Tahoma" w:cs="Tahoma"/>
          <w:b/>
          <w:bCs/>
          <w:color w:val="000000"/>
          <w:sz w:val="27"/>
          <w:szCs w:val="27"/>
          <w:shd w:val="clear" w:color="auto" w:fill="FFFFFF"/>
        </w:rPr>
        <w:t>77. Etes-vous en relation avec les gestionnaires des eaux et forêts ?</w:t>
      </w:r>
    </w:p>
    <w:p w:rsidR="00BD111D" w:rsidRPr="002462E6" w:rsidRDefault="00BD111D" w:rsidP="00BD111D">
      <w:pPr>
        <w:ind w:left="2124" w:firstLine="708"/>
        <w:rPr>
          <w:color w:val="000000" w:themeColor="text1"/>
        </w:rPr>
      </w:pPr>
      <w:r w:rsidRPr="002462E6">
        <w:rPr>
          <w:rFonts w:ascii="Helvetica" w:eastAsia="Times New Roman" w:hAnsi="Helvetica" w:cs="Helvetica"/>
          <w:b/>
          <w:bCs/>
          <w:color w:val="000000" w:themeColor="text1"/>
          <w:sz w:val="45"/>
          <w:szCs w:val="45"/>
          <w:lang w:eastAsia="fr-FR"/>
        </w:rPr>
        <w:t>□</w:t>
      </w:r>
      <w:r w:rsidRPr="002462E6">
        <w:rPr>
          <w:color w:val="000000" w:themeColor="text1"/>
        </w:rPr>
        <w:t xml:space="preserve">Oui                                     </w:t>
      </w:r>
      <w:r w:rsidRPr="002462E6">
        <w:rPr>
          <w:rFonts w:ascii="Helvetica" w:eastAsia="Times New Roman" w:hAnsi="Helvetica" w:cs="Helvetica"/>
          <w:b/>
          <w:bCs/>
          <w:color w:val="000000" w:themeColor="text1"/>
          <w:sz w:val="45"/>
          <w:szCs w:val="45"/>
          <w:lang w:eastAsia="fr-FR"/>
        </w:rPr>
        <w:t>□</w:t>
      </w:r>
      <w:r w:rsidRPr="002462E6">
        <w:rPr>
          <w:color w:val="000000" w:themeColor="text1"/>
        </w:rPr>
        <w:t>non</w:t>
      </w:r>
    </w:p>
    <w:p w:rsidR="00BD111D" w:rsidRPr="002462E6" w:rsidRDefault="00BD111D" w:rsidP="00BD111D">
      <w:pPr>
        <w:ind w:left="2124" w:firstLine="708"/>
        <w:rPr>
          <w:color w:val="000000" w:themeColor="text1"/>
        </w:rPr>
      </w:pPr>
    </w:p>
    <w:p w:rsidR="00BD111D" w:rsidRPr="002462E6" w:rsidRDefault="00BD111D" w:rsidP="00BD111D">
      <w:pPr>
        <w:ind w:left="1416"/>
        <w:jc w:val="both"/>
        <w:rPr>
          <w:rFonts w:ascii="Tahoma" w:hAnsi="Tahoma" w:cs="Tahoma"/>
          <w:b/>
          <w:bCs/>
          <w:color w:val="000000"/>
          <w:sz w:val="27"/>
          <w:szCs w:val="27"/>
          <w:shd w:val="clear" w:color="auto" w:fill="FFFFFF"/>
        </w:rPr>
      </w:pPr>
      <w:r w:rsidRPr="002462E6">
        <w:rPr>
          <w:rFonts w:ascii="Tahoma" w:hAnsi="Tahoma" w:cs="Tahoma"/>
          <w:b/>
          <w:bCs/>
          <w:color w:val="000000"/>
          <w:sz w:val="27"/>
          <w:szCs w:val="27"/>
          <w:shd w:val="clear" w:color="auto" w:fill="FFFFFF"/>
        </w:rPr>
        <w:t>78. Si oui, comment qualifiez-vous cette relation ?</w:t>
      </w:r>
    </w:p>
    <w:p w:rsidR="00BD111D" w:rsidRPr="002462E6" w:rsidRDefault="00BD111D" w:rsidP="00BD111D">
      <w:pPr>
        <w:ind w:left="2124" w:firstLine="708"/>
        <w:rPr>
          <w:color w:val="000000" w:themeColor="text1"/>
        </w:rPr>
      </w:pPr>
      <w:r w:rsidRPr="002462E6">
        <w:rPr>
          <w:rFonts w:ascii="Helvetica" w:eastAsia="Times New Roman" w:hAnsi="Helvetica" w:cs="Helvetica"/>
          <w:b/>
          <w:bCs/>
          <w:color w:val="000000" w:themeColor="text1"/>
          <w:sz w:val="45"/>
          <w:szCs w:val="45"/>
          <w:lang w:eastAsia="fr-FR"/>
        </w:rPr>
        <w:t>□</w:t>
      </w:r>
      <w:r w:rsidRPr="002462E6">
        <w:rPr>
          <w:rStyle w:val="Accentuation"/>
          <w:rFonts w:ascii="Arial" w:hAnsi="Arial" w:cs="Arial"/>
          <w:color w:val="444444"/>
          <w:sz w:val="25"/>
          <w:szCs w:val="25"/>
          <w:shd w:val="clear" w:color="auto" w:fill="FFFFFF"/>
        </w:rPr>
        <w:t xml:space="preserve"> </w:t>
      </w:r>
      <w:r w:rsidRPr="002462E6">
        <w:rPr>
          <w:color w:val="000000" w:themeColor="text1"/>
        </w:rPr>
        <w:t>Très satisfaite</w:t>
      </w:r>
      <w:r w:rsidRPr="002462E6">
        <w:rPr>
          <w:i/>
          <w:iCs/>
          <w:color w:val="000000" w:themeColor="text1"/>
        </w:rPr>
        <w:t> </w:t>
      </w:r>
    </w:p>
    <w:p w:rsidR="00BD111D" w:rsidRPr="002462E6" w:rsidRDefault="00BD111D" w:rsidP="00BD111D">
      <w:pPr>
        <w:ind w:left="2124" w:firstLine="708"/>
        <w:rPr>
          <w:rFonts w:ascii="Helvetica" w:eastAsia="Times New Roman" w:hAnsi="Helvetica" w:cs="Helvetica"/>
          <w:b/>
          <w:bCs/>
          <w:color w:val="000000" w:themeColor="text1"/>
          <w:sz w:val="45"/>
          <w:szCs w:val="45"/>
          <w:lang w:eastAsia="fr-FR"/>
        </w:rPr>
      </w:pPr>
      <w:r w:rsidRPr="002462E6">
        <w:rPr>
          <w:rFonts w:ascii="Helvetica" w:eastAsia="Times New Roman" w:hAnsi="Helvetica" w:cs="Helvetica"/>
          <w:b/>
          <w:bCs/>
          <w:color w:val="000000" w:themeColor="text1"/>
          <w:sz w:val="45"/>
          <w:szCs w:val="45"/>
          <w:lang w:eastAsia="fr-FR"/>
        </w:rPr>
        <w:t>□</w:t>
      </w:r>
      <w:r w:rsidRPr="002462E6">
        <w:rPr>
          <w:rStyle w:val="Accentuation"/>
          <w:rFonts w:ascii="Arial" w:hAnsi="Arial" w:cs="Arial"/>
          <w:color w:val="444444"/>
          <w:sz w:val="25"/>
          <w:szCs w:val="25"/>
          <w:shd w:val="clear" w:color="auto" w:fill="FFFFFF"/>
        </w:rPr>
        <w:t xml:space="preserve"> </w:t>
      </w:r>
      <w:r w:rsidRPr="002462E6">
        <w:rPr>
          <w:i/>
          <w:iCs/>
          <w:color w:val="000000" w:themeColor="text1"/>
        </w:rPr>
        <w:t>Plutôt satisfaite</w:t>
      </w:r>
    </w:p>
    <w:p w:rsidR="00BD111D" w:rsidRPr="002462E6" w:rsidRDefault="00BD111D" w:rsidP="00BD111D">
      <w:pPr>
        <w:ind w:left="2124" w:firstLine="708"/>
        <w:rPr>
          <w:color w:val="000000" w:themeColor="text1"/>
        </w:rPr>
      </w:pPr>
      <w:r w:rsidRPr="002462E6">
        <w:rPr>
          <w:rFonts w:ascii="Helvetica" w:eastAsia="Times New Roman" w:hAnsi="Helvetica" w:cs="Helvetica"/>
          <w:b/>
          <w:bCs/>
          <w:color w:val="000000" w:themeColor="text1"/>
          <w:sz w:val="45"/>
          <w:szCs w:val="45"/>
          <w:lang w:eastAsia="fr-FR"/>
        </w:rPr>
        <w:t>□</w:t>
      </w:r>
      <w:r w:rsidRPr="002462E6">
        <w:rPr>
          <w:rStyle w:val="Accentuation"/>
          <w:rFonts w:ascii="Arial" w:hAnsi="Arial" w:cs="Arial"/>
          <w:color w:val="444444"/>
          <w:sz w:val="25"/>
          <w:szCs w:val="25"/>
          <w:shd w:val="clear" w:color="auto" w:fill="FFFFFF"/>
        </w:rPr>
        <w:t xml:space="preserve"> </w:t>
      </w:r>
      <w:r w:rsidRPr="002462E6">
        <w:rPr>
          <w:color w:val="000000" w:themeColor="text1"/>
        </w:rPr>
        <w:t>Peu satisfaite </w:t>
      </w:r>
    </w:p>
    <w:p w:rsidR="00BD111D" w:rsidRPr="002462E6" w:rsidRDefault="00BD111D" w:rsidP="00BD111D">
      <w:pPr>
        <w:ind w:left="2124" w:firstLine="708"/>
      </w:pPr>
      <w:r w:rsidRPr="002462E6">
        <w:rPr>
          <w:rFonts w:ascii="Helvetica" w:eastAsia="Times New Roman" w:hAnsi="Helvetica" w:cs="Helvetica"/>
          <w:b/>
          <w:bCs/>
          <w:color w:val="000000" w:themeColor="text1"/>
          <w:sz w:val="45"/>
          <w:szCs w:val="45"/>
          <w:lang w:eastAsia="fr-FR"/>
        </w:rPr>
        <w:t>□</w:t>
      </w:r>
      <w:r w:rsidRPr="002462E6">
        <w:rPr>
          <w:color w:val="000000" w:themeColor="text1"/>
        </w:rPr>
        <w:t>Pas du tout satisfait</w:t>
      </w:r>
    </w:p>
    <w:p w:rsidR="00BD111D" w:rsidRPr="002462E6" w:rsidRDefault="00BD111D" w:rsidP="00BD111D">
      <w:pPr>
        <w:rPr>
          <w:color w:val="000000" w:themeColor="text1"/>
        </w:rPr>
      </w:pPr>
      <w:r w:rsidRPr="002462E6">
        <w:rPr>
          <w:rFonts w:ascii="Helvetica" w:eastAsia="Times New Roman" w:hAnsi="Helvetica" w:cs="Helvetica"/>
          <w:b/>
          <w:bCs/>
          <w:color w:val="000000" w:themeColor="text1"/>
          <w:sz w:val="45"/>
          <w:szCs w:val="45"/>
          <w:lang w:eastAsia="fr-FR"/>
        </w:rPr>
        <w:t xml:space="preserve">                       □</w:t>
      </w:r>
      <w:r w:rsidRPr="002462E6">
        <w:rPr>
          <w:color w:val="000000" w:themeColor="text1"/>
        </w:rPr>
        <w:t xml:space="preserve">Autre, à préciser : </w:t>
      </w:r>
    </w:p>
    <w:p w:rsidR="00BD111D" w:rsidRPr="002462E6" w:rsidRDefault="00BD111D" w:rsidP="00BD111D">
      <w:pPr>
        <w:ind w:left="2124" w:firstLine="708"/>
        <w:rPr>
          <w:color w:val="000000" w:themeColor="text1"/>
        </w:rPr>
      </w:pPr>
    </w:p>
    <w:p w:rsidR="00BD111D" w:rsidRPr="002462E6" w:rsidRDefault="00BD111D" w:rsidP="00BD111D">
      <w:pPr>
        <w:rPr>
          <w:color w:val="000000" w:themeColor="text1"/>
        </w:rPr>
      </w:pPr>
    </w:p>
    <w:p w:rsidR="00BD111D" w:rsidRPr="002462E6" w:rsidRDefault="00BD111D" w:rsidP="00BD111D">
      <w:pPr>
        <w:ind w:left="2124" w:firstLine="708"/>
        <w:rPr>
          <w:color w:val="000000" w:themeColor="text1"/>
        </w:rPr>
      </w:pPr>
    </w:p>
    <w:p w:rsidR="00BD111D" w:rsidRPr="002462E6" w:rsidRDefault="00BD111D" w:rsidP="00BD111D">
      <w:pPr>
        <w:ind w:left="708" w:firstLine="708"/>
        <w:rPr>
          <w:rFonts w:ascii="Tahoma" w:hAnsi="Tahoma" w:cs="Tahoma"/>
          <w:b/>
          <w:bCs/>
          <w:color w:val="000000"/>
          <w:sz w:val="27"/>
          <w:szCs w:val="27"/>
          <w:shd w:val="clear" w:color="auto" w:fill="FFFFFF"/>
        </w:rPr>
      </w:pPr>
      <w:r w:rsidRPr="002462E6">
        <w:rPr>
          <w:rFonts w:ascii="Tahoma" w:hAnsi="Tahoma" w:cs="Tahoma"/>
          <w:b/>
          <w:bCs/>
          <w:color w:val="000000"/>
          <w:sz w:val="27"/>
          <w:szCs w:val="27"/>
          <w:shd w:val="clear" w:color="auto" w:fill="FFFFFF"/>
        </w:rPr>
        <w:t>79. Est-ce qu’un membre de votre famille a déjà quitté définitivement le douar ?</w:t>
      </w:r>
    </w:p>
    <w:p w:rsidR="00BD111D" w:rsidRPr="002462E6" w:rsidRDefault="00BD111D" w:rsidP="00BD111D">
      <w:pPr>
        <w:ind w:left="2124" w:firstLine="708"/>
        <w:rPr>
          <w:color w:val="000000" w:themeColor="text1"/>
        </w:rPr>
      </w:pPr>
      <w:r w:rsidRPr="002462E6">
        <w:rPr>
          <w:rFonts w:ascii="Helvetica" w:eastAsia="Times New Roman" w:hAnsi="Helvetica" w:cs="Helvetica"/>
          <w:b/>
          <w:bCs/>
          <w:color w:val="000000" w:themeColor="text1"/>
          <w:sz w:val="45"/>
          <w:szCs w:val="45"/>
          <w:lang w:eastAsia="fr-FR"/>
        </w:rPr>
        <w:t>□</w:t>
      </w:r>
      <w:r w:rsidRPr="002462E6">
        <w:rPr>
          <w:color w:val="000000" w:themeColor="text1"/>
        </w:rPr>
        <w:t xml:space="preserve">Oui                                     </w:t>
      </w:r>
      <w:r w:rsidRPr="002462E6">
        <w:rPr>
          <w:rFonts w:ascii="Helvetica" w:eastAsia="Times New Roman" w:hAnsi="Helvetica" w:cs="Helvetica"/>
          <w:b/>
          <w:bCs/>
          <w:color w:val="000000" w:themeColor="text1"/>
          <w:sz w:val="45"/>
          <w:szCs w:val="45"/>
          <w:lang w:eastAsia="fr-FR"/>
        </w:rPr>
        <w:t>□</w:t>
      </w:r>
      <w:r w:rsidRPr="002462E6">
        <w:rPr>
          <w:color w:val="000000" w:themeColor="text1"/>
        </w:rPr>
        <w:t>non</w:t>
      </w:r>
    </w:p>
    <w:p w:rsidR="00BD111D" w:rsidRPr="002462E6" w:rsidRDefault="00BD111D" w:rsidP="00BD111D">
      <w:pPr>
        <w:ind w:left="708" w:firstLine="708"/>
        <w:rPr>
          <w:rFonts w:ascii="Tahoma" w:hAnsi="Tahoma" w:cs="Tahoma"/>
          <w:b/>
          <w:bCs/>
          <w:color w:val="000000"/>
          <w:sz w:val="27"/>
          <w:szCs w:val="27"/>
          <w:shd w:val="clear" w:color="auto" w:fill="FFFFFF"/>
        </w:rPr>
      </w:pPr>
      <w:r w:rsidRPr="002462E6">
        <w:rPr>
          <w:rFonts w:ascii="Tahoma" w:hAnsi="Tahoma" w:cs="Tahoma"/>
          <w:b/>
          <w:bCs/>
          <w:color w:val="000000"/>
          <w:sz w:val="27"/>
          <w:szCs w:val="27"/>
          <w:shd w:val="clear" w:color="auto" w:fill="FFFFFF"/>
        </w:rPr>
        <w:t>80. Si oui, pourquoi ? Depuis quand ? Et pour quelle destination ?</w:t>
      </w:r>
    </w:p>
    <w:p w:rsidR="00BD111D" w:rsidRPr="002462E6" w:rsidRDefault="00BD111D" w:rsidP="00BD111D">
      <w:pPr>
        <w:ind w:left="708" w:firstLine="708"/>
        <w:rPr>
          <w:rFonts w:ascii="Tahoma" w:hAnsi="Tahoma" w:cs="Tahoma"/>
          <w:b/>
          <w:bCs/>
          <w:color w:val="000000"/>
          <w:sz w:val="27"/>
          <w:szCs w:val="27"/>
          <w:shd w:val="clear" w:color="auto" w:fill="FFFFFF"/>
        </w:rPr>
      </w:pPr>
    </w:p>
    <w:p w:rsidR="00BD111D" w:rsidRPr="002462E6" w:rsidRDefault="00BD111D" w:rsidP="00BD111D">
      <w:pPr>
        <w:ind w:left="708" w:firstLine="708"/>
        <w:rPr>
          <w:rFonts w:ascii="Tahoma" w:hAnsi="Tahoma" w:cs="Tahoma"/>
          <w:b/>
          <w:bCs/>
          <w:color w:val="000000"/>
          <w:sz w:val="27"/>
          <w:szCs w:val="27"/>
          <w:shd w:val="clear" w:color="auto" w:fill="FFFFFF"/>
        </w:rPr>
      </w:pPr>
      <w:r w:rsidRPr="002462E6">
        <w:rPr>
          <w:rFonts w:ascii="Tahoma" w:hAnsi="Tahoma" w:cs="Tahoma"/>
          <w:b/>
          <w:bCs/>
          <w:color w:val="000000"/>
          <w:sz w:val="27"/>
          <w:szCs w:val="27"/>
          <w:shd w:val="clear" w:color="auto" w:fill="FFFFFF"/>
        </w:rPr>
        <w:t>81. Et vous, avez-vous pensé à l’exode rural ?</w:t>
      </w:r>
    </w:p>
    <w:p w:rsidR="00BD111D" w:rsidRPr="002462E6" w:rsidRDefault="00BD111D" w:rsidP="00BD111D">
      <w:pPr>
        <w:ind w:left="2124" w:firstLine="708"/>
        <w:rPr>
          <w:color w:val="000000" w:themeColor="text1"/>
        </w:rPr>
      </w:pPr>
      <w:r w:rsidRPr="002462E6">
        <w:rPr>
          <w:rFonts w:ascii="Helvetica" w:eastAsia="Times New Roman" w:hAnsi="Helvetica" w:cs="Helvetica"/>
          <w:b/>
          <w:bCs/>
          <w:color w:val="000000" w:themeColor="text1"/>
          <w:sz w:val="45"/>
          <w:szCs w:val="45"/>
          <w:lang w:eastAsia="fr-FR"/>
        </w:rPr>
        <w:t>□</w:t>
      </w:r>
      <w:r w:rsidRPr="002462E6">
        <w:rPr>
          <w:color w:val="000000" w:themeColor="text1"/>
        </w:rPr>
        <w:t xml:space="preserve">Oui                                     </w:t>
      </w:r>
      <w:r w:rsidRPr="002462E6">
        <w:rPr>
          <w:rFonts w:ascii="Helvetica" w:eastAsia="Times New Roman" w:hAnsi="Helvetica" w:cs="Helvetica"/>
          <w:b/>
          <w:bCs/>
          <w:color w:val="000000" w:themeColor="text1"/>
          <w:sz w:val="45"/>
          <w:szCs w:val="45"/>
          <w:lang w:eastAsia="fr-FR"/>
        </w:rPr>
        <w:t>□</w:t>
      </w:r>
      <w:r w:rsidRPr="002462E6">
        <w:rPr>
          <w:color w:val="000000" w:themeColor="text1"/>
        </w:rPr>
        <w:t>non</w:t>
      </w:r>
    </w:p>
    <w:p w:rsidR="00BD111D" w:rsidRPr="002462E6" w:rsidRDefault="00BD111D" w:rsidP="00BD111D">
      <w:pPr>
        <w:ind w:left="708" w:firstLine="708"/>
        <w:rPr>
          <w:rFonts w:ascii="Tahoma" w:hAnsi="Tahoma" w:cs="Tahoma"/>
          <w:b/>
          <w:bCs/>
          <w:color w:val="000000"/>
          <w:sz w:val="27"/>
          <w:szCs w:val="27"/>
          <w:shd w:val="clear" w:color="auto" w:fill="FFFFFF"/>
        </w:rPr>
      </w:pPr>
      <w:r w:rsidRPr="002462E6">
        <w:rPr>
          <w:rFonts w:ascii="Tahoma" w:hAnsi="Tahoma" w:cs="Tahoma"/>
          <w:b/>
          <w:bCs/>
          <w:color w:val="000000"/>
          <w:sz w:val="27"/>
          <w:szCs w:val="27"/>
          <w:shd w:val="clear" w:color="auto" w:fill="FFFFFF"/>
        </w:rPr>
        <w:t xml:space="preserve">82. Si oui, merci de préciser le ou les motifs ? </w:t>
      </w:r>
    </w:p>
    <w:p w:rsidR="00BD111D" w:rsidRPr="002462E6" w:rsidRDefault="00BD111D" w:rsidP="00BD111D">
      <w:pPr>
        <w:ind w:left="2124" w:firstLine="708"/>
        <w:rPr>
          <w:rFonts w:ascii="Tahoma" w:hAnsi="Tahoma" w:cs="Tahoma"/>
          <w:b/>
          <w:bCs/>
          <w:color w:val="000000"/>
          <w:sz w:val="27"/>
          <w:szCs w:val="27"/>
          <w:shd w:val="clear" w:color="auto" w:fill="FFFFFF"/>
        </w:rPr>
      </w:pPr>
      <w:r w:rsidRPr="002462E6">
        <w:rPr>
          <w:rFonts w:ascii="Helvetica" w:eastAsia="Times New Roman" w:hAnsi="Helvetica" w:cs="Helvetica"/>
          <w:b/>
          <w:bCs/>
          <w:color w:val="000000" w:themeColor="text1"/>
          <w:sz w:val="45"/>
          <w:szCs w:val="45"/>
          <w:lang w:eastAsia="fr-FR"/>
        </w:rPr>
        <w:t>□</w:t>
      </w:r>
      <w:r w:rsidRPr="002462E6">
        <w:rPr>
          <w:color w:val="000000" w:themeColor="text1"/>
        </w:rPr>
        <w:t>Déficit scolaire</w:t>
      </w:r>
      <w:r w:rsidRPr="002462E6">
        <w:rPr>
          <w:rFonts w:ascii="Helvetica" w:eastAsia="Times New Roman" w:hAnsi="Helvetica" w:cs="Helvetica"/>
          <w:b/>
          <w:bCs/>
          <w:color w:val="000000" w:themeColor="text1"/>
          <w:sz w:val="45"/>
          <w:szCs w:val="45"/>
          <w:lang w:eastAsia="fr-FR"/>
        </w:rPr>
        <w:t xml:space="preserve"> </w:t>
      </w:r>
    </w:p>
    <w:p w:rsidR="00BD111D" w:rsidRPr="002462E6" w:rsidRDefault="00BD111D" w:rsidP="00BD111D">
      <w:pPr>
        <w:ind w:left="2124" w:firstLine="708"/>
        <w:rPr>
          <w:color w:val="000000" w:themeColor="text1"/>
        </w:rPr>
      </w:pPr>
      <w:r w:rsidRPr="002462E6">
        <w:rPr>
          <w:rFonts w:ascii="Helvetica" w:eastAsia="Times New Roman" w:hAnsi="Helvetica" w:cs="Helvetica"/>
          <w:b/>
          <w:bCs/>
          <w:color w:val="000000" w:themeColor="text1"/>
          <w:sz w:val="45"/>
          <w:szCs w:val="45"/>
          <w:lang w:eastAsia="fr-FR"/>
        </w:rPr>
        <w:t>□</w:t>
      </w:r>
      <w:r w:rsidRPr="002462E6">
        <w:rPr>
          <w:color w:val="000000" w:themeColor="text1"/>
        </w:rPr>
        <w:t>Déficit sanitaire</w:t>
      </w:r>
    </w:p>
    <w:p w:rsidR="00BD111D" w:rsidRPr="002462E6" w:rsidRDefault="00BD111D" w:rsidP="00BD111D">
      <w:pPr>
        <w:ind w:left="2124" w:firstLine="708"/>
        <w:rPr>
          <w:rFonts w:ascii="Helvetica" w:eastAsia="Times New Roman" w:hAnsi="Helvetica" w:cs="Helvetica"/>
          <w:b/>
          <w:bCs/>
          <w:color w:val="000000" w:themeColor="text1"/>
          <w:sz w:val="45"/>
          <w:szCs w:val="45"/>
          <w:lang w:eastAsia="fr-FR"/>
        </w:rPr>
      </w:pPr>
      <w:r w:rsidRPr="002462E6">
        <w:rPr>
          <w:rFonts w:ascii="Helvetica" w:eastAsia="Times New Roman" w:hAnsi="Helvetica" w:cs="Helvetica"/>
          <w:b/>
          <w:bCs/>
          <w:color w:val="000000" w:themeColor="text1"/>
          <w:sz w:val="45"/>
          <w:szCs w:val="45"/>
          <w:lang w:eastAsia="fr-FR"/>
        </w:rPr>
        <w:t>□</w:t>
      </w:r>
      <w:r w:rsidRPr="002462E6">
        <w:rPr>
          <w:color w:val="000000" w:themeColor="text1"/>
        </w:rPr>
        <w:t>Dégradation forestière et</w:t>
      </w:r>
      <w:r w:rsidRPr="002462E6">
        <w:rPr>
          <w:rFonts w:ascii="Helvetica" w:eastAsia="Times New Roman" w:hAnsi="Helvetica" w:cs="Helvetica"/>
          <w:b/>
          <w:bCs/>
          <w:color w:val="000000" w:themeColor="text1"/>
          <w:sz w:val="45"/>
          <w:szCs w:val="45"/>
          <w:lang w:eastAsia="fr-FR"/>
        </w:rPr>
        <w:t xml:space="preserve"> </w:t>
      </w:r>
      <w:r w:rsidRPr="002462E6">
        <w:rPr>
          <w:color w:val="000000" w:themeColor="text1"/>
        </w:rPr>
        <w:t>pastorale</w:t>
      </w:r>
    </w:p>
    <w:p w:rsidR="00BD111D" w:rsidRPr="002462E6" w:rsidRDefault="00BD111D" w:rsidP="00BD111D">
      <w:pPr>
        <w:ind w:left="2124"/>
        <w:rPr>
          <w:color w:val="000000" w:themeColor="text1"/>
        </w:rPr>
      </w:pPr>
      <w:r w:rsidRPr="002462E6">
        <w:rPr>
          <w:rFonts w:ascii="Helvetica" w:eastAsia="Times New Roman" w:hAnsi="Helvetica" w:cs="Helvetica"/>
          <w:b/>
          <w:bCs/>
          <w:color w:val="000000" w:themeColor="text1"/>
          <w:sz w:val="45"/>
          <w:szCs w:val="45"/>
          <w:lang w:eastAsia="fr-FR"/>
        </w:rPr>
        <w:t xml:space="preserve">     □</w:t>
      </w:r>
      <w:r w:rsidRPr="002462E6">
        <w:rPr>
          <w:color w:val="000000" w:themeColor="text1"/>
        </w:rPr>
        <w:t xml:space="preserve">Logement insalubre   </w:t>
      </w:r>
    </w:p>
    <w:p w:rsidR="00BD111D" w:rsidRPr="002462E6" w:rsidRDefault="00BD111D" w:rsidP="00BD111D">
      <w:pPr>
        <w:ind w:left="2124"/>
        <w:rPr>
          <w:color w:val="000000" w:themeColor="text1"/>
        </w:rPr>
      </w:pPr>
      <w:r w:rsidRPr="002462E6">
        <w:rPr>
          <w:color w:val="000000" w:themeColor="text1"/>
        </w:rPr>
        <w:t xml:space="preserve">            </w:t>
      </w:r>
      <w:r w:rsidRPr="002462E6">
        <w:rPr>
          <w:rFonts w:ascii="Helvetica" w:eastAsia="Times New Roman" w:hAnsi="Helvetica" w:cs="Helvetica"/>
          <w:b/>
          <w:bCs/>
          <w:color w:val="000000" w:themeColor="text1"/>
          <w:sz w:val="45"/>
          <w:szCs w:val="45"/>
          <w:lang w:eastAsia="fr-FR"/>
        </w:rPr>
        <w:t>□</w:t>
      </w:r>
      <w:r w:rsidRPr="002462E6">
        <w:rPr>
          <w:color w:val="000000" w:themeColor="text1"/>
        </w:rPr>
        <w:t>Emploi précaire</w:t>
      </w:r>
    </w:p>
    <w:p w:rsidR="00BD111D" w:rsidRPr="002462E6" w:rsidRDefault="00BD111D" w:rsidP="00BD111D">
      <w:pPr>
        <w:rPr>
          <w:color w:val="000000" w:themeColor="text1"/>
        </w:rPr>
      </w:pPr>
      <w:r w:rsidRPr="002462E6">
        <w:rPr>
          <w:rFonts w:ascii="Helvetica" w:eastAsia="Times New Roman" w:hAnsi="Helvetica" w:cs="Helvetica"/>
          <w:b/>
          <w:bCs/>
          <w:color w:val="000000" w:themeColor="text1"/>
          <w:sz w:val="45"/>
          <w:szCs w:val="45"/>
          <w:lang w:eastAsia="fr-FR"/>
        </w:rPr>
        <w:t xml:space="preserve">                      □</w:t>
      </w:r>
      <w:r w:rsidRPr="002462E6">
        <w:rPr>
          <w:color w:val="000000" w:themeColor="text1"/>
        </w:rPr>
        <w:t xml:space="preserve">Autre, à préciser : </w:t>
      </w:r>
    </w:p>
    <w:p w:rsidR="00BD111D" w:rsidRPr="002462E6" w:rsidRDefault="00BD111D" w:rsidP="00BD111D">
      <w:pPr>
        <w:ind w:left="708" w:firstLine="708"/>
        <w:rPr>
          <w:rFonts w:ascii="Tahoma" w:hAnsi="Tahoma" w:cs="Tahoma"/>
          <w:b/>
          <w:bCs/>
          <w:color w:val="000000"/>
          <w:sz w:val="27"/>
          <w:szCs w:val="27"/>
          <w:shd w:val="clear" w:color="auto" w:fill="FFFFFF"/>
        </w:rPr>
      </w:pPr>
      <w:r w:rsidRPr="002462E6">
        <w:rPr>
          <w:rFonts w:ascii="Tahoma" w:hAnsi="Tahoma" w:cs="Tahoma"/>
          <w:b/>
          <w:bCs/>
          <w:color w:val="000000"/>
          <w:sz w:val="27"/>
          <w:szCs w:val="27"/>
          <w:shd w:val="clear" w:color="auto" w:fill="FFFFFF"/>
        </w:rPr>
        <w:t>83. Que suggérez-vous pour améliorer vos conditions de vie et préserver la forêt contre la dégradation ?</w:t>
      </w:r>
    </w:p>
    <w:p w:rsidR="00BD111D" w:rsidRPr="002462E6" w:rsidRDefault="00BD111D" w:rsidP="00BD111D">
      <w:pPr>
        <w:ind w:left="1416"/>
        <w:rPr>
          <w:color w:val="000000"/>
          <w:sz w:val="27"/>
          <w:szCs w:val="27"/>
        </w:rPr>
      </w:pPr>
    </w:p>
    <w:p w:rsidR="00BD111D" w:rsidRPr="002462E6" w:rsidRDefault="00BD111D" w:rsidP="00BD111D">
      <w:pPr>
        <w:rPr>
          <w:rFonts w:ascii="Tahoma" w:eastAsia="Times New Roman" w:hAnsi="Tahoma" w:cs="Tahoma"/>
          <w:color w:val="000000"/>
          <w:sz w:val="27"/>
          <w:szCs w:val="27"/>
          <w:lang w:eastAsia="fr-FR"/>
        </w:rPr>
      </w:pPr>
    </w:p>
    <w:p w:rsidR="00AC59BD" w:rsidRPr="002462E6" w:rsidRDefault="00AC59BD">
      <w:pPr>
        <w:rPr>
          <w:rFonts w:ascii="Tahoma" w:eastAsia="Calibri" w:hAnsi="Tahoma" w:cs="Times New Roman"/>
          <w:noProof/>
          <w:color w:val="0070C0"/>
          <w:spacing w:val="5"/>
          <w:kern w:val="28"/>
          <w:sz w:val="32"/>
          <w:szCs w:val="32"/>
          <w:lang w:eastAsia="fr-FR"/>
        </w:rPr>
      </w:pPr>
      <w:bookmarkStart w:id="507" w:name="_Toc183614389"/>
      <w:bookmarkStart w:id="508" w:name="_Toc190769623"/>
      <w:bookmarkStart w:id="509" w:name="_Toc190774762"/>
      <w:r w:rsidRPr="002462E6">
        <w:rPr>
          <w:rFonts w:ascii="Tahoma" w:eastAsia="Calibri" w:hAnsi="Tahoma" w:cs="Times New Roman"/>
          <w:noProof/>
          <w:color w:val="0070C0"/>
          <w:spacing w:val="5"/>
          <w:kern w:val="28"/>
          <w:sz w:val="32"/>
          <w:szCs w:val="32"/>
          <w:lang w:eastAsia="fr-FR"/>
        </w:rPr>
        <w:br w:type="page"/>
      </w:r>
    </w:p>
    <w:p w:rsidR="00AC59BD" w:rsidRPr="002462E6" w:rsidRDefault="001A36FE" w:rsidP="002F1A32">
      <w:pPr>
        <w:pStyle w:val="Titre"/>
      </w:pPr>
      <w:bookmarkStart w:id="510" w:name="_Toc201570937"/>
      <w:bookmarkStart w:id="511" w:name="_Toc201655551"/>
      <w:bookmarkStart w:id="512" w:name="_Toc203643145"/>
      <w:r w:rsidRPr="002462E6">
        <w:t xml:space="preserve">ANNEXE </w:t>
      </w:r>
      <w:bookmarkEnd w:id="507"/>
      <w:bookmarkEnd w:id="508"/>
      <w:bookmarkEnd w:id="509"/>
      <w:r w:rsidRPr="002462E6">
        <w:t>2</w:t>
      </w:r>
      <w:bookmarkEnd w:id="510"/>
      <w:bookmarkEnd w:id="511"/>
      <w:bookmarkEnd w:id="512"/>
    </w:p>
    <w:tbl>
      <w:tblPr>
        <w:tblW w:w="5000" w:type="pct"/>
        <w:jc w:val="center"/>
        <w:tblCellSpacing w:w="0" w:type="dxa"/>
        <w:tblCellMar>
          <w:left w:w="0" w:type="dxa"/>
          <w:right w:w="0" w:type="dxa"/>
        </w:tblCellMar>
        <w:tblLook w:val="04A0" w:firstRow="1" w:lastRow="0" w:firstColumn="1" w:lastColumn="0" w:noHBand="0" w:noVBand="1"/>
      </w:tblPr>
      <w:tblGrid>
        <w:gridCol w:w="2313"/>
        <w:gridCol w:w="3353"/>
        <w:gridCol w:w="3690"/>
      </w:tblGrid>
      <w:tr w:rsidR="00BD111D" w:rsidRPr="002462E6" w:rsidTr="00AB299B">
        <w:trPr>
          <w:trHeight w:val="390"/>
          <w:tblCellSpacing w:w="0" w:type="dxa"/>
          <w:jc w:val="center"/>
        </w:trPr>
        <w:tc>
          <w:tcPr>
            <w:tcW w:w="0" w:type="auto"/>
            <w:vAlign w:val="center"/>
            <w:hideMark/>
          </w:tcPr>
          <w:p w:rsidR="00BD111D" w:rsidRPr="002462E6" w:rsidRDefault="00BD111D" w:rsidP="00AB299B">
            <w:pPr>
              <w:spacing w:after="0" w:line="240" w:lineRule="auto"/>
              <w:jc w:val="both"/>
              <w:rPr>
                <w:rFonts w:ascii="Tahoma" w:eastAsia="Times New Roman" w:hAnsi="Tahoma" w:cs="Tahoma"/>
                <w:sz w:val="24"/>
                <w:szCs w:val="24"/>
                <w:lang w:eastAsia="fr-FR"/>
              </w:rPr>
            </w:pPr>
            <w:r w:rsidRPr="002462E6">
              <w:rPr>
                <w:rFonts w:ascii="Tahoma" w:eastAsia="Times New Roman" w:hAnsi="Tahoma" w:cs="Tahoma"/>
                <w:b/>
                <w:bCs/>
                <w:sz w:val="24"/>
                <w:szCs w:val="24"/>
                <w:lang w:eastAsia="fr-FR"/>
              </w:rPr>
              <w:t>Nations Unies</w:t>
            </w:r>
          </w:p>
        </w:tc>
        <w:tc>
          <w:tcPr>
            <w:tcW w:w="0" w:type="auto"/>
            <w:vMerge w:val="restart"/>
            <w:vAlign w:val="center"/>
            <w:hideMark/>
          </w:tcPr>
          <w:p w:rsidR="00BD111D" w:rsidRPr="002462E6" w:rsidRDefault="00BD111D" w:rsidP="00AB299B">
            <w:pPr>
              <w:spacing w:after="0" w:line="240" w:lineRule="auto"/>
              <w:jc w:val="both"/>
              <w:rPr>
                <w:rFonts w:ascii="Tahoma" w:eastAsia="Times New Roman" w:hAnsi="Tahoma" w:cs="Tahoma"/>
                <w:sz w:val="24"/>
                <w:szCs w:val="24"/>
                <w:lang w:eastAsia="fr-FR"/>
              </w:rPr>
            </w:pPr>
            <w:r w:rsidRPr="002462E6">
              <w:rPr>
                <w:rFonts w:ascii="Tahoma" w:eastAsia="Times New Roman" w:hAnsi="Tahoma" w:cs="Tahoma"/>
                <w:b/>
                <w:bCs/>
                <w:sz w:val="24"/>
                <w:szCs w:val="24"/>
                <w:lang w:eastAsia="fr-FR"/>
              </w:rPr>
              <w:t>Assemblée générale</w:t>
            </w:r>
          </w:p>
        </w:tc>
        <w:tc>
          <w:tcPr>
            <w:tcW w:w="0" w:type="auto"/>
            <w:vMerge w:val="restart"/>
            <w:vAlign w:val="center"/>
            <w:hideMark/>
          </w:tcPr>
          <w:p w:rsidR="00BD111D" w:rsidRPr="002462E6" w:rsidRDefault="00BD111D" w:rsidP="00AB299B">
            <w:pPr>
              <w:spacing w:before="100" w:beforeAutospacing="1" w:after="100" w:afterAutospacing="1" w:line="240" w:lineRule="auto"/>
              <w:jc w:val="both"/>
              <w:rPr>
                <w:rFonts w:ascii="Tahoma" w:eastAsia="Times New Roman" w:hAnsi="Tahoma" w:cs="Tahoma"/>
                <w:sz w:val="24"/>
                <w:szCs w:val="24"/>
                <w:lang w:eastAsia="fr-FR"/>
              </w:rPr>
            </w:pPr>
            <w:r w:rsidRPr="002462E6">
              <w:rPr>
                <w:rFonts w:ascii="Tahoma" w:eastAsia="Times New Roman" w:hAnsi="Tahoma" w:cs="Tahoma"/>
                <w:sz w:val="24"/>
                <w:szCs w:val="24"/>
                <w:lang w:eastAsia="fr-FR"/>
              </w:rPr>
              <w:t>A/CONF.151/26 (Vol. III)</w:t>
            </w:r>
          </w:p>
          <w:p w:rsidR="00AB299B" w:rsidRPr="002462E6" w:rsidRDefault="00BD111D" w:rsidP="00AB299B">
            <w:pPr>
              <w:spacing w:before="100" w:beforeAutospacing="1" w:after="100" w:afterAutospacing="1" w:line="240" w:lineRule="auto"/>
              <w:jc w:val="both"/>
              <w:rPr>
                <w:rFonts w:ascii="Tahoma" w:eastAsia="Times New Roman" w:hAnsi="Tahoma" w:cs="Tahoma"/>
                <w:sz w:val="24"/>
                <w:szCs w:val="24"/>
                <w:lang w:eastAsia="fr-FR"/>
              </w:rPr>
            </w:pPr>
            <w:r w:rsidRPr="002462E6">
              <w:rPr>
                <w:rFonts w:ascii="Tahoma" w:eastAsia="Times New Roman" w:hAnsi="Tahoma" w:cs="Tahoma"/>
                <w:sz w:val="24"/>
                <w:szCs w:val="24"/>
                <w:lang w:eastAsia="fr-FR"/>
              </w:rPr>
              <w:t>14 août 1992</w:t>
            </w:r>
          </w:p>
        </w:tc>
      </w:tr>
      <w:tr w:rsidR="00BD111D" w:rsidRPr="002462E6" w:rsidTr="00AB299B">
        <w:trPr>
          <w:trHeight w:val="390"/>
          <w:tblCellSpacing w:w="0" w:type="dxa"/>
          <w:jc w:val="center"/>
        </w:trPr>
        <w:tc>
          <w:tcPr>
            <w:tcW w:w="0" w:type="auto"/>
            <w:vAlign w:val="center"/>
            <w:hideMark/>
          </w:tcPr>
          <w:p w:rsidR="00BD111D" w:rsidRPr="002462E6" w:rsidRDefault="00BD111D" w:rsidP="00AB299B">
            <w:pPr>
              <w:spacing w:after="0" w:line="240" w:lineRule="auto"/>
              <w:jc w:val="both"/>
              <w:rPr>
                <w:rFonts w:ascii="Tahoma" w:eastAsia="Times New Roman" w:hAnsi="Tahoma" w:cs="Tahoma"/>
                <w:sz w:val="24"/>
                <w:szCs w:val="24"/>
                <w:lang w:eastAsia="fr-FR"/>
              </w:rPr>
            </w:pPr>
            <w:r w:rsidRPr="002462E6">
              <w:rPr>
                <w:rFonts w:ascii="Tahoma" w:eastAsia="Times New Roman" w:hAnsi="Tahoma" w:cs="Tahoma"/>
                <w:noProof/>
                <w:sz w:val="24"/>
                <w:szCs w:val="24"/>
                <w:lang w:eastAsia="fr-FR"/>
              </w:rPr>
              <mc:AlternateContent>
                <mc:Choice Requires="wps">
                  <w:drawing>
                    <wp:inline distT="0" distB="0" distL="0" distR="0" wp14:anchorId="56BAE6D6" wp14:editId="5B369168">
                      <wp:extent cx="304800" cy="304800"/>
                      <wp:effectExtent l="0" t="0" r="0" b="0"/>
                      <wp:docPr id="956995658" name="AutoShape 3" descr="C:\Users\hp\Downloads\D%C3%A9claration de principe sur les for%C3%AAts_fichiers\smlogo.gif"/>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DFA0149" id="AutoShape 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" filled="f" stroked="f">
                      <o:lock v:ext="edit" aspectratio="t"/>
                      <w10:anchorlock/>
                    </v:rect>
                  </w:pict>
                </mc:Fallback>
              </mc:AlternateContent>
            </w:r>
          </w:p>
        </w:tc>
        <w:tc>
          <w:tcPr>
            <w:tcW w:w="0" w:type="auto"/>
            <w:vMerge/>
            <w:vAlign w:val="center"/>
            <w:hideMark/>
          </w:tcPr>
          <w:p w:rsidR="00BD111D" w:rsidRPr="002462E6" w:rsidRDefault="00BD111D" w:rsidP="00AB299B">
            <w:pPr>
              <w:spacing w:after="0" w:line="240" w:lineRule="auto"/>
              <w:jc w:val="both"/>
              <w:rPr>
                <w:rFonts w:ascii="Tahoma" w:eastAsia="Times New Roman" w:hAnsi="Tahoma" w:cs="Tahoma"/>
                <w:sz w:val="24"/>
                <w:szCs w:val="24"/>
                <w:lang w:eastAsia="fr-FR"/>
              </w:rPr>
            </w:pPr>
          </w:p>
        </w:tc>
        <w:tc>
          <w:tcPr>
            <w:tcW w:w="0" w:type="auto"/>
            <w:vMerge/>
            <w:vAlign w:val="center"/>
            <w:hideMark/>
          </w:tcPr>
          <w:p w:rsidR="00BD111D" w:rsidRPr="002462E6" w:rsidRDefault="00BD111D" w:rsidP="00AB299B">
            <w:pPr>
              <w:spacing w:after="0" w:line="240" w:lineRule="auto"/>
              <w:jc w:val="both"/>
              <w:rPr>
                <w:rFonts w:ascii="Tahoma" w:eastAsia="Times New Roman" w:hAnsi="Tahoma" w:cs="Tahoma"/>
                <w:sz w:val="24"/>
                <w:szCs w:val="24"/>
                <w:lang w:eastAsia="fr-FR"/>
              </w:rPr>
            </w:pPr>
          </w:p>
        </w:tc>
      </w:tr>
    </w:tbl>
    <w:p w:rsidR="00BD111D" w:rsidRPr="002462E6" w:rsidRDefault="00642CE5" w:rsidP="00BD111D">
      <w:pPr>
        <w:spacing w:after="0" w:line="240" w:lineRule="auto"/>
        <w:jc w:val="both"/>
        <w:rPr>
          <w:rFonts w:ascii="Tahoma" w:eastAsia="Times New Roman" w:hAnsi="Tahoma" w:cs="Tahoma"/>
          <w:color w:val="000000"/>
          <w:sz w:val="24"/>
          <w:szCs w:val="24"/>
          <w:lang w:eastAsia="fr-FR"/>
        </w:rPr>
      </w:pPr>
      <w:r>
        <w:rPr>
          <w:rFonts w:ascii="Tahoma" w:eastAsia="Times New Roman" w:hAnsi="Tahoma" w:cs="Tahoma"/>
          <w:color w:val="000000"/>
          <w:sz w:val="24"/>
          <w:szCs w:val="24"/>
          <w:lang w:eastAsia="fr-FR"/>
        </w:rPr>
        <w:pict>
          <v:rect id="_x0000_i1025" style="width:0;height:1.5pt" o:hralign="center" o:hrstd="t" o:hr="t" fillcolor="#a0a0a0" stroked="f"/>
        </w:pict>
      </w:r>
    </w:p>
    <w:p w:rsidR="00BD111D" w:rsidRPr="002462E6" w:rsidRDefault="00BD111D" w:rsidP="00BD111D">
      <w:pPr>
        <w:spacing w:before="100" w:beforeAutospacing="1" w:after="100" w:afterAutospacing="1" w:line="240" w:lineRule="auto"/>
        <w:jc w:val="both"/>
        <w:rPr>
          <w:rFonts w:ascii="Tahoma" w:eastAsia="Times New Roman" w:hAnsi="Tahoma" w:cs="Tahoma"/>
          <w:color w:val="000000"/>
          <w:sz w:val="24"/>
          <w:szCs w:val="24"/>
          <w:lang w:eastAsia="fr-FR"/>
        </w:rPr>
      </w:pPr>
      <w:r w:rsidRPr="002462E6">
        <w:rPr>
          <w:rFonts w:ascii="Tahoma" w:eastAsia="Times New Roman" w:hAnsi="Tahoma" w:cs="Tahoma"/>
          <w:color w:val="000000"/>
          <w:sz w:val="24"/>
          <w:szCs w:val="24"/>
          <w:lang w:eastAsia="fr-FR"/>
        </w:rPr>
        <w:t> </w:t>
      </w:r>
    </w:p>
    <w:p w:rsidR="00BD111D" w:rsidRPr="002462E6" w:rsidRDefault="00BD111D" w:rsidP="00BD111D">
      <w:pPr>
        <w:spacing w:before="100" w:beforeAutospacing="1" w:after="100" w:afterAutospacing="1" w:line="240" w:lineRule="auto"/>
        <w:jc w:val="both"/>
        <w:rPr>
          <w:rFonts w:ascii="Tahoma" w:eastAsia="Times New Roman" w:hAnsi="Tahoma" w:cs="Tahoma"/>
          <w:color w:val="000000"/>
          <w:sz w:val="24"/>
          <w:szCs w:val="24"/>
          <w:lang w:eastAsia="fr-FR"/>
        </w:rPr>
      </w:pPr>
      <w:r w:rsidRPr="002462E6">
        <w:rPr>
          <w:rFonts w:ascii="Tahoma" w:eastAsia="Times New Roman" w:hAnsi="Tahoma" w:cs="Tahoma"/>
          <w:b/>
          <w:bCs/>
          <w:color w:val="000000"/>
          <w:sz w:val="24"/>
          <w:szCs w:val="24"/>
          <w:lang w:eastAsia="fr-FR"/>
        </w:rPr>
        <w:t>DÉCLARATION DE PRINCIPES, NON JURIDIQUEMENT CONTRAIGNANTE</w:t>
      </w:r>
      <w:r w:rsidRPr="002462E6">
        <w:rPr>
          <w:rFonts w:ascii="Tahoma" w:eastAsia="Times New Roman" w:hAnsi="Tahoma" w:cs="Tahoma"/>
          <w:b/>
          <w:bCs/>
          <w:color w:val="000000"/>
          <w:sz w:val="24"/>
          <w:szCs w:val="24"/>
          <w:lang w:eastAsia="fr-FR"/>
        </w:rPr>
        <w:br/>
        <w:t>MAIS FAISANT AUTORITÉ, POUR UN CONSENSUS MONDIAL SUR LA</w:t>
      </w:r>
      <w:r w:rsidRPr="002462E6">
        <w:rPr>
          <w:rFonts w:ascii="Tahoma" w:eastAsia="Times New Roman" w:hAnsi="Tahoma" w:cs="Tahoma"/>
          <w:b/>
          <w:bCs/>
          <w:color w:val="000000"/>
          <w:sz w:val="24"/>
          <w:szCs w:val="24"/>
          <w:lang w:eastAsia="fr-FR"/>
        </w:rPr>
        <w:br/>
        <w:t>GESTION, LA CONSERVATION ET L'EXPLOITATION ÉCOLOGIQUEMENT</w:t>
      </w:r>
      <w:r w:rsidRPr="002462E6">
        <w:rPr>
          <w:rFonts w:ascii="Tahoma" w:eastAsia="Times New Roman" w:hAnsi="Tahoma" w:cs="Tahoma"/>
          <w:b/>
          <w:bCs/>
          <w:color w:val="000000"/>
          <w:sz w:val="24"/>
          <w:szCs w:val="24"/>
          <w:lang w:eastAsia="fr-FR"/>
        </w:rPr>
        <w:br/>
        <w:t>VIABLE DE TOUS LES TYPES DE FORÊTS</w:t>
      </w:r>
    </w:p>
    <w:p w:rsidR="00BD111D" w:rsidRPr="002462E6" w:rsidRDefault="00BD111D" w:rsidP="00BD111D">
      <w:pPr>
        <w:spacing w:before="100" w:beforeAutospacing="1" w:after="100" w:afterAutospacing="1" w:line="240" w:lineRule="auto"/>
        <w:jc w:val="both"/>
        <w:rPr>
          <w:rFonts w:ascii="Tahoma" w:eastAsia="Times New Roman" w:hAnsi="Tahoma" w:cs="Tahoma"/>
          <w:color w:val="000000"/>
          <w:sz w:val="24"/>
          <w:szCs w:val="24"/>
          <w:lang w:eastAsia="fr-FR"/>
        </w:rPr>
      </w:pPr>
      <w:r w:rsidRPr="002462E6">
        <w:rPr>
          <w:rFonts w:ascii="Tahoma" w:eastAsia="Times New Roman" w:hAnsi="Tahoma" w:cs="Tahoma"/>
          <w:b/>
          <w:bCs/>
          <w:color w:val="000000"/>
          <w:sz w:val="24"/>
          <w:szCs w:val="24"/>
          <w:lang w:eastAsia="fr-FR"/>
        </w:rPr>
        <w:t>PREAMBULE</w:t>
      </w:r>
    </w:p>
    <w:p w:rsidR="00BD111D" w:rsidRPr="002462E6" w:rsidRDefault="00BD111D" w:rsidP="00BD111D">
      <w:pPr>
        <w:spacing w:before="100" w:beforeAutospacing="1" w:after="100" w:afterAutospacing="1" w:line="240" w:lineRule="auto"/>
        <w:jc w:val="both"/>
        <w:rPr>
          <w:rFonts w:ascii="Tahoma" w:eastAsia="Times New Roman" w:hAnsi="Tahoma" w:cs="Tahoma"/>
          <w:color w:val="000000"/>
          <w:sz w:val="24"/>
          <w:szCs w:val="24"/>
          <w:lang w:eastAsia="fr-FR"/>
        </w:rPr>
      </w:pPr>
      <w:r w:rsidRPr="002462E6">
        <w:rPr>
          <w:rFonts w:ascii="Tahoma" w:eastAsia="Times New Roman" w:hAnsi="Tahoma" w:cs="Tahoma"/>
          <w:color w:val="000000"/>
          <w:sz w:val="24"/>
          <w:szCs w:val="24"/>
          <w:lang w:eastAsia="fr-FR"/>
        </w:rPr>
        <w:t>a) Le thème des forêts est lié à toute la gamme des questions d'environnement et de développement ainsi qu'aux perspectives qui leur sont associées, au nombre</w:t>
      </w:r>
      <w:r w:rsidRPr="002462E6">
        <w:rPr>
          <w:rFonts w:ascii="Tahoma" w:eastAsia="Times New Roman" w:hAnsi="Tahoma" w:cs="Tahoma"/>
          <w:color w:val="000000"/>
          <w:sz w:val="24"/>
          <w:szCs w:val="24"/>
          <w:lang w:eastAsia="fr-FR"/>
        </w:rPr>
        <w:br/>
        <w:t>desquelles figure le droit au développement socio-économique sur une base durable.</w:t>
      </w:r>
    </w:p>
    <w:p w:rsidR="00BD111D" w:rsidRPr="002462E6" w:rsidRDefault="00BD111D" w:rsidP="00BD111D">
      <w:pPr>
        <w:spacing w:before="100" w:beforeAutospacing="1" w:after="100" w:afterAutospacing="1" w:line="240" w:lineRule="auto"/>
        <w:jc w:val="both"/>
        <w:rPr>
          <w:rFonts w:ascii="Tahoma" w:eastAsia="Times New Roman" w:hAnsi="Tahoma" w:cs="Tahoma"/>
          <w:color w:val="000000"/>
          <w:sz w:val="24"/>
          <w:szCs w:val="24"/>
          <w:lang w:eastAsia="fr-FR"/>
        </w:rPr>
      </w:pPr>
      <w:r w:rsidRPr="002462E6">
        <w:rPr>
          <w:rFonts w:ascii="Tahoma" w:eastAsia="Times New Roman" w:hAnsi="Tahoma" w:cs="Tahoma"/>
          <w:color w:val="000000"/>
          <w:sz w:val="24"/>
          <w:szCs w:val="24"/>
          <w:lang w:eastAsia="fr-FR"/>
        </w:rPr>
        <w:t>b) Les principes énoncés ci-après ont essentiellement pour but de contribuer à la gestion, à la conservation et à l'exploitation écologiquement viable des forêts, et de</w:t>
      </w:r>
      <w:r w:rsidRPr="002462E6">
        <w:rPr>
          <w:rFonts w:ascii="Tahoma" w:eastAsia="Times New Roman" w:hAnsi="Tahoma" w:cs="Tahoma"/>
          <w:color w:val="000000"/>
          <w:sz w:val="24"/>
          <w:szCs w:val="24"/>
          <w:lang w:eastAsia="fr-FR"/>
        </w:rPr>
        <w:br/>
        <w:t>prévoir les multiples fonctions et usages complémentaires de celles-ci.</w:t>
      </w:r>
    </w:p>
    <w:p w:rsidR="00BD111D" w:rsidRPr="002462E6" w:rsidRDefault="00BD111D" w:rsidP="00BD111D">
      <w:pPr>
        <w:spacing w:before="100" w:beforeAutospacing="1" w:after="100" w:afterAutospacing="1" w:line="240" w:lineRule="auto"/>
        <w:jc w:val="both"/>
        <w:rPr>
          <w:rFonts w:ascii="Tahoma" w:eastAsia="Times New Roman" w:hAnsi="Tahoma" w:cs="Tahoma"/>
          <w:color w:val="000000"/>
          <w:sz w:val="24"/>
          <w:szCs w:val="24"/>
          <w:lang w:eastAsia="fr-FR"/>
        </w:rPr>
      </w:pPr>
      <w:r w:rsidRPr="002462E6">
        <w:rPr>
          <w:rFonts w:ascii="Tahoma" w:eastAsia="Times New Roman" w:hAnsi="Tahoma" w:cs="Tahoma"/>
          <w:color w:val="000000"/>
          <w:sz w:val="24"/>
          <w:szCs w:val="24"/>
          <w:lang w:eastAsia="fr-FR"/>
        </w:rPr>
        <w:t>c) Les questions et perspectives sylvicoles devraient être examinées d'une manière globale et équilibrée dans le contexte général de l'environnement et du</w:t>
      </w:r>
      <w:r w:rsidRPr="002462E6">
        <w:rPr>
          <w:rFonts w:ascii="Tahoma" w:eastAsia="Times New Roman" w:hAnsi="Tahoma" w:cs="Tahoma"/>
          <w:color w:val="000000"/>
          <w:sz w:val="24"/>
          <w:szCs w:val="24"/>
          <w:lang w:eastAsia="fr-FR"/>
        </w:rPr>
        <w:br/>
        <w:t>développement, en prenant en considération les multiples fonctions et usages des forêts, parmi lesquels les usages traditionnels, et les tensions économiques et</w:t>
      </w:r>
      <w:r w:rsidRPr="002462E6">
        <w:rPr>
          <w:rFonts w:ascii="Tahoma" w:eastAsia="Times New Roman" w:hAnsi="Tahoma" w:cs="Tahoma"/>
          <w:color w:val="000000"/>
          <w:sz w:val="24"/>
          <w:szCs w:val="24"/>
          <w:lang w:eastAsia="fr-FR"/>
        </w:rPr>
        <w:br/>
        <w:t>sociales qui risquent d'apparaître quand ces usages sont entravés ou restreints, ainsi que les possibilités que la gestion écologiquement viable des forêts peut offrir en</w:t>
      </w:r>
      <w:r w:rsidRPr="002462E6">
        <w:rPr>
          <w:rFonts w:ascii="Tahoma" w:eastAsia="Times New Roman" w:hAnsi="Tahoma" w:cs="Tahoma"/>
          <w:color w:val="000000"/>
          <w:sz w:val="24"/>
          <w:szCs w:val="24"/>
          <w:lang w:eastAsia="fr-FR"/>
        </w:rPr>
        <w:br/>
        <w:t>matière de développement.</w:t>
      </w:r>
    </w:p>
    <w:p w:rsidR="00BD111D" w:rsidRPr="002462E6" w:rsidRDefault="00BD111D" w:rsidP="00BD111D">
      <w:pPr>
        <w:spacing w:before="100" w:beforeAutospacing="1" w:after="100" w:afterAutospacing="1" w:line="240" w:lineRule="auto"/>
        <w:jc w:val="both"/>
        <w:rPr>
          <w:rFonts w:ascii="Tahoma" w:eastAsia="Times New Roman" w:hAnsi="Tahoma" w:cs="Tahoma"/>
          <w:color w:val="000000"/>
          <w:sz w:val="24"/>
          <w:szCs w:val="24"/>
          <w:lang w:eastAsia="fr-FR"/>
        </w:rPr>
      </w:pPr>
      <w:r w:rsidRPr="002462E6">
        <w:rPr>
          <w:rFonts w:ascii="Tahoma" w:eastAsia="Times New Roman" w:hAnsi="Tahoma" w:cs="Tahoma"/>
          <w:color w:val="000000"/>
          <w:sz w:val="24"/>
          <w:szCs w:val="24"/>
          <w:lang w:eastAsia="fr-FR"/>
        </w:rPr>
        <w:t>d) Ces principes traduisent un premier consensus mondial sur les forêts. Ayant convenu de les appliquer sans délai, les pays décident également de continuer à en</w:t>
      </w:r>
      <w:r w:rsidRPr="002462E6">
        <w:rPr>
          <w:rFonts w:ascii="Tahoma" w:eastAsia="Times New Roman" w:hAnsi="Tahoma" w:cs="Tahoma"/>
          <w:color w:val="000000"/>
          <w:sz w:val="24"/>
          <w:szCs w:val="24"/>
          <w:lang w:eastAsia="fr-FR"/>
        </w:rPr>
        <w:br/>
        <w:t>examiner l'adéquation, dans la perspective d'une coopération internationale ultérieure sur les questions liées aux forêts.</w:t>
      </w:r>
    </w:p>
    <w:p w:rsidR="00BD111D" w:rsidRPr="002462E6" w:rsidRDefault="00BD111D" w:rsidP="00BD111D">
      <w:pPr>
        <w:spacing w:before="100" w:beforeAutospacing="1" w:after="100" w:afterAutospacing="1" w:line="240" w:lineRule="auto"/>
        <w:jc w:val="both"/>
        <w:rPr>
          <w:rFonts w:ascii="Tahoma" w:eastAsia="Times New Roman" w:hAnsi="Tahoma" w:cs="Tahoma"/>
          <w:color w:val="000000"/>
          <w:sz w:val="24"/>
          <w:szCs w:val="24"/>
          <w:lang w:eastAsia="fr-FR"/>
        </w:rPr>
      </w:pPr>
      <w:r w:rsidRPr="002462E6">
        <w:rPr>
          <w:rFonts w:ascii="Tahoma" w:eastAsia="Times New Roman" w:hAnsi="Tahoma" w:cs="Tahoma"/>
          <w:color w:val="000000"/>
          <w:sz w:val="24"/>
          <w:szCs w:val="24"/>
          <w:lang w:eastAsia="fr-FR"/>
        </w:rPr>
        <w:t>e) Les présents principes devraient s'appliquer à tous les types de forêts, qu'elles soient naturelles ou créées par l'homme et de quelque zone géographique ou</w:t>
      </w:r>
      <w:r w:rsidRPr="002462E6">
        <w:rPr>
          <w:rFonts w:ascii="Tahoma" w:eastAsia="Times New Roman" w:hAnsi="Tahoma" w:cs="Tahoma"/>
          <w:color w:val="000000"/>
          <w:sz w:val="24"/>
          <w:szCs w:val="24"/>
          <w:lang w:eastAsia="fr-FR"/>
        </w:rPr>
        <w:br/>
        <w:t>climatique qu'elles relèvent -- australe, boréale, subtempérée, tempérée, subtropicale ou tropicale.</w:t>
      </w:r>
    </w:p>
    <w:p w:rsidR="00BD111D" w:rsidRPr="002462E6" w:rsidRDefault="00BD111D" w:rsidP="00BD111D">
      <w:pPr>
        <w:spacing w:before="100" w:beforeAutospacing="1" w:after="100" w:afterAutospacing="1" w:line="240" w:lineRule="auto"/>
        <w:jc w:val="both"/>
        <w:rPr>
          <w:rFonts w:ascii="Tahoma" w:eastAsia="Times New Roman" w:hAnsi="Tahoma" w:cs="Tahoma"/>
          <w:color w:val="000000"/>
          <w:sz w:val="24"/>
          <w:szCs w:val="24"/>
          <w:lang w:eastAsia="fr-FR"/>
        </w:rPr>
      </w:pPr>
      <w:r w:rsidRPr="002462E6">
        <w:rPr>
          <w:rFonts w:ascii="Tahoma" w:eastAsia="Times New Roman" w:hAnsi="Tahoma" w:cs="Tahoma"/>
          <w:color w:val="000000"/>
          <w:sz w:val="24"/>
          <w:szCs w:val="24"/>
          <w:lang w:eastAsia="fr-FR"/>
        </w:rPr>
        <w:t>f) Les forêts de tous types matérialisent des processus écologiques complexes et spécifiques sur lesquels repose leur capacité actuelle et potentielle de fournir les</w:t>
      </w:r>
      <w:r w:rsidRPr="002462E6">
        <w:rPr>
          <w:rFonts w:ascii="Tahoma" w:eastAsia="Times New Roman" w:hAnsi="Tahoma" w:cs="Tahoma"/>
          <w:color w:val="000000"/>
          <w:sz w:val="24"/>
          <w:szCs w:val="24"/>
          <w:lang w:eastAsia="fr-FR"/>
        </w:rPr>
        <w:br/>
        <w:t>ressources permettant de répondre aux besoins de l'humanité dans le respect des valeurs écologiques; à ce titre, la gestion rationnelle et la conservation des forêts</w:t>
      </w:r>
      <w:r w:rsidRPr="002462E6">
        <w:rPr>
          <w:rFonts w:ascii="Tahoma" w:eastAsia="Times New Roman" w:hAnsi="Tahoma" w:cs="Tahoma"/>
          <w:color w:val="000000"/>
          <w:sz w:val="24"/>
          <w:szCs w:val="24"/>
          <w:lang w:eastAsia="fr-FR"/>
        </w:rPr>
        <w:br/>
        <w:t>sont un sujet dont se préoccupent les gouvernements des pays auxquels elles appartiennent et qui intéresse les collectivités locales et l'environnement dans son</w:t>
      </w:r>
      <w:r w:rsidRPr="002462E6">
        <w:rPr>
          <w:rFonts w:ascii="Tahoma" w:eastAsia="Times New Roman" w:hAnsi="Tahoma" w:cs="Tahoma"/>
          <w:color w:val="000000"/>
          <w:sz w:val="24"/>
          <w:szCs w:val="24"/>
          <w:lang w:eastAsia="fr-FR"/>
        </w:rPr>
        <w:br/>
        <w:t>ensemble.</w:t>
      </w:r>
    </w:p>
    <w:p w:rsidR="00BD111D" w:rsidRPr="002462E6" w:rsidRDefault="00BD111D" w:rsidP="00BD111D">
      <w:pPr>
        <w:spacing w:before="100" w:beforeAutospacing="1" w:after="100" w:afterAutospacing="1" w:line="240" w:lineRule="auto"/>
        <w:jc w:val="both"/>
        <w:rPr>
          <w:rFonts w:ascii="Tahoma" w:eastAsia="Times New Roman" w:hAnsi="Tahoma" w:cs="Tahoma"/>
          <w:color w:val="000000"/>
          <w:sz w:val="24"/>
          <w:szCs w:val="24"/>
          <w:lang w:eastAsia="fr-FR"/>
        </w:rPr>
      </w:pPr>
      <w:r w:rsidRPr="002462E6">
        <w:rPr>
          <w:rFonts w:ascii="Tahoma" w:eastAsia="Times New Roman" w:hAnsi="Tahoma" w:cs="Tahoma"/>
          <w:color w:val="000000"/>
          <w:sz w:val="24"/>
          <w:szCs w:val="24"/>
          <w:lang w:eastAsia="fr-FR"/>
        </w:rPr>
        <w:t>g) Les forêts sont indispensables au développement économique et à l'entretien de toutes les formes de vie.</w:t>
      </w:r>
    </w:p>
    <w:p w:rsidR="00BD111D" w:rsidRPr="002462E6" w:rsidRDefault="00BD111D" w:rsidP="00BD111D">
      <w:pPr>
        <w:spacing w:before="100" w:beforeAutospacing="1" w:after="100" w:afterAutospacing="1" w:line="240" w:lineRule="auto"/>
        <w:jc w:val="both"/>
        <w:rPr>
          <w:rFonts w:ascii="Tahoma" w:eastAsia="Times New Roman" w:hAnsi="Tahoma" w:cs="Tahoma"/>
          <w:color w:val="000000"/>
          <w:sz w:val="24"/>
          <w:szCs w:val="24"/>
          <w:lang w:eastAsia="fr-FR"/>
        </w:rPr>
      </w:pPr>
      <w:r w:rsidRPr="002462E6">
        <w:rPr>
          <w:rFonts w:ascii="Tahoma" w:eastAsia="Times New Roman" w:hAnsi="Tahoma" w:cs="Tahoma"/>
          <w:color w:val="000000"/>
          <w:sz w:val="24"/>
          <w:szCs w:val="24"/>
          <w:lang w:eastAsia="fr-FR"/>
        </w:rPr>
        <w:t>h) Compte tenu du fait que la responsabilité de la gestion, de la conservation et de l'exploitation viable des forêts est dans de nombreux Etats répartie entre divers</w:t>
      </w:r>
      <w:r w:rsidRPr="002462E6">
        <w:rPr>
          <w:rFonts w:ascii="Tahoma" w:eastAsia="Times New Roman" w:hAnsi="Tahoma" w:cs="Tahoma"/>
          <w:color w:val="000000"/>
          <w:sz w:val="24"/>
          <w:szCs w:val="24"/>
          <w:lang w:eastAsia="fr-FR"/>
        </w:rPr>
        <w:br/>
        <w:t>échelons d'administration -- national ou fédéral, départemental ou provincial, et local --, chaque Etat doit, conformément à la constitution ou à la législation qu'il a</w:t>
      </w:r>
      <w:r w:rsidRPr="002462E6">
        <w:rPr>
          <w:rFonts w:ascii="Tahoma" w:eastAsia="Times New Roman" w:hAnsi="Tahoma" w:cs="Tahoma"/>
          <w:color w:val="000000"/>
          <w:sz w:val="24"/>
          <w:szCs w:val="24"/>
          <w:lang w:eastAsia="fr-FR"/>
        </w:rPr>
        <w:br/>
        <w:t>édictée, veiller à faire appliquer les présents principes aux échelons administratifs appropriés.</w:t>
      </w:r>
    </w:p>
    <w:p w:rsidR="00BD111D" w:rsidRPr="002462E6" w:rsidRDefault="00BD111D" w:rsidP="00BD111D">
      <w:pPr>
        <w:spacing w:before="100" w:beforeAutospacing="1" w:after="100" w:afterAutospacing="1" w:line="240" w:lineRule="auto"/>
        <w:jc w:val="both"/>
        <w:rPr>
          <w:rFonts w:ascii="Tahoma" w:eastAsia="Times New Roman" w:hAnsi="Tahoma" w:cs="Tahoma"/>
          <w:color w:val="000000"/>
          <w:sz w:val="24"/>
          <w:szCs w:val="24"/>
          <w:lang w:eastAsia="fr-FR"/>
        </w:rPr>
      </w:pPr>
      <w:r w:rsidRPr="002462E6">
        <w:rPr>
          <w:rFonts w:ascii="Tahoma" w:eastAsia="Times New Roman" w:hAnsi="Tahoma" w:cs="Tahoma"/>
          <w:b/>
          <w:bCs/>
          <w:color w:val="000000"/>
          <w:sz w:val="24"/>
          <w:szCs w:val="24"/>
          <w:lang w:eastAsia="fr-FR"/>
        </w:rPr>
        <w:t>PRINCIPES/ELEMENTS</w:t>
      </w:r>
    </w:p>
    <w:p w:rsidR="00BD111D" w:rsidRPr="002462E6" w:rsidRDefault="00BD111D" w:rsidP="00BD111D">
      <w:pPr>
        <w:spacing w:before="100" w:beforeAutospacing="1" w:after="100" w:afterAutospacing="1" w:line="240" w:lineRule="auto"/>
        <w:jc w:val="both"/>
        <w:rPr>
          <w:rFonts w:ascii="Tahoma" w:eastAsia="Times New Roman" w:hAnsi="Tahoma" w:cs="Tahoma"/>
          <w:color w:val="000000"/>
          <w:sz w:val="24"/>
          <w:szCs w:val="24"/>
          <w:lang w:eastAsia="fr-FR"/>
        </w:rPr>
      </w:pPr>
      <w:r w:rsidRPr="002462E6">
        <w:rPr>
          <w:rFonts w:ascii="Tahoma" w:eastAsia="Times New Roman" w:hAnsi="Tahoma" w:cs="Tahoma"/>
          <w:color w:val="000000"/>
          <w:sz w:val="24"/>
          <w:szCs w:val="24"/>
          <w:lang w:eastAsia="fr-FR"/>
        </w:rPr>
        <w:t>1. a) Conformément à la Charte des Nations Unies et aux principes du droit international, les Etats ont le droit souverain d'exploiter leurs propres ressources selon</w:t>
      </w:r>
      <w:r w:rsidRPr="002462E6">
        <w:rPr>
          <w:rFonts w:ascii="Tahoma" w:eastAsia="Times New Roman" w:hAnsi="Tahoma" w:cs="Tahoma"/>
          <w:color w:val="000000"/>
          <w:sz w:val="24"/>
          <w:szCs w:val="24"/>
          <w:lang w:eastAsia="fr-FR"/>
        </w:rPr>
        <w:br/>
        <w:t>leur politique d'environnement et ils ont le devoir de faire en sorte que les activités exercées dans les limites de leur juridiction ou sous leur contrôle ne causent pas de</w:t>
      </w:r>
      <w:r w:rsidRPr="002462E6">
        <w:rPr>
          <w:rFonts w:ascii="Tahoma" w:eastAsia="Times New Roman" w:hAnsi="Tahoma" w:cs="Tahoma"/>
          <w:color w:val="000000"/>
          <w:sz w:val="24"/>
          <w:szCs w:val="24"/>
          <w:lang w:eastAsia="fr-FR"/>
        </w:rPr>
        <w:br/>
        <w:t>dommage à l'environnement dans d'autres Etats ou dans des régions ne relevant d'aucune juridiction nationale;</w:t>
      </w:r>
    </w:p>
    <w:p w:rsidR="00BD111D" w:rsidRPr="002462E6" w:rsidRDefault="00BD111D" w:rsidP="00BD111D">
      <w:pPr>
        <w:spacing w:before="100" w:beforeAutospacing="1" w:after="100" w:afterAutospacing="1" w:line="240" w:lineRule="auto"/>
        <w:jc w:val="both"/>
        <w:rPr>
          <w:rFonts w:ascii="Tahoma" w:eastAsia="Times New Roman" w:hAnsi="Tahoma" w:cs="Tahoma"/>
          <w:color w:val="000000"/>
          <w:sz w:val="24"/>
          <w:szCs w:val="24"/>
          <w:lang w:eastAsia="fr-FR"/>
        </w:rPr>
      </w:pPr>
      <w:r w:rsidRPr="002462E6">
        <w:rPr>
          <w:rFonts w:ascii="Tahoma" w:eastAsia="Times New Roman" w:hAnsi="Tahoma" w:cs="Tahoma"/>
          <w:color w:val="000000"/>
          <w:sz w:val="24"/>
          <w:szCs w:val="24"/>
          <w:lang w:eastAsia="fr-FR"/>
        </w:rPr>
        <w:t>b) Le coût marginal total approuvé de réalisation des avantages associés à la conservation et à l'exploitation écologiquement viable des forêts nécessite une</w:t>
      </w:r>
      <w:r w:rsidRPr="002462E6">
        <w:rPr>
          <w:rFonts w:ascii="Tahoma" w:eastAsia="Times New Roman" w:hAnsi="Tahoma" w:cs="Tahoma"/>
          <w:color w:val="000000"/>
          <w:sz w:val="24"/>
          <w:szCs w:val="24"/>
          <w:lang w:eastAsia="fr-FR"/>
        </w:rPr>
        <w:br/>
        <w:t>coopération internationale accrue et doit être équitablement partagé par la communauté internationale.</w:t>
      </w:r>
    </w:p>
    <w:p w:rsidR="00BD111D" w:rsidRPr="002462E6" w:rsidRDefault="00BD111D" w:rsidP="00BD111D">
      <w:pPr>
        <w:spacing w:before="100" w:beforeAutospacing="1" w:after="100" w:afterAutospacing="1" w:line="240" w:lineRule="auto"/>
        <w:jc w:val="both"/>
        <w:rPr>
          <w:rFonts w:ascii="Tahoma" w:eastAsia="Times New Roman" w:hAnsi="Tahoma" w:cs="Tahoma"/>
          <w:color w:val="000000"/>
          <w:sz w:val="24"/>
          <w:szCs w:val="24"/>
          <w:lang w:eastAsia="fr-FR"/>
        </w:rPr>
      </w:pPr>
      <w:r w:rsidRPr="002462E6">
        <w:rPr>
          <w:rFonts w:ascii="Tahoma" w:eastAsia="Times New Roman" w:hAnsi="Tahoma" w:cs="Tahoma"/>
          <w:color w:val="000000"/>
          <w:sz w:val="24"/>
          <w:szCs w:val="24"/>
          <w:lang w:eastAsia="fr-FR"/>
        </w:rPr>
        <w:t>2. a) Les Etats ont le droit souverain et inaliénable d'utiliser, de gérer et d'exploiter leurs forêts conformément à leurs besoins en matière de développement et à leur</w:t>
      </w:r>
      <w:r w:rsidRPr="002462E6">
        <w:rPr>
          <w:rFonts w:ascii="Tahoma" w:eastAsia="Times New Roman" w:hAnsi="Tahoma" w:cs="Tahoma"/>
          <w:color w:val="000000"/>
          <w:sz w:val="24"/>
          <w:szCs w:val="24"/>
          <w:lang w:eastAsia="fr-FR"/>
        </w:rPr>
        <w:br/>
        <w:t>niveau de développement économique et social, ainsi qu'à des politiques nationales compatibles avec le développement durable et leur législation, y compris la</w:t>
      </w:r>
      <w:r w:rsidRPr="002462E6">
        <w:rPr>
          <w:rFonts w:ascii="Tahoma" w:eastAsia="Times New Roman" w:hAnsi="Tahoma" w:cs="Tahoma"/>
          <w:color w:val="000000"/>
          <w:sz w:val="24"/>
          <w:szCs w:val="24"/>
          <w:lang w:eastAsia="fr-FR"/>
        </w:rPr>
        <w:br/>
        <w:t>conversion de zones forestières à d'autres usages dans le cadre du plan général de développement économique et social et sur la base de politiques rationnelles</w:t>
      </w:r>
      <w:r w:rsidRPr="002462E6">
        <w:rPr>
          <w:rFonts w:ascii="Tahoma" w:eastAsia="Times New Roman" w:hAnsi="Tahoma" w:cs="Tahoma"/>
          <w:color w:val="000000"/>
          <w:sz w:val="24"/>
          <w:szCs w:val="24"/>
          <w:lang w:eastAsia="fr-FR"/>
        </w:rPr>
        <w:br/>
        <w:t>d'utilisation des terres;</w:t>
      </w:r>
    </w:p>
    <w:p w:rsidR="00BD111D" w:rsidRPr="002462E6" w:rsidRDefault="00BD111D" w:rsidP="00BD111D">
      <w:pPr>
        <w:spacing w:before="100" w:beforeAutospacing="1" w:after="100" w:afterAutospacing="1" w:line="240" w:lineRule="auto"/>
        <w:jc w:val="both"/>
        <w:rPr>
          <w:rFonts w:ascii="Tahoma" w:eastAsia="Times New Roman" w:hAnsi="Tahoma" w:cs="Tahoma"/>
          <w:color w:val="000000"/>
          <w:sz w:val="24"/>
          <w:szCs w:val="24"/>
          <w:lang w:eastAsia="fr-FR"/>
        </w:rPr>
      </w:pPr>
      <w:r w:rsidRPr="002462E6">
        <w:rPr>
          <w:rFonts w:ascii="Tahoma" w:eastAsia="Times New Roman" w:hAnsi="Tahoma" w:cs="Tahoma"/>
          <w:color w:val="000000"/>
          <w:sz w:val="24"/>
          <w:szCs w:val="24"/>
          <w:lang w:eastAsia="fr-FR"/>
        </w:rPr>
        <w:t>b) Les ressources et les terres forestières doivent être gérées d'une façon écologiquement viable afin de répondre aux besoins sociaux, économiques, écologiques,</w:t>
      </w:r>
      <w:r w:rsidRPr="002462E6">
        <w:rPr>
          <w:rFonts w:ascii="Tahoma" w:eastAsia="Times New Roman" w:hAnsi="Tahoma" w:cs="Tahoma"/>
          <w:color w:val="000000"/>
          <w:sz w:val="24"/>
          <w:szCs w:val="24"/>
          <w:lang w:eastAsia="fr-FR"/>
        </w:rPr>
        <w:br/>
        <w:t>culturels et spirituels des générations actuelles et futures. L'homme a besoin de produits et de services forestiers tels que le bois et les produits à base de bois, l'eau,</w:t>
      </w:r>
      <w:r w:rsidRPr="002462E6">
        <w:rPr>
          <w:rFonts w:ascii="Tahoma" w:eastAsia="Times New Roman" w:hAnsi="Tahoma" w:cs="Tahoma"/>
          <w:color w:val="000000"/>
          <w:sz w:val="24"/>
          <w:szCs w:val="24"/>
          <w:lang w:eastAsia="fr-FR"/>
        </w:rPr>
        <w:br/>
        <w:t>les produits alimentaires et fourragers, les plantes médicinales, le combustible, les matériaux de construction, l'emploi, les loisirs, les habitats de la faune et de la flore,</w:t>
      </w:r>
      <w:r w:rsidRPr="002462E6">
        <w:rPr>
          <w:rFonts w:ascii="Tahoma" w:eastAsia="Times New Roman" w:hAnsi="Tahoma" w:cs="Tahoma"/>
          <w:color w:val="000000"/>
          <w:sz w:val="24"/>
          <w:szCs w:val="24"/>
          <w:lang w:eastAsia="fr-FR"/>
        </w:rPr>
        <w:br/>
        <w:t>la diversité des paysages, les réservoirs et puits de carbone et d'autres produits forestiers. Des mesures appropriées doivent être prises pour protéger les forêts</w:t>
      </w:r>
      <w:r w:rsidRPr="002462E6">
        <w:rPr>
          <w:rFonts w:ascii="Tahoma" w:eastAsia="Times New Roman" w:hAnsi="Tahoma" w:cs="Tahoma"/>
          <w:color w:val="000000"/>
          <w:sz w:val="24"/>
          <w:szCs w:val="24"/>
          <w:lang w:eastAsia="fr-FR"/>
        </w:rPr>
        <w:br/>
        <w:t>contre les effets nocifs de la pollution, notamment atmosphérique, les incendies, les espèces nuisibles et les maladies, afin de maintenir dans son intégralité leur valeur</w:t>
      </w:r>
      <w:r w:rsidRPr="002462E6">
        <w:rPr>
          <w:rFonts w:ascii="Tahoma" w:eastAsia="Times New Roman" w:hAnsi="Tahoma" w:cs="Tahoma"/>
          <w:color w:val="000000"/>
          <w:sz w:val="24"/>
          <w:szCs w:val="24"/>
          <w:lang w:eastAsia="fr-FR"/>
        </w:rPr>
        <w:br/>
        <w:t>multiple;</w:t>
      </w:r>
    </w:p>
    <w:p w:rsidR="00BD111D" w:rsidRPr="002462E6" w:rsidRDefault="00BD111D" w:rsidP="00BD111D">
      <w:pPr>
        <w:spacing w:before="100" w:beforeAutospacing="1" w:after="100" w:afterAutospacing="1" w:line="240" w:lineRule="auto"/>
        <w:jc w:val="both"/>
        <w:rPr>
          <w:rFonts w:ascii="Tahoma" w:eastAsia="Times New Roman" w:hAnsi="Tahoma" w:cs="Tahoma"/>
          <w:color w:val="000000"/>
          <w:sz w:val="24"/>
          <w:szCs w:val="24"/>
          <w:lang w:eastAsia="fr-FR"/>
        </w:rPr>
      </w:pPr>
      <w:r w:rsidRPr="002462E6">
        <w:rPr>
          <w:rFonts w:ascii="Tahoma" w:eastAsia="Times New Roman" w:hAnsi="Tahoma" w:cs="Tahoma"/>
          <w:color w:val="000000"/>
          <w:sz w:val="24"/>
          <w:szCs w:val="24"/>
          <w:lang w:eastAsia="fr-FR"/>
        </w:rPr>
        <w:t>c) Il est indispensable de veiller à ce que le public et les décideurs disposent en temps utile d'informations fiables et précises sur les forêts et les écosystèmes</w:t>
      </w:r>
      <w:r w:rsidRPr="002462E6">
        <w:rPr>
          <w:rFonts w:ascii="Tahoma" w:eastAsia="Times New Roman" w:hAnsi="Tahoma" w:cs="Tahoma"/>
          <w:color w:val="000000"/>
          <w:sz w:val="24"/>
          <w:szCs w:val="24"/>
          <w:lang w:eastAsia="fr-FR"/>
        </w:rPr>
        <w:br/>
        <w:t>forestiers;</w:t>
      </w:r>
    </w:p>
    <w:p w:rsidR="00BD111D" w:rsidRPr="002462E6" w:rsidRDefault="00BD111D" w:rsidP="00BD111D">
      <w:pPr>
        <w:spacing w:before="100" w:beforeAutospacing="1" w:after="100" w:afterAutospacing="1" w:line="240" w:lineRule="auto"/>
        <w:jc w:val="both"/>
        <w:rPr>
          <w:rFonts w:ascii="Tahoma" w:eastAsia="Times New Roman" w:hAnsi="Tahoma" w:cs="Tahoma"/>
          <w:color w:val="000000"/>
          <w:sz w:val="24"/>
          <w:szCs w:val="24"/>
          <w:lang w:eastAsia="fr-FR"/>
        </w:rPr>
      </w:pPr>
      <w:r w:rsidRPr="002462E6">
        <w:rPr>
          <w:rFonts w:ascii="Tahoma" w:eastAsia="Times New Roman" w:hAnsi="Tahoma" w:cs="Tahoma"/>
          <w:color w:val="000000"/>
          <w:sz w:val="24"/>
          <w:szCs w:val="24"/>
          <w:lang w:eastAsia="fr-FR"/>
        </w:rPr>
        <w:t>d) Les gouvernements devraient encourager, en leur en fournissant l'occasion, les parties intéressées, parmi lesquelles les collectivités locales et la population</w:t>
      </w:r>
      <w:r w:rsidRPr="002462E6">
        <w:rPr>
          <w:rFonts w:ascii="Tahoma" w:eastAsia="Times New Roman" w:hAnsi="Tahoma" w:cs="Tahoma"/>
          <w:color w:val="000000"/>
          <w:sz w:val="24"/>
          <w:szCs w:val="24"/>
          <w:lang w:eastAsia="fr-FR"/>
        </w:rPr>
        <w:br/>
        <w:t>autochtone, l'industrie, la main-d'oeuvre, les organisations non gouvernementales et les particuliers, les habitants des forêts et les femmes, à participer à la</w:t>
      </w:r>
      <w:r w:rsidRPr="002462E6">
        <w:rPr>
          <w:rFonts w:ascii="Tahoma" w:eastAsia="Times New Roman" w:hAnsi="Tahoma" w:cs="Tahoma"/>
          <w:color w:val="000000"/>
          <w:sz w:val="24"/>
          <w:szCs w:val="24"/>
          <w:lang w:eastAsia="fr-FR"/>
        </w:rPr>
        <w:br/>
        <w:t>planification, à l'élaboration et à la mise en oeuvre des politiques forestières nationales.</w:t>
      </w:r>
    </w:p>
    <w:p w:rsidR="00BD111D" w:rsidRPr="002462E6" w:rsidRDefault="00BD111D" w:rsidP="00BD111D">
      <w:pPr>
        <w:spacing w:before="100" w:beforeAutospacing="1" w:after="100" w:afterAutospacing="1" w:line="240" w:lineRule="auto"/>
        <w:jc w:val="both"/>
        <w:rPr>
          <w:rFonts w:ascii="Tahoma" w:eastAsia="Times New Roman" w:hAnsi="Tahoma" w:cs="Tahoma"/>
          <w:color w:val="000000"/>
          <w:sz w:val="24"/>
          <w:szCs w:val="24"/>
          <w:lang w:eastAsia="fr-FR"/>
        </w:rPr>
      </w:pPr>
      <w:r w:rsidRPr="002462E6">
        <w:rPr>
          <w:rFonts w:ascii="Tahoma" w:eastAsia="Times New Roman" w:hAnsi="Tahoma" w:cs="Tahoma"/>
          <w:color w:val="000000"/>
          <w:sz w:val="24"/>
          <w:szCs w:val="24"/>
          <w:lang w:eastAsia="fr-FR"/>
        </w:rPr>
        <w:t>3. a) Les stratégies et politiques nationales devraient constituer un cadre permettant d'intensifier les efforts, et notamment la mise en place et le renforcement des</w:t>
      </w:r>
      <w:r w:rsidRPr="002462E6">
        <w:rPr>
          <w:rFonts w:ascii="Tahoma" w:eastAsia="Times New Roman" w:hAnsi="Tahoma" w:cs="Tahoma"/>
          <w:color w:val="000000"/>
          <w:sz w:val="24"/>
          <w:szCs w:val="24"/>
          <w:lang w:eastAsia="fr-FR"/>
        </w:rPr>
        <w:br/>
        <w:t>institutions et des programmes de gestion, de conservation et d'exploitation écologiquement viable des forêts et des terres forestières;</w:t>
      </w:r>
    </w:p>
    <w:p w:rsidR="00BD111D" w:rsidRPr="002462E6" w:rsidRDefault="00BD111D" w:rsidP="00BD111D">
      <w:pPr>
        <w:spacing w:before="100" w:beforeAutospacing="1" w:after="100" w:afterAutospacing="1" w:line="240" w:lineRule="auto"/>
        <w:jc w:val="both"/>
        <w:rPr>
          <w:rFonts w:ascii="Tahoma" w:eastAsia="Times New Roman" w:hAnsi="Tahoma" w:cs="Tahoma"/>
          <w:color w:val="000000"/>
          <w:sz w:val="24"/>
          <w:szCs w:val="24"/>
          <w:lang w:eastAsia="fr-FR"/>
        </w:rPr>
      </w:pPr>
      <w:r w:rsidRPr="002462E6">
        <w:rPr>
          <w:rFonts w:ascii="Tahoma" w:eastAsia="Times New Roman" w:hAnsi="Tahoma" w:cs="Tahoma"/>
          <w:color w:val="000000"/>
          <w:sz w:val="24"/>
          <w:szCs w:val="24"/>
          <w:lang w:eastAsia="fr-FR"/>
        </w:rPr>
        <w:t>b) Des arrangements institutionnels internationaux, s'appuyant sur les travaux des organisations et mécanismes déjà en place, le cas échéant, devraient faciliter la</w:t>
      </w:r>
      <w:r w:rsidRPr="002462E6">
        <w:rPr>
          <w:rFonts w:ascii="Tahoma" w:eastAsia="Times New Roman" w:hAnsi="Tahoma" w:cs="Tahoma"/>
          <w:color w:val="000000"/>
          <w:sz w:val="24"/>
          <w:szCs w:val="24"/>
          <w:lang w:eastAsia="fr-FR"/>
        </w:rPr>
        <w:br/>
        <w:t>coopération internationale dans le domaine des forêts;</w:t>
      </w:r>
    </w:p>
    <w:p w:rsidR="00BD111D" w:rsidRPr="002462E6" w:rsidRDefault="00BD111D" w:rsidP="00BD111D">
      <w:pPr>
        <w:spacing w:before="100" w:beforeAutospacing="1" w:after="100" w:afterAutospacing="1" w:line="240" w:lineRule="auto"/>
        <w:jc w:val="both"/>
        <w:rPr>
          <w:rFonts w:ascii="Tahoma" w:eastAsia="Times New Roman" w:hAnsi="Tahoma" w:cs="Tahoma"/>
          <w:color w:val="000000"/>
          <w:sz w:val="24"/>
          <w:szCs w:val="24"/>
          <w:lang w:eastAsia="fr-FR"/>
        </w:rPr>
      </w:pPr>
      <w:r w:rsidRPr="002462E6">
        <w:rPr>
          <w:rFonts w:ascii="Tahoma" w:eastAsia="Times New Roman" w:hAnsi="Tahoma" w:cs="Tahoma"/>
          <w:color w:val="000000"/>
          <w:sz w:val="24"/>
          <w:szCs w:val="24"/>
          <w:lang w:eastAsia="fr-FR"/>
        </w:rPr>
        <w:t>c) Tous les aspects de la protection de l'environnement et du développement économique et social associés aux forêts et aux terres forestières doivent être intégrés</w:t>
      </w:r>
      <w:r w:rsidRPr="002462E6">
        <w:rPr>
          <w:rFonts w:ascii="Tahoma" w:eastAsia="Times New Roman" w:hAnsi="Tahoma" w:cs="Tahoma"/>
          <w:color w:val="000000"/>
          <w:sz w:val="24"/>
          <w:szCs w:val="24"/>
          <w:lang w:eastAsia="fr-FR"/>
        </w:rPr>
        <w:br/>
        <w:t>et appréhendés globalement.</w:t>
      </w:r>
    </w:p>
    <w:p w:rsidR="00BD111D" w:rsidRPr="002462E6" w:rsidRDefault="00BD111D" w:rsidP="00BD111D">
      <w:pPr>
        <w:spacing w:before="100" w:beforeAutospacing="1" w:after="100" w:afterAutospacing="1" w:line="240" w:lineRule="auto"/>
        <w:jc w:val="both"/>
        <w:rPr>
          <w:rFonts w:ascii="Tahoma" w:eastAsia="Times New Roman" w:hAnsi="Tahoma" w:cs="Tahoma"/>
          <w:color w:val="000000"/>
          <w:sz w:val="24"/>
          <w:szCs w:val="24"/>
          <w:lang w:eastAsia="fr-FR"/>
        </w:rPr>
      </w:pPr>
      <w:r w:rsidRPr="002462E6">
        <w:rPr>
          <w:rFonts w:ascii="Tahoma" w:eastAsia="Times New Roman" w:hAnsi="Tahoma" w:cs="Tahoma"/>
          <w:color w:val="000000"/>
          <w:sz w:val="24"/>
          <w:szCs w:val="24"/>
          <w:lang w:eastAsia="fr-FR"/>
        </w:rPr>
        <w:t>4. Il faut reconnaître le rôle vital que jouent tous les types de forêts dans le maintien des processus et de l'équilibre écologiques aux niveaux local, national, régional et</w:t>
      </w:r>
      <w:r w:rsidRPr="002462E6">
        <w:rPr>
          <w:rFonts w:ascii="Tahoma" w:eastAsia="Times New Roman" w:hAnsi="Tahoma" w:cs="Tahoma"/>
          <w:color w:val="000000"/>
          <w:sz w:val="24"/>
          <w:szCs w:val="24"/>
          <w:lang w:eastAsia="fr-FR"/>
        </w:rPr>
        <w:br/>
        <w:t>mondial grâce notamment à leur part dans la protection des écosystèmes fragiles, des bassins versants et des ressources en eau douce et en tant que riches réserves</w:t>
      </w:r>
      <w:r w:rsidRPr="002462E6">
        <w:rPr>
          <w:rFonts w:ascii="Tahoma" w:eastAsia="Times New Roman" w:hAnsi="Tahoma" w:cs="Tahoma"/>
          <w:color w:val="000000"/>
          <w:sz w:val="24"/>
          <w:szCs w:val="24"/>
          <w:lang w:eastAsia="fr-FR"/>
        </w:rPr>
        <w:br/>
        <w:t>de diversité biologique et de ressources biologiques et sources de matériel génétique pour les produits biotechniques ainsi que dans la photosynthèse.</w:t>
      </w:r>
    </w:p>
    <w:p w:rsidR="00BD111D" w:rsidRPr="002462E6" w:rsidRDefault="00BD111D" w:rsidP="00BD111D">
      <w:pPr>
        <w:spacing w:before="100" w:beforeAutospacing="1" w:after="100" w:afterAutospacing="1" w:line="240" w:lineRule="auto"/>
        <w:jc w:val="both"/>
        <w:rPr>
          <w:rFonts w:ascii="Tahoma" w:eastAsia="Times New Roman" w:hAnsi="Tahoma" w:cs="Tahoma"/>
          <w:color w:val="000000"/>
          <w:sz w:val="24"/>
          <w:szCs w:val="24"/>
          <w:lang w:eastAsia="fr-FR"/>
        </w:rPr>
      </w:pPr>
      <w:r w:rsidRPr="002462E6">
        <w:rPr>
          <w:rFonts w:ascii="Tahoma" w:eastAsia="Times New Roman" w:hAnsi="Tahoma" w:cs="Tahoma"/>
          <w:color w:val="000000"/>
          <w:sz w:val="24"/>
          <w:szCs w:val="24"/>
          <w:lang w:eastAsia="fr-FR"/>
        </w:rPr>
        <w:t>5. a) Les politiques forestières nationales devraient reconnaître et protéger comme il convient l'identité, la culture et les droits des populations autochtones, leurs</w:t>
      </w:r>
      <w:r w:rsidRPr="002462E6">
        <w:rPr>
          <w:rFonts w:ascii="Tahoma" w:eastAsia="Times New Roman" w:hAnsi="Tahoma" w:cs="Tahoma"/>
          <w:color w:val="000000"/>
          <w:sz w:val="24"/>
          <w:szCs w:val="24"/>
          <w:lang w:eastAsia="fr-FR"/>
        </w:rPr>
        <w:br/>
        <w:t>collectivités et les autres collectivités, et les habitants des forêts. Des conditions appropriées doivent être faites à ces groupes pour leur permettre d'être</w:t>
      </w:r>
      <w:r w:rsidRPr="002462E6">
        <w:rPr>
          <w:rFonts w:ascii="Tahoma" w:eastAsia="Times New Roman" w:hAnsi="Tahoma" w:cs="Tahoma"/>
          <w:color w:val="000000"/>
          <w:sz w:val="24"/>
          <w:szCs w:val="24"/>
          <w:lang w:eastAsia="fr-FR"/>
        </w:rPr>
        <w:br/>
        <w:t>économiquement intéressés à l'exploitation des forêts, de mener des activités rentables, de réaliser et conserver leur identité culturelle et leur organisation sociale</w:t>
      </w:r>
      <w:r w:rsidRPr="002462E6">
        <w:rPr>
          <w:rFonts w:ascii="Tahoma" w:eastAsia="Times New Roman" w:hAnsi="Tahoma" w:cs="Tahoma"/>
          <w:color w:val="000000"/>
          <w:sz w:val="24"/>
          <w:szCs w:val="24"/>
          <w:lang w:eastAsia="fr-FR"/>
        </w:rPr>
        <w:br/>
        <w:t>propres et de jouir de moyens d'existence et d'un niveau de vie adéquats, notamment grâce à des régimes fonciers incitant à une gestion écologiquement viable des</w:t>
      </w:r>
      <w:r w:rsidRPr="002462E6">
        <w:rPr>
          <w:rFonts w:ascii="Tahoma" w:eastAsia="Times New Roman" w:hAnsi="Tahoma" w:cs="Tahoma"/>
          <w:color w:val="000000"/>
          <w:sz w:val="24"/>
          <w:szCs w:val="24"/>
          <w:lang w:eastAsia="fr-FR"/>
        </w:rPr>
        <w:br/>
        <w:t>forêts;</w:t>
      </w:r>
    </w:p>
    <w:p w:rsidR="00BD111D" w:rsidRPr="002462E6" w:rsidRDefault="00BD111D" w:rsidP="00BD111D">
      <w:pPr>
        <w:spacing w:before="100" w:beforeAutospacing="1" w:after="100" w:afterAutospacing="1" w:line="240" w:lineRule="auto"/>
        <w:jc w:val="both"/>
        <w:rPr>
          <w:rFonts w:ascii="Tahoma" w:eastAsia="Times New Roman" w:hAnsi="Tahoma" w:cs="Tahoma"/>
          <w:color w:val="000000"/>
          <w:sz w:val="24"/>
          <w:szCs w:val="24"/>
          <w:lang w:eastAsia="fr-FR"/>
        </w:rPr>
      </w:pPr>
      <w:r w:rsidRPr="002462E6">
        <w:rPr>
          <w:rFonts w:ascii="Tahoma" w:eastAsia="Times New Roman" w:hAnsi="Tahoma" w:cs="Tahoma"/>
          <w:color w:val="000000"/>
          <w:sz w:val="24"/>
          <w:szCs w:val="24"/>
          <w:lang w:eastAsia="fr-FR"/>
        </w:rPr>
        <w:t>b) La participation intégrale des femmes à tous les aspects d'une gestion, d'une conservation et d'une exploitation écologiquement viable des forêts doit être</w:t>
      </w:r>
      <w:r w:rsidRPr="002462E6">
        <w:rPr>
          <w:rFonts w:ascii="Tahoma" w:eastAsia="Times New Roman" w:hAnsi="Tahoma" w:cs="Tahoma"/>
          <w:color w:val="000000"/>
          <w:sz w:val="24"/>
          <w:szCs w:val="24"/>
          <w:lang w:eastAsia="fr-FR"/>
        </w:rPr>
        <w:br/>
        <w:t>activement encouragée.</w:t>
      </w:r>
    </w:p>
    <w:p w:rsidR="00BD111D" w:rsidRPr="002462E6" w:rsidRDefault="00BD111D" w:rsidP="00BD111D">
      <w:pPr>
        <w:spacing w:before="100" w:beforeAutospacing="1" w:after="100" w:afterAutospacing="1" w:line="240" w:lineRule="auto"/>
        <w:jc w:val="both"/>
        <w:rPr>
          <w:rFonts w:ascii="Tahoma" w:eastAsia="Times New Roman" w:hAnsi="Tahoma" w:cs="Tahoma"/>
          <w:color w:val="000000"/>
          <w:sz w:val="24"/>
          <w:szCs w:val="24"/>
          <w:lang w:eastAsia="fr-FR"/>
        </w:rPr>
      </w:pPr>
      <w:r w:rsidRPr="002462E6">
        <w:rPr>
          <w:rFonts w:ascii="Tahoma" w:eastAsia="Times New Roman" w:hAnsi="Tahoma" w:cs="Tahoma"/>
          <w:color w:val="000000"/>
          <w:sz w:val="24"/>
          <w:szCs w:val="24"/>
          <w:lang w:eastAsia="fr-FR"/>
        </w:rPr>
        <w:t>6. a) Tous les types de forêt jouent un rôle important dans la satisfaction des besoins énergétiques en fournissant une source renouvelable d'énergie, en particulier</w:t>
      </w:r>
      <w:r w:rsidRPr="002462E6">
        <w:rPr>
          <w:rFonts w:ascii="Tahoma" w:eastAsia="Times New Roman" w:hAnsi="Tahoma" w:cs="Tahoma"/>
          <w:color w:val="000000"/>
          <w:sz w:val="24"/>
          <w:szCs w:val="24"/>
          <w:lang w:eastAsia="fr-FR"/>
        </w:rPr>
        <w:br/>
        <w:t>dans les pays en développement, et la demande de bois de feu pour les usages domestiques et industriels devrait être satisfaite grâce à une gestion écologiquement</w:t>
      </w:r>
      <w:r w:rsidRPr="002462E6">
        <w:rPr>
          <w:rFonts w:ascii="Tahoma" w:eastAsia="Times New Roman" w:hAnsi="Tahoma" w:cs="Tahoma"/>
          <w:color w:val="000000"/>
          <w:sz w:val="24"/>
          <w:szCs w:val="24"/>
          <w:lang w:eastAsia="fr-FR"/>
        </w:rPr>
        <w:br/>
        <w:t>viable des forêts, ainsi qu'au boisement et au reboisement. A cette fin, la contribution que peuvent apporter les plantations d'essences tant autochtones qu'allogènes à</w:t>
      </w:r>
      <w:r w:rsidRPr="002462E6">
        <w:rPr>
          <w:rFonts w:ascii="Tahoma" w:eastAsia="Times New Roman" w:hAnsi="Tahoma" w:cs="Tahoma"/>
          <w:color w:val="000000"/>
          <w:sz w:val="24"/>
          <w:szCs w:val="24"/>
          <w:lang w:eastAsia="fr-FR"/>
        </w:rPr>
        <w:br/>
        <w:t>l'approvisionnement en bois de feu ou en bois à usage industriel doit être reconnue;</w:t>
      </w:r>
    </w:p>
    <w:p w:rsidR="00BD111D" w:rsidRPr="002462E6" w:rsidRDefault="00BD111D" w:rsidP="00BD111D">
      <w:pPr>
        <w:spacing w:before="100" w:beforeAutospacing="1" w:after="100" w:afterAutospacing="1" w:line="240" w:lineRule="auto"/>
        <w:jc w:val="both"/>
        <w:rPr>
          <w:rFonts w:ascii="Tahoma" w:eastAsia="Times New Roman" w:hAnsi="Tahoma" w:cs="Tahoma"/>
          <w:color w:val="000000"/>
          <w:sz w:val="24"/>
          <w:szCs w:val="24"/>
          <w:lang w:eastAsia="fr-FR"/>
        </w:rPr>
      </w:pPr>
      <w:r w:rsidRPr="002462E6">
        <w:rPr>
          <w:rFonts w:ascii="Tahoma" w:eastAsia="Times New Roman" w:hAnsi="Tahoma" w:cs="Tahoma"/>
          <w:color w:val="000000"/>
          <w:sz w:val="24"/>
          <w:szCs w:val="24"/>
          <w:lang w:eastAsia="fr-FR"/>
        </w:rPr>
        <w:t>b) Les politiques nationales devraient tenir compte, le cas échéant, des relations entre la conservation, la gestion et l'exploitation écologiquement viable des forêts et</w:t>
      </w:r>
      <w:r w:rsidRPr="002462E6">
        <w:rPr>
          <w:rFonts w:ascii="Tahoma" w:eastAsia="Times New Roman" w:hAnsi="Tahoma" w:cs="Tahoma"/>
          <w:color w:val="000000"/>
          <w:sz w:val="24"/>
          <w:szCs w:val="24"/>
          <w:lang w:eastAsia="fr-FR"/>
        </w:rPr>
        <w:br/>
        <w:t>tous les aspects relatifs à la production, à la consommation, au recyclage et à l'affectation finale des produits forestiers;</w:t>
      </w:r>
    </w:p>
    <w:p w:rsidR="00BD111D" w:rsidRPr="002462E6" w:rsidRDefault="00BD111D" w:rsidP="00BD111D">
      <w:pPr>
        <w:spacing w:before="100" w:beforeAutospacing="1" w:after="100" w:afterAutospacing="1" w:line="240" w:lineRule="auto"/>
        <w:jc w:val="both"/>
        <w:rPr>
          <w:rFonts w:ascii="Tahoma" w:eastAsia="Times New Roman" w:hAnsi="Tahoma" w:cs="Tahoma"/>
          <w:color w:val="000000"/>
          <w:sz w:val="24"/>
          <w:szCs w:val="24"/>
          <w:lang w:eastAsia="fr-FR"/>
        </w:rPr>
      </w:pPr>
      <w:r w:rsidRPr="002462E6">
        <w:rPr>
          <w:rFonts w:ascii="Tahoma" w:eastAsia="Times New Roman" w:hAnsi="Tahoma" w:cs="Tahoma"/>
          <w:color w:val="000000"/>
          <w:sz w:val="24"/>
          <w:szCs w:val="24"/>
          <w:lang w:eastAsia="fr-FR"/>
        </w:rPr>
        <w:t>c) Les décisions prises sur la gestion, la conservation et l'exploitation écologiquement viable des ressources forestières devraient tirer profit, autant que possible,</w:t>
      </w:r>
      <w:r w:rsidRPr="002462E6">
        <w:rPr>
          <w:rFonts w:ascii="Tahoma" w:eastAsia="Times New Roman" w:hAnsi="Tahoma" w:cs="Tahoma"/>
          <w:color w:val="000000"/>
          <w:sz w:val="24"/>
          <w:szCs w:val="24"/>
          <w:lang w:eastAsia="fr-FR"/>
        </w:rPr>
        <w:br/>
        <w:t>d'une évaluation approfondie de la valeur économique et non économique des biens et services forestiers et des coûts et avantages environnementaux. La mise au</w:t>
      </w:r>
      <w:r w:rsidRPr="002462E6">
        <w:rPr>
          <w:rFonts w:ascii="Tahoma" w:eastAsia="Times New Roman" w:hAnsi="Tahoma" w:cs="Tahoma"/>
          <w:color w:val="000000"/>
          <w:sz w:val="24"/>
          <w:szCs w:val="24"/>
          <w:lang w:eastAsia="fr-FR"/>
        </w:rPr>
        <w:br/>
        <w:t>point et l'amélioration des méthodes à utiliser pour ces évaluations devraient être encouragées;</w:t>
      </w:r>
    </w:p>
    <w:p w:rsidR="00BD111D" w:rsidRPr="002462E6" w:rsidRDefault="00BD111D" w:rsidP="00BD111D">
      <w:pPr>
        <w:spacing w:before="100" w:beforeAutospacing="1" w:after="100" w:afterAutospacing="1" w:line="240" w:lineRule="auto"/>
        <w:jc w:val="both"/>
        <w:rPr>
          <w:rFonts w:ascii="Tahoma" w:eastAsia="Times New Roman" w:hAnsi="Tahoma" w:cs="Tahoma"/>
          <w:color w:val="000000"/>
          <w:sz w:val="24"/>
          <w:szCs w:val="24"/>
          <w:lang w:eastAsia="fr-FR"/>
        </w:rPr>
      </w:pPr>
      <w:r w:rsidRPr="002462E6">
        <w:rPr>
          <w:rFonts w:ascii="Tahoma" w:eastAsia="Times New Roman" w:hAnsi="Tahoma" w:cs="Tahoma"/>
          <w:color w:val="000000"/>
          <w:sz w:val="24"/>
          <w:szCs w:val="24"/>
          <w:lang w:eastAsia="fr-FR"/>
        </w:rPr>
        <w:t>d) Le rôle des forêts plantées par l'homme et des cultures permanentes en tant que sources durables et écologiquement rationnelles d'énergie renouvelable et de</w:t>
      </w:r>
      <w:r w:rsidRPr="002462E6">
        <w:rPr>
          <w:rFonts w:ascii="Tahoma" w:eastAsia="Times New Roman" w:hAnsi="Tahoma" w:cs="Tahoma"/>
          <w:color w:val="000000"/>
          <w:sz w:val="24"/>
          <w:szCs w:val="24"/>
          <w:lang w:eastAsia="fr-FR"/>
        </w:rPr>
        <w:br/>
        <w:t>matières premières industrielles devrait être reconnu, mis en relief et renforcé. Leur contribution au maintien des processus écologiques et à l'allégement des pressions</w:t>
      </w:r>
      <w:r w:rsidRPr="002462E6">
        <w:rPr>
          <w:rFonts w:ascii="Tahoma" w:eastAsia="Times New Roman" w:hAnsi="Tahoma" w:cs="Tahoma"/>
          <w:color w:val="000000"/>
          <w:sz w:val="24"/>
          <w:szCs w:val="24"/>
          <w:lang w:eastAsia="fr-FR"/>
        </w:rPr>
        <w:br/>
        <w:t>exercées sur les forêts vierges ou anciennes, ainsi qu'à la promotion de l'emploi et du développement à l'échelon régional avec une participation appropriée des</w:t>
      </w:r>
      <w:r w:rsidRPr="002462E6">
        <w:rPr>
          <w:rFonts w:ascii="Tahoma" w:eastAsia="Times New Roman" w:hAnsi="Tahoma" w:cs="Tahoma"/>
          <w:color w:val="000000"/>
          <w:sz w:val="24"/>
          <w:szCs w:val="24"/>
          <w:lang w:eastAsia="fr-FR"/>
        </w:rPr>
        <w:br/>
        <w:t>populations locales, devrait être reconnu et mis en relief;</w:t>
      </w:r>
    </w:p>
    <w:p w:rsidR="00BD111D" w:rsidRPr="002462E6" w:rsidRDefault="00BD111D" w:rsidP="00BD111D">
      <w:pPr>
        <w:spacing w:before="100" w:beforeAutospacing="1" w:after="100" w:afterAutospacing="1" w:line="240" w:lineRule="auto"/>
        <w:jc w:val="both"/>
        <w:rPr>
          <w:rFonts w:ascii="Tahoma" w:eastAsia="Times New Roman" w:hAnsi="Tahoma" w:cs="Tahoma"/>
          <w:color w:val="000000"/>
          <w:sz w:val="24"/>
          <w:szCs w:val="24"/>
          <w:lang w:eastAsia="fr-FR"/>
        </w:rPr>
      </w:pPr>
      <w:r w:rsidRPr="002462E6">
        <w:rPr>
          <w:rFonts w:ascii="Tahoma" w:eastAsia="Times New Roman" w:hAnsi="Tahoma" w:cs="Tahoma"/>
          <w:color w:val="000000"/>
          <w:sz w:val="24"/>
          <w:szCs w:val="24"/>
          <w:lang w:eastAsia="fr-FR"/>
        </w:rPr>
        <w:t>e) Les forêts naturelles constituent également une source de biens et de services, et leur conservation ainsi que leur gestion et leur utilisation écologiquement viables</w:t>
      </w:r>
      <w:r w:rsidRPr="002462E6">
        <w:rPr>
          <w:rFonts w:ascii="Tahoma" w:eastAsia="Times New Roman" w:hAnsi="Tahoma" w:cs="Tahoma"/>
          <w:color w:val="000000"/>
          <w:sz w:val="24"/>
          <w:szCs w:val="24"/>
          <w:lang w:eastAsia="fr-FR"/>
        </w:rPr>
        <w:br/>
        <w:t>devraient être encouragées.</w:t>
      </w:r>
    </w:p>
    <w:p w:rsidR="00BD111D" w:rsidRPr="002462E6" w:rsidRDefault="00BD111D" w:rsidP="00BD111D">
      <w:pPr>
        <w:spacing w:before="100" w:beforeAutospacing="1" w:after="100" w:afterAutospacing="1" w:line="240" w:lineRule="auto"/>
        <w:jc w:val="both"/>
        <w:rPr>
          <w:rFonts w:ascii="Tahoma" w:eastAsia="Times New Roman" w:hAnsi="Tahoma" w:cs="Tahoma"/>
          <w:color w:val="000000"/>
          <w:sz w:val="24"/>
          <w:szCs w:val="24"/>
          <w:lang w:eastAsia="fr-FR"/>
        </w:rPr>
      </w:pPr>
      <w:r w:rsidRPr="002462E6">
        <w:rPr>
          <w:rFonts w:ascii="Tahoma" w:eastAsia="Times New Roman" w:hAnsi="Tahoma" w:cs="Tahoma"/>
          <w:color w:val="000000"/>
          <w:sz w:val="24"/>
          <w:szCs w:val="24"/>
          <w:lang w:eastAsia="fr-FR"/>
        </w:rPr>
        <w:t>7. a) Des efforts devraient être faits pour instaurer un climat économique international favorable à une exploitation écologiquement viable et rationnelle des forêts</w:t>
      </w:r>
      <w:r w:rsidRPr="002462E6">
        <w:rPr>
          <w:rFonts w:ascii="Tahoma" w:eastAsia="Times New Roman" w:hAnsi="Tahoma" w:cs="Tahoma"/>
          <w:color w:val="000000"/>
          <w:sz w:val="24"/>
          <w:szCs w:val="24"/>
          <w:lang w:eastAsia="fr-FR"/>
        </w:rPr>
        <w:br/>
        <w:t>dans tous les pays, qui comporterait notamment la promotion de schémas viables de production et de consommation, l'élimination de la pauvreté et le renforcement</w:t>
      </w:r>
      <w:r w:rsidRPr="002462E6">
        <w:rPr>
          <w:rFonts w:ascii="Tahoma" w:eastAsia="Times New Roman" w:hAnsi="Tahoma" w:cs="Tahoma"/>
          <w:color w:val="000000"/>
          <w:sz w:val="24"/>
          <w:szCs w:val="24"/>
          <w:lang w:eastAsia="fr-FR"/>
        </w:rPr>
        <w:br/>
        <w:t>de la sécurité alimentaire;</w:t>
      </w:r>
    </w:p>
    <w:p w:rsidR="00BD111D" w:rsidRPr="002462E6" w:rsidRDefault="00BD111D" w:rsidP="00BD111D">
      <w:pPr>
        <w:spacing w:before="100" w:beforeAutospacing="1" w:after="100" w:afterAutospacing="1" w:line="240" w:lineRule="auto"/>
        <w:jc w:val="both"/>
        <w:rPr>
          <w:rFonts w:ascii="Tahoma" w:eastAsia="Times New Roman" w:hAnsi="Tahoma" w:cs="Tahoma"/>
          <w:color w:val="000000"/>
          <w:sz w:val="24"/>
          <w:szCs w:val="24"/>
          <w:lang w:eastAsia="fr-FR"/>
        </w:rPr>
      </w:pPr>
      <w:r w:rsidRPr="002462E6">
        <w:rPr>
          <w:rFonts w:ascii="Tahoma" w:eastAsia="Times New Roman" w:hAnsi="Tahoma" w:cs="Tahoma"/>
          <w:color w:val="000000"/>
          <w:sz w:val="24"/>
          <w:szCs w:val="24"/>
          <w:lang w:eastAsia="fr-FR"/>
        </w:rPr>
        <w:t>b) Des ressources financières particulières devraient être fournies aux pays en développement dotés d'un important couvert forestier qui établissent des programmes</w:t>
      </w:r>
      <w:r w:rsidRPr="002462E6">
        <w:rPr>
          <w:rFonts w:ascii="Tahoma" w:eastAsia="Times New Roman" w:hAnsi="Tahoma" w:cs="Tahoma"/>
          <w:color w:val="000000"/>
          <w:sz w:val="24"/>
          <w:szCs w:val="24"/>
          <w:lang w:eastAsia="fr-FR"/>
        </w:rPr>
        <w:br/>
        <w:t>de conservation des forêts, notamment des forêts naturelles protégées. Ces ressources devraient surtout être affectées aux secteurs économiques, ce qui stimulerait</w:t>
      </w:r>
      <w:r w:rsidRPr="002462E6">
        <w:rPr>
          <w:rFonts w:ascii="Tahoma" w:eastAsia="Times New Roman" w:hAnsi="Tahoma" w:cs="Tahoma"/>
          <w:color w:val="000000"/>
          <w:sz w:val="24"/>
          <w:szCs w:val="24"/>
          <w:lang w:eastAsia="fr-FR"/>
        </w:rPr>
        <w:br/>
        <w:t>des activités économiques et sociales de substitution.</w:t>
      </w:r>
    </w:p>
    <w:p w:rsidR="00BD111D" w:rsidRPr="002462E6" w:rsidRDefault="00BD111D" w:rsidP="00BD111D">
      <w:pPr>
        <w:spacing w:before="100" w:beforeAutospacing="1" w:after="100" w:afterAutospacing="1" w:line="240" w:lineRule="auto"/>
        <w:jc w:val="both"/>
        <w:rPr>
          <w:rFonts w:ascii="Tahoma" w:eastAsia="Times New Roman" w:hAnsi="Tahoma" w:cs="Tahoma"/>
          <w:color w:val="000000"/>
          <w:sz w:val="24"/>
          <w:szCs w:val="24"/>
          <w:lang w:eastAsia="fr-FR"/>
        </w:rPr>
      </w:pPr>
      <w:r w:rsidRPr="002462E6">
        <w:rPr>
          <w:rFonts w:ascii="Tahoma" w:eastAsia="Times New Roman" w:hAnsi="Tahoma" w:cs="Tahoma"/>
          <w:color w:val="000000"/>
          <w:sz w:val="24"/>
          <w:szCs w:val="24"/>
          <w:lang w:eastAsia="fr-FR"/>
        </w:rPr>
        <w:t>8. a) Des efforts devraient être entrepris en vue de rendre le monde plus vert. Tous les pays, en particulier les pays développés, devraient prendre des mesures</w:t>
      </w:r>
      <w:r w:rsidRPr="002462E6">
        <w:rPr>
          <w:rFonts w:ascii="Tahoma" w:eastAsia="Times New Roman" w:hAnsi="Tahoma" w:cs="Tahoma"/>
          <w:color w:val="000000"/>
          <w:sz w:val="24"/>
          <w:szCs w:val="24"/>
          <w:lang w:eastAsia="fr-FR"/>
        </w:rPr>
        <w:br/>
        <w:t>positives et transparentes en vue du reboisement, du boisement et de la conservation des forêts, selon le cas;</w:t>
      </w:r>
    </w:p>
    <w:p w:rsidR="00BD111D" w:rsidRPr="002462E6" w:rsidRDefault="00BD111D" w:rsidP="00BD111D">
      <w:pPr>
        <w:spacing w:before="100" w:beforeAutospacing="1" w:after="100" w:afterAutospacing="1" w:line="240" w:lineRule="auto"/>
        <w:jc w:val="both"/>
        <w:rPr>
          <w:rFonts w:ascii="Tahoma" w:eastAsia="Times New Roman" w:hAnsi="Tahoma" w:cs="Tahoma"/>
          <w:color w:val="000000"/>
          <w:sz w:val="24"/>
          <w:szCs w:val="24"/>
          <w:lang w:eastAsia="fr-FR"/>
        </w:rPr>
      </w:pPr>
      <w:r w:rsidRPr="002462E6">
        <w:rPr>
          <w:rFonts w:ascii="Tahoma" w:eastAsia="Times New Roman" w:hAnsi="Tahoma" w:cs="Tahoma"/>
          <w:color w:val="000000"/>
          <w:sz w:val="24"/>
          <w:szCs w:val="24"/>
          <w:lang w:eastAsia="fr-FR"/>
        </w:rPr>
        <w:t>b) Il faudrait s'efforcer de maintenir et d'accroître le couvert forestier et la productivité des forêts suivant des méthodes écologiquement, économiquement et</w:t>
      </w:r>
      <w:r w:rsidRPr="002462E6">
        <w:rPr>
          <w:rFonts w:ascii="Tahoma" w:eastAsia="Times New Roman" w:hAnsi="Tahoma" w:cs="Tahoma"/>
          <w:color w:val="000000"/>
          <w:sz w:val="24"/>
          <w:szCs w:val="24"/>
          <w:lang w:eastAsia="fr-FR"/>
        </w:rPr>
        <w:br/>
        <w:t>socialement rationnelles, par le biais de la remise en état, du reboisement et du rétablissement d'arbres et de forêts sur des terres improductives, dégradées et</w:t>
      </w:r>
      <w:r w:rsidRPr="002462E6">
        <w:rPr>
          <w:rFonts w:ascii="Tahoma" w:eastAsia="Times New Roman" w:hAnsi="Tahoma" w:cs="Tahoma"/>
          <w:color w:val="000000"/>
          <w:sz w:val="24"/>
          <w:szCs w:val="24"/>
          <w:lang w:eastAsia="fr-FR"/>
        </w:rPr>
        <w:br/>
        <w:t>déboisées, ainsi que par la gestion des ressources forestières existantes;</w:t>
      </w:r>
    </w:p>
    <w:p w:rsidR="00BD111D" w:rsidRPr="002462E6" w:rsidRDefault="00BD111D" w:rsidP="00BD111D">
      <w:pPr>
        <w:spacing w:before="100" w:beforeAutospacing="1" w:after="100" w:afterAutospacing="1" w:line="240" w:lineRule="auto"/>
        <w:jc w:val="both"/>
        <w:rPr>
          <w:rFonts w:ascii="Tahoma" w:eastAsia="Times New Roman" w:hAnsi="Tahoma" w:cs="Tahoma"/>
          <w:color w:val="000000"/>
          <w:sz w:val="24"/>
          <w:szCs w:val="24"/>
          <w:lang w:eastAsia="fr-FR"/>
        </w:rPr>
      </w:pPr>
      <w:r w:rsidRPr="002462E6">
        <w:rPr>
          <w:rFonts w:ascii="Tahoma" w:eastAsia="Times New Roman" w:hAnsi="Tahoma" w:cs="Tahoma"/>
          <w:color w:val="000000"/>
          <w:sz w:val="24"/>
          <w:szCs w:val="24"/>
          <w:lang w:eastAsia="fr-FR"/>
        </w:rPr>
        <w:t>c) La mise en oeuvre de politiques et programmes nationaux en matière de gestion, de conservation et d'exploitation écologiquement viable des forêts, notamment</w:t>
      </w:r>
      <w:r w:rsidRPr="002462E6">
        <w:rPr>
          <w:rFonts w:ascii="Tahoma" w:eastAsia="Times New Roman" w:hAnsi="Tahoma" w:cs="Tahoma"/>
          <w:color w:val="000000"/>
          <w:sz w:val="24"/>
          <w:szCs w:val="24"/>
          <w:lang w:eastAsia="fr-FR"/>
        </w:rPr>
        <w:br/>
        <w:t>dans les pays en développement, devrait être appuyée par une coopération financière et technique internationale, y compris par l'intermédiaire du secteur privé, s'il y</w:t>
      </w:r>
      <w:r w:rsidRPr="002462E6">
        <w:rPr>
          <w:rFonts w:ascii="Tahoma" w:eastAsia="Times New Roman" w:hAnsi="Tahoma" w:cs="Tahoma"/>
          <w:color w:val="000000"/>
          <w:sz w:val="24"/>
          <w:szCs w:val="24"/>
          <w:lang w:eastAsia="fr-FR"/>
        </w:rPr>
        <w:br/>
        <w:t>a lieu;</w:t>
      </w:r>
    </w:p>
    <w:p w:rsidR="00BD111D" w:rsidRPr="002462E6" w:rsidRDefault="00BD111D" w:rsidP="00BD111D">
      <w:pPr>
        <w:spacing w:before="100" w:beforeAutospacing="1" w:after="100" w:afterAutospacing="1" w:line="240" w:lineRule="auto"/>
        <w:jc w:val="both"/>
        <w:rPr>
          <w:rFonts w:ascii="Tahoma" w:eastAsia="Times New Roman" w:hAnsi="Tahoma" w:cs="Tahoma"/>
          <w:color w:val="000000"/>
          <w:sz w:val="24"/>
          <w:szCs w:val="24"/>
          <w:lang w:eastAsia="fr-FR"/>
        </w:rPr>
      </w:pPr>
      <w:r w:rsidRPr="002462E6">
        <w:rPr>
          <w:rFonts w:ascii="Tahoma" w:eastAsia="Times New Roman" w:hAnsi="Tahoma" w:cs="Tahoma"/>
          <w:color w:val="000000"/>
          <w:sz w:val="24"/>
          <w:szCs w:val="24"/>
          <w:lang w:eastAsia="fr-FR"/>
        </w:rPr>
        <w:t>d) La gestion et l'exploitation écologiquement viables des forêts devraient être réalisées conformément aux politiques et priorités nationales en matière de</w:t>
      </w:r>
      <w:r w:rsidRPr="002462E6">
        <w:rPr>
          <w:rFonts w:ascii="Tahoma" w:eastAsia="Times New Roman" w:hAnsi="Tahoma" w:cs="Tahoma"/>
          <w:color w:val="000000"/>
          <w:sz w:val="24"/>
          <w:szCs w:val="24"/>
          <w:lang w:eastAsia="fr-FR"/>
        </w:rPr>
        <w:br/>
        <w:t>développement et selon des directives nationales respectueuses de l'environnement. Dans la formulation de ces directives, il convient de prendre en considération, le</w:t>
      </w:r>
      <w:r w:rsidRPr="002462E6">
        <w:rPr>
          <w:rFonts w:ascii="Tahoma" w:eastAsia="Times New Roman" w:hAnsi="Tahoma" w:cs="Tahoma"/>
          <w:color w:val="000000"/>
          <w:sz w:val="24"/>
          <w:szCs w:val="24"/>
          <w:lang w:eastAsia="fr-FR"/>
        </w:rPr>
        <w:br/>
        <w:t>cas échéant et selon que de besoin, les méthodes et critères pertinents internationalement acceptés;</w:t>
      </w:r>
    </w:p>
    <w:p w:rsidR="00BD111D" w:rsidRPr="002462E6" w:rsidRDefault="00BD111D" w:rsidP="00BD111D">
      <w:pPr>
        <w:spacing w:before="100" w:beforeAutospacing="1" w:after="100" w:afterAutospacing="1" w:line="240" w:lineRule="auto"/>
        <w:jc w:val="both"/>
        <w:rPr>
          <w:rFonts w:ascii="Tahoma" w:eastAsia="Times New Roman" w:hAnsi="Tahoma" w:cs="Tahoma"/>
          <w:color w:val="000000"/>
          <w:sz w:val="24"/>
          <w:szCs w:val="24"/>
          <w:lang w:eastAsia="fr-FR"/>
        </w:rPr>
      </w:pPr>
      <w:r w:rsidRPr="002462E6">
        <w:rPr>
          <w:rFonts w:ascii="Tahoma" w:eastAsia="Times New Roman" w:hAnsi="Tahoma" w:cs="Tahoma"/>
          <w:color w:val="000000"/>
          <w:sz w:val="24"/>
          <w:szCs w:val="24"/>
          <w:lang w:eastAsia="fr-FR"/>
        </w:rPr>
        <w:t>e) La gestion forestière devrait être intégrée dans la gestion des zones adjacentes afin de maintenir l'équilibre écologique et une productivité durable;</w:t>
      </w:r>
    </w:p>
    <w:p w:rsidR="00BD111D" w:rsidRPr="002462E6" w:rsidRDefault="00BD111D" w:rsidP="00BD111D">
      <w:pPr>
        <w:spacing w:before="100" w:beforeAutospacing="1" w:after="100" w:afterAutospacing="1" w:line="240" w:lineRule="auto"/>
        <w:jc w:val="both"/>
        <w:rPr>
          <w:rFonts w:ascii="Tahoma" w:eastAsia="Times New Roman" w:hAnsi="Tahoma" w:cs="Tahoma"/>
          <w:color w:val="000000"/>
          <w:sz w:val="24"/>
          <w:szCs w:val="24"/>
          <w:lang w:eastAsia="fr-FR"/>
        </w:rPr>
      </w:pPr>
      <w:r w:rsidRPr="002462E6">
        <w:rPr>
          <w:rFonts w:ascii="Tahoma" w:eastAsia="Times New Roman" w:hAnsi="Tahoma" w:cs="Tahoma"/>
          <w:color w:val="000000"/>
          <w:sz w:val="24"/>
          <w:szCs w:val="24"/>
          <w:lang w:eastAsia="fr-FR"/>
        </w:rPr>
        <w:t>f) Les politiques et/ou législations nationales concernant la gestion, la conservation et l'exploitation écologiquement viable des forêts devraient comprendre la</w:t>
      </w:r>
      <w:r w:rsidRPr="002462E6">
        <w:rPr>
          <w:rFonts w:ascii="Tahoma" w:eastAsia="Times New Roman" w:hAnsi="Tahoma" w:cs="Tahoma"/>
          <w:color w:val="000000"/>
          <w:sz w:val="24"/>
          <w:szCs w:val="24"/>
          <w:lang w:eastAsia="fr-FR"/>
        </w:rPr>
        <w:br/>
        <w:t>protection de types de forêts représentatifs ou uniques écologiquement viables, y compris les forêts vierges ou anciennes et les forêts à valeur culturelle, spirituelle,</w:t>
      </w:r>
      <w:r w:rsidRPr="002462E6">
        <w:rPr>
          <w:rFonts w:ascii="Tahoma" w:eastAsia="Times New Roman" w:hAnsi="Tahoma" w:cs="Tahoma"/>
          <w:color w:val="000000"/>
          <w:sz w:val="24"/>
          <w:szCs w:val="24"/>
          <w:lang w:eastAsia="fr-FR"/>
        </w:rPr>
        <w:br/>
        <w:t>historique, religieuse ou autre, d'importance nationale;</w:t>
      </w:r>
    </w:p>
    <w:p w:rsidR="00BD111D" w:rsidRPr="002462E6" w:rsidRDefault="00BD111D" w:rsidP="00BD111D">
      <w:pPr>
        <w:spacing w:before="100" w:beforeAutospacing="1" w:after="100" w:afterAutospacing="1" w:line="240" w:lineRule="auto"/>
        <w:jc w:val="both"/>
        <w:rPr>
          <w:rFonts w:ascii="Tahoma" w:eastAsia="Times New Roman" w:hAnsi="Tahoma" w:cs="Tahoma"/>
          <w:color w:val="000000"/>
          <w:sz w:val="24"/>
          <w:szCs w:val="24"/>
          <w:lang w:eastAsia="fr-FR"/>
        </w:rPr>
      </w:pPr>
      <w:r w:rsidRPr="002462E6">
        <w:rPr>
          <w:rFonts w:ascii="Tahoma" w:eastAsia="Times New Roman" w:hAnsi="Tahoma" w:cs="Tahoma"/>
          <w:color w:val="000000"/>
          <w:sz w:val="24"/>
          <w:szCs w:val="24"/>
          <w:lang w:eastAsia="fr-FR"/>
        </w:rPr>
        <w:t>g) L'accès aux ressources biologiques, y compris le matériel génétique, tiendra dûment compte des droits souverains des pays où sont situées les forêts, ainsi que de</w:t>
      </w:r>
      <w:r w:rsidRPr="002462E6">
        <w:rPr>
          <w:rFonts w:ascii="Tahoma" w:eastAsia="Times New Roman" w:hAnsi="Tahoma" w:cs="Tahoma"/>
          <w:color w:val="000000"/>
          <w:sz w:val="24"/>
          <w:szCs w:val="24"/>
          <w:lang w:eastAsia="fr-FR"/>
        </w:rPr>
        <w:br/>
        <w:t>la mise en commun, à des conditions mutuellement convenues, des techniques et des avantages tirés des produits biotechniques;</w:t>
      </w:r>
    </w:p>
    <w:p w:rsidR="00BD111D" w:rsidRPr="002462E6" w:rsidRDefault="00BD111D" w:rsidP="00BD111D">
      <w:pPr>
        <w:spacing w:before="100" w:beforeAutospacing="1" w:after="100" w:afterAutospacing="1" w:line="240" w:lineRule="auto"/>
        <w:jc w:val="both"/>
        <w:rPr>
          <w:rFonts w:ascii="Tahoma" w:eastAsia="Times New Roman" w:hAnsi="Tahoma" w:cs="Tahoma"/>
          <w:color w:val="000000"/>
          <w:sz w:val="24"/>
          <w:szCs w:val="24"/>
          <w:lang w:eastAsia="fr-FR"/>
        </w:rPr>
      </w:pPr>
      <w:r w:rsidRPr="002462E6">
        <w:rPr>
          <w:rFonts w:ascii="Tahoma" w:eastAsia="Times New Roman" w:hAnsi="Tahoma" w:cs="Tahoma"/>
          <w:color w:val="000000"/>
          <w:sz w:val="24"/>
          <w:szCs w:val="24"/>
          <w:lang w:eastAsia="fr-FR"/>
        </w:rPr>
        <w:t>h) Les politiques nationales devraient prévoir la réalisation d'études d'impact sur l'environnement lorsque les mesures risquent d'avoir de graves conséquences pour</w:t>
      </w:r>
      <w:r w:rsidRPr="002462E6">
        <w:rPr>
          <w:rFonts w:ascii="Tahoma" w:eastAsia="Times New Roman" w:hAnsi="Tahoma" w:cs="Tahoma"/>
          <w:color w:val="000000"/>
          <w:sz w:val="24"/>
          <w:szCs w:val="24"/>
          <w:lang w:eastAsia="fr-FR"/>
        </w:rPr>
        <w:br/>
        <w:t>une grande partie des ressources forestières et lorsque ces mesures sont soumises à la décision d'un organe national compétent.</w:t>
      </w:r>
    </w:p>
    <w:p w:rsidR="00BD111D" w:rsidRPr="002462E6" w:rsidRDefault="00BD111D" w:rsidP="00BD111D">
      <w:pPr>
        <w:spacing w:before="100" w:beforeAutospacing="1" w:after="100" w:afterAutospacing="1" w:line="240" w:lineRule="auto"/>
        <w:jc w:val="both"/>
        <w:rPr>
          <w:rFonts w:ascii="Tahoma" w:eastAsia="Times New Roman" w:hAnsi="Tahoma" w:cs="Tahoma"/>
          <w:color w:val="000000"/>
          <w:sz w:val="24"/>
          <w:szCs w:val="24"/>
          <w:lang w:eastAsia="fr-FR"/>
        </w:rPr>
      </w:pPr>
      <w:r w:rsidRPr="002462E6">
        <w:rPr>
          <w:rFonts w:ascii="Tahoma" w:eastAsia="Times New Roman" w:hAnsi="Tahoma" w:cs="Tahoma"/>
          <w:color w:val="000000"/>
          <w:sz w:val="24"/>
          <w:szCs w:val="24"/>
          <w:lang w:eastAsia="fr-FR"/>
        </w:rPr>
        <w:t>9. a) Les efforts des pays en développement pour renforcer la gestion, la conservation et le développement durable de leurs ressources forestières devraient être</w:t>
      </w:r>
      <w:r w:rsidRPr="002462E6">
        <w:rPr>
          <w:rFonts w:ascii="Tahoma" w:eastAsia="Times New Roman" w:hAnsi="Tahoma" w:cs="Tahoma"/>
          <w:color w:val="000000"/>
          <w:sz w:val="24"/>
          <w:szCs w:val="24"/>
          <w:lang w:eastAsia="fr-FR"/>
        </w:rPr>
        <w:br/>
        <w:t>appuyés par la communauté internationale, compte tenu de l'importance de réduire l'endettement extérieur, particulièrement là où il est aggravé par le transfert net de</w:t>
      </w:r>
      <w:r w:rsidRPr="002462E6">
        <w:rPr>
          <w:rFonts w:ascii="Tahoma" w:eastAsia="Times New Roman" w:hAnsi="Tahoma" w:cs="Tahoma"/>
          <w:color w:val="000000"/>
          <w:sz w:val="24"/>
          <w:szCs w:val="24"/>
          <w:lang w:eastAsia="fr-FR"/>
        </w:rPr>
        <w:br/>
        <w:t>ressources au profit des pays développés, ainsi que du problème d'atteindre au moins la valeur de remplacement des forêts grâce à l'amélioration de l'accès au</w:t>
      </w:r>
      <w:r w:rsidRPr="002462E6">
        <w:rPr>
          <w:rFonts w:ascii="Tahoma" w:eastAsia="Times New Roman" w:hAnsi="Tahoma" w:cs="Tahoma"/>
          <w:color w:val="000000"/>
          <w:sz w:val="24"/>
          <w:szCs w:val="24"/>
          <w:lang w:eastAsia="fr-FR"/>
        </w:rPr>
        <w:br/>
        <w:t>marché pour les produits forestiers, spécialement les produits transformés. A cet égard, il conviendrait également de prêter une attention particulière aux pays en</w:t>
      </w:r>
      <w:r w:rsidRPr="002462E6">
        <w:rPr>
          <w:rFonts w:ascii="Tahoma" w:eastAsia="Times New Roman" w:hAnsi="Tahoma" w:cs="Tahoma"/>
          <w:color w:val="000000"/>
          <w:sz w:val="24"/>
          <w:szCs w:val="24"/>
          <w:lang w:eastAsia="fr-FR"/>
        </w:rPr>
        <w:br/>
        <w:t>transition vers une économie de marché;</w:t>
      </w:r>
    </w:p>
    <w:p w:rsidR="00BD111D" w:rsidRPr="002462E6" w:rsidRDefault="00BD111D" w:rsidP="00BD111D">
      <w:pPr>
        <w:spacing w:before="100" w:beforeAutospacing="1" w:after="100" w:afterAutospacing="1" w:line="240" w:lineRule="auto"/>
        <w:jc w:val="both"/>
        <w:rPr>
          <w:rFonts w:ascii="Tahoma" w:eastAsia="Times New Roman" w:hAnsi="Tahoma" w:cs="Tahoma"/>
          <w:color w:val="000000"/>
          <w:sz w:val="24"/>
          <w:szCs w:val="24"/>
          <w:lang w:eastAsia="fr-FR"/>
        </w:rPr>
      </w:pPr>
      <w:r w:rsidRPr="002462E6">
        <w:rPr>
          <w:rFonts w:ascii="Tahoma" w:eastAsia="Times New Roman" w:hAnsi="Tahoma" w:cs="Tahoma"/>
          <w:color w:val="000000"/>
          <w:sz w:val="24"/>
          <w:szCs w:val="24"/>
          <w:lang w:eastAsia="fr-FR"/>
        </w:rPr>
        <w:t>b) Les gouvernements et la communauté internationale devraient examiner les problèmes entravant les efforts déployés en vue d'assurer la conservation et</w:t>
      </w:r>
      <w:r w:rsidRPr="002462E6">
        <w:rPr>
          <w:rFonts w:ascii="Tahoma" w:eastAsia="Times New Roman" w:hAnsi="Tahoma" w:cs="Tahoma"/>
          <w:color w:val="000000"/>
          <w:sz w:val="24"/>
          <w:szCs w:val="24"/>
          <w:lang w:eastAsia="fr-FR"/>
        </w:rPr>
        <w:br/>
        <w:t>l'exploitation écologiquement viable des ressources forestières, qui résultent de l'absence d'autres options offertes aux collectivités locales, notamment aux</w:t>
      </w:r>
      <w:r w:rsidRPr="002462E6">
        <w:rPr>
          <w:rFonts w:ascii="Tahoma" w:eastAsia="Times New Roman" w:hAnsi="Tahoma" w:cs="Tahoma"/>
          <w:color w:val="000000"/>
          <w:sz w:val="24"/>
          <w:szCs w:val="24"/>
          <w:lang w:eastAsia="fr-FR"/>
        </w:rPr>
        <w:br/>
        <w:t>populations les plus défavorisées des zones urbaines et rurales, qui sont économiquement et socialement tributaires des forêts et des ressources forestières;</w:t>
      </w:r>
    </w:p>
    <w:p w:rsidR="00BD111D" w:rsidRPr="002462E6" w:rsidRDefault="00BD111D" w:rsidP="00BD111D">
      <w:pPr>
        <w:spacing w:before="100" w:beforeAutospacing="1" w:after="100" w:afterAutospacing="1" w:line="240" w:lineRule="auto"/>
        <w:jc w:val="both"/>
        <w:rPr>
          <w:rFonts w:ascii="Tahoma" w:eastAsia="Times New Roman" w:hAnsi="Tahoma" w:cs="Tahoma"/>
          <w:color w:val="000000"/>
          <w:sz w:val="24"/>
          <w:szCs w:val="24"/>
          <w:lang w:eastAsia="fr-FR"/>
        </w:rPr>
      </w:pPr>
      <w:r w:rsidRPr="002462E6">
        <w:rPr>
          <w:rFonts w:ascii="Tahoma" w:eastAsia="Times New Roman" w:hAnsi="Tahoma" w:cs="Tahoma"/>
          <w:color w:val="000000"/>
          <w:sz w:val="24"/>
          <w:szCs w:val="24"/>
          <w:lang w:eastAsia="fr-FR"/>
        </w:rPr>
        <w:t>c) Dans l'élaboration des politiques nationales concernant tous les types de forêts, il faudrait tenir compte des pressions et des contraintes imposées aux écosystèmes</w:t>
      </w:r>
      <w:r w:rsidRPr="002462E6">
        <w:rPr>
          <w:rFonts w:ascii="Tahoma" w:eastAsia="Times New Roman" w:hAnsi="Tahoma" w:cs="Tahoma"/>
          <w:color w:val="000000"/>
          <w:sz w:val="24"/>
          <w:szCs w:val="24"/>
          <w:lang w:eastAsia="fr-FR"/>
        </w:rPr>
        <w:br/>
        <w:t>et aux ressources des forêts par des facteurs extérieurs au secteur forestier, et il conviendrait de rechercher des moyens intersectoriels de faire face à ces pressions</w:t>
      </w:r>
      <w:r w:rsidRPr="002462E6">
        <w:rPr>
          <w:rFonts w:ascii="Tahoma" w:eastAsia="Times New Roman" w:hAnsi="Tahoma" w:cs="Tahoma"/>
          <w:color w:val="000000"/>
          <w:sz w:val="24"/>
          <w:szCs w:val="24"/>
          <w:lang w:eastAsia="fr-FR"/>
        </w:rPr>
        <w:br/>
        <w:t>et contraintes.</w:t>
      </w:r>
    </w:p>
    <w:p w:rsidR="00BD111D" w:rsidRPr="002462E6" w:rsidRDefault="00BD111D" w:rsidP="00BD111D">
      <w:pPr>
        <w:spacing w:before="100" w:beforeAutospacing="1" w:after="100" w:afterAutospacing="1" w:line="240" w:lineRule="auto"/>
        <w:jc w:val="both"/>
        <w:rPr>
          <w:rFonts w:ascii="Tahoma" w:eastAsia="Times New Roman" w:hAnsi="Tahoma" w:cs="Tahoma"/>
          <w:color w:val="000000"/>
          <w:sz w:val="24"/>
          <w:szCs w:val="24"/>
          <w:lang w:eastAsia="fr-FR"/>
        </w:rPr>
      </w:pPr>
      <w:r w:rsidRPr="002462E6">
        <w:rPr>
          <w:rFonts w:ascii="Tahoma" w:eastAsia="Times New Roman" w:hAnsi="Tahoma" w:cs="Tahoma"/>
          <w:color w:val="000000"/>
          <w:sz w:val="24"/>
          <w:szCs w:val="24"/>
          <w:lang w:eastAsia="fr-FR"/>
        </w:rPr>
        <w:t>10. Des ressources financières nouvelles et supplémentaires devraient être fournies aux pays en développement pour leur permettre de gérer, de conserver et</w:t>
      </w:r>
      <w:r w:rsidRPr="002462E6">
        <w:rPr>
          <w:rFonts w:ascii="Tahoma" w:eastAsia="Times New Roman" w:hAnsi="Tahoma" w:cs="Tahoma"/>
          <w:color w:val="000000"/>
          <w:sz w:val="24"/>
          <w:szCs w:val="24"/>
          <w:lang w:eastAsia="fr-FR"/>
        </w:rPr>
        <w:br/>
        <w:t>d'exploiter de manière écologiquement viable leurs ressources forestières, notamment par le boisement et le reboisement, et pour lutter contre le déboisement et la</w:t>
      </w:r>
      <w:r w:rsidRPr="002462E6">
        <w:rPr>
          <w:rFonts w:ascii="Tahoma" w:eastAsia="Times New Roman" w:hAnsi="Tahoma" w:cs="Tahoma"/>
          <w:color w:val="000000"/>
          <w:sz w:val="24"/>
          <w:szCs w:val="24"/>
          <w:lang w:eastAsia="fr-FR"/>
        </w:rPr>
        <w:br/>
        <w:t>dégradation des forêts et des sols.</w:t>
      </w:r>
    </w:p>
    <w:p w:rsidR="00BD111D" w:rsidRPr="002462E6" w:rsidRDefault="00BD111D" w:rsidP="00BD111D">
      <w:pPr>
        <w:spacing w:before="100" w:beforeAutospacing="1" w:after="100" w:afterAutospacing="1" w:line="240" w:lineRule="auto"/>
        <w:jc w:val="both"/>
        <w:rPr>
          <w:rFonts w:ascii="Tahoma" w:eastAsia="Times New Roman" w:hAnsi="Tahoma" w:cs="Tahoma"/>
          <w:color w:val="000000"/>
          <w:sz w:val="24"/>
          <w:szCs w:val="24"/>
          <w:lang w:eastAsia="fr-FR"/>
        </w:rPr>
      </w:pPr>
      <w:r w:rsidRPr="002462E6">
        <w:rPr>
          <w:rFonts w:ascii="Tahoma" w:eastAsia="Times New Roman" w:hAnsi="Tahoma" w:cs="Tahoma"/>
          <w:color w:val="000000"/>
          <w:sz w:val="24"/>
          <w:szCs w:val="24"/>
          <w:lang w:eastAsia="fr-FR"/>
        </w:rPr>
        <w:t>11. En vue de permettre, en particulier, aux pays en développement, de développer leurs capacités endogènes et de mieux gérer, préserver et exploiter leurs</w:t>
      </w:r>
      <w:r w:rsidRPr="002462E6">
        <w:rPr>
          <w:rFonts w:ascii="Tahoma" w:eastAsia="Times New Roman" w:hAnsi="Tahoma" w:cs="Tahoma"/>
          <w:color w:val="000000"/>
          <w:sz w:val="24"/>
          <w:szCs w:val="24"/>
          <w:lang w:eastAsia="fr-FR"/>
        </w:rPr>
        <w:br/>
        <w:t>ressources forestières, il convient de promouvoir, faciliter et financer selon que de besoin l'accès à des techniques écologiquement rationnelles et au savoir-faire</w:t>
      </w:r>
      <w:r w:rsidRPr="002462E6">
        <w:rPr>
          <w:rFonts w:ascii="Tahoma" w:eastAsia="Times New Roman" w:hAnsi="Tahoma" w:cs="Tahoma"/>
          <w:color w:val="000000"/>
          <w:sz w:val="24"/>
          <w:szCs w:val="24"/>
          <w:lang w:eastAsia="fr-FR"/>
        </w:rPr>
        <w:br/>
        <w:t>correspondant ainsi que le transfert de ces techniques et de ce savoir-faire, y compris à des conditions concessionnelles et préférentielles, mutuellement convenues,</w:t>
      </w:r>
      <w:r w:rsidRPr="002462E6">
        <w:rPr>
          <w:rFonts w:ascii="Tahoma" w:eastAsia="Times New Roman" w:hAnsi="Tahoma" w:cs="Tahoma"/>
          <w:color w:val="000000"/>
          <w:sz w:val="24"/>
          <w:szCs w:val="24"/>
          <w:lang w:eastAsia="fr-FR"/>
        </w:rPr>
        <w:br/>
        <w:t>conformément aux dispositions pertinentes d'Action 21.</w:t>
      </w:r>
    </w:p>
    <w:p w:rsidR="00BD111D" w:rsidRPr="002462E6" w:rsidRDefault="00BD111D" w:rsidP="00BD111D">
      <w:pPr>
        <w:spacing w:before="100" w:beforeAutospacing="1" w:after="100" w:afterAutospacing="1" w:line="240" w:lineRule="auto"/>
        <w:jc w:val="both"/>
        <w:rPr>
          <w:rFonts w:ascii="Tahoma" w:eastAsia="Times New Roman" w:hAnsi="Tahoma" w:cs="Tahoma"/>
          <w:color w:val="000000"/>
          <w:sz w:val="24"/>
          <w:szCs w:val="24"/>
          <w:lang w:eastAsia="fr-FR"/>
        </w:rPr>
      </w:pPr>
      <w:r w:rsidRPr="002462E6">
        <w:rPr>
          <w:rFonts w:ascii="Tahoma" w:eastAsia="Times New Roman" w:hAnsi="Tahoma" w:cs="Tahoma"/>
          <w:color w:val="000000"/>
          <w:sz w:val="24"/>
          <w:szCs w:val="24"/>
          <w:lang w:eastAsia="fr-FR"/>
        </w:rPr>
        <w:t>12. a) La recherche scientifique, les inventaires et évaluations des forêts, exécutés par des organismes nationaux, tenant compte le cas échéant de variables</w:t>
      </w:r>
      <w:r w:rsidRPr="002462E6">
        <w:rPr>
          <w:rFonts w:ascii="Tahoma" w:eastAsia="Times New Roman" w:hAnsi="Tahoma" w:cs="Tahoma"/>
          <w:color w:val="000000"/>
          <w:sz w:val="24"/>
          <w:szCs w:val="24"/>
          <w:lang w:eastAsia="fr-FR"/>
        </w:rPr>
        <w:br/>
        <w:t>biologiques, physiques, sociales et économiques ainsi que du développement technologique et de ses applications dans le domaine de la gestion, de la conservation</w:t>
      </w:r>
      <w:r w:rsidRPr="002462E6">
        <w:rPr>
          <w:rFonts w:ascii="Tahoma" w:eastAsia="Times New Roman" w:hAnsi="Tahoma" w:cs="Tahoma"/>
          <w:color w:val="000000"/>
          <w:sz w:val="24"/>
          <w:szCs w:val="24"/>
          <w:lang w:eastAsia="fr-FR"/>
        </w:rPr>
        <w:br/>
        <w:t>et de l'exploitation écologiquement viable des ressources forestières, devraient être renforcés au moyen de mesures efficaces, y compris la coopération</w:t>
      </w:r>
      <w:r w:rsidRPr="002462E6">
        <w:rPr>
          <w:rFonts w:ascii="Tahoma" w:eastAsia="Times New Roman" w:hAnsi="Tahoma" w:cs="Tahoma"/>
          <w:color w:val="000000"/>
          <w:sz w:val="24"/>
          <w:szCs w:val="24"/>
          <w:lang w:eastAsia="fr-FR"/>
        </w:rPr>
        <w:br/>
        <w:t>internationale. Dans ce contexte, il conviendrait de s'intéresser à la recherche-développement portant sur des produits autres que le bois à rendement durable;</w:t>
      </w:r>
    </w:p>
    <w:p w:rsidR="00BD111D" w:rsidRPr="002462E6" w:rsidRDefault="00BD111D" w:rsidP="00BD111D">
      <w:pPr>
        <w:spacing w:before="100" w:beforeAutospacing="1" w:after="100" w:afterAutospacing="1" w:line="240" w:lineRule="auto"/>
        <w:jc w:val="both"/>
        <w:rPr>
          <w:rFonts w:ascii="Tahoma" w:eastAsia="Times New Roman" w:hAnsi="Tahoma" w:cs="Tahoma"/>
          <w:color w:val="000000"/>
          <w:sz w:val="24"/>
          <w:szCs w:val="24"/>
          <w:lang w:eastAsia="fr-FR"/>
        </w:rPr>
      </w:pPr>
      <w:r w:rsidRPr="002462E6">
        <w:rPr>
          <w:rFonts w:ascii="Tahoma" w:eastAsia="Times New Roman" w:hAnsi="Tahoma" w:cs="Tahoma"/>
          <w:color w:val="000000"/>
          <w:sz w:val="24"/>
          <w:szCs w:val="24"/>
          <w:lang w:eastAsia="fr-FR"/>
        </w:rPr>
        <w:t>b) Les capacités institutionnelles nationales et, le cas échéant, régionales et internationales concernant l'éducation, la formation, la science, la technologie, l'économie,</w:t>
      </w:r>
      <w:r w:rsidRPr="002462E6">
        <w:rPr>
          <w:rFonts w:ascii="Tahoma" w:eastAsia="Times New Roman" w:hAnsi="Tahoma" w:cs="Tahoma"/>
          <w:color w:val="000000"/>
          <w:sz w:val="24"/>
          <w:szCs w:val="24"/>
          <w:lang w:eastAsia="fr-FR"/>
        </w:rPr>
        <w:br/>
        <w:t>l'anthropologie et les aspects sociaux de la sylviculture et de la gestion des forêts sont essentielles pour la conservation et l'exploitation écologiquement viable des</w:t>
      </w:r>
      <w:r w:rsidRPr="002462E6">
        <w:rPr>
          <w:rFonts w:ascii="Tahoma" w:eastAsia="Times New Roman" w:hAnsi="Tahoma" w:cs="Tahoma"/>
          <w:color w:val="000000"/>
          <w:sz w:val="24"/>
          <w:szCs w:val="24"/>
          <w:lang w:eastAsia="fr-FR"/>
        </w:rPr>
        <w:br/>
        <w:t>ressources forestières et devraient être renforcées;</w:t>
      </w:r>
    </w:p>
    <w:p w:rsidR="00BD111D" w:rsidRPr="002462E6" w:rsidRDefault="00BD111D" w:rsidP="00BD111D">
      <w:pPr>
        <w:spacing w:before="100" w:beforeAutospacing="1" w:after="100" w:afterAutospacing="1" w:line="240" w:lineRule="auto"/>
        <w:jc w:val="both"/>
        <w:rPr>
          <w:rFonts w:ascii="Tahoma" w:eastAsia="Times New Roman" w:hAnsi="Tahoma" w:cs="Tahoma"/>
          <w:color w:val="000000"/>
          <w:sz w:val="24"/>
          <w:szCs w:val="24"/>
          <w:lang w:eastAsia="fr-FR"/>
        </w:rPr>
      </w:pPr>
      <w:r w:rsidRPr="002462E6">
        <w:rPr>
          <w:rFonts w:ascii="Tahoma" w:eastAsia="Times New Roman" w:hAnsi="Tahoma" w:cs="Tahoma"/>
          <w:color w:val="000000"/>
          <w:sz w:val="24"/>
          <w:szCs w:val="24"/>
          <w:lang w:eastAsia="fr-FR"/>
        </w:rPr>
        <w:t>c) Les échanges internationaux d'informations sur les résultats de la recherche-développement en matière de forêts et de gestion des forêts devraient être encouragés</w:t>
      </w:r>
      <w:r w:rsidRPr="002462E6">
        <w:rPr>
          <w:rFonts w:ascii="Tahoma" w:eastAsia="Times New Roman" w:hAnsi="Tahoma" w:cs="Tahoma"/>
          <w:color w:val="000000"/>
          <w:sz w:val="24"/>
          <w:szCs w:val="24"/>
          <w:lang w:eastAsia="fr-FR"/>
        </w:rPr>
        <w:br/>
        <w:t>et élargis selon les besoins, en faisant pleinement appel aux établissements d'enseignement et de formation, y compris ceux du secteur privé;</w:t>
      </w:r>
    </w:p>
    <w:p w:rsidR="00BD111D" w:rsidRPr="002462E6" w:rsidRDefault="00BD111D" w:rsidP="00BD111D">
      <w:pPr>
        <w:spacing w:before="100" w:beforeAutospacing="1" w:after="100" w:afterAutospacing="1" w:line="240" w:lineRule="auto"/>
        <w:jc w:val="both"/>
        <w:rPr>
          <w:rFonts w:ascii="Tahoma" w:eastAsia="Times New Roman" w:hAnsi="Tahoma" w:cs="Tahoma"/>
          <w:color w:val="000000"/>
          <w:sz w:val="24"/>
          <w:szCs w:val="24"/>
          <w:lang w:eastAsia="fr-FR"/>
        </w:rPr>
      </w:pPr>
      <w:r w:rsidRPr="002462E6">
        <w:rPr>
          <w:rFonts w:ascii="Tahoma" w:eastAsia="Times New Roman" w:hAnsi="Tahoma" w:cs="Tahoma"/>
          <w:color w:val="000000"/>
          <w:sz w:val="24"/>
          <w:szCs w:val="24"/>
          <w:lang w:eastAsia="fr-FR"/>
        </w:rPr>
        <w:t>d) Les capacités autochtones et les connaissances locales appropriées en matière de conservation et d'exploitation écologiquement viable des forêts devraient, grâce</w:t>
      </w:r>
      <w:r w:rsidRPr="002462E6">
        <w:rPr>
          <w:rFonts w:ascii="Tahoma" w:eastAsia="Times New Roman" w:hAnsi="Tahoma" w:cs="Tahoma"/>
          <w:color w:val="000000"/>
          <w:sz w:val="24"/>
          <w:szCs w:val="24"/>
          <w:lang w:eastAsia="fr-FR"/>
        </w:rPr>
        <w:br/>
        <w:t>à un appui institutionnel et financier et en collaboration avec les populations des collectivités locales intéressées, être reconnues, respectées, enregistrées,</w:t>
      </w:r>
      <w:r w:rsidRPr="002462E6">
        <w:rPr>
          <w:rFonts w:ascii="Tahoma" w:eastAsia="Times New Roman" w:hAnsi="Tahoma" w:cs="Tahoma"/>
          <w:color w:val="000000"/>
          <w:sz w:val="24"/>
          <w:szCs w:val="24"/>
          <w:lang w:eastAsia="fr-FR"/>
        </w:rPr>
        <w:br/>
        <w:t>perfectionnées et, le cas échéant, utilisées dans l'exécution des programmes. Les avantages découlant de l'utilisation des connaissances locales devraient en</w:t>
      </w:r>
      <w:r w:rsidRPr="002462E6">
        <w:rPr>
          <w:rFonts w:ascii="Tahoma" w:eastAsia="Times New Roman" w:hAnsi="Tahoma" w:cs="Tahoma"/>
          <w:color w:val="000000"/>
          <w:sz w:val="24"/>
          <w:szCs w:val="24"/>
          <w:lang w:eastAsia="fr-FR"/>
        </w:rPr>
        <w:br/>
        <w:t>conséquence être équitablement partagés avec ces populations.</w:t>
      </w:r>
    </w:p>
    <w:p w:rsidR="00BD111D" w:rsidRPr="002462E6" w:rsidRDefault="00BD111D" w:rsidP="00BD111D">
      <w:pPr>
        <w:spacing w:before="100" w:beforeAutospacing="1" w:after="100" w:afterAutospacing="1" w:line="240" w:lineRule="auto"/>
        <w:jc w:val="both"/>
        <w:rPr>
          <w:rFonts w:ascii="Tahoma" w:eastAsia="Times New Roman" w:hAnsi="Tahoma" w:cs="Tahoma"/>
          <w:color w:val="000000"/>
          <w:sz w:val="24"/>
          <w:szCs w:val="24"/>
          <w:lang w:eastAsia="fr-FR"/>
        </w:rPr>
      </w:pPr>
      <w:r w:rsidRPr="002462E6">
        <w:rPr>
          <w:rFonts w:ascii="Tahoma" w:eastAsia="Times New Roman" w:hAnsi="Tahoma" w:cs="Tahoma"/>
          <w:color w:val="000000"/>
          <w:sz w:val="24"/>
          <w:szCs w:val="24"/>
          <w:lang w:eastAsia="fr-FR"/>
        </w:rPr>
        <w:t>13. a) Le commerce des produits forestiers devrait se fonder sur des règles et procédures non discriminatoires et multilatéralement acceptées, compatibles avec le</w:t>
      </w:r>
      <w:r w:rsidRPr="002462E6">
        <w:rPr>
          <w:rFonts w:ascii="Tahoma" w:eastAsia="Times New Roman" w:hAnsi="Tahoma" w:cs="Tahoma"/>
          <w:color w:val="000000"/>
          <w:sz w:val="24"/>
          <w:szCs w:val="24"/>
          <w:lang w:eastAsia="fr-FR"/>
        </w:rPr>
        <w:br/>
        <w:t>droit et les pratiques commerciales internationales. Il conviendrait à cet égard de favoriser un commerce international ouvert et libre;</w:t>
      </w:r>
    </w:p>
    <w:p w:rsidR="00BD111D" w:rsidRPr="002462E6" w:rsidRDefault="00BD111D" w:rsidP="00BD111D">
      <w:pPr>
        <w:spacing w:before="100" w:beforeAutospacing="1" w:after="100" w:afterAutospacing="1" w:line="240" w:lineRule="auto"/>
        <w:jc w:val="both"/>
        <w:rPr>
          <w:rFonts w:ascii="Tahoma" w:eastAsia="Times New Roman" w:hAnsi="Tahoma" w:cs="Tahoma"/>
          <w:color w:val="000000"/>
          <w:sz w:val="24"/>
          <w:szCs w:val="24"/>
          <w:lang w:eastAsia="fr-FR"/>
        </w:rPr>
      </w:pPr>
      <w:r w:rsidRPr="002462E6">
        <w:rPr>
          <w:rFonts w:ascii="Tahoma" w:eastAsia="Times New Roman" w:hAnsi="Tahoma" w:cs="Tahoma"/>
          <w:color w:val="000000"/>
          <w:sz w:val="24"/>
          <w:szCs w:val="24"/>
          <w:lang w:eastAsia="fr-FR"/>
        </w:rPr>
        <w:t>b) La réduction ou la suppression des barrières et obstacles tarifaires à l'octroi d'un meilleur accès aux marchés et de meilleurs prix pour les produits forestiers à</w:t>
      </w:r>
      <w:r w:rsidRPr="002462E6">
        <w:rPr>
          <w:rFonts w:ascii="Tahoma" w:eastAsia="Times New Roman" w:hAnsi="Tahoma" w:cs="Tahoma"/>
          <w:color w:val="000000"/>
          <w:sz w:val="24"/>
          <w:szCs w:val="24"/>
          <w:lang w:eastAsia="fr-FR"/>
        </w:rPr>
        <w:br/>
        <w:t>valeur ajoutée plus élevée et leur transformation locale devraient être encouragés de manière à permettre aux pays producteurs de mieux conserver et gérer leurs</w:t>
      </w:r>
      <w:r w:rsidRPr="002462E6">
        <w:rPr>
          <w:rFonts w:ascii="Tahoma" w:eastAsia="Times New Roman" w:hAnsi="Tahoma" w:cs="Tahoma"/>
          <w:color w:val="000000"/>
          <w:sz w:val="24"/>
          <w:szCs w:val="24"/>
          <w:lang w:eastAsia="fr-FR"/>
        </w:rPr>
        <w:br/>
        <w:t>ressources forestières renouvelables;</w:t>
      </w:r>
    </w:p>
    <w:p w:rsidR="00BD111D" w:rsidRPr="002462E6" w:rsidRDefault="00BD111D" w:rsidP="00BD111D">
      <w:pPr>
        <w:spacing w:before="100" w:beforeAutospacing="1" w:after="100" w:afterAutospacing="1" w:line="240" w:lineRule="auto"/>
        <w:jc w:val="both"/>
        <w:rPr>
          <w:rFonts w:ascii="Tahoma" w:eastAsia="Times New Roman" w:hAnsi="Tahoma" w:cs="Tahoma"/>
          <w:color w:val="000000"/>
          <w:sz w:val="24"/>
          <w:szCs w:val="24"/>
          <w:lang w:eastAsia="fr-FR"/>
        </w:rPr>
      </w:pPr>
      <w:r w:rsidRPr="002462E6">
        <w:rPr>
          <w:rFonts w:ascii="Tahoma" w:eastAsia="Times New Roman" w:hAnsi="Tahoma" w:cs="Tahoma"/>
          <w:color w:val="000000"/>
          <w:sz w:val="24"/>
          <w:szCs w:val="24"/>
          <w:lang w:eastAsia="fr-FR"/>
        </w:rPr>
        <w:t>c) Afin de permettre la conservation et une exploitation écologiquement viable des forêts, il conviendrait d'encourager, tant au niveau national qu'international,</w:t>
      </w:r>
      <w:r w:rsidRPr="002462E6">
        <w:rPr>
          <w:rFonts w:ascii="Tahoma" w:eastAsia="Times New Roman" w:hAnsi="Tahoma" w:cs="Tahoma"/>
          <w:color w:val="000000"/>
          <w:sz w:val="24"/>
          <w:szCs w:val="24"/>
          <w:lang w:eastAsia="fr-FR"/>
        </w:rPr>
        <w:br/>
        <w:t>l'intégration des coûts et bénéfices environnementaux aux forces et mécanismes du marché;</w:t>
      </w:r>
    </w:p>
    <w:p w:rsidR="00BD111D" w:rsidRPr="002462E6" w:rsidRDefault="00BD111D" w:rsidP="00BD111D">
      <w:pPr>
        <w:spacing w:before="100" w:beforeAutospacing="1" w:after="100" w:afterAutospacing="1" w:line="240" w:lineRule="auto"/>
        <w:jc w:val="both"/>
        <w:rPr>
          <w:rFonts w:ascii="Tahoma" w:eastAsia="Times New Roman" w:hAnsi="Tahoma" w:cs="Tahoma"/>
          <w:color w:val="000000"/>
          <w:sz w:val="24"/>
          <w:szCs w:val="24"/>
          <w:lang w:eastAsia="fr-FR"/>
        </w:rPr>
      </w:pPr>
      <w:r w:rsidRPr="002462E6">
        <w:rPr>
          <w:rFonts w:ascii="Tahoma" w:eastAsia="Times New Roman" w:hAnsi="Tahoma" w:cs="Tahoma"/>
          <w:color w:val="000000"/>
          <w:sz w:val="24"/>
          <w:szCs w:val="24"/>
          <w:lang w:eastAsia="fr-FR"/>
        </w:rPr>
        <w:t>d) Les politiques de conservation et d'exploitation écologiquement viable des forêts devraient être intégrées aux politiques économiques et commerciales et autres</w:t>
      </w:r>
      <w:r w:rsidRPr="002462E6">
        <w:rPr>
          <w:rFonts w:ascii="Tahoma" w:eastAsia="Times New Roman" w:hAnsi="Tahoma" w:cs="Tahoma"/>
          <w:color w:val="000000"/>
          <w:sz w:val="24"/>
          <w:szCs w:val="24"/>
          <w:lang w:eastAsia="fr-FR"/>
        </w:rPr>
        <w:br/>
        <w:t>politiques pertinentes;</w:t>
      </w:r>
    </w:p>
    <w:p w:rsidR="00BD111D" w:rsidRPr="002462E6" w:rsidRDefault="00BD111D" w:rsidP="00BD111D">
      <w:pPr>
        <w:spacing w:before="100" w:beforeAutospacing="1" w:after="100" w:afterAutospacing="1" w:line="240" w:lineRule="auto"/>
        <w:jc w:val="both"/>
        <w:rPr>
          <w:rFonts w:ascii="Tahoma" w:eastAsia="Times New Roman" w:hAnsi="Tahoma" w:cs="Tahoma"/>
          <w:color w:val="000000"/>
          <w:sz w:val="24"/>
          <w:szCs w:val="24"/>
          <w:lang w:eastAsia="fr-FR"/>
        </w:rPr>
      </w:pPr>
      <w:r w:rsidRPr="002462E6">
        <w:rPr>
          <w:rFonts w:ascii="Tahoma" w:eastAsia="Times New Roman" w:hAnsi="Tahoma" w:cs="Tahoma"/>
          <w:color w:val="000000"/>
          <w:sz w:val="24"/>
          <w:szCs w:val="24"/>
          <w:lang w:eastAsia="fr-FR"/>
        </w:rPr>
        <w:t>e) Dans le domaine financier, commercial ou industriel ainsi qu'en matière de transport ou dans d'autres domaines, les politiques et les pratiques qui peuvent conduire</w:t>
      </w:r>
      <w:r w:rsidRPr="002462E6">
        <w:rPr>
          <w:rFonts w:ascii="Tahoma" w:eastAsia="Times New Roman" w:hAnsi="Tahoma" w:cs="Tahoma"/>
          <w:color w:val="000000"/>
          <w:sz w:val="24"/>
          <w:szCs w:val="24"/>
          <w:lang w:eastAsia="fr-FR"/>
        </w:rPr>
        <w:br/>
        <w:t>à une dégradation des forêts doivent être évitées. Il faudrait promouvoir des politiques appropriées axées sur la gestion, la conservation et l'exploitation</w:t>
      </w:r>
      <w:r w:rsidRPr="002462E6">
        <w:rPr>
          <w:rFonts w:ascii="Tahoma" w:eastAsia="Times New Roman" w:hAnsi="Tahoma" w:cs="Tahoma"/>
          <w:color w:val="000000"/>
          <w:sz w:val="24"/>
          <w:szCs w:val="24"/>
          <w:lang w:eastAsia="fr-FR"/>
        </w:rPr>
        <w:br/>
        <w:t>écologiquement viable des forêts, y compris, le cas échéant, des incitations.</w:t>
      </w:r>
    </w:p>
    <w:p w:rsidR="00BD111D" w:rsidRPr="002462E6" w:rsidRDefault="00BD111D" w:rsidP="00BD111D">
      <w:pPr>
        <w:spacing w:before="100" w:beforeAutospacing="1" w:after="100" w:afterAutospacing="1" w:line="240" w:lineRule="auto"/>
        <w:jc w:val="both"/>
        <w:rPr>
          <w:rFonts w:ascii="Tahoma" w:eastAsia="Times New Roman" w:hAnsi="Tahoma" w:cs="Tahoma"/>
          <w:color w:val="000000"/>
          <w:sz w:val="24"/>
          <w:szCs w:val="24"/>
          <w:lang w:eastAsia="fr-FR"/>
        </w:rPr>
      </w:pPr>
      <w:r w:rsidRPr="002462E6">
        <w:rPr>
          <w:rFonts w:ascii="Tahoma" w:eastAsia="Times New Roman" w:hAnsi="Tahoma" w:cs="Tahoma"/>
          <w:color w:val="000000"/>
          <w:sz w:val="24"/>
          <w:szCs w:val="24"/>
          <w:lang w:eastAsia="fr-FR"/>
        </w:rPr>
        <w:t>14. Il faudrait éliminer ou éviter les mesures unilatérales, incompatibles avec les obligations internationales ou accords internationaux, qui visent à restreindre et/ou à</w:t>
      </w:r>
      <w:r w:rsidRPr="002462E6">
        <w:rPr>
          <w:rFonts w:ascii="Tahoma" w:eastAsia="Times New Roman" w:hAnsi="Tahoma" w:cs="Tahoma"/>
          <w:color w:val="000000"/>
          <w:sz w:val="24"/>
          <w:szCs w:val="24"/>
          <w:lang w:eastAsia="fr-FR"/>
        </w:rPr>
        <w:br/>
        <w:t>bannir le commerce international du bois d'oeuvre et d'autres produits forestiers, afin de parvenir à une gestion forestière écologiquement viable à long terme.</w:t>
      </w:r>
    </w:p>
    <w:p w:rsidR="00BD111D" w:rsidRPr="002462E6" w:rsidRDefault="00BD111D" w:rsidP="00BD111D">
      <w:pPr>
        <w:spacing w:before="100" w:beforeAutospacing="1" w:after="100" w:afterAutospacing="1" w:line="240" w:lineRule="auto"/>
        <w:jc w:val="both"/>
        <w:rPr>
          <w:rFonts w:ascii="Tahoma" w:eastAsia="Times New Roman" w:hAnsi="Tahoma" w:cs="Tahoma"/>
          <w:color w:val="000000"/>
          <w:sz w:val="24"/>
          <w:szCs w:val="24"/>
          <w:lang w:eastAsia="fr-FR"/>
        </w:rPr>
      </w:pPr>
      <w:r w:rsidRPr="002462E6">
        <w:rPr>
          <w:rFonts w:ascii="Tahoma" w:eastAsia="Times New Roman" w:hAnsi="Tahoma" w:cs="Tahoma"/>
          <w:color w:val="000000"/>
          <w:sz w:val="24"/>
          <w:szCs w:val="24"/>
          <w:lang w:eastAsia="fr-FR"/>
        </w:rPr>
        <w:t>15. Les polluants, en particulier les polluants atmosphériques, y compris ceux qui sont à l'origine de dépôts acides, nuisibles à la santé des écosystèmes forestiers aux</w:t>
      </w:r>
      <w:r w:rsidRPr="002462E6">
        <w:rPr>
          <w:rFonts w:ascii="Tahoma" w:eastAsia="Times New Roman" w:hAnsi="Tahoma" w:cs="Tahoma"/>
          <w:color w:val="000000"/>
          <w:sz w:val="24"/>
          <w:szCs w:val="24"/>
          <w:lang w:eastAsia="fr-FR"/>
        </w:rPr>
        <w:br/>
        <w:t>échelons local, national, régional et mondial, devraient être contrôlés.</w:t>
      </w:r>
    </w:p>
    <w:p w:rsidR="00774ABC" w:rsidRPr="002462E6" w:rsidRDefault="001A36FE" w:rsidP="002F1A32">
      <w:pPr>
        <w:pStyle w:val="Titre"/>
      </w:pPr>
      <w:bookmarkStart w:id="513" w:name="_Toc201570938"/>
      <w:bookmarkStart w:id="514" w:name="_Toc201655552"/>
      <w:bookmarkStart w:id="515" w:name="_Toc203643146"/>
      <w:r w:rsidRPr="002462E6">
        <w:t>ANNEXE 3</w:t>
      </w:r>
      <w:bookmarkEnd w:id="513"/>
      <w:bookmarkEnd w:id="514"/>
      <w:bookmarkEnd w:id="515"/>
    </w:p>
    <w:p w:rsidR="00377A86" w:rsidRPr="002462E6" w:rsidRDefault="00C8198A" w:rsidP="00C8198A">
      <w:pPr>
        <w:pStyle w:val="Sous-titre"/>
        <w:rPr>
          <w:rFonts w:eastAsia="Calibri" w:cs="Times New Roman"/>
          <w:noProof/>
          <w:color w:val="0070C0"/>
          <w:spacing w:val="5"/>
          <w:kern w:val="28"/>
          <w:sz w:val="32"/>
          <w:szCs w:val="32"/>
          <w:lang w:eastAsia="fr-FR"/>
        </w:rPr>
      </w:pPr>
      <w:r>
        <w:rPr>
          <w:shd w:val="clear" w:color="auto" w:fill="FFFFFF"/>
        </w:rPr>
        <w:t>Groupe de réflexion sur la dégradation des forêts au Maroc</w:t>
      </w:r>
    </w:p>
    <w:p w:rsidR="0080081B" w:rsidRPr="002462E6" w:rsidRDefault="00377A86" w:rsidP="002E6679">
      <w:pPr>
        <w:rPr>
          <w:rFonts w:ascii="Tahoma" w:eastAsia="Calibri" w:hAnsi="Tahoma" w:cs="Times New Roman"/>
          <w:noProof/>
          <w:color w:val="0070C0"/>
          <w:spacing w:val="5"/>
          <w:kern w:val="28"/>
          <w:sz w:val="32"/>
          <w:szCs w:val="32"/>
          <w:lang w:eastAsia="fr-FR"/>
        </w:rPr>
      </w:pPr>
      <w:r w:rsidRPr="002462E6">
        <w:rPr>
          <w:rFonts w:ascii="Tahoma" w:eastAsia="Calibri" w:hAnsi="Tahoma" w:cs="Times New Roman"/>
          <w:noProof/>
          <w:color w:val="0070C0"/>
          <w:spacing w:val="5"/>
          <w:kern w:val="28"/>
          <w:sz w:val="32"/>
          <w:szCs w:val="32"/>
          <w:lang w:eastAsia="fr-FR"/>
        </w:rPr>
        <w:drawing>
          <wp:inline distT="0" distB="0" distL="0" distR="0" wp14:anchorId="5CB45833" wp14:editId="0DA873D2">
            <wp:extent cx="3062176" cy="2296633"/>
            <wp:effectExtent l="0" t="0" r="5080" b="8890"/>
            <wp:docPr id="956995660" name="Image 956995660" descr="C:\Users\hp\Desktop\NAJWA\PHOTO TABLE RONDE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hp\Desktop\NAJWA\PHOTO TABLE RONDE (1).jpg"/>
                    <pic:cNvPicPr>
                      <a:picLocks noChangeAspect="1" noChangeArrowheads="1"/>
                    </pic:cNvPicPr>
                  </pic:nvPicPr>
                  <pic:blipFill>
                    <a:blip r:embed="rId86" cstate="print">
                      <a:extLst>
                        <a:ext uri="{28A0092B-C50C-407E-A947-70E740481C1C}">
                          <a14:useLocalDpi xmlns:a14="http://schemas.microsoft.com/office/drawing/2010/main" val="0"/>
                        </a:ext>
                      </a:extLst>
                    </a:blip>
                    <a:srcRect/>
                    <a:stretch>
                      <a:fillRect/>
                    </a:stretch>
                  </pic:blipFill>
                  <pic:spPr bwMode="auto">
                    <a:xfrm>
                      <a:off x="0" y="0"/>
                      <a:ext cx="3067612" cy="2300710"/>
                    </a:xfrm>
                    <a:prstGeom prst="rect">
                      <a:avLst/>
                    </a:prstGeom>
                    <a:noFill/>
                    <a:ln>
                      <a:noFill/>
                    </a:ln>
                  </pic:spPr>
                </pic:pic>
              </a:graphicData>
            </a:graphic>
          </wp:inline>
        </w:drawing>
      </w:r>
      <w:r w:rsidR="00E407A1">
        <w:rPr>
          <w:noProof/>
          <w:lang w:eastAsia="fr-FR"/>
        </w:rPr>
        <w:drawing>
          <wp:inline distT="0" distB="0" distL="0" distR="0" wp14:anchorId="12700A38" wp14:editId="6F44D265">
            <wp:extent cx="2764126" cy="2300025"/>
            <wp:effectExtent l="0" t="0" r="0" b="5080"/>
            <wp:docPr id="1512970669" name="Image 1512970669" descr="C:\Users\hp\Downloads\PHOTO4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p\Downloads\PHOTO4 (1).jpg"/>
                    <pic:cNvPicPr>
                      <a:picLocks noChangeAspect="1" noChangeArrowheads="1"/>
                    </pic:cNvPicPr>
                  </pic:nvPicPr>
                  <pic:blipFill rotWithShape="1">
                    <a:blip r:embed="rId87" cstate="print">
                      <a:extLst>
                        <a:ext uri="{28A0092B-C50C-407E-A947-70E740481C1C}">
                          <a14:useLocalDpi xmlns:a14="http://schemas.microsoft.com/office/drawing/2010/main" val="0"/>
                        </a:ext>
                      </a:extLst>
                    </a:blip>
                    <a:srcRect t="612"/>
                    <a:stretch/>
                  </pic:blipFill>
                  <pic:spPr bwMode="auto">
                    <a:xfrm>
                      <a:off x="0" y="0"/>
                      <a:ext cx="2769625" cy="2304601"/>
                    </a:xfrm>
                    <a:prstGeom prst="rect">
                      <a:avLst/>
                    </a:prstGeom>
                    <a:noFill/>
                    <a:ln>
                      <a:noFill/>
                    </a:ln>
                    <a:extLst>
                      <a:ext uri="{53640926-AAD7-44D8-BBD7-CCE9431645EC}">
                        <a14:shadowObscured xmlns:a14="http://schemas.microsoft.com/office/drawing/2010/main"/>
                      </a:ext>
                    </a:extLst>
                  </pic:spPr>
                </pic:pic>
              </a:graphicData>
            </a:graphic>
          </wp:inline>
        </w:drawing>
      </w:r>
    </w:p>
    <w:p w:rsidR="00C8198A" w:rsidRDefault="00C8198A" w:rsidP="00C8198A">
      <w:pPr>
        <w:widowControl w:val="0"/>
        <w:autoSpaceDE w:val="0"/>
        <w:autoSpaceDN w:val="0"/>
        <w:spacing w:after="200" w:line="240" w:lineRule="auto"/>
        <w:jc w:val="center"/>
        <w:rPr>
          <w:rFonts w:ascii="Tahoma" w:eastAsia="Times New Roman" w:hAnsi="Tahoma" w:cs="Tahoma"/>
          <w:b/>
          <w:bCs/>
          <w:iCs/>
          <w:color w:val="000000" w:themeColor="text1"/>
          <w:szCs w:val="16"/>
        </w:rPr>
      </w:pPr>
      <w:r>
        <w:rPr>
          <w:noProof/>
          <w:lang w:eastAsia="fr-FR"/>
        </w:rPr>
        <w:drawing>
          <wp:inline distT="0" distB="0" distL="0" distR="0" wp14:anchorId="6D14C6EA" wp14:editId="511FE7C2">
            <wp:extent cx="3979833" cy="2349795"/>
            <wp:effectExtent l="0" t="0" r="1905" b="0"/>
            <wp:docPr id="1512970668" name="Image 1512970668" descr="C:\Users\hp\Downloads\PHOTO2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hp\Downloads\PHOTO2 (2).jpg"/>
                    <pic:cNvPicPr>
                      <a:picLocks noChangeAspect="1" noChangeArrowheads="1"/>
                    </pic:cNvPicPr>
                  </pic:nvPicPr>
                  <pic:blipFill rotWithShape="1">
                    <a:blip r:embed="rId88" cstate="print">
                      <a:extLst>
                        <a:ext uri="{28A0092B-C50C-407E-A947-70E740481C1C}">
                          <a14:useLocalDpi xmlns:a14="http://schemas.microsoft.com/office/drawing/2010/main" val="0"/>
                        </a:ext>
                      </a:extLst>
                    </a:blip>
                    <a:srcRect t="21277"/>
                    <a:stretch/>
                  </pic:blipFill>
                  <pic:spPr bwMode="auto">
                    <a:xfrm>
                      <a:off x="0" y="0"/>
                      <a:ext cx="4026321" cy="2377243"/>
                    </a:xfrm>
                    <a:prstGeom prst="rect">
                      <a:avLst/>
                    </a:prstGeom>
                    <a:noFill/>
                    <a:ln>
                      <a:noFill/>
                    </a:ln>
                    <a:extLst>
                      <a:ext uri="{53640926-AAD7-44D8-BBD7-CCE9431645EC}">
                        <a14:shadowObscured xmlns:a14="http://schemas.microsoft.com/office/drawing/2010/main"/>
                      </a:ext>
                    </a:extLst>
                  </pic:spPr>
                </pic:pic>
              </a:graphicData>
            </a:graphic>
          </wp:inline>
        </w:drawing>
      </w:r>
      <w:r w:rsidRPr="00C8198A">
        <w:rPr>
          <w:rFonts w:ascii="Tahoma" w:eastAsia="Times New Roman" w:hAnsi="Tahoma" w:cs="Tahoma"/>
          <w:b/>
          <w:bCs/>
          <w:iCs/>
          <w:color w:val="000000" w:themeColor="text1"/>
          <w:szCs w:val="16"/>
        </w:rPr>
        <w:t xml:space="preserve"> </w:t>
      </w:r>
    </w:p>
    <w:p w:rsidR="00C8198A" w:rsidRDefault="00C8198A" w:rsidP="00C8198A">
      <w:pPr>
        <w:widowControl w:val="0"/>
        <w:autoSpaceDE w:val="0"/>
        <w:autoSpaceDN w:val="0"/>
        <w:spacing w:after="200" w:line="240" w:lineRule="auto"/>
        <w:jc w:val="center"/>
        <w:rPr>
          <w:rFonts w:ascii="Tahoma" w:eastAsia="Times New Roman" w:hAnsi="Tahoma" w:cs="Tahoma"/>
          <w:b/>
          <w:bCs/>
          <w:iCs/>
          <w:color w:val="000000" w:themeColor="text1"/>
          <w:szCs w:val="16"/>
        </w:rPr>
      </w:pPr>
      <w:r>
        <w:rPr>
          <w:noProof/>
          <w:lang w:eastAsia="fr-FR"/>
        </w:rPr>
        <w:drawing>
          <wp:inline distT="0" distB="0" distL="0" distR="0" wp14:anchorId="0F96BFFC" wp14:editId="254FD754">
            <wp:extent cx="3331533" cy="2339163"/>
            <wp:effectExtent l="0" t="0" r="2540" b="4445"/>
            <wp:docPr id="1512970667" name="Image 1512970667" descr="C:\Users\hp\Downloads\PHOTO3 (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hp\Downloads\PHOTO3 (4).jpg"/>
                    <pic:cNvPicPr>
                      <a:picLocks noChangeAspect="1" noChangeArrowheads="1"/>
                    </pic:cNvPicPr>
                  </pic:nvPicPr>
                  <pic:blipFill rotWithShape="1">
                    <a:blip r:embed="rId89" cstate="print">
                      <a:extLst>
                        <a:ext uri="{28A0092B-C50C-407E-A947-70E740481C1C}">
                          <a14:useLocalDpi xmlns:a14="http://schemas.microsoft.com/office/drawing/2010/main" val="0"/>
                        </a:ext>
                      </a:extLst>
                    </a:blip>
                    <a:srcRect t="6383"/>
                    <a:stretch/>
                  </pic:blipFill>
                  <pic:spPr bwMode="auto">
                    <a:xfrm>
                      <a:off x="0" y="0"/>
                      <a:ext cx="3346118" cy="2349404"/>
                    </a:xfrm>
                    <a:prstGeom prst="rect">
                      <a:avLst/>
                    </a:prstGeom>
                    <a:noFill/>
                    <a:ln>
                      <a:noFill/>
                    </a:ln>
                    <a:extLst>
                      <a:ext uri="{53640926-AAD7-44D8-BBD7-CCE9431645EC}">
                        <a14:shadowObscured xmlns:a14="http://schemas.microsoft.com/office/drawing/2010/main"/>
                      </a:ext>
                    </a:extLst>
                  </pic:spPr>
                </pic:pic>
              </a:graphicData>
            </a:graphic>
          </wp:inline>
        </w:drawing>
      </w:r>
    </w:p>
    <w:p w:rsidR="00C8198A" w:rsidRPr="00AD1780" w:rsidRDefault="00C8198A" w:rsidP="00C8198A">
      <w:pPr>
        <w:widowControl w:val="0"/>
        <w:autoSpaceDE w:val="0"/>
        <w:autoSpaceDN w:val="0"/>
        <w:spacing w:after="200" w:line="240" w:lineRule="auto"/>
        <w:jc w:val="center"/>
        <w:rPr>
          <w:rFonts w:ascii="Tahoma" w:eastAsia="Times New Roman" w:hAnsi="Tahoma" w:cs="Tahoma"/>
          <w:iCs/>
          <w:color w:val="000000" w:themeColor="text1"/>
          <w:szCs w:val="16"/>
        </w:rPr>
      </w:pPr>
      <w:r w:rsidRPr="002462E6">
        <w:rPr>
          <w:rFonts w:ascii="Tahoma" w:eastAsia="Times New Roman" w:hAnsi="Tahoma" w:cs="Tahoma"/>
          <w:b/>
          <w:bCs/>
          <w:iCs/>
          <w:color w:val="000000" w:themeColor="text1"/>
          <w:szCs w:val="16"/>
        </w:rPr>
        <w:t>Source</w:t>
      </w:r>
      <w:r>
        <w:rPr>
          <w:rFonts w:ascii="Tahoma" w:eastAsia="Times New Roman" w:hAnsi="Tahoma" w:cs="Tahoma"/>
          <w:iCs/>
          <w:color w:val="000000" w:themeColor="text1"/>
          <w:szCs w:val="16"/>
        </w:rPr>
        <w:t xml:space="preserve"> : </w:t>
      </w:r>
      <w:r>
        <w:rPr>
          <w:rFonts w:ascii="Calibri" w:hAnsi="Calibri" w:cs="Calibri"/>
          <w:color w:val="000000"/>
          <w:shd w:val="clear" w:color="auto" w:fill="FFFFFF"/>
        </w:rPr>
        <w:t>Photos prises lors de l’événement</w:t>
      </w:r>
    </w:p>
    <w:p w:rsidR="000D57A1" w:rsidRPr="00E77C1A" w:rsidRDefault="000D57A1" w:rsidP="002F1A32">
      <w:pPr>
        <w:pStyle w:val="Titre"/>
      </w:pPr>
      <w:bookmarkStart w:id="516" w:name="_Toc203643147"/>
      <w:r w:rsidRPr="00E77C1A">
        <w:t>ANNEXE 4</w:t>
      </w:r>
      <w:bookmarkEnd w:id="516"/>
    </w:p>
    <w:p w:rsidR="000D57A1" w:rsidRPr="002462E6" w:rsidRDefault="000D57A1" w:rsidP="0026259D">
      <w:pPr>
        <w:pStyle w:val="Sous-titre"/>
      </w:pPr>
      <w:r w:rsidRPr="002462E6">
        <w:t>Graphe</w:t>
      </w:r>
      <w:r w:rsidR="0026259D">
        <w:t xml:space="preserve"> </w:t>
      </w:r>
      <w:r w:rsidRPr="002462E6">
        <w:t>: Répartition mondiale des forêts selon les plus grandes superficies forestières</w:t>
      </w:r>
    </w:p>
    <w:p w:rsidR="000D57A1" w:rsidRPr="002462E6" w:rsidRDefault="000D57A1" w:rsidP="000D57A1">
      <w:pPr>
        <w:widowControl w:val="0"/>
        <w:autoSpaceDE w:val="0"/>
        <w:autoSpaceDN w:val="0"/>
        <w:spacing w:after="200" w:line="240" w:lineRule="auto"/>
        <w:jc w:val="center"/>
        <w:rPr>
          <w:rFonts w:ascii="Calibri" w:eastAsia="Times New Roman" w:hAnsi="Calibri" w:cs="Times New Roman"/>
          <w:iCs/>
          <w:color w:val="1F497D"/>
          <w:sz w:val="24"/>
          <w:szCs w:val="18"/>
        </w:rPr>
      </w:pPr>
      <w:r w:rsidRPr="002462E6">
        <w:rPr>
          <w:rFonts w:ascii="Calibri" w:eastAsia="Times New Roman" w:hAnsi="Calibri" w:cs="Times New Roman"/>
          <w:iCs/>
          <w:noProof/>
          <w:color w:val="1F497D"/>
          <w:sz w:val="24"/>
          <w:szCs w:val="18"/>
          <w:lang w:eastAsia="fr-FR"/>
        </w:rPr>
        <w:drawing>
          <wp:inline distT="0" distB="0" distL="0" distR="0" wp14:anchorId="0FB067EF" wp14:editId="7D900267">
            <wp:extent cx="5617028" cy="3918857"/>
            <wp:effectExtent l="0" t="0" r="3175" b="5715"/>
            <wp:docPr id="956995651" name="Image 9569956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5614083" cy="3916802"/>
                    </a:xfrm>
                    <a:prstGeom prst="rect">
                      <a:avLst/>
                    </a:prstGeom>
                    <a:noFill/>
                  </pic:spPr>
                </pic:pic>
              </a:graphicData>
            </a:graphic>
          </wp:inline>
        </w:drawing>
      </w:r>
    </w:p>
    <w:p w:rsidR="000D57A1" w:rsidRPr="002462E6" w:rsidRDefault="000D57A1" w:rsidP="000D57A1">
      <w:pPr>
        <w:widowControl w:val="0"/>
        <w:autoSpaceDE w:val="0"/>
        <w:autoSpaceDN w:val="0"/>
        <w:spacing w:after="200" w:line="240" w:lineRule="auto"/>
        <w:jc w:val="center"/>
        <w:rPr>
          <w:rFonts w:ascii="Tahoma" w:eastAsia="Times New Roman" w:hAnsi="Tahoma" w:cs="Tahoma"/>
          <w:iCs/>
          <w:color w:val="000000" w:themeColor="text1"/>
          <w:szCs w:val="16"/>
        </w:rPr>
      </w:pPr>
      <w:r w:rsidRPr="002462E6">
        <w:rPr>
          <w:rFonts w:ascii="Tahoma" w:eastAsia="Times New Roman" w:hAnsi="Tahoma" w:cs="Tahoma"/>
          <w:b/>
          <w:bCs/>
          <w:iCs/>
          <w:color w:val="000000" w:themeColor="text1"/>
          <w:szCs w:val="16"/>
        </w:rPr>
        <w:t>Source</w:t>
      </w:r>
      <w:r w:rsidRPr="002462E6">
        <w:rPr>
          <w:rFonts w:ascii="Tahoma" w:eastAsia="Times New Roman" w:hAnsi="Tahoma" w:cs="Tahoma"/>
          <w:iCs/>
          <w:color w:val="000000" w:themeColor="text1"/>
          <w:szCs w:val="16"/>
        </w:rPr>
        <w:t xml:space="preserve"> : FAO, 2020</w:t>
      </w:r>
    </w:p>
    <w:p w:rsidR="00DB7C61" w:rsidRPr="00E77C1A" w:rsidRDefault="00DB7C61" w:rsidP="002F1A32">
      <w:pPr>
        <w:pStyle w:val="Titre"/>
        <w:bidi w:val="0"/>
      </w:pPr>
      <w:r w:rsidRPr="00E77C1A">
        <w:br w:type="page"/>
      </w:r>
      <w:bookmarkStart w:id="517" w:name="_Toc203643148"/>
      <w:r w:rsidRPr="00E77C1A">
        <w:t>ANNEXE 5</w:t>
      </w:r>
      <w:bookmarkEnd w:id="517"/>
    </w:p>
    <w:p w:rsidR="00DB7C61" w:rsidRDefault="00DB7C61" w:rsidP="00E77C1A">
      <w:pPr>
        <w:jc w:val="center"/>
      </w:pPr>
      <w:r w:rsidRPr="00DB7C61">
        <w:rPr>
          <w:rStyle w:val="Titre8Car"/>
        </w:rPr>
        <w:t>CONDITIONS SOCIOECONOMIQUES DE LA POPULATION INTERROGEE A KORIFLA</w:t>
      </w:r>
    </w:p>
    <w:p w:rsidR="00AD1780" w:rsidRPr="00AD1780" w:rsidRDefault="00DB7C61" w:rsidP="00E77C1A">
      <w:r w:rsidRPr="00DB7C61">
        <w:rPr>
          <w:noProof/>
          <w:lang w:eastAsia="fr-FR"/>
        </w:rPr>
        <w:drawing>
          <wp:anchor distT="0" distB="0" distL="114300" distR="114300" simplePos="0" relativeHeight="251783168" behindDoc="0" locked="0" layoutInCell="1" allowOverlap="1" wp14:anchorId="1BDBE274" wp14:editId="5D8B3F6D">
            <wp:simplePos x="0" y="0"/>
            <wp:positionH relativeFrom="column">
              <wp:posOffset>3060700</wp:posOffset>
            </wp:positionH>
            <wp:positionV relativeFrom="paragraph">
              <wp:posOffset>3832225</wp:posOffset>
            </wp:positionV>
            <wp:extent cx="3037840" cy="1708785"/>
            <wp:effectExtent l="0" t="0" r="0" b="5715"/>
            <wp:wrapTopAndBottom/>
            <wp:docPr id="956995669" name="Image 9569956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CIO6.jpg"/>
                    <pic:cNvPicPr/>
                  </pic:nvPicPr>
                  <pic:blipFill>
                    <a:blip r:embed="rId91" cstate="print">
                      <a:extLst>
                        <a:ext uri="{28A0092B-C50C-407E-A947-70E740481C1C}">
                          <a14:useLocalDpi xmlns:a14="http://schemas.microsoft.com/office/drawing/2010/main" val="0"/>
                        </a:ext>
                      </a:extLst>
                    </a:blip>
                    <a:stretch>
                      <a:fillRect/>
                    </a:stretch>
                  </pic:blipFill>
                  <pic:spPr>
                    <a:xfrm>
                      <a:off x="0" y="0"/>
                      <a:ext cx="3037840" cy="1708785"/>
                    </a:xfrm>
                    <a:prstGeom prst="rect">
                      <a:avLst/>
                    </a:prstGeom>
                  </pic:spPr>
                </pic:pic>
              </a:graphicData>
            </a:graphic>
            <wp14:sizeRelH relativeFrom="page">
              <wp14:pctWidth>0</wp14:pctWidth>
            </wp14:sizeRelH>
            <wp14:sizeRelV relativeFrom="page">
              <wp14:pctHeight>0</wp14:pctHeight>
            </wp14:sizeRelV>
          </wp:anchor>
        </w:drawing>
      </w:r>
      <w:r w:rsidRPr="00DB7C61">
        <w:rPr>
          <w:noProof/>
          <w:lang w:eastAsia="fr-FR"/>
        </w:rPr>
        <w:drawing>
          <wp:anchor distT="0" distB="0" distL="114300" distR="114300" simplePos="0" relativeHeight="251779072" behindDoc="0" locked="0" layoutInCell="1" allowOverlap="1" wp14:anchorId="420D16C8" wp14:editId="0B2FDCDD">
            <wp:simplePos x="0" y="0"/>
            <wp:positionH relativeFrom="column">
              <wp:posOffset>-169545</wp:posOffset>
            </wp:positionH>
            <wp:positionV relativeFrom="paragraph">
              <wp:posOffset>3843655</wp:posOffset>
            </wp:positionV>
            <wp:extent cx="3039745" cy="1709420"/>
            <wp:effectExtent l="0" t="0" r="8255" b="5080"/>
            <wp:wrapTopAndBottom/>
            <wp:docPr id="956995667" name="Image 9569956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CIO6.jpg"/>
                    <pic:cNvPicPr/>
                  </pic:nvPicPr>
                  <pic:blipFill>
                    <a:blip r:embed="rId92" cstate="print">
                      <a:extLst>
                        <a:ext uri="{28A0092B-C50C-407E-A947-70E740481C1C}">
                          <a14:useLocalDpi xmlns:a14="http://schemas.microsoft.com/office/drawing/2010/main" val="0"/>
                        </a:ext>
                      </a:extLst>
                    </a:blip>
                    <a:stretch>
                      <a:fillRect/>
                    </a:stretch>
                  </pic:blipFill>
                  <pic:spPr>
                    <a:xfrm>
                      <a:off x="0" y="0"/>
                      <a:ext cx="3039745" cy="1709420"/>
                    </a:xfrm>
                    <a:prstGeom prst="rect">
                      <a:avLst/>
                    </a:prstGeom>
                  </pic:spPr>
                </pic:pic>
              </a:graphicData>
            </a:graphic>
            <wp14:sizeRelH relativeFrom="page">
              <wp14:pctWidth>0</wp14:pctWidth>
            </wp14:sizeRelH>
            <wp14:sizeRelV relativeFrom="page">
              <wp14:pctHeight>0</wp14:pctHeight>
            </wp14:sizeRelV>
          </wp:anchor>
        </w:drawing>
      </w:r>
      <w:r w:rsidRPr="00DB7C61">
        <w:rPr>
          <w:noProof/>
          <w:lang w:eastAsia="fr-FR"/>
        </w:rPr>
        <w:drawing>
          <wp:anchor distT="0" distB="0" distL="114300" distR="114300" simplePos="0" relativeHeight="251781120" behindDoc="0" locked="0" layoutInCell="1" allowOverlap="1" wp14:anchorId="4638B478" wp14:editId="0870438D">
            <wp:simplePos x="0" y="0"/>
            <wp:positionH relativeFrom="column">
              <wp:posOffset>3060700</wp:posOffset>
            </wp:positionH>
            <wp:positionV relativeFrom="paragraph">
              <wp:posOffset>1981835</wp:posOffset>
            </wp:positionV>
            <wp:extent cx="3037840" cy="1708785"/>
            <wp:effectExtent l="0" t="0" r="0" b="5715"/>
            <wp:wrapTopAndBottom/>
            <wp:docPr id="956995668" name="Image 9569956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CIO6.jpg"/>
                    <pic:cNvPicPr/>
                  </pic:nvPicPr>
                  <pic:blipFill>
                    <a:blip r:embed="rId93" cstate="print">
                      <a:extLst>
                        <a:ext uri="{28A0092B-C50C-407E-A947-70E740481C1C}">
                          <a14:useLocalDpi xmlns:a14="http://schemas.microsoft.com/office/drawing/2010/main" val="0"/>
                        </a:ext>
                      </a:extLst>
                    </a:blip>
                    <a:stretch>
                      <a:fillRect/>
                    </a:stretch>
                  </pic:blipFill>
                  <pic:spPr>
                    <a:xfrm>
                      <a:off x="0" y="0"/>
                      <a:ext cx="3037840" cy="1708785"/>
                    </a:xfrm>
                    <a:prstGeom prst="rect">
                      <a:avLst/>
                    </a:prstGeom>
                  </pic:spPr>
                </pic:pic>
              </a:graphicData>
            </a:graphic>
            <wp14:sizeRelH relativeFrom="page">
              <wp14:pctWidth>0</wp14:pctWidth>
            </wp14:sizeRelH>
            <wp14:sizeRelV relativeFrom="page">
              <wp14:pctHeight>0</wp14:pctHeight>
            </wp14:sizeRelV>
          </wp:anchor>
        </w:drawing>
      </w:r>
      <w:r w:rsidRPr="00DB7C61">
        <w:rPr>
          <w:noProof/>
          <w:lang w:eastAsia="fr-FR"/>
        </w:rPr>
        <w:drawing>
          <wp:anchor distT="0" distB="0" distL="114300" distR="114300" simplePos="0" relativeHeight="251778048" behindDoc="0" locked="0" layoutInCell="1" allowOverlap="1" wp14:anchorId="55DC3789" wp14:editId="7C4B6F43">
            <wp:simplePos x="0" y="0"/>
            <wp:positionH relativeFrom="column">
              <wp:posOffset>-168910</wp:posOffset>
            </wp:positionH>
            <wp:positionV relativeFrom="paragraph">
              <wp:posOffset>1981835</wp:posOffset>
            </wp:positionV>
            <wp:extent cx="3037840" cy="1708785"/>
            <wp:effectExtent l="0" t="0" r="0" b="5715"/>
            <wp:wrapTopAndBottom/>
            <wp:docPr id="956995666" name="Image 9569956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CIO6.jpg"/>
                    <pic:cNvPicPr/>
                  </pic:nvPicPr>
                  <pic:blipFill>
                    <a:blip r:embed="rId94" cstate="print">
                      <a:extLst>
                        <a:ext uri="{28A0092B-C50C-407E-A947-70E740481C1C}">
                          <a14:useLocalDpi xmlns:a14="http://schemas.microsoft.com/office/drawing/2010/main" val="0"/>
                        </a:ext>
                      </a:extLst>
                    </a:blip>
                    <a:stretch>
                      <a:fillRect/>
                    </a:stretch>
                  </pic:blipFill>
                  <pic:spPr>
                    <a:xfrm>
                      <a:off x="0" y="0"/>
                      <a:ext cx="3037840" cy="1708785"/>
                    </a:xfrm>
                    <a:prstGeom prst="rect">
                      <a:avLst/>
                    </a:prstGeom>
                  </pic:spPr>
                </pic:pic>
              </a:graphicData>
            </a:graphic>
            <wp14:sizeRelH relativeFrom="page">
              <wp14:pctWidth>0</wp14:pctWidth>
            </wp14:sizeRelH>
            <wp14:sizeRelV relativeFrom="page">
              <wp14:pctHeight>0</wp14:pctHeight>
            </wp14:sizeRelV>
          </wp:anchor>
        </w:drawing>
      </w:r>
      <w:r>
        <w:rPr>
          <w:noProof/>
          <w:lang w:eastAsia="fr-FR"/>
        </w:rPr>
        <w:drawing>
          <wp:anchor distT="0" distB="0" distL="114300" distR="114300" simplePos="0" relativeHeight="251776000" behindDoc="0" locked="0" layoutInCell="1" allowOverlap="1" wp14:anchorId="74F85E24" wp14:editId="77406E35">
            <wp:simplePos x="0" y="0"/>
            <wp:positionH relativeFrom="column">
              <wp:posOffset>3001645</wp:posOffset>
            </wp:positionH>
            <wp:positionV relativeFrom="paragraph">
              <wp:posOffset>129540</wp:posOffset>
            </wp:positionV>
            <wp:extent cx="3038475" cy="1709420"/>
            <wp:effectExtent l="0" t="0" r="9525" b="5080"/>
            <wp:wrapTopAndBottom/>
            <wp:docPr id="956995665" name="Image 9569956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CIO6.jpg"/>
                    <pic:cNvPicPr/>
                  </pic:nvPicPr>
                  <pic:blipFill>
                    <a:blip r:embed="rId95" cstate="print">
                      <a:extLst>
                        <a:ext uri="{28A0092B-C50C-407E-A947-70E740481C1C}">
                          <a14:useLocalDpi xmlns:a14="http://schemas.microsoft.com/office/drawing/2010/main" val="0"/>
                        </a:ext>
                      </a:extLst>
                    </a:blip>
                    <a:stretch>
                      <a:fillRect/>
                    </a:stretch>
                  </pic:blipFill>
                  <pic:spPr>
                    <a:xfrm>
                      <a:off x="0" y="0"/>
                      <a:ext cx="3038475" cy="1709420"/>
                    </a:xfrm>
                    <a:prstGeom prst="rect">
                      <a:avLst/>
                    </a:prstGeom>
                  </pic:spPr>
                </pic:pic>
              </a:graphicData>
            </a:graphic>
            <wp14:sizeRelH relativeFrom="page">
              <wp14:pctWidth>0</wp14:pctWidth>
            </wp14:sizeRelH>
            <wp14:sizeRelV relativeFrom="page">
              <wp14:pctHeight>0</wp14:pctHeight>
            </wp14:sizeRelV>
          </wp:anchor>
        </w:drawing>
      </w:r>
      <w:r>
        <w:rPr>
          <w:noProof/>
          <w:lang w:eastAsia="fr-FR"/>
        </w:rPr>
        <w:drawing>
          <wp:anchor distT="0" distB="0" distL="114300" distR="114300" simplePos="0" relativeHeight="251773952" behindDoc="0" locked="0" layoutInCell="1" allowOverlap="1" wp14:anchorId="7DD0CD14" wp14:editId="4E5872C6">
            <wp:simplePos x="0" y="0"/>
            <wp:positionH relativeFrom="column">
              <wp:posOffset>-171450</wp:posOffset>
            </wp:positionH>
            <wp:positionV relativeFrom="paragraph">
              <wp:posOffset>129540</wp:posOffset>
            </wp:positionV>
            <wp:extent cx="3039745" cy="1709420"/>
            <wp:effectExtent l="0" t="0" r="8255" b="5080"/>
            <wp:wrapTopAndBottom/>
            <wp:docPr id="956995664" name="Image 9569956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CIO6.jpg"/>
                    <pic:cNvPicPr/>
                  </pic:nvPicPr>
                  <pic:blipFill>
                    <a:blip r:embed="rId96" cstate="print">
                      <a:extLst>
                        <a:ext uri="{28A0092B-C50C-407E-A947-70E740481C1C}">
                          <a14:useLocalDpi xmlns:a14="http://schemas.microsoft.com/office/drawing/2010/main" val="0"/>
                        </a:ext>
                      </a:extLst>
                    </a:blip>
                    <a:stretch>
                      <a:fillRect/>
                    </a:stretch>
                  </pic:blipFill>
                  <pic:spPr>
                    <a:xfrm>
                      <a:off x="0" y="0"/>
                      <a:ext cx="3039745" cy="1709420"/>
                    </a:xfrm>
                    <a:prstGeom prst="rect">
                      <a:avLst/>
                    </a:prstGeom>
                  </pic:spPr>
                </pic:pic>
              </a:graphicData>
            </a:graphic>
            <wp14:sizeRelH relativeFrom="page">
              <wp14:pctWidth>0</wp14:pctWidth>
            </wp14:sizeRelH>
            <wp14:sizeRelV relativeFrom="page">
              <wp14:pctHeight>0</wp14:pctHeight>
            </wp14:sizeRelV>
          </wp:anchor>
        </w:drawing>
      </w:r>
    </w:p>
    <w:p w:rsidR="00AD1780" w:rsidRPr="00AD1780" w:rsidRDefault="00AD1780" w:rsidP="00AD1780">
      <w:pPr>
        <w:widowControl w:val="0"/>
        <w:autoSpaceDE w:val="0"/>
        <w:autoSpaceDN w:val="0"/>
        <w:spacing w:after="200" w:line="240" w:lineRule="auto"/>
        <w:jc w:val="center"/>
        <w:rPr>
          <w:rFonts w:ascii="Tahoma" w:eastAsia="Times New Roman" w:hAnsi="Tahoma" w:cs="Tahoma"/>
          <w:iCs/>
          <w:color w:val="000000" w:themeColor="text1"/>
          <w:szCs w:val="16"/>
        </w:rPr>
      </w:pPr>
      <w:r w:rsidRPr="002462E6">
        <w:rPr>
          <w:rFonts w:ascii="Tahoma" w:eastAsia="Times New Roman" w:hAnsi="Tahoma" w:cs="Tahoma"/>
          <w:b/>
          <w:bCs/>
          <w:iCs/>
          <w:color w:val="000000" w:themeColor="text1"/>
          <w:szCs w:val="16"/>
        </w:rPr>
        <w:t>Source</w:t>
      </w:r>
      <w:r>
        <w:rPr>
          <w:rFonts w:ascii="Tahoma" w:eastAsia="Times New Roman" w:hAnsi="Tahoma" w:cs="Tahoma"/>
          <w:iCs/>
          <w:color w:val="000000" w:themeColor="text1"/>
          <w:szCs w:val="16"/>
        </w:rPr>
        <w:t xml:space="preserve"> : P</w:t>
      </w:r>
      <w:r w:rsidRPr="00AD1780">
        <w:rPr>
          <w:rFonts w:ascii="Tahoma" w:eastAsia="Times New Roman" w:hAnsi="Tahoma" w:cs="Tahoma"/>
          <w:iCs/>
          <w:color w:val="000000" w:themeColor="text1"/>
          <w:szCs w:val="16"/>
        </w:rPr>
        <w:t>hotos du terrain en août 2021</w:t>
      </w:r>
    </w:p>
    <w:p w:rsidR="00AD1780" w:rsidRPr="00AD1780" w:rsidRDefault="00AD1780" w:rsidP="00AD1780">
      <w:pPr>
        <w:rPr>
          <w:lang w:eastAsia="fr-FR"/>
        </w:rPr>
      </w:pPr>
    </w:p>
    <w:p w:rsidR="00AD1780" w:rsidRPr="00AD1780" w:rsidRDefault="00AD1780" w:rsidP="00AD1780">
      <w:pPr>
        <w:rPr>
          <w:lang w:eastAsia="fr-FR"/>
        </w:rPr>
      </w:pPr>
    </w:p>
    <w:p w:rsidR="00AD1780" w:rsidRPr="00AD1780" w:rsidRDefault="00AD1780" w:rsidP="00AD1780">
      <w:pPr>
        <w:rPr>
          <w:lang w:eastAsia="fr-FR"/>
        </w:rPr>
      </w:pPr>
    </w:p>
    <w:p w:rsidR="00DB7C61" w:rsidRDefault="00DB7C61" w:rsidP="002F1A32">
      <w:pPr>
        <w:pStyle w:val="Titre"/>
        <w:bidi w:val="0"/>
      </w:pPr>
      <w:r w:rsidRPr="00AD1780">
        <w:br w:type="page"/>
      </w:r>
      <w:bookmarkStart w:id="518" w:name="_Toc203643149"/>
      <w:r w:rsidRPr="00DB7C61">
        <w:t>ANNEXE</w:t>
      </w:r>
      <w:r>
        <w:t xml:space="preserve"> 6</w:t>
      </w:r>
      <w:bookmarkEnd w:id="518"/>
    </w:p>
    <w:p w:rsidR="00DB7C61" w:rsidRPr="007C5788" w:rsidRDefault="00DB7C61" w:rsidP="00E77C1A">
      <w:pPr>
        <w:jc w:val="center"/>
        <w:rPr>
          <w:rFonts w:eastAsiaTheme="majorEastAsia"/>
        </w:rPr>
      </w:pPr>
      <w:r w:rsidRPr="007C5788">
        <w:rPr>
          <w:noProof/>
          <w:lang w:eastAsia="fr-FR"/>
        </w:rPr>
        <w:drawing>
          <wp:anchor distT="0" distB="0" distL="114300" distR="114300" simplePos="0" relativeHeight="251788288" behindDoc="0" locked="0" layoutInCell="1" allowOverlap="1" wp14:anchorId="28ED8322" wp14:editId="3ACC8140">
            <wp:simplePos x="0" y="0"/>
            <wp:positionH relativeFrom="column">
              <wp:posOffset>3000375</wp:posOffset>
            </wp:positionH>
            <wp:positionV relativeFrom="paragraph">
              <wp:posOffset>4298315</wp:posOffset>
            </wp:positionV>
            <wp:extent cx="3039745" cy="2279650"/>
            <wp:effectExtent l="0" t="0" r="8255" b="6350"/>
            <wp:wrapTopAndBottom/>
            <wp:docPr id="956995677" name="Image 9569956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CIO6.jpg"/>
                    <pic:cNvPicPr/>
                  </pic:nvPicPr>
                  <pic:blipFill>
                    <a:blip r:embed="rId97" cstate="print">
                      <a:extLst>
                        <a:ext uri="{28A0092B-C50C-407E-A947-70E740481C1C}">
                          <a14:useLocalDpi xmlns:a14="http://schemas.microsoft.com/office/drawing/2010/main" val="0"/>
                        </a:ext>
                      </a:extLst>
                    </a:blip>
                    <a:stretch>
                      <a:fillRect/>
                    </a:stretch>
                  </pic:blipFill>
                  <pic:spPr>
                    <a:xfrm>
                      <a:off x="0" y="0"/>
                      <a:ext cx="3039745" cy="2279650"/>
                    </a:xfrm>
                    <a:prstGeom prst="rect">
                      <a:avLst/>
                    </a:prstGeom>
                  </pic:spPr>
                </pic:pic>
              </a:graphicData>
            </a:graphic>
            <wp14:sizeRelH relativeFrom="page">
              <wp14:pctWidth>0</wp14:pctWidth>
            </wp14:sizeRelH>
            <wp14:sizeRelV relativeFrom="page">
              <wp14:pctHeight>0</wp14:pctHeight>
            </wp14:sizeRelV>
          </wp:anchor>
        </w:drawing>
      </w:r>
      <w:r w:rsidRPr="007C5788">
        <w:rPr>
          <w:noProof/>
          <w:lang w:eastAsia="fr-FR"/>
        </w:rPr>
        <w:drawing>
          <wp:anchor distT="0" distB="0" distL="114300" distR="114300" simplePos="0" relativeHeight="251789312" behindDoc="0" locked="0" layoutInCell="1" allowOverlap="1" wp14:anchorId="52873C2E" wp14:editId="291C98F0">
            <wp:simplePos x="0" y="0"/>
            <wp:positionH relativeFrom="column">
              <wp:posOffset>3001010</wp:posOffset>
            </wp:positionH>
            <wp:positionV relativeFrom="paragraph">
              <wp:posOffset>2423160</wp:posOffset>
            </wp:positionV>
            <wp:extent cx="3037840" cy="1708785"/>
            <wp:effectExtent l="0" t="0" r="0" b="5715"/>
            <wp:wrapTopAndBottom/>
            <wp:docPr id="956995678" name="Image 9569956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CIO6.jpg"/>
                    <pic:cNvPicPr/>
                  </pic:nvPicPr>
                  <pic:blipFill>
                    <a:blip r:embed="rId98" cstate="print">
                      <a:extLst>
                        <a:ext uri="{28A0092B-C50C-407E-A947-70E740481C1C}">
                          <a14:useLocalDpi xmlns:a14="http://schemas.microsoft.com/office/drawing/2010/main" val="0"/>
                        </a:ext>
                      </a:extLst>
                    </a:blip>
                    <a:stretch>
                      <a:fillRect/>
                    </a:stretch>
                  </pic:blipFill>
                  <pic:spPr>
                    <a:xfrm>
                      <a:off x="0" y="0"/>
                      <a:ext cx="3037840" cy="1708785"/>
                    </a:xfrm>
                    <a:prstGeom prst="rect">
                      <a:avLst/>
                    </a:prstGeom>
                  </pic:spPr>
                </pic:pic>
              </a:graphicData>
            </a:graphic>
            <wp14:sizeRelH relativeFrom="page">
              <wp14:pctWidth>0</wp14:pctWidth>
            </wp14:sizeRelH>
            <wp14:sizeRelV relativeFrom="page">
              <wp14:pctHeight>0</wp14:pctHeight>
            </wp14:sizeRelV>
          </wp:anchor>
        </w:drawing>
      </w:r>
      <w:r w:rsidRPr="007C5788">
        <w:rPr>
          <w:noProof/>
          <w:lang w:eastAsia="fr-FR"/>
        </w:rPr>
        <w:drawing>
          <wp:anchor distT="0" distB="0" distL="114300" distR="114300" simplePos="0" relativeHeight="251787264" behindDoc="0" locked="0" layoutInCell="1" allowOverlap="1" wp14:anchorId="4923FC10" wp14:editId="0489D998">
            <wp:simplePos x="0" y="0"/>
            <wp:positionH relativeFrom="column">
              <wp:posOffset>-169545</wp:posOffset>
            </wp:positionH>
            <wp:positionV relativeFrom="paragraph">
              <wp:posOffset>2412365</wp:posOffset>
            </wp:positionV>
            <wp:extent cx="3037840" cy="1708785"/>
            <wp:effectExtent l="0" t="0" r="0" b="5715"/>
            <wp:wrapTopAndBottom/>
            <wp:docPr id="956995679" name="Image 9569956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CIO6.jpg"/>
                    <pic:cNvPicPr/>
                  </pic:nvPicPr>
                  <pic:blipFill>
                    <a:blip r:embed="rId99" cstate="print">
                      <a:extLst>
                        <a:ext uri="{28A0092B-C50C-407E-A947-70E740481C1C}">
                          <a14:useLocalDpi xmlns:a14="http://schemas.microsoft.com/office/drawing/2010/main" val="0"/>
                        </a:ext>
                      </a:extLst>
                    </a:blip>
                    <a:stretch>
                      <a:fillRect/>
                    </a:stretch>
                  </pic:blipFill>
                  <pic:spPr>
                    <a:xfrm>
                      <a:off x="0" y="0"/>
                      <a:ext cx="3037840" cy="1708785"/>
                    </a:xfrm>
                    <a:prstGeom prst="rect">
                      <a:avLst/>
                    </a:prstGeom>
                  </pic:spPr>
                </pic:pic>
              </a:graphicData>
            </a:graphic>
            <wp14:sizeRelH relativeFrom="page">
              <wp14:pctWidth>0</wp14:pctWidth>
            </wp14:sizeRelH>
            <wp14:sizeRelV relativeFrom="page">
              <wp14:pctHeight>0</wp14:pctHeight>
            </wp14:sizeRelV>
          </wp:anchor>
        </w:drawing>
      </w:r>
      <w:r w:rsidRPr="007C5788">
        <w:rPr>
          <w:noProof/>
          <w:lang w:eastAsia="fr-FR"/>
        </w:rPr>
        <w:drawing>
          <wp:anchor distT="0" distB="0" distL="114300" distR="114300" simplePos="0" relativeHeight="251786240" behindDoc="0" locked="0" layoutInCell="1" allowOverlap="1" wp14:anchorId="376D3F49" wp14:editId="7521ADA8">
            <wp:simplePos x="0" y="0"/>
            <wp:positionH relativeFrom="column">
              <wp:posOffset>3001645</wp:posOffset>
            </wp:positionH>
            <wp:positionV relativeFrom="paragraph">
              <wp:posOffset>559435</wp:posOffset>
            </wp:positionV>
            <wp:extent cx="3038475" cy="1708785"/>
            <wp:effectExtent l="0" t="0" r="9525" b="5715"/>
            <wp:wrapTopAndBottom/>
            <wp:docPr id="41" name="Imag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CIO6.jpg"/>
                    <pic:cNvPicPr/>
                  </pic:nvPicPr>
                  <pic:blipFill>
                    <a:blip r:embed="rId100" cstate="print">
                      <a:extLst>
                        <a:ext uri="{28A0092B-C50C-407E-A947-70E740481C1C}">
                          <a14:useLocalDpi xmlns:a14="http://schemas.microsoft.com/office/drawing/2010/main" val="0"/>
                        </a:ext>
                      </a:extLst>
                    </a:blip>
                    <a:stretch>
                      <a:fillRect/>
                    </a:stretch>
                  </pic:blipFill>
                  <pic:spPr>
                    <a:xfrm>
                      <a:off x="0" y="0"/>
                      <a:ext cx="3038475" cy="1708785"/>
                    </a:xfrm>
                    <a:prstGeom prst="rect">
                      <a:avLst/>
                    </a:prstGeom>
                  </pic:spPr>
                </pic:pic>
              </a:graphicData>
            </a:graphic>
            <wp14:sizeRelH relativeFrom="page">
              <wp14:pctWidth>0</wp14:pctWidth>
            </wp14:sizeRelH>
            <wp14:sizeRelV relativeFrom="page">
              <wp14:pctHeight>0</wp14:pctHeight>
            </wp14:sizeRelV>
          </wp:anchor>
        </w:drawing>
      </w:r>
      <w:r w:rsidRPr="007C5788">
        <w:rPr>
          <w:noProof/>
          <w:lang w:eastAsia="fr-FR"/>
        </w:rPr>
        <w:drawing>
          <wp:anchor distT="0" distB="0" distL="114300" distR="114300" simplePos="0" relativeHeight="251785216" behindDoc="0" locked="0" layoutInCell="1" allowOverlap="1" wp14:anchorId="280FF394" wp14:editId="07003DAD">
            <wp:simplePos x="0" y="0"/>
            <wp:positionH relativeFrom="column">
              <wp:posOffset>-168910</wp:posOffset>
            </wp:positionH>
            <wp:positionV relativeFrom="paragraph">
              <wp:posOffset>559435</wp:posOffset>
            </wp:positionV>
            <wp:extent cx="3038475" cy="1709420"/>
            <wp:effectExtent l="0" t="0" r="9525" b="5080"/>
            <wp:wrapTopAndBottom/>
            <wp:docPr id="43" name="Imag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CIO6.jpg"/>
                    <pic:cNvPicPr/>
                  </pic:nvPicPr>
                  <pic:blipFill>
                    <a:blip r:embed="rId101" cstate="print">
                      <a:extLst>
                        <a:ext uri="{28A0092B-C50C-407E-A947-70E740481C1C}">
                          <a14:useLocalDpi xmlns:a14="http://schemas.microsoft.com/office/drawing/2010/main" val="0"/>
                        </a:ext>
                      </a:extLst>
                    </a:blip>
                    <a:stretch>
                      <a:fillRect/>
                    </a:stretch>
                  </pic:blipFill>
                  <pic:spPr>
                    <a:xfrm>
                      <a:off x="0" y="0"/>
                      <a:ext cx="3038475" cy="1709420"/>
                    </a:xfrm>
                    <a:prstGeom prst="rect">
                      <a:avLst/>
                    </a:prstGeom>
                  </pic:spPr>
                </pic:pic>
              </a:graphicData>
            </a:graphic>
            <wp14:sizeRelH relativeFrom="page">
              <wp14:pctWidth>0</wp14:pctWidth>
            </wp14:sizeRelH>
            <wp14:sizeRelV relativeFrom="page">
              <wp14:pctHeight>0</wp14:pctHeight>
            </wp14:sizeRelV>
          </wp:anchor>
        </w:drawing>
      </w:r>
      <w:r w:rsidRPr="007C5788">
        <w:rPr>
          <w:rStyle w:val="Titre8Car"/>
        </w:rPr>
        <w:t>DEGRADATION A LA FORET DE KORIFLA</w:t>
      </w:r>
    </w:p>
    <w:p w:rsidR="00AD1780" w:rsidRDefault="00AD1780" w:rsidP="00E77C1A">
      <w:r w:rsidRPr="00DB7C61">
        <w:rPr>
          <w:noProof/>
          <w:lang w:eastAsia="fr-FR"/>
        </w:rPr>
        <w:drawing>
          <wp:anchor distT="0" distB="0" distL="114300" distR="114300" simplePos="0" relativeHeight="251790336" behindDoc="0" locked="0" layoutInCell="1" allowOverlap="1" wp14:anchorId="2F4ABF36" wp14:editId="61963848">
            <wp:simplePos x="0" y="0"/>
            <wp:positionH relativeFrom="column">
              <wp:posOffset>-186055</wp:posOffset>
            </wp:positionH>
            <wp:positionV relativeFrom="paragraph">
              <wp:posOffset>4010660</wp:posOffset>
            </wp:positionV>
            <wp:extent cx="3039745" cy="2279650"/>
            <wp:effectExtent l="0" t="0" r="8255" b="6350"/>
            <wp:wrapTopAndBottom/>
            <wp:docPr id="956995670" name="Image 9569956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CIO6.jpg"/>
                    <pic:cNvPicPr/>
                  </pic:nvPicPr>
                  <pic:blipFill rotWithShape="1">
                    <a:blip r:embed="rId102">
                      <a:extLst>
                        <a:ext uri="{28A0092B-C50C-407E-A947-70E740481C1C}">
                          <a14:useLocalDpi xmlns:a14="http://schemas.microsoft.com/office/drawing/2010/main" val="0"/>
                        </a:ext>
                      </a:extLst>
                    </a:blip>
                    <a:srcRect t="17429" b="15424"/>
                    <a:stretch/>
                  </pic:blipFill>
                  <pic:spPr bwMode="auto">
                    <a:xfrm>
                      <a:off x="0" y="0"/>
                      <a:ext cx="3039745" cy="22796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D63D38" w:rsidRDefault="00AD1780" w:rsidP="00AD1780">
      <w:pPr>
        <w:widowControl w:val="0"/>
        <w:autoSpaceDE w:val="0"/>
        <w:autoSpaceDN w:val="0"/>
        <w:spacing w:after="200" w:line="240" w:lineRule="auto"/>
        <w:jc w:val="center"/>
        <w:rPr>
          <w:rFonts w:ascii="Tahoma" w:eastAsia="Times New Roman" w:hAnsi="Tahoma" w:cs="Tahoma"/>
          <w:iCs/>
          <w:color w:val="000000" w:themeColor="text1"/>
          <w:szCs w:val="16"/>
        </w:rPr>
      </w:pPr>
      <w:r w:rsidRPr="002462E6">
        <w:rPr>
          <w:rFonts w:ascii="Tahoma" w:eastAsia="Times New Roman" w:hAnsi="Tahoma" w:cs="Tahoma"/>
          <w:b/>
          <w:bCs/>
          <w:iCs/>
          <w:color w:val="000000" w:themeColor="text1"/>
          <w:szCs w:val="16"/>
        </w:rPr>
        <w:t>Source</w:t>
      </w:r>
      <w:r>
        <w:rPr>
          <w:rFonts w:ascii="Tahoma" w:eastAsia="Times New Roman" w:hAnsi="Tahoma" w:cs="Tahoma"/>
          <w:iCs/>
          <w:color w:val="000000" w:themeColor="text1"/>
          <w:szCs w:val="16"/>
        </w:rPr>
        <w:t xml:space="preserve"> : </w:t>
      </w:r>
      <w:r w:rsidRPr="00AD1780">
        <w:rPr>
          <w:rFonts w:ascii="Tahoma" w:eastAsia="Times New Roman" w:hAnsi="Tahoma" w:cs="Tahoma"/>
          <w:iCs/>
          <w:color w:val="000000" w:themeColor="text1"/>
          <w:szCs w:val="16"/>
        </w:rPr>
        <w:t>Photos du terrain d'analyse en aout 2021</w:t>
      </w:r>
    </w:p>
    <w:p w:rsidR="00D63D38" w:rsidRDefault="00D63D38">
      <w:pPr>
        <w:rPr>
          <w:rFonts w:ascii="Tahoma" w:eastAsia="Times New Roman" w:hAnsi="Tahoma" w:cs="Tahoma"/>
          <w:iCs/>
          <w:color w:val="000000" w:themeColor="text1"/>
          <w:szCs w:val="16"/>
        </w:rPr>
      </w:pPr>
      <w:r>
        <w:rPr>
          <w:rFonts w:ascii="Tahoma" w:eastAsia="Times New Roman" w:hAnsi="Tahoma" w:cs="Tahoma"/>
          <w:iCs/>
          <w:color w:val="000000" w:themeColor="text1"/>
          <w:szCs w:val="16"/>
        </w:rPr>
        <w:br w:type="page"/>
      </w:r>
    </w:p>
    <w:p w:rsidR="00D63D38" w:rsidRDefault="00D63D38" w:rsidP="002F1A32">
      <w:pPr>
        <w:pStyle w:val="Titre"/>
      </w:pPr>
      <w:bookmarkStart w:id="519" w:name="_Toc203643150"/>
      <w:r w:rsidRPr="00DB7C61">
        <w:t>ANNEXE</w:t>
      </w:r>
      <w:r>
        <w:t xml:space="preserve"> 7</w:t>
      </w:r>
      <w:bookmarkEnd w:id="519"/>
    </w:p>
    <w:p w:rsidR="00D63D38" w:rsidRPr="00D63D38" w:rsidRDefault="00D63D38" w:rsidP="00D63D38">
      <w:pPr>
        <w:spacing w:line="360" w:lineRule="auto"/>
        <w:jc w:val="center"/>
        <w:rPr>
          <w:rFonts w:ascii="Tahoma" w:hAnsi="Tahoma" w:cs="Tahoma"/>
          <w:b/>
          <w:bCs/>
          <w:sz w:val="24"/>
          <w:szCs w:val="24"/>
        </w:rPr>
      </w:pPr>
      <w:r w:rsidRPr="00D63D38">
        <w:rPr>
          <w:rFonts w:ascii="Tahoma" w:hAnsi="Tahoma" w:cs="Tahoma"/>
          <w:b/>
          <w:bCs/>
          <w:sz w:val="24"/>
          <w:szCs w:val="24"/>
        </w:rPr>
        <w:t xml:space="preserve">Guide d'Entretien Semi-Directif </w:t>
      </w:r>
    </w:p>
    <w:p w:rsidR="00D63D38" w:rsidRPr="00D63D38" w:rsidRDefault="00D63D38" w:rsidP="00D63D38">
      <w:pPr>
        <w:spacing w:line="360" w:lineRule="auto"/>
        <w:jc w:val="center"/>
        <w:rPr>
          <w:rFonts w:ascii="Tahoma" w:hAnsi="Tahoma" w:cs="Tahoma"/>
          <w:b/>
          <w:bCs/>
          <w:sz w:val="24"/>
          <w:szCs w:val="24"/>
        </w:rPr>
      </w:pPr>
      <w:r w:rsidRPr="00D63D38">
        <w:rPr>
          <w:rFonts w:ascii="Tahoma" w:hAnsi="Tahoma" w:cs="Tahoma"/>
          <w:b/>
          <w:bCs/>
          <w:sz w:val="24"/>
          <w:szCs w:val="24"/>
        </w:rPr>
        <w:t>Gestionnaires forestiers de Korifla</w:t>
      </w:r>
    </w:p>
    <w:p w:rsidR="00D63D38" w:rsidRPr="00D63D38" w:rsidRDefault="00D63D38" w:rsidP="00D63D38">
      <w:pPr>
        <w:spacing w:line="360" w:lineRule="auto"/>
        <w:jc w:val="center"/>
        <w:rPr>
          <w:rFonts w:ascii="Tahoma" w:hAnsi="Tahoma" w:cs="Tahoma"/>
          <w:sz w:val="24"/>
          <w:szCs w:val="24"/>
        </w:rPr>
      </w:pPr>
    </w:p>
    <w:p w:rsidR="00D63D38" w:rsidRPr="00D63D38" w:rsidRDefault="00D63D38" w:rsidP="00D63D38">
      <w:pPr>
        <w:spacing w:line="360" w:lineRule="auto"/>
        <w:rPr>
          <w:rFonts w:ascii="Tahoma" w:hAnsi="Tahoma" w:cs="Tahoma"/>
          <w:sz w:val="24"/>
          <w:szCs w:val="24"/>
        </w:rPr>
      </w:pPr>
      <w:r w:rsidRPr="00D63D38">
        <w:rPr>
          <w:rFonts w:ascii="Tahoma" w:hAnsi="Tahoma" w:cs="Tahoma"/>
          <w:sz w:val="24"/>
          <w:szCs w:val="24"/>
        </w:rPr>
        <w:t>* INFORMATIONS PRELIMINAIRES :</w:t>
      </w:r>
    </w:p>
    <w:p w:rsidR="00D63D38" w:rsidRPr="00D63D38" w:rsidRDefault="00D63D38" w:rsidP="00D63D38">
      <w:pPr>
        <w:spacing w:line="360" w:lineRule="auto"/>
        <w:rPr>
          <w:rFonts w:ascii="Tahoma" w:hAnsi="Tahoma" w:cs="Tahoma"/>
          <w:sz w:val="24"/>
          <w:szCs w:val="24"/>
        </w:rPr>
      </w:pPr>
      <w:r w:rsidRPr="00D63D38">
        <w:rPr>
          <w:rFonts w:ascii="Tahoma" w:hAnsi="Tahoma" w:cs="Tahoma"/>
          <w:sz w:val="24"/>
          <w:szCs w:val="24"/>
        </w:rPr>
        <w:t xml:space="preserve">- Date de l'entretien : </w:t>
      </w:r>
    </w:p>
    <w:p w:rsidR="00D63D38" w:rsidRPr="00D63D38" w:rsidRDefault="00D63D38" w:rsidP="00D63D38">
      <w:pPr>
        <w:spacing w:line="360" w:lineRule="auto"/>
        <w:rPr>
          <w:rFonts w:ascii="Tahoma" w:hAnsi="Tahoma" w:cs="Tahoma"/>
          <w:sz w:val="24"/>
          <w:szCs w:val="24"/>
        </w:rPr>
      </w:pPr>
      <w:r w:rsidRPr="00D63D38">
        <w:rPr>
          <w:rFonts w:ascii="Tahoma" w:hAnsi="Tahoma" w:cs="Tahoma"/>
          <w:sz w:val="24"/>
          <w:szCs w:val="24"/>
        </w:rPr>
        <w:t xml:space="preserve">- Lieu : </w:t>
      </w:r>
    </w:p>
    <w:p w:rsidR="00D63D38" w:rsidRPr="00D63D38" w:rsidRDefault="00D63D38" w:rsidP="00D63D38">
      <w:pPr>
        <w:spacing w:line="360" w:lineRule="auto"/>
        <w:rPr>
          <w:rFonts w:ascii="Tahoma" w:hAnsi="Tahoma" w:cs="Tahoma"/>
          <w:sz w:val="24"/>
          <w:szCs w:val="24"/>
        </w:rPr>
      </w:pPr>
      <w:r w:rsidRPr="00D63D38">
        <w:rPr>
          <w:rFonts w:ascii="Tahoma" w:hAnsi="Tahoma" w:cs="Tahoma"/>
          <w:sz w:val="24"/>
          <w:szCs w:val="24"/>
        </w:rPr>
        <w:t>- Durée estimée : 40minutes</w:t>
      </w:r>
    </w:p>
    <w:p w:rsidR="00D63D38" w:rsidRPr="00D63D38" w:rsidRDefault="00D63D38" w:rsidP="00D63D38">
      <w:pPr>
        <w:spacing w:line="360" w:lineRule="auto"/>
        <w:rPr>
          <w:rFonts w:ascii="Tahoma" w:hAnsi="Tahoma" w:cs="Tahoma"/>
          <w:sz w:val="24"/>
          <w:szCs w:val="24"/>
        </w:rPr>
      </w:pPr>
      <w:r w:rsidRPr="00D63D38">
        <w:rPr>
          <w:rFonts w:ascii="Tahoma" w:hAnsi="Tahoma" w:cs="Tahoma"/>
          <w:sz w:val="24"/>
          <w:szCs w:val="24"/>
        </w:rPr>
        <w:t>- Fonction de l'enquêté :</w:t>
      </w:r>
    </w:p>
    <w:p w:rsidR="00D63D38" w:rsidRPr="00D63D38" w:rsidRDefault="00D63D38" w:rsidP="00D63D38">
      <w:pPr>
        <w:spacing w:line="360" w:lineRule="auto"/>
        <w:rPr>
          <w:rFonts w:ascii="Tahoma" w:hAnsi="Tahoma" w:cs="Tahoma"/>
          <w:sz w:val="24"/>
          <w:szCs w:val="24"/>
        </w:rPr>
      </w:pPr>
      <w:r w:rsidRPr="00D63D38">
        <w:rPr>
          <w:rFonts w:ascii="Tahoma" w:hAnsi="Tahoma" w:cs="Tahoma"/>
          <w:sz w:val="24"/>
          <w:szCs w:val="24"/>
        </w:rPr>
        <w:t>- Ancienneté dans le poste :</w:t>
      </w:r>
    </w:p>
    <w:p w:rsidR="00D63D38" w:rsidRPr="00D63D38" w:rsidRDefault="00D63D38" w:rsidP="00D63D38">
      <w:pPr>
        <w:spacing w:line="360" w:lineRule="auto"/>
        <w:rPr>
          <w:rFonts w:ascii="Tahoma" w:hAnsi="Tahoma" w:cs="Tahoma"/>
          <w:sz w:val="24"/>
          <w:szCs w:val="24"/>
        </w:rPr>
      </w:pPr>
      <w:r w:rsidRPr="00D63D38">
        <w:rPr>
          <w:rFonts w:ascii="Tahoma" w:hAnsi="Tahoma" w:cs="Tahoma"/>
          <w:sz w:val="24"/>
          <w:szCs w:val="24"/>
        </w:rPr>
        <w:t>- Zone de responsabilité :</w:t>
      </w:r>
    </w:p>
    <w:p w:rsidR="00D63D38" w:rsidRPr="00D63D38" w:rsidRDefault="00D63D38" w:rsidP="00D63D38">
      <w:pPr>
        <w:spacing w:line="360" w:lineRule="auto"/>
        <w:rPr>
          <w:rFonts w:ascii="Tahoma" w:hAnsi="Tahoma" w:cs="Tahoma"/>
          <w:sz w:val="24"/>
          <w:szCs w:val="24"/>
        </w:rPr>
      </w:pPr>
    </w:p>
    <w:p w:rsidR="00D63D38" w:rsidRPr="00D63D38" w:rsidRDefault="00D63D38" w:rsidP="00D63D38">
      <w:pPr>
        <w:spacing w:line="360" w:lineRule="auto"/>
        <w:rPr>
          <w:rFonts w:ascii="Tahoma" w:hAnsi="Tahoma" w:cs="Tahoma"/>
          <w:sz w:val="24"/>
          <w:szCs w:val="24"/>
        </w:rPr>
      </w:pPr>
      <w:r w:rsidRPr="00D63D38">
        <w:rPr>
          <w:rFonts w:ascii="Tahoma" w:hAnsi="Tahoma" w:cs="Tahoma"/>
          <w:sz w:val="24"/>
          <w:szCs w:val="24"/>
        </w:rPr>
        <w:t xml:space="preserve"> * PROFIL PROFESSIONNEL ET TERRITORIAL : </w:t>
      </w:r>
    </w:p>
    <w:p w:rsidR="00D63D38" w:rsidRPr="00D63D38" w:rsidRDefault="00D63D38" w:rsidP="00D63D38">
      <w:pPr>
        <w:spacing w:line="360" w:lineRule="auto"/>
        <w:rPr>
          <w:rFonts w:ascii="Tahoma" w:hAnsi="Tahoma" w:cs="Tahoma"/>
          <w:sz w:val="24"/>
          <w:szCs w:val="24"/>
        </w:rPr>
      </w:pPr>
      <w:r w:rsidRPr="00D63D38">
        <w:rPr>
          <w:rFonts w:ascii="Tahoma" w:hAnsi="Tahoma" w:cs="Tahoma"/>
          <w:sz w:val="24"/>
          <w:szCs w:val="24"/>
        </w:rPr>
        <w:t>-Pouvez-vous me présenter votre parcours professionnel et votre rôle actuel dans la gestion de la forêt de Korifla ?</w:t>
      </w:r>
    </w:p>
    <w:p w:rsidR="00D63D38" w:rsidRPr="00D63D38" w:rsidRDefault="00D63D38" w:rsidP="00D63D38">
      <w:pPr>
        <w:spacing w:line="360" w:lineRule="auto"/>
        <w:rPr>
          <w:rFonts w:ascii="Tahoma" w:hAnsi="Tahoma" w:cs="Tahoma"/>
          <w:sz w:val="24"/>
          <w:szCs w:val="24"/>
        </w:rPr>
      </w:pPr>
      <w:r w:rsidRPr="00D63D38">
        <w:rPr>
          <w:rFonts w:ascii="Tahoma" w:hAnsi="Tahoma" w:cs="Tahoma"/>
          <w:sz w:val="24"/>
          <w:szCs w:val="24"/>
        </w:rPr>
        <w:t>- Quelle est l'étendue de votre territoire de gestion ?</w:t>
      </w:r>
    </w:p>
    <w:p w:rsidR="00D63D38" w:rsidRDefault="00D63D38" w:rsidP="00D63D38">
      <w:pPr>
        <w:spacing w:line="360" w:lineRule="auto"/>
        <w:rPr>
          <w:rFonts w:ascii="Tahoma" w:hAnsi="Tahoma" w:cs="Tahoma"/>
          <w:sz w:val="24"/>
          <w:szCs w:val="24"/>
        </w:rPr>
      </w:pPr>
      <w:r w:rsidRPr="00D63D38">
        <w:rPr>
          <w:rFonts w:ascii="Tahoma" w:hAnsi="Tahoma" w:cs="Tahoma"/>
          <w:sz w:val="24"/>
          <w:szCs w:val="24"/>
        </w:rPr>
        <w:t>- Quelles sont vos principales missions quotidiennes ?</w:t>
      </w:r>
    </w:p>
    <w:p w:rsidR="00D63D38" w:rsidRPr="00D63D38" w:rsidRDefault="00D63D38" w:rsidP="00D63D38">
      <w:pPr>
        <w:spacing w:line="360" w:lineRule="auto"/>
        <w:rPr>
          <w:rFonts w:ascii="Tahoma" w:hAnsi="Tahoma" w:cs="Tahoma"/>
          <w:sz w:val="24"/>
          <w:szCs w:val="24"/>
        </w:rPr>
      </w:pPr>
    </w:p>
    <w:p w:rsidR="00D63D38" w:rsidRPr="00D63D38" w:rsidRDefault="00D63D38" w:rsidP="00D63D38">
      <w:pPr>
        <w:spacing w:line="360" w:lineRule="auto"/>
        <w:rPr>
          <w:rFonts w:ascii="Tahoma" w:hAnsi="Tahoma" w:cs="Tahoma"/>
          <w:sz w:val="24"/>
          <w:szCs w:val="24"/>
        </w:rPr>
      </w:pPr>
      <w:r w:rsidRPr="00D63D38">
        <w:rPr>
          <w:rFonts w:ascii="Tahoma" w:hAnsi="Tahoma" w:cs="Tahoma"/>
          <w:sz w:val="24"/>
          <w:szCs w:val="24"/>
        </w:rPr>
        <w:t>* CARACTÉRISATION DES RELATIONS AVEC LES POPULATIONS LOCALES :</w:t>
      </w:r>
    </w:p>
    <w:p w:rsidR="00D63D38" w:rsidRPr="00D63D38" w:rsidRDefault="00D63D38" w:rsidP="00D63D38">
      <w:pPr>
        <w:spacing w:line="360" w:lineRule="auto"/>
        <w:rPr>
          <w:rFonts w:ascii="Tahoma" w:hAnsi="Tahoma" w:cs="Tahoma"/>
          <w:sz w:val="24"/>
          <w:szCs w:val="24"/>
        </w:rPr>
      </w:pPr>
      <w:r w:rsidRPr="00D63D38">
        <w:rPr>
          <w:rFonts w:ascii="Tahoma" w:hAnsi="Tahoma" w:cs="Tahoma"/>
          <w:sz w:val="24"/>
          <w:szCs w:val="24"/>
        </w:rPr>
        <w:t>-Comment décririez-vous la nature de vos relations avec les populations locales des douars de Korifla ?</w:t>
      </w:r>
    </w:p>
    <w:p w:rsidR="00D63D38" w:rsidRPr="00D63D38" w:rsidRDefault="00D63D38" w:rsidP="00D63D38">
      <w:pPr>
        <w:spacing w:line="360" w:lineRule="auto"/>
        <w:rPr>
          <w:rFonts w:ascii="Tahoma" w:hAnsi="Tahoma" w:cs="Tahoma"/>
          <w:sz w:val="24"/>
          <w:szCs w:val="24"/>
        </w:rPr>
      </w:pPr>
      <w:r w:rsidRPr="00D63D38">
        <w:rPr>
          <w:rFonts w:ascii="Tahoma" w:hAnsi="Tahoma" w:cs="Tahoma"/>
          <w:sz w:val="24"/>
          <w:szCs w:val="24"/>
        </w:rPr>
        <w:t>- À quelle fréquence êtes-vous en contact avec les populations locales ?</w:t>
      </w:r>
    </w:p>
    <w:p w:rsidR="00D63D38" w:rsidRPr="00D63D38" w:rsidRDefault="00D63D38" w:rsidP="00D63D38">
      <w:pPr>
        <w:spacing w:line="360" w:lineRule="auto"/>
        <w:rPr>
          <w:rFonts w:ascii="Tahoma" w:hAnsi="Tahoma" w:cs="Tahoma"/>
          <w:sz w:val="24"/>
          <w:szCs w:val="24"/>
        </w:rPr>
      </w:pPr>
      <w:r w:rsidRPr="00D63D38">
        <w:rPr>
          <w:rFonts w:ascii="Tahoma" w:hAnsi="Tahoma" w:cs="Tahoma"/>
          <w:sz w:val="24"/>
          <w:szCs w:val="24"/>
        </w:rPr>
        <w:t>- Quels sont les principaux motifs de ces interactions ?</w:t>
      </w:r>
    </w:p>
    <w:p w:rsidR="00D63D38" w:rsidRPr="00D63D38" w:rsidRDefault="00D63D38" w:rsidP="00D63D38">
      <w:pPr>
        <w:spacing w:line="360" w:lineRule="auto"/>
        <w:rPr>
          <w:rFonts w:ascii="Tahoma" w:hAnsi="Tahoma" w:cs="Tahoma"/>
          <w:sz w:val="24"/>
          <w:szCs w:val="24"/>
        </w:rPr>
      </w:pPr>
      <w:r w:rsidRPr="00D63D38">
        <w:rPr>
          <w:rFonts w:ascii="Tahoma" w:hAnsi="Tahoma" w:cs="Tahoma"/>
          <w:sz w:val="24"/>
          <w:szCs w:val="24"/>
        </w:rPr>
        <w:t>- Existe-t-il des interlocuteurs privilégiés (chefs de douars, notables, associations) ?</w:t>
      </w:r>
    </w:p>
    <w:p w:rsidR="00D63D38" w:rsidRPr="00D63D38" w:rsidRDefault="00D63D38" w:rsidP="00D63D38">
      <w:pPr>
        <w:spacing w:line="360" w:lineRule="auto"/>
        <w:rPr>
          <w:rFonts w:ascii="Tahoma" w:hAnsi="Tahoma" w:cs="Tahoma"/>
          <w:sz w:val="24"/>
          <w:szCs w:val="24"/>
        </w:rPr>
      </w:pPr>
      <w:r w:rsidRPr="00D63D38">
        <w:rPr>
          <w:rFonts w:ascii="Tahoma" w:hAnsi="Tahoma" w:cs="Tahoma"/>
          <w:sz w:val="24"/>
          <w:szCs w:val="24"/>
        </w:rPr>
        <w:t>- Comment se déroulent généralement ces échanges ?</w:t>
      </w:r>
    </w:p>
    <w:p w:rsidR="00D63D38" w:rsidRPr="00D63D38" w:rsidRDefault="00D63D38" w:rsidP="00D63D38">
      <w:pPr>
        <w:spacing w:line="360" w:lineRule="auto"/>
        <w:rPr>
          <w:rFonts w:ascii="Tahoma" w:hAnsi="Tahoma" w:cs="Tahoma"/>
          <w:sz w:val="24"/>
          <w:szCs w:val="24"/>
        </w:rPr>
      </w:pPr>
      <w:r w:rsidRPr="00D63D38">
        <w:rPr>
          <w:rFonts w:ascii="Tahoma" w:hAnsi="Tahoma" w:cs="Tahoma"/>
          <w:sz w:val="24"/>
          <w:szCs w:val="24"/>
        </w:rPr>
        <w:t>- Comment pensez-vous que les populations locales perçoivent votre action ?</w:t>
      </w:r>
    </w:p>
    <w:p w:rsidR="00D63D38" w:rsidRPr="00D63D38" w:rsidRDefault="00D63D38" w:rsidP="00D63D38">
      <w:pPr>
        <w:spacing w:line="360" w:lineRule="auto"/>
        <w:rPr>
          <w:rFonts w:ascii="Tahoma" w:hAnsi="Tahoma" w:cs="Tahoma"/>
          <w:sz w:val="24"/>
          <w:szCs w:val="24"/>
        </w:rPr>
      </w:pPr>
      <w:r w:rsidRPr="00D63D38">
        <w:rPr>
          <w:rFonts w:ascii="Tahoma" w:hAnsi="Tahoma" w:cs="Tahoma"/>
          <w:sz w:val="24"/>
          <w:szCs w:val="24"/>
        </w:rPr>
        <w:t>- Quelles sont leurs principales attentes vis-à-vis de l'administration forestière ?</w:t>
      </w:r>
    </w:p>
    <w:p w:rsidR="00D63D38" w:rsidRPr="00D63D38" w:rsidRDefault="00D63D38" w:rsidP="00D63D38">
      <w:pPr>
        <w:spacing w:line="360" w:lineRule="auto"/>
        <w:rPr>
          <w:rFonts w:ascii="Tahoma" w:hAnsi="Tahoma" w:cs="Tahoma"/>
          <w:sz w:val="24"/>
          <w:szCs w:val="24"/>
        </w:rPr>
      </w:pPr>
      <w:r w:rsidRPr="00D63D38">
        <w:rPr>
          <w:rFonts w:ascii="Tahoma" w:hAnsi="Tahoma" w:cs="Tahoma"/>
          <w:sz w:val="24"/>
          <w:szCs w:val="24"/>
        </w:rPr>
        <w:t>- Identifiez-vous des sources de tension ou de conflit ? Lesquelles ?</w:t>
      </w:r>
    </w:p>
    <w:p w:rsidR="00D63D38" w:rsidRPr="00D63D38" w:rsidRDefault="00D63D38" w:rsidP="00D63D38">
      <w:pPr>
        <w:spacing w:line="360" w:lineRule="auto"/>
        <w:rPr>
          <w:rFonts w:ascii="Tahoma" w:hAnsi="Tahoma" w:cs="Tahoma"/>
          <w:sz w:val="24"/>
          <w:szCs w:val="24"/>
        </w:rPr>
      </w:pPr>
      <w:r w:rsidRPr="00D63D38">
        <w:rPr>
          <w:rFonts w:ascii="Tahoma" w:hAnsi="Tahoma" w:cs="Tahoma"/>
          <w:sz w:val="24"/>
          <w:szCs w:val="24"/>
        </w:rPr>
        <w:t>- Comment les décisions de gestion forestière sont-elles communiquées ?</w:t>
      </w:r>
    </w:p>
    <w:p w:rsidR="00D63D38" w:rsidRPr="00D63D38" w:rsidRDefault="00D63D38" w:rsidP="00D63D38">
      <w:pPr>
        <w:spacing w:line="360" w:lineRule="auto"/>
        <w:rPr>
          <w:rFonts w:ascii="Tahoma" w:hAnsi="Tahoma" w:cs="Tahoma"/>
          <w:sz w:val="24"/>
          <w:szCs w:val="24"/>
        </w:rPr>
      </w:pPr>
      <w:r w:rsidRPr="00D63D38">
        <w:rPr>
          <w:rFonts w:ascii="Tahoma" w:hAnsi="Tahoma" w:cs="Tahoma"/>
          <w:sz w:val="24"/>
          <w:szCs w:val="24"/>
        </w:rPr>
        <w:t>- Les populations sont-elles consultées avant la mise en œuvre de certaines mesures ?</w:t>
      </w:r>
    </w:p>
    <w:p w:rsidR="00D63D38" w:rsidRPr="00D63D38" w:rsidRDefault="00D63D38" w:rsidP="00D63D38">
      <w:pPr>
        <w:spacing w:line="360" w:lineRule="auto"/>
        <w:rPr>
          <w:rFonts w:ascii="Tahoma" w:hAnsi="Tahoma" w:cs="Tahoma"/>
          <w:sz w:val="24"/>
          <w:szCs w:val="24"/>
        </w:rPr>
      </w:pPr>
      <w:r w:rsidRPr="00D63D38">
        <w:rPr>
          <w:rFonts w:ascii="Tahoma" w:hAnsi="Tahoma" w:cs="Tahoma"/>
          <w:sz w:val="24"/>
          <w:szCs w:val="24"/>
        </w:rPr>
        <w:t>- Quel est leur niveau de participation aux décisions qui les concernent ?</w:t>
      </w:r>
    </w:p>
    <w:p w:rsidR="00D63D38" w:rsidRPr="00D63D38" w:rsidRDefault="00D63D38" w:rsidP="00D63D38">
      <w:pPr>
        <w:spacing w:line="360" w:lineRule="auto"/>
        <w:rPr>
          <w:rFonts w:ascii="Tahoma" w:hAnsi="Tahoma" w:cs="Tahoma"/>
          <w:sz w:val="24"/>
          <w:szCs w:val="24"/>
        </w:rPr>
      </w:pPr>
    </w:p>
    <w:p w:rsidR="00D63D38" w:rsidRPr="00D63D38" w:rsidRDefault="00D63D38" w:rsidP="00D63D38">
      <w:pPr>
        <w:spacing w:line="360" w:lineRule="auto"/>
        <w:rPr>
          <w:rFonts w:ascii="Tahoma" w:hAnsi="Tahoma" w:cs="Tahoma"/>
          <w:sz w:val="24"/>
          <w:szCs w:val="24"/>
        </w:rPr>
      </w:pPr>
      <w:r w:rsidRPr="00D63D38">
        <w:rPr>
          <w:rFonts w:ascii="Tahoma" w:hAnsi="Tahoma" w:cs="Tahoma"/>
          <w:sz w:val="24"/>
          <w:szCs w:val="24"/>
        </w:rPr>
        <w:t>*DIAGNOSTIC DE LA DÉGRADATION FORESTIÈRE :</w:t>
      </w:r>
    </w:p>
    <w:p w:rsidR="00D63D38" w:rsidRPr="00D63D38" w:rsidRDefault="00D63D38" w:rsidP="00D63D38">
      <w:pPr>
        <w:spacing w:line="360" w:lineRule="auto"/>
        <w:rPr>
          <w:rFonts w:ascii="Tahoma" w:hAnsi="Tahoma" w:cs="Tahoma"/>
          <w:sz w:val="24"/>
          <w:szCs w:val="24"/>
        </w:rPr>
      </w:pPr>
      <w:r w:rsidRPr="00D63D38">
        <w:rPr>
          <w:rFonts w:ascii="Tahoma" w:hAnsi="Tahoma" w:cs="Tahoma"/>
          <w:sz w:val="24"/>
          <w:szCs w:val="24"/>
        </w:rPr>
        <w:t>- Selon votre expérience terrain, quels sont les principaux facteurs de dégradation observés dans la forêt de Korifla ?</w:t>
      </w:r>
    </w:p>
    <w:p w:rsidR="00D63D38" w:rsidRPr="00D63D38" w:rsidRDefault="00D63D38" w:rsidP="00D63D38">
      <w:pPr>
        <w:spacing w:line="360" w:lineRule="auto"/>
        <w:rPr>
          <w:rFonts w:ascii="Tahoma" w:hAnsi="Tahoma" w:cs="Tahoma"/>
          <w:sz w:val="24"/>
          <w:szCs w:val="24"/>
        </w:rPr>
      </w:pPr>
      <w:r w:rsidRPr="00D63D38">
        <w:rPr>
          <w:rFonts w:ascii="Tahoma" w:hAnsi="Tahoma" w:cs="Tahoma"/>
          <w:sz w:val="24"/>
          <w:szCs w:val="24"/>
        </w:rPr>
        <w:t>- Quels sont les signes les plus visibles de dégradation que vous constatez ?</w:t>
      </w:r>
    </w:p>
    <w:p w:rsidR="00D63D38" w:rsidRPr="00D63D38" w:rsidRDefault="00D63D38" w:rsidP="00D63D38">
      <w:pPr>
        <w:spacing w:line="360" w:lineRule="auto"/>
        <w:rPr>
          <w:rFonts w:ascii="Tahoma" w:hAnsi="Tahoma" w:cs="Tahoma"/>
          <w:sz w:val="24"/>
          <w:szCs w:val="24"/>
        </w:rPr>
      </w:pPr>
      <w:r w:rsidRPr="00D63D38">
        <w:rPr>
          <w:rFonts w:ascii="Tahoma" w:hAnsi="Tahoma" w:cs="Tahoma"/>
          <w:sz w:val="24"/>
          <w:szCs w:val="24"/>
        </w:rPr>
        <w:t>- Comment cette dégradation a-t-elle évolué depuis votre prise de fonction ?</w:t>
      </w:r>
    </w:p>
    <w:p w:rsidR="00D63D38" w:rsidRPr="00D63D38" w:rsidRDefault="00D63D38" w:rsidP="00D63D38">
      <w:pPr>
        <w:spacing w:line="360" w:lineRule="auto"/>
        <w:rPr>
          <w:rFonts w:ascii="Tahoma" w:hAnsi="Tahoma" w:cs="Tahoma"/>
          <w:sz w:val="24"/>
          <w:szCs w:val="24"/>
        </w:rPr>
      </w:pPr>
      <w:r w:rsidRPr="00D63D38">
        <w:rPr>
          <w:rFonts w:ascii="Tahoma" w:hAnsi="Tahoma" w:cs="Tahoma"/>
          <w:sz w:val="24"/>
          <w:szCs w:val="24"/>
        </w:rPr>
        <w:t>- Certaines zones sont-elles plus affectées que d'autres ?</w:t>
      </w:r>
    </w:p>
    <w:p w:rsidR="00D63D38" w:rsidRPr="00D63D38" w:rsidRDefault="00D63D38" w:rsidP="00D63D38">
      <w:pPr>
        <w:spacing w:line="360" w:lineRule="auto"/>
        <w:rPr>
          <w:rFonts w:ascii="Tahoma" w:hAnsi="Tahoma" w:cs="Tahoma"/>
          <w:sz w:val="24"/>
          <w:szCs w:val="24"/>
        </w:rPr>
      </w:pPr>
      <w:r w:rsidRPr="00D63D38">
        <w:rPr>
          <w:rFonts w:ascii="Tahoma" w:hAnsi="Tahoma" w:cs="Tahoma"/>
          <w:sz w:val="24"/>
          <w:szCs w:val="24"/>
        </w:rPr>
        <w:t>- Quels sont, selon vous, les principaux responsables de cette dégradation ?</w:t>
      </w:r>
    </w:p>
    <w:p w:rsidR="00D63D38" w:rsidRPr="00D63D38" w:rsidRDefault="00D63D38" w:rsidP="00D63D38">
      <w:pPr>
        <w:spacing w:line="360" w:lineRule="auto"/>
        <w:rPr>
          <w:rFonts w:ascii="Tahoma" w:hAnsi="Tahoma" w:cs="Tahoma"/>
          <w:sz w:val="24"/>
          <w:szCs w:val="24"/>
        </w:rPr>
      </w:pPr>
      <w:r w:rsidRPr="00D63D38">
        <w:rPr>
          <w:rFonts w:ascii="Tahoma" w:hAnsi="Tahoma" w:cs="Tahoma"/>
          <w:sz w:val="24"/>
          <w:szCs w:val="24"/>
        </w:rPr>
        <w:t>- Quel est le rôle des activités humaines locales (pâturage, prélèvement de bois, agriculture) ?</w:t>
      </w:r>
    </w:p>
    <w:p w:rsidR="00D63D38" w:rsidRPr="00D63D38" w:rsidRDefault="00D63D38" w:rsidP="00D63D38">
      <w:pPr>
        <w:spacing w:line="360" w:lineRule="auto"/>
        <w:rPr>
          <w:rFonts w:ascii="Tahoma" w:hAnsi="Tahoma" w:cs="Tahoma"/>
          <w:sz w:val="24"/>
          <w:szCs w:val="24"/>
        </w:rPr>
      </w:pPr>
      <w:r w:rsidRPr="00D63D38">
        <w:rPr>
          <w:rFonts w:ascii="Tahoma" w:hAnsi="Tahoma" w:cs="Tahoma"/>
          <w:sz w:val="24"/>
          <w:szCs w:val="24"/>
        </w:rPr>
        <w:t>- Comment les facteurs climatiques influencent-ils cette dynamique ?</w:t>
      </w:r>
    </w:p>
    <w:p w:rsidR="00D63D38" w:rsidRPr="00D63D38" w:rsidRDefault="00D63D38" w:rsidP="00D63D38">
      <w:pPr>
        <w:spacing w:line="360" w:lineRule="auto"/>
        <w:rPr>
          <w:rFonts w:ascii="Tahoma" w:hAnsi="Tahoma" w:cs="Tahoma"/>
          <w:sz w:val="24"/>
          <w:szCs w:val="24"/>
        </w:rPr>
      </w:pPr>
      <w:r w:rsidRPr="00D63D38">
        <w:rPr>
          <w:rFonts w:ascii="Tahoma" w:hAnsi="Tahoma" w:cs="Tahoma"/>
          <w:sz w:val="24"/>
          <w:szCs w:val="24"/>
        </w:rPr>
        <w:t>- Existe-t-il des pressions externes à la zone ?</w:t>
      </w:r>
    </w:p>
    <w:p w:rsidR="00D63D38" w:rsidRPr="00D63D38" w:rsidRDefault="00D63D38" w:rsidP="00D63D38">
      <w:pPr>
        <w:spacing w:line="360" w:lineRule="auto"/>
        <w:rPr>
          <w:rFonts w:ascii="Tahoma" w:hAnsi="Tahoma" w:cs="Tahoma"/>
          <w:sz w:val="24"/>
          <w:szCs w:val="24"/>
        </w:rPr>
      </w:pPr>
    </w:p>
    <w:p w:rsidR="00D63D38" w:rsidRPr="00D63D38" w:rsidRDefault="00D63D38" w:rsidP="00D63D38">
      <w:pPr>
        <w:spacing w:line="360" w:lineRule="auto"/>
        <w:rPr>
          <w:rFonts w:ascii="Tahoma" w:hAnsi="Tahoma" w:cs="Tahoma"/>
          <w:sz w:val="24"/>
          <w:szCs w:val="24"/>
        </w:rPr>
      </w:pPr>
      <w:r w:rsidRPr="00D63D38">
        <w:rPr>
          <w:rFonts w:ascii="Tahoma" w:hAnsi="Tahoma" w:cs="Tahoma"/>
          <w:sz w:val="24"/>
          <w:szCs w:val="24"/>
        </w:rPr>
        <w:t xml:space="preserve"> *COMPORTEMENTS DES POPULATIONS : </w:t>
      </w:r>
    </w:p>
    <w:p w:rsidR="00D63D38" w:rsidRPr="00D63D38" w:rsidRDefault="00D63D38" w:rsidP="00D63D38">
      <w:pPr>
        <w:spacing w:line="360" w:lineRule="auto"/>
        <w:rPr>
          <w:rFonts w:ascii="Tahoma" w:hAnsi="Tahoma" w:cs="Tahoma"/>
          <w:sz w:val="24"/>
          <w:szCs w:val="24"/>
        </w:rPr>
      </w:pPr>
      <w:r w:rsidRPr="00D63D38">
        <w:rPr>
          <w:rFonts w:ascii="Tahoma" w:hAnsi="Tahoma" w:cs="Tahoma"/>
          <w:sz w:val="24"/>
          <w:szCs w:val="24"/>
        </w:rPr>
        <w:t>- Comment les populations locales utilisent-elles les ressources forestières ?</w:t>
      </w:r>
    </w:p>
    <w:p w:rsidR="00D63D38" w:rsidRPr="00D63D38" w:rsidRDefault="00D63D38" w:rsidP="00D63D38">
      <w:pPr>
        <w:spacing w:line="360" w:lineRule="auto"/>
        <w:rPr>
          <w:rFonts w:ascii="Tahoma" w:hAnsi="Tahoma" w:cs="Tahoma"/>
          <w:sz w:val="24"/>
          <w:szCs w:val="24"/>
        </w:rPr>
      </w:pPr>
      <w:r w:rsidRPr="00D63D38">
        <w:rPr>
          <w:rFonts w:ascii="Tahoma" w:hAnsi="Tahoma" w:cs="Tahoma"/>
          <w:sz w:val="24"/>
          <w:szCs w:val="24"/>
        </w:rPr>
        <w:t>- Observez-vous des pratiques traditionnelles de gestion des ressources ?</w:t>
      </w:r>
    </w:p>
    <w:p w:rsidR="00D63D38" w:rsidRPr="00D63D38" w:rsidRDefault="00D63D38" w:rsidP="00D63D38">
      <w:pPr>
        <w:spacing w:line="360" w:lineRule="auto"/>
        <w:rPr>
          <w:rFonts w:ascii="Tahoma" w:hAnsi="Tahoma" w:cs="Tahoma"/>
          <w:sz w:val="24"/>
          <w:szCs w:val="24"/>
        </w:rPr>
      </w:pPr>
      <w:r w:rsidRPr="00D63D38">
        <w:rPr>
          <w:rFonts w:ascii="Tahoma" w:hAnsi="Tahoma" w:cs="Tahoma"/>
          <w:sz w:val="24"/>
          <w:szCs w:val="24"/>
        </w:rPr>
        <w:t>- Y a-t-il des conflits d'usage entre différents groupes d'usagers ?</w:t>
      </w:r>
    </w:p>
    <w:p w:rsidR="00D63D38" w:rsidRPr="00D63D38" w:rsidRDefault="00D63D38" w:rsidP="00D63D38">
      <w:pPr>
        <w:spacing w:line="360" w:lineRule="auto"/>
        <w:rPr>
          <w:rFonts w:ascii="Tahoma" w:hAnsi="Tahoma" w:cs="Tahoma"/>
          <w:sz w:val="24"/>
          <w:szCs w:val="24"/>
        </w:rPr>
      </w:pPr>
    </w:p>
    <w:p w:rsidR="00D63D38" w:rsidRPr="00D63D38" w:rsidRDefault="00D63D38" w:rsidP="00D63D38">
      <w:pPr>
        <w:spacing w:line="360" w:lineRule="auto"/>
        <w:rPr>
          <w:rFonts w:ascii="Tahoma" w:hAnsi="Tahoma" w:cs="Tahoma"/>
          <w:sz w:val="24"/>
          <w:szCs w:val="24"/>
        </w:rPr>
      </w:pPr>
      <w:r w:rsidRPr="00D63D38">
        <w:rPr>
          <w:rFonts w:ascii="Tahoma" w:hAnsi="Tahoma" w:cs="Tahoma"/>
          <w:sz w:val="24"/>
          <w:szCs w:val="24"/>
        </w:rPr>
        <w:t xml:space="preserve">*MESURES DE PROTECTION : </w:t>
      </w:r>
    </w:p>
    <w:p w:rsidR="00D63D38" w:rsidRPr="00D63D38" w:rsidRDefault="00D63D38" w:rsidP="00D63D38">
      <w:pPr>
        <w:spacing w:line="360" w:lineRule="auto"/>
        <w:rPr>
          <w:rFonts w:ascii="Tahoma" w:hAnsi="Tahoma" w:cs="Tahoma"/>
          <w:sz w:val="24"/>
          <w:szCs w:val="24"/>
        </w:rPr>
      </w:pPr>
      <w:r w:rsidRPr="00D63D38">
        <w:rPr>
          <w:rFonts w:ascii="Tahoma" w:hAnsi="Tahoma" w:cs="Tahoma"/>
          <w:sz w:val="24"/>
          <w:szCs w:val="24"/>
        </w:rPr>
        <w:t>- Quelles sont les principales mesures que vous mettez en œuvre pour limiter la dégradation des ressources forestières ?</w:t>
      </w:r>
    </w:p>
    <w:p w:rsidR="00D63D38" w:rsidRPr="00D63D38" w:rsidRDefault="00D63D38" w:rsidP="00D63D38">
      <w:pPr>
        <w:spacing w:line="360" w:lineRule="auto"/>
        <w:rPr>
          <w:rFonts w:ascii="Tahoma" w:hAnsi="Tahoma" w:cs="Tahoma"/>
          <w:sz w:val="24"/>
          <w:szCs w:val="24"/>
        </w:rPr>
      </w:pPr>
      <w:r w:rsidRPr="00D63D38">
        <w:rPr>
          <w:rFonts w:ascii="Tahoma" w:hAnsi="Tahoma" w:cs="Tahoma"/>
          <w:sz w:val="24"/>
          <w:szCs w:val="24"/>
        </w:rPr>
        <w:t>- Quelles actions de sensibilisation menez-vous auprès des populations ?</w:t>
      </w:r>
    </w:p>
    <w:p w:rsidR="00D63D38" w:rsidRPr="00D63D38" w:rsidRDefault="00D63D38" w:rsidP="00D63D38">
      <w:pPr>
        <w:spacing w:line="360" w:lineRule="auto"/>
        <w:rPr>
          <w:rFonts w:ascii="Tahoma" w:hAnsi="Tahoma" w:cs="Tahoma"/>
          <w:sz w:val="24"/>
          <w:szCs w:val="24"/>
        </w:rPr>
      </w:pPr>
      <w:r w:rsidRPr="00D63D38">
        <w:rPr>
          <w:rFonts w:ascii="Tahoma" w:hAnsi="Tahoma" w:cs="Tahoma"/>
          <w:sz w:val="24"/>
          <w:szCs w:val="24"/>
        </w:rPr>
        <w:t>- Existe-t-il des programmes d'éducation environnementale ?</w:t>
      </w:r>
    </w:p>
    <w:p w:rsidR="00D63D38" w:rsidRPr="00D63D38" w:rsidRDefault="00D63D38" w:rsidP="00D63D38">
      <w:pPr>
        <w:spacing w:line="360" w:lineRule="auto"/>
        <w:rPr>
          <w:rFonts w:ascii="Tahoma" w:hAnsi="Tahoma" w:cs="Tahoma"/>
          <w:sz w:val="24"/>
          <w:szCs w:val="24"/>
        </w:rPr>
      </w:pPr>
      <w:r w:rsidRPr="00D63D38">
        <w:rPr>
          <w:rFonts w:ascii="Tahoma" w:hAnsi="Tahoma" w:cs="Tahoma"/>
          <w:sz w:val="24"/>
          <w:szCs w:val="24"/>
        </w:rPr>
        <w:t>- Comment favorisez-vous l'appropriation locale des enjeux de conservation ?</w:t>
      </w:r>
    </w:p>
    <w:p w:rsidR="00D63D38" w:rsidRPr="00D63D38" w:rsidRDefault="00D63D38" w:rsidP="00D63D38">
      <w:pPr>
        <w:spacing w:line="360" w:lineRule="auto"/>
        <w:rPr>
          <w:rFonts w:ascii="Tahoma" w:hAnsi="Tahoma" w:cs="Tahoma"/>
          <w:sz w:val="24"/>
          <w:szCs w:val="24"/>
        </w:rPr>
      </w:pPr>
      <w:r w:rsidRPr="00D63D38">
        <w:rPr>
          <w:rFonts w:ascii="Tahoma" w:hAnsi="Tahoma" w:cs="Tahoma"/>
          <w:sz w:val="24"/>
          <w:szCs w:val="24"/>
        </w:rPr>
        <w:t>- Quelles sont les principales réglementations en vigueur ?</w:t>
      </w:r>
    </w:p>
    <w:p w:rsidR="00D63D38" w:rsidRPr="00D63D38" w:rsidRDefault="00D63D38" w:rsidP="00D63D38">
      <w:pPr>
        <w:spacing w:line="360" w:lineRule="auto"/>
        <w:rPr>
          <w:rFonts w:ascii="Tahoma" w:hAnsi="Tahoma" w:cs="Tahoma"/>
          <w:sz w:val="24"/>
          <w:szCs w:val="24"/>
        </w:rPr>
      </w:pPr>
      <w:r w:rsidRPr="00D63D38">
        <w:rPr>
          <w:rFonts w:ascii="Tahoma" w:hAnsi="Tahoma" w:cs="Tahoma"/>
          <w:sz w:val="24"/>
          <w:szCs w:val="24"/>
        </w:rPr>
        <w:t>- Comment assurez-vous leur application sur le terrain ?</w:t>
      </w:r>
    </w:p>
    <w:p w:rsidR="00D63D38" w:rsidRPr="00D63D38" w:rsidRDefault="00D63D38" w:rsidP="00D63D38">
      <w:pPr>
        <w:spacing w:line="360" w:lineRule="auto"/>
        <w:rPr>
          <w:rFonts w:ascii="Tahoma" w:hAnsi="Tahoma" w:cs="Tahoma"/>
          <w:sz w:val="24"/>
          <w:szCs w:val="24"/>
        </w:rPr>
      </w:pPr>
      <w:r w:rsidRPr="00D63D38">
        <w:rPr>
          <w:rFonts w:ascii="Tahoma" w:hAnsi="Tahoma" w:cs="Tahoma"/>
          <w:sz w:val="24"/>
          <w:szCs w:val="24"/>
        </w:rPr>
        <w:t>- Quel est le niveau de respect de ces règlements par les populations ?</w:t>
      </w:r>
    </w:p>
    <w:p w:rsidR="00D63D38" w:rsidRPr="00D63D38" w:rsidRDefault="00D63D38" w:rsidP="00D63D38">
      <w:pPr>
        <w:spacing w:line="360" w:lineRule="auto"/>
        <w:rPr>
          <w:rFonts w:ascii="Tahoma" w:hAnsi="Tahoma" w:cs="Tahoma"/>
          <w:sz w:val="24"/>
          <w:szCs w:val="24"/>
        </w:rPr>
      </w:pPr>
      <w:r w:rsidRPr="00D63D38">
        <w:rPr>
          <w:rFonts w:ascii="Tahoma" w:hAnsi="Tahoma" w:cs="Tahoma"/>
          <w:sz w:val="24"/>
          <w:szCs w:val="24"/>
        </w:rPr>
        <w:t>- Recourez-vous aux sanctions ? Dans quelles circonstances ?</w:t>
      </w:r>
    </w:p>
    <w:p w:rsidR="00D63D38" w:rsidRPr="00D63D38" w:rsidRDefault="00D63D38" w:rsidP="00D63D38">
      <w:pPr>
        <w:spacing w:line="360" w:lineRule="auto"/>
        <w:rPr>
          <w:rFonts w:ascii="Tahoma" w:hAnsi="Tahoma" w:cs="Tahoma"/>
          <w:sz w:val="24"/>
          <w:szCs w:val="24"/>
        </w:rPr>
      </w:pPr>
    </w:p>
    <w:p w:rsidR="00D63D38" w:rsidRPr="00D63D38" w:rsidRDefault="00D63D38" w:rsidP="00D63D38">
      <w:pPr>
        <w:spacing w:line="360" w:lineRule="auto"/>
        <w:rPr>
          <w:rFonts w:ascii="Tahoma" w:hAnsi="Tahoma" w:cs="Tahoma"/>
          <w:sz w:val="24"/>
          <w:szCs w:val="24"/>
        </w:rPr>
      </w:pPr>
      <w:r w:rsidRPr="00D63D38">
        <w:rPr>
          <w:rFonts w:ascii="Tahoma" w:hAnsi="Tahoma" w:cs="Tahoma"/>
          <w:sz w:val="24"/>
          <w:szCs w:val="24"/>
        </w:rPr>
        <w:t>*</w:t>
      </w:r>
      <w:r w:rsidR="003F4239" w:rsidRPr="00D63D38">
        <w:rPr>
          <w:rFonts w:ascii="Tahoma" w:hAnsi="Tahoma" w:cs="Tahoma"/>
          <w:sz w:val="24"/>
          <w:szCs w:val="24"/>
        </w:rPr>
        <w:t>MESURES INCITATIVES </w:t>
      </w:r>
      <w:r w:rsidRPr="00D63D38">
        <w:rPr>
          <w:rFonts w:ascii="Tahoma" w:hAnsi="Tahoma" w:cs="Tahoma"/>
          <w:sz w:val="24"/>
          <w:szCs w:val="24"/>
        </w:rPr>
        <w:t xml:space="preserve">: </w:t>
      </w:r>
    </w:p>
    <w:p w:rsidR="00D63D38" w:rsidRPr="00D63D38" w:rsidRDefault="00D63D38" w:rsidP="00D63D38">
      <w:pPr>
        <w:spacing w:line="360" w:lineRule="auto"/>
        <w:rPr>
          <w:rFonts w:ascii="Tahoma" w:hAnsi="Tahoma" w:cs="Tahoma"/>
          <w:sz w:val="24"/>
          <w:szCs w:val="24"/>
        </w:rPr>
      </w:pPr>
      <w:r w:rsidRPr="00D63D38">
        <w:rPr>
          <w:rFonts w:ascii="Tahoma" w:hAnsi="Tahoma" w:cs="Tahoma"/>
          <w:sz w:val="24"/>
          <w:szCs w:val="24"/>
        </w:rPr>
        <w:t>- Proposez-vous des alternatives économiques aux populations ?</w:t>
      </w:r>
    </w:p>
    <w:p w:rsidR="00D63D38" w:rsidRPr="00D63D38" w:rsidRDefault="00D63D38" w:rsidP="00D63D38">
      <w:pPr>
        <w:spacing w:line="360" w:lineRule="auto"/>
        <w:rPr>
          <w:rFonts w:ascii="Tahoma" w:hAnsi="Tahoma" w:cs="Tahoma"/>
          <w:sz w:val="24"/>
          <w:szCs w:val="24"/>
        </w:rPr>
      </w:pPr>
      <w:r w:rsidRPr="00D63D38">
        <w:rPr>
          <w:rFonts w:ascii="Tahoma" w:hAnsi="Tahoma" w:cs="Tahoma"/>
          <w:sz w:val="24"/>
          <w:szCs w:val="24"/>
        </w:rPr>
        <w:t>- Existe-t-il des programmes de compensation ou d'accompagnement ?</w:t>
      </w:r>
    </w:p>
    <w:p w:rsidR="00D63D38" w:rsidRDefault="00D63D38" w:rsidP="00D63D38">
      <w:pPr>
        <w:spacing w:line="360" w:lineRule="auto"/>
        <w:rPr>
          <w:rFonts w:ascii="Tahoma" w:hAnsi="Tahoma" w:cs="Tahoma"/>
          <w:sz w:val="24"/>
          <w:szCs w:val="24"/>
        </w:rPr>
      </w:pPr>
      <w:r w:rsidRPr="00D63D38">
        <w:rPr>
          <w:rFonts w:ascii="Tahoma" w:hAnsi="Tahoma" w:cs="Tahoma"/>
          <w:sz w:val="24"/>
          <w:szCs w:val="24"/>
        </w:rPr>
        <w:t>- Comment encouragez-vous les pratiques soutenables ?</w:t>
      </w:r>
    </w:p>
    <w:p w:rsidR="00D63D38" w:rsidRPr="00D63D38" w:rsidRDefault="00D63D38" w:rsidP="00D63D38">
      <w:pPr>
        <w:rPr>
          <w:rFonts w:ascii="Tahoma" w:hAnsi="Tahoma" w:cs="Tahoma"/>
          <w:sz w:val="24"/>
          <w:szCs w:val="24"/>
        </w:rPr>
      </w:pPr>
      <w:r>
        <w:rPr>
          <w:rFonts w:ascii="Tahoma" w:hAnsi="Tahoma" w:cs="Tahoma"/>
          <w:sz w:val="24"/>
          <w:szCs w:val="24"/>
        </w:rPr>
        <w:br w:type="page"/>
      </w:r>
    </w:p>
    <w:p w:rsidR="00E53C60" w:rsidRPr="00E77C1A" w:rsidRDefault="00E53C60" w:rsidP="002F1A32">
      <w:pPr>
        <w:pStyle w:val="Titre"/>
        <w:rPr>
          <w:rFonts w:cs="Tahoma"/>
          <w:sz w:val="24"/>
          <w:szCs w:val="24"/>
        </w:rPr>
      </w:pPr>
      <w:bookmarkStart w:id="520" w:name="_Toc201570939"/>
      <w:bookmarkStart w:id="521" w:name="_Toc201655553"/>
      <w:bookmarkStart w:id="522" w:name="_Toc203643151"/>
      <w:r w:rsidRPr="002462E6">
        <w:t>Table des matières</w:t>
      </w:r>
      <w:bookmarkEnd w:id="520"/>
      <w:bookmarkEnd w:id="521"/>
      <w:bookmarkEnd w:id="522"/>
    </w:p>
    <w:p w:rsidR="00DF521C" w:rsidRPr="009E3DBC" w:rsidRDefault="00263B66" w:rsidP="00B84FD6">
      <w:pPr>
        <w:pStyle w:val="TM1"/>
        <w:rPr>
          <w:rFonts w:eastAsiaTheme="minorEastAsia"/>
          <w:b w:val="0"/>
          <w:bCs w:val="0"/>
          <w:caps w:val="0"/>
          <w:szCs w:val="24"/>
          <w:lang w:eastAsia="fr-FR"/>
        </w:rPr>
      </w:pPr>
      <w:r w:rsidRPr="00DF521C">
        <w:rPr>
          <w:b w:val="0"/>
          <w:bCs w:val="0"/>
          <w:caps w:val="0"/>
          <w:szCs w:val="24"/>
        </w:rPr>
        <w:fldChar w:fldCharType="begin"/>
      </w:r>
      <w:r w:rsidRPr="00DF521C">
        <w:rPr>
          <w:b w:val="0"/>
          <w:bCs w:val="0"/>
          <w:caps w:val="0"/>
          <w:szCs w:val="24"/>
        </w:rPr>
        <w:instrText xml:space="preserve"> TOC \o "1-1" \h \z \t "Titre 2;1;Titre 3;2;Titre 4;3;Titre 5;4;Titre 6;5;Titre 7;6;Titre;1" </w:instrText>
      </w:r>
      <w:r w:rsidRPr="00DF521C">
        <w:rPr>
          <w:b w:val="0"/>
          <w:bCs w:val="0"/>
          <w:caps w:val="0"/>
          <w:szCs w:val="24"/>
        </w:rPr>
        <w:fldChar w:fldCharType="separate"/>
      </w:r>
      <w:hyperlink w:anchor="_Toc203642998" w:history="1">
        <w:r w:rsidR="00DF521C" w:rsidRPr="009E3DBC">
          <w:rPr>
            <w:rStyle w:val="Lienhypertexte"/>
            <w:szCs w:val="24"/>
          </w:rPr>
          <w:t>Remerciements</w:t>
        </w:r>
        <w:r w:rsidR="00DF521C" w:rsidRPr="009E3DBC">
          <w:rPr>
            <w:webHidden/>
            <w:szCs w:val="24"/>
          </w:rPr>
          <w:tab/>
        </w:r>
        <w:r w:rsidR="00DF521C" w:rsidRPr="009E3DBC">
          <w:rPr>
            <w:webHidden/>
            <w:szCs w:val="24"/>
          </w:rPr>
          <w:fldChar w:fldCharType="begin"/>
        </w:r>
        <w:r w:rsidR="00DF521C" w:rsidRPr="009E3DBC">
          <w:rPr>
            <w:webHidden/>
            <w:szCs w:val="24"/>
          </w:rPr>
          <w:instrText xml:space="preserve"> PAGEREF _Toc203642998 \h </w:instrText>
        </w:r>
        <w:r w:rsidR="00DF521C" w:rsidRPr="009E3DBC">
          <w:rPr>
            <w:webHidden/>
            <w:szCs w:val="24"/>
          </w:rPr>
        </w:r>
        <w:r w:rsidR="00DF521C" w:rsidRPr="009E3DBC">
          <w:rPr>
            <w:webHidden/>
            <w:szCs w:val="24"/>
          </w:rPr>
          <w:fldChar w:fldCharType="separate"/>
        </w:r>
        <w:r w:rsidR="00124AFB">
          <w:rPr>
            <w:webHidden/>
            <w:szCs w:val="24"/>
          </w:rPr>
          <w:t>2</w:t>
        </w:r>
        <w:r w:rsidR="00DF521C" w:rsidRPr="009E3DBC">
          <w:rPr>
            <w:webHidden/>
            <w:szCs w:val="24"/>
          </w:rPr>
          <w:fldChar w:fldCharType="end"/>
        </w:r>
      </w:hyperlink>
    </w:p>
    <w:p w:rsidR="00DF521C" w:rsidRPr="009E3DBC" w:rsidRDefault="00642CE5" w:rsidP="00B84FD6">
      <w:pPr>
        <w:pStyle w:val="TM1"/>
        <w:rPr>
          <w:rFonts w:eastAsiaTheme="minorEastAsia"/>
          <w:b w:val="0"/>
          <w:bCs w:val="0"/>
          <w:caps w:val="0"/>
          <w:szCs w:val="24"/>
          <w:lang w:eastAsia="fr-FR"/>
        </w:rPr>
      </w:pPr>
      <w:hyperlink w:anchor="_Toc203642999" w:history="1">
        <w:r w:rsidR="00DF521C" w:rsidRPr="009E3DBC">
          <w:rPr>
            <w:rStyle w:val="Lienhypertexte"/>
            <w:szCs w:val="24"/>
          </w:rPr>
          <w:t>RESUME</w:t>
        </w:r>
        <w:r w:rsidR="00DF521C" w:rsidRPr="009E3DBC">
          <w:rPr>
            <w:webHidden/>
            <w:szCs w:val="24"/>
          </w:rPr>
          <w:tab/>
        </w:r>
        <w:r w:rsidR="00DF521C" w:rsidRPr="009E3DBC">
          <w:rPr>
            <w:webHidden/>
            <w:szCs w:val="24"/>
          </w:rPr>
          <w:fldChar w:fldCharType="begin"/>
        </w:r>
        <w:r w:rsidR="00DF521C" w:rsidRPr="009E3DBC">
          <w:rPr>
            <w:webHidden/>
            <w:szCs w:val="24"/>
          </w:rPr>
          <w:instrText xml:space="preserve"> PAGEREF _Toc203642999 \h </w:instrText>
        </w:r>
        <w:r w:rsidR="00DF521C" w:rsidRPr="009E3DBC">
          <w:rPr>
            <w:webHidden/>
            <w:szCs w:val="24"/>
          </w:rPr>
        </w:r>
        <w:r w:rsidR="00DF521C" w:rsidRPr="009E3DBC">
          <w:rPr>
            <w:webHidden/>
            <w:szCs w:val="24"/>
          </w:rPr>
          <w:fldChar w:fldCharType="separate"/>
        </w:r>
        <w:r w:rsidR="00124AFB">
          <w:rPr>
            <w:webHidden/>
            <w:szCs w:val="24"/>
          </w:rPr>
          <w:t>3</w:t>
        </w:r>
        <w:r w:rsidR="00DF521C" w:rsidRPr="009E3DBC">
          <w:rPr>
            <w:webHidden/>
            <w:szCs w:val="24"/>
          </w:rPr>
          <w:fldChar w:fldCharType="end"/>
        </w:r>
      </w:hyperlink>
    </w:p>
    <w:p w:rsidR="00DF521C" w:rsidRPr="009E3DBC" w:rsidRDefault="00642CE5" w:rsidP="00B84FD6">
      <w:pPr>
        <w:pStyle w:val="TM1"/>
        <w:rPr>
          <w:rFonts w:eastAsiaTheme="minorEastAsia"/>
          <w:b w:val="0"/>
          <w:bCs w:val="0"/>
          <w:caps w:val="0"/>
          <w:szCs w:val="24"/>
          <w:lang w:eastAsia="fr-FR"/>
        </w:rPr>
      </w:pPr>
      <w:hyperlink w:anchor="_Toc203643000" w:history="1">
        <w:r w:rsidR="00DF521C" w:rsidRPr="009E3DBC">
          <w:rPr>
            <w:rStyle w:val="Lienhypertexte"/>
            <w:szCs w:val="24"/>
          </w:rPr>
          <w:t>ABSTRACT</w:t>
        </w:r>
        <w:r w:rsidR="00DF521C" w:rsidRPr="009E3DBC">
          <w:rPr>
            <w:webHidden/>
            <w:szCs w:val="24"/>
          </w:rPr>
          <w:tab/>
        </w:r>
        <w:r w:rsidR="00DF521C" w:rsidRPr="009E3DBC">
          <w:rPr>
            <w:webHidden/>
            <w:szCs w:val="24"/>
          </w:rPr>
          <w:fldChar w:fldCharType="begin"/>
        </w:r>
        <w:r w:rsidR="00DF521C" w:rsidRPr="009E3DBC">
          <w:rPr>
            <w:webHidden/>
            <w:szCs w:val="24"/>
          </w:rPr>
          <w:instrText xml:space="preserve"> PAGEREF _Toc203643000 \h </w:instrText>
        </w:r>
        <w:r w:rsidR="00DF521C" w:rsidRPr="009E3DBC">
          <w:rPr>
            <w:webHidden/>
            <w:szCs w:val="24"/>
          </w:rPr>
        </w:r>
        <w:r w:rsidR="00DF521C" w:rsidRPr="009E3DBC">
          <w:rPr>
            <w:webHidden/>
            <w:szCs w:val="24"/>
          </w:rPr>
          <w:fldChar w:fldCharType="separate"/>
        </w:r>
        <w:r w:rsidR="00124AFB">
          <w:rPr>
            <w:webHidden/>
            <w:szCs w:val="24"/>
          </w:rPr>
          <w:t>4</w:t>
        </w:r>
        <w:r w:rsidR="00DF521C" w:rsidRPr="009E3DBC">
          <w:rPr>
            <w:webHidden/>
            <w:szCs w:val="24"/>
          </w:rPr>
          <w:fldChar w:fldCharType="end"/>
        </w:r>
      </w:hyperlink>
    </w:p>
    <w:p w:rsidR="00DF521C" w:rsidRPr="009E3DBC" w:rsidRDefault="00642CE5" w:rsidP="00B84FD6">
      <w:pPr>
        <w:pStyle w:val="TM1"/>
        <w:rPr>
          <w:rFonts w:eastAsiaTheme="minorEastAsia"/>
          <w:b w:val="0"/>
          <w:bCs w:val="0"/>
          <w:caps w:val="0"/>
          <w:szCs w:val="24"/>
          <w:lang w:eastAsia="fr-FR"/>
        </w:rPr>
      </w:pPr>
      <w:hyperlink w:anchor="_Toc203643001" w:history="1">
        <w:r w:rsidR="00DF521C" w:rsidRPr="009E3DBC">
          <w:rPr>
            <w:rStyle w:val="Lienhypertexte"/>
            <w:szCs w:val="24"/>
            <w:rtl/>
          </w:rPr>
          <w:t>ملخــــــــص</w:t>
        </w:r>
        <w:r w:rsidR="00DF521C" w:rsidRPr="009E3DBC">
          <w:rPr>
            <w:webHidden/>
            <w:szCs w:val="24"/>
          </w:rPr>
          <w:tab/>
        </w:r>
        <w:r w:rsidR="00DF521C" w:rsidRPr="009E3DBC">
          <w:rPr>
            <w:webHidden/>
            <w:szCs w:val="24"/>
          </w:rPr>
          <w:fldChar w:fldCharType="begin"/>
        </w:r>
        <w:r w:rsidR="00DF521C" w:rsidRPr="009E3DBC">
          <w:rPr>
            <w:webHidden/>
            <w:szCs w:val="24"/>
          </w:rPr>
          <w:instrText xml:space="preserve"> PAGEREF _Toc203643001 \h </w:instrText>
        </w:r>
        <w:r w:rsidR="00DF521C" w:rsidRPr="009E3DBC">
          <w:rPr>
            <w:webHidden/>
            <w:szCs w:val="24"/>
          </w:rPr>
        </w:r>
        <w:r w:rsidR="00DF521C" w:rsidRPr="009E3DBC">
          <w:rPr>
            <w:webHidden/>
            <w:szCs w:val="24"/>
          </w:rPr>
          <w:fldChar w:fldCharType="separate"/>
        </w:r>
        <w:r w:rsidR="00124AFB">
          <w:rPr>
            <w:webHidden/>
            <w:szCs w:val="24"/>
          </w:rPr>
          <w:t>5</w:t>
        </w:r>
        <w:r w:rsidR="00DF521C" w:rsidRPr="009E3DBC">
          <w:rPr>
            <w:webHidden/>
            <w:szCs w:val="24"/>
          </w:rPr>
          <w:fldChar w:fldCharType="end"/>
        </w:r>
      </w:hyperlink>
    </w:p>
    <w:p w:rsidR="00DF521C" w:rsidRPr="009E3DBC" w:rsidRDefault="00642CE5" w:rsidP="00B84FD6">
      <w:pPr>
        <w:pStyle w:val="TM1"/>
        <w:rPr>
          <w:rFonts w:eastAsiaTheme="minorEastAsia"/>
          <w:b w:val="0"/>
          <w:bCs w:val="0"/>
          <w:caps w:val="0"/>
          <w:szCs w:val="24"/>
          <w:lang w:eastAsia="fr-FR"/>
        </w:rPr>
      </w:pPr>
      <w:hyperlink w:anchor="_Toc203643002" w:history="1">
        <w:r w:rsidR="00DF521C" w:rsidRPr="009E3DBC">
          <w:rPr>
            <w:rStyle w:val="Lienhypertexte"/>
            <w:szCs w:val="24"/>
          </w:rPr>
          <w:t>SOMMAIRE</w:t>
        </w:r>
        <w:r w:rsidR="00DF521C" w:rsidRPr="009E3DBC">
          <w:rPr>
            <w:webHidden/>
            <w:szCs w:val="24"/>
          </w:rPr>
          <w:tab/>
        </w:r>
        <w:r w:rsidR="00DF521C" w:rsidRPr="009E3DBC">
          <w:rPr>
            <w:webHidden/>
            <w:szCs w:val="24"/>
          </w:rPr>
          <w:fldChar w:fldCharType="begin"/>
        </w:r>
        <w:r w:rsidR="00DF521C" w:rsidRPr="009E3DBC">
          <w:rPr>
            <w:webHidden/>
            <w:szCs w:val="24"/>
          </w:rPr>
          <w:instrText xml:space="preserve"> PAGEREF _Toc203643002 \h </w:instrText>
        </w:r>
        <w:r w:rsidR="00DF521C" w:rsidRPr="009E3DBC">
          <w:rPr>
            <w:webHidden/>
            <w:szCs w:val="24"/>
          </w:rPr>
        </w:r>
        <w:r w:rsidR="00DF521C" w:rsidRPr="009E3DBC">
          <w:rPr>
            <w:webHidden/>
            <w:szCs w:val="24"/>
          </w:rPr>
          <w:fldChar w:fldCharType="separate"/>
        </w:r>
        <w:r w:rsidR="00124AFB">
          <w:rPr>
            <w:webHidden/>
            <w:szCs w:val="24"/>
          </w:rPr>
          <w:t>6</w:t>
        </w:r>
        <w:r w:rsidR="00DF521C" w:rsidRPr="009E3DBC">
          <w:rPr>
            <w:webHidden/>
            <w:szCs w:val="24"/>
          </w:rPr>
          <w:fldChar w:fldCharType="end"/>
        </w:r>
      </w:hyperlink>
    </w:p>
    <w:p w:rsidR="00DF521C" w:rsidRPr="009E3DBC" w:rsidRDefault="00642CE5" w:rsidP="00B84FD6">
      <w:pPr>
        <w:pStyle w:val="TM1"/>
        <w:rPr>
          <w:rFonts w:eastAsiaTheme="minorEastAsia"/>
          <w:b w:val="0"/>
          <w:bCs w:val="0"/>
          <w:caps w:val="0"/>
          <w:szCs w:val="24"/>
          <w:lang w:eastAsia="fr-FR"/>
        </w:rPr>
      </w:pPr>
      <w:hyperlink w:anchor="_Toc203643003" w:history="1">
        <w:r w:rsidR="00DF521C" w:rsidRPr="009E3DBC">
          <w:rPr>
            <w:rStyle w:val="Lienhypertexte"/>
            <w:szCs w:val="24"/>
          </w:rPr>
          <w:t>Liste des abréviations</w:t>
        </w:r>
        <w:r w:rsidR="00DF521C" w:rsidRPr="009E3DBC">
          <w:rPr>
            <w:webHidden/>
            <w:szCs w:val="24"/>
          </w:rPr>
          <w:tab/>
        </w:r>
        <w:r w:rsidR="00DF521C" w:rsidRPr="009E3DBC">
          <w:rPr>
            <w:webHidden/>
            <w:szCs w:val="24"/>
          </w:rPr>
          <w:fldChar w:fldCharType="begin"/>
        </w:r>
        <w:r w:rsidR="00DF521C" w:rsidRPr="009E3DBC">
          <w:rPr>
            <w:webHidden/>
            <w:szCs w:val="24"/>
          </w:rPr>
          <w:instrText xml:space="preserve"> PAGEREF _Toc203643003 \h </w:instrText>
        </w:r>
        <w:r w:rsidR="00DF521C" w:rsidRPr="009E3DBC">
          <w:rPr>
            <w:webHidden/>
            <w:szCs w:val="24"/>
          </w:rPr>
        </w:r>
        <w:r w:rsidR="00DF521C" w:rsidRPr="009E3DBC">
          <w:rPr>
            <w:webHidden/>
            <w:szCs w:val="24"/>
          </w:rPr>
          <w:fldChar w:fldCharType="separate"/>
        </w:r>
        <w:r w:rsidR="00124AFB">
          <w:rPr>
            <w:webHidden/>
            <w:szCs w:val="24"/>
          </w:rPr>
          <w:t>8</w:t>
        </w:r>
        <w:r w:rsidR="00DF521C" w:rsidRPr="009E3DBC">
          <w:rPr>
            <w:webHidden/>
            <w:szCs w:val="24"/>
          </w:rPr>
          <w:fldChar w:fldCharType="end"/>
        </w:r>
      </w:hyperlink>
    </w:p>
    <w:p w:rsidR="00DF521C" w:rsidRPr="009E3DBC" w:rsidRDefault="00642CE5" w:rsidP="00B84FD6">
      <w:pPr>
        <w:pStyle w:val="TM1"/>
        <w:rPr>
          <w:rFonts w:eastAsiaTheme="minorEastAsia"/>
          <w:b w:val="0"/>
          <w:bCs w:val="0"/>
          <w:caps w:val="0"/>
          <w:szCs w:val="24"/>
          <w:lang w:eastAsia="fr-FR"/>
        </w:rPr>
      </w:pPr>
      <w:hyperlink w:anchor="_Toc203643004" w:history="1">
        <w:r w:rsidR="00DF521C" w:rsidRPr="009E3DBC">
          <w:rPr>
            <w:rStyle w:val="Lienhypertexte"/>
            <w:szCs w:val="24"/>
          </w:rPr>
          <w:t>Introduction</w:t>
        </w:r>
        <w:r w:rsidR="00DF521C" w:rsidRPr="009E3DBC">
          <w:rPr>
            <w:webHidden/>
            <w:szCs w:val="24"/>
          </w:rPr>
          <w:tab/>
        </w:r>
        <w:r w:rsidR="00DF521C" w:rsidRPr="009E3DBC">
          <w:rPr>
            <w:webHidden/>
            <w:szCs w:val="24"/>
          </w:rPr>
          <w:fldChar w:fldCharType="begin"/>
        </w:r>
        <w:r w:rsidR="00DF521C" w:rsidRPr="009E3DBC">
          <w:rPr>
            <w:webHidden/>
            <w:szCs w:val="24"/>
          </w:rPr>
          <w:instrText xml:space="preserve"> PAGEREF _Toc203643004 \h </w:instrText>
        </w:r>
        <w:r w:rsidR="00DF521C" w:rsidRPr="009E3DBC">
          <w:rPr>
            <w:webHidden/>
            <w:szCs w:val="24"/>
          </w:rPr>
        </w:r>
        <w:r w:rsidR="00DF521C" w:rsidRPr="009E3DBC">
          <w:rPr>
            <w:webHidden/>
            <w:szCs w:val="24"/>
          </w:rPr>
          <w:fldChar w:fldCharType="separate"/>
        </w:r>
        <w:r w:rsidR="00124AFB">
          <w:rPr>
            <w:webHidden/>
            <w:szCs w:val="24"/>
          </w:rPr>
          <w:t>13</w:t>
        </w:r>
        <w:r w:rsidR="00DF521C" w:rsidRPr="009E3DBC">
          <w:rPr>
            <w:webHidden/>
            <w:szCs w:val="24"/>
          </w:rPr>
          <w:fldChar w:fldCharType="end"/>
        </w:r>
      </w:hyperlink>
    </w:p>
    <w:p w:rsidR="00DF521C" w:rsidRPr="009E3DBC" w:rsidRDefault="00642CE5" w:rsidP="00B84FD6">
      <w:pPr>
        <w:pStyle w:val="TM1"/>
        <w:rPr>
          <w:rFonts w:eastAsiaTheme="minorEastAsia"/>
          <w:b w:val="0"/>
          <w:bCs w:val="0"/>
          <w:caps w:val="0"/>
          <w:szCs w:val="24"/>
          <w:lang w:eastAsia="fr-FR"/>
        </w:rPr>
      </w:pPr>
      <w:hyperlink w:anchor="_Toc203643005" w:history="1">
        <w:r w:rsidR="00DF521C" w:rsidRPr="009E3DBC">
          <w:rPr>
            <w:rStyle w:val="Lienhypertexte"/>
            <w:szCs w:val="24"/>
          </w:rPr>
          <w:t>Première partie : Trajectoire de la gestion des forêts au Maroc : dynamiques historiques et défis contemporains</w:t>
        </w:r>
        <w:r w:rsidR="00DF521C" w:rsidRPr="009E3DBC">
          <w:rPr>
            <w:webHidden/>
            <w:szCs w:val="24"/>
          </w:rPr>
          <w:tab/>
        </w:r>
        <w:r w:rsidR="00DF521C" w:rsidRPr="009E3DBC">
          <w:rPr>
            <w:webHidden/>
            <w:szCs w:val="24"/>
          </w:rPr>
          <w:fldChar w:fldCharType="begin"/>
        </w:r>
        <w:r w:rsidR="00DF521C" w:rsidRPr="009E3DBC">
          <w:rPr>
            <w:webHidden/>
            <w:szCs w:val="24"/>
          </w:rPr>
          <w:instrText xml:space="preserve"> PAGEREF _Toc203643005 \h </w:instrText>
        </w:r>
        <w:r w:rsidR="00DF521C" w:rsidRPr="009E3DBC">
          <w:rPr>
            <w:webHidden/>
            <w:szCs w:val="24"/>
          </w:rPr>
        </w:r>
        <w:r w:rsidR="00DF521C" w:rsidRPr="009E3DBC">
          <w:rPr>
            <w:webHidden/>
            <w:szCs w:val="24"/>
          </w:rPr>
          <w:fldChar w:fldCharType="separate"/>
        </w:r>
        <w:r w:rsidR="00124AFB">
          <w:rPr>
            <w:webHidden/>
            <w:szCs w:val="24"/>
          </w:rPr>
          <w:t>61</w:t>
        </w:r>
        <w:r w:rsidR="00DF521C" w:rsidRPr="009E3DBC">
          <w:rPr>
            <w:webHidden/>
            <w:szCs w:val="24"/>
          </w:rPr>
          <w:fldChar w:fldCharType="end"/>
        </w:r>
      </w:hyperlink>
    </w:p>
    <w:p w:rsidR="00DF521C" w:rsidRPr="009E3DBC" w:rsidRDefault="00642CE5" w:rsidP="00B84FD6">
      <w:pPr>
        <w:pStyle w:val="TM1"/>
        <w:rPr>
          <w:rFonts w:eastAsiaTheme="minorEastAsia"/>
          <w:b w:val="0"/>
          <w:bCs w:val="0"/>
          <w:caps w:val="0"/>
          <w:szCs w:val="24"/>
          <w:lang w:eastAsia="fr-FR"/>
        </w:rPr>
      </w:pPr>
      <w:hyperlink w:anchor="_Toc203643006" w:history="1">
        <w:r w:rsidR="00DF521C" w:rsidRPr="009E3DBC">
          <w:rPr>
            <w:rStyle w:val="Lienhypertexte"/>
            <w:szCs w:val="24"/>
          </w:rPr>
          <w:t>Chapitre I : La gestion ancestrale à la gestion durable : tensions et convergences</w:t>
        </w:r>
        <w:r w:rsidR="00DF521C" w:rsidRPr="009E3DBC">
          <w:rPr>
            <w:webHidden/>
            <w:szCs w:val="24"/>
          </w:rPr>
          <w:tab/>
        </w:r>
        <w:r w:rsidR="00DF521C" w:rsidRPr="009E3DBC">
          <w:rPr>
            <w:webHidden/>
            <w:szCs w:val="24"/>
          </w:rPr>
          <w:fldChar w:fldCharType="begin"/>
        </w:r>
        <w:r w:rsidR="00DF521C" w:rsidRPr="009E3DBC">
          <w:rPr>
            <w:webHidden/>
            <w:szCs w:val="24"/>
          </w:rPr>
          <w:instrText xml:space="preserve"> PAGEREF _Toc203643006 \h </w:instrText>
        </w:r>
        <w:r w:rsidR="00DF521C" w:rsidRPr="009E3DBC">
          <w:rPr>
            <w:webHidden/>
            <w:szCs w:val="24"/>
          </w:rPr>
        </w:r>
        <w:r w:rsidR="00DF521C" w:rsidRPr="009E3DBC">
          <w:rPr>
            <w:webHidden/>
            <w:szCs w:val="24"/>
          </w:rPr>
          <w:fldChar w:fldCharType="separate"/>
        </w:r>
        <w:r w:rsidR="00124AFB">
          <w:rPr>
            <w:webHidden/>
            <w:szCs w:val="24"/>
          </w:rPr>
          <w:t>64</w:t>
        </w:r>
        <w:r w:rsidR="00DF521C" w:rsidRPr="009E3DBC">
          <w:rPr>
            <w:webHidden/>
            <w:szCs w:val="24"/>
          </w:rPr>
          <w:fldChar w:fldCharType="end"/>
        </w:r>
      </w:hyperlink>
    </w:p>
    <w:p w:rsidR="00DF521C" w:rsidRPr="009E3DBC" w:rsidRDefault="00642CE5" w:rsidP="00B84FD6">
      <w:pPr>
        <w:pStyle w:val="TM2"/>
        <w:tabs>
          <w:tab w:val="right" w:leader="dot" w:pos="9346"/>
        </w:tabs>
        <w:spacing w:line="360" w:lineRule="auto"/>
        <w:jc w:val="both"/>
        <w:rPr>
          <w:rFonts w:ascii="Tahoma" w:eastAsiaTheme="minorEastAsia" w:hAnsi="Tahoma" w:cs="Tahoma"/>
          <w:iCs/>
          <w:smallCaps w:val="0"/>
          <w:noProof/>
          <w:sz w:val="24"/>
          <w:lang w:eastAsia="fr-FR"/>
        </w:rPr>
      </w:pPr>
      <w:hyperlink w:anchor="_Toc203643007" w:history="1">
        <w:r w:rsidR="00DF521C" w:rsidRPr="009E3DBC">
          <w:rPr>
            <w:rStyle w:val="Lienhypertexte"/>
            <w:rFonts w:ascii="Tahoma" w:hAnsi="Tahoma" w:cs="Tahoma"/>
            <w:iCs/>
            <w:noProof/>
            <w:sz w:val="24"/>
          </w:rPr>
          <w:t>Première Section : Gestion des forêts marocaines entre héritage coutumier et enjeux modernes</w:t>
        </w:r>
        <w:r w:rsidR="00DF521C" w:rsidRPr="009E3DBC">
          <w:rPr>
            <w:rFonts w:ascii="Tahoma" w:hAnsi="Tahoma" w:cs="Tahoma"/>
            <w:iCs/>
            <w:noProof/>
            <w:webHidden/>
            <w:sz w:val="24"/>
          </w:rPr>
          <w:tab/>
        </w:r>
        <w:r w:rsidR="00DF521C" w:rsidRPr="009E3DBC">
          <w:rPr>
            <w:rFonts w:ascii="Tahoma" w:hAnsi="Tahoma" w:cs="Tahoma"/>
            <w:iCs/>
            <w:noProof/>
            <w:webHidden/>
            <w:sz w:val="24"/>
          </w:rPr>
          <w:fldChar w:fldCharType="begin"/>
        </w:r>
        <w:r w:rsidR="00DF521C" w:rsidRPr="009E3DBC">
          <w:rPr>
            <w:rFonts w:ascii="Tahoma" w:hAnsi="Tahoma" w:cs="Tahoma"/>
            <w:iCs/>
            <w:noProof/>
            <w:webHidden/>
            <w:sz w:val="24"/>
          </w:rPr>
          <w:instrText xml:space="preserve"> PAGEREF _Toc203643007 \h </w:instrText>
        </w:r>
        <w:r w:rsidR="00DF521C" w:rsidRPr="009E3DBC">
          <w:rPr>
            <w:rFonts w:ascii="Tahoma" w:hAnsi="Tahoma" w:cs="Tahoma"/>
            <w:iCs/>
            <w:noProof/>
            <w:webHidden/>
            <w:sz w:val="24"/>
          </w:rPr>
        </w:r>
        <w:r w:rsidR="00DF521C" w:rsidRPr="009E3DBC">
          <w:rPr>
            <w:rFonts w:ascii="Tahoma" w:hAnsi="Tahoma" w:cs="Tahoma"/>
            <w:iCs/>
            <w:noProof/>
            <w:webHidden/>
            <w:sz w:val="24"/>
          </w:rPr>
          <w:fldChar w:fldCharType="separate"/>
        </w:r>
        <w:r w:rsidR="00124AFB">
          <w:rPr>
            <w:rFonts w:ascii="Tahoma" w:hAnsi="Tahoma" w:cs="Tahoma"/>
            <w:iCs/>
            <w:noProof/>
            <w:webHidden/>
            <w:sz w:val="24"/>
          </w:rPr>
          <w:t>67</w:t>
        </w:r>
        <w:r w:rsidR="00DF521C" w:rsidRPr="009E3DBC">
          <w:rPr>
            <w:rFonts w:ascii="Tahoma" w:hAnsi="Tahoma" w:cs="Tahoma"/>
            <w:iCs/>
            <w:noProof/>
            <w:webHidden/>
            <w:sz w:val="24"/>
          </w:rPr>
          <w:fldChar w:fldCharType="end"/>
        </w:r>
      </w:hyperlink>
    </w:p>
    <w:p w:rsidR="00DF521C" w:rsidRPr="009E3DBC" w:rsidRDefault="00642CE5" w:rsidP="00B84FD6">
      <w:pPr>
        <w:pStyle w:val="TM3"/>
        <w:tabs>
          <w:tab w:val="left" w:pos="880"/>
          <w:tab w:val="right" w:leader="dot" w:pos="9346"/>
        </w:tabs>
        <w:spacing w:line="360" w:lineRule="auto"/>
        <w:jc w:val="both"/>
        <w:rPr>
          <w:rFonts w:ascii="Tahoma" w:eastAsiaTheme="minorEastAsia" w:hAnsi="Tahoma" w:cs="Tahoma"/>
          <w:i w:val="0"/>
          <w:noProof/>
          <w:sz w:val="24"/>
          <w:lang w:eastAsia="fr-FR"/>
        </w:rPr>
      </w:pPr>
      <w:hyperlink w:anchor="_Toc203643008" w:history="1">
        <w:r w:rsidR="00DF521C" w:rsidRPr="009E3DBC">
          <w:rPr>
            <w:rStyle w:val="Lienhypertexte"/>
            <w:rFonts w:ascii="Tahoma" w:hAnsi="Tahoma" w:cs="Tahoma"/>
            <w:i w:val="0"/>
            <w:noProof/>
            <w:sz w:val="24"/>
            <w14:scene3d>
              <w14:camera w14:prst="orthographicFront"/>
              <w14:lightRig w14:rig="threePt" w14:dir="t">
                <w14:rot w14:lat="0" w14:lon="0" w14:rev="0"/>
              </w14:lightRig>
            </w14:scene3d>
          </w:rPr>
          <w:t>A.</w:t>
        </w:r>
        <w:r w:rsidR="00DF521C" w:rsidRPr="009E3DBC">
          <w:rPr>
            <w:rFonts w:ascii="Tahoma" w:eastAsiaTheme="minorEastAsia" w:hAnsi="Tahoma" w:cs="Tahoma"/>
            <w:i w:val="0"/>
            <w:noProof/>
            <w:sz w:val="24"/>
            <w:lang w:eastAsia="fr-FR"/>
          </w:rPr>
          <w:tab/>
        </w:r>
        <w:r w:rsidR="00DF521C" w:rsidRPr="009E3DBC">
          <w:rPr>
            <w:rStyle w:val="Lienhypertexte"/>
            <w:rFonts w:ascii="Tahoma" w:hAnsi="Tahoma" w:cs="Tahoma"/>
            <w:i w:val="0"/>
            <w:noProof/>
            <w:sz w:val="24"/>
          </w:rPr>
          <w:t>L’AGDAL : un patrimoine socio-écologique et de soutenabilité environnementale et communautaire</w:t>
        </w:r>
        <w:r w:rsidR="00DF521C" w:rsidRPr="009E3DBC">
          <w:rPr>
            <w:rFonts w:ascii="Tahoma" w:hAnsi="Tahoma" w:cs="Tahoma"/>
            <w:i w:val="0"/>
            <w:noProof/>
            <w:webHidden/>
            <w:sz w:val="24"/>
          </w:rPr>
          <w:tab/>
        </w:r>
        <w:r w:rsidR="00DF521C" w:rsidRPr="009E3DBC">
          <w:rPr>
            <w:rFonts w:ascii="Tahoma" w:hAnsi="Tahoma" w:cs="Tahoma"/>
            <w:i w:val="0"/>
            <w:noProof/>
            <w:webHidden/>
            <w:sz w:val="24"/>
          </w:rPr>
          <w:fldChar w:fldCharType="begin"/>
        </w:r>
        <w:r w:rsidR="00DF521C" w:rsidRPr="009E3DBC">
          <w:rPr>
            <w:rFonts w:ascii="Tahoma" w:hAnsi="Tahoma" w:cs="Tahoma"/>
            <w:i w:val="0"/>
            <w:noProof/>
            <w:webHidden/>
            <w:sz w:val="24"/>
          </w:rPr>
          <w:instrText xml:space="preserve"> PAGEREF _Toc203643008 \h </w:instrText>
        </w:r>
        <w:r w:rsidR="00DF521C" w:rsidRPr="009E3DBC">
          <w:rPr>
            <w:rFonts w:ascii="Tahoma" w:hAnsi="Tahoma" w:cs="Tahoma"/>
            <w:i w:val="0"/>
            <w:noProof/>
            <w:webHidden/>
            <w:sz w:val="24"/>
          </w:rPr>
        </w:r>
        <w:r w:rsidR="00DF521C" w:rsidRPr="009E3DBC">
          <w:rPr>
            <w:rFonts w:ascii="Tahoma" w:hAnsi="Tahoma" w:cs="Tahoma"/>
            <w:i w:val="0"/>
            <w:noProof/>
            <w:webHidden/>
            <w:sz w:val="24"/>
          </w:rPr>
          <w:fldChar w:fldCharType="separate"/>
        </w:r>
        <w:r w:rsidR="00124AFB">
          <w:rPr>
            <w:rFonts w:ascii="Tahoma" w:hAnsi="Tahoma" w:cs="Tahoma"/>
            <w:i w:val="0"/>
            <w:noProof/>
            <w:webHidden/>
            <w:sz w:val="24"/>
          </w:rPr>
          <w:t>68</w:t>
        </w:r>
        <w:r w:rsidR="00DF521C" w:rsidRPr="009E3DBC">
          <w:rPr>
            <w:rFonts w:ascii="Tahoma" w:hAnsi="Tahoma" w:cs="Tahoma"/>
            <w:i w:val="0"/>
            <w:noProof/>
            <w:webHidden/>
            <w:sz w:val="24"/>
          </w:rPr>
          <w:fldChar w:fldCharType="end"/>
        </w:r>
      </w:hyperlink>
    </w:p>
    <w:p w:rsidR="00DF521C" w:rsidRPr="009E3DBC" w:rsidRDefault="00642CE5" w:rsidP="00B84FD6">
      <w:pPr>
        <w:pStyle w:val="TM4"/>
        <w:tabs>
          <w:tab w:val="left" w:pos="1100"/>
          <w:tab w:val="right" w:leader="dot" w:pos="9346"/>
        </w:tabs>
        <w:spacing w:line="360" w:lineRule="auto"/>
        <w:jc w:val="both"/>
        <w:rPr>
          <w:rFonts w:ascii="Tahoma" w:eastAsiaTheme="minorEastAsia" w:hAnsi="Tahoma" w:cs="Tahoma"/>
          <w:iCs/>
          <w:noProof/>
          <w:sz w:val="24"/>
          <w:szCs w:val="24"/>
          <w:lang w:eastAsia="fr-FR"/>
        </w:rPr>
      </w:pPr>
      <w:hyperlink w:anchor="_Toc203643009" w:history="1">
        <w:r w:rsidR="00DF521C" w:rsidRPr="009E3DBC">
          <w:rPr>
            <w:rStyle w:val="Lienhypertexte"/>
            <w:rFonts w:ascii="Tahoma" w:hAnsi="Tahoma" w:cs="Tahoma"/>
            <w:iCs/>
            <w:noProof/>
            <w:sz w:val="24"/>
            <w:szCs w:val="24"/>
            <w14:scene3d>
              <w14:camera w14:prst="orthographicFront"/>
              <w14:lightRig w14:rig="threePt" w14:dir="t">
                <w14:rot w14:lat="0" w14:lon="0" w14:rev="0"/>
              </w14:lightRig>
            </w14:scene3d>
          </w:rPr>
          <w:t>1.</w:t>
        </w:r>
        <w:r w:rsidR="00DF521C" w:rsidRPr="009E3DBC">
          <w:rPr>
            <w:rFonts w:ascii="Tahoma" w:eastAsiaTheme="minorEastAsia" w:hAnsi="Tahoma" w:cs="Tahoma"/>
            <w:iCs/>
            <w:noProof/>
            <w:sz w:val="24"/>
            <w:szCs w:val="24"/>
            <w:lang w:eastAsia="fr-FR"/>
          </w:rPr>
          <w:tab/>
        </w:r>
        <w:r w:rsidR="00DF521C" w:rsidRPr="009E3DBC">
          <w:rPr>
            <w:rStyle w:val="Lienhypertexte"/>
            <w:rFonts w:ascii="Tahoma" w:hAnsi="Tahoma" w:cs="Tahoma"/>
            <w:iCs/>
            <w:noProof/>
            <w:sz w:val="24"/>
            <w:szCs w:val="24"/>
          </w:rPr>
          <w:t>Rôle historique de la Jemaâ dans la régulation des ressources forestières</w:t>
        </w:r>
        <w:r w:rsidR="00DF521C" w:rsidRPr="009E3DBC">
          <w:rPr>
            <w:rFonts w:ascii="Tahoma" w:hAnsi="Tahoma" w:cs="Tahoma"/>
            <w:iCs/>
            <w:noProof/>
            <w:webHidden/>
            <w:sz w:val="24"/>
            <w:szCs w:val="24"/>
          </w:rPr>
          <w:tab/>
        </w:r>
        <w:r w:rsidR="00DF521C" w:rsidRPr="009E3DBC">
          <w:rPr>
            <w:rFonts w:ascii="Tahoma" w:hAnsi="Tahoma" w:cs="Tahoma"/>
            <w:iCs/>
            <w:noProof/>
            <w:webHidden/>
            <w:sz w:val="24"/>
            <w:szCs w:val="24"/>
          </w:rPr>
          <w:fldChar w:fldCharType="begin"/>
        </w:r>
        <w:r w:rsidR="00DF521C" w:rsidRPr="009E3DBC">
          <w:rPr>
            <w:rFonts w:ascii="Tahoma" w:hAnsi="Tahoma" w:cs="Tahoma"/>
            <w:iCs/>
            <w:noProof/>
            <w:webHidden/>
            <w:sz w:val="24"/>
            <w:szCs w:val="24"/>
          </w:rPr>
          <w:instrText xml:space="preserve"> PAGEREF _Toc203643009 \h </w:instrText>
        </w:r>
        <w:r w:rsidR="00DF521C" w:rsidRPr="009E3DBC">
          <w:rPr>
            <w:rFonts w:ascii="Tahoma" w:hAnsi="Tahoma" w:cs="Tahoma"/>
            <w:iCs/>
            <w:noProof/>
            <w:webHidden/>
            <w:sz w:val="24"/>
            <w:szCs w:val="24"/>
          </w:rPr>
        </w:r>
        <w:r w:rsidR="00DF521C" w:rsidRPr="009E3DBC">
          <w:rPr>
            <w:rFonts w:ascii="Tahoma" w:hAnsi="Tahoma" w:cs="Tahoma"/>
            <w:iCs/>
            <w:noProof/>
            <w:webHidden/>
            <w:sz w:val="24"/>
            <w:szCs w:val="24"/>
          </w:rPr>
          <w:fldChar w:fldCharType="separate"/>
        </w:r>
        <w:r w:rsidR="00124AFB">
          <w:rPr>
            <w:rFonts w:ascii="Tahoma" w:hAnsi="Tahoma" w:cs="Tahoma"/>
            <w:iCs/>
            <w:noProof/>
            <w:webHidden/>
            <w:sz w:val="24"/>
            <w:szCs w:val="24"/>
          </w:rPr>
          <w:t>69</w:t>
        </w:r>
        <w:r w:rsidR="00DF521C" w:rsidRPr="009E3DBC">
          <w:rPr>
            <w:rFonts w:ascii="Tahoma" w:hAnsi="Tahoma" w:cs="Tahoma"/>
            <w:iCs/>
            <w:noProof/>
            <w:webHidden/>
            <w:sz w:val="24"/>
            <w:szCs w:val="24"/>
          </w:rPr>
          <w:fldChar w:fldCharType="end"/>
        </w:r>
      </w:hyperlink>
    </w:p>
    <w:p w:rsidR="00DF521C" w:rsidRPr="009E3DBC" w:rsidRDefault="00642CE5" w:rsidP="00B84FD6">
      <w:pPr>
        <w:pStyle w:val="TM4"/>
        <w:tabs>
          <w:tab w:val="left" w:pos="1100"/>
          <w:tab w:val="right" w:leader="dot" w:pos="9346"/>
        </w:tabs>
        <w:spacing w:line="360" w:lineRule="auto"/>
        <w:jc w:val="both"/>
        <w:rPr>
          <w:rFonts w:ascii="Tahoma" w:eastAsiaTheme="minorEastAsia" w:hAnsi="Tahoma" w:cs="Tahoma"/>
          <w:iCs/>
          <w:noProof/>
          <w:sz w:val="24"/>
          <w:szCs w:val="24"/>
          <w:lang w:eastAsia="fr-FR"/>
        </w:rPr>
      </w:pPr>
      <w:hyperlink w:anchor="_Toc203643010" w:history="1">
        <w:r w:rsidR="00DF521C" w:rsidRPr="009E3DBC">
          <w:rPr>
            <w:rStyle w:val="Lienhypertexte"/>
            <w:rFonts w:ascii="Tahoma" w:hAnsi="Tahoma" w:cs="Tahoma"/>
            <w:iCs/>
            <w:noProof/>
            <w:sz w:val="24"/>
            <w:szCs w:val="24"/>
            <w14:scene3d>
              <w14:camera w14:prst="orthographicFront"/>
              <w14:lightRig w14:rig="threePt" w14:dir="t">
                <w14:rot w14:lat="0" w14:lon="0" w14:rev="0"/>
              </w14:lightRig>
            </w14:scene3d>
          </w:rPr>
          <w:t>2.</w:t>
        </w:r>
        <w:r w:rsidR="00DF521C" w:rsidRPr="009E3DBC">
          <w:rPr>
            <w:rFonts w:ascii="Tahoma" w:eastAsiaTheme="minorEastAsia" w:hAnsi="Tahoma" w:cs="Tahoma"/>
            <w:iCs/>
            <w:noProof/>
            <w:sz w:val="24"/>
            <w:szCs w:val="24"/>
            <w:lang w:eastAsia="fr-FR"/>
          </w:rPr>
          <w:tab/>
        </w:r>
        <w:r w:rsidR="00DF521C" w:rsidRPr="009E3DBC">
          <w:rPr>
            <w:rStyle w:val="Lienhypertexte"/>
            <w:rFonts w:ascii="Tahoma" w:hAnsi="Tahoma" w:cs="Tahoma"/>
            <w:iCs/>
            <w:noProof/>
            <w:sz w:val="24"/>
            <w:szCs w:val="24"/>
          </w:rPr>
          <w:t>Gestion des forêts de la vallée des Ayt Bouguemmez : entre AGDAL traditionnel et politique publique</w:t>
        </w:r>
        <w:r w:rsidR="00DF521C" w:rsidRPr="009E3DBC">
          <w:rPr>
            <w:rFonts w:ascii="Tahoma" w:hAnsi="Tahoma" w:cs="Tahoma"/>
            <w:iCs/>
            <w:noProof/>
            <w:webHidden/>
            <w:sz w:val="24"/>
            <w:szCs w:val="24"/>
          </w:rPr>
          <w:tab/>
        </w:r>
        <w:r w:rsidR="00DF521C" w:rsidRPr="009E3DBC">
          <w:rPr>
            <w:rFonts w:ascii="Tahoma" w:hAnsi="Tahoma" w:cs="Tahoma"/>
            <w:iCs/>
            <w:noProof/>
            <w:webHidden/>
            <w:sz w:val="24"/>
            <w:szCs w:val="24"/>
          </w:rPr>
          <w:fldChar w:fldCharType="begin"/>
        </w:r>
        <w:r w:rsidR="00DF521C" w:rsidRPr="009E3DBC">
          <w:rPr>
            <w:rFonts w:ascii="Tahoma" w:hAnsi="Tahoma" w:cs="Tahoma"/>
            <w:iCs/>
            <w:noProof/>
            <w:webHidden/>
            <w:sz w:val="24"/>
            <w:szCs w:val="24"/>
          </w:rPr>
          <w:instrText xml:space="preserve"> PAGEREF _Toc203643010 \h </w:instrText>
        </w:r>
        <w:r w:rsidR="00DF521C" w:rsidRPr="009E3DBC">
          <w:rPr>
            <w:rFonts w:ascii="Tahoma" w:hAnsi="Tahoma" w:cs="Tahoma"/>
            <w:iCs/>
            <w:noProof/>
            <w:webHidden/>
            <w:sz w:val="24"/>
            <w:szCs w:val="24"/>
          </w:rPr>
        </w:r>
        <w:r w:rsidR="00DF521C" w:rsidRPr="009E3DBC">
          <w:rPr>
            <w:rFonts w:ascii="Tahoma" w:hAnsi="Tahoma" w:cs="Tahoma"/>
            <w:iCs/>
            <w:noProof/>
            <w:webHidden/>
            <w:sz w:val="24"/>
            <w:szCs w:val="24"/>
          </w:rPr>
          <w:fldChar w:fldCharType="separate"/>
        </w:r>
        <w:r w:rsidR="00124AFB">
          <w:rPr>
            <w:rFonts w:ascii="Tahoma" w:hAnsi="Tahoma" w:cs="Tahoma"/>
            <w:iCs/>
            <w:noProof/>
            <w:webHidden/>
            <w:sz w:val="24"/>
            <w:szCs w:val="24"/>
          </w:rPr>
          <w:t>76</w:t>
        </w:r>
        <w:r w:rsidR="00DF521C" w:rsidRPr="009E3DBC">
          <w:rPr>
            <w:rFonts w:ascii="Tahoma" w:hAnsi="Tahoma" w:cs="Tahoma"/>
            <w:iCs/>
            <w:noProof/>
            <w:webHidden/>
            <w:sz w:val="24"/>
            <w:szCs w:val="24"/>
          </w:rPr>
          <w:fldChar w:fldCharType="end"/>
        </w:r>
      </w:hyperlink>
    </w:p>
    <w:p w:rsidR="00DF521C" w:rsidRPr="009E3DBC" w:rsidRDefault="00642CE5" w:rsidP="00B84FD6">
      <w:pPr>
        <w:pStyle w:val="TM3"/>
        <w:tabs>
          <w:tab w:val="left" w:pos="880"/>
          <w:tab w:val="right" w:leader="dot" w:pos="9346"/>
        </w:tabs>
        <w:spacing w:line="360" w:lineRule="auto"/>
        <w:jc w:val="both"/>
        <w:rPr>
          <w:rFonts w:ascii="Tahoma" w:eastAsiaTheme="minorEastAsia" w:hAnsi="Tahoma" w:cs="Tahoma"/>
          <w:i w:val="0"/>
          <w:noProof/>
          <w:sz w:val="24"/>
          <w:lang w:eastAsia="fr-FR"/>
        </w:rPr>
      </w:pPr>
      <w:hyperlink w:anchor="_Toc203643011" w:history="1">
        <w:r w:rsidR="00DF521C" w:rsidRPr="009E3DBC">
          <w:rPr>
            <w:rStyle w:val="Lienhypertexte"/>
            <w:rFonts w:ascii="Tahoma" w:hAnsi="Tahoma" w:cs="Tahoma"/>
            <w:i w:val="0"/>
            <w:noProof/>
            <w:sz w:val="24"/>
            <w14:scene3d>
              <w14:camera w14:prst="orthographicFront"/>
              <w14:lightRig w14:rig="threePt" w14:dir="t">
                <w14:rot w14:lat="0" w14:lon="0" w14:rev="0"/>
              </w14:lightRig>
            </w14:scene3d>
          </w:rPr>
          <w:t>B.</w:t>
        </w:r>
        <w:r w:rsidR="00DF521C" w:rsidRPr="009E3DBC">
          <w:rPr>
            <w:rFonts w:ascii="Tahoma" w:eastAsiaTheme="minorEastAsia" w:hAnsi="Tahoma" w:cs="Tahoma"/>
            <w:i w:val="0"/>
            <w:noProof/>
            <w:sz w:val="24"/>
            <w:lang w:eastAsia="fr-FR"/>
          </w:rPr>
          <w:tab/>
        </w:r>
        <w:r w:rsidR="00DF521C" w:rsidRPr="009E3DBC">
          <w:rPr>
            <w:rStyle w:val="Lienhypertexte"/>
            <w:rFonts w:ascii="Tahoma" w:hAnsi="Tahoma" w:cs="Tahoma"/>
            <w:i w:val="0"/>
            <w:noProof/>
            <w:sz w:val="24"/>
          </w:rPr>
          <w:t>Nouveau cadre stratégique pour l'action publique Forestière</w:t>
        </w:r>
        <w:r w:rsidR="00DF521C" w:rsidRPr="009E3DBC">
          <w:rPr>
            <w:rFonts w:ascii="Tahoma" w:hAnsi="Tahoma" w:cs="Tahoma"/>
            <w:i w:val="0"/>
            <w:noProof/>
            <w:webHidden/>
            <w:sz w:val="24"/>
          </w:rPr>
          <w:tab/>
        </w:r>
        <w:r w:rsidR="00DF521C" w:rsidRPr="009E3DBC">
          <w:rPr>
            <w:rFonts w:ascii="Tahoma" w:hAnsi="Tahoma" w:cs="Tahoma"/>
            <w:i w:val="0"/>
            <w:noProof/>
            <w:webHidden/>
            <w:sz w:val="24"/>
          </w:rPr>
          <w:fldChar w:fldCharType="begin"/>
        </w:r>
        <w:r w:rsidR="00DF521C" w:rsidRPr="009E3DBC">
          <w:rPr>
            <w:rFonts w:ascii="Tahoma" w:hAnsi="Tahoma" w:cs="Tahoma"/>
            <w:i w:val="0"/>
            <w:noProof/>
            <w:webHidden/>
            <w:sz w:val="24"/>
          </w:rPr>
          <w:instrText xml:space="preserve"> PAGEREF _Toc203643011 \h </w:instrText>
        </w:r>
        <w:r w:rsidR="00DF521C" w:rsidRPr="009E3DBC">
          <w:rPr>
            <w:rFonts w:ascii="Tahoma" w:hAnsi="Tahoma" w:cs="Tahoma"/>
            <w:i w:val="0"/>
            <w:noProof/>
            <w:webHidden/>
            <w:sz w:val="24"/>
          </w:rPr>
        </w:r>
        <w:r w:rsidR="00DF521C" w:rsidRPr="009E3DBC">
          <w:rPr>
            <w:rFonts w:ascii="Tahoma" w:hAnsi="Tahoma" w:cs="Tahoma"/>
            <w:i w:val="0"/>
            <w:noProof/>
            <w:webHidden/>
            <w:sz w:val="24"/>
          </w:rPr>
          <w:fldChar w:fldCharType="separate"/>
        </w:r>
        <w:r w:rsidR="00124AFB">
          <w:rPr>
            <w:rFonts w:ascii="Tahoma" w:hAnsi="Tahoma" w:cs="Tahoma"/>
            <w:i w:val="0"/>
            <w:noProof/>
            <w:webHidden/>
            <w:sz w:val="24"/>
          </w:rPr>
          <w:t>88</w:t>
        </w:r>
        <w:r w:rsidR="00DF521C" w:rsidRPr="009E3DBC">
          <w:rPr>
            <w:rFonts w:ascii="Tahoma" w:hAnsi="Tahoma" w:cs="Tahoma"/>
            <w:i w:val="0"/>
            <w:noProof/>
            <w:webHidden/>
            <w:sz w:val="24"/>
          </w:rPr>
          <w:fldChar w:fldCharType="end"/>
        </w:r>
      </w:hyperlink>
    </w:p>
    <w:p w:rsidR="00DF521C" w:rsidRPr="009E3DBC" w:rsidRDefault="00642CE5" w:rsidP="00B84FD6">
      <w:pPr>
        <w:pStyle w:val="TM4"/>
        <w:tabs>
          <w:tab w:val="left" w:pos="1100"/>
          <w:tab w:val="right" w:leader="dot" w:pos="9346"/>
        </w:tabs>
        <w:spacing w:line="360" w:lineRule="auto"/>
        <w:jc w:val="both"/>
        <w:rPr>
          <w:rFonts w:ascii="Tahoma" w:eastAsiaTheme="minorEastAsia" w:hAnsi="Tahoma" w:cs="Tahoma"/>
          <w:iCs/>
          <w:noProof/>
          <w:sz w:val="24"/>
          <w:szCs w:val="24"/>
          <w:lang w:eastAsia="fr-FR"/>
        </w:rPr>
      </w:pPr>
      <w:hyperlink w:anchor="_Toc203643012" w:history="1">
        <w:r w:rsidR="00DF521C" w:rsidRPr="009E3DBC">
          <w:rPr>
            <w:rStyle w:val="Lienhypertexte"/>
            <w:rFonts w:ascii="Tahoma" w:hAnsi="Tahoma" w:cs="Tahoma"/>
            <w:iCs/>
            <w:noProof/>
            <w:sz w:val="24"/>
            <w:szCs w:val="24"/>
            <w14:scene3d>
              <w14:camera w14:prst="orthographicFront"/>
              <w14:lightRig w14:rig="threePt" w14:dir="t">
                <w14:rot w14:lat="0" w14:lon="0" w14:rev="0"/>
              </w14:lightRig>
            </w14:scene3d>
          </w:rPr>
          <w:t>1.</w:t>
        </w:r>
        <w:r w:rsidR="00DF521C" w:rsidRPr="009E3DBC">
          <w:rPr>
            <w:rFonts w:ascii="Tahoma" w:eastAsiaTheme="minorEastAsia" w:hAnsi="Tahoma" w:cs="Tahoma"/>
            <w:iCs/>
            <w:noProof/>
            <w:sz w:val="24"/>
            <w:szCs w:val="24"/>
            <w:lang w:eastAsia="fr-FR"/>
          </w:rPr>
          <w:tab/>
        </w:r>
        <w:r w:rsidR="00DF521C" w:rsidRPr="009E3DBC">
          <w:rPr>
            <w:rStyle w:val="Lienhypertexte"/>
            <w:rFonts w:ascii="Tahoma" w:hAnsi="Tahoma" w:cs="Tahoma"/>
            <w:iCs/>
            <w:noProof/>
            <w:sz w:val="24"/>
            <w:szCs w:val="24"/>
          </w:rPr>
          <w:t>Programme Forestier National : outil stratégique de l’action publique</w:t>
        </w:r>
        <w:r w:rsidR="00DF521C" w:rsidRPr="009E3DBC">
          <w:rPr>
            <w:rFonts w:ascii="Tahoma" w:hAnsi="Tahoma" w:cs="Tahoma"/>
            <w:iCs/>
            <w:noProof/>
            <w:webHidden/>
            <w:sz w:val="24"/>
            <w:szCs w:val="24"/>
          </w:rPr>
          <w:tab/>
        </w:r>
        <w:r w:rsidR="00DF521C" w:rsidRPr="009E3DBC">
          <w:rPr>
            <w:rFonts w:ascii="Tahoma" w:hAnsi="Tahoma" w:cs="Tahoma"/>
            <w:iCs/>
            <w:noProof/>
            <w:webHidden/>
            <w:sz w:val="24"/>
            <w:szCs w:val="24"/>
          </w:rPr>
          <w:fldChar w:fldCharType="begin"/>
        </w:r>
        <w:r w:rsidR="00DF521C" w:rsidRPr="009E3DBC">
          <w:rPr>
            <w:rFonts w:ascii="Tahoma" w:hAnsi="Tahoma" w:cs="Tahoma"/>
            <w:iCs/>
            <w:noProof/>
            <w:webHidden/>
            <w:sz w:val="24"/>
            <w:szCs w:val="24"/>
          </w:rPr>
          <w:instrText xml:space="preserve"> PAGEREF _Toc203643012 \h </w:instrText>
        </w:r>
        <w:r w:rsidR="00DF521C" w:rsidRPr="009E3DBC">
          <w:rPr>
            <w:rFonts w:ascii="Tahoma" w:hAnsi="Tahoma" w:cs="Tahoma"/>
            <w:iCs/>
            <w:noProof/>
            <w:webHidden/>
            <w:sz w:val="24"/>
            <w:szCs w:val="24"/>
          </w:rPr>
        </w:r>
        <w:r w:rsidR="00DF521C" w:rsidRPr="009E3DBC">
          <w:rPr>
            <w:rFonts w:ascii="Tahoma" w:hAnsi="Tahoma" w:cs="Tahoma"/>
            <w:iCs/>
            <w:noProof/>
            <w:webHidden/>
            <w:sz w:val="24"/>
            <w:szCs w:val="24"/>
          </w:rPr>
          <w:fldChar w:fldCharType="separate"/>
        </w:r>
        <w:r w:rsidR="00124AFB">
          <w:rPr>
            <w:rFonts w:ascii="Tahoma" w:hAnsi="Tahoma" w:cs="Tahoma"/>
            <w:iCs/>
            <w:noProof/>
            <w:webHidden/>
            <w:sz w:val="24"/>
            <w:szCs w:val="24"/>
          </w:rPr>
          <w:t>88</w:t>
        </w:r>
        <w:r w:rsidR="00DF521C" w:rsidRPr="009E3DBC">
          <w:rPr>
            <w:rFonts w:ascii="Tahoma" w:hAnsi="Tahoma" w:cs="Tahoma"/>
            <w:iCs/>
            <w:noProof/>
            <w:webHidden/>
            <w:sz w:val="24"/>
            <w:szCs w:val="24"/>
          </w:rPr>
          <w:fldChar w:fldCharType="end"/>
        </w:r>
      </w:hyperlink>
    </w:p>
    <w:p w:rsidR="00DF521C" w:rsidRPr="009E3DBC" w:rsidRDefault="00642CE5" w:rsidP="00B84FD6">
      <w:pPr>
        <w:pStyle w:val="TM4"/>
        <w:tabs>
          <w:tab w:val="left" w:pos="1100"/>
          <w:tab w:val="right" w:leader="dot" w:pos="9346"/>
        </w:tabs>
        <w:spacing w:line="360" w:lineRule="auto"/>
        <w:jc w:val="both"/>
        <w:rPr>
          <w:rFonts w:ascii="Tahoma" w:eastAsiaTheme="minorEastAsia" w:hAnsi="Tahoma" w:cs="Tahoma"/>
          <w:iCs/>
          <w:noProof/>
          <w:sz w:val="24"/>
          <w:szCs w:val="24"/>
          <w:lang w:eastAsia="fr-FR"/>
        </w:rPr>
      </w:pPr>
      <w:hyperlink w:anchor="_Toc203643013" w:history="1">
        <w:r w:rsidR="00DF521C" w:rsidRPr="009E3DBC">
          <w:rPr>
            <w:rStyle w:val="Lienhypertexte"/>
            <w:rFonts w:ascii="Tahoma" w:hAnsi="Tahoma" w:cs="Tahoma"/>
            <w:iCs/>
            <w:noProof/>
            <w:sz w:val="24"/>
            <w:szCs w:val="24"/>
            <w14:scene3d>
              <w14:camera w14:prst="orthographicFront"/>
              <w14:lightRig w14:rig="threePt" w14:dir="t">
                <w14:rot w14:lat="0" w14:lon="0" w14:rev="0"/>
              </w14:lightRig>
            </w14:scene3d>
          </w:rPr>
          <w:t>2.</w:t>
        </w:r>
        <w:r w:rsidR="00DF521C" w:rsidRPr="009E3DBC">
          <w:rPr>
            <w:rFonts w:ascii="Tahoma" w:eastAsiaTheme="minorEastAsia" w:hAnsi="Tahoma" w:cs="Tahoma"/>
            <w:iCs/>
            <w:noProof/>
            <w:sz w:val="24"/>
            <w:szCs w:val="24"/>
            <w:lang w:eastAsia="fr-FR"/>
          </w:rPr>
          <w:tab/>
        </w:r>
        <w:r w:rsidR="00DF521C" w:rsidRPr="009E3DBC">
          <w:rPr>
            <w:rStyle w:val="Lienhypertexte"/>
            <w:rFonts w:ascii="Tahoma" w:hAnsi="Tahoma" w:cs="Tahoma"/>
            <w:iCs/>
            <w:noProof/>
            <w:sz w:val="24"/>
            <w:szCs w:val="24"/>
          </w:rPr>
          <w:t>Programmation décennale à la nouvelle stratégie « Forêts du Maroc 2020-2030 »</w:t>
        </w:r>
        <w:r w:rsidR="00DF521C" w:rsidRPr="009E3DBC">
          <w:rPr>
            <w:rFonts w:ascii="Tahoma" w:hAnsi="Tahoma" w:cs="Tahoma"/>
            <w:iCs/>
            <w:noProof/>
            <w:webHidden/>
            <w:sz w:val="24"/>
            <w:szCs w:val="24"/>
          </w:rPr>
          <w:tab/>
        </w:r>
        <w:r w:rsidR="00DF521C" w:rsidRPr="009E3DBC">
          <w:rPr>
            <w:rFonts w:ascii="Tahoma" w:hAnsi="Tahoma" w:cs="Tahoma"/>
            <w:iCs/>
            <w:noProof/>
            <w:webHidden/>
            <w:sz w:val="24"/>
            <w:szCs w:val="24"/>
          </w:rPr>
          <w:fldChar w:fldCharType="begin"/>
        </w:r>
        <w:r w:rsidR="00DF521C" w:rsidRPr="009E3DBC">
          <w:rPr>
            <w:rFonts w:ascii="Tahoma" w:hAnsi="Tahoma" w:cs="Tahoma"/>
            <w:iCs/>
            <w:noProof/>
            <w:webHidden/>
            <w:sz w:val="24"/>
            <w:szCs w:val="24"/>
          </w:rPr>
          <w:instrText xml:space="preserve"> PAGEREF _Toc203643013 \h </w:instrText>
        </w:r>
        <w:r w:rsidR="00DF521C" w:rsidRPr="009E3DBC">
          <w:rPr>
            <w:rFonts w:ascii="Tahoma" w:hAnsi="Tahoma" w:cs="Tahoma"/>
            <w:iCs/>
            <w:noProof/>
            <w:webHidden/>
            <w:sz w:val="24"/>
            <w:szCs w:val="24"/>
          </w:rPr>
        </w:r>
        <w:r w:rsidR="00DF521C" w:rsidRPr="009E3DBC">
          <w:rPr>
            <w:rFonts w:ascii="Tahoma" w:hAnsi="Tahoma" w:cs="Tahoma"/>
            <w:iCs/>
            <w:noProof/>
            <w:webHidden/>
            <w:sz w:val="24"/>
            <w:szCs w:val="24"/>
          </w:rPr>
          <w:fldChar w:fldCharType="separate"/>
        </w:r>
        <w:r w:rsidR="00124AFB">
          <w:rPr>
            <w:rFonts w:ascii="Tahoma" w:hAnsi="Tahoma" w:cs="Tahoma"/>
            <w:iCs/>
            <w:noProof/>
            <w:webHidden/>
            <w:sz w:val="24"/>
            <w:szCs w:val="24"/>
          </w:rPr>
          <w:t>94</w:t>
        </w:r>
        <w:r w:rsidR="00DF521C" w:rsidRPr="009E3DBC">
          <w:rPr>
            <w:rFonts w:ascii="Tahoma" w:hAnsi="Tahoma" w:cs="Tahoma"/>
            <w:iCs/>
            <w:noProof/>
            <w:webHidden/>
            <w:sz w:val="24"/>
            <w:szCs w:val="24"/>
          </w:rPr>
          <w:fldChar w:fldCharType="end"/>
        </w:r>
      </w:hyperlink>
    </w:p>
    <w:p w:rsidR="00DF521C" w:rsidRPr="009E3DBC" w:rsidRDefault="00642CE5" w:rsidP="00B84FD6">
      <w:pPr>
        <w:pStyle w:val="TM2"/>
        <w:tabs>
          <w:tab w:val="right" w:leader="dot" w:pos="9346"/>
        </w:tabs>
        <w:spacing w:line="360" w:lineRule="auto"/>
        <w:jc w:val="both"/>
        <w:rPr>
          <w:rFonts w:ascii="Tahoma" w:eastAsiaTheme="minorEastAsia" w:hAnsi="Tahoma" w:cs="Tahoma"/>
          <w:iCs/>
          <w:smallCaps w:val="0"/>
          <w:noProof/>
          <w:sz w:val="24"/>
          <w:lang w:eastAsia="fr-FR"/>
        </w:rPr>
      </w:pPr>
      <w:hyperlink w:anchor="_Toc203643014" w:history="1">
        <w:r w:rsidR="00DF521C" w:rsidRPr="009E3DBC">
          <w:rPr>
            <w:rStyle w:val="Lienhypertexte"/>
            <w:rFonts w:ascii="Tahoma" w:hAnsi="Tahoma" w:cs="Tahoma"/>
            <w:iCs/>
            <w:noProof/>
            <w:sz w:val="24"/>
          </w:rPr>
          <w:t>Deuxième section : Evolution de l’administration forestière et formation des ingénieurs forestiers</w:t>
        </w:r>
        <w:r w:rsidR="00DF521C" w:rsidRPr="009E3DBC">
          <w:rPr>
            <w:rFonts w:ascii="Tahoma" w:hAnsi="Tahoma" w:cs="Tahoma"/>
            <w:iCs/>
            <w:noProof/>
            <w:webHidden/>
            <w:sz w:val="24"/>
          </w:rPr>
          <w:tab/>
        </w:r>
        <w:r w:rsidR="00DF521C" w:rsidRPr="009E3DBC">
          <w:rPr>
            <w:rFonts w:ascii="Tahoma" w:hAnsi="Tahoma" w:cs="Tahoma"/>
            <w:iCs/>
            <w:noProof/>
            <w:webHidden/>
            <w:sz w:val="24"/>
          </w:rPr>
          <w:fldChar w:fldCharType="begin"/>
        </w:r>
        <w:r w:rsidR="00DF521C" w:rsidRPr="009E3DBC">
          <w:rPr>
            <w:rFonts w:ascii="Tahoma" w:hAnsi="Tahoma" w:cs="Tahoma"/>
            <w:iCs/>
            <w:noProof/>
            <w:webHidden/>
            <w:sz w:val="24"/>
          </w:rPr>
          <w:instrText xml:space="preserve"> PAGEREF _Toc203643014 \h </w:instrText>
        </w:r>
        <w:r w:rsidR="00DF521C" w:rsidRPr="009E3DBC">
          <w:rPr>
            <w:rFonts w:ascii="Tahoma" w:hAnsi="Tahoma" w:cs="Tahoma"/>
            <w:iCs/>
            <w:noProof/>
            <w:webHidden/>
            <w:sz w:val="24"/>
          </w:rPr>
        </w:r>
        <w:r w:rsidR="00DF521C" w:rsidRPr="009E3DBC">
          <w:rPr>
            <w:rFonts w:ascii="Tahoma" w:hAnsi="Tahoma" w:cs="Tahoma"/>
            <w:iCs/>
            <w:noProof/>
            <w:webHidden/>
            <w:sz w:val="24"/>
          </w:rPr>
          <w:fldChar w:fldCharType="separate"/>
        </w:r>
        <w:r w:rsidR="00124AFB">
          <w:rPr>
            <w:rFonts w:ascii="Tahoma" w:hAnsi="Tahoma" w:cs="Tahoma"/>
            <w:iCs/>
            <w:noProof/>
            <w:webHidden/>
            <w:sz w:val="24"/>
          </w:rPr>
          <w:t>105</w:t>
        </w:r>
        <w:r w:rsidR="00DF521C" w:rsidRPr="009E3DBC">
          <w:rPr>
            <w:rFonts w:ascii="Tahoma" w:hAnsi="Tahoma" w:cs="Tahoma"/>
            <w:iCs/>
            <w:noProof/>
            <w:webHidden/>
            <w:sz w:val="24"/>
          </w:rPr>
          <w:fldChar w:fldCharType="end"/>
        </w:r>
      </w:hyperlink>
    </w:p>
    <w:p w:rsidR="00DF521C" w:rsidRPr="009E3DBC" w:rsidRDefault="00642CE5" w:rsidP="00B84FD6">
      <w:pPr>
        <w:pStyle w:val="TM3"/>
        <w:tabs>
          <w:tab w:val="left" w:pos="880"/>
          <w:tab w:val="right" w:leader="dot" w:pos="9346"/>
        </w:tabs>
        <w:spacing w:line="360" w:lineRule="auto"/>
        <w:jc w:val="both"/>
        <w:rPr>
          <w:rFonts w:ascii="Tahoma" w:eastAsiaTheme="minorEastAsia" w:hAnsi="Tahoma" w:cs="Tahoma"/>
          <w:i w:val="0"/>
          <w:noProof/>
          <w:sz w:val="24"/>
          <w:lang w:eastAsia="fr-FR"/>
        </w:rPr>
      </w:pPr>
      <w:hyperlink w:anchor="_Toc203643015" w:history="1">
        <w:r w:rsidR="00DF521C" w:rsidRPr="009E3DBC">
          <w:rPr>
            <w:rStyle w:val="Lienhypertexte"/>
            <w:rFonts w:ascii="Tahoma" w:hAnsi="Tahoma" w:cs="Tahoma"/>
            <w:i w:val="0"/>
            <w:noProof/>
            <w:sz w:val="24"/>
            <w14:scene3d>
              <w14:camera w14:prst="orthographicFront"/>
              <w14:lightRig w14:rig="threePt" w14:dir="t">
                <w14:rot w14:lat="0" w14:lon="0" w14:rev="0"/>
              </w14:lightRig>
            </w14:scene3d>
          </w:rPr>
          <w:t>A.</w:t>
        </w:r>
        <w:r w:rsidR="00DF521C" w:rsidRPr="009E3DBC">
          <w:rPr>
            <w:rFonts w:ascii="Tahoma" w:eastAsiaTheme="minorEastAsia" w:hAnsi="Tahoma" w:cs="Tahoma"/>
            <w:i w:val="0"/>
            <w:noProof/>
            <w:sz w:val="24"/>
            <w:lang w:eastAsia="fr-FR"/>
          </w:rPr>
          <w:tab/>
        </w:r>
        <w:r w:rsidR="00DF521C" w:rsidRPr="009E3DBC">
          <w:rPr>
            <w:rStyle w:val="Lienhypertexte"/>
            <w:rFonts w:ascii="Tahoma" w:hAnsi="Tahoma" w:cs="Tahoma"/>
            <w:i w:val="0"/>
            <w:noProof/>
            <w:sz w:val="24"/>
          </w:rPr>
          <w:t>Evolution</w:t>
        </w:r>
        <w:r w:rsidR="00DF521C" w:rsidRPr="009E3DBC">
          <w:rPr>
            <w:rStyle w:val="Lienhypertexte"/>
            <w:rFonts w:ascii="Tahoma" w:hAnsi="Tahoma" w:cs="Tahoma"/>
            <w:i w:val="0"/>
            <w:noProof/>
            <w:spacing w:val="-2"/>
            <w:sz w:val="24"/>
          </w:rPr>
          <w:t xml:space="preserve"> </w:t>
        </w:r>
        <w:r w:rsidR="00DF521C" w:rsidRPr="009E3DBC">
          <w:rPr>
            <w:rStyle w:val="Lienhypertexte"/>
            <w:rFonts w:ascii="Tahoma" w:hAnsi="Tahoma" w:cs="Tahoma"/>
            <w:i w:val="0"/>
            <w:noProof/>
            <w:sz w:val="24"/>
          </w:rPr>
          <w:t>historique</w:t>
        </w:r>
        <w:r w:rsidR="00DF521C" w:rsidRPr="009E3DBC">
          <w:rPr>
            <w:rStyle w:val="Lienhypertexte"/>
            <w:rFonts w:ascii="Tahoma" w:hAnsi="Tahoma" w:cs="Tahoma"/>
            <w:i w:val="0"/>
            <w:noProof/>
            <w:spacing w:val="-1"/>
            <w:sz w:val="24"/>
          </w:rPr>
          <w:t xml:space="preserve"> </w:t>
        </w:r>
        <w:r w:rsidR="00DF521C" w:rsidRPr="009E3DBC">
          <w:rPr>
            <w:rStyle w:val="Lienhypertexte"/>
            <w:rFonts w:ascii="Tahoma" w:hAnsi="Tahoma" w:cs="Tahoma"/>
            <w:i w:val="0"/>
            <w:noProof/>
            <w:sz w:val="24"/>
          </w:rPr>
          <w:t>institutionnelle</w:t>
        </w:r>
        <w:r w:rsidR="00DF521C" w:rsidRPr="009E3DBC">
          <w:rPr>
            <w:rStyle w:val="Lienhypertexte"/>
            <w:rFonts w:ascii="Tahoma" w:hAnsi="Tahoma" w:cs="Tahoma"/>
            <w:i w:val="0"/>
            <w:noProof/>
            <w:spacing w:val="-1"/>
            <w:sz w:val="24"/>
          </w:rPr>
          <w:t xml:space="preserve"> </w:t>
        </w:r>
        <w:r w:rsidR="00DF521C" w:rsidRPr="009E3DBC">
          <w:rPr>
            <w:rStyle w:val="Lienhypertexte"/>
            <w:rFonts w:ascii="Tahoma" w:hAnsi="Tahoma" w:cs="Tahoma"/>
            <w:i w:val="0"/>
            <w:noProof/>
            <w:sz w:val="24"/>
          </w:rPr>
          <w:t>de</w:t>
        </w:r>
        <w:r w:rsidR="00DF521C" w:rsidRPr="009E3DBC">
          <w:rPr>
            <w:rStyle w:val="Lienhypertexte"/>
            <w:rFonts w:ascii="Tahoma" w:hAnsi="Tahoma" w:cs="Tahoma"/>
            <w:i w:val="0"/>
            <w:noProof/>
            <w:spacing w:val="-1"/>
            <w:sz w:val="24"/>
          </w:rPr>
          <w:t xml:space="preserve">     </w:t>
        </w:r>
        <w:r w:rsidR="00DF521C" w:rsidRPr="009E3DBC">
          <w:rPr>
            <w:rStyle w:val="Lienhypertexte"/>
            <w:rFonts w:ascii="Tahoma" w:hAnsi="Tahoma" w:cs="Tahoma"/>
            <w:i w:val="0"/>
            <w:noProof/>
            <w:sz w:val="24"/>
          </w:rPr>
          <w:t>l’administration</w:t>
        </w:r>
        <w:r w:rsidR="00DF521C" w:rsidRPr="009E3DBC">
          <w:rPr>
            <w:rStyle w:val="Lienhypertexte"/>
            <w:rFonts w:ascii="Tahoma" w:hAnsi="Tahoma" w:cs="Tahoma"/>
            <w:i w:val="0"/>
            <w:noProof/>
            <w:spacing w:val="-2"/>
            <w:sz w:val="24"/>
          </w:rPr>
          <w:t xml:space="preserve"> </w:t>
        </w:r>
        <w:r w:rsidR="00DF521C" w:rsidRPr="009E3DBC">
          <w:rPr>
            <w:rStyle w:val="Lienhypertexte"/>
            <w:rFonts w:ascii="Tahoma" w:hAnsi="Tahoma" w:cs="Tahoma"/>
            <w:i w:val="0"/>
            <w:noProof/>
            <w:sz w:val="24"/>
          </w:rPr>
          <w:t>forestière</w:t>
        </w:r>
        <w:r w:rsidR="00DF521C" w:rsidRPr="009E3DBC">
          <w:rPr>
            <w:rFonts w:ascii="Tahoma" w:hAnsi="Tahoma" w:cs="Tahoma"/>
            <w:i w:val="0"/>
            <w:noProof/>
            <w:webHidden/>
            <w:sz w:val="24"/>
          </w:rPr>
          <w:tab/>
        </w:r>
        <w:r w:rsidR="00DF521C" w:rsidRPr="009E3DBC">
          <w:rPr>
            <w:rFonts w:ascii="Tahoma" w:hAnsi="Tahoma" w:cs="Tahoma"/>
            <w:i w:val="0"/>
            <w:noProof/>
            <w:webHidden/>
            <w:sz w:val="24"/>
          </w:rPr>
          <w:fldChar w:fldCharType="begin"/>
        </w:r>
        <w:r w:rsidR="00DF521C" w:rsidRPr="009E3DBC">
          <w:rPr>
            <w:rFonts w:ascii="Tahoma" w:hAnsi="Tahoma" w:cs="Tahoma"/>
            <w:i w:val="0"/>
            <w:noProof/>
            <w:webHidden/>
            <w:sz w:val="24"/>
          </w:rPr>
          <w:instrText xml:space="preserve"> PAGEREF _Toc203643015 \h </w:instrText>
        </w:r>
        <w:r w:rsidR="00DF521C" w:rsidRPr="009E3DBC">
          <w:rPr>
            <w:rFonts w:ascii="Tahoma" w:hAnsi="Tahoma" w:cs="Tahoma"/>
            <w:i w:val="0"/>
            <w:noProof/>
            <w:webHidden/>
            <w:sz w:val="24"/>
          </w:rPr>
        </w:r>
        <w:r w:rsidR="00DF521C" w:rsidRPr="009E3DBC">
          <w:rPr>
            <w:rFonts w:ascii="Tahoma" w:hAnsi="Tahoma" w:cs="Tahoma"/>
            <w:i w:val="0"/>
            <w:noProof/>
            <w:webHidden/>
            <w:sz w:val="24"/>
          </w:rPr>
          <w:fldChar w:fldCharType="separate"/>
        </w:r>
        <w:r w:rsidR="00124AFB">
          <w:rPr>
            <w:rFonts w:ascii="Tahoma" w:hAnsi="Tahoma" w:cs="Tahoma"/>
            <w:i w:val="0"/>
            <w:noProof/>
            <w:webHidden/>
            <w:sz w:val="24"/>
          </w:rPr>
          <w:t>106</w:t>
        </w:r>
        <w:r w:rsidR="00DF521C" w:rsidRPr="009E3DBC">
          <w:rPr>
            <w:rFonts w:ascii="Tahoma" w:hAnsi="Tahoma" w:cs="Tahoma"/>
            <w:i w:val="0"/>
            <w:noProof/>
            <w:webHidden/>
            <w:sz w:val="24"/>
          </w:rPr>
          <w:fldChar w:fldCharType="end"/>
        </w:r>
      </w:hyperlink>
    </w:p>
    <w:p w:rsidR="00DF521C" w:rsidRPr="009E3DBC" w:rsidRDefault="00642CE5" w:rsidP="00B84FD6">
      <w:pPr>
        <w:pStyle w:val="TM4"/>
        <w:tabs>
          <w:tab w:val="left" w:pos="1100"/>
          <w:tab w:val="right" w:leader="dot" w:pos="9346"/>
        </w:tabs>
        <w:spacing w:line="360" w:lineRule="auto"/>
        <w:jc w:val="both"/>
        <w:rPr>
          <w:rFonts w:ascii="Tahoma" w:eastAsiaTheme="minorEastAsia" w:hAnsi="Tahoma" w:cs="Tahoma"/>
          <w:iCs/>
          <w:noProof/>
          <w:sz w:val="24"/>
          <w:szCs w:val="24"/>
          <w:lang w:eastAsia="fr-FR"/>
        </w:rPr>
      </w:pPr>
      <w:hyperlink w:anchor="_Toc203643016" w:history="1">
        <w:r w:rsidR="00DF521C" w:rsidRPr="009E3DBC">
          <w:rPr>
            <w:rStyle w:val="Lienhypertexte"/>
            <w:rFonts w:ascii="Tahoma" w:hAnsi="Tahoma" w:cs="Tahoma"/>
            <w:iCs/>
            <w:noProof/>
            <w:sz w:val="24"/>
            <w:szCs w:val="24"/>
            <w14:scene3d>
              <w14:camera w14:prst="orthographicFront"/>
              <w14:lightRig w14:rig="threePt" w14:dir="t">
                <w14:rot w14:lat="0" w14:lon="0" w14:rev="0"/>
              </w14:lightRig>
            </w14:scene3d>
          </w:rPr>
          <w:t>1.</w:t>
        </w:r>
        <w:r w:rsidR="00DF521C" w:rsidRPr="009E3DBC">
          <w:rPr>
            <w:rFonts w:ascii="Tahoma" w:eastAsiaTheme="minorEastAsia" w:hAnsi="Tahoma" w:cs="Tahoma"/>
            <w:iCs/>
            <w:noProof/>
            <w:sz w:val="24"/>
            <w:szCs w:val="24"/>
            <w:lang w:eastAsia="fr-FR"/>
          </w:rPr>
          <w:tab/>
        </w:r>
        <w:r w:rsidR="00DF521C" w:rsidRPr="009E3DBC">
          <w:rPr>
            <w:rStyle w:val="Lienhypertexte"/>
            <w:rFonts w:ascii="Tahoma" w:hAnsi="Tahoma" w:cs="Tahoma"/>
            <w:iCs/>
            <w:noProof/>
            <w:sz w:val="24"/>
            <w:szCs w:val="24"/>
          </w:rPr>
          <w:t>Période coloniale et la mise en place du service forestier (1913-1949)</w:t>
        </w:r>
        <w:r w:rsidR="00DF521C" w:rsidRPr="009E3DBC">
          <w:rPr>
            <w:rFonts w:ascii="Tahoma" w:hAnsi="Tahoma" w:cs="Tahoma"/>
            <w:iCs/>
            <w:noProof/>
            <w:webHidden/>
            <w:sz w:val="24"/>
            <w:szCs w:val="24"/>
          </w:rPr>
          <w:tab/>
        </w:r>
        <w:r w:rsidR="00DF521C" w:rsidRPr="009E3DBC">
          <w:rPr>
            <w:rFonts w:ascii="Tahoma" w:hAnsi="Tahoma" w:cs="Tahoma"/>
            <w:iCs/>
            <w:noProof/>
            <w:webHidden/>
            <w:sz w:val="24"/>
            <w:szCs w:val="24"/>
          </w:rPr>
          <w:fldChar w:fldCharType="begin"/>
        </w:r>
        <w:r w:rsidR="00DF521C" w:rsidRPr="009E3DBC">
          <w:rPr>
            <w:rFonts w:ascii="Tahoma" w:hAnsi="Tahoma" w:cs="Tahoma"/>
            <w:iCs/>
            <w:noProof/>
            <w:webHidden/>
            <w:sz w:val="24"/>
            <w:szCs w:val="24"/>
          </w:rPr>
          <w:instrText xml:space="preserve"> PAGEREF _Toc203643016 \h </w:instrText>
        </w:r>
        <w:r w:rsidR="00DF521C" w:rsidRPr="009E3DBC">
          <w:rPr>
            <w:rFonts w:ascii="Tahoma" w:hAnsi="Tahoma" w:cs="Tahoma"/>
            <w:iCs/>
            <w:noProof/>
            <w:webHidden/>
            <w:sz w:val="24"/>
            <w:szCs w:val="24"/>
          </w:rPr>
        </w:r>
        <w:r w:rsidR="00DF521C" w:rsidRPr="009E3DBC">
          <w:rPr>
            <w:rFonts w:ascii="Tahoma" w:hAnsi="Tahoma" w:cs="Tahoma"/>
            <w:iCs/>
            <w:noProof/>
            <w:webHidden/>
            <w:sz w:val="24"/>
            <w:szCs w:val="24"/>
          </w:rPr>
          <w:fldChar w:fldCharType="separate"/>
        </w:r>
        <w:r w:rsidR="00124AFB">
          <w:rPr>
            <w:rFonts w:ascii="Tahoma" w:hAnsi="Tahoma" w:cs="Tahoma"/>
            <w:iCs/>
            <w:noProof/>
            <w:webHidden/>
            <w:sz w:val="24"/>
            <w:szCs w:val="24"/>
          </w:rPr>
          <w:t>106</w:t>
        </w:r>
        <w:r w:rsidR="00DF521C" w:rsidRPr="009E3DBC">
          <w:rPr>
            <w:rFonts w:ascii="Tahoma" w:hAnsi="Tahoma" w:cs="Tahoma"/>
            <w:iCs/>
            <w:noProof/>
            <w:webHidden/>
            <w:sz w:val="24"/>
            <w:szCs w:val="24"/>
          </w:rPr>
          <w:fldChar w:fldCharType="end"/>
        </w:r>
      </w:hyperlink>
    </w:p>
    <w:p w:rsidR="00DF521C" w:rsidRPr="009E3DBC" w:rsidRDefault="00642CE5" w:rsidP="00B84FD6">
      <w:pPr>
        <w:pStyle w:val="TM5"/>
        <w:tabs>
          <w:tab w:val="left" w:pos="1320"/>
          <w:tab w:val="right" w:leader="dot" w:pos="9346"/>
        </w:tabs>
        <w:spacing w:line="360" w:lineRule="auto"/>
        <w:jc w:val="both"/>
        <w:rPr>
          <w:rFonts w:ascii="Tahoma" w:eastAsiaTheme="minorEastAsia" w:hAnsi="Tahoma" w:cs="Tahoma"/>
          <w:iCs/>
          <w:noProof/>
          <w:sz w:val="24"/>
          <w:szCs w:val="24"/>
          <w:lang w:eastAsia="fr-FR"/>
        </w:rPr>
      </w:pPr>
      <w:hyperlink w:anchor="_Toc203643017" w:history="1">
        <w:r w:rsidR="00DF521C" w:rsidRPr="009E3DBC">
          <w:rPr>
            <w:rStyle w:val="Lienhypertexte"/>
            <w:rFonts w:ascii="Tahoma" w:hAnsi="Tahoma" w:cs="Tahoma"/>
            <w:iCs/>
            <w:noProof/>
            <w:sz w:val="24"/>
            <w:szCs w:val="24"/>
          </w:rPr>
          <w:t>a.</w:t>
        </w:r>
        <w:r w:rsidR="00DF521C" w:rsidRPr="009E3DBC">
          <w:rPr>
            <w:rFonts w:ascii="Tahoma" w:eastAsiaTheme="minorEastAsia" w:hAnsi="Tahoma" w:cs="Tahoma"/>
            <w:iCs/>
            <w:noProof/>
            <w:sz w:val="24"/>
            <w:szCs w:val="24"/>
            <w:lang w:eastAsia="fr-FR"/>
          </w:rPr>
          <w:tab/>
        </w:r>
        <w:r w:rsidR="00DF521C" w:rsidRPr="009E3DBC">
          <w:rPr>
            <w:rStyle w:val="Lienhypertexte"/>
            <w:rFonts w:ascii="Tahoma" w:hAnsi="Tahoma" w:cs="Tahoma"/>
            <w:iCs/>
            <w:noProof/>
            <w:sz w:val="24"/>
            <w:szCs w:val="24"/>
          </w:rPr>
          <w:t>Période de 1913-1949 : différentes étapes pour l’organisation du service forestier</w:t>
        </w:r>
        <w:r w:rsidR="00DF521C" w:rsidRPr="009E3DBC">
          <w:rPr>
            <w:rFonts w:ascii="Tahoma" w:hAnsi="Tahoma" w:cs="Tahoma"/>
            <w:iCs/>
            <w:noProof/>
            <w:webHidden/>
            <w:sz w:val="24"/>
            <w:szCs w:val="24"/>
          </w:rPr>
          <w:tab/>
        </w:r>
        <w:r w:rsidR="00DF521C" w:rsidRPr="009E3DBC">
          <w:rPr>
            <w:rFonts w:ascii="Tahoma" w:hAnsi="Tahoma" w:cs="Tahoma"/>
            <w:iCs/>
            <w:noProof/>
            <w:webHidden/>
            <w:sz w:val="24"/>
            <w:szCs w:val="24"/>
          </w:rPr>
          <w:fldChar w:fldCharType="begin"/>
        </w:r>
        <w:r w:rsidR="00DF521C" w:rsidRPr="009E3DBC">
          <w:rPr>
            <w:rFonts w:ascii="Tahoma" w:hAnsi="Tahoma" w:cs="Tahoma"/>
            <w:iCs/>
            <w:noProof/>
            <w:webHidden/>
            <w:sz w:val="24"/>
            <w:szCs w:val="24"/>
          </w:rPr>
          <w:instrText xml:space="preserve"> PAGEREF _Toc203643017 \h </w:instrText>
        </w:r>
        <w:r w:rsidR="00DF521C" w:rsidRPr="009E3DBC">
          <w:rPr>
            <w:rFonts w:ascii="Tahoma" w:hAnsi="Tahoma" w:cs="Tahoma"/>
            <w:iCs/>
            <w:noProof/>
            <w:webHidden/>
            <w:sz w:val="24"/>
            <w:szCs w:val="24"/>
          </w:rPr>
        </w:r>
        <w:r w:rsidR="00DF521C" w:rsidRPr="009E3DBC">
          <w:rPr>
            <w:rFonts w:ascii="Tahoma" w:hAnsi="Tahoma" w:cs="Tahoma"/>
            <w:iCs/>
            <w:noProof/>
            <w:webHidden/>
            <w:sz w:val="24"/>
            <w:szCs w:val="24"/>
          </w:rPr>
          <w:fldChar w:fldCharType="separate"/>
        </w:r>
        <w:r w:rsidR="00124AFB">
          <w:rPr>
            <w:rFonts w:ascii="Tahoma" w:hAnsi="Tahoma" w:cs="Tahoma"/>
            <w:iCs/>
            <w:noProof/>
            <w:webHidden/>
            <w:sz w:val="24"/>
            <w:szCs w:val="24"/>
          </w:rPr>
          <w:t>106</w:t>
        </w:r>
        <w:r w:rsidR="00DF521C" w:rsidRPr="009E3DBC">
          <w:rPr>
            <w:rFonts w:ascii="Tahoma" w:hAnsi="Tahoma" w:cs="Tahoma"/>
            <w:iCs/>
            <w:noProof/>
            <w:webHidden/>
            <w:sz w:val="24"/>
            <w:szCs w:val="24"/>
          </w:rPr>
          <w:fldChar w:fldCharType="end"/>
        </w:r>
      </w:hyperlink>
    </w:p>
    <w:p w:rsidR="00DF521C" w:rsidRPr="009E3DBC" w:rsidRDefault="00642CE5" w:rsidP="00B84FD6">
      <w:pPr>
        <w:pStyle w:val="TM4"/>
        <w:tabs>
          <w:tab w:val="left" w:pos="1100"/>
          <w:tab w:val="right" w:leader="dot" w:pos="9346"/>
        </w:tabs>
        <w:spacing w:line="360" w:lineRule="auto"/>
        <w:jc w:val="both"/>
        <w:rPr>
          <w:rFonts w:ascii="Tahoma" w:eastAsiaTheme="minorEastAsia" w:hAnsi="Tahoma" w:cs="Tahoma"/>
          <w:iCs/>
          <w:noProof/>
          <w:sz w:val="24"/>
          <w:szCs w:val="24"/>
          <w:lang w:eastAsia="fr-FR"/>
        </w:rPr>
      </w:pPr>
      <w:hyperlink w:anchor="_Toc203643018" w:history="1">
        <w:r w:rsidR="00DF521C" w:rsidRPr="009E3DBC">
          <w:rPr>
            <w:rStyle w:val="Lienhypertexte"/>
            <w:rFonts w:ascii="Tahoma" w:hAnsi="Tahoma" w:cs="Tahoma"/>
            <w:iCs/>
            <w:noProof/>
            <w:sz w:val="24"/>
            <w:szCs w:val="24"/>
            <w14:scene3d>
              <w14:camera w14:prst="orthographicFront"/>
              <w14:lightRig w14:rig="threePt" w14:dir="t">
                <w14:rot w14:lat="0" w14:lon="0" w14:rev="0"/>
              </w14:lightRig>
            </w14:scene3d>
          </w:rPr>
          <w:t>2.</w:t>
        </w:r>
        <w:r w:rsidR="00DF521C" w:rsidRPr="009E3DBC">
          <w:rPr>
            <w:rFonts w:ascii="Tahoma" w:eastAsiaTheme="minorEastAsia" w:hAnsi="Tahoma" w:cs="Tahoma"/>
            <w:iCs/>
            <w:noProof/>
            <w:sz w:val="24"/>
            <w:szCs w:val="24"/>
            <w:lang w:eastAsia="fr-FR"/>
          </w:rPr>
          <w:tab/>
        </w:r>
        <w:r w:rsidR="00DF521C" w:rsidRPr="009E3DBC">
          <w:rPr>
            <w:rStyle w:val="Lienhypertexte"/>
            <w:rFonts w:ascii="Tahoma" w:hAnsi="Tahoma" w:cs="Tahoma"/>
            <w:iCs/>
            <w:noProof/>
            <w:sz w:val="24"/>
            <w:szCs w:val="24"/>
          </w:rPr>
          <w:t>La consolidation du régime forestier après l’indépendance</w:t>
        </w:r>
        <w:r w:rsidR="00DF521C" w:rsidRPr="009E3DBC">
          <w:rPr>
            <w:rFonts w:ascii="Tahoma" w:hAnsi="Tahoma" w:cs="Tahoma"/>
            <w:iCs/>
            <w:noProof/>
            <w:webHidden/>
            <w:sz w:val="24"/>
            <w:szCs w:val="24"/>
          </w:rPr>
          <w:tab/>
        </w:r>
        <w:r w:rsidR="00DF521C" w:rsidRPr="009E3DBC">
          <w:rPr>
            <w:rFonts w:ascii="Tahoma" w:hAnsi="Tahoma" w:cs="Tahoma"/>
            <w:iCs/>
            <w:noProof/>
            <w:webHidden/>
            <w:sz w:val="24"/>
            <w:szCs w:val="24"/>
          </w:rPr>
          <w:fldChar w:fldCharType="begin"/>
        </w:r>
        <w:r w:rsidR="00DF521C" w:rsidRPr="009E3DBC">
          <w:rPr>
            <w:rFonts w:ascii="Tahoma" w:hAnsi="Tahoma" w:cs="Tahoma"/>
            <w:iCs/>
            <w:noProof/>
            <w:webHidden/>
            <w:sz w:val="24"/>
            <w:szCs w:val="24"/>
          </w:rPr>
          <w:instrText xml:space="preserve"> PAGEREF _Toc203643018 \h </w:instrText>
        </w:r>
        <w:r w:rsidR="00DF521C" w:rsidRPr="009E3DBC">
          <w:rPr>
            <w:rFonts w:ascii="Tahoma" w:hAnsi="Tahoma" w:cs="Tahoma"/>
            <w:iCs/>
            <w:noProof/>
            <w:webHidden/>
            <w:sz w:val="24"/>
            <w:szCs w:val="24"/>
          </w:rPr>
        </w:r>
        <w:r w:rsidR="00DF521C" w:rsidRPr="009E3DBC">
          <w:rPr>
            <w:rFonts w:ascii="Tahoma" w:hAnsi="Tahoma" w:cs="Tahoma"/>
            <w:iCs/>
            <w:noProof/>
            <w:webHidden/>
            <w:sz w:val="24"/>
            <w:szCs w:val="24"/>
          </w:rPr>
          <w:fldChar w:fldCharType="separate"/>
        </w:r>
        <w:r w:rsidR="00124AFB">
          <w:rPr>
            <w:rFonts w:ascii="Tahoma" w:hAnsi="Tahoma" w:cs="Tahoma"/>
            <w:iCs/>
            <w:noProof/>
            <w:webHidden/>
            <w:sz w:val="24"/>
            <w:szCs w:val="24"/>
          </w:rPr>
          <w:t>107</w:t>
        </w:r>
        <w:r w:rsidR="00DF521C" w:rsidRPr="009E3DBC">
          <w:rPr>
            <w:rFonts w:ascii="Tahoma" w:hAnsi="Tahoma" w:cs="Tahoma"/>
            <w:iCs/>
            <w:noProof/>
            <w:webHidden/>
            <w:sz w:val="24"/>
            <w:szCs w:val="24"/>
          </w:rPr>
          <w:fldChar w:fldCharType="end"/>
        </w:r>
      </w:hyperlink>
    </w:p>
    <w:p w:rsidR="00DF521C" w:rsidRPr="009E3DBC" w:rsidRDefault="00642CE5" w:rsidP="00B84FD6">
      <w:pPr>
        <w:pStyle w:val="TM5"/>
        <w:tabs>
          <w:tab w:val="left" w:pos="1320"/>
          <w:tab w:val="right" w:leader="dot" w:pos="9346"/>
        </w:tabs>
        <w:spacing w:line="360" w:lineRule="auto"/>
        <w:jc w:val="both"/>
        <w:rPr>
          <w:rFonts w:ascii="Tahoma" w:eastAsiaTheme="minorEastAsia" w:hAnsi="Tahoma" w:cs="Tahoma"/>
          <w:iCs/>
          <w:noProof/>
          <w:sz w:val="24"/>
          <w:szCs w:val="24"/>
          <w:lang w:eastAsia="fr-FR"/>
        </w:rPr>
      </w:pPr>
      <w:hyperlink w:anchor="_Toc203643019" w:history="1">
        <w:r w:rsidR="00DF521C" w:rsidRPr="009E3DBC">
          <w:rPr>
            <w:rStyle w:val="Lienhypertexte"/>
            <w:rFonts w:ascii="Tahoma" w:hAnsi="Tahoma" w:cs="Tahoma"/>
            <w:iCs/>
            <w:noProof/>
            <w:sz w:val="24"/>
            <w:szCs w:val="24"/>
          </w:rPr>
          <w:t>a.</w:t>
        </w:r>
        <w:r w:rsidR="00DF521C" w:rsidRPr="009E3DBC">
          <w:rPr>
            <w:rFonts w:ascii="Tahoma" w:eastAsiaTheme="minorEastAsia" w:hAnsi="Tahoma" w:cs="Tahoma"/>
            <w:iCs/>
            <w:noProof/>
            <w:sz w:val="24"/>
            <w:szCs w:val="24"/>
            <w:lang w:eastAsia="fr-FR"/>
          </w:rPr>
          <w:tab/>
        </w:r>
        <w:r w:rsidR="00DF521C" w:rsidRPr="009E3DBC">
          <w:rPr>
            <w:rStyle w:val="Lienhypertexte"/>
            <w:rFonts w:ascii="Tahoma" w:hAnsi="Tahoma" w:cs="Tahoma"/>
            <w:iCs/>
            <w:noProof/>
            <w:sz w:val="24"/>
            <w:szCs w:val="24"/>
          </w:rPr>
          <w:t>Période de 1956-1974 : phase de consolidation du régime forestier et mise en place des structures administratives</w:t>
        </w:r>
        <w:r w:rsidR="00DF521C" w:rsidRPr="009E3DBC">
          <w:rPr>
            <w:rFonts w:ascii="Tahoma" w:hAnsi="Tahoma" w:cs="Tahoma"/>
            <w:iCs/>
            <w:noProof/>
            <w:webHidden/>
            <w:sz w:val="24"/>
            <w:szCs w:val="24"/>
          </w:rPr>
          <w:tab/>
        </w:r>
        <w:r w:rsidR="00DF521C" w:rsidRPr="009E3DBC">
          <w:rPr>
            <w:rFonts w:ascii="Tahoma" w:hAnsi="Tahoma" w:cs="Tahoma"/>
            <w:iCs/>
            <w:noProof/>
            <w:webHidden/>
            <w:sz w:val="24"/>
            <w:szCs w:val="24"/>
          </w:rPr>
          <w:fldChar w:fldCharType="begin"/>
        </w:r>
        <w:r w:rsidR="00DF521C" w:rsidRPr="009E3DBC">
          <w:rPr>
            <w:rFonts w:ascii="Tahoma" w:hAnsi="Tahoma" w:cs="Tahoma"/>
            <w:iCs/>
            <w:noProof/>
            <w:webHidden/>
            <w:sz w:val="24"/>
            <w:szCs w:val="24"/>
          </w:rPr>
          <w:instrText xml:space="preserve"> PAGEREF _Toc203643019 \h </w:instrText>
        </w:r>
        <w:r w:rsidR="00DF521C" w:rsidRPr="009E3DBC">
          <w:rPr>
            <w:rFonts w:ascii="Tahoma" w:hAnsi="Tahoma" w:cs="Tahoma"/>
            <w:iCs/>
            <w:noProof/>
            <w:webHidden/>
            <w:sz w:val="24"/>
            <w:szCs w:val="24"/>
          </w:rPr>
        </w:r>
        <w:r w:rsidR="00DF521C" w:rsidRPr="009E3DBC">
          <w:rPr>
            <w:rFonts w:ascii="Tahoma" w:hAnsi="Tahoma" w:cs="Tahoma"/>
            <w:iCs/>
            <w:noProof/>
            <w:webHidden/>
            <w:sz w:val="24"/>
            <w:szCs w:val="24"/>
          </w:rPr>
          <w:fldChar w:fldCharType="separate"/>
        </w:r>
        <w:r w:rsidR="00124AFB">
          <w:rPr>
            <w:rFonts w:ascii="Tahoma" w:hAnsi="Tahoma" w:cs="Tahoma"/>
            <w:iCs/>
            <w:noProof/>
            <w:webHidden/>
            <w:sz w:val="24"/>
            <w:szCs w:val="24"/>
          </w:rPr>
          <w:t>108</w:t>
        </w:r>
        <w:r w:rsidR="00DF521C" w:rsidRPr="009E3DBC">
          <w:rPr>
            <w:rFonts w:ascii="Tahoma" w:hAnsi="Tahoma" w:cs="Tahoma"/>
            <w:iCs/>
            <w:noProof/>
            <w:webHidden/>
            <w:sz w:val="24"/>
            <w:szCs w:val="24"/>
          </w:rPr>
          <w:fldChar w:fldCharType="end"/>
        </w:r>
      </w:hyperlink>
    </w:p>
    <w:p w:rsidR="00DF521C" w:rsidRPr="009E3DBC" w:rsidRDefault="00642CE5" w:rsidP="00B84FD6">
      <w:pPr>
        <w:pStyle w:val="TM5"/>
        <w:tabs>
          <w:tab w:val="left" w:pos="1320"/>
          <w:tab w:val="right" w:leader="dot" w:pos="9346"/>
        </w:tabs>
        <w:spacing w:line="360" w:lineRule="auto"/>
        <w:jc w:val="both"/>
        <w:rPr>
          <w:rFonts w:ascii="Tahoma" w:eastAsiaTheme="minorEastAsia" w:hAnsi="Tahoma" w:cs="Tahoma"/>
          <w:iCs/>
          <w:noProof/>
          <w:sz w:val="24"/>
          <w:szCs w:val="24"/>
          <w:lang w:eastAsia="fr-FR"/>
        </w:rPr>
      </w:pPr>
      <w:hyperlink w:anchor="_Toc203643020" w:history="1">
        <w:r w:rsidR="00DF521C" w:rsidRPr="009E3DBC">
          <w:rPr>
            <w:rStyle w:val="Lienhypertexte"/>
            <w:rFonts w:ascii="Tahoma" w:hAnsi="Tahoma" w:cs="Tahoma"/>
            <w:iCs/>
            <w:noProof/>
            <w:sz w:val="24"/>
            <w:szCs w:val="24"/>
          </w:rPr>
          <w:t>b.</w:t>
        </w:r>
        <w:r w:rsidR="00DF521C" w:rsidRPr="009E3DBC">
          <w:rPr>
            <w:rFonts w:ascii="Tahoma" w:eastAsiaTheme="minorEastAsia" w:hAnsi="Tahoma" w:cs="Tahoma"/>
            <w:iCs/>
            <w:noProof/>
            <w:sz w:val="24"/>
            <w:szCs w:val="24"/>
            <w:lang w:eastAsia="fr-FR"/>
          </w:rPr>
          <w:tab/>
        </w:r>
        <w:r w:rsidR="00DF521C" w:rsidRPr="009E3DBC">
          <w:rPr>
            <w:rStyle w:val="Lienhypertexte"/>
            <w:rFonts w:ascii="Tahoma" w:hAnsi="Tahoma" w:cs="Tahoma"/>
            <w:iCs/>
            <w:noProof/>
            <w:sz w:val="24"/>
            <w:szCs w:val="24"/>
          </w:rPr>
          <w:t>Période de 1975-1994 : réorganisation et intégration des services forestiers au sein du Ministère de l’Agriculture</w:t>
        </w:r>
        <w:r w:rsidR="00DF521C" w:rsidRPr="009E3DBC">
          <w:rPr>
            <w:rFonts w:ascii="Tahoma" w:hAnsi="Tahoma" w:cs="Tahoma"/>
            <w:iCs/>
            <w:noProof/>
            <w:webHidden/>
            <w:sz w:val="24"/>
            <w:szCs w:val="24"/>
          </w:rPr>
          <w:tab/>
        </w:r>
        <w:r w:rsidR="00DF521C" w:rsidRPr="009E3DBC">
          <w:rPr>
            <w:rFonts w:ascii="Tahoma" w:hAnsi="Tahoma" w:cs="Tahoma"/>
            <w:iCs/>
            <w:noProof/>
            <w:webHidden/>
            <w:sz w:val="24"/>
            <w:szCs w:val="24"/>
          </w:rPr>
          <w:fldChar w:fldCharType="begin"/>
        </w:r>
        <w:r w:rsidR="00DF521C" w:rsidRPr="009E3DBC">
          <w:rPr>
            <w:rFonts w:ascii="Tahoma" w:hAnsi="Tahoma" w:cs="Tahoma"/>
            <w:iCs/>
            <w:noProof/>
            <w:webHidden/>
            <w:sz w:val="24"/>
            <w:szCs w:val="24"/>
          </w:rPr>
          <w:instrText xml:space="preserve"> PAGEREF _Toc203643020 \h </w:instrText>
        </w:r>
        <w:r w:rsidR="00DF521C" w:rsidRPr="009E3DBC">
          <w:rPr>
            <w:rFonts w:ascii="Tahoma" w:hAnsi="Tahoma" w:cs="Tahoma"/>
            <w:iCs/>
            <w:noProof/>
            <w:webHidden/>
            <w:sz w:val="24"/>
            <w:szCs w:val="24"/>
          </w:rPr>
        </w:r>
        <w:r w:rsidR="00DF521C" w:rsidRPr="009E3DBC">
          <w:rPr>
            <w:rFonts w:ascii="Tahoma" w:hAnsi="Tahoma" w:cs="Tahoma"/>
            <w:iCs/>
            <w:noProof/>
            <w:webHidden/>
            <w:sz w:val="24"/>
            <w:szCs w:val="24"/>
          </w:rPr>
          <w:fldChar w:fldCharType="separate"/>
        </w:r>
        <w:r w:rsidR="00124AFB">
          <w:rPr>
            <w:rFonts w:ascii="Tahoma" w:hAnsi="Tahoma" w:cs="Tahoma"/>
            <w:iCs/>
            <w:noProof/>
            <w:webHidden/>
            <w:sz w:val="24"/>
            <w:szCs w:val="24"/>
          </w:rPr>
          <w:t>109</w:t>
        </w:r>
        <w:r w:rsidR="00DF521C" w:rsidRPr="009E3DBC">
          <w:rPr>
            <w:rFonts w:ascii="Tahoma" w:hAnsi="Tahoma" w:cs="Tahoma"/>
            <w:iCs/>
            <w:noProof/>
            <w:webHidden/>
            <w:sz w:val="24"/>
            <w:szCs w:val="24"/>
          </w:rPr>
          <w:fldChar w:fldCharType="end"/>
        </w:r>
      </w:hyperlink>
    </w:p>
    <w:p w:rsidR="00DF521C" w:rsidRPr="009E3DBC" w:rsidRDefault="00642CE5" w:rsidP="00B84FD6">
      <w:pPr>
        <w:pStyle w:val="TM5"/>
        <w:tabs>
          <w:tab w:val="left" w:pos="1320"/>
          <w:tab w:val="right" w:leader="dot" w:pos="9346"/>
        </w:tabs>
        <w:spacing w:line="360" w:lineRule="auto"/>
        <w:jc w:val="both"/>
        <w:rPr>
          <w:rFonts w:ascii="Tahoma" w:eastAsiaTheme="minorEastAsia" w:hAnsi="Tahoma" w:cs="Tahoma"/>
          <w:iCs/>
          <w:noProof/>
          <w:sz w:val="24"/>
          <w:szCs w:val="24"/>
          <w:lang w:eastAsia="fr-FR"/>
        </w:rPr>
      </w:pPr>
      <w:hyperlink w:anchor="_Toc203643021" w:history="1">
        <w:r w:rsidR="00DF521C" w:rsidRPr="009E3DBC">
          <w:rPr>
            <w:rStyle w:val="Lienhypertexte"/>
            <w:rFonts w:ascii="Tahoma" w:hAnsi="Tahoma" w:cs="Tahoma"/>
            <w:iCs/>
            <w:noProof/>
            <w:sz w:val="24"/>
            <w:szCs w:val="24"/>
          </w:rPr>
          <w:t>c.</w:t>
        </w:r>
        <w:r w:rsidR="00DF521C" w:rsidRPr="009E3DBC">
          <w:rPr>
            <w:rFonts w:ascii="Tahoma" w:eastAsiaTheme="minorEastAsia" w:hAnsi="Tahoma" w:cs="Tahoma"/>
            <w:iCs/>
            <w:noProof/>
            <w:sz w:val="24"/>
            <w:szCs w:val="24"/>
            <w:lang w:eastAsia="fr-FR"/>
          </w:rPr>
          <w:tab/>
        </w:r>
        <w:r w:rsidR="00DF521C" w:rsidRPr="009E3DBC">
          <w:rPr>
            <w:rStyle w:val="Lienhypertexte"/>
            <w:rFonts w:ascii="Tahoma" w:hAnsi="Tahoma" w:cs="Tahoma"/>
            <w:iCs/>
            <w:noProof/>
            <w:sz w:val="24"/>
            <w:szCs w:val="24"/>
          </w:rPr>
          <w:t>Période de 1994-1998 : réformes et restructuration du service forestier</w:t>
        </w:r>
        <w:r w:rsidR="00DF521C" w:rsidRPr="009E3DBC">
          <w:rPr>
            <w:rFonts w:ascii="Tahoma" w:hAnsi="Tahoma" w:cs="Tahoma"/>
            <w:iCs/>
            <w:noProof/>
            <w:webHidden/>
            <w:sz w:val="24"/>
            <w:szCs w:val="24"/>
          </w:rPr>
          <w:tab/>
        </w:r>
        <w:r w:rsidR="00DF521C" w:rsidRPr="009E3DBC">
          <w:rPr>
            <w:rFonts w:ascii="Tahoma" w:hAnsi="Tahoma" w:cs="Tahoma"/>
            <w:iCs/>
            <w:noProof/>
            <w:webHidden/>
            <w:sz w:val="24"/>
            <w:szCs w:val="24"/>
          </w:rPr>
          <w:fldChar w:fldCharType="begin"/>
        </w:r>
        <w:r w:rsidR="00DF521C" w:rsidRPr="009E3DBC">
          <w:rPr>
            <w:rFonts w:ascii="Tahoma" w:hAnsi="Tahoma" w:cs="Tahoma"/>
            <w:iCs/>
            <w:noProof/>
            <w:webHidden/>
            <w:sz w:val="24"/>
            <w:szCs w:val="24"/>
          </w:rPr>
          <w:instrText xml:space="preserve"> PAGEREF _Toc203643021 \h </w:instrText>
        </w:r>
        <w:r w:rsidR="00DF521C" w:rsidRPr="009E3DBC">
          <w:rPr>
            <w:rFonts w:ascii="Tahoma" w:hAnsi="Tahoma" w:cs="Tahoma"/>
            <w:iCs/>
            <w:noProof/>
            <w:webHidden/>
            <w:sz w:val="24"/>
            <w:szCs w:val="24"/>
          </w:rPr>
        </w:r>
        <w:r w:rsidR="00DF521C" w:rsidRPr="009E3DBC">
          <w:rPr>
            <w:rFonts w:ascii="Tahoma" w:hAnsi="Tahoma" w:cs="Tahoma"/>
            <w:iCs/>
            <w:noProof/>
            <w:webHidden/>
            <w:sz w:val="24"/>
            <w:szCs w:val="24"/>
          </w:rPr>
          <w:fldChar w:fldCharType="separate"/>
        </w:r>
        <w:r w:rsidR="00124AFB">
          <w:rPr>
            <w:rFonts w:ascii="Tahoma" w:hAnsi="Tahoma" w:cs="Tahoma"/>
            <w:iCs/>
            <w:noProof/>
            <w:webHidden/>
            <w:sz w:val="24"/>
            <w:szCs w:val="24"/>
          </w:rPr>
          <w:t>114</w:t>
        </w:r>
        <w:r w:rsidR="00DF521C" w:rsidRPr="009E3DBC">
          <w:rPr>
            <w:rFonts w:ascii="Tahoma" w:hAnsi="Tahoma" w:cs="Tahoma"/>
            <w:iCs/>
            <w:noProof/>
            <w:webHidden/>
            <w:sz w:val="24"/>
            <w:szCs w:val="24"/>
          </w:rPr>
          <w:fldChar w:fldCharType="end"/>
        </w:r>
      </w:hyperlink>
    </w:p>
    <w:p w:rsidR="00DF521C" w:rsidRPr="009E3DBC" w:rsidRDefault="00642CE5" w:rsidP="00B84FD6">
      <w:pPr>
        <w:pStyle w:val="TM5"/>
        <w:tabs>
          <w:tab w:val="left" w:pos="1320"/>
          <w:tab w:val="right" w:leader="dot" w:pos="9346"/>
        </w:tabs>
        <w:spacing w:line="360" w:lineRule="auto"/>
        <w:jc w:val="both"/>
        <w:rPr>
          <w:rFonts w:ascii="Tahoma" w:eastAsiaTheme="minorEastAsia" w:hAnsi="Tahoma" w:cs="Tahoma"/>
          <w:iCs/>
          <w:noProof/>
          <w:sz w:val="24"/>
          <w:szCs w:val="24"/>
          <w:lang w:eastAsia="fr-FR"/>
        </w:rPr>
      </w:pPr>
      <w:hyperlink w:anchor="_Toc203643022" w:history="1">
        <w:r w:rsidR="00DF521C" w:rsidRPr="009E3DBC">
          <w:rPr>
            <w:rStyle w:val="Lienhypertexte"/>
            <w:rFonts w:ascii="Tahoma" w:hAnsi="Tahoma" w:cs="Tahoma"/>
            <w:iCs/>
            <w:noProof/>
            <w:sz w:val="24"/>
            <w:szCs w:val="24"/>
          </w:rPr>
          <w:t>d.</w:t>
        </w:r>
        <w:r w:rsidR="00DF521C" w:rsidRPr="009E3DBC">
          <w:rPr>
            <w:rFonts w:ascii="Tahoma" w:eastAsiaTheme="minorEastAsia" w:hAnsi="Tahoma" w:cs="Tahoma"/>
            <w:iCs/>
            <w:noProof/>
            <w:sz w:val="24"/>
            <w:szCs w:val="24"/>
            <w:lang w:eastAsia="fr-FR"/>
          </w:rPr>
          <w:tab/>
        </w:r>
        <w:r w:rsidR="00DF521C" w:rsidRPr="009E3DBC">
          <w:rPr>
            <w:rStyle w:val="Lienhypertexte"/>
            <w:rFonts w:ascii="Tahoma" w:hAnsi="Tahoma" w:cs="Tahoma"/>
            <w:iCs/>
            <w:noProof/>
            <w:sz w:val="24"/>
            <w:szCs w:val="24"/>
          </w:rPr>
          <w:t>Période de 1998-2003 : consolidation institutionnelle et adaptation des structures</w:t>
        </w:r>
        <w:r w:rsidR="00DF521C" w:rsidRPr="009E3DBC">
          <w:rPr>
            <w:rFonts w:ascii="Tahoma" w:hAnsi="Tahoma" w:cs="Tahoma"/>
            <w:iCs/>
            <w:noProof/>
            <w:webHidden/>
            <w:sz w:val="24"/>
            <w:szCs w:val="24"/>
          </w:rPr>
          <w:tab/>
        </w:r>
        <w:r w:rsidR="00DF521C" w:rsidRPr="009E3DBC">
          <w:rPr>
            <w:rFonts w:ascii="Tahoma" w:hAnsi="Tahoma" w:cs="Tahoma"/>
            <w:iCs/>
            <w:noProof/>
            <w:webHidden/>
            <w:sz w:val="24"/>
            <w:szCs w:val="24"/>
          </w:rPr>
          <w:fldChar w:fldCharType="begin"/>
        </w:r>
        <w:r w:rsidR="00DF521C" w:rsidRPr="009E3DBC">
          <w:rPr>
            <w:rFonts w:ascii="Tahoma" w:hAnsi="Tahoma" w:cs="Tahoma"/>
            <w:iCs/>
            <w:noProof/>
            <w:webHidden/>
            <w:sz w:val="24"/>
            <w:szCs w:val="24"/>
          </w:rPr>
          <w:instrText xml:space="preserve"> PAGEREF _Toc203643022 \h </w:instrText>
        </w:r>
        <w:r w:rsidR="00DF521C" w:rsidRPr="009E3DBC">
          <w:rPr>
            <w:rFonts w:ascii="Tahoma" w:hAnsi="Tahoma" w:cs="Tahoma"/>
            <w:iCs/>
            <w:noProof/>
            <w:webHidden/>
            <w:sz w:val="24"/>
            <w:szCs w:val="24"/>
          </w:rPr>
        </w:r>
        <w:r w:rsidR="00DF521C" w:rsidRPr="009E3DBC">
          <w:rPr>
            <w:rFonts w:ascii="Tahoma" w:hAnsi="Tahoma" w:cs="Tahoma"/>
            <w:iCs/>
            <w:noProof/>
            <w:webHidden/>
            <w:sz w:val="24"/>
            <w:szCs w:val="24"/>
          </w:rPr>
          <w:fldChar w:fldCharType="separate"/>
        </w:r>
        <w:r w:rsidR="00124AFB">
          <w:rPr>
            <w:rFonts w:ascii="Tahoma" w:hAnsi="Tahoma" w:cs="Tahoma"/>
            <w:iCs/>
            <w:noProof/>
            <w:webHidden/>
            <w:sz w:val="24"/>
            <w:szCs w:val="24"/>
          </w:rPr>
          <w:t>115</w:t>
        </w:r>
        <w:r w:rsidR="00DF521C" w:rsidRPr="009E3DBC">
          <w:rPr>
            <w:rFonts w:ascii="Tahoma" w:hAnsi="Tahoma" w:cs="Tahoma"/>
            <w:iCs/>
            <w:noProof/>
            <w:webHidden/>
            <w:sz w:val="24"/>
            <w:szCs w:val="24"/>
          </w:rPr>
          <w:fldChar w:fldCharType="end"/>
        </w:r>
      </w:hyperlink>
    </w:p>
    <w:p w:rsidR="00DF521C" w:rsidRPr="009E3DBC" w:rsidRDefault="00642CE5" w:rsidP="00B84FD6">
      <w:pPr>
        <w:pStyle w:val="TM5"/>
        <w:tabs>
          <w:tab w:val="left" w:pos="1320"/>
          <w:tab w:val="right" w:leader="dot" w:pos="9346"/>
        </w:tabs>
        <w:spacing w:line="360" w:lineRule="auto"/>
        <w:jc w:val="both"/>
        <w:rPr>
          <w:rFonts w:ascii="Tahoma" w:eastAsiaTheme="minorEastAsia" w:hAnsi="Tahoma" w:cs="Tahoma"/>
          <w:iCs/>
          <w:noProof/>
          <w:sz w:val="24"/>
          <w:szCs w:val="24"/>
          <w:lang w:eastAsia="fr-FR"/>
        </w:rPr>
      </w:pPr>
      <w:hyperlink w:anchor="_Toc203643023" w:history="1">
        <w:r w:rsidR="00DF521C" w:rsidRPr="009E3DBC">
          <w:rPr>
            <w:rStyle w:val="Lienhypertexte"/>
            <w:rFonts w:ascii="Tahoma" w:hAnsi="Tahoma" w:cs="Tahoma"/>
            <w:iCs/>
            <w:noProof/>
            <w:sz w:val="24"/>
            <w:szCs w:val="24"/>
          </w:rPr>
          <w:t>e.</w:t>
        </w:r>
        <w:r w:rsidR="00DF521C" w:rsidRPr="009E3DBC">
          <w:rPr>
            <w:rFonts w:ascii="Tahoma" w:eastAsiaTheme="minorEastAsia" w:hAnsi="Tahoma" w:cs="Tahoma"/>
            <w:iCs/>
            <w:noProof/>
            <w:sz w:val="24"/>
            <w:szCs w:val="24"/>
            <w:lang w:eastAsia="fr-FR"/>
          </w:rPr>
          <w:tab/>
        </w:r>
        <w:r w:rsidR="00DF521C" w:rsidRPr="009E3DBC">
          <w:rPr>
            <w:rStyle w:val="Lienhypertexte"/>
            <w:rFonts w:ascii="Tahoma" w:hAnsi="Tahoma" w:cs="Tahoma"/>
            <w:iCs/>
            <w:noProof/>
            <w:sz w:val="24"/>
            <w:szCs w:val="24"/>
          </w:rPr>
          <w:t>Période de 2003-2016 : refonte institutionnelle et gouvernance du secteur forestier</w:t>
        </w:r>
        <w:r w:rsidR="00DF521C" w:rsidRPr="009E3DBC">
          <w:rPr>
            <w:rFonts w:ascii="Tahoma" w:hAnsi="Tahoma" w:cs="Tahoma"/>
            <w:iCs/>
            <w:noProof/>
            <w:webHidden/>
            <w:sz w:val="24"/>
            <w:szCs w:val="24"/>
          </w:rPr>
          <w:tab/>
        </w:r>
        <w:r w:rsidR="00DF521C" w:rsidRPr="009E3DBC">
          <w:rPr>
            <w:rFonts w:ascii="Tahoma" w:hAnsi="Tahoma" w:cs="Tahoma"/>
            <w:iCs/>
            <w:noProof/>
            <w:webHidden/>
            <w:sz w:val="24"/>
            <w:szCs w:val="24"/>
          </w:rPr>
          <w:fldChar w:fldCharType="begin"/>
        </w:r>
        <w:r w:rsidR="00DF521C" w:rsidRPr="009E3DBC">
          <w:rPr>
            <w:rFonts w:ascii="Tahoma" w:hAnsi="Tahoma" w:cs="Tahoma"/>
            <w:iCs/>
            <w:noProof/>
            <w:webHidden/>
            <w:sz w:val="24"/>
            <w:szCs w:val="24"/>
          </w:rPr>
          <w:instrText xml:space="preserve"> PAGEREF _Toc203643023 \h </w:instrText>
        </w:r>
        <w:r w:rsidR="00DF521C" w:rsidRPr="009E3DBC">
          <w:rPr>
            <w:rFonts w:ascii="Tahoma" w:hAnsi="Tahoma" w:cs="Tahoma"/>
            <w:iCs/>
            <w:noProof/>
            <w:webHidden/>
            <w:sz w:val="24"/>
            <w:szCs w:val="24"/>
          </w:rPr>
        </w:r>
        <w:r w:rsidR="00DF521C" w:rsidRPr="009E3DBC">
          <w:rPr>
            <w:rFonts w:ascii="Tahoma" w:hAnsi="Tahoma" w:cs="Tahoma"/>
            <w:iCs/>
            <w:noProof/>
            <w:webHidden/>
            <w:sz w:val="24"/>
            <w:szCs w:val="24"/>
          </w:rPr>
          <w:fldChar w:fldCharType="separate"/>
        </w:r>
        <w:r w:rsidR="00124AFB">
          <w:rPr>
            <w:rFonts w:ascii="Tahoma" w:hAnsi="Tahoma" w:cs="Tahoma"/>
            <w:iCs/>
            <w:noProof/>
            <w:webHidden/>
            <w:sz w:val="24"/>
            <w:szCs w:val="24"/>
          </w:rPr>
          <w:t>116</w:t>
        </w:r>
        <w:r w:rsidR="00DF521C" w:rsidRPr="009E3DBC">
          <w:rPr>
            <w:rFonts w:ascii="Tahoma" w:hAnsi="Tahoma" w:cs="Tahoma"/>
            <w:iCs/>
            <w:noProof/>
            <w:webHidden/>
            <w:sz w:val="24"/>
            <w:szCs w:val="24"/>
          </w:rPr>
          <w:fldChar w:fldCharType="end"/>
        </w:r>
      </w:hyperlink>
    </w:p>
    <w:p w:rsidR="00DF521C" w:rsidRPr="009E3DBC" w:rsidRDefault="00642CE5" w:rsidP="00B84FD6">
      <w:pPr>
        <w:pStyle w:val="TM5"/>
        <w:tabs>
          <w:tab w:val="left" w:pos="1320"/>
          <w:tab w:val="right" w:leader="dot" w:pos="9346"/>
        </w:tabs>
        <w:spacing w:line="360" w:lineRule="auto"/>
        <w:jc w:val="both"/>
        <w:rPr>
          <w:rFonts w:ascii="Tahoma" w:eastAsiaTheme="minorEastAsia" w:hAnsi="Tahoma" w:cs="Tahoma"/>
          <w:iCs/>
          <w:noProof/>
          <w:sz w:val="24"/>
          <w:szCs w:val="24"/>
          <w:lang w:eastAsia="fr-FR"/>
        </w:rPr>
      </w:pPr>
      <w:hyperlink w:anchor="_Toc203643024" w:history="1">
        <w:r w:rsidR="00DF521C" w:rsidRPr="009E3DBC">
          <w:rPr>
            <w:rStyle w:val="Lienhypertexte"/>
            <w:rFonts w:ascii="Tahoma" w:hAnsi="Tahoma" w:cs="Tahoma"/>
            <w:iCs/>
            <w:noProof/>
            <w:sz w:val="24"/>
            <w:szCs w:val="24"/>
          </w:rPr>
          <w:t>f.</w:t>
        </w:r>
        <w:r w:rsidR="00DF521C" w:rsidRPr="009E3DBC">
          <w:rPr>
            <w:rFonts w:ascii="Tahoma" w:eastAsiaTheme="minorEastAsia" w:hAnsi="Tahoma" w:cs="Tahoma"/>
            <w:iCs/>
            <w:noProof/>
            <w:sz w:val="24"/>
            <w:szCs w:val="24"/>
            <w:lang w:eastAsia="fr-FR"/>
          </w:rPr>
          <w:tab/>
        </w:r>
        <w:r w:rsidR="00DF521C" w:rsidRPr="009E3DBC">
          <w:rPr>
            <w:rStyle w:val="Lienhypertexte"/>
            <w:rFonts w:ascii="Tahoma" w:hAnsi="Tahoma" w:cs="Tahoma"/>
            <w:iCs/>
            <w:noProof/>
            <w:sz w:val="24"/>
            <w:szCs w:val="24"/>
          </w:rPr>
          <w:t>Depuis 2017 à ce jour : nouvelles orientations stratégiques et refonte institutionnelle</w:t>
        </w:r>
        <w:r w:rsidR="00DF521C" w:rsidRPr="009E3DBC">
          <w:rPr>
            <w:rFonts w:ascii="Tahoma" w:hAnsi="Tahoma" w:cs="Tahoma"/>
            <w:iCs/>
            <w:noProof/>
            <w:webHidden/>
            <w:sz w:val="24"/>
            <w:szCs w:val="24"/>
          </w:rPr>
          <w:tab/>
        </w:r>
        <w:r w:rsidR="00DF521C" w:rsidRPr="009E3DBC">
          <w:rPr>
            <w:rFonts w:ascii="Tahoma" w:hAnsi="Tahoma" w:cs="Tahoma"/>
            <w:iCs/>
            <w:noProof/>
            <w:webHidden/>
            <w:sz w:val="24"/>
            <w:szCs w:val="24"/>
          </w:rPr>
          <w:fldChar w:fldCharType="begin"/>
        </w:r>
        <w:r w:rsidR="00DF521C" w:rsidRPr="009E3DBC">
          <w:rPr>
            <w:rFonts w:ascii="Tahoma" w:hAnsi="Tahoma" w:cs="Tahoma"/>
            <w:iCs/>
            <w:noProof/>
            <w:webHidden/>
            <w:sz w:val="24"/>
            <w:szCs w:val="24"/>
          </w:rPr>
          <w:instrText xml:space="preserve"> PAGEREF _Toc203643024 \h </w:instrText>
        </w:r>
        <w:r w:rsidR="00DF521C" w:rsidRPr="009E3DBC">
          <w:rPr>
            <w:rFonts w:ascii="Tahoma" w:hAnsi="Tahoma" w:cs="Tahoma"/>
            <w:iCs/>
            <w:noProof/>
            <w:webHidden/>
            <w:sz w:val="24"/>
            <w:szCs w:val="24"/>
          </w:rPr>
        </w:r>
        <w:r w:rsidR="00DF521C" w:rsidRPr="009E3DBC">
          <w:rPr>
            <w:rFonts w:ascii="Tahoma" w:hAnsi="Tahoma" w:cs="Tahoma"/>
            <w:iCs/>
            <w:noProof/>
            <w:webHidden/>
            <w:sz w:val="24"/>
            <w:szCs w:val="24"/>
          </w:rPr>
          <w:fldChar w:fldCharType="separate"/>
        </w:r>
        <w:r w:rsidR="00124AFB">
          <w:rPr>
            <w:rFonts w:ascii="Tahoma" w:hAnsi="Tahoma" w:cs="Tahoma"/>
            <w:iCs/>
            <w:noProof/>
            <w:webHidden/>
            <w:sz w:val="24"/>
            <w:szCs w:val="24"/>
          </w:rPr>
          <w:t>117</w:t>
        </w:r>
        <w:r w:rsidR="00DF521C" w:rsidRPr="009E3DBC">
          <w:rPr>
            <w:rFonts w:ascii="Tahoma" w:hAnsi="Tahoma" w:cs="Tahoma"/>
            <w:iCs/>
            <w:noProof/>
            <w:webHidden/>
            <w:sz w:val="24"/>
            <w:szCs w:val="24"/>
          </w:rPr>
          <w:fldChar w:fldCharType="end"/>
        </w:r>
      </w:hyperlink>
    </w:p>
    <w:p w:rsidR="00DF521C" w:rsidRPr="009E3DBC" w:rsidRDefault="00642CE5" w:rsidP="00B84FD6">
      <w:pPr>
        <w:pStyle w:val="TM3"/>
        <w:tabs>
          <w:tab w:val="left" w:pos="880"/>
          <w:tab w:val="right" w:leader="dot" w:pos="9346"/>
        </w:tabs>
        <w:spacing w:line="360" w:lineRule="auto"/>
        <w:jc w:val="both"/>
        <w:rPr>
          <w:rFonts w:ascii="Tahoma" w:eastAsiaTheme="minorEastAsia" w:hAnsi="Tahoma" w:cs="Tahoma"/>
          <w:i w:val="0"/>
          <w:noProof/>
          <w:sz w:val="24"/>
          <w:lang w:eastAsia="fr-FR"/>
        </w:rPr>
      </w:pPr>
      <w:hyperlink w:anchor="_Toc203643025" w:history="1">
        <w:r w:rsidR="00DF521C" w:rsidRPr="009E3DBC">
          <w:rPr>
            <w:rStyle w:val="Lienhypertexte"/>
            <w:rFonts w:ascii="Tahoma" w:hAnsi="Tahoma" w:cs="Tahoma"/>
            <w:i w:val="0"/>
            <w:noProof/>
            <w:sz w:val="24"/>
            <w14:scene3d>
              <w14:camera w14:prst="orthographicFront"/>
              <w14:lightRig w14:rig="threePt" w14:dir="t">
                <w14:rot w14:lat="0" w14:lon="0" w14:rev="0"/>
              </w14:lightRig>
            </w14:scene3d>
          </w:rPr>
          <w:t>B.</w:t>
        </w:r>
        <w:r w:rsidR="00DF521C" w:rsidRPr="009E3DBC">
          <w:rPr>
            <w:rFonts w:ascii="Tahoma" w:eastAsiaTheme="minorEastAsia" w:hAnsi="Tahoma" w:cs="Tahoma"/>
            <w:i w:val="0"/>
            <w:noProof/>
            <w:sz w:val="24"/>
            <w:lang w:eastAsia="fr-FR"/>
          </w:rPr>
          <w:tab/>
        </w:r>
        <w:r w:rsidR="00DF521C" w:rsidRPr="009E3DBC">
          <w:rPr>
            <w:rStyle w:val="Lienhypertexte"/>
            <w:rFonts w:ascii="Tahoma" w:hAnsi="Tahoma" w:cs="Tahoma"/>
            <w:i w:val="0"/>
            <w:noProof/>
            <w:sz w:val="24"/>
          </w:rPr>
          <w:t>Evolution</w:t>
        </w:r>
        <w:r w:rsidR="00DF521C" w:rsidRPr="009E3DBC">
          <w:rPr>
            <w:rStyle w:val="Lienhypertexte"/>
            <w:rFonts w:ascii="Tahoma" w:hAnsi="Tahoma" w:cs="Tahoma"/>
            <w:i w:val="0"/>
            <w:noProof/>
            <w:spacing w:val="-3"/>
            <w:sz w:val="24"/>
          </w:rPr>
          <w:t xml:space="preserve"> </w:t>
        </w:r>
        <w:r w:rsidR="00DF521C" w:rsidRPr="009E3DBC">
          <w:rPr>
            <w:rStyle w:val="Lienhypertexte"/>
            <w:rFonts w:ascii="Tahoma" w:hAnsi="Tahoma" w:cs="Tahoma"/>
            <w:i w:val="0"/>
            <w:noProof/>
            <w:sz w:val="24"/>
          </w:rPr>
          <w:t>des</w:t>
        </w:r>
        <w:r w:rsidR="00DF521C" w:rsidRPr="009E3DBC">
          <w:rPr>
            <w:rStyle w:val="Lienhypertexte"/>
            <w:rFonts w:ascii="Tahoma" w:hAnsi="Tahoma" w:cs="Tahoma"/>
            <w:i w:val="0"/>
            <w:noProof/>
            <w:spacing w:val="-2"/>
            <w:sz w:val="24"/>
          </w:rPr>
          <w:t xml:space="preserve"> </w:t>
        </w:r>
        <w:r w:rsidR="00DF521C" w:rsidRPr="009E3DBC">
          <w:rPr>
            <w:rStyle w:val="Lienhypertexte"/>
            <w:rFonts w:ascii="Tahoma" w:hAnsi="Tahoma" w:cs="Tahoma"/>
            <w:i w:val="0"/>
            <w:noProof/>
            <w:sz w:val="24"/>
          </w:rPr>
          <w:t>ressources</w:t>
        </w:r>
        <w:r w:rsidR="00DF521C" w:rsidRPr="009E3DBC">
          <w:rPr>
            <w:rStyle w:val="Lienhypertexte"/>
            <w:rFonts w:ascii="Tahoma" w:hAnsi="Tahoma" w:cs="Tahoma"/>
            <w:i w:val="0"/>
            <w:noProof/>
            <w:spacing w:val="-3"/>
            <w:sz w:val="24"/>
          </w:rPr>
          <w:t xml:space="preserve"> </w:t>
        </w:r>
        <w:r w:rsidR="00DF521C" w:rsidRPr="009E3DBC">
          <w:rPr>
            <w:rStyle w:val="Lienhypertexte"/>
            <w:rFonts w:ascii="Tahoma" w:hAnsi="Tahoma" w:cs="Tahoma"/>
            <w:i w:val="0"/>
            <w:noProof/>
            <w:sz w:val="24"/>
          </w:rPr>
          <w:t>humaines</w:t>
        </w:r>
        <w:r w:rsidR="00DF521C" w:rsidRPr="009E3DBC">
          <w:rPr>
            <w:rStyle w:val="Lienhypertexte"/>
            <w:rFonts w:ascii="Tahoma" w:hAnsi="Tahoma" w:cs="Tahoma"/>
            <w:i w:val="0"/>
            <w:noProof/>
            <w:spacing w:val="-2"/>
            <w:sz w:val="24"/>
          </w:rPr>
          <w:t xml:space="preserve"> </w:t>
        </w:r>
        <w:r w:rsidR="00DF521C" w:rsidRPr="009E3DBC">
          <w:rPr>
            <w:rStyle w:val="Lienhypertexte"/>
            <w:rFonts w:ascii="Tahoma" w:hAnsi="Tahoma" w:cs="Tahoma"/>
            <w:i w:val="0"/>
            <w:noProof/>
            <w:sz w:val="24"/>
          </w:rPr>
          <w:t>et</w:t>
        </w:r>
        <w:r w:rsidR="00DF521C" w:rsidRPr="009E3DBC">
          <w:rPr>
            <w:rStyle w:val="Lienhypertexte"/>
            <w:rFonts w:ascii="Tahoma" w:hAnsi="Tahoma" w:cs="Tahoma"/>
            <w:i w:val="0"/>
            <w:noProof/>
            <w:spacing w:val="-3"/>
            <w:sz w:val="24"/>
          </w:rPr>
          <w:t xml:space="preserve"> </w:t>
        </w:r>
        <w:r w:rsidR="00DF521C" w:rsidRPr="009E3DBC">
          <w:rPr>
            <w:rStyle w:val="Lienhypertexte"/>
            <w:rFonts w:ascii="Tahoma" w:hAnsi="Tahoma" w:cs="Tahoma"/>
            <w:i w:val="0"/>
            <w:noProof/>
            <w:sz w:val="24"/>
          </w:rPr>
          <w:t>création</w:t>
        </w:r>
        <w:r w:rsidR="00DF521C" w:rsidRPr="009E3DBC">
          <w:rPr>
            <w:rStyle w:val="Lienhypertexte"/>
            <w:rFonts w:ascii="Tahoma" w:hAnsi="Tahoma" w:cs="Tahoma"/>
            <w:i w:val="0"/>
            <w:noProof/>
            <w:spacing w:val="-3"/>
            <w:sz w:val="24"/>
          </w:rPr>
          <w:t xml:space="preserve"> </w:t>
        </w:r>
        <w:r w:rsidR="00DF521C" w:rsidRPr="009E3DBC">
          <w:rPr>
            <w:rStyle w:val="Lienhypertexte"/>
            <w:rFonts w:ascii="Tahoma" w:hAnsi="Tahoma" w:cs="Tahoma"/>
            <w:i w:val="0"/>
            <w:noProof/>
            <w:sz w:val="24"/>
          </w:rPr>
          <w:t>de</w:t>
        </w:r>
        <w:r w:rsidR="00DF521C" w:rsidRPr="009E3DBC">
          <w:rPr>
            <w:rStyle w:val="Lienhypertexte"/>
            <w:rFonts w:ascii="Tahoma" w:hAnsi="Tahoma" w:cs="Tahoma"/>
            <w:i w:val="0"/>
            <w:noProof/>
            <w:spacing w:val="-2"/>
            <w:sz w:val="24"/>
          </w:rPr>
          <w:t xml:space="preserve"> </w:t>
        </w:r>
        <w:r w:rsidR="00DF521C" w:rsidRPr="009E3DBC">
          <w:rPr>
            <w:rStyle w:val="Lienhypertexte"/>
            <w:rFonts w:ascii="Tahoma" w:hAnsi="Tahoma" w:cs="Tahoma"/>
            <w:i w:val="0"/>
            <w:noProof/>
            <w:sz w:val="24"/>
          </w:rPr>
          <w:t>l’ENFI</w:t>
        </w:r>
        <w:r w:rsidR="00DF521C" w:rsidRPr="009E3DBC">
          <w:rPr>
            <w:rFonts w:ascii="Tahoma" w:hAnsi="Tahoma" w:cs="Tahoma"/>
            <w:i w:val="0"/>
            <w:noProof/>
            <w:webHidden/>
            <w:sz w:val="24"/>
          </w:rPr>
          <w:tab/>
        </w:r>
        <w:r w:rsidR="00DF521C" w:rsidRPr="009E3DBC">
          <w:rPr>
            <w:rFonts w:ascii="Tahoma" w:hAnsi="Tahoma" w:cs="Tahoma"/>
            <w:i w:val="0"/>
            <w:noProof/>
            <w:webHidden/>
            <w:sz w:val="24"/>
          </w:rPr>
          <w:fldChar w:fldCharType="begin"/>
        </w:r>
        <w:r w:rsidR="00DF521C" w:rsidRPr="009E3DBC">
          <w:rPr>
            <w:rFonts w:ascii="Tahoma" w:hAnsi="Tahoma" w:cs="Tahoma"/>
            <w:i w:val="0"/>
            <w:noProof/>
            <w:webHidden/>
            <w:sz w:val="24"/>
          </w:rPr>
          <w:instrText xml:space="preserve"> PAGEREF _Toc203643025 \h </w:instrText>
        </w:r>
        <w:r w:rsidR="00DF521C" w:rsidRPr="009E3DBC">
          <w:rPr>
            <w:rFonts w:ascii="Tahoma" w:hAnsi="Tahoma" w:cs="Tahoma"/>
            <w:i w:val="0"/>
            <w:noProof/>
            <w:webHidden/>
            <w:sz w:val="24"/>
          </w:rPr>
        </w:r>
        <w:r w:rsidR="00DF521C" w:rsidRPr="009E3DBC">
          <w:rPr>
            <w:rFonts w:ascii="Tahoma" w:hAnsi="Tahoma" w:cs="Tahoma"/>
            <w:i w:val="0"/>
            <w:noProof/>
            <w:webHidden/>
            <w:sz w:val="24"/>
          </w:rPr>
          <w:fldChar w:fldCharType="separate"/>
        </w:r>
        <w:r w:rsidR="00124AFB">
          <w:rPr>
            <w:rFonts w:ascii="Tahoma" w:hAnsi="Tahoma" w:cs="Tahoma"/>
            <w:i w:val="0"/>
            <w:noProof/>
            <w:webHidden/>
            <w:sz w:val="24"/>
          </w:rPr>
          <w:t>119</w:t>
        </w:r>
        <w:r w:rsidR="00DF521C" w:rsidRPr="009E3DBC">
          <w:rPr>
            <w:rFonts w:ascii="Tahoma" w:hAnsi="Tahoma" w:cs="Tahoma"/>
            <w:i w:val="0"/>
            <w:noProof/>
            <w:webHidden/>
            <w:sz w:val="24"/>
          </w:rPr>
          <w:fldChar w:fldCharType="end"/>
        </w:r>
      </w:hyperlink>
    </w:p>
    <w:p w:rsidR="00DF521C" w:rsidRPr="009E3DBC" w:rsidRDefault="00642CE5" w:rsidP="00B84FD6">
      <w:pPr>
        <w:pStyle w:val="TM4"/>
        <w:tabs>
          <w:tab w:val="left" w:pos="1100"/>
          <w:tab w:val="right" w:leader="dot" w:pos="9346"/>
        </w:tabs>
        <w:spacing w:line="360" w:lineRule="auto"/>
        <w:jc w:val="both"/>
        <w:rPr>
          <w:rFonts w:ascii="Tahoma" w:eastAsiaTheme="minorEastAsia" w:hAnsi="Tahoma" w:cs="Tahoma"/>
          <w:iCs/>
          <w:noProof/>
          <w:sz w:val="24"/>
          <w:szCs w:val="24"/>
          <w:lang w:eastAsia="fr-FR"/>
        </w:rPr>
      </w:pPr>
      <w:hyperlink w:anchor="_Toc203643026" w:history="1">
        <w:r w:rsidR="00DF521C" w:rsidRPr="009E3DBC">
          <w:rPr>
            <w:rStyle w:val="Lienhypertexte"/>
            <w:rFonts w:ascii="Tahoma" w:hAnsi="Tahoma" w:cs="Tahoma"/>
            <w:iCs/>
            <w:noProof/>
            <w:sz w:val="24"/>
            <w:szCs w:val="24"/>
            <w14:scene3d>
              <w14:camera w14:prst="orthographicFront"/>
              <w14:lightRig w14:rig="threePt" w14:dir="t">
                <w14:rot w14:lat="0" w14:lon="0" w14:rev="0"/>
              </w14:lightRig>
            </w14:scene3d>
          </w:rPr>
          <w:t>1.</w:t>
        </w:r>
        <w:r w:rsidR="00DF521C" w:rsidRPr="009E3DBC">
          <w:rPr>
            <w:rFonts w:ascii="Tahoma" w:eastAsiaTheme="minorEastAsia" w:hAnsi="Tahoma" w:cs="Tahoma"/>
            <w:iCs/>
            <w:noProof/>
            <w:sz w:val="24"/>
            <w:szCs w:val="24"/>
            <w:lang w:eastAsia="fr-FR"/>
          </w:rPr>
          <w:tab/>
        </w:r>
        <w:r w:rsidR="00DF521C" w:rsidRPr="009E3DBC">
          <w:rPr>
            <w:rStyle w:val="Lienhypertexte"/>
            <w:rFonts w:ascii="Tahoma" w:hAnsi="Tahoma" w:cs="Tahoma"/>
            <w:iCs/>
            <w:noProof/>
            <w:sz w:val="24"/>
            <w:szCs w:val="24"/>
          </w:rPr>
          <w:t>Evolution des ressources humaines au sein du département des Eaux et Forêts</w:t>
        </w:r>
        <w:r w:rsidR="00DF521C" w:rsidRPr="009E3DBC">
          <w:rPr>
            <w:rFonts w:ascii="Tahoma" w:hAnsi="Tahoma" w:cs="Tahoma"/>
            <w:iCs/>
            <w:noProof/>
            <w:webHidden/>
            <w:sz w:val="24"/>
            <w:szCs w:val="24"/>
          </w:rPr>
          <w:tab/>
        </w:r>
        <w:r w:rsidR="00DF521C" w:rsidRPr="009E3DBC">
          <w:rPr>
            <w:rFonts w:ascii="Tahoma" w:hAnsi="Tahoma" w:cs="Tahoma"/>
            <w:iCs/>
            <w:noProof/>
            <w:webHidden/>
            <w:sz w:val="24"/>
            <w:szCs w:val="24"/>
          </w:rPr>
          <w:fldChar w:fldCharType="begin"/>
        </w:r>
        <w:r w:rsidR="00DF521C" w:rsidRPr="009E3DBC">
          <w:rPr>
            <w:rFonts w:ascii="Tahoma" w:hAnsi="Tahoma" w:cs="Tahoma"/>
            <w:iCs/>
            <w:noProof/>
            <w:webHidden/>
            <w:sz w:val="24"/>
            <w:szCs w:val="24"/>
          </w:rPr>
          <w:instrText xml:space="preserve"> PAGEREF _Toc203643026 \h </w:instrText>
        </w:r>
        <w:r w:rsidR="00DF521C" w:rsidRPr="009E3DBC">
          <w:rPr>
            <w:rFonts w:ascii="Tahoma" w:hAnsi="Tahoma" w:cs="Tahoma"/>
            <w:iCs/>
            <w:noProof/>
            <w:webHidden/>
            <w:sz w:val="24"/>
            <w:szCs w:val="24"/>
          </w:rPr>
        </w:r>
        <w:r w:rsidR="00DF521C" w:rsidRPr="009E3DBC">
          <w:rPr>
            <w:rFonts w:ascii="Tahoma" w:hAnsi="Tahoma" w:cs="Tahoma"/>
            <w:iCs/>
            <w:noProof/>
            <w:webHidden/>
            <w:sz w:val="24"/>
            <w:szCs w:val="24"/>
          </w:rPr>
          <w:fldChar w:fldCharType="separate"/>
        </w:r>
        <w:r w:rsidR="00124AFB">
          <w:rPr>
            <w:rFonts w:ascii="Tahoma" w:hAnsi="Tahoma" w:cs="Tahoma"/>
            <w:iCs/>
            <w:noProof/>
            <w:webHidden/>
            <w:sz w:val="24"/>
            <w:szCs w:val="24"/>
          </w:rPr>
          <w:t>120</w:t>
        </w:r>
        <w:r w:rsidR="00DF521C" w:rsidRPr="009E3DBC">
          <w:rPr>
            <w:rFonts w:ascii="Tahoma" w:hAnsi="Tahoma" w:cs="Tahoma"/>
            <w:iCs/>
            <w:noProof/>
            <w:webHidden/>
            <w:sz w:val="24"/>
            <w:szCs w:val="24"/>
          </w:rPr>
          <w:fldChar w:fldCharType="end"/>
        </w:r>
      </w:hyperlink>
    </w:p>
    <w:p w:rsidR="00DF521C" w:rsidRPr="009E3DBC" w:rsidRDefault="00642CE5" w:rsidP="00B84FD6">
      <w:pPr>
        <w:pStyle w:val="TM4"/>
        <w:tabs>
          <w:tab w:val="left" w:pos="1100"/>
          <w:tab w:val="right" w:leader="dot" w:pos="9346"/>
        </w:tabs>
        <w:spacing w:line="360" w:lineRule="auto"/>
        <w:jc w:val="both"/>
        <w:rPr>
          <w:rFonts w:ascii="Tahoma" w:eastAsiaTheme="minorEastAsia" w:hAnsi="Tahoma" w:cs="Tahoma"/>
          <w:iCs/>
          <w:noProof/>
          <w:sz w:val="24"/>
          <w:szCs w:val="24"/>
          <w:lang w:eastAsia="fr-FR"/>
        </w:rPr>
      </w:pPr>
      <w:hyperlink w:anchor="_Toc203643027" w:history="1">
        <w:r w:rsidR="00DF521C" w:rsidRPr="009E3DBC">
          <w:rPr>
            <w:rStyle w:val="Lienhypertexte"/>
            <w:rFonts w:ascii="Tahoma" w:hAnsi="Tahoma" w:cs="Tahoma"/>
            <w:iCs/>
            <w:noProof/>
            <w:sz w:val="24"/>
            <w:szCs w:val="24"/>
            <w14:scene3d>
              <w14:camera w14:prst="orthographicFront"/>
              <w14:lightRig w14:rig="threePt" w14:dir="t">
                <w14:rot w14:lat="0" w14:lon="0" w14:rev="0"/>
              </w14:lightRig>
            </w14:scene3d>
          </w:rPr>
          <w:t>2.</w:t>
        </w:r>
        <w:r w:rsidR="00DF521C" w:rsidRPr="009E3DBC">
          <w:rPr>
            <w:rFonts w:ascii="Tahoma" w:eastAsiaTheme="minorEastAsia" w:hAnsi="Tahoma" w:cs="Tahoma"/>
            <w:iCs/>
            <w:noProof/>
            <w:sz w:val="24"/>
            <w:szCs w:val="24"/>
            <w:lang w:eastAsia="fr-FR"/>
          </w:rPr>
          <w:tab/>
        </w:r>
        <w:r w:rsidR="00DF521C" w:rsidRPr="009E3DBC">
          <w:rPr>
            <w:rStyle w:val="Lienhypertexte"/>
            <w:rFonts w:ascii="Tahoma" w:hAnsi="Tahoma" w:cs="Tahoma"/>
            <w:iCs/>
            <w:noProof/>
            <w:sz w:val="24"/>
            <w:szCs w:val="24"/>
          </w:rPr>
          <w:t>Création de l'ENFI : vers une professionnalisation du secteur forestier</w:t>
        </w:r>
        <w:r w:rsidR="00DF521C" w:rsidRPr="009E3DBC">
          <w:rPr>
            <w:rFonts w:ascii="Tahoma" w:hAnsi="Tahoma" w:cs="Tahoma"/>
            <w:iCs/>
            <w:noProof/>
            <w:webHidden/>
            <w:sz w:val="24"/>
            <w:szCs w:val="24"/>
          </w:rPr>
          <w:tab/>
        </w:r>
        <w:r w:rsidR="00DF521C" w:rsidRPr="009E3DBC">
          <w:rPr>
            <w:rFonts w:ascii="Tahoma" w:hAnsi="Tahoma" w:cs="Tahoma"/>
            <w:iCs/>
            <w:noProof/>
            <w:webHidden/>
            <w:sz w:val="24"/>
            <w:szCs w:val="24"/>
          </w:rPr>
          <w:fldChar w:fldCharType="begin"/>
        </w:r>
        <w:r w:rsidR="00DF521C" w:rsidRPr="009E3DBC">
          <w:rPr>
            <w:rFonts w:ascii="Tahoma" w:hAnsi="Tahoma" w:cs="Tahoma"/>
            <w:iCs/>
            <w:noProof/>
            <w:webHidden/>
            <w:sz w:val="24"/>
            <w:szCs w:val="24"/>
          </w:rPr>
          <w:instrText xml:space="preserve"> PAGEREF _Toc203643027 \h </w:instrText>
        </w:r>
        <w:r w:rsidR="00DF521C" w:rsidRPr="009E3DBC">
          <w:rPr>
            <w:rFonts w:ascii="Tahoma" w:hAnsi="Tahoma" w:cs="Tahoma"/>
            <w:iCs/>
            <w:noProof/>
            <w:webHidden/>
            <w:sz w:val="24"/>
            <w:szCs w:val="24"/>
          </w:rPr>
        </w:r>
        <w:r w:rsidR="00DF521C" w:rsidRPr="009E3DBC">
          <w:rPr>
            <w:rFonts w:ascii="Tahoma" w:hAnsi="Tahoma" w:cs="Tahoma"/>
            <w:iCs/>
            <w:noProof/>
            <w:webHidden/>
            <w:sz w:val="24"/>
            <w:szCs w:val="24"/>
          </w:rPr>
          <w:fldChar w:fldCharType="separate"/>
        </w:r>
        <w:r w:rsidR="00124AFB">
          <w:rPr>
            <w:rFonts w:ascii="Tahoma" w:hAnsi="Tahoma" w:cs="Tahoma"/>
            <w:iCs/>
            <w:noProof/>
            <w:webHidden/>
            <w:sz w:val="24"/>
            <w:szCs w:val="24"/>
          </w:rPr>
          <w:t>126</w:t>
        </w:r>
        <w:r w:rsidR="00DF521C" w:rsidRPr="009E3DBC">
          <w:rPr>
            <w:rFonts w:ascii="Tahoma" w:hAnsi="Tahoma" w:cs="Tahoma"/>
            <w:iCs/>
            <w:noProof/>
            <w:webHidden/>
            <w:sz w:val="24"/>
            <w:szCs w:val="24"/>
          </w:rPr>
          <w:fldChar w:fldCharType="end"/>
        </w:r>
      </w:hyperlink>
    </w:p>
    <w:p w:rsidR="00DF521C" w:rsidRPr="009E3DBC" w:rsidRDefault="00642CE5" w:rsidP="00B84FD6">
      <w:pPr>
        <w:pStyle w:val="TM1"/>
        <w:rPr>
          <w:rFonts w:eastAsiaTheme="minorEastAsia"/>
          <w:b w:val="0"/>
          <w:bCs w:val="0"/>
          <w:caps w:val="0"/>
          <w:szCs w:val="24"/>
          <w:lang w:eastAsia="fr-FR"/>
        </w:rPr>
      </w:pPr>
      <w:hyperlink w:anchor="_Toc203643028" w:history="1">
        <w:r w:rsidR="00DF521C" w:rsidRPr="009E3DBC">
          <w:rPr>
            <w:rStyle w:val="Lienhypertexte"/>
            <w:szCs w:val="24"/>
          </w:rPr>
          <w:t>Chapitre 2 : Écosystèmes forestiers marocains : Enjeux de protection juridique et dégradation anthropique</w:t>
        </w:r>
        <w:r w:rsidR="00DF521C" w:rsidRPr="009E3DBC">
          <w:rPr>
            <w:webHidden/>
            <w:szCs w:val="24"/>
          </w:rPr>
          <w:tab/>
        </w:r>
        <w:r w:rsidR="00DF521C" w:rsidRPr="009E3DBC">
          <w:rPr>
            <w:webHidden/>
            <w:szCs w:val="24"/>
          </w:rPr>
          <w:fldChar w:fldCharType="begin"/>
        </w:r>
        <w:r w:rsidR="00DF521C" w:rsidRPr="009E3DBC">
          <w:rPr>
            <w:webHidden/>
            <w:szCs w:val="24"/>
          </w:rPr>
          <w:instrText xml:space="preserve"> PAGEREF _Toc203643028 \h </w:instrText>
        </w:r>
        <w:r w:rsidR="00DF521C" w:rsidRPr="009E3DBC">
          <w:rPr>
            <w:webHidden/>
            <w:szCs w:val="24"/>
          </w:rPr>
        </w:r>
        <w:r w:rsidR="00DF521C" w:rsidRPr="009E3DBC">
          <w:rPr>
            <w:webHidden/>
            <w:szCs w:val="24"/>
          </w:rPr>
          <w:fldChar w:fldCharType="separate"/>
        </w:r>
        <w:r w:rsidR="00124AFB">
          <w:rPr>
            <w:webHidden/>
            <w:szCs w:val="24"/>
          </w:rPr>
          <w:t>141</w:t>
        </w:r>
        <w:r w:rsidR="00DF521C" w:rsidRPr="009E3DBC">
          <w:rPr>
            <w:webHidden/>
            <w:szCs w:val="24"/>
          </w:rPr>
          <w:fldChar w:fldCharType="end"/>
        </w:r>
      </w:hyperlink>
    </w:p>
    <w:p w:rsidR="00DF521C" w:rsidRPr="009E3DBC" w:rsidRDefault="00642CE5" w:rsidP="00B84FD6">
      <w:pPr>
        <w:pStyle w:val="TM2"/>
        <w:tabs>
          <w:tab w:val="right" w:leader="dot" w:pos="9346"/>
        </w:tabs>
        <w:spacing w:line="360" w:lineRule="auto"/>
        <w:jc w:val="both"/>
        <w:rPr>
          <w:rFonts w:ascii="Tahoma" w:eastAsiaTheme="minorEastAsia" w:hAnsi="Tahoma" w:cs="Tahoma"/>
          <w:iCs/>
          <w:smallCaps w:val="0"/>
          <w:noProof/>
          <w:sz w:val="24"/>
          <w:lang w:eastAsia="fr-FR"/>
        </w:rPr>
      </w:pPr>
      <w:hyperlink w:anchor="_Toc203643029" w:history="1">
        <w:r w:rsidR="00DF521C" w:rsidRPr="009E3DBC">
          <w:rPr>
            <w:rStyle w:val="Lienhypertexte"/>
            <w:rFonts w:ascii="Tahoma" w:hAnsi="Tahoma" w:cs="Tahoma"/>
            <w:iCs/>
            <w:noProof/>
            <w:sz w:val="24"/>
          </w:rPr>
          <w:t>Première</w:t>
        </w:r>
        <w:r w:rsidR="00DF521C" w:rsidRPr="009E3DBC">
          <w:rPr>
            <w:rStyle w:val="Lienhypertexte"/>
            <w:rFonts w:ascii="Tahoma" w:hAnsi="Tahoma" w:cs="Tahoma"/>
            <w:iCs/>
            <w:noProof/>
            <w:spacing w:val="-2"/>
            <w:sz w:val="24"/>
          </w:rPr>
          <w:t xml:space="preserve"> </w:t>
        </w:r>
        <w:r w:rsidR="00DF521C" w:rsidRPr="009E3DBC">
          <w:rPr>
            <w:rStyle w:val="Lienhypertexte"/>
            <w:rFonts w:ascii="Tahoma" w:hAnsi="Tahoma" w:cs="Tahoma"/>
            <w:iCs/>
            <w:noProof/>
            <w:sz w:val="24"/>
          </w:rPr>
          <w:t>section</w:t>
        </w:r>
        <w:r w:rsidR="00DF521C" w:rsidRPr="009E3DBC">
          <w:rPr>
            <w:rStyle w:val="Lienhypertexte"/>
            <w:rFonts w:ascii="Tahoma" w:hAnsi="Tahoma" w:cs="Tahoma"/>
            <w:iCs/>
            <w:noProof/>
            <w:spacing w:val="-3"/>
            <w:sz w:val="24"/>
          </w:rPr>
          <w:t xml:space="preserve"> </w:t>
        </w:r>
        <w:r w:rsidR="00DF521C" w:rsidRPr="009E3DBC">
          <w:rPr>
            <w:rStyle w:val="Lienhypertexte"/>
            <w:rFonts w:ascii="Tahoma" w:hAnsi="Tahoma" w:cs="Tahoma"/>
            <w:iCs/>
            <w:noProof/>
            <w:sz w:val="24"/>
          </w:rPr>
          <w:t>:</w:t>
        </w:r>
        <w:r w:rsidR="00DF521C" w:rsidRPr="009E3DBC">
          <w:rPr>
            <w:rStyle w:val="Lienhypertexte"/>
            <w:rFonts w:ascii="Tahoma" w:hAnsi="Tahoma" w:cs="Tahoma"/>
            <w:iCs/>
            <w:noProof/>
            <w:spacing w:val="-1"/>
            <w:sz w:val="24"/>
          </w:rPr>
          <w:t xml:space="preserve"> </w:t>
        </w:r>
        <w:r w:rsidR="00DF521C" w:rsidRPr="009E3DBC">
          <w:rPr>
            <w:rStyle w:val="Lienhypertexte"/>
            <w:rFonts w:ascii="Tahoma" w:hAnsi="Tahoma" w:cs="Tahoma"/>
            <w:iCs/>
            <w:noProof/>
            <w:sz w:val="24"/>
          </w:rPr>
          <w:t>Diversité et richesse du patrimoine floral forestier marocain</w:t>
        </w:r>
        <w:r w:rsidR="00DF521C" w:rsidRPr="009E3DBC">
          <w:rPr>
            <w:rFonts w:ascii="Tahoma" w:hAnsi="Tahoma" w:cs="Tahoma"/>
            <w:iCs/>
            <w:noProof/>
            <w:webHidden/>
            <w:sz w:val="24"/>
          </w:rPr>
          <w:tab/>
        </w:r>
        <w:r w:rsidR="00DF521C" w:rsidRPr="009E3DBC">
          <w:rPr>
            <w:rFonts w:ascii="Tahoma" w:hAnsi="Tahoma" w:cs="Tahoma"/>
            <w:iCs/>
            <w:noProof/>
            <w:webHidden/>
            <w:sz w:val="24"/>
          </w:rPr>
          <w:fldChar w:fldCharType="begin"/>
        </w:r>
        <w:r w:rsidR="00DF521C" w:rsidRPr="009E3DBC">
          <w:rPr>
            <w:rFonts w:ascii="Tahoma" w:hAnsi="Tahoma" w:cs="Tahoma"/>
            <w:iCs/>
            <w:noProof/>
            <w:webHidden/>
            <w:sz w:val="24"/>
          </w:rPr>
          <w:instrText xml:space="preserve"> PAGEREF _Toc203643029 \h </w:instrText>
        </w:r>
        <w:r w:rsidR="00DF521C" w:rsidRPr="009E3DBC">
          <w:rPr>
            <w:rFonts w:ascii="Tahoma" w:hAnsi="Tahoma" w:cs="Tahoma"/>
            <w:iCs/>
            <w:noProof/>
            <w:webHidden/>
            <w:sz w:val="24"/>
          </w:rPr>
        </w:r>
        <w:r w:rsidR="00DF521C" w:rsidRPr="009E3DBC">
          <w:rPr>
            <w:rFonts w:ascii="Tahoma" w:hAnsi="Tahoma" w:cs="Tahoma"/>
            <w:iCs/>
            <w:noProof/>
            <w:webHidden/>
            <w:sz w:val="24"/>
          </w:rPr>
          <w:fldChar w:fldCharType="separate"/>
        </w:r>
        <w:r w:rsidR="00124AFB">
          <w:rPr>
            <w:rFonts w:ascii="Tahoma" w:hAnsi="Tahoma" w:cs="Tahoma"/>
            <w:iCs/>
            <w:noProof/>
            <w:webHidden/>
            <w:sz w:val="24"/>
          </w:rPr>
          <w:t>141</w:t>
        </w:r>
        <w:r w:rsidR="00DF521C" w:rsidRPr="009E3DBC">
          <w:rPr>
            <w:rFonts w:ascii="Tahoma" w:hAnsi="Tahoma" w:cs="Tahoma"/>
            <w:iCs/>
            <w:noProof/>
            <w:webHidden/>
            <w:sz w:val="24"/>
          </w:rPr>
          <w:fldChar w:fldCharType="end"/>
        </w:r>
      </w:hyperlink>
    </w:p>
    <w:p w:rsidR="00DF521C" w:rsidRPr="009E3DBC" w:rsidRDefault="00642CE5" w:rsidP="00B84FD6">
      <w:pPr>
        <w:pStyle w:val="TM3"/>
        <w:tabs>
          <w:tab w:val="left" w:pos="880"/>
          <w:tab w:val="right" w:leader="dot" w:pos="9346"/>
        </w:tabs>
        <w:spacing w:line="360" w:lineRule="auto"/>
        <w:jc w:val="both"/>
        <w:rPr>
          <w:rFonts w:ascii="Tahoma" w:eastAsiaTheme="minorEastAsia" w:hAnsi="Tahoma" w:cs="Tahoma"/>
          <w:i w:val="0"/>
          <w:noProof/>
          <w:sz w:val="24"/>
          <w:lang w:eastAsia="fr-FR"/>
        </w:rPr>
      </w:pPr>
      <w:hyperlink w:anchor="_Toc203643030" w:history="1">
        <w:r w:rsidR="00DF521C" w:rsidRPr="009E3DBC">
          <w:rPr>
            <w:rStyle w:val="Lienhypertexte"/>
            <w:rFonts w:ascii="Tahoma" w:hAnsi="Tahoma" w:cs="Tahoma"/>
            <w:i w:val="0"/>
            <w:noProof/>
            <w:sz w:val="24"/>
            <w14:scene3d>
              <w14:camera w14:prst="orthographicFront"/>
              <w14:lightRig w14:rig="threePt" w14:dir="t">
                <w14:rot w14:lat="0" w14:lon="0" w14:rev="0"/>
              </w14:lightRig>
            </w14:scene3d>
          </w:rPr>
          <w:t>A.</w:t>
        </w:r>
        <w:r w:rsidR="00DF521C" w:rsidRPr="009E3DBC">
          <w:rPr>
            <w:rFonts w:ascii="Tahoma" w:eastAsiaTheme="minorEastAsia" w:hAnsi="Tahoma" w:cs="Tahoma"/>
            <w:i w:val="0"/>
            <w:noProof/>
            <w:sz w:val="24"/>
            <w:lang w:eastAsia="fr-FR"/>
          </w:rPr>
          <w:tab/>
        </w:r>
        <w:r w:rsidR="00DF521C" w:rsidRPr="009E3DBC">
          <w:rPr>
            <w:rStyle w:val="Lienhypertexte"/>
            <w:rFonts w:ascii="Tahoma" w:hAnsi="Tahoma" w:cs="Tahoma"/>
            <w:i w:val="0"/>
            <w:noProof/>
            <w:sz w:val="24"/>
          </w:rPr>
          <w:t>Multifonctionnalité du patrimoine floristique forestier marocain : enjeux et perspectives</w:t>
        </w:r>
        <w:r w:rsidR="00DF521C" w:rsidRPr="009E3DBC">
          <w:rPr>
            <w:rFonts w:ascii="Tahoma" w:hAnsi="Tahoma" w:cs="Tahoma"/>
            <w:i w:val="0"/>
            <w:noProof/>
            <w:webHidden/>
            <w:sz w:val="24"/>
          </w:rPr>
          <w:tab/>
        </w:r>
        <w:r w:rsidR="00DF521C" w:rsidRPr="009E3DBC">
          <w:rPr>
            <w:rFonts w:ascii="Tahoma" w:hAnsi="Tahoma" w:cs="Tahoma"/>
            <w:i w:val="0"/>
            <w:noProof/>
            <w:webHidden/>
            <w:sz w:val="24"/>
          </w:rPr>
          <w:fldChar w:fldCharType="begin"/>
        </w:r>
        <w:r w:rsidR="00DF521C" w:rsidRPr="009E3DBC">
          <w:rPr>
            <w:rFonts w:ascii="Tahoma" w:hAnsi="Tahoma" w:cs="Tahoma"/>
            <w:i w:val="0"/>
            <w:noProof/>
            <w:webHidden/>
            <w:sz w:val="24"/>
          </w:rPr>
          <w:instrText xml:space="preserve"> PAGEREF _Toc203643030 \h </w:instrText>
        </w:r>
        <w:r w:rsidR="00DF521C" w:rsidRPr="009E3DBC">
          <w:rPr>
            <w:rFonts w:ascii="Tahoma" w:hAnsi="Tahoma" w:cs="Tahoma"/>
            <w:i w:val="0"/>
            <w:noProof/>
            <w:webHidden/>
            <w:sz w:val="24"/>
          </w:rPr>
        </w:r>
        <w:r w:rsidR="00DF521C" w:rsidRPr="009E3DBC">
          <w:rPr>
            <w:rFonts w:ascii="Tahoma" w:hAnsi="Tahoma" w:cs="Tahoma"/>
            <w:i w:val="0"/>
            <w:noProof/>
            <w:webHidden/>
            <w:sz w:val="24"/>
          </w:rPr>
          <w:fldChar w:fldCharType="separate"/>
        </w:r>
        <w:r w:rsidR="00124AFB">
          <w:rPr>
            <w:rFonts w:ascii="Tahoma" w:hAnsi="Tahoma" w:cs="Tahoma"/>
            <w:i w:val="0"/>
            <w:noProof/>
            <w:webHidden/>
            <w:sz w:val="24"/>
          </w:rPr>
          <w:t>142</w:t>
        </w:r>
        <w:r w:rsidR="00DF521C" w:rsidRPr="009E3DBC">
          <w:rPr>
            <w:rFonts w:ascii="Tahoma" w:hAnsi="Tahoma" w:cs="Tahoma"/>
            <w:i w:val="0"/>
            <w:noProof/>
            <w:webHidden/>
            <w:sz w:val="24"/>
          </w:rPr>
          <w:fldChar w:fldCharType="end"/>
        </w:r>
      </w:hyperlink>
    </w:p>
    <w:p w:rsidR="00DF521C" w:rsidRPr="009E3DBC" w:rsidRDefault="00642CE5" w:rsidP="00B84FD6">
      <w:pPr>
        <w:pStyle w:val="TM4"/>
        <w:tabs>
          <w:tab w:val="left" w:pos="1100"/>
          <w:tab w:val="right" w:leader="dot" w:pos="9346"/>
        </w:tabs>
        <w:spacing w:line="360" w:lineRule="auto"/>
        <w:jc w:val="both"/>
        <w:rPr>
          <w:rFonts w:ascii="Tahoma" w:eastAsiaTheme="minorEastAsia" w:hAnsi="Tahoma" w:cs="Tahoma"/>
          <w:iCs/>
          <w:noProof/>
          <w:sz w:val="24"/>
          <w:szCs w:val="24"/>
          <w:lang w:eastAsia="fr-FR"/>
        </w:rPr>
      </w:pPr>
      <w:hyperlink w:anchor="_Toc203643031" w:history="1">
        <w:r w:rsidR="00DF521C" w:rsidRPr="009E3DBC">
          <w:rPr>
            <w:rStyle w:val="Lienhypertexte"/>
            <w:rFonts w:ascii="Tahoma" w:hAnsi="Tahoma" w:cs="Tahoma"/>
            <w:iCs/>
            <w:noProof/>
            <w:sz w:val="24"/>
            <w:szCs w:val="24"/>
            <w14:scene3d>
              <w14:camera w14:prst="orthographicFront"/>
              <w14:lightRig w14:rig="threePt" w14:dir="t">
                <w14:rot w14:lat="0" w14:lon="0" w14:rev="0"/>
              </w14:lightRig>
            </w14:scene3d>
          </w:rPr>
          <w:t>1.</w:t>
        </w:r>
        <w:r w:rsidR="00DF521C" w:rsidRPr="009E3DBC">
          <w:rPr>
            <w:rFonts w:ascii="Tahoma" w:eastAsiaTheme="minorEastAsia" w:hAnsi="Tahoma" w:cs="Tahoma"/>
            <w:iCs/>
            <w:noProof/>
            <w:sz w:val="24"/>
            <w:szCs w:val="24"/>
            <w:lang w:eastAsia="fr-FR"/>
          </w:rPr>
          <w:tab/>
        </w:r>
        <w:r w:rsidR="00DF521C" w:rsidRPr="009E3DBC">
          <w:rPr>
            <w:rStyle w:val="Lienhypertexte"/>
            <w:rFonts w:ascii="Tahoma" w:hAnsi="Tahoma" w:cs="Tahoma"/>
            <w:iCs/>
            <w:noProof/>
            <w:sz w:val="24"/>
            <w:szCs w:val="24"/>
          </w:rPr>
          <w:t>Importance du patrimoine floristique forestier national</w:t>
        </w:r>
        <w:r w:rsidR="00DF521C" w:rsidRPr="009E3DBC">
          <w:rPr>
            <w:rFonts w:ascii="Tahoma" w:hAnsi="Tahoma" w:cs="Tahoma"/>
            <w:iCs/>
            <w:noProof/>
            <w:webHidden/>
            <w:sz w:val="24"/>
            <w:szCs w:val="24"/>
          </w:rPr>
          <w:tab/>
        </w:r>
        <w:r w:rsidR="00DF521C" w:rsidRPr="009E3DBC">
          <w:rPr>
            <w:rFonts w:ascii="Tahoma" w:hAnsi="Tahoma" w:cs="Tahoma"/>
            <w:iCs/>
            <w:noProof/>
            <w:webHidden/>
            <w:sz w:val="24"/>
            <w:szCs w:val="24"/>
          </w:rPr>
          <w:fldChar w:fldCharType="begin"/>
        </w:r>
        <w:r w:rsidR="00DF521C" w:rsidRPr="009E3DBC">
          <w:rPr>
            <w:rFonts w:ascii="Tahoma" w:hAnsi="Tahoma" w:cs="Tahoma"/>
            <w:iCs/>
            <w:noProof/>
            <w:webHidden/>
            <w:sz w:val="24"/>
            <w:szCs w:val="24"/>
          </w:rPr>
          <w:instrText xml:space="preserve"> PAGEREF _Toc203643031 \h </w:instrText>
        </w:r>
        <w:r w:rsidR="00DF521C" w:rsidRPr="009E3DBC">
          <w:rPr>
            <w:rFonts w:ascii="Tahoma" w:hAnsi="Tahoma" w:cs="Tahoma"/>
            <w:iCs/>
            <w:noProof/>
            <w:webHidden/>
            <w:sz w:val="24"/>
            <w:szCs w:val="24"/>
          </w:rPr>
        </w:r>
        <w:r w:rsidR="00DF521C" w:rsidRPr="009E3DBC">
          <w:rPr>
            <w:rFonts w:ascii="Tahoma" w:hAnsi="Tahoma" w:cs="Tahoma"/>
            <w:iCs/>
            <w:noProof/>
            <w:webHidden/>
            <w:sz w:val="24"/>
            <w:szCs w:val="24"/>
          </w:rPr>
          <w:fldChar w:fldCharType="separate"/>
        </w:r>
        <w:r w:rsidR="00124AFB">
          <w:rPr>
            <w:rFonts w:ascii="Tahoma" w:hAnsi="Tahoma" w:cs="Tahoma"/>
            <w:iCs/>
            <w:noProof/>
            <w:webHidden/>
            <w:sz w:val="24"/>
            <w:szCs w:val="24"/>
          </w:rPr>
          <w:t>146</w:t>
        </w:r>
        <w:r w:rsidR="00DF521C" w:rsidRPr="009E3DBC">
          <w:rPr>
            <w:rFonts w:ascii="Tahoma" w:hAnsi="Tahoma" w:cs="Tahoma"/>
            <w:iCs/>
            <w:noProof/>
            <w:webHidden/>
            <w:sz w:val="24"/>
            <w:szCs w:val="24"/>
          </w:rPr>
          <w:fldChar w:fldCharType="end"/>
        </w:r>
      </w:hyperlink>
    </w:p>
    <w:p w:rsidR="00DF521C" w:rsidRPr="009E3DBC" w:rsidRDefault="00642CE5" w:rsidP="00B84FD6">
      <w:pPr>
        <w:pStyle w:val="TM4"/>
        <w:tabs>
          <w:tab w:val="left" w:pos="1100"/>
          <w:tab w:val="right" w:leader="dot" w:pos="9346"/>
        </w:tabs>
        <w:spacing w:line="360" w:lineRule="auto"/>
        <w:jc w:val="both"/>
        <w:rPr>
          <w:rFonts w:ascii="Tahoma" w:eastAsiaTheme="minorEastAsia" w:hAnsi="Tahoma" w:cs="Tahoma"/>
          <w:iCs/>
          <w:noProof/>
          <w:sz w:val="24"/>
          <w:szCs w:val="24"/>
          <w:lang w:eastAsia="fr-FR"/>
        </w:rPr>
      </w:pPr>
      <w:hyperlink w:anchor="_Toc203643032" w:history="1">
        <w:r w:rsidR="00DF521C" w:rsidRPr="009E3DBC">
          <w:rPr>
            <w:rStyle w:val="Lienhypertexte"/>
            <w:rFonts w:ascii="Tahoma" w:hAnsi="Tahoma" w:cs="Tahoma"/>
            <w:iCs/>
            <w:noProof/>
            <w:sz w:val="24"/>
            <w:szCs w:val="24"/>
            <w14:scene3d>
              <w14:camera w14:prst="orthographicFront"/>
              <w14:lightRig w14:rig="threePt" w14:dir="t">
                <w14:rot w14:lat="0" w14:lon="0" w14:rev="0"/>
              </w14:lightRig>
            </w14:scene3d>
          </w:rPr>
          <w:t>2.</w:t>
        </w:r>
        <w:r w:rsidR="00DF521C" w:rsidRPr="009E3DBC">
          <w:rPr>
            <w:rFonts w:ascii="Tahoma" w:eastAsiaTheme="minorEastAsia" w:hAnsi="Tahoma" w:cs="Tahoma"/>
            <w:iCs/>
            <w:noProof/>
            <w:sz w:val="24"/>
            <w:szCs w:val="24"/>
            <w:lang w:eastAsia="fr-FR"/>
          </w:rPr>
          <w:tab/>
        </w:r>
        <w:r w:rsidR="00DF521C" w:rsidRPr="009E3DBC">
          <w:rPr>
            <w:rStyle w:val="Lienhypertexte"/>
            <w:rFonts w:ascii="Tahoma" w:eastAsia="Calibri" w:hAnsi="Tahoma" w:cs="Tahoma"/>
            <w:iCs/>
            <w:noProof/>
            <w:sz w:val="24"/>
            <w:szCs w:val="24"/>
          </w:rPr>
          <w:t>Spécificités floristiques de la zone de recherche</w:t>
        </w:r>
        <w:r w:rsidR="00DF521C" w:rsidRPr="009E3DBC">
          <w:rPr>
            <w:rFonts w:ascii="Tahoma" w:hAnsi="Tahoma" w:cs="Tahoma"/>
            <w:iCs/>
            <w:noProof/>
            <w:webHidden/>
            <w:sz w:val="24"/>
            <w:szCs w:val="24"/>
          </w:rPr>
          <w:tab/>
        </w:r>
        <w:r w:rsidR="00DF521C" w:rsidRPr="009E3DBC">
          <w:rPr>
            <w:rFonts w:ascii="Tahoma" w:hAnsi="Tahoma" w:cs="Tahoma"/>
            <w:iCs/>
            <w:noProof/>
            <w:webHidden/>
            <w:sz w:val="24"/>
            <w:szCs w:val="24"/>
          </w:rPr>
          <w:fldChar w:fldCharType="begin"/>
        </w:r>
        <w:r w:rsidR="00DF521C" w:rsidRPr="009E3DBC">
          <w:rPr>
            <w:rFonts w:ascii="Tahoma" w:hAnsi="Tahoma" w:cs="Tahoma"/>
            <w:iCs/>
            <w:noProof/>
            <w:webHidden/>
            <w:sz w:val="24"/>
            <w:szCs w:val="24"/>
          </w:rPr>
          <w:instrText xml:space="preserve"> PAGEREF _Toc203643032 \h </w:instrText>
        </w:r>
        <w:r w:rsidR="00DF521C" w:rsidRPr="009E3DBC">
          <w:rPr>
            <w:rFonts w:ascii="Tahoma" w:hAnsi="Tahoma" w:cs="Tahoma"/>
            <w:iCs/>
            <w:noProof/>
            <w:webHidden/>
            <w:sz w:val="24"/>
            <w:szCs w:val="24"/>
          </w:rPr>
        </w:r>
        <w:r w:rsidR="00DF521C" w:rsidRPr="009E3DBC">
          <w:rPr>
            <w:rFonts w:ascii="Tahoma" w:hAnsi="Tahoma" w:cs="Tahoma"/>
            <w:iCs/>
            <w:noProof/>
            <w:webHidden/>
            <w:sz w:val="24"/>
            <w:szCs w:val="24"/>
          </w:rPr>
          <w:fldChar w:fldCharType="separate"/>
        </w:r>
        <w:r w:rsidR="00124AFB">
          <w:rPr>
            <w:rFonts w:ascii="Tahoma" w:hAnsi="Tahoma" w:cs="Tahoma"/>
            <w:iCs/>
            <w:noProof/>
            <w:webHidden/>
            <w:sz w:val="24"/>
            <w:szCs w:val="24"/>
          </w:rPr>
          <w:t>153</w:t>
        </w:r>
        <w:r w:rsidR="00DF521C" w:rsidRPr="009E3DBC">
          <w:rPr>
            <w:rFonts w:ascii="Tahoma" w:hAnsi="Tahoma" w:cs="Tahoma"/>
            <w:iCs/>
            <w:noProof/>
            <w:webHidden/>
            <w:sz w:val="24"/>
            <w:szCs w:val="24"/>
          </w:rPr>
          <w:fldChar w:fldCharType="end"/>
        </w:r>
      </w:hyperlink>
    </w:p>
    <w:p w:rsidR="00DF521C" w:rsidRPr="009E3DBC" w:rsidRDefault="00642CE5" w:rsidP="00B84FD6">
      <w:pPr>
        <w:pStyle w:val="TM3"/>
        <w:tabs>
          <w:tab w:val="left" w:pos="880"/>
          <w:tab w:val="right" w:leader="dot" w:pos="9346"/>
        </w:tabs>
        <w:spacing w:line="360" w:lineRule="auto"/>
        <w:jc w:val="both"/>
        <w:rPr>
          <w:rFonts w:ascii="Tahoma" w:eastAsiaTheme="minorEastAsia" w:hAnsi="Tahoma" w:cs="Tahoma"/>
          <w:i w:val="0"/>
          <w:noProof/>
          <w:sz w:val="24"/>
          <w:lang w:eastAsia="fr-FR"/>
        </w:rPr>
      </w:pPr>
      <w:hyperlink w:anchor="_Toc203643033" w:history="1">
        <w:r w:rsidR="00DF521C" w:rsidRPr="009E3DBC">
          <w:rPr>
            <w:rStyle w:val="Lienhypertexte"/>
            <w:rFonts w:ascii="Tahoma" w:hAnsi="Tahoma" w:cs="Tahoma"/>
            <w:i w:val="0"/>
            <w:noProof/>
            <w:sz w:val="24"/>
            <w14:scene3d>
              <w14:camera w14:prst="orthographicFront"/>
              <w14:lightRig w14:rig="threePt" w14:dir="t">
                <w14:rot w14:lat="0" w14:lon="0" w14:rev="0"/>
              </w14:lightRig>
            </w14:scene3d>
          </w:rPr>
          <w:t>B.</w:t>
        </w:r>
        <w:r w:rsidR="00DF521C" w:rsidRPr="009E3DBC">
          <w:rPr>
            <w:rFonts w:ascii="Tahoma" w:eastAsiaTheme="minorEastAsia" w:hAnsi="Tahoma" w:cs="Tahoma"/>
            <w:i w:val="0"/>
            <w:noProof/>
            <w:sz w:val="24"/>
            <w:lang w:eastAsia="fr-FR"/>
          </w:rPr>
          <w:tab/>
        </w:r>
        <w:r w:rsidR="00DF521C" w:rsidRPr="009E3DBC">
          <w:rPr>
            <w:rStyle w:val="Lienhypertexte"/>
            <w:rFonts w:ascii="Tahoma" w:hAnsi="Tahoma" w:cs="Tahoma"/>
            <w:i w:val="0"/>
            <w:noProof/>
            <w:sz w:val="24"/>
          </w:rPr>
          <w:t>Analyse du cadre juridique de protection du domaine forestier marocain : forces et faiblesses.</w:t>
        </w:r>
        <w:r w:rsidR="00DF521C" w:rsidRPr="009E3DBC">
          <w:rPr>
            <w:rFonts w:ascii="Tahoma" w:hAnsi="Tahoma" w:cs="Tahoma"/>
            <w:i w:val="0"/>
            <w:noProof/>
            <w:webHidden/>
            <w:sz w:val="24"/>
          </w:rPr>
          <w:tab/>
        </w:r>
        <w:r w:rsidR="00DF521C" w:rsidRPr="009E3DBC">
          <w:rPr>
            <w:rFonts w:ascii="Tahoma" w:hAnsi="Tahoma" w:cs="Tahoma"/>
            <w:i w:val="0"/>
            <w:noProof/>
            <w:webHidden/>
            <w:sz w:val="24"/>
          </w:rPr>
          <w:fldChar w:fldCharType="begin"/>
        </w:r>
        <w:r w:rsidR="00DF521C" w:rsidRPr="009E3DBC">
          <w:rPr>
            <w:rFonts w:ascii="Tahoma" w:hAnsi="Tahoma" w:cs="Tahoma"/>
            <w:i w:val="0"/>
            <w:noProof/>
            <w:webHidden/>
            <w:sz w:val="24"/>
          </w:rPr>
          <w:instrText xml:space="preserve"> PAGEREF _Toc203643033 \h </w:instrText>
        </w:r>
        <w:r w:rsidR="00DF521C" w:rsidRPr="009E3DBC">
          <w:rPr>
            <w:rFonts w:ascii="Tahoma" w:hAnsi="Tahoma" w:cs="Tahoma"/>
            <w:i w:val="0"/>
            <w:noProof/>
            <w:webHidden/>
            <w:sz w:val="24"/>
          </w:rPr>
        </w:r>
        <w:r w:rsidR="00DF521C" w:rsidRPr="009E3DBC">
          <w:rPr>
            <w:rFonts w:ascii="Tahoma" w:hAnsi="Tahoma" w:cs="Tahoma"/>
            <w:i w:val="0"/>
            <w:noProof/>
            <w:webHidden/>
            <w:sz w:val="24"/>
          </w:rPr>
          <w:fldChar w:fldCharType="separate"/>
        </w:r>
        <w:r w:rsidR="00124AFB">
          <w:rPr>
            <w:rFonts w:ascii="Tahoma" w:hAnsi="Tahoma" w:cs="Tahoma"/>
            <w:i w:val="0"/>
            <w:noProof/>
            <w:webHidden/>
            <w:sz w:val="24"/>
          </w:rPr>
          <w:t>165</w:t>
        </w:r>
        <w:r w:rsidR="00DF521C" w:rsidRPr="009E3DBC">
          <w:rPr>
            <w:rFonts w:ascii="Tahoma" w:hAnsi="Tahoma" w:cs="Tahoma"/>
            <w:i w:val="0"/>
            <w:noProof/>
            <w:webHidden/>
            <w:sz w:val="24"/>
          </w:rPr>
          <w:fldChar w:fldCharType="end"/>
        </w:r>
      </w:hyperlink>
    </w:p>
    <w:p w:rsidR="00DF521C" w:rsidRPr="009E3DBC" w:rsidRDefault="00642CE5" w:rsidP="00B84FD6">
      <w:pPr>
        <w:pStyle w:val="TM4"/>
        <w:tabs>
          <w:tab w:val="left" w:pos="1100"/>
          <w:tab w:val="right" w:leader="dot" w:pos="9346"/>
        </w:tabs>
        <w:spacing w:line="360" w:lineRule="auto"/>
        <w:jc w:val="both"/>
        <w:rPr>
          <w:rFonts w:ascii="Tahoma" w:eastAsiaTheme="minorEastAsia" w:hAnsi="Tahoma" w:cs="Tahoma"/>
          <w:iCs/>
          <w:noProof/>
          <w:sz w:val="24"/>
          <w:szCs w:val="24"/>
          <w:lang w:eastAsia="fr-FR"/>
        </w:rPr>
      </w:pPr>
      <w:hyperlink w:anchor="_Toc203643034" w:history="1">
        <w:r w:rsidR="00DF521C" w:rsidRPr="009E3DBC">
          <w:rPr>
            <w:rStyle w:val="Lienhypertexte"/>
            <w:rFonts w:ascii="Tahoma" w:hAnsi="Tahoma" w:cs="Tahoma"/>
            <w:iCs/>
            <w:noProof/>
            <w:sz w:val="24"/>
            <w:szCs w:val="24"/>
            <w14:scene3d>
              <w14:camera w14:prst="orthographicFront"/>
              <w14:lightRig w14:rig="threePt" w14:dir="t">
                <w14:rot w14:lat="0" w14:lon="0" w14:rev="0"/>
              </w14:lightRig>
            </w14:scene3d>
          </w:rPr>
          <w:t>1.</w:t>
        </w:r>
        <w:r w:rsidR="00DF521C" w:rsidRPr="009E3DBC">
          <w:rPr>
            <w:rFonts w:ascii="Tahoma" w:eastAsiaTheme="minorEastAsia" w:hAnsi="Tahoma" w:cs="Tahoma"/>
            <w:iCs/>
            <w:noProof/>
            <w:sz w:val="24"/>
            <w:szCs w:val="24"/>
            <w:lang w:eastAsia="fr-FR"/>
          </w:rPr>
          <w:tab/>
        </w:r>
        <w:r w:rsidR="00DF521C" w:rsidRPr="009E3DBC">
          <w:rPr>
            <w:rStyle w:val="Lienhypertexte"/>
            <w:rFonts w:ascii="Tahoma" w:hAnsi="Tahoma" w:cs="Tahoma"/>
            <w:iCs/>
            <w:noProof/>
            <w:sz w:val="24"/>
            <w:szCs w:val="24"/>
          </w:rPr>
          <w:t>Particularités</w:t>
        </w:r>
        <w:r w:rsidR="00DF521C" w:rsidRPr="009E3DBC">
          <w:rPr>
            <w:rStyle w:val="Lienhypertexte"/>
            <w:rFonts w:ascii="Tahoma" w:hAnsi="Tahoma" w:cs="Tahoma"/>
            <w:iCs/>
            <w:noProof/>
            <w:spacing w:val="-3"/>
            <w:sz w:val="24"/>
            <w:szCs w:val="24"/>
          </w:rPr>
          <w:t xml:space="preserve"> </w:t>
        </w:r>
        <w:r w:rsidR="00DF521C" w:rsidRPr="009E3DBC">
          <w:rPr>
            <w:rStyle w:val="Lienhypertexte"/>
            <w:rFonts w:ascii="Tahoma" w:hAnsi="Tahoma" w:cs="Tahoma"/>
            <w:iCs/>
            <w:noProof/>
            <w:sz w:val="24"/>
            <w:szCs w:val="24"/>
          </w:rPr>
          <w:t>du</w:t>
        </w:r>
        <w:r w:rsidR="00DF521C" w:rsidRPr="009E3DBC">
          <w:rPr>
            <w:rStyle w:val="Lienhypertexte"/>
            <w:rFonts w:ascii="Tahoma" w:hAnsi="Tahoma" w:cs="Tahoma"/>
            <w:iCs/>
            <w:noProof/>
            <w:spacing w:val="-3"/>
            <w:sz w:val="24"/>
            <w:szCs w:val="24"/>
          </w:rPr>
          <w:t xml:space="preserve"> </w:t>
        </w:r>
        <w:r w:rsidR="00DF521C" w:rsidRPr="009E3DBC">
          <w:rPr>
            <w:rStyle w:val="Lienhypertexte"/>
            <w:rFonts w:ascii="Tahoma" w:hAnsi="Tahoma" w:cs="Tahoma"/>
            <w:iCs/>
            <w:noProof/>
            <w:sz w:val="24"/>
            <w:szCs w:val="24"/>
          </w:rPr>
          <w:t>domaine</w:t>
        </w:r>
        <w:r w:rsidR="00DF521C" w:rsidRPr="009E3DBC">
          <w:rPr>
            <w:rStyle w:val="Lienhypertexte"/>
            <w:rFonts w:ascii="Tahoma" w:hAnsi="Tahoma" w:cs="Tahoma"/>
            <w:iCs/>
            <w:noProof/>
            <w:spacing w:val="-3"/>
            <w:sz w:val="24"/>
            <w:szCs w:val="24"/>
          </w:rPr>
          <w:t xml:space="preserve"> </w:t>
        </w:r>
        <w:r w:rsidR="00DF521C" w:rsidRPr="009E3DBC">
          <w:rPr>
            <w:rStyle w:val="Lienhypertexte"/>
            <w:rFonts w:ascii="Tahoma" w:hAnsi="Tahoma" w:cs="Tahoma"/>
            <w:iCs/>
            <w:noProof/>
            <w:sz w:val="24"/>
            <w:szCs w:val="24"/>
          </w:rPr>
          <w:t>forestier</w:t>
        </w:r>
        <w:r w:rsidR="00DF521C" w:rsidRPr="009E3DBC">
          <w:rPr>
            <w:rStyle w:val="Lienhypertexte"/>
            <w:rFonts w:ascii="Tahoma" w:hAnsi="Tahoma" w:cs="Tahoma"/>
            <w:iCs/>
            <w:noProof/>
            <w:spacing w:val="-2"/>
            <w:sz w:val="24"/>
            <w:szCs w:val="24"/>
          </w:rPr>
          <w:t xml:space="preserve"> </w:t>
        </w:r>
        <w:r w:rsidR="00DF521C" w:rsidRPr="009E3DBC">
          <w:rPr>
            <w:rStyle w:val="Lienhypertexte"/>
            <w:rFonts w:ascii="Tahoma" w:hAnsi="Tahoma" w:cs="Tahoma"/>
            <w:iCs/>
            <w:noProof/>
            <w:sz w:val="24"/>
            <w:szCs w:val="24"/>
          </w:rPr>
          <w:t>marocain</w:t>
        </w:r>
        <w:r w:rsidR="00DF521C" w:rsidRPr="009E3DBC">
          <w:rPr>
            <w:rStyle w:val="Lienhypertexte"/>
            <w:rFonts w:ascii="Tahoma" w:hAnsi="Tahoma" w:cs="Tahoma"/>
            <w:iCs/>
            <w:noProof/>
            <w:spacing w:val="-3"/>
            <w:sz w:val="24"/>
            <w:szCs w:val="24"/>
          </w:rPr>
          <w:t xml:space="preserve"> </w:t>
        </w:r>
        <w:r w:rsidR="00DF521C" w:rsidRPr="009E3DBC">
          <w:rPr>
            <w:rStyle w:val="Lienhypertexte"/>
            <w:rFonts w:ascii="Tahoma" w:hAnsi="Tahoma" w:cs="Tahoma"/>
            <w:iCs/>
            <w:noProof/>
            <w:sz w:val="24"/>
            <w:szCs w:val="24"/>
          </w:rPr>
          <w:t>et</w:t>
        </w:r>
        <w:r w:rsidR="00DF521C" w:rsidRPr="009E3DBC">
          <w:rPr>
            <w:rStyle w:val="Lienhypertexte"/>
            <w:rFonts w:ascii="Tahoma" w:hAnsi="Tahoma" w:cs="Tahoma"/>
            <w:iCs/>
            <w:noProof/>
            <w:spacing w:val="-3"/>
            <w:sz w:val="24"/>
            <w:szCs w:val="24"/>
          </w:rPr>
          <w:t xml:space="preserve"> </w:t>
        </w:r>
        <w:r w:rsidR="00DF521C" w:rsidRPr="009E3DBC">
          <w:rPr>
            <w:rStyle w:val="Lienhypertexte"/>
            <w:rFonts w:ascii="Tahoma" w:hAnsi="Tahoma" w:cs="Tahoma"/>
            <w:iCs/>
            <w:noProof/>
            <w:sz w:val="24"/>
            <w:szCs w:val="24"/>
          </w:rPr>
          <w:t>principaux</w:t>
        </w:r>
        <w:r w:rsidR="00DF521C" w:rsidRPr="009E3DBC">
          <w:rPr>
            <w:rStyle w:val="Lienhypertexte"/>
            <w:rFonts w:ascii="Tahoma" w:hAnsi="Tahoma" w:cs="Tahoma"/>
            <w:iCs/>
            <w:noProof/>
            <w:spacing w:val="-3"/>
            <w:sz w:val="24"/>
            <w:szCs w:val="24"/>
          </w:rPr>
          <w:t xml:space="preserve"> </w:t>
        </w:r>
        <w:r w:rsidR="00DF521C" w:rsidRPr="009E3DBC">
          <w:rPr>
            <w:rStyle w:val="Lienhypertexte"/>
            <w:rFonts w:ascii="Tahoma" w:hAnsi="Tahoma" w:cs="Tahoma"/>
            <w:iCs/>
            <w:noProof/>
            <w:sz w:val="24"/>
            <w:szCs w:val="24"/>
          </w:rPr>
          <w:t>textes</w:t>
        </w:r>
        <w:r w:rsidR="00DF521C" w:rsidRPr="009E3DBC">
          <w:rPr>
            <w:rStyle w:val="Lienhypertexte"/>
            <w:rFonts w:ascii="Tahoma" w:hAnsi="Tahoma" w:cs="Tahoma"/>
            <w:iCs/>
            <w:noProof/>
            <w:spacing w:val="-2"/>
            <w:sz w:val="24"/>
            <w:szCs w:val="24"/>
          </w:rPr>
          <w:t xml:space="preserve"> </w:t>
        </w:r>
        <w:r w:rsidR="00DF521C" w:rsidRPr="009E3DBC">
          <w:rPr>
            <w:rStyle w:val="Lienhypertexte"/>
            <w:rFonts w:ascii="Tahoma" w:hAnsi="Tahoma" w:cs="Tahoma"/>
            <w:iCs/>
            <w:noProof/>
            <w:sz w:val="24"/>
            <w:szCs w:val="24"/>
          </w:rPr>
          <w:t>juridiques</w:t>
        </w:r>
        <w:r w:rsidR="00DF521C" w:rsidRPr="009E3DBC">
          <w:rPr>
            <w:rFonts w:ascii="Tahoma" w:hAnsi="Tahoma" w:cs="Tahoma"/>
            <w:iCs/>
            <w:noProof/>
            <w:webHidden/>
            <w:sz w:val="24"/>
            <w:szCs w:val="24"/>
          </w:rPr>
          <w:tab/>
        </w:r>
        <w:r w:rsidR="00B84FD6" w:rsidRPr="009E3DBC">
          <w:rPr>
            <w:rFonts w:ascii="Tahoma" w:hAnsi="Tahoma" w:cs="Tahoma"/>
            <w:iCs/>
            <w:noProof/>
            <w:webHidden/>
            <w:sz w:val="24"/>
            <w:szCs w:val="24"/>
          </w:rPr>
          <w:t>…………………………………………………………………………………………………………</w:t>
        </w:r>
        <w:r w:rsidR="00DF521C" w:rsidRPr="009E3DBC">
          <w:rPr>
            <w:rFonts w:ascii="Tahoma" w:hAnsi="Tahoma" w:cs="Tahoma"/>
            <w:iCs/>
            <w:noProof/>
            <w:webHidden/>
            <w:sz w:val="24"/>
            <w:szCs w:val="24"/>
          </w:rPr>
          <w:fldChar w:fldCharType="begin"/>
        </w:r>
        <w:r w:rsidR="00DF521C" w:rsidRPr="009E3DBC">
          <w:rPr>
            <w:rFonts w:ascii="Tahoma" w:hAnsi="Tahoma" w:cs="Tahoma"/>
            <w:iCs/>
            <w:noProof/>
            <w:webHidden/>
            <w:sz w:val="24"/>
            <w:szCs w:val="24"/>
          </w:rPr>
          <w:instrText xml:space="preserve"> PAGEREF _Toc203643034 \h </w:instrText>
        </w:r>
        <w:r w:rsidR="00DF521C" w:rsidRPr="009E3DBC">
          <w:rPr>
            <w:rFonts w:ascii="Tahoma" w:hAnsi="Tahoma" w:cs="Tahoma"/>
            <w:iCs/>
            <w:noProof/>
            <w:webHidden/>
            <w:sz w:val="24"/>
            <w:szCs w:val="24"/>
          </w:rPr>
        </w:r>
        <w:r w:rsidR="00DF521C" w:rsidRPr="009E3DBC">
          <w:rPr>
            <w:rFonts w:ascii="Tahoma" w:hAnsi="Tahoma" w:cs="Tahoma"/>
            <w:iCs/>
            <w:noProof/>
            <w:webHidden/>
            <w:sz w:val="24"/>
            <w:szCs w:val="24"/>
          </w:rPr>
          <w:fldChar w:fldCharType="separate"/>
        </w:r>
        <w:r w:rsidR="00124AFB">
          <w:rPr>
            <w:rFonts w:ascii="Tahoma" w:hAnsi="Tahoma" w:cs="Tahoma"/>
            <w:iCs/>
            <w:noProof/>
            <w:webHidden/>
            <w:sz w:val="24"/>
            <w:szCs w:val="24"/>
          </w:rPr>
          <w:t>166</w:t>
        </w:r>
        <w:r w:rsidR="00DF521C" w:rsidRPr="009E3DBC">
          <w:rPr>
            <w:rFonts w:ascii="Tahoma" w:hAnsi="Tahoma" w:cs="Tahoma"/>
            <w:iCs/>
            <w:noProof/>
            <w:webHidden/>
            <w:sz w:val="24"/>
            <w:szCs w:val="24"/>
          </w:rPr>
          <w:fldChar w:fldCharType="end"/>
        </w:r>
      </w:hyperlink>
    </w:p>
    <w:p w:rsidR="00DF521C" w:rsidRPr="009E3DBC" w:rsidRDefault="00642CE5" w:rsidP="00B84FD6">
      <w:pPr>
        <w:pStyle w:val="TM5"/>
        <w:tabs>
          <w:tab w:val="left" w:pos="1320"/>
          <w:tab w:val="right" w:leader="dot" w:pos="9346"/>
        </w:tabs>
        <w:spacing w:line="360" w:lineRule="auto"/>
        <w:jc w:val="both"/>
        <w:rPr>
          <w:rFonts w:ascii="Tahoma" w:eastAsiaTheme="minorEastAsia" w:hAnsi="Tahoma" w:cs="Tahoma"/>
          <w:iCs/>
          <w:noProof/>
          <w:sz w:val="24"/>
          <w:szCs w:val="24"/>
          <w:lang w:eastAsia="fr-FR"/>
        </w:rPr>
      </w:pPr>
      <w:hyperlink w:anchor="_Toc203643035" w:history="1">
        <w:r w:rsidR="00DF521C" w:rsidRPr="009E3DBC">
          <w:rPr>
            <w:rStyle w:val="Lienhypertexte"/>
            <w:rFonts w:ascii="Tahoma" w:hAnsi="Tahoma" w:cs="Tahoma"/>
            <w:iCs/>
            <w:noProof/>
            <w:sz w:val="24"/>
            <w:szCs w:val="24"/>
          </w:rPr>
          <w:t>a.</w:t>
        </w:r>
        <w:r w:rsidR="00DF521C" w:rsidRPr="009E3DBC">
          <w:rPr>
            <w:rFonts w:ascii="Tahoma" w:eastAsiaTheme="minorEastAsia" w:hAnsi="Tahoma" w:cs="Tahoma"/>
            <w:iCs/>
            <w:noProof/>
            <w:sz w:val="24"/>
            <w:szCs w:val="24"/>
            <w:lang w:eastAsia="fr-FR"/>
          </w:rPr>
          <w:tab/>
        </w:r>
        <w:r w:rsidR="00DF521C" w:rsidRPr="009E3DBC">
          <w:rPr>
            <w:rStyle w:val="Lienhypertexte"/>
            <w:rFonts w:ascii="Tahoma" w:hAnsi="Tahoma" w:cs="Tahoma"/>
            <w:iCs/>
            <w:noProof/>
            <w:sz w:val="24"/>
            <w:szCs w:val="24"/>
          </w:rPr>
          <w:t>Le</w:t>
        </w:r>
        <w:r w:rsidR="00DF521C" w:rsidRPr="009E3DBC">
          <w:rPr>
            <w:rStyle w:val="Lienhypertexte"/>
            <w:rFonts w:ascii="Tahoma" w:hAnsi="Tahoma" w:cs="Tahoma"/>
            <w:iCs/>
            <w:noProof/>
            <w:spacing w:val="-5"/>
            <w:sz w:val="24"/>
            <w:szCs w:val="24"/>
          </w:rPr>
          <w:t xml:space="preserve"> </w:t>
        </w:r>
        <w:r w:rsidR="00DF521C" w:rsidRPr="009E3DBC">
          <w:rPr>
            <w:rStyle w:val="Lienhypertexte"/>
            <w:rFonts w:ascii="Tahoma" w:hAnsi="Tahoma" w:cs="Tahoma"/>
            <w:iCs/>
            <w:noProof/>
            <w:sz w:val="24"/>
            <w:szCs w:val="24"/>
          </w:rPr>
          <w:t>caractère</w:t>
        </w:r>
        <w:r w:rsidR="00DF521C" w:rsidRPr="009E3DBC">
          <w:rPr>
            <w:rStyle w:val="Lienhypertexte"/>
            <w:rFonts w:ascii="Tahoma" w:hAnsi="Tahoma" w:cs="Tahoma"/>
            <w:iCs/>
            <w:noProof/>
            <w:spacing w:val="-2"/>
            <w:sz w:val="24"/>
            <w:szCs w:val="24"/>
          </w:rPr>
          <w:t xml:space="preserve"> </w:t>
        </w:r>
        <w:r w:rsidR="00DF521C" w:rsidRPr="009E3DBC">
          <w:rPr>
            <w:rStyle w:val="Lienhypertexte"/>
            <w:rFonts w:ascii="Tahoma" w:hAnsi="Tahoma" w:cs="Tahoma"/>
            <w:iCs/>
            <w:noProof/>
            <w:sz w:val="24"/>
            <w:szCs w:val="24"/>
          </w:rPr>
          <w:t>inaliénable</w:t>
        </w:r>
        <w:r w:rsidR="00DF521C" w:rsidRPr="009E3DBC">
          <w:rPr>
            <w:rStyle w:val="Lienhypertexte"/>
            <w:rFonts w:ascii="Tahoma" w:hAnsi="Tahoma" w:cs="Tahoma"/>
            <w:iCs/>
            <w:noProof/>
            <w:spacing w:val="-2"/>
            <w:sz w:val="24"/>
            <w:szCs w:val="24"/>
          </w:rPr>
          <w:t xml:space="preserve"> </w:t>
        </w:r>
        <w:r w:rsidR="00DF521C" w:rsidRPr="009E3DBC">
          <w:rPr>
            <w:rStyle w:val="Lienhypertexte"/>
            <w:rFonts w:ascii="Tahoma" w:hAnsi="Tahoma" w:cs="Tahoma"/>
            <w:iCs/>
            <w:noProof/>
            <w:sz w:val="24"/>
            <w:szCs w:val="24"/>
          </w:rPr>
          <w:t>du</w:t>
        </w:r>
        <w:r w:rsidR="00DF521C" w:rsidRPr="009E3DBC">
          <w:rPr>
            <w:rStyle w:val="Lienhypertexte"/>
            <w:rFonts w:ascii="Tahoma" w:hAnsi="Tahoma" w:cs="Tahoma"/>
            <w:iCs/>
            <w:noProof/>
            <w:spacing w:val="-4"/>
            <w:sz w:val="24"/>
            <w:szCs w:val="24"/>
          </w:rPr>
          <w:t xml:space="preserve"> </w:t>
        </w:r>
        <w:r w:rsidR="00DF521C" w:rsidRPr="009E3DBC">
          <w:rPr>
            <w:rStyle w:val="Lienhypertexte"/>
            <w:rFonts w:ascii="Tahoma" w:hAnsi="Tahoma" w:cs="Tahoma"/>
            <w:iCs/>
            <w:noProof/>
            <w:sz w:val="24"/>
            <w:szCs w:val="24"/>
          </w:rPr>
          <w:t>domaine</w:t>
        </w:r>
        <w:r w:rsidR="00DF521C" w:rsidRPr="009E3DBC">
          <w:rPr>
            <w:rStyle w:val="Lienhypertexte"/>
            <w:rFonts w:ascii="Tahoma" w:hAnsi="Tahoma" w:cs="Tahoma"/>
            <w:iCs/>
            <w:noProof/>
            <w:spacing w:val="-2"/>
            <w:sz w:val="24"/>
            <w:szCs w:val="24"/>
          </w:rPr>
          <w:t xml:space="preserve"> </w:t>
        </w:r>
        <w:r w:rsidR="00DF521C" w:rsidRPr="009E3DBC">
          <w:rPr>
            <w:rStyle w:val="Lienhypertexte"/>
            <w:rFonts w:ascii="Tahoma" w:hAnsi="Tahoma" w:cs="Tahoma"/>
            <w:iCs/>
            <w:noProof/>
            <w:sz w:val="24"/>
            <w:szCs w:val="24"/>
          </w:rPr>
          <w:t>forestier</w:t>
        </w:r>
        <w:r w:rsidR="00DF521C" w:rsidRPr="009E3DBC">
          <w:rPr>
            <w:rFonts w:ascii="Tahoma" w:hAnsi="Tahoma" w:cs="Tahoma"/>
            <w:iCs/>
            <w:noProof/>
            <w:webHidden/>
            <w:sz w:val="24"/>
            <w:szCs w:val="24"/>
          </w:rPr>
          <w:tab/>
        </w:r>
        <w:r w:rsidR="00DF521C" w:rsidRPr="009E3DBC">
          <w:rPr>
            <w:rFonts w:ascii="Tahoma" w:hAnsi="Tahoma" w:cs="Tahoma"/>
            <w:iCs/>
            <w:noProof/>
            <w:webHidden/>
            <w:sz w:val="24"/>
            <w:szCs w:val="24"/>
          </w:rPr>
          <w:fldChar w:fldCharType="begin"/>
        </w:r>
        <w:r w:rsidR="00DF521C" w:rsidRPr="009E3DBC">
          <w:rPr>
            <w:rFonts w:ascii="Tahoma" w:hAnsi="Tahoma" w:cs="Tahoma"/>
            <w:iCs/>
            <w:noProof/>
            <w:webHidden/>
            <w:sz w:val="24"/>
            <w:szCs w:val="24"/>
          </w:rPr>
          <w:instrText xml:space="preserve"> PAGEREF _Toc203643035 \h </w:instrText>
        </w:r>
        <w:r w:rsidR="00DF521C" w:rsidRPr="009E3DBC">
          <w:rPr>
            <w:rFonts w:ascii="Tahoma" w:hAnsi="Tahoma" w:cs="Tahoma"/>
            <w:iCs/>
            <w:noProof/>
            <w:webHidden/>
            <w:sz w:val="24"/>
            <w:szCs w:val="24"/>
          </w:rPr>
        </w:r>
        <w:r w:rsidR="00DF521C" w:rsidRPr="009E3DBC">
          <w:rPr>
            <w:rFonts w:ascii="Tahoma" w:hAnsi="Tahoma" w:cs="Tahoma"/>
            <w:iCs/>
            <w:noProof/>
            <w:webHidden/>
            <w:sz w:val="24"/>
            <w:szCs w:val="24"/>
          </w:rPr>
          <w:fldChar w:fldCharType="separate"/>
        </w:r>
        <w:r w:rsidR="00124AFB">
          <w:rPr>
            <w:rFonts w:ascii="Tahoma" w:hAnsi="Tahoma" w:cs="Tahoma"/>
            <w:iCs/>
            <w:noProof/>
            <w:webHidden/>
            <w:sz w:val="24"/>
            <w:szCs w:val="24"/>
          </w:rPr>
          <w:t>166</w:t>
        </w:r>
        <w:r w:rsidR="00DF521C" w:rsidRPr="009E3DBC">
          <w:rPr>
            <w:rFonts w:ascii="Tahoma" w:hAnsi="Tahoma" w:cs="Tahoma"/>
            <w:iCs/>
            <w:noProof/>
            <w:webHidden/>
            <w:sz w:val="24"/>
            <w:szCs w:val="24"/>
          </w:rPr>
          <w:fldChar w:fldCharType="end"/>
        </w:r>
      </w:hyperlink>
    </w:p>
    <w:p w:rsidR="00DF521C" w:rsidRPr="009E3DBC" w:rsidRDefault="00642CE5" w:rsidP="00B84FD6">
      <w:pPr>
        <w:pStyle w:val="TM5"/>
        <w:tabs>
          <w:tab w:val="left" w:pos="1320"/>
          <w:tab w:val="right" w:leader="dot" w:pos="9346"/>
        </w:tabs>
        <w:spacing w:line="360" w:lineRule="auto"/>
        <w:jc w:val="both"/>
        <w:rPr>
          <w:rFonts w:ascii="Tahoma" w:eastAsiaTheme="minorEastAsia" w:hAnsi="Tahoma" w:cs="Tahoma"/>
          <w:iCs/>
          <w:noProof/>
          <w:sz w:val="24"/>
          <w:szCs w:val="24"/>
          <w:lang w:eastAsia="fr-FR"/>
        </w:rPr>
      </w:pPr>
      <w:hyperlink w:anchor="_Toc203643036" w:history="1">
        <w:r w:rsidR="00DF521C" w:rsidRPr="009E3DBC">
          <w:rPr>
            <w:rStyle w:val="Lienhypertexte"/>
            <w:rFonts w:ascii="Tahoma" w:hAnsi="Tahoma" w:cs="Tahoma"/>
            <w:iCs/>
            <w:noProof/>
            <w:sz w:val="24"/>
            <w:szCs w:val="24"/>
          </w:rPr>
          <w:t>b.</w:t>
        </w:r>
        <w:r w:rsidR="00DF521C" w:rsidRPr="009E3DBC">
          <w:rPr>
            <w:rFonts w:ascii="Tahoma" w:eastAsiaTheme="minorEastAsia" w:hAnsi="Tahoma" w:cs="Tahoma"/>
            <w:iCs/>
            <w:noProof/>
            <w:sz w:val="24"/>
            <w:szCs w:val="24"/>
            <w:lang w:eastAsia="fr-FR"/>
          </w:rPr>
          <w:tab/>
        </w:r>
        <w:r w:rsidR="00DF521C" w:rsidRPr="009E3DBC">
          <w:rPr>
            <w:rStyle w:val="Lienhypertexte"/>
            <w:rFonts w:ascii="Tahoma" w:hAnsi="Tahoma" w:cs="Tahoma"/>
            <w:iCs/>
            <w:noProof/>
            <w:sz w:val="24"/>
            <w:szCs w:val="24"/>
          </w:rPr>
          <w:t>Le caractère insaisissable du domaine forestier</w:t>
        </w:r>
        <w:r w:rsidR="00DF521C" w:rsidRPr="009E3DBC">
          <w:rPr>
            <w:rFonts w:ascii="Tahoma" w:hAnsi="Tahoma" w:cs="Tahoma"/>
            <w:iCs/>
            <w:noProof/>
            <w:webHidden/>
            <w:sz w:val="24"/>
            <w:szCs w:val="24"/>
          </w:rPr>
          <w:tab/>
        </w:r>
        <w:r w:rsidR="00DF521C" w:rsidRPr="009E3DBC">
          <w:rPr>
            <w:rFonts w:ascii="Tahoma" w:hAnsi="Tahoma" w:cs="Tahoma"/>
            <w:iCs/>
            <w:noProof/>
            <w:webHidden/>
            <w:sz w:val="24"/>
            <w:szCs w:val="24"/>
          </w:rPr>
          <w:fldChar w:fldCharType="begin"/>
        </w:r>
        <w:r w:rsidR="00DF521C" w:rsidRPr="009E3DBC">
          <w:rPr>
            <w:rFonts w:ascii="Tahoma" w:hAnsi="Tahoma" w:cs="Tahoma"/>
            <w:iCs/>
            <w:noProof/>
            <w:webHidden/>
            <w:sz w:val="24"/>
            <w:szCs w:val="24"/>
          </w:rPr>
          <w:instrText xml:space="preserve"> PAGEREF _Toc203643036 \h </w:instrText>
        </w:r>
        <w:r w:rsidR="00DF521C" w:rsidRPr="009E3DBC">
          <w:rPr>
            <w:rFonts w:ascii="Tahoma" w:hAnsi="Tahoma" w:cs="Tahoma"/>
            <w:iCs/>
            <w:noProof/>
            <w:webHidden/>
            <w:sz w:val="24"/>
            <w:szCs w:val="24"/>
          </w:rPr>
        </w:r>
        <w:r w:rsidR="00DF521C" w:rsidRPr="009E3DBC">
          <w:rPr>
            <w:rFonts w:ascii="Tahoma" w:hAnsi="Tahoma" w:cs="Tahoma"/>
            <w:iCs/>
            <w:noProof/>
            <w:webHidden/>
            <w:sz w:val="24"/>
            <w:szCs w:val="24"/>
          </w:rPr>
          <w:fldChar w:fldCharType="separate"/>
        </w:r>
        <w:r w:rsidR="00124AFB">
          <w:rPr>
            <w:rFonts w:ascii="Tahoma" w:hAnsi="Tahoma" w:cs="Tahoma"/>
            <w:iCs/>
            <w:noProof/>
            <w:webHidden/>
            <w:sz w:val="24"/>
            <w:szCs w:val="24"/>
          </w:rPr>
          <w:t>168</w:t>
        </w:r>
        <w:r w:rsidR="00DF521C" w:rsidRPr="009E3DBC">
          <w:rPr>
            <w:rFonts w:ascii="Tahoma" w:hAnsi="Tahoma" w:cs="Tahoma"/>
            <w:iCs/>
            <w:noProof/>
            <w:webHidden/>
            <w:sz w:val="24"/>
            <w:szCs w:val="24"/>
          </w:rPr>
          <w:fldChar w:fldCharType="end"/>
        </w:r>
      </w:hyperlink>
    </w:p>
    <w:p w:rsidR="00DF521C" w:rsidRPr="009E3DBC" w:rsidRDefault="00642CE5" w:rsidP="00B84FD6">
      <w:pPr>
        <w:pStyle w:val="TM5"/>
        <w:tabs>
          <w:tab w:val="left" w:pos="1320"/>
          <w:tab w:val="right" w:leader="dot" w:pos="9346"/>
        </w:tabs>
        <w:spacing w:line="360" w:lineRule="auto"/>
        <w:jc w:val="both"/>
        <w:rPr>
          <w:rFonts w:ascii="Tahoma" w:eastAsiaTheme="minorEastAsia" w:hAnsi="Tahoma" w:cs="Tahoma"/>
          <w:iCs/>
          <w:noProof/>
          <w:sz w:val="24"/>
          <w:szCs w:val="24"/>
          <w:lang w:eastAsia="fr-FR"/>
        </w:rPr>
      </w:pPr>
      <w:hyperlink w:anchor="_Toc203643037" w:history="1">
        <w:r w:rsidR="00DF521C" w:rsidRPr="009E3DBC">
          <w:rPr>
            <w:rStyle w:val="Lienhypertexte"/>
            <w:rFonts w:ascii="Tahoma" w:hAnsi="Tahoma" w:cs="Tahoma"/>
            <w:iCs/>
            <w:noProof/>
            <w:sz w:val="24"/>
            <w:szCs w:val="24"/>
          </w:rPr>
          <w:t>c.</w:t>
        </w:r>
        <w:r w:rsidR="00DF521C" w:rsidRPr="009E3DBC">
          <w:rPr>
            <w:rFonts w:ascii="Tahoma" w:eastAsiaTheme="minorEastAsia" w:hAnsi="Tahoma" w:cs="Tahoma"/>
            <w:iCs/>
            <w:noProof/>
            <w:sz w:val="24"/>
            <w:szCs w:val="24"/>
            <w:lang w:eastAsia="fr-FR"/>
          </w:rPr>
          <w:tab/>
        </w:r>
        <w:r w:rsidR="00DF521C" w:rsidRPr="009E3DBC">
          <w:rPr>
            <w:rStyle w:val="Lienhypertexte"/>
            <w:rFonts w:ascii="Tahoma" w:hAnsi="Tahoma" w:cs="Tahoma"/>
            <w:iCs/>
            <w:noProof/>
            <w:sz w:val="24"/>
            <w:szCs w:val="24"/>
          </w:rPr>
          <w:t>Le caractère imprescriptible du domaine forestier</w:t>
        </w:r>
        <w:r w:rsidR="00DF521C" w:rsidRPr="009E3DBC">
          <w:rPr>
            <w:rFonts w:ascii="Tahoma" w:hAnsi="Tahoma" w:cs="Tahoma"/>
            <w:iCs/>
            <w:noProof/>
            <w:webHidden/>
            <w:sz w:val="24"/>
            <w:szCs w:val="24"/>
          </w:rPr>
          <w:tab/>
        </w:r>
        <w:r w:rsidR="00DF521C" w:rsidRPr="009E3DBC">
          <w:rPr>
            <w:rFonts w:ascii="Tahoma" w:hAnsi="Tahoma" w:cs="Tahoma"/>
            <w:iCs/>
            <w:noProof/>
            <w:webHidden/>
            <w:sz w:val="24"/>
            <w:szCs w:val="24"/>
          </w:rPr>
          <w:fldChar w:fldCharType="begin"/>
        </w:r>
        <w:r w:rsidR="00DF521C" w:rsidRPr="009E3DBC">
          <w:rPr>
            <w:rFonts w:ascii="Tahoma" w:hAnsi="Tahoma" w:cs="Tahoma"/>
            <w:iCs/>
            <w:noProof/>
            <w:webHidden/>
            <w:sz w:val="24"/>
            <w:szCs w:val="24"/>
          </w:rPr>
          <w:instrText xml:space="preserve"> PAGEREF _Toc203643037 \h </w:instrText>
        </w:r>
        <w:r w:rsidR="00DF521C" w:rsidRPr="009E3DBC">
          <w:rPr>
            <w:rFonts w:ascii="Tahoma" w:hAnsi="Tahoma" w:cs="Tahoma"/>
            <w:iCs/>
            <w:noProof/>
            <w:webHidden/>
            <w:sz w:val="24"/>
            <w:szCs w:val="24"/>
          </w:rPr>
        </w:r>
        <w:r w:rsidR="00DF521C" w:rsidRPr="009E3DBC">
          <w:rPr>
            <w:rFonts w:ascii="Tahoma" w:hAnsi="Tahoma" w:cs="Tahoma"/>
            <w:iCs/>
            <w:noProof/>
            <w:webHidden/>
            <w:sz w:val="24"/>
            <w:szCs w:val="24"/>
          </w:rPr>
          <w:fldChar w:fldCharType="separate"/>
        </w:r>
        <w:r w:rsidR="00124AFB">
          <w:rPr>
            <w:rFonts w:ascii="Tahoma" w:hAnsi="Tahoma" w:cs="Tahoma"/>
            <w:iCs/>
            <w:noProof/>
            <w:webHidden/>
            <w:sz w:val="24"/>
            <w:szCs w:val="24"/>
          </w:rPr>
          <w:t>168</w:t>
        </w:r>
        <w:r w:rsidR="00DF521C" w:rsidRPr="009E3DBC">
          <w:rPr>
            <w:rFonts w:ascii="Tahoma" w:hAnsi="Tahoma" w:cs="Tahoma"/>
            <w:iCs/>
            <w:noProof/>
            <w:webHidden/>
            <w:sz w:val="24"/>
            <w:szCs w:val="24"/>
          </w:rPr>
          <w:fldChar w:fldCharType="end"/>
        </w:r>
      </w:hyperlink>
    </w:p>
    <w:p w:rsidR="00DF521C" w:rsidRPr="009E3DBC" w:rsidRDefault="00642CE5" w:rsidP="00B84FD6">
      <w:pPr>
        <w:pStyle w:val="TM5"/>
        <w:tabs>
          <w:tab w:val="left" w:pos="1320"/>
          <w:tab w:val="right" w:leader="dot" w:pos="9346"/>
        </w:tabs>
        <w:spacing w:line="360" w:lineRule="auto"/>
        <w:jc w:val="both"/>
        <w:rPr>
          <w:rFonts w:ascii="Tahoma" w:eastAsiaTheme="minorEastAsia" w:hAnsi="Tahoma" w:cs="Tahoma"/>
          <w:iCs/>
          <w:noProof/>
          <w:sz w:val="24"/>
          <w:szCs w:val="24"/>
          <w:lang w:eastAsia="fr-FR"/>
        </w:rPr>
      </w:pPr>
      <w:hyperlink w:anchor="_Toc203643038" w:history="1">
        <w:r w:rsidR="00DF521C" w:rsidRPr="009E3DBC">
          <w:rPr>
            <w:rStyle w:val="Lienhypertexte"/>
            <w:rFonts w:ascii="Tahoma" w:hAnsi="Tahoma" w:cs="Tahoma"/>
            <w:iCs/>
            <w:noProof/>
            <w:sz w:val="24"/>
            <w:szCs w:val="24"/>
          </w:rPr>
          <w:t>d.</w:t>
        </w:r>
        <w:r w:rsidR="00DF521C" w:rsidRPr="009E3DBC">
          <w:rPr>
            <w:rFonts w:ascii="Tahoma" w:eastAsiaTheme="minorEastAsia" w:hAnsi="Tahoma" w:cs="Tahoma"/>
            <w:iCs/>
            <w:noProof/>
            <w:sz w:val="24"/>
            <w:szCs w:val="24"/>
            <w:lang w:eastAsia="fr-FR"/>
          </w:rPr>
          <w:tab/>
        </w:r>
        <w:r w:rsidR="00DF521C" w:rsidRPr="009E3DBC">
          <w:rPr>
            <w:rStyle w:val="Lienhypertexte"/>
            <w:rFonts w:ascii="Tahoma" w:hAnsi="Tahoma" w:cs="Tahoma"/>
            <w:iCs/>
            <w:noProof/>
            <w:sz w:val="24"/>
            <w:szCs w:val="24"/>
          </w:rPr>
          <w:t>L’expropriation du domaine forestier</w:t>
        </w:r>
        <w:r w:rsidR="00DF521C" w:rsidRPr="009E3DBC">
          <w:rPr>
            <w:rFonts w:ascii="Tahoma" w:hAnsi="Tahoma" w:cs="Tahoma"/>
            <w:iCs/>
            <w:noProof/>
            <w:webHidden/>
            <w:sz w:val="24"/>
            <w:szCs w:val="24"/>
          </w:rPr>
          <w:tab/>
        </w:r>
        <w:r w:rsidR="00DF521C" w:rsidRPr="009E3DBC">
          <w:rPr>
            <w:rFonts w:ascii="Tahoma" w:hAnsi="Tahoma" w:cs="Tahoma"/>
            <w:iCs/>
            <w:noProof/>
            <w:webHidden/>
            <w:sz w:val="24"/>
            <w:szCs w:val="24"/>
          </w:rPr>
          <w:fldChar w:fldCharType="begin"/>
        </w:r>
        <w:r w:rsidR="00DF521C" w:rsidRPr="009E3DBC">
          <w:rPr>
            <w:rFonts w:ascii="Tahoma" w:hAnsi="Tahoma" w:cs="Tahoma"/>
            <w:iCs/>
            <w:noProof/>
            <w:webHidden/>
            <w:sz w:val="24"/>
            <w:szCs w:val="24"/>
          </w:rPr>
          <w:instrText xml:space="preserve"> PAGEREF _Toc203643038 \h </w:instrText>
        </w:r>
        <w:r w:rsidR="00DF521C" w:rsidRPr="009E3DBC">
          <w:rPr>
            <w:rFonts w:ascii="Tahoma" w:hAnsi="Tahoma" w:cs="Tahoma"/>
            <w:iCs/>
            <w:noProof/>
            <w:webHidden/>
            <w:sz w:val="24"/>
            <w:szCs w:val="24"/>
          </w:rPr>
        </w:r>
        <w:r w:rsidR="00DF521C" w:rsidRPr="009E3DBC">
          <w:rPr>
            <w:rFonts w:ascii="Tahoma" w:hAnsi="Tahoma" w:cs="Tahoma"/>
            <w:iCs/>
            <w:noProof/>
            <w:webHidden/>
            <w:sz w:val="24"/>
            <w:szCs w:val="24"/>
          </w:rPr>
          <w:fldChar w:fldCharType="separate"/>
        </w:r>
        <w:r w:rsidR="00124AFB">
          <w:rPr>
            <w:rFonts w:ascii="Tahoma" w:hAnsi="Tahoma" w:cs="Tahoma"/>
            <w:iCs/>
            <w:noProof/>
            <w:webHidden/>
            <w:sz w:val="24"/>
            <w:szCs w:val="24"/>
          </w:rPr>
          <w:t>168</w:t>
        </w:r>
        <w:r w:rsidR="00DF521C" w:rsidRPr="009E3DBC">
          <w:rPr>
            <w:rFonts w:ascii="Tahoma" w:hAnsi="Tahoma" w:cs="Tahoma"/>
            <w:iCs/>
            <w:noProof/>
            <w:webHidden/>
            <w:sz w:val="24"/>
            <w:szCs w:val="24"/>
          </w:rPr>
          <w:fldChar w:fldCharType="end"/>
        </w:r>
      </w:hyperlink>
    </w:p>
    <w:p w:rsidR="00DF521C" w:rsidRPr="009E3DBC" w:rsidRDefault="00642CE5" w:rsidP="00B84FD6">
      <w:pPr>
        <w:pStyle w:val="TM5"/>
        <w:tabs>
          <w:tab w:val="left" w:pos="1320"/>
          <w:tab w:val="right" w:leader="dot" w:pos="9346"/>
        </w:tabs>
        <w:spacing w:line="360" w:lineRule="auto"/>
        <w:jc w:val="both"/>
        <w:rPr>
          <w:rFonts w:ascii="Tahoma" w:eastAsiaTheme="minorEastAsia" w:hAnsi="Tahoma" w:cs="Tahoma"/>
          <w:iCs/>
          <w:noProof/>
          <w:sz w:val="24"/>
          <w:szCs w:val="24"/>
          <w:lang w:eastAsia="fr-FR"/>
        </w:rPr>
      </w:pPr>
      <w:hyperlink w:anchor="_Toc203643039" w:history="1">
        <w:r w:rsidR="00DF521C" w:rsidRPr="009E3DBC">
          <w:rPr>
            <w:rStyle w:val="Lienhypertexte"/>
            <w:rFonts w:ascii="Tahoma" w:hAnsi="Tahoma" w:cs="Tahoma"/>
            <w:iCs/>
            <w:noProof/>
            <w:sz w:val="24"/>
            <w:szCs w:val="24"/>
          </w:rPr>
          <w:t>e.</w:t>
        </w:r>
        <w:r w:rsidR="00DF521C" w:rsidRPr="009E3DBC">
          <w:rPr>
            <w:rFonts w:ascii="Tahoma" w:eastAsiaTheme="minorEastAsia" w:hAnsi="Tahoma" w:cs="Tahoma"/>
            <w:iCs/>
            <w:noProof/>
            <w:sz w:val="24"/>
            <w:szCs w:val="24"/>
            <w:lang w:eastAsia="fr-FR"/>
          </w:rPr>
          <w:tab/>
        </w:r>
        <w:r w:rsidR="00DF521C" w:rsidRPr="009E3DBC">
          <w:rPr>
            <w:rStyle w:val="Lienhypertexte"/>
            <w:rFonts w:ascii="Tahoma" w:hAnsi="Tahoma" w:cs="Tahoma"/>
            <w:iCs/>
            <w:noProof/>
            <w:sz w:val="24"/>
            <w:szCs w:val="24"/>
          </w:rPr>
          <w:t>L’occupation temporaire du domaine forestier</w:t>
        </w:r>
        <w:r w:rsidR="00DF521C" w:rsidRPr="009E3DBC">
          <w:rPr>
            <w:rFonts w:ascii="Tahoma" w:hAnsi="Tahoma" w:cs="Tahoma"/>
            <w:iCs/>
            <w:noProof/>
            <w:webHidden/>
            <w:sz w:val="24"/>
            <w:szCs w:val="24"/>
          </w:rPr>
          <w:tab/>
        </w:r>
        <w:r w:rsidR="00DF521C" w:rsidRPr="009E3DBC">
          <w:rPr>
            <w:rFonts w:ascii="Tahoma" w:hAnsi="Tahoma" w:cs="Tahoma"/>
            <w:iCs/>
            <w:noProof/>
            <w:webHidden/>
            <w:sz w:val="24"/>
            <w:szCs w:val="24"/>
          </w:rPr>
          <w:fldChar w:fldCharType="begin"/>
        </w:r>
        <w:r w:rsidR="00DF521C" w:rsidRPr="009E3DBC">
          <w:rPr>
            <w:rFonts w:ascii="Tahoma" w:hAnsi="Tahoma" w:cs="Tahoma"/>
            <w:iCs/>
            <w:noProof/>
            <w:webHidden/>
            <w:sz w:val="24"/>
            <w:szCs w:val="24"/>
          </w:rPr>
          <w:instrText xml:space="preserve"> PAGEREF _Toc203643039 \h </w:instrText>
        </w:r>
        <w:r w:rsidR="00DF521C" w:rsidRPr="009E3DBC">
          <w:rPr>
            <w:rFonts w:ascii="Tahoma" w:hAnsi="Tahoma" w:cs="Tahoma"/>
            <w:iCs/>
            <w:noProof/>
            <w:webHidden/>
            <w:sz w:val="24"/>
            <w:szCs w:val="24"/>
          </w:rPr>
        </w:r>
        <w:r w:rsidR="00DF521C" w:rsidRPr="009E3DBC">
          <w:rPr>
            <w:rFonts w:ascii="Tahoma" w:hAnsi="Tahoma" w:cs="Tahoma"/>
            <w:iCs/>
            <w:noProof/>
            <w:webHidden/>
            <w:sz w:val="24"/>
            <w:szCs w:val="24"/>
          </w:rPr>
          <w:fldChar w:fldCharType="separate"/>
        </w:r>
        <w:r w:rsidR="00124AFB">
          <w:rPr>
            <w:rFonts w:ascii="Tahoma" w:hAnsi="Tahoma" w:cs="Tahoma"/>
            <w:iCs/>
            <w:noProof/>
            <w:webHidden/>
            <w:sz w:val="24"/>
            <w:szCs w:val="24"/>
          </w:rPr>
          <w:t>168</w:t>
        </w:r>
        <w:r w:rsidR="00DF521C" w:rsidRPr="009E3DBC">
          <w:rPr>
            <w:rFonts w:ascii="Tahoma" w:hAnsi="Tahoma" w:cs="Tahoma"/>
            <w:iCs/>
            <w:noProof/>
            <w:webHidden/>
            <w:sz w:val="24"/>
            <w:szCs w:val="24"/>
          </w:rPr>
          <w:fldChar w:fldCharType="end"/>
        </w:r>
      </w:hyperlink>
    </w:p>
    <w:p w:rsidR="00DF521C" w:rsidRPr="009E3DBC" w:rsidRDefault="00642CE5" w:rsidP="00B84FD6">
      <w:pPr>
        <w:pStyle w:val="TM4"/>
        <w:tabs>
          <w:tab w:val="left" w:pos="1100"/>
          <w:tab w:val="right" w:leader="dot" w:pos="9346"/>
        </w:tabs>
        <w:spacing w:line="360" w:lineRule="auto"/>
        <w:jc w:val="both"/>
        <w:rPr>
          <w:rFonts w:ascii="Tahoma" w:eastAsiaTheme="minorEastAsia" w:hAnsi="Tahoma" w:cs="Tahoma"/>
          <w:iCs/>
          <w:noProof/>
          <w:sz w:val="24"/>
          <w:szCs w:val="24"/>
          <w:lang w:eastAsia="fr-FR"/>
        </w:rPr>
      </w:pPr>
      <w:hyperlink w:anchor="_Toc203643040" w:history="1">
        <w:r w:rsidR="00DF521C" w:rsidRPr="009E3DBC">
          <w:rPr>
            <w:rStyle w:val="Lienhypertexte"/>
            <w:rFonts w:ascii="Tahoma" w:hAnsi="Tahoma" w:cs="Tahoma"/>
            <w:iCs/>
            <w:noProof/>
            <w:sz w:val="24"/>
            <w:szCs w:val="24"/>
            <w14:scene3d>
              <w14:camera w14:prst="orthographicFront"/>
              <w14:lightRig w14:rig="threePt" w14:dir="t">
                <w14:rot w14:lat="0" w14:lon="0" w14:rev="0"/>
              </w14:lightRig>
            </w14:scene3d>
          </w:rPr>
          <w:t>2.</w:t>
        </w:r>
        <w:r w:rsidR="00DF521C" w:rsidRPr="009E3DBC">
          <w:rPr>
            <w:rFonts w:ascii="Tahoma" w:eastAsiaTheme="minorEastAsia" w:hAnsi="Tahoma" w:cs="Tahoma"/>
            <w:iCs/>
            <w:noProof/>
            <w:sz w:val="24"/>
            <w:szCs w:val="24"/>
            <w:lang w:eastAsia="fr-FR"/>
          </w:rPr>
          <w:tab/>
        </w:r>
        <w:r w:rsidR="00DF521C" w:rsidRPr="009E3DBC">
          <w:rPr>
            <w:rStyle w:val="Lienhypertexte"/>
            <w:rFonts w:ascii="Tahoma" w:hAnsi="Tahoma" w:cs="Tahoma"/>
            <w:iCs/>
            <w:noProof/>
            <w:sz w:val="24"/>
            <w:szCs w:val="24"/>
          </w:rPr>
          <w:t>Délimitation administrative comme mécanisme de protection juridique</w:t>
        </w:r>
        <w:r w:rsidR="00DF521C" w:rsidRPr="009E3DBC">
          <w:rPr>
            <w:rFonts w:ascii="Tahoma" w:hAnsi="Tahoma" w:cs="Tahoma"/>
            <w:iCs/>
            <w:noProof/>
            <w:webHidden/>
            <w:sz w:val="24"/>
            <w:szCs w:val="24"/>
          </w:rPr>
          <w:tab/>
        </w:r>
        <w:r w:rsidR="00DF521C" w:rsidRPr="009E3DBC">
          <w:rPr>
            <w:rFonts w:ascii="Tahoma" w:hAnsi="Tahoma" w:cs="Tahoma"/>
            <w:iCs/>
            <w:noProof/>
            <w:webHidden/>
            <w:sz w:val="24"/>
            <w:szCs w:val="24"/>
          </w:rPr>
          <w:fldChar w:fldCharType="begin"/>
        </w:r>
        <w:r w:rsidR="00DF521C" w:rsidRPr="009E3DBC">
          <w:rPr>
            <w:rFonts w:ascii="Tahoma" w:hAnsi="Tahoma" w:cs="Tahoma"/>
            <w:iCs/>
            <w:noProof/>
            <w:webHidden/>
            <w:sz w:val="24"/>
            <w:szCs w:val="24"/>
          </w:rPr>
          <w:instrText xml:space="preserve"> PAGEREF _Toc203643040 \h </w:instrText>
        </w:r>
        <w:r w:rsidR="00DF521C" w:rsidRPr="009E3DBC">
          <w:rPr>
            <w:rFonts w:ascii="Tahoma" w:hAnsi="Tahoma" w:cs="Tahoma"/>
            <w:iCs/>
            <w:noProof/>
            <w:webHidden/>
            <w:sz w:val="24"/>
            <w:szCs w:val="24"/>
          </w:rPr>
        </w:r>
        <w:r w:rsidR="00DF521C" w:rsidRPr="009E3DBC">
          <w:rPr>
            <w:rFonts w:ascii="Tahoma" w:hAnsi="Tahoma" w:cs="Tahoma"/>
            <w:iCs/>
            <w:noProof/>
            <w:webHidden/>
            <w:sz w:val="24"/>
            <w:szCs w:val="24"/>
          </w:rPr>
          <w:fldChar w:fldCharType="separate"/>
        </w:r>
        <w:r w:rsidR="00124AFB">
          <w:rPr>
            <w:rFonts w:ascii="Tahoma" w:hAnsi="Tahoma" w:cs="Tahoma"/>
            <w:iCs/>
            <w:noProof/>
            <w:webHidden/>
            <w:sz w:val="24"/>
            <w:szCs w:val="24"/>
          </w:rPr>
          <w:t>175</w:t>
        </w:r>
        <w:r w:rsidR="00DF521C" w:rsidRPr="009E3DBC">
          <w:rPr>
            <w:rFonts w:ascii="Tahoma" w:hAnsi="Tahoma" w:cs="Tahoma"/>
            <w:iCs/>
            <w:noProof/>
            <w:webHidden/>
            <w:sz w:val="24"/>
            <w:szCs w:val="24"/>
          </w:rPr>
          <w:fldChar w:fldCharType="end"/>
        </w:r>
      </w:hyperlink>
    </w:p>
    <w:p w:rsidR="00DF521C" w:rsidRPr="009E3DBC" w:rsidRDefault="00642CE5" w:rsidP="00B84FD6">
      <w:pPr>
        <w:pStyle w:val="TM5"/>
        <w:tabs>
          <w:tab w:val="left" w:pos="1320"/>
          <w:tab w:val="right" w:leader="dot" w:pos="9346"/>
        </w:tabs>
        <w:spacing w:line="360" w:lineRule="auto"/>
        <w:jc w:val="both"/>
        <w:rPr>
          <w:rFonts w:ascii="Tahoma" w:eastAsiaTheme="minorEastAsia" w:hAnsi="Tahoma" w:cs="Tahoma"/>
          <w:iCs/>
          <w:noProof/>
          <w:sz w:val="24"/>
          <w:szCs w:val="24"/>
          <w:lang w:eastAsia="fr-FR"/>
        </w:rPr>
      </w:pPr>
      <w:hyperlink w:anchor="_Toc203643041" w:history="1">
        <w:r w:rsidR="00DF521C" w:rsidRPr="009E3DBC">
          <w:rPr>
            <w:rStyle w:val="Lienhypertexte"/>
            <w:rFonts w:ascii="Tahoma" w:hAnsi="Tahoma" w:cs="Tahoma"/>
            <w:iCs/>
            <w:noProof/>
            <w:sz w:val="24"/>
            <w:szCs w:val="24"/>
          </w:rPr>
          <w:t>a.</w:t>
        </w:r>
        <w:r w:rsidR="00DF521C" w:rsidRPr="009E3DBC">
          <w:rPr>
            <w:rFonts w:ascii="Tahoma" w:eastAsiaTheme="minorEastAsia" w:hAnsi="Tahoma" w:cs="Tahoma"/>
            <w:iCs/>
            <w:noProof/>
            <w:sz w:val="24"/>
            <w:szCs w:val="24"/>
            <w:lang w:eastAsia="fr-FR"/>
          </w:rPr>
          <w:tab/>
        </w:r>
        <w:r w:rsidR="00DF521C" w:rsidRPr="009E3DBC">
          <w:rPr>
            <w:rStyle w:val="Lienhypertexte"/>
            <w:rFonts w:ascii="Tahoma" w:hAnsi="Tahoma" w:cs="Tahoma"/>
            <w:iCs/>
            <w:noProof/>
            <w:sz w:val="24"/>
            <w:szCs w:val="24"/>
          </w:rPr>
          <w:t>Les préalables à la délimitation administrative : la présomption de domanialité</w:t>
        </w:r>
        <w:r w:rsidR="00DF521C" w:rsidRPr="009E3DBC">
          <w:rPr>
            <w:rFonts w:ascii="Tahoma" w:hAnsi="Tahoma" w:cs="Tahoma"/>
            <w:iCs/>
            <w:noProof/>
            <w:webHidden/>
            <w:sz w:val="24"/>
            <w:szCs w:val="24"/>
          </w:rPr>
          <w:tab/>
        </w:r>
        <w:r w:rsidR="00DF521C" w:rsidRPr="009E3DBC">
          <w:rPr>
            <w:rFonts w:ascii="Tahoma" w:hAnsi="Tahoma" w:cs="Tahoma"/>
            <w:iCs/>
            <w:noProof/>
            <w:webHidden/>
            <w:sz w:val="24"/>
            <w:szCs w:val="24"/>
          </w:rPr>
          <w:fldChar w:fldCharType="begin"/>
        </w:r>
        <w:r w:rsidR="00DF521C" w:rsidRPr="009E3DBC">
          <w:rPr>
            <w:rFonts w:ascii="Tahoma" w:hAnsi="Tahoma" w:cs="Tahoma"/>
            <w:iCs/>
            <w:noProof/>
            <w:webHidden/>
            <w:sz w:val="24"/>
            <w:szCs w:val="24"/>
          </w:rPr>
          <w:instrText xml:space="preserve"> PAGEREF _Toc203643041 \h </w:instrText>
        </w:r>
        <w:r w:rsidR="00DF521C" w:rsidRPr="009E3DBC">
          <w:rPr>
            <w:rFonts w:ascii="Tahoma" w:hAnsi="Tahoma" w:cs="Tahoma"/>
            <w:iCs/>
            <w:noProof/>
            <w:webHidden/>
            <w:sz w:val="24"/>
            <w:szCs w:val="24"/>
          </w:rPr>
        </w:r>
        <w:r w:rsidR="00DF521C" w:rsidRPr="009E3DBC">
          <w:rPr>
            <w:rFonts w:ascii="Tahoma" w:hAnsi="Tahoma" w:cs="Tahoma"/>
            <w:iCs/>
            <w:noProof/>
            <w:webHidden/>
            <w:sz w:val="24"/>
            <w:szCs w:val="24"/>
          </w:rPr>
          <w:fldChar w:fldCharType="separate"/>
        </w:r>
        <w:r w:rsidR="00124AFB">
          <w:rPr>
            <w:rFonts w:ascii="Tahoma" w:hAnsi="Tahoma" w:cs="Tahoma"/>
            <w:iCs/>
            <w:noProof/>
            <w:webHidden/>
            <w:sz w:val="24"/>
            <w:szCs w:val="24"/>
          </w:rPr>
          <w:t>176</w:t>
        </w:r>
        <w:r w:rsidR="00DF521C" w:rsidRPr="009E3DBC">
          <w:rPr>
            <w:rFonts w:ascii="Tahoma" w:hAnsi="Tahoma" w:cs="Tahoma"/>
            <w:iCs/>
            <w:noProof/>
            <w:webHidden/>
            <w:sz w:val="24"/>
            <w:szCs w:val="24"/>
          </w:rPr>
          <w:fldChar w:fldCharType="end"/>
        </w:r>
      </w:hyperlink>
    </w:p>
    <w:p w:rsidR="00DF521C" w:rsidRPr="009E3DBC" w:rsidRDefault="00642CE5" w:rsidP="00B84FD6">
      <w:pPr>
        <w:pStyle w:val="TM2"/>
        <w:tabs>
          <w:tab w:val="right" w:leader="dot" w:pos="9346"/>
        </w:tabs>
        <w:spacing w:line="360" w:lineRule="auto"/>
        <w:jc w:val="both"/>
        <w:rPr>
          <w:rFonts w:ascii="Tahoma" w:eastAsiaTheme="minorEastAsia" w:hAnsi="Tahoma" w:cs="Tahoma"/>
          <w:iCs/>
          <w:smallCaps w:val="0"/>
          <w:noProof/>
          <w:sz w:val="24"/>
          <w:lang w:eastAsia="fr-FR"/>
        </w:rPr>
      </w:pPr>
      <w:hyperlink w:anchor="_Toc203643042" w:history="1">
        <w:r w:rsidR="00DF521C" w:rsidRPr="009E3DBC">
          <w:rPr>
            <w:rStyle w:val="Lienhypertexte"/>
            <w:rFonts w:ascii="Tahoma" w:hAnsi="Tahoma" w:cs="Tahoma"/>
            <w:iCs/>
            <w:noProof/>
            <w:sz w:val="24"/>
          </w:rPr>
          <w:t>Deuxième section : Dynamique de la dégradation des forêts au Maroc et impacts sur la biodiversité</w:t>
        </w:r>
        <w:r w:rsidR="00DF521C" w:rsidRPr="009E3DBC">
          <w:rPr>
            <w:rFonts w:ascii="Tahoma" w:hAnsi="Tahoma" w:cs="Tahoma"/>
            <w:iCs/>
            <w:noProof/>
            <w:webHidden/>
            <w:sz w:val="24"/>
          </w:rPr>
          <w:tab/>
        </w:r>
        <w:r w:rsidR="00DF521C" w:rsidRPr="009E3DBC">
          <w:rPr>
            <w:rFonts w:ascii="Tahoma" w:hAnsi="Tahoma" w:cs="Tahoma"/>
            <w:iCs/>
            <w:noProof/>
            <w:webHidden/>
            <w:sz w:val="24"/>
          </w:rPr>
          <w:fldChar w:fldCharType="begin"/>
        </w:r>
        <w:r w:rsidR="00DF521C" w:rsidRPr="009E3DBC">
          <w:rPr>
            <w:rFonts w:ascii="Tahoma" w:hAnsi="Tahoma" w:cs="Tahoma"/>
            <w:iCs/>
            <w:noProof/>
            <w:webHidden/>
            <w:sz w:val="24"/>
          </w:rPr>
          <w:instrText xml:space="preserve"> PAGEREF _Toc203643042 \h </w:instrText>
        </w:r>
        <w:r w:rsidR="00DF521C" w:rsidRPr="009E3DBC">
          <w:rPr>
            <w:rFonts w:ascii="Tahoma" w:hAnsi="Tahoma" w:cs="Tahoma"/>
            <w:iCs/>
            <w:noProof/>
            <w:webHidden/>
            <w:sz w:val="24"/>
          </w:rPr>
        </w:r>
        <w:r w:rsidR="00DF521C" w:rsidRPr="009E3DBC">
          <w:rPr>
            <w:rFonts w:ascii="Tahoma" w:hAnsi="Tahoma" w:cs="Tahoma"/>
            <w:iCs/>
            <w:noProof/>
            <w:webHidden/>
            <w:sz w:val="24"/>
          </w:rPr>
          <w:fldChar w:fldCharType="separate"/>
        </w:r>
        <w:r w:rsidR="00124AFB">
          <w:rPr>
            <w:rFonts w:ascii="Tahoma" w:hAnsi="Tahoma" w:cs="Tahoma"/>
            <w:iCs/>
            <w:noProof/>
            <w:webHidden/>
            <w:sz w:val="24"/>
          </w:rPr>
          <w:t>186</w:t>
        </w:r>
        <w:r w:rsidR="00DF521C" w:rsidRPr="009E3DBC">
          <w:rPr>
            <w:rFonts w:ascii="Tahoma" w:hAnsi="Tahoma" w:cs="Tahoma"/>
            <w:iCs/>
            <w:noProof/>
            <w:webHidden/>
            <w:sz w:val="24"/>
          </w:rPr>
          <w:fldChar w:fldCharType="end"/>
        </w:r>
      </w:hyperlink>
    </w:p>
    <w:p w:rsidR="00DF521C" w:rsidRPr="009E3DBC" w:rsidRDefault="00642CE5" w:rsidP="00B84FD6">
      <w:pPr>
        <w:pStyle w:val="TM3"/>
        <w:tabs>
          <w:tab w:val="left" w:pos="880"/>
          <w:tab w:val="right" w:leader="dot" w:pos="9346"/>
        </w:tabs>
        <w:spacing w:line="360" w:lineRule="auto"/>
        <w:jc w:val="both"/>
        <w:rPr>
          <w:rFonts w:ascii="Tahoma" w:eastAsiaTheme="minorEastAsia" w:hAnsi="Tahoma" w:cs="Tahoma"/>
          <w:i w:val="0"/>
          <w:noProof/>
          <w:sz w:val="24"/>
          <w:lang w:eastAsia="fr-FR"/>
        </w:rPr>
      </w:pPr>
      <w:hyperlink w:anchor="_Toc203643043" w:history="1">
        <w:r w:rsidR="00DF521C" w:rsidRPr="009E3DBC">
          <w:rPr>
            <w:rStyle w:val="Lienhypertexte"/>
            <w:rFonts w:ascii="Tahoma" w:eastAsia="Calibri" w:hAnsi="Tahoma" w:cs="Tahoma"/>
            <w:i w:val="0"/>
            <w:noProof/>
            <w:sz w:val="24"/>
            <w14:scene3d>
              <w14:camera w14:prst="orthographicFront"/>
              <w14:lightRig w14:rig="threePt" w14:dir="t">
                <w14:rot w14:lat="0" w14:lon="0" w14:rev="0"/>
              </w14:lightRig>
            </w14:scene3d>
          </w:rPr>
          <w:t>A.</w:t>
        </w:r>
        <w:r w:rsidR="00DF521C" w:rsidRPr="009E3DBC">
          <w:rPr>
            <w:rFonts w:ascii="Tahoma" w:eastAsiaTheme="minorEastAsia" w:hAnsi="Tahoma" w:cs="Tahoma"/>
            <w:i w:val="0"/>
            <w:noProof/>
            <w:sz w:val="24"/>
            <w:lang w:eastAsia="fr-FR"/>
          </w:rPr>
          <w:tab/>
        </w:r>
        <w:r w:rsidR="00DF521C" w:rsidRPr="009E3DBC">
          <w:rPr>
            <w:rStyle w:val="Lienhypertexte"/>
            <w:rFonts w:ascii="Tahoma" w:eastAsia="Calibri" w:hAnsi="Tahoma" w:cs="Tahoma"/>
            <w:i w:val="0"/>
            <w:noProof/>
            <w:sz w:val="24"/>
          </w:rPr>
          <w:t>Manifestations de la dégradation forestière : une analyse multifactorielle approfondie</w:t>
        </w:r>
        <w:r w:rsidR="00DF521C" w:rsidRPr="009E3DBC">
          <w:rPr>
            <w:rFonts w:ascii="Tahoma" w:hAnsi="Tahoma" w:cs="Tahoma"/>
            <w:i w:val="0"/>
            <w:noProof/>
            <w:webHidden/>
            <w:sz w:val="24"/>
          </w:rPr>
          <w:tab/>
        </w:r>
        <w:r w:rsidR="00DF521C" w:rsidRPr="009E3DBC">
          <w:rPr>
            <w:rFonts w:ascii="Tahoma" w:hAnsi="Tahoma" w:cs="Tahoma"/>
            <w:i w:val="0"/>
            <w:noProof/>
            <w:webHidden/>
            <w:sz w:val="24"/>
          </w:rPr>
          <w:fldChar w:fldCharType="begin"/>
        </w:r>
        <w:r w:rsidR="00DF521C" w:rsidRPr="009E3DBC">
          <w:rPr>
            <w:rFonts w:ascii="Tahoma" w:hAnsi="Tahoma" w:cs="Tahoma"/>
            <w:i w:val="0"/>
            <w:noProof/>
            <w:webHidden/>
            <w:sz w:val="24"/>
          </w:rPr>
          <w:instrText xml:space="preserve"> PAGEREF _Toc203643043 \h </w:instrText>
        </w:r>
        <w:r w:rsidR="00DF521C" w:rsidRPr="009E3DBC">
          <w:rPr>
            <w:rFonts w:ascii="Tahoma" w:hAnsi="Tahoma" w:cs="Tahoma"/>
            <w:i w:val="0"/>
            <w:noProof/>
            <w:webHidden/>
            <w:sz w:val="24"/>
          </w:rPr>
        </w:r>
        <w:r w:rsidR="00DF521C" w:rsidRPr="009E3DBC">
          <w:rPr>
            <w:rFonts w:ascii="Tahoma" w:hAnsi="Tahoma" w:cs="Tahoma"/>
            <w:i w:val="0"/>
            <w:noProof/>
            <w:webHidden/>
            <w:sz w:val="24"/>
          </w:rPr>
          <w:fldChar w:fldCharType="separate"/>
        </w:r>
        <w:r w:rsidR="00124AFB">
          <w:rPr>
            <w:rFonts w:ascii="Tahoma" w:hAnsi="Tahoma" w:cs="Tahoma"/>
            <w:i w:val="0"/>
            <w:noProof/>
            <w:webHidden/>
            <w:sz w:val="24"/>
          </w:rPr>
          <w:t>188</w:t>
        </w:r>
        <w:r w:rsidR="00DF521C" w:rsidRPr="009E3DBC">
          <w:rPr>
            <w:rFonts w:ascii="Tahoma" w:hAnsi="Tahoma" w:cs="Tahoma"/>
            <w:i w:val="0"/>
            <w:noProof/>
            <w:webHidden/>
            <w:sz w:val="24"/>
          </w:rPr>
          <w:fldChar w:fldCharType="end"/>
        </w:r>
      </w:hyperlink>
    </w:p>
    <w:p w:rsidR="00DF521C" w:rsidRPr="009E3DBC" w:rsidRDefault="00642CE5" w:rsidP="00B84FD6">
      <w:pPr>
        <w:pStyle w:val="TM4"/>
        <w:tabs>
          <w:tab w:val="left" w:pos="1100"/>
          <w:tab w:val="right" w:leader="dot" w:pos="9346"/>
        </w:tabs>
        <w:spacing w:line="360" w:lineRule="auto"/>
        <w:jc w:val="both"/>
        <w:rPr>
          <w:rFonts w:ascii="Tahoma" w:eastAsiaTheme="minorEastAsia" w:hAnsi="Tahoma" w:cs="Tahoma"/>
          <w:iCs/>
          <w:noProof/>
          <w:sz w:val="24"/>
          <w:szCs w:val="24"/>
          <w:lang w:eastAsia="fr-FR"/>
        </w:rPr>
      </w:pPr>
      <w:hyperlink w:anchor="_Toc203643044" w:history="1">
        <w:r w:rsidR="00DF521C" w:rsidRPr="009E3DBC">
          <w:rPr>
            <w:rStyle w:val="Lienhypertexte"/>
            <w:rFonts w:ascii="Tahoma" w:eastAsia="Calibri" w:hAnsi="Tahoma" w:cs="Tahoma"/>
            <w:iCs/>
            <w:noProof/>
            <w:sz w:val="24"/>
            <w:szCs w:val="24"/>
            <w14:scene3d>
              <w14:camera w14:prst="orthographicFront"/>
              <w14:lightRig w14:rig="threePt" w14:dir="t">
                <w14:rot w14:lat="0" w14:lon="0" w14:rev="0"/>
              </w14:lightRig>
            </w14:scene3d>
          </w:rPr>
          <w:t>1.</w:t>
        </w:r>
        <w:r w:rsidR="00DF521C" w:rsidRPr="009E3DBC">
          <w:rPr>
            <w:rFonts w:ascii="Tahoma" w:eastAsiaTheme="minorEastAsia" w:hAnsi="Tahoma" w:cs="Tahoma"/>
            <w:iCs/>
            <w:noProof/>
            <w:sz w:val="24"/>
            <w:szCs w:val="24"/>
            <w:lang w:eastAsia="fr-FR"/>
          </w:rPr>
          <w:tab/>
        </w:r>
        <w:r w:rsidR="00DF521C" w:rsidRPr="009E3DBC">
          <w:rPr>
            <w:rStyle w:val="Lienhypertexte"/>
            <w:rFonts w:ascii="Tahoma" w:hAnsi="Tahoma" w:cs="Tahoma"/>
            <w:iCs/>
            <w:noProof/>
            <w:sz w:val="24"/>
            <w:szCs w:val="24"/>
          </w:rPr>
          <w:t>Modélisation conceptuelle des dynamiques de dégradation des écosystèmes forestiers</w:t>
        </w:r>
        <w:r w:rsidR="00DF521C" w:rsidRPr="009E3DBC">
          <w:rPr>
            <w:rFonts w:ascii="Tahoma" w:hAnsi="Tahoma" w:cs="Tahoma"/>
            <w:iCs/>
            <w:noProof/>
            <w:webHidden/>
            <w:sz w:val="24"/>
            <w:szCs w:val="24"/>
          </w:rPr>
          <w:tab/>
        </w:r>
        <w:r w:rsidR="00DF521C" w:rsidRPr="009E3DBC">
          <w:rPr>
            <w:rFonts w:ascii="Tahoma" w:hAnsi="Tahoma" w:cs="Tahoma"/>
            <w:iCs/>
            <w:noProof/>
            <w:webHidden/>
            <w:sz w:val="24"/>
            <w:szCs w:val="24"/>
          </w:rPr>
          <w:fldChar w:fldCharType="begin"/>
        </w:r>
        <w:r w:rsidR="00DF521C" w:rsidRPr="009E3DBC">
          <w:rPr>
            <w:rFonts w:ascii="Tahoma" w:hAnsi="Tahoma" w:cs="Tahoma"/>
            <w:iCs/>
            <w:noProof/>
            <w:webHidden/>
            <w:sz w:val="24"/>
            <w:szCs w:val="24"/>
          </w:rPr>
          <w:instrText xml:space="preserve"> PAGEREF _Toc203643044 \h </w:instrText>
        </w:r>
        <w:r w:rsidR="00DF521C" w:rsidRPr="009E3DBC">
          <w:rPr>
            <w:rFonts w:ascii="Tahoma" w:hAnsi="Tahoma" w:cs="Tahoma"/>
            <w:iCs/>
            <w:noProof/>
            <w:webHidden/>
            <w:sz w:val="24"/>
            <w:szCs w:val="24"/>
          </w:rPr>
        </w:r>
        <w:r w:rsidR="00DF521C" w:rsidRPr="009E3DBC">
          <w:rPr>
            <w:rFonts w:ascii="Tahoma" w:hAnsi="Tahoma" w:cs="Tahoma"/>
            <w:iCs/>
            <w:noProof/>
            <w:webHidden/>
            <w:sz w:val="24"/>
            <w:szCs w:val="24"/>
          </w:rPr>
          <w:fldChar w:fldCharType="separate"/>
        </w:r>
        <w:r w:rsidR="00124AFB">
          <w:rPr>
            <w:rFonts w:ascii="Tahoma" w:hAnsi="Tahoma" w:cs="Tahoma"/>
            <w:iCs/>
            <w:noProof/>
            <w:webHidden/>
            <w:sz w:val="24"/>
            <w:szCs w:val="24"/>
          </w:rPr>
          <w:t>189</w:t>
        </w:r>
        <w:r w:rsidR="00DF521C" w:rsidRPr="009E3DBC">
          <w:rPr>
            <w:rFonts w:ascii="Tahoma" w:hAnsi="Tahoma" w:cs="Tahoma"/>
            <w:iCs/>
            <w:noProof/>
            <w:webHidden/>
            <w:sz w:val="24"/>
            <w:szCs w:val="24"/>
          </w:rPr>
          <w:fldChar w:fldCharType="end"/>
        </w:r>
      </w:hyperlink>
    </w:p>
    <w:p w:rsidR="00DF521C" w:rsidRPr="009E3DBC" w:rsidRDefault="00642CE5" w:rsidP="00B84FD6">
      <w:pPr>
        <w:pStyle w:val="TM5"/>
        <w:tabs>
          <w:tab w:val="left" w:pos="1320"/>
          <w:tab w:val="right" w:leader="dot" w:pos="9346"/>
        </w:tabs>
        <w:spacing w:line="360" w:lineRule="auto"/>
        <w:jc w:val="both"/>
        <w:rPr>
          <w:rFonts w:ascii="Tahoma" w:eastAsiaTheme="minorEastAsia" w:hAnsi="Tahoma" w:cs="Tahoma"/>
          <w:iCs/>
          <w:noProof/>
          <w:sz w:val="24"/>
          <w:szCs w:val="24"/>
          <w:lang w:eastAsia="fr-FR"/>
        </w:rPr>
      </w:pPr>
      <w:hyperlink w:anchor="_Toc203643045" w:history="1">
        <w:r w:rsidR="00DF521C" w:rsidRPr="009E3DBC">
          <w:rPr>
            <w:rStyle w:val="Lienhypertexte"/>
            <w:rFonts w:ascii="Tahoma" w:hAnsi="Tahoma" w:cs="Tahoma"/>
            <w:iCs/>
            <w:noProof/>
            <w:sz w:val="24"/>
            <w:szCs w:val="24"/>
          </w:rPr>
          <w:t>a.</w:t>
        </w:r>
        <w:r w:rsidR="00DF521C" w:rsidRPr="009E3DBC">
          <w:rPr>
            <w:rFonts w:ascii="Tahoma" w:eastAsiaTheme="minorEastAsia" w:hAnsi="Tahoma" w:cs="Tahoma"/>
            <w:iCs/>
            <w:noProof/>
            <w:sz w:val="24"/>
            <w:szCs w:val="24"/>
            <w:lang w:eastAsia="fr-FR"/>
          </w:rPr>
          <w:tab/>
        </w:r>
        <w:r w:rsidR="00DF521C" w:rsidRPr="009E3DBC">
          <w:rPr>
            <w:rStyle w:val="Lienhypertexte"/>
            <w:rFonts w:ascii="Tahoma" w:hAnsi="Tahoma" w:cs="Tahoma"/>
            <w:iCs/>
            <w:noProof/>
            <w:sz w:val="24"/>
            <w:szCs w:val="24"/>
          </w:rPr>
          <w:t>La matorralisation : premier stade de transformation écosystémique</w:t>
        </w:r>
        <w:r w:rsidR="00DF521C" w:rsidRPr="009E3DBC">
          <w:rPr>
            <w:rFonts w:ascii="Tahoma" w:hAnsi="Tahoma" w:cs="Tahoma"/>
            <w:iCs/>
            <w:noProof/>
            <w:webHidden/>
            <w:sz w:val="24"/>
            <w:szCs w:val="24"/>
          </w:rPr>
          <w:tab/>
        </w:r>
        <w:r w:rsidR="00DF521C" w:rsidRPr="009E3DBC">
          <w:rPr>
            <w:rFonts w:ascii="Tahoma" w:hAnsi="Tahoma" w:cs="Tahoma"/>
            <w:iCs/>
            <w:noProof/>
            <w:webHidden/>
            <w:sz w:val="24"/>
            <w:szCs w:val="24"/>
          </w:rPr>
          <w:fldChar w:fldCharType="begin"/>
        </w:r>
        <w:r w:rsidR="00DF521C" w:rsidRPr="009E3DBC">
          <w:rPr>
            <w:rFonts w:ascii="Tahoma" w:hAnsi="Tahoma" w:cs="Tahoma"/>
            <w:iCs/>
            <w:noProof/>
            <w:webHidden/>
            <w:sz w:val="24"/>
            <w:szCs w:val="24"/>
          </w:rPr>
          <w:instrText xml:space="preserve"> PAGEREF _Toc203643045 \h </w:instrText>
        </w:r>
        <w:r w:rsidR="00DF521C" w:rsidRPr="009E3DBC">
          <w:rPr>
            <w:rFonts w:ascii="Tahoma" w:hAnsi="Tahoma" w:cs="Tahoma"/>
            <w:iCs/>
            <w:noProof/>
            <w:webHidden/>
            <w:sz w:val="24"/>
            <w:szCs w:val="24"/>
          </w:rPr>
        </w:r>
        <w:r w:rsidR="00DF521C" w:rsidRPr="009E3DBC">
          <w:rPr>
            <w:rFonts w:ascii="Tahoma" w:hAnsi="Tahoma" w:cs="Tahoma"/>
            <w:iCs/>
            <w:noProof/>
            <w:webHidden/>
            <w:sz w:val="24"/>
            <w:szCs w:val="24"/>
          </w:rPr>
          <w:fldChar w:fldCharType="separate"/>
        </w:r>
        <w:r w:rsidR="00124AFB">
          <w:rPr>
            <w:rFonts w:ascii="Tahoma" w:hAnsi="Tahoma" w:cs="Tahoma"/>
            <w:iCs/>
            <w:noProof/>
            <w:webHidden/>
            <w:sz w:val="24"/>
            <w:szCs w:val="24"/>
          </w:rPr>
          <w:t>190</w:t>
        </w:r>
        <w:r w:rsidR="00DF521C" w:rsidRPr="009E3DBC">
          <w:rPr>
            <w:rFonts w:ascii="Tahoma" w:hAnsi="Tahoma" w:cs="Tahoma"/>
            <w:iCs/>
            <w:noProof/>
            <w:webHidden/>
            <w:sz w:val="24"/>
            <w:szCs w:val="24"/>
          </w:rPr>
          <w:fldChar w:fldCharType="end"/>
        </w:r>
      </w:hyperlink>
    </w:p>
    <w:p w:rsidR="00DF521C" w:rsidRPr="009E3DBC" w:rsidRDefault="00642CE5" w:rsidP="00B84FD6">
      <w:pPr>
        <w:pStyle w:val="TM5"/>
        <w:tabs>
          <w:tab w:val="left" w:pos="1320"/>
          <w:tab w:val="right" w:leader="dot" w:pos="9346"/>
        </w:tabs>
        <w:spacing w:line="360" w:lineRule="auto"/>
        <w:jc w:val="both"/>
        <w:rPr>
          <w:rFonts w:ascii="Tahoma" w:eastAsiaTheme="minorEastAsia" w:hAnsi="Tahoma" w:cs="Tahoma"/>
          <w:iCs/>
          <w:noProof/>
          <w:sz w:val="24"/>
          <w:szCs w:val="24"/>
          <w:lang w:eastAsia="fr-FR"/>
        </w:rPr>
      </w:pPr>
      <w:hyperlink w:anchor="_Toc203643046" w:history="1">
        <w:r w:rsidR="00DF521C" w:rsidRPr="009E3DBC">
          <w:rPr>
            <w:rStyle w:val="Lienhypertexte"/>
            <w:rFonts w:ascii="Tahoma" w:hAnsi="Tahoma" w:cs="Tahoma"/>
            <w:iCs/>
            <w:noProof/>
            <w:sz w:val="24"/>
            <w:szCs w:val="24"/>
          </w:rPr>
          <w:t>b.</w:t>
        </w:r>
        <w:r w:rsidR="00DF521C" w:rsidRPr="009E3DBC">
          <w:rPr>
            <w:rFonts w:ascii="Tahoma" w:eastAsiaTheme="minorEastAsia" w:hAnsi="Tahoma" w:cs="Tahoma"/>
            <w:iCs/>
            <w:noProof/>
            <w:sz w:val="24"/>
            <w:szCs w:val="24"/>
            <w:lang w:eastAsia="fr-FR"/>
          </w:rPr>
          <w:tab/>
        </w:r>
        <w:r w:rsidR="00DF521C" w:rsidRPr="009E3DBC">
          <w:rPr>
            <w:rStyle w:val="Lienhypertexte"/>
            <w:rFonts w:ascii="Tahoma" w:hAnsi="Tahoma" w:cs="Tahoma"/>
            <w:iCs/>
            <w:noProof/>
            <w:sz w:val="24"/>
            <w:szCs w:val="24"/>
          </w:rPr>
          <w:t>La dématorralisation : accélération du processus dégradatif</w:t>
        </w:r>
        <w:r w:rsidR="00DF521C" w:rsidRPr="009E3DBC">
          <w:rPr>
            <w:rFonts w:ascii="Tahoma" w:hAnsi="Tahoma" w:cs="Tahoma"/>
            <w:iCs/>
            <w:noProof/>
            <w:webHidden/>
            <w:sz w:val="24"/>
            <w:szCs w:val="24"/>
          </w:rPr>
          <w:tab/>
        </w:r>
        <w:r w:rsidR="00DF521C" w:rsidRPr="009E3DBC">
          <w:rPr>
            <w:rFonts w:ascii="Tahoma" w:hAnsi="Tahoma" w:cs="Tahoma"/>
            <w:iCs/>
            <w:noProof/>
            <w:webHidden/>
            <w:sz w:val="24"/>
            <w:szCs w:val="24"/>
          </w:rPr>
          <w:fldChar w:fldCharType="begin"/>
        </w:r>
        <w:r w:rsidR="00DF521C" w:rsidRPr="009E3DBC">
          <w:rPr>
            <w:rFonts w:ascii="Tahoma" w:hAnsi="Tahoma" w:cs="Tahoma"/>
            <w:iCs/>
            <w:noProof/>
            <w:webHidden/>
            <w:sz w:val="24"/>
            <w:szCs w:val="24"/>
          </w:rPr>
          <w:instrText xml:space="preserve"> PAGEREF _Toc203643046 \h </w:instrText>
        </w:r>
        <w:r w:rsidR="00DF521C" w:rsidRPr="009E3DBC">
          <w:rPr>
            <w:rFonts w:ascii="Tahoma" w:hAnsi="Tahoma" w:cs="Tahoma"/>
            <w:iCs/>
            <w:noProof/>
            <w:webHidden/>
            <w:sz w:val="24"/>
            <w:szCs w:val="24"/>
          </w:rPr>
        </w:r>
        <w:r w:rsidR="00DF521C" w:rsidRPr="009E3DBC">
          <w:rPr>
            <w:rFonts w:ascii="Tahoma" w:hAnsi="Tahoma" w:cs="Tahoma"/>
            <w:iCs/>
            <w:noProof/>
            <w:webHidden/>
            <w:sz w:val="24"/>
            <w:szCs w:val="24"/>
          </w:rPr>
          <w:fldChar w:fldCharType="separate"/>
        </w:r>
        <w:r w:rsidR="00124AFB">
          <w:rPr>
            <w:rFonts w:ascii="Tahoma" w:hAnsi="Tahoma" w:cs="Tahoma"/>
            <w:iCs/>
            <w:noProof/>
            <w:webHidden/>
            <w:sz w:val="24"/>
            <w:szCs w:val="24"/>
          </w:rPr>
          <w:t>191</w:t>
        </w:r>
        <w:r w:rsidR="00DF521C" w:rsidRPr="009E3DBC">
          <w:rPr>
            <w:rFonts w:ascii="Tahoma" w:hAnsi="Tahoma" w:cs="Tahoma"/>
            <w:iCs/>
            <w:noProof/>
            <w:webHidden/>
            <w:sz w:val="24"/>
            <w:szCs w:val="24"/>
          </w:rPr>
          <w:fldChar w:fldCharType="end"/>
        </w:r>
      </w:hyperlink>
    </w:p>
    <w:p w:rsidR="00DF521C" w:rsidRPr="009E3DBC" w:rsidRDefault="00642CE5" w:rsidP="00B84FD6">
      <w:pPr>
        <w:pStyle w:val="TM5"/>
        <w:tabs>
          <w:tab w:val="left" w:pos="1320"/>
          <w:tab w:val="right" w:leader="dot" w:pos="9346"/>
        </w:tabs>
        <w:spacing w:line="360" w:lineRule="auto"/>
        <w:jc w:val="both"/>
        <w:rPr>
          <w:rFonts w:ascii="Tahoma" w:eastAsiaTheme="minorEastAsia" w:hAnsi="Tahoma" w:cs="Tahoma"/>
          <w:iCs/>
          <w:noProof/>
          <w:sz w:val="24"/>
          <w:szCs w:val="24"/>
          <w:lang w:eastAsia="fr-FR"/>
        </w:rPr>
      </w:pPr>
      <w:hyperlink w:anchor="_Toc203643047" w:history="1">
        <w:r w:rsidR="00DF521C" w:rsidRPr="009E3DBC">
          <w:rPr>
            <w:rStyle w:val="Lienhypertexte"/>
            <w:rFonts w:ascii="Tahoma" w:hAnsi="Tahoma" w:cs="Tahoma"/>
            <w:iCs/>
            <w:noProof/>
            <w:sz w:val="24"/>
            <w:szCs w:val="24"/>
          </w:rPr>
          <w:t>c.</w:t>
        </w:r>
        <w:r w:rsidR="00DF521C" w:rsidRPr="009E3DBC">
          <w:rPr>
            <w:rFonts w:ascii="Tahoma" w:eastAsiaTheme="minorEastAsia" w:hAnsi="Tahoma" w:cs="Tahoma"/>
            <w:iCs/>
            <w:noProof/>
            <w:sz w:val="24"/>
            <w:szCs w:val="24"/>
            <w:lang w:eastAsia="fr-FR"/>
          </w:rPr>
          <w:tab/>
        </w:r>
        <w:r w:rsidR="00DF521C" w:rsidRPr="009E3DBC">
          <w:rPr>
            <w:rStyle w:val="Lienhypertexte"/>
            <w:rFonts w:ascii="Tahoma" w:hAnsi="Tahoma" w:cs="Tahoma"/>
            <w:iCs/>
            <w:noProof/>
            <w:sz w:val="24"/>
            <w:szCs w:val="24"/>
          </w:rPr>
          <w:t>La thérophytisation : vers une simplification extrême</w:t>
        </w:r>
        <w:r w:rsidR="00DF521C" w:rsidRPr="009E3DBC">
          <w:rPr>
            <w:rFonts w:ascii="Tahoma" w:hAnsi="Tahoma" w:cs="Tahoma"/>
            <w:iCs/>
            <w:noProof/>
            <w:webHidden/>
            <w:sz w:val="24"/>
            <w:szCs w:val="24"/>
          </w:rPr>
          <w:tab/>
        </w:r>
        <w:r w:rsidR="00DF521C" w:rsidRPr="009E3DBC">
          <w:rPr>
            <w:rFonts w:ascii="Tahoma" w:hAnsi="Tahoma" w:cs="Tahoma"/>
            <w:iCs/>
            <w:noProof/>
            <w:webHidden/>
            <w:sz w:val="24"/>
            <w:szCs w:val="24"/>
          </w:rPr>
          <w:fldChar w:fldCharType="begin"/>
        </w:r>
        <w:r w:rsidR="00DF521C" w:rsidRPr="009E3DBC">
          <w:rPr>
            <w:rFonts w:ascii="Tahoma" w:hAnsi="Tahoma" w:cs="Tahoma"/>
            <w:iCs/>
            <w:noProof/>
            <w:webHidden/>
            <w:sz w:val="24"/>
            <w:szCs w:val="24"/>
          </w:rPr>
          <w:instrText xml:space="preserve"> PAGEREF _Toc203643047 \h </w:instrText>
        </w:r>
        <w:r w:rsidR="00DF521C" w:rsidRPr="009E3DBC">
          <w:rPr>
            <w:rFonts w:ascii="Tahoma" w:hAnsi="Tahoma" w:cs="Tahoma"/>
            <w:iCs/>
            <w:noProof/>
            <w:webHidden/>
            <w:sz w:val="24"/>
            <w:szCs w:val="24"/>
          </w:rPr>
        </w:r>
        <w:r w:rsidR="00DF521C" w:rsidRPr="009E3DBC">
          <w:rPr>
            <w:rFonts w:ascii="Tahoma" w:hAnsi="Tahoma" w:cs="Tahoma"/>
            <w:iCs/>
            <w:noProof/>
            <w:webHidden/>
            <w:sz w:val="24"/>
            <w:szCs w:val="24"/>
          </w:rPr>
          <w:fldChar w:fldCharType="separate"/>
        </w:r>
        <w:r w:rsidR="00124AFB">
          <w:rPr>
            <w:rFonts w:ascii="Tahoma" w:hAnsi="Tahoma" w:cs="Tahoma"/>
            <w:iCs/>
            <w:noProof/>
            <w:webHidden/>
            <w:sz w:val="24"/>
            <w:szCs w:val="24"/>
          </w:rPr>
          <w:t>192</w:t>
        </w:r>
        <w:r w:rsidR="00DF521C" w:rsidRPr="009E3DBC">
          <w:rPr>
            <w:rFonts w:ascii="Tahoma" w:hAnsi="Tahoma" w:cs="Tahoma"/>
            <w:iCs/>
            <w:noProof/>
            <w:webHidden/>
            <w:sz w:val="24"/>
            <w:szCs w:val="24"/>
          </w:rPr>
          <w:fldChar w:fldCharType="end"/>
        </w:r>
      </w:hyperlink>
    </w:p>
    <w:p w:rsidR="00DF521C" w:rsidRPr="009E3DBC" w:rsidRDefault="00642CE5" w:rsidP="00B84FD6">
      <w:pPr>
        <w:pStyle w:val="TM4"/>
        <w:tabs>
          <w:tab w:val="left" w:pos="1100"/>
          <w:tab w:val="right" w:leader="dot" w:pos="9346"/>
        </w:tabs>
        <w:spacing w:line="360" w:lineRule="auto"/>
        <w:jc w:val="both"/>
        <w:rPr>
          <w:rFonts w:ascii="Tahoma" w:eastAsiaTheme="minorEastAsia" w:hAnsi="Tahoma" w:cs="Tahoma"/>
          <w:iCs/>
          <w:noProof/>
          <w:sz w:val="24"/>
          <w:szCs w:val="24"/>
          <w:lang w:eastAsia="fr-FR"/>
        </w:rPr>
      </w:pPr>
      <w:hyperlink w:anchor="_Toc203643048" w:history="1">
        <w:r w:rsidR="00DF521C" w:rsidRPr="009E3DBC">
          <w:rPr>
            <w:rStyle w:val="Lienhypertexte"/>
            <w:rFonts w:ascii="Tahoma" w:eastAsia="Calibri" w:hAnsi="Tahoma" w:cs="Tahoma"/>
            <w:iCs/>
            <w:noProof/>
            <w:sz w:val="24"/>
            <w:szCs w:val="24"/>
            <w14:scene3d>
              <w14:camera w14:prst="orthographicFront"/>
              <w14:lightRig w14:rig="threePt" w14:dir="t">
                <w14:rot w14:lat="0" w14:lon="0" w14:rev="0"/>
              </w14:lightRig>
            </w14:scene3d>
          </w:rPr>
          <w:t>2.</w:t>
        </w:r>
        <w:r w:rsidR="00DF521C" w:rsidRPr="009E3DBC">
          <w:rPr>
            <w:rFonts w:ascii="Tahoma" w:eastAsiaTheme="minorEastAsia" w:hAnsi="Tahoma" w:cs="Tahoma"/>
            <w:iCs/>
            <w:noProof/>
            <w:sz w:val="24"/>
            <w:szCs w:val="24"/>
            <w:lang w:eastAsia="fr-FR"/>
          </w:rPr>
          <w:tab/>
        </w:r>
        <w:r w:rsidR="00DF521C" w:rsidRPr="009E3DBC">
          <w:rPr>
            <w:rStyle w:val="Lienhypertexte"/>
            <w:rFonts w:ascii="Tahoma" w:eastAsia="Calibri" w:hAnsi="Tahoma" w:cs="Tahoma"/>
            <w:iCs/>
            <w:noProof/>
            <w:sz w:val="24"/>
            <w:szCs w:val="24"/>
          </w:rPr>
          <w:t>Analyse systémique des facteurs de dégradation des écosystèmes forestiers</w:t>
        </w:r>
        <w:r w:rsidR="00DF521C" w:rsidRPr="009E3DBC">
          <w:rPr>
            <w:rFonts w:ascii="Tahoma" w:hAnsi="Tahoma" w:cs="Tahoma"/>
            <w:iCs/>
            <w:noProof/>
            <w:webHidden/>
            <w:sz w:val="24"/>
            <w:szCs w:val="24"/>
          </w:rPr>
          <w:tab/>
        </w:r>
        <w:r w:rsidR="00B84FD6" w:rsidRPr="009E3DBC">
          <w:rPr>
            <w:rFonts w:ascii="Tahoma" w:hAnsi="Tahoma" w:cs="Tahoma"/>
            <w:iCs/>
            <w:noProof/>
            <w:webHidden/>
            <w:sz w:val="24"/>
            <w:szCs w:val="24"/>
          </w:rPr>
          <w:t>…………………………………………………………………………………………………………</w:t>
        </w:r>
        <w:r w:rsidR="00DF521C" w:rsidRPr="009E3DBC">
          <w:rPr>
            <w:rFonts w:ascii="Tahoma" w:hAnsi="Tahoma" w:cs="Tahoma"/>
            <w:iCs/>
            <w:noProof/>
            <w:webHidden/>
            <w:sz w:val="24"/>
            <w:szCs w:val="24"/>
          </w:rPr>
          <w:fldChar w:fldCharType="begin"/>
        </w:r>
        <w:r w:rsidR="00DF521C" w:rsidRPr="009E3DBC">
          <w:rPr>
            <w:rFonts w:ascii="Tahoma" w:hAnsi="Tahoma" w:cs="Tahoma"/>
            <w:iCs/>
            <w:noProof/>
            <w:webHidden/>
            <w:sz w:val="24"/>
            <w:szCs w:val="24"/>
          </w:rPr>
          <w:instrText xml:space="preserve"> PAGEREF _Toc203643048 \h </w:instrText>
        </w:r>
        <w:r w:rsidR="00DF521C" w:rsidRPr="009E3DBC">
          <w:rPr>
            <w:rFonts w:ascii="Tahoma" w:hAnsi="Tahoma" w:cs="Tahoma"/>
            <w:iCs/>
            <w:noProof/>
            <w:webHidden/>
            <w:sz w:val="24"/>
            <w:szCs w:val="24"/>
          </w:rPr>
        </w:r>
        <w:r w:rsidR="00DF521C" w:rsidRPr="009E3DBC">
          <w:rPr>
            <w:rFonts w:ascii="Tahoma" w:hAnsi="Tahoma" w:cs="Tahoma"/>
            <w:iCs/>
            <w:noProof/>
            <w:webHidden/>
            <w:sz w:val="24"/>
            <w:szCs w:val="24"/>
          </w:rPr>
          <w:fldChar w:fldCharType="separate"/>
        </w:r>
        <w:r w:rsidR="00124AFB">
          <w:rPr>
            <w:rFonts w:ascii="Tahoma" w:hAnsi="Tahoma" w:cs="Tahoma"/>
            <w:iCs/>
            <w:noProof/>
            <w:webHidden/>
            <w:sz w:val="24"/>
            <w:szCs w:val="24"/>
          </w:rPr>
          <w:t>193</w:t>
        </w:r>
        <w:r w:rsidR="00DF521C" w:rsidRPr="009E3DBC">
          <w:rPr>
            <w:rFonts w:ascii="Tahoma" w:hAnsi="Tahoma" w:cs="Tahoma"/>
            <w:iCs/>
            <w:noProof/>
            <w:webHidden/>
            <w:sz w:val="24"/>
            <w:szCs w:val="24"/>
          </w:rPr>
          <w:fldChar w:fldCharType="end"/>
        </w:r>
      </w:hyperlink>
    </w:p>
    <w:p w:rsidR="00DF521C" w:rsidRPr="009E3DBC" w:rsidRDefault="00642CE5" w:rsidP="00B84FD6">
      <w:pPr>
        <w:pStyle w:val="TM5"/>
        <w:tabs>
          <w:tab w:val="left" w:pos="1320"/>
          <w:tab w:val="right" w:leader="dot" w:pos="9346"/>
        </w:tabs>
        <w:spacing w:line="360" w:lineRule="auto"/>
        <w:jc w:val="both"/>
        <w:rPr>
          <w:rFonts w:ascii="Tahoma" w:eastAsiaTheme="minorEastAsia" w:hAnsi="Tahoma" w:cs="Tahoma"/>
          <w:iCs/>
          <w:noProof/>
          <w:sz w:val="24"/>
          <w:szCs w:val="24"/>
          <w:lang w:eastAsia="fr-FR"/>
        </w:rPr>
      </w:pPr>
      <w:hyperlink w:anchor="_Toc203643049" w:history="1">
        <w:r w:rsidR="00DF521C" w:rsidRPr="009E3DBC">
          <w:rPr>
            <w:rStyle w:val="Lienhypertexte"/>
            <w:rFonts w:ascii="Tahoma" w:hAnsi="Tahoma" w:cs="Tahoma"/>
            <w:iCs/>
            <w:noProof/>
            <w:sz w:val="24"/>
            <w:szCs w:val="24"/>
          </w:rPr>
          <w:t>a.</w:t>
        </w:r>
        <w:r w:rsidR="00DF521C" w:rsidRPr="009E3DBC">
          <w:rPr>
            <w:rFonts w:ascii="Tahoma" w:eastAsiaTheme="minorEastAsia" w:hAnsi="Tahoma" w:cs="Tahoma"/>
            <w:iCs/>
            <w:noProof/>
            <w:sz w:val="24"/>
            <w:szCs w:val="24"/>
            <w:lang w:eastAsia="fr-FR"/>
          </w:rPr>
          <w:tab/>
        </w:r>
        <w:r w:rsidR="00DF521C" w:rsidRPr="009E3DBC">
          <w:rPr>
            <w:rStyle w:val="Lienhypertexte"/>
            <w:rFonts w:ascii="Tahoma" w:hAnsi="Tahoma" w:cs="Tahoma"/>
            <w:iCs/>
            <w:noProof/>
            <w:sz w:val="24"/>
            <w:szCs w:val="24"/>
          </w:rPr>
          <w:t>Pression pastorale et surpâturage</w:t>
        </w:r>
        <w:r w:rsidR="00DF521C" w:rsidRPr="009E3DBC">
          <w:rPr>
            <w:rFonts w:ascii="Tahoma" w:hAnsi="Tahoma" w:cs="Tahoma"/>
            <w:iCs/>
            <w:noProof/>
            <w:webHidden/>
            <w:sz w:val="24"/>
            <w:szCs w:val="24"/>
          </w:rPr>
          <w:tab/>
        </w:r>
        <w:r w:rsidR="00DF521C" w:rsidRPr="009E3DBC">
          <w:rPr>
            <w:rFonts w:ascii="Tahoma" w:hAnsi="Tahoma" w:cs="Tahoma"/>
            <w:iCs/>
            <w:noProof/>
            <w:webHidden/>
            <w:sz w:val="24"/>
            <w:szCs w:val="24"/>
          </w:rPr>
          <w:fldChar w:fldCharType="begin"/>
        </w:r>
        <w:r w:rsidR="00DF521C" w:rsidRPr="009E3DBC">
          <w:rPr>
            <w:rFonts w:ascii="Tahoma" w:hAnsi="Tahoma" w:cs="Tahoma"/>
            <w:iCs/>
            <w:noProof/>
            <w:webHidden/>
            <w:sz w:val="24"/>
            <w:szCs w:val="24"/>
          </w:rPr>
          <w:instrText xml:space="preserve"> PAGEREF _Toc203643049 \h </w:instrText>
        </w:r>
        <w:r w:rsidR="00DF521C" w:rsidRPr="009E3DBC">
          <w:rPr>
            <w:rFonts w:ascii="Tahoma" w:hAnsi="Tahoma" w:cs="Tahoma"/>
            <w:iCs/>
            <w:noProof/>
            <w:webHidden/>
            <w:sz w:val="24"/>
            <w:szCs w:val="24"/>
          </w:rPr>
        </w:r>
        <w:r w:rsidR="00DF521C" w:rsidRPr="009E3DBC">
          <w:rPr>
            <w:rFonts w:ascii="Tahoma" w:hAnsi="Tahoma" w:cs="Tahoma"/>
            <w:iCs/>
            <w:noProof/>
            <w:webHidden/>
            <w:sz w:val="24"/>
            <w:szCs w:val="24"/>
          </w:rPr>
          <w:fldChar w:fldCharType="separate"/>
        </w:r>
        <w:r w:rsidR="00124AFB">
          <w:rPr>
            <w:rFonts w:ascii="Tahoma" w:hAnsi="Tahoma" w:cs="Tahoma"/>
            <w:iCs/>
            <w:noProof/>
            <w:webHidden/>
            <w:sz w:val="24"/>
            <w:szCs w:val="24"/>
          </w:rPr>
          <w:t>194</w:t>
        </w:r>
        <w:r w:rsidR="00DF521C" w:rsidRPr="009E3DBC">
          <w:rPr>
            <w:rFonts w:ascii="Tahoma" w:hAnsi="Tahoma" w:cs="Tahoma"/>
            <w:iCs/>
            <w:noProof/>
            <w:webHidden/>
            <w:sz w:val="24"/>
            <w:szCs w:val="24"/>
          </w:rPr>
          <w:fldChar w:fldCharType="end"/>
        </w:r>
      </w:hyperlink>
    </w:p>
    <w:p w:rsidR="00DF521C" w:rsidRPr="009E3DBC" w:rsidRDefault="00642CE5" w:rsidP="00B84FD6">
      <w:pPr>
        <w:pStyle w:val="TM5"/>
        <w:tabs>
          <w:tab w:val="left" w:pos="1320"/>
          <w:tab w:val="right" w:leader="dot" w:pos="9346"/>
        </w:tabs>
        <w:spacing w:line="360" w:lineRule="auto"/>
        <w:jc w:val="both"/>
        <w:rPr>
          <w:rFonts w:ascii="Tahoma" w:eastAsiaTheme="minorEastAsia" w:hAnsi="Tahoma" w:cs="Tahoma"/>
          <w:iCs/>
          <w:noProof/>
          <w:sz w:val="24"/>
          <w:szCs w:val="24"/>
          <w:lang w:eastAsia="fr-FR"/>
        </w:rPr>
      </w:pPr>
      <w:hyperlink w:anchor="_Toc203643050" w:history="1">
        <w:r w:rsidR="00DF521C" w:rsidRPr="009E3DBC">
          <w:rPr>
            <w:rStyle w:val="Lienhypertexte"/>
            <w:rFonts w:ascii="Tahoma" w:hAnsi="Tahoma" w:cs="Tahoma"/>
            <w:iCs/>
            <w:noProof/>
            <w:sz w:val="24"/>
            <w:szCs w:val="24"/>
          </w:rPr>
          <w:t>b.</w:t>
        </w:r>
        <w:r w:rsidR="00DF521C" w:rsidRPr="009E3DBC">
          <w:rPr>
            <w:rFonts w:ascii="Tahoma" w:eastAsiaTheme="minorEastAsia" w:hAnsi="Tahoma" w:cs="Tahoma"/>
            <w:iCs/>
            <w:noProof/>
            <w:sz w:val="24"/>
            <w:szCs w:val="24"/>
            <w:lang w:eastAsia="fr-FR"/>
          </w:rPr>
          <w:tab/>
        </w:r>
        <w:r w:rsidR="00DF521C" w:rsidRPr="009E3DBC">
          <w:rPr>
            <w:rStyle w:val="Lienhypertexte"/>
            <w:rFonts w:ascii="Tahoma" w:hAnsi="Tahoma" w:cs="Tahoma"/>
            <w:iCs/>
            <w:noProof/>
            <w:sz w:val="24"/>
            <w:szCs w:val="24"/>
          </w:rPr>
          <w:t>Incendies et perturbations pyrogènes</w:t>
        </w:r>
        <w:r w:rsidR="00DF521C" w:rsidRPr="009E3DBC">
          <w:rPr>
            <w:rFonts w:ascii="Tahoma" w:hAnsi="Tahoma" w:cs="Tahoma"/>
            <w:iCs/>
            <w:noProof/>
            <w:webHidden/>
            <w:sz w:val="24"/>
            <w:szCs w:val="24"/>
          </w:rPr>
          <w:tab/>
        </w:r>
        <w:r w:rsidR="00DF521C" w:rsidRPr="009E3DBC">
          <w:rPr>
            <w:rFonts w:ascii="Tahoma" w:hAnsi="Tahoma" w:cs="Tahoma"/>
            <w:iCs/>
            <w:noProof/>
            <w:webHidden/>
            <w:sz w:val="24"/>
            <w:szCs w:val="24"/>
          </w:rPr>
          <w:fldChar w:fldCharType="begin"/>
        </w:r>
        <w:r w:rsidR="00DF521C" w:rsidRPr="009E3DBC">
          <w:rPr>
            <w:rFonts w:ascii="Tahoma" w:hAnsi="Tahoma" w:cs="Tahoma"/>
            <w:iCs/>
            <w:noProof/>
            <w:webHidden/>
            <w:sz w:val="24"/>
            <w:szCs w:val="24"/>
          </w:rPr>
          <w:instrText xml:space="preserve"> PAGEREF _Toc203643050 \h </w:instrText>
        </w:r>
        <w:r w:rsidR="00DF521C" w:rsidRPr="009E3DBC">
          <w:rPr>
            <w:rFonts w:ascii="Tahoma" w:hAnsi="Tahoma" w:cs="Tahoma"/>
            <w:iCs/>
            <w:noProof/>
            <w:webHidden/>
            <w:sz w:val="24"/>
            <w:szCs w:val="24"/>
          </w:rPr>
        </w:r>
        <w:r w:rsidR="00DF521C" w:rsidRPr="009E3DBC">
          <w:rPr>
            <w:rFonts w:ascii="Tahoma" w:hAnsi="Tahoma" w:cs="Tahoma"/>
            <w:iCs/>
            <w:noProof/>
            <w:webHidden/>
            <w:sz w:val="24"/>
            <w:szCs w:val="24"/>
          </w:rPr>
          <w:fldChar w:fldCharType="separate"/>
        </w:r>
        <w:r w:rsidR="00124AFB">
          <w:rPr>
            <w:rFonts w:ascii="Tahoma" w:hAnsi="Tahoma" w:cs="Tahoma"/>
            <w:iCs/>
            <w:noProof/>
            <w:webHidden/>
            <w:sz w:val="24"/>
            <w:szCs w:val="24"/>
          </w:rPr>
          <w:t>195</w:t>
        </w:r>
        <w:r w:rsidR="00DF521C" w:rsidRPr="009E3DBC">
          <w:rPr>
            <w:rFonts w:ascii="Tahoma" w:hAnsi="Tahoma" w:cs="Tahoma"/>
            <w:iCs/>
            <w:noProof/>
            <w:webHidden/>
            <w:sz w:val="24"/>
            <w:szCs w:val="24"/>
          </w:rPr>
          <w:fldChar w:fldCharType="end"/>
        </w:r>
      </w:hyperlink>
    </w:p>
    <w:p w:rsidR="00DF521C" w:rsidRPr="009E3DBC" w:rsidRDefault="00642CE5" w:rsidP="00B84FD6">
      <w:pPr>
        <w:pStyle w:val="TM5"/>
        <w:tabs>
          <w:tab w:val="left" w:pos="1320"/>
          <w:tab w:val="right" w:leader="dot" w:pos="9346"/>
        </w:tabs>
        <w:spacing w:line="360" w:lineRule="auto"/>
        <w:jc w:val="both"/>
        <w:rPr>
          <w:rFonts w:ascii="Tahoma" w:eastAsiaTheme="minorEastAsia" w:hAnsi="Tahoma" w:cs="Tahoma"/>
          <w:iCs/>
          <w:noProof/>
          <w:sz w:val="24"/>
          <w:szCs w:val="24"/>
          <w:lang w:eastAsia="fr-FR"/>
        </w:rPr>
      </w:pPr>
      <w:hyperlink w:anchor="_Toc203643051" w:history="1">
        <w:r w:rsidR="00DF521C" w:rsidRPr="009E3DBC">
          <w:rPr>
            <w:rStyle w:val="Lienhypertexte"/>
            <w:rFonts w:ascii="Tahoma" w:hAnsi="Tahoma" w:cs="Tahoma"/>
            <w:iCs/>
            <w:noProof/>
            <w:sz w:val="24"/>
            <w:szCs w:val="24"/>
          </w:rPr>
          <w:t>c.</w:t>
        </w:r>
        <w:r w:rsidR="00DF521C" w:rsidRPr="009E3DBC">
          <w:rPr>
            <w:rFonts w:ascii="Tahoma" w:eastAsiaTheme="minorEastAsia" w:hAnsi="Tahoma" w:cs="Tahoma"/>
            <w:iCs/>
            <w:noProof/>
            <w:sz w:val="24"/>
            <w:szCs w:val="24"/>
            <w:lang w:eastAsia="fr-FR"/>
          </w:rPr>
          <w:tab/>
        </w:r>
        <w:r w:rsidR="00DF521C" w:rsidRPr="009E3DBC">
          <w:rPr>
            <w:rStyle w:val="Lienhypertexte"/>
            <w:rFonts w:ascii="Tahoma" w:hAnsi="Tahoma" w:cs="Tahoma"/>
            <w:iCs/>
            <w:noProof/>
            <w:sz w:val="24"/>
            <w:szCs w:val="24"/>
          </w:rPr>
          <w:t>Exploitation forestière illégale et prélèvements abusifs</w:t>
        </w:r>
        <w:r w:rsidR="00DF521C" w:rsidRPr="009E3DBC">
          <w:rPr>
            <w:rFonts w:ascii="Tahoma" w:hAnsi="Tahoma" w:cs="Tahoma"/>
            <w:iCs/>
            <w:noProof/>
            <w:webHidden/>
            <w:sz w:val="24"/>
            <w:szCs w:val="24"/>
          </w:rPr>
          <w:tab/>
        </w:r>
        <w:r w:rsidR="00DF521C" w:rsidRPr="009E3DBC">
          <w:rPr>
            <w:rFonts w:ascii="Tahoma" w:hAnsi="Tahoma" w:cs="Tahoma"/>
            <w:iCs/>
            <w:noProof/>
            <w:webHidden/>
            <w:sz w:val="24"/>
            <w:szCs w:val="24"/>
          </w:rPr>
          <w:fldChar w:fldCharType="begin"/>
        </w:r>
        <w:r w:rsidR="00DF521C" w:rsidRPr="009E3DBC">
          <w:rPr>
            <w:rFonts w:ascii="Tahoma" w:hAnsi="Tahoma" w:cs="Tahoma"/>
            <w:iCs/>
            <w:noProof/>
            <w:webHidden/>
            <w:sz w:val="24"/>
            <w:szCs w:val="24"/>
          </w:rPr>
          <w:instrText xml:space="preserve"> PAGEREF _Toc203643051 \h </w:instrText>
        </w:r>
        <w:r w:rsidR="00DF521C" w:rsidRPr="009E3DBC">
          <w:rPr>
            <w:rFonts w:ascii="Tahoma" w:hAnsi="Tahoma" w:cs="Tahoma"/>
            <w:iCs/>
            <w:noProof/>
            <w:webHidden/>
            <w:sz w:val="24"/>
            <w:szCs w:val="24"/>
          </w:rPr>
        </w:r>
        <w:r w:rsidR="00DF521C" w:rsidRPr="009E3DBC">
          <w:rPr>
            <w:rFonts w:ascii="Tahoma" w:hAnsi="Tahoma" w:cs="Tahoma"/>
            <w:iCs/>
            <w:noProof/>
            <w:webHidden/>
            <w:sz w:val="24"/>
            <w:szCs w:val="24"/>
          </w:rPr>
          <w:fldChar w:fldCharType="separate"/>
        </w:r>
        <w:r w:rsidR="00124AFB">
          <w:rPr>
            <w:rFonts w:ascii="Tahoma" w:hAnsi="Tahoma" w:cs="Tahoma"/>
            <w:iCs/>
            <w:noProof/>
            <w:webHidden/>
            <w:sz w:val="24"/>
            <w:szCs w:val="24"/>
          </w:rPr>
          <w:t>196</w:t>
        </w:r>
        <w:r w:rsidR="00DF521C" w:rsidRPr="009E3DBC">
          <w:rPr>
            <w:rFonts w:ascii="Tahoma" w:hAnsi="Tahoma" w:cs="Tahoma"/>
            <w:iCs/>
            <w:noProof/>
            <w:webHidden/>
            <w:sz w:val="24"/>
            <w:szCs w:val="24"/>
          </w:rPr>
          <w:fldChar w:fldCharType="end"/>
        </w:r>
      </w:hyperlink>
    </w:p>
    <w:p w:rsidR="00DF521C" w:rsidRPr="009E3DBC" w:rsidRDefault="00642CE5" w:rsidP="00B84FD6">
      <w:pPr>
        <w:pStyle w:val="TM5"/>
        <w:tabs>
          <w:tab w:val="left" w:pos="1320"/>
          <w:tab w:val="right" w:leader="dot" w:pos="9346"/>
        </w:tabs>
        <w:spacing w:line="360" w:lineRule="auto"/>
        <w:jc w:val="both"/>
        <w:rPr>
          <w:rFonts w:ascii="Tahoma" w:eastAsiaTheme="minorEastAsia" w:hAnsi="Tahoma" w:cs="Tahoma"/>
          <w:iCs/>
          <w:noProof/>
          <w:sz w:val="24"/>
          <w:szCs w:val="24"/>
          <w:lang w:eastAsia="fr-FR"/>
        </w:rPr>
      </w:pPr>
      <w:hyperlink w:anchor="_Toc203643052" w:history="1">
        <w:r w:rsidR="00DF521C" w:rsidRPr="009E3DBC">
          <w:rPr>
            <w:rStyle w:val="Lienhypertexte"/>
            <w:rFonts w:ascii="Tahoma" w:hAnsi="Tahoma" w:cs="Tahoma"/>
            <w:iCs/>
            <w:noProof/>
            <w:sz w:val="24"/>
            <w:szCs w:val="24"/>
          </w:rPr>
          <w:t>d.</w:t>
        </w:r>
        <w:r w:rsidR="00DF521C" w:rsidRPr="009E3DBC">
          <w:rPr>
            <w:rFonts w:ascii="Tahoma" w:eastAsiaTheme="minorEastAsia" w:hAnsi="Tahoma" w:cs="Tahoma"/>
            <w:iCs/>
            <w:noProof/>
            <w:sz w:val="24"/>
            <w:szCs w:val="24"/>
            <w:lang w:eastAsia="fr-FR"/>
          </w:rPr>
          <w:tab/>
        </w:r>
        <w:r w:rsidR="00DF521C" w:rsidRPr="009E3DBC">
          <w:rPr>
            <w:rStyle w:val="Lienhypertexte"/>
            <w:rFonts w:ascii="Tahoma" w:hAnsi="Tahoma" w:cs="Tahoma"/>
            <w:iCs/>
            <w:noProof/>
            <w:sz w:val="24"/>
            <w:szCs w:val="24"/>
          </w:rPr>
          <w:t>Changement climatique et contraintes hydriques</w:t>
        </w:r>
        <w:r w:rsidR="00DF521C" w:rsidRPr="009E3DBC">
          <w:rPr>
            <w:rFonts w:ascii="Tahoma" w:hAnsi="Tahoma" w:cs="Tahoma"/>
            <w:iCs/>
            <w:noProof/>
            <w:webHidden/>
            <w:sz w:val="24"/>
            <w:szCs w:val="24"/>
          </w:rPr>
          <w:tab/>
        </w:r>
        <w:r w:rsidR="00DF521C" w:rsidRPr="009E3DBC">
          <w:rPr>
            <w:rFonts w:ascii="Tahoma" w:hAnsi="Tahoma" w:cs="Tahoma"/>
            <w:iCs/>
            <w:noProof/>
            <w:webHidden/>
            <w:sz w:val="24"/>
            <w:szCs w:val="24"/>
          </w:rPr>
          <w:fldChar w:fldCharType="begin"/>
        </w:r>
        <w:r w:rsidR="00DF521C" w:rsidRPr="009E3DBC">
          <w:rPr>
            <w:rFonts w:ascii="Tahoma" w:hAnsi="Tahoma" w:cs="Tahoma"/>
            <w:iCs/>
            <w:noProof/>
            <w:webHidden/>
            <w:sz w:val="24"/>
            <w:szCs w:val="24"/>
          </w:rPr>
          <w:instrText xml:space="preserve"> PAGEREF _Toc203643052 \h </w:instrText>
        </w:r>
        <w:r w:rsidR="00DF521C" w:rsidRPr="009E3DBC">
          <w:rPr>
            <w:rFonts w:ascii="Tahoma" w:hAnsi="Tahoma" w:cs="Tahoma"/>
            <w:iCs/>
            <w:noProof/>
            <w:webHidden/>
            <w:sz w:val="24"/>
            <w:szCs w:val="24"/>
          </w:rPr>
        </w:r>
        <w:r w:rsidR="00DF521C" w:rsidRPr="009E3DBC">
          <w:rPr>
            <w:rFonts w:ascii="Tahoma" w:hAnsi="Tahoma" w:cs="Tahoma"/>
            <w:iCs/>
            <w:noProof/>
            <w:webHidden/>
            <w:sz w:val="24"/>
            <w:szCs w:val="24"/>
          </w:rPr>
          <w:fldChar w:fldCharType="separate"/>
        </w:r>
        <w:r w:rsidR="00124AFB">
          <w:rPr>
            <w:rFonts w:ascii="Tahoma" w:hAnsi="Tahoma" w:cs="Tahoma"/>
            <w:iCs/>
            <w:noProof/>
            <w:webHidden/>
            <w:sz w:val="24"/>
            <w:szCs w:val="24"/>
          </w:rPr>
          <w:t>197</w:t>
        </w:r>
        <w:r w:rsidR="00DF521C" w:rsidRPr="009E3DBC">
          <w:rPr>
            <w:rFonts w:ascii="Tahoma" w:hAnsi="Tahoma" w:cs="Tahoma"/>
            <w:iCs/>
            <w:noProof/>
            <w:webHidden/>
            <w:sz w:val="24"/>
            <w:szCs w:val="24"/>
          </w:rPr>
          <w:fldChar w:fldCharType="end"/>
        </w:r>
      </w:hyperlink>
    </w:p>
    <w:p w:rsidR="00DF521C" w:rsidRPr="009E3DBC" w:rsidRDefault="00642CE5" w:rsidP="00B84FD6">
      <w:pPr>
        <w:pStyle w:val="TM4"/>
        <w:tabs>
          <w:tab w:val="left" w:pos="1100"/>
          <w:tab w:val="right" w:leader="dot" w:pos="9346"/>
        </w:tabs>
        <w:spacing w:line="360" w:lineRule="auto"/>
        <w:jc w:val="both"/>
        <w:rPr>
          <w:rFonts w:ascii="Tahoma" w:eastAsiaTheme="minorEastAsia" w:hAnsi="Tahoma" w:cs="Tahoma"/>
          <w:iCs/>
          <w:noProof/>
          <w:sz w:val="24"/>
          <w:szCs w:val="24"/>
          <w:lang w:eastAsia="fr-FR"/>
        </w:rPr>
      </w:pPr>
      <w:hyperlink w:anchor="_Toc203643053" w:history="1">
        <w:r w:rsidR="00DF521C" w:rsidRPr="009E3DBC">
          <w:rPr>
            <w:rStyle w:val="Lienhypertexte"/>
            <w:rFonts w:ascii="Tahoma" w:eastAsia="Calibri" w:hAnsi="Tahoma" w:cs="Tahoma"/>
            <w:iCs/>
            <w:noProof/>
            <w:sz w:val="24"/>
            <w:szCs w:val="24"/>
            <w14:scene3d>
              <w14:camera w14:prst="orthographicFront"/>
              <w14:lightRig w14:rig="threePt" w14:dir="t">
                <w14:rot w14:lat="0" w14:lon="0" w14:rev="0"/>
              </w14:lightRig>
            </w14:scene3d>
          </w:rPr>
          <w:t>3.</w:t>
        </w:r>
        <w:r w:rsidR="00DF521C" w:rsidRPr="009E3DBC">
          <w:rPr>
            <w:rFonts w:ascii="Tahoma" w:eastAsiaTheme="minorEastAsia" w:hAnsi="Tahoma" w:cs="Tahoma"/>
            <w:iCs/>
            <w:noProof/>
            <w:sz w:val="24"/>
            <w:szCs w:val="24"/>
            <w:lang w:eastAsia="fr-FR"/>
          </w:rPr>
          <w:tab/>
        </w:r>
        <w:r w:rsidR="00DF521C" w:rsidRPr="009E3DBC">
          <w:rPr>
            <w:rStyle w:val="Lienhypertexte"/>
            <w:rFonts w:ascii="Tahoma" w:eastAsia="Calibri" w:hAnsi="Tahoma" w:cs="Tahoma"/>
            <w:iCs/>
            <w:noProof/>
            <w:sz w:val="24"/>
            <w:szCs w:val="24"/>
          </w:rPr>
          <w:t>Migration des écosystèmes forestiers et déséquilibre de la biodiversité</w:t>
        </w:r>
        <w:r w:rsidR="00DF521C" w:rsidRPr="009E3DBC">
          <w:rPr>
            <w:rFonts w:ascii="Tahoma" w:hAnsi="Tahoma" w:cs="Tahoma"/>
            <w:iCs/>
            <w:noProof/>
            <w:webHidden/>
            <w:sz w:val="24"/>
            <w:szCs w:val="24"/>
          </w:rPr>
          <w:tab/>
        </w:r>
        <w:r w:rsidR="00DF521C" w:rsidRPr="009E3DBC">
          <w:rPr>
            <w:rFonts w:ascii="Tahoma" w:hAnsi="Tahoma" w:cs="Tahoma"/>
            <w:iCs/>
            <w:noProof/>
            <w:webHidden/>
            <w:sz w:val="24"/>
            <w:szCs w:val="24"/>
          </w:rPr>
          <w:fldChar w:fldCharType="begin"/>
        </w:r>
        <w:r w:rsidR="00DF521C" w:rsidRPr="009E3DBC">
          <w:rPr>
            <w:rFonts w:ascii="Tahoma" w:hAnsi="Tahoma" w:cs="Tahoma"/>
            <w:iCs/>
            <w:noProof/>
            <w:webHidden/>
            <w:sz w:val="24"/>
            <w:szCs w:val="24"/>
          </w:rPr>
          <w:instrText xml:space="preserve"> PAGEREF _Toc203643053 \h </w:instrText>
        </w:r>
        <w:r w:rsidR="00DF521C" w:rsidRPr="009E3DBC">
          <w:rPr>
            <w:rFonts w:ascii="Tahoma" w:hAnsi="Tahoma" w:cs="Tahoma"/>
            <w:iCs/>
            <w:noProof/>
            <w:webHidden/>
            <w:sz w:val="24"/>
            <w:szCs w:val="24"/>
          </w:rPr>
        </w:r>
        <w:r w:rsidR="00DF521C" w:rsidRPr="009E3DBC">
          <w:rPr>
            <w:rFonts w:ascii="Tahoma" w:hAnsi="Tahoma" w:cs="Tahoma"/>
            <w:iCs/>
            <w:noProof/>
            <w:webHidden/>
            <w:sz w:val="24"/>
            <w:szCs w:val="24"/>
          </w:rPr>
          <w:fldChar w:fldCharType="separate"/>
        </w:r>
        <w:r w:rsidR="00124AFB">
          <w:rPr>
            <w:rFonts w:ascii="Tahoma" w:hAnsi="Tahoma" w:cs="Tahoma"/>
            <w:iCs/>
            <w:noProof/>
            <w:webHidden/>
            <w:sz w:val="24"/>
            <w:szCs w:val="24"/>
          </w:rPr>
          <w:t>198</w:t>
        </w:r>
        <w:r w:rsidR="00DF521C" w:rsidRPr="009E3DBC">
          <w:rPr>
            <w:rFonts w:ascii="Tahoma" w:hAnsi="Tahoma" w:cs="Tahoma"/>
            <w:iCs/>
            <w:noProof/>
            <w:webHidden/>
            <w:sz w:val="24"/>
            <w:szCs w:val="24"/>
          </w:rPr>
          <w:fldChar w:fldCharType="end"/>
        </w:r>
      </w:hyperlink>
    </w:p>
    <w:p w:rsidR="00DF521C" w:rsidRPr="009E3DBC" w:rsidRDefault="00642CE5" w:rsidP="00B84FD6">
      <w:pPr>
        <w:pStyle w:val="TM5"/>
        <w:tabs>
          <w:tab w:val="left" w:pos="1320"/>
          <w:tab w:val="right" w:leader="dot" w:pos="9346"/>
        </w:tabs>
        <w:spacing w:line="360" w:lineRule="auto"/>
        <w:jc w:val="both"/>
        <w:rPr>
          <w:rFonts w:ascii="Tahoma" w:eastAsiaTheme="minorEastAsia" w:hAnsi="Tahoma" w:cs="Tahoma"/>
          <w:iCs/>
          <w:noProof/>
          <w:sz w:val="24"/>
          <w:szCs w:val="24"/>
          <w:lang w:eastAsia="fr-FR"/>
        </w:rPr>
      </w:pPr>
      <w:hyperlink w:anchor="_Toc203643054" w:history="1">
        <w:r w:rsidR="00DF521C" w:rsidRPr="009E3DBC">
          <w:rPr>
            <w:rStyle w:val="Lienhypertexte"/>
            <w:rFonts w:ascii="Tahoma" w:hAnsi="Tahoma" w:cs="Tahoma"/>
            <w:iCs/>
            <w:noProof/>
            <w:sz w:val="24"/>
            <w:szCs w:val="24"/>
          </w:rPr>
          <w:t>a.</w:t>
        </w:r>
        <w:r w:rsidR="00DF521C" w:rsidRPr="009E3DBC">
          <w:rPr>
            <w:rFonts w:ascii="Tahoma" w:eastAsiaTheme="minorEastAsia" w:hAnsi="Tahoma" w:cs="Tahoma"/>
            <w:iCs/>
            <w:noProof/>
            <w:sz w:val="24"/>
            <w:szCs w:val="24"/>
            <w:lang w:eastAsia="fr-FR"/>
          </w:rPr>
          <w:tab/>
        </w:r>
        <w:r w:rsidR="00DF521C" w:rsidRPr="009E3DBC">
          <w:rPr>
            <w:rStyle w:val="Lienhypertexte"/>
            <w:rFonts w:ascii="Tahoma" w:hAnsi="Tahoma" w:cs="Tahoma"/>
            <w:iCs/>
            <w:noProof/>
            <w:sz w:val="24"/>
            <w:szCs w:val="24"/>
          </w:rPr>
          <w:t>Mécanismes écologiques sous-jacents</w:t>
        </w:r>
        <w:r w:rsidR="00DF521C" w:rsidRPr="009E3DBC">
          <w:rPr>
            <w:rFonts w:ascii="Tahoma" w:hAnsi="Tahoma" w:cs="Tahoma"/>
            <w:iCs/>
            <w:noProof/>
            <w:webHidden/>
            <w:sz w:val="24"/>
            <w:szCs w:val="24"/>
          </w:rPr>
          <w:tab/>
        </w:r>
        <w:r w:rsidR="00DF521C" w:rsidRPr="009E3DBC">
          <w:rPr>
            <w:rFonts w:ascii="Tahoma" w:hAnsi="Tahoma" w:cs="Tahoma"/>
            <w:iCs/>
            <w:noProof/>
            <w:webHidden/>
            <w:sz w:val="24"/>
            <w:szCs w:val="24"/>
          </w:rPr>
          <w:fldChar w:fldCharType="begin"/>
        </w:r>
        <w:r w:rsidR="00DF521C" w:rsidRPr="009E3DBC">
          <w:rPr>
            <w:rFonts w:ascii="Tahoma" w:hAnsi="Tahoma" w:cs="Tahoma"/>
            <w:iCs/>
            <w:noProof/>
            <w:webHidden/>
            <w:sz w:val="24"/>
            <w:szCs w:val="24"/>
          </w:rPr>
          <w:instrText xml:space="preserve"> PAGEREF _Toc203643054 \h </w:instrText>
        </w:r>
        <w:r w:rsidR="00DF521C" w:rsidRPr="009E3DBC">
          <w:rPr>
            <w:rFonts w:ascii="Tahoma" w:hAnsi="Tahoma" w:cs="Tahoma"/>
            <w:iCs/>
            <w:noProof/>
            <w:webHidden/>
            <w:sz w:val="24"/>
            <w:szCs w:val="24"/>
          </w:rPr>
        </w:r>
        <w:r w:rsidR="00DF521C" w:rsidRPr="009E3DBC">
          <w:rPr>
            <w:rFonts w:ascii="Tahoma" w:hAnsi="Tahoma" w:cs="Tahoma"/>
            <w:iCs/>
            <w:noProof/>
            <w:webHidden/>
            <w:sz w:val="24"/>
            <w:szCs w:val="24"/>
          </w:rPr>
          <w:fldChar w:fldCharType="separate"/>
        </w:r>
        <w:r w:rsidR="00124AFB">
          <w:rPr>
            <w:rFonts w:ascii="Tahoma" w:hAnsi="Tahoma" w:cs="Tahoma"/>
            <w:iCs/>
            <w:noProof/>
            <w:webHidden/>
            <w:sz w:val="24"/>
            <w:szCs w:val="24"/>
          </w:rPr>
          <w:t>199</w:t>
        </w:r>
        <w:r w:rsidR="00DF521C" w:rsidRPr="009E3DBC">
          <w:rPr>
            <w:rFonts w:ascii="Tahoma" w:hAnsi="Tahoma" w:cs="Tahoma"/>
            <w:iCs/>
            <w:noProof/>
            <w:webHidden/>
            <w:sz w:val="24"/>
            <w:szCs w:val="24"/>
          </w:rPr>
          <w:fldChar w:fldCharType="end"/>
        </w:r>
      </w:hyperlink>
    </w:p>
    <w:p w:rsidR="00DF521C" w:rsidRPr="009E3DBC" w:rsidRDefault="00642CE5" w:rsidP="00B84FD6">
      <w:pPr>
        <w:pStyle w:val="TM5"/>
        <w:tabs>
          <w:tab w:val="left" w:pos="1320"/>
          <w:tab w:val="right" w:leader="dot" w:pos="9346"/>
        </w:tabs>
        <w:spacing w:line="360" w:lineRule="auto"/>
        <w:jc w:val="both"/>
        <w:rPr>
          <w:rFonts w:ascii="Tahoma" w:eastAsiaTheme="minorEastAsia" w:hAnsi="Tahoma" w:cs="Tahoma"/>
          <w:iCs/>
          <w:noProof/>
          <w:sz w:val="24"/>
          <w:szCs w:val="24"/>
          <w:lang w:eastAsia="fr-FR"/>
        </w:rPr>
      </w:pPr>
      <w:hyperlink w:anchor="_Toc203643055" w:history="1">
        <w:r w:rsidR="00DF521C" w:rsidRPr="009E3DBC">
          <w:rPr>
            <w:rStyle w:val="Lienhypertexte"/>
            <w:rFonts w:ascii="Tahoma" w:hAnsi="Tahoma" w:cs="Tahoma"/>
            <w:iCs/>
            <w:noProof/>
            <w:sz w:val="24"/>
            <w:szCs w:val="24"/>
          </w:rPr>
          <w:t>b.</w:t>
        </w:r>
        <w:r w:rsidR="00DF521C" w:rsidRPr="009E3DBC">
          <w:rPr>
            <w:rFonts w:ascii="Tahoma" w:eastAsiaTheme="minorEastAsia" w:hAnsi="Tahoma" w:cs="Tahoma"/>
            <w:iCs/>
            <w:noProof/>
            <w:sz w:val="24"/>
            <w:szCs w:val="24"/>
            <w:lang w:eastAsia="fr-FR"/>
          </w:rPr>
          <w:tab/>
        </w:r>
        <w:r w:rsidR="00DF521C" w:rsidRPr="009E3DBC">
          <w:rPr>
            <w:rStyle w:val="Lienhypertexte"/>
            <w:rFonts w:ascii="Tahoma" w:hAnsi="Tahoma" w:cs="Tahoma"/>
            <w:iCs/>
            <w:noProof/>
            <w:sz w:val="24"/>
            <w:szCs w:val="24"/>
          </w:rPr>
          <w:t>Dynamiques climatiques et migration forestière au Maroc</w:t>
        </w:r>
        <w:r w:rsidR="00DF521C" w:rsidRPr="009E3DBC">
          <w:rPr>
            <w:rFonts w:ascii="Tahoma" w:hAnsi="Tahoma" w:cs="Tahoma"/>
            <w:iCs/>
            <w:noProof/>
            <w:webHidden/>
            <w:sz w:val="24"/>
            <w:szCs w:val="24"/>
          </w:rPr>
          <w:tab/>
        </w:r>
        <w:r w:rsidR="00DF521C" w:rsidRPr="009E3DBC">
          <w:rPr>
            <w:rFonts w:ascii="Tahoma" w:hAnsi="Tahoma" w:cs="Tahoma"/>
            <w:iCs/>
            <w:noProof/>
            <w:webHidden/>
            <w:sz w:val="24"/>
            <w:szCs w:val="24"/>
          </w:rPr>
          <w:fldChar w:fldCharType="begin"/>
        </w:r>
        <w:r w:rsidR="00DF521C" w:rsidRPr="009E3DBC">
          <w:rPr>
            <w:rFonts w:ascii="Tahoma" w:hAnsi="Tahoma" w:cs="Tahoma"/>
            <w:iCs/>
            <w:noProof/>
            <w:webHidden/>
            <w:sz w:val="24"/>
            <w:szCs w:val="24"/>
          </w:rPr>
          <w:instrText xml:space="preserve"> PAGEREF _Toc203643055 \h </w:instrText>
        </w:r>
        <w:r w:rsidR="00DF521C" w:rsidRPr="009E3DBC">
          <w:rPr>
            <w:rFonts w:ascii="Tahoma" w:hAnsi="Tahoma" w:cs="Tahoma"/>
            <w:iCs/>
            <w:noProof/>
            <w:webHidden/>
            <w:sz w:val="24"/>
            <w:szCs w:val="24"/>
          </w:rPr>
        </w:r>
        <w:r w:rsidR="00DF521C" w:rsidRPr="009E3DBC">
          <w:rPr>
            <w:rFonts w:ascii="Tahoma" w:hAnsi="Tahoma" w:cs="Tahoma"/>
            <w:iCs/>
            <w:noProof/>
            <w:webHidden/>
            <w:sz w:val="24"/>
            <w:szCs w:val="24"/>
          </w:rPr>
          <w:fldChar w:fldCharType="separate"/>
        </w:r>
        <w:r w:rsidR="00124AFB">
          <w:rPr>
            <w:rFonts w:ascii="Tahoma" w:hAnsi="Tahoma" w:cs="Tahoma"/>
            <w:iCs/>
            <w:noProof/>
            <w:webHidden/>
            <w:sz w:val="24"/>
            <w:szCs w:val="24"/>
          </w:rPr>
          <w:t>200</w:t>
        </w:r>
        <w:r w:rsidR="00DF521C" w:rsidRPr="009E3DBC">
          <w:rPr>
            <w:rFonts w:ascii="Tahoma" w:hAnsi="Tahoma" w:cs="Tahoma"/>
            <w:iCs/>
            <w:noProof/>
            <w:webHidden/>
            <w:sz w:val="24"/>
            <w:szCs w:val="24"/>
          </w:rPr>
          <w:fldChar w:fldCharType="end"/>
        </w:r>
      </w:hyperlink>
    </w:p>
    <w:p w:rsidR="00DF521C" w:rsidRPr="009E3DBC" w:rsidRDefault="00642CE5" w:rsidP="00B84FD6">
      <w:pPr>
        <w:pStyle w:val="TM5"/>
        <w:tabs>
          <w:tab w:val="left" w:pos="1320"/>
          <w:tab w:val="right" w:leader="dot" w:pos="9346"/>
        </w:tabs>
        <w:spacing w:line="360" w:lineRule="auto"/>
        <w:jc w:val="both"/>
        <w:rPr>
          <w:rFonts w:ascii="Tahoma" w:eastAsiaTheme="minorEastAsia" w:hAnsi="Tahoma" w:cs="Tahoma"/>
          <w:iCs/>
          <w:noProof/>
          <w:sz w:val="24"/>
          <w:szCs w:val="24"/>
          <w:lang w:eastAsia="fr-FR"/>
        </w:rPr>
      </w:pPr>
      <w:hyperlink w:anchor="_Toc203643056" w:history="1">
        <w:r w:rsidR="00DF521C" w:rsidRPr="009E3DBC">
          <w:rPr>
            <w:rStyle w:val="Lienhypertexte"/>
            <w:rFonts w:ascii="Tahoma" w:hAnsi="Tahoma" w:cs="Tahoma"/>
            <w:iCs/>
            <w:noProof/>
            <w:sz w:val="24"/>
            <w:szCs w:val="24"/>
          </w:rPr>
          <w:t>c.</w:t>
        </w:r>
        <w:r w:rsidR="00DF521C" w:rsidRPr="009E3DBC">
          <w:rPr>
            <w:rFonts w:ascii="Tahoma" w:eastAsiaTheme="minorEastAsia" w:hAnsi="Tahoma" w:cs="Tahoma"/>
            <w:iCs/>
            <w:noProof/>
            <w:sz w:val="24"/>
            <w:szCs w:val="24"/>
            <w:lang w:eastAsia="fr-FR"/>
          </w:rPr>
          <w:tab/>
        </w:r>
        <w:r w:rsidR="00DF521C" w:rsidRPr="009E3DBC">
          <w:rPr>
            <w:rStyle w:val="Lienhypertexte"/>
            <w:rFonts w:ascii="Tahoma" w:hAnsi="Tahoma" w:cs="Tahoma"/>
            <w:iCs/>
            <w:noProof/>
            <w:sz w:val="24"/>
            <w:szCs w:val="24"/>
          </w:rPr>
          <w:t>Règles biogéographiques et déplacements altitudinaux</w:t>
        </w:r>
        <w:r w:rsidR="00DF521C" w:rsidRPr="009E3DBC">
          <w:rPr>
            <w:rFonts w:ascii="Tahoma" w:hAnsi="Tahoma" w:cs="Tahoma"/>
            <w:iCs/>
            <w:noProof/>
            <w:webHidden/>
            <w:sz w:val="24"/>
            <w:szCs w:val="24"/>
          </w:rPr>
          <w:tab/>
        </w:r>
        <w:r w:rsidR="00DF521C" w:rsidRPr="009E3DBC">
          <w:rPr>
            <w:rFonts w:ascii="Tahoma" w:hAnsi="Tahoma" w:cs="Tahoma"/>
            <w:iCs/>
            <w:noProof/>
            <w:webHidden/>
            <w:sz w:val="24"/>
            <w:szCs w:val="24"/>
          </w:rPr>
          <w:fldChar w:fldCharType="begin"/>
        </w:r>
        <w:r w:rsidR="00DF521C" w:rsidRPr="009E3DBC">
          <w:rPr>
            <w:rFonts w:ascii="Tahoma" w:hAnsi="Tahoma" w:cs="Tahoma"/>
            <w:iCs/>
            <w:noProof/>
            <w:webHidden/>
            <w:sz w:val="24"/>
            <w:szCs w:val="24"/>
          </w:rPr>
          <w:instrText xml:space="preserve"> PAGEREF _Toc203643056 \h </w:instrText>
        </w:r>
        <w:r w:rsidR="00DF521C" w:rsidRPr="009E3DBC">
          <w:rPr>
            <w:rFonts w:ascii="Tahoma" w:hAnsi="Tahoma" w:cs="Tahoma"/>
            <w:iCs/>
            <w:noProof/>
            <w:webHidden/>
            <w:sz w:val="24"/>
            <w:szCs w:val="24"/>
          </w:rPr>
        </w:r>
        <w:r w:rsidR="00DF521C" w:rsidRPr="009E3DBC">
          <w:rPr>
            <w:rFonts w:ascii="Tahoma" w:hAnsi="Tahoma" w:cs="Tahoma"/>
            <w:iCs/>
            <w:noProof/>
            <w:webHidden/>
            <w:sz w:val="24"/>
            <w:szCs w:val="24"/>
          </w:rPr>
          <w:fldChar w:fldCharType="separate"/>
        </w:r>
        <w:r w:rsidR="00124AFB">
          <w:rPr>
            <w:rFonts w:ascii="Tahoma" w:hAnsi="Tahoma" w:cs="Tahoma"/>
            <w:iCs/>
            <w:noProof/>
            <w:webHidden/>
            <w:sz w:val="24"/>
            <w:szCs w:val="24"/>
          </w:rPr>
          <w:t>201</w:t>
        </w:r>
        <w:r w:rsidR="00DF521C" w:rsidRPr="009E3DBC">
          <w:rPr>
            <w:rFonts w:ascii="Tahoma" w:hAnsi="Tahoma" w:cs="Tahoma"/>
            <w:iCs/>
            <w:noProof/>
            <w:webHidden/>
            <w:sz w:val="24"/>
            <w:szCs w:val="24"/>
          </w:rPr>
          <w:fldChar w:fldCharType="end"/>
        </w:r>
      </w:hyperlink>
    </w:p>
    <w:p w:rsidR="00DF521C" w:rsidRPr="009E3DBC" w:rsidRDefault="00642CE5" w:rsidP="00B84FD6">
      <w:pPr>
        <w:pStyle w:val="TM5"/>
        <w:tabs>
          <w:tab w:val="left" w:pos="1320"/>
          <w:tab w:val="right" w:leader="dot" w:pos="9346"/>
        </w:tabs>
        <w:spacing w:line="360" w:lineRule="auto"/>
        <w:jc w:val="both"/>
        <w:rPr>
          <w:rFonts w:ascii="Tahoma" w:eastAsiaTheme="minorEastAsia" w:hAnsi="Tahoma" w:cs="Tahoma"/>
          <w:iCs/>
          <w:noProof/>
          <w:sz w:val="24"/>
          <w:szCs w:val="24"/>
          <w:lang w:eastAsia="fr-FR"/>
        </w:rPr>
      </w:pPr>
      <w:hyperlink w:anchor="_Toc203643057" w:history="1">
        <w:r w:rsidR="00DF521C" w:rsidRPr="009E3DBC">
          <w:rPr>
            <w:rStyle w:val="Lienhypertexte"/>
            <w:rFonts w:ascii="Tahoma" w:hAnsi="Tahoma" w:cs="Tahoma"/>
            <w:iCs/>
            <w:noProof/>
            <w:sz w:val="24"/>
            <w:szCs w:val="24"/>
          </w:rPr>
          <w:t>d.</w:t>
        </w:r>
        <w:r w:rsidR="00DF521C" w:rsidRPr="009E3DBC">
          <w:rPr>
            <w:rFonts w:ascii="Tahoma" w:eastAsiaTheme="minorEastAsia" w:hAnsi="Tahoma" w:cs="Tahoma"/>
            <w:iCs/>
            <w:noProof/>
            <w:sz w:val="24"/>
            <w:szCs w:val="24"/>
            <w:lang w:eastAsia="fr-FR"/>
          </w:rPr>
          <w:tab/>
        </w:r>
        <w:r w:rsidR="00DF521C" w:rsidRPr="009E3DBC">
          <w:rPr>
            <w:rStyle w:val="Lienhypertexte"/>
            <w:rFonts w:ascii="Tahoma" w:hAnsi="Tahoma" w:cs="Tahoma"/>
            <w:iCs/>
            <w:noProof/>
            <w:sz w:val="24"/>
            <w:szCs w:val="24"/>
          </w:rPr>
          <w:t>Manifestations concrètes de la migration forestière</w:t>
        </w:r>
        <w:r w:rsidR="00DF521C" w:rsidRPr="009E3DBC">
          <w:rPr>
            <w:rFonts w:ascii="Tahoma" w:hAnsi="Tahoma" w:cs="Tahoma"/>
            <w:iCs/>
            <w:noProof/>
            <w:webHidden/>
            <w:sz w:val="24"/>
            <w:szCs w:val="24"/>
          </w:rPr>
          <w:tab/>
        </w:r>
        <w:r w:rsidR="00DF521C" w:rsidRPr="009E3DBC">
          <w:rPr>
            <w:rFonts w:ascii="Tahoma" w:hAnsi="Tahoma" w:cs="Tahoma"/>
            <w:iCs/>
            <w:noProof/>
            <w:webHidden/>
            <w:sz w:val="24"/>
            <w:szCs w:val="24"/>
          </w:rPr>
          <w:fldChar w:fldCharType="begin"/>
        </w:r>
        <w:r w:rsidR="00DF521C" w:rsidRPr="009E3DBC">
          <w:rPr>
            <w:rFonts w:ascii="Tahoma" w:hAnsi="Tahoma" w:cs="Tahoma"/>
            <w:iCs/>
            <w:noProof/>
            <w:webHidden/>
            <w:sz w:val="24"/>
            <w:szCs w:val="24"/>
          </w:rPr>
          <w:instrText xml:space="preserve"> PAGEREF _Toc203643057 \h </w:instrText>
        </w:r>
        <w:r w:rsidR="00DF521C" w:rsidRPr="009E3DBC">
          <w:rPr>
            <w:rFonts w:ascii="Tahoma" w:hAnsi="Tahoma" w:cs="Tahoma"/>
            <w:iCs/>
            <w:noProof/>
            <w:webHidden/>
            <w:sz w:val="24"/>
            <w:szCs w:val="24"/>
          </w:rPr>
        </w:r>
        <w:r w:rsidR="00DF521C" w:rsidRPr="009E3DBC">
          <w:rPr>
            <w:rFonts w:ascii="Tahoma" w:hAnsi="Tahoma" w:cs="Tahoma"/>
            <w:iCs/>
            <w:noProof/>
            <w:webHidden/>
            <w:sz w:val="24"/>
            <w:szCs w:val="24"/>
          </w:rPr>
          <w:fldChar w:fldCharType="separate"/>
        </w:r>
        <w:r w:rsidR="00124AFB">
          <w:rPr>
            <w:rFonts w:ascii="Tahoma" w:hAnsi="Tahoma" w:cs="Tahoma"/>
            <w:iCs/>
            <w:noProof/>
            <w:webHidden/>
            <w:sz w:val="24"/>
            <w:szCs w:val="24"/>
          </w:rPr>
          <w:t>202</w:t>
        </w:r>
        <w:r w:rsidR="00DF521C" w:rsidRPr="009E3DBC">
          <w:rPr>
            <w:rFonts w:ascii="Tahoma" w:hAnsi="Tahoma" w:cs="Tahoma"/>
            <w:iCs/>
            <w:noProof/>
            <w:webHidden/>
            <w:sz w:val="24"/>
            <w:szCs w:val="24"/>
          </w:rPr>
          <w:fldChar w:fldCharType="end"/>
        </w:r>
      </w:hyperlink>
    </w:p>
    <w:p w:rsidR="00DF521C" w:rsidRPr="009E3DBC" w:rsidRDefault="00642CE5" w:rsidP="00B84FD6">
      <w:pPr>
        <w:pStyle w:val="TM5"/>
        <w:tabs>
          <w:tab w:val="left" w:pos="1320"/>
          <w:tab w:val="right" w:leader="dot" w:pos="9346"/>
        </w:tabs>
        <w:spacing w:line="360" w:lineRule="auto"/>
        <w:jc w:val="both"/>
        <w:rPr>
          <w:rFonts w:ascii="Tahoma" w:eastAsiaTheme="minorEastAsia" w:hAnsi="Tahoma" w:cs="Tahoma"/>
          <w:iCs/>
          <w:noProof/>
          <w:sz w:val="24"/>
          <w:szCs w:val="24"/>
          <w:lang w:eastAsia="fr-FR"/>
        </w:rPr>
      </w:pPr>
      <w:hyperlink w:anchor="_Toc203643058" w:history="1">
        <w:r w:rsidR="00DF521C" w:rsidRPr="009E3DBC">
          <w:rPr>
            <w:rStyle w:val="Lienhypertexte"/>
            <w:rFonts w:ascii="Tahoma" w:hAnsi="Tahoma" w:cs="Tahoma"/>
            <w:iCs/>
            <w:noProof/>
            <w:sz w:val="24"/>
            <w:szCs w:val="24"/>
          </w:rPr>
          <w:t>e.</w:t>
        </w:r>
        <w:r w:rsidR="00DF521C" w:rsidRPr="009E3DBC">
          <w:rPr>
            <w:rFonts w:ascii="Tahoma" w:eastAsiaTheme="minorEastAsia" w:hAnsi="Tahoma" w:cs="Tahoma"/>
            <w:iCs/>
            <w:noProof/>
            <w:sz w:val="24"/>
            <w:szCs w:val="24"/>
            <w:lang w:eastAsia="fr-FR"/>
          </w:rPr>
          <w:tab/>
        </w:r>
        <w:r w:rsidR="00DF521C" w:rsidRPr="009E3DBC">
          <w:rPr>
            <w:rStyle w:val="Lienhypertexte"/>
            <w:rFonts w:ascii="Tahoma" w:hAnsi="Tahoma" w:cs="Tahoma"/>
            <w:iCs/>
            <w:noProof/>
            <w:sz w:val="24"/>
            <w:szCs w:val="24"/>
          </w:rPr>
          <w:t>Analyse par écosystème forestier</w:t>
        </w:r>
        <w:r w:rsidR="00DF521C" w:rsidRPr="009E3DBC">
          <w:rPr>
            <w:rFonts w:ascii="Tahoma" w:hAnsi="Tahoma" w:cs="Tahoma"/>
            <w:iCs/>
            <w:noProof/>
            <w:webHidden/>
            <w:sz w:val="24"/>
            <w:szCs w:val="24"/>
          </w:rPr>
          <w:tab/>
        </w:r>
        <w:r w:rsidR="00DF521C" w:rsidRPr="009E3DBC">
          <w:rPr>
            <w:rFonts w:ascii="Tahoma" w:hAnsi="Tahoma" w:cs="Tahoma"/>
            <w:iCs/>
            <w:noProof/>
            <w:webHidden/>
            <w:sz w:val="24"/>
            <w:szCs w:val="24"/>
          </w:rPr>
          <w:fldChar w:fldCharType="begin"/>
        </w:r>
        <w:r w:rsidR="00DF521C" w:rsidRPr="009E3DBC">
          <w:rPr>
            <w:rFonts w:ascii="Tahoma" w:hAnsi="Tahoma" w:cs="Tahoma"/>
            <w:iCs/>
            <w:noProof/>
            <w:webHidden/>
            <w:sz w:val="24"/>
            <w:szCs w:val="24"/>
          </w:rPr>
          <w:instrText xml:space="preserve"> PAGEREF _Toc203643058 \h </w:instrText>
        </w:r>
        <w:r w:rsidR="00DF521C" w:rsidRPr="009E3DBC">
          <w:rPr>
            <w:rFonts w:ascii="Tahoma" w:hAnsi="Tahoma" w:cs="Tahoma"/>
            <w:iCs/>
            <w:noProof/>
            <w:webHidden/>
            <w:sz w:val="24"/>
            <w:szCs w:val="24"/>
          </w:rPr>
        </w:r>
        <w:r w:rsidR="00DF521C" w:rsidRPr="009E3DBC">
          <w:rPr>
            <w:rFonts w:ascii="Tahoma" w:hAnsi="Tahoma" w:cs="Tahoma"/>
            <w:iCs/>
            <w:noProof/>
            <w:webHidden/>
            <w:sz w:val="24"/>
            <w:szCs w:val="24"/>
          </w:rPr>
          <w:fldChar w:fldCharType="separate"/>
        </w:r>
        <w:r w:rsidR="00124AFB">
          <w:rPr>
            <w:rFonts w:ascii="Tahoma" w:hAnsi="Tahoma" w:cs="Tahoma"/>
            <w:iCs/>
            <w:noProof/>
            <w:webHidden/>
            <w:sz w:val="24"/>
            <w:szCs w:val="24"/>
          </w:rPr>
          <w:t>205</w:t>
        </w:r>
        <w:r w:rsidR="00DF521C" w:rsidRPr="009E3DBC">
          <w:rPr>
            <w:rFonts w:ascii="Tahoma" w:hAnsi="Tahoma" w:cs="Tahoma"/>
            <w:iCs/>
            <w:noProof/>
            <w:webHidden/>
            <w:sz w:val="24"/>
            <w:szCs w:val="24"/>
          </w:rPr>
          <w:fldChar w:fldCharType="end"/>
        </w:r>
      </w:hyperlink>
    </w:p>
    <w:p w:rsidR="00DF521C" w:rsidRPr="009E3DBC" w:rsidRDefault="00642CE5" w:rsidP="00B84FD6">
      <w:pPr>
        <w:pStyle w:val="TM3"/>
        <w:tabs>
          <w:tab w:val="left" w:pos="880"/>
          <w:tab w:val="right" w:leader="dot" w:pos="9346"/>
        </w:tabs>
        <w:spacing w:line="360" w:lineRule="auto"/>
        <w:jc w:val="both"/>
        <w:rPr>
          <w:rFonts w:ascii="Tahoma" w:eastAsiaTheme="minorEastAsia" w:hAnsi="Tahoma" w:cs="Tahoma"/>
          <w:i w:val="0"/>
          <w:noProof/>
          <w:sz w:val="24"/>
          <w:lang w:eastAsia="fr-FR"/>
        </w:rPr>
      </w:pPr>
      <w:hyperlink w:anchor="_Toc203643059" w:history="1">
        <w:r w:rsidR="00DF521C" w:rsidRPr="009E3DBC">
          <w:rPr>
            <w:rStyle w:val="Lienhypertexte"/>
            <w:rFonts w:ascii="Tahoma" w:hAnsi="Tahoma" w:cs="Tahoma"/>
            <w:i w:val="0"/>
            <w:noProof/>
            <w:sz w:val="24"/>
            <w14:scene3d>
              <w14:camera w14:prst="orthographicFront"/>
              <w14:lightRig w14:rig="threePt" w14:dir="t">
                <w14:rot w14:lat="0" w14:lon="0" w14:rev="0"/>
              </w14:lightRig>
            </w14:scene3d>
          </w:rPr>
          <w:t>B.</w:t>
        </w:r>
        <w:r w:rsidR="00DF521C" w:rsidRPr="009E3DBC">
          <w:rPr>
            <w:rFonts w:ascii="Tahoma" w:eastAsiaTheme="minorEastAsia" w:hAnsi="Tahoma" w:cs="Tahoma"/>
            <w:i w:val="0"/>
            <w:noProof/>
            <w:sz w:val="24"/>
            <w:lang w:eastAsia="fr-FR"/>
          </w:rPr>
          <w:tab/>
        </w:r>
        <w:r w:rsidR="00DF521C" w:rsidRPr="009E3DBC">
          <w:rPr>
            <w:rStyle w:val="Lienhypertexte"/>
            <w:rFonts w:ascii="Tahoma" w:hAnsi="Tahoma" w:cs="Tahoma"/>
            <w:i w:val="0"/>
            <w:noProof/>
            <w:sz w:val="24"/>
          </w:rPr>
          <w:t>Dynamiques de dégradation des écosystèmes forestiers de Korifla : enjeux environnementaux et socio-économiques</w:t>
        </w:r>
        <w:r w:rsidR="00DF521C" w:rsidRPr="009E3DBC">
          <w:rPr>
            <w:rFonts w:ascii="Tahoma" w:hAnsi="Tahoma" w:cs="Tahoma"/>
            <w:i w:val="0"/>
            <w:noProof/>
            <w:webHidden/>
            <w:sz w:val="24"/>
          </w:rPr>
          <w:tab/>
        </w:r>
        <w:r w:rsidR="00DF521C" w:rsidRPr="009E3DBC">
          <w:rPr>
            <w:rFonts w:ascii="Tahoma" w:hAnsi="Tahoma" w:cs="Tahoma"/>
            <w:i w:val="0"/>
            <w:noProof/>
            <w:webHidden/>
            <w:sz w:val="24"/>
          </w:rPr>
          <w:fldChar w:fldCharType="begin"/>
        </w:r>
        <w:r w:rsidR="00DF521C" w:rsidRPr="009E3DBC">
          <w:rPr>
            <w:rFonts w:ascii="Tahoma" w:hAnsi="Tahoma" w:cs="Tahoma"/>
            <w:i w:val="0"/>
            <w:noProof/>
            <w:webHidden/>
            <w:sz w:val="24"/>
          </w:rPr>
          <w:instrText xml:space="preserve"> PAGEREF _Toc203643059 \h </w:instrText>
        </w:r>
        <w:r w:rsidR="00DF521C" w:rsidRPr="009E3DBC">
          <w:rPr>
            <w:rFonts w:ascii="Tahoma" w:hAnsi="Tahoma" w:cs="Tahoma"/>
            <w:i w:val="0"/>
            <w:noProof/>
            <w:webHidden/>
            <w:sz w:val="24"/>
          </w:rPr>
        </w:r>
        <w:r w:rsidR="00DF521C" w:rsidRPr="009E3DBC">
          <w:rPr>
            <w:rFonts w:ascii="Tahoma" w:hAnsi="Tahoma" w:cs="Tahoma"/>
            <w:i w:val="0"/>
            <w:noProof/>
            <w:webHidden/>
            <w:sz w:val="24"/>
          </w:rPr>
          <w:fldChar w:fldCharType="separate"/>
        </w:r>
        <w:r w:rsidR="00124AFB">
          <w:rPr>
            <w:rFonts w:ascii="Tahoma" w:hAnsi="Tahoma" w:cs="Tahoma"/>
            <w:i w:val="0"/>
            <w:noProof/>
            <w:webHidden/>
            <w:sz w:val="24"/>
          </w:rPr>
          <w:t>209</w:t>
        </w:r>
        <w:r w:rsidR="00DF521C" w:rsidRPr="009E3DBC">
          <w:rPr>
            <w:rFonts w:ascii="Tahoma" w:hAnsi="Tahoma" w:cs="Tahoma"/>
            <w:i w:val="0"/>
            <w:noProof/>
            <w:webHidden/>
            <w:sz w:val="24"/>
          </w:rPr>
          <w:fldChar w:fldCharType="end"/>
        </w:r>
      </w:hyperlink>
    </w:p>
    <w:p w:rsidR="00DF521C" w:rsidRPr="009E3DBC" w:rsidRDefault="00642CE5" w:rsidP="00B84FD6">
      <w:pPr>
        <w:pStyle w:val="TM4"/>
        <w:tabs>
          <w:tab w:val="left" w:pos="1100"/>
          <w:tab w:val="right" w:leader="dot" w:pos="9346"/>
        </w:tabs>
        <w:spacing w:line="360" w:lineRule="auto"/>
        <w:jc w:val="both"/>
        <w:rPr>
          <w:rFonts w:ascii="Tahoma" w:eastAsiaTheme="minorEastAsia" w:hAnsi="Tahoma" w:cs="Tahoma"/>
          <w:iCs/>
          <w:noProof/>
          <w:sz w:val="24"/>
          <w:szCs w:val="24"/>
          <w:lang w:eastAsia="fr-FR"/>
        </w:rPr>
      </w:pPr>
      <w:hyperlink w:anchor="_Toc203643060" w:history="1">
        <w:r w:rsidR="00DF521C" w:rsidRPr="009E3DBC">
          <w:rPr>
            <w:rStyle w:val="Lienhypertexte"/>
            <w:rFonts w:ascii="Tahoma" w:hAnsi="Tahoma" w:cs="Tahoma"/>
            <w:iCs/>
            <w:noProof/>
            <w:sz w:val="24"/>
            <w:szCs w:val="24"/>
            <w14:scene3d>
              <w14:camera w14:prst="orthographicFront"/>
              <w14:lightRig w14:rig="threePt" w14:dir="t">
                <w14:rot w14:lat="0" w14:lon="0" w14:rev="0"/>
              </w14:lightRig>
            </w14:scene3d>
          </w:rPr>
          <w:t>1.</w:t>
        </w:r>
        <w:r w:rsidR="00DF521C" w:rsidRPr="009E3DBC">
          <w:rPr>
            <w:rFonts w:ascii="Tahoma" w:eastAsiaTheme="minorEastAsia" w:hAnsi="Tahoma" w:cs="Tahoma"/>
            <w:iCs/>
            <w:noProof/>
            <w:sz w:val="24"/>
            <w:szCs w:val="24"/>
            <w:lang w:eastAsia="fr-FR"/>
          </w:rPr>
          <w:tab/>
        </w:r>
        <w:r w:rsidR="00DF521C" w:rsidRPr="009E3DBC">
          <w:rPr>
            <w:rStyle w:val="Lienhypertexte"/>
            <w:rFonts w:ascii="Tahoma" w:hAnsi="Tahoma" w:cs="Tahoma"/>
            <w:iCs/>
            <w:noProof/>
            <w:sz w:val="24"/>
            <w:szCs w:val="24"/>
          </w:rPr>
          <w:t>Les facteurs de dégradation de la forêt de Korifla</w:t>
        </w:r>
        <w:r w:rsidR="00DF521C" w:rsidRPr="009E3DBC">
          <w:rPr>
            <w:rFonts w:ascii="Tahoma" w:hAnsi="Tahoma" w:cs="Tahoma"/>
            <w:iCs/>
            <w:noProof/>
            <w:webHidden/>
            <w:sz w:val="24"/>
            <w:szCs w:val="24"/>
          </w:rPr>
          <w:tab/>
        </w:r>
        <w:r w:rsidR="00DF521C" w:rsidRPr="009E3DBC">
          <w:rPr>
            <w:rFonts w:ascii="Tahoma" w:hAnsi="Tahoma" w:cs="Tahoma"/>
            <w:iCs/>
            <w:noProof/>
            <w:webHidden/>
            <w:sz w:val="24"/>
            <w:szCs w:val="24"/>
          </w:rPr>
          <w:fldChar w:fldCharType="begin"/>
        </w:r>
        <w:r w:rsidR="00DF521C" w:rsidRPr="009E3DBC">
          <w:rPr>
            <w:rFonts w:ascii="Tahoma" w:hAnsi="Tahoma" w:cs="Tahoma"/>
            <w:iCs/>
            <w:noProof/>
            <w:webHidden/>
            <w:sz w:val="24"/>
            <w:szCs w:val="24"/>
          </w:rPr>
          <w:instrText xml:space="preserve"> PAGEREF _Toc203643060 \h </w:instrText>
        </w:r>
        <w:r w:rsidR="00DF521C" w:rsidRPr="009E3DBC">
          <w:rPr>
            <w:rFonts w:ascii="Tahoma" w:hAnsi="Tahoma" w:cs="Tahoma"/>
            <w:iCs/>
            <w:noProof/>
            <w:webHidden/>
            <w:sz w:val="24"/>
            <w:szCs w:val="24"/>
          </w:rPr>
        </w:r>
        <w:r w:rsidR="00DF521C" w:rsidRPr="009E3DBC">
          <w:rPr>
            <w:rFonts w:ascii="Tahoma" w:hAnsi="Tahoma" w:cs="Tahoma"/>
            <w:iCs/>
            <w:noProof/>
            <w:webHidden/>
            <w:sz w:val="24"/>
            <w:szCs w:val="24"/>
          </w:rPr>
          <w:fldChar w:fldCharType="separate"/>
        </w:r>
        <w:r w:rsidR="00124AFB">
          <w:rPr>
            <w:rFonts w:ascii="Tahoma" w:hAnsi="Tahoma" w:cs="Tahoma"/>
            <w:iCs/>
            <w:noProof/>
            <w:webHidden/>
            <w:sz w:val="24"/>
            <w:szCs w:val="24"/>
          </w:rPr>
          <w:t>210</w:t>
        </w:r>
        <w:r w:rsidR="00DF521C" w:rsidRPr="009E3DBC">
          <w:rPr>
            <w:rFonts w:ascii="Tahoma" w:hAnsi="Tahoma" w:cs="Tahoma"/>
            <w:iCs/>
            <w:noProof/>
            <w:webHidden/>
            <w:sz w:val="24"/>
            <w:szCs w:val="24"/>
          </w:rPr>
          <w:fldChar w:fldCharType="end"/>
        </w:r>
      </w:hyperlink>
    </w:p>
    <w:p w:rsidR="00DF521C" w:rsidRPr="009E3DBC" w:rsidRDefault="00642CE5" w:rsidP="00B84FD6">
      <w:pPr>
        <w:pStyle w:val="TM5"/>
        <w:tabs>
          <w:tab w:val="left" w:pos="1320"/>
          <w:tab w:val="right" w:leader="dot" w:pos="9346"/>
        </w:tabs>
        <w:spacing w:line="360" w:lineRule="auto"/>
        <w:jc w:val="both"/>
        <w:rPr>
          <w:rFonts w:ascii="Tahoma" w:eastAsiaTheme="minorEastAsia" w:hAnsi="Tahoma" w:cs="Tahoma"/>
          <w:iCs/>
          <w:noProof/>
          <w:sz w:val="24"/>
          <w:szCs w:val="24"/>
          <w:lang w:eastAsia="fr-FR"/>
        </w:rPr>
      </w:pPr>
      <w:hyperlink w:anchor="_Toc203643061" w:history="1">
        <w:r w:rsidR="00DF521C" w:rsidRPr="009E3DBC">
          <w:rPr>
            <w:rStyle w:val="Lienhypertexte"/>
            <w:rFonts w:ascii="Tahoma" w:hAnsi="Tahoma" w:cs="Tahoma"/>
            <w:iCs/>
            <w:noProof/>
            <w:sz w:val="24"/>
            <w:szCs w:val="24"/>
          </w:rPr>
          <w:t>a.</w:t>
        </w:r>
        <w:r w:rsidR="00DF521C" w:rsidRPr="009E3DBC">
          <w:rPr>
            <w:rFonts w:ascii="Tahoma" w:eastAsiaTheme="minorEastAsia" w:hAnsi="Tahoma" w:cs="Tahoma"/>
            <w:iCs/>
            <w:noProof/>
            <w:sz w:val="24"/>
            <w:szCs w:val="24"/>
            <w:lang w:eastAsia="fr-FR"/>
          </w:rPr>
          <w:tab/>
        </w:r>
        <w:r w:rsidR="00DF521C" w:rsidRPr="009E3DBC">
          <w:rPr>
            <w:rStyle w:val="Lienhypertexte"/>
            <w:rFonts w:ascii="Tahoma" w:hAnsi="Tahoma" w:cs="Tahoma"/>
            <w:iCs/>
            <w:noProof/>
            <w:sz w:val="24"/>
            <w:szCs w:val="24"/>
          </w:rPr>
          <w:t>Facteurs naturels et climatiques</w:t>
        </w:r>
        <w:r w:rsidR="00DF521C" w:rsidRPr="009E3DBC">
          <w:rPr>
            <w:rFonts w:ascii="Tahoma" w:hAnsi="Tahoma" w:cs="Tahoma"/>
            <w:iCs/>
            <w:noProof/>
            <w:webHidden/>
            <w:sz w:val="24"/>
            <w:szCs w:val="24"/>
          </w:rPr>
          <w:tab/>
        </w:r>
        <w:r w:rsidR="00DF521C" w:rsidRPr="009E3DBC">
          <w:rPr>
            <w:rFonts w:ascii="Tahoma" w:hAnsi="Tahoma" w:cs="Tahoma"/>
            <w:iCs/>
            <w:noProof/>
            <w:webHidden/>
            <w:sz w:val="24"/>
            <w:szCs w:val="24"/>
          </w:rPr>
          <w:fldChar w:fldCharType="begin"/>
        </w:r>
        <w:r w:rsidR="00DF521C" w:rsidRPr="009E3DBC">
          <w:rPr>
            <w:rFonts w:ascii="Tahoma" w:hAnsi="Tahoma" w:cs="Tahoma"/>
            <w:iCs/>
            <w:noProof/>
            <w:webHidden/>
            <w:sz w:val="24"/>
            <w:szCs w:val="24"/>
          </w:rPr>
          <w:instrText xml:space="preserve"> PAGEREF _Toc203643061 \h </w:instrText>
        </w:r>
        <w:r w:rsidR="00DF521C" w:rsidRPr="009E3DBC">
          <w:rPr>
            <w:rFonts w:ascii="Tahoma" w:hAnsi="Tahoma" w:cs="Tahoma"/>
            <w:iCs/>
            <w:noProof/>
            <w:webHidden/>
            <w:sz w:val="24"/>
            <w:szCs w:val="24"/>
          </w:rPr>
        </w:r>
        <w:r w:rsidR="00DF521C" w:rsidRPr="009E3DBC">
          <w:rPr>
            <w:rFonts w:ascii="Tahoma" w:hAnsi="Tahoma" w:cs="Tahoma"/>
            <w:iCs/>
            <w:noProof/>
            <w:webHidden/>
            <w:sz w:val="24"/>
            <w:szCs w:val="24"/>
          </w:rPr>
          <w:fldChar w:fldCharType="separate"/>
        </w:r>
        <w:r w:rsidR="00124AFB">
          <w:rPr>
            <w:rFonts w:ascii="Tahoma" w:hAnsi="Tahoma" w:cs="Tahoma"/>
            <w:iCs/>
            <w:noProof/>
            <w:webHidden/>
            <w:sz w:val="24"/>
            <w:szCs w:val="24"/>
          </w:rPr>
          <w:t>210</w:t>
        </w:r>
        <w:r w:rsidR="00DF521C" w:rsidRPr="009E3DBC">
          <w:rPr>
            <w:rFonts w:ascii="Tahoma" w:hAnsi="Tahoma" w:cs="Tahoma"/>
            <w:iCs/>
            <w:noProof/>
            <w:webHidden/>
            <w:sz w:val="24"/>
            <w:szCs w:val="24"/>
          </w:rPr>
          <w:fldChar w:fldCharType="end"/>
        </w:r>
      </w:hyperlink>
    </w:p>
    <w:p w:rsidR="00DF521C" w:rsidRPr="009E3DBC" w:rsidRDefault="00642CE5" w:rsidP="00B84FD6">
      <w:pPr>
        <w:pStyle w:val="TM6"/>
        <w:tabs>
          <w:tab w:val="left" w:pos="1540"/>
          <w:tab w:val="right" w:leader="dot" w:pos="9346"/>
        </w:tabs>
        <w:spacing w:line="360" w:lineRule="auto"/>
        <w:jc w:val="both"/>
        <w:rPr>
          <w:rFonts w:ascii="Tahoma" w:eastAsiaTheme="minorEastAsia" w:hAnsi="Tahoma" w:cs="Tahoma"/>
          <w:iCs/>
          <w:noProof/>
          <w:sz w:val="24"/>
          <w:szCs w:val="24"/>
          <w:lang w:eastAsia="fr-FR"/>
        </w:rPr>
      </w:pPr>
      <w:hyperlink w:anchor="_Toc203643062" w:history="1">
        <w:r w:rsidR="00DF521C" w:rsidRPr="009E3DBC">
          <w:rPr>
            <w:rStyle w:val="Lienhypertexte"/>
            <w:rFonts w:ascii="Tahoma" w:hAnsi="Tahoma" w:cs="Tahoma"/>
            <w:iCs/>
            <w:noProof/>
            <w:sz w:val="24"/>
            <w:szCs w:val="24"/>
          </w:rPr>
          <w:t>i.</w:t>
        </w:r>
        <w:r w:rsidR="00DF521C" w:rsidRPr="009E3DBC">
          <w:rPr>
            <w:rFonts w:ascii="Tahoma" w:eastAsiaTheme="minorEastAsia" w:hAnsi="Tahoma" w:cs="Tahoma"/>
            <w:iCs/>
            <w:noProof/>
            <w:sz w:val="24"/>
            <w:szCs w:val="24"/>
            <w:lang w:eastAsia="fr-FR"/>
          </w:rPr>
          <w:tab/>
        </w:r>
        <w:r w:rsidR="00DF521C" w:rsidRPr="009E3DBC">
          <w:rPr>
            <w:rStyle w:val="Lienhypertexte"/>
            <w:rFonts w:ascii="Tahoma" w:hAnsi="Tahoma" w:cs="Tahoma"/>
            <w:iCs/>
            <w:noProof/>
            <w:sz w:val="24"/>
            <w:szCs w:val="24"/>
          </w:rPr>
          <w:t>Déficit hydrique et régime pluviométrique</w:t>
        </w:r>
        <w:r w:rsidR="00DF521C" w:rsidRPr="009E3DBC">
          <w:rPr>
            <w:rFonts w:ascii="Tahoma" w:hAnsi="Tahoma" w:cs="Tahoma"/>
            <w:iCs/>
            <w:noProof/>
            <w:webHidden/>
            <w:sz w:val="24"/>
            <w:szCs w:val="24"/>
          </w:rPr>
          <w:tab/>
        </w:r>
        <w:r w:rsidR="00DF521C" w:rsidRPr="009E3DBC">
          <w:rPr>
            <w:rFonts w:ascii="Tahoma" w:hAnsi="Tahoma" w:cs="Tahoma"/>
            <w:iCs/>
            <w:noProof/>
            <w:webHidden/>
            <w:sz w:val="24"/>
            <w:szCs w:val="24"/>
          </w:rPr>
          <w:fldChar w:fldCharType="begin"/>
        </w:r>
        <w:r w:rsidR="00DF521C" w:rsidRPr="009E3DBC">
          <w:rPr>
            <w:rFonts w:ascii="Tahoma" w:hAnsi="Tahoma" w:cs="Tahoma"/>
            <w:iCs/>
            <w:noProof/>
            <w:webHidden/>
            <w:sz w:val="24"/>
            <w:szCs w:val="24"/>
          </w:rPr>
          <w:instrText xml:space="preserve"> PAGEREF _Toc203643062 \h </w:instrText>
        </w:r>
        <w:r w:rsidR="00DF521C" w:rsidRPr="009E3DBC">
          <w:rPr>
            <w:rFonts w:ascii="Tahoma" w:hAnsi="Tahoma" w:cs="Tahoma"/>
            <w:iCs/>
            <w:noProof/>
            <w:webHidden/>
            <w:sz w:val="24"/>
            <w:szCs w:val="24"/>
          </w:rPr>
        </w:r>
        <w:r w:rsidR="00DF521C" w:rsidRPr="009E3DBC">
          <w:rPr>
            <w:rFonts w:ascii="Tahoma" w:hAnsi="Tahoma" w:cs="Tahoma"/>
            <w:iCs/>
            <w:noProof/>
            <w:webHidden/>
            <w:sz w:val="24"/>
            <w:szCs w:val="24"/>
          </w:rPr>
          <w:fldChar w:fldCharType="separate"/>
        </w:r>
        <w:r w:rsidR="00124AFB">
          <w:rPr>
            <w:rFonts w:ascii="Tahoma" w:hAnsi="Tahoma" w:cs="Tahoma"/>
            <w:iCs/>
            <w:noProof/>
            <w:webHidden/>
            <w:sz w:val="24"/>
            <w:szCs w:val="24"/>
          </w:rPr>
          <w:t>216</w:t>
        </w:r>
        <w:r w:rsidR="00DF521C" w:rsidRPr="009E3DBC">
          <w:rPr>
            <w:rFonts w:ascii="Tahoma" w:hAnsi="Tahoma" w:cs="Tahoma"/>
            <w:iCs/>
            <w:noProof/>
            <w:webHidden/>
            <w:sz w:val="24"/>
            <w:szCs w:val="24"/>
          </w:rPr>
          <w:fldChar w:fldCharType="end"/>
        </w:r>
      </w:hyperlink>
    </w:p>
    <w:p w:rsidR="00DF521C" w:rsidRPr="009E3DBC" w:rsidRDefault="00642CE5" w:rsidP="00B84FD6">
      <w:pPr>
        <w:pStyle w:val="TM5"/>
        <w:tabs>
          <w:tab w:val="left" w:pos="1320"/>
          <w:tab w:val="right" w:leader="dot" w:pos="9346"/>
        </w:tabs>
        <w:spacing w:line="360" w:lineRule="auto"/>
        <w:jc w:val="both"/>
        <w:rPr>
          <w:rFonts w:ascii="Tahoma" w:eastAsiaTheme="minorEastAsia" w:hAnsi="Tahoma" w:cs="Tahoma"/>
          <w:iCs/>
          <w:noProof/>
          <w:sz w:val="24"/>
          <w:szCs w:val="24"/>
          <w:lang w:eastAsia="fr-FR"/>
        </w:rPr>
      </w:pPr>
      <w:hyperlink w:anchor="_Toc203643063" w:history="1">
        <w:r w:rsidR="00DF521C" w:rsidRPr="009E3DBC">
          <w:rPr>
            <w:rStyle w:val="Lienhypertexte"/>
            <w:rFonts w:ascii="Tahoma" w:hAnsi="Tahoma" w:cs="Tahoma"/>
            <w:iCs/>
            <w:noProof/>
            <w:sz w:val="24"/>
            <w:szCs w:val="24"/>
          </w:rPr>
          <w:t>b.</w:t>
        </w:r>
        <w:r w:rsidR="00DF521C" w:rsidRPr="009E3DBC">
          <w:rPr>
            <w:rFonts w:ascii="Tahoma" w:eastAsiaTheme="minorEastAsia" w:hAnsi="Tahoma" w:cs="Tahoma"/>
            <w:iCs/>
            <w:noProof/>
            <w:sz w:val="24"/>
            <w:szCs w:val="24"/>
            <w:lang w:eastAsia="fr-FR"/>
          </w:rPr>
          <w:tab/>
        </w:r>
        <w:r w:rsidR="00DF521C" w:rsidRPr="009E3DBC">
          <w:rPr>
            <w:rStyle w:val="Lienhypertexte"/>
            <w:rFonts w:ascii="Tahoma" w:hAnsi="Tahoma" w:cs="Tahoma"/>
            <w:iCs/>
            <w:noProof/>
            <w:sz w:val="24"/>
            <w:szCs w:val="24"/>
          </w:rPr>
          <w:t>Impacts sur la régénération naturelle</w:t>
        </w:r>
        <w:r w:rsidR="00DF521C" w:rsidRPr="009E3DBC">
          <w:rPr>
            <w:rFonts w:ascii="Tahoma" w:hAnsi="Tahoma" w:cs="Tahoma"/>
            <w:iCs/>
            <w:noProof/>
            <w:webHidden/>
            <w:sz w:val="24"/>
            <w:szCs w:val="24"/>
          </w:rPr>
          <w:tab/>
        </w:r>
        <w:r w:rsidR="00DF521C" w:rsidRPr="009E3DBC">
          <w:rPr>
            <w:rFonts w:ascii="Tahoma" w:hAnsi="Tahoma" w:cs="Tahoma"/>
            <w:iCs/>
            <w:noProof/>
            <w:webHidden/>
            <w:sz w:val="24"/>
            <w:szCs w:val="24"/>
          </w:rPr>
          <w:fldChar w:fldCharType="begin"/>
        </w:r>
        <w:r w:rsidR="00DF521C" w:rsidRPr="009E3DBC">
          <w:rPr>
            <w:rFonts w:ascii="Tahoma" w:hAnsi="Tahoma" w:cs="Tahoma"/>
            <w:iCs/>
            <w:noProof/>
            <w:webHidden/>
            <w:sz w:val="24"/>
            <w:szCs w:val="24"/>
          </w:rPr>
          <w:instrText xml:space="preserve"> PAGEREF _Toc203643063 \h </w:instrText>
        </w:r>
        <w:r w:rsidR="00DF521C" w:rsidRPr="009E3DBC">
          <w:rPr>
            <w:rFonts w:ascii="Tahoma" w:hAnsi="Tahoma" w:cs="Tahoma"/>
            <w:iCs/>
            <w:noProof/>
            <w:webHidden/>
            <w:sz w:val="24"/>
            <w:szCs w:val="24"/>
          </w:rPr>
        </w:r>
        <w:r w:rsidR="00DF521C" w:rsidRPr="009E3DBC">
          <w:rPr>
            <w:rFonts w:ascii="Tahoma" w:hAnsi="Tahoma" w:cs="Tahoma"/>
            <w:iCs/>
            <w:noProof/>
            <w:webHidden/>
            <w:sz w:val="24"/>
            <w:szCs w:val="24"/>
          </w:rPr>
          <w:fldChar w:fldCharType="separate"/>
        </w:r>
        <w:r w:rsidR="00124AFB">
          <w:rPr>
            <w:rFonts w:ascii="Tahoma" w:hAnsi="Tahoma" w:cs="Tahoma"/>
            <w:iCs/>
            <w:noProof/>
            <w:webHidden/>
            <w:sz w:val="24"/>
            <w:szCs w:val="24"/>
          </w:rPr>
          <w:t>219</w:t>
        </w:r>
        <w:r w:rsidR="00DF521C" w:rsidRPr="009E3DBC">
          <w:rPr>
            <w:rFonts w:ascii="Tahoma" w:hAnsi="Tahoma" w:cs="Tahoma"/>
            <w:iCs/>
            <w:noProof/>
            <w:webHidden/>
            <w:sz w:val="24"/>
            <w:szCs w:val="24"/>
          </w:rPr>
          <w:fldChar w:fldCharType="end"/>
        </w:r>
      </w:hyperlink>
    </w:p>
    <w:p w:rsidR="00DF521C" w:rsidRPr="009E3DBC" w:rsidRDefault="00642CE5" w:rsidP="00B84FD6">
      <w:pPr>
        <w:pStyle w:val="TM6"/>
        <w:tabs>
          <w:tab w:val="left" w:pos="1540"/>
          <w:tab w:val="right" w:leader="dot" w:pos="9346"/>
        </w:tabs>
        <w:spacing w:line="360" w:lineRule="auto"/>
        <w:jc w:val="both"/>
        <w:rPr>
          <w:rFonts w:ascii="Tahoma" w:eastAsiaTheme="minorEastAsia" w:hAnsi="Tahoma" w:cs="Tahoma"/>
          <w:iCs/>
          <w:noProof/>
          <w:sz w:val="24"/>
          <w:szCs w:val="24"/>
          <w:lang w:eastAsia="fr-FR"/>
        </w:rPr>
      </w:pPr>
      <w:hyperlink w:anchor="_Toc203643064" w:history="1">
        <w:r w:rsidR="00DF521C" w:rsidRPr="009E3DBC">
          <w:rPr>
            <w:rStyle w:val="Lienhypertexte"/>
            <w:rFonts w:ascii="Tahoma" w:hAnsi="Tahoma" w:cs="Tahoma"/>
            <w:iCs/>
            <w:noProof/>
            <w:sz w:val="24"/>
            <w:szCs w:val="24"/>
          </w:rPr>
          <w:t>i.</w:t>
        </w:r>
        <w:r w:rsidR="00DF521C" w:rsidRPr="009E3DBC">
          <w:rPr>
            <w:rFonts w:ascii="Tahoma" w:eastAsiaTheme="minorEastAsia" w:hAnsi="Tahoma" w:cs="Tahoma"/>
            <w:iCs/>
            <w:noProof/>
            <w:sz w:val="24"/>
            <w:szCs w:val="24"/>
            <w:lang w:eastAsia="fr-FR"/>
          </w:rPr>
          <w:tab/>
        </w:r>
        <w:r w:rsidR="00DF521C" w:rsidRPr="009E3DBC">
          <w:rPr>
            <w:rStyle w:val="Lienhypertexte"/>
            <w:rFonts w:ascii="Tahoma" w:hAnsi="Tahoma" w:cs="Tahoma"/>
            <w:iCs/>
            <w:noProof/>
            <w:sz w:val="24"/>
            <w:szCs w:val="24"/>
          </w:rPr>
          <w:t>Limitation de la capacité de charge</w:t>
        </w:r>
        <w:r w:rsidR="00DF521C" w:rsidRPr="009E3DBC">
          <w:rPr>
            <w:rFonts w:ascii="Tahoma" w:hAnsi="Tahoma" w:cs="Tahoma"/>
            <w:iCs/>
            <w:noProof/>
            <w:webHidden/>
            <w:sz w:val="24"/>
            <w:szCs w:val="24"/>
          </w:rPr>
          <w:tab/>
        </w:r>
        <w:r w:rsidR="00DF521C" w:rsidRPr="009E3DBC">
          <w:rPr>
            <w:rFonts w:ascii="Tahoma" w:hAnsi="Tahoma" w:cs="Tahoma"/>
            <w:iCs/>
            <w:noProof/>
            <w:webHidden/>
            <w:sz w:val="24"/>
            <w:szCs w:val="24"/>
          </w:rPr>
          <w:fldChar w:fldCharType="begin"/>
        </w:r>
        <w:r w:rsidR="00DF521C" w:rsidRPr="009E3DBC">
          <w:rPr>
            <w:rFonts w:ascii="Tahoma" w:hAnsi="Tahoma" w:cs="Tahoma"/>
            <w:iCs/>
            <w:noProof/>
            <w:webHidden/>
            <w:sz w:val="24"/>
            <w:szCs w:val="24"/>
          </w:rPr>
          <w:instrText xml:space="preserve"> PAGEREF _Toc203643064 \h </w:instrText>
        </w:r>
        <w:r w:rsidR="00DF521C" w:rsidRPr="009E3DBC">
          <w:rPr>
            <w:rFonts w:ascii="Tahoma" w:hAnsi="Tahoma" w:cs="Tahoma"/>
            <w:iCs/>
            <w:noProof/>
            <w:webHidden/>
            <w:sz w:val="24"/>
            <w:szCs w:val="24"/>
          </w:rPr>
        </w:r>
        <w:r w:rsidR="00DF521C" w:rsidRPr="009E3DBC">
          <w:rPr>
            <w:rFonts w:ascii="Tahoma" w:hAnsi="Tahoma" w:cs="Tahoma"/>
            <w:iCs/>
            <w:noProof/>
            <w:webHidden/>
            <w:sz w:val="24"/>
            <w:szCs w:val="24"/>
          </w:rPr>
          <w:fldChar w:fldCharType="separate"/>
        </w:r>
        <w:r w:rsidR="00124AFB">
          <w:rPr>
            <w:rFonts w:ascii="Tahoma" w:hAnsi="Tahoma" w:cs="Tahoma"/>
            <w:iCs/>
            <w:noProof/>
            <w:webHidden/>
            <w:sz w:val="24"/>
            <w:szCs w:val="24"/>
          </w:rPr>
          <w:t>219</w:t>
        </w:r>
        <w:r w:rsidR="00DF521C" w:rsidRPr="009E3DBC">
          <w:rPr>
            <w:rFonts w:ascii="Tahoma" w:hAnsi="Tahoma" w:cs="Tahoma"/>
            <w:iCs/>
            <w:noProof/>
            <w:webHidden/>
            <w:sz w:val="24"/>
            <w:szCs w:val="24"/>
          </w:rPr>
          <w:fldChar w:fldCharType="end"/>
        </w:r>
      </w:hyperlink>
    </w:p>
    <w:p w:rsidR="00DF521C" w:rsidRPr="009E3DBC" w:rsidRDefault="00642CE5" w:rsidP="00B84FD6">
      <w:pPr>
        <w:pStyle w:val="TM6"/>
        <w:tabs>
          <w:tab w:val="left" w:pos="1540"/>
          <w:tab w:val="right" w:leader="dot" w:pos="9346"/>
        </w:tabs>
        <w:spacing w:line="360" w:lineRule="auto"/>
        <w:jc w:val="both"/>
        <w:rPr>
          <w:rFonts w:ascii="Tahoma" w:eastAsiaTheme="minorEastAsia" w:hAnsi="Tahoma" w:cs="Tahoma"/>
          <w:iCs/>
          <w:noProof/>
          <w:sz w:val="24"/>
          <w:szCs w:val="24"/>
          <w:lang w:eastAsia="fr-FR"/>
        </w:rPr>
      </w:pPr>
      <w:hyperlink w:anchor="_Toc203643065" w:history="1">
        <w:r w:rsidR="00DF521C" w:rsidRPr="009E3DBC">
          <w:rPr>
            <w:rStyle w:val="Lienhypertexte"/>
            <w:rFonts w:ascii="Tahoma" w:hAnsi="Tahoma" w:cs="Tahoma"/>
            <w:iCs/>
            <w:noProof/>
            <w:sz w:val="24"/>
            <w:szCs w:val="24"/>
          </w:rPr>
          <w:t>ii.</w:t>
        </w:r>
        <w:r w:rsidR="00DF521C" w:rsidRPr="009E3DBC">
          <w:rPr>
            <w:rFonts w:ascii="Tahoma" w:eastAsiaTheme="minorEastAsia" w:hAnsi="Tahoma" w:cs="Tahoma"/>
            <w:iCs/>
            <w:noProof/>
            <w:sz w:val="24"/>
            <w:szCs w:val="24"/>
            <w:lang w:eastAsia="fr-FR"/>
          </w:rPr>
          <w:tab/>
        </w:r>
        <w:r w:rsidR="00DF521C" w:rsidRPr="009E3DBC">
          <w:rPr>
            <w:rStyle w:val="Lienhypertexte"/>
            <w:rFonts w:ascii="Tahoma" w:hAnsi="Tahoma" w:cs="Tahoma"/>
            <w:iCs/>
            <w:noProof/>
            <w:sz w:val="24"/>
            <w:szCs w:val="24"/>
          </w:rPr>
          <w:t>Vulnérabilité des processus de régénération</w:t>
        </w:r>
        <w:r w:rsidR="00DF521C" w:rsidRPr="009E3DBC">
          <w:rPr>
            <w:rFonts w:ascii="Tahoma" w:hAnsi="Tahoma" w:cs="Tahoma"/>
            <w:iCs/>
            <w:noProof/>
            <w:webHidden/>
            <w:sz w:val="24"/>
            <w:szCs w:val="24"/>
          </w:rPr>
          <w:tab/>
        </w:r>
        <w:r w:rsidR="00DF521C" w:rsidRPr="009E3DBC">
          <w:rPr>
            <w:rFonts w:ascii="Tahoma" w:hAnsi="Tahoma" w:cs="Tahoma"/>
            <w:iCs/>
            <w:noProof/>
            <w:webHidden/>
            <w:sz w:val="24"/>
            <w:szCs w:val="24"/>
          </w:rPr>
          <w:fldChar w:fldCharType="begin"/>
        </w:r>
        <w:r w:rsidR="00DF521C" w:rsidRPr="009E3DBC">
          <w:rPr>
            <w:rFonts w:ascii="Tahoma" w:hAnsi="Tahoma" w:cs="Tahoma"/>
            <w:iCs/>
            <w:noProof/>
            <w:webHidden/>
            <w:sz w:val="24"/>
            <w:szCs w:val="24"/>
          </w:rPr>
          <w:instrText xml:space="preserve"> PAGEREF _Toc203643065 \h </w:instrText>
        </w:r>
        <w:r w:rsidR="00DF521C" w:rsidRPr="009E3DBC">
          <w:rPr>
            <w:rFonts w:ascii="Tahoma" w:hAnsi="Tahoma" w:cs="Tahoma"/>
            <w:iCs/>
            <w:noProof/>
            <w:webHidden/>
            <w:sz w:val="24"/>
            <w:szCs w:val="24"/>
          </w:rPr>
        </w:r>
        <w:r w:rsidR="00DF521C" w:rsidRPr="009E3DBC">
          <w:rPr>
            <w:rFonts w:ascii="Tahoma" w:hAnsi="Tahoma" w:cs="Tahoma"/>
            <w:iCs/>
            <w:noProof/>
            <w:webHidden/>
            <w:sz w:val="24"/>
            <w:szCs w:val="24"/>
          </w:rPr>
          <w:fldChar w:fldCharType="separate"/>
        </w:r>
        <w:r w:rsidR="00124AFB">
          <w:rPr>
            <w:rFonts w:ascii="Tahoma" w:hAnsi="Tahoma" w:cs="Tahoma"/>
            <w:iCs/>
            <w:noProof/>
            <w:webHidden/>
            <w:sz w:val="24"/>
            <w:szCs w:val="24"/>
          </w:rPr>
          <w:t>220</w:t>
        </w:r>
        <w:r w:rsidR="00DF521C" w:rsidRPr="009E3DBC">
          <w:rPr>
            <w:rFonts w:ascii="Tahoma" w:hAnsi="Tahoma" w:cs="Tahoma"/>
            <w:iCs/>
            <w:noProof/>
            <w:webHidden/>
            <w:sz w:val="24"/>
            <w:szCs w:val="24"/>
          </w:rPr>
          <w:fldChar w:fldCharType="end"/>
        </w:r>
      </w:hyperlink>
    </w:p>
    <w:p w:rsidR="00DF521C" w:rsidRPr="009E3DBC" w:rsidRDefault="00642CE5" w:rsidP="00B84FD6">
      <w:pPr>
        <w:pStyle w:val="TM5"/>
        <w:tabs>
          <w:tab w:val="left" w:pos="1320"/>
          <w:tab w:val="right" w:leader="dot" w:pos="9346"/>
        </w:tabs>
        <w:spacing w:line="360" w:lineRule="auto"/>
        <w:jc w:val="both"/>
        <w:rPr>
          <w:rFonts w:ascii="Tahoma" w:eastAsiaTheme="minorEastAsia" w:hAnsi="Tahoma" w:cs="Tahoma"/>
          <w:iCs/>
          <w:noProof/>
          <w:sz w:val="24"/>
          <w:szCs w:val="24"/>
          <w:lang w:eastAsia="fr-FR"/>
        </w:rPr>
      </w:pPr>
      <w:hyperlink w:anchor="_Toc203643066" w:history="1">
        <w:r w:rsidR="00DF521C" w:rsidRPr="009E3DBC">
          <w:rPr>
            <w:rStyle w:val="Lienhypertexte"/>
            <w:rFonts w:ascii="Tahoma" w:hAnsi="Tahoma" w:cs="Tahoma"/>
            <w:iCs/>
            <w:noProof/>
            <w:sz w:val="24"/>
            <w:szCs w:val="24"/>
          </w:rPr>
          <w:t>c.</w:t>
        </w:r>
        <w:r w:rsidR="00DF521C" w:rsidRPr="009E3DBC">
          <w:rPr>
            <w:rFonts w:ascii="Tahoma" w:eastAsiaTheme="minorEastAsia" w:hAnsi="Tahoma" w:cs="Tahoma"/>
            <w:iCs/>
            <w:noProof/>
            <w:sz w:val="24"/>
            <w:szCs w:val="24"/>
            <w:lang w:eastAsia="fr-FR"/>
          </w:rPr>
          <w:tab/>
        </w:r>
        <w:r w:rsidR="00DF521C" w:rsidRPr="009E3DBC">
          <w:rPr>
            <w:rStyle w:val="Lienhypertexte"/>
            <w:rFonts w:ascii="Tahoma" w:hAnsi="Tahoma" w:cs="Tahoma"/>
            <w:iCs/>
            <w:noProof/>
            <w:sz w:val="24"/>
            <w:szCs w:val="24"/>
          </w:rPr>
          <w:t>Facteurs anthropiques de la dégradation de la forêt de Korifla</w:t>
        </w:r>
        <w:r w:rsidR="00DF521C" w:rsidRPr="009E3DBC">
          <w:rPr>
            <w:rFonts w:ascii="Tahoma" w:hAnsi="Tahoma" w:cs="Tahoma"/>
            <w:iCs/>
            <w:noProof/>
            <w:webHidden/>
            <w:sz w:val="24"/>
            <w:szCs w:val="24"/>
          </w:rPr>
          <w:tab/>
        </w:r>
        <w:r w:rsidR="00DF521C" w:rsidRPr="009E3DBC">
          <w:rPr>
            <w:rFonts w:ascii="Tahoma" w:hAnsi="Tahoma" w:cs="Tahoma"/>
            <w:iCs/>
            <w:noProof/>
            <w:webHidden/>
            <w:sz w:val="24"/>
            <w:szCs w:val="24"/>
          </w:rPr>
          <w:fldChar w:fldCharType="begin"/>
        </w:r>
        <w:r w:rsidR="00DF521C" w:rsidRPr="009E3DBC">
          <w:rPr>
            <w:rFonts w:ascii="Tahoma" w:hAnsi="Tahoma" w:cs="Tahoma"/>
            <w:iCs/>
            <w:noProof/>
            <w:webHidden/>
            <w:sz w:val="24"/>
            <w:szCs w:val="24"/>
          </w:rPr>
          <w:instrText xml:space="preserve"> PAGEREF _Toc203643066 \h </w:instrText>
        </w:r>
        <w:r w:rsidR="00DF521C" w:rsidRPr="009E3DBC">
          <w:rPr>
            <w:rFonts w:ascii="Tahoma" w:hAnsi="Tahoma" w:cs="Tahoma"/>
            <w:iCs/>
            <w:noProof/>
            <w:webHidden/>
            <w:sz w:val="24"/>
            <w:szCs w:val="24"/>
          </w:rPr>
        </w:r>
        <w:r w:rsidR="00DF521C" w:rsidRPr="009E3DBC">
          <w:rPr>
            <w:rFonts w:ascii="Tahoma" w:hAnsi="Tahoma" w:cs="Tahoma"/>
            <w:iCs/>
            <w:noProof/>
            <w:webHidden/>
            <w:sz w:val="24"/>
            <w:szCs w:val="24"/>
          </w:rPr>
          <w:fldChar w:fldCharType="separate"/>
        </w:r>
        <w:r w:rsidR="00124AFB">
          <w:rPr>
            <w:rFonts w:ascii="Tahoma" w:hAnsi="Tahoma" w:cs="Tahoma"/>
            <w:iCs/>
            <w:noProof/>
            <w:webHidden/>
            <w:sz w:val="24"/>
            <w:szCs w:val="24"/>
          </w:rPr>
          <w:t>222</w:t>
        </w:r>
        <w:r w:rsidR="00DF521C" w:rsidRPr="009E3DBC">
          <w:rPr>
            <w:rFonts w:ascii="Tahoma" w:hAnsi="Tahoma" w:cs="Tahoma"/>
            <w:iCs/>
            <w:noProof/>
            <w:webHidden/>
            <w:sz w:val="24"/>
            <w:szCs w:val="24"/>
          </w:rPr>
          <w:fldChar w:fldCharType="end"/>
        </w:r>
      </w:hyperlink>
    </w:p>
    <w:p w:rsidR="00DF521C" w:rsidRPr="009E3DBC" w:rsidRDefault="00642CE5" w:rsidP="00B84FD6">
      <w:pPr>
        <w:pStyle w:val="TM6"/>
        <w:tabs>
          <w:tab w:val="left" w:pos="1540"/>
          <w:tab w:val="right" w:leader="dot" w:pos="9346"/>
        </w:tabs>
        <w:spacing w:line="360" w:lineRule="auto"/>
        <w:jc w:val="both"/>
        <w:rPr>
          <w:rFonts w:ascii="Tahoma" w:eastAsiaTheme="minorEastAsia" w:hAnsi="Tahoma" w:cs="Tahoma"/>
          <w:iCs/>
          <w:noProof/>
          <w:sz w:val="24"/>
          <w:szCs w:val="24"/>
          <w:lang w:eastAsia="fr-FR"/>
        </w:rPr>
      </w:pPr>
      <w:hyperlink w:anchor="_Toc203643067" w:history="1">
        <w:r w:rsidR="00DF521C" w:rsidRPr="009E3DBC">
          <w:rPr>
            <w:rStyle w:val="Lienhypertexte"/>
            <w:rFonts w:ascii="Tahoma" w:hAnsi="Tahoma" w:cs="Tahoma"/>
            <w:iCs/>
            <w:noProof/>
            <w:sz w:val="24"/>
            <w:szCs w:val="24"/>
          </w:rPr>
          <w:t>i.</w:t>
        </w:r>
        <w:r w:rsidR="00DF521C" w:rsidRPr="009E3DBC">
          <w:rPr>
            <w:rFonts w:ascii="Tahoma" w:eastAsiaTheme="minorEastAsia" w:hAnsi="Tahoma" w:cs="Tahoma"/>
            <w:iCs/>
            <w:noProof/>
            <w:sz w:val="24"/>
            <w:szCs w:val="24"/>
            <w:lang w:eastAsia="fr-FR"/>
          </w:rPr>
          <w:tab/>
        </w:r>
        <w:r w:rsidR="00DF521C" w:rsidRPr="009E3DBC">
          <w:rPr>
            <w:rStyle w:val="Lienhypertexte"/>
            <w:rFonts w:ascii="Tahoma" w:hAnsi="Tahoma" w:cs="Tahoma"/>
            <w:iCs/>
            <w:noProof/>
            <w:sz w:val="24"/>
            <w:szCs w:val="24"/>
          </w:rPr>
          <w:t>Dynamiques démographiques contrastées et leurs implications écologiques</w:t>
        </w:r>
        <w:r w:rsidR="00DF521C" w:rsidRPr="009E3DBC">
          <w:rPr>
            <w:rFonts w:ascii="Tahoma" w:hAnsi="Tahoma" w:cs="Tahoma"/>
            <w:iCs/>
            <w:noProof/>
            <w:webHidden/>
            <w:sz w:val="24"/>
            <w:szCs w:val="24"/>
          </w:rPr>
          <w:tab/>
        </w:r>
        <w:r w:rsidR="00DF521C" w:rsidRPr="009E3DBC">
          <w:rPr>
            <w:rFonts w:ascii="Tahoma" w:hAnsi="Tahoma" w:cs="Tahoma"/>
            <w:iCs/>
            <w:noProof/>
            <w:webHidden/>
            <w:sz w:val="24"/>
            <w:szCs w:val="24"/>
          </w:rPr>
          <w:fldChar w:fldCharType="begin"/>
        </w:r>
        <w:r w:rsidR="00DF521C" w:rsidRPr="009E3DBC">
          <w:rPr>
            <w:rFonts w:ascii="Tahoma" w:hAnsi="Tahoma" w:cs="Tahoma"/>
            <w:iCs/>
            <w:noProof/>
            <w:webHidden/>
            <w:sz w:val="24"/>
            <w:szCs w:val="24"/>
          </w:rPr>
          <w:instrText xml:space="preserve"> PAGEREF _Toc203643067 \h </w:instrText>
        </w:r>
        <w:r w:rsidR="00DF521C" w:rsidRPr="009E3DBC">
          <w:rPr>
            <w:rFonts w:ascii="Tahoma" w:hAnsi="Tahoma" w:cs="Tahoma"/>
            <w:iCs/>
            <w:noProof/>
            <w:webHidden/>
            <w:sz w:val="24"/>
            <w:szCs w:val="24"/>
          </w:rPr>
        </w:r>
        <w:r w:rsidR="00DF521C" w:rsidRPr="009E3DBC">
          <w:rPr>
            <w:rFonts w:ascii="Tahoma" w:hAnsi="Tahoma" w:cs="Tahoma"/>
            <w:iCs/>
            <w:noProof/>
            <w:webHidden/>
            <w:sz w:val="24"/>
            <w:szCs w:val="24"/>
          </w:rPr>
          <w:fldChar w:fldCharType="separate"/>
        </w:r>
        <w:r w:rsidR="00124AFB">
          <w:rPr>
            <w:rFonts w:ascii="Tahoma" w:hAnsi="Tahoma" w:cs="Tahoma"/>
            <w:iCs/>
            <w:noProof/>
            <w:webHidden/>
            <w:sz w:val="24"/>
            <w:szCs w:val="24"/>
          </w:rPr>
          <w:t>222</w:t>
        </w:r>
        <w:r w:rsidR="00DF521C" w:rsidRPr="009E3DBC">
          <w:rPr>
            <w:rFonts w:ascii="Tahoma" w:hAnsi="Tahoma" w:cs="Tahoma"/>
            <w:iCs/>
            <w:noProof/>
            <w:webHidden/>
            <w:sz w:val="24"/>
            <w:szCs w:val="24"/>
          </w:rPr>
          <w:fldChar w:fldCharType="end"/>
        </w:r>
      </w:hyperlink>
    </w:p>
    <w:p w:rsidR="00DF521C" w:rsidRPr="009E3DBC" w:rsidRDefault="00642CE5" w:rsidP="00B84FD6">
      <w:pPr>
        <w:pStyle w:val="TM6"/>
        <w:tabs>
          <w:tab w:val="left" w:pos="1540"/>
          <w:tab w:val="right" w:leader="dot" w:pos="9346"/>
        </w:tabs>
        <w:spacing w:line="360" w:lineRule="auto"/>
        <w:jc w:val="both"/>
        <w:rPr>
          <w:rFonts w:ascii="Tahoma" w:eastAsiaTheme="minorEastAsia" w:hAnsi="Tahoma" w:cs="Tahoma"/>
          <w:iCs/>
          <w:noProof/>
          <w:sz w:val="24"/>
          <w:szCs w:val="24"/>
          <w:lang w:eastAsia="fr-FR"/>
        </w:rPr>
      </w:pPr>
      <w:hyperlink w:anchor="_Toc203643068" w:history="1">
        <w:r w:rsidR="00DF521C" w:rsidRPr="009E3DBC">
          <w:rPr>
            <w:rStyle w:val="Lienhypertexte"/>
            <w:rFonts w:ascii="Tahoma" w:hAnsi="Tahoma" w:cs="Tahoma"/>
            <w:iCs/>
            <w:noProof/>
            <w:sz w:val="24"/>
            <w:szCs w:val="24"/>
          </w:rPr>
          <w:t>ii.</w:t>
        </w:r>
        <w:r w:rsidR="00DF521C" w:rsidRPr="009E3DBC">
          <w:rPr>
            <w:rFonts w:ascii="Tahoma" w:eastAsiaTheme="minorEastAsia" w:hAnsi="Tahoma" w:cs="Tahoma"/>
            <w:iCs/>
            <w:noProof/>
            <w:sz w:val="24"/>
            <w:szCs w:val="24"/>
            <w:lang w:eastAsia="fr-FR"/>
          </w:rPr>
          <w:tab/>
        </w:r>
        <w:r w:rsidR="00DF521C" w:rsidRPr="009E3DBC">
          <w:rPr>
            <w:rStyle w:val="Lienhypertexte"/>
            <w:rFonts w:ascii="Tahoma" w:hAnsi="Tahoma" w:cs="Tahoma"/>
            <w:iCs/>
            <w:noProof/>
            <w:sz w:val="24"/>
            <w:szCs w:val="24"/>
          </w:rPr>
          <w:t>Fragmentation sociale et pression sur l'espace forestier</w:t>
        </w:r>
        <w:r w:rsidR="00DF521C" w:rsidRPr="009E3DBC">
          <w:rPr>
            <w:rFonts w:ascii="Tahoma" w:hAnsi="Tahoma" w:cs="Tahoma"/>
            <w:iCs/>
            <w:noProof/>
            <w:webHidden/>
            <w:sz w:val="24"/>
            <w:szCs w:val="24"/>
          </w:rPr>
          <w:tab/>
        </w:r>
        <w:r w:rsidR="00DF521C" w:rsidRPr="009E3DBC">
          <w:rPr>
            <w:rFonts w:ascii="Tahoma" w:hAnsi="Tahoma" w:cs="Tahoma"/>
            <w:iCs/>
            <w:noProof/>
            <w:webHidden/>
            <w:sz w:val="24"/>
            <w:szCs w:val="24"/>
          </w:rPr>
          <w:fldChar w:fldCharType="begin"/>
        </w:r>
        <w:r w:rsidR="00DF521C" w:rsidRPr="009E3DBC">
          <w:rPr>
            <w:rFonts w:ascii="Tahoma" w:hAnsi="Tahoma" w:cs="Tahoma"/>
            <w:iCs/>
            <w:noProof/>
            <w:webHidden/>
            <w:sz w:val="24"/>
            <w:szCs w:val="24"/>
          </w:rPr>
          <w:instrText xml:space="preserve"> PAGEREF _Toc203643068 \h </w:instrText>
        </w:r>
        <w:r w:rsidR="00DF521C" w:rsidRPr="009E3DBC">
          <w:rPr>
            <w:rFonts w:ascii="Tahoma" w:hAnsi="Tahoma" w:cs="Tahoma"/>
            <w:iCs/>
            <w:noProof/>
            <w:webHidden/>
            <w:sz w:val="24"/>
            <w:szCs w:val="24"/>
          </w:rPr>
        </w:r>
        <w:r w:rsidR="00DF521C" w:rsidRPr="009E3DBC">
          <w:rPr>
            <w:rFonts w:ascii="Tahoma" w:hAnsi="Tahoma" w:cs="Tahoma"/>
            <w:iCs/>
            <w:noProof/>
            <w:webHidden/>
            <w:sz w:val="24"/>
            <w:szCs w:val="24"/>
          </w:rPr>
          <w:fldChar w:fldCharType="separate"/>
        </w:r>
        <w:r w:rsidR="00124AFB">
          <w:rPr>
            <w:rFonts w:ascii="Tahoma" w:hAnsi="Tahoma" w:cs="Tahoma"/>
            <w:iCs/>
            <w:noProof/>
            <w:webHidden/>
            <w:sz w:val="24"/>
            <w:szCs w:val="24"/>
          </w:rPr>
          <w:t>225</w:t>
        </w:r>
        <w:r w:rsidR="00DF521C" w:rsidRPr="009E3DBC">
          <w:rPr>
            <w:rFonts w:ascii="Tahoma" w:hAnsi="Tahoma" w:cs="Tahoma"/>
            <w:iCs/>
            <w:noProof/>
            <w:webHidden/>
            <w:sz w:val="24"/>
            <w:szCs w:val="24"/>
          </w:rPr>
          <w:fldChar w:fldCharType="end"/>
        </w:r>
      </w:hyperlink>
    </w:p>
    <w:p w:rsidR="00DF521C" w:rsidRPr="009E3DBC" w:rsidRDefault="00642CE5" w:rsidP="00B84FD6">
      <w:pPr>
        <w:pStyle w:val="TM6"/>
        <w:tabs>
          <w:tab w:val="left" w:pos="1540"/>
          <w:tab w:val="right" w:leader="dot" w:pos="9346"/>
        </w:tabs>
        <w:spacing w:line="360" w:lineRule="auto"/>
        <w:jc w:val="both"/>
        <w:rPr>
          <w:rFonts w:ascii="Tahoma" w:eastAsiaTheme="minorEastAsia" w:hAnsi="Tahoma" w:cs="Tahoma"/>
          <w:iCs/>
          <w:noProof/>
          <w:sz w:val="24"/>
          <w:szCs w:val="24"/>
          <w:lang w:eastAsia="fr-FR"/>
        </w:rPr>
      </w:pPr>
      <w:hyperlink w:anchor="_Toc203643069" w:history="1">
        <w:r w:rsidR="00DF521C" w:rsidRPr="009E3DBC">
          <w:rPr>
            <w:rStyle w:val="Lienhypertexte"/>
            <w:rFonts w:ascii="Tahoma" w:hAnsi="Tahoma" w:cs="Tahoma"/>
            <w:iCs/>
            <w:noProof/>
            <w:sz w:val="24"/>
            <w:szCs w:val="24"/>
          </w:rPr>
          <w:t>iii.</w:t>
        </w:r>
        <w:r w:rsidR="00DF521C" w:rsidRPr="009E3DBC">
          <w:rPr>
            <w:rFonts w:ascii="Tahoma" w:eastAsiaTheme="minorEastAsia" w:hAnsi="Tahoma" w:cs="Tahoma"/>
            <w:iCs/>
            <w:noProof/>
            <w:sz w:val="24"/>
            <w:szCs w:val="24"/>
            <w:lang w:eastAsia="fr-FR"/>
          </w:rPr>
          <w:tab/>
        </w:r>
        <w:r w:rsidR="00DF521C" w:rsidRPr="009E3DBC">
          <w:rPr>
            <w:rStyle w:val="Lienhypertexte"/>
            <w:rFonts w:ascii="Tahoma" w:hAnsi="Tahoma" w:cs="Tahoma"/>
            <w:iCs/>
            <w:noProof/>
            <w:sz w:val="24"/>
            <w:szCs w:val="24"/>
          </w:rPr>
          <w:t>Vulnérabilité socio-économique et exploitation des ressources forestières</w:t>
        </w:r>
        <w:r w:rsidR="00DF521C" w:rsidRPr="009E3DBC">
          <w:rPr>
            <w:rFonts w:ascii="Tahoma" w:hAnsi="Tahoma" w:cs="Tahoma"/>
            <w:iCs/>
            <w:noProof/>
            <w:webHidden/>
            <w:sz w:val="24"/>
            <w:szCs w:val="24"/>
          </w:rPr>
          <w:tab/>
        </w:r>
        <w:r w:rsidR="00B84FD6" w:rsidRPr="009E3DBC">
          <w:rPr>
            <w:rFonts w:ascii="Tahoma" w:hAnsi="Tahoma" w:cs="Tahoma"/>
            <w:iCs/>
            <w:noProof/>
            <w:webHidden/>
            <w:sz w:val="24"/>
            <w:szCs w:val="24"/>
          </w:rPr>
          <w:t>…………………………………………………………………………………………………..</w:t>
        </w:r>
        <w:r w:rsidR="00DF521C" w:rsidRPr="009E3DBC">
          <w:rPr>
            <w:rFonts w:ascii="Tahoma" w:hAnsi="Tahoma" w:cs="Tahoma"/>
            <w:iCs/>
            <w:noProof/>
            <w:webHidden/>
            <w:sz w:val="24"/>
            <w:szCs w:val="24"/>
          </w:rPr>
          <w:fldChar w:fldCharType="begin"/>
        </w:r>
        <w:r w:rsidR="00DF521C" w:rsidRPr="009E3DBC">
          <w:rPr>
            <w:rFonts w:ascii="Tahoma" w:hAnsi="Tahoma" w:cs="Tahoma"/>
            <w:iCs/>
            <w:noProof/>
            <w:webHidden/>
            <w:sz w:val="24"/>
            <w:szCs w:val="24"/>
          </w:rPr>
          <w:instrText xml:space="preserve"> PAGEREF _Toc203643069 \h </w:instrText>
        </w:r>
        <w:r w:rsidR="00DF521C" w:rsidRPr="009E3DBC">
          <w:rPr>
            <w:rFonts w:ascii="Tahoma" w:hAnsi="Tahoma" w:cs="Tahoma"/>
            <w:iCs/>
            <w:noProof/>
            <w:webHidden/>
            <w:sz w:val="24"/>
            <w:szCs w:val="24"/>
          </w:rPr>
        </w:r>
        <w:r w:rsidR="00DF521C" w:rsidRPr="009E3DBC">
          <w:rPr>
            <w:rFonts w:ascii="Tahoma" w:hAnsi="Tahoma" w:cs="Tahoma"/>
            <w:iCs/>
            <w:noProof/>
            <w:webHidden/>
            <w:sz w:val="24"/>
            <w:szCs w:val="24"/>
          </w:rPr>
          <w:fldChar w:fldCharType="separate"/>
        </w:r>
        <w:r w:rsidR="00124AFB">
          <w:rPr>
            <w:rFonts w:ascii="Tahoma" w:hAnsi="Tahoma" w:cs="Tahoma"/>
            <w:iCs/>
            <w:noProof/>
            <w:webHidden/>
            <w:sz w:val="24"/>
            <w:szCs w:val="24"/>
          </w:rPr>
          <w:t>225</w:t>
        </w:r>
        <w:r w:rsidR="00DF521C" w:rsidRPr="009E3DBC">
          <w:rPr>
            <w:rFonts w:ascii="Tahoma" w:hAnsi="Tahoma" w:cs="Tahoma"/>
            <w:iCs/>
            <w:noProof/>
            <w:webHidden/>
            <w:sz w:val="24"/>
            <w:szCs w:val="24"/>
          </w:rPr>
          <w:fldChar w:fldCharType="end"/>
        </w:r>
      </w:hyperlink>
    </w:p>
    <w:p w:rsidR="00DF521C" w:rsidRPr="009E3DBC" w:rsidRDefault="00642CE5" w:rsidP="00B84FD6">
      <w:pPr>
        <w:pStyle w:val="TM6"/>
        <w:tabs>
          <w:tab w:val="left" w:pos="1540"/>
          <w:tab w:val="right" w:leader="dot" w:pos="9346"/>
        </w:tabs>
        <w:spacing w:line="360" w:lineRule="auto"/>
        <w:jc w:val="both"/>
        <w:rPr>
          <w:rFonts w:ascii="Tahoma" w:eastAsiaTheme="minorEastAsia" w:hAnsi="Tahoma" w:cs="Tahoma"/>
          <w:iCs/>
          <w:noProof/>
          <w:sz w:val="24"/>
          <w:szCs w:val="24"/>
          <w:lang w:eastAsia="fr-FR"/>
        </w:rPr>
      </w:pPr>
      <w:hyperlink w:anchor="_Toc203643070" w:history="1">
        <w:r w:rsidR="00DF521C" w:rsidRPr="009E3DBC">
          <w:rPr>
            <w:rStyle w:val="Lienhypertexte"/>
            <w:rFonts w:ascii="Tahoma" w:hAnsi="Tahoma" w:cs="Tahoma"/>
            <w:iCs/>
            <w:noProof/>
            <w:sz w:val="24"/>
            <w:szCs w:val="24"/>
          </w:rPr>
          <w:t>iv.</w:t>
        </w:r>
        <w:r w:rsidR="00DF521C" w:rsidRPr="009E3DBC">
          <w:rPr>
            <w:rFonts w:ascii="Tahoma" w:eastAsiaTheme="minorEastAsia" w:hAnsi="Tahoma" w:cs="Tahoma"/>
            <w:iCs/>
            <w:noProof/>
            <w:sz w:val="24"/>
            <w:szCs w:val="24"/>
            <w:lang w:eastAsia="fr-FR"/>
          </w:rPr>
          <w:tab/>
        </w:r>
        <w:r w:rsidR="00DF521C" w:rsidRPr="009E3DBC">
          <w:rPr>
            <w:rStyle w:val="Lienhypertexte"/>
            <w:rFonts w:ascii="Tahoma" w:hAnsi="Tahoma" w:cs="Tahoma"/>
            <w:iCs/>
            <w:noProof/>
            <w:sz w:val="24"/>
            <w:szCs w:val="24"/>
          </w:rPr>
          <w:t>Vulnérabilité spatiale et fragmentation des espaces forestiers</w:t>
        </w:r>
        <w:r w:rsidR="00DF521C" w:rsidRPr="009E3DBC">
          <w:rPr>
            <w:rFonts w:ascii="Tahoma" w:hAnsi="Tahoma" w:cs="Tahoma"/>
            <w:iCs/>
            <w:noProof/>
            <w:webHidden/>
            <w:sz w:val="24"/>
            <w:szCs w:val="24"/>
          </w:rPr>
          <w:tab/>
        </w:r>
        <w:r w:rsidR="00DF521C" w:rsidRPr="009E3DBC">
          <w:rPr>
            <w:rFonts w:ascii="Tahoma" w:hAnsi="Tahoma" w:cs="Tahoma"/>
            <w:iCs/>
            <w:noProof/>
            <w:webHidden/>
            <w:sz w:val="24"/>
            <w:szCs w:val="24"/>
          </w:rPr>
          <w:fldChar w:fldCharType="begin"/>
        </w:r>
        <w:r w:rsidR="00DF521C" w:rsidRPr="009E3DBC">
          <w:rPr>
            <w:rFonts w:ascii="Tahoma" w:hAnsi="Tahoma" w:cs="Tahoma"/>
            <w:iCs/>
            <w:noProof/>
            <w:webHidden/>
            <w:sz w:val="24"/>
            <w:szCs w:val="24"/>
          </w:rPr>
          <w:instrText xml:space="preserve"> PAGEREF _Toc203643070 \h </w:instrText>
        </w:r>
        <w:r w:rsidR="00DF521C" w:rsidRPr="009E3DBC">
          <w:rPr>
            <w:rFonts w:ascii="Tahoma" w:hAnsi="Tahoma" w:cs="Tahoma"/>
            <w:iCs/>
            <w:noProof/>
            <w:webHidden/>
            <w:sz w:val="24"/>
            <w:szCs w:val="24"/>
          </w:rPr>
        </w:r>
        <w:r w:rsidR="00DF521C" w:rsidRPr="009E3DBC">
          <w:rPr>
            <w:rFonts w:ascii="Tahoma" w:hAnsi="Tahoma" w:cs="Tahoma"/>
            <w:iCs/>
            <w:noProof/>
            <w:webHidden/>
            <w:sz w:val="24"/>
            <w:szCs w:val="24"/>
          </w:rPr>
          <w:fldChar w:fldCharType="separate"/>
        </w:r>
        <w:r w:rsidR="00124AFB">
          <w:rPr>
            <w:rFonts w:ascii="Tahoma" w:hAnsi="Tahoma" w:cs="Tahoma"/>
            <w:iCs/>
            <w:noProof/>
            <w:webHidden/>
            <w:sz w:val="24"/>
            <w:szCs w:val="24"/>
          </w:rPr>
          <w:t>228</w:t>
        </w:r>
        <w:r w:rsidR="00DF521C" w:rsidRPr="009E3DBC">
          <w:rPr>
            <w:rFonts w:ascii="Tahoma" w:hAnsi="Tahoma" w:cs="Tahoma"/>
            <w:iCs/>
            <w:noProof/>
            <w:webHidden/>
            <w:sz w:val="24"/>
            <w:szCs w:val="24"/>
          </w:rPr>
          <w:fldChar w:fldCharType="end"/>
        </w:r>
      </w:hyperlink>
    </w:p>
    <w:p w:rsidR="00DF521C" w:rsidRPr="009E3DBC" w:rsidRDefault="00642CE5" w:rsidP="00B84FD6">
      <w:pPr>
        <w:pStyle w:val="TM6"/>
        <w:tabs>
          <w:tab w:val="left" w:pos="1540"/>
          <w:tab w:val="right" w:leader="dot" w:pos="9346"/>
        </w:tabs>
        <w:spacing w:line="360" w:lineRule="auto"/>
        <w:jc w:val="both"/>
        <w:rPr>
          <w:rFonts w:ascii="Tahoma" w:eastAsiaTheme="minorEastAsia" w:hAnsi="Tahoma" w:cs="Tahoma"/>
          <w:iCs/>
          <w:noProof/>
          <w:sz w:val="24"/>
          <w:szCs w:val="24"/>
          <w:lang w:eastAsia="fr-FR"/>
        </w:rPr>
      </w:pPr>
      <w:hyperlink w:anchor="_Toc203643071" w:history="1">
        <w:r w:rsidR="00DF521C" w:rsidRPr="009E3DBC">
          <w:rPr>
            <w:rStyle w:val="Lienhypertexte"/>
            <w:rFonts w:ascii="Tahoma" w:hAnsi="Tahoma" w:cs="Tahoma"/>
            <w:iCs/>
            <w:noProof/>
            <w:sz w:val="24"/>
            <w:szCs w:val="24"/>
          </w:rPr>
          <w:t>v.</w:t>
        </w:r>
        <w:r w:rsidR="00DF521C" w:rsidRPr="009E3DBC">
          <w:rPr>
            <w:rFonts w:ascii="Tahoma" w:eastAsiaTheme="minorEastAsia" w:hAnsi="Tahoma" w:cs="Tahoma"/>
            <w:iCs/>
            <w:noProof/>
            <w:sz w:val="24"/>
            <w:szCs w:val="24"/>
            <w:lang w:eastAsia="fr-FR"/>
          </w:rPr>
          <w:tab/>
        </w:r>
        <w:r w:rsidR="00DF521C" w:rsidRPr="009E3DBC">
          <w:rPr>
            <w:rStyle w:val="Lienhypertexte"/>
            <w:rFonts w:ascii="Tahoma" w:hAnsi="Tahoma" w:cs="Tahoma"/>
            <w:iCs/>
            <w:noProof/>
            <w:sz w:val="24"/>
            <w:szCs w:val="24"/>
          </w:rPr>
          <w:t>Exploitation énergétique et pression sur les ressources ligneuses</w:t>
        </w:r>
        <w:r w:rsidR="00DF521C" w:rsidRPr="009E3DBC">
          <w:rPr>
            <w:rFonts w:ascii="Tahoma" w:hAnsi="Tahoma" w:cs="Tahoma"/>
            <w:iCs/>
            <w:noProof/>
            <w:webHidden/>
            <w:sz w:val="24"/>
            <w:szCs w:val="24"/>
          </w:rPr>
          <w:tab/>
        </w:r>
        <w:r w:rsidR="00DF521C" w:rsidRPr="009E3DBC">
          <w:rPr>
            <w:rFonts w:ascii="Tahoma" w:hAnsi="Tahoma" w:cs="Tahoma"/>
            <w:iCs/>
            <w:noProof/>
            <w:webHidden/>
            <w:sz w:val="24"/>
            <w:szCs w:val="24"/>
          </w:rPr>
          <w:fldChar w:fldCharType="begin"/>
        </w:r>
        <w:r w:rsidR="00DF521C" w:rsidRPr="009E3DBC">
          <w:rPr>
            <w:rFonts w:ascii="Tahoma" w:hAnsi="Tahoma" w:cs="Tahoma"/>
            <w:iCs/>
            <w:noProof/>
            <w:webHidden/>
            <w:sz w:val="24"/>
            <w:szCs w:val="24"/>
          </w:rPr>
          <w:instrText xml:space="preserve"> PAGEREF _Toc203643071 \h </w:instrText>
        </w:r>
        <w:r w:rsidR="00DF521C" w:rsidRPr="009E3DBC">
          <w:rPr>
            <w:rFonts w:ascii="Tahoma" w:hAnsi="Tahoma" w:cs="Tahoma"/>
            <w:iCs/>
            <w:noProof/>
            <w:webHidden/>
            <w:sz w:val="24"/>
            <w:szCs w:val="24"/>
          </w:rPr>
        </w:r>
        <w:r w:rsidR="00DF521C" w:rsidRPr="009E3DBC">
          <w:rPr>
            <w:rFonts w:ascii="Tahoma" w:hAnsi="Tahoma" w:cs="Tahoma"/>
            <w:iCs/>
            <w:noProof/>
            <w:webHidden/>
            <w:sz w:val="24"/>
            <w:szCs w:val="24"/>
          </w:rPr>
          <w:fldChar w:fldCharType="separate"/>
        </w:r>
        <w:r w:rsidR="00124AFB">
          <w:rPr>
            <w:rFonts w:ascii="Tahoma" w:hAnsi="Tahoma" w:cs="Tahoma"/>
            <w:iCs/>
            <w:noProof/>
            <w:webHidden/>
            <w:sz w:val="24"/>
            <w:szCs w:val="24"/>
          </w:rPr>
          <w:t>228</w:t>
        </w:r>
        <w:r w:rsidR="00DF521C" w:rsidRPr="009E3DBC">
          <w:rPr>
            <w:rFonts w:ascii="Tahoma" w:hAnsi="Tahoma" w:cs="Tahoma"/>
            <w:iCs/>
            <w:noProof/>
            <w:webHidden/>
            <w:sz w:val="24"/>
            <w:szCs w:val="24"/>
          </w:rPr>
          <w:fldChar w:fldCharType="end"/>
        </w:r>
      </w:hyperlink>
    </w:p>
    <w:p w:rsidR="00DF521C" w:rsidRPr="009E3DBC" w:rsidRDefault="00642CE5" w:rsidP="00B84FD6">
      <w:pPr>
        <w:pStyle w:val="TM6"/>
        <w:tabs>
          <w:tab w:val="left" w:pos="1540"/>
          <w:tab w:val="right" w:leader="dot" w:pos="9346"/>
        </w:tabs>
        <w:spacing w:line="360" w:lineRule="auto"/>
        <w:jc w:val="both"/>
        <w:rPr>
          <w:rFonts w:ascii="Tahoma" w:eastAsiaTheme="minorEastAsia" w:hAnsi="Tahoma" w:cs="Tahoma"/>
          <w:iCs/>
          <w:noProof/>
          <w:sz w:val="24"/>
          <w:szCs w:val="24"/>
          <w:lang w:eastAsia="fr-FR"/>
        </w:rPr>
      </w:pPr>
      <w:hyperlink w:anchor="_Toc203643072" w:history="1">
        <w:r w:rsidR="00DF521C" w:rsidRPr="009E3DBC">
          <w:rPr>
            <w:rStyle w:val="Lienhypertexte"/>
            <w:rFonts w:ascii="Tahoma" w:hAnsi="Tahoma" w:cs="Tahoma"/>
            <w:iCs/>
            <w:noProof/>
            <w:sz w:val="24"/>
            <w:szCs w:val="24"/>
          </w:rPr>
          <w:t>vi.</w:t>
        </w:r>
        <w:r w:rsidR="00DF521C" w:rsidRPr="009E3DBC">
          <w:rPr>
            <w:rFonts w:ascii="Tahoma" w:eastAsiaTheme="minorEastAsia" w:hAnsi="Tahoma" w:cs="Tahoma"/>
            <w:iCs/>
            <w:noProof/>
            <w:sz w:val="24"/>
            <w:szCs w:val="24"/>
            <w:lang w:eastAsia="fr-FR"/>
          </w:rPr>
          <w:tab/>
        </w:r>
        <w:r w:rsidR="00DF521C" w:rsidRPr="009E3DBC">
          <w:rPr>
            <w:rStyle w:val="Lienhypertexte"/>
            <w:rFonts w:ascii="Tahoma" w:hAnsi="Tahoma" w:cs="Tahoma"/>
            <w:iCs/>
            <w:noProof/>
            <w:sz w:val="24"/>
            <w:szCs w:val="24"/>
          </w:rPr>
          <w:t>Dynamiques cumulatives et cercles vicieux de dégradation</w:t>
        </w:r>
        <w:r w:rsidR="00DF521C" w:rsidRPr="009E3DBC">
          <w:rPr>
            <w:rFonts w:ascii="Tahoma" w:hAnsi="Tahoma" w:cs="Tahoma"/>
            <w:iCs/>
            <w:noProof/>
            <w:webHidden/>
            <w:sz w:val="24"/>
            <w:szCs w:val="24"/>
          </w:rPr>
          <w:tab/>
        </w:r>
        <w:r w:rsidR="00DF521C" w:rsidRPr="009E3DBC">
          <w:rPr>
            <w:rFonts w:ascii="Tahoma" w:hAnsi="Tahoma" w:cs="Tahoma"/>
            <w:iCs/>
            <w:noProof/>
            <w:webHidden/>
            <w:sz w:val="24"/>
            <w:szCs w:val="24"/>
          </w:rPr>
          <w:fldChar w:fldCharType="begin"/>
        </w:r>
        <w:r w:rsidR="00DF521C" w:rsidRPr="009E3DBC">
          <w:rPr>
            <w:rFonts w:ascii="Tahoma" w:hAnsi="Tahoma" w:cs="Tahoma"/>
            <w:iCs/>
            <w:noProof/>
            <w:webHidden/>
            <w:sz w:val="24"/>
            <w:szCs w:val="24"/>
          </w:rPr>
          <w:instrText xml:space="preserve"> PAGEREF _Toc203643072 \h </w:instrText>
        </w:r>
        <w:r w:rsidR="00DF521C" w:rsidRPr="009E3DBC">
          <w:rPr>
            <w:rFonts w:ascii="Tahoma" w:hAnsi="Tahoma" w:cs="Tahoma"/>
            <w:iCs/>
            <w:noProof/>
            <w:webHidden/>
            <w:sz w:val="24"/>
            <w:szCs w:val="24"/>
          </w:rPr>
        </w:r>
        <w:r w:rsidR="00DF521C" w:rsidRPr="009E3DBC">
          <w:rPr>
            <w:rFonts w:ascii="Tahoma" w:hAnsi="Tahoma" w:cs="Tahoma"/>
            <w:iCs/>
            <w:noProof/>
            <w:webHidden/>
            <w:sz w:val="24"/>
            <w:szCs w:val="24"/>
          </w:rPr>
          <w:fldChar w:fldCharType="separate"/>
        </w:r>
        <w:r w:rsidR="00124AFB">
          <w:rPr>
            <w:rFonts w:ascii="Tahoma" w:hAnsi="Tahoma" w:cs="Tahoma"/>
            <w:iCs/>
            <w:noProof/>
            <w:webHidden/>
            <w:sz w:val="24"/>
            <w:szCs w:val="24"/>
          </w:rPr>
          <w:t>229</w:t>
        </w:r>
        <w:r w:rsidR="00DF521C" w:rsidRPr="009E3DBC">
          <w:rPr>
            <w:rFonts w:ascii="Tahoma" w:hAnsi="Tahoma" w:cs="Tahoma"/>
            <w:iCs/>
            <w:noProof/>
            <w:webHidden/>
            <w:sz w:val="24"/>
            <w:szCs w:val="24"/>
          </w:rPr>
          <w:fldChar w:fldCharType="end"/>
        </w:r>
      </w:hyperlink>
    </w:p>
    <w:p w:rsidR="00DF521C" w:rsidRPr="009E3DBC" w:rsidRDefault="00642CE5" w:rsidP="00B84FD6">
      <w:pPr>
        <w:pStyle w:val="TM4"/>
        <w:tabs>
          <w:tab w:val="left" w:pos="1100"/>
          <w:tab w:val="right" w:leader="dot" w:pos="9346"/>
        </w:tabs>
        <w:spacing w:line="360" w:lineRule="auto"/>
        <w:jc w:val="both"/>
        <w:rPr>
          <w:rFonts w:ascii="Tahoma" w:eastAsiaTheme="minorEastAsia" w:hAnsi="Tahoma" w:cs="Tahoma"/>
          <w:iCs/>
          <w:noProof/>
          <w:sz w:val="24"/>
          <w:szCs w:val="24"/>
          <w:lang w:eastAsia="fr-FR"/>
        </w:rPr>
      </w:pPr>
      <w:hyperlink w:anchor="_Toc203643073" w:history="1">
        <w:r w:rsidR="00DF521C" w:rsidRPr="009E3DBC">
          <w:rPr>
            <w:rStyle w:val="Lienhypertexte"/>
            <w:rFonts w:ascii="Tahoma" w:hAnsi="Tahoma" w:cs="Tahoma"/>
            <w:iCs/>
            <w:noProof/>
            <w:sz w:val="24"/>
            <w:szCs w:val="24"/>
            <w14:scene3d>
              <w14:camera w14:prst="orthographicFront"/>
              <w14:lightRig w14:rig="threePt" w14:dir="t">
                <w14:rot w14:lat="0" w14:lon="0" w14:rev="0"/>
              </w14:lightRig>
            </w14:scene3d>
          </w:rPr>
          <w:t>2.</w:t>
        </w:r>
        <w:r w:rsidR="00DF521C" w:rsidRPr="009E3DBC">
          <w:rPr>
            <w:rFonts w:ascii="Tahoma" w:eastAsiaTheme="minorEastAsia" w:hAnsi="Tahoma" w:cs="Tahoma"/>
            <w:iCs/>
            <w:noProof/>
            <w:sz w:val="24"/>
            <w:szCs w:val="24"/>
            <w:lang w:eastAsia="fr-FR"/>
          </w:rPr>
          <w:tab/>
        </w:r>
        <w:r w:rsidR="00DF521C" w:rsidRPr="009E3DBC">
          <w:rPr>
            <w:rStyle w:val="Lienhypertexte"/>
            <w:rFonts w:ascii="Tahoma" w:hAnsi="Tahoma" w:cs="Tahoma"/>
            <w:iCs/>
            <w:noProof/>
            <w:sz w:val="24"/>
            <w:szCs w:val="24"/>
          </w:rPr>
          <w:t>Scénarios prospectifs de dégradation de la forêt de Korifla : une approche systémique de l'évolution des écosystèmes forestiers marocains à l'horizon 2040</w:t>
        </w:r>
        <w:r w:rsidR="00DF521C" w:rsidRPr="009E3DBC">
          <w:rPr>
            <w:rFonts w:ascii="Tahoma" w:hAnsi="Tahoma" w:cs="Tahoma"/>
            <w:iCs/>
            <w:noProof/>
            <w:webHidden/>
            <w:sz w:val="24"/>
            <w:szCs w:val="24"/>
          </w:rPr>
          <w:tab/>
        </w:r>
        <w:r w:rsidR="00B84FD6" w:rsidRPr="009E3DBC">
          <w:rPr>
            <w:rFonts w:ascii="Tahoma" w:hAnsi="Tahoma" w:cs="Tahoma"/>
            <w:iCs/>
            <w:noProof/>
            <w:webHidden/>
            <w:sz w:val="24"/>
            <w:szCs w:val="24"/>
          </w:rPr>
          <w:t>…………………………………………………………………………………………………………</w:t>
        </w:r>
        <w:r w:rsidR="00DF521C" w:rsidRPr="009E3DBC">
          <w:rPr>
            <w:rFonts w:ascii="Tahoma" w:hAnsi="Tahoma" w:cs="Tahoma"/>
            <w:iCs/>
            <w:noProof/>
            <w:webHidden/>
            <w:sz w:val="24"/>
            <w:szCs w:val="24"/>
          </w:rPr>
          <w:fldChar w:fldCharType="begin"/>
        </w:r>
        <w:r w:rsidR="00DF521C" w:rsidRPr="009E3DBC">
          <w:rPr>
            <w:rFonts w:ascii="Tahoma" w:hAnsi="Tahoma" w:cs="Tahoma"/>
            <w:iCs/>
            <w:noProof/>
            <w:webHidden/>
            <w:sz w:val="24"/>
            <w:szCs w:val="24"/>
          </w:rPr>
          <w:instrText xml:space="preserve"> PAGEREF _Toc203643073 \h </w:instrText>
        </w:r>
        <w:r w:rsidR="00DF521C" w:rsidRPr="009E3DBC">
          <w:rPr>
            <w:rFonts w:ascii="Tahoma" w:hAnsi="Tahoma" w:cs="Tahoma"/>
            <w:iCs/>
            <w:noProof/>
            <w:webHidden/>
            <w:sz w:val="24"/>
            <w:szCs w:val="24"/>
          </w:rPr>
        </w:r>
        <w:r w:rsidR="00DF521C" w:rsidRPr="009E3DBC">
          <w:rPr>
            <w:rFonts w:ascii="Tahoma" w:hAnsi="Tahoma" w:cs="Tahoma"/>
            <w:iCs/>
            <w:noProof/>
            <w:webHidden/>
            <w:sz w:val="24"/>
            <w:szCs w:val="24"/>
          </w:rPr>
          <w:fldChar w:fldCharType="separate"/>
        </w:r>
        <w:r w:rsidR="00124AFB">
          <w:rPr>
            <w:rFonts w:ascii="Tahoma" w:hAnsi="Tahoma" w:cs="Tahoma"/>
            <w:iCs/>
            <w:noProof/>
            <w:webHidden/>
            <w:sz w:val="24"/>
            <w:szCs w:val="24"/>
          </w:rPr>
          <w:t>230</w:t>
        </w:r>
        <w:r w:rsidR="00DF521C" w:rsidRPr="009E3DBC">
          <w:rPr>
            <w:rFonts w:ascii="Tahoma" w:hAnsi="Tahoma" w:cs="Tahoma"/>
            <w:iCs/>
            <w:noProof/>
            <w:webHidden/>
            <w:sz w:val="24"/>
            <w:szCs w:val="24"/>
          </w:rPr>
          <w:fldChar w:fldCharType="end"/>
        </w:r>
      </w:hyperlink>
    </w:p>
    <w:p w:rsidR="00DF521C" w:rsidRPr="009E3DBC" w:rsidRDefault="00642CE5" w:rsidP="00B84FD6">
      <w:pPr>
        <w:pStyle w:val="TM5"/>
        <w:tabs>
          <w:tab w:val="left" w:pos="1320"/>
          <w:tab w:val="right" w:leader="dot" w:pos="9346"/>
        </w:tabs>
        <w:spacing w:line="360" w:lineRule="auto"/>
        <w:jc w:val="both"/>
        <w:rPr>
          <w:rFonts w:ascii="Tahoma" w:eastAsiaTheme="minorEastAsia" w:hAnsi="Tahoma" w:cs="Tahoma"/>
          <w:iCs/>
          <w:noProof/>
          <w:sz w:val="24"/>
          <w:szCs w:val="24"/>
          <w:lang w:eastAsia="fr-FR"/>
        </w:rPr>
      </w:pPr>
      <w:hyperlink w:anchor="_Toc203643074" w:history="1">
        <w:r w:rsidR="00DF521C" w:rsidRPr="009E3DBC">
          <w:rPr>
            <w:rStyle w:val="Lienhypertexte"/>
            <w:rFonts w:ascii="Tahoma" w:hAnsi="Tahoma" w:cs="Tahoma"/>
            <w:iCs/>
            <w:noProof/>
            <w:sz w:val="24"/>
            <w:szCs w:val="24"/>
          </w:rPr>
          <w:t>a.</w:t>
        </w:r>
        <w:r w:rsidR="00DF521C" w:rsidRPr="009E3DBC">
          <w:rPr>
            <w:rFonts w:ascii="Tahoma" w:eastAsiaTheme="minorEastAsia" w:hAnsi="Tahoma" w:cs="Tahoma"/>
            <w:iCs/>
            <w:noProof/>
            <w:sz w:val="24"/>
            <w:szCs w:val="24"/>
            <w:lang w:eastAsia="fr-FR"/>
          </w:rPr>
          <w:tab/>
        </w:r>
        <w:r w:rsidR="00DF521C" w:rsidRPr="009E3DBC">
          <w:rPr>
            <w:rStyle w:val="Lienhypertexte"/>
            <w:rFonts w:ascii="Tahoma" w:hAnsi="Tahoma" w:cs="Tahoma"/>
            <w:iCs/>
            <w:noProof/>
            <w:sz w:val="24"/>
            <w:szCs w:val="24"/>
          </w:rPr>
          <w:t>Fondements méthodologiques de l'analyse prospective</w:t>
        </w:r>
        <w:r w:rsidR="00DF521C" w:rsidRPr="009E3DBC">
          <w:rPr>
            <w:rFonts w:ascii="Tahoma" w:hAnsi="Tahoma" w:cs="Tahoma"/>
            <w:iCs/>
            <w:noProof/>
            <w:webHidden/>
            <w:sz w:val="24"/>
            <w:szCs w:val="24"/>
          </w:rPr>
          <w:tab/>
        </w:r>
        <w:r w:rsidR="00DF521C" w:rsidRPr="009E3DBC">
          <w:rPr>
            <w:rFonts w:ascii="Tahoma" w:hAnsi="Tahoma" w:cs="Tahoma"/>
            <w:iCs/>
            <w:noProof/>
            <w:webHidden/>
            <w:sz w:val="24"/>
            <w:szCs w:val="24"/>
          </w:rPr>
          <w:fldChar w:fldCharType="begin"/>
        </w:r>
        <w:r w:rsidR="00DF521C" w:rsidRPr="009E3DBC">
          <w:rPr>
            <w:rFonts w:ascii="Tahoma" w:hAnsi="Tahoma" w:cs="Tahoma"/>
            <w:iCs/>
            <w:noProof/>
            <w:webHidden/>
            <w:sz w:val="24"/>
            <w:szCs w:val="24"/>
          </w:rPr>
          <w:instrText xml:space="preserve"> PAGEREF _Toc203643074 \h </w:instrText>
        </w:r>
        <w:r w:rsidR="00DF521C" w:rsidRPr="009E3DBC">
          <w:rPr>
            <w:rFonts w:ascii="Tahoma" w:hAnsi="Tahoma" w:cs="Tahoma"/>
            <w:iCs/>
            <w:noProof/>
            <w:webHidden/>
            <w:sz w:val="24"/>
            <w:szCs w:val="24"/>
          </w:rPr>
        </w:r>
        <w:r w:rsidR="00DF521C" w:rsidRPr="009E3DBC">
          <w:rPr>
            <w:rFonts w:ascii="Tahoma" w:hAnsi="Tahoma" w:cs="Tahoma"/>
            <w:iCs/>
            <w:noProof/>
            <w:webHidden/>
            <w:sz w:val="24"/>
            <w:szCs w:val="24"/>
          </w:rPr>
          <w:fldChar w:fldCharType="separate"/>
        </w:r>
        <w:r w:rsidR="00124AFB">
          <w:rPr>
            <w:rFonts w:ascii="Tahoma" w:hAnsi="Tahoma" w:cs="Tahoma"/>
            <w:iCs/>
            <w:noProof/>
            <w:webHidden/>
            <w:sz w:val="24"/>
            <w:szCs w:val="24"/>
          </w:rPr>
          <w:t>231</w:t>
        </w:r>
        <w:r w:rsidR="00DF521C" w:rsidRPr="009E3DBC">
          <w:rPr>
            <w:rFonts w:ascii="Tahoma" w:hAnsi="Tahoma" w:cs="Tahoma"/>
            <w:iCs/>
            <w:noProof/>
            <w:webHidden/>
            <w:sz w:val="24"/>
            <w:szCs w:val="24"/>
          </w:rPr>
          <w:fldChar w:fldCharType="end"/>
        </w:r>
      </w:hyperlink>
    </w:p>
    <w:p w:rsidR="00DF521C" w:rsidRPr="009E3DBC" w:rsidRDefault="00642CE5" w:rsidP="00B84FD6">
      <w:pPr>
        <w:pStyle w:val="TM5"/>
        <w:tabs>
          <w:tab w:val="left" w:pos="1320"/>
          <w:tab w:val="right" w:leader="dot" w:pos="9346"/>
        </w:tabs>
        <w:spacing w:line="360" w:lineRule="auto"/>
        <w:jc w:val="both"/>
        <w:rPr>
          <w:rFonts w:ascii="Tahoma" w:eastAsiaTheme="minorEastAsia" w:hAnsi="Tahoma" w:cs="Tahoma"/>
          <w:iCs/>
          <w:noProof/>
          <w:sz w:val="24"/>
          <w:szCs w:val="24"/>
          <w:lang w:eastAsia="fr-FR"/>
        </w:rPr>
      </w:pPr>
      <w:hyperlink w:anchor="_Toc203643075" w:history="1">
        <w:r w:rsidR="00DF521C" w:rsidRPr="009E3DBC">
          <w:rPr>
            <w:rStyle w:val="Lienhypertexte"/>
            <w:rFonts w:ascii="Tahoma" w:hAnsi="Tahoma" w:cs="Tahoma"/>
            <w:iCs/>
            <w:noProof/>
            <w:sz w:val="24"/>
            <w:szCs w:val="24"/>
          </w:rPr>
          <w:t>b.</w:t>
        </w:r>
        <w:r w:rsidR="00DF521C" w:rsidRPr="009E3DBC">
          <w:rPr>
            <w:rFonts w:ascii="Tahoma" w:eastAsiaTheme="minorEastAsia" w:hAnsi="Tahoma" w:cs="Tahoma"/>
            <w:iCs/>
            <w:noProof/>
            <w:sz w:val="24"/>
            <w:szCs w:val="24"/>
            <w:lang w:eastAsia="fr-FR"/>
          </w:rPr>
          <w:tab/>
        </w:r>
        <w:r w:rsidR="00DF521C" w:rsidRPr="009E3DBC">
          <w:rPr>
            <w:rStyle w:val="Lienhypertexte"/>
            <w:rFonts w:ascii="Tahoma" w:hAnsi="Tahoma" w:cs="Tahoma"/>
            <w:iCs/>
            <w:noProof/>
            <w:sz w:val="24"/>
            <w:szCs w:val="24"/>
          </w:rPr>
          <w:t>Analyse des scénarios de dégradation forestière.</w:t>
        </w:r>
        <w:r w:rsidR="00DF521C" w:rsidRPr="009E3DBC">
          <w:rPr>
            <w:rFonts w:ascii="Tahoma" w:hAnsi="Tahoma" w:cs="Tahoma"/>
            <w:iCs/>
            <w:noProof/>
            <w:webHidden/>
            <w:sz w:val="24"/>
            <w:szCs w:val="24"/>
          </w:rPr>
          <w:tab/>
        </w:r>
        <w:r w:rsidR="00DF521C" w:rsidRPr="009E3DBC">
          <w:rPr>
            <w:rFonts w:ascii="Tahoma" w:hAnsi="Tahoma" w:cs="Tahoma"/>
            <w:iCs/>
            <w:noProof/>
            <w:webHidden/>
            <w:sz w:val="24"/>
            <w:szCs w:val="24"/>
          </w:rPr>
          <w:fldChar w:fldCharType="begin"/>
        </w:r>
        <w:r w:rsidR="00DF521C" w:rsidRPr="009E3DBC">
          <w:rPr>
            <w:rFonts w:ascii="Tahoma" w:hAnsi="Tahoma" w:cs="Tahoma"/>
            <w:iCs/>
            <w:noProof/>
            <w:webHidden/>
            <w:sz w:val="24"/>
            <w:szCs w:val="24"/>
          </w:rPr>
          <w:instrText xml:space="preserve"> PAGEREF _Toc203643075 \h </w:instrText>
        </w:r>
        <w:r w:rsidR="00DF521C" w:rsidRPr="009E3DBC">
          <w:rPr>
            <w:rFonts w:ascii="Tahoma" w:hAnsi="Tahoma" w:cs="Tahoma"/>
            <w:iCs/>
            <w:noProof/>
            <w:webHidden/>
            <w:sz w:val="24"/>
            <w:szCs w:val="24"/>
          </w:rPr>
        </w:r>
        <w:r w:rsidR="00DF521C" w:rsidRPr="009E3DBC">
          <w:rPr>
            <w:rFonts w:ascii="Tahoma" w:hAnsi="Tahoma" w:cs="Tahoma"/>
            <w:iCs/>
            <w:noProof/>
            <w:webHidden/>
            <w:sz w:val="24"/>
            <w:szCs w:val="24"/>
          </w:rPr>
          <w:fldChar w:fldCharType="separate"/>
        </w:r>
        <w:r w:rsidR="00124AFB">
          <w:rPr>
            <w:rFonts w:ascii="Tahoma" w:hAnsi="Tahoma" w:cs="Tahoma"/>
            <w:iCs/>
            <w:noProof/>
            <w:webHidden/>
            <w:sz w:val="24"/>
            <w:szCs w:val="24"/>
          </w:rPr>
          <w:t>232</w:t>
        </w:r>
        <w:r w:rsidR="00DF521C" w:rsidRPr="009E3DBC">
          <w:rPr>
            <w:rFonts w:ascii="Tahoma" w:hAnsi="Tahoma" w:cs="Tahoma"/>
            <w:iCs/>
            <w:noProof/>
            <w:webHidden/>
            <w:sz w:val="24"/>
            <w:szCs w:val="24"/>
          </w:rPr>
          <w:fldChar w:fldCharType="end"/>
        </w:r>
      </w:hyperlink>
    </w:p>
    <w:p w:rsidR="00DF521C" w:rsidRPr="009E3DBC" w:rsidRDefault="00642CE5" w:rsidP="00B84FD6">
      <w:pPr>
        <w:pStyle w:val="TM5"/>
        <w:tabs>
          <w:tab w:val="left" w:pos="1320"/>
          <w:tab w:val="right" w:leader="dot" w:pos="9346"/>
        </w:tabs>
        <w:spacing w:line="360" w:lineRule="auto"/>
        <w:jc w:val="both"/>
        <w:rPr>
          <w:rFonts w:ascii="Tahoma" w:eastAsiaTheme="minorEastAsia" w:hAnsi="Tahoma" w:cs="Tahoma"/>
          <w:iCs/>
          <w:noProof/>
          <w:sz w:val="24"/>
          <w:szCs w:val="24"/>
          <w:lang w:eastAsia="fr-FR"/>
        </w:rPr>
      </w:pPr>
      <w:hyperlink w:anchor="_Toc203643076" w:history="1">
        <w:r w:rsidR="00DF521C" w:rsidRPr="009E3DBC">
          <w:rPr>
            <w:rStyle w:val="Lienhypertexte"/>
            <w:rFonts w:ascii="Tahoma" w:hAnsi="Tahoma" w:cs="Tahoma"/>
            <w:iCs/>
            <w:noProof/>
            <w:sz w:val="24"/>
            <w:szCs w:val="24"/>
          </w:rPr>
          <w:t>c.</w:t>
        </w:r>
        <w:r w:rsidR="00DF521C" w:rsidRPr="009E3DBC">
          <w:rPr>
            <w:rFonts w:ascii="Tahoma" w:eastAsiaTheme="minorEastAsia" w:hAnsi="Tahoma" w:cs="Tahoma"/>
            <w:iCs/>
            <w:noProof/>
            <w:sz w:val="24"/>
            <w:szCs w:val="24"/>
            <w:lang w:eastAsia="fr-FR"/>
          </w:rPr>
          <w:tab/>
        </w:r>
        <w:r w:rsidR="00DF521C" w:rsidRPr="009E3DBC">
          <w:rPr>
            <w:rStyle w:val="Lienhypertexte"/>
            <w:rFonts w:ascii="Tahoma" w:hAnsi="Tahoma" w:cs="Tahoma"/>
            <w:iCs/>
            <w:noProof/>
            <w:sz w:val="24"/>
            <w:szCs w:val="24"/>
          </w:rPr>
          <w:t>Scénario intermédiaire : mise en œuvre partielle du plan de gestion</w:t>
        </w:r>
        <w:r w:rsidR="00DF521C" w:rsidRPr="009E3DBC">
          <w:rPr>
            <w:rFonts w:ascii="Tahoma" w:hAnsi="Tahoma" w:cs="Tahoma"/>
            <w:iCs/>
            <w:noProof/>
            <w:webHidden/>
            <w:sz w:val="24"/>
            <w:szCs w:val="24"/>
          </w:rPr>
          <w:tab/>
        </w:r>
        <w:r w:rsidR="00DF521C" w:rsidRPr="009E3DBC">
          <w:rPr>
            <w:rFonts w:ascii="Tahoma" w:hAnsi="Tahoma" w:cs="Tahoma"/>
            <w:iCs/>
            <w:noProof/>
            <w:webHidden/>
            <w:sz w:val="24"/>
            <w:szCs w:val="24"/>
          </w:rPr>
          <w:fldChar w:fldCharType="begin"/>
        </w:r>
        <w:r w:rsidR="00DF521C" w:rsidRPr="009E3DBC">
          <w:rPr>
            <w:rFonts w:ascii="Tahoma" w:hAnsi="Tahoma" w:cs="Tahoma"/>
            <w:iCs/>
            <w:noProof/>
            <w:webHidden/>
            <w:sz w:val="24"/>
            <w:szCs w:val="24"/>
          </w:rPr>
          <w:instrText xml:space="preserve"> PAGEREF _Toc203643076 \h </w:instrText>
        </w:r>
        <w:r w:rsidR="00DF521C" w:rsidRPr="009E3DBC">
          <w:rPr>
            <w:rFonts w:ascii="Tahoma" w:hAnsi="Tahoma" w:cs="Tahoma"/>
            <w:iCs/>
            <w:noProof/>
            <w:webHidden/>
            <w:sz w:val="24"/>
            <w:szCs w:val="24"/>
          </w:rPr>
        </w:r>
        <w:r w:rsidR="00DF521C" w:rsidRPr="009E3DBC">
          <w:rPr>
            <w:rFonts w:ascii="Tahoma" w:hAnsi="Tahoma" w:cs="Tahoma"/>
            <w:iCs/>
            <w:noProof/>
            <w:webHidden/>
            <w:sz w:val="24"/>
            <w:szCs w:val="24"/>
          </w:rPr>
          <w:fldChar w:fldCharType="separate"/>
        </w:r>
        <w:r w:rsidR="00124AFB">
          <w:rPr>
            <w:rFonts w:ascii="Tahoma" w:hAnsi="Tahoma" w:cs="Tahoma"/>
            <w:iCs/>
            <w:noProof/>
            <w:webHidden/>
            <w:sz w:val="24"/>
            <w:szCs w:val="24"/>
          </w:rPr>
          <w:t>233</w:t>
        </w:r>
        <w:r w:rsidR="00DF521C" w:rsidRPr="009E3DBC">
          <w:rPr>
            <w:rFonts w:ascii="Tahoma" w:hAnsi="Tahoma" w:cs="Tahoma"/>
            <w:iCs/>
            <w:noProof/>
            <w:webHidden/>
            <w:sz w:val="24"/>
            <w:szCs w:val="24"/>
          </w:rPr>
          <w:fldChar w:fldCharType="end"/>
        </w:r>
      </w:hyperlink>
    </w:p>
    <w:p w:rsidR="00DF521C" w:rsidRPr="009E3DBC" w:rsidRDefault="00642CE5" w:rsidP="00B84FD6">
      <w:pPr>
        <w:pStyle w:val="TM5"/>
        <w:tabs>
          <w:tab w:val="left" w:pos="1320"/>
          <w:tab w:val="right" w:leader="dot" w:pos="9346"/>
        </w:tabs>
        <w:spacing w:line="360" w:lineRule="auto"/>
        <w:jc w:val="both"/>
        <w:rPr>
          <w:rFonts w:ascii="Tahoma" w:eastAsiaTheme="minorEastAsia" w:hAnsi="Tahoma" w:cs="Tahoma"/>
          <w:iCs/>
          <w:noProof/>
          <w:sz w:val="24"/>
          <w:szCs w:val="24"/>
          <w:lang w:eastAsia="fr-FR"/>
        </w:rPr>
      </w:pPr>
      <w:hyperlink w:anchor="_Toc203643077" w:history="1">
        <w:r w:rsidR="00DF521C" w:rsidRPr="009E3DBC">
          <w:rPr>
            <w:rStyle w:val="Lienhypertexte"/>
            <w:rFonts w:ascii="Tahoma" w:hAnsi="Tahoma" w:cs="Tahoma"/>
            <w:iCs/>
            <w:noProof/>
            <w:sz w:val="24"/>
            <w:szCs w:val="24"/>
          </w:rPr>
          <w:t>d.</w:t>
        </w:r>
        <w:r w:rsidR="00DF521C" w:rsidRPr="009E3DBC">
          <w:rPr>
            <w:rFonts w:ascii="Tahoma" w:eastAsiaTheme="minorEastAsia" w:hAnsi="Tahoma" w:cs="Tahoma"/>
            <w:iCs/>
            <w:noProof/>
            <w:sz w:val="24"/>
            <w:szCs w:val="24"/>
            <w:lang w:eastAsia="fr-FR"/>
          </w:rPr>
          <w:tab/>
        </w:r>
        <w:r w:rsidR="00DF521C" w:rsidRPr="009E3DBC">
          <w:rPr>
            <w:rStyle w:val="Lienhypertexte"/>
            <w:rFonts w:ascii="Tahoma" w:hAnsi="Tahoma" w:cs="Tahoma"/>
            <w:iCs/>
            <w:noProof/>
            <w:sz w:val="24"/>
            <w:szCs w:val="24"/>
          </w:rPr>
          <w:t>Scénario optimiste : réussite intégrale du plan de gestion</w:t>
        </w:r>
        <w:r w:rsidR="00DF521C" w:rsidRPr="009E3DBC">
          <w:rPr>
            <w:rFonts w:ascii="Tahoma" w:hAnsi="Tahoma" w:cs="Tahoma"/>
            <w:iCs/>
            <w:noProof/>
            <w:webHidden/>
            <w:sz w:val="24"/>
            <w:szCs w:val="24"/>
          </w:rPr>
          <w:tab/>
        </w:r>
        <w:r w:rsidR="00DF521C" w:rsidRPr="009E3DBC">
          <w:rPr>
            <w:rFonts w:ascii="Tahoma" w:hAnsi="Tahoma" w:cs="Tahoma"/>
            <w:iCs/>
            <w:noProof/>
            <w:webHidden/>
            <w:sz w:val="24"/>
            <w:szCs w:val="24"/>
          </w:rPr>
          <w:fldChar w:fldCharType="begin"/>
        </w:r>
        <w:r w:rsidR="00DF521C" w:rsidRPr="009E3DBC">
          <w:rPr>
            <w:rFonts w:ascii="Tahoma" w:hAnsi="Tahoma" w:cs="Tahoma"/>
            <w:iCs/>
            <w:noProof/>
            <w:webHidden/>
            <w:sz w:val="24"/>
            <w:szCs w:val="24"/>
          </w:rPr>
          <w:instrText xml:space="preserve"> PAGEREF _Toc203643077 \h </w:instrText>
        </w:r>
        <w:r w:rsidR="00DF521C" w:rsidRPr="009E3DBC">
          <w:rPr>
            <w:rFonts w:ascii="Tahoma" w:hAnsi="Tahoma" w:cs="Tahoma"/>
            <w:iCs/>
            <w:noProof/>
            <w:webHidden/>
            <w:sz w:val="24"/>
            <w:szCs w:val="24"/>
          </w:rPr>
        </w:r>
        <w:r w:rsidR="00DF521C" w:rsidRPr="009E3DBC">
          <w:rPr>
            <w:rFonts w:ascii="Tahoma" w:hAnsi="Tahoma" w:cs="Tahoma"/>
            <w:iCs/>
            <w:noProof/>
            <w:webHidden/>
            <w:sz w:val="24"/>
            <w:szCs w:val="24"/>
          </w:rPr>
          <w:fldChar w:fldCharType="separate"/>
        </w:r>
        <w:r w:rsidR="00124AFB">
          <w:rPr>
            <w:rFonts w:ascii="Tahoma" w:hAnsi="Tahoma" w:cs="Tahoma"/>
            <w:iCs/>
            <w:noProof/>
            <w:webHidden/>
            <w:sz w:val="24"/>
            <w:szCs w:val="24"/>
          </w:rPr>
          <w:t>234</w:t>
        </w:r>
        <w:r w:rsidR="00DF521C" w:rsidRPr="009E3DBC">
          <w:rPr>
            <w:rFonts w:ascii="Tahoma" w:hAnsi="Tahoma" w:cs="Tahoma"/>
            <w:iCs/>
            <w:noProof/>
            <w:webHidden/>
            <w:sz w:val="24"/>
            <w:szCs w:val="24"/>
          </w:rPr>
          <w:fldChar w:fldCharType="end"/>
        </w:r>
      </w:hyperlink>
    </w:p>
    <w:p w:rsidR="00DF521C" w:rsidRPr="009E3DBC" w:rsidRDefault="00642CE5" w:rsidP="00B84FD6">
      <w:pPr>
        <w:pStyle w:val="TM5"/>
        <w:tabs>
          <w:tab w:val="left" w:pos="1320"/>
          <w:tab w:val="right" w:leader="dot" w:pos="9346"/>
        </w:tabs>
        <w:spacing w:line="360" w:lineRule="auto"/>
        <w:jc w:val="both"/>
        <w:rPr>
          <w:rFonts w:ascii="Tahoma" w:eastAsiaTheme="minorEastAsia" w:hAnsi="Tahoma" w:cs="Tahoma"/>
          <w:iCs/>
          <w:noProof/>
          <w:sz w:val="24"/>
          <w:szCs w:val="24"/>
          <w:lang w:eastAsia="fr-FR"/>
        </w:rPr>
      </w:pPr>
      <w:hyperlink w:anchor="_Toc203643078" w:history="1">
        <w:r w:rsidR="00DF521C" w:rsidRPr="009E3DBC">
          <w:rPr>
            <w:rStyle w:val="Lienhypertexte"/>
            <w:rFonts w:ascii="Tahoma" w:hAnsi="Tahoma" w:cs="Tahoma"/>
            <w:iCs/>
            <w:noProof/>
            <w:sz w:val="24"/>
            <w:szCs w:val="24"/>
          </w:rPr>
          <w:t>e.</w:t>
        </w:r>
        <w:r w:rsidR="00DF521C" w:rsidRPr="009E3DBC">
          <w:rPr>
            <w:rFonts w:ascii="Tahoma" w:eastAsiaTheme="minorEastAsia" w:hAnsi="Tahoma" w:cs="Tahoma"/>
            <w:iCs/>
            <w:noProof/>
            <w:sz w:val="24"/>
            <w:szCs w:val="24"/>
            <w:lang w:eastAsia="fr-FR"/>
          </w:rPr>
          <w:tab/>
        </w:r>
        <w:r w:rsidR="00DF521C" w:rsidRPr="009E3DBC">
          <w:rPr>
            <w:rStyle w:val="Lienhypertexte"/>
            <w:rFonts w:ascii="Tahoma" w:hAnsi="Tahoma" w:cs="Tahoma"/>
            <w:iCs/>
            <w:noProof/>
            <w:sz w:val="24"/>
            <w:szCs w:val="24"/>
          </w:rPr>
          <w:t>Scénario de crise : dépassement des capacités du plan initial</w:t>
        </w:r>
        <w:r w:rsidR="00DF521C" w:rsidRPr="009E3DBC">
          <w:rPr>
            <w:rFonts w:ascii="Tahoma" w:hAnsi="Tahoma" w:cs="Tahoma"/>
            <w:iCs/>
            <w:noProof/>
            <w:webHidden/>
            <w:sz w:val="24"/>
            <w:szCs w:val="24"/>
          </w:rPr>
          <w:tab/>
        </w:r>
        <w:r w:rsidR="00DF521C" w:rsidRPr="009E3DBC">
          <w:rPr>
            <w:rFonts w:ascii="Tahoma" w:hAnsi="Tahoma" w:cs="Tahoma"/>
            <w:iCs/>
            <w:noProof/>
            <w:webHidden/>
            <w:sz w:val="24"/>
            <w:szCs w:val="24"/>
          </w:rPr>
          <w:fldChar w:fldCharType="begin"/>
        </w:r>
        <w:r w:rsidR="00DF521C" w:rsidRPr="009E3DBC">
          <w:rPr>
            <w:rFonts w:ascii="Tahoma" w:hAnsi="Tahoma" w:cs="Tahoma"/>
            <w:iCs/>
            <w:noProof/>
            <w:webHidden/>
            <w:sz w:val="24"/>
            <w:szCs w:val="24"/>
          </w:rPr>
          <w:instrText xml:space="preserve"> PAGEREF _Toc203643078 \h </w:instrText>
        </w:r>
        <w:r w:rsidR="00DF521C" w:rsidRPr="009E3DBC">
          <w:rPr>
            <w:rFonts w:ascii="Tahoma" w:hAnsi="Tahoma" w:cs="Tahoma"/>
            <w:iCs/>
            <w:noProof/>
            <w:webHidden/>
            <w:sz w:val="24"/>
            <w:szCs w:val="24"/>
          </w:rPr>
        </w:r>
        <w:r w:rsidR="00DF521C" w:rsidRPr="009E3DBC">
          <w:rPr>
            <w:rFonts w:ascii="Tahoma" w:hAnsi="Tahoma" w:cs="Tahoma"/>
            <w:iCs/>
            <w:noProof/>
            <w:webHidden/>
            <w:sz w:val="24"/>
            <w:szCs w:val="24"/>
          </w:rPr>
          <w:fldChar w:fldCharType="separate"/>
        </w:r>
        <w:r w:rsidR="00124AFB">
          <w:rPr>
            <w:rFonts w:ascii="Tahoma" w:hAnsi="Tahoma" w:cs="Tahoma"/>
            <w:iCs/>
            <w:noProof/>
            <w:webHidden/>
            <w:sz w:val="24"/>
            <w:szCs w:val="24"/>
          </w:rPr>
          <w:t>235</w:t>
        </w:r>
        <w:r w:rsidR="00DF521C" w:rsidRPr="009E3DBC">
          <w:rPr>
            <w:rFonts w:ascii="Tahoma" w:hAnsi="Tahoma" w:cs="Tahoma"/>
            <w:iCs/>
            <w:noProof/>
            <w:webHidden/>
            <w:sz w:val="24"/>
            <w:szCs w:val="24"/>
          </w:rPr>
          <w:fldChar w:fldCharType="end"/>
        </w:r>
      </w:hyperlink>
    </w:p>
    <w:p w:rsidR="00DF521C" w:rsidRPr="009E3DBC" w:rsidRDefault="00642CE5" w:rsidP="00B84FD6">
      <w:pPr>
        <w:pStyle w:val="TM2"/>
        <w:tabs>
          <w:tab w:val="right" w:leader="dot" w:pos="9346"/>
        </w:tabs>
        <w:spacing w:line="360" w:lineRule="auto"/>
        <w:jc w:val="both"/>
        <w:rPr>
          <w:rFonts w:ascii="Tahoma" w:eastAsiaTheme="minorEastAsia" w:hAnsi="Tahoma" w:cs="Tahoma"/>
          <w:iCs/>
          <w:smallCaps w:val="0"/>
          <w:noProof/>
          <w:sz w:val="24"/>
          <w:lang w:eastAsia="fr-FR"/>
        </w:rPr>
      </w:pPr>
      <w:hyperlink w:anchor="_Toc203643079" w:history="1">
        <w:r w:rsidR="00DF521C" w:rsidRPr="009E3DBC">
          <w:rPr>
            <w:rStyle w:val="Lienhypertexte"/>
            <w:rFonts w:ascii="Tahoma" w:hAnsi="Tahoma" w:cs="Tahoma"/>
            <w:iCs/>
            <w:noProof/>
            <w:sz w:val="24"/>
          </w:rPr>
          <w:t>Conclusion du deuxième chapitre :</w:t>
        </w:r>
        <w:r w:rsidR="00DF521C" w:rsidRPr="009E3DBC">
          <w:rPr>
            <w:rFonts w:ascii="Tahoma" w:hAnsi="Tahoma" w:cs="Tahoma"/>
            <w:iCs/>
            <w:noProof/>
            <w:webHidden/>
            <w:sz w:val="24"/>
          </w:rPr>
          <w:tab/>
        </w:r>
        <w:r w:rsidR="00DF521C" w:rsidRPr="009E3DBC">
          <w:rPr>
            <w:rFonts w:ascii="Tahoma" w:hAnsi="Tahoma" w:cs="Tahoma"/>
            <w:iCs/>
            <w:noProof/>
            <w:webHidden/>
            <w:sz w:val="24"/>
          </w:rPr>
          <w:fldChar w:fldCharType="begin"/>
        </w:r>
        <w:r w:rsidR="00DF521C" w:rsidRPr="009E3DBC">
          <w:rPr>
            <w:rFonts w:ascii="Tahoma" w:hAnsi="Tahoma" w:cs="Tahoma"/>
            <w:iCs/>
            <w:noProof/>
            <w:webHidden/>
            <w:sz w:val="24"/>
          </w:rPr>
          <w:instrText xml:space="preserve"> PAGEREF _Toc203643079 \h </w:instrText>
        </w:r>
        <w:r w:rsidR="00DF521C" w:rsidRPr="009E3DBC">
          <w:rPr>
            <w:rFonts w:ascii="Tahoma" w:hAnsi="Tahoma" w:cs="Tahoma"/>
            <w:iCs/>
            <w:noProof/>
            <w:webHidden/>
            <w:sz w:val="24"/>
          </w:rPr>
        </w:r>
        <w:r w:rsidR="00DF521C" w:rsidRPr="009E3DBC">
          <w:rPr>
            <w:rFonts w:ascii="Tahoma" w:hAnsi="Tahoma" w:cs="Tahoma"/>
            <w:iCs/>
            <w:noProof/>
            <w:webHidden/>
            <w:sz w:val="24"/>
          </w:rPr>
          <w:fldChar w:fldCharType="separate"/>
        </w:r>
        <w:r w:rsidR="00124AFB">
          <w:rPr>
            <w:rFonts w:ascii="Tahoma" w:hAnsi="Tahoma" w:cs="Tahoma"/>
            <w:iCs/>
            <w:noProof/>
            <w:webHidden/>
            <w:sz w:val="24"/>
          </w:rPr>
          <w:t>239</w:t>
        </w:r>
        <w:r w:rsidR="00DF521C" w:rsidRPr="009E3DBC">
          <w:rPr>
            <w:rFonts w:ascii="Tahoma" w:hAnsi="Tahoma" w:cs="Tahoma"/>
            <w:iCs/>
            <w:noProof/>
            <w:webHidden/>
            <w:sz w:val="24"/>
          </w:rPr>
          <w:fldChar w:fldCharType="end"/>
        </w:r>
      </w:hyperlink>
    </w:p>
    <w:p w:rsidR="00DF521C" w:rsidRPr="009E3DBC" w:rsidRDefault="00642CE5" w:rsidP="00B84FD6">
      <w:pPr>
        <w:pStyle w:val="TM2"/>
        <w:tabs>
          <w:tab w:val="right" w:leader="dot" w:pos="9346"/>
        </w:tabs>
        <w:spacing w:line="360" w:lineRule="auto"/>
        <w:jc w:val="both"/>
        <w:rPr>
          <w:rFonts w:ascii="Tahoma" w:eastAsiaTheme="minorEastAsia" w:hAnsi="Tahoma" w:cs="Tahoma"/>
          <w:iCs/>
          <w:smallCaps w:val="0"/>
          <w:noProof/>
          <w:sz w:val="24"/>
          <w:lang w:eastAsia="fr-FR"/>
        </w:rPr>
      </w:pPr>
      <w:hyperlink w:anchor="_Toc203643080" w:history="1">
        <w:r w:rsidR="00DF521C" w:rsidRPr="009E3DBC">
          <w:rPr>
            <w:rStyle w:val="Lienhypertexte"/>
            <w:rFonts w:ascii="Tahoma" w:hAnsi="Tahoma" w:cs="Tahoma"/>
            <w:iCs/>
            <w:noProof/>
            <w:sz w:val="24"/>
          </w:rPr>
          <w:t>Conclusion de la première partie :</w:t>
        </w:r>
        <w:r w:rsidR="00DF521C" w:rsidRPr="009E3DBC">
          <w:rPr>
            <w:rFonts w:ascii="Tahoma" w:hAnsi="Tahoma" w:cs="Tahoma"/>
            <w:iCs/>
            <w:noProof/>
            <w:webHidden/>
            <w:sz w:val="24"/>
          </w:rPr>
          <w:tab/>
        </w:r>
        <w:r w:rsidR="00DF521C" w:rsidRPr="009E3DBC">
          <w:rPr>
            <w:rFonts w:ascii="Tahoma" w:hAnsi="Tahoma" w:cs="Tahoma"/>
            <w:iCs/>
            <w:noProof/>
            <w:webHidden/>
            <w:sz w:val="24"/>
          </w:rPr>
          <w:fldChar w:fldCharType="begin"/>
        </w:r>
        <w:r w:rsidR="00DF521C" w:rsidRPr="009E3DBC">
          <w:rPr>
            <w:rFonts w:ascii="Tahoma" w:hAnsi="Tahoma" w:cs="Tahoma"/>
            <w:iCs/>
            <w:noProof/>
            <w:webHidden/>
            <w:sz w:val="24"/>
          </w:rPr>
          <w:instrText xml:space="preserve"> PAGEREF _Toc203643080 \h </w:instrText>
        </w:r>
        <w:r w:rsidR="00DF521C" w:rsidRPr="009E3DBC">
          <w:rPr>
            <w:rFonts w:ascii="Tahoma" w:hAnsi="Tahoma" w:cs="Tahoma"/>
            <w:iCs/>
            <w:noProof/>
            <w:webHidden/>
            <w:sz w:val="24"/>
          </w:rPr>
        </w:r>
        <w:r w:rsidR="00DF521C" w:rsidRPr="009E3DBC">
          <w:rPr>
            <w:rFonts w:ascii="Tahoma" w:hAnsi="Tahoma" w:cs="Tahoma"/>
            <w:iCs/>
            <w:noProof/>
            <w:webHidden/>
            <w:sz w:val="24"/>
          </w:rPr>
          <w:fldChar w:fldCharType="separate"/>
        </w:r>
        <w:r w:rsidR="00124AFB">
          <w:rPr>
            <w:rFonts w:ascii="Tahoma" w:hAnsi="Tahoma" w:cs="Tahoma"/>
            <w:iCs/>
            <w:noProof/>
            <w:webHidden/>
            <w:sz w:val="24"/>
          </w:rPr>
          <w:t>240</w:t>
        </w:r>
        <w:r w:rsidR="00DF521C" w:rsidRPr="009E3DBC">
          <w:rPr>
            <w:rFonts w:ascii="Tahoma" w:hAnsi="Tahoma" w:cs="Tahoma"/>
            <w:iCs/>
            <w:noProof/>
            <w:webHidden/>
            <w:sz w:val="24"/>
          </w:rPr>
          <w:fldChar w:fldCharType="end"/>
        </w:r>
      </w:hyperlink>
    </w:p>
    <w:p w:rsidR="00DF521C" w:rsidRPr="009E3DBC" w:rsidRDefault="00642CE5" w:rsidP="00B84FD6">
      <w:pPr>
        <w:pStyle w:val="TM1"/>
        <w:rPr>
          <w:rFonts w:eastAsiaTheme="minorEastAsia"/>
          <w:b w:val="0"/>
          <w:bCs w:val="0"/>
          <w:caps w:val="0"/>
          <w:szCs w:val="24"/>
          <w:lang w:eastAsia="fr-FR"/>
        </w:rPr>
      </w:pPr>
      <w:hyperlink w:anchor="_Toc203643081" w:history="1">
        <w:r w:rsidR="00DF521C" w:rsidRPr="009E3DBC">
          <w:rPr>
            <w:rStyle w:val="Lienhypertexte"/>
            <w:szCs w:val="24"/>
          </w:rPr>
          <w:t>Deuxième partie : Transformation structurelle du territoire marocain et risque accélératif migratoire de la population rurale</w:t>
        </w:r>
        <w:r w:rsidR="00DF521C" w:rsidRPr="009E3DBC">
          <w:rPr>
            <w:webHidden/>
            <w:szCs w:val="24"/>
          </w:rPr>
          <w:tab/>
        </w:r>
        <w:r w:rsidR="00DF521C" w:rsidRPr="009E3DBC">
          <w:rPr>
            <w:webHidden/>
            <w:szCs w:val="24"/>
          </w:rPr>
          <w:fldChar w:fldCharType="begin"/>
        </w:r>
        <w:r w:rsidR="00DF521C" w:rsidRPr="009E3DBC">
          <w:rPr>
            <w:webHidden/>
            <w:szCs w:val="24"/>
          </w:rPr>
          <w:instrText xml:space="preserve"> PAGEREF _Toc203643081 \h </w:instrText>
        </w:r>
        <w:r w:rsidR="00DF521C" w:rsidRPr="009E3DBC">
          <w:rPr>
            <w:webHidden/>
            <w:szCs w:val="24"/>
          </w:rPr>
        </w:r>
        <w:r w:rsidR="00DF521C" w:rsidRPr="009E3DBC">
          <w:rPr>
            <w:webHidden/>
            <w:szCs w:val="24"/>
          </w:rPr>
          <w:fldChar w:fldCharType="separate"/>
        </w:r>
        <w:r w:rsidR="00124AFB">
          <w:rPr>
            <w:webHidden/>
            <w:szCs w:val="24"/>
          </w:rPr>
          <w:t>245</w:t>
        </w:r>
        <w:r w:rsidR="00DF521C" w:rsidRPr="009E3DBC">
          <w:rPr>
            <w:webHidden/>
            <w:szCs w:val="24"/>
          </w:rPr>
          <w:fldChar w:fldCharType="end"/>
        </w:r>
      </w:hyperlink>
    </w:p>
    <w:p w:rsidR="00DF521C" w:rsidRPr="009E3DBC" w:rsidRDefault="00642CE5" w:rsidP="00B84FD6">
      <w:pPr>
        <w:pStyle w:val="TM1"/>
        <w:rPr>
          <w:rFonts w:eastAsiaTheme="minorEastAsia"/>
          <w:b w:val="0"/>
          <w:bCs w:val="0"/>
          <w:caps w:val="0"/>
          <w:szCs w:val="24"/>
          <w:lang w:eastAsia="fr-FR"/>
        </w:rPr>
      </w:pPr>
      <w:hyperlink w:anchor="_Toc203643082" w:history="1">
        <w:r w:rsidR="00DF521C" w:rsidRPr="009E3DBC">
          <w:rPr>
            <w:rStyle w:val="Lienhypertexte"/>
            <w:szCs w:val="24"/>
          </w:rPr>
          <w:t>Chapitre 1 : Analyse de la configuration territoriale du Maroc rural</w:t>
        </w:r>
        <w:r w:rsidR="00DF521C" w:rsidRPr="009E3DBC">
          <w:rPr>
            <w:webHidden/>
            <w:szCs w:val="24"/>
          </w:rPr>
          <w:tab/>
        </w:r>
        <w:r w:rsidR="00DF521C" w:rsidRPr="009E3DBC">
          <w:rPr>
            <w:webHidden/>
            <w:szCs w:val="24"/>
          </w:rPr>
          <w:fldChar w:fldCharType="begin"/>
        </w:r>
        <w:r w:rsidR="00DF521C" w:rsidRPr="009E3DBC">
          <w:rPr>
            <w:webHidden/>
            <w:szCs w:val="24"/>
          </w:rPr>
          <w:instrText xml:space="preserve"> PAGEREF _Toc203643082 \h </w:instrText>
        </w:r>
        <w:r w:rsidR="00DF521C" w:rsidRPr="009E3DBC">
          <w:rPr>
            <w:webHidden/>
            <w:szCs w:val="24"/>
          </w:rPr>
        </w:r>
        <w:r w:rsidR="00DF521C" w:rsidRPr="009E3DBC">
          <w:rPr>
            <w:webHidden/>
            <w:szCs w:val="24"/>
          </w:rPr>
          <w:fldChar w:fldCharType="separate"/>
        </w:r>
        <w:r w:rsidR="00124AFB">
          <w:rPr>
            <w:webHidden/>
            <w:szCs w:val="24"/>
          </w:rPr>
          <w:t>247</w:t>
        </w:r>
        <w:r w:rsidR="00DF521C" w:rsidRPr="009E3DBC">
          <w:rPr>
            <w:webHidden/>
            <w:szCs w:val="24"/>
          </w:rPr>
          <w:fldChar w:fldCharType="end"/>
        </w:r>
      </w:hyperlink>
    </w:p>
    <w:p w:rsidR="00DF521C" w:rsidRPr="009E3DBC" w:rsidRDefault="00642CE5" w:rsidP="00B84FD6">
      <w:pPr>
        <w:pStyle w:val="TM2"/>
        <w:tabs>
          <w:tab w:val="right" w:leader="dot" w:pos="9346"/>
        </w:tabs>
        <w:spacing w:line="360" w:lineRule="auto"/>
        <w:jc w:val="both"/>
        <w:rPr>
          <w:rFonts w:ascii="Tahoma" w:eastAsiaTheme="minorEastAsia" w:hAnsi="Tahoma" w:cs="Tahoma"/>
          <w:iCs/>
          <w:smallCaps w:val="0"/>
          <w:noProof/>
          <w:sz w:val="24"/>
          <w:lang w:eastAsia="fr-FR"/>
        </w:rPr>
      </w:pPr>
      <w:hyperlink w:anchor="_Toc203643083" w:history="1">
        <w:r w:rsidR="00DF521C" w:rsidRPr="009E3DBC">
          <w:rPr>
            <w:rStyle w:val="Lienhypertexte"/>
            <w:rFonts w:ascii="Tahoma" w:hAnsi="Tahoma" w:cs="Tahoma"/>
            <w:iCs/>
            <w:noProof/>
            <w:sz w:val="24"/>
          </w:rPr>
          <w:t>Première section : Conceptualisation du territoire et évolution de l’aménagement au Maroc</w:t>
        </w:r>
        <w:r w:rsidR="00DF521C" w:rsidRPr="009E3DBC">
          <w:rPr>
            <w:rFonts w:ascii="Tahoma" w:hAnsi="Tahoma" w:cs="Tahoma"/>
            <w:iCs/>
            <w:noProof/>
            <w:webHidden/>
            <w:sz w:val="24"/>
          </w:rPr>
          <w:tab/>
        </w:r>
        <w:r w:rsidR="00DF521C" w:rsidRPr="009E3DBC">
          <w:rPr>
            <w:rFonts w:ascii="Tahoma" w:hAnsi="Tahoma" w:cs="Tahoma"/>
            <w:iCs/>
            <w:noProof/>
            <w:webHidden/>
            <w:sz w:val="24"/>
          </w:rPr>
          <w:fldChar w:fldCharType="begin"/>
        </w:r>
        <w:r w:rsidR="00DF521C" w:rsidRPr="009E3DBC">
          <w:rPr>
            <w:rFonts w:ascii="Tahoma" w:hAnsi="Tahoma" w:cs="Tahoma"/>
            <w:iCs/>
            <w:noProof/>
            <w:webHidden/>
            <w:sz w:val="24"/>
          </w:rPr>
          <w:instrText xml:space="preserve"> PAGEREF _Toc203643083 \h </w:instrText>
        </w:r>
        <w:r w:rsidR="00DF521C" w:rsidRPr="009E3DBC">
          <w:rPr>
            <w:rFonts w:ascii="Tahoma" w:hAnsi="Tahoma" w:cs="Tahoma"/>
            <w:iCs/>
            <w:noProof/>
            <w:webHidden/>
            <w:sz w:val="24"/>
          </w:rPr>
        </w:r>
        <w:r w:rsidR="00DF521C" w:rsidRPr="009E3DBC">
          <w:rPr>
            <w:rFonts w:ascii="Tahoma" w:hAnsi="Tahoma" w:cs="Tahoma"/>
            <w:iCs/>
            <w:noProof/>
            <w:webHidden/>
            <w:sz w:val="24"/>
          </w:rPr>
          <w:fldChar w:fldCharType="separate"/>
        </w:r>
        <w:r w:rsidR="00124AFB">
          <w:rPr>
            <w:rFonts w:ascii="Tahoma" w:hAnsi="Tahoma" w:cs="Tahoma"/>
            <w:iCs/>
            <w:noProof/>
            <w:webHidden/>
            <w:sz w:val="24"/>
          </w:rPr>
          <w:t>248</w:t>
        </w:r>
        <w:r w:rsidR="00DF521C" w:rsidRPr="009E3DBC">
          <w:rPr>
            <w:rFonts w:ascii="Tahoma" w:hAnsi="Tahoma" w:cs="Tahoma"/>
            <w:iCs/>
            <w:noProof/>
            <w:webHidden/>
            <w:sz w:val="24"/>
          </w:rPr>
          <w:fldChar w:fldCharType="end"/>
        </w:r>
      </w:hyperlink>
    </w:p>
    <w:p w:rsidR="00DF521C" w:rsidRPr="009E3DBC" w:rsidRDefault="00642CE5" w:rsidP="00B84FD6">
      <w:pPr>
        <w:pStyle w:val="TM3"/>
        <w:tabs>
          <w:tab w:val="left" w:pos="880"/>
          <w:tab w:val="right" w:leader="dot" w:pos="9346"/>
        </w:tabs>
        <w:spacing w:line="360" w:lineRule="auto"/>
        <w:jc w:val="both"/>
        <w:rPr>
          <w:rFonts w:ascii="Tahoma" w:eastAsiaTheme="minorEastAsia" w:hAnsi="Tahoma" w:cs="Tahoma"/>
          <w:i w:val="0"/>
          <w:noProof/>
          <w:sz w:val="24"/>
          <w:lang w:eastAsia="fr-FR"/>
        </w:rPr>
      </w:pPr>
      <w:hyperlink w:anchor="_Toc203643084" w:history="1">
        <w:r w:rsidR="00DF521C" w:rsidRPr="009E3DBC">
          <w:rPr>
            <w:rStyle w:val="Lienhypertexte"/>
            <w:rFonts w:ascii="Tahoma" w:hAnsi="Tahoma" w:cs="Tahoma"/>
            <w:i w:val="0"/>
            <w:noProof/>
            <w:sz w:val="24"/>
            <w14:scene3d>
              <w14:camera w14:prst="orthographicFront"/>
              <w14:lightRig w14:rig="threePt" w14:dir="t">
                <w14:rot w14:lat="0" w14:lon="0" w14:rev="0"/>
              </w14:lightRig>
            </w14:scene3d>
          </w:rPr>
          <w:t>A.</w:t>
        </w:r>
        <w:r w:rsidR="00DF521C" w:rsidRPr="009E3DBC">
          <w:rPr>
            <w:rFonts w:ascii="Tahoma" w:eastAsiaTheme="minorEastAsia" w:hAnsi="Tahoma" w:cs="Tahoma"/>
            <w:i w:val="0"/>
            <w:noProof/>
            <w:sz w:val="24"/>
            <w:lang w:eastAsia="fr-FR"/>
          </w:rPr>
          <w:tab/>
        </w:r>
        <w:r w:rsidR="00DF521C" w:rsidRPr="009E3DBC">
          <w:rPr>
            <w:rStyle w:val="Lienhypertexte"/>
            <w:rFonts w:ascii="Tahoma" w:hAnsi="Tahoma" w:cs="Tahoma"/>
            <w:i w:val="0"/>
            <w:noProof/>
            <w:sz w:val="24"/>
          </w:rPr>
          <w:t>Approches théoriques du concept de territoire</w:t>
        </w:r>
        <w:r w:rsidR="00DF521C" w:rsidRPr="009E3DBC">
          <w:rPr>
            <w:rFonts w:ascii="Tahoma" w:hAnsi="Tahoma" w:cs="Tahoma"/>
            <w:i w:val="0"/>
            <w:noProof/>
            <w:webHidden/>
            <w:sz w:val="24"/>
          </w:rPr>
          <w:tab/>
        </w:r>
        <w:r w:rsidR="00DF521C" w:rsidRPr="009E3DBC">
          <w:rPr>
            <w:rFonts w:ascii="Tahoma" w:hAnsi="Tahoma" w:cs="Tahoma"/>
            <w:i w:val="0"/>
            <w:noProof/>
            <w:webHidden/>
            <w:sz w:val="24"/>
          </w:rPr>
          <w:fldChar w:fldCharType="begin"/>
        </w:r>
        <w:r w:rsidR="00DF521C" w:rsidRPr="009E3DBC">
          <w:rPr>
            <w:rFonts w:ascii="Tahoma" w:hAnsi="Tahoma" w:cs="Tahoma"/>
            <w:i w:val="0"/>
            <w:noProof/>
            <w:webHidden/>
            <w:sz w:val="24"/>
          </w:rPr>
          <w:instrText xml:space="preserve"> PAGEREF _Toc203643084 \h </w:instrText>
        </w:r>
        <w:r w:rsidR="00DF521C" w:rsidRPr="009E3DBC">
          <w:rPr>
            <w:rFonts w:ascii="Tahoma" w:hAnsi="Tahoma" w:cs="Tahoma"/>
            <w:i w:val="0"/>
            <w:noProof/>
            <w:webHidden/>
            <w:sz w:val="24"/>
          </w:rPr>
        </w:r>
        <w:r w:rsidR="00DF521C" w:rsidRPr="009E3DBC">
          <w:rPr>
            <w:rFonts w:ascii="Tahoma" w:hAnsi="Tahoma" w:cs="Tahoma"/>
            <w:i w:val="0"/>
            <w:noProof/>
            <w:webHidden/>
            <w:sz w:val="24"/>
          </w:rPr>
          <w:fldChar w:fldCharType="separate"/>
        </w:r>
        <w:r w:rsidR="00124AFB">
          <w:rPr>
            <w:rFonts w:ascii="Tahoma" w:hAnsi="Tahoma" w:cs="Tahoma"/>
            <w:i w:val="0"/>
            <w:noProof/>
            <w:webHidden/>
            <w:sz w:val="24"/>
          </w:rPr>
          <w:t>248</w:t>
        </w:r>
        <w:r w:rsidR="00DF521C" w:rsidRPr="009E3DBC">
          <w:rPr>
            <w:rFonts w:ascii="Tahoma" w:hAnsi="Tahoma" w:cs="Tahoma"/>
            <w:i w:val="0"/>
            <w:noProof/>
            <w:webHidden/>
            <w:sz w:val="24"/>
          </w:rPr>
          <w:fldChar w:fldCharType="end"/>
        </w:r>
      </w:hyperlink>
    </w:p>
    <w:p w:rsidR="00DF521C" w:rsidRPr="009E3DBC" w:rsidRDefault="00642CE5" w:rsidP="00B84FD6">
      <w:pPr>
        <w:pStyle w:val="TM4"/>
        <w:tabs>
          <w:tab w:val="left" w:pos="1100"/>
          <w:tab w:val="right" w:leader="dot" w:pos="9346"/>
        </w:tabs>
        <w:spacing w:line="360" w:lineRule="auto"/>
        <w:jc w:val="both"/>
        <w:rPr>
          <w:rFonts w:ascii="Tahoma" w:eastAsiaTheme="minorEastAsia" w:hAnsi="Tahoma" w:cs="Tahoma"/>
          <w:iCs/>
          <w:noProof/>
          <w:sz w:val="24"/>
          <w:szCs w:val="24"/>
          <w:lang w:eastAsia="fr-FR"/>
        </w:rPr>
      </w:pPr>
      <w:hyperlink w:anchor="_Toc203643085" w:history="1">
        <w:r w:rsidR="00DF521C" w:rsidRPr="009E3DBC">
          <w:rPr>
            <w:rStyle w:val="Lienhypertexte"/>
            <w:rFonts w:ascii="Tahoma" w:hAnsi="Tahoma" w:cs="Tahoma"/>
            <w:iCs/>
            <w:noProof/>
            <w:sz w:val="24"/>
            <w:szCs w:val="24"/>
            <w14:scene3d>
              <w14:camera w14:prst="orthographicFront"/>
              <w14:lightRig w14:rig="threePt" w14:dir="t">
                <w14:rot w14:lat="0" w14:lon="0" w14:rev="0"/>
              </w14:lightRig>
            </w14:scene3d>
          </w:rPr>
          <w:t>1.</w:t>
        </w:r>
        <w:r w:rsidR="00DF521C" w:rsidRPr="009E3DBC">
          <w:rPr>
            <w:rFonts w:ascii="Tahoma" w:eastAsiaTheme="minorEastAsia" w:hAnsi="Tahoma" w:cs="Tahoma"/>
            <w:iCs/>
            <w:noProof/>
            <w:sz w:val="24"/>
            <w:szCs w:val="24"/>
            <w:lang w:eastAsia="fr-FR"/>
          </w:rPr>
          <w:tab/>
        </w:r>
        <w:r w:rsidR="00DF521C" w:rsidRPr="009E3DBC">
          <w:rPr>
            <w:rStyle w:val="Lienhypertexte"/>
            <w:rFonts w:ascii="Tahoma" w:hAnsi="Tahoma" w:cs="Tahoma"/>
            <w:iCs/>
            <w:noProof/>
            <w:sz w:val="24"/>
            <w:szCs w:val="24"/>
          </w:rPr>
          <w:t>Polysémie du territoire : Exploration transdisciplinaire et contextualisation conceptuelle en sciences humaines et sociales</w:t>
        </w:r>
        <w:r w:rsidR="00DF521C" w:rsidRPr="009E3DBC">
          <w:rPr>
            <w:rFonts w:ascii="Tahoma" w:hAnsi="Tahoma" w:cs="Tahoma"/>
            <w:iCs/>
            <w:noProof/>
            <w:webHidden/>
            <w:sz w:val="24"/>
            <w:szCs w:val="24"/>
          </w:rPr>
          <w:tab/>
        </w:r>
        <w:r w:rsidR="00DF521C" w:rsidRPr="009E3DBC">
          <w:rPr>
            <w:rFonts w:ascii="Tahoma" w:hAnsi="Tahoma" w:cs="Tahoma"/>
            <w:iCs/>
            <w:noProof/>
            <w:webHidden/>
            <w:sz w:val="24"/>
            <w:szCs w:val="24"/>
          </w:rPr>
          <w:fldChar w:fldCharType="begin"/>
        </w:r>
        <w:r w:rsidR="00DF521C" w:rsidRPr="009E3DBC">
          <w:rPr>
            <w:rFonts w:ascii="Tahoma" w:hAnsi="Tahoma" w:cs="Tahoma"/>
            <w:iCs/>
            <w:noProof/>
            <w:webHidden/>
            <w:sz w:val="24"/>
            <w:szCs w:val="24"/>
          </w:rPr>
          <w:instrText xml:space="preserve"> PAGEREF _Toc203643085 \h </w:instrText>
        </w:r>
        <w:r w:rsidR="00DF521C" w:rsidRPr="009E3DBC">
          <w:rPr>
            <w:rFonts w:ascii="Tahoma" w:hAnsi="Tahoma" w:cs="Tahoma"/>
            <w:iCs/>
            <w:noProof/>
            <w:webHidden/>
            <w:sz w:val="24"/>
            <w:szCs w:val="24"/>
          </w:rPr>
        </w:r>
        <w:r w:rsidR="00DF521C" w:rsidRPr="009E3DBC">
          <w:rPr>
            <w:rFonts w:ascii="Tahoma" w:hAnsi="Tahoma" w:cs="Tahoma"/>
            <w:iCs/>
            <w:noProof/>
            <w:webHidden/>
            <w:sz w:val="24"/>
            <w:szCs w:val="24"/>
          </w:rPr>
          <w:fldChar w:fldCharType="separate"/>
        </w:r>
        <w:r w:rsidR="00124AFB">
          <w:rPr>
            <w:rFonts w:ascii="Tahoma" w:hAnsi="Tahoma" w:cs="Tahoma"/>
            <w:iCs/>
            <w:noProof/>
            <w:webHidden/>
            <w:sz w:val="24"/>
            <w:szCs w:val="24"/>
          </w:rPr>
          <w:t>249</w:t>
        </w:r>
        <w:r w:rsidR="00DF521C" w:rsidRPr="009E3DBC">
          <w:rPr>
            <w:rFonts w:ascii="Tahoma" w:hAnsi="Tahoma" w:cs="Tahoma"/>
            <w:iCs/>
            <w:noProof/>
            <w:webHidden/>
            <w:sz w:val="24"/>
            <w:szCs w:val="24"/>
          </w:rPr>
          <w:fldChar w:fldCharType="end"/>
        </w:r>
      </w:hyperlink>
    </w:p>
    <w:p w:rsidR="00DF521C" w:rsidRPr="009E3DBC" w:rsidRDefault="00642CE5" w:rsidP="00B84FD6">
      <w:pPr>
        <w:pStyle w:val="TM5"/>
        <w:tabs>
          <w:tab w:val="left" w:pos="1320"/>
          <w:tab w:val="right" w:leader="dot" w:pos="9346"/>
        </w:tabs>
        <w:spacing w:line="360" w:lineRule="auto"/>
        <w:jc w:val="both"/>
        <w:rPr>
          <w:rFonts w:ascii="Tahoma" w:eastAsiaTheme="minorEastAsia" w:hAnsi="Tahoma" w:cs="Tahoma"/>
          <w:iCs/>
          <w:noProof/>
          <w:sz w:val="24"/>
          <w:szCs w:val="24"/>
          <w:lang w:eastAsia="fr-FR"/>
        </w:rPr>
      </w:pPr>
      <w:hyperlink w:anchor="_Toc203643086" w:history="1">
        <w:r w:rsidR="00DF521C" w:rsidRPr="009E3DBC">
          <w:rPr>
            <w:rStyle w:val="Lienhypertexte"/>
            <w:rFonts w:ascii="Tahoma" w:hAnsi="Tahoma" w:cs="Tahoma"/>
            <w:iCs/>
            <w:noProof/>
            <w:w w:val="85"/>
            <w:sz w:val="24"/>
            <w:szCs w:val="24"/>
          </w:rPr>
          <w:t>a.</w:t>
        </w:r>
        <w:r w:rsidR="00DF521C" w:rsidRPr="009E3DBC">
          <w:rPr>
            <w:rFonts w:ascii="Tahoma" w:eastAsiaTheme="minorEastAsia" w:hAnsi="Tahoma" w:cs="Tahoma"/>
            <w:iCs/>
            <w:noProof/>
            <w:sz w:val="24"/>
            <w:szCs w:val="24"/>
            <w:lang w:eastAsia="fr-FR"/>
          </w:rPr>
          <w:tab/>
        </w:r>
        <w:r w:rsidR="00DF521C" w:rsidRPr="009E3DBC">
          <w:rPr>
            <w:rStyle w:val="Lienhypertexte"/>
            <w:rFonts w:ascii="Tahoma" w:hAnsi="Tahoma" w:cs="Tahoma"/>
            <w:iCs/>
            <w:noProof/>
            <w:w w:val="85"/>
            <w:sz w:val="24"/>
            <w:szCs w:val="24"/>
          </w:rPr>
          <w:t>Perspectives historiques et géographiques du territoire</w:t>
        </w:r>
        <w:r w:rsidR="00DF521C" w:rsidRPr="009E3DBC">
          <w:rPr>
            <w:rFonts w:ascii="Tahoma" w:hAnsi="Tahoma" w:cs="Tahoma"/>
            <w:iCs/>
            <w:noProof/>
            <w:webHidden/>
            <w:sz w:val="24"/>
            <w:szCs w:val="24"/>
          </w:rPr>
          <w:tab/>
        </w:r>
        <w:r w:rsidR="00DF521C" w:rsidRPr="009E3DBC">
          <w:rPr>
            <w:rFonts w:ascii="Tahoma" w:hAnsi="Tahoma" w:cs="Tahoma"/>
            <w:iCs/>
            <w:noProof/>
            <w:webHidden/>
            <w:sz w:val="24"/>
            <w:szCs w:val="24"/>
          </w:rPr>
          <w:fldChar w:fldCharType="begin"/>
        </w:r>
        <w:r w:rsidR="00DF521C" w:rsidRPr="009E3DBC">
          <w:rPr>
            <w:rFonts w:ascii="Tahoma" w:hAnsi="Tahoma" w:cs="Tahoma"/>
            <w:iCs/>
            <w:noProof/>
            <w:webHidden/>
            <w:sz w:val="24"/>
            <w:szCs w:val="24"/>
          </w:rPr>
          <w:instrText xml:space="preserve"> PAGEREF _Toc203643086 \h </w:instrText>
        </w:r>
        <w:r w:rsidR="00DF521C" w:rsidRPr="009E3DBC">
          <w:rPr>
            <w:rFonts w:ascii="Tahoma" w:hAnsi="Tahoma" w:cs="Tahoma"/>
            <w:iCs/>
            <w:noProof/>
            <w:webHidden/>
            <w:sz w:val="24"/>
            <w:szCs w:val="24"/>
          </w:rPr>
        </w:r>
        <w:r w:rsidR="00DF521C" w:rsidRPr="009E3DBC">
          <w:rPr>
            <w:rFonts w:ascii="Tahoma" w:hAnsi="Tahoma" w:cs="Tahoma"/>
            <w:iCs/>
            <w:noProof/>
            <w:webHidden/>
            <w:sz w:val="24"/>
            <w:szCs w:val="24"/>
          </w:rPr>
          <w:fldChar w:fldCharType="separate"/>
        </w:r>
        <w:r w:rsidR="00124AFB">
          <w:rPr>
            <w:rFonts w:ascii="Tahoma" w:hAnsi="Tahoma" w:cs="Tahoma"/>
            <w:iCs/>
            <w:noProof/>
            <w:webHidden/>
            <w:sz w:val="24"/>
            <w:szCs w:val="24"/>
          </w:rPr>
          <w:t>249</w:t>
        </w:r>
        <w:r w:rsidR="00DF521C" w:rsidRPr="009E3DBC">
          <w:rPr>
            <w:rFonts w:ascii="Tahoma" w:hAnsi="Tahoma" w:cs="Tahoma"/>
            <w:iCs/>
            <w:noProof/>
            <w:webHidden/>
            <w:sz w:val="24"/>
            <w:szCs w:val="24"/>
          </w:rPr>
          <w:fldChar w:fldCharType="end"/>
        </w:r>
      </w:hyperlink>
    </w:p>
    <w:p w:rsidR="00DF521C" w:rsidRPr="009E3DBC" w:rsidRDefault="00642CE5" w:rsidP="00B84FD6">
      <w:pPr>
        <w:pStyle w:val="TM5"/>
        <w:tabs>
          <w:tab w:val="left" w:pos="1320"/>
          <w:tab w:val="right" w:leader="dot" w:pos="9346"/>
        </w:tabs>
        <w:spacing w:line="360" w:lineRule="auto"/>
        <w:jc w:val="both"/>
        <w:rPr>
          <w:rFonts w:ascii="Tahoma" w:eastAsiaTheme="minorEastAsia" w:hAnsi="Tahoma" w:cs="Tahoma"/>
          <w:iCs/>
          <w:noProof/>
          <w:sz w:val="24"/>
          <w:szCs w:val="24"/>
          <w:lang w:eastAsia="fr-FR"/>
        </w:rPr>
      </w:pPr>
      <w:hyperlink w:anchor="_Toc203643087" w:history="1">
        <w:r w:rsidR="00DF521C" w:rsidRPr="009E3DBC">
          <w:rPr>
            <w:rStyle w:val="Lienhypertexte"/>
            <w:rFonts w:ascii="Tahoma" w:hAnsi="Tahoma" w:cs="Tahoma"/>
            <w:iCs/>
            <w:noProof/>
            <w:w w:val="85"/>
            <w:sz w:val="24"/>
            <w:szCs w:val="24"/>
          </w:rPr>
          <w:t>b.</w:t>
        </w:r>
        <w:r w:rsidR="00DF521C" w:rsidRPr="009E3DBC">
          <w:rPr>
            <w:rFonts w:ascii="Tahoma" w:eastAsiaTheme="minorEastAsia" w:hAnsi="Tahoma" w:cs="Tahoma"/>
            <w:iCs/>
            <w:noProof/>
            <w:sz w:val="24"/>
            <w:szCs w:val="24"/>
            <w:lang w:eastAsia="fr-FR"/>
          </w:rPr>
          <w:tab/>
        </w:r>
        <w:r w:rsidR="00DF521C" w:rsidRPr="009E3DBC">
          <w:rPr>
            <w:rStyle w:val="Lienhypertexte"/>
            <w:rFonts w:ascii="Tahoma" w:hAnsi="Tahoma" w:cs="Tahoma"/>
            <w:iCs/>
            <w:noProof/>
            <w:w w:val="85"/>
            <w:sz w:val="24"/>
            <w:szCs w:val="24"/>
          </w:rPr>
          <w:t>Apports de l’éthologie à la compréhension territoriale</w:t>
        </w:r>
        <w:r w:rsidR="00DF521C" w:rsidRPr="009E3DBC">
          <w:rPr>
            <w:rFonts w:ascii="Tahoma" w:hAnsi="Tahoma" w:cs="Tahoma"/>
            <w:iCs/>
            <w:noProof/>
            <w:webHidden/>
            <w:sz w:val="24"/>
            <w:szCs w:val="24"/>
          </w:rPr>
          <w:tab/>
        </w:r>
        <w:r w:rsidR="00DF521C" w:rsidRPr="009E3DBC">
          <w:rPr>
            <w:rFonts w:ascii="Tahoma" w:hAnsi="Tahoma" w:cs="Tahoma"/>
            <w:iCs/>
            <w:noProof/>
            <w:webHidden/>
            <w:sz w:val="24"/>
            <w:szCs w:val="24"/>
          </w:rPr>
          <w:fldChar w:fldCharType="begin"/>
        </w:r>
        <w:r w:rsidR="00DF521C" w:rsidRPr="009E3DBC">
          <w:rPr>
            <w:rFonts w:ascii="Tahoma" w:hAnsi="Tahoma" w:cs="Tahoma"/>
            <w:iCs/>
            <w:noProof/>
            <w:webHidden/>
            <w:sz w:val="24"/>
            <w:szCs w:val="24"/>
          </w:rPr>
          <w:instrText xml:space="preserve"> PAGEREF _Toc203643087 \h </w:instrText>
        </w:r>
        <w:r w:rsidR="00DF521C" w:rsidRPr="009E3DBC">
          <w:rPr>
            <w:rFonts w:ascii="Tahoma" w:hAnsi="Tahoma" w:cs="Tahoma"/>
            <w:iCs/>
            <w:noProof/>
            <w:webHidden/>
            <w:sz w:val="24"/>
            <w:szCs w:val="24"/>
          </w:rPr>
        </w:r>
        <w:r w:rsidR="00DF521C" w:rsidRPr="009E3DBC">
          <w:rPr>
            <w:rFonts w:ascii="Tahoma" w:hAnsi="Tahoma" w:cs="Tahoma"/>
            <w:iCs/>
            <w:noProof/>
            <w:webHidden/>
            <w:sz w:val="24"/>
            <w:szCs w:val="24"/>
          </w:rPr>
          <w:fldChar w:fldCharType="separate"/>
        </w:r>
        <w:r w:rsidR="00124AFB">
          <w:rPr>
            <w:rFonts w:ascii="Tahoma" w:hAnsi="Tahoma" w:cs="Tahoma"/>
            <w:iCs/>
            <w:noProof/>
            <w:webHidden/>
            <w:sz w:val="24"/>
            <w:szCs w:val="24"/>
          </w:rPr>
          <w:t>250</w:t>
        </w:r>
        <w:r w:rsidR="00DF521C" w:rsidRPr="009E3DBC">
          <w:rPr>
            <w:rFonts w:ascii="Tahoma" w:hAnsi="Tahoma" w:cs="Tahoma"/>
            <w:iCs/>
            <w:noProof/>
            <w:webHidden/>
            <w:sz w:val="24"/>
            <w:szCs w:val="24"/>
          </w:rPr>
          <w:fldChar w:fldCharType="end"/>
        </w:r>
      </w:hyperlink>
    </w:p>
    <w:p w:rsidR="00DF521C" w:rsidRPr="009E3DBC" w:rsidRDefault="00642CE5" w:rsidP="00B84FD6">
      <w:pPr>
        <w:pStyle w:val="TM5"/>
        <w:tabs>
          <w:tab w:val="left" w:pos="1320"/>
          <w:tab w:val="right" w:leader="dot" w:pos="9346"/>
        </w:tabs>
        <w:spacing w:line="360" w:lineRule="auto"/>
        <w:jc w:val="both"/>
        <w:rPr>
          <w:rFonts w:ascii="Tahoma" w:eastAsiaTheme="minorEastAsia" w:hAnsi="Tahoma" w:cs="Tahoma"/>
          <w:iCs/>
          <w:noProof/>
          <w:sz w:val="24"/>
          <w:szCs w:val="24"/>
          <w:lang w:eastAsia="fr-FR"/>
        </w:rPr>
      </w:pPr>
      <w:hyperlink w:anchor="_Toc203643088" w:history="1">
        <w:r w:rsidR="00DF521C" w:rsidRPr="009E3DBC">
          <w:rPr>
            <w:rStyle w:val="Lienhypertexte"/>
            <w:rFonts w:ascii="Tahoma" w:hAnsi="Tahoma" w:cs="Tahoma"/>
            <w:iCs/>
            <w:noProof/>
            <w:w w:val="85"/>
            <w:sz w:val="24"/>
            <w:szCs w:val="24"/>
          </w:rPr>
          <w:t>c.</w:t>
        </w:r>
        <w:r w:rsidR="00DF521C" w:rsidRPr="009E3DBC">
          <w:rPr>
            <w:rFonts w:ascii="Tahoma" w:eastAsiaTheme="minorEastAsia" w:hAnsi="Tahoma" w:cs="Tahoma"/>
            <w:iCs/>
            <w:noProof/>
            <w:sz w:val="24"/>
            <w:szCs w:val="24"/>
            <w:lang w:eastAsia="fr-FR"/>
          </w:rPr>
          <w:tab/>
        </w:r>
        <w:r w:rsidR="00DF521C" w:rsidRPr="009E3DBC">
          <w:rPr>
            <w:rStyle w:val="Lienhypertexte"/>
            <w:rFonts w:ascii="Tahoma" w:hAnsi="Tahoma" w:cs="Tahoma"/>
            <w:iCs/>
            <w:noProof/>
            <w:w w:val="85"/>
            <w:sz w:val="24"/>
            <w:szCs w:val="24"/>
          </w:rPr>
          <w:t>Dimensions anthropologiques et juridiques du territoire</w:t>
        </w:r>
        <w:r w:rsidR="00DF521C" w:rsidRPr="009E3DBC">
          <w:rPr>
            <w:rFonts w:ascii="Tahoma" w:hAnsi="Tahoma" w:cs="Tahoma"/>
            <w:iCs/>
            <w:noProof/>
            <w:webHidden/>
            <w:sz w:val="24"/>
            <w:szCs w:val="24"/>
          </w:rPr>
          <w:tab/>
        </w:r>
        <w:r w:rsidR="00DF521C" w:rsidRPr="009E3DBC">
          <w:rPr>
            <w:rFonts w:ascii="Tahoma" w:hAnsi="Tahoma" w:cs="Tahoma"/>
            <w:iCs/>
            <w:noProof/>
            <w:webHidden/>
            <w:sz w:val="24"/>
            <w:szCs w:val="24"/>
          </w:rPr>
          <w:fldChar w:fldCharType="begin"/>
        </w:r>
        <w:r w:rsidR="00DF521C" w:rsidRPr="009E3DBC">
          <w:rPr>
            <w:rFonts w:ascii="Tahoma" w:hAnsi="Tahoma" w:cs="Tahoma"/>
            <w:iCs/>
            <w:noProof/>
            <w:webHidden/>
            <w:sz w:val="24"/>
            <w:szCs w:val="24"/>
          </w:rPr>
          <w:instrText xml:space="preserve"> PAGEREF _Toc203643088 \h </w:instrText>
        </w:r>
        <w:r w:rsidR="00DF521C" w:rsidRPr="009E3DBC">
          <w:rPr>
            <w:rFonts w:ascii="Tahoma" w:hAnsi="Tahoma" w:cs="Tahoma"/>
            <w:iCs/>
            <w:noProof/>
            <w:webHidden/>
            <w:sz w:val="24"/>
            <w:szCs w:val="24"/>
          </w:rPr>
        </w:r>
        <w:r w:rsidR="00DF521C" w:rsidRPr="009E3DBC">
          <w:rPr>
            <w:rFonts w:ascii="Tahoma" w:hAnsi="Tahoma" w:cs="Tahoma"/>
            <w:iCs/>
            <w:noProof/>
            <w:webHidden/>
            <w:sz w:val="24"/>
            <w:szCs w:val="24"/>
          </w:rPr>
          <w:fldChar w:fldCharType="separate"/>
        </w:r>
        <w:r w:rsidR="00124AFB">
          <w:rPr>
            <w:rFonts w:ascii="Tahoma" w:hAnsi="Tahoma" w:cs="Tahoma"/>
            <w:iCs/>
            <w:noProof/>
            <w:webHidden/>
            <w:sz w:val="24"/>
            <w:szCs w:val="24"/>
          </w:rPr>
          <w:t>251</w:t>
        </w:r>
        <w:r w:rsidR="00DF521C" w:rsidRPr="009E3DBC">
          <w:rPr>
            <w:rFonts w:ascii="Tahoma" w:hAnsi="Tahoma" w:cs="Tahoma"/>
            <w:iCs/>
            <w:noProof/>
            <w:webHidden/>
            <w:sz w:val="24"/>
            <w:szCs w:val="24"/>
          </w:rPr>
          <w:fldChar w:fldCharType="end"/>
        </w:r>
      </w:hyperlink>
    </w:p>
    <w:p w:rsidR="00DF521C" w:rsidRPr="009E3DBC" w:rsidRDefault="00642CE5" w:rsidP="00B84FD6">
      <w:pPr>
        <w:pStyle w:val="TM5"/>
        <w:tabs>
          <w:tab w:val="left" w:pos="1320"/>
          <w:tab w:val="right" w:leader="dot" w:pos="9346"/>
        </w:tabs>
        <w:spacing w:line="360" w:lineRule="auto"/>
        <w:jc w:val="both"/>
        <w:rPr>
          <w:rFonts w:ascii="Tahoma" w:eastAsiaTheme="minorEastAsia" w:hAnsi="Tahoma" w:cs="Tahoma"/>
          <w:iCs/>
          <w:noProof/>
          <w:sz w:val="24"/>
          <w:szCs w:val="24"/>
          <w:lang w:eastAsia="fr-FR"/>
        </w:rPr>
      </w:pPr>
      <w:hyperlink w:anchor="_Toc203643089" w:history="1">
        <w:r w:rsidR="00DF521C" w:rsidRPr="009E3DBC">
          <w:rPr>
            <w:rStyle w:val="Lienhypertexte"/>
            <w:rFonts w:ascii="Tahoma" w:hAnsi="Tahoma" w:cs="Tahoma"/>
            <w:iCs/>
            <w:noProof/>
            <w:w w:val="85"/>
            <w:sz w:val="24"/>
            <w:szCs w:val="24"/>
          </w:rPr>
          <w:t>d.</w:t>
        </w:r>
        <w:r w:rsidR="00DF521C" w:rsidRPr="009E3DBC">
          <w:rPr>
            <w:rFonts w:ascii="Tahoma" w:eastAsiaTheme="minorEastAsia" w:hAnsi="Tahoma" w:cs="Tahoma"/>
            <w:iCs/>
            <w:noProof/>
            <w:sz w:val="24"/>
            <w:szCs w:val="24"/>
            <w:lang w:eastAsia="fr-FR"/>
          </w:rPr>
          <w:tab/>
        </w:r>
        <w:r w:rsidR="00DF521C" w:rsidRPr="009E3DBC">
          <w:rPr>
            <w:rStyle w:val="Lienhypertexte"/>
            <w:rFonts w:ascii="Tahoma" w:hAnsi="Tahoma" w:cs="Tahoma"/>
            <w:iCs/>
            <w:noProof/>
            <w:w w:val="85"/>
            <w:sz w:val="24"/>
            <w:szCs w:val="24"/>
          </w:rPr>
          <w:t>Conceptions urbanistiques et aménagistes du territoire</w:t>
        </w:r>
        <w:r w:rsidR="00DF521C" w:rsidRPr="009E3DBC">
          <w:rPr>
            <w:rFonts w:ascii="Tahoma" w:hAnsi="Tahoma" w:cs="Tahoma"/>
            <w:iCs/>
            <w:noProof/>
            <w:webHidden/>
            <w:sz w:val="24"/>
            <w:szCs w:val="24"/>
          </w:rPr>
          <w:tab/>
        </w:r>
        <w:r w:rsidR="00DF521C" w:rsidRPr="009E3DBC">
          <w:rPr>
            <w:rFonts w:ascii="Tahoma" w:hAnsi="Tahoma" w:cs="Tahoma"/>
            <w:iCs/>
            <w:noProof/>
            <w:webHidden/>
            <w:sz w:val="24"/>
            <w:szCs w:val="24"/>
          </w:rPr>
          <w:fldChar w:fldCharType="begin"/>
        </w:r>
        <w:r w:rsidR="00DF521C" w:rsidRPr="009E3DBC">
          <w:rPr>
            <w:rFonts w:ascii="Tahoma" w:hAnsi="Tahoma" w:cs="Tahoma"/>
            <w:iCs/>
            <w:noProof/>
            <w:webHidden/>
            <w:sz w:val="24"/>
            <w:szCs w:val="24"/>
          </w:rPr>
          <w:instrText xml:space="preserve"> PAGEREF _Toc203643089 \h </w:instrText>
        </w:r>
        <w:r w:rsidR="00DF521C" w:rsidRPr="009E3DBC">
          <w:rPr>
            <w:rFonts w:ascii="Tahoma" w:hAnsi="Tahoma" w:cs="Tahoma"/>
            <w:iCs/>
            <w:noProof/>
            <w:webHidden/>
            <w:sz w:val="24"/>
            <w:szCs w:val="24"/>
          </w:rPr>
        </w:r>
        <w:r w:rsidR="00DF521C" w:rsidRPr="009E3DBC">
          <w:rPr>
            <w:rFonts w:ascii="Tahoma" w:hAnsi="Tahoma" w:cs="Tahoma"/>
            <w:iCs/>
            <w:noProof/>
            <w:webHidden/>
            <w:sz w:val="24"/>
            <w:szCs w:val="24"/>
          </w:rPr>
          <w:fldChar w:fldCharType="separate"/>
        </w:r>
        <w:r w:rsidR="00124AFB">
          <w:rPr>
            <w:rFonts w:ascii="Tahoma" w:hAnsi="Tahoma" w:cs="Tahoma"/>
            <w:iCs/>
            <w:noProof/>
            <w:webHidden/>
            <w:sz w:val="24"/>
            <w:szCs w:val="24"/>
          </w:rPr>
          <w:t>252</w:t>
        </w:r>
        <w:r w:rsidR="00DF521C" w:rsidRPr="009E3DBC">
          <w:rPr>
            <w:rFonts w:ascii="Tahoma" w:hAnsi="Tahoma" w:cs="Tahoma"/>
            <w:iCs/>
            <w:noProof/>
            <w:webHidden/>
            <w:sz w:val="24"/>
            <w:szCs w:val="24"/>
          </w:rPr>
          <w:fldChar w:fldCharType="end"/>
        </w:r>
      </w:hyperlink>
    </w:p>
    <w:p w:rsidR="00DF521C" w:rsidRPr="009E3DBC" w:rsidRDefault="00642CE5" w:rsidP="00B84FD6">
      <w:pPr>
        <w:pStyle w:val="TM4"/>
        <w:tabs>
          <w:tab w:val="left" w:pos="1100"/>
          <w:tab w:val="right" w:leader="dot" w:pos="9346"/>
        </w:tabs>
        <w:spacing w:line="360" w:lineRule="auto"/>
        <w:jc w:val="both"/>
        <w:rPr>
          <w:rFonts w:ascii="Tahoma" w:eastAsiaTheme="minorEastAsia" w:hAnsi="Tahoma" w:cs="Tahoma"/>
          <w:iCs/>
          <w:noProof/>
          <w:sz w:val="24"/>
          <w:szCs w:val="24"/>
          <w:lang w:eastAsia="fr-FR"/>
        </w:rPr>
      </w:pPr>
      <w:hyperlink w:anchor="_Toc203643090" w:history="1">
        <w:r w:rsidR="00DF521C" w:rsidRPr="009E3DBC">
          <w:rPr>
            <w:rStyle w:val="Lienhypertexte"/>
            <w:rFonts w:ascii="Tahoma" w:hAnsi="Tahoma" w:cs="Tahoma"/>
            <w:iCs/>
            <w:noProof/>
            <w:sz w:val="24"/>
            <w:szCs w:val="24"/>
            <w14:scene3d>
              <w14:camera w14:prst="orthographicFront"/>
              <w14:lightRig w14:rig="threePt" w14:dir="t">
                <w14:rot w14:lat="0" w14:lon="0" w14:rev="0"/>
              </w14:lightRig>
            </w14:scene3d>
          </w:rPr>
          <w:t>2.</w:t>
        </w:r>
        <w:r w:rsidR="00DF521C" w:rsidRPr="009E3DBC">
          <w:rPr>
            <w:rFonts w:ascii="Tahoma" w:eastAsiaTheme="minorEastAsia" w:hAnsi="Tahoma" w:cs="Tahoma"/>
            <w:iCs/>
            <w:noProof/>
            <w:sz w:val="24"/>
            <w:szCs w:val="24"/>
            <w:lang w:eastAsia="fr-FR"/>
          </w:rPr>
          <w:tab/>
        </w:r>
        <w:r w:rsidR="00DF521C" w:rsidRPr="009E3DBC">
          <w:rPr>
            <w:rStyle w:val="Lienhypertexte"/>
            <w:rFonts w:ascii="Tahoma" w:hAnsi="Tahoma" w:cs="Tahoma"/>
            <w:iCs/>
            <w:noProof/>
            <w:sz w:val="24"/>
            <w:szCs w:val="24"/>
          </w:rPr>
          <w:t>Aménagement du territoire au Maroc : évolution et défis contemporains</w:t>
        </w:r>
        <w:r w:rsidR="00DF521C" w:rsidRPr="009E3DBC">
          <w:rPr>
            <w:rFonts w:ascii="Tahoma" w:hAnsi="Tahoma" w:cs="Tahoma"/>
            <w:iCs/>
            <w:noProof/>
            <w:webHidden/>
            <w:sz w:val="24"/>
            <w:szCs w:val="24"/>
          </w:rPr>
          <w:tab/>
        </w:r>
        <w:r w:rsidR="00DF521C" w:rsidRPr="009E3DBC">
          <w:rPr>
            <w:rFonts w:ascii="Tahoma" w:hAnsi="Tahoma" w:cs="Tahoma"/>
            <w:iCs/>
            <w:noProof/>
            <w:webHidden/>
            <w:sz w:val="24"/>
            <w:szCs w:val="24"/>
          </w:rPr>
          <w:fldChar w:fldCharType="begin"/>
        </w:r>
        <w:r w:rsidR="00DF521C" w:rsidRPr="009E3DBC">
          <w:rPr>
            <w:rFonts w:ascii="Tahoma" w:hAnsi="Tahoma" w:cs="Tahoma"/>
            <w:iCs/>
            <w:noProof/>
            <w:webHidden/>
            <w:sz w:val="24"/>
            <w:szCs w:val="24"/>
          </w:rPr>
          <w:instrText xml:space="preserve"> PAGEREF _Toc203643090 \h </w:instrText>
        </w:r>
        <w:r w:rsidR="00DF521C" w:rsidRPr="009E3DBC">
          <w:rPr>
            <w:rFonts w:ascii="Tahoma" w:hAnsi="Tahoma" w:cs="Tahoma"/>
            <w:iCs/>
            <w:noProof/>
            <w:webHidden/>
            <w:sz w:val="24"/>
            <w:szCs w:val="24"/>
          </w:rPr>
        </w:r>
        <w:r w:rsidR="00DF521C" w:rsidRPr="009E3DBC">
          <w:rPr>
            <w:rFonts w:ascii="Tahoma" w:hAnsi="Tahoma" w:cs="Tahoma"/>
            <w:iCs/>
            <w:noProof/>
            <w:webHidden/>
            <w:sz w:val="24"/>
            <w:szCs w:val="24"/>
          </w:rPr>
          <w:fldChar w:fldCharType="separate"/>
        </w:r>
        <w:r w:rsidR="00124AFB">
          <w:rPr>
            <w:rFonts w:ascii="Tahoma" w:hAnsi="Tahoma" w:cs="Tahoma"/>
            <w:iCs/>
            <w:noProof/>
            <w:webHidden/>
            <w:sz w:val="24"/>
            <w:szCs w:val="24"/>
          </w:rPr>
          <w:t>258</w:t>
        </w:r>
        <w:r w:rsidR="00DF521C" w:rsidRPr="009E3DBC">
          <w:rPr>
            <w:rFonts w:ascii="Tahoma" w:hAnsi="Tahoma" w:cs="Tahoma"/>
            <w:iCs/>
            <w:noProof/>
            <w:webHidden/>
            <w:sz w:val="24"/>
            <w:szCs w:val="24"/>
          </w:rPr>
          <w:fldChar w:fldCharType="end"/>
        </w:r>
      </w:hyperlink>
    </w:p>
    <w:p w:rsidR="00DF521C" w:rsidRPr="009E3DBC" w:rsidRDefault="00642CE5" w:rsidP="00B84FD6">
      <w:pPr>
        <w:pStyle w:val="TM4"/>
        <w:tabs>
          <w:tab w:val="left" w:pos="1100"/>
          <w:tab w:val="right" w:leader="dot" w:pos="9346"/>
        </w:tabs>
        <w:spacing w:line="360" w:lineRule="auto"/>
        <w:jc w:val="both"/>
        <w:rPr>
          <w:rFonts w:ascii="Tahoma" w:eastAsiaTheme="minorEastAsia" w:hAnsi="Tahoma" w:cs="Tahoma"/>
          <w:iCs/>
          <w:noProof/>
          <w:sz w:val="24"/>
          <w:szCs w:val="24"/>
          <w:lang w:eastAsia="fr-FR"/>
        </w:rPr>
      </w:pPr>
      <w:hyperlink w:anchor="_Toc203643091" w:history="1">
        <w:r w:rsidR="00DF521C" w:rsidRPr="009E3DBC">
          <w:rPr>
            <w:rStyle w:val="Lienhypertexte"/>
            <w:rFonts w:ascii="Tahoma" w:hAnsi="Tahoma" w:cs="Tahoma"/>
            <w:iCs/>
            <w:noProof/>
            <w:sz w:val="24"/>
            <w:szCs w:val="24"/>
            <w14:scene3d>
              <w14:camera w14:prst="orthographicFront"/>
              <w14:lightRig w14:rig="threePt" w14:dir="t">
                <w14:rot w14:lat="0" w14:lon="0" w14:rev="0"/>
              </w14:lightRig>
            </w14:scene3d>
          </w:rPr>
          <w:t>1.</w:t>
        </w:r>
        <w:r w:rsidR="00DF521C" w:rsidRPr="009E3DBC">
          <w:rPr>
            <w:rFonts w:ascii="Tahoma" w:eastAsiaTheme="minorEastAsia" w:hAnsi="Tahoma" w:cs="Tahoma"/>
            <w:iCs/>
            <w:noProof/>
            <w:sz w:val="24"/>
            <w:szCs w:val="24"/>
            <w:lang w:eastAsia="fr-FR"/>
          </w:rPr>
          <w:tab/>
        </w:r>
        <w:r w:rsidR="00DF521C" w:rsidRPr="009E3DBC">
          <w:rPr>
            <w:rStyle w:val="Lienhypertexte"/>
            <w:rFonts w:ascii="Tahoma" w:hAnsi="Tahoma" w:cs="Tahoma"/>
            <w:iCs/>
            <w:noProof/>
            <w:sz w:val="24"/>
            <w:szCs w:val="24"/>
          </w:rPr>
          <w:t>Politiques territoriales au Maroc : trajectoires et transformations</w:t>
        </w:r>
        <w:r w:rsidR="00DF521C" w:rsidRPr="009E3DBC">
          <w:rPr>
            <w:rFonts w:ascii="Tahoma" w:hAnsi="Tahoma" w:cs="Tahoma"/>
            <w:iCs/>
            <w:noProof/>
            <w:webHidden/>
            <w:sz w:val="24"/>
            <w:szCs w:val="24"/>
          </w:rPr>
          <w:tab/>
        </w:r>
        <w:r w:rsidR="00DF521C" w:rsidRPr="009E3DBC">
          <w:rPr>
            <w:rFonts w:ascii="Tahoma" w:hAnsi="Tahoma" w:cs="Tahoma"/>
            <w:iCs/>
            <w:noProof/>
            <w:webHidden/>
            <w:sz w:val="24"/>
            <w:szCs w:val="24"/>
          </w:rPr>
          <w:fldChar w:fldCharType="begin"/>
        </w:r>
        <w:r w:rsidR="00DF521C" w:rsidRPr="009E3DBC">
          <w:rPr>
            <w:rFonts w:ascii="Tahoma" w:hAnsi="Tahoma" w:cs="Tahoma"/>
            <w:iCs/>
            <w:noProof/>
            <w:webHidden/>
            <w:sz w:val="24"/>
            <w:szCs w:val="24"/>
          </w:rPr>
          <w:instrText xml:space="preserve"> PAGEREF _Toc203643091 \h </w:instrText>
        </w:r>
        <w:r w:rsidR="00DF521C" w:rsidRPr="009E3DBC">
          <w:rPr>
            <w:rFonts w:ascii="Tahoma" w:hAnsi="Tahoma" w:cs="Tahoma"/>
            <w:iCs/>
            <w:noProof/>
            <w:webHidden/>
            <w:sz w:val="24"/>
            <w:szCs w:val="24"/>
          </w:rPr>
        </w:r>
        <w:r w:rsidR="00DF521C" w:rsidRPr="009E3DBC">
          <w:rPr>
            <w:rFonts w:ascii="Tahoma" w:hAnsi="Tahoma" w:cs="Tahoma"/>
            <w:iCs/>
            <w:noProof/>
            <w:webHidden/>
            <w:sz w:val="24"/>
            <w:szCs w:val="24"/>
          </w:rPr>
          <w:fldChar w:fldCharType="separate"/>
        </w:r>
        <w:r w:rsidR="00124AFB">
          <w:rPr>
            <w:rFonts w:ascii="Tahoma" w:hAnsi="Tahoma" w:cs="Tahoma"/>
            <w:iCs/>
            <w:noProof/>
            <w:webHidden/>
            <w:sz w:val="24"/>
            <w:szCs w:val="24"/>
          </w:rPr>
          <w:t>265</w:t>
        </w:r>
        <w:r w:rsidR="00DF521C" w:rsidRPr="009E3DBC">
          <w:rPr>
            <w:rFonts w:ascii="Tahoma" w:hAnsi="Tahoma" w:cs="Tahoma"/>
            <w:iCs/>
            <w:noProof/>
            <w:webHidden/>
            <w:sz w:val="24"/>
            <w:szCs w:val="24"/>
          </w:rPr>
          <w:fldChar w:fldCharType="end"/>
        </w:r>
      </w:hyperlink>
    </w:p>
    <w:p w:rsidR="00DF521C" w:rsidRPr="009E3DBC" w:rsidRDefault="00642CE5" w:rsidP="00B84FD6">
      <w:pPr>
        <w:pStyle w:val="TM4"/>
        <w:tabs>
          <w:tab w:val="left" w:pos="1100"/>
          <w:tab w:val="right" w:leader="dot" w:pos="9346"/>
        </w:tabs>
        <w:spacing w:line="360" w:lineRule="auto"/>
        <w:jc w:val="both"/>
        <w:rPr>
          <w:rFonts w:ascii="Tahoma" w:eastAsiaTheme="minorEastAsia" w:hAnsi="Tahoma" w:cs="Tahoma"/>
          <w:iCs/>
          <w:noProof/>
          <w:sz w:val="24"/>
          <w:szCs w:val="24"/>
          <w:lang w:eastAsia="fr-FR"/>
        </w:rPr>
      </w:pPr>
      <w:hyperlink w:anchor="_Toc203643092" w:history="1">
        <w:r w:rsidR="00DF521C" w:rsidRPr="009E3DBC">
          <w:rPr>
            <w:rStyle w:val="Lienhypertexte"/>
            <w:rFonts w:ascii="Tahoma" w:hAnsi="Tahoma" w:cs="Tahoma"/>
            <w:iCs/>
            <w:noProof/>
            <w:sz w:val="24"/>
            <w:szCs w:val="24"/>
            <w14:scene3d>
              <w14:camera w14:prst="orthographicFront"/>
              <w14:lightRig w14:rig="threePt" w14:dir="t">
                <w14:rot w14:lat="0" w14:lon="0" w14:rev="0"/>
              </w14:lightRig>
            </w14:scene3d>
          </w:rPr>
          <w:t>2.</w:t>
        </w:r>
        <w:r w:rsidR="00DF521C" w:rsidRPr="009E3DBC">
          <w:rPr>
            <w:rFonts w:ascii="Tahoma" w:eastAsiaTheme="minorEastAsia" w:hAnsi="Tahoma" w:cs="Tahoma"/>
            <w:iCs/>
            <w:noProof/>
            <w:sz w:val="24"/>
            <w:szCs w:val="24"/>
            <w:lang w:eastAsia="fr-FR"/>
          </w:rPr>
          <w:tab/>
        </w:r>
        <w:r w:rsidR="00DF521C" w:rsidRPr="009E3DBC">
          <w:rPr>
            <w:rStyle w:val="Lienhypertexte"/>
            <w:rFonts w:ascii="Tahoma" w:hAnsi="Tahoma" w:cs="Tahoma"/>
            <w:iCs/>
            <w:noProof/>
            <w:sz w:val="24"/>
            <w:szCs w:val="24"/>
          </w:rPr>
          <w:t>Nouveau Modèle de Développement entre ruptures conceptuelles et continuités structurelles</w:t>
        </w:r>
        <w:r w:rsidR="00DF521C" w:rsidRPr="009E3DBC">
          <w:rPr>
            <w:rFonts w:ascii="Tahoma" w:hAnsi="Tahoma" w:cs="Tahoma"/>
            <w:iCs/>
            <w:noProof/>
            <w:webHidden/>
            <w:sz w:val="24"/>
            <w:szCs w:val="24"/>
          </w:rPr>
          <w:tab/>
        </w:r>
        <w:r w:rsidR="00DF521C" w:rsidRPr="009E3DBC">
          <w:rPr>
            <w:rFonts w:ascii="Tahoma" w:hAnsi="Tahoma" w:cs="Tahoma"/>
            <w:iCs/>
            <w:noProof/>
            <w:webHidden/>
            <w:sz w:val="24"/>
            <w:szCs w:val="24"/>
          </w:rPr>
          <w:fldChar w:fldCharType="begin"/>
        </w:r>
        <w:r w:rsidR="00DF521C" w:rsidRPr="009E3DBC">
          <w:rPr>
            <w:rFonts w:ascii="Tahoma" w:hAnsi="Tahoma" w:cs="Tahoma"/>
            <w:iCs/>
            <w:noProof/>
            <w:webHidden/>
            <w:sz w:val="24"/>
            <w:szCs w:val="24"/>
          </w:rPr>
          <w:instrText xml:space="preserve"> PAGEREF _Toc203643092 \h </w:instrText>
        </w:r>
        <w:r w:rsidR="00DF521C" w:rsidRPr="009E3DBC">
          <w:rPr>
            <w:rFonts w:ascii="Tahoma" w:hAnsi="Tahoma" w:cs="Tahoma"/>
            <w:iCs/>
            <w:noProof/>
            <w:webHidden/>
            <w:sz w:val="24"/>
            <w:szCs w:val="24"/>
          </w:rPr>
        </w:r>
        <w:r w:rsidR="00DF521C" w:rsidRPr="009E3DBC">
          <w:rPr>
            <w:rFonts w:ascii="Tahoma" w:hAnsi="Tahoma" w:cs="Tahoma"/>
            <w:iCs/>
            <w:noProof/>
            <w:webHidden/>
            <w:sz w:val="24"/>
            <w:szCs w:val="24"/>
          </w:rPr>
          <w:fldChar w:fldCharType="separate"/>
        </w:r>
        <w:r w:rsidR="00124AFB">
          <w:rPr>
            <w:rFonts w:ascii="Tahoma" w:hAnsi="Tahoma" w:cs="Tahoma"/>
            <w:iCs/>
            <w:noProof/>
            <w:webHidden/>
            <w:sz w:val="24"/>
            <w:szCs w:val="24"/>
          </w:rPr>
          <w:t>273</w:t>
        </w:r>
        <w:r w:rsidR="00DF521C" w:rsidRPr="009E3DBC">
          <w:rPr>
            <w:rFonts w:ascii="Tahoma" w:hAnsi="Tahoma" w:cs="Tahoma"/>
            <w:iCs/>
            <w:noProof/>
            <w:webHidden/>
            <w:sz w:val="24"/>
            <w:szCs w:val="24"/>
          </w:rPr>
          <w:fldChar w:fldCharType="end"/>
        </w:r>
      </w:hyperlink>
    </w:p>
    <w:p w:rsidR="00DF521C" w:rsidRPr="009E3DBC" w:rsidRDefault="00642CE5" w:rsidP="00B84FD6">
      <w:pPr>
        <w:pStyle w:val="TM2"/>
        <w:tabs>
          <w:tab w:val="right" w:leader="dot" w:pos="9346"/>
        </w:tabs>
        <w:spacing w:line="360" w:lineRule="auto"/>
        <w:jc w:val="both"/>
        <w:rPr>
          <w:rFonts w:ascii="Tahoma" w:eastAsiaTheme="minorEastAsia" w:hAnsi="Tahoma" w:cs="Tahoma"/>
          <w:iCs/>
          <w:smallCaps w:val="0"/>
          <w:noProof/>
          <w:sz w:val="24"/>
          <w:lang w:eastAsia="fr-FR"/>
        </w:rPr>
      </w:pPr>
      <w:hyperlink w:anchor="_Toc203643093" w:history="1">
        <w:r w:rsidR="00DF521C" w:rsidRPr="009E3DBC">
          <w:rPr>
            <w:rStyle w:val="Lienhypertexte"/>
            <w:rFonts w:ascii="Tahoma" w:hAnsi="Tahoma" w:cs="Tahoma"/>
            <w:iCs/>
            <w:noProof/>
            <w:sz w:val="24"/>
          </w:rPr>
          <w:t>Deuxième Section : Le territoire forestier de Korifla : analyse des paradigmes de gestion territoriale</w:t>
        </w:r>
        <w:r w:rsidR="00DF521C" w:rsidRPr="009E3DBC">
          <w:rPr>
            <w:rFonts w:ascii="Tahoma" w:hAnsi="Tahoma" w:cs="Tahoma"/>
            <w:iCs/>
            <w:noProof/>
            <w:webHidden/>
            <w:sz w:val="24"/>
          </w:rPr>
          <w:tab/>
        </w:r>
        <w:r w:rsidR="00DF521C" w:rsidRPr="009E3DBC">
          <w:rPr>
            <w:rFonts w:ascii="Tahoma" w:hAnsi="Tahoma" w:cs="Tahoma"/>
            <w:iCs/>
            <w:noProof/>
            <w:webHidden/>
            <w:sz w:val="24"/>
          </w:rPr>
          <w:fldChar w:fldCharType="begin"/>
        </w:r>
        <w:r w:rsidR="00DF521C" w:rsidRPr="009E3DBC">
          <w:rPr>
            <w:rFonts w:ascii="Tahoma" w:hAnsi="Tahoma" w:cs="Tahoma"/>
            <w:iCs/>
            <w:noProof/>
            <w:webHidden/>
            <w:sz w:val="24"/>
          </w:rPr>
          <w:instrText xml:space="preserve"> PAGEREF _Toc203643093 \h </w:instrText>
        </w:r>
        <w:r w:rsidR="00DF521C" w:rsidRPr="009E3DBC">
          <w:rPr>
            <w:rFonts w:ascii="Tahoma" w:hAnsi="Tahoma" w:cs="Tahoma"/>
            <w:iCs/>
            <w:noProof/>
            <w:webHidden/>
            <w:sz w:val="24"/>
          </w:rPr>
        </w:r>
        <w:r w:rsidR="00DF521C" w:rsidRPr="009E3DBC">
          <w:rPr>
            <w:rFonts w:ascii="Tahoma" w:hAnsi="Tahoma" w:cs="Tahoma"/>
            <w:iCs/>
            <w:noProof/>
            <w:webHidden/>
            <w:sz w:val="24"/>
          </w:rPr>
          <w:fldChar w:fldCharType="separate"/>
        </w:r>
        <w:r w:rsidR="00124AFB">
          <w:rPr>
            <w:rFonts w:ascii="Tahoma" w:hAnsi="Tahoma" w:cs="Tahoma"/>
            <w:iCs/>
            <w:noProof/>
            <w:webHidden/>
            <w:sz w:val="24"/>
          </w:rPr>
          <w:t>278</w:t>
        </w:r>
        <w:r w:rsidR="00DF521C" w:rsidRPr="009E3DBC">
          <w:rPr>
            <w:rFonts w:ascii="Tahoma" w:hAnsi="Tahoma" w:cs="Tahoma"/>
            <w:iCs/>
            <w:noProof/>
            <w:webHidden/>
            <w:sz w:val="24"/>
          </w:rPr>
          <w:fldChar w:fldCharType="end"/>
        </w:r>
      </w:hyperlink>
    </w:p>
    <w:p w:rsidR="00DF521C" w:rsidRPr="009E3DBC" w:rsidRDefault="00642CE5" w:rsidP="00B84FD6">
      <w:pPr>
        <w:pStyle w:val="TM3"/>
        <w:tabs>
          <w:tab w:val="left" w:pos="880"/>
          <w:tab w:val="right" w:leader="dot" w:pos="9346"/>
        </w:tabs>
        <w:spacing w:line="360" w:lineRule="auto"/>
        <w:jc w:val="both"/>
        <w:rPr>
          <w:rFonts w:ascii="Tahoma" w:eastAsiaTheme="minorEastAsia" w:hAnsi="Tahoma" w:cs="Tahoma"/>
          <w:i w:val="0"/>
          <w:noProof/>
          <w:sz w:val="24"/>
          <w:lang w:eastAsia="fr-FR"/>
        </w:rPr>
      </w:pPr>
      <w:hyperlink w:anchor="_Toc203643094" w:history="1">
        <w:r w:rsidR="00DF521C" w:rsidRPr="009E3DBC">
          <w:rPr>
            <w:rStyle w:val="Lienhypertexte"/>
            <w:rFonts w:ascii="Tahoma" w:hAnsi="Tahoma" w:cs="Tahoma"/>
            <w:i w:val="0"/>
            <w:noProof/>
            <w:sz w:val="24"/>
            <w14:scene3d>
              <w14:camera w14:prst="orthographicFront"/>
              <w14:lightRig w14:rig="threePt" w14:dir="t">
                <w14:rot w14:lat="0" w14:lon="0" w14:rev="0"/>
              </w14:lightRig>
            </w14:scene3d>
          </w:rPr>
          <w:t>A.</w:t>
        </w:r>
        <w:r w:rsidR="00DF521C" w:rsidRPr="009E3DBC">
          <w:rPr>
            <w:rFonts w:ascii="Tahoma" w:eastAsiaTheme="minorEastAsia" w:hAnsi="Tahoma" w:cs="Tahoma"/>
            <w:i w:val="0"/>
            <w:noProof/>
            <w:sz w:val="24"/>
            <w:lang w:eastAsia="fr-FR"/>
          </w:rPr>
          <w:tab/>
        </w:r>
        <w:r w:rsidR="00DF521C" w:rsidRPr="009E3DBC">
          <w:rPr>
            <w:rStyle w:val="Lienhypertexte"/>
            <w:rFonts w:ascii="Tahoma" w:hAnsi="Tahoma" w:cs="Tahoma"/>
            <w:i w:val="0"/>
            <w:noProof/>
            <w:sz w:val="24"/>
          </w:rPr>
          <w:t>Analyse critique des paradigmes de gestion territoriale des forêts au Maroc</w:t>
        </w:r>
        <w:r w:rsidR="00DF521C" w:rsidRPr="009E3DBC">
          <w:rPr>
            <w:rFonts w:ascii="Tahoma" w:hAnsi="Tahoma" w:cs="Tahoma"/>
            <w:i w:val="0"/>
            <w:noProof/>
            <w:webHidden/>
            <w:sz w:val="24"/>
          </w:rPr>
          <w:tab/>
        </w:r>
        <w:r w:rsidR="00DF521C" w:rsidRPr="009E3DBC">
          <w:rPr>
            <w:rFonts w:ascii="Tahoma" w:hAnsi="Tahoma" w:cs="Tahoma"/>
            <w:i w:val="0"/>
            <w:noProof/>
            <w:webHidden/>
            <w:sz w:val="24"/>
          </w:rPr>
          <w:fldChar w:fldCharType="begin"/>
        </w:r>
        <w:r w:rsidR="00DF521C" w:rsidRPr="009E3DBC">
          <w:rPr>
            <w:rFonts w:ascii="Tahoma" w:hAnsi="Tahoma" w:cs="Tahoma"/>
            <w:i w:val="0"/>
            <w:noProof/>
            <w:webHidden/>
            <w:sz w:val="24"/>
          </w:rPr>
          <w:instrText xml:space="preserve"> PAGEREF _Toc203643094 \h </w:instrText>
        </w:r>
        <w:r w:rsidR="00DF521C" w:rsidRPr="009E3DBC">
          <w:rPr>
            <w:rFonts w:ascii="Tahoma" w:hAnsi="Tahoma" w:cs="Tahoma"/>
            <w:i w:val="0"/>
            <w:noProof/>
            <w:webHidden/>
            <w:sz w:val="24"/>
          </w:rPr>
        </w:r>
        <w:r w:rsidR="00DF521C" w:rsidRPr="009E3DBC">
          <w:rPr>
            <w:rFonts w:ascii="Tahoma" w:hAnsi="Tahoma" w:cs="Tahoma"/>
            <w:i w:val="0"/>
            <w:noProof/>
            <w:webHidden/>
            <w:sz w:val="24"/>
          </w:rPr>
          <w:fldChar w:fldCharType="separate"/>
        </w:r>
        <w:r w:rsidR="00124AFB">
          <w:rPr>
            <w:rFonts w:ascii="Tahoma" w:hAnsi="Tahoma" w:cs="Tahoma"/>
            <w:i w:val="0"/>
            <w:noProof/>
            <w:webHidden/>
            <w:sz w:val="24"/>
          </w:rPr>
          <w:t>279</w:t>
        </w:r>
        <w:r w:rsidR="00DF521C" w:rsidRPr="009E3DBC">
          <w:rPr>
            <w:rFonts w:ascii="Tahoma" w:hAnsi="Tahoma" w:cs="Tahoma"/>
            <w:i w:val="0"/>
            <w:noProof/>
            <w:webHidden/>
            <w:sz w:val="24"/>
          </w:rPr>
          <w:fldChar w:fldCharType="end"/>
        </w:r>
      </w:hyperlink>
    </w:p>
    <w:p w:rsidR="00DF521C" w:rsidRPr="009E3DBC" w:rsidRDefault="00642CE5" w:rsidP="00B84FD6">
      <w:pPr>
        <w:pStyle w:val="TM4"/>
        <w:tabs>
          <w:tab w:val="left" w:pos="1100"/>
          <w:tab w:val="right" w:leader="dot" w:pos="9346"/>
        </w:tabs>
        <w:spacing w:line="360" w:lineRule="auto"/>
        <w:jc w:val="both"/>
        <w:rPr>
          <w:rFonts w:ascii="Tahoma" w:eastAsiaTheme="minorEastAsia" w:hAnsi="Tahoma" w:cs="Tahoma"/>
          <w:iCs/>
          <w:noProof/>
          <w:sz w:val="24"/>
          <w:szCs w:val="24"/>
          <w:lang w:eastAsia="fr-FR"/>
        </w:rPr>
      </w:pPr>
      <w:hyperlink w:anchor="_Toc203643095" w:history="1">
        <w:r w:rsidR="00DF521C" w:rsidRPr="009E3DBC">
          <w:rPr>
            <w:rStyle w:val="Lienhypertexte"/>
            <w:rFonts w:ascii="Tahoma" w:hAnsi="Tahoma" w:cs="Tahoma"/>
            <w:iCs/>
            <w:noProof/>
            <w:sz w:val="24"/>
            <w:szCs w:val="24"/>
            <w14:scene3d>
              <w14:camera w14:prst="orthographicFront"/>
              <w14:lightRig w14:rig="threePt" w14:dir="t">
                <w14:rot w14:lat="0" w14:lon="0" w14:rev="0"/>
              </w14:lightRig>
            </w14:scene3d>
          </w:rPr>
          <w:t>1.</w:t>
        </w:r>
        <w:r w:rsidR="00DF521C" w:rsidRPr="009E3DBC">
          <w:rPr>
            <w:rFonts w:ascii="Tahoma" w:eastAsiaTheme="minorEastAsia" w:hAnsi="Tahoma" w:cs="Tahoma"/>
            <w:iCs/>
            <w:noProof/>
            <w:sz w:val="24"/>
            <w:szCs w:val="24"/>
            <w:lang w:eastAsia="fr-FR"/>
          </w:rPr>
          <w:tab/>
        </w:r>
        <w:r w:rsidR="00DF521C" w:rsidRPr="009E3DBC">
          <w:rPr>
            <w:rStyle w:val="Lienhypertexte"/>
            <w:rFonts w:ascii="Tahoma" w:hAnsi="Tahoma" w:cs="Tahoma"/>
            <w:iCs/>
            <w:noProof/>
            <w:sz w:val="24"/>
            <w:szCs w:val="24"/>
          </w:rPr>
          <w:t>Le projet de développement au Maroc : idéal participatif ou illusion démocratique?</w:t>
        </w:r>
        <w:r w:rsidR="00DF521C" w:rsidRPr="009E3DBC">
          <w:rPr>
            <w:rFonts w:ascii="Tahoma" w:hAnsi="Tahoma" w:cs="Tahoma"/>
            <w:iCs/>
            <w:noProof/>
            <w:webHidden/>
            <w:sz w:val="24"/>
            <w:szCs w:val="24"/>
          </w:rPr>
          <w:tab/>
        </w:r>
        <w:r w:rsidR="00DF521C" w:rsidRPr="009E3DBC">
          <w:rPr>
            <w:rFonts w:ascii="Tahoma" w:hAnsi="Tahoma" w:cs="Tahoma"/>
            <w:iCs/>
            <w:noProof/>
            <w:webHidden/>
            <w:sz w:val="24"/>
            <w:szCs w:val="24"/>
          </w:rPr>
          <w:fldChar w:fldCharType="begin"/>
        </w:r>
        <w:r w:rsidR="00DF521C" w:rsidRPr="009E3DBC">
          <w:rPr>
            <w:rFonts w:ascii="Tahoma" w:hAnsi="Tahoma" w:cs="Tahoma"/>
            <w:iCs/>
            <w:noProof/>
            <w:webHidden/>
            <w:sz w:val="24"/>
            <w:szCs w:val="24"/>
          </w:rPr>
          <w:instrText xml:space="preserve"> PAGEREF _Toc203643095 \h </w:instrText>
        </w:r>
        <w:r w:rsidR="00DF521C" w:rsidRPr="009E3DBC">
          <w:rPr>
            <w:rFonts w:ascii="Tahoma" w:hAnsi="Tahoma" w:cs="Tahoma"/>
            <w:iCs/>
            <w:noProof/>
            <w:webHidden/>
            <w:sz w:val="24"/>
            <w:szCs w:val="24"/>
          </w:rPr>
        </w:r>
        <w:r w:rsidR="00DF521C" w:rsidRPr="009E3DBC">
          <w:rPr>
            <w:rFonts w:ascii="Tahoma" w:hAnsi="Tahoma" w:cs="Tahoma"/>
            <w:iCs/>
            <w:noProof/>
            <w:webHidden/>
            <w:sz w:val="24"/>
            <w:szCs w:val="24"/>
          </w:rPr>
          <w:fldChar w:fldCharType="separate"/>
        </w:r>
        <w:r w:rsidR="00124AFB">
          <w:rPr>
            <w:rFonts w:ascii="Tahoma" w:hAnsi="Tahoma" w:cs="Tahoma"/>
            <w:iCs/>
            <w:noProof/>
            <w:webHidden/>
            <w:sz w:val="24"/>
            <w:szCs w:val="24"/>
          </w:rPr>
          <w:t>280</w:t>
        </w:r>
        <w:r w:rsidR="00DF521C" w:rsidRPr="009E3DBC">
          <w:rPr>
            <w:rFonts w:ascii="Tahoma" w:hAnsi="Tahoma" w:cs="Tahoma"/>
            <w:iCs/>
            <w:noProof/>
            <w:webHidden/>
            <w:sz w:val="24"/>
            <w:szCs w:val="24"/>
          </w:rPr>
          <w:fldChar w:fldCharType="end"/>
        </w:r>
      </w:hyperlink>
    </w:p>
    <w:p w:rsidR="00DF521C" w:rsidRPr="009E3DBC" w:rsidRDefault="00642CE5" w:rsidP="00B84FD6">
      <w:pPr>
        <w:pStyle w:val="TM4"/>
        <w:tabs>
          <w:tab w:val="left" w:pos="1100"/>
          <w:tab w:val="right" w:leader="dot" w:pos="9346"/>
        </w:tabs>
        <w:spacing w:line="360" w:lineRule="auto"/>
        <w:jc w:val="both"/>
        <w:rPr>
          <w:rFonts w:ascii="Tahoma" w:eastAsiaTheme="minorEastAsia" w:hAnsi="Tahoma" w:cs="Tahoma"/>
          <w:iCs/>
          <w:noProof/>
          <w:sz w:val="24"/>
          <w:szCs w:val="24"/>
          <w:lang w:eastAsia="fr-FR"/>
        </w:rPr>
      </w:pPr>
      <w:hyperlink w:anchor="_Toc203643096" w:history="1">
        <w:r w:rsidR="00DF521C" w:rsidRPr="009E3DBC">
          <w:rPr>
            <w:rStyle w:val="Lienhypertexte"/>
            <w:rFonts w:ascii="Tahoma" w:hAnsi="Tahoma" w:cs="Tahoma"/>
            <w:iCs/>
            <w:noProof/>
            <w:sz w:val="24"/>
            <w:szCs w:val="24"/>
            <w14:scene3d>
              <w14:camera w14:prst="orthographicFront"/>
              <w14:lightRig w14:rig="threePt" w14:dir="t">
                <w14:rot w14:lat="0" w14:lon="0" w14:rev="0"/>
              </w14:lightRig>
            </w14:scene3d>
          </w:rPr>
          <w:t>2.</w:t>
        </w:r>
        <w:r w:rsidR="00DF521C" w:rsidRPr="009E3DBC">
          <w:rPr>
            <w:rFonts w:ascii="Tahoma" w:eastAsiaTheme="minorEastAsia" w:hAnsi="Tahoma" w:cs="Tahoma"/>
            <w:iCs/>
            <w:noProof/>
            <w:sz w:val="24"/>
            <w:szCs w:val="24"/>
            <w:lang w:eastAsia="fr-FR"/>
          </w:rPr>
          <w:tab/>
        </w:r>
        <w:r w:rsidR="00DF521C" w:rsidRPr="009E3DBC">
          <w:rPr>
            <w:rStyle w:val="Lienhypertexte"/>
            <w:rFonts w:ascii="Tahoma" w:hAnsi="Tahoma" w:cs="Tahoma"/>
            <w:iCs/>
            <w:noProof/>
            <w:sz w:val="24"/>
            <w:szCs w:val="24"/>
          </w:rPr>
          <w:t>Le "territoire de projet» : efficacité technique ou néocolonialisme territorial ?</w:t>
        </w:r>
        <w:r w:rsidR="00DF521C" w:rsidRPr="009E3DBC">
          <w:rPr>
            <w:rFonts w:ascii="Tahoma" w:hAnsi="Tahoma" w:cs="Tahoma"/>
            <w:iCs/>
            <w:noProof/>
            <w:webHidden/>
            <w:sz w:val="24"/>
            <w:szCs w:val="24"/>
          </w:rPr>
          <w:tab/>
        </w:r>
        <w:r w:rsidR="00B84FD6" w:rsidRPr="009E3DBC">
          <w:rPr>
            <w:rFonts w:ascii="Tahoma" w:hAnsi="Tahoma" w:cs="Tahoma"/>
            <w:iCs/>
            <w:noProof/>
            <w:webHidden/>
            <w:sz w:val="24"/>
            <w:szCs w:val="24"/>
          </w:rPr>
          <w:t>…………………………………………………………………………………………………………</w:t>
        </w:r>
        <w:r w:rsidR="00DF521C" w:rsidRPr="009E3DBC">
          <w:rPr>
            <w:rFonts w:ascii="Tahoma" w:hAnsi="Tahoma" w:cs="Tahoma"/>
            <w:iCs/>
            <w:noProof/>
            <w:webHidden/>
            <w:sz w:val="24"/>
            <w:szCs w:val="24"/>
          </w:rPr>
          <w:fldChar w:fldCharType="begin"/>
        </w:r>
        <w:r w:rsidR="00DF521C" w:rsidRPr="009E3DBC">
          <w:rPr>
            <w:rFonts w:ascii="Tahoma" w:hAnsi="Tahoma" w:cs="Tahoma"/>
            <w:iCs/>
            <w:noProof/>
            <w:webHidden/>
            <w:sz w:val="24"/>
            <w:szCs w:val="24"/>
          </w:rPr>
          <w:instrText xml:space="preserve"> PAGEREF _Toc203643096 \h </w:instrText>
        </w:r>
        <w:r w:rsidR="00DF521C" w:rsidRPr="009E3DBC">
          <w:rPr>
            <w:rFonts w:ascii="Tahoma" w:hAnsi="Tahoma" w:cs="Tahoma"/>
            <w:iCs/>
            <w:noProof/>
            <w:webHidden/>
            <w:sz w:val="24"/>
            <w:szCs w:val="24"/>
          </w:rPr>
        </w:r>
        <w:r w:rsidR="00DF521C" w:rsidRPr="009E3DBC">
          <w:rPr>
            <w:rFonts w:ascii="Tahoma" w:hAnsi="Tahoma" w:cs="Tahoma"/>
            <w:iCs/>
            <w:noProof/>
            <w:webHidden/>
            <w:sz w:val="24"/>
            <w:szCs w:val="24"/>
          </w:rPr>
          <w:fldChar w:fldCharType="separate"/>
        </w:r>
        <w:r w:rsidR="00124AFB">
          <w:rPr>
            <w:rFonts w:ascii="Tahoma" w:hAnsi="Tahoma" w:cs="Tahoma"/>
            <w:iCs/>
            <w:noProof/>
            <w:webHidden/>
            <w:sz w:val="24"/>
            <w:szCs w:val="24"/>
          </w:rPr>
          <w:t>283</w:t>
        </w:r>
        <w:r w:rsidR="00DF521C" w:rsidRPr="009E3DBC">
          <w:rPr>
            <w:rFonts w:ascii="Tahoma" w:hAnsi="Tahoma" w:cs="Tahoma"/>
            <w:iCs/>
            <w:noProof/>
            <w:webHidden/>
            <w:sz w:val="24"/>
            <w:szCs w:val="24"/>
          </w:rPr>
          <w:fldChar w:fldCharType="end"/>
        </w:r>
      </w:hyperlink>
    </w:p>
    <w:p w:rsidR="00DF521C" w:rsidRPr="009E3DBC" w:rsidRDefault="00642CE5" w:rsidP="00B84FD6">
      <w:pPr>
        <w:pStyle w:val="TM4"/>
        <w:tabs>
          <w:tab w:val="left" w:pos="1100"/>
          <w:tab w:val="right" w:leader="dot" w:pos="9346"/>
        </w:tabs>
        <w:spacing w:line="360" w:lineRule="auto"/>
        <w:jc w:val="both"/>
        <w:rPr>
          <w:rFonts w:ascii="Tahoma" w:eastAsiaTheme="minorEastAsia" w:hAnsi="Tahoma" w:cs="Tahoma"/>
          <w:iCs/>
          <w:noProof/>
          <w:sz w:val="24"/>
          <w:szCs w:val="24"/>
          <w:lang w:eastAsia="fr-FR"/>
        </w:rPr>
      </w:pPr>
      <w:hyperlink w:anchor="_Toc203643097" w:history="1">
        <w:r w:rsidR="00DF521C" w:rsidRPr="009E3DBC">
          <w:rPr>
            <w:rStyle w:val="Lienhypertexte"/>
            <w:rFonts w:ascii="Tahoma" w:hAnsi="Tahoma" w:cs="Tahoma"/>
            <w:iCs/>
            <w:noProof/>
            <w:sz w:val="24"/>
            <w:szCs w:val="24"/>
            <w14:scene3d>
              <w14:camera w14:prst="orthographicFront"/>
              <w14:lightRig w14:rig="threePt" w14:dir="t">
                <w14:rot w14:lat="0" w14:lon="0" w14:rev="0"/>
              </w14:lightRig>
            </w14:scene3d>
          </w:rPr>
          <w:t>3.</w:t>
        </w:r>
        <w:r w:rsidR="00DF521C" w:rsidRPr="009E3DBC">
          <w:rPr>
            <w:rFonts w:ascii="Tahoma" w:eastAsiaTheme="minorEastAsia" w:hAnsi="Tahoma" w:cs="Tahoma"/>
            <w:iCs/>
            <w:noProof/>
            <w:sz w:val="24"/>
            <w:szCs w:val="24"/>
            <w:lang w:eastAsia="fr-FR"/>
          </w:rPr>
          <w:tab/>
        </w:r>
        <w:r w:rsidR="00DF521C" w:rsidRPr="009E3DBC">
          <w:rPr>
            <w:rStyle w:val="Lienhypertexte"/>
            <w:rFonts w:ascii="Tahoma" w:hAnsi="Tahoma" w:cs="Tahoma"/>
            <w:iCs/>
            <w:noProof/>
            <w:sz w:val="24"/>
            <w:szCs w:val="24"/>
          </w:rPr>
          <w:t>La réconciliation comme nouveau paradigme : rupture conceptuelle ou réajustement superficiel ?</w:t>
        </w:r>
        <w:r w:rsidR="00DF521C" w:rsidRPr="009E3DBC">
          <w:rPr>
            <w:rFonts w:ascii="Tahoma" w:hAnsi="Tahoma" w:cs="Tahoma"/>
            <w:iCs/>
            <w:noProof/>
            <w:webHidden/>
            <w:sz w:val="24"/>
            <w:szCs w:val="24"/>
          </w:rPr>
          <w:tab/>
        </w:r>
        <w:r w:rsidR="00DF521C" w:rsidRPr="009E3DBC">
          <w:rPr>
            <w:rFonts w:ascii="Tahoma" w:hAnsi="Tahoma" w:cs="Tahoma"/>
            <w:iCs/>
            <w:noProof/>
            <w:webHidden/>
            <w:sz w:val="24"/>
            <w:szCs w:val="24"/>
          </w:rPr>
          <w:fldChar w:fldCharType="begin"/>
        </w:r>
        <w:r w:rsidR="00DF521C" w:rsidRPr="009E3DBC">
          <w:rPr>
            <w:rFonts w:ascii="Tahoma" w:hAnsi="Tahoma" w:cs="Tahoma"/>
            <w:iCs/>
            <w:noProof/>
            <w:webHidden/>
            <w:sz w:val="24"/>
            <w:szCs w:val="24"/>
          </w:rPr>
          <w:instrText xml:space="preserve"> PAGEREF _Toc203643097 \h </w:instrText>
        </w:r>
        <w:r w:rsidR="00DF521C" w:rsidRPr="009E3DBC">
          <w:rPr>
            <w:rFonts w:ascii="Tahoma" w:hAnsi="Tahoma" w:cs="Tahoma"/>
            <w:iCs/>
            <w:noProof/>
            <w:webHidden/>
            <w:sz w:val="24"/>
            <w:szCs w:val="24"/>
          </w:rPr>
        </w:r>
        <w:r w:rsidR="00DF521C" w:rsidRPr="009E3DBC">
          <w:rPr>
            <w:rFonts w:ascii="Tahoma" w:hAnsi="Tahoma" w:cs="Tahoma"/>
            <w:iCs/>
            <w:noProof/>
            <w:webHidden/>
            <w:sz w:val="24"/>
            <w:szCs w:val="24"/>
          </w:rPr>
          <w:fldChar w:fldCharType="separate"/>
        </w:r>
        <w:r w:rsidR="00124AFB">
          <w:rPr>
            <w:rFonts w:ascii="Tahoma" w:hAnsi="Tahoma" w:cs="Tahoma"/>
            <w:iCs/>
            <w:noProof/>
            <w:webHidden/>
            <w:sz w:val="24"/>
            <w:szCs w:val="24"/>
          </w:rPr>
          <w:t>290</w:t>
        </w:r>
        <w:r w:rsidR="00DF521C" w:rsidRPr="009E3DBC">
          <w:rPr>
            <w:rFonts w:ascii="Tahoma" w:hAnsi="Tahoma" w:cs="Tahoma"/>
            <w:iCs/>
            <w:noProof/>
            <w:webHidden/>
            <w:sz w:val="24"/>
            <w:szCs w:val="24"/>
          </w:rPr>
          <w:fldChar w:fldCharType="end"/>
        </w:r>
      </w:hyperlink>
    </w:p>
    <w:p w:rsidR="00DF521C" w:rsidRPr="009E3DBC" w:rsidRDefault="00642CE5" w:rsidP="00B84FD6">
      <w:pPr>
        <w:pStyle w:val="TM3"/>
        <w:tabs>
          <w:tab w:val="left" w:pos="880"/>
          <w:tab w:val="right" w:leader="dot" w:pos="9346"/>
        </w:tabs>
        <w:spacing w:line="360" w:lineRule="auto"/>
        <w:jc w:val="both"/>
        <w:rPr>
          <w:rFonts w:ascii="Tahoma" w:eastAsiaTheme="minorEastAsia" w:hAnsi="Tahoma" w:cs="Tahoma"/>
          <w:i w:val="0"/>
          <w:noProof/>
          <w:sz w:val="24"/>
          <w:lang w:eastAsia="fr-FR"/>
        </w:rPr>
      </w:pPr>
      <w:hyperlink w:anchor="_Toc203643098" w:history="1">
        <w:r w:rsidR="00DF521C" w:rsidRPr="009E3DBC">
          <w:rPr>
            <w:rStyle w:val="Lienhypertexte"/>
            <w:rFonts w:ascii="Tahoma" w:hAnsi="Tahoma" w:cs="Tahoma"/>
            <w:i w:val="0"/>
            <w:noProof/>
            <w:sz w:val="24"/>
            <w14:scene3d>
              <w14:camera w14:prst="orthographicFront"/>
              <w14:lightRig w14:rig="threePt" w14:dir="t">
                <w14:rot w14:lat="0" w14:lon="0" w14:rev="0"/>
              </w14:lightRig>
            </w14:scene3d>
          </w:rPr>
          <w:t>B.</w:t>
        </w:r>
        <w:r w:rsidR="00DF521C" w:rsidRPr="009E3DBC">
          <w:rPr>
            <w:rFonts w:ascii="Tahoma" w:eastAsiaTheme="minorEastAsia" w:hAnsi="Tahoma" w:cs="Tahoma"/>
            <w:i w:val="0"/>
            <w:noProof/>
            <w:sz w:val="24"/>
            <w:lang w:eastAsia="fr-FR"/>
          </w:rPr>
          <w:tab/>
        </w:r>
        <w:r w:rsidR="00DF521C" w:rsidRPr="009E3DBC">
          <w:rPr>
            <w:rStyle w:val="Lienhypertexte"/>
            <w:rFonts w:ascii="Tahoma" w:hAnsi="Tahoma" w:cs="Tahoma"/>
            <w:i w:val="0"/>
            <w:noProof/>
            <w:sz w:val="24"/>
          </w:rPr>
          <w:t>Le territoire forestier de Korifla : une configuration administrative fragmentée</w:t>
        </w:r>
        <w:r w:rsidR="00DF521C" w:rsidRPr="009E3DBC">
          <w:rPr>
            <w:rFonts w:ascii="Tahoma" w:hAnsi="Tahoma" w:cs="Tahoma"/>
            <w:i w:val="0"/>
            <w:noProof/>
            <w:webHidden/>
            <w:sz w:val="24"/>
          </w:rPr>
          <w:tab/>
        </w:r>
        <w:r w:rsidR="00B84FD6" w:rsidRPr="009E3DBC">
          <w:rPr>
            <w:rFonts w:ascii="Tahoma" w:hAnsi="Tahoma" w:cs="Tahoma"/>
            <w:i w:val="0"/>
            <w:noProof/>
            <w:webHidden/>
            <w:sz w:val="24"/>
          </w:rPr>
          <w:t>……………………………………………………………………………………………………………</w:t>
        </w:r>
        <w:r w:rsidR="00DF521C" w:rsidRPr="009E3DBC">
          <w:rPr>
            <w:rFonts w:ascii="Tahoma" w:hAnsi="Tahoma" w:cs="Tahoma"/>
            <w:i w:val="0"/>
            <w:noProof/>
            <w:webHidden/>
            <w:sz w:val="24"/>
          </w:rPr>
          <w:fldChar w:fldCharType="begin"/>
        </w:r>
        <w:r w:rsidR="00DF521C" w:rsidRPr="009E3DBC">
          <w:rPr>
            <w:rFonts w:ascii="Tahoma" w:hAnsi="Tahoma" w:cs="Tahoma"/>
            <w:i w:val="0"/>
            <w:noProof/>
            <w:webHidden/>
            <w:sz w:val="24"/>
          </w:rPr>
          <w:instrText xml:space="preserve"> PAGEREF _Toc203643098 \h </w:instrText>
        </w:r>
        <w:r w:rsidR="00DF521C" w:rsidRPr="009E3DBC">
          <w:rPr>
            <w:rFonts w:ascii="Tahoma" w:hAnsi="Tahoma" w:cs="Tahoma"/>
            <w:i w:val="0"/>
            <w:noProof/>
            <w:webHidden/>
            <w:sz w:val="24"/>
          </w:rPr>
        </w:r>
        <w:r w:rsidR="00DF521C" w:rsidRPr="009E3DBC">
          <w:rPr>
            <w:rFonts w:ascii="Tahoma" w:hAnsi="Tahoma" w:cs="Tahoma"/>
            <w:i w:val="0"/>
            <w:noProof/>
            <w:webHidden/>
            <w:sz w:val="24"/>
          </w:rPr>
          <w:fldChar w:fldCharType="separate"/>
        </w:r>
        <w:r w:rsidR="00124AFB">
          <w:rPr>
            <w:rFonts w:ascii="Tahoma" w:hAnsi="Tahoma" w:cs="Tahoma"/>
            <w:i w:val="0"/>
            <w:noProof/>
            <w:webHidden/>
            <w:sz w:val="24"/>
          </w:rPr>
          <w:t>293</w:t>
        </w:r>
        <w:r w:rsidR="00DF521C" w:rsidRPr="009E3DBC">
          <w:rPr>
            <w:rFonts w:ascii="Tahoma" w:hAnsi="Tahoma" w:cs="Tahoma"/>
            <w:i w:val="0"/>
            <w:noProof/>
            <w:webHidden/>
            <w:sz w:val="24"/>
          </w:rPr>
          <w:fldChar w:fldCharType="end"/>
        </w:r>
      </w:hyperlink>
    </w:p>
    <w:p w:rsidR="00DF521C" w:rsidRPr="009E3DBC" w:rsidRDefault="00642CE5" w:rsidP="00B84FD6">
      <w:pPr>
        <w:pStyle w:val="TM4"/>
        <w:tabs>
          <w:tab w:val="left" w:pos="1100"/>
          <w:tab w:val="right" w:leader="dot" w:pos="9346"/>
        </w:tabs>
        <w:spacing w:line="360" w:lineRule="auto"/>
        <w:jc w:val="both"/>
        <w:rPr>
          <w:rFonts w:ascii="Tahoma" w:eastAsiaTheme="minorEastAsia" w:hAnsi="Tahoma" w:cs="Tahoma"/>
          <w:iCs/>
          <w:noProof/>
          <w:sz w:val="24"/>
          <w:szCs w:val="24"/>
          <w:lang w:eastAsia="fr-FR"/>
        </w:rPr>
      </w:pPr>
      <w:hyperlink w:anchor="_Toc203643099" w:history="1">
        <w:r w:rsidR="00DF521C" w:rsidRPr="009E3DBC">
          <w:rPr>
            <w:rStyle w:val="Lienhypertexte"/>
            <w:rFonts w:ascii="Tahoma" w:hAnsi="Tahoma" w:cs="Tahoma"/>
            <w:iCs/>
            <w:noProof/>
            <w:sz w:val="24"/>
            <w:szCs w:val="24"/>
            <w14:scene3d>
              <w14:camera w14:prst="orthographicFront"/>
              <w14:lightRig w14:rig="threePt" w14:dir="t">
                <w14:rot w14:lat="0" w14:lon="0" w14:rev="0"/>
              </w14:lightRig>
            </w14:scene3d>
          </w:rPr>
          <w:t>1.</w:t>
        </w:r>
        <w:r w:rsidR="00DF521C" w:rsidRPr="009E3DBC">
          <w:rPr>
            <w:rFonts w:ascii="Tahoma" w:eastAsiaTheme="minorEastAsia" w:hAnsi="Tahoma" w:cs="Tahoma"/>
            <w:iCs/>
            <w:noProof/>
            <w:sz w:val="24"/>
            <w:szCs w:val="24"/>
            <w:lang w:eastAsia="fr-FR"/>
          </w:rPr>
          <w:tab/>
        </w:r>
        <w:r w:rsidR="00DF521C" w:rsidRPr="009E3DBC">
          <w:rPr>
            <w:rStyle w:val="Lienhypertexte"/>
            <w:rFonts w:ascii="Tahoma" w:hAnsi="Tahoma" w:cs="Tahoma"/>
            <w:iCs/>
            <w:noProof/>
            <w:sz w:val="24"/>
            <w:szCs w:val="24"/>
          </w:rPr>
          <w:t>La fragmentation administrative : obstacle à la gestion intégrée</w:t>
        </w:r>
        <w:r w:rsidR="00DF521C" w:rsidRPr="009E3DBC">
          <w:rPr>
            <w:rFonts w:ascii="Tahoma" w:hAnsi="Tahoma" w:cs="Tahoma"/>
            <w:iCs/>
            <w:noProof/>
            <w:webHidden/>
            <w:sz w:val="24"/>
            <w:szCs w:val="24"/>
          </w:rPr>
          <w:tab/>
        </w:r>
        <w:r w:rsidR="00DF521C" w:rsidRPr="009E3DBC">
          <w:rPr>
            <w:rFonts w:ascii="Tahoma" w:hAnsi="Tahoma" w:cs="Tahoma"/>
            <w:iCs/>
            <w:noProof/>
            <w:webHidden/>
            <w:sz w:val="24"/>
            <w:szCs w:val="24"/>
          </w:rPr>
          <w:fldChar w:fldCharType="begin"/>
        </w:r>
        <w:r w:rsidR="00DF521C" w:rsidRPr="009E3DBC">
          <w:rPr>
            <w:rFonts w:ascii="Tahoma" w:hAnsi="Tahoma" w:cs="Tahoma"/>
            <w:iCs/>
            <w:noProof/>
            <w:webHidden/>
            <w:sz w:val="24"/>
            <w:szCs w:val="24"/>
          </w:rPr>
          <w:instrText xml:space="preserve"> PAGEREF _Toc203643099 \h </w:instrText>
        </w:r>
        <w:r w:rsidR="00DF521C" w:rsidRPr="009E3DBC">
          <w:rPr>
            <w:rFonts w:ascii="Tahoma" w:hAnsi="Tahoma" w:cs="Tahoma"/>
            <w:iCs/>
            <w:noProof/>
            <w:webHidden/>
            <w:sz w:val="24"/>
            <w:szCs w:val="24"/>
          </w:rPr>
        </w:r>
        <w:r w:rsidR="00DF521C" w:rsidRPr="009E3DBC">
          <w:rPr>
            <w:rFonts w:ascii="Tahoma" w:hAnsi="Tahoma" w:cs="Tahoma"/>
            <w:iCs/>
            <w:noProof/>
            <w:webHidden/>
            <w:sz w:val="24"/>
            <w:szCs w:val="24"/>
          </w:rPr>
          <w:fldChar w:fldCharType="separate"/>
        </w:r>
        <w:r w:rsidR="00124AFB">
          <w:rPr>
            <w:rFonts w:ascii="Tahoma" w:hAnsi="Tahoma" w:cs="Tahoma"/>
            <w:iCs/>
            <w:noProof/>
            <w:webHidden/>
            <w:sz w:val="24"/>
            <w:szCs w:val="24"/>
          </w:rPr>
          <w:t>294</w:t>
        </w:r>
        <w:r w:rsidR="00DF521C" w:rsidRPr="009E3DBC">
          <w:rPr>
            <w:rFonts w:ascii="Tahoma" w:hAnsi="Tahoma" w:cs="Tahoma"/>
            <w:iCs/>
            <w:noProof/>
            <w:webHidden/>
            <w:sz w:val="24"/>
            <w:szCs w:val="24"/>
          </w:rPr>
          <w:fldChar w:fldCharType="end"/>
        </w:r>
      </w:hyperlink>
    </w:p>
    <w:p w:rsidR="00DF521C" w:rsidRPr="009E3DBC" w:rsidRDefault="00642CE5" w:rsidP="00B84FD6">
      <w:pPr>
        <w:pStyle w:val="TM4"/>
        <w:tabs>
          <w:tab w:val="left" w:pos="1100"/>
          <w:tab w:val="right" w:leader="dot" w:pos="9346"/>
        </w:tabs>
        <w:spacing w:line="360" w:lineRule="auto"/>
        <w:jc w:val="both"/>
        <w:rPr>
          <w:rFonts w:ascii="Tahoma" w:eastAsiaTheme="minorEastAsia" w:hAnsi="Tahoma" w:cs="Tahoma"/>
          <w:iCs/>
          <w:noProof/>
          <w:sz w:val="24"/>
          <w:szCs w:val="24"/>
          <w:lang w:eastAsia="fr-FR"/>
        </w:rPr>
      </w:pPr>
      <w:hyperlink w:anchor="_Toc203643100" w:history="1">
        <w:r w:rsidR="00DF521C" w:rsidRPr="009E3DBC">
          <w:rPr>
            <w:rStyle w:val="Lienhypertexte"/>
            <w:rFonts w:ascii="Tahoma" w:hAnsi="Tahoma" w:cs="Tahoma"/>
            <w:iCs/>
            <w:noProof/>
            <w:sz w:val="24"/>
            <w:szCs w:val="24"/>
            <w14:scene3d>
              <w14:camera w14:prst="orthographicFront"/>
              <w14:lightRig w14:rig="threePt" w14:dir="t">
                <w14:rot w14:lat="0" w14:lon="0" w14:rev="0"/>
              </w14:lightRig>
            </w14:scene3d>
          </w:rPr>
          <w:t>2.</w:t>
        </w:r>
        <w:r w:rsidR="00DF521C" w:rsidRPr="009E3DBC">
          <w:rPr>
            <w:rFonts w:ascii="Tahoma" w:eastAsiaTheme="minorEastAsia" w:hAnsi="Tahoma" w:cs="Tahoma"/>
            <w:iCs/>
            <w:noProof/>
            <w:sz w:val="24"/>
            <w:szCs w:val="24"/>
            <w:lang w:eastAsia="fr-FR"/>
          </w:rPr>
          <w:tab/>
        </w:r>
        <w:r w:rsidR="00DF521C" w:rsidRPr="009E3DBC">
          <w:rPr>
            <w:rStyle w:val="Lienhypertexte"/>
            <w:rFonts w:ascii="Tahoma" w:hAnsi="Tahoma" w:cs="Tahoma"/>
            <w:iCs/>
            <w:noProof/>
            <w:sz w:val="24"/>
            <w:szCs w:val="24"/>
          </w:rPr>
          <w:t>L'administration forestière : logique hiérarchique et réalités territoriales</w:t>
        </w:r>
        <w:r w:rsidR="00DF521C" w:rsidRPr="009E3DBC">
          <w:rPr>
            <w:rFonts w:ascii="Tahoma" w:hAnsi="Tahoma" w:cs="Tahoma"/>
            <w:iCs/>
            <w:noProof/>
            <w:webHidden/>
            <w:sz w:val="24"/>
            <w:szCs w:val="24"/>
          </w:rPr>
          <w:tab/>
        </w:r>
        <w:r w:rsidR="00DF521C" w:rsidRPr="009E3DBC">
          <w:rPr>
            <w:rFonts w:ascii="Tahoma" w:hAnsi="Tahoma" w:cs="Tahoma"/>
            <w:iCs/>
            <w:noProof/>
            <w:webHidden/>
            <w:sz w:val="24"/>
            <w:szCs w:val="24"/>
          </w:rPr>
          <w:fldChar w:fldCharType="begin"/>
        </w:r>
        <w:r w:rsidR="00DF521C" w:rsidRPr="009E3DBC">
          <w:rPr>
            <w:rFonts w:ascii="Tahoma" w:hAnsi="Tahoma" w:cs="Tahoma"/>
            <w:iCs/>
            <w:noProof/>
            <w:webHidden/>
            <w:sz w:val="24"/>
            <w:szCs w:val="24"/>
          </w:rPr>
          <w:instrText xml:space="preserve"> PAGEREF _Toc203643100 \h </w:instrText>
        </w:r>
        <w:r w:rsidR="00DF521C" w:rsidRPr="009E3DBC">
          <w:rPr>
            <w:rFonts w:ascii="Tahoma" w:hAnsi="Tahoma" w:cs="Tahoma"/>
            <w:iCs/>
            <w:noProof/>
            <w:webHidden/>
            <w:sz w:val="24"/>
            <w:szCs w:val="24"/>
          </w:rPr>
        </w:r>
        <w:r w:rsidR="00DF521C" w:rsidRPr="009E3DBC">
          <w:rPr>
            <w:rFonts w:ascii="Tahoma" w:hAnsi="Tahoma" w:cs="Tahoma"/>
            <w:iCs/>
            <w:noProof/>
            <w:webHidden/>
            <w:sz w:val="24"/>
            <w:szCs w:val="24"/>
          </w:rPr>
          <w:fldChar w:fldCharType="separate"/>
        </w:r>
        <w:r w:rsidR="00124AFB">
          <w:rPr>
            <w:rFonts w:ascii="Tahoma" w:hAnsi="Tahoma" w:cs="Tahoma"/>
            <w:iCs/>
            <w:noProof/>
            <w:webHidden/>
            <w:sz w:val="24"/>
            <w:szCs w:val="24"/>
          </w:rPr>
          <w:t>297</w:t>
        </w:r>
        <w:r w:rsidR="00DF521C" w:rsidRPr="009E3DBC">
          <w:rPr>
            <w:rFonts w:ascii="Tahoma" w:hAnsi="Tahoma" w:cs="Tahoma"/>
            <w:iCs/>
            <w:noProof/>
            <w:webHidden/>
            <w:sz w:val="24"/>
            <w:szCs w:val="24"/>
          </w:rPr>
          <w:fldChar w:fldCharType="end"/>
        </w:r>
      </w:hyperlink>
    </w:p>
    <w:p w:rsidR="00DF521C" w:rsidRPr="009E3DBC" w:rsidRDefault="00642CE5" w:rsidP="00B84FD6">
      <w:pPr>
        <w:pStyle w:val="TM4"/>
        <w:tabs>
          <w:tab w:val="left" w:pos="1100"/>
          <w:tab w:val="right" w:leader="dot" w:pos="9346"/>
        </w:tabs>
        <w:spacing w:line="360" w:lineRule="auto"/>
        <w:jc w:val="both"/>
        <w:rPr>
          <w:rFonts w:ascii="Tahoma" w:eastAsiaTheme="minorEastAsia" w:hAnsi="Tahoma" w:cs="Tahoma"/>
          <w:iCs/>
          <w:noProof/>
          <w:sz w:val="24"/>
          <w:szCs w:val="24"/>
          <w:lang w:eastAsia="fr-FR"/>
        </w:rPr>
      </w:pPr>
      <w:hyperlink w:anchor="_Toc203643101" w:history="1">
        <w:r w:rsidR="00DF521C" w:rsidRPr="009E3DBC">
          <w:rPr>
            <w:rStyle w:val="Lienhypertexte"/>
            <w:rFonts w:ascii="Tahoma" w:hAnsi="Tahoma" w:cs="Tahoma"/>
            <w:iCs/>
            <w:noProof/>
            <w:sz w:val="24"/>
            <w:szCs w:val="24"/>
            <w14:scene3d>
              <w14:camera w14:prst="orthographicFront"/>
              <w14:lightRig w14:rig="threePt" w14:dir="t">
                <w14:rot w14:lat="0" w14:lon="0" w14:rev="0"/>
              </w14:lightRig>
            </w14:scene3d>
          </w:rPr>
          <w:t>3.</w:t>
        </w:r>
        <w:r w:rsidR="00DF521C" w:rsidRPr="009E3DBC">
          <w:rPr>
            <w:rFonts w:ascii="Tahoma" w:eastAsiaTheme="minorEastAsia" w:hAnsi="Tahoma" w:cs="Tahoma"/>
            <w:iCs/>
            <w:noProof/>
            <w:sz w:val="24"/>
            <w:szCs w:val="24"/>
            <w:lang w:eastAsia="fr-FR"/>
          </w:rPr>
          <w:tab/>
        </w:r>
        <w:r w:rsidR="00DF521C" w:rsidRPr="009E3DBC">
          <w:rPr>
            <w:rStyle w:val="Lienhypertexte"/>
            <w:rFonts w:ascii="Tahoma" w:hAnsi="Tahoma" w:cs="Tahoma"/>
            <w:iCs/>
            <w:noProof/>
            <w:sz w:val="24"/>
            <w:szCs w:val="24"/>
          </w:rPr>
          <w:t>L'intercommunalité à l'épreuve des réalités territoriales</w:t>
        </w:r>
        <w:r w:rsidR="00DF521C" w:rsidRPr="009E3DBC">
          <w:rPr>
            <w:rFonts w:ascii="Tahoma" w:hAnsi="Tahoma" w:cs="Tahoma"/>
            <w:iCs/>
            <w:noProof/>
            <w:webHidden/>
            <w:sz w:val="24"/>
            <w:szCs w:val="24"/>
          </w:rPr>
          <w:tab/>
        </w:r>
        <w:r w:rsidR="00DF521C" w:rsidRPr="009E3DBC">
          <w:rPr>
            <w:rFonts w:ascii="Tahoma" w:hAnsi="Tahoma" w:cs="Tahoma"/>
            <w:iCs/>
            <w:noProof/>
            <w:webHidden/>
            <w:sz w:val="24"/>
            <w:szCs w:val="24"/>
          </w:rPr>
          <w:fldChar w:fldCharType="begin"/>
        </w:r>
        <w:r w:rsidR="00DF521C" w:rsidRPr="009E3DBC">
          <w:rPr>
            <w:rFonts w:ascii="Tahoma" w:hAnsi="Tahoma" w:cs="Tahoma"/>
            <w:iCs/>
            <w:noProof/>
            <w:webHidden/>
            <w:sz w:val="24"/>
            <w:szCs w:val="24"/>
          </w:rPr>
          <w:instrText xml:space="preserve"> PAGEREF _Toc203643101 \h </w:instrText>
        </w:r>
        <w:r w:rsidR="00DF521C" w:rsidRPr="009E3DBC">
          <w:rPr>
            <w:rFonts w:ascii="Tahoma" w:hAnsi="Tahoma" w:cs="Tahoma"/>
            <w:iCs/>
            <w:noProof/>
            <w:webHidden/>
            <w:sz w:val="24"/>
            <w:szCs w:val="24"/>
          </w:rPr>
        </w:r>
        <w:r w:rsidR="00DF521C" w:rsidRPr="009E3DBC">
          <w:rPr>
            <w:rFonts w:ascii="Tahoma" w:hAnsi="Tahoma" w:cs="Tahoma"/>
            <w:iCs/>
            <w:noProof/>
            <w:webHidden/>
            <w:sz w:val="24"/>
            <w:szCs w:val="24"/>
          </w:rPr>
          <w:fldChar w:fldCharType="separate"/>
        </w:r>
        <w:r w:rsidR="00124AFB">
          <w:rPr>
            <w:rFonts w:ascii="Tahoma" w:hAnsi="Tahoma" w:cs="Tahoma"/>
            <w:iCs/>
            <w:noProof/>
            <w:webHidden/>
            <w:sz w:val="24"/>
            <w:szCs w:val="24"/>
          </w:rPr>
          <w:t>303</w:t>
        </w:r>
        <w:r w:rsidR="00DF521C" w:rsidRPr="009E3DBC">
          <w:rPr>
            <w:rFonts w:ascii="Tahoma" w:hAnsi="Tahoma" w:cs="Tahoma"/>
            <w:iCs/>
            <w:noProof/>
            <w:webHidden/>
            <w:sz w:val="24"/>
            <w:szCs w:val="24"/>
          </w:rPr>
          <w:fldChar w:fldCharType="end"/>
        </w:r>
      </w:hyperlink>
    </w:p>
    <w:p w:rsidR="00DF521C" w:rsidRPr="009E3DBC" w:rsidRDefault="00642CE5" w:rsidP="00B84FD6">
      <w:pPr>
        <w:pStyle w:val="TM1"/>
        <w:rPr>
          <w:rFonts w:eastAsiaTheme="minorEastAsia"/>
          <w:b w:val="0"/>
          <w:bCs w:val="0"/>
          <w:caps w:val="0"/>
          <w:szCs w:val="24"/>
          <w:lang w:eastAsia="fr-FR"/>
        </w:rPr>
      </w:pPr>
      <w:hyperlink w:anchor="_Toc203643102" w:history="1">
        <w:r w:rsidR="00DF521C" w:rsidRPr="009E3DBC">
          <w:rPr>
            <w:rStyle w:val="Lienhypertexte"/>
            <w:szCs w:val="24"/>
          </w:rPr>
          <w:t>Chapitre 2 : dégradation forestière au Maroc et risque accélératif migratoire : analyse systémique</w:t>
        </w:r>
        <w:r w:rsidR="00DF521C" w:rsidRPr="009E3DBC">
          <w:rPr>
            <w:webHidden/>
            <w:szCs w:val="24"/>
          </w:rPr>
          <w:tab/>
        </w:r>
        <w:r w:rsidR="00DF521C" w:rsidRPr="009E3DBC">
          <w:rPr>
            <w:webHidden/>
            <w:szCs w:val="24"/>
          </w:rPr>
          <w:fldChar w:fldCharType="begin"/>
        </w:r>
        <w:r w:rsidR="00DF521C" w:rsidRPr="009E3DBC">
          <w:rPr>
            <w:webHidden/>
            <w:szCs w:val="24"/>
          </w:rPr>
          <w:instrText xml:space="preserve"> PAGEREF _Toc203643102 \h </w:instrText>
        </w:r>
        <w:r w:rsidR="00DF521C" w:rsidRPr="009E3DBC">
          <w:rPr>
            <w:webHidden/>
            <w:szCs w:val="24"/>
          </w:rPr>
        </w:r>
        <w:r w:rsidR="00DF521C" w:rsidRPr="009E3DBC">
          <w:rPr>
            <w:webHidden/>
            <w:szCs w:val="24"/>
          </w:rPr>
          <w:fldChar w:fldCharType="separate"/>
        </w:r>
        <w:r w:rsidR="00124AFB">
          <w:rPr>
            <w:webHidden/>
            <w:szCs w:val="24"/>
          </w:rPr>
          <w:t>310</w:t>
        </w:r>
        <w:r w:rsidR="00DF521C" w:rsidRPr="009E3DBC">
          <w:rPr>
            <w:webHidden/>
            <w:szCs w:val="24"/>
          </w:rPr>
          <w:fldChar w:fldCharType="end"/>
        </w:r>
      </w:hyperlink>
    </w:p>
    <w:p w:rsidR="00DF521C" w:rsidRPr="009E3DBC" w:rsidRDefault="00642CE5" w:rsidP="00B84FD6">
      <w:pPr>
        <w:pStyle w:val="TM2"/>
        <w:tabs>
          <w:tab w:val="right" w:leader="dot" w:pos="9346"/>
        </w:tabs>
        <w:spacing w:line="360" w:lineRule="auto"/>
        <w:jc w:val="both"/>
        <w:rPr>
          <w:rFonts w:ascii="Tahoma" w:eastAsiaTheme="minorEastAsia" w:hAnsi="Tahoma" w:cs="Tahoma"/>
          <w:iCs/>
          <w:smallCaps w:val="0"/>
          <w:noProof/>
          <w:sz w:val="24"/>
          <w:lang w:eastAsia="fr-FR"/>
        </w:rPr>
      </w:pPr>
      <w:hyperlink w:anchor="_Toc203643103" w:history="1">
        <w:r w:rsidR="00DF521C" w:rsidRPr="009E3DBC">
          <w:rPr>
            <w:rStyle w:val="Lienhypertexte"/>
            <w:rFonts w:ascii="Tahoma" w:hAnsi="Tahoma" w:cs="Tahoma"/>
            <w:iCs/>
            <w:noProof/>
            <w:sz w:val="24"/>
          </w:rPr>
          <w:t>Première section : Dynamiques interactives des facteurs accélérateurs de la dégradation des écosystèmes forestiers au Maroc</w:t>
        </w:r>
        <w:r w:rsidR="00DF521C" w:rsidRPr="009E3DBC">
          <w:rPr>
            <w:rFonts w:ascii="Tahoma" w:hAnsi="Tahoma" w:cs="Tahoma"/>
            <w:iCs/>
            <w:noProof/>
            <w:webHidden/>
            <w:sz w:val="24"/>
          </w:rPr>
          <w:tab/>
        </w:r>
        <w:r w:rsidR="00DF521C" w:rsidRPr="009E3DBC">
          <w:rPr>
            <w:rFonts w:ascii="Tahoma" w:hAnsi="Tahoma" w:cs="Tahoma"/>
            <w:iCs/>
            <w:noProof/>
            <w:webHidden/>
            <w:sz w:val="24"/>
          </w:rPr>
          <w:fldChar w:fldCharType="begin"/>
        </w:r>
        <w:r w:rsidR="00DF521C" w:rsidRPr="009E3DBC">
          <w:rPr>
            <w:rFonts w:ascii="Tahoma" w:hAnsi="Tahoma" w:cs="Tahoma"/>
            <w:iCs/>
            <w:noProof/>
            <w:webHidden/>
            <w:sz w:val="24"/>
          </w:rPr>
          <w:instrText xml:space="preserve"> PAGEREF _Toc203643103 \h </w:instrText>
        </w:r>
        <w:r w:rsidR="00DF521C" w:rsidRPr="009E3DBC">
          <w:rPr>
            <w:rFonts w:ascii="Tahoma" w:hAnsi="Tahoma" w:cs="Tahoma"/>
            <w:iCs/>
            <w:noProof/>
            <w:webHidden/>
            <w:sz w:val="24"/>
          </w:rPr>
        </w:r>
        <w:r w:rsidR="00DF521C" w:rsidRPr="009E3DBC">
          <w:rPr>
            <w:rFonts w:ascii="Tahoma" w:hAnsi="Tahoma" w:cs="Tahoma"/>
            <w:iCs/>
            <w:noProof/>
            <w:webHidden/>
            <w:sz w:val="24"/>
          </w:rPr>
          <w:fldChar w:fldCharType="separate"/>
        </w:r>
        <w:r w:rsidR="00124AFB">
          <w:rPr>
            <w:rFonts w:ascii="Tahoma" w:hAnsi="Tahoma" w:cs="Tahoma"/>
            <w:iCs/>
            <w:noProof/>
            <w:webHidden/>
            <w:sz w:val="24"/>
          </w:rPr>
          <w:t>312</w:t>
        </w:r>
        <w:r w:rsidR="00DF521C" w:rsidRPr="009E3DBC">
          <w:rPr>
            <w:rFonts w:ascii="Tahoma" w:hAnsi="Tahoma" w:cs="Tahoma"/>
            <w:iCs/>
            <w:noProof/>
            <w:webHidden/>
            <w:sz w:val="24"/>
          </w:rPr>
          <w:fldChar w:fldCharType="end"/>
        </w:r>
      </w:hyperlink>
    </w:p>
    <w:p w:rsidR="00DF521C" w:rsidRPr="009E3DBC" w:rsidRDefault="00642CE5" w:rsidP="00B84FD6">
      <w:pPr>
        <w:pStyle w:val="TM3"/>
        <w:tabs>
          <w:tab w:val="left" w:pos="880"/>
          <w:tab w:val="right" w:leader="dot" w:pos="9346"/>
        </w:tabs>
        <w:spacing w:line="360" w:lineRule="auto"/>
        <w:jc w:val="both"/>
        <w:rPr>
          <w:rFonts w:ascii="Tahoma" w:eastAsiaTheme="minorEastAsia" w:hAnsi="Tahoma" w:cs="Tahoma"/>
          <w:i w:val="0"/>
          <w:noProof/>
          <w:sz w:val="24"/>
          <w:lang w:eastAsia="fr-FR"/>
        </w:rPr>
      </w:pPr>
      <w:hyperlink w:anchor="_Toc203643104" w:history="1">
        <w:r w:rsidR="00DF521C" w:rsidRPr="009E3DBC">
          <w:rPr>
            <w:rStyle w:val="Lienhypertexte"/>
            <w:rFonts w:ascii="Tahoma" w:hAnsi="Tahoma" w:cs="Tahoma"/>
            <w:i w:val="0"/>
            <w:noProof/>
            <w:sz w:val="24"/>
            <w:lang w:eastAsia="fr-FR"/>
            <w14:scene3d>
              <w14:camera w14:prst="orthographicFront"/>
              <w14:lightRig w14:rig="threePt" w14:dir="t">
                <w14:rot w14:lat="0" w14:lon="0" w14:rev="0"/>
              </w14:lightRig>
            </w14:scene3d>
          </w:rPr>
          <w:t>A.</w:t>
        </w:r>
        <w:r w:rsidR="00DF521C" w:rsidRPr="009E3DBC">
          <w:rPr>
            <w:rFonts w:ascii="Tahoma" w:eastAsiaTheme="minorEastAsia" w:hAnsi="Tahoma" w:cs="Tahoma"/>
            <w:i w:val="0"/>
            <w:noProof/>
            <w:sz w:val="24"/>
            <w:lang w:eastAsia="fr-FR"/>
          </w:rPr>
          <w:tab/>
        </w:r>
        <w:r w:rsidR="00DF521C" w:rsidRPr="009E3DBC">
          <w:rPr>
            <w:rStyle w:val="Lienhypertexte"/>
            <w:rFonts w:ascii="Tahoma" w:hAnsi="Tahoma" w:cs="Tahoma"/>
            <w:i w:val="0"/>
            <w:noProof/>
            <w:sz w:val="24"/>
          </w:rPr>
          <w:t>Analyse systémique des facteurs accélérateurs de la dégradation des écosystèmes forestiers</w:t>
        </w:r>
        <w:r w:rsidR="00DF521C" w:rsidRPr="009E3DBC">
          <w:rPr>
            <w:rFonts w:ascii="Tahoma" w:hAnsi="Tahoma" w:cs="Tahoma"/>
            <w:i w:val="0"/>
            <w:noProof/>
            <w:webHidden/>
            <w:sz w:val="24"/>
          </w:rPr>
          <w:tab/>
        </w:r>
        <w:r w:rsidR="00DF521C" w:rsidRPr="009E3DBC">
          <w:rPr>
            <w:rFonts w:ascii="Tahoma" w:hAnsi="Tahoma" w:cs="Tahoma"/>
            <w:i w:val="0"/>
            <w:noProof/>
            <w:webHidden/>
            <w:sz w:val="24"/>
          </w:rPr>
          <w:fldChar w:fldCharType="begin"/>
        </w:r>
        <w:r w:rsidR="00DF521C" w:rsidRPr="009E3DBC">
          <w:rPr>
            <w:rFonts w:ascii="Tahoma" w:hAnsi="Tahoma" w:cs="Tahoma"/>
            <w:i w:val="0"/>
            <w:noProof/>
            <w:webHidden/>
            <w:sz w:val="24"/>
          </w:rPr>
          <w:instrText xml:space="preserve"> PAGEREF _Toc203643104 \h </w:instrText>
        </w:r>
        <w:r w:rsidR="00DF521C" w:rsidRPr="009E3DBC">
          <w:rPr>
            <w:rFonts w:ascii="Tahoma" w:hAnsi="Tahoma" w:cs="Tahoma"/>
            <w:i w:val="0"/>
            <w:noProof/>
            <w:webHidden/>
            <w:sz w:val="24"/>
          </w:rPr>
        </w:r>
        <w:r w:rsidR="00DF521C" w:rsidRPr="009E3DBC">
          <w:rPr>
            <w:rFonts w:ascii="Tahoma" w:hAnsi="Tahoma" w:cs="Tahoma"/>
            <w:i w:val="0"/>
            <w:noProof/>
            <w:webHidden/>
            <w:sz w:val="24"/>
          </w:rPr>
          <w:fldChar w:fldCharType="separate"/>
        </w:r>
        <w:r w:rsidR="00124AFB">
          <w:rPr>
            <w:rFonts w:ascii="Tahoma" w:hAnsi="Tahoma" w:cs="Tahoma"/>
            <w:i w:val="0"/>
            <w:noProof/>
            <w:webHidden/>
            <w:sz w:val="24"/>
          </w:rPr>
          <w:t>313</w:t>
        </w:r>
        <w:r w:rsidR="00DF521C" w:rsidRPr="009E3DBC">
          <w:rPr>
            <w:rFonts w:ascii="Tahoma" w:hAnsi="Tahoma" w:cs="Tahoma"/>
            <w:i w:val="0"/>
            <w:noProof/>
            <w:webHidden/>
            <w:sz w:val="24"/>
          </w:rPr>
          <w:fldChar w:fldCharType="end"/>
        </w:r>
      </w:hyperlink>
    </w:p>
    <w:p w:rsidR="00DF521C" w:rsidRPr="009E3DBC" w:rsidRDefault="00642CE5" w:rsidP="00B84FD6">
      <w:pPr>
        <w:pStyle w:val="TM4"/>
        <w:tabs>
          <w:tab w:val="left" w:pos="1100"/>
          <w:tab w:val="right" w:leader="dot" w:pos="9346"/>
        </w:tabs>
        <w:spacing w:line="360" w:lineRule="auto"/>
        <w:jc w:val="both"/>
        <w:rPr>
          <w:rFonts w:ascii="Tahoma" w:eastAsiaTheme="minorEastAsia" w:hAnsi="Tahoma" w:cs="Tahoma"/>
          <w:iCs/>
          <w:noProof/>
          <w:sz w:val="24"/>
          <w:szCs w:val="24"/>
          <w:lang w:eastAsia="fr-FR"/>
        </w:rPr>
      </w:pPr>
      <w:hyperlink w:anchor="_Toc203643105" w:history="1">
        <w:r w:rsidR="00DF521C" w:rsidRPr="009E3DBC">
          <w:rPr>
            <w:rStyle w:val="Lienhypertexte"/>
            <w:rFonts w:ascii="Tahoma" w:hAnsi="Tahoma" w:cs="Tahoma"/>
            <w:iCs/>
            <w:noProof/>
            <w:sz w:val="24"/>
            <w:szCs w:val="24"/>
            <w14:scene3d>
              <w14:camera w14:prst="orthographicFront"/>
              <w14:lightRig w14:rig="threePt" w14:dir="t">
                <w14:rot w14:lat="0" w14:lon="0" w14:rev="0"/>
              </w14:lightRig>
            </w14:scene3d>
          </w:rPr>
          <w:t>1.</w:t>
        </w:r>
        <w:r w:rsidR="00DF521C" w:rsidRPr="009E3DBC">
          <w:rPr>
            <w:rFonts w:ascii="Tahoma" w:eastAsiaTheme="minorEastAsia" w:hAnsi="Tahoma" w:cs="Tahoma"/>
            <w:iCs/>
            <w:noProof/>
            <w:sz w:val="24"/>
            <w:szCs w:val="24"/>
            <w:lang w:eastAsia="fr-FR"/>
          </w:rPr>
          <w:tab/>
        </w:r>
        <w:r w:rsidR="00DF521C" w:rsidRPr="009E3DBC">
          <w:rPr>
            <w:rStyle w:val="Lienhypertexte"/>
            <w:rFonts w:ascii="Tahoma" w:hAnsi="Tahoma" w:cs="Tahoma"/>
            <w:iCs/>
            <w:noProof/>
            <w:sz w:val="24"/>
            <w:szCs w:val="24"/>
          </w:rPr>
          <w:t>Causes directes et immédiates de la dégradation forestière au Maroc</w:t>
        </w:r>
        <w:r w:rsidR="00DF521C" w:rsidRPr="009E3DBC">
          <w:rPr>
            <w:rFonts w:ascii="Tahoma" w:hAnsi="Tahoma" w:cs="Tahoma"/>
            <w:iCs/>
            <w:noProof/>
            <w:webHidden/>
            <w:sz w:val="24"/>
            <w:szCs w:val="24"/>
          </w:rPr>
          <w:tab/>
        </w:r>
        <w:r w:rsidR="00DF521C" w:rsidRPr="009E3DBC">
          <w:rPr>
            <w:rFonts w:ascii="Tahoma" w:hAnsi="Tahoma" w:cs="Tahoma"/>
            <w:iCs/>
            <w:noProof/>
            <w:webHidden/>
            <w:sz w:val="24"/>
            <w:szCs w:val="24"/>
          </w:rPr>
          <w:fldChar w:fldCharType="begin"/>
        </w:r>
        <w:r w:rsidR="00DF521C" w:rsidRPr="009E3DBC">
          <w:rPr>
            <w:rFonts w:ascii="Tahoma" w:hAnsi="Tahoma" w:cs="Tahoma"/>
            <w:iCs/>
            <w:noProof/>
            <w:webHidden/>
            <w:sz w:val="24"/>
            <w:szCs w:val="24"/>
          </w:rPr>
          <w:instrText xml:space="preserve"> PAGEREF _Toc203643105 \h </w:instrText>
        </w:r>
        <w:r w:rsidR="00DF521C" w:rsidRPr="009E3DBC">
          <w:rPr>
            <w:rFonts w:ascii="Tahoma" w:hAnsi="Tahoma" w:cs="Tahoma"/>
            <w:iCs/>
            <w:noProof/>
            <w:webHidden/>
            <w:sz w:val="24"/>
            <w:szCs w:val="24"/>
          </w:rPr>
        </w:r>
        <w:r w:rsidR="00DF521C" w:rsidRPr="009E3DBC">
          <w:rPr>
            <w:rFonts w:ascii="Tahoma" w:hAnsi="Tahoma" w:cs="Tahoma"/>
            <w:iCs/>
            <w:noProof/>
            <w:webHidden/>
            <w:sz w:val="24"/>
            <w:szCs w:val="24"/>
          </w:rPr>
          <w:fldChar w:fldCharType="separate"/>
        </w:r>
        <w:r w:rsidR="00124AFB">
          <w:rPr>
            <w:rFonts w:ascii="Tahoma" w:hAnsi="Tahoma" w:cs="Tahoma"/>
            <w:iCs/>
            <w:noProof/>
            <w:webHidden/>
            <w:sz w:val="24"/>
            <w:szCs w:val="24"/>
          </w:rPr>
          <w:t>316</w:t>
        </w:r>
        <w:r w:rsidR="00DF521C" w:rsidRPr="009E3DBC">
          <w:rPr>
            <w:rFonts w:ascii="Tahoma" w:hAnsi="Tahoma" w:cs="Tahoma"/>
            <w:iCs/>
            <w:noProof/>
            <w:webHidden/>
            <w:sz w:val="24"/>
            <w:szCs w:val="24"/>
          </w:rPr>
          <w:fldChar w:fldCharType="end"/>
        </w:r>
      </w:hyperlink>
    </w:p>
    <w:p w:rsidR="00DF521C" w:rsidRPr="009E3DBC" w:rsidRDefault="00642CE5" w:rsidP="00B84FD6">
      <w:pPr>
        <w:pStyle w:val="TM5"/>
        <w:tabs>
          <w:tab w:val="left" w:pos="1320"/>
          <w:tab w:val="right" w:leader="dot" w:pos="9346"/>
        </w:tabs>
        <w:spacing w:line="360" w:lineRule="auto"/>
        <w:jc w:val="both"/>
        <w:rPr>
          <w:rFonts w:ascii="Tahoma" w:eastAsiaTheme="minorEastAsia" w:hAnsi="Tahoma" w:cs="Tahoma"/>
          <w:iCs/>
          <w:noProof/>
          <w:sz w:val="24"/>
          <w:szCs w:val="24"/>
          <w:lang w:eastAsia="fr-FR"/>
        </w:rPr>
      </w:pPr>
      <w:hyperlink w:anchor="_Toc203643106" w:history="1">
        <w:r w:rsidR="00DF521C" w:rsidRPr="009E3DBC">
          <w:rPr>
            <w:rStyle w:val="Lienhypertexte"/>
            <w:rFonts w:ascii="Tahoma" w:hAnsi="Tahoma" w:cs="Tahoma"/>
            <w:iCs/>
            <w:noProof/>
            <w:sz w:val="24"/>
            <w:szCs w:val="24"/>
          </w:rPr>
          <w:t>a.</w:t>
        </w:r>
        <w:r w:rsidR="00DF521C" w:rsidRPr="009E3DBC">
          <w:rPr>
            <w:rFonts w:ascii="Tahoma" w:eastAsiaTheme="minorEastAsia" w:hAnsi="Tahoma" w:cs="Tahoma"/>
            <w:iCs/>
            <w:noProof/>
            <w:sz w:val="24"/>
            <w:szCs w:val="24"/>
            <w:lang w:eastAsia="fr-FR"/>
          </w:rPr>
          <w:tab/>
        </w:r>
        <w:r w:rsidR="00DF521C" w:rsidRPr="009E3DBC">
          <w:rPr>
            <w:rStyle w:val="Lienhypertexte"/>
            <w:rFonts w:ascii="Tahoma" w:hAnsi="Tahoma" w:cs="Tahoma"/>
            <w:iCs/>
            <w:noProof/>
            <w:sz w:val="24"/>
            <w:szCs w:val="24"/>
          </w:rPr>
          <w:t>Pression démographique et la demande croissante en ressources</w:t>
        </w:r>
        <w:r w:rsidR="00DF521C" w:rsidRPr="009E3DBC">
          <w:rPr>
            <w:rFonts w:ascii="Tahoma" w:hAnsi="Tahoma" w:cs="Tahoma"/>
            <w:iCs/>
            <w:noProof/>
            <w:webHidden/>
            <w:sz w:val="24"/>
            <w:szCs w:val="24"/>
          </w:rPr>
          <w:tab/>
        </w:r>
        <w:r w:rsidR="00DF521C" w:rsidRPr="009E3DBC">
          <w:rPr>
            <w:rFonts w:ascii="Tahoma" w:hAnsi="Tahoma" w:cs="Tahoma"/>
            <w:iCs/>
            <w:noProof/>
            <w:webHidden/>
            <w:sz w:val="24"/>
            <w:szCs w:val="24"/>
          </w:rPr>
          <w:fldChar w:fldCharType="begin"/>
        </w:r>
        <w:r w:rsidR="00DF521C" w:rsidRPr="009E3DBC">
          <w:rPr>
            <w:rFonts w:ascii="Tahoma" w:hAnsi="Tahoma" w:cs="Tahoma"/>
            <w:iCs/>
            <w:noProof/>
            <w:webHidden/>
            <w:sz w:val="24"/>
            <w:szCs w:val="24"/>
          </w:rPr>
          <w:instrText xml:space="preserve"> PAGEREF _Toc203643106 \h </w:instrText>
        </w:r>
        <w:r w:rsidR="00DF521C" w:rsidRPr="009E3DBC">
          <w:rPr>
            <w:rFonts w:ascii="Tahoma" w:hAnsi="Tahoma" w:cs="Tahoma"/>
            <w:iCs/>
            <w:noProof/>
            <w:webHidden/>
            <w:sz w:val="24"/>
            <w:szCs w:val="24"/>
          </w:rPr>
        </w:r>
        <w:r w:rsidR="00DF521C" w:rsidRPr="009E3DBC">
          <w:rPr>
            <w:rFonts w:ascii="Tahoma" w:hAnsi="Tahoma" w:cs="Tahoma"/>
            <w:iCs/>
            <w:noProof/>
            <w:webHidden/>
            <w:sz w:val="24"/>
            <w:szCs w:val="24"/>
          </w:rPr>
          <w:fldChar w:fldCharType="separate"/>
        </w:r>
        <w:r w:rsidR="00124AFB">
          <w:rPr>
            <w:rFonts w:ascii="Tahoma" w:hAnsi="Tahoma" w:cs="Tahoma"/>
            <w:iCs/>
            <w:noProof/>
            <w:webHidden/>
            <w:sz w:val="24"/>
            <w:szCs w:val="24"/>
          </w:rPr>
          <w:t>316</w:t>
        </w:r>
        <w:r w:rsidR="00DF521C" w:rsidRPr="009E3DBC">
          <w:rPr>
            <w:rFonts w:ascii="Tahoma" w:hAnsi="Tahoma" w:cs="Tahoma"/>
            <w:iCs/>
            <w:noProof/>
            <w:webHidden/>
            <w:sz w:val="24"/>
            <w:szCs w:val="24"/>
          </w:rPr>
          <w:fldChar w:fldCharType="end"/>
        </w:r>
      </w:hyperlink>
    </w:p>
    <w:p w:rsidR="00DF521C" w:rsidRPr="009E3DBC" w:rsidRDefault="00642CE5" w:rsidP="00B84FD6">
      <w:pPr>
        <w:pStyle w:val="TM5"/>
        <w:tabs>
          <w:tab w:val="left" w:pos="1320"/>
          <w:tab w:val="right" w:leader="dot" w:pos="9346"/>
        </w:tabs>
        <w:spacing w:line="360" w:lineRule="auto"/>
        <w:jc w:val="both"/>
        <w:rPr>
          <w:rFonts w:ascii="Tahoma" w:eastAsiaTheme="minorEastAsia" w:hAnsi="Tahoma" w:cs="Tahoma"/>
          <w:iCs/>
          <w:noProof/>
          <w:sz w:val="24"/>
          <w:szCs w:val="24"/>
          <w:lang w:eastAsia="fr-FR"/>
        </w:rPr>
      </w:pPr>
      <w:hyperlink w:anchor="_Toc203643107" w:history="1">
        <w:r w:rsidR="00DF521C" w:rsidRPr="009E3DBC">
          <w:rPr>
            <w:rStyle w:val="Lienhypertexte"/>
            <w:rFonts w:ascii="Tahoma" w:hAnsi="Tahoma" w:cs="Tahoma"/>
            <w:iCs/>
            <w:noProof/>
            <w:sz w:val="24"/>
            <w:szCs w:val="24"/>
          </w:rPr>
          <w:t>b.</w:t>
        </w:r>
        <w:r w:rsidR="00DF521C" w:rsidRPr="009E3DBC">
          <w:rPr>
            <w:rFonts w:ascii="Tahoma" w:eastAsiaTheme="minorEastAsia" w:hAnsi="Tahoma" w:cs="Tahoma"/>
            <w:iCs/>
            <w:noProof/>
            <w:sz w:val="24"/>
            <w:szCs w:val="24"/>
            <w:lang w:eastAsia="fr-FR"/>
          </w:rPr>
          <w:tab/>
        </w:r>
        <w:r w:rsidR="00DF521C" w:rsidRPr="009E3DBC">
          <w:rPr>
            <w:rStyle w:val="Lienhypertexte"/>
            <w:rFonts w:ascii="Tahoma" w:hAnsi="Tahoma" w:cs="Tahoma"/>
            <w:iCs/>
            <w:noProof/>
            <w:sz w:val="24"/>
            <w:szCs w:val="24"/>
          </w:rPr>
          <w:t>Insuffisance des financements publics : obstacle majeur à la réalisation des objectifs de reboisement</w:t>
        </w:r>
        <w:r w:rsidR="00DF521C" w:rsidRPr="009E3DBC">
          <w:rPr>
            <w:rFonts w:ascii="Tahoma" w:hAnsi="Tahoma" w:cs="Tahoma"/>
            <w:iCs/>
            <w:noProof/>
            <w:webHidden/>
            <w:sz w:val="24"/>
            <w:szCs w:val="24"/>
          </w:rPr>
          <w:tab/>
        </w:r>
        <w:r w:rsidR="00DF521C" w:rsidRPr="009E3DBC">
          <w:rPr>
            <w:rFonts w:ascii="Tahoma" w:hAnsi="Tahoma" w:cs="Tahoma"/>
            <w:iCs/>
            <w:noProof/>
            <w:webHidden/>
            <w:sz w:val="24"/>
            <w:szCs w:val="24"/>
          </w:rPr>
          <w:fldChar w:fldCharType="begin"/>
        </w:r>
        <w:r w:rsidR="00DF521C" w:rsidRPr="009E3DBC">
          <w:rPr>
            <w:rFonts w:ascii="Tahoma" w:hAnsi="Tahoma" w:cs="Tahoma"/>
            <w:iCs/>
            <w:noProof/>
            <w:webHidden/>
            <w:sz w:val="24"/>
            <w:szCs w:val="24"/>
          </w:rPr>
          <w:instrText xml:space="preserve"> PAGEREF _Toc203643107 \h </w:instrText>
        </w:r>
        <w:r w:rsidR="00DF521C" w:rsidRPr="009E3DBC">
          <w:rPr>
            <w:rFonts w:ascii="Tahoma" w:hAnsi="Tahoma" w:cs="Tahoma"/>
            <w:iCs/>
            <w:noProof/>
            <w:webHidden/>
            <w:sz w:val="24"/>
            <w:szCs w:val="24"/>
          </w:rPr>
        </w:r>
        <w:r w:rsidR="00DF521C" w:rsidRPr="009E3DBC">
          <w:rPr>
            <w:rFonts w:ascii="Tahoma" w:hAnsi="Tahoma" w:cs="Tahoma"/>
            <w:iCs/>
            <w:noProof/>
            <w:webHidden/>
            <w:sz w:val="24"/>
            <w:szCs w:val="24"/>
          </w:rPr>
          <w:fldChar w:fldCharType="separate"/>
        </w:r>
        <w:r w:rsidR="00124AFB">
          <w:rPr>
            <w:rFonts w:ascii="Tahoma" w:hAnsi="Tahoma" w:cs="Tahoma"/>
            <w:iCs/>
            <w:noProof/>
            <w:webHidden/>
            <w:sz w:val="24"/>
            <w:szCs w:val="24"/>
          </w:rPr>
          <w:t>317</w:t>
        </w:r>
        <w:r w:rsidR="00DF521C" w:rsidRPr="009E3DBC">
          <w:rPr>
            <w:rFonts w:ascii="Tahoma" w:hAnsi="Tahoma" w:cs="Tahoma"/>
            <w:iCs/>
            <w:noProof/>
            <w:webHidden/>
            <w:sz w:val="24"/>
            <w:szCs w:val="24"/>
          </w:rPr>
          <w:fldChar w:fldCharType="end"/>
        </w:r>
      </w:hyperlink>
    </w:p>
    <w:p w:rsidR="00DF521C" w:rsidRPr="009E3DBC" w:rsidRDefault="00642CE5" w:rsidP="00B84FD6">
      <w:pPr>
        <w:pStyle w:val="TM5"/>
        <w:tabs>
          <w:tab w:val="left" w:pos="1320"/>
          <w:tab w:val="right" w:leader="dot" w:pos="9346"/>
        </w:tabs>
        <w:spacing w:line="360" w:lineRule="auto"/>
        <w:jc w:val="both"/>
        <w:rPr>
          <w:rFonts w:ascii="Tahoma" w:eastAsiaTheme="minorEastAsia" w:hAnsi="Tahoma" w:cs="Tahoma"/>
          <w:iCs/>
          <w:noProof/>
          <w:sz w:val="24"/>
          <w:szCs w:val="24"/>
          <w:lang w:eastAsia="fr-FR"/>
        </w:rPr>
      </w:pPr>
      <w:hyperlink w:anchor="_Toc203643108" w:history="1">
        <w:r w:rsidR="00DF521C" w:rsidRPr="009E3DBC">
          <w:rPr>
            <w:rStyle w:val="Lienhypertexte"/>
            <w:rFonts w:ascii="Tahoma" w:hAnsi="Tahoma" w:cs="Tahoma"/>
            <w:iCs/>
            <w:noProof/>
            <w:sz w:val="24"/>
            <w:szCs w:val="24"/>
          </w:rPr>
          <w:t>c.</w:t>
        </w:r>
        <w:r w:rsidR="00DF521C" w:rsidRPr="009E3DBC">
          <w:rPr>
            <w:rFonts w:ascii="Tahoma" w:eastAsiaTheme="minorEastAsia" w:hAnsi="Tahoma" w:cs="Tahoma"/>
            <w:iCs/>
            <w:noProof/>
            <w:sz w:val="24"/>
            <w:szCs w:val="24"/>
            <w:lang w:eastAsia="fr-FR"/>
          </w:rPr>
          <w:tab/>
        </w:r>
        <w:r w:rsidR="00DF521C" w:rsidRPr="009E3DBC">
          <w:rPr>
            <w:rStyle w:val="Lienhypertexte"/>
            <w:rFonts w:ascii="Tahoma" w:hAnsi="Tahoma" w:cs="Tahoma"/>
            <w:iCs/>
            <w:noProof/>
            <w:sz w:val="24"/>
            <w:szCs w:val="24"/>
          </w:rPr>
          <w:t>Gestion Une gestion opérationnelle non intégrée et des dispositifs inadaptés</w:t>
        </w:r>
        <w:r w:rsidR="00DF521C" w:rsidRPr="009E3DBC">
          <w:rPr>
            <w:rFonts w:ascii="Tahoma" w:hAnsi="Tahoma" w:cs="Tahoma"/>
            <w:iCs/>
            <w:noProof/>
            <w:webHidden/>
            <w:sz w:val="24"/>
            <w:szCs w:val="24"/>
          </w:rPr>
          <w:tab/>
        </w:r>
        <w:r w:rsidR="00DF521C" w:rsidRPr="009E3DBC">
          <w:rPr>
            <w:rFonts w:ascii="Tahoma" w:hAnsi="Tahoma" w:cs="Tahoma"/>
            <w:iCs/>
            <w:noProof/>
            <w:webHidden/>
            <w:sz w:val="24"/>
            <w:szCs w:val="24"/>
          </w:rPr>
          <w:fldChar w:fldCharType="begin"/>
        </w:r>
        <w:r w:rsidR="00DF521C" w:rsidRPr="009E3DBC">
          <w:rPr>
            <w:rFonts w:ascii="Tahoma" w:hAnsi="Tahoma" w:cs="Tahoma"/>
            <w:iCs/>
            <w:noProof/>
            <w:webHidden/>
            <w:sz w:val="24"/>
            <w:szCs w:val="24"/>
          </w:rPr>
          <w:instrText xml:space="preserve"> PAGEREF _Toc203643108 \h </w:instrText>
        </w:r>
        <w:r w:rsidR="00DF521C" w:rsidRPr="009E3DBC">
          <w:rPr>
            <w:rFonts w:ascii="Tahoma" w:hAnsi="Tahoma" w:cs="Tahoma"/>
            <w:iCs/>
            <w:noProof/>
            <w:webHidden/>
            <w:sz w:val="24"/>
            <w:szCs w:val="24"/>
          </w:rPr>
        </w:r>
        <w:r w:rsidR="00DF521C" w:rsidRPr="009E3DBC">
          <w:rPr>
            <w:rFonts w:ascii="Tahoma" w:hAnsi="Tahoma" w:cs="Tahoma"/>
            <w:iCs/>
            <w:noProof/>
            <w:webHidden/>
            <w:sz w:val="24"/>
            <w:szCs w:val="24"/>
          </w:rPr>
          <w:fldChar w:fldCharType="separate"/>
        </w:r>
        <w:r w:rsidR="00124AFB">
          <w:rPr>
            <w:rFonts w:ascii="Tahoma" w:hAnsi="Tahoma" w:cs="Tahoma"/>
            <w:iCs/>
            <w:noProof/>
            <w:webHidden/>
            <w:sz w:val="24"/>
            <w:szCs w:val="24"/>
          </w:rPr>
          <w:t>319</w:t>
        </w:r>
        <w:r w:rsidR="00DF521C" w:rsidRPr="009E3DBC">
          <w:rPr>
            <w:rFonts w:ascii="Tahoma" w:hAnsi="Tahoma" w:cs="Tahoma"/>
            <w:iCs/>
            <w:noProof/>
            <w:webHidden/>
            <w:sz w:val="24"/>
            <w:szCs w:val="24"/>
          </w:rPr>
          <w:fldChar w:fldCharType="end"/>
        </w:r>
      </w:hyperlink>
    </w:p>
    <w:p w:rsidR="00DF521C" w:rsidRPr="009E3DBC" w:rsidRDefault="00642CE5" w:rsidP="00B84FD6">
      <w:pPr>
        <w:pStyle w:val="TM4"/>
        <w:tabs>
          <w:tab w:val="left" w:pos="1100"/>
          <w:tab w:val="right" w:leader="dot" w:pos="9346"/>
        </w:tabs>
        <w:spacing w:line="360" w:lineRule="auto"/>
        <w:jc w:val="both"/>
        <w:rPr>
          <w:rFonts w:ascii="Tahoma" w:eastAsiaTheme="minorEastAsia" w:hAnsi="Tahoma" w:cs="Tahoma"/>
          <w:iCs/>
          <w:noProof/>
          <w:sz w:val="24"/>
          <w:szCs w:val="24"/>
          <w:lang w:eastAsia="fr-FR"/>
        </w:rPr>
      </w:pPr>
      <w:hyperlink w:anchor="_Toc203643109" w:history="1">
        <w:r w:rsidR="00DF521C" w:rsidRPr="009E3DBC">
          <w:rPr>
            <w:rStyle w:val="Lienhypertexte"/>
            <w:rFonts w:ascii="Tahoma" w:hAnsi="Tahoma" w:cs="Tahoma"/>
            <w:iCs/>
            <w:noProof/>
            <w:sz w:val="24"/>
            <w:szCs w:val="24"/>
            <w14:scene3d>
              <w14:camera w14:prst="orthographicFront"/>
              <w14:lightRig w14:rig="threePt" w14:dir="t">
                <w14:rot w14:lat="0" w14:lon="0" w14:rev="0"/>
              </w14:lightRig>
            </w14:scene3d>
          </w:rPr>
          <w:t>2.</w:t>
        </w:r>
        <w:r w:rsidR="00DF521C" w:rsidRPr="009E3DBC">
          <w:rPr>
            <w:rFonts w:ascii="Tahoma" w:eastAsiaTheme="minorEastAsia" w:hAnsi="Tahoma" w:cs="Tahoma"/>
            <w:iCs/>
            <w:noProof/>
            <w:sz w:val="24"/>
            <w:szCs w:val="24"/>
            <w:lang w:eastAsia="fr-FR"/>
          </w:rPr>
          <w:tab/>
        </w:r>
        <w:r w:rsidR="00DF521C" w:rsidRPr="009E3DBC">
          <w:rPr>
            <w:rStyle w:val="Lienhypertexte"/>
            <w:rFonts w:ascii="Tahoma" w:hAnsi="Tahoma" w:cs="Tahoma"/>
            <w:iCs/>
            <w:noProof/>
            <w:sz w:val="24"/>
            <w:szCs w:val="24"/>
          </w:rPr>
          <w:t>Facteurs structurels profonds et systémiques : une analyse des déterminants latents</w:t>
        </w:r>
        <w:r w:rsidR="00DF521C" w:rsidRPr="009E3DBC">
          <w:rPr>
            <w:rFonts w:ascii="Tahoma" w:hAnsi="Tahoma" w:cs="Tahoma"/>
            <w:iCs/>
            <w:noProof/>
            <w:webHidden/>
            <w:sz w:val="24"/>
            <w:szCs w:val="24"/>
          </w:rPr>
          <w:tab/>
        </w:r>
        <w:r w:rsidR="00DF521C" w:rsidRPr="009E3DBC">
          <w:rPr>
            <w:rFonts w:ascii="Tahoma" w:hAnsi="Tahoma" w:cs="Tahoma"/>
            <w:iCs/>
            <w:noProof/>
            <w:webHidden/>
            <w:sz w:val="24"/>
            <w:szCs w:val="24"/>
          </w:rPr>
          <w:fldChar w:fldCharType="begin"/>
        </w:r>
        <w:r w:rsidR="00DF521C" w:rsidRPr="009E3DBC">
          <w:rPr>
            <w:rFonts w:ascii="Tahoma" w:hAnsi="Tahoma" w:cs="Tahoma"/>
            <w:iCs/>
            <w:noProof/>
            <w:webHidden/>
            <w:sz w:val="24"/>
            <w:szCs w:val="24"/>
          </w:rPr>
          <w:instrText xml:space="preserve"> PAGEREF _Toc203643109 \h </w:instrText>
        </w:r>
        <w:r w:rsidR="00DF521C" w:rsidRPr="009E3DBC">
          <w:rPr>
            <w:rFonts w:ascii="Tahoma" w:hAnsi="Tahoma" w:cs="Tahoma"/>
            <w:iCs/>
            <w:noProof/>
            <w:webHidden/>
            <w:sz w:val="24"/>
            <w:szCs w:val="24"/>
          </w:rPr>
        </w:r>
        <w:r w:rsidR="00DF521C" w:rsidRPr="009E3DBC">
          <w:rPr>
            <w:rFonts w:ascii="Tahoma" w:hAnsi="Tahoma" w:cs="Tahoma"/>
            <w:iCs/>
            <w:noProof/>
            <w:webHidden/>
            <w:sz w:val="24"/>
            <w:szCs w:val="24"/>
          </w:rPr>
          <w:fldChar w:fldCharType="separate"/>
        </w:r>
        <w:r w:rsidR="00124AFB">
          <w:rPr>
            <w:rFonts w:ascii="Tahoma" w:hAnsi="Tahoma" w:cs="Tahoma"/>
            <w:iCs/>
            <w:noProof/>
            <w:webHidden/>
            <w:sz w:val="24"/>
            <w:szCs w:val="24"/>
          </w:rPr>
          <w:t>321</w:t>
        </w:r>
        <w:r w:rsidR="00DF521C" w:rsidRPr="009E3DBC">
          <w:rPr>
            <w:rFonts w:ascii="Tahoma" w:hAnsi="Tahoma" w:cs="Tahoma"/>
            <w:iCs/>
            <w:noProof/>
            <w:webHidden/>
            <w:sz w:val="24"/>
            <w:szCs w:val="24"/>
          </w:rPr>
          <w:fldChar w:fldCharType="end"/>
        </w:r>
      </w:hyperlink>
    </w:p>
    <w:p w:rsidR="00DF521C" w:rsidRPr="009E3DBC" w:rsidRDefault="00642CE5" w:rsidP="00B84FD6">
      <w:pPr>
        <w:pStyle w:val="TM5"/>
        <w:tabs>
          <w:tab w:val="left" w:pos="1320"/>
          <w:tab w:val="right" w:leader="dot" w:pos="9346"/>
        </w:tabs>
        <w:spacing w:line="360" w:lineRule="auto"/>
        <w:jc w:val="both"/>
        <w:rPr>
          <w:rFonts w:ascii="Tahoma" w:eastAsiaTheme="minorEastAsia" w:hAnsi="Tahoma" w:cs="Tahoma"/>
          <w:iCs/>
          <w:noProof/>
          <w:sz w:val="24"/>
          <w:szCs w:val="24"/>
          <w:lang w:eastAsia="fr-FR"/>
        </w:rPr>
      </w:pPr>
      <w:hyperlink w:anchor="_Toc203643110" w:history="1">
        <w:r w:rsidR="00DF521C" w:rsidRPr="009E3DBC">
          <w:rPr>
            <w:rStyle w:val="Lienhypertexte"/>
            <w:rFonts w:ascii="Tahoma" w:hAnsi="Tahoma" w:cs="Tahoma"/>
            <w:iCs/>
            <w:noProof/>
            <w:sz w:val="24"/>
            <w:szCs w:val="24"/>
          </w:rPr>
          <w:t>a.</w:t>
        </w:r>
        <w:r w:rsidR="00DF521C" w:rsidRPr="009E3DBC">
          <w:rPr>
            <w:rFonts w:ascii="Tahoma" w:eastAsiaTheme="minorEastAsia" w:hAnsi="Tahoma" w:cs="Tahoma"/>
            <w:iCs/>
            <w:noProof/>
            <w:sz w:val="24"/>
            <w:szCs w:val="24"/>
            <w:lang w:eastAsia="fr-FR"/>
          </w:rPr>
          <w:tab/>
        </w:r>
        <w:r w:rsidR="00DF521C" w:rsidRPr="009E3DBC">
          <w:rPr>
            <w:rStyle w:val="Lienhypertexte"/>
            <w:rFonts w:ascii="Tahoma" w:hAnsi="Tahoma" w:cs="Tahoma"/>
            <w:iCs/>
            <w:noProof/>
            <w:sz w:val="24"/>
            <w:szCs w:val="24"/>
          </w:rPr>
          <w:t>Le Sous-développement rural comme moteur latent de la dégradation forestière</w:t>
        </w:r>
        <w:r w:rsidR="00DF521C" w:rsidRPr="009E3DBC">
          <w:rPr>
            <w:rFonts w:ascii="Tahoma" w:hAnsi="Tahoma" w:cs="Tahoma"/>
            <w:iCs/>
            <w:noProof/>
            <w:webHidden/>
            <w:sz w:val="24"/>
            <w:szCs w:val="24"/>
          </w:rPr>
          <w:tab/>
        </w:r>
        <w:r w:rsidR="00DF521C" w:rsidRPr="009E3DBC">
          <w:rPr>
            <w:rFonts w:ascii="Tahoma" w:hAnsi="Tahoma" w:cs="Tahoma"/>
            <w:iCs/>
            <w:noProof/>
            <w:webHidden/>
            <w:sz w:val="24"/>
            <w:szCs w:val="24"/>
          </w:rPr>
          <w:fldChar w:fldCharType="begin"/>
        </w:r>
        <w:r w:rsidR="00DF521C" w:rsidRPr="009E3DBC">
          <w:rPr>
            <w:rFonts w:ascii="Tahoma" w:hAnsi="Tahoma" w:cs="Tahoma"/>
            <w:iCs/>
            <w:noProof/>
            <w:webHidden/>
            <w:sz w:val="24"/>
            <w:szCs w:val="24"/>
          </w:rPr>
          <w:instrText xml:space="preserve"> PAGEREF _Toc203643110 \h </w:instrText>
        </w:r>
        <w:r w:rsidR="00DF521C" w:rsidRPr="009E3DBC">
          <w:rPr>
            <w:rFonts w:ascii="Tahoma" w:hAnsi="Tahoma" w:cs="Tahoma"/>
            <w:iCs/>
            <w:noProof/>
            <w:webHidden/>
            <w:sz w:val="24"/>
            <w:szCs w:val="24"/>
          </w:rPr>
        </w:r>
        <w:r w:rsidR="00DF521C" w:rsidRPr="009E3DBC">
          <w:rPr>
            <w:rFonts w:ascii="Tahoma" w:hAnsi="Tahoma" w:cs="Tahoma"/>
            <w:iCs/>
            <w:noProof/>
            <w:webHidden/>
            <w:sz w:val="24"/>
            <w:szCs w:val="24"/>
          </w:rPr>
          <w:fldChar w:fldCharType="separate"/>
        </w:r>
        <w:r w:rsidR="00124AFB">
          <w:rPr>
            <w:rFonts w:ascii="Tahoma" w:hAnsi="Tahoma" w:cs="Tahoma"/>
            <w:iCs/>
            <w:noProof/>
            <w:webHidden/>
            <w:sz w:val="24"/>
            <w:szCs w:val="24"/>
          </w:rPr>
          <w:t>322</w:t>
        </w:r>
        <w:r w:rsidR="00DF521C" w:rsidRPr="009E3DBC">
          <w:rPr>
            <w:rFonts w:ascii="Tahoma" w:hAnsi="Tahoma" w:cs="Tahoma"/>
            <w:iCs/>
            <w:noProof/>
            <w:webHidden/>
            <w:sz w:val="24"/>
            <w:szCs w:val="24"/>
          </w:rPr>
          <w:fldChar w:fldCharType="end"/>
        </w:r>
      </w:hyperlink>
    </w:p>
    <w:p w:rsidR="00DF521C" w:rsidRPr="009E3DBC" w:rsidRDefault="00642CE5" w:rsidP="00B84FD6">
      <w:pPr>
        <w:pStyle w:val="TM5"/>
        <w:tabs>
          <w:tab w:val="left" w:pos="1320"/>
          <w:tab w:val="right" w:leader="dot" w:pos="9346"/>
        </w:tabs>
        <w:spacing w:line="360" w:lineRule="auto"/>
        <w:jc w:val="both"/>
        <w:rPr>
          <w:rFonts w:ascii="Tahoma" w:eastAsiaTheme="minorEastAsia" w:hAnsi="Tahoma" w:cs="Tahoma"/>
          <w:iCs/>
          <w:noProof/>
          <w:sz w:val="24"/>
          <w:szCs w:val="24"/>
          <w:lang w:eastAsia="fr-FR"/>
        </w:rPr>
      </w:pPr>
      <w:hyperlink w:anchor="_Toc203643111" w:history="1">
        <w:r w:rsidR="00DF521C" w:rsidRPr="009E3DBC">
          <w:rPr>
            <w:rStyle w:val="Lienhypertexte"/>
            <w:rFonts w:ascii="Tahoma" w:hAnsi="Tahoma" w:cs="Tahoma"/>
            <w:iCs/>
            <w:noProof/>
            <w:sz w:val="24"/>
            <w:szCs w:val="24"/>
          </w:rPr>
          <w:t>b.</w:t>
        </w:r>
        <w:r w:rsidR="00DF521C" w:rsidRPr="009E3DBC">
          <w:rPr>
            <w:rFonts w:ascii="Tahoma" w:eastAsiaTheme="minorEastAsia" w:hAnsi="Tahoma" w:cs="Tahoma"/>
            <w:iCs/>
            <w:noProof/>
            <w:sz w:val="24"/>
            <w:szCs w:val="24"/>
            <w:lang w:eastAsia="fr-FR"/>
          </w:rPr>
          <w:tab/>
        </w:r>
        <w:r w:rsidR="00DF521C" w:rsidRPr="009E3DBC">
          <w:rPr>
            <w:rStyle w:val="Lienhypertexte"/>
            <w:rFonts w:ascii="Tahoma" w:hAnsi="Tahoma" w:cs="Tahoma"/>
            <w:iCs/>
            <w:noProof/>
            <w:sz w:val="24"/>
            <w:szCs w:val="24"/>
          </w:rPr>
          <w:t>L’absence d’un réseau national de recherche et d’innovation forestière</w:t>
        </w:r>
        <w:r w:rsidR="00DF521C" w:rsidRPr="009E3DBC">
          <w:rPr>
            <w:rFonts w:ascii="Tahoma" w:hAnsi="Tahoma" w:cs="Tahoma"/>
            <w:iCs/>
            <w:noProof/>
            <w:webHidden/>
            <w:sz w:val="24"/>
            <w:szCs w:val="24"/>
          </w:rPr>
          <w:tab/>
        </w:r>
        <w:r w:rsidR="00DF521C" w:rsidRPr="009E3DBC">
          <w:rPr>
            <w:rFonts w:ascii="Tahoma" w:hAnsi="Tahoma" w:cs="Tahoma"/>
            <w:iCs/>
            <w:noProof/>
            <w:webHidden/>
            <w:sz w:val="24"/>
            <w:szCs w:val="24"/>
          </w:rPr>
          <w:fldChar w:fldCharType="begin"/>
        </w:r>
        <w:r w:rsidR="00DF521C" w:rsidRPr="009E3DBC">
          <w:rPr>
            <w:rFonts w:ascii="Tahoma" w:hAnsi="Tahoma" w:cs="Tahoma"/>
            <w:iCs/>
            <w:noProof/>
            <w:webHidden/>
            <w:sz w:val="24"/>
            <w:szCs w:val="24"/>
          </w:rPr>
          <w:instrText xml:space="preserve"> PAGEREF _Toc203643111 \h </w:instrText>
        </w:r>
        <w:r w:rsidR="00DF521C" w:rsidRPr="009E3DBC">
          <w:rPr>
            <w:rFonts w:ascii="Tahoma" w:hAnsi="Tahoma" w:cs="Tahoma"/>
            <w:iCs/>
            <w:noProof/>
            <w:webHidden/>
            <w:sz w:val="24"/>
            <w:szCs w:val="24"/>
          </w:rPr>
        </w:r>
        <w:r w:rsidR="00DF521C" w:rsidRPr="009E3DBC">
          <w:rPr>
            <w:rFonts w:ascii="Tahoma" w:hAnsi="Tahoma" w:cs="Tahoma"/>
            <w:iCs/>
            <w:noProof/>
            <w:webHidden/>
            <w:sz w:val="24"/>
            <w:szCs w:val="24"/>
          </w:rPr>
          <w:fldChar w:fldCharType="separate"/>
        </w:r>
        <w:r w:rsidR="00124AFB">
          <w:rPr>
            <w:rFonts w:ascii="Tahoma" w:hAnsi="Tahoma" w:cs="Tahoma"/>
            <w:iCs/>
            <w:noProof/>
            <w:webHidden/>
            <w:sz w:val="24"/>
            <w:szCs w:val="24"/>
          </w:rPr>
          <w:t>324</w:t>
        </w:r>
        <w:r w:rsidR="00DF521C" w:rsidRPr="009E3DBC">
          <w:rPr>
            <w:rFonts w:ascii="Tahoma" w:hAnsi="Tahoma" w:cs="Tahoma"/>
            <w:iCs/>
            <w:noProof/>
            <w:webHidden/>
            <w:sz w:val="24"/>
            <w:szCs w:val="24"/>
          </w:rPr>
          <w:fldChar w:fldCharType="end"/>
        </w:r>
      </w:hyperlink>
    </w:p>
    <w:p w:rsidR="00DF521C" w:rsidRPr="009E3DBC" w:rsidRDefault="00642CE5" w:rsidP="00B84FD6">
      <w:pPr>
        <w:pStyle w:val="TM5"/>
        <w:tabs>
          <w:tab w:val="left" w:pos="1320"/>
          <w:tab w:val="right" w:leader="dot" w:pos="9346"/>
        </w:tabs>
        <w:spacing w:line="360" w:lineRule="auto"/>
        <w:jc w:val="both"/>
        <w:rPr>
          <w:rFonts w:ascii="Tahoma" w:eastAsiaTheme="minorEastAsia" w:hAnsi="Tahoma" w:cs="Tahoma"/>
          <w:iCs/>
          <w:noProof/>
          <w:sz w:val="24"/>
          <w:szCs w:val="24"/>
          <w:lang w:eastAsia="fr-FR"/>
        </w:rPr>
      </w:pPr>
      <w:hyperlink w:anchor="_Toc203643112" w:history="1">
        <w:r w:rsidR="00DF521C" w:rsidRPr="009E3DBC">
          <w:rPr>
            <w:rStyle w:val="Lienhypertexte"/>
            <w:rFonts w:ascii="Tahoma" w:hAnsi="Tahoma" w:cs="Tahoma"/>
            <w:iCs/>
            <w:noProof/>
            <w:sz w:val="24"/>
            <w:szCs w:val="24"/>
          </w:rPr>
          <w:t>c.</w:t>
        </w:r>
        <w:r w:rsidR="00DF521C" w:rsidRPr="009E3DBC">
          <w:rPr>
            <w:rFonts w:ascii="Tahoma" w:eastAsiaTheme="minorEastAsia" w:hAnsi="Tahoma" w:cs="Tahoma"/>
            <w:iCs/>
            <w:noProof/>
            <w:sz w:val="24"/>
            <w:szCs w:val="24"/>
            <w:lang w:eastAsia="fr-FR"/>
          </w:rPr>
          <w:tab/>
        </w:r>
        <w:r w:rsidR="00DF521C" w:rsidRPr="009E3DBC">
          <w:rPr>
            <w:rStyle w:val="Lienhypertexte"/>
            <w:rFonts w:ascii="Tahoma" w:hAnsi="Tahoma" w:cs="Tahoma"/>
            <w:iCs/>
            <w:noProof/>
            <w:sz w:val="24"/>
            <w:szCs w:val="24"/>
          </w:rPr>
          <w:t>L’impact croissant du changement climatique : une menace systémique aux équilibres écologiques</w:t>
        </w:r>
        <w:r w:rsidR="00DF521C" w:rsidRPr="009E3DBC">
          <w:rPr>
            <w:rFonts w:ascii="Tahoma" w:hAnsi="Tahoma" w:cs="Tahoma"/>
            <w:iCs/>
            <w:noProof/>
            <w:webHidden/>
            <w:sz w:val="24"/>
            <w:szCs w:val="24"/>
          </w:rPr>
          <w:tab/>
        </w:r>
        <w:r w:rsidR="00DF521C" w:rsidRPr="009E3DBC">
          <w:rPr>
            <w:rFonts w:ascii="Tahoma" w:hAnsi="Tahoma" w:cs="Tahoma"/>
            <w:iCs/>
            <w:noProof/>
            <w:webHidden/>
            <w:sz w:val="24"/>
            <w:szCs w:val="24"/>
          </w:rPr>
          <w:fldChar w:fldCharType="begin"/>
        </w:r>
        <w:r w:rsidR="00DF521C" w:rsidRPr="009E3DBC">
          <w:rPr>
            <w:rFonts w:ascii="Tahoma" w:hAnsi="Tahoma" w:cs="Tahoma"/>
            <w:iCs/>
            <w:noProof/>
            <w:webHidden/>
            <w:sz w:val="24"/>
            <w:szCs w:val="24"/>
          </w:rPr>
          <w:instrText xml:space="preserve"> PAGEREF _Toc203643112 \h </w:instrText>
        </w:r>
        <w:r w:rsidR="00DF521C" w:rsidRPr="009E3DBC">
          <w:rPr>
            <w:rFonts w:ascii="Tahoma" w:hAnsi="Tahoma" w:cs="Tahoma"/>
            <w:iCs/>
            <w:noProof/>
            <w:webHidden/>
            <w:sz w:val="24"/>
            <w:szCs w:val="24"/>
          </w:rPr>
        </w:r>
        <w:r w:rsidR="00DF521C" w:rsidRPr="009E3DBC">
          <w:rPr>
            <w:rFonts w:ascii="Tahoma" w:hAnsi="Tahoma" w:cs="Tahoma"/>
            <w:iCs/>
            <w:noProof/>
            <w:webHidden/>
            <w:sz w:val="24"/>
            <w:szCs w:val="24"/>
          </w:rPr>
          <w:fldChar w:fldCharType="separate"/>
        </w:r>
        <w:r w:rsidR="00124AFB">
          <w:rPr>
            <w:rFonts w:ascii="Tahoma" w:hAnsi="Tahoma" w:cs="Tahoma"/>
            <w:iCs/>
            <w:noProof/>
            <w:webHidden/>
            <w:sz w:val="24"/>
            <w:szCs w:val="24"/>
          </w:rPr>
          <w:t>326</w:t>
        </w:r>
        <w:r w:rsidR="00DF521C" w:rsidRPr="009E3DBC">
          <w:rPr>
            <w:rFonts w:ascii="Tahoma" w:hAnsi="Tahoma" w:cs="Tahoma"/>
            <w:iCs/>
            <w:noProof/>
            <w:webHidden/>
            <w:sz w:val="24"/>
            <w:szCs w:val="24"/>
          </w:rPr>
          <w:fldChar w:fldCharType="end"/>
        </w:r>
      </w:hyperlink>
    </w:p>
    <w:p w:rsidR="00DF521C" w:rsidRPr="009E3DBC" w:rsidRDefault="00642CE5" w:rsidP="00B84FD6">
      <w:pPr>
        <w:pStyle w:val="TM3"/>
        <w:tabs>
          <w:tab w:val="left" w:pos="880"/>
          <w:tab w:val="right" w:leader="dot" w:pos="9346"/>
        </w:tabs>
        <w:spacing w:line="360" w:lineRule="auto"/>
        <w:jc w:val="both"/>
        <w:rPr>
          <w:rFonts w:ascii="Tahoma" w:eastAsiaTheme="minorEastAsia" w:hAnsi="Tahoma" w:cs="Tahoma"/>
          <w:i w:val="0"/>
          <w:noProof/>
          <w:sz w:val="24"/>
          <w:lang w:eastAsia="fr-FR"/>
        </w:rPr>
      </w:pPr>
      <w:hyperlink w:anchor="_Toc203643113" w:history="1">
        <w:r w:rsidR="00DF521C" w:rsidRPr="009E3DBC">
          <w:rPr>
            <w:rStyle w:val="Lienhypertexte"/>
            <w:rFonts w:ascii="Tahoma" w:hAnsi="Tahoma" w:cs="Tahoma"/>
            <w:i w:val="0"/>
            <w:noProof/>
            <w:sz w:val="24"/>
            <w14:scene3d>
              <w14:camera w14:prst="orthographicFront"/>
              <w14:lightRig w14:rig="threePt" w14:dir="t">
                <w14:rot w14:lat="0" w14:lon="0" w14:rev="0"/>
              </w14:lightRig>
            </w14:scene3d>
          </w:rPr>
          <w:t>B.</w:t>
        </w:r>
        <w:r w:rsidR="00DF521C" w:rsidRPr="009E3DBC">
          <w:rPr>
            <w:rFonts w:ascii="Tahoma" w:eastAsiaTheme="minorEastAsia" w:hAnsi="Tahoma" w:cs="Tahoma"/>
            <w:i w:val="0"/>
            <w:noProof/>
            <w:sz w:val="24"/>
            <w:lang w:eastAsia="fr-FR"/>
          </w:rPr>
          <w:tab/>
        </w:r>
        <w:r w:rsidR="00DF521C" w:rsidRPr="009E3DBC">
          <w:rPr>
            <w:rStyle w:val="Lienhypertexte"/>
            <w:rFonts w:ascii="Tahoma" w:hAnsi="Tahoma" w:cs="Tahoma"/>
            <w:i w:val="0"/>
            <w:noProof/>
            <w:sz w:val="24"/>
          </w:rPr>
          <w:t>Effets systémiques : vers une spirale de dégradation écologique et sociale</w:t>
        </w:r>
        <w:r w:rsidR="00DF521C" w:rsidRPr="009E3DBC">
          <w:rPr>
            <w:rFonts w:ascii="Tahoma" w:hAnsi="Tahoma" w:cs="Tahoma"/>
            <w:i w:val="0"/>
            <w:noProof/>
            <w:webHidden/>
            <w:sz w:val="24"/>
          </w:rPr>
          <w:tab/>
        </w:r>
        <w:r w:rsidR="00DF521C" w:rsidRPr="009E3DBC">
          <w:rPr>
            <w:rFonts w:ascii="Tahoma" w:hAnsi="Tahoma" w:cs="Tahoma"/>
            <w:i w:val="0"/>
            <w:noProof/>
            <w:webHidden/>
            <w:sz w:val="24"/>
          </w:rPr>
          <w:fldChar w:fldCharType="begin"/>
        </w:r>
        <w:r w:rsidR="00DF521C" w:rsidRPr="009E3DBC">
          <w:rPr>
            <w:rFonts w:ascii="Tahoma" w:hAnsi="Tahoma" w:cs="Tahoma"/>
            <w:i w:val="0"/>
            <w:noProof/>
            <w:webHidden/>
            <w:sz w:val="24"/>
          </w:rPr>
          <w:instrText xml:space="preserve"> PAGEREF _Toc203643113 \h </w:instrText>
        </w:r>
        <w:r w:rsidR="00DF521C" w:rsidRPr="009E3DBC">
          <w:rPr>
            <w:rFonts w:ascii="Tahoma" w:hAnsi="Tahoma" w:cs="Tahoma"/>
            <w:i w:val="0"/>
            <w:noProof/>
            <w:webHidden/>
            <w:sz w:val="24"/>
          </w:rPr>
        </w:r>
        <w:r w:rsidR="00DF521C" w:rsidRPr="009E3DBC">
          <w:rPr>
            <w:rFonts w:ascii="Tahoma" w:hAnsi="Tahoma" w:cs="Tahoma"/>
            <w:i w:val="0"/>
            <w:noProof/>
            <w:webHidden/>
            <w:sz w:val="24"/>
          </w:rPr>
          <w:fldChar w:fldCharType="separate"/>
        </w:r>
        <w:r w:rsidR="00124AFB">
          <w:rPr>
            <w:rFonts w:ascii="Tahoma" w:hAnsi="Tahoma" w:cs="Tahoma"/>
            <w:i w:val="0"/>
            <w:noProof/>
            <w:webHidden/>
            <w:sz w:val="24"/>
          </w:rPr>
          <w:t>330</w:t>
        </w:r>
        <w:r w:rsidR="00DF521C" w:rsidRPr="009E3DBC">
          <w:rPr>
            <w:rFonts w:ascii="Tahoma" w:hAnsi="Tahoma" w:cs="Tahoma"/>
            <w:i w:val="0"/>
            <w:noProof/>
            <w:webHidden/>
            <w:sz w:val="24"/>
          </w:rPr>
          <w:fldChar w:fldCharType="end"/>
        </w:r>
      </w:hyperlink>
    </w:p>
    <w:p w:rsidR="00DF521C" w:rsidRPr="009E3DBC" w:rsidRDefault="00642CE5" w:rsidP="00B84FD6">
      <w:pPr>
        <w:pStyle w:val="TM4"/>
        <w:tabs>
          <w:tab w:val="left" w:pos="1100"/>
          <w:tab w:val="right" w:leader="dot" w:pos="9346"/>
        </w:tabs>
        <w:spacing w:line="360" w:lineRule="auto"/>
        <w:jc w:val="both"/>
        <w:rPr>
          <w:rFonts w:ascii="Tahoma" w:eastAsiaTheme="minorEastAsia" w:hAnsi="Tahoma" w:cs="Tahoma"/>
          <w:iCs/>
          <w:noProof/>
          <w:sz w:val="24"/>
          <w:szCs w:val="24"/>
          <w:lang w:eastAsia="fr-FR"/>
        </w:rPr>
      </w:pPr>
      <w:hyperlink w:anchor="_Toc203643114" w:history="1">
        <w:r w:rsidR="00DF521C" w:rsidRPr="009E3DBC">
          <w:rPr>
            <w:rStyle w:val="Lienhypertexte"/>
            <w:rFonts w:ascii="Tahoma" w:hAnsi="Tahoma" w:cs="Tahoma"/>
            <w:iCs/>
            <w:noProof/>
            <w:sz w:val="24"/>
            <w:szCs w:val="24"/>
            <w14:scene3d>
              <w14:camera w14:prst="orthographicFront"/>
              <w14:lightRig w14:rig="threePt" w14:dir="t">
                <w14:rot w14:lat="0" w14:lon="0" w14:rev="0"/>
              </w14:lightRig>
            </w14:scene3d>
          </w:rPr>
          <w:t>1.</w:t>
        </w:r>
        <w:r w:rsidR="00DF521C" w:rsidRPr="009E3DBC">
          <w:rPr>
            <w:rFonts w:ascii="Tahoma" w:eastAsiaTheme="minorEastAsia" w:hAnsi="Tahoma" w:cs="Tahoma"/>
            <w:iCs/>
            <w:noProof/>
            <w:sz w:val="24"/>
            <w:szCs w:val="24"/>
            <w:lang w:eastAsia="fr-FR"/>
          </w:rPr>
          <w:tab/>
        </w:r>
        <w:r w:rsidR="00DF521C" w:rsidRPr="009E3DBC">
          <w:rPr>
            <w:rStyle w:val="Lienhypertexte"/>
            <w:rFonts w:ascii="Tahoma" w:hAnsi="Tahoma" w:cs="Tahoma"/>
            <w:iCs/>
            <w:noProof/>
            <w:sz w:val="24"/>
            <w:szCs w:val="24"/>
          </w:rPr>
          <w:t>Dégradation multiforme des formations forestières</w:t>
        </w:r>
        <w:r w:rsidR="00DF521C" w:rsidRPr="009E3DBC">
          <w:rPr>
            <w:rFonts w:ascii="Tahoma" w:hAnsi="Tahoma" w:cs="Tahoma"/>
            <w:iCs/>
            <w:noProof/>
            <w:webHidden/>
            <w:sz w:val="24"/>
            <w:szCs w:val="24"/>
          </w:rPr>
          <w:tab/>
        </w:r>
        <w:r w:rsidR="00DF521C" w:rsidRPr="009E3DBC">
          <w:rPr>
            <w:rFonts w:ascii="Tahoma" w:hAnsi="Tahoma" w:cs="Tahoma"/>
            <w:iCs/>
            <w:noProof/>
            <w:webHidden/>
            <w:sz w:val="24"/>
            <w:szCs w:val="24"/>
          </w:rPr>
          <w:fldChar w:fldCharType="begin"/>
        </w:r>
        <w:r w:rsidR="00DF521C" w:rsidRPr="009E3DBC">
          <w:rPr>
            <w:rFonts w:ascii="Tahoma" w:hAnsi="Tahoma" w:cs="Tahoma"/>
            <w:iCs/>
            <w:noProof/>
            <w:webHidden/>
            <w:sz w:val="24"/>
            <w:szCs w:val="24"/>
          </w:rPr>
          <w:instrText xml:space="preserve"> PAGEREF _Toc203643114 \h </w:instrText>
        </w:r>
        <w:r w:rsidR="00DF521C" w:rsidRPr="009E3DBC">
          <w:rPr>
            <w:rFonts w:ascii="Tahoma" w:hAnsi="Tahoma" w:cs="Tahoma"/>
            <w:iCs/>
            <w:noProof/>
            <w:webHidden/>
            <w:sz w:val="24"/>
            <w:szCs w:val="24"/>
          </w:rPr>
        </w:r>
        <w:r w:rsidR="00DF521C" w:rsidRPr="009E3DBC">
          <w:rPr>
            <w:rFonts w:ascii="Tahoma" w:hAnsi="Tahoma" w:cs="Tahoma"/>
            <w:iCs/>
            <w:noProof/>
            <w:webHidden/>
            <w:sz w:val="24"/>
            <w:szCs w:val="24"/>
          </w:rPr>
          <w:fldChar w:fldCharType="separate"/>
        </w:r>
        <w:r w:rsidR="00124AFB">
          <w:rPr>
            <w:rFonts w:ascii="Tahoma" w:hAnsi="Tahoma" w:cs="Tahoma"/>
            <w:iCs/>
            <w:noProof/>
            <w:webHidden/>
            <w:sz w:val="24"/>
            <w:szCs w:val="24"/>
          </w:rPr>
          <w:t>330</w:t>
        </w:r>
        <w:r w:rsidR="00DF521C" w:rsidRPr="009E3DBC">
          <w:rPr>
            <w:rFonts w:ascii="Tahoma" w:hAnsi="Tahoma" w:cs="Tahoma"/>
            <w:iCs/>
            <w:noProof/>
            <w:webHidden/>
            <w:sz w:val="24"/>
            <w:szCs w:val="24"/>
          </w:rPr>
          <w:fldChar w:fldCharType="end"/>
        </w:r>
      </w:hyperlink>
    </w:p>
    <w:p w:rsidR="00DF521C" w:rsidRPr="009E3DBC" w:rsidRDefault="00642CE5" w:rsidP="00B84FD6">
      <w:pPr>
        <w:pStyle w:val="TM4"/>
        <w:tabs>
          <w:tab w:val="left" w:pos="1100"/>
          <w:tab w:val="right" w:leader="dot" w:pos="9346"/>
        </w:tabs>
        <w:spacing w:line="360" w:lineRule="auto"/>
        <w:jc w:val="both"/>
        <w:rPr>
          <w:rFonts w:ascii="Tahoma" w:eastAsiaTheme="minorEastAsia" w:hAnsi="Tahoma" w:cs="Tahoma"/>
          <w:iCs/>
          <w:noProof/>
          <w:sz w:val="24"/>
          <w:szCs w:val="24"/>
          <w:lang w:eastAsia="fr-FR"/>
        </w:rPr>
      </w:pPr>
      <w:hyperlink w:anchor="_Toc203643115" w:history="1">
        <w:r w:rsidR="00DF521C" w:rsidRPr="009E3DBC">
          <w:rPr>
            <w:rStyle w:val="Lienhypertexte"/>
            <w:rFonts w:ascii="Tahoma" w:hAnsi="Tahoma" w:cs="Tahoma"/>
            <w:iCs/>
            <w:noProof/>
            <w:sz w:val="24"/>
            <w:szCs w:val="24"/>
            <w14:scene3d>
              <w14:camera w14:prst="orthographicFront"/>
              <w14:lightRig w14:rig="threePt" w14:dir="t">
                <w14:rot w14:lat="0" w14:lon="0" w14:rev="0"/>
              </w14:lightRig>
            </w14:scene3d>
          </w:rPr>
          <w:t>2.</w:t>
        </w:r>
        <w:r w:rsidR="00DF521C" w:rsidRPr="009E3DBC">
          <w:rPr>
            <w:rFonts w:ascii="Tahoma" w:eastAsiaTheme="minorEastAsia" w:hAnsi="Tahoma" w:cs="Tahoma"/>
            <w:iCs/>
            <w:noProof/>
            <w:sz w:val="24"/>
            <w:szCs w:val="24"/>
            <w:lang w:eastAsia="fr-FR"/>
          </w:rPr>
          <w:tab/>
        </w:r>
        <w:r w:rsidR="00DF521C" w:rsidRPr="009E3DBC">
          <w:rPr>
            <w:rStyle w:val="Lienhypertexte"/>
            <w:rFonts w:ascii="Tahoma" w:hAnsi="Tahoma" w:cs="Tahoma"/>
            <w:iCs/>
            <w:noProof/>
            <w:sz w:val="24"/>
            <w:szCs w:val="24"/>
          </w:rPr>
          <w:t>Conséquences écologiques et socio-économiques</w:t>
        </w:r>
        <w:r w:rsidR="00DF521C" w:rsidRPr="009E3DBC">
          <w:rPr>
            <w:rFonts w:ascii="Tahoma" w:hAnsi="Tahoma" w:cs="Tahoma"/>
            <w:iCs/>
            <w:noProof/>
            <w:webHidden/>
            <w:sz w:val="24"/>
            <w:szCs w:val="24"/>
          </w:rPr>
          <w:tab/>
        </w:r>
        <w:r w:rsidR="00DF521C" w:rsidRPr="009E3DBC">
          <w:rPr>
            <w:rFonts w:ascii="Tahoma" w:hAnsi="Tahoma" w:cs="Tahoma"/>
            <w:iCs/>
            <w:noProof/>
            <w:webHidden/>
            <w:sz w:val="24"/>
            <w:szCs w:val="24"/>
          </w:rPr>
          <w:fldChar w:fldCharType="begin"/>
        </w:r>
        <w:r w:rsidR="00DF521C" w:rsidRPr="009E3DBC">
          <w:rPr>
            <w:rFonts w:ascii="Tahoma" w:hAnsi="Tahoma" w:cs="Tahoma"/>
            <w:iCs/>
            <w:noProof/>
            <w:webHidden/>
            <w:sz w:val="24"/>
            <w:szCs w:val="24"/>
          </w:rPr>
          <w:instrText xml:space="preserve"> PAGEREF _Toc203643115 \h </w:instrText>
        </w:r>
        <w:r w:rsidR="00DF521C" w:rsidRPr="009E3DBC">
          <w:rPr>
            <w:rFonts w:ascii="Tahoma" w:hAnsi="Tahoma" w:cs="Tahoma"/>
            <w:iCs/>
            <w:noProof/>
            <w:webHidden/>
            <w:sz w:val="24"/>
            <w:szCs w:val="24"/>
          </w:rPr>
        </w:r>
        <w:r w:rsidR="00DF521C" w:rsidRPr="009E3DBC">
          <w:rPr>
            <w:rFonts w:ascii="Tahoma" w:hAnsi="Tahoma" w:cs="Tahoma"/>
            <w:iCs/>
            <w:noProof/>
            <w:webHidden/>
            <w:sz w:val="24"/>
            <w:szCs w:val="24"/>
          </w:rPr>
          <w:fldChar w:fldCharType="separate"/>
        </w:r>
        <w:r w:rsidR="00124AFB">
          <w:rPr>
            <w:rFonts w:ascii="Tahoma" w:hAnsi="Tahoma" w:cs="Tahoma"/>
            <w:iCs/>
            <w:noProof/>
            <w:webHidden/>
            <w:sz w:val="24"/>
            <w:szCs w:val="24"/>
          </w:rPr>
          <w:t>330</w:t>
        </w:r>
        <w:r w:rsidR="00DF521C" w:rsidRPr="009E3DBC">
          <w:rPr>
            <w:rFonts w:ascii="Tahoma" w:hAnsi="Tahoma" w:cs="Tahoma"/>
            <w:iCs/>
            <w:noProof/>
            <w:webHidden/>
            <w:sz w:val="24"/>
            <w:szCs w:val="24"/>
          </w:rPr>
          <w:fldChar w:fldCharType="end"/>
        </w:r>
      </w:hyperlink>
    </w:p>
    <w:p w:rsidR="00DF521C" w:rsidRPr="009E3DBC" w:rsidRDefault="00642CE5" w:rsidP="00B84FD6">
      <w:pPr>
        <w:pStyle w:val="TM4"/>
        <w:tabs>
          <w:tab w:val="left" w:pos="1100"/>
          <w:tab w:val="right" w:leader="dot" w:pos="9346"/>
        </w:tabs>
        <w:spacing w:line="360" w:lineRule="auto"/>
        <w:jc w:val="both"/>
        <w:rPr>
          <w:rFonts w:ascii="Tahoma" w:eastAsiaTheme="minorEastAsia" w:hAnsi="Tahoma" w:cs="Tahoma"/>
          <w:iCs/>
          <w:noProof/>
          <w:sz w:val="24"/>
          <w:szCs w:val="24"/>
          <w:lang w:eastAsia="fr-FR"/>
        </w:rPr>
      </w:pPr>
      <w:hyperlink w:anchor="_Toc203643116" w:history="1">
        <w:r w:rsidR="00DF521C" w:rsidRPr="009E3DBC">
          <w:rPr>
            <w:rStyle w:val="Lienhypertexte"/>
            <w:rFonts w:ascii="Tahoma" w:hAnsi="Tahoma" w:cs="Tahoma"/>
            <w:iCs/>
            <w:noProof/>
            <w:sz w:val="24"/>
            <w:szCs w:val="24"/>
            <w14:scene3d>
              <w14:camera w14:prst="orthographicFront"/>
              <w14:lightRig w14:rig="threePt" w14:dir="t">
                <w14:rot w14:lat="0" w14:lon="0" w14:rev="0"/>
              </w14:lightRig>
            </w14:scene3d>
          </w:rPr>
          <w:t>3.</w:t>
        </w:r>
        <w:r w:rsidR="00DF521C" w:rsidRPr="009E3DBC">
          <w:rPr>
            <w:rFonts w:ascii="Tahoma" w:eastAsiaTheme="minorEastAsia" w:hAnsi="Tahoma" w:cs="Tahoma"/>
            <w:iCs/>
            <w:noProof/>
            <w:sz w:val="24"/>
            <w:szCs w:val="24"/>
            <w:lang w:eastAsia="fr-FR"/>
          </w:rPr>
          <w:tab/>
        </w:r>
        <w:r w:rsidR="00DF521C" w:rsidRPr="009E3DBC">
          <w:rPr>
            <w:rStyle w:val="Lienhypertexte"/>
            <w:rFonts w:ascii="Tahoma" w:hAnsi="Tahoma" w:cs="Tahoma"/>
            <w:iCs/>
            <w:noProof/>
            <w:sz w:val="24"/>
            <w:szCs w:val="24"/>
          </w:rPr>
          <w:t>Le risque d’un basculement vers la désertification : scénarios et enjeux</w:t>
        </w:r>
        <w:r w:rsidR="00DF521C" w:rsidRPr="009E3DBC">
          <w:rPr>
            <w:rFonts w:ascii="Tahoma" w:hAnsi="Tahoma" w:cs="Tahoma"/>
            <w:iCs/>
            <w:noProof/>
            <w:webHidden/>
            <w:sz w:val="24"/>
            <w:szCs w:val="24"/>
          </w:rPr>
          <w:tab/>
        </w:r>
        <w:r w:rsidR="00DF521C" w:rsidRPr="009E3DBC">
          <w:rPr>
            <w:rFonts w:ascii="Tahoma" w:hAnsi="Tahoma" w:cs="Tahoma"/>
            <w:iCs/>
            <w:noProof/>
            <w:webHidden/>
            <w:sz w:val="24"/>
            <w:szCs w:val="24"/>
          </w:rPr>
          <w:fldChar w:fldCharType="begin"/>
        </w:r>
        <w:r w:rsidR="00DF521C" w:rsidRPr="009E3DBC">
          <w:rPr>
            <w:rFonts w:ascii="Tahoma" w:hAnsi="Tahoma" w:cs="Tahoma"/>
            <w:iCs/>
            <w:noProof/>
            <w:webHidden/>
            <w:sz w:val="24"/>
            <w:szCs w:val="24"/>
          </w:rPr>
          <w:instrText xml:space="preserve"> PAGEREF _Toc203643116 \h </w:instrText>
        </w:r>
        <w:r w:rsidR="00DF521C" w:rsidRPr="009E3DBC">
          <w:rPr>
            <w:rFonts w:ascii="Tahoma" w:hAnsi="Tahoma" w:cs="Tahoma"/>
            <w:iCs/>
            <w:noProof/>
            <w:webHidden/>
            <w:sz w:val="24"/>
            <w:szCs w:val="24"/>
          </w:rPr>
        </w:r>
        <w:r w:rsidR="00DF521C" w:rsidRPr="009E3DBC">
          <w:rPr>
            <w:rFonts w:ascii="Tahoma" w:hAnsi="Tahoma" w:cs="Tahoma"/>
            <w:iCs/>
            <w:noProof/>
            <w:webHidden/>
            <w:sz w:val="24"/>
            <w:szCs w:val="24"/>
          </w:rPr>
          <w:fldChar w:fldCharType="separate"/>
        </w:r>
        <w:r w:rsidR="00124AFB">
          <w:rPr>
            <w:rFonts w:ascii="Tahoma" w:hAnsi="Tahoma" w:cs="Tahoma"/>
            <w:iCs/>
            <w:noProof/>
            <w:webHidden/>
            <w:sz w:val="24"/>
            <w:szCs w:val="24"/>
          </w:rPr>
          <w:t>331</w:t>
        </w:r>
        <w:r w:rsidR="00DF521C" w:rsidRPr="009E3DBC">
          <w:rPr>
            <w:rFonts w:ascii="Tahoma" w:hAnsi="Tahoma" w:cs="Tahoma"/>
            <w:iCs/>
            <w:noProof/>
            <w:webHidden/>
            <w:sz w:val="24"/>
            <w:szCs w:val="24"/>
          </w:rPr>
          <w:fldChar w:fldCharType="end"/>
        </w:r>
      </w:hyperlink>
    </w:p>
    <w:p w:rsidR="00DF521C" w:rsidRPr="009E3DBC" w:rsidRDefault="00642CE5" w:rsidP="00B84FD6">
      <w:pPr>
        <w:pStyle w:val="TM2"/>
        <w:tabs>
          <w:tab w:val="right" w:leader="dot" w:pos="9346"/>
        </w:tabs>
        <w:spacing w:line="360" w:lineRule="auto"/>
        <w:jc w:val="both"/>
        <w:rPr>
          <w:rFonts w:ascii="Tahoma" w:eastAsiaTheme="minorEastAsia" w:hAnsi="Tahoma" w:cs="Tahoma"/>
          <w:iCs/>
          <w:smallCaps w:val="0"/>
          <w:noProof/>
          <w:sz w:val="24"/>
          <w:lang w:eastAsia="fr-FR"/>
        </w:rPr>
      </w:pPr>
      <w:hyperlink w:anchor="_Toc203643117" w:history="1">
        <w:r w:rsidR="00DF521C" w:rsidRPr="009E3DBC">
          <w:rPr>
            <w:rStyle w:val="Lienhypertexte"/>
            <w:rFonts w:ascii="Tahoma" w:hAnsi="Tahoma" w:cs="Tahoma"/>
            <w:iCs/>
            <w:noProof/>
            <w:sz w:val="24"/>
          </w:rPr>
          <w:t>Deuxième section : analyse socioeconomique et environnementale de la degradation forestiere : cas du foret de korifla au maroc</w:t>
        </w:r>
        <w:r w:rsidR="00DF521C" w:rsidRPr="009E3DBC">
          <w:rPr>
            <w:rFonts w:ascii="Tahoma" w:hAnsi="Tahoma" w:cs="Tahoma"/>
            <w:iCs/>
            <w:noProof/>
            <w:webHidden/>
            <w:sz w:val="24"/>
          </w:rPr>
          <w:tab/>
        </w:r>
        <w:r w:rsidR="00DF521C" w:rsidRPr="009E3DBC">
          <w:rPr>
            <w:rFonts w:ascii="Tahoma" w:hAnsi="Tahoma" w:cs="Tahoma"/>
            <w:iCs/>
            <w:noProof/>
            <w:webHidden/>
            <w:sz w:val="24"/>
          </w:rPr>
          <w:fldChar w:fldCharType="begin"/>
        </w:r>
        <w:r w:rsidR="00DF521C" w:rsidRPr="009E3DBC">
          <w:rPr>
            <w:rFonts w:ascii="Tahoma" w:hAnsi="Tahoma" w:cs="Tahoma"/>
            <w:iCs/>
            <w:noProof/>
            <w:webHidden/>
            <w:sz w:val="24"/>
          </w:rPr>
          <w:instrText xml:space="preserve"> PAGEREF _Toc203643117 \h </w:instrText>
        </w:r>
        <w:r w:rsidR="00DF521C" w:rsidRPr="009E3DBC">
          <w:rPr>
            <w:rFonts w:ascii="Tahoma" w:hAnsi="Tahoma" w:cs="Tahoma"/>
            <w:iCs/>
            <w:noProof/>
            <w:webHidden/>
            <w:sz w:val="24"/>
          </w:rPr>
        </w:r>
        <w:r w:rsidR="00DF521C" w:rsidRPr="009E3DBC">
          <w:rPr>
            <w:rFonts w:ascii="Tahoma" w:hAnsi="Tahoma" w:cs="Tahoma"/>
            <w:iCs/>
            <w:noProof/>
            <w:webHidden/>
            <w:sz w:val="24"/>
          </w:rPr>
          <w:fldChar w:fldCharType="separate"/>
        </w:r>
        <w:r w:rsidR="00124AFB">
          <w:rPr>
            <w:rFonts w:ascii="Tahoma" w:hAnsi="Tahoma" w:cs="Tahoma"/>
            <w:iCs/>
            <w:noProof/>
            <w:webHidden/>
            <w:sz w:val="24"/>
          </w:rPr>
          <w:t>333</w:t>
        </w:r>
        <w:r w:rsidR="00DF521C" w:rsidRPr="009E3DBC">
          <w:rPr>
            <w:rFonts w:ascii="Tahoma" w:hAnsi="Tahoma" w:cs="Tahoma"/>
            <w:iCs/>
            <w:noProof/>
            <w:webHidden/>
            <w:sz w:val="24"/>
          </w:rPr>
          <w:fldChar w:fldCharType="end"/>
        </w:r>
      </w:hyperlink>
    </w:p>
    <w:p w:rsidR="00DF521C" w:rsidRPr="009E3DBC" w:rsidRDefault="00642CE5" w:rsidP="00B84FD6">
      <w:pPr>
        <w:pStyle w:val="TM3"/>
        <w:tabs>
          <w:tab w:val="left" w:pos="880"/>
          <w:tab w:val="right" w:leader="dot" w:pos="9346"/>
        </w:tabs>
        <w:spacing w:line="360" w:lineRule="auto"/>
        <w:jc w:val="both"/>
        <w:rPr>
          <w:rFonts w:ascii="Tahoma" w:eastAsiaTheme="minorEastAsia" w:hAnsi="Tahoma" w:cs="Tahoma"/>
          <w:i w:val="0"/>
          <w:noProof/>
          <w:sz w:val="24"/>
          <w:lang w:eastAsia="fr-FR"/>
        </w:rPr>
      </w:pPr>
      <w:hyperlink w:anchor="_Toc203643118" w:history="1">
        <w:r w:rsidR="00DF521C" w:rsidRPr="009E3DBC">
          <w:rPr>
            <w:rStyle w:val="Lienhypertexte"/>
            <w:rFonts w:ascii="Tahoma" w:hAnsi="Tahoma" w:cs="Tahoma"/>
            <w:i w:val="0"/>
            <w:noProof/>
            <w:sz w:val="24"/>
            <w14:scene3d>
              <w14:camera w14:prst="orthographicFront"/>
              <w14:lightRig w14:rig="threePt" w14:dir="t">
                <w14:rot w14:lat="0" w14:lon="0" w14:rev="0"/>
              </w14:lightRig>
            </w14:scene3d>
          </w:rPr>
          <w:t>A.</w:t>
        </w:r>
        <w:r w:rsidR="00DF521C" w:rsidRPr="009E3DBC">
          <w:rPr>
            <w:rFonts w:ascii="Tahoma" w:eastAsiaTheme="minorEastAsia" w:hAnsi="Tahoma" w:cs="Tahoma"/>
            <w:i w:val="0"/>
            <w:noProof/>
            <w:sz w:val="24"/>
            <w:lang w:eastAsia="fr-FR"/>
          </w:rPr>
          <w:tab/>
        </w:r>
        <w:r w:rsidR="00DF521C" w:rsidRPr="009E3DBC">
          <w:rPr>
            <w:rStyle w:val="Lienhypertexte"/>
            <w:rFonts w:ascii="Tahoma" w:hAnsi="Tahoma" w:cs="Tahoma"/>
            <w:i w:val="0"/>
            <w:noProof/>
            <w:sz w:val="24"/>
          </w:rPr>
          <w:t>Santé, éducation et accès aux services de base selon la perception des populations rurales de la forêt de Korifla</w:t>
        </w:r>
        <w:r w:rsidR="00DF521C" w:rsidRPr="009E3DBC">
          <w:rPr>
            <w:rFonts w:ascii="Tahoma" w:hAnsi="Tahoma" w:cs="Tahoma"/>
            <w:i w:val="0"/>
            <w:noProof/>
            <w:webHidden/>
            <w:sz w:val="24"/>
          </w:rPr>
          <w:tab/>
        </w:r>
        <w:r w:rsidR="00DF521C" w:rsidRPr="009E3DBC">
          <w:rPr>
            <w:rFonts w:ascii="Tahoma" w:hAnsi="Tahoma" w:cs="Tahoma"/>
            <w:i w:val="0"/>
            <w:noProof/>
            <w:webHidden/>
            <w:sz w:val="24"/>
          </w:rPr>
          <w:fldChar w:fldCharType="begin"/>
        </w:r>
        <w:r w:rsidR="00DF521C" w:rsidRPr="009E3DBC">
          <w:rPr>
            <w:rFonts w:ascii="Tahoma" w:hAnsi="Tahoma" w:cs="Tahoma"/>
            <w:i w:val="0"/>
            <w:noProof/>
            <w:webHidden/>
            <w:sz w:val="24"/>
          </w:rPr>
          <w:instrText xml:space="preserve"> PAGEREF _Toc203643118 \h </w:instrText>
        </w:r>
        <w:r w:rsidR="00DF521C" w:rsidRPr="009E3DBC">
          <w:rPr>
            <w:rFonts w:ascii="Tahoma" w:hAnsi="Tahoma" w:cs="Tahoma"/>
            <w:i w:val="0"/>
            <w:noProof/>
            <w:webHidden/>
            <w:sz w:val="24"/>
          </w:rPr>
        </w:r>
        <w:r w:rsidR="00DF521C" w:rsidRPr="009E3DBC">
          <w:rPr>
            <w:rFonts w:ascii="Tahoma" w:hAnsi="Tahoma" w:cs="Tahoma"/>
            <w:i w:val="0"/>
            <w:noProof/>
            <w:webHidden/>
            <w:sz w:val="24"/>
          </w:rPr>
          <w:fldChar w:fldCharType="separate"/>
        </w:r>
        <w:r w:rsidR="00124AFB">
          <w:rPr>
            <w:rFonts w:ascii="Tahoma" w:hAnsi="Tahoma" w:cs="Tahoma"/>
            <w:i w:val="0"/>
            <w:noProof/>
            <w:webHidden/>
            <w:sz w:val="24"/>
          </w:rPr>
          <w:t>333</w:t>
        </w:r>
        <w:r w:rsidR="00DF521C" w:rsidRPr="009E3DBC">
          <w:rPr>
            <w:rFonts w:ascii="Tahoma" w:hAnsi="Tahoma" w:cs="Tahoma"/>
            <w:i w:val="0"/>
            <w:noProof/>
            <w:webHidden/>
            <w:sz w:val="24"/>
          </w:rPr>
          <w:fldChar w:fldCharType="end"/>
        </w:r>
      </w:hyperlink>
    </w:p>
    <w:p w:rsidR="00DF521C" w:rsidRPr="009E3DBC" w:rsidRDefault="00642CE5" w:rsidP="00B84FD6">
      <w:pPr>
        <w:pStyle w:val="TM4"/>
        <w:tabs>
          <w:tab w:val="left" w:pos="1100"/>
          <w:tab w:val="right" w:leader="dot" w:pos="9346"/>
        </w:tabs>
        <w:spacing w:line="360" w:lineRule="auto"/>
        <w:jc w:val="both"/>
        <w:rPr>
          <w:rFonts w:ascii="Tahoma" w:eastAsiaTheme="minorEastAsia" w:hAnsi="Tahoma" w:cs="Tahoma"/>
          <w:iCs/>
          <w:noProof/>
          <w:sz w:val="24"/>
          <w:szCs w:val="24"/>
          <w:lang w:eastAsia="fr-FR"/>
        </w:rPr>
      </w:pPr>
      <w:hyperlink w:anchor="_Toc203643119" w:history="1">
        <w:r w:rsidR="00DF521C" w:rsidRPr="009E3DBC">
          <w:rPr>
            <w:rStyle w:val="Lienhypertexte"/>
            <w:rFonts w:ascii="Tahoma" w:hAnsi="Tahoma" w:cs="Tahoma"/>
            <w:iCs/>
            <w:noProof/>
            <w:sz w:val="24"/>
            <w:szCs w:val="24"/>
            <w14:scene3d>
              <w14:camera w14:prst="orthographicFront"/>
              <w14:lightRig w14:rig="threePt" w14:dir="t">
                <w14:rot w14:lat="0" w14:lon="0" w14:rev="0"/>
              </w14:lightRig>
            </w14:scene3d>
          </w:rPr>
          <w:t>1.</w:t>
        </w:r>
        <w:r w:rsidR="00DF521C" w:rsidRPr="009E3DBC">
          <w:rPr>
            <w:rFonts w:ascii="Tahoma" w:eastAsiaTheme="minorEastAsia" w:hAnsi="Tahoma" w:cs="Tahoma"/>
            <w:iCs/>
            <w:noProof/>
            <w:sz w:val="24"/>
            <w:szCs w:val="24"/>
            <w:lang w:eastAsia="fr-FR"/>
          </w:rPr>
          <w:tab/>
        </w:r>
        <w:r w:rsidR="00DF521C" w:rsidRPr="009E3DBC">
          <w:rPr>
            <w:rStyle w:val="Lienhypertexte"/>
            <w:rFonts w:ascii="Tahoma" w:hAnsi="Tahoma" w:cs="Tahoma"/>
            <w:iCs/>
            <w:noProof/>
            <w:sz w:val="24"/>
            <w:szCs w:val="24"/>
          </w:rPr>
          <w:t>Situation Sanitaire selon la perception des enquêtés :</w:t>
        </w:r>
        <w:r w:rsidR="00DF521C" w:rsidRPr="009E3DBC">
          <w:rPr>
            <w:rFonts w:ascii="Tahoma" w:hAnsi="Tahoma" w:cs="Tahoma"/>
            <w:iCs/>
            <w:noProof/>
            <w:webHidden/>
            <w:sz w:val="24"/>
            <w:szCs w:val="24"/>
          </w:rPr>
          <w:tab/>
        </w:r>
        <w:r w:rsidR="00DF521C" w:rsidRPr="009E3DBC">
          <w:rPr>
            <w:rFonts w:ascii="Tahoma" w:hAnsi="Tahoma" w:cs="Tahoma"/>
            <w:iCs/>
            <w:noProof/>
            <w:webHidden/>
            <w:sz w:val="24"/>
            <w:szCs w:val="24"/>
          </w:rPr>
          <w:fldChar w:fldCharType="begin"/>
        </w:r>
        <w:r w:rsidR="00DF521C" w:rsidRPr="009E3DBC">
          <w:rPr>
            <w:rFonts w:ascii="Tahoma" w:hAnsi="Tahoma" w:cs="Tahoma"/>
            <w:iCs/>
            <w:noProof/>
            <w:webHidden/>
            <w:sz w:val="24"/>
            <w:szCs w:val="24"/>
          </w:rPr>
          <w:instrText xml:space="preserve"> PAGEREF _Toc203643119 \h </w:instrText>
        </w:r>
        <w:r w:rsidR="00DF521C" w:rsidRPr="009E3DBC">
          <w:rPr>
            <w:rFonts w:ascii="Tahoma" w:hAnsi="Tahoma" w:cs="Tahoma"/>
            <w:iCs/>
            <w:noProof/>
            <w:webHidden/>
            <w:sz w:val="24"/>
            <w:szCs w:val="24"/>
          </w:rPr>
        </w:r>
        <w:r w:rsidR="00DF521C" w:rsidRPr="009E3DBC">
          <w:rPr>
            <w:rFonts w:ascii="Tahoma" w:hAnsi="Tahoma" w:cs="Tahoma"/>
            <w:iCs/>
            <w:noProof/>
            <w:webHidden/>
            <w:sz w:val="24"/>
            <w:szCs w:val="24"/>
          </w:rPr>
          <w:fldChar w:fldCharType="separate"/>
        </w:r>
        <w:r w:rsidR="00124AFB">
          <w:rPr>
            <w:rFonts w:ascii="Tahoma" w:hAnsi="Tahoma" w:cs="Tahoma"/>
            <w:iCs/>
            <w:noProof/>
            <w:webHidden/>
            <w:sz w:val="24"/>
            <w:szCs w:val="24"/>
          </w:rPr>
          <w:t>334</w:t>
        </w:r>
        <w:r w:rsidR="00DF521C" w:rsidRPr="009E3DBC">
          <w:rPr>
            <w:rFonts w:ascii="Tahoma" w:hAnsi="Tahoma" w:cs="Tahoma"/>
            <w:iCs/>
            <w:noProof/>
            <w:webHidden/>
            <w:sz w:val="24"/>
            <w:szCs w:val="24"/>
          </w:rPr>
          <w:fldChar w:fldCharType="end"/>
        </w:r>
      </w:hyperlink>
    </w:p>
    <w:p w:rsidR="00DF521C" w:rsidRPr="009E3DBC" w:rsidRDefault="00642CE5" w:rsidP="00B84FD6">
      <w:pPr>
        <w:pStyle w:val="TM5"/>
        <w:tabs>
          <w:tab w:val="left" w:pos="1320"/>
          <w:tab w:val="right" w:leader="dot" w:pos="9346"/>
        </w:tabs>
        <w:spacing w:line="360" w:lineRule="auto"/>
        <w:jc w:val="both"/>
        <w:rPr>
          <w:rFonts w:ascii="Tahoma" w:eastAsiaTheme="minorEastAsia" w:hAnsi="Tahoma" w:cs="Tahoma"/>
          <w:iCs/>
          <w:noProof/>
          <w:sz w:val="24"/>
          <w:szCs w:val="24"/>
          <w:lang w:eastAsia="fr-FR"/>
        </w:rPr>
      </w:pPr>
      <w:hyperlink w:anchor="_Toc203643120" w:history="1">
        <w:r w:rsidR="00DF521C" w:rsidRPr="009E3DBC">
          <w:rPr>
            <w:rStyle w:val="Lienhypertexte"/>
            <w:rFonts w:ascii="Tahoma" w:hAnsi="Tahoma" w:cs="Tahoma"/>
            <w:iCs/>
            <w:noProof/>
            <w:sz w:val="24"/>
            <w:szCs w:val="24"/>
          </w:rPr>
          <w:t>a.</w:t>
        </w:r>
        <w:r w:rsidR="00DF521C" w:rsidRPr="009E3DBC">
          <w:rPr>
            <w:rFonts w:ascii="Tahoma" w:eastAsiaTheme="minorEastAsia" w:hAnsi="Tahoma" w:cs="Tahoma"/>
            <w:iCs/>
            <w:noProof/>
            <w:sz w:val="24"/>
            <w:szCs w:val="24"/>
            <w:lang w:eastAsia="fr-FR"/>
          </w:rPr>
          <w:tab/>
        </w:r>
        <w:r w:rsidR="00DF521C" w:rsidRPr="009E3DBC">
          <w:rPr>
            <w:rStyle w:val="Lienhypertexte"/>
            <w:rFonts w:ascii="Tahoma" w:hAnsi="Tahoma" w:cs="Tahoma"/>
            <w:iCs/>
            <w:noProof/>
            <w:sz w:val="24"/>
            <w:szCs w:val="24"/>
          </w:rPr>
          <w:t>Problématique de l'accès aux soins de santé</w:t>
        </w:r>
        <w:r w:rsidR="00DF521C" w:rsidRPr="009E3DBC">
          <w:rPr>
            <w:rFonts w:ascii="Tahoma" w:hAnsi="Tahoma" w:cs="Tahoma"/>
            <w:iCs/>
            <w:noProof/>
            <w:webHidden/>
            <w:sz w:val="24"/>
            <w:szCs w:val="24"/>
          </w:rPr>
          <w:tab/>
        </w:r>
        <w:r w:rsidR="00DF521C" w:rsidRPr="009E3DBC">
          <w:rPr>
            <w:rFonts w:ascii="Tahoma" w:hAnsi="Tahoma" w:cs="Tahoma"/>
            <w:iCs/>
            <w:noProof/>
            <w:webHidden/>
            <w:sz w:val="24"/>
            <w:szCs w:val="24"/>
          </w:rPr>
          <w:fldChar w:fldCharType="begin"/>
        </w:r>
        <w:r w:rsidR="00DF521C" w:rsidRPr="009E3DBC">
          <w:rPr>
            <w:rFonts w:ascii="Tahoma" w:hAnsi="Tahoma" w:cs="Tahoma"/>
            <w:iCs/>
            <w:noProof/>
            <w:webHidden/>
            <w:sz w:val="24"/>
            <w:szCs w:val="24"/>
          </w:rPr>
          <w:instrText xml:space="preserve"> PAGEREF _Toc203643120 \h </w:instrText>
        </w:r>
        <w:r w:rsidR="00DF521C" w:rsidRPr="009E3DBC">
          <w:rPr>
            <w:rFonts w:ascii="Tahoma" w:hAnsi="Tahoma" w:cs="Tahoma"/>
            <w:iCs/>
            <w:noProof/>
            <w:webHidden/>
            <w:sz w:val="24"/>
            <w:szCs w:val="24"/>
          </w:rPr>
        </w:r>
        <w:r w:rsidR="00DF521C" w:rsidRPr="009E3DBC">
          <w:rPr>
            <w:rFonts w:ascii="Tahoma" w:hAnsi="Tahoma" w:cs="Tahoma"/>
            <w:iCs/>
            <w:noProof/>
            <w:webHidden/>
            <w:sz w:val="24"/>
            <w:szCs w:val="24"/>
          </w:rPr>
          <w:fldChar w:fldCharType="separate"/>
        </w:r>
        <w:r w:rsidR="00124AFB">
          <w:rPr>
            <w:rFonts w:ascii="Tahoma" w:hAnsi="Tahoma" w:cs="Tahoma"/>
            <w:iCs/>
            <w:noProof/>
            <w:webHidden/>
            <w:sz w:val="24"/>
            <w:szCs w:val="24"/>
          </w:rPr>
          <w:t>334</w:t>
        </w:r>
        <w:r w:rsidR="00DF521C" w:rsidRPr="009E3DBC">
          <w:rPr>
            <w:rFonts w:ascii="Tahoma" w:hAnsi="Tahoma" w:cs="Tahoma"/>
            <w:iCs/>
            <w:noProof/>
            <w:webHidden/>
            <w:sz w:val="24"/>
            <w:szCs w:val="24"/>
          </w:rPr>
          <w:fldChar w:fldCharType="end"/>
        </w:r>
      </w:hyperlink>
    </w:p>
    <w:p w:rsidR="00DF521C" w:rsidRPr="009E3DBC" w:rsidRDefault="00642CE5" w:rsidP="00B84FD6">
      <w:pPr>
        <w:pStyle w:val="TM5"/>
        <w:tabs>
          <w:tab w:val="left" w:pos="1320"/>
          <w:tab w:val="right" w:leader="dot" w:pos="9346"/>
        </w:tabs>
        <w:spacing w:line="360" w:lineRule="auto"/>
        <w:jc w:val="both"/>
        <w:rPr>
          <w:rFonts w:ascii="Tahoma" w:eastAsiaTheme="minorEastAsia" w:hAnsi="Tahoma" w:cs="Tahoma"/>
          <w:iCs/>
          <w:noProof/>
          <w:sz w:val="24"/>
          <w:szCs w:val="24"/>
          <w:lang w:eastAsia="fr-FR"/>
        </w:rPr>
      </w:pPr>
      <w:hyperlink w:anchor="_Toc203643121" w:history="1">
        <w:r w:rsidR="00DF521C" w:rsidRPr="009E3DBC">
          <w:rPr>
            <w:rStyle w:val="Lienhypertexte"/>
            <w:rFonts w:ascii="Tahoma" w:hAnsi="Tahoma" w:cs="Tahoma"/>
            <w:iCs/>
            <w:noProof/>
            <w:sz w:val="24"/>
            <w:szCs w:val="24"/>
          </w:rPr>
          <w:t>b.</w:t>
        </w:r>
        <w:r w:rsidR="00DF521C" w:rsidRPr="009E3DBC">
          <w:rPr>
            <w:rFonts w:ascii="Tahoma" w:eastAsiaTheme="minorEastAsia" w:hAnsi="Tahoma" w:cs="Tahoma"/>
            <w:iCs/>
            <w:noProof/>
            <w:sz w:val="24"/>
            <w:szCs w:val="24"/>
            <w:lang w:eastAsia="fr-FR"/>
          </w:rPr>
          <w:tab/>
        </w:r>
        <w:r w:rsidR="00DF521C" w:rsidRPr="009E3DBC">
          <w:rPr>
            <w:rStyle w:val="Lienhypertexte"/>
            <w:rFonts w:ascii="Tahoma" w:hAnsi="Tahoma" w:cs="Tahoma"/>
            <w:iCs/>
            <w:noProof/>
            <w:sz w:val="24"/>
            <w:szCs w:val="24"/>
          </w:rPr>
          <w:t>Mortalité infantile et inégalités territoriales</w:t>
        </w:r>
        <w:r w:rsidR="00DF521C" w:rsidRPr="009E3DBC">
          <w:rPr>
            <w:rFonts w:ascii="Tahoma" w:hAnsi="Tahoma" w:cs="Tahoma"/>
            <w:iCs/>
            <w:noProof/>
            <w:webHidden/>
            <w:sz w:val="24"/>
            <w:szCs w:val="24"/>
          </w:rPr>
          <w:tab/>
        </w:r>
        <w:r w:rsidR="00DF521C" w:rsidRPr="009E3DBC">
          <w:rPr>
            <w:rFonts w:ascii="Tahoma" w:hAnsi="Tahoma" w:cs="Tahoma"/>
            <w:iCs/>
            <w:noProof/>
            <w:webHidden/>
            <w:sz w:val="24"/>
            <w:szCs w:val="24"/>
          </w:rPr>
          <w:fldChar w:fldCharType="begin"/>
        </w:r>
        <w:r w:rsidR="00DF521C" w:rsidRPr="009E3DBC">
          <w:rPr>
            <w:rFonts w:ascii="Tahoma" w:hAnsi="Tahoma" w:cs="Tahoma"/>
            <w:iCs/>
            <w:noProof/>
            <w:webHidden/>
            <w:sz w:val="24"/>
            <w:szCs w:val="24"/>
          </w:rPr>
          <w:instrText xml:space="preserve"> PAGEREF _Toc203643121 \h </w:instrText>
        </w:r>
        <w:r w:rsidR="00DF521C" w:rsidRPr="009E3DBC">
          <w:rPr>
            <w:rFonts w:ascii="Tahoma" w:hAnsi="Tahoma" w:cs="Tahoma"/>
            <w:iCs/>
            <w:noProof/>
            <w:webHidden/>
            <w:sz w:val="24"/>
            <w:szCs w:val="24"/>
          </w:rPr>
        </w:r>
        <w:r w:rsidR="00DF521C" w:rsidRPr="009E3DBC">
          <w:rPr>
            <w:rFonts w:ascii="Tahoma" w:hAnsi="Tahoma" w:cs="Tahoma"/>
            <w:iCs/>
            <w:noProof/>
            <w:webHidden/>
            <w:sz w:val="24"/>
            <w:szCs w:val="24"/>
          </w:rPr>
          <w:fldChar w:fldCharType="separate"/>
        </w:r>
        <w:r w:rsidR="00124AFB">
          <w:rPr>
            <w:rFonts w:ascii="Tahoma" w:hAnsi="Tahoma" w:cs="Tahoma"/>
            <w:iCs/>
            <w:noProof/>
            <w:webHidden/>
            <w:sz w:val="24"/>
            <w:szCs w:val="24"/>
          </w:rPr>
          <w:t>335</w:t>
        </w:r>
        <w:r w:rsidR="00DF521C" w:rsidRPr="009E3DBC">
          <w:rPr>
            <w:rFonts w:ascii="Tahoma" w:hAnsi="Tahoma" w:cs="Tahoma"/>
            <w:iCs/>
            <w:noProof/>
            <w:webHidden/>
            <w:sz w:val="24"/>
            <w:szCs w:val="24"/>
          </w:rPr>
          <w:fldChar w:fldCharType="end"/>
        </w:r>
      </w:hyperlink>
    </w:p>
    <w:p w:rsidR="00DF521C" w:rsidRPr="009E3DBC" w:rsidRDefault="00642CE5" w:rsidP="00B84FD6">
      <w:pPr>
        <w:pStyle w:val="TM5"/>
        <w:tabs>
          <w:tab w:val="left" w:pos="1320"/>
          <w:tab w:val="right" w:leader="dot" w:pos="9346"/>
        </w:tabs>
        <w:spacing w:line="360" w:lineRule="auto"/>
        <w:jc w:val="both"/>
        <w:rPr>
          <w:rFonts w:ascii="Tahoma" w:eastAsiaTheme="minorEastAsia" w:hAnsi="Tahoma" w:cs="Tahoma"/>
          <w:iCs/>
          <w:noProof/>
          <w:sz w:val="24"/>
          <w:szCs w:val="24"/>
          <w:lang w:eastAsia="fr-FR"/>
        </w:rPr>
      </w:pPr>
      <w:hyperlink w:anchor="_Toc203643122" w:history="1">
        <w:r w:rsidR="00DF521C" w:rsidRPr="009E3DBC">
          <w:rPr>
            <w:rStyle w:val="Lienhypertexte"/>
            <w:rFonts w:ascii="Tahoma" w:hAnsi="Tahoma" w:cs="Tahoma"/>
            <w:iCs/>
            <w:noProof/>
            <w:sz w:val="24"/>
            <w:szCs w:val="24"/>
          </w:rPr>
          <w:t>c.</w:t>
        </w:r>
        <w:r w:rsidR="00DF521C" w:rsidRPr="009E3DBC">
          <w:rPr>
            <w:rFonts w:ascii="Tahoma" w:eastAsiaTheme="minorEastAsia" w:hAnsi="Tahoma" w:cs="Tahoma"/>
            <w:iCs/>
            <w:noProof/>
            <w:sz w:val="24"/>
            <w:szCs w:val="24"/>
            <w:lang w:eastAsia="fr-FR"/>
          </w:rPr>
          <w:tab/>
        </w:r>
        <w:r w:rsidR="00DF521C" w:rsidRPr="009E3DBC">
          <w:rPr>
            <w:rStyle w:val="Lienhypertexte"/>
            <w:rFonts w:ascii="Tahoma" w:hAnsi="Tahoma" w:cs="Tahoma"/>
            <w:iCs/>
            <w:noProof/>
            <w:sz w:val="24"/>
            <w:szCs w:val="24"/>
          </w:rPr>
          <w:t>Couverture médicale et obstacles administratifs</w:t>
        </w:r>
        <w:r w:rsidR="00DF521C" w:rsidRPr="009E3DBC">
          <w:rPr>
            <w:rFonts w:ascii="Tahoma" w:hAnsi="Tahoma" w:cs="Tahoma"/>
            <w:iCs/>
            <w:noProof/>
            <w:webHidden/>
            <w:sz w:val="24"/>
            <w:szCs w:val="24"/>
          </w:rPr>
          <w:tab/>
        </w:r>
        <w:r w:rsidR="00DF521C" w:rsidRPr="009E3DBC">
          <w:rPr>
            <w:rFonts w:ascii="Tahoma" w:hAnsi="Tahoma" w:cs="Tahoma"/>
            <w:iCs/>
            <w:noProof/>
            <w:webHidden/>
            <w:sz w:val="24"/>
            <w:szCs w:val="24"/>
          </w:rPr>
          <w:fldChar w:fldCharType="begin"/>
        </w:r>
        <w:r w:rsidR="00DF521C" w:rsidRPr="009E3DBC">
          <w:rPr>
            <w:rFonts w:ascii="Tahoma" w:hAnsi="Tahoma" w:cs="Tahoma"/>
            <w:iCs/>
            <w:noProof/>
            <w:webHidden/>
            <w:sz w:val="24"/>
            <w:szCs w:val="24"/>
          </w:rPr>
          <w:instrText xml:space="preserve"> PAGEREF _Toc203643122 \h </w:instrText>
        </w:r>
        <w:r w:rsidR="00DF521C" w:rsidRPr="009E3DBC">
          <w:rPr>
            <w:rFonts w:ascii="Tahoma" w:hAnsi="Tahoma" w:cs="Tahoma"/>
            <w:iCs/>
            <w:noProof/>
            <w:webHidden/>
            <w:sz w:val="24"/>
            <w:szCs w:val="24"/>
          </w:rPr>
        </w:r>
        <w:r w:rsidR="00DF521C" w:rsidRPr="009E3DBC">
          <w:rPr>
            <w:rFonts w:ascii="Tahoma" w:hAnsi="Tahoma" w:cs="Tahoma"/>
            <w:iCs/>
            <w:noProof/>
            <w:webHidden/>
            <w:sz w:val="24"/>
            <w:szCs w:val="24"/>
          </w:rPr>
          <w:fldChar w:fldCharType="separate"/>
        </w:r>
        <w:r w:rsidR="00124AFB">
          <w:rPr>
            <w:rFonts w:ascii="Tahoma" w:hAnsi="Tahoma" w:cs="Tahoma"/>
            <w:iCs/>
            <w:noProof/>
            <w:webHidden/>
            <w:sz w:val="24"/>
            <w:szCs w:val="24"/>
          </w:rPr>
          <w:t>336</w:t>
        </w:r>
        <w:r w:rsidR="00DF521C" w:rsidRPr="009E3DBC">
          <w:rPr>
            <w:rFonts w:ascii="Tahoma" w:hAnsi="Tahoma" w:cs="Tahoma"/>
            <w:iCs/>
            <w:noProof/>
            <w:webHidden/>
            <w:sz w:val="24"/>
            <w:szCs w:val="24"/>
          </w:rPr>
          <w:fldChar w:fldCharType="end"/>
        </w:r>
      </w:hyperlink>
    </w:p>
    <w:p w:rsidR="00DF521C" w:rsidRPr="009E3DBC" w:rsidRDefault="00642CE5" w:rsidP="00B84FD6">
      <w:pPr>
        <w:pStyle w:val="TM5"/>
        <w:tabs>
          <w:tab w:val="left" w:pos="1320"/>
          <w:tab w:val="right" w:leader="dot" w:pos="9346"/>
        </w:tabs>
        <w:spacing w:line="360" w:lineRule="auto"/>
        <w:jc w:val="both"/>
        <w:rPr>
          <w:rFonts w:ascii="Tahoma" w:eastAsiaTheme="minorEastAsia" w:hAnsi="Tahoma" w:cs="Tahoma"/>
          <w:iCs/>
          <w:noProof/>
          <w:sz w:val="24"/>
          <w:szCs w:val="24"/>
          <w:lang w:eastAsia="fr-FR"/>
        </w:rPr>
      </w:pPr>
      <w:hyperlink w:anchor="_Toc203643123" w:history="1">
        <w:r w:rsidR="00DF521C" w:rsidRPr="009E3DBC">
          <w:rPr>
            <w:rStyle w:val="Lienhypertexte"/>
            <w:rFonts w:ascii="Tahoma" w:hAnsi="Tahoma" w:cs="Tahoma"/>
            <w:iCs/>
            <w:noProof/>
            <w:sz w:val="24"/>
            <w:szCs w:val="24"/>
          </w:rPr>
          <w:t>d.</w:t>
        </w:r>
        <w:r w:rsidR="00DF521C" w:rsidRPr="009E3DBC">
          <w:rPr>
            <w:rFonts w:ascii="Tahoma" w:eastAsiaTheme="minorEastAsia" w:hAnsi="Tahoma" w:cs="Tahoma"/>
            <w:iCs/>
            <w:noProof/>
            <w:sz w:val="24"/>
            <w:szCs w:val="24"/>
            <w:lang w:eastAsia="fr-FR"/>
          </w:rPr>
          <w:tab/>
        </w:r>
        <w:r w:rsidR="00DF521C" w:rsidRPr="009E3DBC">
          <w:rPr>
            <w:rStyle w:val="Lienhypertexte"/>
            <w:rFonts w:ascii="Tahoma" w:hAnsi="Tahoma" w:cs="Tahoma"/>
            <w:iCs/>
            <w:noProof/>
            <w:sz w:val="24"/>
            <w:szCs w:val="24"/>
          </w:rPr>
          <w:t>Situation nutritionnelle et sécurité alimentaire</w:t>
        </w:r>
        <w:r w:rsidR="00DF521C" w:rsidRPr="009E3DBC">
          <w:rPr>
            <w:rFonts w:ascii="Tahoma" w:hAnsi="Tahoma" w:cs="Tahoma"/>
            <w:iCs/>
            <w:noProof/>
            <w:webHidden/>
            <w:sz w:val="24"/>
            <w:szCs w:val="24"/>
          </w:rPr>
          <w:tab/>
        </w:r>
        <w:r w:rsidR="00DF521C" w:rsidRPr="009E3DBC">
          <w:rPr>
            <w:rFonts w:ascii="Tahoma" w:hAnsi="Tahoma" w:cs="Tahoma"/>
            <w:iCs/>
            <w:noProof/>
            <w:webHidden/>
            <w:sz w:val="24"/>
            <w:szCs w:val="24"/>
          </w:rPr>
          <w:fldChar w:fldCharType="begin"/>
        </w:r>
        <w:r w:rsidR="00DF521C" w:rsidRPr="009E3DBC">
          <w:rPr>
            <w:rFonts w:ascii="Tahoma" w:hAnsi="Tahoma" w:cs="Tahoma"/>
            <w:iCs/>
            <w:noProof/>
            <w:webHidden/>
            <w:sz w:val="24"/>
            <w:szCs w:val="24"/>
          </w:rPr>
          <w:instrText xml:space="preserve"> PAGEREF _Toc203643123 \h </w:instrText>
        </w:r>
        <w:r w:rsidR="00DF521C" w:rsidRPr="009E3DBC">
          <w:rPr>
            <w:rFonts w:ascii="Tahoma" w:hAnsi="Tahoma" w:cs="Tahoma"/>
            <w:iCs/>
            <w:noProof/>
            <w:webHidden/>
            <w:sz w:val="24"/>
            <w:szCs w:val="24"/>
          </w:rPr>
        </w:r>
        <w:r w:rsidR="00DF521C" w:rsidRPr="009E3DBC">
          <w:rPr>
            <w:rFonts w:ascii="Tahoma" w:hAnsi="Tahoma" w:cs="Tahoma"/>
            <w:iCs/>
            <w:noProof/>
            <w:webHidden/>
            <w:sz w:val="24"/>
            <w:szCs w:val="24"/>
          </w:rPr>
          <w:fldChar w:fldCharType="separate"/>
        </w:r>
        <w:r w:rsidR="00124AFB">
          <w:rPr>
            <w:rFonts w:ascii="Tahoma" w:hAnsi="Tahoma" w:cs="Tahoma"/>
            <w:iCs/>
            <w:noProof/>
            <w:webHidden/>
            <w:sz w:val="24"/>
            <w:szCs w:val="24"/>
          </w:rPr>
          <w:t>337</w:t>
        </w:r>
        <w:r w:rsidR="00DF521C" w:rsidRPr="009E3DBC">
          <w:rPr>
            <w:rFonts w:ascii="Tahoma" w:hAnsi="Tahoma" w:cs="Tahoma"/>
            <w:iCs/>
            <w:noProof/>
            <w:webHidden/>
            <w:sz w:val="24"/>
            <w:szCs w:val="24"/>
          </w:rPr>
          <w:fldChar w:fldCharType="end"/>
        </w:r>
      </w:hyperlink>
    </w:p>
    <w:p w:rsidR="00DF521C" w:rsidRPr="009E3DBC" w:rsidRDefault="00642CE5" w:rsidP="00B84FD6">
      <w:pPr>
        <w:pStyle w:val="TM5"/>
        <w:tabs>
          <w:tab w:val="left" w:pos="1320"/>
          <w:tab w:val="right" w:leader="dot" w:pos="9346"/>
        </w:tabs>
        <w:spacing w:line="360" w:lineRule="auto"/>
        <w:jc w:val="both"/>
        <w:rPr>
          <w:rFonts w:ascii="Tahoma" w:eastAsiaTheme="minorEastAsia" w:hAnsi="Tahoma" w:cs="Tahoma"/>
          <w:iCs/>
          <w:noProof/>
          <w:sz w:val="24"/>
          <w:szCs w:val="24"/>
          <w:lang w:eastAsia="fr-FR"/>
        </w:rPr>
      </w:pPr>
      <w:hyperlink w:anchor="_Toc203643124" w:history="1">
        <w:r w:rsidR="00DF521C" w:rsidRPr="009E3DBC">
          <w:rPr>
            <w:rStyle w:val="Lienhypertexte"/>
            <w:rFonts w:ascii="Tahoma" w:hAnsi="Tahoma" w:cs="Tahoma"/>
            <w:iCs/>
            <w:noProof/>
            <w:sz w:val="24"/>
            <w:szCs w:val="24"/>
          </w:rPr>
          <w:t>e.</w:t>
        </w:r>
        <w:r w:rsidR="00DF521C" w:rsidRPr="009E3DBC">
          <w:rPr>
            <w:rFonts w:ascii="Tahoma" w:eastAsiaTheme="minorEastAsia" w:hAnsi="Tahoma" w:cs="Tahoma"/>
            <w:iCs/>
            <w:noProof/>
            <w:sz w:val="24"/>
            <w:szCs w:val="24"/>
            <w:lang w:eastAsia="fr-FR"/>
          </w:rPr>
          <w:tab/>
        </w:r>
        <w:r w:rsidR="00DF521C" w:rsidRPr="009E3DBC">
          <w:rPr>
            <w:rStyle w:val="Lienhypertexte"/>
            <w:rFonts w:ascii="Tahoma" w:hAnsi="Tahoma" w:cs="Tahoma"/>
            <w:iCs/>
            <w:noProof/>
            <w:sz w:val="24"/>
            <w:szCs w:val="24"/>
          </w:rPr>
          <w:t>Situation du handicap et vulnérabilités spécifiques</w:t>
        </w:r>
        <w:r w:rsidR="00DF521C" w:rsidRPr="009E3DBC">
          <w:rPr>
            <w:rFonts w:ascii="Tahoma" w:hAnsi="Tahoma" w:cs="Tahoma"/>
            <w:iCs/>
            <w:noProof/>
            <w:webHidden/>
            <w:sz w:val="24"/>
            <w:szCs w:val="24"/>
          </w:rPr>
          <w:tab/>
        </w:r>
        <w:r w:rsidR="00DF521C" w:rsidRPr="009E3DBC">
          <w:rPr>
            <w:rFonts w:ascii="Tahoma" w:hAnsi="Tahoma" w:cs="Tahoma"/>
            <w:iCs/>
            <w:noProof/>
            <w:webHidden/>
            <w:sz w:val="24"/>
            <w:szCs w:val="24"/>
          </w:rPr>
          <w:fldChar w:fldCharType="begin"/>
        </w:r>
        <w:r w:rsidR="00DF521C" w:rsidRPr="009E3DBC">
          <w:rPr>
            <w:rFonts w:ascii="Tahoma" w:hAnsi="Tahoma" w:cs="Tahoma"/>
            <w:iCs/>
            <w:noProof/>
            <w:webHidden/>
            <w:sz w:val="24"/>
            <w:szCs w:val="24"/>
          </w:rPr>
          <w:instrText xml:space="preserve"> PAGEREF _Toc203643124 \h </w:instrText>
        </w:r>
        <w:r w:rsidR="00DF521C" w:rsidRPr="009E3DBC">
          <w:rPr>
            <w:rFonts w:ascii="Tahoma" w:hAnsi="Tahoma" w:cs="Tahoma"/>
            <w:iCs/>
            <w:noProof/>
            <w:webHidden/>
            <w:sz w:val="24"/>
            <w:szCs w:val="24"/>
          </w:rPr>
        </w:r>
        <w:r w:rsidR="00DF521C" w:rsidRPr="009E3DBC">
          <w:rPr>
            <w:rFonts w:ascii="Tahoma" w:hAnsi="Tahoma" w:cs="Tahoma"/>
            <w:iCs/>
            <w:noProof/>
            <w:webHidden/>
            <w:sz w:val="24"/>
            <w:szCs w:val="24"/>
          </w:rPr>
          <w:fldChar w:fldCharType="separate"/>
        </w:r>
        <w:r w:rsidR="00124AFB">
          <w:rPr>
            <w:rFonts w:ascii="Tahoma" w:hAnsi="Tahoma" w:cs="Tahoma"/>
            <w:iCs/>
            <w:noProof/>
            <w:webHidden/>
            <w:sz w:val="24"/>
            <w:szCs w:val="24"/>
          </w:rPr>
          <w:t>339</w:t>
        </w:r>
        <w:r w:rsidR="00DF521C" w:rsidRPr="009E3DBC">
          <w:rPr>
            <w:rFonts w:ascii="Tahoma" w:hAnsi="Tahoma" w:cs="Tahoma"/>
            <w:iCs/>
            <w:noProof/>
            <w:webHidden/>
            <w:sz w:val="24"/>
            <w:szCs w:val="24"/>
          </w:rPr>
          <w:fldChar w:fldCharType="end"/>
        </w:r>
      </w:hyperlink>
    </w:p>
    <w:p w:rsidR="00DF521C" w:rsidRPr="009E3DBC" w:rsidRDefault="00642CE5" w:rsidP="00B84FD6">
      <w:pPr>
        <w:pStyle w:val="TM4"/>
        <w:tabs>
          <w:tab w:val="left" w:pos="1100"/>
          <w:tab w:val="right" w:leader="dot" w:pos="9346"/>
        </w:tabs>
        <w:spacing w:line="360" w:lineRule="auto"/>
        <w:jc w:val="both"/>
        <w:rPr>
          <w:rFonts w:ascii="Tahoma" w:eastAsiaTheme="minorEastAsia" w:hAnsi="Tahoma" w:cs="Tahoma"/>
          <w:iCs/>
          <w:noProof/>
          <w:sz w:val="24"/>
          <w:szCs w:val="24"/>
          <w:lang w:eastAsia="fr-FR"/>
        </w:rPr>
      </w:pPr>
      <w:hyperlink w:anchor="_Toc203643125" w:history="1">
        <w:r w:rsidR="00DF521C" w:rsidRPr="009E3DBC">
          <w:rPr>
            <w:rStyle w:val="Lienhypertexte"/>
            <w:rFonts w:ascii="Tahoma" w:hAnsi="Tahoma" w:cs="Tahoma"/>
            <w:iCs/>
            <w:noProof/>
            <w:sz w:val="24"/>
            <w:szCs w:val="24"/>
            <w14:scene3d>
              <w14:camera w14:prst="orthographicFront"/>
              <w14:lightRig w14:rig="threePt" w14:dir="t">
                <w14:rot w14:lat="0" w14:lon="0" w14:rev="0"/>
              </w14:lightRig>
            </w14:scene3d>
          </w:rPr>
          <w:t>2.</w:t>
        </w:r>
        <w:r w:rsidR="00DF521C" w:rsidRPr="009E3DBC">
          <w:rPr>
            <w:rFonts w:ascii="Tahoma" w:eastAsiaTheme="minorEastAsia" w:hAnsi="Tahoma" w:cs="Tahoma"/>
            <w:iCs/>
            <w:noProof/>
            <w:sz w:val="24"/>
            <w:szCs w:val="24"/>
            <w:lang w:eastAsia="fr-FR"/>
          </w:rPr>
          <w:tab/>
        </w:r>
        <w:r w:rsidR="00DF521C" w:rsidRPr="009E3DBC">
          <w:rPr>
            <w:rStyle w:val="Lienhypertexte"/>
            <w:rFonts w:ascii="Tahoma" w:hAnsi="Tahoma" w:cs="Tahoma"/>
            <w:iCs/>
            <w:noProof/>
            <w:sz w:val="24"/>
            <w:szCs w:val="24"/>
          </w:rPr>
          <w:t>Situation éducative de la population rurale enquêtée</w:t>
        </w:r>
        <w:r w:rsidR="00DF521C" w:rsidRPr="009E3DBC">
          <w:rPr>
            <w:rFonts w:ascii="Tahoma" w:hAnsi="Tahoma" w:cs="Tahoma"/>
            <w:iCs/>
            <w:noProof/>
            <w:webHidden/>
            <w:sz w:val="24"/>
            <w:szCs w:val="24"/>
          </w:rPr>
          <w:tab/>
        </w:r>
        <w:r w:rsidR="00DF521C" w:rsidRPr="009E3DBC">
          <w:rPr>
            <w:rFonts w:ascii="Tahoma" w:hAnsi="Tahoma" w:cs="Tahoma"/>
            <w:iCs/>
            <w:noProof/>
            <w:webHidden/>
            <w:sz w:val="24"/>
            <w:szCs w:val="24"/>
          </w:rPr>
          <w:fldChar w:fldCharType="begin"/>
        </w:r>
        <w:r w:rsidR="00DF521C" w:rsidRPr="009E3DBC">
          <w:rPr>
            <w:rFonts w:ascii="Tahoma" w:hAnsi="Tahoma" w:cs="Tahoma"/>
            <w:iCs/>
            <w:noProof/>
            <w:webHidden/>
            <w:sz w:val="24"/>
            <w:szCs w:val="24"/>
          </w:rPr>
          <w:instrText xml:space="preserve"> PAGEREF _Toc203643125 \h </w:instrText>
        </w:r>
        <w:r w:rsidR="00DF521C" w:rsidRPr="009E3DBC">
          <w:rPr>
            <w:rFonts w:ascii="Tahoma" w:hAnsi="Tahoma" w:cs="Tahoma"/>
            <w:iCs/>
            <w:noProof/>
            <w:webHidden/>
            <w:sz w:val="24"/>
            <w:szCs w:val="24"/>
          </w:rPr>
        </w:r>
        <w:r w:rsidR="00DF521C" w:rsidRPr="009E3DBC">
          <w:rPr>
            <w:rFonts w:ascii="Tahoma" w:hAnsi="Tahoma" w:cs="Tahoma"/>
            <w:iCs/>
            <w:noProof/>
            <w:webHidden/>
            <w:sz w:val="24"/>
            <w:szCs w:val="24"/>
          </w:rPr>
          <w:fldChar w:fldCharType="separate"/>
        </w:r>
        <w:r w:rsidR="00124AFB">
          <w:rPr>
            <w:rFonts w:ascii="Tahoma" w:hAnsi="Tahoma" w:cs="Tahoma"/>
            <w:iCs/>
            <w:noProof/>
            <w:webHidden/>
            <w:sz w:val="24"/>
            <w:szCs w:val="24"/>
          </w:rPr>
          <w:t>345</w:t>
        </w:r>
        <w:r w:rsidR="00DF521C" w:rsidRPr="009E3DBC">
          <w:rPr>
            <w:rFonts w:ascii="Tahoma" w:hAnsi="Tahoma" w:cs="Tahoma"/>
            <w:iCs/>
            <w:noProof/>
            <w:webHidden/>
            <w:sz w:val="24"/>
            <w:szCs w:val="24"/>
          </w:rPr>
          <w:fldChar w:fldCharType="end"/>
        </w:r>
      </w:hyperlink>
    </w:p>
    <w:p w:rsidR="00DF521C" w:rsidRPr="009E3DBC" w:rsidRDefault="00642CE5" w:rsidP="00B84FD6">
      <w:pPr>
        <w:pStyle w:val="TM4"/>
        <w:tabs>
          <w:tab w:val="left" w:pos="1100"/>
          <w:tab w:val="right" w:leader="dot" w:pos="9346"/>
        </w:tabs>
        <w:spacing w:line="360" w:lineRule="auto"/>
        <w:jc w:val="both"/>
        <w:rPr>
          <w:rFonts w:ascii="Tahoma" w:eastAsiaTheme="minorEastAsia" w:hAnsi="Tahoma" w:cs="Tahoma"/>
          <w:iCs/>
          <w:noProof/>
          <w:sz w:val="24"/>
          <w:szCs w:val="24"/>
          <w:lang w:eastAsia="fr-FR"/>
        </w:rPr>
      </w:pPr>
      <w:hyperlink w:anchor="_Toc203643126" w:history="1">
        <w:r w:rsidR="00DF521C" w:rsidRPr="009E3DBC">
          <w:rPr>
            <w:rStyle w:val="Lienhypertexte"/>
            <w:rFonts w:ascii="Tahoma" w:hAnsi="Tahoma" w:cs="Tahoma"/>
            <w:iCs/>
            <w:noProof/>
            <w:sz w:val="24"/>
            <w:szCs w:val="24"/>
            <w14:scene3d>
              <w14:camera w14:prst="orthographicFront"/>
              <w14:lightRig w14:rig="threePt" w14:dir="t">
                <w14:rot w14:lat="0" w14:lon="0" w14:rev="0"/>
              </w14:lightRig>
            </w14:scene3d>
          </w:rPr>
          <w:t>3.</w:t>
        </w:r>
        <w:r w:rsidR="00DF521C" w:rsidRPr="009E3DBC">
          <w:rPr>
            <w:rFonts w:ascii="Tahoma" w:eastAsiaTheme="minorEastAsia" w:hAnsi="Tahoma" w:cs="Tahoma"/>
            <w:iCs/>
            <w:noProof/>
            <w:sz w:val="24"/>
            <w:szCs w:val="24"/>
            <w:lang w:eastAsia="fr-FR"/>
          </w:rPr>
          <w:tab/>
        </w:r>
        <w:r w:rsidR="00DF521C" w:rsidRPr="009E3DBC">
          <w:rPr>
            <w:rStyle w:val="Lienhypertexte"/>
            <w:rFonts w:ascii="Tahoma" w:hAnsi="Tahoma" w:cs="Tahoma"/>
            <w:iCs/>
            <w:noProof/>
            <w:sz w:val="24"/>
            <w:szCs w:val="24"/>
          </w:rPr>
          <w:t>Situation des services de base selon les enquêtés</w:t>
        </w:r>
        <w:r w:rsidR="00DF521C" w:rsidRPr="009E3DBC">
          <w:rPr>
            <w:rFonts w:ascii="Tahoma" w:hAnsi="Tahoma" w:cs="Tahoma"/>
            <w:iCs/>
            <w:noProof/>
            <w:webHidden/>
            <w:sz w:val="24"/>
            <w:szCs w:val="24"/>
          </w:rPr>
          <w:tab/>
        </w:r>
        <w:r w:rsidR="00DF521C" w:rsidRPr="009E3DBC">
          <w:rPr>
            <w:rFonts w:ascii="Tahoma" w:hAnsi="Tahoma" w:cs="Tahoma"/>
            <w:iCs/>
            <w:noProof/>
            <w:webHidden/>
            <w:sz w:val="24"/>
            <w:szCs w:val="24"/>
          </w:rPr>
          <w:fldChar w:fldCharType="begin"/>
        </w:r>
        <w:r w:rsidR="00DF521C" w:rsidRPr="009E3DBC">
          <w:rPr>
            <w:rFonts w:ascii="Tahoma" w:hAnsi="Tahoma" w:cs="Tahoma"/>
            <w:iCs/>
            <w:noProof/>
            <w:webHidden/>
            <w:sz w:val="24"/>
            <w:szCs w:val="24"/>
          </w:rPr>
          <w:instrText xml:space="preserve"> PAGEREF _Toc203643126 \h </w:instrText>
        </w:r>
        <w:r w:rsidR="00DF521C" w:rsidRPr="009E3DBC">
          <w:rPr>
            <w:rFonts w:ascii="Tahoma" w:hAnsi="Tahoma" w:cs="Tahoma"/>
            <w:iCs/>
            <w:noProof/>
            <w:webHidden/>
            <w:sz w:val="24"/>
            <w:szCs w:val="24"/>
          </w:rPr>
        </w:r>
        <w:r w:rsidR="00DF521C" w:rsidRPr="009E3DBC">
          <w:rPr>
            <w:rFonts w:ascii="Tahoma" w:hAnsi="Tahoma" w:cs="Tahoma"/>
            <w:iCs/>
            <w:noProof/>
            <w:webHidden/>
            <w:sz w:val="24"/>
            <w:szCs w:val="24"/>
          </w:rPr>
          <w:fldChar w:fldCharType="separate"/>
        </w:r>
        <w:r w:rsidR="00124AFB">
          <w:rPr>
            <w:rFonts w:ascii="Tahoma" w:hAnsi="Tahoma" w:cs="Tahoma"/>
            <w:iCs/>
            <w:noProof/>
            <w:webHidden/>
            <w:sz w:val="24"/>
            <w:szCs w:val="24"/>
          </w:rPr>
          <w:t>355</w:t>
        </w:r>
        <w:r w:rsidR="00DF521C" w:rsidRPr="009E3DBC">
          <w:rPr>
            <w:rFonts w:ascii="Tahoma" w:hAnsi="Tahoma" w:cs="Tahoma"/>
            <w:iCs/>
            <w:noProof/>
            <w:webHidden/>
            <w:sz w:val="24"/>
            <w:szCs w:val="24"/>
          </w:rPr>
          <w:fldChar w:fldCharType="end"/>
        </w:r>
      </w:hyperlink>
    </w:p>
    <w:p w:rsidR="00DF521C" w:rsidRPr="009E3DBC" w:rsidRDefault="00642CE5" w:rsidP="00B84FD6">
      <w:pPr>
        <w:pStyle w:val="TM5"/>
        <w:tabs>
          <w:tab w:val="left" w:pos="1320"/>
          <w:tab w:val="right" w:leader="dot" w:pos="9346"/>
        </w:tabs>
        <w:spacing w:line="360" w:lineRule="auto"/>
        <w:jc w:val="both"/>
        <w:rPr>
          <w:rFonts w:ascii="Tahoma" w:eastAsiaTheme="minorEastAsia" w:hAnsi="Tahoma" w:cs="Tahoma"/>
          <w:iCs/>
          <w:noProof/>
          <w:sz w:val="24"/>
          <w:szCs w:val="24"/>
          <w:lang w:eastAsia="fr-FR"/>
        </w:rPr>
      </w:pPr>
      <w:hyperlink w:anchor="_Toc203643127" w:history="1">
        <w:r w:rsidR="00DF521C" w:rsidRPr="009E3DBC">
          <w:rPr>
            <w:rStyle w:val="Lienhypertexte"/>
            <w:rFonts w:ascii="Tahoma" w:hAnsi="Tahoma" w:cs="Tahoma"/>
            <w:iCs/>
            <w:noProof/>
            <w:sz w:val="24"/>
            <w:szCs w:val="24"/>
          </w:rPr>
          <w:t>a.</w:t>
        </w:r>
        <w:r w:rsidR="00DF521C" w:rsidRPr="009E3DBC">
          <w:rPr>
            <w:rFonts w:ascii="Tahoma" w:eastAsiaTheme="minorEastAsia" w:hAnsi="Tahoma" w:cs="Tahoma"/>
            <w:iCs/>
            <w:noProof/>
            <w:sz w:val="24"/>
            <w:szCs w:val="24"/>
            <w:lang w:eastAsia="fr-FR"/>
          </w:rPr>
          <w:tab/>
        </w:r>
        <w:r w:rsidR="00DF521C" w:rsidRPr="009E3DBC">
          <w:rPr>
            <w:rStyle w:val="Lienhypertexte"/>
            <w:rFonts w:ascii="Tahoma" w:hAnsi="Tahoma" w:cs="Tahoma"/>
            <w:iCs/>
            <w:noProof/>
            <w:sz w:val="24"/>
            <w:szCs w:val="24"/>
          </w:rPr>
          <w:t>Eléctrification rurale : un processus inachevé aux résultats différenciés</w:t>
        </w:r>
        <w:r w:rsidR="00DF521C" w:rsidRPr="009E3DBC">
          <w:rPr>
            <w:rFonts w:ascii="Tahoma" w:hAnsi="Tahoma" w:cs="Tahoma"/>
            <w:iCs/>
            <w:noProof/>
            <w:webHidden/>
            <w:sz w:val="24"/>
            <w:szCs w:val="24"/>
          </w:rPr>
          <w:tab/>
        </w:r>
        <w:r w:rsidR="00DF521C" w:rsidRPr="009E3DBC">
          <w:rPr>
            <w:rFonts w:ascii="Tahoma" w:hAnsi="Tahoma" w:cs="Tahoma"/>
            <w:iCs/>
            <w:noProof/>
            <w:webHidden/>
            <w:sz w:val="24"/>
            <w:szCs w:val="24"/>
          </w:rPr>
          <w:fldChar w:fldCharType="begin"/>
        </w:r>
        <w:r w:rsidR="00DF521C" w:rsidRPr="009E3DBC">
          <w:rPr>
            <w:rFonts w:ascii="Tahoma" w:hAnsi="Tahoma" w:cs="Tahoma"/>
            <w:iCs/>
            <w:noProof/>
            <w:webHidden/>
            <w:sz w:val="24"/>
            <w:szCs w:val="24"/>
          </w:rPr>
          <w:instrText xml:space="preserve"> PAGEREF _Toc203643127 \h </w:instrText>
        </w:r>
        <w:r w:rsidR="00DF521C" w:rsidRPr="009E3DBC">
          <w:rPr>
            <w:rFonts w:ascii="Tahoma" w:hAnsi="Tahoma" w:cs="Tahoma"/>
            <w:iCs/>
            <w:noProof/>
            <w:webHidden/>
            <w:sz w:val="24"/>
            <w:szCs w:val="24"/>
          </w:rPr>
        </w:r>
        <w:r w:rsidR="00DF521C" w:rsidRPr="009E3DBC">
          <w:rPr>
            <w:rFonts w:ascii="Tahoma" w:hAnsi="Tahoma" w:cs="Tahoma"/>
            <w:iCs/>
            <w:noProof/>
            <w:webHidden/>
            <w:sz w:val="24"/>
            <w:szCs w:val="24"/>
          </w:rPr>
          <w:fldChar w:fldCharType="separate"/>
        </w:r>
        <w:r w:rsidR="00124AFB">
          <w:rPr>
            <w:rFonts w:ascii="Tahoma" w:hAnsi="Tahoma" w:cs="Tahoma"/>
            <w:iCs/>
            <w:noProof/>
            <w:webHidden/>
            <w:sz w:val="24"/>
            <w:szCs w:val="24"/>
          </w:rPr>
          <w:t>358</w:t>
        </w:r>
        <w:r w:rsidR="00DF521C" w:rsidRPr="009E3DBC">
          <w:rPr>
            <w:rFonts w:ascii="Tahoma" w:hAnsi="Tahoma" w:cs="Tahoma"/>
            <w:iCs/>
            <w:noProof/>
            <w:webHidden/>
            <w:sz w:val="24"/>
            <w:szCs w:val="24"/>
          </w:rPr>
          <w:fldChar w:fldCharType="end"/>
        </w:r>
      </w:hyperlink>
    </w:p>
    <w:p w:rsidR="00DF521C" w:rsidRPr="009E3DBC" w:rsidRDefault="00642CE5" w:rsidP="00B84FD6">
      <w:pPr>
        <w:pStyle w:val="TM5"/>
        <w:tabs>
          <w:tab w:val="left" w:pos="1320"/>
          <w:tab w:val="right" w:leader="dot" w:pos="9346"/>
        </w:tabs>
        <w:spacing w:line="360" w:lineRule="auto"/>
        <w:jc w:val="both"/>
        <w:rPr>
          <w:rFonts w:ascii="Tahoma" w:eastAsiaTheme="minorEastAsia" w:hAnsi="Tahoma" w:cs="Tahoma"/>
          <w:iCs/>
          <w:noProof/>
          <w:sz w:val="24"/>
          <w:szCs w:val="24"/>
          <w:lang w:eastAsia="fr-FR"/>
        </w:rPr>
      </w:pPr>
      <w:hyperlink w:anchor="_Toc203643128" w:history="1">
        <w:r w:rsidR="00DF521C" w:rsidRPr="009E3DBC">
          <w:rPr>
            <w:rStyle w:val="Lienhypertexte"/>
            <w:rFonts w:ascii="Tahoma" w:hAnsi="Tahoma" w:cs="Tahoma"/>
            <w:iCs/>
            <w:noProof/>
            <w:sz w:val="24"/>
            <w:szCs w:val="24"/>
          </w:rPr>
          <w:t>b.</w:t>
        </w:r>
        <w:r w:rsidR="00DF521C" w:rsidRPr="009E3DBC">
          <w:rPr>
            <w:rFonts w:ascii="Tahoma" w:eastAsiaTheme="minorEastAsia" w:hAnsi="Tahoma" w:cs="Tahoma"/>
            <w:iCs/>
            <w:noProof/>
            <w:sz w:val="24"/>
            <w:szCs w:val="24"/>
            <w:lang w:eastAsia="fr-FR"/>
          </w:rPr>
          <w:tab/>
        </w:r>
        <w:r w:rsidR="00DF521C" w:rsidRPr="009E3DBC">
          <w:rPr>
            <w:rStyle w:val="Lienhypertexte"/>
            <w:rFonts w:ascii="Tahoma" w:hAnsi="Tahoma" w:cs="Tahoma"/>
            <w:iCs/>
            <w:noProof/>
            <w:sz w:val="24"/>
            <w:szCs w:val="24"/>
          </w:rPr>
          <w:t>Eau et assainissement : défaillances structurelles majeures</w:t>
        </w:r>
        <w:r w:rsidR="00DF521C" w:rsidRPr="009E3DBC">
          <w:rPr>
            <w:rFonts w:ascii="Tahoma" w:hAnsi="Tahoma" w:cs="Tahoma"/>
            <w:iCs/>
            <w:noProof/>
            <w:webHidden/>
            <w:sz w:val="24"/>
            <w:szCs w:val="24"/>
          </w:rPr>
          <w:tab/>
        </w:r>
        <w:r w:rsidR="00DF521C" w:rsidRPr="009E3DBC">
          <w:rPr>
            <w:rFonts w:ascii="Tahoma" w:hAnsi="Tahoma" w:cs="Tahoma"/>
            <w:iCs/>
            <w:noProof/>
            <w:webHidden/>
            <w:sz w:val="24"/>
            <w:szCs w:val="24"/>
          </w:rPr>
          <w:fldChar w:fldCharType="begin"/>
        </w:r>
        <w:r w:rsidR="00DF521C" w:rsidRPr="009E3DBC">
          <w:rPr>
            <w:rFonts w:ascii="Tahoma" w:hAnsi="Tahoma" w:cs="Tahoma"/>
            <w:iCs/>
            <w:noProof/>
            <w:webHidden/>
            <w:sz w:val="24"/>
            <w:szCs w:val="24"/>
          </w:rPr>
          <w:instrText xml:space="preserve"> PAGEREF _Toc203643128 \h </w:instrText>
        </w:r>
        <w:r w:rsidR="00DF521C" w:rsidRPr="009E3DBC">
          <w:rPr>
            <w:rFonts w:ascii="Tahoma" w:hAnsi="Tahoma" w:cs="Tahoma"/>
            <w:iCs/>
            <w:noProof/>
            <w:webHidden/>
            <w:sz w:val="24"/>
            <w:szCs w:val="24"/>
          </w:rPr>
        </w:r>
        <w:r w:rsidR="00DF521C" w:rsidRPr="009E3DBC">
          <w:rPr>
            <w:rFonts w:ascii="Tahoma" w:hAnsi="Tahoma" w:cs="Tahoma"/>
            <w:iCs/>
            <w:noProof/>
            <w:webHidden/>
            <w:sz w:val="24"/>
            <w:szCs w:val="24"/>
          </w:rPr>
          <w:fldChar w:fldCharType="separate"/>
        </w:r>
        <w:r w:rsidR="00124AFB">
          <w:rPr>
            <w:rFonts w:ascii="Tahoma" w:hAnsi="Tahoma" w:cs="Tahoma"/>
            <w:iCs/>
            <w:noProof/>
            <w:webHidden/>
            <w:sz w:val="24"/>
            <w:szCs w:val="24"/>
          </w:rPr>
          <w:t>360</w:t>
        </w:r>
        <w:r w:rsidR="00DF521C" w:rsidRPr="009E3DBC">
          <w:rPr>
            <w:rFonts w:ascii="Tahoma" w:hAnsi="Tahoma" w:cs="Tahoma"/>
            <w:iCs/>
            <w:noProof/>
            <w:webHidden/>
            <w:sz w:val="24"/>
            <w:szCs w:val="24"/>
          </w:rPr>
          <w:fldChar w:fldCharType="end"/>
        </w:r>
      </w:hyperlink>
    </w:p>
    <w:p w:rsidR="00DF521C" w:rsidRPr="009E3DBC" w:rsidRDefault="00642CE5" w:rsidP="00B84FD6">
      <w:pPr>
        <w:pStyle w:val="TM5"/>
        <w:tabs>
          <w:tab w:val="left" w:pos="1320"/>
          <w:tab w:val="right" w:leader="dot" w:pos="9346"/>
        </w:tabs>
        <w:spacing w:line="360" w:lineRule="auto"/>
        <w:jc w:val="both"/>
        <w:rPr>
          <w:rFonts w:ascii="Tahoma" w:eastAsiaTheme="minorEastAsia" w:hAnsi="Tahoma" w:cs="Tahoma"/>
          <w:iCs/>
          <w:noProof/>
          <w:sz w:val="24"/>
          <w:szCs w:val="24"/>
          <w:lang w:eastAsia="fr-FR"/>
        </w:rPr>
      </w:pPr>
      <w:hyperlink w:anchor="_Toc203643129" w:history="1">
        <w:r w:rsidR="00DF521C" w:rsidRPr="009E3DBC">
          <w:rPr>
            <w:rStyle w:val="Lienhypertexte"/>
            <w:rFonts w:ascii="Tahoma" w:hAnsi="Tahoma" w:cs="Tahoma"/>
            <w:iCs/>
            <w:noProof/>
            <w:sz w:val="24"/>
            <w:szCs w:val="24"/>
          </w:rPr>
          <w:t>c.</w:t>
        </w:r>
        <w:r w:rsidR="00DF521C" w:rsidRPr="009E3DBC">
          <w:rPr>
            <w:rFonts w:ascii="Tahoma" w:eastAsiaTheme="minorEastAsia" w:hAnsi="Tahoma" w:cs="Tahoma"/>
            <w:iCs/>
            <w:noProof/>
            <w:sz w:val="24"/>
            <w:szCs w:val="24"/>
            <w:lang w:eastAsia="fr-FR"/>
          </w:rPr>
          <w:tab/>
        </w:r>
        <w:r w:rsidR="00DF521C" w:rsidRPr="009E3DBC">
          <w:rPr>
            <w:rStyle w:val="Lienhypertexte"/>
            <w:rFonts w:ascii="Tahoma" w:hAnsi="Tahoma" w:cs="Tahoma"/>
            <w:iCs/>
            <w:noProof/>
            <w:sz w:val="24"/>
            <w:szCs w:val="24"/>
          </w:rPr>
          <w:t>Habitat et connectivité : indicateurs de marginalisation territoriale</w:t>
        </w:r>
        <w:r w:rsidR="00DF521C" w:rsidRPr="009E3DBC">
          <w:rPr>
            <w:rFonts w:ascii="Tahoma" w:hAnsi="Tahoma" w:cs="Tahoma"/>
            <w:iCs/>
            <w:noProof/>
            <w:webHidden/>
            <w:sz w:val="24"/>
            <w:szCs w:val="24"/>
          </w:rPr>
          <w:tab/>
        </w:r>
        <w:r w:rsidR="00DF521C" w:rsidRPr="009E3DBC">
          <w:rPr>
            <w:rFonts w:ascii="Tahoma" w:hAnsi="Tahoma" w:cs="Tahoma"/>
            <w:iCs/>
            <w:noProof/>
            <w:webHidden/>
            <w:sz w:val="24"/>
            <w:szCs w:val="24"/>
          </w:rPr>
          <w:fldChar w:fldCharType="begin"/>
        </w:r>
        <w:r w:rsidR="00DF521C" w:rsidRPr="009E3DBC">
          <w:rPr>
            <w:rFonts w:ascii="Tahoma" w:hAnsi="Tahoma" w:cs="Tahoma"/>
            <w:iCs/>
            <w:noProof/>
            <w:webHidden/>
            <w:sz w:val="24"/>
            <w:szCs w:val="24"/>
          </w:rPr>
          <w:instrText xml:space="preserve"> PAGEREF _Toc203643129 \h </w:instrText>
        </w:r>
        <w:r w:rsidR="00DF521C" w:rsidRPr="009E3DBC">
          <w:rPr>
            <w:rFonts w:ascii="Tahoma" w:hAnsi="Tahoma" w:cs="Tahoma"/>
            <w:iCs/>
            <w:noProof/>
            <w:webHidden/>
            <w:sz w:val="24"/>
            <w:szCs w:val="24"/>
          </w:rPr>
        </w:r>
        <w:r w:rsidR="00DF521C" w:rsidRPr="009E3DBC">
          <w:rPr>
            <w:rFonts w:ascii="Tahoma" w:hAnsi="Tahoma" w:cs="Tahoma"/>
            <w:iCs/>
            <w:noProof/>
            <w:webHidden/>
            <w:sz w:val="24"/>
            <w:szCs w:val="24"/>
          </w:rPr>
          <w:fldChar w:fldCharType="separate"/>
        </w:r>
        <w:r w:rsidR="00124AFB">
          <w:rPr>
            <w:rFonts w:ascii="Tahoma" w:hAnsi="Tahoma" w:cs="Tahoma"/>
            <w:iCs/>
            <w:noProof/>
            <w:webHidden/>
            <w:sz w:val="24"/>
            <w:szCs w:val="24"/>
          </w:rPr>
          <w:t>361</w:t>
        </w:r>
        <w:r w:rsidR="00DF521C" w:rsidRPr="009E3DBC">
          <w:rPr>
            <w:rFonts w:ascii="Tahoma" w:hAnsi="Tahoma" w:cs="Tahoma"/>
            <w:iCs/>
            <w:noProof/>
            <w:webHidden/>
            <w:sz w:val="24"/>
            <w:szCs w:val="24"/>
          </w:rPr>
          <w:fldChar w:fldCharType="end"/>
        </w:r>
      </w:hyperlink>
    </w:p>
    <w:p w:rsidR="00DF521C" w:rsidRPr="009E3DBC" w:rsidRDefault="00642CE5" w:rsidP="00B84FD6">
      <w:pPr>
        <w:pStyle w:val="TM5"/>
        <w:tabs>
          <w:tab w:val="left" w:pos="1320"/>
          <w:tab w:val="right" w:leader="dot" w:pos="9346"/>
        </w:tabs>
        <w:spacing w:line="360" w:lineRule="auto"/>
        <w:jc w:val="both"/>
        <w:rPr>
          <w:rFonts w:ascii="Tahoma" w:eastAsiaTheme="minorEastAsia" w:hAnsi="Tahoma" w:cs="Tahoma"/>
          <w:iCs/>
          <w:noProof/>
          <w:sz w:val="24"/>
          <w:szCs w:val="24"/>
          <w:lang w:eastAsia="fr-FR"/>
        </w:rPr>
      </w:pPr>
      <w:hyperlink w:anchor="_Toc203643130" w:history="1">
        <w:r w:rsidR="00DF521C" w:rsidRPr="009E3DBC">
          <w:rPr>
            <w:rStyle w:val="Lienhypertexte"/>
            <w:rFonts w:ascii="Tahoma" w:hAnsi="Tahoma" w:cs="Tahoma"/>
            <w:iCs/>
            <w:noProof/>
            <w:sz w:val="24"/>
            <w:szCs w:val="24"/>
          </w:rPr>
          <w:t>d.</w:t>
        </w:r>
        <w:r w:rsidR="00DF521C" w:rsidRPr="009E3DBC">
          <w:rPr>
            <w:rFonts w:ascii="Tahoma" w:eastAsiaTheme="minorEastAsia" w:hAnsi="Tahoma" w:cs="Tahoma"/>
            <w:iCs/>
            <w:noProof/>
            <w:sz w:val="24"/>
            <w:szCs w:val="24"/>
            <w:lang w:eastAsia="fr-FR"/>
          </w:rPr>
          <w:tab/>
        </w:r>
        <w:r w:rsidR="00DF521C" w:rsidRPr="009E3DBC">
          <w:rPr>
            <w:rStyle w:val="Lienhypertexte"/>
            <w:rFonts w:ascii="Tahoma" w:hAnsi="Tahoma" w:cs="Tahoma"/>
            <w:iCs/>
            <w:noProof/>
            <w:sz w:val="24"/>
            <w:szCs w:val="24"/>
          </w:rPr>
          <w:t>Désenclavement territorial : défaillances routières et déficit de communication téléphonique mobile</w:t>
        </w:r>
        <w:r w:rsidR="00DF521C" w:rsidRPr="009E3DBC">
          <w:rPr>
            <w:rFonts w:ascii="Tahoma" w:hAnsi="Tahoma" w:cs="Tahoma"/>
            <w:iCs/>
            <w:noProof/>
            <w:webHidden/>
            <w:sz w:val="24"/>
            <w:szCs w:val="24"/>
          </w:rPr>
          <w:tab/>
        </w:r>
        <w:r w:rsidR="00DF521C" w:rsidRPr="009E3DBC">
          <w:rPr>
            <w:rFonts w:ascii="Tahoma" w:hAnsi="Tahoma" w:cs="Tahoma"/>
            <w:iCs/>
            <w:noProof/>
            <w:webHidden/>
            <w:sz w:val="24"/>
            <w:szCs w:val="24"/>
          </w:rPr>
          <w:fldChar w:fldCharType="begin"/>
        </w:r>
        <w:r w:rsidR="00DF521C" w:rsidRPr="009E3DBC">
          <w:rPr>
            <w:rFonts w:ascii="Tahoma" w:hAnsi="Tahoma" w:cs="Tahoma"/>
            <w:iCs/>
            <w:noProof/>
            <w:webHidden/>
            <w:sz w:val="24"/>
            <w:szCs w:val="24"/>
          </w:rPr>
          <w:instrText xml:space="preserve"> PAGEREF _Toc203643130 \h </w:instrText>
        </w:r>
        <w:r w:rsidR="00DF521C" w:rsidRPr="009E3DBC">
          <w:rPr>
            <w:rFonts w:ascii="Tahoma" w:hAnsi="Tahoma" w:cs="Tahoma"/>
            <w:iCs/>
            <w:noProof/>
            <w:webHidden/>
            <w:sz w:val="24"/>
            <w:szCs w:val="24"/>
          </w:rPr>
        </w:r>
        <w:r w:rsidR="00DF521C" w:rsidRPr="009E3DBC">
          <w:rPr>
            <w:rFonts w:ascii="Tahoma" w:hAnsi="Tahoma" w:cs="Tahoma"/>
            <w:iCs/>
            <w:noProof/>
            <w:webHidden/>
            <w:sz w:val="24"/>
            <w:szCs w:val="24"/>
          </w:rPr>
          <w:fldChar w:fldCharType="separate"/>
        </w:r>
        <w:r w:rsidR="00124AFB">
          <w:rPr>
            <w:rFonts w:ascii="Tahoma" w:hAnsi="Tahoma" w:cs="Tahoma"/>
            <w:iCs/>
            <w:noProof/>
            <w:webHidden/>
            <w:sz w:val="24"/>
            <w:szCs w:val="24"/>
          </w:rPr>
          <w:t>363</w:t>
        </w:r>
        <w:r w:rsidR="00DF521C" w:rsidRPr="009E3DBC">
          <w:rPr>
            <w:rFonts w:ascii="Tahoma" w:hAnsi="Tahoma" w:cs="Tahoma"/>
            <w:iCs/>
            <w:noProof/>
            <w:webHidden/>
            <w:sz w:val="24"/>
            <w:szCs w:val="24"/>
          </w:rPr>
          <w:fldChar w:fldCharType="end"/>
        </w:r>
      </w:hyperlink>
    </w:p>
    <w:p w:rsidR="00DF521C" w:rsidRPr="009E3DBC" w:rsidRDefault="00642CE5" w:rsidP="00B84FD6">
      <w:pPr>
        <w:pStyle w:val="TM3"/>
        <w:tabs>
          <w:tab w:val="left" w:pos="880"/>
          <w:tab w:val="right" w:leader="dot" w:pos="9346"/>
        </w:tabs>
        <w:spacing w:line="360" w:lineRule="auto"/>
        <w:jc w:val="both"/>
        <w:rPr>
          <w:rFonts w:ascii="Tahoma" w:eastAsiaTheme="minorEastAsia" w:hAnsi="Tahoma" w:cs="Tahoma"/>
          <w:i w:val="0"/>
          <w:noProof/>
          <w:sz w:val="24"/>
          <w:lang w:eastAsia="fr-FR"/>
        </w:rPr>
      </w:pPr>
      <w:hyperlink w:anchor="_Toc203643131" w:history="1">
        <w:r w:rsidR="00DF521C" w:rsidRPr="009E3DBC">
          <w:rPr>
            <w:rStyle w:val="Lienhypertexte"/>
            <w:rFonts w:ascii="Tahoma" w:hAnsi="Tahoma" w:cs="Tahoma"/>
            <w:i w:val="0"/>
            <w:noProof/>
            <w:sz w:val="24"/>
            <w14:scene3d>
              <w14:camera w14:prst="orthographicFront"/>
              <w14:lightRig w14:rig="threePt" w14:dir="t">
                <w14:rot w14:lat="0" w14:lon="0" w14:rev="0"/>
              </w14:lightRig>
            </w14:scene3d>
          </w:rPr>
          <w:t>B.</w:t>
        </w:r>
        <w:r w:rsidR="00DF521C" w:rsidRPr="009E3DBC">
          <w:rPr>
            <w:rFonts w:ascii="Tahoma" w:eastAsiaTheme="minorEastAsia" w:hAnsi="Tahoma" w:cs="Tahoma"/>
            <w:i w:val="0"/>
            <w:noProof/>
            <w:sz w:val="24"/>
            <w:lang w:eastAsia="fr-FR"/>
          </w:rPr>
          <w:tab/>
        </w:r>
        <w:r w:rsidR="00DF521C" w:rsidRPr="009E3DBC">
          <w:rPr>
            <w:rStyle w:val="Lienhypertexte"/>
            <w:rFonts w:ascii="Tahoma" w:hAnsi="Tahoma" w:cs="Tahoma"/>
            <w:i w:val="0"/>
            <w:noProof/>
            <w:sz w:val="24"/>
          </w:rPr>
          <w:t>Économie, dégradation forestière et risque accélératif migratoire en forêt de Korifla : vulnérabilités rurales croisées</w:t>
        </w:r>
        <w:r w:rsidR="00DF521C" w:rsidRPr="009E3DBC">
          <w:rPr>
            <w:rFonts w:ascii="Tahoma" w:hAnsi="Tahoma" w:cs="Tahoma"/>
            <w:i w:val="0"/>
            <w:noProof/>
            <w:webHidden/>
            <w:sz w:val="24"/>
          </w:rPr>
          <w:tab/>
        </w:r>
        <w:r w:rsidR="00DF521C" w:rsidRPr="009E3DBC">
          <w:rPr>
            <w:rFonts w:ascii="Tahoma" w:hAnsi="Tahoma" w:cs="Tahoma"/>
            <w:i w:val="0"/>
            <w:noProof/>
            <w:webHidden/>
            <w:sz w:val="24"/>
          </w:rPr>
          <w:fldChar w:fldCharType="begin"/>
        </w:r>
        <w:r w:rsidR="00DF521C" w:rsidRPr="009E3DBC">
          <w:rPr>
            <w:rFonts w:ascii="Tahoma" w:hAnsi="Tahoma" w:cs="Tahoma"/>
            <w:i w:val="0"/>
            <w:noProof/>
            <w:webHidden/>
            <w:sz w:val="24"/>
          </w:rPr>
          <w:instrText xml:space="preserve"> PAGEREF _Toc203643131 \h </w:instrText>
        </w:r>
        <w:r w:rsidR="00DF521C" w:rsidRPr="009E3DBC">
          <w:rPr>
            <w:rFonts w:ascii="Tahoma" w:hAnsi="Tahoma" w:cs="Tahoma"/>
            <w:i w:val="0"/>
            <w:noProof/>
            <w:webHidden/>
            <w:sz w:val="24"/>
          </w:rPr>
        </w:r>
        <w:r w:rsidR="00DF521C" w:rsidRPr="009E3DBC">
          <w:rPr>
            <w:rFonts w:ascii="Tahoma" w:hAnsi="Tahoma" w:cs="Tahoma"/>
            <w:i w:val="0"/>
            <w:noProof/>
            <w:webHidden/>
            <w:sz w:val="24"/>
          </w:rPr>
          <w:fldChar w:fldCharType="separate"/>
        </w:r>
        <w:r w:rsidR="00124AFB">
          <w:rPr>
            <w:rFonts w:ascii="Tahoma" w:hAnsi="Tahoma" w:cs="Tahoma"/>
            <w:i w:val="0"/>
            <w:noProof/>
            <w:webHidden/>
            <w:sz w:val="24"/>
          </w:rPr>
          <w:t>365</w:t>
        </w:r>
        <w:r w:rsidR="00DF521C" w:rsidRPr="009E3DBC">
          <w:rPr>
            <w:rFonts w:ascii="Tahoma" w:hAnsi="Tahoma" w:cs="Tahoma"/>
            <w:i w:val="0"/>
            <w:noProof/>
            <w:webHidden/>
            <w:sz w:val="24"/>
          </w:rPr>
          <w:fldChar w:fldCharType="end"/>
        </w:r>
      </w:hyperlink>
    </w:p>
    <w:p w:rsidR="00DF521C" w:rsidRPr="009E3DBC" w:rsidRDefault="00642CE5" w:rsidP="00B84FD6">
      <w:pPr>
        <w:pStyle w:val="TM4"/>
        <w:tabs>
          <w:tab w:val="left" w:pos="1100"/>
          <w:tab w:val="right" w:leader="dot" w:pos="9346"/>
        </w:tabs>
        <w:spacing w:line="360" w:lineRule="auto"/>
        <w:jc w:val="both"/>
        <w:rPr>
          <w:rFonts w:ascii="Tahoma" w:eastAsiaTheme="minorEastAsia" w:hAnsi="Tahoma" w:cs="Tahoma"/>
          <w:iCs/>
          <w:noProof/>
          <w:sz w:val="24"/>
          <w:szCs w:val="24"/>
          <w:lang w:eastAsia="fr-FR"/>
        </w:rPr>
      </w:pPr>
      <w:hyperlink w:anchor="_Toc203643132" w:history="1">
        <w:r w:rsidR="00DF521C" w:rsidRPr="009E3DBC">
          <w:rPr>
            <w:rStyle w:val="Lienhypertexte"/>
            <w:rFonts w:ascii="Tahoma" w:hAnsi="Tahoma" w:cs="Tahoma"/>
            <w:iCs/>
            <w:noProof/>
            <w:sz w:val="24"/>
            <w:szCs w:val="24"/>
            <w14:scene3d>
              <w14:camera w14:prst="orthographicFront"/>
              <w14:lightRig w14:rig="threePt" w14:dir="t">
                <w14:rot w14:lat="0" w14:lon="0" w14:rev="0"/>
              </w14:lightRig>
            </w14:scene3d>
          </w:rPr>
          <w:t>1.</w:t>
        </w:r>
        <w:r w:rsidR="00DF521C" w:rsidRPr="009E3DBC">
          <w:rPr>
            <w:rFonts w:ascii="Tahoma" w:eastAsiaTheme="minorEastAsia" w:hAnsi="Tahoma" w:cs="Tahoma"/>
            <w:iCs/>
            <w:noProof/>
            <w:sz w:val="24"/>
            <w:szCs w:val="24"/>
            <w:lang w:eastAsia="fr-FR"/>
          </w:rPr>
          <w:tab/>
        </w:r>
        <w:r w:rsidR="00DF521C" w:rsidRPr="009E3DBC">
          <w:rPr>
            <w:rStyle w:val="Lienhypertexte"/>
            <w:rFonts w:ascii="Tahoma" w:hAnsi="Tahoma" w:cs="Tahoma"/>
            <w:iCs/>
            <w:noProof/>
            <w:sz w:val="24"/>
            <w:szCs w:val="24"/>
          </w:rPr>
          <w:t>Le revenu comme révélateur des vulnérabilités socio-économiques en milieu rural forestier</w:t>
        </w:r>
        <w:r w:rsidR="00DF521C" w:rsidRPr="009E3DBC">
          <w:rPr>
            <w:rFonts w:ascii="Tahoma" w:hAnsi="Tahoma" w:cs="Tahoma"/>
            <w:iCs/>
            <w:noProof/>
            <w:webHidden/>
            <w:sz w:val="24"/>
            <w:szCs w:val="24"/>
          </w:rPr>
          <w:tab/>
        </w:r>
        <w:r w:rsidR="00DF521C" w:rsidRPr="009E3DBC">
          <w:rPr>
            <w:rFonts w:ascii="Tahoma" w:hAnsi="Tahoma" w:cs="Tahoma"/>
            <w:iCs/>
            <w:noProof/>
            <w:webHidden/>
            <w:sz w:val="24"/>
            <w:szCs w:val="24"/>
          </w:rPr>
          <w:fldChar w:fldCharType="begin"/>
        </w:r>
        <w:r w:rsidR="00DF521C" w:rsidRPr="009E3DBC">
          <w:rPr>
            <w:rFonts w:ascii="Tahoma" w:hAnsi="Tahoma" w:cs="Tahoma"/>
            <w:iCs/>
            <w:noProof/>
            <w:webHidden/>
            <w:sz w:val="24"/>
            <w:szCs w:val="24"/>
          </w:rPr>
          <w:instrText xml:space="preserve"> PAGEREF _Toc203643132 \h </w:instrText>
        </w:r>
        <w:r w:rsidR="00DF521C" w:rsidRPr="009E3DBC">
          <w:rPr>
            <w:rFonts w:ascii="Tahoma" w:hAnsi="Tahoma" w:cs="Tahoma"/>
            <w:iCs/>
            <w:noProof/>
            <w:webHidden/>
            <w:sz w:val="24"/>
            <w:szCs w:val="24"/>
          </w:rPr>
        </w:r>
        <w:r w:rsidR="00DF521C" w:rsidRPr="009E3DBC">
          <w:rPr>
            <w:rFonts w:ascii="Tahoma" w:hAnsi="Tahoma" w:cs="Tahoma"/>
            <w:iCs/>
            <w:noProof/>
            <w:webHidden/>
            <w:sz w:val="24"/>
            <w:szCs w:val="24"/>
          </w:rPr>
          <w:fldChar w:fldCharType="separate"/>
        </w:r>
        <w:r w:rsidR="00124AFB">
          <w:rPr>
            <w:rFonts w:ascii="Tahoma" w:hAnsi="Tahoma" w:cs="Tahoma"/>
            <w:iCs/>
            <w:noProof/>
            <w:webHidden/>
            <w:sz w:val="24"/>
            <w:szCs w:val="24"/>
          </w:rPr>
          <w:t>366</w:t>
        </w:r>
        <w:r w:rsidR="00DF521C" w:rsidRPr="009E3DBC">
          <w:rPr>
            <w:rFonts w:ascii="Tahoma" w:hAnsi="Tahoma" w:cs="Tahoma"/>
            <w:iCs/>
            <w:noProof/>
            <w:webHidden/>
            <w:sz w:val="24"/>
            <w:szCs w:val="24"/>
          </w:rPr>
          <w:fldChar w:fldCharType="end"/>
        </w:r>
      </w:hyperlink>
    </w:p>
    <w:p w:rsidR="00DF521C" w:rsidRPr="009E3DBC" w:rsidRDefault="00642CE5" w:rsidP="00B84FD6">
      <w:pPr>
        <w:pStyle w:val="TM4"/>
        <w:tabs>
          <w:tab w:val="left" w:pos="1100"/>
          <w:tab w:val="right" w:leader="dot" w:pos="9346"/>
        </w:tabs>
        <w:spacing w:line="360" w:lineRule="auto"/>
        <w:jc w:val="both"/>
        <w:rPr>
          <w:rFonts w:ascii="Tahoma" w:eastAsiaTheme="minorEastAsia" w:hAnsi="Tahoma" w:cs="Tahoma"/>
          <w:iCs/>
          <w:noProof/>
          <w:sz w:val="24"/>
          <w:szCs w:val="24"/>
          <w:lang w:eastAsia="fr-FR"/>
        </w:rPr>
      </w:pPr>
      <w:hyperlink w:anchor="_Toc203643133" w:history="1">
        <w:r w:rsidR="00DF521C" w:rsidRPr="009E3DBC">
          <w:rPr>
            <w:rStyle w:val="Lienhypertexte"/>
            <w:rFonts w:ascii="Tahoma" w:hAnsi="Tahoma" w:cs="Tahoma"/>
            <w:iCs/>
            <w:noProof/>
            <w:sz w:val="24"/>
            <w:szCs w:val="24"/>
            <w14:scene3d>
              <w14:camera w14:prst="orthographicFront"/>
              <w14:lightRig w14:rig="threePt" w14:dir="t">
                <w14:rot w14:lat="0" w14:lon="0" w14:rev="0"/>
              </w14:lightRig>
            </w14:scene3d>
          </w:rPr>
          <w:t>2.</w:t>
        </w:r>
        <w:r w:rsidR="00DF521C" w:rsidRPr="009E3DBC">
          <w:rPr>
            <w:rFonts w:ascii="Tahoma" w:eastAsiaTheme="minorEastAsia" w:hAnsi="Tahoma" w:cs="Tahoma"/>
            <w:iCs/>
            <w:noProof/>
            <w:sz w:val="24"/>
            <w:szCs w:val="24"/>
            <w:lang w:eastAsia="fr-FR"/>
          </w:rPr>
          <w:tab/>
        </w:r>
        <w:r w:rsidR="00DF521C" w:rsidRPr="009E3DBC">
          <w:rPr>
            <w:rStyle w:val="Lienhypertexte"/>
            <w:rFonts w:ascii="Tahoma" w:hAnsi="Tahoma" w:cs="Tahoma"/>
            <w:iCs/>
            <w:noProof/>
            <w:sz w:val="24"/>
            <w:szCs w:val="24"/>
          </w:rPr>
          <w:t>Perception de la dégradation forestière par les enquêtées</w:t>
        </w:r>
        <w:r w:rsidR="00DF521C" w:rsidRPr="009E3DBC">
          <w:rPr>
            <w:rFonts w:ascii="Tahoma" w:hAnsi="Tahoma" w:cs="Tahoma"/>
            <w:iCs/>
            <w:noProof/>
            <w:webHidden/>
            <w:sz w:val="24"/>
            <w:szCs w:val="24"/>
          </w:rPr>
          <w:tab/>
        </w:r>
        <w:r w:rsidR="00DF521C" w:rsidRPr="009E3DBC">
          <w:rPr>
            <w:rFonts w:ascii="Tahoma" w:hAnsi="Tahoma" w:cs="Tahoma"/>
            <w:iCs/>
            <w:noProof/>
            <w:webHidden/>
            <w:sz w:val="24"/>
            <w:szCs w:val="24"/>
          </w:rPr>
          <w:fldChar w:fldCharType="begin"/>
        </w:r>
        <w:r w:rsidR="00DF521C" w:rsidRPr="009E3DBC">
          <w:rPr>
            <w:rFonts w:ascii="Tahoma" w:hAnsi="Tahoma" w:cs="Tahoma"/>
            <w:iCs/>
            <w:noProof/>
            <w:webHidden/>
            <w:sz w:val="24"/>
            <w:szCs w:val="24"/>
          </w:rPr>
          <w:instrText xml:space="preserve"> PAGEREF _Toc203643133 \h </w:instrText>
        </w:r>
        <w:r w:rsidR="00DF521C" w:rsidRPr="009E3DBC">
          <w:rPr>
            <w:rFonts w:ascii="Tahoma" w:hAnsi="Tahoma" w:cs="Tahoma"/>
            <w:iCs/>
            <w:noProof/>
            <w:webHidden/>
            <w:sz w:val="24"/>
            <w:szCs w:val="24"/>
          </w:rPr>
        </w:r>
        <w:r w:rsidR="00DF521C" w:rsidRPr="009E3DBC">
          <w:rPr>
            <w:rFonts w:ascii="Tahoma" w:hAnsi="Tahoma" w:cs="Tahoma"/>
            <w:iCs/>
            <w:noProof/>
            <w:webHidden/>
            <w:sz w:val="24"/>
            <w:szCs w:val="24"/>
          </w:rPr>
          <w:fldChar w:fldCharType="separate"/>
        </w:r>
        <w:r w:rsidR="00124AFB">
          <w:rPr>
            <w:rFonts w:ascii="Tahoma" w:hAnsi="Tahoma" w:cs="Tahoma"/>
            <w:iCs/>
            <w:noProof/>
            <w:webHidden/>
            <w:sz w:val="24"/>
            <w:szCs w:val="24"/>
          </w:rPr>
          <w:t>375</w:t>
        </w:r>
        <w:r w:rsidR="00DF521C" w:rsidRPr="009E3DBC">
          <w:rPr>
            <w:rFonts w:ascii="Tahoma" w:hAnsi="Tahoma" w:cs="Tahoma"/>
            <w:iCs/>
            <w:noProof/>
            <w:webHidden/>
            <w:sz w:val="24"/>
            <w:szCs w:val="24"/>
          </w:rPr>
          <w:fldChar w:fldCharType="end"/>
        </w:r>
      </w:hyperlink>
    </w:p>
    <w:p w:rsidR="00DF521C" w:rsidRPr="009E3DBC" w:rsidRDefault="00642CE5" w:rsidP="00B84FD6">
      <w:pPr>
        <w:pStyle w:val="TM4"/>
        <w:tabs>
          <w:tab w:val="left" w:pos="1100"/>
          <w:tab w:val="right" w:leader="dot" w:pos="9346"/>
        </w:tabs>
        <w:spacing w:line="360" w:lineRule="auto"/>
        <w:jc w:val="both"/>
        <w:rPr>
          <w:rFonts w:ascii="Tahoma" w:eastAsiaTheme="minorEastAsia" w:hAnsi="Tahoma" w:cs="Tahoma"/>
          <w:iCs/>
          <w:noProof/>
          <w:sz w:val="24"/>
          <w:szCs w:val="24"/>
          <w:lang w:eastAsia="fr-FR"/>
        </w:rPr>
      </w:pPr>
      <w:hyperlink w:anchor="_Toc203643134" w:history="1">
        <w:r w:rsidR="00DF521C" w:rsidRPr="009E3DBC">
          <w:rPr>
            <w:rStyle w:val="Lienhypertexte"/>
            <w:rFonts w:ascii="Tahoma" w:hAnsi="Tahoma" w:cs="Tahoma"/>
            <w:iCs/>
            <w:noProof/>
            <w:sz w:val="24"/>
            <w:szCs w:val="24"/>
            <w14:scene3d>
              <w14:camera w14:prst="orthographicFront"/>
              <w14:lightRig w14:rig="threePt" w14:dir="t">
                <w14:rot w14:lat="0" w14:lon="0" w14:rev="0"/>
              </w14:lightRig>
            </w14:scene3d>
          </w:rPr>
          <w:t>3.</w:t>
        </w:r>
        <w:r w:rsidR="00DF521C" w:rsidRPr="009E3DBC">
          <w:rPr>
            <w:rFonts w:ascii="Tahoma" w:eastAsiaTheme="minorEastAsia" w:hAnsi="Tahoma" w:cs="Tahoma"/>
            <w:iCs/>
            <w:noProof/>
            <w:sz w:val="24"/>
            <w:szCs w:val="24"/>
            <w:lang w:eastAsia="fr-FR"/>
          </w:rPr>
          <w:tab/>
        </w:r>
        <w:r w:rsidR="00DF521C" w:rsidRPr="009E3DBC">
          <w:rPr>
            <w:rStyle w:val="Lienhypertexte"/>
            <w:rFonts w:ascii="Tahoma" w:hAnsi="Tahoma" w:cs="Tahoma"/>
            <w:iCs/>
            <w:noProof/>
            <w:sz w:val="24"/>
            <w:szCs w:val="24"/>
          </w:rPr>
          <w:t>Risque accélératif migratoire dans la forêt de Korifla : analyse d'un système de vulnérabilités territoriales interconnectées</w:t>
        </w:r>
        <w:r w:rsidR="00DF521C" w:rsidRPr="009E3DBC">
          <w:rPr>
            <w:rFonts w:ascii="Tahoma" w:hAnsi="Tahoma" w:cs="Tahoma"/>
            <w:iCs/>
            <w:noProof/>
            <w:webHidden/>
            <w:sz w:val="24"/>
            <w:szCs w:val="24"/>
          </w:rPr>
          <w:tab/>
        </w:r>
        <w:r w:rsidR="00DF521C" w:rsidRPr="009E3DBC">
          <w:rPr>
            <w:rFonts w:ascii="Tahoma" w:hAnsi="Tahoma" w:cs="Tahoma"/>
            <w:iCs/>
            <w:noProof/>
            <w:webHidden/>
            <w:sz w:val="24"/>
            <w:szCs w:val="24"/>
          </w:rPr>
          <w:fldChar w:fldCharType="begin"/>
        </w:r>
        <w:r w:rsidR="00DF521C" w:rsidRPr="009E3DBC">
          <w:rPr>
            <w:rFonts w:ascii="Tahoma" w:hAnsi="Tahoma" w:cs="Tahoma"/>
            <w:iCs/>
            <w:noProof/>
            <w:webHidden/>
            <w:sz w:val="24"/>
            <w:szCs w:val="24"/>
          </w:rPr>
          <w:instrText xml:space="preserve"> PAGEREF _Toc203643134 \h </w:instrText>
        </w:r>
        <w:r w:rsidR="00DF521C" w:rsidRPr="009E3DBC">
          <w:rPr>
            <w:rFonts w:ascii="Tahoma" w:hAnsi="Tahoma" w:cs="Tahoma"/>
            <w:iCs/>
            <w:noProof/>
            <w:webHidden/>
            <w:sz w:val="24"/>
            <w:szCs w:val="24"/>
          </w:rPr>
        </w:r>
        <w:r w:rsidR="00DF521C" w:rsidRPr="009E3DBC">
          <w:rPr>
            <w:rFonts w:ascii="Tahoma" w:hAnsi="Tahoma" w:cs="Tahoma"/>
            <w:iCs/>
            <w:noProof/>
            <w:webHidden/>
            <w:sz w:val="24"/>
            <w:szCs w:val="24"/>
          </w:rPr>
          <w:fldChar w:fldCharType="separate"/>
        </w:r>
        <w:r w:rsidR="00124AFB">
          <w:rPr>
            <w:rFonts w:ascii="Tahoma" w:hAnsi="Tahoma" w:cs="Tahoma"/>
            <w:iCs/>
            <w:noProof/>
            <w:webHidden/>
            <w:sz w:val="24"/>
            <w:szCs w:val="24"/>
          </w:rPr>
          <w:t>386</w:t>
        </w:r>
        <w:r w:rsidR="00DF521C" w:rsidRPr="009E3DBC">
          <w:rPr>
            <w:rFonts w:ascii="Tahoma" w:hAnsi="Tahoma" w:cs="Tahoma"/>
            <w:iCs/>
            <w:noProof/>
            <w:webHidden/>
            <w:sz w:val="24"/>
            <w:szCs w:val="24"/>
          </w:rPr>
          <w:fldChar w:fldCharType="end"/>
        </w:r>
      </w:hyperlink>
    </w:p>
    <w:p w:rsidR="00DF521C" w:rsidRPr="009E3DBC" w:rsidRDefault="00642CE5" w:rsidP="00B84FD6">
      <w:pPr>
        <w:pStyle w:val="TM2"/>
        <w:tabs>
          <w:tab w:val="right" w:leader="dot" w:pos="9346"/>
        </w:tabs>
        <w:spacing w:line="360" w:lineRule="auto"/>
        <w:jc w:val="both"/>
        <w:rPr>
          <w:rFonts w:ascii="Tahoma" w:eastAsiaTheme="minorEastAsia" w:hAnsi="Tahoma" w:cs="Tahoma"/>
          <w:iCs/>
          <w:smallCaps w:val="0"/>
          <w:noProof/>
          <w:sz w:val="24"/>
          <w:lang w:eastAsia="fr-FR"/>
        </w:rPr>
      </w:pPr>
      <w:hyperlink w:anchor="_Toc203643135" w:history="1">
        <w:r w:rsidR="00DF521C" w:rsidRPr="009E3DBC">
          <w:rPr>
            <w:rStyle w:val="Lienhypertexte"/>
            <w:rFonts w:ascii="Tahoma" w:hAnsi="Tahoma" w:cs="Tahoma"/>
            <w:iCs/>
            <w:noProof/>
            <w:sz w:val="24"/>
          </w:rPr>
          <w:t>Conclusion du Deuxième Chapitre</w:t>
        </w:r>
        <w:r w:rsidR="00DF521C" w:rsidRPr="009E3DBC">
          <w:rPr>
            <w:rFonts w:ascii="Tahoma" w:hAnsi="Tahoma" w:cs="Tahoma"/>
            <w:iCs/>
            <w:noProof/>
            <w:webHidden/>
            <w:sz w:val="24"/>
          </w:rPr>
          <w:tab/>
        </w:r>
        <w:r w:rsidR="00DF521C" w:rsidRPr="009E3DBC">
          <w:rPr>
            <w:rFonts w:ascii="Tahoma" w:hAnsi="Tahoma" w:cs="Tahoma"/>
            <w:iCs/>
            <w:noProof/>
            <w:webHidden/>
            <w:sz w:val="24"/>
          </w:rPr>
          <w:fldChar w:fldCharType="begin"/>
        </w:r>
        <w:r w:rsidR="00DF521C" w:rsidRPr="009E3DBC">
          <w:rPr>
            <w:rFonts w:ascii="Tahoma" w:hAnsi="Tahoma" w:cs="Tahoma"/>
            <w:iCs/>
            <w:noProof/>
            <w:webHidden/>
            <w:sz w:val="24"/>
          </w:rPr>
          <w:instrText xml:space="preserve"> PAGEREF _Toc203643135 \h </w:instrText>
        </w:r>
        <w:r w:rsidR="00DF521C" w:rsidRPr="009E3DBC">
          <w:rPr>
            <w:rFonts w:ascii="Tahoma" w:hAnsi="Tahoma" w:cs="Tahoma"/>
            <w:iCs/>
            <w:noProof/>
            <w:webHidden/>
            <w:sz w:val="24"/>
          </w:rPr>
        </w:r>
        <w:r w:rsidR="00DF521C" w:rsidRPr="009E3DBC">
          <w:rPr>
            <w:rFonts w:ascii="Tahoma" w:hAnsi="Tahoma" w:cs="Tahoma"/>
            <w:iCs/>
            <w:noProof/>
            <w:webHidden/>
            <w:sz w:val="24"/>
          </w:rPr>
          <w:fldChar w:fldCharType="separate"/>
        </w:r>
        <w:r w:rsidR="00124AFB">
          <w:rPr>
            <w:rFonts w:ascii="Tahoma" w:hAnsi="Tahoma" w:cs="Tahoma"/>
            <w:iCs/>
            <w:noProof/>
            <w:webHidden/>
            <w:sz w:val="24"/>
          </w:rPr>
          <w:t>396</w:t>
        </w:r>
        <w:r w:rsidR="00DF521C" w:rsidRPr="009E3DBC">
          <w:rPr>
            <w:rFonts w:ascii="Tahoma" w:hAnsi="Tahoma" w:cs="Tahoma"/>
            <w:iCs/>
            <w:noProof/>
            <w:webHidden/>
            <w:sz w:val="24"/>
          </w:rPr>
          <w:fldChar w:fldCharType="end"/>
        </w:r>
      </w:hyperlink>
    </w:p>
    <w:p w:rsidR="00DF521C" w:rsidRPr="009E3DBC" w:rsidRDefault="00642CE5" w:rsidP="00B84FD6">
      <w:pPr>
        <w:pStyle w:val="TM2"/>
        <w:tabs>
          <w:tab w:val="right" w:leader="dot" w:pos="9346"/>
        </w:tabs>
        <w:spacing w:line="360" w:lineRule="auto"/>
        <w:jc w:val="both"/>
        <w:rPr>
          <w:rFonts w:ascii="Tahoma" w:eastAsiaTheme="minorEastAsia" w:hAnsi="Tahoma" w:cs="Tahoma"/>
          <w:iCs/>
          <w:smallCaps w:val="0"/>
          <w:noProof/>
          <w:sz w:val="24"/>
          <w:lang w:eastAsia="fr-FR"/>
        </w:rPr>
      </w:pPr>
      <w:hyperlink w:anchor="_Toc203643136" w:history="1">
        <w:r w:rsidR="00DF521C" w:rsidRPr="009E3DBC">
          <w:rPr>
            <w:rStyle w:val="Lienhypertexte"/>
            <w:rFonts w:ascii="Tahoma" w:hAnsi="Tahoma" w:cs="Tahoma"/>
            <w:iCs/>
            <w:noProof/>
            <w:sz w:val="24"/>
          </w:rPr>
          <w:t>Conclusion de la deuxième partie :</w:t>
        </w:r>
        <w:r w:rsidR="00DF521C" w:rsidRPr="009E3DBC">
          <w:rPr>
            <w:rFonts w:ascii="Tahoma" w:hAnsi="Tahoma" w:cs="Tahoma"/>
            <w:iCs/>
            <w:noProof/>
            <w:webHidden/>
            <w:sz w:val="24"/>
          </w:rPr>
          <w:tab/>
        </w:r>
        <w:r w:rsidR="00DF521C" w:rsidRPr="009E3DBC">
          <w:rPr>
            <w:rFonts w:ascii="Tahoma" w:hAnsi="Tahoma" w:cs="Tahoma"/>
            <w:iCs/>
            <w:noProof/>
            <w:webHidden/>
            <w:sz w:val="24"/>
          </w:rPr>
          <w:fldChar w:fldCharType="begin"/>
        </w:r>
        <w:r w:rsidR="00DF521C" w:rsidRPr="009E3DBC">
          <w:rPr>
            <w:rFonts w:ascii="Tahoma" w:hAnsi="Tahoma" w:cs="Tahoma"/>
            <w:iCs/>
            <w:noProof/>
            <w:webHidden/>
            <w:sz w:val="24"/>
          </w:rPr>
          <w:instrText xml:space="preserve"> PAGEREF _Toc203643136 \h </w:instrText>
        </w:r>
        <w:r w:rsidR="00DF521C" w:rsidRPr="009E3DBC">
          <w:rPr>
            <w:rFonts w:ascii="Tahoma" w:hAnsi="Tahoma" w:cs="Tahoma"/>
            <w:iCs/>
            <w:noProof/>
            <w:webHidden/>
            <w:sz w:val="24"/>
          </w:rPr>
        </w:r>
        <w:r w:rsidR="00DF521C" w:rsidRPr="009E3DBC">
          <w:rPr>
            <w:rFonts w:ascii="Tahoma" w:hAnsi="Tahoma" w:cs="Tahoma"/>
            <w:iCs/>
            <w:noProof/>
            <w:webHidden/>
            <w:sz w:val="24"/>
          </w:rPr>
          <w:fldChar w:fldCharType="separate"/>
        </w:r>
        <w:r w:rsidR="00124AFB">
          <w:rPr>
            <w:rFonts w:ascii="Tahoma" w:hAnsi="Tahoma" w:cs="Tahoma"/>
            <w:iCs/>
            <w:noProof/>
            <w:webHidden/>
            <w:sz w:val="24"/>
          </w:rPr>
          <w:t>398</w:t>
        </w:r>
        <w:r w:rsidR="00DF521C" w:rsidRPr="009E3DBC">
          <w:rPr>
            <w:rFonts w:ascii="Tahoma" w:hAnsi="Tahoma" w:cs="Tahoma"/>
            <w:iCs/>
            <w:noProof/>
            <w:webHidden/>
            <w:sz w:val="24"/>
          </w:rPr>
          <w:fldChar w:fldCharType="end"/>
        </w:r>
      </w:hyperlink>
    </w:p>
    <w:p w:rsidR="00DF521C" w:rsidRPr="009E3DBC" w:rsidRDefault="00642CE5" w:rsidP="00B84FD6">
      <w:pPr>
        <w:pStyle w:val="TM1"/>
        <w:rPr>
          <w:rFonts w:eastAsiaTheme="minorEastAsia"/>
          <w:b w:val="0"/>
          <w:bCs w:val="0"/>
          <w:caps w:val="0"/>
          <w:szCs w:val="24"/>
          <w:lang w:eastAsia="fr-FR"/>
        </w:rPr>
      </w:pPr>
      <w:hyperlink w:anchor="_Toc203643137" w:history="1">
        <w:r w:rsidR="00DF521C" w:rsidRPr="009E3DBC">
          <w:rPr>
            <w:rStyle w:val="Lienhypertexte"/>
            <w:szCs w:val="24"/>
          </w:rPr>
          <w:t>Conclusion générale :</w:t>
        </w:r>
        <w:r w:rsidR="00DF521C" w:rsidRPr="009E3DBC">
          <w:rPr>
            <w:webHidden/>
            <w:szCs w:val="24"/>
          </w:rPr>
          <w:tab/>
        </w:r>
        <w:r w:rsidR="00DF521C" w:rsidRPr="009E3DBC">
          <w:rPr>
            <w:webHidden/>
            <w:szCs w:val="24"/>
          </w:rPr>
          <w:fldChar w:fldCharType="begin"/>
        </w:r>
        <w:r w:rsidR="00DF521C" w:rsidRPr="009E3DBC">
          <w:rPr>
            <w:webHidden/>
            <w:szCs w:val="24"/>
          </w:rPr>
          <w:instrText xml:space="preserve"> PAGEREF _Toc203643137 \h </w:instrText>
        </w:r>
        <w:r w:rsidR="00DF521C" w:rsidRPr="009E3DBC">
          <w:rPr>
            <w:webHidden/>
            <w:szCs w:val="24"/>
          </w:rPr>
        </w:r>
        <w:r w:rsidR="00DF521C" w:rsidRPr="009E3DBC">
          <w:rPr>
            <w:webHidden/>
            <w:szCs w:val="24"/>
          </w:rPr>
          <w:fldChar w:fldCharType="separate"/>
        </w:r>
        <w:r w:rsidR="00124AFB">
          <w:rPr>
            <w:webHidden/>
            <w:szCs w:val="24"/>
          </w:rPr>
          <w:t>401</w:t>
        </w:r>
        <w:r w:rsidR="00DF521C" w:rsidRPr="009E3DBC">
          <w:rPr>
            <w:webHidden/>
            <w:szCs w:val="24"/>
          </w:rPr>
          <w:fldChar w:fldCharType="end"/>
        </w:r>
      </w:hyperlink>
    </w:p>
    <w:p w:rsidR="00DF521C" w:rsidRPr="009E3DBC" w:rsidRDefault="00642CE5" w:rsidP="00B84FD6">
      <w:pPr>
        <w:pStyle w:val="TM1"/>
        <w:rPr>
          <w:rFonts w:eastAsiaTheme="minorEastAsia"/>
          <w:b w:val="0"/>
          <w:bCs w:val="0"/>
          <w:caps w:val="0"/>
          <w:szCs w:val="24"/>
          <w:lang w:eastAsia="fr-FR"/>
        </w:rPr>
      </w:pPr>
      <w:hyperlink w:anchor="_Toc203643138" w:history="1">
        <w:r w:rsidR="00DF521C" w:rsidRPr="009E3DBC">
          <w:rPr>
            <w:rStyle w:val="Lienhypertexte"/>
            <w:szCs w:val="24"/>
          </w:rPr>
          <w:t>Glossaire</w:t>
        </w:r>
        <w:r w:rsidR="00DF521C" w:rsidRPr="009E3DBC">
          <w:rPr>
            <w:webHidden/>
            <w:szCs w:val="24"/>
          </w:rPr>
          <w:tab/>
        </w:r>
        <w:r w:rsidR="00DF521C" w:rsidRPr="009E3DBC">
          <w:rPr>
            <w:webHidden/>
            <w:szCs w:val="24"/>
          </w:rPr>
          <w:fldChar w:fldCharType="begin"/>
        </w:r>
        <w:r w:rsidR="00DF521C" w:rsidRPr="009E3DBC">
          <w:rPr>
            <w:webHidden/>
            <w:szCs w:val="24"/>
          </w:rPr>
          <w:instrText xml:space="preserve"> PAGEREF _Toc203643138 \h </w:instrText>
        </w:r>
        <w:r w:rsidR="00DF521C" w:rsidRPr="009E3DBC">
          <w:rPr>
            <w:webHidden/>
            <w:szCs w:val="24"/>
          </w:rPr>
        </w:r>
        <w:r w:rsidR="00DF521C" w:rsidRPr="009E3DBC">
          <w:rPr>
            <w:webHidden/>
            <w:szCs w:val="24"/>
          </w:rPr>
          <w:fldChar w:fldCharType="separate"/>
        </w:r>
        <w:r w:rsidR="00124AFB">
          <w:rPr>
            <w:webHidden/>
            <w:szCs w:val="24"/>
          </w:rPr>
          <w:t>407</w:t>
        </w:r>
        <w:r w:rsidR="00DF521C" w:rsidRPr="009E3DBC">
          <w:rPr>
            <w:webHidden/>
            <w:szCs w:val="24"/>
          </w:rPr>
          <w:fldChar w:fldCharType="end"/>
        </w:r>
      </w:hyperlink>
    </w:p>
    <w:p w:rsidR="00DF521C" w:rsidRPr="009E3DBC" w:rsidRDefault="00642CE5" w:rsidP="00B84FD6">
      <w:pPr>
        <w:pStyle w:val="TM1"/>
        <w:rPr>
          <w:rFonts w:eastAsiaTheme="minorEastAsia"/>
          <w:b w:val="0"/>
          <w:bCs w:val="0"/>
          <w:caps w:val="0"/>
          <w:szCs w:val="24"/>
          <w:lang w:eastAsia="fr-FR"/>
        </w:rPr>
      </w:pPr>
      <w:hyperlink w:anchor="_Toc203643139" w:history="1">
        <w:r w:rsidR="00DF521C" w:rsidRPr="009E3DBC">
          <w:rPr>
            <w:rStyle w:val="Lienhypertexte"/>
            <w:szCs w:val="24"/>
          </w:rPr>
          <w:t>BIBLIOGRAPHIE</w:t>
        </w:r>
        <w:r w:rsidR="00DF521C" w:rsidRPr="009E3DBC">
          <w:rPr>
            <w:webHidden/>
            <w:szCs w:val="24"/>
          </w:rPr>
          <w:tab/>
        </w:r>
        <w:r w:rsidR="00DF521C" w:rsidRPr="009E3DBC">
          <w:rPr>
            <w:webHidden/>
            <w:szCs w:val="24"/>
          </w:rPr>
          <w:fldChar w:fldCharType="begin"/>
        </w:r>
        <w:r w:rsidR="00DF521C" w:rsidRPr="009E3DBC">
          <w:rPr>
            <w:webHidden/>
            <w:szCs w:val="24"/>
          </w:rPr>
          <w:instrText xml:space="preserve"> PAGEREF _Toc203643139 \h </w:instrText>
        </w:r>
        <w:r w:rsidR="00DF521C" w:rsidRPr="009E3DBC">
          <w:rPr>
            <w:webHidden/>
            <w:szCs w:val="24"/>
          </w:rPr>
        </w:r>
        <w:r w:rsidR="00DF521C" w:rsidRPr="009E3DBC">
          <w:rPr>
            <w:webHidden/>
            <w:szCs w:val="24"/>
          </w:rPr>
          <w:fldChar w:fldCharType="separate"/>
        </w:r>
        <w:r w:rsidR="00124AFB">
          <w:rPr>
            <w:webHidden/>
            <w:szCs w:val="24"/>
          </w:rPr>
          <w:t>414</w:t>
        </w:r>
        <w:r w:rsidR="00DF521C" w:rsidRPr="009E3DBC">
          <w:rPr>
            <w:webHidden/>
            <w:szCs w:val="24"/>
          </w:rPr>
          <w:fldChar w:fldCharType="end"/>
        </w:r>
      </w:hyperlink>
    </w:p>
    <w:p w:rsidR="00DF521C" w:rsidRPr="009E3DBC" w:rsidRDefault="00642CE5" w:rsidP="00B84FD6">
      <w:pPr>
        <w:pStyle w:val="TM1"/>
        <w:rPr>
          <w:rFonts w:eastAsiaTheme="minorEastAsia"/>
          <w:b w:val="0"/>
          <w:bCs w:val="0"/>
          <w:caps w:val="0"/>
          <w:szCs w:val="24"/>
          <w:lang w:eastAsia="fr-FR"/>
        </w:rPr>
      </w:pPr>
      <w:hyperlink w:anchor="_Toc203643140" w:history="1">
        <w:r w:rsidR="00DF521C" w:rsidRPr="009E3DBC">
          <w:rPr>
            <w:rStyle w:val="Lienhypertexte"/>
            <w:szCs w:val="24"/>
          </w:rPr>
          <w:t>Liste des tableaux</w:t>
        </w:r>
        <w:r w:rsidR="00DF521C" w:rsidRPr="009E3DBC">
          <w:rPr>
            <w:webHidden/>
            <w:szCs w:val="24"/>
          </w:rPr>
          <w:tab/>
        </w:r>
        <w:r w:rsidR="00DF521C" w:rsidRPr="009E3DBC">
          <w:rPr>
            <w:webHidden/>
            <w:szCs w:val="24"/>
          </w:rPr>
          <w:fldChar w:fldCharType="begin"/>
        </w:r>
        <w:r w:rsidR="00DF521C" w:rsidRPr="009E3DBC">
          <w:rPr>
            <w:webHidden/>
            <w:szCs w:val="24"/>
          </w:rPr>
          <w:instrText xml:space="preserve"> PAGEREF _Toc203643140 \h </w:instrText>
        </w:r>
        <w:r w:rsidR="00DF521C" w:rsidRPr="009E3DBC">
          <w:rPr>
            <w:webHidden/>
            <w:szCs w:val="24"/>
          </w:rPr>
        </w:r>
        <w:r w:rsidR="00DF521C" w:rsidRPr="009E3DBC">
          <w:rPr>
            <w:webHidden/>
            <w:szCs w:val="24"/>
          </w:rPr>
          <w:fldChar w:fldCharType="separate"/>
        </w:r>
        <w:r w:rsidR="00124AFB">
          <w:rPr>
            <w:webHidden/>
            <w:szCs w:val="24"/>
          </w:rPr>
          <w:t>434</w:t>
        </w:r>
        <w:r w:rsidR="00DF521C" w:rsidRPr="009E3DBC">
          <w:rPr>
            <w:webHidden/>
            <w:szCs w:val="24"/>
          </w:rPr>
          <w:fldChar w:fldCharType="end"/>
        </w:r>
      </w:hyperlink>
    </w:p>
    <w:p w:rsidR="00DF521C" w:rsidRPr="009E3DBC" w:rsidRDefault="00642CE5" w:rsidP="00B84FD6">
      <w:pPr>
        <w:pStyle w:val="TM1"/>
        <w:rPr>
          <w:rFonts w:eastAsiaTheme="minorEastAsia"/>
          <w:b w:val="0"/>
          <w:bCs w:val="0"/>
          <w:caps w:val="0"/>
          <w:szCs w:val="24"/>
          <w:lang w:eastAsia="fr-FR"/>
        </w:rPr>
      </w:pPr>
      <w:hyperlink w:anchor="_Toc203643141" w:history="1">
        <w:r w:rsidR="00DF521C" w:rsidRPr="009E3DBC">
          <w:rPr>
            <w:rStyle w:val="Lienhypertexte"/>
            <w:szCs w:val="24"/>
          </w:rPr>
          <w:t>Liste des graphes</w:t>
        </w:r>
        <w:r w:rsidR="00DF521C" w:rsidRPr="009E3DBC">
          <w:rPr>
            <w:webHidden/>
            <w:szCs w:val="24"/>
          </w:rPr>
          <w:tab/>
        </w:r>
        <w:r w:rsidR="00DF521C" w:rsidRPr="009E3DBC">
          <w:rPr>
            <w:webHidden/>
            <w:szCs w:val="24"/>
          </w:rPr>
          <w:fldChar w:fldCharType="begin"/>
        </w:r>
        <w:r w:rsidR="00DF521C" w:rsidRPr="009E3DBC">
          <w:rPr>
            <w:webHidden/>
            <w:szCs w:val="24"/>
          </w:rPr>
          <w:instrText xml:space="preserve"> PAGEREF _Toc203643141 \h </w:instrText>
        </w:r>
        <w:r w:rsidR="00DF521C" w:rsidRPr="009E3DBC">
          <w:rPr>
            <w:webHidden/>
            <w:szCs w:val="24"/>
          </w:rPr>
        </w:r>
        <w:r w:rsidR="00DF521C" w:rsidRPr="009E3DBC">
          <w:rPr>
            <w:webHidden/>
            <w:szCs w:val="24"/>
          </w:rPr>
          <w:fldChar w:fldCharType="separate"/>
        </w:r>
        <w:r w:rsidR="00124AFB">
          <w:rPr>
            <w:webHidden/>
            <w:szCs w:val="24"/>
          </w:rPr>
          <w:t>435</w:t>
        </w:r>
        <w:r w:rsidR="00DF521C" w:rsidRPr="009E3DBC">
          <w:rPr>
            <w:webHidden/>
            <w:szCs w:val="24"/>
          </w:rPr>
          <w:fldChar w:fldCharType="end"/>
        </w:r>
      </w:hyperlink>
    </w:p>
    <w:p w:rsidR="00DF521C" w:rsidRPr="009E3DBC" w:rsidRDefault="00642CE5" w:rsidP="00B84FD6">
      <w:pPr>
        <w:pStyle w:val="TM1"/>
        <w:rPr>
          <w:rFonts w:eastAsiaTheme="minorEastAsia"/>
          <w:b w:val="0"/>
          <w:bCs w:val="0"/>
          <w:caps w:val="0"/>
          <w:szCs w:val="24"/>
          <w:lang w:eastAsia="fr-FR"/>
        </w:rPr>
      </w:pPr>
      <w:hyperlink w:anchor="_Toc203643142" w:history="1">
        <w:r w:rsidR="00DF521C" w:rsidRPr="009E3DBC">
          <w:rPr>
            <w:rStyle w:val="Lienhypertexte"/>
            <w:szCs w:val="24"/>
          </w:rPr>
          <w:t>Liste des cartes</w:t>
        </w:r>
        <w:r w:rsidR="00DF521C" w:rsidRPr="009E3DBC">
          <w:rPr>
            <w:webHidden/>
            <w:szCs w:val="24"/>
          </w:rPr>
          <w:tab/>
        </w:r>
        <w:r w:rsidR="00DF521C" w:rsidRPr="009E3DBC">
          <w:rPr>
            <w:webHidden/>
            <w:szCs w:val="24"/>
          </w:rPr>
          <w:fldChar w:fldCharType="begin"/>
        </w:r>
        <w:r w:rsidR="00DF521C" w:rsidRPr="009E3DBC">
          <w:rPr>
            <w:webHidden/>
            <w:szCs w:val="24"/>
          </w:rPr>
          <w:instrText xml:space="preserve"> PAGEREF _Toc203643142 \h </w:instrText>
        </w:r>
        <w:r w:rsidR="00DF521C" w:rsidRPr="009E3DBC">
          <w:rPr>
            <w:webHidden/>
            <w:szCs w:val="24"/>
          </w:rPr>
        </w:r>
        <w:r w:rsidR="00DF521C" w:rsidRPr="009E3DBC">
          <w:rPr>
            <w:webHidden/>
            <w:szCs w:val="24"/>
          </w:rPr>
          <w:fldChar w:fldCharType="separate"/>
        </w:r>
        <w:r w:rsidR="00124AFB">
          <w:rPr>
            <w:webHidden/>
            <w:szCs w:val="24"/>
          </w:rPr>
          <w:t>437</w:t>
        </w:r>
        <w:r w:rsidR="00DF521C" w:rsidRPr="009E3DBC">
          <w:rPr>
            <w:webHidden/>
            <w:szCs w:val="24"/>
          </w:rPr>
          <w:fldChar w:fldCharType="end"/>
        </w:r>
      </w:hyperlink>
    </w:p>
    <w:p w:rsidR="00DF521C" w:rsidRPr="009E3DBC" w:rsidRDefault="00642CE5" w:rsidP="00B84FD6">
      <w:pPr>
        <w:pStyle w:val="TM1"/>
        <w:rPr>
          <w:rFonts w:eastAsiaTheme="minorEastAsia"/>
          <w:b w:val="0"/>
          <w:bCs w:val="0"/>
          <w:caps w:val="0"/>
          <w:szCs w:val="24"/>
          <w:lang w:eastAsia="fr-FR"/>
        </w:rPr>
      </w:pPr>
      <w:hyperlink w:anchor="_Toc203643143" w:history="1">
        <w:r w:rsidR="00DF521C" w:rsidRPr="009E3DBC">
          <w:rPr>
            <w:rStyle w:val="Lienhypertexte"/>
            <w:szCs w:val="24"/>
          </w:rPr>
          <w:t>Liste des figures</w:t>
        </w:r>
        <w:r w:rsidR="00DF521C" w:rsidRPr="009E3DBC">
          <w:rPr>
            <w:webHidden/>
            <w:szCs w:val="24"/>
          </w:rPr>
          <w:tab/>
        </w:r>
        <w:r w:rsidR="00DF521C" w:rsidRPr="009E3DBC">
          <w:rPr>
            <w:webHidden/>
            <w:szCs w:val="24"/>
          </w:rPr>
          <w:fldChar w:fldCharType="begin"/>
        </w:r>
        <w:r w:rsidR="00DF521C" w:rsidRPr="009E3DBC">
          <w:rPr>
            <w:webHidden/>
            <w:szCs w:val="24"/>
          </w:rPr>
          <w:instrText xml:space="preserve"> PAGEREF _Toc203643143 \h </w:instrText>
        </w:r>
        <w:r w:rsidR="00DF521C" w:rsidRPr="009E3DBC">
          <w:rPr>
            <w:webHidden/>
            <w:szCs w:val="24"/>
          </w:rPr>
        </w:r>
        <w:r w:rsidR="00DF521C" w:rsidRPr="009E3DBC">
          <w:rPr>
            <w:webHidden/>
            <w:szCs w:val="24"/>
          </w:rPr>
          <w:fldChar w:fldCharType="separate"/>
        </w:r>
        <w:r w:rsidR="00124AFB">
          <w:rPr>
            <w:webHidden/>
            <w:szCs w:val="24"/>
          </w:rPr>
          <w:t>438</w:t>
        </w:r>
        <w:r w:rsidR="00DF521C" w:rsidRPr="009E3DBC">
          <w:rPr>
            <w:webHidden/>
            <w:szCs w:val="24"/>
          </w:rPr>
          <w:fldChar w:fldCharType="end"/>
        </w:r>
      </w:hyperlink>
    </w:p>
    <w:p w:rsidR="00DF521C" w:rsidRPr="009E3DBC" w:rsidRDefault="00642CE5" w:rsidP="00B84FD6">
      <w:pPr>
        <w:pStyle w:val="TM1"/>
        <w:rPr>
          <w:rFonts w:eastAsiaTheme="minorEastAsia"/>
          <w:b w:val="0"/>
          <w:bCs w:val="0"/>
          <w:caps w:val="0"/>
          <w:szCs w:val="24"/>
          <w:lang w:eastAsia="fr-FR"/>
        </w:rPr>
      </w:pPr>
      <w:hyperlink w:anchor="_Toc203643144" w:history="1">
        <w:r w:rsidR="00DF521C" w:rsidRPr="009E3DBC">
          <w:rPr>
            <w:rStyle w:val="Lienhypertexte"/>
            <w:szCs w:val="24"/>
          </w:rPr>
          <w:t>ANNEXE 1</w:t>
        </w:r>
        <w:r w:rsidR="00DF521C" w:rsidRPr="009E3DBC">
          <w:rPr>
            <w:webHidden/>
            <w:szCs w:val="24"/>
          </w:rPr>
          <w:tab/>
        </w:r>
        <w:r w:rsidR="00DF521C" w:rsidRPr="009E3DBC">
          <w:rPr>
            <w:webHidden/>
            <w:szCs w:val="24"/>
          </w:rPr>
          <w:fldChar w:fldCharType="begin"/>
        </w:r>
        <w:r w:rsidR="00DF521C" w:rsidRPr="009E3DBC">
          <w:rPr>
            <w:webHidden/>
            <w:szCs w:val="24"/>
          </w:rPr>
          <w:instrText xml:space="preserve"> PAGEREF _Toc203643144 \h </w:instrText>
        </w:r>
        <w:r w:rsidR="00DF521C" w:rsidRPr="009E3DBC">
          <w:rPr>
            <w:webHidden/>
            <w:szCs w:val="24"/>
          </w:rPr>
        </w:r>
        <w:r w:rsidR="00DF521C" w:rsidRPr="009E3DBC">
          <w:rPr>
            <w:webHidden/>
            <w:szCs w:val="24"/>
          </w:rPr>
          <w:fldChar w:fldCharType="separate"/>
        </w:r>
        <w:r w:rsidR="00124AFB">
          <w:rPr>
            <w:webHidden/>
            <w:szCs w:val="24"/>
          </w:rPr>
          <w:t>439</w:t>
        </w:r>
        <w:r w:rsidR="00DF521C" w:rsidRPr="009E3DBC">
          <w:rPr>
            <w:webHidden/>
            <w:szCs w:val="24"/>
          </w:rPr>
          <w:fldChar w:fldCharType="end"/>
        </w:r>
      </w:hyperlink>
    </w:p>
    <w:p w:rsidR="00DF521C" w:rsidRPr="009E3DBC" w:rsidRDefault="00642CE5" w:rsidP="00B84FD6">
      <w:pPr>
        <w:pStyle w:val="TM1"/>
        <w:rPr>
          <w:rFonts w:eastAsiaTheme="minorEastAsia"/>
          <w:b w:val="0"/>
          <w:bCs w:val="0"/>
          <w:caps w:val="0"/>
          <w:szCs w:val="24"/>
          <w:lang w:eastAsia="fr-FR"/>
        </w:rPr>
      </w:pPr>
      <w:hyperlink w:anchor="_Toc203643145" w:history="1">
        <w:r w:rsidR="00DF521C" w:rsidRPr="009E3DBC">
          <w:rPr>
            <w:rStyle w:val="Lienhypertexte"/>
            <w:szCs w:val="24"/>
          </w:rPr>
          <w:t>ANNEXE 2</w:t>
        </w:r>
        <w:r w:rsidR="00DF521C" w:rsidRPr="009E3DBC">
          <w:rPr>
            <w:webHidden/>
            <w:szCs w:val="24"/>
          </w:rPr>
          <w:tab/>
        </w:r>
        <w:r w:rsidR="00DF521C" w:rsidRPr="009E3DBC">
          <w:rPr>
            <w:webHidden/>
            <w:szCs w:val="24"/>
          </w:rPr>
          <w:fldChar w:fldCharType="begin"/>
        </w:r>
        <w:r w:rsidR="00DF521C" w:rsidRPr="009E3DBC">
          <w:rPr>
            <w:webHidden/>
            <w:szCs w:val="24"/>
          </w:rPr>
          <w:instrText xml:space="preserve"> PAGEREF _Toc203643145 \h </w:instrText>
        </w:r>
        <w:r w:rsidR="00DF521C" w:rsidRPr="009E3DBC">
          <w:rPr>
            <w:webHidden/>
            <w:szCs w:val="24"/>
          </w:rPr>
        </w:r>
        <w:r w:rsidR="00DF521C" w:rsidRPr="009E3DBC">
          <w:rPr>
            <w:webHidden/>
            <w:szCs w:val="24"/>
          </w:rPr>
          <w:fldChar w:fldCharType="separate"/>
        </w:r>
        <w:r w:rsidR="00124AFB">
          <w:rPr>
            <w:webHidden/>
            <w:szCs w:val="24"/>
          </w:rPr>
          <w:t>455</w:t>
        </w:r>
        <w:r w:rsidR="00DF521C" w:rsidRPr="009E3DBC">
          <w:rPr>
            <w:webHidden/>
            <w:szCs w:val="24"/>
          </w:rPr>
          <w:fldChar w:fldCharType="end"/>
        </w:r>
      </w:hyperlink>
    </w:p>
    <w:p w:rsidR="00DF521C" w:rsidRPr="009E3DBC" w:rsidRDefault="00642CE5" w:rsidP="00B84FD6">
      <w:pPr>
        <w:pStyle w:val="TM1"/>
        <w:rPr>
          <w:rFonts w:eastAsiaTheme="minorEastAsia"/>
          <w:b w:val="0"/>
          <w:bCs w:val="0"/>
          <w:caps w:val="0"/>
          <w:szCs w:val="24"/>
          <w:lang w:eastAsia="fr-FR"/>
        </w:rPr>
      </w:pPr>
      <w:hyperlink w:anchor="_Toc203643146" w:history="1">
        <w:r w:rsidR="00DF521C" w:rsidRPr="009E3DBC">
          <w:rPr>
            <w:rStyle w:val="Lienhypertexte"/>
            <w:szCs w:val="24"/>
          </w:rPr>
          <w:t>ANNEXE 3</w:t>
        </w:r>
        <w:r w:rsidR="00DF521C" w:rsidRPr="009E3DBC">
          <w:rPr>
            <w:webHidden/>
            <w:szCs w:val="24"/>
          </w:rPr>
          <w:tab/>
        </w:r>
        <w:r w:rsidR="00DF521C" w:rsidRPr="009E3DBC">
          <w:rPr>
            <w:webHidden/>
            <w:szCs w:val="24"/>
          </w:rPr>
          <w:fldChar w:fldCharType="begin"/>
        </w:r>
        <w:r w:rsidR="00DF521C" w:rsidRPr="009E3DBC">
          <w:rPr>
            <w:webHidden/>
            <w:szCs w:val="24"/>
          </w:rPr>
          <w:instrText xml:space="preserve"> PAGEREF _Toc203643146 \h </w:instrText>
        </w:r>
        <w:r w:rsidR="00DF521C" w:rsidRPr="009E3DBC">
          <w:rPr>
            <w:webHidden/>
            <w:szCs w:val="24"/>
          </w:rPr>
        </w:r>
        <w:r w:rsidR="00DF521C" w:rsidRPr="009E3DBC">
          <w:rPr>
            <w:webHidden/>
            <w:szCs w:val="24"/>
          </w:rPr>
          <w:fldChar w:fldCharType="separate"/>
        </w:r>
        <w:r w:rsidR="00124AFB">
          <w:rPr>
            <w:webHidden/>
            <w:szCs w:val="24"/>
          </w:rPr>
          <w:t>462</w:t>
        </w:r>
        <w:r w:rsidR="00DF521C" w:rsidRPr="009E3DBC">
          <w:rPr>
            <w:webHidden/>
            <w:szCs w:val="24"/>
          </w:rPr>
          <w:fldChar w:fldCharType="end"/>
        </w:r>
      </w:hyperlink>
    </w:p>
    <w:p w:rsidR="00DF521C" w:rsidRPr="009E3DBC" w:rsidRDefault="00642CE5" w:rsidP="00B84FD6">
      <w:pPr>
        <w:pStyle w:val="TM1"/>
        <w:rPr>
          <w:rFonts w:eastAsiaTheme="minorEastAsia"/>
          <w:b w:val="0"/>
          <w:bCs w:val="0"/>
          <w:caps w:val="0"/>
          <w:szCs w:val="24"/>
          <w:lang w:eastAsia="fr-FR"/>
        </w:rPr>
      </w:pPr>
      <w:hyperlink w:anchor="_Toc203643147" w:history="1">
        <w:r w:rsidR="00DF521C" w:rsidRPr="009E3DBC">
          <w:rPr>
            <w:rStyle w:val="Lienhypertexte"/>
            <w:szCs w:val="24"/>
          </w:rPr>
          <w:t>ANNEXE 4</w:t>
        </w:r>
        <w:r w:rsidR="00DF521C" w:rsidRPr="009E3DBC">
          <w:rPr>
            <w:webHidden/>
            <w:szCs w:val="24"/>
          </w:rPr>
          <w:tab/>
        </w:r>
        <w:r w:rsidR="00DF521C" w:rsidRPr="009E3DBC">
          <w:rPr>
            <w:webHidden/>
            <w:szCs w:val="24"/>
          </w:rPr>
          <w:fldChar w:fldCharType="begin"/>
        </w:r>
        <w:r w:rsidR="00DF521C" w:rsidRPr="009E3DBC">
          <w:rPr>
            <w:webHidden/>
            <w:szCs w:val="24"/>
          </w:rPr>
          <w:instrText xml:space="preserve"> PAGEREF _Toc203643147 \h </w:instrText>
        </w:r>
        <w:r w:rsidR="00DF521C" w:rsidRPr="009E3DBC">
          <w:rPr>
            <w:webHidden/>
            <w:szCs w:val="24"/>
          </w:rPr>
        </w:r>
        <w:r w:rsidR="00DF521C" w:rsidRPr="009E3DBC">
          <w:rPr>
            <w:webHidden/>
            <w:szCs w:val="24"/>
          </w:rPr>
          <w:fldChar w:fldCharType="separate"/>
        </w:r>
        <w:r w:rsidR="00124AFB">
          <w:rPr>
            <w:webHidden/>
            <w:szCs w:val="24"/>
          </w:rPr>
          <w:t>463</w:t>
        </w:r>
        <w:r w:rsidR="00DF521C" w:rsidRPr="009E3DBC">
          <w:rPr>
            <w:webHidden/>
            <w:szCs w:val="24"/>
          </w:rPr>
          <w:fldChar w:fldCharType="end"/>
        </w:r>
      </w:hyperlink>
    </w:p>
    <w:p w:rsidR="00DF521C" w:rsidRPr="009E3DBC" w:rsidRDefault="00642CE5" w:rsidP="00B84FD6">
      <w:pPr>
        <w:pStyle w:val="TM1"/>
        <w:rPr>
          <w:rFonts w:eastAsiaTheme="minorEastAsia"/>
          <w:b w:val="0"/>
          <w:bCs w:val="0"/>
          <w:caps w:val="0"/>
          <w:szCs w:val="24"/>
          <w:lang w:eastAsia="fr-FR"/>
        </w:rPr>
      </w:pPr>
      <w:hyperlink w:anchor="_Toc203643148" w:history="1">
        <w:r w:rsidR="00DF521C" w:rsidRPr="009E3DBC">
          <w:rPr>
            <w:rStyle w:val="Lienhypertexte"/>
            <w:szCs w:val="24"/>
          </w:rPr>
          <w:t>ANNEXE 5</w:t>
        </w:r>
        <w:r w:rsidR="00DF521C" w:rsidRPr="009E3DBC">
          <w:rPr>
            <w:webHidden/>
            <w:szCs w:val="24"/>
          </w:rPr>
          <w:tab/>
        </w:r>
        <w:r w:rsidR="00DF521C" w:rsidRPr="009E3DBC">
          <w:rPr>
            <w:webHidden/>
            <w:szCs w:val="24"/>
          </w:rPr>
          <w:fldChar w:fldCharType="begin"/>
        </w:r>
        <w:r w:rsidR="00DF521C" w:rsidRPr="009E3DBC">
          <w:rPr>
            <w:webHidden/>
            <w:szCs w:val="24"/>
          </w:rPr>
          <w:instrText xml:space="preserve"> PAGEREF _Toc203643148 \h </w:instrText>
        </w:r>
        <w:r w:rsidR="00DF521C" w:rsidRPr="009E3DBC">
          <w:rPr>
            <w:webHidden/>
            <w:szCs w:val="24"/>
          </w:rPr>
        </w:r>
        <w:r w:rsidR="00DF521C" w:rsidRPr="009E3DBC">
          <w:rPr>
            <w:webHidden/>
            <w:szCs w:val="24"/>
          </w:rPr>
          <w:fldChar w:fldCharType="separate"/>
        </w:r>
        <w:r w:rsidR="00124AFB">
          <w:rPr>
            <w:webHidden/>
            <w:szCs w:val="24"/>
          </w:rPr>
          <w:t>464</w:t>
        </w:r>
        <w:r w:rsidR="00DF521C" w:rsidRPr="009E3DBC">
          <w:rPr>
            <w:webHidden/>
            <w:szCs w:val="24"/>
          </w:rPr>
          <w:fldChar w:fldCharType="end"/>
        </w:r>
      </w:hyperlink>
    </w:p>
    <w:p w:rsidR="00DF521C" w:rsidRPr="009E3DBC" w:rsidRDefault="00642CE5" w:rsidP="00B84FD6">
      <w:pPr>
        <w:pStyle w:val="TM1"/>
        <w:rPr>
          <w:rFonts w:eastAsiaTheme="minorEastAsia"/>
          <w:b w:val="0"/>
          <w:bCs w:val="0"/>
          <w:caps w:val="0"/>
          <w:szCs w:val="24"/>
          <w:lang w:eastAsia="fr-FR"/>
        </w:rPr>
      </w:pPr>
      <w:hyperlink w:anchor="_Toc203643149" w:history="1">
        <w:r w:rsidR="00DF521C" w:rsidRPr="009E3DBC">
          <w:rPr>
            <w:rStyle w:val="Lienhypertexte"/>
            <w:szCs w:val="24"/>
          </w:rPr>
          <w:t>ANNEXE 6</w:t>
        </w:r>
        <w:r w:rsidR="00DF521C" w:rsidRPr="009E3DBC">
          <w:rPr>
            <w:webHidden/>
            <w:szCs w:val="24"/>
          </w:rPr>
          <w:tab/>
        </w:r>
        <w:r w:rsidR="00DF521C" w:rsidRPr="009E3DBC">
          <w:rPr>
            <w:webHidden/>
            <w:szCs w:val="24"/>
          </w:rPr>
          <w:fldChar w:fldCharType="begin"/>
        </w:r>
        <w:r w:rsidR="00DF521C" w:rsidRPr="009E3DBC">
          <w:rPr>
            <w:webHidden/>
            <w:szCs w:val="24"/>
          </w:rPr>
          <w:instrText xml:space="preserve"> PAGEREF _Toc203643149 \h </w:instrText>
        </w:r>
        <w:r w:rsidR="00DF521C" w:rsidRPr="009E3DBC">
          <w:rPr>
            <w:webHidden/>
            <w:szCs w:val="24"/>
          </w:rPr>
        </w:r>
        <w:r w:rsidR="00DF521C" w:rsidRPr="009E3DBC">
          <w:rPr>
            <w:webHidden/>
            <w:szCs w:val="24"/>
          </w:rPr>
          <w:fldChar w:fldCharType="separate"/>
        </w:r>
        <w:r w:rsidR="00124AFB">
          <w:rPr>
            <w:webHidden/>
            <w:szCs w:val="24"/>
          </w:rPr>
          <w:t>465</w:t>
        </w:r>
        <w:r w:rsidR="00DF521C" w:rsidRPr="009E3DBC">
          <w:rPr>
            <w:webHidden/>
            <w:szCs w:val="24"/>
          </w:rPr>
          <w:fldChar w:fldCharType="end"/>
        </w:r>
      </w:hyperlink>
    </w:p>
    <w:p w:rsidR="00DF521C" w:rsidRPr="00DF521C" w:rsidRDefault="00642CE5" w:rsidP="00B84FD6">
      <w:pPr>
        <w:pStyle w:val="TM1"/>
        <w:rPr>
          <w:rFonts w:eastAsiaTheme="minorEastAsia"/>
          <w:b w:val="0"/>
          <w:bCs w:val="0"/>
          <w:caps w:val="0"/>
          <w:szCs w:val="24"/>
          <w:lang w:eastAsia="fr-FR"/>
        </w:rPr>
      </w:pPr>
      <w:hyperlink w:anchor="_Toc203643150" w:history="1">
        <w:r w:rsidR="00DF521C" w:rsidRPr="009E3DBC">
          <w:rPr>
            <w:rStyle w:val="Lienhypertexte"/>
            <w:szCs w:val="24"/>
          </w:rPr>
          <w:t>ANNEXE 7</w:t>
        </w:r>
        <w:r w:rsidR="00DF521C" w:rsidRPr="009E3DBC">
          <w:rPr>
            <w:webHidden/>
            <w:szCs w:val="24"/>
          </w:rPr>
          <w:tab/>
        </w:r>
        <w:r w:rsidR="00DF521C" w:rsidRPr="009E3DBC">
          <w:rPr>
            <w:webHidden/>
            <w:szCs w:val="24"/>
          </w:rPr>
          <w:fldChar w:fldCharType="begin"/>
        </w:r>
        <w:r w:rsidR="00DF521C" w:rsidRPr="009E3DBC">
          <w:rPr>
            <w:webHidden/>
            <w:szCs w:val="24"/>
          </w:rPr>
          <w:instrText xml:space="preserve"> PAGEREF _Toc203643150 \h </w:instrText>
        </w:r>
        <w:r w:rsidR="00DF521C" w:rsidRPr="009E3DBC">
          <w:rPr>
            <w:webHidden/>
            <w:szCs w:val="24"/>
          </w:rPr>
        </w:r>
        <w:r w:rsidR="00DF521C" w:rsidRPr="009E3DBC">
          <w:rPr>
            <w:webHidden/>
            <w:szCs w:val="24"/>
          </w:rPr>
          <w:fldChar w:fldCharType="separate"/>
        </w:r>
        <w:r w:rsidR="00124AFB">
          <w:rPr>
            <w:webHidden/>
            <w:szCs w:val="24"/>
          </w:rPr>
          <w:t>466</w:t>
        </w:r>
        <w:r w:rsidR="00DF521C" w:rsidRPr="009E3DBC">
          <w:rPr>
            <w:webHidden/>
            <w:szCs w:val="24"/>
          </w:rPr>
          <w:fldChar w:fldCharType="end"/>
        </w:r>
      </w:hyperlink>
    </w:p>
    <w:p w:rsidR="00DF521C" w:rsidRPr="00DF521C" w:rsidRDefault="00642CE5" w:rsidP="00B84FD6">
      <w:pPr>
        <w:pStyle w:val="TM1"/>
        <w:rPr>
          <w:rFonts w:eastAsiaTheme="minorEastAsia"/>
          <w:b w:val="0"/>
          <w:bCs w:val="0"/>
          <w:caps w:val="0"/>
          <w:szCs w:val="24"/>
          <w:lang w:eastAsia="fr-FR"/>
        </w:rPr>
      </w:pPr>
      <w:hyperlink w:anchor="_Toc203643151" w:history="1">
        <w:r w:rsidR="00DF521C" w:rsidRPr="00DF521C">
          <w:rPr>
            <w:rStyle w:val="Lienhypertexte"/>
            <w:szCs w:val="24"/>
          </w:rPr>
          <w:t>Table des matières</w:t>
        </w:r>
        <w:r w:rsidR="00DF521C" w:rsidRPr="00DF521C">
          <w:rPr>
            <w:webHidden/>
            <w:szCs w:val="24"/>
          </w:rPr>
          <w:tab/>
        </w:r>
        <w:r w:rsidR="00DF521C" w:rsidRPr="00DF521C">
          <w:rPr>
            <w:webHidden/>
            <w:szCs w:val="24"/>
          </w:rPr>
          <w:fldChar w:fldCharType="begin"/>
        </w:r>
        <w:r w:rsidR="00DF521C" w:rsidRPr="00DF521C">
          <w:rPr>
            <w:webHidden/>
            <w:szCs w:val="24"/>
          </w:rPr>
          <w:instrText xml:space="preserve"> PAGEREF _Toc203643151 \h </w:instrText>
        </w:r>
        <w:r w:rsidR="00DF521C" w:rsidRPr="00DF521C">
          <w:rPr>
            <w:webHidden/>
            <w:szCs w:val="24"/>
          </w:rPr>
        </w:r>
        <w:r w:rsidR="00DF521C" w:rsidRPr="00DF521C">
          <w:rPr>
            <w:webHidden/>
            <w:szCs w:val="24"/>
          </w:rPr>
          <w:fldChar w:fldCharType="separate"/>
        </w:r>
        <w:r w:rsidR="00124AFB">
          <w:rPr>
            <w:webHidden/>
            <w:szCs w:val="24"/>
          </w:rPr>
          <w:t>469</w:t>
        </w:r>
        <w:r w:rsidR="00DF521C" w:rsidRPr="00DF521C">
          <w:rPr>
            <w:webHidden/>
            <w:szCs w:val="24"/>
          </w:rPr>
          <w:fldChar w:fldCharType="end"/>
        </w:r>
      </w:hyperlink>
    </w:p>
    <w:p w:rsidR="00844389" w:rsidRDefault="00263B66" w:rsidP="00B84FD6">
      <w:pPr>
        <w:pStyle w:val="Titre"/>
        <w:jc w:val="both"/>
      </w:pPr>
      <w:r w:rsidRPr="00DF521C">
        <w:rPr>
          <w:rFonts w:cs="Tahoma"/>
          <w:sz w:val="24"/>
          <w:szCs w:val="24"/>
        </w:rPr>
        <w:fldChar w:fldCharType="end"/>
      </w:r>
    </w:p>
    <w:p w:rsidR="00134DA6" w:rsidRPr="00844389" w:rsidRDefault="00844389" w:rsidP="00844389">
      <w:pPr>
        <w:tabs>
          <w:tab w:val="left" w:pos="5854"/>
        </w:tabs>
        <w:rPr>
          <w:lang w:eastAsia="fr-FR"/>
        </w:rPr>
      </w:pPr>
      <w:r>
        <w:rPr>
          <w:lang w:eastAsia="fr-FR"/>
        </w:rPr>
        <w:tab/>
      </w:r>
    </w:p>
    <w:sectPr w:rsidR="00134DA6" w:rsidRPr="00844389" w:rsidSect="000355E5">
      <w:footerReference w:type="default" r:id="rId103"/>
      <w:pgSz w:w="11910" w:h="16840"/>
      <w:pgMar w:top="1240" w:right="1278" w:bottom="1860" w:left="1276" w:header="0" w:footer="1633"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25ED1" w:rsidRDefault="00225ED1" w:rsidP="000A7532">
      <w:pPr>
        <w:spacing w:after="0" w:line="240" w:lineRule="auto"/>
      </w:pPr>
      <w:r>
        <w:separator/>
      </w:r>
    </w:p>
  </w:endnote>
  <w:endnote w:type="continuationSeparator" w:id="0">
    <w:p w:rsidR="00225ED1" w:rsidRDefault="00225ED1" w:rsidP="000A75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Poppins">
    <w:altName w:val="Times New Roman"/>
    <w:charset w:val="00"/>
    <w:family w:val="auto"/>
    <w:pitch w:val="variable"/>
    <w:sig w:usb0="00000001" w:usb1="00000000" w:usb2="00000000" w:usb3="00000000" w:csb0="00000093" w:csb1="00000000"/>
  </w:font>
  <w:font w:name="Verdana">
    <w:panose1 w:val="020B0604030504040204"/>
    <w:charset w:val="00"/>
    <w:family w:val="swiss"/>
    <w:pitch w:val="variable"/>
    <w:sig w:usb0="A00006FF" w:usb1="4000205B" w:usb2="00000010" w:usb3="00000000" w:csb0="0000019F" w:csb1="00000000"/>
  </w:font>
  <w:font w:name="Helvetica">
    <w:panose1 w:val="020B0604020202020204"/>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645740130"/>
      <w:docPartObj>
        <w:docPartGallery w:val="Page Numbers (Bottom of Page)"/>
        <w:docPartUnique/>
      </w:docPartObj>
    </w:sdtPr>
    <w:sdtEndPr/>
    <w:sdtContent>
      <w:p w:rsidR="0083519B" w:rsidRDefault="0083519B">
        <w:pPr>
          <w:pStyle w:val="Pieddepage"/>
          <w:jc w:val="center"/>
        </w:pPr>
        <w:r>
          <w:fldChar w:fldCharType="begin"/>
        </w:r>
        <w:r>
          <w:instrText>PAGE   \* MERGEFORMAT</w:instrText>
        </w:r>
        <w:r>
          <w:fldChar w:fldCharType="separate"/>
        </w:r>
        <w:r w:rsidR="00642CE5">
          <w:rPr>
            <w:noProof/>
          </w:rPr>
          <w:t>147</w:t>
        </w:r>
        <w:r>
          <w:fldChar w:fldCharType="end"/>
        </w:r>
      </w:p>
    </w:sdtContent>
  </w:sdt>
  <w:p w:rsidR="0083519B" w:rsidRDefault="0083519B" w:rsidP="00FF611C">
    <w:pPr>
      <w:pStyle w:val="Corpsdetexte"/>
      <w:spacing w:line="14" w:lineRule="auto"/>
      <w:jc w:val="center"/>
      <w:rPr>
        <w:sz w:val="2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679116393"/>
      <w:docPartObj>
        <w:docPartGallery w:val="Page Numbers (Bottom of Page)"/>
        <w:docPartUnique/>
      </w:docPartObj>
    </w:sdtPr>
    <w:sdtEndPr/>
    <w:sdtContent>
      <w:p w:rsidR="0083519B" w:rsidRDefault="0083519B">
        <w:pPr>
          <w:pStyle w:val="Pieddepage"/>
          <w:jc w:val="center"/>
        </w:pPr>
        <w:r>
          <w:fldChar w:fldCharType="begin"/>
        </w:r>
        <w:r>
          <w:instrText>PAGE   \* MERGEFORMAT</w:instrText>
        </w:r>
        <w:r>
          <w:fldChar w:fldCharType="separate"/>
        </w:r>
        <w:r w:rsidR="00A812F6">
          <w:rPr>
            <w:noProof/>
          </w:rPr>
          <w:t>321</w:t>
        </w:r>
        <w:r>
          <w:fldChar w:fldCharType="end"/>
        </w:r>
      </w:p>
    </w:sdtContent>
  </w:sdt>
  <w:p w:rsidR="0083519B" w:rsidRDefault="0083519B">
    <w:pPr>
      <w:pStyle w:val="Corpsdetexte"/>
      <w:spacing w:line="14" w:lineRule="auto"/>
      <w:rPr>
        <w:sz w:val="19"/>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25ED1" w:rsidRDefault="00225ED1" w:rsidP="000A7532">
      <w:pPr>
        <w:spacing w:after="0" w:line="240" w:lineRule="auto"/>
      </w:pPr>
      <w:r>
        <w:separator/>
      </w:r>
    </w:p>
  </w:footnote>
  <w:footnote w:type="continuationSeparator" w:id="0">
    <w:p w:rsidR="00225ED1" w:rsidRDefault="00225ED1" w:rsidP="000A7532">
      <w:pPr>
        <w:spacing w:after="0" w:line="240" w:lineRule="auto"/>
      </w:pPr>
      <w:r>
        <w:continuationSeparator/>
      </w:r>
    </w:p>
  </w:footnote>
  <w:footnote w:id="1">
    <w:p w:rsidR="0083519B" w:rsidRPr="0054641A" w:rsidRDefault="0083519B" w:rsidP="004421E7">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André Theuriet (1833-1907), poète, romancier et auteur dramatique français, est particulièrement reconnu pour ses œuvres célébrant la nature, notamment les forêts, qui occupent une place centrale dans son œuvre littéraire. </w:t>
      </w:r>
    </w:p>
    <w:p w:rsidR="0083519B" w:rsidRPr="0054641A" w:rsidRDefault="0083519B" w:rsidP="004421E7">
      <w:pPr>
        <w:pStyle w:val="Corpsdetexte"/>
        <w:spacing w:line="360" w:lineRule="auto"/>
        <w:jc w:val="both"/>
        <w:rPr>
          <w:rFonts w:ascii="Tahoma" w:hAnsi="Tahoma" w:cs="Tahoma"/>
          <w:sz w:val="20"/>
          <w:szCs w:val="20"/>
        </w:rPr>
      </w:pPr>
      <w:r w:rsidRPr="0054641A">
        <w:rPr>
          <w:rFonts w:ascii="Tahoma" w:hAnsi="Tahoma" w:cs="Tahoma"/>
          <w:sz w:val="20"/>
          <w:szCs w:val="20"/>
        </w:rPr>
        <w:t>Son recueil Le Livre des bois, publié en 1874, en constitue une illustration emblématique.</w:t>
      </w:r>
    </w:p>
  </w:footnote>
  <w:footnote w:id="2">
    <w:p w:rsidR="0083519B" w:rsidRPr="0054641A" w:rsidRDefault="0083519B" w:rsidP="008018BA">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Christian BARTHOD, « Le débat international sur la gestion des forêts ». Forêt Méditerranéenne. Marseille : Association Forêt Méditerranéenne, 1995, p.145</w:t>
      </w:r>
    </w:p>
  </w:footnote>
  <w:footnote w:id="3">
    <w:p w:rsidR="0083519B" w:rsidRPr="0054641A" w:rsidRDefault="0083519B" w:rsidP="008018BA">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Philippe BLEROT, Omar MHIRIT, Mohamed ABOUROUH, Abdelkader AHIZOUNE et Zaki AHLAFI). Le grand livre de la forêt marocaine. Belgique : Éditions Mardaga, 1999, 280 Page, p.5</w:t>
      </w:r>
    </w:p>
  </w:footnote>
  <w:footnote w:id="4">
    <w:p w:rsidR="0083519B" w:rsidRPr="0054641A" w:rsidRDefault="0083519B" w:rsidP="008018BA">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FAO 2020. La situation des forêts du monde 2020. Rapport du Comité des forêts, vingt-cinquième session, 5-9 octobre 2020, 8 p.Le Débat International Sur La Gestion Des Forêts. Forêt Méditerranéenne, Association Forêt Méditerranéenne, Marseille, 1995. P. 145 </w:t>
      </w:r>
    </w:p>
  </w:footnote>
  <w:footnote w:id="5">
    <w:p w:rsidR="0083519B" w:rsidRPr="0054641A" w:rsidRDefault="0083519B" w:rsidP="008018BA">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Honoré de Balzac est l’un des écrivains les plus emblématiques du roman français. Né le 20 mai 1799 à Tours et mort le 18 août 1850 à Paris, il est l’auteur de La Comédie humaine.</w:t>
      </w:r>
    </w:p>
  </w:footnote>
  <w:footnote w:id="6">
    <w:p w:rsidR="0083519B" w:rsidRPr="0054641A" w:rsidRDefault="0083519B" w:rsidP="008018BA">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Honoré de BALZAC. Œuvres complètes, tome 13. Paris : Éditions Houssiaux, p. 634. Œuvres complètes, Ed. Houssiaux, tome 13, 1874 Paris, P : 634. </w:t>
      </w:r>
    </w:p>
  </w:footnote>
  <w:footnote w:id="7">
    <w:p w:rsidR="0083519B" w:rsidRPr="0054641A" w:rsidRDefault="0083519B" w:rsidP="008018BA">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Michel NOËL. L'homme et la forêt en Languedoc-Roussillon. Histoire et économie des espaces boisés. Collection Études. Perpignan : Presses Universitaires de Perpignan, 1996, p. 13.</w:t>
      </w:r>
    </w:p>
  </w:footnote>
  <w:footnote w:id="8">
    <w:p w:rsidR="0083519B" w:rsidRPr="0054641A" w:rsidRDefault="0083519B" w:rsidP="008018BA">
      <w:pPr>
        <w:pStyle w:val="Notedebasdepage"/>
        <w:jc w:val="both"/>
        <w:rPr>
          <w:rFonts w:ascii="Tahoma" w:hAnsi="Tahoma" w:cs="Tahoma"/>
        </w:rPr>
      </w:pPr>
      <w:r w:rsidRPr="0054641A">
        <w:rPr>
          <w:rStyle w:val="Appelnotedebasdep"/>
          <w:rFonts w:ascii="Tahoma" w:hAnsi="Tahoma" w:cs="Tahoma"/>
        </w:rPr>
        <w:footnoteRef/>
      </w:r>
      <w:r>
        <w:rPr>
          <w:rFonts w:ascii="Tahoma" w:hAnsi="Tahoma" w:cs="Tahoma"/>
        </w:rPr>
        <w:t xml:space="preserve"> Hasan ALI FADHIL</w:t>
      </w:r>
      <w:r w:rsidRPr="0054641A">
        <w:rPr>
          <w:rFonts w:ascii="Tahoma" w:hAnsi="Tahoma" w:cs="Tahoma"/>
        </w:rPr>
        <w:t>. Évaluation de la dégradation des forêts primaires par télédétection dans un espace de front pionnier consolidé d'Amazonie orientale (Paragominas). Thèse de doctorat en géographie. Le Mans : Université du Mans, 2019, p. 27.</w:t>
      </w:r>
    </w:p>
  </w:footnote>
  <w:footnote w:id="9">
    <w:p w:rsidR="0083519B" w:rsidRPr="0054641A" w:rsidRDefault="0083519B" w:rsidP="008018BA">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Pascale Metzger. Connaissance et relations de pouvoir : les sciences sociales, les risques et l’environnement : Mémoire d’Habilitation à diriger des recherches. Géographie. Université Grenoble Alpes, 2017. 201p.</w:t>
      </w:r>
    </w:p>
  </w:footnote>
  <w:footnote w:id="10">
    <w:p w:rsidR="0083519B" w:rsidRPr="0054641A" w:rsidRDefault="0083519B" w:rsidP="008018BA">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ALI FADHIL Hasan. Évaluation de la dégradation des forêts primaires par télédétection dans un espace de front pionnier consolidé d’Amazonie orientale (Paragominas). Thèse de Doctorat. Université du Mans. 2019 .MANSP. P : 27.</w:t>
      </w:r>
    </w:p>
  </w:footnote>
  <w:footnote w:id="11">
    <w:p w:rsidR="0083519B" w:rsidRPr="00AF239D" w:rsidRDefault="0083519B" w:rsidP="008018BA">
      <w:pPr>
        <w:pStyle w:val="Notedebasdepage"/>
        <w:rPr>
          <w:rFonts w:ascii="Tahoma" w:hAnsi="Tahoma" w:cs="Tahoma"/>
        </w:rPr>
      </w:pPr>
      <w:r w:rsidRPr="00AF239D">
        <w:footnoteRef/>
      </w:r>
      <w:r>
        <w:rPr>
          <w:rFonts w:ascii="Tahoma" w:hAnsi="Tahoma" w:cs="Tahoma"/>
        </w:rPr>
        <w:t xml:space="preserve"> </w:t>
      </w:r>
      <w:r w:rsidRPr="00AF239D">
        <w:rPr>
          <w:rFonts w:ascii="Tahoma" w:hAnsi="Tahoma" w:cs="Tahoma"/>
        </w:rPr>
        <w:t>Ibid., P.27</w:t>
      </w:r>
    </w:p>
    <w:p w:rsidR="0083519B" w:rsidRPr="00AF239D" w:rsidRDefault="0083519B" w:rsidP="008018BA">
      <w:pPr>
        <w:pStyle w:val="Notedebasdepage"/>
        <w:jc w:val="both"/>
        <w:rPr>
          <w:rFonts w:ascii="Tahoma" w:hAnsi="Tahoma" w:cs="Tahoma"/>
          <w:sz w:val="2"/>
          <w:szCs w:val="2"/>
        </w:rPr>
      </w:pPr>
    </w:p>
  </w:footnote>
  <w:footnote w:id="12">
    <w:p w:rsidR="0083519B" w:rsidRPr="0054641A" w:rsidRDefault="0083519B" w:rsidP="008018BA">
      <w:pPr>
        <w:pStyle w:val="Notedebasdepage"/>
        <w:rPr>
          <w:rFonts w:ascii="Tahoma" w:hAnsi="Tahoma" w:cs="Tahoma"/>
        </w:rPr>
      </w:pPr>
      <w:r w:rsidRPr="0054641A">
        <w:rPr>
          <w:rStyle w:val="Appelnotedebasdep"/>
          <w:rFonts w:ascii="Tahoma" w:hAnsi="Tahoma" w:cs="Tahoma"/>
        </w:rPr>
        <w:footnoteRef/>
      </w:r>
      <w:r w:rsidRPr="0054641A">
        <w:rPr>
          <w:rFonts w:ascii="Tahoma" w:hAnsi="Tahoma" w:cs="Tahoma"/>
        </w:rPr>
        <w:t>FAO. La situation des forêts du monde 2020. Forêts, biodiversité et populations. Rome, FAO, 2020, p. 2.</w:t>
      </w:r>
    </w:p>
  </w:footnote>
  <w:footnote w:id="13">
    <w:p w:rsidR="0083519B" w:rsidRPr="0054641A" w:rsidRDefault="0083519B" w:rsidP="008018BA">
      <w:pPr>
        <w:pStyle w:val="Notedebasdepage"/>
        <w:jc w:val="both"/>
        <w:rPr>
          <w:rFonts w:ascii="Tahoma" w:hAnsi="Tahoma" w:cs="Tahoma"/>
          <w:color w:val="000000" w:themeColor="text1"/>
        </w:rPr>
      </w:pPr>
      <w:r w:rsidRPr="0054641A">
        <w:rPr>
          <w:rStyle w:val="Appelnotedebasdep"/>
          <w:rFonts w:ascii="Tahoma" w:hAnsi="Tahoma" w:cs="Tahoma"/>
          <w:color w:val="000000" w:themeColor="text1"/>
        </w:rPr>
        <w:footnoteRef/>
      </w:r>
      <w:r w:rsidRPr="0054641A">
        <w:rPr>
          <w:rFonts w:ascii="Tahoma" w:hAnsi="Tahoma" w:cs="Tahoma"/>
          <w:color w:val="000000" w:themeColor="text1"/>
        </w:rPr>
        <w:t xml:space="preserve">FAO et PNUE. La situation des forêts du monde 2020 : Forêts, biodiversité et activité humaine. Rome. </w:t>
      </w:r>
      <w:hyperlink r:id="rId1" w:history="1">
        <w:r w:rsidRPr="0054641A">
          <w:rPr>
            <w:rStyle w:val="Lienhypertexte1"/>
            <w:rFonts w:ascii="Tahoma" w:hAnsi="Tahoma" w:cs="Tahoma"/>
            <w:color w:val="000000" w:themeColor="text1"/>
            <w:u w:val="none"/>
          </w:rPr>
          <w:t>https://doi.org/10.4060/ca8642fr</w:t>
        </w:r>
      </w:hyperlink>
      <w:r w:rsidRPr="0054641A">
        <w:rPr>
          <w:rFonts w:ascii="Tahoma" w:hAnsi="Tahoma" w:cs="Tahoma"/>
          <w:color w:val="000000" w:themeColor="text1"/>
        </w:rPr>
        <w:t xml:space="preserve"> </w:t>
      </w:r>
    </w:p>
  </w:footnote>
  <w:footnote w:id="14">
    <w:p w:rsidR="0083519B" w:rsidRPr="0054641A" w:rsidRDefault="0083519B" w:rsidP="008018BA">
      <w:pPr>
        <w:pStyle w:val="Corpsdetexte"/>
        <w:jc w:val="both"/>
        <w:rPr>
          <w:rFonts w:ascii="Tahoma" w:hAnsi="Tahoma" w:cs="Tahoma"/>
          <w:color w:val="000000" w:themeColor="text1"/>
          <w:sz w:val="20"/>
          <w:szCs w:val="20"/>
        </w:rPr>
      </w:pPr>
      <w:r w:rsidRPr="0054641A">
        <w:rPr>
          <w:rStyle w:val="Appelnotedebasdep"/>
          <w:rFonts w:ascii="Tahoma" w:hAnsi="Tahoma" w:cs="Tahoma"/>
          <w:color w:val="000000" w:themeColor="text1"/>
          <w:sz w:val="20"/>
          <w:szCs w:val="20"/>
        </w:rPr>
        <w:footnoteRef/>
      </w:r>
      <w:r w:rsidRPr="0054641A">
        <w:rPr>
          <w:rFonts w:ascii="Tahoma" w:hAnsi="Tahoma" w:cs="Tahoma"/>
          <w:color w:val="000000" w:themeColor="text1"/>
          <w:sz w:val="20"/>
          <w:szCs w:val="20"/>
        </w:rPr>
        <w:t xml:space="preserve"> Eric Félix Lambin, Helmut Josef Geist et Emmanuel Lepers. Dynamics of land-use and land-cover change in tropical regions. Annual Review of Environment and Resources, 2003, 28(1), 205-241.DOI: 10.1146 /annurev .energy.28.050302.105459</w:t>
      </w:r>
    </w:p>
  </w:footnote>
  <w:footnote w:id="15">
    <w:p w:rsidR="0083519B" w:rsidRPr="0054641A" w:rsidRDefault="0083519B" w:rsidP="008018BA">
      <w:pPr>
        <w:pStyle w:val="Notedebasdepage"/>
        <w:jc w:val="both"/>
        <w:rPr>
          <w:rFonts w:ascii="Tahoma" w:hAnsi="Tahoma" w:cs="Tahoma"/>
          <w:color w:val="000000" w:themeColor="text1"/>
        </w:rPr>
      </w:pPr>
      <w:r w:rsidRPr="0054641A">
        <w:rPr>
          <w:rStyle w:val="Appelnotedebasdep"/>
          <w:rFonts w:ascii="Tahoma" w:hAnsi="Tahoma" w:cs="Tahoma"/>
          <w:color w:val="000000" w:themeColor="text1"/>
        </w:rPr>
        <w:footnoteRef/>
      </w:r>
      <w:r w:rsidRPr="0054641A">
        <w:rPr>
          <w:rFonts w:ascii="Tahoma" w:hAnsi="Tahoma" w:cs="Tahoma"/>
          <w:color w:val="000000" w:themeColor="text1"/>
        </w:rPr>
        <w:t xml:space="preserve"> Robin Lee Chazdon. Beyond deforestation: Restoring forests and ecosystem services. 2008, Science, 320(5882), 1458-1460.DOI: 10.1126/science.1155365 </w:t>
      </w:r>
    </w:p>
  </w:footnote>
  <w:footnote w:id="16">
    <w:p w:rsidR="0083519B" w:rsidRPr="0054641A" w:rsidRDefault="0083519B" w:rsidP="008018BA">
      <w:pPr>
        <w:pStyle w:val="Notedebasdepage"/>
        <w:jc w:val="both"/>
        <w:rPr>
          <w:rFonts w:ascii="Tahoma" w:hAnsi="Tahoma" w:cs="Tahoma"/>
        </w:rPr>
      </w:pPr>
      <w:r w:rsidRPr="0054641A">
        <w:rPr>
          <w:rStyle w:val="Appelnotedebasdep"/>
          <w:rFonts w:ascii="Tahoma" w:hAnsi="Tahoma" w:cs="Tahoma"/>
        </w:rPr>
        <w:footnoteRef/>
      </w:r>
      <w:r w:rsidRPr="00C34E32">
        <w:rPr>
          <w:rFonts w:ascii="Tahoma" w:hAnsi="Tahoma" w:cs="Tahoma"/>
          <w:color w:val="000000" w:themeColor="text1"/>
        </w:rPr>
        <w:t>SOFO 2020, op. cit.</w:t>
      </w:r>
    </w:p>
  </w:footnote>
  <w:footnote w:id="17">
    <w:p w:rsidR="0083519B" w:rsidRPr="0054641A" w:rsidRDefault="0083519B" w:rsidP="008018BA">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Idem. SOFO 2020.</w:t>
      </w:r>
    </w:p>
  </w:footnote>
  <w:footnote w:id="18">
    <w:p w:rsidR="0083519B" w:rsidRPr="0054641A" w:rsidRDefault="0083519B" w:rsidP="008018BA">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Idem. SOFO 2020.</w:t>
      </w:r>
    </w:p>
  </w:footnote>
  <w:footnote w:id="19">
    <w:p w:rsidR="0083519B" w:rsidRPr="00BA7465" w:rsidRDefault="0083519B" w:rsidP="008018BA">
      <w:pPr>
        <w:pStyle w:val="Notedebasdepage"/>
        <w:jc w:val="both"/>
        <w:rPr>
          <w:rFonts w:ascii="Tahoma" w:hAnsi="Tahoma" w:cs="Tahoma"/>
          <w:lang w:val="es-ES"/>
        </w:rPr>
      </w:pPr>
      <w:r w:rsidRPr="0054641A">
        <w:rPr>
          <w:rStyle w:val="Appelnotedebasdep"/>
          <w:rFonts w:ascii="Tahoma" w:hAnsi="Tahoma" w:cs="Tahoma"/>
        </w:rPr>
        <w:footnoteRef/>
      </w:r>
      <w:r w:rsidRPr="00BA7465">
        <w:rPr>
          <w:rFonts w:ascii="Tahoma" w:hAnsi="Tahoma" w:cs="Tahoma"/>
          <w:lang w:val="es-ES"/>
        </w:rPr>
        <w:t xml:space="preserve"> Idem. SOFO 2020.</w:t>
      </w:r>
    </w:p>
  </w:footnote>
  <w:footnote w:id="20">
    <w:p w:rsidR="0083519B" w:rsidRPr="00BA7465" w:rsidRDefault="0083519B" w:rsidP="008018BA">
      <w:pPr>
        <w:pStyle w:val="Notedebasdepage"/>
        <w:jc w:val="both"/>
        <w:rPr>
          <w:rFonts w:ascii="Tahoma" w:hAnsi="Tahoma" w:cs="Tahoma"/>
          <w:lang w:val="es-ES"/>
        </w:rPr>
      </w:pPr>
      <w:r w:rsidRPr="0054641A">
        <w:rPr>
          <w:rStyle w:val="Appelnotedebasdep"/>
          <w:rFonts w:ascii="Tahoma" w:hAnsi="Tahoma" w:cs="Tahoma"/>
        </w:rPr>
        <w:footnoteRef/>
      </w:r>
      <w:r w:rsidRPr="00BA7465">
        <w:rPr>
          <w:rFonts w:ascii="Tahoma" w:hAnsi="Tahoma" w:cs="Tahoma"/>
          <w:lang w:val="es-ES"/>
        </w:rPr>
        <w:t xml:space="preserve"> Idem. SOFO 2020.</w:t>
      </w:r>
    </w:p>
  </w:footnote>
  <w:footnote w:id="21">
    <w:p w:rsidR="0083519B" w:rsidRPr="0054641A" w:rsidRDefault="0083519B" w:rsidP="008018BA">
      <w:pPr>
        <w:pStyle w:val="Notedebasdepage"/>
        <w:jc w:val="both"/>
        <w:rPr>
          <w:rFonts w:ascii="Tahoma" w:hAnsi="Tahoma" w:cs="Tahoma"/>
        </w:rPr>
      </w:pPr>
      <w:r w:rsidRPr="0054641A">
        <w:rPr>
          <w:rStyle w:val="Appelnotedebasdep"/>
          <w:rFonts w:ascii="Tahoma" w:hAnsi="Tahoma" w:cs="Tahoma"/>
        </w:rPr>
        <w:footnoteRef/>
      </w:r>
      <w:r w:rsidRPr="00BA7465">
        <w:rPr>
          <w:rFonts w:ascii="Tahoma" w:hAnsi="Tahoma" w:cs="Tahoma"/>
          <w:lang w:val="es-ES"/>
        </w:rPr>
        <w:t xml:space="preserve"> Idem. </w:t>
      </w:r>
      <w:r w:rsidRPr="0054641A">
        <w:rPr>
          <w:rFonts w:ascii="Tahoma" w:hAnsi="Tahoma" w:cs="Tahoma"/>
        </w:rPr>
        <w:t>SOFO 2020.</w:t>
      </w:r>
    </w:p>
  </w:footnote>
  <w:footnote w:id="22">
    <w:p w:rsidR="0083519B" w:rsidRPr="0054641A" w:rsidRDefault="0083519B" w:rsidP="008018BA">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Il s’agit d’une cellule de réflexion (think tank) américaine fondée en 1982 à Washington. Composée d'une centaine de scientifiques, d'économistes, d'experts politiques, financiers et d'analystes. Le WRI s’intéresse à la recherche de moyens pratiques qui visent à concilier le développement économique et la protection environnementale.</w:t>
      </w:r>
    </w:p>
  </w:footnote>
  <w:footnote w:id="23">
    <w:p w:rsidR="0083519B" w:rsidRPr="0054641A" w:rsidRDefault="0083519B" w:rsidP="008018BA">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w:t>
      </w:r>
      <w:r w:rsidRPr="00781335">
        <w:rPr>
          <w:rFonts w:ascii="Tahoma" w:eastAsiaTheme="minorHAnsi" w:hAnsi="Tahoma" w:cs="Tahoma"/>
        </w:rPr>
        <w:t>Antoine CHATENET, Mémoire pour le Master 2 Recherche de droit de l’environnement, dir. Stéphane Doumbé-Billé, Univ. Jean Moulin Lyon 3, 2010, p. 10.</w:t>
      </w:r>
    </w:p>
  </w:footnote>
  <w:footnote w:id="24">
    <w:p w:rsidR="0083519B" w:rsidRPr="0054641A" w:rsidRDefault="0083519B" w:rsidP="008018BA">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w:t>
      </w:r>
      <w:r w:rsidRPr="00781335">
        <w:rPr>
          <w:rFonts w:ascii="Tahoma" w:eastAsiaTheme="minorHAnsi" w:hAnsi="Tahoma" w:cs="Tahoma"/>
        </w:rPr>
        <w:t xml:space="preserve">SOFO 2020, </w:t>
      </w:r>
      <w:r w:rsidRPr="00781335">
        <w:rPr>
          <w:rFonts w:ascii="Tahoma" w:eastAsiaTheme="minorHAnsi" w:hAnsi="Tahoma" w:cs="Tahoma"/>
          <w:i/>
          <w:iCs/>
        </w:rPr>
        <w:t>op. cit.</w:t>
      </w:r>
    </w:p>
  </w:footnote>
  <w:footnote w:id="25">
    <w:p w:rsidR="0083519B" w:rsidRPr="0054641A" w:rsidRDefault="0083519B" w:rsidP="008018BA">
      <w:pPr>
        <w:spacing w:after="0"/>
        <w:jc w:val="both"/>
        <w:rPr>
          <w:rFonts w:ascii="Tahoma" w:hAnsi="Tahoma" w:cs="Tahoma"/>
          <w:sz w:val="20"/>
          <w:szCs w:val="20"/>
        </w:rPr>
      </w:pPr>
      <w:r w:rsidRPr="0054641A">
        <w:rPr>
          <w:rStyle w:val="Appelnotedebasdep"/>
          <w:rFonts w:ascii="Tahoma" w:hAnsi="Tahoma" w:cs="Tahoma"/>
          <w:sz w:val="20"/>
          <w:szCs w:val="20"/>
        </w:rPr>
        <w:footnoteRef/>
      </w:r>
      <w:r w:rsidRPr="0054641A">
        <w:rPr>
          <w:rFonts w:ascii="Tahoma" w:hAnsi="Tahoma" w:cs="Tahoma"/>
          <w:sz w:val="20"/>
          <w:szCs w:val="20"/>
        </w:rPr>
        <w:t xml:space="preserve"> Le WWF (World Wide Fund for Nature) est fondé en 1961 est l'une des grandes organisations non gouvernementales internationales engagées dans la conservation de la nature. Son siège central est localisé à Gland, en Suisse, et ses activités s'étendent à plus de 100 pays à l'échelle mondiale. L'organisation a pour mission de préserver la biodiversité, de protéger les écosystèmes et de favoriser un développement durable.</w:t>
      </w:r>
    </w:p>
  </w:footnote>
  <w:footnote w:id="26">
    <w:p w:rsidR="0083519B" w:rsidRPr="0054641A" w:rsidRDefault="0083519B" w:rsidP="008018BA">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Éloi LAURENT. La social-écologie : une perspective théorique et empirique. Revue française des affaires sociales, 2015, 125-143. Consulté le 19 juillet 2018 sur l’URL : </w:t>
      </w:r>
      <w:hyperlink r:id="rId2" w:history="1">
        <w:r w:rsidRPr="00183115">
          <w:rPr>
            <w:rStyle w:val="Lienhypertexte1"/>
            <w:rFonts w:ascii="Tahoma" w:hAnsi="Tahoma" w:cs="Tahoma"/>
            <w:color w:val="000000" w:themeColor="text1"/>
            <w:u w:val="none"/>
          </w:rPr>
          <w:t>https://doi.org/10.3917/rfas.151.0125</w:t>
        </w:r>
      </w:hyperlink>
      <w:r w:rsidRPr="00183115">
        <w:rPr>
          <w:rFonts w:ascii="Tahoma" w:hAnsi="Tahoma" w:cs="Tahoma"/>
          <w:color w:val="000000" w:themeColor="text1"/>
        </w:rPr>
        <w:t xml:space="preserve"> </w:t>
      </w:r>
    </w:p>
  </w:footnote>
  <w:footnote w:id="27">
    <w:p w:rsidR="0083519B" w:rsidRPr="0054641A" w:rsidRDefault="0083519B" w:rsidP="008018BA">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Ce rapport est établi par la Division des Politiques et des Ressources Forestières de la FAO en collaboration avec le Centre Mondial de Surveillance pour la Conservation de la Nature du Programme des Nations unies pour l’Environnement (PNUE-WCMC).</w:t>
      </w:r>
    </w:p>
  </w:footnote>
  <w:footnote w:id="28">
    <w:p w:rsidR="0083519B" w:rsidRPr="0054641A" w:rsidRDefault="0083519B" w:rsidP="008018BA">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Franklin, JF, Spies, TA, Van Pelt, R., Carey, AB, Thornburgh, DA, Berg, DR, Lindenmayer, DB, Harmon, ME, Keeton, WS, Shaw, DC, Bible, K. et Chen, J. Perturbations et développement structural des écosystèmes forestiers naturels avec implications sylvicoles, en prenant comme exemple les forêts de douglas. Forest Ecology and Management, 2002. 155, 399-423. doi :10.1016 /S0378-1127(01)00575-8</w:t>
      </w:r>
    </w:p>
  </w:footnote>
  <w:footnote w:id="29">
    <w:p w:rsidR="0083519B" w:rsidRPr="0054641A" w:rsidRDefault="0083519B" w:rsidP="008018BA">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Aimable TWAHIRWA et Anne NZOUANKEU. Le monde toujours confronté à une déforestation aux antipodes des engagements internationaux. cover image. Article de MONGOBAYA.  29 Oct 2024. Afrique</w:t>
      </w:r>
    </w:p>
  </w:footnote>
  <w:footnote w:id="30">
    <w:p w:rsidR="0083519B" w:rsidRPr="0054641A" w:rsidRDefault="0083519B" w:rsidP="008018BA">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Who Conserves the World’s Forests? Community-Driven Strategies to Protect Forests &amp; Respect Rights. 2004 Forest Trends. ISBN 0-932928-01-4</w:t>
      </w:r>
    </w:p>
  </w:footnote>
  <w:footnote w:id="31">
    <w:p w:rsidR="0083519B" w:rsidRPr="0054641A" w:rsidRDefault="0083519B" w:rsidP="008018BA">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McNeely, J. A. Forests, figs and fauna: Critical issues in conserving forest biodiversity. Presented at Forest Trends conference. Shifting Markets for Sustainable Forests. October 18-20, 1999, Garderen, The Netherlands.</w:t>
      </w:r>
    </w:p>
    <w:p w:rsidR="0083519B" w:rsidRPr="0054641A" w:rsidRDefault="0083519B" w:rsidP="008018BA">
      <w:pPr>
        <w:pStyle w:val="Notedebasdepage"/>
        <w:jc w:val="both"/>
        <w:rPr>
          <w:rFonts w:ascii="Tahoma" w:hAnsi="Tahoma" w:cs="Tahoma"/>
        </w:rPr>
      </w:pPr>
    </w:p>
  </w:footnote>
  <w:footnote w:id="32">
    <w:p w:rsidR="0083519B" w:rsidRPr="0054641A" w:rsidRDefault="0083519B" w:rsidP="008018BA">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Rapport ministériel des forêts sur les progrès réalisés sur le Cadre pancanadien sur la croissance propre et les changements climatiques 2020. CANADA</w:t>
      </w:r>
    </w:p>
  </w:footnote>
  <w:footnote w:id="33">
    <w:p w:rsidR="0083519B" w:rsidRPr="0054641A" w:rsidRDefault="0083519B" w:rsidP="008018BA">
      <w:pPr>
        <w:pStyle w:val="Notedebasdepage"/>
        <w:jc w:val="both"/>
        <w:rPr>
          <w:rFonts w:ascii="Tahoma" w:hAnsi="Tahoma" w:cs="Tahoma"/>
          <w:lang w:eastAsia="fr-FR"/>
        </w:rPr>
      </w:pPr>
      <w:r w:rsidRPr="0054641A">
        <w:rPr>
          <w:rStyle w:val="Appelnotedebasdep"/>
          <w:rFonts w:ascii="Tahoma" w:hAnsi="Tahoma" w:cs="Tahoma"/>
        </w:rPr>
        <w:footnoteRef/>
      </w:r>
      <w:r w:rsidRPr="0054641A">
        <w:rPr>
          <w:rFonts w:ascii="Tahoma" w:hAnsi="Tahoma" w:cs="Tahoma"/>
        </w:rPr>
        <w:t xml:space="preserve"> </w:t>
      </w:r>
      <w:r w:rsidRPr="0054641A">
        <w:rPr>
          <w:rFonts w:ascii="Tahoma" w:hAnsi="Tahoma" w:cs="Tahoma"/>
          <w:lang w:eastAsia="fr-FR"/>
        </w:rPr>
        <w:t xml:space="preserve">Yude Pan, Richard A. Birdsey, Jingyun Fang, Richard Houghton, Pekka E. Kauppi, Werner A. Kurz, Oliver L. Phillips, Anatoli Chvidenko, Simon L. Lewis, Josep G. Canadell, Philippe Ciais, Robert B. Jackson, Stephen W. Pacala, A. David McGuire, Shilong Piao, Aapo Rautiainen, Stephen Sitch et Daniel Hayes. A large and persistent carbon sink in the world’s forests. 2011, Science, 333 (6045), p : 988-993 </w:t>
      </w:r>
    </w:p>
  </w:footnote>
  <w:footnote w:id="34">
    <w:p w:rsidR="0083519B" w:rsidRPr="0054641A" w:rsidRDefault="0083519B" w:rsidP="008018BA">
      <w:pPr>
        <w:spacing w:after="0"/>
        <w:jc w:val="both"/>
        <w:rPr>
          <w:rFonts w:ascii="Tahoma" w:hAnsi="Tahoma" w:cs="Tahoma"/>
          <w:sz w:val="20"/>
          <w:szCs w:val="20"/>
          <w:lang w:eastAsia="fr-FR"/>
        </w:rPr>
      </w:pPr>
      <w:r w:rsidRPr="0054641A">
        <w:rPr>
          <w:rStyle w:val="Appelnotedebasdep"/>
          <w:rFonts w:ascii="Tahoma" w:hAnsi="Tahoma" w:cs="Tahoma"/>
          <w:sz w:val="20"/>
          <w:szCs w:val="20"/>
        </w:rPr>
        <w:footnoteRef/>
      </w:r>
      <w:r w:rsidRPr="0054641A">
        <w:rPr>
          <w:rFonts w:ascii="Tahoma" w:hAnsi="Tahoma" w:cs="Tahoma"/>
          <w:sz w:val="20"/>
          <w:szCs w:val="20"/>
          <w:lang w:eastAsia="fr-FR"/>
        </w:rPr>
        <w:t>Intergovernmental Panel on Climate Change (IPCC). Climate Change 2014: Synthesis Report. Contribution of Working Groups I, II and III to the Fifth Assessment Report of the Intergovernmental Panel, 2014, 169 p</w:t>
      </w:r>
    </w:p>
  </w:footnote>
  <w:footnote w:id="35">
    <w:p w:rsidR="0083519B" w:rsidRPr="0054641A" w:rsidRDefault="0083519B" w:rsidP="008018BA">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FNUF, établi en 2000 comme organe subsidiaire du Conseil économique et social des</w:t>
      </w:r>
      <w:r>
        <w:rPr>
          <w:rFonts w:ascii="Tahoma" w:hAnsi="Tahoma" w:cs="Tahoma"/>
        </w:rPr>
        <w:t xml:space="preserve"> Nations Unies (ECOSOC), il s’agit d’une</w:t>
      </w:r>
      <w:r w:rsidRPr="0054641A">
        <w:rPr>
          <w:rFonts w:ascii="Tahoma" w:hAnsi="Tahoma" w:cs="Tahoma"/>
        </w:rPr>
        <w:t xml:space="preserve"> </w:t>
      </w:r>
      <w:r>
        <w:rPr>
          <w:rFonts w:ascii="Tahoma" w:hAnsi="Tahoma" w:cs="Tahoma"/>
        </w:rPr>
        <w:t>institution ouverte à tous les E</w:t>
      </w:r>
      <w:r w:rsidRPr="0054641A">
        <w:rPr>
          <w:rFonts w:ascii="Tahoma" w:hAnsi="Tahoma" w:cs="Tahoma"/>
        </w:rPr>
        <w:t>tats et aux organisations, institutions et instruments internationaux et régionaux pertinents, faisant ou non partie du système des Nations Unies, ainsi qu'aux grands groupes identifiés dans Action 21.</w:t>
      </w:r>
    </w:p>
  </w:footnote>
  <w:footnote w:id="36">
    <w:p w:rsidR="0083519B" w:rsidRPr="0054641A" w:rsidRDefault="0083519B" w:rsidP="008018BA">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Mohammed HADDY. La régionalisation au Maroc : des errances au projet sociétal. Édition Cabrera et Editions MdM Publications. Collection dirigée par Mohammed MRAIZIKA. 2011.  P : 13.</w:t>
      </w:r>
    </w:p>
  </w:footnote>
  <w:footnote w:id="37">
    <w:p w:rsidR="0083519B" w:rsidRPr="0054641A" w:rsidRDefault="0083519B" w:rsidP="008018BA">
      <w:pPr>
        <w:spacing w:after="0"/>
        <w:jc w:val="both"/>
        <w:rPr>
          <w:rFonts w:ascii="Tahoma" w:hAnsi="Tahoma" w:cs="Tahoma"/>
          <w:sz w:val="20"/>
          <w:szCs w:val="20"/>
        </w:rPr>
      </w:pPr>
      <w:r w:rsidRPr="0054641A">
        <w:rPr>
          <w:rStyle w:val="Appelnotedebasdep"/>
          <w:rFonts w:ascii="Tahoma" w:hAnsi="Tahoma" w:cs="Tahoma"/>
          <w:sz w:val="20"/>
          <w:szCs w:val="20"/>
        </w:rPr>
        <w:footnoteRef/>
      </w:r>
      <w:r w:rsidRPr="0054641A">
        <w:rPr>
          <w:rFonts w:ascii="Tahoma" w:hAnsi="Tahoma" w:cs="Tahoma"/>
          <w:sz w:val="20"/>
          <w:szCs w:val="20"/>
        </w:rPr>
        <w:t xml:space="preserve"> Thomas Piketty. Une figure clé de l'économie contemporaine dont les travaux sur les inégalités économiques ont constitué un tournant majeur dans le domaine, notamment à travers son ouvrage « Le Capital au XXIe siècle ». Par sa démarche rigoureuse et son engagement en faveur d'une plus grande justice sociale, il a exercé une influence notable sur les débats relatifs à la fiscalité, aux politiques économiques et aux structures sociales à l'échelle mondiale.</w:t>
      </w:r>
    </w:p>
  </w:footnote>
  <w:footnote w:id="38">
    <w:p w:rsidR="0083519B" w:rsidRPr="0054641A" w:rsidRDefault="0083519B" w:rsidP="008018BA">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Clémentine Cottineau. Thomas Piketty: Le capital au XXIe siècle, Seuil, Coll. « Les livres du nouveau monde », 2013.970 p. », Cybergeo: European Journal of Geography [En ligne], Revue de livres, mis en ligne le 23 juin 2014, consulté le 21 mars 2025. URL : http://journals.openedition.org/cybergeo/26329 ; DOI : https://doi.org/10.4000/cybergeo.26329</w:t>
      </w:r>
    </w:p>
  </w:footnote>
  <w:footnote w:id="39">
    <w:p w:rsidR="0083519B" w:rsidRPr="0054641A" w:rsidRDefault="0083519B" w:rsidP="008018BA">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Ibid.</w:t>
      </w:r>
    </w:p>
  </w:footnote>
  <w:footnote w:id="40">
    <w:p w:rsidR="0083519B" w:rsidRPr="00980075" w:rsidRDefault="0083519B" w:rsidP="008018BA">
      <w:pPr>
        <w:pStyle w:val="Notedebasdepage"/>
        <w:jc w:val="both"/>
        <w:rPr>
          <w:rFonts w:ascii="Tahoma" w:hAnsi="Tahoma" w:cs="Tahoma"/>
          <w:color w:val="000000" w:themeColor="text1"/>
        </w:rPr>
      </w:pPr>
      <w:r w:rsidRPr="0054641A">
        <w:rPr>
          <w:rStyle w:val="Appelnotedebasdep"/>
          <w:rFonts w:ascii="Tahoma" w:hAnsi="Tahoma" w:cs="Tahoma"/>
        </w:rPr>
        <w:footnoteRef/>
      </w:r>
      <w:r w:rsidRPr="0054641A">
        <w:rPr>
          <w:rFonts w:ascii="Tahoma" w:hAnsi="Tahoma" w:cs="Tahoma"/>
        </w:rPr>
        <w:t xml:space="preserve"> </w:t>
      </w:r>
      <w:r w:rsidRPr="00980075">
        <w:rPr>
          <w:rFonts w:ascii="Tahoma" w:hAnsi="Tahoma" w:cs="Tahoma"/>
          <w:color w:val="000000" w:themeColor="text1"/>
        </w:rPr>
        <w:t xml:space="preserve">Le rapport publié en 2010 sur la migration internationale, présageait un flux migratoire de plus de 400 millions d’agents à l’horizon 2050. Pour Myers (2002), il conjecturait déjà 25 millions de réfugiés et 200 millions de migrants d’ici 2050. A titre d’exemple sur la période 2000-2015, le nombre de personnes ayant migré chaque année avoisine 130 000 personnes à cause du climat. Cf. DAMETTE. O. et GITTARD. M. Changement climatique et migrations : les transferts de fonds des migrants comme amortisseurs ? Mondes en développement. 2017. 179, 85-102. Consulté sur l’URL : </w:t>
      </w:r>
      <w:hyperlink r:id="rId3" w:history="1">
        <w:r w:rsidRPr="00363BF1">
          <w:rPr>
            <w:rStyle w:val="Lienhypertexte1"/>
            <w:rFonts w:ascii="Tahoma" w:hAnsi="Tahoma" w:cs="Tahoma"/>
            <w:color w:val="000000" w:themeColor="text1"/>
            <w:u w:val="none"/>
          </w:rPr>
          <w:t>https://doi.org/10.3917/med.179.0085</w:t>
        </w:r>
      </w:hyperlink>
      <w:r w:rsidRPr="00980075">
        <w:rPr>
          <w:rFonts w:ascii="Tahoma" w:hAnsi="Tahoma" w:cs="Tahoma"/>
          <w:color w:val="000000" w:themeColor="text1"/>
        </w:rPr>
        <w:t xml:space="preserve"> </w:t>
      </w:r>
    </w:p>
  </w:footnote>
  <w:footnote w:id="41">
    <w:p w:rsidR="0083519B" w:rsidRPr="00980075" w:rsidRDefault="0083519B" w:rsidP="008018BA">
      <w:pPr>
        <w:pStyle w:val="Notedebasdepage"/>
        <w:jc w:val="both"/>
        <w:rPr>
          <w:rFonts w:ascii="Tahoma" w:hAnsi="Tahoma" w:cs="Tahoma"/>
          <w:color w:val="000000" w:themeColor="text1"/>
        </w:rPr>
      </w:pPr>
      <w:r w:rsidRPr="00980075">
        <w:rPr>
          <w:rStyle w:val="Appelnotedebasdep"/>
          <w:rFonts w:ascii="Tahoma" w:hAnsi="Tahoma" w:cs="Tahoma"/>
          <w:color w:val="000000" w:themeColor="text1"/>
        </w:rPr>
        <w:footnoteRef/>
      </w:r>
      <w:r w:rsidRPr="00980075">
        <w:rPr>
          <w:rFonts w:ascii="Tahoma" w:hAnsi="Tahoma" w:cs="Tahoma"/>
          <w:color w:val="000000" w:themeColor="text1"/>
        </w:rPr>
        <w:t> Rapport de l'IDMC. 75,9 millions de personnes se sont déplacées à l'intérieur de leur propre pays en 2023 : Genève, 14 mai 2023</w:t>
      </w:r>
    </w:p>
  </w:footnote>
  <w:footnote w:id="42">
    <w:p w:rsidR="0083519B" w:rsidRPr="00980075" w:rsidRDefault="0083519B" w:rsidP="008018BA">
      <w:pPr>
        <w:pStyle w:val="Notedebasdepage"/>
        <w:jc w:val="both"/>
        <w:rPr>
          <w:rFonts w:ascii="Tahoma" w:hAnsi="Tahoma" w:cs="Tahoma"/>
          <w:color w:val="000000" w:themeColor="text1"/>
        </w:rPr>
      </w:pPr>
      <w:r w:rsidRPr="00980075">
        <w:rPr>
          <w:rStyle w:val="Appelnotedebasdep"/>
          <w:rFonts w:ascii="Tahoma" w:hAnsi="Tahoma" w:cs="Tahoma"/>
          <w:color w:val="000000" w:themeColor="text1"/>
        </w:rPr>
        <w:footnoteRef/>
      </w:r>
      <w:r w:rsidRPr="00980075">
        <w:rPr>
          <w:rFonts w:ascii="Tahoma" w:hAnsi="Tahoma" w:cs="Tahoma"/>
          <w:color w:val="000000" w:themeColor="text1"/>
        </w:rPr>
        <w:t> D’ici à 2050, le changement climatique risque de contraindre 216 millions de personnes à migrer à l’intérieur de leur pays. COMMUNIQUÉ DE PRESSE N° : 2022/12/CCG. WASHINGTON. 2012</w:t>
      </w:r>
    </w:p>
  </w:footnote>
  <w:footnote w:id="43">
    <w:p w:rsidR="0083519B" w:rsidRPr="00592551" w:rsidRDefault="0083519B" w:rsidP="008018BA">
      <w:pPr>
        <w:pStyle w:val="Notedebasdepage"/>
        <w:jc w:val="both"/>
        <w:rPr>
          <w:rFonts w:ascii="Tahoma" w:hAnsi="Tahoma" w:cs="Tahoma"/>
          <w:color w:val="000000" w:themeColor="text1"/>
        </w:rPr>
      </w:pPr>
      <w:r w:rsidRPr="0054641A">
        <w:rPr>
          <w:rStyle w:val="Appelnotedebasdep"/>
          <w:rFonts w:ascii="Tahoma" w:hAnsi="Tahoma" w:cs="Tahoma"/>
        </w:rPr>
        <w:footnoteRef/>
      </w:r>
      <w:r w:rsidRPr="0054641A">
        <w:rPr>
          <w:rFonts w:ascii="Tahoma" w:hAnsi="Tahoma" w:cs="Tahoma"/>
        </w:rPr>
        <w:t xml:space="preserve"> </w:t>
      </w:r>
      <w:r w:rsidRPr="00763C28">
        <w:rPr>
          <w:rFonts w:ascii="Tahoma" w:hAnsi="Tahoma" w:cs="Tahoma"/>
          <w:color w:val="000000" w:themeColor="text1"/>
        </w:rPr>
        <w:t xml:space="preserve">Éloi LAURENT. La social-écologie : une perspective théorique et empirique. Revue française des affaires sociales. 125-143. 2015. Consulté sur l’URL : </w:t>
      </w:r>
      <w:hyperlink r:id="rId4" w:history="1">
        <w:r w:rsidRPr="00592551">
          <w:rPr>
            <w:rStyle w:val="Lienhypertexte1"/>
            <w:rFonts w:ascii="Tahoma" w:hAnsi="Tahoma" w:cs="Tahoma"/>
            <w:color w:val="000000" w:themeColor="text1"/>
            <w:u w:val="none"/>
          </w:rPr>
          <w:t>https://doi.org/10.3917/rfas.151.0125</w:t>
        </w:r>
      </w:hyperlink>
      <w:r w:rsidRPr="00592551">
        <w:rPr>
          <w:rFonts w:ascii="Tahoma" w:hAnsi="Tahoma" w:cs="Tahoma"/>
          <w:color w:val="000000" w:themeColor="text1"/>
        </w:rPr>
        <w:t xml:space="preserve"> </w:t>
      </w:r>
    </w:p>
  </w:footnote>
  <w:footnote w:id="44">
    <w:p w:rsidR="0083519B" w:rsidRPr="00763C28" w:rsidRDefault="0083519B" w:rsidP="008018BA">
      <w:pPr>
        <w:pStyle w:val="Corpsdetexte"/>
        <w:spacing w:before="1"/>
        <w:jc w:val="both"/>
        <w:rPr>
          <w:rFonts w:ascii="Tahoma" w:hAnsi="Tahoma" w:cs="Tahoma"/>
          <w:color w:val="000000" w:themeColor="text1"/>
          <w:sz w:val="20"/>
          <w:szCs w:val="20"/>
        </w:rPr>
      </w:pPr>
      <w:r w:rsidRPr="00592551">
        <w:rPr>
          <w:rStyle w:val="Appelnotedebasdep"/>
          <w:rFonts w:ascii="Tahoma" w:hAnsi="Tahoma" w:cs="Tahoma"/>
          <w:color w:val="000000" w:themeColor="text1"/>
          <w:sz w:val="20"/>
          <w:szCs w:val="20"/>
        </w:rPr>
        <w:footnoteRef/>
      </w:r>
      <w:r w:rsidRPr="00592551">
        <w:rPr>
          <w:rFonts w:ascii="Tahoma" w:hAnsi="Tahoma" w:cs="Tahoma"/>
          <w:color w:val="000000" w:themeColor="text1"/>
          <w:sz w:val="20"/>
          <w:szCs w:val="20"/>
        </w:rPr>
        <w:t> Jean-Baptiste LAMARCK. Système Analytique Des Connaissances Positives De L'homme. Ed : Honoré Champion. 2018. Paris. 272 p.</w:t>
      </w:r>
    </w:p>
  </w:footnote>
  <w:footnote w:id="45">
    <w:p w:rsidR="0083519B" w:rsidRPr="00625C14" w:rsidRDefault="0083519B" w:rsidP="008018BA">
      <w:pPr>
        <w:pStyle w:val="Notedebasdepage"/>
        <w:jc w:val="both"/>
        <w:rPr>
          <w:rFonts w:ascii="Tahoma" w:hAnsi="Tahoma" w:cs="Tahoma"/>
          <w:color w:val="000000" w:themeColor="text1"/>
        </w:rPr>
      </w:pPr>
      <w:r w:rsidRPr="0054641A">
        <w:rPr>
          <w:rStyle w:val="Appelnotedebasdep"/>
          <w:rFonts w:ascii="Tahoma" w:hAnsi="Tahoma" w:cs="Tahoma"/>
        </w:rPr>
        <w:footnoteRef/>
      </w:r>
      <w:r w:rsidRPr="0054641A">
        <w:rPr>
          <w:rFonts w:ascii="Tahoma" w:hAnsi="Tahoma" w:cs="Tahoma"/>
        </w:rPr>
        <w:t> </w:t>
      </w:r>
      <w:r w:rsidRPr="00625C14">
        <w:rPr>
          <w:rFonts w:ascii="Tahoma" w:hAnsi="Tahoma" w:cs="Tahoma"/>
          <w:color w:val="000000" w:themeColor="text1"/>
        </w:rPr>
        <w:t>Jean-Baptiste FRESSOZ. Bois et charbon : une histoire symbiotique de l’industrialisation. Histoire &amp; mesure, XXXVIII-1 | 2023, 157-186.</w:t>
      </w:r>
    </w:p>
  </w:footnote>
  <w:footnote w:id="46">
    <w:p w:rsidR="0083519B" w:rsidRPr="00592551" w:rsidRDefault="0083519B" w:rsidP="008018BA">
      <w:pPr>
        <w:pStyle w:val="Notedebasdepage"/>
        <w:jc w:val="both"/>
        <w:rPr>
          <w:rFonts w:ascii="Tahoma" w:hAnsi="Tahoma" w:cs="Tahoma"/>
          <w:color w:val="000000" w:themeColor="text1"/>
          <w:lang w:eastAsia="fr-FR"/>
        </w:rPr>
      </w:pPr>
      <w:r w:rsidRPr="00592551">
        <w:rPr>
          <w:rStyle w:val="Appelnotedebasdep"/>
          <w:rFonts w:ascii="Tahoma" w:hAnsi="Tahoma" w:cs="Tahoma"/>
          <w:color w:val="000000" w:themeColor="text1"/>
        </w:rPr>
        <w:footnoteRef/>
      </w:r>
      <w:r w:rsidRPr="00592551">
        <w:rPr>
          <w:rFonts w:ascii="Tahoma" w:hAnsi="Tahoma" w:cs="Tahoma"/>
          <w:color w:val="000000" w:themeColor="text1"/>
        </w:rPr>
        <w:t xml:space="preserve"> </w:t>
      </w:r>
      <w:r w:rsidRPr="00511BD6">
        <w:rPr>
          <w:rFonts w:ascii="Tahoma" w:hAnsi="Tahoma" w:cs="Tahoma"/>
          <w:color w:val="000000" w:themeColor="text1"/>
          <w:lang w:eastAsia="fr-FR"/>
        </w:rPr>
        <w:t>Faïçal BENCHEKROUN. La consommation de bois de feu au Maroc. Les cas du Gharb et du Moyen-Atlas. Forêt Méditerranéenne, 1987, IX (2), pp.143-150. Ff hal 03555208</w:t>
      </w:r>
    </w:p>
  </w:footnote>
  <w:footnote w:id="47">
    <w:p w:rsidR="0083519B" w:rsidRPr="00592551" w:rsidRDefault="0083519B" w:rsidP="008018BA">
      <w:pPr>
        <w:spacing w:after="0" w:line="240" w:lineRule="auto"/>
        <w:jc w:val="both"/>
        <w:rPr>
          <w:rFonts w:ascii="Tahoma" w:hAnsi="Tahoma" w:cs="Tahoma"/>
          <w:color w:val="000000" w:themeColor="text1"/>
          <w:sz w:val="20"/>
          <w:szCs w:val="20"/>
          <w:lang w:eastAsia="fr-FR"/>
        </w:rPr>
      </w:pPr>
      <w:r w:rsidRPr="00592551">
        <w:rPr>
          <w:rStyle w:val="Appelnotedebasdep"/>
          <w:rFonts w:ascii="Tahoma" w:hAnsi="Tahoma" w:cs="Tahoma"/>
          <w:color w:val="000000" w:themeColor="text1"/>
          <w:sz w:val="20"/>
          <w:szCs w:val="20"/>
        </w:rPr>
        <w:footnoteRef/>
      </w:r>
      <w:r w:rsidRPr="00592551">
        <w:rPr>
          <w:rFonts w:ascii="Tahoma" w:hAnsi="Tahoma" w:cs="Tahoma"/>
          <w:color w:val="000000" w:themeColor="text1"/>
          <w:sz w:val="20"/>
          <w:szCs w:val="20"/>
        </w:rPr>
        <w:t xml:space="preserve"> </w:t>
      </w:r>
      <w:r w:rsidRPr="00592551">
        <w:rPr>
          <w:rFonts w:ascii="Tahoma" w:hAnsi="Tahoma" w:cs="Tahoma"/>
          <w:color w:val="000000" w:themeColor="text1"/>
          <w:sz w:val="20"/>
          <w:szCs w:val="20"/>
          <w:lang w:eastAsia="fr-FR"/>
        </w:rPr>
        <w:t>Abdelmalek BENABID.  Flore et écosystèmes du Maroc: évaluation et préservation de la biodiversité.  Éd. Librairie et éditions Kalila Wa Dimna. 2000. 359 p</w:t>
      </w:r>
      <w:r w:rsidRPr="00592551">
        <w:rPr>
          <w:rFonts w:ascii="Tahoma" w:hAnsi="Tahoma" w:cs="Tahoma"/>
          <w:color w:val="000000" w:themeColor="text1"/>
          <w:sz w:val="20"/>
          <w:szCs w:val="20"/>
          <w:lang w:eastAsia="fr-FR"/>
        </w:rPr>
        <w:tab/>
      </w:r>
    </w:p>
  </w:footnote>
  <w:footnote w:id="48">
    <w:p w:rsidR="0083519B" w:rsidRPr="00511BD6" w:rsidRDefault="0083519B" w:rsidP="008018BA">
      <w:pPr>
        <w:pStyle w:val="Notedebasdepage"/>
        <w:jc w:val="both"/>
        <w:rPr>
          <w:rFonts w:ascii="Tahoma" w:hAnsi="Tahoma" w:cs="Tahoma"/>
        </w:rPr>
      </w:pPr>
      <w:r w:rsidRPr="00511BD6">
        <w:rPr>
          <w:rStyle w:val="Appelnotedebasdep"/>
          <w:rFonts w:ascii="Tahoma" w:hAnsi="Tahoma" w:cs="Tahoma"/>
          <w:color w:val="000000" w:themeColor="text1"/>
        </w:rPr>
        <w:footnoteRef/>
      </w:r>
      <w:r w:rsidRPr="00511BD6">
        <w:rPr>
          <w:rFonts w:ascii="Tahoma" w:hAnsi="Tahoma" w:cs="Tahoma"/>
          <w:color w:val="000000" w:themeColor="text1"/>
        </w:rPr>
        <w:t xml:space="preserve"> Berriane, Mohamed, et Geneviève Michon, éditeurs. Les terroirs au Sud, vers un nouveau modèle ? IRD </w:t>
      </w:r>
      <w:r w:rsidRPr="00511BD6">
        <w:rPr>
          <w:rFonts w:ascii="Tahoma" w:hAnsi="Tahoma" w:cs="Tahoma"/>
        </w:rPr>
        <w:t xml:space="preserve">Éditions, Université Mohammed V. Faculté des lettres et des sciences humaines, 2016, https://doi.org/10.4000/books.irdeditions.25859. </w:t>
      </w:r>
    </w:p>
  </w:footnote>
  <w:footnote w:id="49">
    <w:p w:rsidR="0083519B" w:rsidRPr="00511BD6" w:rsidRDefault="0083519B" w:rsidP="008018BA">
      <w:pPr>
        <w:pStyle w:val="Notedebasdepage"/>
        <w:tabs>
          <w:tab w:val="left" w:pos="6609"/>
        </w:tabs>
        <w:jc w:val="both"/>
        <w:rPr>
          <w:rFonts w:ascii="Tahoma" w:hAnsi="Tahoma" w:cs="Tahoma"/>
        </w:rPr>
      </w:pPr>
      <w:r w:rsidRPr="00511BD6">
        <w:rPr>
          <w:rStyle w:val="Appelnotedebasdep"/>
          <w:rFonts w:ascii="Tahoma" w:hAnsi="Tahoma" w:cs="Tahoma"/>
        </w:rPr>
        <w:footnoteRef/>
      </w:r>
      <w:r w:rsidRPr="00511BD6">
        <w:rPr>
          <w:rFonts w:ascii="Tahoma" w:hAnsi="Tahoma" w:cs="Tahoma"/>
        </w:rPr>
        <w:t> Pierre-Marie Aubert, Action publique et société rurale dans la gestion des forêts marocaines : changement social et efficacité environnementale, thèse de doctorat en sociologie, AgroParisTech, 2010</w:t>
      </w:r>
      <w:r w:rsidRPr="00511BD6">
        <w:rPr>
          <w:rFonts w:ascii="Tahoma" w:hAnsi="Tahoma" w:cs="Tahoma"/>
        </w:rPr>
        <w:tab/>
      </w:r>
    </w:p>
  </w:footnote>
  <w:footnote w:id="50">
    <w:p w:rsidR="0083519B" w:rsidRPr="00C8198A" w:rsidRDefault="0083519B" w:rsidP="008018BA">
      <w:pPr>
        <w:pStyle w:val="Notedebasdepage"/>
        <w:jc w:val="both"/>
        <w:rPr>
          <w:rFonts w:ascii="Tahoma" w:hAnsi="Tahoma" w:cs="Tahoma"/>
          <w:lang w:val="es-ES"/>
        </w:rPr>
      </w:pPr>
      <w:r w:rsidRPr="00511BD6">
        <w:rPr>
          <w:rStyle w:val="Appelnotedebasdep"/>
          <w:rFonts w:ascii="Tahoma" w:hAnsi="Tahoma" w:cs="Tahoma"/>
        </w:rPr>
        <w:footnoteRef/>
      </w:r>
      <w:r w:rsidRPr="00C8198A">
        <w:rPr>
          <w:rFonts w:ascii="Tahoma" w:hAnsi="Tahoma" w:cs="Tahoma"/>
          <w:lang w:val="es-ES"/>
        </w:rPr>
        <w:t xml:space="preserve"> Ibid. </w:t>
      </w:r>
    </w:p>
  </w:footnote>
  <w:footnote w:id="51">
    <w:p w:rsidR="0083519B" w:rsidRPr="00C8198A" w:rsidRDefault="0083519B" w:rsidP="008018BA">
      <w:pPr>
        <w:pStyle w:val="Notedebasdepage"/>
        <w:jc w:val="both"/>
        <w:rPr>
          <w:rFonts w:ascii="Tahoma" w:hAnsi="Tahoma" w:cs="Tahoma"/>
          <w:lang w:val="es-ES"/>
        </w:rPr>
      </w:pPr>
      <w:r w:rsidRPr="004955A8">
        <w:rPr>
          <w:rStyle w:val="Appelnotedebasdep"/>
          <w:rFonts w:ascii="Tahoma" w:hAnsi="Tahoma" w:cs="Tahoma"/>
        </w:rPr>
        <w:footnoteRef/>
      </w:r>
      <w:r w:rsidRPr="00C8198A">
        <w:rPr>
          <w:rFonts w:ascii="Tahoma" w:hAnsi="Tahoma" w:cs="Tahoma"/>
          <w:lang w:val="es-ES"/>
        </w:rPr>
        <w:t xml:space="preserve"> Ibid. </w:t>
      </w:r>
    </w:p>
  </w:footnote>
  <w:footnote w:id="52">
    <w:p w:rsidR="0083519B" w:rsidRPr="00C8198A" w:rsidRDefault="0083519B" w:rsidP="008018BA">
      <w:pPr>
        <w:pStyle w:val="Notedebasdepage"/>
        <w:jc w:val="both"/>
        <w:rPr>
          <w:rFonts w:ascii="Tahoma" w:hAnsi="Tahoma" w:cs="Tahoma"/>
          <w:lang w:val="es-ES"/>
        </w:rPr>
      </w:pPr>
      <w:r w:rsidRPr="004955A8">
        <w:rPr>
          <w:rStyle w:val="Appelnotedebasdep"/>
          <w:rFonts w:ascii="Tahoma" w:hAnsi="Tahoma" w:cs="Tahoma"/>
        </w:rPr>
        <w:footnoteRef/>
      </w:r>
      <w:r w:rsidRPr="00C8198A">
        <w:rPr>
          <w:rFonts w:ascii="Tahoma" w:hAnsi="Tahoma" w:cs="Tahoma"/>
          <w:lang w:val="es-ES"/>
        </w:rPr>
        <w:t xml:space="preserve"> F. BENCHEKROUN, </w:t>
      </w:r>
      <w:r w:rsidRPr="00C8198A">
        <w:rPr>
          <w:rStyle w:val="Accentuation"/>
          <w:rFonts w:ascii="Tahoma" w:hAnsi="Tahoma" w:cs="Tahoma"/>
          <w:lang w:val="es-ES"/>
        </w:rPr>
        <w:t>op. cit.</w:t>
      </w:r>
      <w:r w:rsidRPr="00C8198A">
        <w:rPr>
          <w:rFonts w:ascii="Tahoma" w:hAnsi="Tahoma" w:cs="Tahoma"/>
          <w:lang w:val="es-ES"/>
        </w:rPr>
        <w:t>, p. 147</w:t>
      </w:r>
    </w:p>
  </w:footnote>
  <w:footnote w:id="53">
    <w:p w:rsidR="0083519B" w:rsidRPr="00F33AEA" w:rsidRDefault="0083519B" w:rsidP="008018BA">
      <w:pPr>
        <w:pStyle w:val="Notedebasdepage"/>
        <w:jc w:val="both"/>
        <w:rPr>
          <w:rFonts w:ascii="Tahoma" w:hAnsi="Tahoma" w:cs="Tahoma"/>
        </w:rPr>
      </w:pPr>
      <w:r w:rsidRPr="004955A8">
        <w:rPr>
          <w:rStyle w:val="Appelnotedebasdep"/>
          <w:rFonts w:ascii="Tahoma" w:hAnsi="Tahoma" w:cs="Tahoma"/>
        </w:rPr>
        <w:footnoteRef/>
      </w:r>
      <w:r w:rsidRPr="004955A8">
        <w:rPr>
          <w:rStyle w:val="Appelnotedebasdep"/>
          <w:rFonts w:ascii="Tahoma" w:hAnsi="Tahoma" w:cs="Tahoma"/>
        </w:rPr>
        <w:t xml:space="preserve"> </w:t>
      </w:r>
      <w:r w:rsidRPr="00F33AEA">
        <w:rPr>
          <w:rFonts w:ascii="Tahoma" w:hAnsi="Tahoma" w:cs="Tahoma"/>
        </w:rPr>
        <w:t>Adil Roumane et Damien Bazin, La gestion des ressources forestières au Maroc : Une approche par le capital social, consulté sur Academia.edu, https://www.academia.edu/15276524/La_gestion_des_ressources_forestières_au_Maroc_Une_approche_par_le_capital_social, consulté le 27 février 2021.</w:t>
      </w:r>
    </w:p>
  </w:footnote>
  <w:footnote w:id="54">
    <w:p w:rsidR="0083519B" w:rsidRPr="00F33AEA" w:rsidRDefault="0083519B" w:rsidP="008018BA">
      <w:pPr>
        <w:pStyle w:val="Notedebasdepage"/>
        <w:jc w:val="both"/>
        <w:rPr>
          <w:rFonts w:ascii="Tahoma" w:hAnsi="Tahoma" w:cs="Tahoma"/>
        </w:rPr>
      </w:pPr>
      <w:r w:rsidRPr="00F33AEA">
        <w:rPr>
          <w:rFonts w:ascii="Tahoma" w:hAnsi="Tahoma" w:cs="Tahoma"/>
        </w:rPr>
        <w:footnoteRef/>
      </w:r>
      <w:r w:rsidRPr="00F33AEA">
        <w:rPr>
          <w:rFonts w:ascii="Tahoma" w:hAnsi="Tahoma" w:cs="Tahoma"/>
        </w:rPr>
        <w:t xml:space="preserve"> Aude Nuscia TAÏBI. Désertification et dégradation. Ré-interrogation des concepts à la lumière d'exemples africains. Géographie. Université d'Angers, 2015. </w:t>
      </w:r>
      <w:r w:rsidRPr="00F33AEA">
        <w:rPr>
          <w:rFonts w:ascii="Cambria Math" w:hAnsi="Cambria Math" w:cs="Cambria Math"/>
        </w:rPr>
        <w:t>⟨</w:t>
      </w:r>
      <w:r w:rsidRPr="00F33AEA">
        <w:rPr>
          <w:rFonts w:ascii="Tahoma" w:hAnsi="Tahoma" w:cs="Tahoma"/>
        </w:rPr>
        <w:t>tel-01250719</w:t>
      </w:r>
      <w:r w:rsidRPr="00F33AEA">
        <w:rPr>
          <w:rFonts w:ascii="Cambria Math" w:hAnsi="Cambria Math" w:cs="Cambria Math"/>
        </w:rPr>
        <w:t>⟩</w:t>
      </w:r>
    </w:p>
  </w:footnote>
  <w:footnote w:id="55">
    <w:p w:rsidR="0083519B" w:rsidRPr="0054641A" w:rsidRDefault="0083519B" w:rsidP="008018BA">
      <w:pPr>
        <w:pStyle w:val="Notedebasdepage"/>
        <w:jc w:val="both"/>
        <w:rPr>
          <w:rFonts w:ascii="Tahoma" w:hAnsi="Tahoma" w:cs="Tahoma"/>
        </w:rPr>
      </w:pPr>
      <w:r w:rsidRPr="0054641A">
        <w:rPr>
          <w:rStyle w:val="Appelnotedebasdep"/>
          <w:rFonts w:ascii="Tahoma" w:hAnsi="Tahoma" w:cs="Tahoma"/>
        </w:rPr>
        <w:footnoteRef/>
      </w:r>
      <w:r>
        <w:rPr>
          <w:rFonts w:ascii="Tahoma" w:hAnsi="Tahoma" w:cs="Tahoma"/>
        </w:rPr>
        <w:t xml:space="preserve"> Rajaa</w:t>
      </w:r>
      <w:r w:rsidRPr="0054641A">
        <w:rPr>
          <w:rFonts w:ascii="Tahoma" w:hAnsi="Tahoma" w:cs="Tahoma"/>
        </w:rPr>
        <w:t xml:space="preserve"> KHDAYCHI. Territoires forestiers marocains et risques de catastrophe. In, Revue Marocaine d’Administration Locale et de Développement REMALD, N°158, Mai-Juin 2021.  </w:t>
      </w:r>
    </w:p>
  </w:footnote>
  <w:footnote w:id="56">
    <w:p w:rsidR="0083519B" w:rsidRPr="0054641A" w:rsidRDefault="0083519B" w:rsidP="008018BA">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Ibid. Dahir du 10 octobre 1917 sur la conservation et l'exploitation des forêts.</w:t>
      </w:r>
    </w:p>
  </w:footnote>
  <w:footnote w:id="57">
    <w:p w:rsidR="0083519B" w:rsidRPr="0054641A" w:rsidRDefault="0083519B" w:rsidP="008018BA">
      <w:pPr>
        <w:pStyle w:val="Notedebasdepage"/>
        <w:jc w:val="both"/>
        <w:rPr>
          <w:rFonts w:ascii="Tahoma" w:hAnsi="Tahoma" w:cs="Tahoma"/>
        </w:rPr>
      </w:pPr>
      <w:r w:rsidRPr="00324E03">
        <w:rPr>
          <w:rStyle w:val="Appelnotedebasdep"/>
          <w:rFonts w:ascii="Tahoma" w:hAnsi="Tahoma" w:cs="Tahoma"/>
        </w:rPr>
        <w:footnoteRef/>
      </w:r>
      <w:r w:rsidRPr="00324E03">
        <w:rPr>
          <w:rFonts w:ascii="Tahoma" w:hAnsi="Tahoma" w:cs="Tahoma"/>
        </w:rPr>
        <w:t xml:space="preserve"> Mohammed ELLATIFI. L’économie de la forêt et des produits forestiers au Maroc : bilan et perspectives. Thèse de Doctorat en Sciences Economiques. Université Montesquieu Bordeau IV. Juin 2012. P : 46.</w:t>
      </w:r>
      <w:r w:rsidRPr="0054641A">
        <w:rPr>
          <w:rFonts w:ascii="Tahoma" w:hAnsi="Tahoma" w:cs="Tahoma"/>
        </w:rPr>
        <w:t xml:space="preserve">  </w:t>
      </w:r>
    </w:p>
  </w:footnote>
  <w:footnote w:id="58">
    <w:p w:rsidR="0083519B" w:rsidRPr="0054641A" w:rsidRDefault="0083519B" w:rsidP="008018BA">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Markku SIMULA. Vers Une Définition De La Dégradation Des Forêts : analyse comparative des définitions existantes.  Rome, Italie. Septembre. 2009. 66 p.</w:t>
      </w:r>
    </w:p>
  </w:footnote>
  <w:footnote w:id="59">
    <w:p w:rsidR="0083519B" w:rsidRPr="0054641A" w:rsidRDefault="0083519B" w:rsidP="008018BA">
      <w:pPr>
        <w:pStyle w:val="Notedebasdepage"/>
        <w:jc w:val="both"/>
        <w:rPr>
          <w:rFonts w:ascii="Tahoma" w:hAnsi="Tahoma" w:cs="Tahoma"/>
        </w:rPr>
      </w:pPr>
      <w:r w:rsidRPr="0054641A">
        <w:rPr>
          <w:rStyle w:val="Appelnotedebasdep"/>
          <w:rFonts w:ascii="Tahoma" w:hAnsi="Tahoma" w:cs="Tahoma"/>
        </w:rPr>
        <w:footnoteRef/>
      </w:r>
      <w:r>
        <w:rPr>
          <w:rFonts w:ascii="Tahoma" w:hAnsi="Tahoma" w:cs="Tahoma"/>
        </w:rPr>
        <w:t xml:space="preserve"> </w:t>
      </w:r>
      <w:r w:rsidRPr="00324E03">
        <w:rPr>
          <w:rFonts w:ascii="Tahoma" w:hAnsi="Tahoma" w:cs="Tahoma"/>
        </w:rPr>
        <w:t>Ibid., p. 66</w:t>
      </w:r>
    </w:p>
  </w:footnote>
  <w:footnote w:id="60">
    <w:p w:rsidR="0083519B" w:rsidRPr="0054641A" w:rsidRDefault="0083519B" w:rsidP="008018BA">
      <w:pPr>
        <w:pStyle w:val="Notedebasdepage"/>
        <w:jc w:val="both"/>
        <w:rPr>
          <w:rFonts w:ascii="Tahoma" w:hAnsi="Tahoma" w:cs="Tahoma"/>
          <w:highlight w:val="yellow"/>
        </w:rPr>
      </w:pPr>
      <w:r w:rsidRPr="0054641A">
        <w:rPr>
          <w:rStyle w:val="Appelnotedebasdep"/>
          <w:rFonts w:ascii="Tahoma" w:hAnsi="Tahoma" w:cs="Tahoma"/>
        </w:rPr>
        <w:footnoteRef/>
      </w:r>
      <w:r w:rsidRPr="0054641A">
        <w:rPr>
          <w:rFonts w:ascii="Tahoma" w:hAnsi="Tahoma" w:cs="Tahoma"/>
        </w:rPr>
        <w:t> Le Protocole de Kyoto est un accord international de 1997 (entré en vigueur en 2005) visant à réduire les émissions de gaz à effet de serre des pays riches, avec des objectifs obligatoires et chiffrés. Bien que largement signé, son importance fut limitée par la non-ratification des États-Unis, le manque d'objectifs pour les pays en développement et des ambitions insuffisantes. Expiré en 2020, il a préparé le terrain pour l'Accord de Paris.</w:t>
      </w:r>
    </w:p>
  </w:footnote>
  <w:footnote w:id="61">
    <w:p w:rsidR="0083519B" w:rsidRPr="0054641A" w:rsidRDefault="0083519B" w:rsidP="008018BA">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Markku SIMULA. Vers Une Définition De La Dégradation Des Forêts : analyse comparative des définitions existantes.  Rome, Italie. Septembre. 2009. 66 p.</w:t>
      </w:r>
    </w:p>
  </w:footnote>
  <w:footnote w:id="62">
    <w:p w:rsidR="0083519B" w:rsidRPr="0054641A" w:rsidRDefault="0083519B" w:rsidP="008018BA">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Prune Christobelle Komba Mayossa. Dégradation du couvert forestier liée à la culture du palmier à huile par télédétection en milieu tropical humide : application au bassin du Congo. Biodiversité et Ecologie. Aix-Marseille Université, 2019. Français. </w:t>
      </w:r>
      <w:r w:rsidRPr="0054641A">
        <w:rPr>
          <w:rFonts w:ascii="Cambria Math" w:hAnsi="Cambria Math" w:cs="Cambria Math"/>
        </w:rPr>
        <w:t>⟨</w:t>
      </w:r>
      <w:r w:rsidRPr="0054641A">
        <w:rPr>
          <w:rFonts w:ascii="Tahoma" w:hAnsi="Tahoma" w:cs="Tahoma"/>
        </w:rPr>
        <w:t xml:space="preserve">NNT : </w:t>
      </w:r>
      <w:r w:rsidRPr="0054641A">
        <w:rPr>
          <w:rFonts w:ascii="Cambria Math" w:hAnsi="Cambria Math" w:cs="Cambria Math"/>
        </w:rPr>
        <w:t>⟩</w:t>
      </w:r>
      <w:r w:rsidRPr="0054641A">
        <w:rPr>
          <w:rFonts w:ascii="Tahoma" w:hAnsi="Tahoma" w:cs="Tahoma"/>
        </w:rPr>
        <w:t xml:space="preserve">. </w:t>
      </w:r>
      <w:r w:rsidRPr="0054641A">
        <w:rPr>
          <w:rFonts w:ascii="Cambria Math" w:hAnsi="Cambria Math" w:cs="Cambria Math"/>
        </w:rPr>
        <w:t>⟨</w:t>
      </w:r>
      <w:r w:rsidRPr="0054641A">
        <w:rPr>
          <w:rFonts w:ascii="Tahoma" w:hAnsi="Tahoma" w:cs="Tahoma"/>
        </w:rPr>
        <w:t>tel-02396595</w:t>
      </w:r>
      <w:r w:rsidRPr="0054641A">
        <w:rPr>
          <w:rFonts w:ascii="Cambria Math" w:hAnsi="Cambria Math" w:cs="Cambria Math"/>
        </w:rPr>
        <w:t>⟩</w:t>
      </w:r>
    </w:p>
  </w:footnote>
  <w:footnote w:id="63">
    <w:p w:rsidR="0083519B" w:rsidRPr="00324E03" w:rsidRDefault="0083519B" w:rsidP="008018BA">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Anaïs BADILLO. Désertification : définition, causes, conséquences et solutions. SEO Project Manager. Le </w:t>
      </w:r>
      <w:r w:rsidRPr="00324E03">
        <w:rPr>
          <w:rFonts w:ascii="Tahoma" w:hAnsi="Tahoma" w:cs="Tahoma"/>
        </w:rPr>
        <w:t>19/06/2023. https://climate.selectra.com/fr</w:t>
      </w:r>
    </w:p>
  </w:footnote>
  <w:footnote w:id="64">
    <w:p w:rsidR="0083519B" w:rsidRPr="0054641A" w:rsidRDefault="0083519B" w:rsidP="008018BA">
      <w:pPr>
        <w:pStyle w:val="Notedebasdepage"/>
        <w:jc w:val="both"/>
        <w:rPr>
          <w:rFonts w:ascii="Tahoma" w:hAnsi="Tahoma" w:cs="Tahoma"/>
        </w:rPr>
      </w:pPr>
      <w:r w:rsidRPr="00324E03">
        <w:rPr>
          <w:rStyle w:val="Appelnotedebasdep"/>
          <w:rFonts w:ascii="Tahoma" w:hAnsi="Tahoma" w:cs="Tahoma"/>
        </w:rPr>
        <w:footnoteRef/>
      </w:r>
      <w:r w:rsidRPr="00324E03">
        <w:rPr>
          <w:rFonts w:ascii="Tahoma" w:hAnsi="Tahoma" w:cs="Tahoma"/>
        </w:rPr>
        <w:t xml:space="preserve"> Mayossa, </w:t>
      </w:r>
      <w:r w:rsidRPr="00324E03">
        <w:rPr>
          <w:rStyle w:val="Accentuation"/>
          <w:rFonts w:ascii="Tahoma" w:hAnsi="Tahoma" w:cs="Tahoma"/>
        </w:rPr>
        <w:t>op. cit.</w:t>
      </w:r>
    </w:p>
  </w:footnote>
  <w:footnote w:id="65">
    <w:p w:rsidR="0083519B" w:rsidRPr="0054641A" w:rsidRDefault="0083519B" w:rsidP="008018BA">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FAO/OIBT. Consultation d’experts sur les critères et indicateurs pour l’aménagement durable des forêts. Organisé par le Bureau de gestion des forêts. Département de l’environnement et des ressources naturelles Philippines. Et co- coparrainée par la</w:t>
      </w:r>
      <w:r>
        <w:rPr>
          <w:rFonts w:ascii="Tahoma" w:hAnsi="Tahoma" w:cs="Tahoma"/>
        </w:rPr>
        <w:t xml:space="preserve"> FAO et l’OIBT.2 - 4 mars 2004</w:t>
      </w:r>
    </w:p>
  </w:footnote>
  <w:footnote w:id="66">
    <w:p w:rsidR="0083519B" w:rsidRPr="0054641A" w:rsidRDefault="0083519B" w:rsidP="008018BA">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Ibid.</w:t>
      </w:r>
    </w:p>
  </w:footnote>
  <w:footnote w:id="67">
    <w:p w:rsidR="0083519B" w:rsidRPr="0054641A" w:rsidRDefault="0083519B" w:rsidP="008018BA">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Ibid.</w:t>
      </w:r>
    </w:p>
  </w:footnote>
  <w:footnote w:id="68">
    <w:p w:rsidR="0083519B" w:rsidRPr="0054641A" w:rsidRDefault="0083519B" w:rsidP="008018BA">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Philip Wardle. Est économiste principal au Département des forêts de la FAO.  Les statistiques forestières au service du partenariat mondial pour l'environnement et le développement.  Aperçu général de la collecte, de l'analyse et de l'utilisation des statistiques forestières internationales. https://www.fao.org/4/v0290f/v0290f09.htm </w:t>
      </w:r>
    </w:p>
  </w:footnote>
  <w:footnote w:id="69">
    <w:p w:rsidR="0083519B" w:rsidRPr="0054641A" w:rsidRDefault="0083519B" w:rsidP="008018BA">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Catherine FIGUIERE. Sud, développement et développement durable : l’apport de l’économie politique.  VertigO- la revue électronique en sciences de l'environnement [En ligne], 7-2 | Septembre 2006, mis en ligne le 08 septembre 2006, consulté le 24 mars 2025. URL : http://journals.openedition.org/vertigo/2287</w:t>
      </w:r>
    </w:p>
  </w:footnote>
  <w:footnote w:id="70">
    <w:p w:rsidR="0083519B" w:rsidRPr="0054641A" w:rsidRDefault="0083519B" w:rsidP="008018BA">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En 1987, la Commission des Nations Unies sur l’Environnement et le Développement (World Commission on Environment and Development, WCED) publiait le Rapport Brundtland, du nom de sa présidente, Gro Harlem Brundland, et intitulé « Our Common Future ». Ce document est devenu la conception directrice du développement durable tel qu’on l’entend aujourd’hui encore.</w:t>
      </w:r>
    </w:p>
  </w:footnote>
  <w:footnote w:id="71">
    <w:p w:rsidR="0083519B" w:rsidRPr="0054641A" w:rsidRDefault="0083519B" w:rsidP="008018BA">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Belkacem Ouchene et Aurore Moroncini. De la durabilité à la responsabilité envers les générations futures. Working paper CIRIEC N° 2016/02. 28 p. </w:t>
      </w:r>
    </w:p>
  </w:footnote>
  <w:footnote w:id="72">
    <w:p w:rsidR="0083519B" w:rsidRPr="0054641A" w:rsidRDefault="0083519B" w:rsidP="008018BA">
      <w:pPr>
        <w:pStyle w:val="Notedebasdepage"/>
        <w:jc w:val="both"/>
        <w:rPr>
          <w:rFonts w:ascii="Tahoma" w:hAnsi="Tahoma" w:cs="Tahoma"/>
          <w:highlight w:val="yellow"/>
        </w:rPr>
      </w:pPr>
      <w:r w:rsidRPr="0054641A">
        <w:rPr>
          <w:rStyle w:val="Appelnotedebasdep"/>
          <w:rFonts w:ascii="Tahoma" w:hAnsi="Tahoma" w:cs="Tahoma"/>
        </w:rPr>
        <w:footnoteRef/>
      </w:r>
      <w:r w:rsidRPr="0054641A">
        <w:rPr>
          <w:rFonts w:ascii="Tahoma" w:hAnsi="Tahoma" w:cs="Tahoma"/>
        </w:rPr>
        <w:t xml:space="preserve"> En rhétorique, un oxymore ou oxymoron, est une figure de style qui vise à rapprocher deux termes (le plus souvent un nom et un adjectif) que leurs sens s'éloignent, dans une formule en apparence contradictoire, comme « une obscure clarté » (Corneille) ou la « lumière noire » émise par les lampes de Wood.</w:t>
      </w:r>
    </w:p>
  </w:footnote>
  <w:footnote w:id="73">
    <w:p w:rsidR="0083519B" w:rsidRPr="0054641A" w:rsidRDefault="0083519B" w:rsidP="008018BA">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Le pléonasme est une figure de style d'insistance qui consiste à rapprocher deux mots, groupes de mots ou expressions qui ont des sens répétitifs dans un but stylistique. On peut le retrouver dans différents types de textes. « Le sang, à l'intérieur de ses veines, était traduit en train de bouillir. »</w:t>
      </w:r>
    </w:p>
  </w:footnote>
  <w:footnote w:id="74">
    <w:p w:rsidR="0083519B" w:rsidRPr="0054641A" w:rsidRDefault="0083519B" w:rsidP="008018BA">
      <w:pPr>
        <w:pStyle w:val="Notedebasdepage"/>
        <w:ind w:left="284" w:hanging="284"/>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Belkacem Ouchene et Aurore Moroncini. De la durabilité à la responsabilité envers les générations futures. Working paper CIRIEC N° 2016/02. P : 17.  </w:t>
      </w:r>
    </w:p>
  </w:footnote>
  <w:footnote w:id="75">
    <w:p w:rsidR="0083519B" w:rsidRPr="0054641A" w:rsidRDefault="0083519B" w:rsidP="008018BA">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Ibid.</w:t>
      </w:r>
    </w:p>
  </w:footnote>
  <w:footnote w:id="76">
    <w:p w:rsidR="0083519B" w:rsidRPr="0054641A" w:rsidRDefault="0083519B" w:rsidP="008018BA">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Priscilla GAREAU. Approches de gestion durable et démocratique des forêts dans le monde.  VertigO - la revue électronique en sciences de l'environnement [Online], 6-2 | Septembre 2005, posto online no dia 01 setembro 2005, consultado o 24 março 2025. URL : http://journals.openedition.org/vertigo/4244; DOI: https://doi.org/10.4000/vertigo.4244</w:t>
      </w:r>
    </w:p>
  </w:footnote>
  <w:footnote w:id="77">
    <w:p w:rsidR="0083519B" w:rsidRPr="0054641A" w:rsidRDefault="0083519B" w:rsidP="009C7D13">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Forum des Nations Unies sur les forêts. Neuvième session. 2e et 3e séances – matin et après-midi.  L’Organisation pour l’agriculture et l’alimentation (FAO) lance son rapport biennal. Situation des forêts du monde. 2011</w:t>
      </w:r>
    </w:p>
  </w:footnote>
  <w:footnote w:id="78">
    <w:p w:rsidR="0083519B" w:rsidRPr="0054641A" w:rsidRDefault="0083519B" w:rsidP="008018BA">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FRA. 2015. Termes et Définitions. Document de travail de l’évaluation des ressources forestières 180. Organisation des Nations Unies pour l’alimentation et l’agriculture Rome, 2012, P : 4  </w:t>
      </w:r>
    </w:p>
  </w:footnote>
  <w:footnote w:id="79">
    <w:p w:rsidR="0083519B" w:rsidRPr="0054641A" w:rsidRDefault="0083519B" w:rsidP="008018BA">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Le Mouvement mondial pour les forêts tropicales (WRM) est un organisme international dédié aux problématiques des forêts et des plantations. A travers son travail, le WRM promeut la garantie et le respect des droits des communautés locales sur leurs forêts et leurs territoires. Le WRM est membre actif d’un mouvement international pour le changement social qui vise à assurer la justice sociale et de l’environnement.  </w:t>
      </w:r>
    </w:p>
  </w:footnote>
  <w:footnote w:id="80">
    <w:p w:rsidR="0083519B" w:rsidRPr="0054641A" w:rsidRDefault="0083519B" w:rsidP="008018BA">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Derrière la définition de la forêt par la FAO des tromperies et des destructions Compilation d'articles du bulletin WRM dans le cadre du 21 mars - Journée internationale des Nations Unies sur les forêts. MOUVEMENT MONDIAL P</w:t>
      </w:r>
      <w:r>
        <w:rPr>
          <w:rFonts w:ascii="Tahoma" w:hAnsi="Tahoma" w:cs="Tahoma"/>
        </w:rPr>
        <w:t>O</w:t>
      </w:r>
      <w:r w:rsidRPr="0054641A">
        <w:rPr>
          <w:rFonts w:ascii="Tahoma" w:hAnsi="Tahoma" w:cs="Tahoma"/>
        </w:rPr>
        <w:t>UR LES FORËTS TROPICALES.  2018</w:t>
      </w:r>
    </w:p>
  </w:footnote>
  <w:footnote w:id="81">
    <w:p w:rsidR="0083519B" w:rsidRPr="0054641A" w:rsidRDefault="0083519B" w:rsidP="008018BA">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Lefeuvre, Jean-Claude. “De la protection de la nature à la gestion du patrimoine naturel”. Patrimoines en folie, edited by Henri Pierre Jeudy, Éditions de la Maison des sciences de l’homme, 1990, https://doi.org/10.4000/books.editionsmsh.3778. </w:t>
      </w:r>
    </w:p>
  </w:footnote>
  <w:footnote w:id="82">
    <w:p w:rsidR="0083519B" w:rsidRPr="0054641A" w:rsidRDefault="0083519B" w:rsidP="008018BA">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Le GATT n'a pas connu le succès escompté et a disparu le 31 décembre 1994 avec la mise en place de l'Organisation Mondiale du Commerce (OMC) par les accords de Marrakech du 15 avril 1994. L'OMC est venue combler certaines faiblesses du GATT de 1947 et constitue une véritable rupture comparée à celui-ci.  </w:t>
      </w:r>
    </w:p>
  </w:footnote>
  <w:footnote w:id="83">
    <w:p w:rsidR="0083519B" w:rsidRPr="0054641A" w:rsidRDefault="0083519B" w:rsidP="008018BA">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FAO. 2001. Evaluation des ressources forestières mondiales 2000: rapport principal. Etude FAO: Forêts n° 140. Rome, FAO (également disponible sur www.fao.org/forestry/fo/fra/main/index.jsp.</w:t>
      </w:r>
    </w:p>
  </w:footnote>
  <w:footnote w:id="84">
    <w:p w:rsidR="0083519B" w:rsidRPr="00D103D3" w:rsidRDefault="0083519B" w:rsidP="008018BA">
      <w:pPr>
        <w:pStyle w:val="Notedebasdepage"/>
        <w:rPr>
          <w:rFonts w:ascii="Tahoma" w:hAnsi="Tahoma" w:cs="Tahoma"/>
          <w:color w:val="000000" w:themeColor="text1"/>
        </w:rPr>
      </w:pPr>
      <w:r w:rsidRPr="0054641A">
        <w:rPr>
          <w:rStyle w:val="Appelnotedebasdep"/>
          <w:rFonts w:ascii="Tahoma" w:hAnsi="Tahoma" w:cs="Tahoma"/>
        </w:rPr>
        <w:footnoteRef/>
      </w:r>
      <w:r w:rsidRPr="00D103D3">
        <w:rPr>
          <w:rFonts w:ascii="Tahoma" w:hAnsi="Tahoma" w:cs="Tahoma"/>
        </w:rPr>
        <w:t xml:space="preserve"> </w:t>
      </w:r>
      <w:r w:rsidRPr="00D103D3">
        <w:rPr>
          <w:rFonts w:ascii="Tahoma" w:eastAsiaTheme="minorHAnsi" w:hAnsi="Tahoma" w:cs="Tahoma"/>
          <w:color w:val="000000" w:themeColor="text1"/>
          <w:sz w:val="22"/>
          <w:szCs w:val="22"/>
        </w:rPr>
        <w:t xml:space="preserve">Institut Royal des Études Stratégiques (IRES), Les écosystèmes forestiers face au changement climatique : situation et perspectives d’adaptation au Maroc, IRES, Rabat, 1er février 2010, disponible sur: </w:t>
      </w:r>
      <w:hyperlink r:id="rId5" w:tgtFrame="_new" w:history="1">
        <w:r w:rsidRPr="00D103D3">
          <w:rPr>
            <w:rFonts w:ascii="Tahoma" w:eastAsiaTheme="minorHAnsi" w:hAnsi="Tahoma" w:cs="Tahoma"/>
            <w:color w:val="000000" w:themeColor="text1"/>
            <w:sz w:val="22"/>
            <w:szCs w:val="22"/>
          </w:rPr>
          <w:t>https://www.ires.ma/sites/default/files/docs_publications/les_ecosystemes_forestiers_face_au_changement_climatique_-_situation_et_perspectives_dadaptation_au_maroc_0.pdf</w:t>
        </w:r>
      </w:hyperlink>
      <w:r w:rsidRPr="00D103D3">
        <w:rPr>
          <w:rFonts w:ascii="Tahoma" w:eastAsiaTheme="minorHAnsi" w:hAnsi="Tahoma" w:cs="Tahoma"/>
          <w:color w:val="000000" w:themeColor="text1"/>
          <w:sz w:val="22"/>
          <w:szCs w:val="22"/>
        </w:rPr>
        <w:t xml:space="preserve"> (consulté le 14 juillet 2021).</w:t>
      </w:r>
    </w:p>
  </w:footnote>
  <w:footnote w:id="85">
    <w:p w:rsidR="0083519B" w:rsidRPr="00726C67" w:rsidRDefault="0083519B" w:rsidP="00D103D3">
      <w:pPr>
        <w:pStyle w:val="Notedebasdepage"/>
        <w:jc w:val="both"/>
        <w:rPr>
          <w:rFonts w:ascii="Tahoma" w:hAnsi="Tahoma" w:cs="Tahoma"/>
        </w:rPr>
      </w:pPr>
      <w:r w:rsidRPr="00726C67">
        <w:rPr>
          <w:rFonts w:ascii="Tahoma" w:hAnsi="Tahoma" w:cs="Tahoma"/>
          <w:vertAlign w:val="superscript"/>
        </w:rPr>
        <w:footnoteRef/>
      </w:r>
      <w:r w:rsidRPr="00726C67">
        <w:rPr>
          <w:rFonts w:ascii="Tahoma" w:hAnsi="Tahoma" w:cs="Tahoma"/>
        </w:rPr>
        <w:t xml:space="preserve"> Mohammed ELLATIFI. L’économie de la forêt et des produits forestiers au Maroc : bilan et perspectives. Thèse de Doctorat en Sciences Economiques. Université Montesquieu Bordeau IV. Juin 2012. P : 14.  </w:t>
      </w:r>
    </w:p>
  </w:footnote>
  <w:footnote w:id="86">
    <w:p w:rsidR="0083519B" w:rsidRPr="00726C67" w:rsidRDefault="0083519B">
      <w:pPr>
        <w:pStyle w:val="Notedebasdepage"/>
        <w:rPr>
          <w:rFonts w:ascii="Tahoma" w:hAnsi="Tahoma" w:cs="Tahoma"/>
        </w:rPr>
      </w:pPr>
      <w:r w:rsidRPr="00726C67">
        <w:rPr>
          <w:rStyle w:val="Appelnotedebasdep"/>
          <w:rFonts w:ascii="Tahoma" w:hAnsi="Tahoma" w:cs="Tahoma"/>
        </w:rPr>
        <w:footnoteRef/>
      </w:r>
      <w:r w:rsidRPr="00726C67">
        <w:rPr>
          <w:rFonts w:ascii="Tahoma" w:hAnsi="Tahoma" w:cs="Tahoma"/>
        </w:rPr>
        <w:t xml:space="preserve"> Article </w:t>
      </w:r>
      <w:r w:rsidRPr="00726C67">
        <w:rPr>
          <w:rFonts w:ascii="Tahoma" w:hAnsi="Tahoma" w:cs="Tahoma"/>
          <w:b/>
          <w:bCs/>
          <w:i/>
          <w:iCs/>
        </w:rPr>
        <w:t xml:space="preserve">« La désertification gagne de plus en plus de terrain », </w:t>
      </w:r>
      <w:r w:rsidRPr="00726C67">
        <w:rPr>
          <w:rFonts w:ascii="Tahoma" w:hAnsi="Tahoma" w:cs="Tahoma"/>
        </w:rPr>
        <w:t xml:space="preserve">l’Economiste, Edition N°:2087 Le 16/08/2005.  </w:t>
      </w:r>
    </w:p>
  </w:footnote>
  <w:footnote w:id="87">
    <w:p w:rsidR="0083519B" w:rsidRPr="00726C67" w:rsidRDefault="0083519B" w:rsidP="00D103D3">
      <w:pPr>
        <w:pStyle w:val="Notedebasdepage"/>
        <w:jc w:val="both"/>
        <w:rPr>
          <w:rFonts w:ascii="Tahoma" w:hAnsi="Tahoma" w:cs="Tahoma"/>
        </w:rPr>
      </w:pPr>
      <w:r w:rsidRPr="00726C67">
        <w:rPr>
          <w:rFonts w:ascii="Tahoma" w:hAnsi="Tahoma" w:cs="Tahoma"/>
          <w:vertAlign w:val="superscript"/>
        </w:rPr>
        <w:footnoteRef/>
      </w:r>
      <w:r w:rsidRPr="00726C67">
        <w:rPr>
          <w:rFonts w:ascii="Tahoma" w:hAnsi="Tahoma" w:cs="Tahoma"/>
        </w:rPr>
        <w:t xml:space="preserve"> "Abdelmalek Benabid (1952-2016), botaniste et phytoécologue marocain.</w:t>
      </w:r>
    </w:p>
  </w:footnote>
  <w:footnote w:id="88">
    <w:p w:rsidR="0083519B" w:rsidRPr="0054641A" w:rsidRDefault="0083519B" w:rsidP="00D103D3">
      <w:pPr>
        <w:pStyle w:val="Notedebasdepage"/>
        <w:jc w:val="both"/>
        <w:rPr>
          <w:rFonts w:ascii="Tahoma" w:hAnsi="Tahoma" w:cs="Tahoma"/>
        </w:rPr>
      </w:pPr>
      <w:r w:rsidRPr="00726C67">
        <w:rPr>
          <w:rFonts w:ascii="Tahoma" w:hAnsi="Tahoma" w:cs="Tahoma"/>
          <w:vertAlign w:val="superscript"/>
        </w:rPr>
        <w:footnoteRef/>
      </w:r>
      <w:r w:rsidRPr="00726C67">
        <w:rPr>
          <w:rFonts w:ascii="Tahoma" w:hAnsi="Tahoma" w:cs="Tahoma"/>
        </w:rPr>
        <w:t xml:space="preserve"> L’Afrique du Nord face aux menaces écologiques (colloque), actes dirigés et édités par A. BENCHERIFA et W.D. SWEARINGEN, Publications de la Faculté des Lettres et des Sciences Humaines-Rabat, série : colloques et séminaires N° 50, imprimerie Najah El Jadida-Casablanca. P : 115</w:t>
      </w:r>
      <w:r w:rsidRPr="0054641A">
        <w:rPr>
          <w:rFonts w:ascii="Tahoma" w:hAnsi="Tahoma" w:cs="Tahoma"/>
        </w:rPr>
        <w:t xml:space="preserve">  </w:t>
      </w:r>
    </w:p>
  </w:footnote>
  <w:footnote w:id="89">
    <w:p w:rsidR="0083519B" w:rsidRPr="0054641A" w:rsidRDefault="0083519B" w:rsidP="008018BA">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Haut-Commissariat au Plan. Prospective « Maroc 2030 » : gestion durable des ressources naturelles et de la biodiversité au Maroc, rapport préparé par Abdellah LAOUINA professeur à l’université Mohamed 5 pour le compte du Haut-Commissariat au Plan. 2006. P: 3.  </w:t>
      </w:r>
    </w:p>
  </w:footnote>
  <w:footnote w:id="90">
    <w:p w:rsidR="0083519B" w:rsidRPr="0054641A" w:rsidRDefault="0083519B" w:rsidP="008018BA">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Ingénieur forestier, auteur et co-auteur de nombreux ouvrages et publications scientifiques. Il participé à de nombreux projets (FAO, GEF-RIF, ROSELT).  </w:t>
      </w:r>
    </w:p>
  </w:footnote>
  <w:footnote w:id="91">
    <w:p w:rsidR="0083519B" w:rsidRPr="00B94638" w:rsidRDefault="0083519B" w:rsidP="008018BA">
      <w:pPr>
        <w:pStyle w:val="Notedebasdepage"/>
        <w:jc w:val="both"/>
        <w:rPr>
          <w:rFonts w:ascii="Tahoma" w:hAnsi="Tahoma" w:cs="Tahoma"/>
        </w:rPr>
      </w:pPr>
      <w:r w:rsidRPr="00B94638">
        <w:rPr>
          <w:rStyle w:val="Appelnotedebasdep"/>
          <w:rFonts w:ascii="Tahoma" w:hAnsi="Tahoma" w:cs="Tahoma"/>
        </w:rPr>
        <w:footnoteRef/>
      </w:r>
      <w:r w:rsidRPr="00B94638">
        <w:rPr>
          <w:rFonts w:ascii="Tahoma" w:hAnsi="Tahoma" w:cs="Tahoma"/>
        </w:rPr>
        <w:t xml:space="preserve"> Abderrahmane AAFI. Etude de la diversité floristique de l’écosystème du chêne-liège de la forêt de Maamora. Thèse de doctorat, Institut Agronomique et Vétérinaire Hassan II, Rabat- Maroc. 2007. P : 190.  </w:t>
      </w:r>
    </w:p>
  </w:footnote>
  <w:footnote w:id="92">
    <w:p w:rsidR="0083519B" w:rsidRPr="00B94638" w:rsidRDefault="0083519B" w:rsidP="008018BA">
      <w:pPr>
        <w:pStyle w:val="Notedebasdepage"/>
        <w:jc w:val="both"/>
        <w:rPr>
          <w:rFonts w:ascii="Tahoma" w:hAnsi="Tahoma" w:cs="Tahoma"/>
        </w:rPr>
      </w:pPr>
      <w:r w:rsidRPr="00B94638">
        <w:rPr>
          <w:rStyle w:val="Appelnotedebasdep"/>
          <w:rFonts w:ascii="Tahoma" w:hAnsi="Tahoma" w:cs="Tahoma"/>
        </w:rPr>
        <w:footnoteRef/>
      </w:r>
      <w:r w:rsidRPr="00B94638">
        <w:rPr>
          <w:rFonts w:ascii="Tahoma" w:hAnsi="Tahoma" w:cs="Tahoma"/>
        </w:rPr>
        <w:t xml:space="preserve"> ILMEN Rachid et Hassan BENJELLOUN. Les écosystèmes forestiers marocains à l’épreuve des changements climatiques. In, Forêt Méditerranéenne. 2013. XXXIV (3), PP.195-208.  </w:t>
      </w:r>
    </w:p>
  </w:footnote>
  <w:footnote w:id="93">
    <w:p w:rsidR="0083519B" w:rsidRPr="0054641A" w:rsidRDefault="0083519B" w:rsidP="008018BA">
      <w:pPr>
        <w:pStyle w:val="Notedebasdepage"/>
        <w:jc w:val="both"/>
        <w:rPr>
          <w:rFonts w:ascii="Tahoma" w:hAnsi="Tahoma" w:cs="Tahoma"/>
        </w:rPr>
      </w:pPr>
      <w:r w:rsidRPr="00B94638">
        <w:rPr>
          <w:rStyle w:val="Appelnotedebasdep"/>
          <w:rFonts w:ascii="Tahoma" w:hAnsi="Tahoma" w:cs="Tahoma"/>
        </w:rPr>
        <w:footnoteRef/>
      </w:r>
      <w:r w:rsidRPr="00B94638">
        <w:rPr>
          <w:rFonts w:ascii="Tahoma" w:hAnsi="Tahoma" w:cs="Tahoma"/>
        </w:rPr>
        <w:t xml:space="preserve"> Ibid. 2013 ;</w:t>
      </w:r>
    </w:p>
  </w:footnote>
  <w:footnote w:id="94">
    <w:p w:rsidR="0083519B" w:rsidRPr="0054641A" w:rsidRDefault="0083519B" w:rsidP="008018BA">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Mohamed BENZYANE. et all. Les écosystèmes naturels marocains et les changements climatiques : la résilience écologique à l’épreuve, Centre de Recherche Forestière, Collection Maroc Nature. 2010. P : 27.  </w:t>
      </w:r>
    </w:p>
  </w:footnote>
  <w:footnote w:id="95">
    <w:p w:rsidR="0083519B" w:rsidRPr="0054641A" w:rsidRDefault="0083519B" w:rsidP="008018BA">
      <w:pPr>
        <w:pStyle w:val="Notedebasdepage"/>
        <w:rPr>
          <w:rFonts w:ascii="Tahoma" w:hAnsi="Tahoma" w:cs="Tahoma"/>
        </w:rPr>
      </w:pPr>
      <w:r w:rsidRPr="0054641A">
        <w:rPr>
          <w:rStyle w:val="Appelnotedebasdep"/>
          <w:rFonts w:ascii="Tahoma" w:hAnsi="Tahoma" w:cs="Tahoma"/>
        </w:rPr>
        <w:footnoteRef/>
      </w:r>
      <w:r w:rsidRPr="0054641A">
        <w:rPr>
          <w:rFonts w:ascii="Tahoma" w:hAnsi="Tahoma" w:cs="Tahoma"/>
        </w:rPr>
        <w:t xml:space="preserve"> S. LAARIBYA, « Il faut sauver la forêt de la Maâmora (Maroc) », Forêt Méditerranéenne, t. XXVII, n° 1, mars 2006, p. 65-72.</w:t>
      </w:r>
    </w:p>
  </w:footnote>
  <w:footnote w:id="96">
    <w:p w:rsidR="0083519B" w:rsidRPr="00592551" w:rsidRDefault="0083519B" w:rsidP="008018BA">
      <w:pPr>
        <w:pStyle w:val="Notedebasdepage"/>
        <w:jc w:val="both"/>
        <w:rPr>
          <w:rFonts w:ascii="Tahoma" w:hAnsi="Tahoma" w:cs="Tahoma"/>
        </w:rPr>
      </w:pPr>
      <w:r w:rsidRPr="00592551">
        <w:rPr>
          <w:rStyle w:val="Appelnotedebasdep"/>
          <w:rFonts w:ascii="Tahoma" w:hAnsi="Tahoma" w:cs="Tahoma"/>
          <w:color w:val="000000" w:themeColor="text1"/>
        </w:rPr>
        <w:footnoteRef/>
      </w:r>
      <w:r w:rsidRPr="00592551">
        <w:rPr>
          <w:rFonts w:ascii="Tahoma" w:hAnsi="Tahoma" w:cs="Tahoma"/>
          <w:color w:val="000000" w:themeColor="text1"/>
        </w:rPr>
        <w:t xml:space="preserve"> Cf. Article publié sur le journal électronique « Libération » Lundi 22 Mars 2021, intitulé « Issam AHABRI: Il faut rattraper 30 années de dégradation de la forêt ». Consulté le 30 mars 2021 sur l’URL : </w:t>
      </w:r>
      <w:hyperlink r:id="rId6" w:history="1">
        <w:r w:rsidRPr="00592551">
          <w:rPr>
            <w:rStyle w:val="Lienhypertexte1"/>
            <w:rFonts w:ascii="Tahoma" w:hAnsi="Tahoma" w:cs="Tahoma"/>
            <w:color w:val="000000" w:themeColor="text1"/>
            <w:u w:val="none"/>
          </w:rPr>
          <w:t>https://www.libe.ma/Issam-Ahabri-Il-faut-rattraper-30-annees-de-degradation-de-la-foret_a124686.html</w:t>
        </w:r>
      </w:hyperlink>
      <w:r w:rsidRPr="00592551">
        <w:rPr>
          <w:rFonts w:ascii="Tahoma" w:hAnsi="Tahoma" w:cs="Tahoma"/>
        </w:rPr>
        <w:t xml:space="preserve"> </w:t>
      </w:r>
    </w:p>
  </w:footnote>
  <w:footnote w:id="97">
    <w:p w:rsidR="0083519B" w:rsidRPr="0054641A" w:rsidRDefault="0083519B" w:rsidP="008018BA">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IRES. L’avenir des écosystèmes forestiers marocains dans un contexte d’accélération du changement climatique. Rapport de synthèse des travaux de la journée de réflexion prospective. 2024</w:t>
      </w:r>
    </w:p>
  </w:footnote>
  <w:footnote w:id="98">
    <w:p w:rsidR="0083519B" w:rsidRPr="0054641A" w:rsidRDefault="0083519B" w:rsidP="008018BA">
      <w:pPr>
        <w:pStyle w:val="Notedebasdepage"/>
        <w:rPr>
          <w:rFonts w:ascii="Tahoma" w:hAnsi="Tahoma" w:cs="Tahoma"/>
        </w:rPr>
      </w:pPr>
      <w:r w:rsidRPr="0054641A">
        <w:rPr>
          <w:rStyle w:val="Appelnotedebasdep"/>
          <w:rFonts w:ascii="Tahoma" w:hAnsi="Tahoma" w:cs="Tahoma"/>
        </w:rPr>
        <w:footnoteRef/>
      </w:r>
      <w:r w:rsidRPr="0054641A">
        <w:rPr>
          <w:rFonts w:ascii="Tahoma" w:hAnsi="Tahoma" w:cs="Tahoma"/>
        </w:rPr>
        <w:t xml:space="preserve"> Bruno BOIDIN, « Pierre Dardot, Christian Laval, 2014, Commun. Essai sur la révolution au XXe siècle. Paris, La Découverte, 593 pages », Développement durable et territoires [En ligne], Vol.6, n°1 | Mars 2015, mis en ligne le 31 mar</w:t>
      </w:r>
      <w:r>
        <w:rPr>
          <w:rFonts w:ascii="Tahoma" w:hAnsi="Tahoma" w:cs="Tahoma"/>
        </w:rPr>
        <w:t>s 2015, consulté le 25 mars 2024. URL :</w:t>
      </w:r>
      <w:r w:rsidRPr="0054641A">
        <w:rPr>
          <w:rFonts w:ascii="Tahoma" w:hAnsi="Tahoma" w:cs="Tahoma"/>
        </w:rPr>
        <w:t>http://journals.openedition.org/developpementdurable/10838</w:t>
      </w:r>
    </w:p>
  </w:footnote>
  <w:footnote w:id="99">
    <w:p w:rsidR="0083519B" w:rsidRPr="0054641A" w:rsidRDefault="0083519B" w:rsidP="008018BA">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Rémy ALLAIN. Morphologie urbaine : géographie, aménagement, et architecture de la ville. Ed : Armond Colin. 2004. P : 14.  </w:t>
      </w:r>
    </w:p>
  </w:footnote>
  <w:footnote w:id="100">
    <w:p w:rsidR="0083519B" w:rsidRPr="0054641A" w:rsidRDefault="0083519B" w:rsidP="008018BA">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Rapport du Conseil Economique, Social et Environnemental. Conseil Economique, Social et Environnemental. Développement du monde rural. Défis et perspectives. 2017</w:t>
      </w:r>
    </w:p>
  </w:footnote>
  <w:footnote w:id="101">
    <w:p w:rsidR="0083519B" w:rsidRPr="006C61C0" w:rsidRDefault="0083519B" w:rsidP="008018BA">
      <w:pPr>
        <w:spacing w:after="0" w:line="240" w:lineRule="auto"/>
        <w:jc w:val="both"/>
        <w:rPr>
          <w:rFonts w:ascii="Tahoma" w:hAnsi="Tahoma" w:cs="Tahoma"/>
          <w:sz w:val="20"/>
          <w:szCs w:val="20"/>
        </w:rPr>
      </w:pPr>
      <w:r w:rsidRPr="0054641A">
        <w:rPr>
          <w:rStyle w:val="Appelnotedebasdep"/>
          <w:rFonts w:ascii="Tahoma" w:hAnsi="Tahoma" w:cs="Tahoma"/>
          <w:sz w:val="20"/>
          <w:szCs w:val="20"/>
        </w:rPr>
        <w:footnoteRef/>
      </w:r>
      <w:r>
        <w:rPr>
          <w:rFonts w:ascii="Tahoma" w:hAnsi="Tahoma" w:cs="Tahoma"/>
          <w:sz w:val="20"/>
          <w:szCs w:val="20"/>
        </w:rPr>
        <w:t xml:space="preserve"> CRUTZEN, Paul J.</w:t>
      </w:r>
      <w:r w:rsidRPr="0054641A">
        <w:rPr>
          <w:rFonts w:ascii="Tahoma" w:hAnsi="Tahoma" w:cs="Tahoma"/>
          <w:sz w:val="20"/>
          <w:szCs w:val="20"/>
        </w:rPr>
        <w:t>"The Anthropocene". In EHLERS, E</w:t>
      </w:r>
      <w:r>
        <w:rPr>
          <w:rFonts w:ascii="Tahoma" w:hAnsi="Tahoma" w:cs="Tahoma"/>
          <w:sz w:val="20"/>
          <w:szCs w:val="20"/>
        </w:rPr>
        <w:t xml:space="preserve">ckart &amp; KRAFFT, Thomas (dir.). </w:t>
      </w:r>
      <w:r w:rsidRPr="0054641A">
        <w:rPr>
          <w:rFonts w:ascii="Tahoma" w:hAnsi="Tahoma" w:cs="Tahoma"/>
          <w:sz w:val="20"/>
          <w:szCs w:val="20"/>
        </w:rPr>
        <w:t>Earth Sys</w:t>
      </w:r>
      <w:r>
        <w:rPr>
          <w:rFonts w:ascii="Tahoma" w:hAnsi="Tahoma" w:cs="Tahoma"/>
          <w:sz w:val="20"/>
          <w:szCs w:val="20"/>
        </w:rPr>
        <w:t>tem Science in the Anthropocene</w:t>
      </w:r>
      <w:r w:rsidRPr="0054641A">
        <w:rPr>
          <w:rFonts w:ascii="Tahoma" w:hAnsi="Tahoma" w:cs="Tahoma"/>
          <w:sz w:val="20"/>
          <w:szCs w:val="20"/>
        </w:rPr>
        <w:t>. Berlin : Springer, 2006, pp. 13-18.</w:t>
      </w:r>
    </w:p>
  </w:footnote>
  <w:footnote w:id="102">
    <w:p w:rsidR="0083519B" w:rsidRPr="0054641A" w:rsidRDefault="0083519B" w:rsidP="008018BA">
      <w:pPr>
        <w:pStyle w:val="Notedebasdepage"/>
        <w:jc w:val="both"/>
        <w:rPr>
          <w:rFonts w:ascii="Tahoma" w:hAnsi="Tahoma" w:cs="Tahoma"/>
        </w:rPr>
      </w:pPr>
      <w:r w:rsidRPr="0054641A">
        <w:rPr>
          <w:rStyle w:val="Appelnotedebasdep"/>
          <w:rFonts w:ascii="Tahoma" w:hAnsi="Tahoma" w:cs="Tahoma"/>
        </w:rPr>
        <w:footnoteRef/>
      </w:r>
      <w:r>
        <w:rPr>
          <w:rFonts w:ascii="Tahoma" w:hAnsi="Tahoma" w:cs="Tahoma"/>
        </w:rPr>
        <w:t xml:space="preserve"> NICOLESCU, Basarab. </w:t>
      </w:r>
      <w:r w:rsidRPr="0054641A">
        <w:rPr>
          <w:rFonts w:ascii="Tahoma" w:hAnsi="Tahoma" w:cs="Tahoma"/>
        </w:rPr>
        <w:t xml:space="preserve">La </w:t>
      </w:r>
      <w:r>
        <w:rPr>
          <w:rFonts w:ascii="Tahoma" w:hAnsi="Tahoma" w:cs="Tahoma"/>
        </w:rPr>
        <w:t>transdisciplinarité : manifeste</w:t>
      </w:r>
      <w:r w:rsidRPr="0054641A">
        <w:rPr>
          <w:rFonts w:ascii="Tahoma" w:hAnsi="Tahoma" w:cs="Tahoma"/>
        </w:rPr>
        <w:t>. Paris : Éditions du Rocher, 1996, 231 p.</w:t>
      </w:r>
    </w:p>
  </w:footnote>
  <w:footnote w:id="103">
    <w:p w:rsidR="0083519B" w:rsidRPr="0054641A" w:rsidRDefault="0083519B" w:rsidP="008018BA">
      <w:pPr>
        <w:pStyle w:val="Notedebasdepage"/>
        <w:jc w:val="both"/>
        <w:rPr>
          <w:rFonts w:ascii="Tahoma" w:hAnsi="Tahoma" w:cs="Tahoma"/>
        </w:rPr>
      </w:pPr>
      <w:r w:rsidRPr="0054641A">
        <w:rPr>
          <w:rStyle w:val="Appelnotedebasdep"/>
          <w:rFonts w:ascii="Tahoma" w:hAnsi="Tahoma" w:cs="Tahoma"/>
        </w:rPr>
        <w:footnoteRef/>
      </w:r>
      <w:r>
        <w:rPr>
          <w:rFonts w:ascii="Tahoma" w:hAnsi="Tahoma" w:cs="Tahoma"/>
        </w:rPr>
        <w:t xml:space="preserve"> HOLLING, Crawford Stanley</w:t>
      </w:r>
      <w:r w:rsidRPr="0054641A">
        <w:rPr>
          <w:rFonts w:ascii="Tahoma" w:hAnsi="Tahoma" w:cs="Tahoma"/>
        </w:rPr>
        <w:t>. "Resilience and sta</w:t>
      </w:r>
      <w:r>
        <w:rPr>
          <w:rFonts w:ascii="Tahoma" w:hAnsi="Tahoma" w:cs="Tahoma"/>
        </w:rPr>
        <w:t xml:space="preserve">bility of ecological systems". </w:t>
      </w:r>
      <w:r w:rsidRPr="0054641A">
        <w:rPr>
          <w:rFonts w:ascii="Tahoma" w:hAnsi="Tahoma" w:cs="Tahoma"/>
        </w:rPr>
        <w:t>Annual Review of Ecology and Systematics, 1973, vol. 4, pp. 1-23.</w:t>
      </w:r>
    </w:p>
  </w:footnote>
  <w:footnote w:id="104">
    <w:p w:rsidR="0083519B" w:rsidRPr="0054641A" w:rsidRDefault="0083519B" w:rsidP="008018BA">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BERKES, Fikret &amp; FOLKE, Carl (dir.). Linking Social and Ecological Systems : Management Practices and Social Mechanisms for Building Resilience. Cambridge : Cambridge University Press, 1998, 459 p.</w:t>
      </w:r>
    </w:p>
  </w:footnote>
  <w:footnote w:id="105">
    <w:p w:rsidR="0083519B" w:rsidRPr="0054641A" w:rsidRDefault="0083519B" w:rsidP="008018BA">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Étienne PIGUET.  Les théories des migrations. Synthèse de la prise de décision individuelle. Revue européenne des migrations internationales, vol. 29 - n°3 | 2013, 141-161.</w:t>
      </w:r>
    </w:p>
  </w:footnote>
  <w:footnote w:id="106">
    <w:p w:rsidR="0083519B" w:rsidRPr="0054641A" w:rsidRDefault="0083519B" w:rsidP="008018BA">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David Brian GRIGG et Ernst Georg RAVENSTEIN. Les « lois de la migration », Journal of Historical Geography, Volume 3, numéro 1, 1977.  Pages 41-54.  https://doi.org/10.1016/0305-7488(77)90143-8.</w:t>
      </w:r>
    </w:p>
  </w:footnote>
  <w:footnote w:id="107">
    <w:p w:rsidR="0083519B" w:rsidRPr="0054641A" w:rsidRDefault="0083519B" w:rsidP="008018BA">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De Jong, Gordon F., et al. “International and Internal Migration Decision Making: A Value-Expectancy Based Analytical Framework of Intentions to Move from a Rural Philippine Province.” The International Migration Review, vol. 17, no. 3, 1983, pp. 470–84. JSTOR, https://doi.org/10.2307/2545798. Accessed 25 Mar. 2025.</w:t>
      </w:r>
    </w:p>
  </w:footnote>
  <w:footnote w:id="108">
    <w:p w:rsidR="0083519B" w:rsidRPr="0054641A" w:rsidRDefault="0083519B" w:rsidP="008018BA">
      <w:pPr>
        <w:pStyle w:val="Notedebasdepage"/>
        <w:jc w:val="both"/>
        <w:rPr>
          <w:rFonts w:ascii="Tahoma" w:hAnsi="Tahoma" w:cs="Tahoma"/>
        </w:rPr>
      </w:pPr>
      <w:r>
        <w:rPr>
          <w:rStyle w:val="Appelnotedebasdep"/>
        </w:rPr>
        <w:footnoteRef/>
      </w:r>
      <w:r>
        <w:t xml:space="preserve"> </w:t>
      </w:r>
      <w:r w:rsidRPr="0054641A">
        <w:rPr>
          <w:rFonts w:ascii="Tahoma" w:hAnsi="Tahoma" w:cs="Tahoma"/>
        </w:rPr>
        <w:t>Jacques COENEN-HUTHER. Raymond Boudon et la compréhension sociologique. Revue européenne des sciences sociales, 57-1 | 2019, 157-167.</w:t>
      </w:r>
    </w:p>
    <w:p w:rsidR="0083519B" w:rsidRDefault="0083519B" w:rsidP="008018BA">
      <w:pPr>
        <w:pStyle w:val="Notedebasdepage"/>
      </w:pPr>
    </w:p>
  </w:footnote>
  <w:footnote w:id="109">
    <w:p w:rsidR="0083519B" w:rsidRDefault="0083519B" w:rsidP="00080187">
      <w:pPr>
        <w:pStyle w:val="Notedebasdepage"/>
      </w:pPr>
      <w:r>
        <w:rPr>
          <w:rStyle w:val="Appelnotedebasdep"/>
        </w:rPr>
        <w:footnoteRef/>
      </w:r>
      <w:r>
        <w:t xml:space="preserve"> </w:t>
      </w:r>
      <w:r>
        <w:rPr>
          <w:rFonts w:ascii="Tahoma" w:hAnsi="Tahoma" w:cs="Tahoma"/>
        </w:rPr>
        <w:t>Ibid.</w:t>
      </w:r>
      <w:r w:rsidRPr="0054641A">
        <w:rPr>
          <w:rFonts w:ascii="Tahoma" w:hAnsi="Tahoma" w:cs="Tahoma"/>
        </w:rPr>
        <w:t xml:space="preserve"> 15</w:t>
      </w:r>
      <w:r>
        <w:rPr>
          <w:rFonts w:ascii="Tahoma" w:hAnsi="Tahoma" w:cs="Tahoma"/>
        </w:rPr>
        <w:t>7</w:t>
      </w:r>
      <w:r w:rsidRPr="0054641A">
        <w:rPr>
          <w:rFonts w:ascii="Tahoma" w:hAnsi="Tahoma" w:cs="Tahoma"/>
        </w:rPr>
        <w:t>.</w:t>
      </w:r>
    </w:p>
  </w:footnote>
  <w:footnote w:id="110">
    <w:p w:rsidR="0083519B" w:rsidRPr="0054641A" w:rsidRDefault="0083519B" w:rsidP="008018BA">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SPSS est un outil puissant et polyvalent pour l'analyse de données, particulièrement adapté aux utilisateurs qui recherchent une interface graphique intuitive et une large gamme de fonctionnalités statistiques.  Cependant, il est important de considérer son coût et de peser les avantages et les inconvénients par rapport aux alternatives, en fonction de vos besoins spécifiques.</w:t>
      </w:r>
    </w:p>
  </w:footnote>
  <w:footnote w:id="111">
    <w:p w:rsidR="0083519B" w:rsidRPr="0054641A" w:rsidRDefault="0083519B" w:rsidP="008018BA">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ArcGIS est une plateforme SIG complète et puissante qui permet de gérer, d'analyser et de visualiser des données géographiques. Il est utilisé dans de nombreux domaines pour résoudre des problèmes complexes qui impliquent la localisation et la relation entre les objets géographiques. Bien qu'il soit coûteux et qu'il nécessite une formation pour être maîtrisé, ArcGIS est un outil essentiel pour de nombreuses organisations et professionnels qui travaillent avec des données géographiques.</w:t>
      </w:r>
    </w:p>
  </w:footnote>
  <w:footnote w:id="112">
    <w:p w:rsidR="0083519B" w:rsidRPr="0054641A" w:rsidRDefault="0083519B" w:rsidP="00062602">
      <w:pPr>
        <w:jc w:val="both"/>
        <w:rPr>
          <w:rFonts w:ascii="Tahoma" w:eastAsia="Times New Roman" w:hAnsi="Tahoma" w:cs="Tahoma"/>
          <w:sz w:val="20"/>
          <w:szCs w:val="20"/>
        </w:rPr>
      </w:pPr>
      <w:r w:rsidRPr="0054641A">
        <w:rPr>
          <w:rStyle w:val="Appelnotedebasdep"/>
          <w:rFonts w:ascii="Tahoma" w:hAnsi="Tahoma" w:cs="Tahoma"/>
          <w:sz w:val="20"/>
          <w:szCs w:val="20"/>
        </w:rPr>
        <w:footnoteRef/>
      </w:r>
      <w:r w:rsidRPr="0054641A">
        <w:rPr>
          <w:rFonts w:ascii="Tahoma" w:hAnsi="Tahoma" w:cs="Tahoma"/>
          <w:sz w:val="20"/>
          <w:szCs w:val="20"/>
        </w:rPr>
        <w:t xml:space="preserve"> </w:t>
      </w:r>
      <w:r w:rsidRPr="0054641A">
        <w:rPr>
          <w:rFonts w:ascii="Tahoma" w:eastAsia="Times New Roman" w:hAnsi="Tahoma" w:cs="Tahoma"/>
          <w:sz w:val="20"/>
          <w:szCs w:val="20"/>
        </w:rPr>
        <w:t>Généticien indien et administrateur international, réputé pour son rôle clé dans la « révolution verte » en Inde.</w:t>
      </w:r>
    </w:p>
    <w:p w:rsidR="0083519B" w:rsidRPr="0054641A" w:rsidRDefault="0083519B">
      <w:pPr>
        <w:pStyle w:val="Notedebasdepage"/>
        <w:rPr>
          <w:rFonts w:ascii="Tahoma" w:hAnsi="Tahoma" w:cs="Tahoma"/>
        </w:rPr>
      </w:pPr>
    </w:p>
  </w:footnote>
  <w:footnote w:id="113">
    <w:p w:rsidR="0083519B" w:rsidRPr="0054641A" w:rsidRDefault="0083519B" w:rsidP="00A939EC">
      <w:pPr>
        <w:pStyle w:val="Notedebasdepage"/>
        <w:jc w:val="both"/>
        <w:rPr>
          <w:rFonts w:ascii="Tahoma" w:hAnsi="Tahoma" w:cs="Tahoma"/>
        </w:rPr>
      </w:pPr>
      <w:r w:rsidRPr="00C90DDD">
        <w:rPr>
          <w:rStyle w:val="Appelnotedebasdep"/>
          <w:rFonts w:ascii="Tahoma" w:hAnsi="Tahoma" w:cs="Tahoma"/>
        </w:rPr>
        <w:footnoteRef/>
      </w:r>
      <w:r w:rsidRPr="00C90DDD">
        <w:rPr>
          <w:rFonts w:ascii="Tahoma" w:hAnsi="Tahoma" w:cs="Tahoma"/>
        </w:rPr>
        <w:t xml:space="preserve"> Abdelmalek BENABID. Flore</w:t>
      </w:r>
      <w:r w:rsidRPr="0054641A">
        <w:rPr>
          <w:rFonts w:ascii="Tahoma" w:hAnsi="Tahoma" w:cs="Tahoma"/>
        </w:rPr>
        <w:t xml:space="preserve"> et écosystèmes du Maroc : évaluation et priorités pour la   conservation. Ed : Ibis Press. Paris -- Librairie et éd. Kalila Wa Dimna. Rabat 2000</w:t>
      </w:r>
    </w:p>
  </w:footnote>
  <w:footnote w:id="114">
    <w:p w:rsidR="0083519B" w:rsidRPr="0054641A" w:rsidRDefault="0083519B" w:rsidP="00A939EC">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Ministère de l'Agriculture, de la Pêche Maritime, du Développement Rural et des Eaux et Forêts. Rapport sur l'état des forêts au Maroc. 2019. Rabat, Maroc.</w:t>
      </w:r>
    </w:p>
  </w:footnote>
  <w:footnote w:id="115">
    <w:p w:rsidR="0083519B" w:rsidRPr="0054641A" w:rsidRDefault="0083519B" w:rsidP="00A939EC">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Haut-Commissariat au Plan. Rapport sur l'environnement. 2021. Rabat, Maroc.</w:t>
      </w:r>
    </w:p>
  </w:footnote>
  <w:footnote w:id="116">
    <w:p w:rsidR="0083519B" w:rsidRPr="0054641A" w:rsidRDefault="0083519B" w:rsidP="00A939EC">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MEA « Millennium Ecosystem Assessment ». Ecosystems and Human Well-being: Synthesis. 2005. Island Press.</w:t>
      </w:r>
    </w:p>
  </w:footnote>
  <w:footnote w:id="117">
    <w:p w:rsidR="0083519B" w:rsidRPr="0054641A" w:rsidRDefault="0083519B" w:rsidP="00A939EC">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Agence Nationale des Eaux et Forêts. 2020. Stratégie Forêts du Maroc 2020-2030. Rabat, Maroc.</w:t>
      </w:r>
    </w:p>
  </w:footnote>
  <w:footnote w:id="118">
    <w:p w:rsidR="0083519B" w:rsidRPr="0054641A" w:rsidRDefault="0083519B" w:rsidP="000A7532">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Clément, FLORENCE, and Mohamed AMEZIANE. "La forêt face aux enjeux du développement durable au Maroc." Revue de Géographie Alpine, vol. 98, no. 1, 2010, pp. 1-24.</w:t>
      </w:r>
    </w:p>
  </w:footnote>
  <w:footnote w:id="119">
    <w:p w:rsidR="0083519B" w:rsidRPr="00BB5E2E" w:rsidRDefault="0083519B" w:rsidP="00BB5E2E">
      <w:pPr>
        <w:pStyle w:val="Notedebasdepage"/>
        <w:rPr>
          <w:rFonts w:ascii="Tahoma" w:hAnsi="Tahoma" w:cs="Tahoma"/>
          <w:color w:val="000000" w:themeColor="text1"/>
        </w:rPr>
      </w:pPr>
      <w:r w:rsidRPr="00BB5E2E">
        <w:rPr>
          <w:rStyle w:val="Appelnotedebasdep"/>
          <w:rFonts w:ascii="Tahoma" w:hAnsi="Tahoma" w:cs="Tahoma"/>
        </w:rPr>
        <w:footnoteRef/>
      </w:r>
      <w:r w:rsidRPr="00BB5E2E">
        <w:rPr>
          <w:rFonts w:ascii="Tahoma" w:hAnsi="Tahoma" w:cs="Tahoma"/>
        </w:rPr>
        <w:t xml:space="preserve"> </w:t>
      </w:r>
      <w:r w:rsidRPr="00BB5E2E">
        <w:rPr>
          <w:rStyle w:val="lev"/>
          <w:rFonts w:ascii="Tahoma" w:hAnsi="Tahoma" w:cs="Tahoma"/>
          <w:b w:val="0"/>
          <w:bCs w:val="0"/>
        </w:rPr>
        <w:t>Adil ROUMANE, Mohamed ADERGHAL, et Lhoussaine BENTALEB.</w:t>
      </w:r>
      <w:r w:rsidRPr="00BB5E2E">
        <w:rPr>
          <w:rFonts w:ascii="Tahoma" w:hAnsi="Tahoma" w:cs="Tahoma"/>
        </w:rPr>
        <w:t xml:space="preserve"> </w:t>
      </w:r>
      <w:r w:rsidRPr="00BB5E2E">
        <w:rPr>
          <w:rStyle w:val="Accentuation"/>
          <w:rFonts w:ascii="Tahoma" w:hAnsi="Tahoma" w:cs="Tahoma"/>
          <w:i w:val="0"/>
          <w:iCs w:val="0"/>
        </w:rPr>
        <w:t xml:space="preserve">La gestion des ressources </w:t>
      </w:r>
      <w:r w:rsidRPr="00BB5E2E">
        <w:rPr>
          <w:rStyle w:val="Accentuation"/>
          <w:rFonts w:ascii="Tahoma" w:hAnsi="Tahoma" w:cs="Tahoma"/>
          <w:i w:val="0"/>
          <w:iCs w:val="0"/>
          <w:color w:val="000000" w:themeColor="text1"/>
        </w:rPr>
        <w:t>forestières au Maroc : Une approche par le capital social</w:t>
      </w:r>
      <w:r w:rsidRPr="00BB5E2E">
        <w:rPr>
          <w:rFonts w:ascii="Tahoma" w:hAnsi="Tahoma" w:cs="Tahoma"/>
          <w:color w:val="000000" w:themeColor="text1"/>
        </w:rPr>
        <w:t>. 2015, sur l’URL :</w:t>
      </w:r>
      <w:hyperlink r:id="rId7" w:tgtFrame="_new" w:history="1">
        <w:r w:rsidRPr="00BB5E2E">
          <w:rPr>
            <w:rStyle w:val="Lienhypertexte"/>
            <w:rFonts w:ascii="Tahoma" w:hAnsi="Tahoma" w:cs="Tahoma"/>
            <w:color w:val="000000" w:themeColor="text1"/>
            <w:u w:val="none"/>
          </w:rPr>
          <w:t>https://www.academia.edu/15276524</w:t>
        </w:r>
      </w:hyperlink>
      <w:r w:rsidRPr="00BB5E2E">
        <w:rPr>
          <w:rFonts w:ascii="Tahoma" w:hAnsi="Tahoma" w:cs="Tahoma"/>
          <w:color w:val="000000" w:themeColor="text1"/>
        </w:rPr>
        <w:t>.</w:t>
      </w:r>
    </w:p>
  </w:footnote>
  <w:footnote w:id="120">
    <w:p w:rsidR="0083519B" w:rsidRPr="00BB5E2E" w:rsidRDefault="0083519B" w:rsidP="000A7532">
      <w:pPr>
        <w:pStyle w:val="Notedebasdepage"/>
        <w:jc w:val="both"/>
        <w:rPr>
          <w:rFonts w:ascii="Tahoma" w:hAnsi="Tahoma" w:cs="Tahoma"/>
        </w:rPr>
      </w:pPr>
      <w:r w:rsidRPr="00BB5E2E">
        <w:rPr>
          <w:rStyle w:val="Appelnotedebasdep"/>
          <w:rFonts w:ascii="Tahoma" w:hAnsi="Tahoma" w:cs="Tahoma"/>
        </w:rPr>
        <w:footnoteRef/>
      </w:r>
      <w:r w:rsidRPr="00BB5E2E">
        <w:rPr>
          <w:rFonts w:ascii="Tahoma" w:hAnsi="Tahoma" w:cs="Tahoma"/>
        </w:rPr>
        <w:t xml:space="preserve"> Jules PRETTY, and Daniel SMITH. Social Capital in Biodiversity Conservation. Conservation Biology, vol. 18, no. 3, 2004, pp. 631-638.</w:t>
      </w:r>
    </w:p>
  </w:footnote>
  <w:footnote w:id="121">
    <w:p w:rsidR="0083519B" w:rsidRPr="00BB5E2E" w:rsidRDefault="0083519B" w:rsidP="000A7532">
      <w:pPr>
        <w:pStyle w:val="Notedebasdepage"/>
        <w:jc w:val="both"/>
        <w:rPr>
          <w:rFonts w:ascii="Tahoma" w:hAnsi="Tahoma" w:cs="Tahoma"/>
        </w:rPr>
      </w:pPr>
      <w:r w:rsidRPr="00BB5E2E">
        <w:rPr>
          <w:rStyle w:val="Appelnotedebasdep"/>
          <w:rFonts w:ascii="Tahoma" w:hAnsi="Tahoma" w:cs="Tahoma"/>
        </w:rPr>
        <w:footnoteRef/>
      </w:r>
      <w:r w:rsidRPr="00BB5E2E">
        <w:rPr>
          <w:rFonts w:ascii="Tahoma" w:hAnsi="Tahoma" w:cs="Tahoma"/>
        </w:rPr>
        <w:t xml:space="preserve"> Elinor OSTROM. Governing the Commons : The Evolution of Institutions for Collective Action. Cambridge University Press, 1990.</w:t>
      </w:r>
    </w:p>
  </w:footnote>
  <w:footnote w:id="122">
    <w:p w:rsidR="0083519B" w:rsidRPr="00BB5E2E" w:rsidRDefault="0083519B" w:rsidP="00571B76">
      <w:pPr>
        <w:pStyle w:val="Notedebasdepage"/>
        <w:tabs>
          <w:tab w:val="left" w:pos="1500"/>
        </w:tabs>
        <w:jc w:val="both"/>
        <w:rPr>
          <w:rFonts w:ascii="Tahoma" w:hAnsi="Tahoma" w:cs="Tahoma"/>
        </w:rPr>
      </w:pPr>
      <w:r w:rsidRPr="00BB5E2E">
        <w:rPr>
          <w:rStyle w:val="Appelnotedebasdep"/>
          <w:rFonts w:ascii="Tahoma" w:hAnsi="Tahoma" w:cs="Tahoma"/>
        </w:rPr>
        <w:footnoteRef/>
      </w:r>
      <w:r w:rsidRPr="00BB5E2E">
        <w:rPr>
          <w:rFonts w:ascii="Tahoma" w:hAnsi="Tahoma" w:cs="Tahoma"/>
        </w:rPr>
        <w:t xml:space="preserve"> Ibid</w:t>
      </w:r>
      <w:r w:rsidRPr="00BB5E2E">
        <w:rPr>
          <w:rFonts w:ascii="Tahoma" w:hAnsi="Tahoma" w:cs="Tahoma"/>
        </w:rPr>
        <w:tab/>
      </w:r>
    </w:p>
  </w:footnote>
  <w:footnote w:id="123">
    <w:p w:rsidR="0083519B" w:rsidRPr="0054641A" w:rsidRDefault="0083519B" w:rsidP="000A7532">
      <w:pPr>
        <w:pStyle w:val="Notedebasdepage"/>
        <w:jc w:val="both"/>
        <w:rPr>
          <w:rFonts w:ascii="Tahoma" w:hAnsi="Tahoma" w:cs="Tahoma"/>
        </w:rPr>
      </w:pPr>
      <w:r w:rsidRPr="00BB5E2E">
        <w:rPr>
          <w:rStyle w:val="Appelnotedebasdep"/>
          <w:rFonts w:ascii="Tahoma" w:hAnsi="Tahoma" w:cs="Tahoma"/>
        </w:rPr>
        <w:footnoteRef/>
      </w:r>
      <w:r w:rsidRPr="00BB5E2E">
        <w:rPr>
          <w:rFonts w:ascii="Tahoma" w:hAnsi="Tahoma" w:cs="Tahoma"/>
        </w:rPr>
        <w:t xml:space="preserve"> Pierre BOURDIEU. The Forms of Capital." Handbook of Theory and Research for the Sociology of Education, edited by J. Richardson, Greenwood Press, 1986, pp. 241-258.</w:t>
      </w:r>
    </w:p>
  </w:footnote>
  <w:footnote w:id="124">
    <w:p w:rsidR="0083519B" w:rsidRPr="0054641A" w:rsidRDefault="0083519B" w:rsidP="000A7532">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Ibid.</w:t>
      </w:r>
    </w:p>
  </w:footnote>
  <w:footnote w:id="125">
    <w:p w:rsidR="0083519B" w:rsidRPr="0054641A" w:rsidRDefault="0083519B" w:rsidP="0097345B">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Frédéric DESCHENAUX et Claude LAFLAMME. Réseau social et capital social : une distinction conceptuelle nécessaire illustrée à l’aide d’une enquête sur l’insertion professionnelle de jeunes Québécois.  Sociologies  [En ligne], Théories et recherches, mis en ligne le 02 juin 2009, consulté le 31 mars 2025. URL : http://journals.openedition.org/sociologies/2902 ; DOI : https://doi.org/10.4000/sociologies.2902</w:t>
      </w:r>
    </w:p>
  </w:footnote>
  <w:footnote w:id="126">
    <w:p w:rsidR="0083519B" w:rsidRPr="0054641A" w:rsidRDefault="0083519B" w:rsidP="000A7532">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La Jemaâ a été considéré comme un symbole de la démocratie locale au Maroc. Des personnages historiques comme Allal al-Fassi ont souligné son rôle en tant qu’organe représentatif des communautés rurales au milieu du XXe siècle. Après l’indépendance du Maroc en 1956, il a été proposé de créer des jma’as de village élus afin d’améliorer la gouvernance et la représentation locales.</w:t>
      </w:r>
    </w:p>
  </w:footnote>
  <w:footnote w:id="127">
    <w:p w:rsidR="0083519B" w:rsidRPr="0054641A" w:rsidRDefault="0083519B" w:rsidP="000A7532">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Mohamed MAHD. Gouvernance locale et participation citoyenne au Maroc : le rôle des Jemaâs. Ed, L'Harmattan, 2019.</w:t>
      </w:r>
    </w:p>
  </w:footnote>
  <w:footnote w:id="128">
    <w:p w:rsidR="0083519B" w:rsidRPr="0054641A" w:rsidRDefault="0083519B" w:rsidP="000A7532">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Elinor OSTROM. Governing the Commons: The Evolution of Institutions for Collective Action. Cambridge University Press, 1990.</w:t>
      </w:r>
    </w:p>
  </w:footnote>
  <w:footnote w:id="129">
    <w:p w:rsidR="0083519B" w:rsidRPr="0054641A" w:rsidRDefault="0083519B" w:rsidP="000A7532">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Étymologiquement le terme Agdal provient de la racine amazighe GDL, qui signifie interdire ou protéger. Historiquement, les Agdals désignent des zones réservées pour la régénération des ressources naturelles, en particulier dans le contexte pastoral. Ainsi, dans la pratique ancestrale marocaine les Agdals sont des systèmes de gestion des terres qui régulent l’accès aux ressources pastorales. Ils fixent des dates d’ouverture et de fermeture pour permettre la régénération des pâturages et d’autres ressources naturelles, garantissant ainsi leur durabilité. Cf. DOMINGUEZ, P. (2013). Agdal, production pastorale et durabilité (Haut Atlas du Maroc). Conférence : Vers une stratégie de mise en œuvre d’une approche de gestion humaine intégrée : Système de gouvernance, Koweït.</w:t>
      </w:r>
    </w:p>
  </w:footnote>
  <w:footnote w:id="130">
    <w:p w:rsidR="0083519B" w:rsidRPr="0054641A" w:rsidRDefault="0083519B" w:rsidP="000A7532">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Arun AGRAWAL. Common Property Resources and Sustainable Livelihoods. World Development, vol. 29, no. 10, 2001, pp. 1649-1662.</w:t>
      </w:r>
    </w:p>
  </w:footnote>
  <w:footnote w:id="131">
    <w:p w:rsidR="0083519B" w:rsidRPr="0054641A" w:rsidRDefault="0083519B" w:rsidP="001772B2">
      <w:pPr>
        <w:pStyle w:val="Notedebasdepage"/>
        <w:rPr>
          <w:rFonts w:ascii="Tahoma" w:hAnsi="Tahoma" w:cs="Tahoma"/>
        </w:rPr>
      </w:pPr>
      <w:r w:rsidRPr="0054641A">
        <w:rPr>
          <w:rStyle w:val="Appelnotedebasdep"/>
          <w:rFonts w:ascii="Tahoma" w:hAnsi="Tahoma" w:cs="Tahoma"/>
        </w:rPr>
        <w:footnoteRef/>
      </w:r>
      <w:r w:rsidRPr="0054641A">
        <w:rPr>
          <w:rFonts w:ascii="Tahoma" w:hAnsi="Tahoma" w:cs="Tahoma"/>
        </w:rPr>
        <w:t xml:space="preserve"> Adil ROUMANE, Mohamed ADERGHAL, et Lhoussaine BENTALEB. La gestion des ressources forestières au Maroc : Une approche par le capital social. 2015, </w:t>
      </w:r>
      <w:r>
        <w:rPr>
          <w:rFonts w:ascii="Tahoma" w:hAnsi="Tahoma" w:cs="Tahoma"/>
        </w:rPr>
        <w:t xml:space="preserve">sur l’URL, </w:t>
      </w:r>
      <w:r w:rsidRPr="0054641A">
        <w:rPr>
          <w:rFonts w:ascii="Tahoma" w:hAnsi="Tahoma" w:cs="Tahoma"/>
        </w:rPr>
        <w:t>https://www.academia.edu/15276524.</w:t>
      </w:r>
    </w:p>
  </w:footnote>
  <w:footnote w:id="132">
    <w:p w:rsidR="0083519B" w:rsidRPr="0054641A" w:rsidRDefault="0083519B" w:rsidP="001772B2">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Grigori LAZAREV. Droit et société au Maghreb : l'exemple du Maroc. CNRS Éditions, 2005.</w:t>
      </w:r>
    </w:p>
  </w:footnote>
  <w:footnote w:id="133">
    <w:p w:rsidR="0083519B" w:rsidRPr="0054641A" w:rsidRDefault="0083519B" w:rsidP="001772B2">
      <w:pPr>
        <w:jc w:val="both"/>
        <w:rPr>
          <w:rFonts w:ascii="Tahoma" w:hAnsi="Tahoma" w:cs="Tahoma"/>
          <w:sz w:val="20"/>
          <w:szCs w:val="20"/>
        </w:rPr>
      </w:pPr>
      <w:r w:rsidRPr="0054641A">
        <w:rPr>
          <w:rStyle w:val="Appelnotedebasdep"/>
          <w:rFonts w:ascii="Tahoma" w:hAnsi="Tahoma" w:cs="Tahoma"/>
          <w:sz w:val="20"/>
          <w:szCs w:val="20"/>
        </w:rPr>
        <w:footnoteRef/>
      </w:r>
      <w:r w:rsidRPr="0054641A">
        <w:rPr>
          <w:rFonts w:ascii="Tahoma" w:hAnsi="Tahoma" w:cs="Tahoma"/>
          <w:sz w:val="20"/>
          <w:szCs w:val="20"/>
        </w:rPr>
        <w:t xml:space="preserve"> Aminata SOUMARE. Gestion des ressources naturelles et développement local au Maroc. L'Harmattan, 1998.</w:t>
      </w:r>
    </w:p>
    <w:p w:rsidR="0083519B" w:rsidRPr="0054641A" w:rsidRDefault="0083519B" w:rsidP="001772B2">
      <w:pPr>
        <w:pStyle w:val="Notedebasdepage"/>
        <w:rPr>
          <w:rFonts w:ascii="Tahoma" w:hAnsi="Tahoma" w:cs="Tahoma"/>
        </w:rPr>
      </w:pPr>
    </w:p>
  </w:footnote>
  <w:footnote w:id="134">
    <w:p w:rsidR="0083519B" w:rsidRPr="0054641A" w:rsidRDefault="0083519B" w:rsidP="000A7532">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Stamm VOLKER. Formaliser les pratiques coutumières.  Études rurales [En ligne], 191 | 2013, mis en ligne le 12 juillet 2015, consulté le 02 avril 2025. URL http://journals.openedition.org/etudesrurales/9839   ; DOI : https://doi.org/10.4000/etudesrurales.9839</w:t>
      </w:r>
    </w:p>
  </w:footnote>
  <w:footnote w:id="135">
    <w:p w:rsidR="0083519B" w:rsidRPr="0054641A" w:rsidRDefault="0083519B" w:rsidP="000A7532">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Laurent AUCLAIR, et al. Un monument pastoral à l’épreuve de la patrimonialisation. L’Agdal du Yagour dans le Haut-Atlas marocain. Effervescence patrimoniale au Sud, edited by Dominique Juhé-Beaulaton et al., IRD Éditions, 2013, https://doi.org/10.4000/books.irdeditions.8819.</w:t>
      </w:r>
    </w:p>
  </w:footnote>
  <w:footnote w:id="136">
    <w:p w:rsidR="0083519B" w:rsidRPr="0054641A" w:rsidRDefault="0083519B" w:rsidP="000A7532">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Pablo DOMINGUEZ. Une approche holistique de l’Agdal du Yagour dans le Haut Atlas de Marrakech.</w:t>
      </w:r>
    </w:p>
    <w:p w:rsidR="0083519B" w:rsidRPr="0054641A" w:rsidRDefault="0083519B" w:rsidP="000A7532">
      <w:pPr>
        <w:pStyle w:val="Notedebasdepage"/>
        <w:jc w:val="both"/>
        <w:rPr>
          <w:rFonts w:ascii="Tahoma" w:hAnsi="Tahoma" w:cs="Tahoma"/>
        </w:rPr>
      </w:pPr>
      <w:r w:rsidRPr="0054641A">
        <w:rPr>
          <w:rFonts w:ascii="Tahoma" w:hAnsi="Tahoma" w:cs="Tahoma"/>
        </w:rPr>
        <w:t>Le poids de l’herbe et le poids de la culture. L. Auclair, M. Alifriqui (dir.). Agdal Patrimoine socioécologique de l’Atlas marocain, IRCAM – IRD (Ed.), pp.297-326, 2012. ffhal-04054103f</w:t>
      </w:r>
    </w:p>
  </w:footnote>
  <w:footnote w:id="137">
    <w:p w:rsidR="0083519B" w:rsidRPr="0054641A" w:rsidRDefault="0083519B" w:rsidP="000A7532">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Denis FLEURDORGE. Rites et rituels dans l’intervention sociale. Presses universitaires de la Méditerranée, 182 p., 2015, Sociologie des imaginaires, 978-2-36781-172-7. ffhal-03050539f</w:t>
      </w:r>
    </w:p>
  </w:footnote>
  <w:footnote w:id="138">
    <w:p w:rsidR="0083519B" w:rsidRPr="0054641A" w:rsidRDefault="0083519B" w:rsidP="000A7532">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Alain BOURBOUZE.  Systèmes d’élevage et production animale dans les steppes du nord de l’Afrique : une relecture de la société pastorale du Maghreb. Institut agronomique méditerranéen de Montpellier (Iamm). Article scientifique de Sécheresse 2006 ; 17 (1-2) : 31-9</w:t>
      </w:r>
    </w:p>
  </w:footnote>
  <w:footnote w:id="139">
    <w:p w:rsidR="0083519B" w:rsidRPr="0054641A" w:rsidRDefault="0083519B" w:rsidP="000A7532">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Hassan RACHIK. Chapitre 11. Jma‘a, tradition et politique. L’esprit du terrain, Centre Jacques-Berque, 2016, https://doi.org/10.4000/books.cjb.816. </w:t>
      </w:r>
    </w:p>
  </w:footnote>
  <w:footnote w:id="140">
    <w:p w:rsidR="0083519B" w:rsidRPr="0054641A" w:rsidRDefault="0083519B" w:rsidP="000A7532">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Valérie ANGEON and Jean-Marc CALLOIS. Fondements théoriques du développement local : quels apports du capital social et de l’économie de proximité ?   . Économie et institutions, 6-7 | 2005, 19-50.</w:t>
      </w:r>
    </w:p>
  </w:footnote>
  <w:footnote w:id="141">
    <w:p w:rsidR="0083519B" w:rsidRPr="0054641A" w:rsidRDefault="0083519B" w:rsidP="000A7532">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Thomas LACROIX. Espace Transnational et Territoires. Les Réseaux Marocains du Développement. Géographie. Université de Poitiers, 2003. Français. 461 p.</w:t>
      </w:r>
    </w:p>
  </w:footnote>
  <w:footnote w:id="142">
    <w:p w:rsidR="0083519B" w:rsidRPr="0054641A" w:rsidRDefault="0083519B" w:rsidP="000A7532">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Wiza ou Touiza (en amazigh : Thuwizi), signifie la coopération et constitue un patrimoine culturel maghrébin dans lequel un groupe de la communauté ou du village se rassemble et coopère afin de contribuer à l'accomplissement d'œuvres caritatives, aider les nécessiteux ou les pauvres, ou construire des constructions.</w:t>
      </w:r>
    </w:p>
  </w:footnote>
  <w:footnote w:id="143">
    <w:p w:rsidR="0083519B" w:rsidRPr="0054641A" w:rsidRDefault="0083519B" w:rsidP="000A7532">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Karima BOUDEDJA. Les acteurs et le développement local : outils et représentations. Cas des territoires ruraux au Maghreb. Géographie. Université Paul Valéry - Montpellier III, 2013. Français. 390 p.  ffNNT : 2013MON30018</w:t>
      </w:r>
    </w:p>
  </w:footnote>
  <w:footnote w:id="144">
    <w:p w:rsidR="0083519B" w:rsidRPr="0054641A" w:rsidRDefault="0083519B" w:rsidP="000A7532">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Mostefa MIMOUNI.  La Twiza : entraide d’hier et d’aujourd’hui. Colloque « Transmission, mémoire et traumatisme », 9 et 10 mai 2003</w:t>
      </w:r>
    </w:p>
  </w:footnote>
  <w:footnote w:id="145">
    <w:p w:rsidR="0083519B" w:rsidRPr="0054641A" w:rsidRDefault="0083519B" w:rsidP="000A7532">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Aomar KHERDILES.  Les AÏT HDIDDOU. Organisation sociale et droit coutumier. Ed : Hammou BELGHAZI, Institut Royal de la Culture Amazighe. Réalisation Technique : Centre de la Traduction, de la Documentation, de l’Edition (CTDE) El Maârif Al Jadida - Rabat 2012. 159 p.</w:t>
      </w:r>
    </w:p>
  </w:footnote>
  <w:footnote w:id="146">
    <w:p w:rsidR="0083519B" w:rsidRDefault="0083519B" w:rsidP="008262EA">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Mohamed CHERKAOUI Sociologue, Directeur de recherche au CNRS.  Rapport du Centre Nationale des Recherches Stratégiques.  Le lien social : ses mécanismes générateurs, ses influences sur les comportements individuels et collec</w:t>
      </w:r>
      <w:r>
        <w:rPr>
          <w:rFonts w:ascii="Tahoma" w:hAnsi="Tahoma" w:cs="Tahoma"/>
        </w:rPr>
        <w:t xml:space="preserve">tifs. P 49. 2009 </w:t>
      </w:r>
    </w:p>
    <w:p w:rsidR="0083519B" w:rsidRPr="0054641A" w:rsidRDefault="0083519B" w:rsidP="008262EA">
      <w:pPr>
        <w:pStyle w:val="Notedebasdepage"/>
        <w:jc w:val="both"/>
        <w:rPr>
          <w:rFonts w:ascii="Tahoma" w:hAnsi="Tahoma" w:cs="Tahoma"/>
        </w:rPr>
      </w:pPr>
    </w:p>
  </w:footnote>
  <w:footnote w:id="147">
    <w:p w:rsidR="0083519B" w:rsidRPr="0054641A" w:rsidRDefault="0083519B" w:rsidP="000A7532">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Mustapha NAGGAR. Les questions forestières au Maroc et la gouvernance territoriale. Revue forestière</w:t>
      </w:r>
    </w:p>
    <w:p w:rsidR="0083519B" w:rsidRPr="0054641A" w:rsidRDefault="0083519B" w:rsidP="000A7532">
      <w:pPr>
        <w:pStyle w:val="Notedebasdepage"/>
        <w:jc w:val="both"/>
        <w:rPr>
          <w:rFonts w:ascii="Tahoma" w:hAnsi="Tahoma" w:cs="Tahoma"/>
        </w:rPr>
      </w:pPr>
      <w:r w:rsidRPr="0054641A">
        <w:rPr>
          <w:rFonts w:ascii="Tahoma" w:hAnsi="Tahoma" w:cs="Tahoma"/>
        </w:rPr>
        <w:t>française, 2013, 65 (3), pp.255-263. ff10.4267/2042/51854ff. ffhal-03447367f.</w:t>
      </w:r>
    </w:p>
  </w:footnote>
  <w:footnote w:id="148">
    <w:p w:rsidR="0083519B" w:rsidRPr="0054641A" w:rsidRDefault="0083519B" w:rsidP="000A7532">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Mohamed BERRIANE et Geneviève MICHON. Les terroirs au Sud, vers un nouveau modèle ?. IRD Éditions, Université Mohammed V. Faculté des lettres et des sciences humaines, 2016, Chapitre 10. Pluralisme légal et micro-politiques dans la gestion des ressources naturelles.  https://doi.org/10.4000/books.irdeditions.25859.</w:t>
      </w:r>
    </w:p>
  </w:footnote>
  <w:footnote w:id="149">
    <w:p w:rsidR="0083519B" w:rsidRPr="0054641A" w:rsidRDefault="0083519B" w:rsidP="000A7532">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Dahir du 20 hija 1335 (10 Octobre 1917) sur la conservation et l'exploitation des forêts (B.O. 29 octobre 1917).</w:t>
      </w:r>
    </w:p>
  </w:footnote>
  <w:footnote w:id="150">
    <w:p w:rsidR="0083519B" w:rsidRPr="0054641A" w:rsidRDefault="0083519B" w:rsidP="006B56DB">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Pascal BOULHOL. Législation forestière marocaine. Revue forestière française, 1952, 4, pp.232-246.</w:t>
      </w:r>
    </w:p>
    <w:p w:rsidR="0083519B" w:rsidRPr="0054641A" w:rsidRDefault="0083519B" w:rsidP="006B56DB">
      <w:pPr>
        <w:pStyle w:val="Notedebasdepage"/>
        <w:jc w:val="both"/>
        <w:rPr>
          <w:rFonts w:ascii="Tahoma" w:hAnsi="Tahoma" w:cs="Tahoma"/>
        </w:rPr>
      </w:pPr>
      <w:r w:rsidRPr="0054641A">
        <w:rPr>
          <w:rFonts w:ascii="Tahoma" w:hAnsi="Tahoma" w:cs="Tahoma"/>
        </w:rPr>
        <w:t>ff10.4267/2042/27860ff. ffhal-03380064f</w:t>
      </w:r>
    </w:p>
  </w:footnote>
  <w:footnote w:id="151">
    <w:p w:rsidR="0083519B" w:rsidRPr="0054641A" w:rsidRDefault="0083519B" w:rsidP="006B56DB">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L’Etude prospective du secteur forestier en Afrique (FOSA)  MAROC. Moham</w:t>
      </w:r>
      <w:r>
        <w:rPr>
          <w:rFonts w:ascii="Tahoma" w:hAnsi="Tahoma" w:cs="Tahoma"/>
        </w:rPr>
        <w:t xml:space="preserve">ed BENDAHMANE.  Juiillet 2001. </w:t>
      </w:r>
    </w:p>
  </w:footnote>
  <w:footnote w:id="152">
    <w:p w:rsidR="0083519B" w:rsidRPr="0054641A" w:rsidRDefault="0083519B" w:rsidP="006B56DB">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Dahir portant loi n° 1-76-583 (30 Septembre 1976) (5 chaoual 1396) relatif à l'organisation communale (B.O. 1 er octobre 1976)</w:t>
      </w:r>
    </w:p>
  </w:footnote>
  <w:footnote w:id="153">
    <w:p w:rsidR="0083519B" w:rsidRPr="0054641A" w:rsidRDefault="0083519B" w:rsidP="000A7532">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Souvent appelée la Vallée Heureuse, Aït Bouguemez est une région pittoresque située dans le Haut Atlas marocain et célèbre pour ses paysages spectaculaires, sa culture berbère authentique et ses nombreuses possibilités d'activités de plein air. Cette vallée est entourée de montagnes majestueuses et se caractérise par des champs de blé, des vergers et des villages en adobe. Etant accessible par une route récemment aménagée tout en préservant son atmosphère tranquille, elle devient de plus en plus la destination de beaucoup de visiteurs et de touristes.</w:t>
      </w:r>
    </w:p>
  </w:footnote>
  <w:footnote w:id="154">
    <w:p w:rsidR="0083519B" w:rsidRPr="0054641A" w:rsidRDefault="0083519B" w:rsidP="006B56DB">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w:t>
      </w:r>
      <w:r w:rsidRPr="0054641A">
        <w:rPr>
          <w:rFonts w:ascii="Tahoma" w:hAnsi="Tahoma" w:cs="Tahoma"/>
          <w:color w:val="232323"/>
          <w:shd w:val="clear" w:color="auto" w:fill="FFFFFF"/>
        </w:rPr>
        <w:t>Frédéric MEDAIL &amp; Pierre QUEZEL. Hot-Spots Analysis for conservation of Plant Biodiversity in the Mediterranean Basin. Annals of the Missouri Botanical Garden, 1997.  84, 112-127.</w:t>
      </w:r>
      <w:r w:rsidRPr="0054641A">
        <w:rPr>
          <w:rFonts w:ascii="Tahoma" w:hAnsi="Tahoma" w:cs="Tahoma"/>
          <w:color w:val="232323"/>
        </w:rPr>
        <w:t xml:space="preserve"> </w:t>
      </w:r>
      <w:r w:rsidRPr="0054641A">
        <w:rPr>
          <w:rFonts w:ascii="Tahoma" w:hAnsi="Tahoma" w:cs="Tahoma"/>
          <w:color w:val="232323"/>
          <w:shd w:val="clear" w:color="auto" w:fill="FFFFFF"/>
        </w:rPr>
        <w:t>http://dx.doi.org/10.2307/2399957</w:t>
      </w:r>
    </w:p>
  </w:footnote>
  <w:footnote w:id="155">
    <w:p w:rsidR="0083519B" w:rsidRPr="0054641A" w:rsidRDefault="0083519B" w:rsidP="000A7532">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Lucie MONNE. Comprendre le fonctionnement des exploitations agricoles familiales et d’une filière afin d’adapter une action d’accompagnement : expérience de l’agri-agence Fert avec les pomiculteurs du cercle de Rich au Maroc. Agriculture, économie et politique. 2023. ffdumas-04728668f</w:t>
      </w:r>
    </w:p>
  </w:footnote>
  <w:footnote w:id="156">
    <w:p w:rsidR="0083519B" w:rsidRPr="0054641A" w:rsidRDefault="0083519B" w:rsidP="000A7532">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Bruno ROMAGNY, Laurent AUCLAIR et Abdelaziz ELGUEROUA. La gestion des ressources naturelles dans la vallée des Aït Bouguemez (Haut Atlas) : la montagne marocaine à la recherche d'innovations institutionnelles Pages 63 à 80 Mondes en développement. 2008/1 No 141. Ed : Boeck Supérieur136 pages</w:t>
      </w:r>
    </w:p>
  </w:footnote>
  <w:footnote w:id="157">
    <w:p w:rsidR="0083519B" w:rsidRPr="0054641A" w:rsidRDefault="0083519B" w:rsidP="000A7532">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De l’arabe </w:t>
      </w:r>
      <w:r w:rsidRPr="0054641A">
        <w:rPr>
          <w:rFonts w:ascii="Tahoma" w:hAnsi="Tahoma" w:cs="Tahoma"/>
          <w:rtl/>
        </w:rPr>
        <w:t>أراضي بور</w:t>
      </w:r>
      <w:r w:rsidRPr="0054641A">
        <w:rPr>
          <w:rFonts w:ascii="Tahoma" w:hAnsi="Tahoma" w:cs="Tahoma"/>
        </w:rPr>
        <w:t xml:space="preserve">, les terres bour ou encore Bled bour est l’expression qui désigne les terres de cultures pluviales, par opposition au bled seguia ; la seguia (de l'arabe </w:t>
      </w:r>
      <w:r w:rsidRPr="0054641A">
        <w:rPr>
          <w:rFonts w:ascii="Tahoma" w:hAnsi="Tahoma" w:cs="Tahoma"/>
          <w:rtl/>
        </w:rPr>
        <w:t>الساقية</w:t>
      </w:r>
      <w:r w:rsidRPr="0054641A">
        <w:rPr>
          <w:rFonts w:ascii="Tahoma" w:hAnsi="Tahoma" w:cs="Tahoma"/>
        </w:rPr>
        <w:t>) est le canal d'irrigation ancestral à ciel ouvert utiliser pour irriguer certaines cultures. Cf. GAUCHE. É., DESSE, M. (2010). Lexique des mots arabes (A) et berbères (B). In : Le Maroc en mutation, 214. PP. 127-129</w:t>
      </w:r>
    </w:p>
  </w:footnote>
  <w:footnote w:id="158">
    <w:p w:rsidR="0083519B" w:rsidRPr="0054641A" w:rsidRDefault="0083519B" w:rsidP="000A7532">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Melk de l’arabe, signifie ce qui relève de l’appropriation privée. </w:t>
      </w:r>
    </w:p>
  </w:footnote>
  <w:footnote w:id="159">
    <w:p w:rsidR="0083519B" w:rsidRPr="0054641A" w:rsidRDefault="0083519B" w:rsidP="000A7532">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Pierre-Marie BOSC. Lignages, foncier et gestion des ressources renouvelables p. 47-57. Article in. À la croisée des pouvoirs. IRD Éditions, 2005, 310 pages Published on OpenEdition Books: June 8, 2017.  https://doi.org/10.4000/books.irdeditions.10048.</w:t>
      </w:r>
    </w:p>
  </w:footnote>
  <w:footnote w:id="160">
    <w:p w:rsidR="0083519B" w:rsidRPr="0054641A" w:rsidRDefault="0083519B" w:rsidP="000A7532">
      <w:pPr>
        <w:pStyle w:val="Notedebasdepage"/>
        <w:rPr>
          <w:rFonts w:ascii="Tahoma" w:hAnsi="Tahoma" w:cs="Tahoma"/>
        </w:rPr>
      </w:pPr>
      <w:r w:rsidRPr="0054641A">
        <w:rPr>
          <w:rStyle w:val="Appelnotedebasdep"/>
          <w:rFonts w:ascii="Tahoma" w:hAnsi="Tahoma" w:cs="Tahoma"/>
        </w:rPr>
        <w:footnoteRef/>
      </w:r>
      <w:r w:rsidRPr="0054641A">
        <w:rPr>
          <w:rFonts w:ascii="Tahoma" w:hAnsi="Tahoma" w:cs="Tahoma"/>
        </w:rPr>
        <w:t xml:space="preserve"> Michel PEYRON. « Kousser ». Encyclopédie berbère [En ligne], 28-29 | 2008, document K71, mis en ligne le 01 juin 2013, consulté le 07 avril 2025</w:t>
      </w:r>
      <w:r>
        <w:rPr>
          <w:rFonts w:ascii="Tahoma" w:hAnsi="Tahoma" w:cs="Tahoma"/>
        </w:rPr>
        <w:t xml:space="preserve">, </w:t>
      </w:r>
      <w:r w:rsidRPr="0054641A">
        <w:rPr>
          <w:rFonts w:ascii="Tahoma" w:hAnsi="Tahoma" w:cs="Tahoma"/>
        </w:rPr>
        <w:t xml:space="preserve"> URL http://journals.openedition.org/encyclopedieberbere/122; DOI : https://doi.org/10.4000/encyclopedieberbere.122</w:t>
      </w:r>
    </w:p>
  </w:footnote>
  <w:footnote w:id="161">
    <w:p w:rsidR="0083519B" w:rsidRPr="0054641A" w:rsidRDefault="0083519B" w:rsidP="000A7532">
      <w:pPr>
        <w:pStyle w:val="Notedebasdepage"/>
        <w:rPr>
          <w:rFonts w:ascii="Tahoma" w:hAnsi="Tahoma" w:cs="Tahoma"/>
        </w:rPr>
      </w:pPr>
      <w:r w:rsidRPr="0054641A">
        <w:rPr>
          <w:rStyle w:val="Appelnotedebasdep"/>
          <w:rFonts w:ascii="Tahoma" w:hAnsi="Tahoma" w:cs="Tahoma"/>
        </w:rPr>
        <w:footnoteRef/>
      </w:r>
      <w:r w:rsidRPr="0054641A">
        <w:rPr>
          <w:rFonts w:ascii="Tahoma" w:hAnsi="Tahoma" w:cs="Tahoma"/>
        </w:rPr>
        <w:t xml:space="preserve"> Denis FLEURDORGE. Rites et rituels dans l’intervention sociale. Presses universitaires de la Méditerranée, 182 p., 2015, Sociologie des imaginaires, 978-2-36781-172-7. ffhal-03050539f</w:t>
      </w:r>
    </w:p>
  </w:footnote>
  <w:footnote w:id="162">
    <w:p w:rsidR="0083519B" w:rsidRPr="0054641A" w:rsidRDefault="0083519B" w:rsidP="000A7532">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Mountasser M. Mahdad E. Ouhajou L. et Hammoudou. Agdal et lghorm : institutions conservatrices des ressources et des paysages dans le Sud-Est marocain M. FLSH, Ibn Zohr, Département de Géographie (Agadir, Maroc) Ministère de l’Agriculture et de la Pêche maritime (ORMVAD) Ed : sinag -Asinag, 7, 2012, p. 71-94</w:t>
      </w:r>
    </w:p>
  </w:footnote>
  <w:footnote w:id="163">
    <w:p w:rsidR="0083519B" w:rsidRPr="0054641A" w:rsidRDefault="0083519B" w:rsidP="000A7532">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Hassan FAOUZI. L'Agdal dans la dynamique des systèmes agricoles des arganeraies des Haha (Haut-Atlas Occidental, Maroc) Tourisme, culture(s) et attractivité des territoires. Problématiques environnementales africaines Décembre 2011</w:t>
      </w:r>
    </w:p>
  </w:footnote>
  <w:footnote w:id="164">
    <w:p w:rsidR="0083519B" w:rsidRPr="0054641A" w:rsidRDefault="0083519B" w:rsidP="000A7532">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Abdellah EL BADAOUY</w:t>
      </w:r>
      <w:r w:rsidRPr="0054641A">
        <w:rPr>
          <w:rFonts w:ascii="Tahoma" w:hAnsi="Tahoma" w:cs="Tahoma"/>
          <w:vertAlign w:val="superscript"/>
        </w:rPr>
        <w:t xml:space="preserve"> 1</w:t>
      </w:r>
      <w:r w:rsidRPr="0054641A">
        <w:rPr>
          <w:rFonts w:ascii="Tahoma" w:hAnsi="Tahoma" w:cs="Tahoma"/>
        </w:rPr>
        <w:t>, Yahia EL KHALIKI</w:t>
      </w:r>
      <w:r w:rsidRPr="0054641A">
        <w:rPr>
          <w:rFonts w:ascii="Tahoma" w:hAnsi="Tahoma" w:cs="Tahoma"/>
          <w:vertAlign w:val="superscript"/>
        </w:rPr>
        <w:t>1</w:t>
      </w:r>
      <w:r w:rsidRPr="0054641A">
        <w:rPr>
          <w:rFonts w:ascii="Tahoma" w:hAnsi="Tahoma" w:cs="Tahoma"/>
        </w:rPr>
        <w:t>, Fatima Zohra GEURTAOUI</w:t>
      </w:r>
      <w:r w:rsidRPr="0054641A">
        <w:rPr>
          <w:rFonts w:ascii="Tahoma" w:hAnsi="Tahoma" w:cs="Tahoma"/>
          <w:vertAlign w:val="superscript"/>
        </w:rPr>
        <w:t>2</w:t>
      </w:r>
      <w:r w:rsidRPr="0054641A">
        <w:rPr>
          <w:rFonts w:ascii="Tahoma" w:hAnsi="Tahoma" w:cs="Tahoma"/>
        </w:rPr>
        <w:t xml:space="preserve">. Les agdals, patrimoine commun : levier de développement du tourisme durable ; Gestion, Préservation et Valorisation. Cas de du Haut Atlas central, Maroc. 1 Laboratoire Dynamique des paysages, Risques et Patrimoines, Faculté des Lettres et Sciences Humaines, Université Sultan Moulay Slimane, Béni Mellal. 2 Université Caddi Ayad, Marrakech. Revu espace géographique et société marocaine Numéro 79. 2023. Article 14 Pages.   </w:t>
      </w:r>
    </w:p>
  </w:footnote>
  <w:footnote w:id="165">
    <w:p w:rsidR="0083519B" w:rsidRPr="0054641A" w:rsidRDefault="0083519B" w:rsidP="000A7532">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Les travaux de Laurent AUCLAIR se focalisent sur les interactions société/environnement dans les milieux ruraux des pays du Maghreb, privilégiant une approche pluri/interdisciplinaire de l’usage des ressources naturelles appréhendé en tant qu’objet complexe. La structuration progressive de ce cadre conceptuel systémique, reliant nature et culture, constitue le fil conducteur de son parcours scientifique.</w:t>
      </w:r>
    </w:p>
  </w:footnote>
  <w:footnote w:id="166">
    <w:p w:rsidR="0083519B" w:rsidRPr="0054641A" w:rsidRDefault="0083519B" w:rsidP="000A7532">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Pascal MARTY.  Chapitre 5. Les propriétaires face à leur forêt : exercice du droit de propriété et production de l'espace privé. Forêts et sociétés, Éditions de la Sorbonne, 2004, https://doi.org/10.4000/books.psorbonne.30799. P 247-307</w:t>
      </w:r>
    </w:p>
  </w:footnote>
  <w:footnote w:id="167">
    <w:p w:rsidR="0083519B" w:rsidRPr="0054641A" w:rsidRDefault="0083519B" w:rsidP="000A7532">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Hassan FAOUZI. L’exploitation du bois-énergie dans les arganeraies : entre soutenabilité et dégradation (région des Haha, Haut-Atlas Occidental, Maroc, Les Cahiers d’Outre-Mer, 262 | 2013, 155-182.Joseph G. Attila. Corruption, fiscalité et croissance économique dans les pays en développement. Sciences de l’Homme et Société. Université d’Auvergne - Clermont-Ferrand I, 2007. Français. ffNNT :ff. fftel-00486440f</w:t>
      </w:r>
    </w:p>
  </w:footnote>
  <w:footnote w:id="168">
    <w:p w:rsidR="0083519B" w:rsidRPr="0054641A" w:rsidRDefault="0083519B" w:rsidP="000A7532">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Joseph G. Attila. Corruption, fiscalité et croissance économique dans les pays en développement. Sciences de l’Homme et Société. Université d’Auvergne - Clermont-Ferrand I, 2007. Français. ffNNT :ff. fftel-00486440f</w:t>
      </w:r>
    </w:p>
  </w:footnote>
  <w:footnote w:id="169">
    <w:p w:rsidR="0083519B" w:rsidRPr="0054641A" w:rsidRDefault="0083519B" w:rsidP="002F1A32">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Laurent Auclair, Patrick Baudot, Didier Genin, Bruno Romagny, Romain Simenel. Patrimony for</w:t>
      </w:r>
    </w:p>
    <w:p w:rsidR="0083519B" w:rsidRPr="0054641A" w:rsidRDefault="0083519B" w:rsidP="002F1A32">
      <w:pPr>
        <w:pStyle w:val="Notedebasdepage"/>
        <w:jc w:val="both"/>
        <w:rPr>
          <w:rFonts w:ascii="Tahoma" w:hAnsi="Tahoma" w:cs="Tahoma"/>
        </w:rPr>
      </w:pPr>
      <w:r w:rsidRPr="0054641A">
        <w:rPr>
          <w:rFonts w:ascii="Tahoma" w:hAnsi="Tahoma" w:cs="Tahoma"/>
        </w:rPr>
        <w:t>Resilience : Evidence from the Forest Agdal in the Moroccan High Atlas Mountains. Ecology and Society, 2011, 16 (4), ff10.5751/ES-04429-160424ff. ffhal-02100598f</w:t>
      </w:r>
    </w:p>
  </w:footnote>
  <w:footnote w:id="170">
    <w:p w:rsidR="0083519B" w:rsidRPr="0054641A" w:rsidRDefault="0083519B" w:rsidP="002F1A32">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Pierre-Marie AUBERT. Les évolutions de la politique forestière au Maroc : entre réappropriation du modèle forestier français et idéalisation de la tribu. Revue forestière française, 2013, LXV (4), pp.305-316. ff10.4267/2042/53627ff. ffhal-01585132f</w:t>
      </w:r>
    </w:p>
  </w:footnote>
  <w:footnote w:id="171">
    <w:p w:rsidR="0083519B" w:rsidRPr="0054641A" w:rsidRDefault="0083519B" w:rsidP="000A7532">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En appui à la stratégie « Forêts du Maroc 2020-2030 » et aux efforts du Maroc sur l’objectif international climat et biodiversité, le Groupe AFD accompagne les eaux et forêts à travers un prêt de politique publique de 100 millions d’euros et un programme de renforcement de capacité et d’échange d’expertise de trois millions d’euros.</w:t>
      </w:r>
    </w:p>
  </w:footnote>
  <w:footnote w:id="172">
    <w:p w:rsidR="0083519B" w:rsidRPr="0054641A" w:rsidRDefault="0083519B" w:rsidP="000A7532">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Les Objectifs du Programme Forestier National : La protection des sols et la régulation des eaux, La contribution au développement socio-économique des populations rurales ; La protection de la biodiversité et de l'environnement ; La production de bois pour l'industrie et l'artisanat ; La production de services (paysages, détente et loisirs) pour les populations urbaines.</w:t>
      </w:r>
    </w:p>
  </w:footnote>
  <w:footnote w:id="173">
    <w:p w:rsidR="0083519B" w:rsidRPr="0054641A" w:rsidRDefault="0083519B" w:rsidP="000A7532">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La Conférence des Nations Unies sur l'environnement et le développement (CNUED), aussi connue sous le nom de Sommet Planète Terre ou Conférence de Rio a eu lieu à Rio de Janeiro, au Brésil, du 3 au 14 juin 1992.</w:t>
      </w:r>
    </w:p>
  </w:footnote>
  <w:footnote w:id="174">
    <w:p w:rsidR="0083519B" w:rsidRPr="0054641A" w:rsidRDefault="0083519B" w:rsidP="000A7532">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Ibid. </w:t>
      </w:r>
    </w:p>
  </w:footnote>
  <w:footnote w:id="175">
    <w:p w:rsidR="0083519B" w:rsidRPr="0054641A" w:rsidRDefault="0083519B" w:rsidP="000A7532">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Mohammed BENZYANE. La gestion durable des ressources forestières au Maroc : quelle stratégie ? Forêt Méditerranéenne, 2007, XXVIII (1), pp.47-54. ffhal-03565302f</w:t>
      </w:r>
    </w:p>
  </w:footnote>
  <w:footnote w:id="176">
    <w:p w:rsidR="0083519B" w:rsidRPr="0054641A" w:rsidRDefault="0083519B" w:rsidP="000A7532">
      <w:pPr>
        <w:pStyle w:val="Notedebasdepage"/>
        <w:rPr>
          <w:rFonts w:ascii="Tahoma" w:hAnsi="Tahoma" w:cs="Tahoma"/>
        </w:rPr>
      </w:pPr>
      <w:r w:rsidRPr="0054641A">
        <w:rPr>
          <w:rStyle w:val="Appelnotedebasdep"/>
          <w:rFonts w:ascii="Tahoma" w:hAnsi="Tahoma" w:cs="Tahoma"/>
        </w:rPr>
        <w:footnoteRef/>
      </w:r>
      <w:r w:rsidRPr="0054641A">
        <w:rPr>
          <w:rFonts w:ascii="Tahoma" w:hAnsi="Tahoma" w:cs="Tahoma"/>
        </w:rPr>
        <w:t xml:space="preserve"> Ibid</w:t>
      </w:r>
    </w:p>
  </w:footnote>
  <w:footnote w:id="177">
    <w:p w:rsidR="0083519B" w:rsidRPr="0054641A" w:rsidRDefault="0083519B" w:rsidP="000A7532">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Mohammed BENZYANE. La gestion durable des ressources forestières au Maroc : quelle stratégie ?. Forêt Méditerranéenne, 2007, XXVIII (1), pp.47-54. </w:t>
      </w:r>
      <w:r w:rsidRPr="0054641A">
        <w:rPr>
          <w:rFonts w:ascii="Cambria Math" w:hAnsi="Cambria Math" w:cs="Cambria Math"/>
        </w:rPr>
        <w:t>⟨</w:t>
      </w:r>
      <w:r w:rsidRPr="0054641A">
        <w:rPr>
          <w:rFonts w:ascii="Tahoma" w:hAnsi="Tahoma" w:cs="Tahoma"/>
        </w:rPr>
        <w:t>hal-03565302</w:t>
      </w:r>
      <w:r w:rsidRPr="0054641A">
        <w:rPr>
          <w:rFonts w:ascii="Cambria Math" w:hAnsi="Cambria Math" w:cs="Cambria Math"/>
        </w:rPr>
        <w:t>⟩</w:t>
      </w:r>
    </w:p>
  </w:footnote>
  <w:footnote w:id="178">
    <w:p w:rsidR="0083519B" w:rsidRPr="0054641A" w:rsidRDefault="0083519B" w:rsidP="000A7532">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Plan De Mobilisation Des Parties Prenantes : Projet d’assistance technique « Accélération du développement de l'économie bleue au maroc » 29 Novembre 2022. 50 pages. (P179612): </w:t>
      </w:r>
    </w:p>
  </w:footnote>
  <w:footnote w:id="179">
    <w:p w:rsidR="0083519B" w:rsidRPr="0054641A" w:rsidRDefault="0083519B" w:rsidP="000A7532">
      <w:pPr>
        <w:pStyle w:val="Notedebasdepage"/>
        <w:rPr>
          <w:rFonts w:ascii="Tahoma" w:hAnsi="Tahoma" w:cs="Tahoma"/>
        </w:rPr>
      </w:pPr>
      <w:r w:rsidRPr="0054641A">
        <w:rPr>
          <w:rStyle w:val="Appelnotedebasdep"/>
          <w:rFonts w:ascii="Tahoma" w:hAnsi="Tahoma" w:cs="Tahoma"/>
        </w:rPr>
        <w:footnoteRef/>
      </w:r>
      <w:r w:rsidRPr="0054641A">
        <w:rPr>
          <w:rFonts w:ascii="Tahoma" w:hAnsi="Tahoma" w:cs="Tahoma"/>
        </w:rPr>
        <w:t xml:space="preserve">  Ibid., BENZYANE, M. (2007). Op. Cit.</w:t>
      </w:r>
    </w:p>
  </w:footnote>
  <w:footnote w:id="180">
    <w:p w:rsidR="0083519B" w:rsidRPr="0054641A" w:rsidRDefault="0083519B" w:rsidP="000A7532">
      <w:pPr>
        <w:pStyle w:val="Notedebasdepage"/>
        <w:rPr>
          <w:rFonts w:ascii="Tahoma" w:hAnsi="Tahoma" w:cs="Tahoma"/>
        </w:rPr>
      </w:pPr>
      <w:r w:rsidRPr="0054641A">
        <w:rPr>
          <w:rStyle w:val="Appelnotedebasdep"/>
          <w:rFonts w:ascii="Tahoma" w:hAnsi="Tahoma" w:cs="Tahoma"/>
        </w:rPr>
        <w:footnoteRef/>
      </w:r>
      <w:r w:rsidRPr="0054641A">
        <w:rPr>
          <w:rFonts w:ascii="Tahoma" w:hAnsi="Tahoma" w:cs="Tahoma"/>
        </w:rPr>
        <w:t xml:space="preserve"> Mohammed BENZYANE. La gestion durable des ressources forestières au Maroc : quelle stratégie ?. Forêt Méditerranéenne, 2007, XXVIII (1), pp.47-54. </w:t>
      </w:r>
      <w:r w:rsidRPr="0054641A">
        <w:rPr>
          <w:rFonts w:ascii="Cambria Math" w:hAnsi="Cambria Math" w:cs="Cambria Math"/>
        </w:rPr>
        <w:t>⟨</w:t>
      </w:r>
      <w:r w:rsidRPr="0054641A">
        <w:rPr>
          <w:rFonts w:ascii="Tahoma" w:hAnsi="Tahoma" w:cs="Tahoma"/>
        </w:rPr>
        <w:t>hal-03565302</w:t>
      </w:r>
      <w:r w:rsidRPr="0054641A">
        <w:rPr>
          <w:rFonts w:ascii="Cambria Math" w:hAnsi="Cambria Math" w:cs="Cambria Math"/>
        </w:rPr>
        <w:t>⟩</w:t>
      </w:r>
      <w:r w:rsidRPr="0054641A">
        <w:rPr>
          <w:rFonts w:ascii="Tahoma" w:hAnsi="Tahoma" w:cs="Tahoma"/>
        </w:rPr>
        <w:t xml:space="preserve">. </w:t>
      </w:r>
    </w:p>
  </w:footnote>
  <w:footnote w:id="181">
    <w:p w:rsidR="0083519B" w:rsidRPr="0054641A" w:rsidRDefault="0083519B" w:rsidP="000A7532">
      <w:pPr>
        <w:pStyle w:val="Notedebasdepage"/>
        <w:rPr>
          <w:rFonts w:ascii="Tahoma" w:hAnsi="Tahoma" w:cs="Tahoma"/>
        </w:rPr>
      </w:pPr>
      <w:r w:rsidRPr="0054641A">
        <w:rPr>
          <w:rStyle w:val="Appelnotedebasdep"/>
          <w:rFonts w:ascii="Tahoma" w:hAnsi="Tahoma" w:cs="Tahoma"/>
        </w:rPr>
        <w:footnoteRef/>
      </w:r>
      <w:r w:rsidRPr="0054641A">
        <w:rPr>
          <w:rFonts w:ascii="Tahoma" w:hAnsi="Tahoma" w:cs="Tahoma"/>
        </w:rPr>
        <w:t xml:space="preserve">   Ibid.</w:t>
      </w:r>
      <w:r>
        <w:rPr>
          <w:rFonts w:ascii="Tahoma" w:hAnsi="Tahoma" w:cs="Tahoma"/>
        </w:rPr>
        <w:t>, p 47</w:t>
      </w:r>
      <w:r w:rsidRPr="0054641A">
        <w:rPr>
          <w:rFonts w:ascii="Tahoma" w:hAnsi="Tahoma" w:cs="Tahoma"/>
        </w:rPr>
        <w:t> </w:t>
      </w:r>
    </w:p>
  </w:footnote>
  <w:footnote w:id="182">
    <w:p w:rsidR="0083519B" w:rsidRPr="0054641A" w:rsidRDefault="0083519B" w:rsidP="000A7532">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Politique forestière au Maroc : évolution et perspectives Ministère de l’Agriculture, de la Pêche Maritime, du Développement Rural et des Eaux et Forêts, Haut-Commissariat aux Eaux et Forêts et à la Lutte contre la Désertification, 2018.  P : 42. </w:t>
      </w:r>
    </w:p>
  </w:footnote>
  <w:footnote w:id="183">
    <w:p w:rsidR="0083519B" w:rsidRPr="0054641A" w:rsidRDefault="0083519B" w:rsidP="000A7532">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La stratégie 2015-2024 constitue un guide de planification et d’orientation qui vient soutenir la concrétisation d’une stratégie globale que le Haut-Commissariat aux Eaux et Forêts et à la Lutte contre la Désertification déploie pour tous les écosystèmes. Puisse-t-elle constituer un outil complémentaire aux instruments de gestion que le Haut-commissariat aux Eaux et Forêts et à la Lutte contre la Désertification développe en fondant ses approches sur une meilleure connaissance du fonctionnement complexe des écosystèmes et de leur spécificité.</w:t>
      </w:r>
    </w:p>
  </w:footnote>
  <w:footnote w:id="184">
    <w:p w:rsidR="0083519B" w:rsidRPr="0054641A" w:rsidRDefault="0083519B" w:rsidP="000A7532">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Politique forestière au Maroc : é</w:t>
      </w:r>
      <w:r>
        <w:rPr>
          <w:rFonts w:ascii="Tahoma" w:hAnsi="Tahoma" w:cs="Tahoma"/>
        </w:rPr>
        <w:t xml:space="preserve">volution et perspectives, </w:t>
      </w:r>
      <w:r w:rsidRPr="0054641A">
        <w:rPr>
          <w:rFonts w:ascii="Tahoma" w:hAnsi="Tahoma" w:cs="Tahoma"/>
        </w:rPr>
        <w:t>Op. Cit. P:80.</w:t>
      </w:r>
    </w:p>
  </w:footnote>
  <w:footnote w:id="185">
    <w:p w:rsidR="0083519B" w:rsidRPr="0054641A" w:rsidRDefault="0083519B" w:rsidP="000A7532">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IRES: Institut Royal des Etudes Stratégiques. Rapport stratégique 2019/2020. Ver</w:t>
      </w:r>
      <w:r>
        <w:rPr>
          <w:rFonts w:ascii="Tahoma" w:hAnsi="Tahoma" w:cs="Tahoma"/>
        </w:rPr>
        <w:t>s</w:t>
      </w:r>
      <w:r w:rsidRPr="0054641A">
        <w:rPr>
          <w:rFonts w:ascii="Tahoma" w:hAnsi="Tahoma" w:cs="Tahoma"/>
        </w:rPr>
        <w:t xml:space="preserve"> un nouveau modèle de développement. 258 pagres. </w:t>
      </w:r>
    </w:p>
  </w:footnote>
  <w:footnote w:id="186">
    <w:p w:rsidR="0083519B" w:rsidRPr="0054641A" w:rsidRDefault="0083519B" w:rsidP="000A7532">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IRES: Institut Royal des Etudes Stratégiques. Rapport stratégique L’approche nexus "Agriculture-eauenergie-ecosystemes" dans la gestion de l’eau au niveau d’un bassin versant : cas du bassin hydrographique souss massa. Retenues pour la gestion durable des espaces naturels pour le plan décennal 2015/2024. 195 pages.  </w:t>
      </w:r>
    </w:p>
  </w:footnote>
  <w:footnote w:id="187">
    <w:p w:rsidR="0083519B" w:rsidRPr="0054641A" w:rsidRDefault="0083519B" w:rsidP="000A7532">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OCDE (2024), Des infrastructures pour un avenir résilient face au changement climatique, Éditions OCDE, Paris, https://doi.org/10.1787/464404b3-fr.</w:t>
      </w:r>
    </w:p>
  </w:footnote>
  <w:footnote w:id="188">
    <w:p w:rsidR="0083519B" w:rsidRPr="0054641A" w:rsidRDefault="0083519B" w:rsidP="00B7322E">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Les écosystèmes forestiers face au changement climatique : situation et perspectives d’adaptation au Maroc.  MM. Omar MHIRIT et Mohamed ET-TOBI. </w:t>
      </w:r>
      <w:r>
        <w:rPr>
          <w:rFonts w:ascii="Tahoma" w:hAnsi="Tahoma" w:cs="Tahoma"/>
        </w:rPr>
        <w:t>2010. p</w:t>
      </w:r>
      <w:r w:rsidRPr="0054641A">
        <w:rPr>
          <w:rFonts w:ascii="Tahoma" w:hAnsi="Tahoma" w:cs="Tahoma"/>
        </w:rPr>
        <w:t xml:space="preserve">260. </w:t>
      </w:r>
    </w:p>
  </w:footnote>
  <w:footnote w:id="189">
    <w:p w:rsidR="0083519B" w:rsidRPr="0054641A" w:rsidRDefault="0083519B" w:rsidP="000A7532">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Koubia, M. Forêts du Maroc: une gestion durable pour les générations futures. In, Ecology. Agence Marocaine de Presse (MAP). 2024</w:t>
      </w:r>
    </w:p>
    <w:p w:rsidR="0083519B" w:rsidRPr="0054641A" w:rsidRDefault="0083519B" w:rsidP="000A7532">
      <w:pPr>
        <w:pStyle w:val="Notedebasdepage"/>
        <w:rPr>
          <w:rFonts w:ascii="Tahoma" w:hAnsi="Tahoma" w:cs="Tahoma"/>
        </w:rPr>
      </w:pPr>
    </w:p>
  </w:footnote>
  <w:footnote w:id="190">
    <w:p w:rsidR="0083519B" w:rsidRPr="0054641A" w:rsidRDefault="0083519B" w:rsidP="000A7532">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Benoît de Guerry, Arnaud Sergent, Vincent Banos, Jonathan Lenglet, Jeremy Gloaguen, et al.. Etude évaluative du dispositif. DYNAMIC BOIS. INRAE; ADEME. 2021. ffhal-04487753f</w:t>
      </w:r>
    </w:p>
  </w:footnote>
  <w:footnote w:id="191">
    <w:p w:rsidR="0083519B" w:rsidRPr="0054641A" w:rsidRDefault="0083519B" w:rsidP="000A7532">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Koubia, M. Forêts du Maroc: une gestion durable pour les générations futures. In, Ecology. Agence Marocaine de Presse (MAP). 2024</w:t>
      </w:r>
    </w:p>
  </w:footnote>
  <w:footnote w:id="192">
    <w:p w:rsidR="0083519B" w:rsidRPr="0054641A" w:rsidRDefault="0083519B" w:rsidP="000A7532">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PROGRAMME DEVELOPPEMENT DE L’ECONOMIE BLEUE Programme Pour Résultats (PPR) - (P172926).  Évaluation des Systèmes Environnementaux et Sociaux (ESES) Mars 2022. Document produit par la Banque mondiale.</w:t>
      </w:r>
    </w:p>
  </w:footnote>
  <w:footnote w:id="193">
    <w:p w:rsidR="0083519B" w:rsidRPr="0054641A" w:rsidRDefault="0083519B" w:rsidP="000A7532">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Jean-Yves PUYO.  Lyautey et la politique forestière du Protectorat marocain : des influences leplaysiennes « tardives » ? Frédéric Le Play, édité par Antoine Savoye et Fabien Cardoni, Presses des Mines, 2007, https://doi.org/10.4000/books.pressesmines.451</w:t>
      </w:r>
    </w:p>
  </w:footnote>
  <w:footnote w:id="194">
    <w:p w:rsidR="0083519B" w:rsidRPr="0054641A" w:rsidRDefault="0083519B" w:rsidP="000A7532">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w:t>
      </w:r>
      <w:r w:rsidRPr="0054641A">
        <w:rPr>
          <w:rFonts w:ascii="Tahoma" w:hAnsi="Tahoma" w:cs="Tahoma"/>
          <w:color w:val="000000" w:themeColor="text1"/>
        </w:rPr>
        <w:t>BOUDY, P. (1948). Économie forestière nord-africaine, Tome premier : milieu physique et milieu humain, Paris : Éditions Larose, PP. 409</w:t>
      </w:r>
    </w:p>
  </w:footnote>
  <w:footnote w:id="195">
    <w:p w:rsidR="0083519B" w:rsidRPr="0054641A" w:rsidRDefault="0083519B" w:rsidP="000A7532">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Pierre-Marie AUBERT, Mohamed SABIR. Du technique au politique et retour : État des lieux et enjeux dans la gestion des forêts au Maroc. Introduction au dossier. Revue forestière française, 2013, LXV (4), pp.295-304. ff10.4267/2042/53626ff. ffhal-01583891f</w:t>
      </w:r>
    </w:p>
  </w:footnote>
  <w:footnote w:id="196">
    <w:p w:rsidR="0083519B" w:rsidRPr="0054641A" w:rsidRDefault="0083519B" w:rsidP="000A7532">
      <w:pPr>
        <w:pStyle w:val="Notedebasdepage"/>
        <w:rPr>
          <w:rFonts w:ascii="Tahoma" w:hAnsi="Tahoma" w:cs="Tahoma"/>
        </w:rPr>
      </w:pPr>
      <w:r w:rsidRPr="0054641A">
        <w:rPr>
          <w:rStyle w:val="Appelnotedebasdep"/>
          <w:rFonts w:ascii="Tahoma" w:hAnsi="Tahoma" w:cs="Tahoma"/>
        </w:rPr>
        <w:footnoteRef/>
      </w:r>
      <w:r w:rsidRPr="0054641A">
        <w:rPr>
          <w:rFonts w:ascii="Tahoma" w:hAnsi="Tahoma" w:cs="Tahoma"/>
        </w:rPr>
        <w:t xml:space="preserve"> Ibid.</w:t>
      </w:r>
    </w:p>
  </w:footnote>
  <w:footnote w:id="197">
    <w:p w:rsidR="0083519B" w:rsidRPr="0054641A" w:rsidRDefault="0083519B" w:rsidP="000A7532">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Sarah VANUXEM. Des paiements pour services environnementaux en faveur des populations locales ? Regards de l'administration forestière sur le mécanisme de compensations pour mise en défense marocaine. VertigO - la revue électronique en sciences de l'environnement [En ligne], 16-1 | mai 2016, mis en ligne le 09 mai 2016, consulté le 14 avril 2025. URL : http://journals.openedition.org/vertigo/17148; DOI : https://doi.org/10.4000/vertigo.17148</w:t>
      </w:r>
    </w:p>
  </w:footnote>
  <w:footnote w:id="198">
    <w:p w:rsidR="0083519B" w:rsidRPr="0054641A" w:rsidRDefault="0083519B" w:rsidP="000A7532">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Améliorer la gouvernance des régimes forestiers. Un guide pratique e FAO. Ed : iid. 144 pages. </w:t>
      </w:r>
    </w:p>
  </w:footnote>
  <w:footnote w:id="199">
    <w:p w:rsidR="0083519B" w:rsidRPr="0054641A" w:rsidRDefault="0083519B" w:rsidP="000A7532">
      <w:pPr>
        <w:pStyle w:val="Notedebasdepage"/>
        <w:rPr>
          <w:rFonts w:ascii="Tahoma" w:hAnsi="Tahoma" w:cs="Tahoma"/>
        </w:rPr>
      </w:pPr>
      <w:r w:rsidRPr="0054641A">
        <w:rPr>
          <w:rStyle w:val="Appelnotedebasdep"/>
          <w:rFonts w:ascii="Tahoma" w:hAnsi="Tahoma" w:cs="Tahoma"/>
        </w:rPr>
        <w:footnoteRef/>
      </w:r>
      <w:r w:rsidRPr="0054641A">
        <w:rPr>
          <w:rFonts w:ascii="Tahoma" w:hAnsi="Tahoma" w:cs="Tahoma"/>
        </w:rPr>
        <w:t xml:space="preserve"> Lamia EL MOUJAHID.  Thèse en cotutelle. Doctorat en Sciences Economiques. Gouvernance et performance des collectivités territoriales au Maroc: cas des communes ciblées par l’INDH au niveau de la province d’ElKelaa des Sraghna. 2019. 341 Pages.</w:t>
      </w:r>
    </w:p>
    <w:p w:rsidR="0083519B" w:rsidRPr="0054641A" w:rsidRDefault="0083519B" w:rsidP="000A7532">
      <w:pPr>
        <w:pStyle w:val="Notedebasdepage"/>
        <w:rPr>
          <w:rFonts w:ascii="Tahoma" w:hAnsi="Tahoma" w:cs="Tahoma"/>
        </w:rPr>
      </w:pPr>
      <w:r w:rsidRPr="0054641A">
        <w:rPr>
          <w:rFonts w:ascii="Tahoma" w:hAnsi="Tahoma" w:cs="Tahoma"/>
        </w:rPr>
        <w:cr/>
      </w:r>
    </w:p>
  </w:footnote>
  <w:footnote w:id="200">
    <w:p w:rsidR="0083519B" w:rsidRPr="0054641A" w:rsidRDefault="0083519B" w:rsidP="00675E72">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Dahir portant loi n° 1-76-350 (25 ra</w:t>
      </w:r>
      <w:r>
        <w:rPr>
          <w:rFonts w:ascii="Tahoma" w:hAnsi="Tahoma" w:cs="Tahoma"/>
        </w:rPr>
        <w:t xml:space="preserve">madan 1396) 20 Septembre 1976 </w:t>
      </w:r>
      <w:r w:rsidRPr="0054641A">
        <w:rPr>
          <w:rFonts w:ascii="Tahoma" w:hAnsi="Tahoma" w:cs="Tahoma"/>
        </w:rPr>
        <w:t>relatif à l'organisation de la participation des populations au développement de l'économie forestière Organisation p</w:t>
      </w:r>
      <w:r>
        <w:rPr>
          <w:rFonts w:ascii="Tahoma" w:hAnsi="Tahoma" w:cs="Tahoma"/>
        </w:rPr>
        <w:t>opulation - eauxetforets.gov.ma</w:t>
      </w:r>
    </w:p>
  </w:footnote>
  <w:footnote w:id="201">
    <w:p w:rsidR="0083519B" w:rsidRPr="0054641A" w:rsidRDefault="0083519B" w:rsidP="000A7532">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Rousset, MICHEL. Politique administrative et contrôle social. Le Maroc actuel, édité par Jean-Claude Santucci, Institut de recherches et d’études sur les mondes arabes et musulmans, 1992, https://doi.org/10.4000/books.iremam.2423 </w:t>
      </w:r>
    </w:p>
  </w:footnote>
  <w:footnote w:id="202">
    <w:p w:rsidR="0083519B" w:rsidRPr="0054641A" w:rsidRDefault="0083519B" w:rsidP="000A7532">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Steen, Trui, et al. Chapitre II. Améliorer la prestation des services locaux : des réformes pour accroître la performance. L’avenir des administrations locales en Europe, édité par Geert Bouckaert et al., Institut de la gestion publique et du développement économique, 2018, https://doi.org/10.4000/books.igpde.5477.</w:t>
      </w:r>
    </w:p>
  </w:footnote>
  <w:footnote w:id="203">
    <w:p w:rsidR="0083519B" w:rsidRPr="00CD19A5" w:rsidRDefault="0083519B" w:rsidP="00CD19A5">
      <w:pPr>
        <w:pStyle w:val="Notedebasdepage"/>
      </w:pPr>
      <w:r w:rsidRPr="00CD19A5">
        <w:rPr>
          <w:rStyle w:val="Appelnotedebasdep"/>
          <w:rFonts w:ascii="Tahoma" w:hAnsi="Tahoma" w:cs="Tahoma"/>
          <w:color w:val="000000" w:themeColor="text1"/>
        </w:rPr>
        <w:footnoteRef/>
      </w:r>
      <w:r w:rsidRPr="00CD19A5">
        <w:rPr>
          <w:rFonts w:ascii="Tahoma" w:hAnsi="Tahoma" w:cs="Tahoma"/>
          <w:color w:val="000000" w:themeColor="text1"/>
        </w:rPr>
        <w:t xml:space="preserve"> Mhirit Omar,</w:t>
      </w:r>
      <w:r w:rsidRPr="00CD19A5">
        <w:rPr>
          <w:rFonts w:ascii="Tahoma" w:hAnsi="Tahoma" w:cs="Tahoma"/>
          <w:vertAlign w:val="superscript"/>
        </w:rPr>
        <w:t>et</w:t>
      </w:r>
      <w:r>
        <w:rPr>
          <w:rFonts w:ascii="Tahoma" w:hAnsi="Tahoma" w:cs="Tahoma"/>
        </w:rPr>
        <w:t>, BENCHEKROUN, F</w:t>
      </w:r>
      <w:r w:rsidRPr="00CD19A5">
        <w:rPr>
          <w:rFonts w:ascii="Tahoma" w:hAnsi="Tahoma" w:cs="Tahoma"/>
        </w:rPr>
        <w:t>. Les écosystèmes forestiers et périforestiers : situation, enjeux et perspectives pour 2006</w:t>
      </w:r>
      <w:r>
        <w:rPr>
          <w:rFonts w:ascii="Tahoma" w:hAnsi="Tahoma" w:cs="Tahoma"/>
        </w:rPr>
        <w:t xml:space="preserve">, </w:t>
      </w:r>
      <w:r w:rsidRPr="00CD19A5">
        <w:rPr>
          <w:rFonts w:ascii="Tahoma" w:hAnsi="Tahoma" w:cs="Tahoma"/>
        </w:rPr>
        <w:t>2025. P : 55.</w:t>
      </w:r>
    </w:p>
    <w:p w:rsidR="0083519B" w:rsidRPr="0054641A" w:rsidRDefault="0083519B" w:rsidP="001F4363">
      <w:pPr>
        <w:pStyle w:val="Notedebasdepage"/>
        <w:jc w:val="both"/>
        <w:rPr>
          <w:rFonts w:ascii="Tahoma" w:hAnsi="Tahoma" w:cs="Tahoma"/>
        </w:rPr>
      </w:pPr>
    </w:p>
  </w:footnote>
  <w:footnote w:id="204">
    <w:p w:rsidR="0083519B" w:rsidRPr="0054641A" w:rsidRDefault="0083519B" w:rsidP="000A7532">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Mustapha NAGGAR et Said LAHSSINI.  L’aménagement forestier et les enjeux de restauration des écosystèmes forestiers au Maroc. Forêt méditerranéenne t. XXXVIII, n° 1, mars 2017. 14 pages. </w:t>
      </w:r>
    </w:p>
  </w:footnote>
  <w:footnote w:id="205">
    <w:p w:rsidR="0083519B" w:rsidRPr="0054641A" w:rsidRDefault="0083519B" w:rsidP="000A7532">
      <w:pPr>
        <w:pStyle w:val="Notedebasdepage"/>
        <w:rPr>
          <w:rFonts w:ascii="Tahoma" w:hAnsi="Tahoma" w:cs="Tahoma"/>
        </w:rPr>
      </w:pPr>
      <w:r w:rsidRPr="0054641A">
        <w:rPr>
          <w:rStyle w:val="Appelnotedebasdep"/>
          <w:rFonts w:ascii="Tahoma" w:hAnsi="Tahoma" w:cs="Tahoma"/>
        </w:rPr>
        <w:footnoteRef/>
      </w:r>
      <w:r w:rsidRPr="0054641A">
        <w:rPr>
          <w:rFonts w:ascii="Tahoma" w:hAnsi="Tahoma" w:cs="Tahoma"/>
        </w:rPr>
        <w:t xml:space="preserve"> Ibid. </w:t>
      </w:r>
      <w:r>
        <w:rPr>
          <w:rFonts w:ascii="Tahoma" w:hAnsi="Tahoma" w:cs="Tahoma"/>
        </w:rPr>
        <w:t>p 14.</w:t>
      </w:r>
    </w:p>
  </w:footnote>
  <w:footnote w:id="206">
    <w:p w:rsidR="0083519B" w:rsidRPr="0054641A" w:rsidRDefault="0083519B" w:rsidP="000A7532">
      <w:pPr>
        <w:pStyle w:val="Notedebasdepage"/>
        <w:rPr>
          <w:rFonts w:ascii="Tahoma" w:hAnsi="Tahoma" w:cs="Tahoma"/>
        </w:rPr>
      </w:pPr>
      <w:r w:rsidRPr="0054641A">
        <w:rPr>
          <w:rStyle w:val="Appelnotedebasdep"/>
          <w:rFonts w:ascii="Tahoma" w:hAnsi="Tahoma" w:cs="Tahoma"/>
        </w:rPr>
        <w:footnoteRef/>
      </w:r>
      <w:r w:rsidRPr="0054641A">
        <w:rPr>
          <w:rFonts w:ascii="Tahoma" w:hAnsi="Tahoma" w:cs="Tahoma"/>
        </w:rPr>
        <w:t xml:space="preserve"> Marion DEMONTEIL. Le monopole disputé de l'indépendance. Inspecteur la culture, ENS Éditions, 2024. https://doi.org/10.4000/128pt.</w:t>
      </w:r>
    </w:p>
  </w:footnote>
  <w:footnote w:id="207">
    <w:p w:rsidR="0083519B" w:rsidRPr="0054641A" w:rsidRDefault="0083519B" w:rsidP="001201D2">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w:t>
      </w:r>
      <w:r>
        <w:rPr>
          <w:rFonts w:ascii="Tahoma" w:hAnsi="Tahoma" w:cs="Tahoma"/>
        </w:rPr>
        <w:t>L</w:t>
      </w:r>
      <w:r w:rsidRPr="0054641A">
        <w:rPr>
          <w:rFonts w:ascii="Tahoma" w:hAnsi="Tahoma" w:cs="Tahoma"/>
        </w:rPr>
        <w:t>e HCEFLCD est l’autorité chargée des eaux et forêts et de la lutte contre la désertification. Elle a pour mission d’élaborer et mettre en œuvre la politique du gouvernement dans les domaines de la conservation et du développement durables des ressources forestières, alfatières sylvopastorales dans les terrains soumis au régime forestier, ainsi que le développement cynégétique, piscicole continentales et des parcs et réserves naturelles ; de coordonner la mise en place des mécanismes institutionnels pour la préparation, l’exécution, le suivi et l’évaluation de la politique du gouvernement en matière de lutte contre la désertification; et de participer à l’élaboration et à la mise en œuvre de la politique du gouvernement en matière de lutte contre la désertification.</w:t>
      </w:r>
    </w:p>
  </w:footnote>
  <w:footnote w:id="208">
    <w:p w:rsidR="0083519B" w:rsidRPr="0054641A" w:rsidRDefault="0083519B" w:rsidP="000A7532">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Samir DAMOU. L’agencification comme levier de performance des politiques publiques locales dans le contexte marocain. Gestion et management. Université de Pau et des Pays de l’Adour, 2019. Français. ffNNT: 2019PAUU2067ff. fftel-04977884f. P 230</w:t>
      </w:r>
    </w:p>
  </w:footnote>
  <w:footnote w:id="209">
    <w:p w:rsidR="0083519B" w:rsidRPr="0054641A" w:rsidRDefault="0083519B" w:rsidP="000A7532">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La MAP. Article du 18 juillet 2020 Rabat. « Forêts du Maroc 2020-2030 » : Une stratégie consacrant la Vision Royale d'un développement durable. </w:t>
      </w:r>
    </w:p>
    <w:p w:rsidR="0083519B" w:rsidRPr="0054641A" w:rsidRDefault="0083519B" w:rsidP="000A7532">
      <w:pPr>
        <w:pStyle w:val="Notedebasdepage"/>
        <w:jc w:val="both"/>
        <w:rPr>
          <w:rFonts w:ascii="Tahoma" w:hAnsi="Tahoma" w:cs="Tahoma"/>
        </w:rPr>
      </w:pPr>
      <w:r w:rsidRPr="0054641A">
        <w:rPr>
          <w:rFonts w:ascii="Tahoma" w:hAnsi="Tahoma" w:cs="Tahoma"/>
        </w:rPr>
        <w:t>https://www.mapnews.ma/fr/dossier/%C2%ABfor%C3%AAts-du-maroc-2020-2030%C2%BB</w:t>
      </w:r>
    </w:p>
    <w:p w:rsidR="0083519B" w:rsidRPr="0054641A" w:rsidRDefault="0083519B" w:rsidP="000A7532">
      <w:pPr>
        <w:pStyle w:val="Notedebasdepage"/>
        <w:jc w:val="both"/>
        <w:rPr>
          <w:rFonts w:ascii="Tahoma" w:hAnsi="Tahoma" w:cs="Tahoma"/>
        </w:rPr>
      </w:pPr>
      <w:r w:rsidRPr="0054641A">
        <w:rPr>
          <w:rFonts w:ascii="Tahoma" w:hAnsi="Tahoma" w:cs="Tahoma"/>
        </w:rPr>
        <w:t>- La nouvelle stratégie nationale de développement du domaine forestier « Forêts du Maroc 2020-2030 », lancée par Sa Majesté le Roi Mohammed VI, le 13 février dernier, ambitionne d'infléchir la problématique de dégradation et d’établir un équilibre entre conservation et développement de la forêt et de ses ressources.</w:t>
      </w:r>
    </w:p>
  </w:footnote>
  <w:footnote w:id="210">
    <w:p w:rsidR="0083519B" w:rsidRPr="0054641A" w:rsidRDefault="0083519B" w:rsidP="009D1D90">
      <w:pPr>
        <w:pStyle w:val="Notedebasdepage"/>
        <w:rPr>
          <w:rFonts w:ascii="Tahoma" w:hAnsi="Tahoma" w:cs="Tahoma"/>
        </w:rPr>
      </w:pPr>
      <w:r w:rsidRPr="0054641A">
        <w:rPr>
          <w:rStyle w:val="Appelnotedebasdep"/>
          <w:rFonts w:ascii="Tahoma" w:hAnsi="Tahoma" w:cs="Tahoma"/>
        </w:rPr>
        <w:footnoteRef/>
      </w:r>
      <w:r w:rsidRPr="0054641A">
        <w:rPr>
          <w:rFonts w:ascii="Tahoma" w:hAnsi="Tahoma" w:cs="Tahoma"/>
        </w:rPr>
        <w:t xml:space="preserve"> L'Agence Nationale des Eaux et Forêts.   2024. http://www.eauxetforets.gov.ma/SitePages/Index.aspx</w:t>
      </w:r>
    </w:p>
  </w:footnote>
  <w:footnote w:id="211">
    <w:p w:rsidR="0083519B" w:rsidRPr="0054641A" w:rsidRDefault="0083519B" w:rsidP="000A7532">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Jean-Frédéric VERGNIES. « « Vu qu’il n’y a de richesse, ni de force que d’hommes… » », Formation emploi, 103 | 2008, 1. http://journals.openedition.org/formationemploi/2336 ; DOI </w:t>
      </w:r>
    </w:p>
  </w:footnote>
  <w:footnote w:id="212">
    <w:p w:rsidR="0083519B" w:rsidRPr="0054641A" w:rsidRDefault="0083519B" w:rsidP="000A7532">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Jean-Paul AMAT. Le rôle stratégique de la forêt -1871-1914. Exemples dans les forêts lorraines [article] Revue historique des Armées.  Fait partie d'un numéro thématique : Mélanges Année 1993 190 pp. 62-69</w:t>
      </w:r>
    </w:p>
  </w:footnote>
  <w:footnote w:id="213">
    <w:p w:rsidR="0083519B" w:rsidRPr="0054641A" w:rsidRDefault="0083519B" w:rsidP="000A7532">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Masatsugu NISHIDA. Le Grand Livre De La Foret Marocaine. P : 113.  Ed.  MARDAGA. 280 Pages. 1999. Belgique.</w:t>
      </w:r>
    </w:p>
  </w:footnote>
  <w:footnote w:id="214">
    <w:p w:rsidR="0083519B" w:rsidRPr="0054641A" w:rsidRDefault="0083519B" w:rsidP="000A7532">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L’ENFI. L'École Nationale Forestière d'Ingénieurs est une institution de l'État marocain formant des cadres supérieurs en matière de Foresterie et Ressources Naturelles. https://enfi.ac.ma/ </w:t>
      </w:r>
    </w:p>
  </w:footnote>
  <w:footnote w:id="215">
    <w:p w:rsidR="0083519B" w:rsidRPr="0054641A" w:rsidRDefault="0083519B" w:rsidP="000A7532">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Formation des techniciens. Créé en 1948, rénové en 1960, l'ITREF forme des techniciens forestiers appelés à gérer des unités forestières. La formation du technicien le prépare à être l'exécutant des programmes et actions conçus, programmés et organisés à l'échelon supérieur, et à être un homme parfaitement inséré dans le milieu forestier, mais aussi dans le monde rural, ayant des qualités personnelles de courage et de ténacité et capable de s'adapter à toutes les situations.</w:t>
      </w:r>
    </w:p>
  </w:footnote>
  <w:footnote w:id="216">
    <w:p w:rsidR="0083519B" w:rsidRPr="0054641A" w:rsidRDefault="0083519B" w:rsidP="000A7532">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François GOREAUD. Apports de l’analyse de la structure spatiale en forêt tempérée à l’étude et la modélisation des peuplements complexes. Sciences de la Terre. ENGREF (AgroParisTech), 2000. Français. ffNNT : ff. fftel-00005747f</w:t>
      </w:r>
    </w:p>
  </w:footnote>
  <w:footnote w:id="217">
    <w:p w:rsidR="0083519B" w:rsidRPr="0054641A" w:rsidRDefault="0083519B" w:rsidP="000A7532">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ANEF. 16 mai 2024 · L’année 2023 a été marquée par une diminution significative de la superficie forestière parcourue par le feu, avec 6 426 ha brûlés contre 22.760 ha en 2022,</w:t>
      </w:r>
    </w:p>
  </w:footnote>
  <w:footnote w:id="218">
    <w:p w:rsidR="0083519B" w:rsidRPr="0054641A" w:rsidRDefault="0083519B" w:rsidP="000A7532">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M.Y. Alaoui. Dix années d’enseignement à l’École nationale forestière d’ingénieurs de Salé au Maroc.</w:t>
      </w:r>
    </w:p>
    <w:p w:rsidR="0083519B" w:rsidRPr="0054641A" w:rsidRDefault="0083519B" w:rsidP="000A7532">
      <w:pPr>
        <w:pStyle w:val="Notedebasdepage"/>
        <w:jc w:val="both"/>
        <w:rPr>
          <w:rFonts w:ascii="Tahoma" w:hAnsi="Tahoma" w:cs="Tahoma"/>
        </w:rPr>
      </w:pPr>
      <w:r w:rsidRPr="0054641A">
        <w:rPr>
          <w:rFonts w:ascii="Tahoma" w:hAnsi="Tahoma" w:cs="Tahoma"/>
        </w:rPr>
        <w:t xml:space="preserve">Revue forestière française, 1978, 30 (2), pp.157-162. ff10.4267/2042/21219ff. ffhal-03396552 </w:t>
      </w:r>
    </w:p>
  </w:footnote>
  <w:footnote w:id="219">
    <w:p w:rsidR="0083519B" w:rsidRPr="0054641A" w:rsidRDefault="0083519B" w:rsidP="000A7532">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La Mission de l’ENFI. L’ENFI a pour mission principale de former des cadres supérieurs capables de gérer et de valoriser les ressources forestières du Maroc. Elle joue un rôle crucial dans la recherche et le développement en matière de foresterie, contribuant ainsi à la préservation de l’environnement. www.marotet.ma</w:t>
      </w:r>
    </w:p>
  </w:footnote>
  <w:footnote w:id="220">
    <w:p w:rsidR="0083519B" w:rsidRPr="0054641A" w:rsidRDefault="0083519B" w:rsidP="000A7532">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Omar M'HIRIT. Directeur de l'école nationale forestière d'ingénieurs. Approches et méthodes pour la mise à jour des programmes d'enseignement forestier (Cas du Royaume du Maroc) Directeur de l'école nationale forestière d'ingénieurs. 2001. Rabat, Maroc</w:t>
      </w:r>
    </w:p>
  </w:footnote>
  <w:footnote w:id="221">
    <w:p w:rsidR="0083519B" w:rsidRPr="00C71EEA" w:rsidRDefault="0083519B" w:rsidP="000A7532">
      <w:pPr>
        <w:pStyle w:val="Notedebasdepage"/>
        <w:jc w:val="both"/>
        <w:rPr>
          <w:rFonts w:ascii="Tahoma" w:hAnsi="Tahoma" w:cs="Tahoma"/>
        </w:rPr>
      </w:pPr>
      <w:r w:rsidRPr="00C71EEA">
        <w:rPr>
          <w:rStyle w:val="Appelnotedebasdep"/>
          <w:rFonts w:ascii="Tahoma" w:hAnsi="Tahoma" w:cs="Tahoma"/>
        </w:rPr>
        <w:footnoteRef/>
      </w:r>
      <w:r w:rsidRPr="00C71EEA">
        <w:rPr>
          <w:rFonts w:ascii="Tahoma" w:hAnsi="Tahoma" w:cs="Tahoma"/>
        </w:rPr>
        <w:t xml:space="preserve"> ENFI – L'Ecole Nationale Forestière d'Ingénieurs</w:t>
      </w:r>
    </w:p>
    <w:p w:rsidR="0083519B" w:rsidRPr="00C71EEA" w:rsidRDefault="0083519B" w:rsidP="000A7532">
      <w:pPr>
        <w:pStyle w:val="Notedebasdepage"/>
        <w:jc w:val="both"/>
        <w:rPr>
          <w:rFonts w:ascii="Tahoma" w:hAnsi="Tahoma" w:cs="Tahoma"/>
        </w:rPr>
      </w:pPr>
      <w:r w:rsidRPr="00C71EEA">
        <w:rPr>
          <w:rFonts w:ascii="Tahoma" w:hAnsi="Tahoma" w:cs="Tahoma"/>
        </w:rPr>
        <w:t>Ingénieurs d'Etat des Eaux et Forêts 49ème Promotion Depuis sa création en 1968, l’École Nationale Forestière d’ingénieurs participe à la formation des ingénieurs et à la recherche sur l’environnement, la botanique, la faune sauvage, les forêts, les pâturages, la préservation et la valorisation des ressources forestières.</w:t>
      </w:r>
    </w:p>
  </w:footnote>
  <w:footnote w:id="222">
    <w:p w:rsidR="0083519B" w:rsidRPr="00BA7465" w:rsidRDefault="0083519B" w:rsidP="000A7532">
      <w:pPr>
        <w:pStyle w:val="Notedebasdepage"/>
        <w:jc w:val="both"/>
        <w:rPr>
          <w:rFonts w:ascii="Tahoma" w:hAnsi="Tahoma" w:cs="Tahoma"/>
          <w:lang w:val="es-ES"/>
        </w:rPr>
      </w:pPr>
      <w:r w:rsidRPr="00C71EEA">
        <w:rPr>
          <w:rStyle w:val="Appelnotedebasdep"/>
          <w:rFonts w:ascii="Tahoma" w:hAnsi="Tahoma" w:cs="Tahoma"/>
        </w:rPr>
        <w:footnoteRef/>
      </w:r>
      <w:r w:rsidRPr="00BA7465">
        <w:rPr>
          <w:rFonts w:ascii="Tahoma" w:hAnsi="Tahoma" w:cs="Tahoma"/>
          <w:lang w:val="es-ES"/>
        </w:rPr>
        <w:t xml:space="preserve"> Ibid., ALAOUI, M-Y. (1978). Op. Cit. P: 108 </w:t>
      </w:r>
    </w:p>
  </w:footnote>
  <w:footnote w:id="223">
    <w:p w:rsidR="0083519B" w:rsidRPr="0054641A" w:rsidRDefault="0083519B" w:rsidP="000A7532">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Christelle DIDIER. Les ingénieurs et l’éthique. Pour un regard sociologique. Hermes science, 219 p. 2008. ffhalshs-00779959f</w:t>
      </w:r>
    </w:p>
  </w:footnote>
  <w:footnote w:id="224">
    <w:p w:rsidR="0083519B" w:rsidRPr="0054641A" w:rsidRDefault="0083519B" w:rsidP="000A7532">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Royaume du Maroc. Ecole Nationale Forestière d’ingénieurs. 54 ans au service des Ressources Humaines et Forestières et de la Coopération Sud-Sud. Brochure de l’ENFI.</w:t>
      </w:r>
    </w:p>
  </w:footnote>
  <w:footnote w:id="225">
    <w:p w:rsidR="0083519B" w:rsidRPr="0054641A" w:rsidRDefault="0083519B" w:rsidP="000A7532">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Voir le site officiel de l’ENFI. https://enfi.ac.ma/</w:t>
      </w:r>
    </w:p>
  </w:footnote>
  <w:footnote w:id="226">
    <w:p w:rsidR="0083519B" w:rsidRPr="0054641A" w:rsidRDefault="0083519B" w:rsidP="000A7532">
      <w:pPr>
        <w:pStyle w:val="Notedebasdepage"/>
        <w:rPr>
          <w:rFonts w:ascii="Tahoma" w:hAnsi="Tahoma" w:cs="Tahoma"/>
        </w:rPr>
      </w:pPr>
      <w:r w:rsidRPr="0054641A">
        <w:rPr>
          <w:rStyle w:val="Appelnotedebasdep"/>
          <w:rFonts w:ascii="Tahoma" w:hAnsi="Tahoma" w:cs="Tahoma"/>
        </w:rPr>
        <w:footnoteRef/>
      </w:r>
      <w:r w:rsidRPr="0054641A">
        <w:rPr>
          <w:rFonts w:ascii="Tahoma" w:hAnsi="Tahoma" w:cs="Tahoma"/>
        </w:rPr>
        <w:t xml:space="preserve"> Ibid.</w:t>
      </w:r>
    </w:p>
  </w:footnote>
  <w:footnote w:id="227">
    <w:p w:rsidR="0083519B" w:rsidRPr="0054641A" w:rsidRDefault="0083519B" w:rsidP="00BA6530">
      <w:pPr>
        <w:pStyle w:val="Notedebasdepage"/>
        <w:jc w:val="both"/>
        <w:rPr>
          <w:rFonts w:ascii="Tahoma" w:hAnsi="Tahoma" w:cs="Tahoma"/>
        </w:rPr>
      </w:pPr>
      <w:r w:rsidRPr="0054641A">
        <w:rPr>
          <w:rStyle w:val="Appelnotedebasdep"/>
          <w:rFonts w:ascii="Tahoma" w:hAnsi="Tahoma" w:cs="Tahoma"/>
        </w:rPr>
        <w:footnoteRef/>
      </w:r>
      <w:r w:rsidRPr="00FF1C25">
        <w:rPr>
          <w:rFonts w:ascii="Tahoma" w:hAnsi="Tahoma" w:cs="Tahoma"/>
        </w:rPr>
        <w:t xml:space="preserve"> </w:t>
      </w:r>
      <w:r w:rsidRPr="0054641A">
        <w:rPr>
          <w:rFonts w:ascii="Tahoma" w:hAnsi="Tahoma" w:cs="Tahoma"/>
        </w:rPr>
        <w:t>Voir le site officiel</w:t>
      </w:r>
      <w:r>
        <w:rPr>
          <w:rFonts w:ascii="Tahoma" w:hAnsi="Tahoma" w:cs="Tahoma"/>
        </w:rPr>
        <w:t xml:space="preserve"> de l’ENFI. https://enfi.ac.ma/</w:t>
      </w:r>
    </w:p>
  </w:footnote>
  <w:footnote w:id="228">
    <w:p w:rsidR="0083519B" w:rsidRPr="0054641A" w:rsidRDefault="0083519B" w:rsidP="000A7532">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Voir le site officiel de l’ENFI. https://enfi.ac.ma/</w:t>
      </w:r>
    </w:p>
  </w:footnote>
  <w:footnote w:id="229">
    <w:p w:rsidR="0083519B" w:rsidRPr="0054641A" w:rsidRDefault="0083519B" w:rsidP="001E6952">
      <w:pPr>
        <w:pStyle w:val="Notedebasdepage"/>
        <w:rPr>
          <w:rFonts w:ascii="Tahoma" w:hAnsi="Tahoma" w:cs="Tahoma"/>
        </w:rPr>
      </w:pPr>
      <w:r w:rsidRPr="0054641A">
        <w:rPr>
          <w:rStyle w:val="Appelnotedebasdep"/>
          <w:rFonts w:ascii="Tahoma" w:hAnsi="Tahoma" w:cs="Tahoma"/>
        </w:rPr>
        <w:footnoteRef/>
      </w:r>
      <w:r>
        <w:rPr>
          <w:rFonts w:ascii="Tahoma" w:hAnsi="Tahoma" w:cs="Tahoma"/>
        </w:rPr>
        <w:t xml:space="preserve"> Idem</w:t>
      </w:r>
    </w:p>
  </w:footnote>
  <w:footnote w:id="230">
    <w:p w:rsidR="0083519B" w:rsidRPr="008146C3" w:rsidRDefault="0083519B" w:rsidP="000A7532">
      <w:pPr>
        <w:pStyle w:val="Notedebasdepage"/>
        <w:rPr>
          <w:rFonts w:ascii="Tahoma" w:hAnsi="Tahoma" w:cs="Tahoma"/>
        </w:rPr>
      </w:pPr>
      <w:r w:rsidRPr="0054641A">
        <w:rPr>
          <w:rStyle w:val="Appelnotedebasdep"/>
          <w:rFonts w:ascii="Tahoma" w:hAnsi="Tahoma" w:cs="Tahoma"/>
        </w:rPr>
        <w:footnoteRef/>
      </w:r>
      <w:r w:rsidRPr="008146C3">
        <w:rPr>
          <w:rFonts w:ascii="Tahoma" w:hAnsi="Tahoma" w:cs="Tahoma"/>
        </w:rPr>
        <w:t xml:space="preserve"> Ibid.</w:t>
      </w:r>
    </w:p>
  </w:footnote>
  <w:footnote w:id="231">
    <w:p w:rsidR="0083519B" w:rsidRPr="0054641A" w:rsidRDefault="0083519B" w:rsidP="00237A71">
      <w:pPr>
        <w:pStyle w:val="Notedebasdepage"/>
        <w:rPr>
          <w:rFonts w:ascii="Tahoma" w:hAnsi="Tahoma" w:cs="Tahoma"/>
        </w:rPr>
      </w:pPr>
      <w:r w:rsidRPr="0054641A">
        <w:rPr>
          <w:rStyle w:val="Appelnotedebasdep"/>
          <w:rFonts w:ascii="Tahoma" w:hAnsi="Tahoma" w:cs="Tahoma"/>
        </w:rPr>
        <w:footnoteRef/>
      </w:r>
      <w:r w:rsidRPr="008146C3">
        <w:rPr>
          <w:rFonts w:ascii="Tahoma" w:hAnsi="Tahoma" w:cs="Tahoma"/>
        </w:rPr>
        <w:t xml:space="preserve"> </w:t>
      </w:r>
      <w:r w:rsidRPr="0054641A">
        <w:rPr>
          <w:rFonts w:ascii="Tahoma" w:hAnsi="Tahoma" w:cs="Tahoma"/>
          <w:lang w:val="en-GB"/>
        </w:rPr>
        <w:t>Rajâa KHDAYCHI. 2021. Op. cit. P: 56.</w:t>
      </w:r>
    </w:p>
  </w:footnote>
  <w:footnote w:id="232">
    <w:p w:rsidR="0083519B" w:rsidRPr="0054641A" w:rsidRDefault="0083519B" w:rsidP="00D50304">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NISHIDA, M. (1999). Le grand livre de la forêt marocaine. Editions Mardaga, 280 pages. 1999. P : 38.  </w:t>
      </w:r>
    </w:p>
  </w:footnote>
  <w:footnote w:id="233">
    <w:p w:rsidR="0083519B" w:rsidRPr="0054641A" w:rsidRDefault="0083519B" w:rsidP="00967CB4">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IRES. L’avenir des écosystèmes forestiers marocains dans un contexte d’accélération du changement climatique. Rapport de synthèse des travaux de la journée de réflexion prospective. 2024</w:t>
      </w:r>
    </w:p>
  </w:footnote>
  <w:footnote w:id="234">
    <w:p w:rsidR="0083519B" w:rsidRPr="0054641A" w:rsidRDefault="0083519B" w:rsidP="00967CB4">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Agence Nationale des Eaux et Forêts 2024. http://www.eauxetforets.gov.ma/SitePages/Index.aspx</w:t>
      </w:r>
    </w:p>
  </w:footnote>
  <w:footnote w:id="235">
    <w:p w:rsidR="0083519B" w:rsidRPr="0054641A" w:rsidRDefault="0083519B" w:rsidP="00967CB4">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Direction des Eaux et Forêts. (2018). Rapport sur les ressources forestières du Maroc. Rabat.</w:t>
      </w:r>
    </w:p>
  </w:footnote>
  <w:footnote w:id="236">
    <w:p w:rsidR="0083519B" w:rsidRPr="0054641A" w:rsidRDefault="0083519B" w:rsidP="00967CB4">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Ministère de l’Agriculture, de la Pêche Maritime, du Développement Rural et des Eaux et Forêts, Département des Eaux et Forêts, Bilan activités 2020, préambule.  </w:t>
      </w:r>
    </w:p>
  </w:footnote>
  <w:footnote w:id="237">
    <w:p w:rsidR="0083519B" w:rsidRPr="0054641A" w:rsidRDefault="0083519B" w:rsidP="00170EF5">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Omar MHIRIT et Faiçal BENCHEKROUN : Les écosystèmes forestiers et périforestiers : situation, enjeux et perspectives pour 2025 Rapport. URL Article : Thème : Agriculture</w:t>
      </w:r>
    </w:p>
    <w:p w:rsidR="0083519B" w:rsidRPr="0054641A" w:rsidRDefault="0083519B" w:rsidP="00561562">
      <w:pPr>
        <w:pStyle w:val="Notedebasdepage"/>
        <w:jc w:val="both"/>
        <w:rPr>
          <w:rFonts w:ascii="Tahoma" w:hAnsi="Tahoma" w:cs="Tahoma"/>
        </w:rPr>
      </w:pPr>
      <w:r w:rsidRPr="0054641A">
        <w:rPr>
          <w:rFonts w:ascii="Tahoma" w:hAnsi="Tahoma" w:cs="Tahoma"/>
        </w:rPr>
        <w:t>http://www.rdh50.ma/fr/pdf/contributions/GT8-7.pdf. P : 408.</w:t>
      </w:r>
    </w:p>
  </w:footnote>
  <w:footnote w:id="238">
    <w:p w:rsidR="0083519B" w:rsidRPr="00BA7465" w:rsidRDefault="0083519B" w:rsidP="00561562">
      <w:pPr>
        <w:pStyle w:val="Notedebasdepage"/>
        <w:jc w:val="both"/>
        <w:rPr>
          <w:rFonts w:ascii="Tahoma" w:hAnsi="Tahoma" w:cs="Tahoma"/>
          <w:lang w:val="es-ES"/>
        </w:rPr>
      </w:pPr>
      <w:r w:rsidRPr="0054641A">
        <w:rPr>
          <w:rStyle w:val="Appelnotedebasdep"/>
          <w:rFonts w:ascii="Tahoma" w:hAnsi="Tahoma" w:cs="Tahoma"/>
        </w:rPr>
        <w:footnoteRef/>
      </w:r>
      <w:r w:rsidRPr="00BA7465">
        <w:rPr>
          <w:rFonts w:ascii="Tahoma" w:hAnsi="Tahoma" w:cs="Tahoma"/>
          <w:lang w:val="es-ES"/>
        </w:rPr>
        <w:t xml:space="preserve"> Idem. </w:t>
      </w:r>
    </w:p>
  </w:footnote>
  <w:footnote w:id="239">
    <w:p w:rsidR="0083519B" w:rsidRPr="00BA7465" w:rsidRDefault="0083519B" w:rsidP="00B52362">
      <w:pPr>
        <w:pStyle w:val="Notedebasdepage"/>
        <w:rPr>
          <w:rFonts w:ascii="Tahoma" w:hAnsi="Tahoma" w:cs="Tahoma"/>
          <w:lang w:val="es-ES"/>
        </w:rPr>
      </w:pPr>
      <w:r w:rsidRPr="0054641A">
        <w:rPr>
          <w:rStyle w:val="Appelnotedebasdep"/>
          <w:rFonts w:ascii="Tahoma" w:hAnsi="Tahoma" w:cs="Tahoma"/>
        </w:rPr>
        <w:footnoteRef/>
      </w:r>
      <w:r w:rsidRPr="00BA7465">
        <w:rPr>
          <w:rFonts w:ascii="Tahoma" w:hAnsi="Tahoma" w:cs="Tahoma"/>
          <w:lang w:val="es-ES"/>
        </w:rPr>
        <w:t xml:space="preserve"> Ibid. 2025. P: 409.</w:t>
      </w:r>
    </w:p>
  </w:footnote>
  <w:footnote w:id="240">
    <w:p w:rsidR="0083519B" w:rsidRPr="00BA7465" w:rsidRDefault="0083519B" w:rsidP="00726EDC">
      <w:pPr>
        <w:pStyle w:val="Notedebasdepage"/>
        <w:rPr>
          <w:rFonts w:ascii="Tahoma" w:hAnsi="Tahoma" w:cs="Tahoma"/>
          <w:lang w:val="es-ES"/>
        </w:rPr>
      </w:pPr>
      <w:r w:rsidRPr="0054641A">
        <w:rPr>
          <w:rStyle w:val="Appelnotedebasdep"/>
          <w:rFonts w:ascii="Tahoma" w:hAnsi="Tahoma" w:cs="Tahoma"/>
        </w:rPr>
        <w:footnoteRef/>
      </w:r>
      <w:r w:rsidRPr="00BA7465">
        <w:rPr>
          <w:rFonts w:ascii="Tahoma" w:hAnsi="Tahoma" w:cs="Tahoma"/>
          <w:lang w:val="es-ES"/>
        </w:rPr>
        <w:t xml:space="preserve"> Ibid. P : 425.</w:t>
      </w:r>
    </w:p>
  </w:footnote>
  <w:footnote w:id="241">
    <w:p w:rsidR="0083519B" w:rsidRPr="0054641A" w:rsidRDefault="0083519B" w:rsidP="00C533B3">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NISHIDA, M. Le grand livre de la forêt marocaine. Editions Mardaga, 1999, P : 40.</w:t>
      </w:r>
    </w:p>
  </w:footnote>
  <w:footnote w:id="242">
    <w:p w:rsidR="0083519B" w:rsidRPr="0054641A" w:rsidRDefault="0083519B" w:rsidP="00C533B3">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Omar MHIRIT et Faiçal BENCHEKROUN : Les écosystèmes forestiers et périforestiers: situation, enjeux et perspectives, pour 2025 Rapport. Date de publication : 25/01/2006. URL Article : Thème : Agriculture. http://www.rdh50.ma/fr/pdf/contributions/GT8-7.pdf. P : 406.</w:t>
      </w:r>
    </w:p>
  </w:footnote>
  <w:footnote w:id="243">
    <w:p w:rsidR="0083519B" w:rsidRPr="0054641A" w:rsidRDefault="0083519B" w:rsidP="00C533B3">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Petit arbre ou buisson décoratif des terrains sableux et littoraux à petites feuilles, à très petites fleurs blanches ou roses, réunies en longues grappes.  </w:t>
      </w:r>
    </w:p>
  </w:footnote>
  <w:footnote w:id="244">
    <w:p w:rsidR="0083519B" w:rsidRPr="0054641A" w:rsidRDefault="0083519B" w:rsidP="00CA3639">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Ibid., Les écosystèmes forestiers et periforestiers : situation, enjeux et perspectives pour 2025, P : 406.  </w:t>
      </w:r>
    </w:p>
  </w:footnote>
  <w:footnote w:id="245">
    <w:p w:rsidR="0083519B" w:rsidRPr="0054641A" w:rsidRDefault="0083519B" w:rsidP="006D2DD3">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https://www.raddo.org/Organismes/Haut-Commissariat-aux-Eaux-et-Forets-et-a-la-Lutte-Contre-la-Desertification-Maroc</w:t>
      </w:r>
    </w:p>
  </w:footnote>
  <w:footnote w:id="246">
    <w:p w:rsidR="0083519B" w:rsidRPr="0054641A" w:rsidRDefault="0083519B" w:rsidP="004E430B">
      <w:pPr>
        <w:pStyle w:val="Notedebasdepage"/>
        <w:rPr>
          <w:rFonts w:ascii="Tahoma" w:hAnsi="Tahoma" w:cs="Tahoma"/>
        </w:rPr>
      </w:pPr>
      <w:r w:rsidRPr="0054641A">
        <w:rPr>
          <w:rStyle w:val="Appelnotedebasdep"/>
          <w:rFonts w:ascii="Tahoma" w:hAnsi="Tahoma" w:cs="Tahoma"/>
        </w:rPr>
        <w:footnoteRef/>
      </w:r>
      <w:r w:rsidRPr="0054641A">
        <w:rPr>
          <w:rFonts w:ascii="Tahoma" w:hAnsi="Tahoma" w:cs="Tahoma"/>
        </w:rPr>
        <w:t xml:space="preserve"> </w:t>
      </w:r>
      <w:r w:rsidRPr="0054641A">
        <w:rPr>
          <w:rFonts w:ascii="Tahoma" w:hAnsi="Tahoma" w:cs="Tahoma"/>
          <w:color w:val="000000" w:themeColor="text1"/>
        </w:rPr>
        <w:t>Agence Nationale des Eaux et Forêts 2023. http://www.eauxetforets.gov.ma/SitePages/Index.aspx</w:t>
      </w:r>
    </w:p>
  </w:footnote>
  <w:footnote w:id="247">
    <w:p w:rsidR="0083519B" w:rsidRPr="0054641A" w:rsidRDefault="0083519B" w:rsidP="004E430B">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Haut-commissariat aux Eaux et Forêts et à la Lutte contre la Désertification. 2013. Etat des Ressources Génétiques Forestières. Rapport National, P : 8.  </w:t>
      </w:r>
    </w:p>
  </w:footnote>
  <w:footnote w:id="248">
    <w:p w:rsidR="0083519B" w:rsidRPr="0054641A" w:rsidRDefault="0083519B" w:rsidP="004E430B">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Cf, Avis du Conseil Economique, Sociale et Environnemental CESE, 2022, Les écosystèmes forestiers du Maroc : risques, défis et opportunités. P : 10.  </w:t>
      </w:r>
    </w:p>
  </w:footnote>
  <w:footnote w:id="249">
    <w:p w:rsidR="0083519B" w:rsidRPr="0054641A" w:rsidRDefault="0083519B" w:rsidP="004E430B">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Haut-commissariat aux Eaux et Forêts et à la Lutte contre la Désertification. 2013. Etat des Ressources Génétiques Forestières. Rapport National. Janvier 2013. P : 18.  </w:t>
      </w:r>
    </w:p>
  </w:footnote>
  <w:footnote w:id="250">
    <w:p w:rsidR="0083519B" w:rsidRPr="0054641A" w:rsidRDefault="0083519B" w:rsidP="00AD47A4">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Ibid. Avis du Conseil Economique, Sociale et Environnemental CESE. 2022.  Les écosystèmes forestiers du Maroc : risques, défis et opportunités.  </w:t>
      </w:r>
    </w:p>
  </w:footnote>
  <w:footnote w:id="251">
    <w:p w:rsidR="0083519B" w:rsidRPr="0054641A" w:rsidRDefault="0083519B" w:rsidP="00AD47A4">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NAGGAR, M..La question forestière au Maroc et enjeux de gouvernance territoriale, Editions Universitaires Européennes, 2017. Op. cit, P :60.  </w:t>
      </w:r>
    </w:p>
  </w:footnote>
  <w:footnote w:id="252">
    <w:p w:rsidR="0083519B" w:rsidRPr="0054641A" w:rsidRDefault="0083519B" w:rsidP="00AD47A4">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Ibid., Avis du Conseil Economique, Sociale et Environnemental CESE, (2022), Les écosystèmes forestiers du Maroc : risques, défis et opportunités, Op, cit, P :4.  </w:t>
      </w:r>
    </w:p>
  </w:footnote>
  <w:footnote w:id="253">
    <w:p w:rsidR="0083519B" w:rsidRPr="0054641A" w:rsidRDefault="0083519B" w:rsidP="00AD47A4">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Ibid., P : 7.  </w:t>
      </w:r>
    </w:p>
  </w:footnote>
  <w:footnote w:id="254">
    <w:p w:rsidR="0083519B" w:rsidRPr="0054641A" w:rsidRDefault="0083519B" w:rsidP="001F6639">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Ministère de l’Agriculture, de la Pêche Maritime, du Développement Rural et des Eaux et Forêts, Haut-Commissariat aux Eaux et Forêts et à la Lutte contre la Désertification. 2018. Politique forestière au Maroc : évolution et perspectives, P : 7. Op. Cit. P : 82.</w:t>
      </w:r>
    </w:p>
  </w:footnote>
  <w:footnote w:id="255">
    <w:p w:rsidR="0083519B" w:rsidRPr="0054641A" w:rsidRDefault="0083519B" w:rsidP="001F6639">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Ibid., Avis du Conseil Economique, Sociale et Environnemental CESE. Les écosystèmes forestiers du Maroc : risques, défis et opportunités. 2022 P : 7.  </w:t>
      </w:r>
    </w:p>
  </w:footnote>
  <w:footnote w:id="256">
    <w:p w:rsidR="0083519B" w:rsidRPr="0054641A" w:rsidRDefault="0083519B" w:rsidP="001F6639">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Ibid.</w:t>
      </w:r>
    </w:p>
  </w:footnote>
  <w:footnote w:id="257">
    <w:p w:rsidR="0083519B" w:rsidRPr="0054641A" w:rsidRDefault="0083519B" w:rsidP="001F6639">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“Génération Green 2020-2030” : Une stratégie consacrant la Vision Royale d’un secteur agricole résilient et durable/2021 : La nouvelle stratégie de développement du secteur agricole “Génération Green 2020-2030”, lancée par Sa Majesté le Roi Mohammed VI en février 2020, vise la consolidation des acquis réalisés par le Plan Maroc Vert, à travers l’adoption d’une vision nouvelle du secteur agricole, la consécration d’une nouvelle gouvernance et la mise en place de moyens modernes au service du secteur agricole.</w:t>
      </w:r>
    </w:p>
  </w:footnote>
  <w:footnote w:id="258">
    <w:p w:rsidR="0083519B" w:rsidRPr="0054641A" w:rsidRDefault="0083519B" w:rsidP="00F510AB">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Soukaina HAKKOU, Nadia MACHOURI et Mohamed SABIR. Valorisation écotouristique des ressources naturelles Plantes aromatiques et médicinales de la région de Rabat-Salé-Kénitra</w:t>
      </w:r>
    </w:p>
    <w:p w:rsidR="0083519B" w:rsidRPr="0054641A" w:rsidRDefault="0083519B" w:rsidP="00F510AB">
      <w:pPr>
        <w:pStyle w:val="Notedebasdepage"/>
        <w:jc w:val="both"/>
        <w:rPr>
          <w:rFonts w:ascii="Tahoma" w:hAnsi="Tahoma" w:cs="Tahoma"/>
        </w:rPr>
      </w:pPr>
      <w:r w:rsidRPr="0054641A">
        <w:rPr>
          <w:rFonts w:ascii="Tahoma" w:hAnsi="Tahoma" w:cs="Tahoma"/>
        </w:rPr>
        <w:t>Éd. Univ Européenne. 2022. Col.  OMN.UNIV.EUROP. 148 pages.</w:t>
      </w:r>
    </w:p>
  </w:footnote>
  <w:footnote w:id="259">
    <w:p w:rsidR="0083519B" w:rsidRPr="0054641A" w:rsidRDefault="0083519B" w:rsidP="00F510AB">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La Convention de Ramsar, qui a aujourd’hui 168 Parties contractantes (pays membres), porte le nom de la ville d’Iran où elle a été signée en 1971. En adhérant à ce traité, les pays membres s’engagent à: – Assurer l’utilisation rationnelle de leurs zones humides – Inscrire des sites sur la Liste de Ramsar des zones humides d’importance internationale (Sites Ramsar) et veiller à leur conservation – Coopérer pour les zones humides transfrontières et autres intérêts communs. https://www.ramsar.org/</w:t>
      </w:r>
    </w:p>
  </w:footnote>
  <w:footnote w:id="260">
    <w:p w:rsidR="0083519B" w:rsidRPr="0054641A" w:rsidRDefault="0083519B" w:rsidP="00F510AB">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Ibid. Valorisation écotouristique des ressources naturelles Plantes aromatiques et médicinales de la région de Rabat-Salé-Kénitra.</w:t>
      </w:r>
    </w:p>
  </w:footnote>
  <w:footnote w:id="261">
    <w:p w:rsidR="0083519B" w:rsidRPr="0054641A" w:rsidRDefault="0083519B" w:rsidP="00F510AB">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Philippe DEUFFIC, Ludovic GINELLI et Kevin PETIT. Patrimoine foncier… et naturel ? Les propriétaires forestiers face à l'écologisation des Landes de Gascogne.   Sud-Ouest européen, 30 | 2010, 109-124</w:t>
      </w:r>
    </w:p>
  </w:footnote>
  <w:footnote w:id="262">
    <w:p w:rsidR="0083519B" w:rsidRPr="0054641A" w:rsidRDefault="0083519B" w:rsidP="00041B20">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Ibid., Royaume du Maroc, Ministère de l’Agriculture, de la pêche maritime, du développement rural et des eaux et forêts, Département des eaux et forêts, Direction régionale des eaux et forêts et de la lutte contre la désertification de Rabat-Salé-Zemmour-Zaer. Etude d’aménagement de la forêt de Korifla : Plan de gestion, 2018 P : 10</w:t>
      </w:r>
    </w:p>
  </w:footnote>
  <w:footnote w:id="263">
    <w:p w:rsidR="0083519B" w:rsidRPr="0054641A" w:rsidRDefault="0083519B" w:rsidP="00D57342">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Ibid., Etude d’aménagement de la forêt de Korifla : Plan de gestion, 2018. P : 10.  </w:t>
      </w:r>
    </w:p>
  </w:footnote>
  <w:footnote w:id="264">
    <w:p w:rsidR="0083519B" w:rsidRPr="0054641A" w:rsidRDefault="0083519B" w:rsidP="00041B20">
      <w:pPr>
        <w:pStyle w:val="Notedebasdepage"/>
        <w:jc w:val="both"/>
        <w:rPr>
          <w:rFonts w:ascii="Tahoma" w:hAnsi="Tahoma" w:cs="Tahoma"/>
        </w:rPr>
      </w:pPr>
      <w:r w:rsidRPr="0054641A">
        <w:rPr>
          <w:rStyle w:val="Appelnotedebasdep"/>
          <w:rFonts w:ascii="Tahoma" w:hAnsi="Tahoma" w:cs="Tahoma"/>
        </w:rPr>
        <w:footnoteRef/>
      </w:r>
      <w:r>
        <w:rPr>
          <w:rFonts w:ascii="Tahoma" w:hAnsi="Tahoma" w:cs="Tahoma"/>
        </w:rPr>
        <w:t xml:space="preserve"> </w:t>
      </w:r>
      <w:r w:rsidRPr="0054641A">
        <w:rPr>
          <w:rFonts w:ascii="Tahoma" w:hAnsi="Tahoma" w:cs="Tahoma"/>
        </w:rPr>
        <w:t xml:space="preserve">Ibid., Etude d’aménagement de la forêt de Korifla : Plan de gestion. P : 11.  </w:t>
      </w:r>
    </w:p>
  </w:footnote>
  <w:footnote w:id="265">
    <w:p w:rsidR="0083519B" w:rsidRPr="0054641A" w:rsidRDefault="0083519B" w:rsidP="00B768A2">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Royaume du Maroc, Ministère de l’Agriculture, de la pêche maritime, du développement rural et des eaux et forêts, Département des eaux et forêts, Direction régionale des eaux et forêts et de la lutte contre la désertification de Rabat-Salé-Zemmour-Zaer, (2018), Etude d’aménagement de la forêt de Korifla : Plan de gestion, P : 12.  </w:t>
      </w:r>
    </w:p>
  </w:footnote>
  <w:footnote w:id="266">
    <w:p w:rsidR="0083519B" w:rsidRPr="0054641A" w:rsidRDefault="0083519B" w:rsidP="00726EDC">
      <w:pPr>
        <w:pStyle w:val="Notedebasdepage"/>
        <w:rPr>
          <w:rFonts w:ascii="Tahoma" w:hAnsi="Tahoma" w:cs="Tahoma"/>
        </w:rPr>
      </w:pPr>
      <w:r w:rsidRPr="0054641A">
        <w:rPr>
          <w:rStyle w:val="Appelnotedebasdep"/>
          <w:rFonts w:ascii="Tahoma" w:hAnsi="Tahoma" w:cs="Tahoma"/>
        </w:rPr>
        <w:footnoteRef/>
      </w:r>
      <w:r w:rsidRPr="0054641A">
        <w:rPr>
          <w:rFonts w:ascii="Tahoma" w:hAnsi="Tahoma" w:cs="Tahoma"/>
        </w:rPr>
        <w:t xml:space="preserve"> Ibid., Etude d’aménagement de la forêt de Korifla : Plan de gestion. P : 17.  </w:t>
      </w:r>
    </w:p>
  </w:footnote>
  <w:footnote w:id="267">
    <w:p w:rsidR="0083519B" w:rsidRPr="0054641A" w:rsidRDefault="0083519B" w:rsidP="00726EDC">
      <w:pPr>
        <w:pStyle w:val="Notedebasdepage"/>
        <w:rPr>
          <w:rFonts w:ascii="Tahoma" w:hAnsi="Tahoma" w:cs="Tahoma"/>
        </w:rPr>
      </w:pPr>
      <w:r w:rsidRPr="0054641A">
        <w:rPr>
          <w:rStyle w:val="Appelnotedebasdep"/>
          <w:rFonts w:ascii="Tahoma" w:hAnsi="Tahoma" w:cs="Tahoma"/>
        </w:rPr>
        <w:footnoteRef/>
      </w:r>
      <w:r w:rsidRPr="0054641A">
        <w:rPr>
          <w:rFonts w:ascii="Tahoma" w:hAnsi="Tahoma" w:cs="Tahoma"/>
        </w:rPr>
        <w:t xml:space="preserve"> Ibid., P : 234.</w:t>
      </w:r>
    </w:p>
  </w:footnote>
  <w:footnote w:id="268">
    <w:p w:rsidR="0083519B" w:rsidRPr="0054641A" w:rsidRDefault="0083519B" w:rsidP="00CB4E48">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Ibid., Etude d’aménagement de la forêt de Korifla : Plan de gestion. P : 16.  </w:t>
      </w:r>
    </w:p>
  </w:footnote>
  <w:footnote w:id="269">
    <w:p w:rsidR="0083519B" w:rsidRPr="0054641A" w:rsidRDefault="0083519B" w:rsidP="00640F12">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Omar MHIRIT et Faiçal BENCHEKROUN. Les écosystèmes forestiers et periforestiers : situation, enjeux et perspectives pour 2025, Op, Cit. 2006.  P : 423.  </w:t>
      </w:r>
    </w:p>
  </w:footnote>
  <w:footnote w:id="270">
    <w:p w:rsidR="0083519B" w:rsidRPr="0054641A" w:rsidRDefault="0083519B" w:rsidP="00C2733A">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Le domaine est conçu comme un patrimoine public qu’il fallait protéger et gérer afin de le transmettre, tel qu’il avait été confié par les hommes du passé aux hommes du futur. Il est subdivisé en domaine public, et domaine privé. Le régime marocain des biens des collectivités territoriales est dominé par la distinction du domaine public et du domaine privé, cette division relève de la doctrine française du XIXe siècle, et correspond à une certaine conception traditionnelle qui distinguait les biens en fonction de leur utilité pour la collectivité. Proudhon est considéré comme le père de la théorie domaniale, bien qu’il ne l’ait pas inventée, mais parce qu’il a systématisé et la popularisé.  </w:t>
      </w:r>
    </w:p>
  </w:footnote>
  <w:footnote w:id="271">
    <w:p w:rsidR="0083519B" w:rsidRPr="0054641A" w:rsidRDefault="0083519B" w:rsidP="00514490">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Nabil MADANI. La protection du domaine forestier endroit marocain au crible environnemental. 2018. Journal du droit de l’environnement et du développement, volume 14/1. P : 25.  </w:t>
      </w:r>
    </w:p>
  </w:footnote>
  <w:footnote w:id="272">
    <w:p w:rsidR="0083519B" w:rsidRPr="0054641A" w:rsidRDefault="0083519B" w:rsidP="00514490">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Amina MABROUK MAHLAOUI. Introduction au foncier marocain, approche juridique. Livre publié avec le soutien du Ministère de la Culture. 2015. Maroc.  502 pages </w:t>
      </w:r>
    </w:p>
  </w:footnote>
  <w:footnote w:id="273">
    <w:p w:rsidR="0083519B" w:rsidRPr="0054641A" w:rsidRDefault="0083519B" w:rsidP="00726EDC">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Amina MABROUK MAHLAOUI. Op cit. P : 311.  </w:t>
      </w:r>
    </w:p>
  </w:footnote>
  <w:footnote w:id="274">
    <w:p w:rsidR="0083519B" w:rsidRPr="0054641A" w:rsidRDefault="0083519B" w:rsidP="00A502BC">
      <w:pPr>
        <w:pStyle w:val="Notedebasdepage"/>
        <w:rPr>
          <w:rFonts w:ascii="Tahoma" w:hAnsi="Tahoma" w:cs="Tahoma"/>
        </w:rPr>
      </w:pPr>
      <w:r w:rsidRPr="0054641A">
        <w:rPr>
          <w:rStyle w:val="Appelnotedebasdep"/>
          <w:rFonts w:ascii="Tahoma" w:hAnsi="Tahoma" w:cs="Tahoma"/>
        </w:rPr>
        <w:footnoteRef/>
      </w:r>
      <w:r w:rsidRPr="0054641A">
        <w:rPr>
          <w:rFonts w:ascii="Tahoma" w:hAnsi="Tahoma" w:cs="Tahoma"/>
        </w:rPr>
        <w:t xml:space="preserve"> Ibid. Article 2 (a) du Dahir du 10 Octobre 1917.  </w:t>
      </w:r>
    </w:p>
  </w:footnote>
  <w:footnote w:id="275">
    <w:p w:rsidR="0083519B" w:rsidRPr="0054641A" w:rsidRDefault="0083519B" w:rsidP="001B4455">
      <w:pPr>
        <w:pStyle w:val="Notedebasdepage"/>
        <w:rPr>
          <w:rFonts w:ascii="Tahoma" w:hAnsi="Tahoma" w:cs="Tahoma"/>
        </w:rPr>
      </w:pPr>
      <w:r w:rsidRPr="0054641A">
        <w:rPr>
          <w:rStyle w:val="Appelnotedebasdep"/>
          <w:rFonts w:ascii="Tahoma" w:hAnsi="Tahoma" w:cs="Tahoma"/>
        </w:rPr>
        <w:footnoteRef/>
      </w:r>
      <w:r w:rsidRPr="0054641A">
        <w:rPr>
          <w:rFonts w:ascii="Tahoma" w:hAnsi="Tahoma" w:cs="Tahoma"/>
        </w:rPr>
        <w:t xml:space="preserve"> Ibid.  Article 2 (b) du Dahir du 10 Octobre 1917.  </w:t>
      </w:r>
    </w:p>
  </w:footnote>
  <w:footnote w:id="276">
    <w:p w:rsidR="0083519B" w:rsidRPr="0054641A" w:rsidRDefault="0083519B" w:rsidP="001B4455">
      <w:pPr>
        <w:pStyle w:val="Notedebasdepage"/>
        <w:rPr>
          <w:rFonts w:ascii="Tahoma" w:hAnsi="Tahoma" w:cs="Tahoma"/>
        </w:rPr>
      </w:pPr>
      <w:r w:rsidRPr="0054641A">
        <w:rPr>
          <w:rStyle w:val="Appelnotedebasdep"/>
          <w:rFonts w:ascii="Tahoma" w:hAnsi="Tahoma" w:cs="Tahoma"/>
        </w:rPr>
        <w:footnoteRef/>
      </w:r>
      <w:r w:rsidRPr="003F4DF6">
        <w:rPr>
          <w:rFonts w:ascii="Tahoma" w:hAnsi="Tahoma" w:cs="Tahoma"/>
          <w:lang w:val="es-ES"/>
        </w:rPr>
        <w:t xml:space="preserve"> Amina MABROUK MAHLAOU. Op. cit. </w:t>
      </w:r>
      <w:r w:rsidRPr="0054641A">
        <w:rPr>
          <w:rFonts w:ascii="Tahoma" w:hAnsi="Tahoma" w:cs="Tahoma"/>
        </w:rPr>
        <w:t xml:space="preserve">P: 20.  </w:t>
      </w:r>
    </w:p>
  </w:footnote>
  <w:footnote w:id="277">
    <w:p w:rsidR="0083519B" w:rsidRPr="0054641A" w:rsidRDefault="0083519B" w:rsidP="00726EDC">
      <w:pPr>
        <w:pStyle w:val="Notedebasdepage"/>
        <w:rPr>
          <w:rFonts w:ascii="Tahoma" w:hAnsi="Tahoma" w:cs="Tahoma"/>
        </w:rPr>
      </w:pPr>
      <w:r w:rsidRPr="0054641A">
        <w:rPr>
          <w:rStyle w:val="Appelnotedebasdep"/>
          <w:rFonts w:ascii="Tahoma" w:hAnsi="Tahoma" w:cs="Tahoma"/>
        </w:rPr>
        <w:footnoteRef/>
      </w:r>
      <w:r w:rsidRPr="0054641A">
        <w:rPr>
          <w:rFonts w:ascii="Tahoma" w:hAnsi="Tahoma" w:cs="Tahoma"/>
        </w:rPr>
        <w:t xml:space="preserve"> Procès-verbal d’aménagement. 2014.  P : 61.  </w:t>
      </w:r>
    </w:p>
  </w:footnote>
  <w:footnote w:id="278">
    <w:p w:rsidR="0083519B" w:rsidRPr="0054641A" w:rsidRDefault="0083519B" w:rsidP="00E577E9">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Mohammed ELLATIFI. L’économie de la forêt et des produits forestiers au Maroc : bilan et perspectives. Université Montesquieu, bordeaux IV, thèse soutenue publiquement le 05 Juin 2012.</w:t>
      </w:r>
    </w:p>
  </w:footnote>
  <w:footnote w:id="279">
    <w:p w:rsidR="0083519B" w:rsidRPr="0054641A" w:rsidRDefault="0083519B" w:rsidP="00E577E9">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Ibid., P : 192.</w:t>
      </w:r>
    </w:p>
  </w:footnote>
  <w:footnote w:id="280">
    <w:p w:rsidR="0083519B" w:rsidRPr="0054641A" w:rsidRDefault="0083519B" w:rsidP="00E577E9">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Le premier B.O a été publié au Maroc le 1er novembre 1912 et dans lequel a été publié le traité conclu entre la France et le Maroc le 30 mars 1912, pour l’organisation du protectorat français dans l’empire chérifien.</w:t>
      </w:r>
    </w:p>
  </w:footnote>
  <w:footnote w:id="281">
    <w:p w:rsidR="0083519B" w:rsidRPr="0054641A" w:rsidRDefault="0083519B" w:rsidP="00E577E9">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Pierre Boulhol. Législation forestière marocaine. Revue forestière française, 1952, 4, pp.232-246.</w:t>
      </w:r>
    </w:p>
  </w:footnote>
  <w:footnote w:id="282">
    <w:p w:rsidR="0083519B" w:rsidRPr="0054641A" w:rsidRDefault="0083519B" w:rsidP="00E577E9">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Ibid.</w:t>
      </w:r>
    </w:p>
  </w:footnote>
  <w:footnote w:id="283">
    <w:p w:rsidR="0083519B" w:rsidRPr="0054641A" w:rsidRDefault="0083519B" w:rsidP="00726EDC">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Paul BOUDY s’est intéressé à l'étude des forêts du Maroc. Il y vint dès 1913 et dirigea le service forestier pendant 28 années, se conformant autant que possible aux directives du grand Lyautey, mais apportant aussi ses vues personnelles dans la création de ce service.</w:t>
      </w:r>
    </w:p>
  </w:footnote>
  <w:footnote w:id="284">
    <w:p w:rsidR="0083519B" w:rsidRPr="0054641A" w:rsidRDefault="0083519B" w:rsidP="00726EDC">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La loi algérienne, de même que le code forestier, est en effet rigide et compacte ; elle érige en articles de loi des dispositions de détail qui l'alourdissent et seraient mieux à leur place dans des règlements d'application ou même des cahiers des charges.</w:t>
      </w:r>
    </w:p>
  </w:footnote>
  <w:footnote w:id="285">
    <w:p w:rsidR="0083519B" w:rsidRPr="0054641A" w:rsidRDefault="0083519B" w:rsidP="00726EDC">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Les dispositions du Dahir marocain sont plus libérales que celles de la loi algérienne dont il s'inspire : le taux des pénalités a été notablement abaissé ; certaines servitudes personnelles, telles que le service des postes-vigies contre l'incendie, qui pèsent sur les populations autochtones, ont été supprimées ; la nature et l'étendue des droits d'usage des tribus riveraines de la forêt ont été conservées et nettement définies.</w:t>
      </w:r>
    </w:p>
  </w:footnote>
  <w:footnote w:id="286">
    <w:p w:rsidR="0083519B" w:rsidRPr="0054641A" w:rsidRDefault="0083519B" w:rsidP="00726EDC">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Voir le recueil de la législation forestière en langue arabe sur le site officiel des Eaux et Forêts.</w:t>
      </w:r>
    </w:p>
  </w:footnote>
  <w:footnote w:id="287">
    <w:p w:rsidR="0083519B" w:rsidRPr="0054641A" w:rsidRDefault="0083519B" w:rsidP="00726EDC">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METRO, A. (1977). Terminologie forestière et produits forestiers, Collection de terminologie forestière multilingue N°2, 1977, P : 90.</w:t>
      </w:r>
    </w:p>
  </w:footnote>
  <w:footnote w:id="288">
    <w:p w:rsidR="0083519B" w:rsidRPr="0054641A" w:rsidRDefault="0083519B" w:rsidP="00726EDC">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JAFFRE, H. (1959). Forêts : Répertoire Droit administratif. T.II. E.T.A.Z Jurisprudence générale, Encyclopédie DALLOZ 1959, P : 87.</w:t>
      </w:r>
    </w:p>
  </w:footnote>
  <w:footnote w:id="289">
    <w:p w:rsidR="0083519B" w:rsidRPr="0054641A" w:rsidRDefault="0083519B" w:rsidP="00726EDC">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BLAL, M. (1992). La délimitation administrative du domaine forestier, mémoire pour l’obtention du diplôme du cycle supérieur, Ecole Nationale d’administration publique, 1990-1992, P : 12.</w:t>
      </w:r>
    </w:p>
  </w:footnote>
  <w:footnote w:id="290">
    <w:p w:rsidR="0083519B" w:rsidRPr="0054641A" w:rsidRDefault="0083519B" w:rsidP="00726EDC">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Site officiel du département des Eaux et Forêts.</w:t>
      </w:r>
    </w:p>
  </w:footnote>
  <w:footnote w:id="291">
    <w:p w:rsidR="0083519B" w:rsidRPr="00BA7465" w:rsidRDefault="0083519B" w:rsidP="00726EDC">
      <w:pPr>
        <w:pStyle w:val="Notedebasdepage"/>
        <w:jc w:val="both"/>
        <w:rPr>
          <w:rFonts w:ascii="Tahoma" w:hAnsi="Tahoma" w:cs="Tahoma"/>
          <w:lang w:val="es-ES"/>
        </w:rPr>
      </w:pPr>
      <w:r w:rsidRPr="0054641A">
        <w:rPr>
          <w:rStyle w:val="Appelnotedebasdep"/>
          <w:rFonts w:ascii="Tahoma" w:hAnsi="Tahoma" w:cs="Tahoma"/>
        </w:rPr>
        <w:footnoteRef/>
      </w:r>
      <w:r w:rsidRPr="00BA7465">
        <w:rPr>
          <w:rFonts w:ascii="Tahoma" w:hAnsi="Tahoma" w:cs="Tahoma"/>
          <w:lang w:val="es-ES"/>
        </w:rPr>
        <w:t xml:space="preserve"> Ibid., P: 11.</w:t>
      </w:r>
    </w:p>
  </w:footnote>
  <w:footnote w:id="292">
    <w:p w:rsidR="0083519B" w:rsidRPr="0054641A" w:rsidRDefault="0083519B" w:rsidP="00726EDC">
      <w:pPr>
        <w:pStyle w:val="Notedebasdepage"/>
        <w:rPr>
          <w:rFonts w:ascii="Tahoma" w:hAnsi="Tahoma" w:cs="Tahoma"/>
        </w:rPr>
      </w:pPr>
      <w:r w:rsidRPr="0054641A">
        <w:rPr>
          <w:rStyle w:val="Appelnotedebasdep"/>
          <w:rFonts w:ascii="Tahoma" w:hAnsi="Tahoma" w:cs="Tahoma"/>
        </w:rPr>
        <w:footnoteRef/>
      </w:r>
      <w:r w:rsidRPr="00BA7465">
        <w:rPr>
          <w:rFonts w:ascii="Tahoma" w:hAnsi="Tahoma" w:cs="Tahoma"/>
          <w:lang w:val="es-ES"/>
        </w:rPr>
        <w:t xml:space="preserve"> El Alaoui, M. (2015). </w:t>
      </w:r>
      <w:r w:rsidRPr="0054641A">
        <w:rPr>
          <w:rFonts w:ascii="Tahoma" w:hAnsi="Tahoma" w:cs="Tahoma"/>
        </w:rPr>
        <w:t>La gestion du domaine forestier au Maroc: enjeux et défis. Revue Marocaine d'Administration Locale et de Développement (REMALD), (Numéro Spécial).</w:t>
      </w:r>
    </w:p>
  </w:footnote>
  <w:footnote w:id="293">
    <w:p w:rsidR="0083519B" w:rsidRPr="002D1D62" w:rsidRDefault="0083519B" w:rsidP="002D1D62">
      <w:pPr>
        <w:spacing w:after="0"/>
        <w:jc w:val="both"/>
        <w:rPr>
          <w:rFonts w:ascii="Tahoma" w:hAnsi="Tahoma" w:cs="Tahoma"/>
          <w:sz w:val="20"/>
          <w:szCs w:val="20"/>
        </w:rPr>
      </w:pPr>
      <w:r w:rsidRPr="002D1D62">
        <w:rPr>
          <w:rStyle w:val="Appelnotedebasdep"/>
          <w:rFonts w:ascii="Tahoma" w:hAnsi="Tahoma" w:cs="Tahoma"/>
          <w:sz w:val="20"/>
          <w:szCs w:val="20"/>
        </w:rPr>
        <w:footnoteRef/>
      </w:r>
      <w:r w:rsidRPr="002D1D62">
        <w:rPr>
          <w:rFonts w:ascii="Tahoma" w:hAnsi="Tahoma" w:cs="Tahoma"/>
          <w:sz w:val="20"/>
          <w:szCs w:val="20"/>
        </w:rPr>
        <w:t xml:space="preserve"> Davis, D. K. (2007). Resurrecting the granary of Rome : Environmental history and French colonial expansion in North</w:t>
      </w:r>
      <w:r>
        <w:rPr>
          <w:rFonts w:ascii="Tahoma" w:hAnsi="Tahoma" w:cs="Tahoma"/>
          <w:sz w:val="20"/>
          <w:szCs w:val="20"/>
        </w:rPr>
        <w:t xml:space="preserve"> Africa. Ohio University Press.</w:t>
      </w:r>
    </w:p>
  </w:footnote>
  <w:footnote w:id="294">
    <w:p w:rsidR="0083519B" w:rsidRPr="002D1D62" w:rsidRDefault="0083519B" w:rsidP="002D1D62">
      <w:pPr>
        <w:pStyle w:val="Notedebasdepage"/>
        <w:jc w:val="both"/>
        <w:rPr>
          <w:rFonts w:ascii="Tahoma" w:hAnsi="Tahoma" w:cs="Tahoma"/>
        </w:rPr>
      </w:pPr>
      <w:r w:rsidRPr="002D1D62">
        <w:rPr>
          <w:rStyle w:val="Appelnotedebasdep"/>
          <w:rFonts w:ascii="Tahoma" w:hAnsi="Tahoma" w:cs="Tahoma"/>
        </w:rPr>
        <w:footnoteRef/>
      </w:r>
      <w:r w:rsidRPr="002D1D62">
        <w:rPr>
          <w:rFonts w:ascii="Tahoma" w:hAnsi="Tahoma" w:cs="Tahoma"/>
        </w:rPr>
        <w:t xml:space="preserve"> Benabid, A. (2000). Flore et écosystèmes du Maroc : évaluation et préservation de la biodiversité. Ibis Press.</w:t>
      </w:r>
    </w:p>
  </w:footnote>
  <w:footnote w:id="295">
    <w:p w:rsidR="0083519B" w:rsidRPr="002D1D62" w:rsidRDefault="0083519B" w:rsidP="002D1D62">
      <w:pPr>
        <w:pStyle w:val="Notedebasdepage"/>
        <w:jc w:val="both"/>
        <w:rPr>
          <w:rFonts w:ascii="Tahoma" w:hAnsi="Tahoma" w:cs="Tahoma"/>
        </w:rPr>
      </w:pPr>
      <w:r w:rsidRPr="002D1D62">
        <w:rPr>
          <w:rStyle w:val="Appelnotedebasdep"/>
          <w:rFonts w:ascii="Tahoma" w:hAnsi="Tahoma" w:cs="Tahoma"/>
        </w:rPr>
        <w:footnoteRef/>
      </w:r>
      <w:r w:rsidRPr="002D1D62">
        <w:rPr>
          <w:rFonts w:ascii="Tahoma" w:hAnsi="Tahoma" w:cs="Tahoma"/>
        </w:rPr>
        <w:t xml:space="preserve"> Le Houérou, H. N. (2009). Bioclimatology and biogeography of Africa. Springer Science &amp; Business Media.</w:t>
      </w:r>
    </w:p>
  </w:footnote>
  <w:footnote w:id="296">
    <w:p w:rsidR="0083519B" w:rsidRPr="002D1D62" w:rsidRDefault="0083519B" w:rsidP="002D1D62">
      <w:pPr>
        <w:spacing w:after="0"/>
        <w:jc w:val="both"/>
        <w:rPr>
          <w:rFonts w:ascii="Tahoma" w:hAnsi="Tahoma" w:cs="Tahoma"/>
          <w:sz w:val="20"/>
          <w:szCs w:val="20"/>
        </w:rPr>
      </w:pPr>
      <w:r w:rsidRPr="002D1D62">
        <w:rPr>
          <w:rStyle w:val="Appelnotedebasdep"/>
          <w:rFonts w:ascii="Tahoma" w:hAnsi="Tahoma" w:cs="Tahoma"/>
          <w:sz w:val="20"/>
          <w:szCs w:val="20"/>
        </w:rPr>
        <w:footnoteRef/>
      </w:r>
      <w:r w:rsidRPr="002D1D62">
        <w:rPr>
          <w:rFonts w:ascii="Tahoma" w:hAnsi="Tahoma" w:cs="Tahoma"/>
          <w:sz w:val="20"/>
          <w:szCs w:val="20"/>
        </w:rPr>
        <w:t xml:space="preserve"> Chenchouni, H. (2017). Diagnostic écologique des écosystèmes forestiers du Maghreb. Forêt</w:t>
      </w:r>
      <w:r>
        <w:rPr>
          <w:rFonts w:ascii="Tahoma" w:hAnsi="Tahoma" w:cs="Tahoma"/>
          <w:sz w:val="20"/>
          <w:szCs w:val="20"/>
        </w:rPr>
        <w:t xml:space="preserve"> méditerranéenne, 38(1), 35-46.</w:t>
      </w:r>
    </w:p>
  </w:footnote>
  <w:footnote w:id="297">
    <w:p w:rsidR="0083519B" w:rsidRPr="002D1D62" w:rsidRDefault="0083519B" w:rsidP="002D1D62">
      <w:pPr>
        <w:pStyle w:val="Notedebasdepage"/>
        <w:jc w:val="both"/>
        <w:rPr>
          <w:rFonts w:ascii="Tahoma" w:hAnsi="Tahoma" w:cs="Tahoma"/>
        </w:rPr>
      </w:pPr>
      <w:r w:rsidRPr="002D1D62">
        <w:rPr>
          <w:rStyle w:val="Appelnotedebasdep"/>
          <w:rFonts w:ascii="Tahoma" w:hAnsi="Tahoma" w:cs="Tahoma"/>
        </w:rPr>
        <w:footnoteRef/>
      </w:r>
      <w:r w:rsidRPr="002D1D62">
        <w:rPr>
          <w:rFonts w:ascii="Tahoma" w:hAnsi="Tahoma" w:cs="Tahoma"/>
        </w:rPr>
        <w:t xml:space="preserve"> Quézel, P., &amp; Médail, F. (2003). Écologie et biogéographie des forêts du bassin méditerranéen. Elsevier.</w:t>
      </w:r>
    </w:p>
  </w:footnote>
  <w:footnote w:id="298">
    <w:p w:rsidR="0083519B" w:rsidRPr="002D1D62" w:rsidRDefault="0083519B" w:rsidP="002D1D62">
      <w:pPr>
        <w:pStyle w:val="Notedebasdepage"/>
        <w:jc w:val="both"/>
        <w:rPr>
          <w:rFonts w:ascii="Tahoma" w:hAnsi="Tahoma" w:cs="Tahoma"/>
        </w:rPr>
      </w:pPr>
      <w:r w:rsidRPr="002D1D62">
        <w:rPr>
          <w:rStyle w:val="Appelnotedebasdep"/>
          <w:rFonts w:ascii="Tahoma" w:hAnsi="Tahoma" w:cs="Tahoma"/>
        </w:rPr>
        <w:footnoteRef/>
      </w:r>
      <w:r w:rsidRPr="002D1D62">
        <w:rPr>
          <w:rFonts w:ascii="Tahoma" w:hAnsi="Tahoma" w:cs="Tahoma"/>
        </w:rPr>
        <w:t xml:space="preserve"> Barbero, M., Bonin, G., Loisel, R., &amp; Quézel, P. (1990). Changes and disturbances of forest ecosystems caused by human activities in the western part of the Mediterranean Basin. Vegetatio, 87(2), 151-173.</w:t>
      </w:r>
    </w:p>
  </w:footnote>
  <w:footnote w:id="299">
    <w:p w:rsidR="0083519B" w:rsidRPr="002D1D62" w:rsidRDefault="0083519B" w:rsidP="002D1D62">
      <w:pPr>
        <w:pStyle w:val="Notedebasdepage"/>
        <w:jc w:val="both"/>
        <w:rPr>
          <w:rFonts w:ascii="Tahoma" w:hAnsi="Tahoma" w:cs="Tahoma"/>
        </w:rPr>
      </w:pPr>
      <w:r w:rsidRPr="002D1D62">
        <w:rPr>
          <w:rStyle w:val="Appelnotedebasdep"/>
          <w:rFonts w:ascii="Tahoma" w:hAnsi="Tahoma" w:cs="Tahoma"/>
        </w:rPr>
        <w:footnoteRef/>
      </w:r>
      <w:r w:rsidRPr="002D1D62">
        <w:rPr>
          <w:rFonts w:ascii="Tahoma" w:hAnsi="Tahoma" w:cs="Tahoma"/>
        </w:rPr>
        <w:t xml:space="preserve"> Lamb, H. F., Damblon, F., &amp; Maxted, R. W. (1991). Human impact on the vegetation of the Middle Atlas, Morocco, during the last 5000 years. Journal of Biogeography, 18(5), 519-532.</w:t>
      </w:r>
    </w:p>
  </w:footnote>
  <w:footnote w:id="300">
    <w:p w:rsidR="0083519B" w:rsidRPr="002D1D62" w:rsidRDefault="0083519B" w:rsidP="002D1D62">
      <w:pPr>
        <w:spacing w:after="0"/>
        <w:jc w:val="both"/>
        <w:rPr>
          <w:rFonts w:ascii="Tahoma" w:hAnsi="Tahoma" w:cs="Tahoma"/>
          <w:sz w:val="20"/>
          <w:szCs w:val="20"/>
        </w:rPr>
      </w:pPr>
      <w:r w:rsidRPr="002D1D62">
        <w:rPr>
          <w:rStyle w:val="Appelnotedebasdep"/>
          <w:rFonts w:ascii="Tahoma" w:hAnsi="Tahoma" w:cs="Tahoma"/>
          <w:sz w:val="20"/>
          <w:szCs w:val="20"/>
        </w:rPr>
        <w:footnoteRef/>
      </w:r>
      <w:r w:rsidRPr="002D1D62">
        <w:rPr>
          <w:rFonts w:ascii="Tahoma" w:hAnsi="Tahoma" w:cs="Tahoma"/>
          <w:sz w:val="20"/>
          <w:szCs w:val="20"/>
        </w:rPr>
        <w:t xml:space="preserve"> Holling, C. S. (2001). Understanding the complexity of economic, ecological, and social syst</w:t>
      </w:r>
      <w:r>
        <w:rPr>
          <w:rFonts w:ascii="Tahoma" w:hAnsi="Tahoma" w:cs="Tahoma"/>
          <w:sz w:val="20"/>
          <w:szCs w:val="20"/>
        </w:rPr>
        <w:t>ems. Ecosystems, 4(5), 390-405.</w:t>
      </w:r>
    </w:p>
  </w:footnote>
  <w:footnote w:id="301">
    <w:p w:rsidR="0083519B" w:rsidRPr="002D1D62" w:rsidRDefault="0083519B" w:rsidP="002D1D62">
      <w:pPr>
        <w:pStyle w:val="Notedebasdepage"/>
        <w:rPr>
          <w:rFonts w:ascii="Tahoma" w:hAnsi="Tahoma" w:cs="Tahoma"/>
        </w:rPr>
      </w:pPr>
      <w:r w:rsidRPr="002D1D62">
        <w:rPr>
          <w:rStyle w:val="Appelnotedebasdep"/>
          <w:rFonts w:ascii="Tahoma" w:hAnsi="Tahoma" w:cs="Tahoma"/>
        </w:rPr>
        <w:footnoteRef/>
      </w:r>
      <w:r w:rsidRPr="002D1D62">
        <w:rPr>
          <w:rFonts w:ascii="Tahoma" w:hAnsi="Tahoma" w:cs="Tahoma"/>
        </w:rPr>
        <w:t xml:space="preserve">  Myers, N., Mittermeier, R. A., Mittermeier, C. G., Da Fonseca, G. A., &amp; Kent, J. (2000). Biodiversity hotspots for conservation priorities. Nature, 403(6772), 853-858.</w:t>
      </w:r>
    </w:p>
  </w:footnote>
  <w:footnote w:id="302">
    <w:p w:rsidR="0083519B" w:rsidRPr="00823C2C" w:rsidRDefault="0083519B" w:rsidP="00823C2C">
      <w:pPr>
        <w:spacing w:after="0" w:line="240" w:lineRule="auto"/>
        <w:jc w:val="both"/>
        <w:rPr>
          <w:rFonts w:ascii="Tahoma" w:hAnsi="Tahoma" w:cs="Tahoma"/>
          <w:sz w:val="20"/>
          <w:szCs w:val="20"/>
        </w:rPr>
      </w:pPr>
      <w:r w:rsidRPr="002D1D62">
        <w:rPr>
          <w:rStyle w:val="Appelnotedebasdep"/>
          <w:rFonts w:ascii="Tahoma" w:hAnsi="Tahoma" w:cs="Tahoma"/>
          <w:sz w:val="20"/>
          <w:szCs w:val="20"/>
        </w:rPr>
        <w:footnoteRef/>
      </w:r>
      <w:r w:rsidRPr="002D1D62">
        <w:rPr>
          <w:rFonts w:ascii="Tahoma" w:hAnsi="Tahoma" w:cs="Tahoma"/>
          <w:sz w:val="20"/>
          <w:szCs w:val="20"/>
        </w:rPr>
        <w:t xml:space="preserve"> Millennium Ecosystem Assessment. (2005). Ecosystems and human well-being: Desertification synthesis. World Resources Institute.</w:t>
      </w:r>
    </w:p>
  </w:footnote>
  <w:footnote w:id="303">
    <w:p w:rsidR="0083519B" w:rsidRPr="00823C2C" w:rsidRDefault="0083519B" w:rsidP="00823C2C">
      <w:pPr>
        <w:spacing w:after="0" w:line="240" w:lineRule="auto"/>
        <w:jc w:val="both"/>
        <w:rPr>
          <w:rFonts w:ascii="Tahoma" w:hAnsi="Tahoma" w:cs="Tahoma"/>
          <w:sz w:val="20"/>
          <w:szCs w:val="20"/>
        </w:rPr>
      </w:pPr>
      <w:r w:rsidRPr="002D1D62">
        <w:rPr>
          <w:rStyle w:val="Appelnotedebasdep"/>
          <w:rFonts w:ascii="Tahoma" w:hAnsi="Tahoma" w:cs="Tahoma"/>
          <w:sz w:val="20"/>
          <w:szCs w:val="20"/>
        </w:rPr>
        <w:footnoteRef/>
      </w:r>
      <w:r w:rsidRPr="002D1D62">
        <w:rPr>
          <w:rFonts w:ascii="Tahoma" w:hAnsi="Tahoma" w:cs="Tahoma"/>
          <w:sz w:val="20"/>
          <w:szCs w:val="20"/>
        </w:rPr>
        <w:t xml:space="preserve"> Bonan, G. B. (2008). Forests and climate change : forcings, feedbacks, and the climate benefits of forests. Science, 320(5882), 1444-1449.</w:t>
      </w:r>
    </w:p>
  </w:footnote>
  <w:footnote w:id="304">
    <w:p w:rsidR="0083519B" w:rsidRPr="002D1D62" w:rsidRDefault="0083519B" w:rsidP="00823C2C">
      <w:pPr>
        <w:pStyle w:val="Notedebasdepage"/>
        <w:jc w:val="both"/>
        <w:rPr>
          <w:rFonts w:ascii="Tahoma" w:hAnsi="Tahoma" w:cs="Tahoma"/>
        </w:rPr>
      </w:pPr>
      <w:r w:rsidRPr="002D1D62">
        <w:rPr>
          <w:rStyle w:val="Appelnotedebasdep"/>
          <w:rFonts w:ascii="Tahoma" w:hAnsi="Tahoma" w:cs="Tahoma"/>
        </w:rPr>
        <w:footnoteRef/>
      </w:r>
      <w:r w:rsidRPr="002D1D62">
        <w:rPr>
          <w:rFonts w:ascii="Tahoma" w:hAnsi="Tahoma" w:cs="Tahoma"/>
        </w:rPr>
        <w:t xml:space="preserve"> Lambin, E. F., Geist, H. J., &amp; Lepers, E. (2003). Dynamics of land-use and land-cover change in tropical regions. Annual Review of Environment and Resources, 28(1), 205-241.</w:t>
      </w:r>
    </w:p>
  </w:footnote>
  <w:footnote w:id="305">
    <w:p w:rsidR="0083519B" w:rsidRPr="002D1D62" w:rsidRDefault="0083519B" w:rsidP="00823C2C">
      <w:pPr>
        <w:pStyle w:val="Notedebasdepage"/>
        <w:jc w:val="both"/>
        <w:rPr>
          <w:rFonts w:ascii="Tahoma" w:hAnsi="Tahoma" w:cs="Tahoma"/>
        </w:rPr>
      </w:pPr>
      <w:r w:rsidRPr="002D1D62">
        <w:rPr>
          <w:rStyle w:val="Appelnotedebasdep"/>
          <w:rFonts w:ascii="Tahoma" w:hAnsi="Tahoma" w:cs="Tahoma"/>
        </w:rPr>
        <w:footnoteRef/>
      </w:r>
      <w:r w:rsidRPr="002D1D62">
        <w:rPr>
          <w:rFonts w:ascii="Tahoma" w:hAnsi="Tahoma" w:cs="Tahoma"/>
        </w:rPr>
        <w:t xml:space="preserve">  Vitousek, P. M., Mooney, H. A., Lubchenco, J., &amp; Melillo, J. M. (1997). Human domination of Earth's ecosystems. Science, 277(5325), 494-499.</w:t>
      </w:r>
    </w:p>
  </w:footnote>
  <w:footnote w:id="306">
    <w:p w:rsidR="0083519B" w:rsidRPr="00823C2C" w:rsidRDefault="0083519B" w:rsidP="00823C2C">
      <w:pPr>
        <w:spacing w:after="0" w:line="240" w:lineRule="auto"/>
        <w:jc w:val="both"/>
        <w:rPr>
          <w:rFonts w:ascii="Tahoma" w:hAnsi="Tahoma" w:cs="Tahoma"/>
          <w:sz w:val="20"/>
          <w:szCs w:val="20"/>
        </w:rPr>
      </w:pPr>
      <w:r w:rsidRPr="002D1D62">
        <w:rPr>
          <w:rStyle w:val="Appelnotedebasdep"/>
          <w:rFonts w:ascii="Tahoma" w:hAnsi="Tahoma" w:cs="Tahoma"/>
          <w:sz w:val="20"/>
          <w:szCs w:val="20"/>
        </w:rPr>
        <w:footnoteRef/>
      </w:r>
      <w:r w:rsidRPr="002D1D62">
        <w:rPr>
          <w:rFonts w:ascii="Tahoma" w:hAnsi="Tahoma" w:cs="Tahoma"/>
          <w:sz w:val="20"/>
          <w:szCs w:val="20"/>
        </w:rPr>
        <w:t xml:space="preserve"> Puettmann, K. J., Coates, K. D., &amp; Messier, C. C. (2008). A critique of silviculture: managing for complexity. Island Press.</w:t>
      </w:r>
    </w:p>
  </w:footnote>
  <w:footnote w:id="307">
    <w:p w:rsidR="0083519B" w:rsidRPr="00823C2C" w:rsidRDefault="0083519B" w:rsidP="00823C2C">
      <w:pPr>
        <w:spacing w:after="0" w:line="240" w:lineRule="auto"/>
        <w:jc w:val="both"/>
        <w:rPr>
          <w:rFonts w:ascii="Tahoma" w:hAnsi="Tahoma" w:cs="Tahoma"/>
          <w:sz w:val="20"/>
          <w:szCs w:val="20"/>
        </w:rPr>
      </w:pPr>
      <w:r w:rsidRPr="002D1D62">
        <w:rPr>
          <w:rStyle w:val="Appelnotedebasdep"/>
          <w:rFonts w:ascii="Tahoma" w:hAnsi="Tahoma" w:cs="Tahoma"/>
          <w:sz w:val="20"/>
          <w:szCs w:val="20"/>
        </w:rPr>
        <w:footnoteRef/>
      </w:r>
      <w:r w:rsidRPr="002D1D62">
        <w:rPr>
          <w:rFonts w:ascii="Tahoma" w:hAnsi="Tahoma" w:cs="Tahoma"/>
          <w:sz w:val="20"/>
          <w:szCs w:val="20"/>
        </w:rPr>
        <w:t xml:space="preserve"> Lindenmayer, D. B., &amp; Franklin, J. F. (2002). Conserving forest biodiversity: a comprehensive multiscaled approach. Island Press.</w:t>
      </w:r>
    </w:p>
  </w:footnote>
  <w:footnote w:id="308">
    <w:p w:rsidR="0083519B" w:rsidRPr="00823C2C" w:rsidRDefault="0083519B" w:rsidP="003F4104">
      <w:pPr>
        <w:spacing w:after="0" w:line="240" w:lineRule="auto"/>
        <w:jc w:val="both"/>
        <w:rPr>
          <w:rFonts w:ascii="Tahoma" w:hAnsi="Tahoma" w:cs="Tahoma"/>
          <w:sz w:val="20"/>
          <w:szCs w:val="20"/>
        </w:rPr>
      </w:pPr>
      <w:r w:rsidRPr="002D1D62">
        <w:rPr>
          <w:rStyle w:val="Appelnotedebasdep"/>
          <w:rFonts w:ascii="Tahoma" w:hAnsi="Tahoma" w:cs="Tahoma"/>
          <w:sz w:val="20"/>
          <w:szCs w:val="20"/>
        </w:rPr>
        <w:footnoteRef/>
      </w:r>
      <w:r w:rsidRPr="002D1D62">
        <w:rPr>
          <w:rFonts w:ascii="Tahoma" w:hAnsi="Tahoma" w:cs="Tahoma"/>
          <w:sz w:val="20"/>
          <w:szCs w:val="20"/>
        </w:rPr>
        <w:t xml:space="preserve"> Barbero, M., Bonin, G., Loisel, R., &amp; Quézel, P. (1990). Op. cit.</w:t>
      </w:r>
    </w:p>
  </w:footnote>
  <w:footnote w:id="309">
    <w:p w:rsidR="0083519B" w:rsidRPr="00823C2C" w:rsidRDefault="0083519B" w:rsidP="003F4104">
      <w:pPr>
        <w:spacing w:after="0" w:line="240" w:lineRule="auto"/>
        <w:jc w:val="both"/>
        <w:rPr>
          <w:rFonts w:ascii="Tahoma" w:hAnsi="Tahoma" w:cs="Tahoma"/>
          <w:sz w:val="20"/>
          <w:szCs w:val="20"/>
        </w:rPr>
      </w:pPr>
      <w:r w:rsidRPr="002D1D62">
        <w:rPr>
          <w:rStyle w:val="Appelnotedebasdep"/>
          <w:rFonts w:ascii="Tahoma" w:hAnsi="Tahoma" w:cs="Tahoma"/>
          <w:sz w:val="20"/>
          <w:szCs w:val="20"/>
        </w:rPr>
        <w:footnoteRef/>
      </w:r>
      <w:r w:rsidRPr="002D1D62">
        <w:rPr>
          <w:rFonts w:ascii="Tahoma" w:hAnsi="Tahoma" w:cs="Tahoma"/>
          <w:sz w:val="20"/>
          <w:szCs w:val="20"/>
        </w:rPr>
        <w:t xml:space="preserve">  Benabid, A. (2000). Op. cit.</w:t>
      </w:r>
    </w:p>
  </w:footnote>
  <w:footnote w:id="310">
    <w:p w:rsidR="0083519B" w:rsidRPr="00823C2C" w:rsidRDefault="0083519B" w:rsidP="003F4104">
      <w:pPr>
        <w:spacing w:after="0" w:line="240" w:lineRule="auto"/>
        <w:jc w:val="both"/>
        <w:rPr>
          <w:rFonts w:ascii="Tahoma" w:hAnsi="Tahoma" w:cs="Tahoma"/>
          <w:sz w:val="20"/>
          <w:szCs w:val="20"/>
        </w:rPr>
      </w:pPr>
      <w:r w:rsidRPr="002D1D62">
        <w:rPr>
          <w:rStyle w:val="Appelnotedebasdep"/>
          <w:rFonts w:ascii="Tahoma" w:hAnsi="Tahoma" w:cs="Tahoma"/>
          <w:sz w:val="20"/>
          <w:szCs w:val="20"/>
        </w:rPr>
        <w:footnoteRef/>
      </w:r>
      <w:r w:rsidRPr="002D1D62">
        <w:rPr>
          <w:rFonts w:ascii="Tahoma" w:hAnsi="Tahoma" w:cs="Tahoma"/>
          <w:sz w:val="20"/>
          <w:szCs w:val="20"/>
        </w:rPr>
        <w:t xml:space="preserve"> Pickett, S. T. A., &amp; White, P. S. (Eds.). (1985). The ecology of natural disturbance and patch dynamics. Academic Press.</w:t>
      </w:r>
    </w:p>
  </w:footnote>
  <w:footnote w:id="311">
    <w:p w:rsidR="0083519B" w:rsidRPr="003F4104" w:rsidRDefault="0083519B" w:rsidP="003F4104">
      <w:pPr>
        <w:spacing w:after="0"/>
        <w:jc w:val="both"/>
        <w:rPr>
          <w:rFonts w:ascii="Tahoma" w:hAnsi="Tahoma" w:cs="Tahoma"/>
          <w:sz w:val="20"/>
          <w:szCs w:val="20"/>
        </w:rPr>
      </w:pPr>
      <w:r w:rsidRPr="002D1D62">
        <w:rPr>
          <w:rStyle w:val="Appelnotedebasdep"/>
          <w:rFonts w:ascii="Tahoma" w:hAnsi="Tahoma" w:cs="Tahoma"/>
          <w:sz w:val="20"/>
          <w:szCs w:val="20"/>
        </w:rPr>
        <w:footnoteRef/>
      </w:r>
      <w:r w:rsidRPr="002D1D62">
        <w:rPr>
          <w:rFonts w:ascii="Tahoma" w:hAnsi="Tahoma" w:cs="Tahoma"/>
          <w:sz w:val="20"/>
          <w:szCs w:val="20"/>
        </w:rPr>
        <w:t xml:space="preserve"> Quézel, P. (2000). Réflexions sur l'évolution de la flore et de la végétation au Maghreb méditerranéen. I</w:t>
      </w:r>
      <w:r>
        <w:rPr>
          <w:rFonts w:ascii="Tahoma" w:hAnsi="Tahoma" w:cs="Tahoma"/>
          <w:sz w:val="20"/>
          <w:szCs w:val="20"/>
        </w:rPr>
        <w:t>bis Press.</w:t>
      </w:r>
    </w:p>
  </w:footnote>
  <w:footnote w:id="312">
    <w:p w:rsidR="0083519B" w:rsidRPr="00823C2C" w:rsidRDefault="0083519B" w:rsidP="003F4104">
      <w:pPr>
        <w:spacing w:after="0"/>
        <w:jc w:val="both"/>
        <w:rPr>
          <w:rFonts w:ascii="Tahoma" w:hAnsi="Tahoma" w:cs="Tahoma"/>
          <w:sz w:val="20"/>
          <w:szCs w:val="20"/>
        </w:rPr>
      </w:pPr>
      <w:r w:rsidRPr="002D1D62">
        <w:rPr>
          <w:rStyle w:val="Appelnotedebasdep"/>
          <w:rFonts w:ascii="Tahoma" w:hAnsi="Tahoma" w:cs="Tahoma"/>
          <w:sz w:val="20"/>
          <w:szCs w:val="20"/>
        </w:rPr>
        <w:footnoteRef/>
      </w:r>
      <w:r w:rsidRPr="002D1D62">
        <w:rPr>
          <w:rFonts w:ascii="Tahoma" w:hAnsi="Tahoma" w:cs="Tahoma"/>
          <w:sz w:val="20"/>
          <w:szCs w:val="20"/>
        </w:rPr>
        <w:t xml:space="preserve">  Lloret, F., Peñuelas, J., &amp; Ogaya, R. (2004). Establishment of co‐existing Mediterranean tree species under a varying soil moisture regime. Journal of Vegetation Science, 15(2), 237-244.</w:t>
      </w:r>
    </w:p>
  </w:footnote>
  <w:footnote w:id="313">
    <w:p w:rsidR="0083519B" w:rsidRPr="002D1D62" w:rsidRDefault="0083519B" w:rsidP="003F4104">
      <w:pPr>
        <w:pStyle w:val="Notedebasdepage"/>
        <w:rPr>
          <w:rFonts w:ascii="Tahoma" w:hAnsi="Tahoma" w:cs="Tahoma"/>
        </w:rPr>
      </w:pPr>
      <w:r w:rsidRPr="002D1D62">
        <w:rPr>
          <w:rStyle w:val="Appelnotedebasdep"/>
          <w:rFonts w:ascii="Tahoma" w:hAnsi="Tahoma" w:cs="Tahoma"/>
        </w:rPr>
        <w:footnoteRef/>
      </w:r>
      <w:r w:rsidRPr="002D1D62">
        <w:rPr>
          <w:rFonts w:ascii="Tahoma" w:hAnsi="Tahoma" w:cs="Tahoma"/>
        </w:rPr>
        <w:t xml:space="preserve"> Valladares, F., et al. (2014). The effects of phenotypic plasticity and local adaptation on forecasts of species range shifts under climate change. Ecology Letters, 17(11), 1351-1364.</w:t>
      </w:r>
    </w:p>
  </w:footnote>
  <w:footnote w:id="314">
    <w:p w:rsidR="0083519B" w:rsidRPr="00BA7465" w:rsidRDefault="0083519B" w:rsidP="003F4104">
      <w:pPr>
        <w:spacing w:after="0"/>
        <w:jc w:val="both"/>
        <w:rPr>
          <w:rFonts w:ascii="Tahoma" w:hAnsi="Tahoma" w:cs="Tahoma"/>
          <w:sz w:val="20"/>
          <w:szCs w:val="20"/>
          <w:lang w:val="es-ES"/>
        </w:rPr>
      </w:pPr>
      <w:r w:rsidRPr="002D1D62">
        <w:rPr>
          <w:rStyle w:val="Appelnotedebasdep"/>
          <w:rFonts w:ascii="Tahoma" w:hAnsi="Tahoma" w:cs="Tahoma"/>
          <w:sz w:val="20"/>
          <w:szCs w:val="20"/>
        </w:rPr>
        <w:footnoteRef/>
      </w:r>
      <w:r w:rsidRPr="002D1D62">
        <w:rPr>
          <w:rFonts w:ascii="Tahoma" w:hAnsi="Tahoma" w:cs="Tahoma"/>
          <w:sz w:val="20"/>
          <w:szCs w:val="20"/>
        </w:rPr>
        <w:t xml:space="preserve"> Mediavilla, S., &amp; Escudero, A. (2003). Leaf life span differs from retention time of biomass and nutrients in the crowns of evergreen species. </w:t>
      </w:r>
      <w:r w:rsidRPr="00BA7465">
        <w:rPr>
          <w:rFonts w:ascii="Tahoma" w:hAnsi="Tahoma" w:cs="Tahoma"/>
          <w:sz w:val="20"/>
          <w:szCs w:val="20"/>
          <w:lang w:val="es-ES"/>
        </w:rPr>
        <w:t>Functional Ecology, 17(4), 541-548.</w:t>
      </w:r>
    </w:p>
  </w:footnote>
  <w:footnote w:id="315">
    <w:p w:rsidR="0083519B" w:rsidRPr="00823C2C" w:rsidRDefault="0083519B" w:rsidP="003F4104">
      <w:pPr>
        <w:spacing w:after="0"/>
        <w:jc w:val="both"/>
        <w:rPr>
          <w:rFonts w:ascii="Tahoma" w:hAnsi="Tahoma" w:cs="Tahoma"/>
          <w:sz w:val="20"/>
          <w:szCs w:val="20"/>
        </w:rPr>
      </w:pPr>
      <w:r w:rsidRPr="002D1D62">
        <w:rPr>
          <w:rStyle w:val="Appelnotedebasdep"/>
          <w:rFonts w:ascii="Tahoma" w:hAnsi="Tahoma" w:cs="Tahoma"/>
          <w:sz w:val="20"/>
          <w:szCs w:val="20"/>
        </w:rPr>
        <w:footnoteRef/>
      </w:r>
      <w:r w:rsidRPr="00BA7465">
        <w:rPr>
          <w:rFonts w:ascii="Tahoma" w:hAnsi="Tahoma" w:cs="Tahoma"/>
          <w:sz w:val="20"/>
          <w:szCs w:val="20"/>
          <w:lang w:val="es-ES"/>
        </w:rPr>
        <w:t xml:space="preserve"> Specht, R. L. (1988). Mediterranean-type ecosystems. In Mediterranean-type ecosystems (pp. 157-174). </w:t>
      </w:r>
      <w:r w:rsidRPr="002D1D62">
        <w:rPr>
          <w:rFonts w:ascii="Tahoma" w:hAnsi="Tahoma" w:cs="Tahoma"/>
          <w:sz w:val="20"/>
          <w:szCs w:val="20"/>
        </w:rPr>
        <w:t>Springer.</w:t>
      </w:r>
    </w:p>
  </w:footnote>
  <w:footnote w:id="316">
    <w:p w:rsidR="0083519B" w:rsidRPr="00BA7465" w:rsidRDefault="0083519B" w:rsidP="003F4104">
      <w:pPr>
        <w:spacing w:after="0"/>
        <w:jc w:val="both"/>
        <w:rPr>
          <w:rFonts w:ascii="Tahoma" w:hAnsi="Tahoma" w:cs="Tahoma"/>
          <w:sz w:val="20"/>
          <w:szCs w:val="20"/>
          <w:lang w:val="es-ES"/>
        </w:rPr>
      </w:pPr>
      <w:r w:rsidRPr="002D1D62">
        <w:rPr>
          <w:rStyle w:val="Appelnotedebasdep"/>
          <w:rFonts w:ascii="Tahoma" w:hAnsi="Tahoma" w:cs="Tahoma"/>
          <w:sz w:val="20"/>
          <w:szCs w:val="20"/>
        </w:rPr>
        <w:footnoteRef/>
      </w:r>
      <w:r w:rsidRPr="002D1D62">
        <w:rPr>
          <w:rFonts w:ascii="Tahoma" w:hAnsi="Tahoma" w:cs="Tahoma"/>
          <w:sz w:val="20"/>
          <w:szCs w:val="20"/>
        </w:rPr>
        <w:t xml:space="preserve"> Barbero, M., Loisel, R., Quézel, P., Richardson, D. M., &amp; Romane, F. (1998). </w:t>
      </w:r>
      <w:r w:rsidRPr="00BA7465">
        <w:rPr>
          <w:rFonts w:ascii="Tahoma" w:hAnsi="Tahoma" w:cs="Tahoma"/>
          <w:sz w:val="20"/>
          <w:szCs w:val="20"/>
          <w:lang w:val="es-ES"/>
        </w:rPr>
        <w:t>Pines of the Mediterranean Basin. In Ecology and biogeography of Pinus (pp. 153-170). Cambridge University Press.</w:t>
      </w:r>
    </w:p>
  </w:footnote>
  <w:footnote w:id="317">
    <w:p w:rsidR="0083519B" w:rsidRPr="00BA7465" w:rsidRDefault="0083519B" w:rsidP="003F4104">
      <w:pPr>
        <w:spacing w:after="0"/>
        <w:jc w:val="both"/>
        <w:rPr>
          <w:rFonts w:ascii="Tahoma" w:hAnsi="Tahoma" w:cs="Tahoma"/>
          <w:sz w:val="20"/>
          <w:szCs w:val="20"/>
          <w:lang w:val="es-ES"/>
        </w:rPr>
      </w:pPr>
      <w:r w:rsidRPr="002D1D62">
        <w:rPr>
          <w:rStyle w:val="Appelnotedebasdep"/>
          <w:rFonts w:ascii="Tahoma" w:hAnsi="Tahoma" w:cs="Tahoma"/>
          <w:sz w:val="20"/>
          <w:szCs w:val="20"/>
        </w:rPr>
        <w:footnoteRef/>
      </w:r>
      <w:r w:rsidRPr="00BA7465">
        <w:rPr>
          <w:rFonts w:ascii="Tahoma" w:hAnsi="Tahoma" w:cs="Tahoma"/>
          <w:sz w:val="20"/>
          <w:szCs w:val="20"/>
          <w:lang w:val="es-ES"/>
        </w:rPr>
        <w:t xml:space="preserve">  Pausas, J. G., Bladé, C., Valdecantos, A., Seva, J. P., Fuentes, D., Alloza, J. A., ... </w:t>
      </w:r>
      <w:r w:rsidRPr="002D1D62">
        <w:rPr>
          <w:rFonts w:ascii="Tahoma" w:hAnsi="Tahoma" w:cs="Tahoma"/>
          <w:sz w:val="20"/>
          <w:szCs w:val="20"/>
        </w:rPr>
        <w:t xml:space="preserve">&amp; Llovet, J. (2004). Pines and oaks in the restoration of Mediterranean landscapes of Spain: new perspectives for an old practice—a review. </w:t>
      </w:r>
      <w:r w:rsidRPr="00BA7465">
        <w:rPr>
          <w:rFonts w:ascii="Tahoma" w:hAnsi="Tahoma" w:cs="Tahoma"/>
          <w:sz w:val="20"/>
          <w:szCs w:val="20"/>
          <w:lang w:val="es-ES"/>
        </w:rPr>
        <w:t>Plant Ecology, 171(1-2), 209-220.</w:t>
      </w:r>
    </w:p>
  </w:footnote>
  <w:footnote w:id="318">
    <w:p w:rsidR="0083519B" w:rsidRPr="00823C2C" w:rsidRDefault="0083519B" w:rsidP="003F4104">
      <w:pPr>
        <w:spacing w:after="0"/>
        <w:jc w:val="both"/>
        <w:rPr>
          <w:rFonts w:ascii="Tahoma" w:hAnsi="Tahoma" w:cs="Tahoma"/>
          <w:sz w:val="20"/>
          <w:szCs w:val="20"/>
        </w:rPr>
      </w:pPr>
      <w:r w:rsidRPr="002D1D62">
        <w:rPr>
          <w:rStyle w:val="Appelnotedebasdep"/>
          <w:rFonts w:ascii="Tahoma" w:hAnsi="Tahoma" w:cs="Tahoma"/>
          <w:sz w:val="20"/>
          <w:szCs w:val="20"/>
        </w:rPr>
        <w:footnoteRef/>
      </w:r>
      <w:r w:rsidRPr="00BA7465">
        <w:rPr>
          <w:rFonts w:ascii="Tahoma" w:hAnsi="Tahoma" w:cs="Tahoma"/>
          <w:sz w:val="20"/>
          <w:szCs w:val="20"/>
          <w:lang w:val="es-ES"/>
        </w:rPr>
        <w:t xml:space="preserve">  Andreu, L., Gutiérrez, E., Macias, M., Ribas, M., Bosch, O., &amp; Camarero, J. J. (2007). Climate increases regional tree‐growth variability in Iberian pine forests. </w:t>
      </w:r>
      <w:r w:rsidRPr="002D1D62">
        <w:rPr>
          <w:rFonts w:ascii="Tahoma" w:hAnsi="Tahoma" w:cs="Tahoma"/>
          <w:sz w:val="20"/>
          <w:szCs w:val="20"/>
        </w:rPr>
        <w:t>Global Change Biology, 13(4), 804-815.</w:t>
      </w:r>
    </w:p>
  </w:footnote>
  <w:footnote w:id="319">
    <w:p w:rsidR="0083519B" w:rsidRPr="00823C2C" w:rsidRDefault="0083519B" w:rsidP="003F4104">
      <w:pPr>
        <w:spacing w:after="0"/>
        <w:jc w:val="both"/>
        <w:rPr>
          <w:rFonts w:ascii="Tahoma" w:hAnsi="Tahoma" w:cs="Tahoma"/>
          <w:sz w:val="20"/>
          <w:szCs w:val="20"/>
        </w:rPr>
      </w:pPr>
      <w:r w:rsidRPr="002D1D62">
        <w:rPr>
          <w:rStyle w:val="Appelnotedebasdep"/>
          <w:rFonts w:ascii="Tahoma" w:hAnsi="Tahoma" w:cs="Tahoma"/>
          <w:sz w:val="20"/>
          <w:szCs w:val="20"/>
        </w:rPr>
        <w:footnoteRef/>
      </w:r>
      <w:r w:rsidRPr="002D1D62">
        <w:rPr>
          <w:rFonts w:ascii="Tahoma" w:hAnsi="Tahoma" w:cs="Tahoma"/>
          <w:sz w:val="20"/>
          <w:szCs w:val="20"/>
        </w:rPr>
        <w:t xml:space="preserve"> Carrer, M., &amp; Urbinati, C. (2004). Age‐dependent tree‐ring growth responses to climate in Larix decidua and Pinus cembra. Ecology, 85(3), 730-740.</w:t>
      </w:r>
    </w:p>
  </w:footnote>
  <w:footnote w:id="320">
    <w:p w:rsidR="0083519B" w:rsidRPr="00823C2C" w:rsidRDefault="0083519B" w:rsidP="0025618D">
      <w:pPr>
        <w:spacing w:after="0"/>
        <w:jc w:val="both"/>
        <w:rPr>
          <w:rFonts w:ascii="Tahoma" w:hAnsi="Tahoma" w:cs="Tahoma"/>
          <w:sz w:val="20"/>
          <w:szCs w:val="20"/>
        </w:rPr>
      </w:pPr>
      <w:r w:rsidRPr="002D1D62">
        <w:rPr>
          <w:rStyle w:val="Appelnotedebasdep"/>
          <w:rFonts w:ascii="Tahoma" w:hAnsi="Tahoma" w:cs="Tahoma"/>
          <w:sz w:val="20"/>
          <w:szCs w:val="20"/>
        </w:rPr>
        <w:footnoteRef/>
      </w:r>
      <w:r w:rsidRPr="002D1D62">
        <w:rPr>
          <w:rFonts w:ascii="Tahoma" w:hAnsi="Tahoma" w:cs="Tahoma"/>
          <w:sz w:val="20"/>
          <w:szCs w:val="20"/>
        </w:rPr>
        <w:t xml:space="preserve"> Quézel, P., &amp; Médail, F. (2003). Op. cit.</w:t>
      </w:r>
    </w:p>
  </w:footnote>
  <w:footnote w:id="321">
    <w:p w:rsidR="0083519B" w:rsidRPr="00823C2C" w:rsidRDefault="0083519B" w:rsidP="0025618D">
      <w:pPr>
        <w:spacing w:after="0"/>
        <w:jc w:val="both"/>
        <w:rPr>
          <w:rFonts w:ascii="Tahoma" w:hAnsi="Tahoma" w:cs="Tahoma"/>
          <w:sz w:val="20"/>
          <w:szCs w:val="20"/>
        </w:rPr>
      </w:pPr>
      <w:r w:rsidRPr="002D1D62">
        <w:rPr>
          <w:rStyle w:val="Appelnotedebasdep"/>
          <w:rFonts w:ascii="Tahoma" w:hAnsi="Tahoma" w:cs="Tahoma"/>
          <w:sz w:val="20"/>
          <w:szCs w:val="20"/>
        </w:rPr>
        <w:footnoteRef/>
      </w:r>
      <w:r w:rsidRPr="002D1D62">
        <w:rPr>
          <w:rFonts w:ascii="Tahoma" w:hAnsi="Tahoma" w:cs="Tahoma"/>
          <w:sz w:val="20"/>
          <w:szCs w:val="20"/>
        </w:rPr>
        <w:t xml:space="preserve"> Grime, J. P. (2001). Plant strategies, vegetation processes, and ecosystem properties. John Wiley &amp; Sons.</w:t>
      </w:r>
    </w:p>
  </w:footnote>
  <w:footnote w:id="322">
    <w:p w:rsidR="0083519B" w:rsidRPr="00823C2C" w:rsidRDefault="0083519B" w:rsidP="0025618D">
      <w:pPr>
        <w:spacing w:after="0"/>
        <w:jc w:val="both"/>
        <w:rPr>
          <w:rFonts w:ascii="Tahoma" w:hAnsi="Tahoma" w:cs="Tahoma"/>
          <w:sz w:val="20"/>
          <w:szCs w:val="20"/>
        </w:rPr>
      </w:pPr>
      <w:r w:rsidRPr="002D1D62">
        <w:rPr>
          <w:rStyle w:val="Appelnotedebasdep"/>
          <w:rFonts w:ascii="Tahoma" w:hAnsi="Tahoma" w:cs="Tahoma"/>
          <w:sz w:val="20"/>
          <w:szCs w:val="20"/>
        </w:rPr>
        <w:footnoteRef/>
      </w:r>
      <w:r w:rsidRPr="002D1D62">
        <w:rPr>
          <w:rFonts w:ascii="Tahoma" w:hAnsi="Tahoma" w:cs="Tahoma"/>
          <w:sz w:val="20"/>
          <w:szCs w:val="20"/>
        </w:rPr>
        <w:t xml:space="preserve"> Pickett, S. T. A., Collins, S. L., &amp; Armesto, J. J. (1987). Models, mechanisms and pathways of succession. The Botanical Review, 53(3), 335-371.</w:t>
      </w:r>
    </w:p>
  </w:footnote>
  <w:footnote w:id="323">
    <w:p w:rsidR="0083519B" w:rsidRPr="004F5D3F" w:rsidRDefault="0083519B" w:rsidP="004F5D3F">
      <w:pPr>
        <w:spacing w:after="0"/>
        <w:jc w:val="both"/>
        <w:rPr>
          <w:rFonts w:ascii="Tahoma" w:hAnsi="Tahoma" w:cs="Tahoma"/>
          <w:sz w:val="20"/>
          <w:szCs w:val="20"/>
        </w:rPr>
      </w:pPr>
      <w:r w:rsidRPr="002D1D62">
        <w:rPr>
          <w:rStyle w:val="Appelnotedebasdep"/>
          <w:rFonts w:ascii="Tahoma" w:hAnsi="Tahoma" w:cs="Tahoma"/>
          <w:sz w:val="20"/>
          <w:szCs w:val="20"/>
        </w:rPr>
        <w:footnoteRef/>
      </w:r>
      <w:r w:rsidRPr="002D1D62">
        <w:rPr>
          <w:rFonts w:ascii="Tahoma" w:hAnsi="Tahoma" w:cs="Tahoma"/>
          <w:sz w:val="20"/>
          <w:szCs w:val="20"/>
        </w:rPr>
        <w:t xml:space="preserve"> Tilman, D. (1985). The resource‐ratio hypothesis of plant succession. The Americ</w:t>
      </w:r>
      <w:r>
        <w:rPr>
          <w:rFonts w:ascii="Tahoma" w:hAnsi="Tahoma" w:cs="Tahoma"/>
          <w:sz w:val="20"/>
          <w:szCs w:val="20"/>
        </w:rPr>
        <w:t>an Naturalist, 125(6), 827-852.</w:t>
      </w:r>
    </w:p>
  </w:footnote>
  <w:footnote w:id="324">
    <w:p w:rsidR="0083519B" w:rsidRPr="00823C2C" w:rsidRDefault="0083519B" w:rsidP="00823C2C">
      <w:pPr>
        <w:spacing w:after="0"/>
        <w:jc w:val="both"/>
        <w:rPr>
          <w:rFonts w:ascii="Tahoma" w:hAnsi="Tahoma" w:cs="Tahoma"/>
          <w:sz w:val="20"/>
          <w:szCs w:val="20"/>
        </w:rPr>
      </w:pPr>
      <w:r w:rsidRPr="002D1D62">
        <w:rPr>
          <w:rStyle w:val="Appelnotedebasdep"/>
          <w:rFonts w:ascii="Tahoma" w:hAnsi="Tahoma" w:cs="Tahoma"/>
          <w:sz w:val="20"/>
          <w:szCs w:val="20"/>
        </w:rPr>
        <w:footnoteRef/>
      </w:r>
      <w:r w:rsidRPr="002D1D62">
        <w:rPr>
          <w:rFonts w:ascii="Tahoma" w:hAnsi="Tahoma" w:cs="Tahoma"/>
          <w:sz w:val="20"/>
          <w:szCs w:val="20"/>
        </w:rPr>
        <w:t xml:space="preserve"> Puigdefábregas, J., &amp; Mendizabal, T. (1998). Perspectives on desertification: western Mediterranean. Journal of Arid Environments, 39(2), 209-224.</w:t>
      </w:r>
    </w:p>
  </w:footnote>
  <w:footnote w:id="325">
    <w:p w:rsidR="0083519B" w:rsidRPr="00823C2C" w:rsidRDefault="0083519B" w:rsidP="00823C2C">
      <w:pPr>
        <w:spacing w:after="0"/>
        <w:jc w:val="both"/>
        <w:rPr>
          <w:rFonts w:ascii="Tahoma" w:hAnsi="Tahoma" w:cs="Tahoma"/>
          <w:sz w:val="20"/>
          <w:szCs w:val="20"/>
        </w:rPr>
      </w:pPr>
      <w:r w:rsidRPr="002D1D62">
        <w:rPr>
          <w:rStyle w:val="Appelnotedebasdep"/>
          <w:rFonts w:ascii="Tahoma" w:hAnsi="Tahoma" w:cs="Tahoma"/>
          <w:sz w:val="20"/>
          <w:szCs w:val="20"/>
        </w:rPr>
        <w:footnoteRef/>
      </w:r>
      <w:r w:rsidRPr="002D1D62">
        <w:rPr>
          <w:rFonts w:ascii="Tahoma" w:hAnsi="Tahoma" w:cs="Tahoma"/>
          <w:sz w:val="20"/>
          <w:szCs w:val="20"/>
        </w:rPr>
        <w:t xml:space="preserve"> Hooper, D. U., et al. (2005). Effects of biodiversity on ecosystem functioning: a consensus of current knowledge. Ecological Monographs, 75(1), 3-35.</w:t>
      </w:r>
    </w:p>
  </w:footnote>
  <w:footnote w:id="326">
    <w:p w:rsidR="0083519B" w:rsidRPr="00823C2C" w:rsidRDefault="0083519B" w:rsidP="00823C2C">
      <w:pPr>
        <w:spacing w:after="0"/>
        <w:jc w:val="both"/>
        <w:rPr>
          <w:rFonts w:ascii="Tahoma" w:hAnsi="Tahoma" w:cs="Tahoma"/>
          <w:sz w:val="20"/>
          <w:szCs w:val="20"/>
        </w:rPr>
      </w:pPr>
      <w:r w:rsidRPr="002D1D62">
        <w:rPr>
          <w:rStyle w:val="Appelnotedebasdep"/>
          <w:rFonts w:ascii="Tahoma" w:hAnsi="Tahoma" w:cs="Tahoma"/>
          <w:sz w:val="20"/>
          <w:szCs w:val="20"/>
        </w:rPr>
        <w:footnoteRef/>
      </w:r>
      <w:r w:rsidRPr="002D1D62">
        <w:rPr>
          <w:rFonts w:ascii="Tahoma" w:hAnsi="Tahoma" w:cs="Tahoma"/>
          <w:sz w:val="20"/>
          <w:szCs w:val="20"/>
        </w:rPr>
        <w:t xml:space="preserve"> Chuvieco, E., &amp; Congalton, R. G. (1989). Application of remote sensing and geographic information systems to forest fire hazard mapping. Remote Sensing of Environment, 29(2), 147-159.</w:t>
      </w:r>
    </w:p>
  </w:footnote>
  <w:footnote w:id="327">
    <w:p w:rsidR="0083519B" w:rsidRPr="00823C2C" w:rsidRDefault="0083519B" w:rsidP="00823C2C">
      <w:pPr>
        <w:spacing w:after="0"/>
        <w:jc w:val="both"/>
        <w:rPr>
          <w:rFonts w:ascii="Tahoma" w:hAnsi="Tahoma" w:cs="Tahoma"/>
          <w:sz w:val="20"/>
          <w:szCs w:val="20"/>
        </w:rPr>
      </w:pPr>
      <w:r w:rsidRPr="002D1D62">
        <w:rPr>
          <w:rStyle w:val="Appelnotedebasdep"/>
          <w:rFonts w:ascii="Tahoma" w:hAnsi="Tahoma" w:cs="Tahoma"/>
          <w:sz w:val="20"/>
          <w:szCs w:val="20"/>
        </w:rPr>
        <w:footnoteRef/>
      </w:r>
      <w:r w:rsidRPr="002D1D62">
        <w:rPr>
          <w:rFonts w:ascii="Tahoma" w:hAnsi="Tahoma" w:cs="Tahoma"/>
          <w:sz w:val="20"/>
          <w:szCs w:val="20"/>
        </w:rPr>
        <w:t xml:space="preserve"> Lal, R. (2005). Forest soils and carbon sequestration. Forest Ecology and Management, 220(1-3), 242-258.</w:t>
      </w:r>
    </w:p>
  </w:footnote>
  <w:footnote w:id="328">
    <w:p w:rsidR="0083519B" w:rsidRPr="00823C2C" w:rsidRDefault="0083519B" w:rsidP="00823C2C">
      <w:pPr>
        <w:spacing w:after="0"/>
        <w:jc w:val="both"/>
        <w:rPr>
          <w:rFonts w:ascii="Tahoma" w:hAnsi="Tahoma" w:cs="Tahoma"/>
          <w:sz w:val="20"/>
          <w:szCs w:val="20"/>
        </w:rPr>
      </w:pPr>
      <w:r w:rsidRPr="002D1D62">
        <w:rPr>
          <w:rStyle w:val="Appelnotedebasdep"/>
          <w:rFonts w:ascii="Tahoma" w:hAnsi="Tahoma" w:cs="Tahoma"/>
          <w:sz w:val="20"/>
          <w:szCs w:val="20"/>
        </w:rPr>
        <w:footnoteRef/>
      </w:r>
      <w:r w:rsidRPr="002D1D62">
        <w:rPr>
          <w:rFonts w:ascii="Tahoma" w:hAnsi="Tahoma" w:cs="Tahoma"/>
          <w:sz w:val="20"/>
          <w:szCs w:val="20"/>
        </w:rPr>
        <w:t xml:space="preserve"> Rundel, P. W. (1998). Landscape disturbance in mediterranean‐type ecosystems: an overview. In Landscape disturbance and biodiversity in Mediterranean‐type ecosystems (pp. 3-22). Springer.</w:t>
      </w:r>
    </w:p>
  </w:footnote>
  <w:footnote w:id="329">
    <w:p w:rsidR="0083519B" w:rsidRPr="004F5D3F" w:rsidRDefault="0083519B" w:rsidP="004F5D3F">
      <w:pPr>
        <w:spacing w:after="0"/>
        <w:jc w:val="both"/>
        <w:rPr>
          <w:rFonts w:ascii="Tahoma" w:hAnsi="Tahoma" w:cs="Tahoma"/>
          <w:sz w:val="20"/>
          <w:szCs w:val="20"/>
        </w:rPr>
      </w:pPr>
      <w:r w:rsidRPr="002D1D62">
        <w:rPr>
          <w:rStyle w:val="Appelnotedebasdep"/>
          <w:rFonts w:ascii="Tahoma" w:hAnsi="Tahoma" w:cs="Tahoma"/>
          <w:sz w:val="20"/>
          <w:szCs w:val="20"/>
        </w:rPr>
        <w:footnoteRef/>
      </w:r>
      <w:r w:rsidRPr="002D1D62">
        <w:rPr>
          <w:rFonts w:ascii="Tahoma" w:hAnsi="Tahoma" w:cs="Tahoma"/>
          <w:sz w:val="20"/>
          <w:szCs w:val="20"/>
        </w:rPr>
        <w:t xml:space="preserve"> García‐Fayos, P., Recatalá, T. M., Cerdà, A., &amp; Calvo, A. (2000). Seed population dynamics on badland slopes in southeastern Spain. Journal of Vege</w:t>
      </w:r>
      <w:r>
        <w:rPr>
          <w:rFonts w:ascii="Tahoma" w:hAnsi="Tahoma" w:cs="Tahoma"/>
          <w:sz w:val="20"/>
          <w:szCs w:val="20"/>
        </w:rPr>
        <w:t>tation Science, 11(3), 373-380.</w:t>
      </w:r>
    </w:p>
  </w:footnote>
  <w:footnote w:id="330">
    <w:p w:rsidR="0083519B" w:rsidRPr="00823C2C" w:rsidRDefault="0083519B" w:rsidP="00072E58">
      <w:pPr>
        <w:spacing w:after="0"/>
        <w:jc w:val="both"/>
        <w:rPr>
          <w:rFonts w:ascii="Tahoma" w:hAnsi="Tahoma" w:cs="Tahoma"/>
          <w:sz w:val="20"/>
          <w:szCs w:val="20"/>
        </w:rPr>
      </w:pPr>
      <w:r w:rsidRPr="002D1D62">
        <w:rPr>
          <w:rStyle w:val="Appelnotedebasdep"/>
          <w:rFonts w:ascii="Tahoma" w:hAnsi="Tahoma" w:cs="Tahoma"/>
          <w:sz w:val="20"/>
          <w:szCs w:val="20"/>
        </w:rPr>
        <w:footnoteRef/>
      </w:r>
      <w:r w:rsidRPr="00BA7465">
        <w:rPr>
          <w:rFonts w:ascii="Tahoma" w:hAnsi="Tahoma" w:cs="Tahoma"/>
          <w:sz w:val="20"/>
          <w:szCs w:val="20"/>
          <w:lang w:val="es-ES"/>
        </w:rPr>
        <w:t xml:space="preserve"> Pueyo, Y., Alados, C. L., García‐Ávila, B., Kéfi, S., Maestro, M., &amp; Rietkerk, M. (2009). </w:t>
      </w:r>
      <w:r w:rsidRPr="002D1D62">
        <w:rPr>
          <w:rFonts w:ascii="Tahoma" w:hAnsi="Tahoma" w:cs="Tahoma"/>
          <w:sz w:val="20"/>
          <w:szCs w:val="20"/>
        </w:rPr>
        <w:t>Comparing direct arid land degradation assessment with vegetation structure analysis. Land Degradation &amp; Development, 20(3), 308-325.</w:t>
      </w:r>
    </w:p>
  </w:footnote>
  <w:footnote w:id="331">
    <w:p w:rsidR="0083519B" w:rsidRPr="00823C2C" w:rsidRDefault="0083519B" w:rsidP="00072E58">
      <w:pPr>
        <w:spacing w:after="0"/>
        <w:jc w:val="both"/>
        <w:rPr>
          <w:rFonts w:ascii="Tahoma" w:hAnsi="Tahoma" w:cs="Tahoma"/>
          <w:sz w:val="20"/>
          <w:szCs w:val="20"/>
        </w:rPr>
      </w:pPr>
      <w:r w:rsidRPr="002D1D62">
        <w:rPr>
          <w:rStyle w:val="Appelnotedebasdep"/>
          <w:rFonts w:ascii="Tahoma" w:hAnsi="Tahoma" w:cs="Tahoma"/>
          <w:sz w:val="20"/>
          <w:szCs w:val="20"/>
        </w:rPr>
        <w:footnoteRef/>
      </w:r>
      <w:r w:rsidRPr="002D1D62">
        <w:rPr>
          <w:rFonts w:ascii="Tahoma" w:hAnsi="Tahoma" w:cs="Tahoma"/>
          <w:sz w:val="20"/>
          <w:szCs w:val="20"/>
        </w:rPr>
        <w:t xml:space="preserve"> Peco, B., de Pablos, I., Traba, J., &amp; Levassor, C. (2005). The effect of grazing abandonment on species composition and functional traits: the case of dehesa grasslands. Basic and Applied Ecology, 6(2), 175-183.</w:t>
      </w:r>
    </w:p>
  </w:footnote>
  <w:footnote w:id="332">
    <w:p w:rsidR="0083519B" w:rsidRPr="004F5D3F" w:rsidRDefault="0083519B" w:rsidP="004F5D3F">
      <w:pPr>
        <w:spacing w:after="0"/>
        <w:rPr>
          <w:sz w:val="2"/>
          <w:szCs w:val="2"/>
        </w:rPr>
      </w:pPr>
    </w:p>
    <w:p w:rsidR="0083519B" w:rsidRPr="00072E58" w:rsidRDefault="0083519B" w:rsidP="004F5D3F">
      <w:pPr>
        <w:spacing w:after="0"/>
        <w:jc w:val="both"/>
        <w:rPr>
          <w:rFonts w:ascii="Tahoma" w:hAnsi="Tahoma" w:cs="Tahoma"/>
          <w:sz w:val="8"/>
          <w:szCs w:val="8"/>
        </w:rPr>
      </w:pPr>
    </w:p>
  </w:footnote>
  <w:footnote w:id="333">
    <w:p w:rsidR="0083519B" w:rsidRPr="00823C2C" w:rsidRDefault="0083519B" w:rsidP="004F5D3F">
      <w:pPr>
        <w:spacing w:after="0"/>
        <w:jc w:val="both"/>
        <w:rPr>
          <w:rFonts w:ascii="Tahoma" w:hAnsi="Tahoma" w:cs="Tahoma"/>
          <w:sz w:val="20"/>
          <w:szCs w:val="20"/>
        </w:rPr>
      </w:pPr>
      <w:r w:rsidRPr="002D1D62">
        <w:rPr>
          <w:rStyle w:val="Appelnotedebasdep"/>
          <w:rFonts w:ascii="Tahoma" w:hAnsi="Tahoma" w:cs="Tahoma"/>
          <w:sz w:val="20"/>
          <w:szCs w:val="20"/>
        </w:rPr>
        <w:footnoteRef/>
      </w:r>
      <w:r w:rsidRPr="002D1D62">
        <w:rPr>
          <w:rFonts w:ascii="Tahoma" w:hAnsi="Tahoma" w:cs="Tahoma"/>
          <w:sz w:val="20"/>
          <w:szCs w:val="20"/>
        </w:rPr>
        <w:t xml:space="preserve"> Chapin III, F. S., et al. (2000). Consequences of changing biodiversity. Nature, 405(6783), 234-242.</w:t>
      </w:r>
    </w:p>
  </w:footnote>
  <w:footnote w:id="334">
    <w:p w:rsidR="0083519B" w:rsidRPr="004F5D3F" w:rsidRDefault="0083519B" w:rsidP="004F5D3F">
      <w:pPr>
        <w:spacing w:after="0"/>
        <w:jc w:val="both"/>
        <w:rPr>
          <w:rFonts w:ascii="Tahoma" w:hAnsi="Tahoma" w:cs="Tahoma"/>
          <w:sz w:val="20"/>
          <w:szCs w:val="20"/>
        </w:rPr>
      </w:pPr>
      <w:r w:rsidRPr="002D1D62">
        <w:rPr>
          <w:rStyle w:val="Appelnotedebasdep"/>
          <w:rFonts w:ascii="Tahoma" w:hAnsi="Tahoma" w:cs="Tahoma"/>
          <w:sz w:val="20"/>
          <w:szCs w:val="20"/>
        </w:rPr>
        <w:footnoteRef/>
      </w:r>
      <w:r w:rsidRPr="002D1D62">
        <w:rPr>
          <w:rFonts w:ascii="Tahoma" w:hAnsi="Tahoma" w:cs="Tahoma"/>
          <w:sz w:val="20"/>
          <w:szCs w:val="20"/>
        </w:rPr>
        <w:t xml:space="preserve"> Folke, C., Carpenter, S., Walker, B., Scheffer, M., Elmqvist, T., Gunderson, L., &amp; Holling, C. S. (2004). Regime shifts, resilience, and biodiversity in ecosystem management. Annual Review of Ecology, Evolution</w:t>
      </w:r>
      <w:r>
        <w:rPr>
          <w:rFonts w:ascii="Tahoma" w:hAnsi="Tahoma" w:cs="Tahoma"/>
          <w:sz w:val="20"/>
          <w:szCs w:val="20"/>
        </w:rPr>
        <w:t>, and Systematics, 35, 557-581.</w:t>
      </w:r>
    </w:p>
  </w:footnote>
  <w:footnote w:id="335">
    <w:p w:rsidR="0083519B" w:rsidRPr="00663E41" w:rsidRDefault="0083519B" w:rsidP="004F5D3F">
      <w:pPr>
        <w:spacing w:after="0"/>
        <w:jc w:val="both"/>
        <w:rPr>
          <w:rFonts w:ascii="Tahoma" w:hAnsi="Tahoma" w:cs="Tahoma"/>
          <w:sz w:val="20"/>
          <w:szCs w:val="20"/>
        </w:rPr>
      </w:pPr>
      <w:r w:rsidRPr="002D1D62">
        <w:rPr>
          <w:rStyle w:val="Appelnotedebasdep"/>
          <w:rFonts w:ascii="Tahoma" w:hAnsi="Tahoma" w:cs="Tahoma"/>
          <w:sz w:val="20"/>
          <w:szCs w:val="20"/>
        </w:rPr>
        <w:footnoteRef/>
      </w:r>
      <w:r w:rsidRPr="00BA7465">
        <w:rPr>
          <w:rFonts w:ascii="Tahoma" w:hAnsi="Tahoma" w:cs="Tahoma"/>
          <w:sz w:val="20"/>
          <w:szCs w:val="20"/>
          <w:lang w:val="es-ES"/>
        </w:rPr>
        <w:t xml:space="preserve"> Papanastasis, V. P., Yiakoulaki, M. D., Decandia, M., &amp; Dini-Papanastasi, O. (2008). Integrating woody species into livestock feeding in the Mediterranean areas of Europe. </w:t>
      </w:r>
      <w:r w:rsidRPr="002D1D62">
        <w:rPr>
          <w:rFonts w:ascii="Tahoma" w:hAnsi="Tahoma" w:cs="Tahoma"/>
          <w:sz w:val="20"/>
          <w:szCs w:val="20"/>
        </w:rPr>
        <w:t>Animal Feed Science and Technology, 140(1-2), 1-17.</w:t>
      </w:r>
    </w:p>
  </w:footnote>
  <w:footnote w:id="336">
    <w:p w:rsidR="0083519B" w:rsidRPr="00663E41" w:rsidRDefault="0083519B" w:rsidP="004F5D3F">
      <w:pPr>
        <w:spacing w:after="0"/>
        <w:jc w:val="both"/>
        <w:rPr>
          <w:rFonts w:ascii="Tahoma" w:hAnsi="Tahoma" w:cs="Tahoma"/>
          <w:sz w:val="20"/>
          <w:szCs w:val="20"/>
        </w:rPr>
      </w:pPr>
      <w:r w:rsidRPr="004F5D3F">
        <w:footnoteRef/>
      </w:r>
      <w:r w:rsidRPr="002D1D62">
        <w:rPr>
          <w:rFonts w:ascii="Tahoma" w:hAnsi="Tahoma" w:cs="Tahoma"/>
          <w:sz w:val="20"/>
          <w:szCs w:val="20"/>
        </w:rPr>
        <w:t xml:space="preserve"> Perevolotsky, A., &amp; Seligman, N. G. (1998). Role of grazing in Mediterranean rangeland ecosystems: inversion of a paradigm. Bioscience, 48(12), 1007-1017.</w:t>
      </w:r>
    </w:p>
  </w:footnote>
  <w:footnote w:id="337">
    <w:p w:rsidR="0083519B" w:rsidRPr="00663E41" w:rsidRDefault="0083519B" w:rsidP="004F5D3F">
      <w:pPr>
        <w:spacing w:after="0"/>
        <w:jc w:val="both"/>
        <w:rPr>
          <w:rFonts w:ascii="Tahoma" w:hAnsi="Tahoma" w:cs="Tahoma"/>
          <w:sz w:val="20"/>
          <w:szCs w:val="20"/>
        </w:rPr>
      </w:pPr>
      <w:r w:rsidRPr="004F5D3F">
        <w:footnoteRef/>
      </w:r>
      <w:r w:rsidRPr="002D1D62">
        <w:rPr>
          <w:rFonts w:ascii="Tahoma" w:hAnsi="Tahoma" w:cs="Tahoma"/>
          <w:sz w:val="20"/>
          <w:szCs w:val="20"/>
        </w:rPr>
        <w:t xml:space="preserve"> Robles, A. B., &amp; Passera, C. B. (1995). Native forage shrub species in north‐eastern Patagonia, Argentina: browse selection preferences and performance by sheep. Journal of Arid Environments, 31(3), 273-279.</w:t>
      </w:r>
    </w:p>
  </w:footnote>
  <w:footnote w:id="338">
    <w:p w:rsidR="0083519B" w:rsidRPr="009835F6" w:rsidRDefault="0083519B" w:rsidP="004F5D3F">
      <w:pPr>
        <w:spacing w:after="0"/>
        <w:jc w:val="both"/>
        <w:rPr>
          <w:rFonts w:ascii="Tahoma" w:hAnsi="Tahoma" w:cs="Tahoma"/>
          <w:sz w:val="20"/>
          <w:szCs w:val="20"/>
        </w:rPr>
      </w:pPr>
      <w:r w:rsidRPr="004F5D3F">
        <w:footnoteRef/>
      </w:r>
      <w:r w:rsidRPr="002D1D62">
        <w:rPr>
          <w:rFonts w:ascii="Tahoma" w:hAnsi="Tahoma" w:cs="Tahoma"/>
          <w:sz w:val="20"/>
          <w:szCs w:val="20"/>
        </w:rPr>
        <w:t xml:space="preserve"> Eldridge, D. J., Bowker, M. A., Maestre, F. T., Roger, E., Reynolds, J. F., &amp; Whitford, W. G. (2011). Impacts of shrub encroachment on ecosystem structure and functioning: towards a global synthesis. Ecology Letters, 14(7), 709-722.</w:t>
      </w:r>
    </w:p>
  </w:footnote>
  <w:footnote w:id="339">
    <w:p w:rsidR="0083519B" w:rsidRPr="004F5D3F" w:rsidRDefault="0083519B" w:rsidP="004F5D3F">
      <w:pPr>
        <w:spacing w:after="0"/>
        <w:jc w:val="both"/>
        <w:rPr>
          <w:rFonts w:ascii="Tahoma" w:hAnsi="Tahoma" w:cs="Tahoma"/>
          <w:sz w:val="20"/>
          <w:szCs w:val="20"/>
        </w:rPr>
      </w:pPr>
      <w:r w:rsidRPr="004F5D3F">
        <w:footnoteRef/>
      </w:r>
      <w:r w:rsidRPr="002D1D62">
        <w:rPr>
          <w:rFonts w:ascii="Tahoma" w:hAnsi="Tahoma" w:cs="Tahoma"/>
          <w:sz w:val="20"/>
          <w:szCs w:val="20"/>
        </w:rPr>
        <w:t xml:space="preserve"> Evans, R. (1998). The erosional impacts of grazing animals. Progress in Phys</w:t>
      </w:r>
      <w:r>
        <w:rPr>
          <w:rFonts w:ascii="Tahoma" w:hAnsi="Tahoma" w:cs="Tahoma"/>
          <w:sz w:val="20"/>
          <w:szCs w:val="20"/>
        </w:rPr>
        <w:t>ical Geography, 22(2), 251-268.</w:t>
      </w:r>
    </w:p>
  </w:footnote>
  <w:footnote w:id="340">
    <w:p w:rsidR="0083519B" w:rsidRPr="0053334D" w:rsidRDefault="0083519B" w:rsidP="004F5D3F">
      <w:pPr>
        <w:spacing w:after="0"/>
        <w:jc w:val="both"/>
        <w:rPr>
          <w:rFonts w:ascii="Tahoma" w:hAnsi="Tahoma" w:cs="Tahoma"/>
          <w:sz w:val="20"/>
          <w:szCs w:val="20"/>
        </w:rPr>
      </w:pPr>
      <w:r w:rsidRPr="004F5D3F">
        <w:footnoteRef/>
      </w:r>
      <w:r w:rsidRPr="002D1D62">
        <w:rPr>
          <w:rFonts w:ascii="Tahoma" w:hAnsi="Tahoma" w:cs="Tahoma"/>
          <w:sz w:val="20"/>
          <w:szCs w:val="20"/>
        </w:rPr>
        <w:t xml:space="preserve"> Stavi, I., Ungar, E. D., Lavee, H., &amp; Sarah, P. (2008). Grazing‐induced spatial variability of soil bulk density and content of moisture, organic carbon and calcium carbonate in a semi‐arid rangeland. Catena, 75(3), 288-296.</w:t>
      </w:r>
    </w:p>
  </w:footnote>
  <w:footnote w:id="341">
    <w:p w:rsidR="0083519B" w:rsidRPr="0053334D" w:rsidRDefault="0083519B" w:rsidP="004F5D3F">
      <w:pPr>
        <w:spacing w:after="0"/>
        <w:jc w:val="both"/>
        <w:rPr>
          <w:rFonts w:ascii="Tahoma" w:hAnsi="Tahoma" w:cs="Tahoma"/>
          <w:sz w:val="20"/>
          <w:szCs w:val="20"/>
        </w:rPr>
      </w:pPr>
      <w:r w:rsidRPr="004F5D3F">
        <w:footnoteRef/>
      </w:r>
      <w:r w:rsidRPr="002D1D62">
        <w:rPr>
          <w:rFonts w:ascii="Tahoma" w:hAnsi="Tahoma" w:cs="Tahoma"/>
          <w:sz w:val="20"/>
          <w:szCs w:val="20"/>
        </w:rPr>
        <w:t xml:space="preserve"> Pausas, J. G., &amp; Keeley, J. E. (2019). Wildfires as an ecosystem service. Frontiers in Ecology and the Environment, 17(5), 289-295.</w:t>
      </w:r>
    </w:p>
  </w:footnote>
  <w:footnote w:id="342">
    <w:p w:rsidR="0083519B" w:rsidRPr="0053334D" w:rsidRDefault="0083519B" w:rsidP="0053334D">
      <w:pPr>
        <w:spacing w:after="0"/>
        <w:jc w:val="both"/>
        <w:rPr>
          <w:rFonts w:ascii="Tahoma" w:hAnsi="Tahoma" w:cs="Tahoma"/>
          <w:sz w:val="20"/>
          <w:szCs w:val="20"/>
        </w:rPr>
      </w:pPr>
      <w:r w:rsidRPr="002D1D62">
        <w:rPr>
          <w:rStyle w:val="Appelnotedebasdep"/>
          <w:rFonts w:ascii="Tahoma" w:hAnsi="Tahoma" w:cs="Tahoma"/>
          <w:sz w:val="20"/>
          <w:szCs w:val="20"/>
        </w:rPr>
        <w:footnoteRef/>
      </w:r>
      <w:r w:rsidRPr="00712A1A">
        <w:rPr>
          <w:rFonts w:ascii="Tahoma" w:hAnsi="Tahoma" w:cs="Tahoma"/>
          <w:sz w:val="20"/>
          <w:szCs w:val="20"/>
          <w:lang w:val="es-ES"/>
        </w:rPr>
        <w:t xml:space="preserve"> Keeley, J. E., &amp; Fotheringham, C. J. (2001). </w:t>
      </w:r>
      <w:r w:rsidRPr="002D1D62">
        <w:rPr>
          <w:rFonts w:ascii="Tahoma" w:hAnsi="Tahoma" w:cs="Tahoma"/>
          <w:sz w:val="20"/>
          <w:szCs w:val="20"/>
        </w:rPr>
        <w:t>Historic fire regime in Southern California shrublands. Conservation Biology, 15(6), 1536-1548.</w:t>
      </w:r>
    </w:p>
  </w:footnote>
  <w:footnote w:id="343">
    <w:p w:rsidR="0083519B" w:rsidRPr="0053334D" w:rsidRDefault="0083519B" w:rsidP="0053334D">
      <w:pPr>
        <w:spacing w:after="0"/>
        <w:jc w:val="both"/>
        <w:rPr>
          <w:rFonts w:ascii="Tahoma" w:hAnsi="Tahoma" w:cs="Tahoma"/>
          <w:sz w:val="20"/>
          <w:szCs w:val="20"/>
        </w:rPr>
      </w:pPr>
      <w:r w:rsidRPr="002D1D62">
        <w:rPr>
          <w:rStyle w:val="Appelnotedebasdep"/>
          <w:rFonts w:ascii="Tahoma" w:hAnsi="Tahoma" w:cs="Tahoma"/>
          <w:sz w:val="20"/>
          <w:szCs w:val="20"/>
        </w:rPr>
        <w:footnoteRef/>
      </w:r>
      <w:r w:rsidRPr="002D1D62">
        <w:rPr>
          <w:rFonts w:ascii="Tahoma" w:hAnsi="Tahoma" w:cs="Tahoma"/>
          <w:sz w:val="20"/>
          <w:szCs w:val="20"/>
        </w:rPr>
        <w:t xml:space="preserve"> Certini, G. (2005). Effects of fire on properties of forest soils: a review. Oecologia, 143(1), 1-10.</w:t>
      </w:r>
    </w:p>
  </w:footnote>
  <w:footnote w:id="344">
    <w:p w:rsidR="0083519B" w:rsidRPr="0053334D" w:rsidRDefault="0083519B" w:rsidP="0053334D">
      <w:pPr>
        <w:spacing w:after="0"/>
        <w:jc w:val="both"/>
        <w:rPr>
          <w:rFonts w:ascii="Tahoma" w:hAnsi="Tahoma" w:cs="Tahoma"/>
          <w:sz w:val="20"/>
          <w:szCs w:val="20"/>
        </w:rPr>
      </w:pPr>
      <w:r w:rsidRPr="002D1D62">
        <w:rPr>
          <w:rStyle w:val="Appelnotedebasdep"/>
          <w:rFonts w:ascii="Tahoma" w:hAnsi="Tahoma" w:cs="Tahoma"/>
          <w:sz w:val="20"/>
          <w:szCs w:val="20"/>
        </w:rPr>
        <w:footnoteRef/>
      </w:r>
      <w:r w:rsidRPr="002D1D62">
        <w:rPr>
          <w:rFonts w:ascii="Tahoma" w:hAnsi="Tahoma" w:cs="Tahoma"/>
          <w:sz w:val="20"/>
          <w:szCs w:val="20"/>
        </w:rPr>
        <w:t xml:space="preserve"> DeBano, L. F. (2000). The role of fire and soil heating on water repellency in wildland environments: a review. Journal of Hydrology, 231, 195-206.</w:t>
      </w:r>
    </w:p>
  </w:footnote>
  <w:footnote w:id="345">
    <w:p w:rsidR="0083519B" w:rsidRPr="00712A1A" w:rsidRDefault="0083519B" w:rsidP="0053334D">
      <w:pPr>
        <w:spacing w:after="0"/>
        <w:jc w:val="both"/>
        <w:rPr>
          <w:rFonts w:ascii="Tahoma" w:hAnsi="Tahoma" w:cs="Tahoma"/>
          <w:sz w:val="20"/>
          <w:szCs w:val="20"/>
          <w:lang w:val="es-ES"/>
        </w:rPr>
      </w:pPr>
      <w:r w:rsidRPr="002D1D62">
        <w:rPr>
          <w:rStyle w:val="Appelnotedebasdep"/>
          <w:rFonts w:ascii="Tahoma" w:hAnsi="Tahoma" w:cs="Tahoma"/>
          <w:sz w:val="20"/>
          <w:szCs w:val="20"/>
        </w:rPr>
        <w:footnoteRef/>
      </w:r>
      <w:r w:rsidRPr="002D1D62">
        <w:rPr>
          <w:rFonts w:ascii="Tahoma" w:hAnsi="Tahoma" w:cs="Tahoma"/>
          <w:sz w:val="20"/>
          <w:szCs w:val="20"/>
        </w:rPr>
        <w:t xml:space="preserve"> Pausas, J. G., Bradstock, R. A., Keith, D. A., Keeley, J. E., &amp; GCTE Fire Network. (2004). Plant functional traits in relation to fire in crown‐fire ecosystems. </w:t>
      </w:r>
      <w:r w:rsidRPr="00712A1A">
        <w:rPr>
          <w:rFonts w:ascii="Tahoma" w:hAnsi="Tahoma" w:cs="Tahoma"/>
          <w:sz w:val="20"/>
          <w:szCs w:val="20"/>
          <w:lang w:val="es-ES"/>
        </w:rPr>
        <w:t>Ecology, 85(4), 1085-1100.</w:t>
      </w:r>
    </w:p>
  </w:footnote>
  <w:footnote w:id="346">
    <w:p w:rsidR="0083519B" w:rsidRPr="0053334D" w:rsidRDefault="0083519B" w:rsidP="0053334D">
      <w:pPr>
        <w:spacing w:after="0"/>
        <w:jc w:val="both"/>
        <w:rPr>
          <w:rFonts w:ascii="Tahoma" w:hAnsi="Tahoma" w:cs="Tahoma"/>
          <w:sz w:val="20"/>
          <w:szCs w:val="20"/>
        </w:rPr>
      </w:pPr>
      <w:r w:rsidRPr="002D1D62">
        <w:rPr>
          <w:rStyle w:val="Appelnotedebasdep"/>
          <w:rFonts w:ascii="Tahoma" w:hAnsi="Tahoma" w:cs="Tahoma"/>
          <w:sz w:val="20"/>
          <w:szCs w:val="20"/>
        </w:rPr>
        <w:footnoteRef/>
      </w:r>
      <w:r w:rsidRPr="00712A1A">
        <w:rPr>
          <w:rFonts w:ascii="Tahoma" w:hAnsi="Tahoma" w:cs="Tahoma"/>
          <w:sz w:val="20"/>
          <w:szCs w:val="20"/>
          <w:lang w:val="es-ES"/>
        </w:rPr>
        <w:t xml:space="preserve"> Bond, W. J., &amp; Keeley, J. E. (2005). Fire as a global 'herbivore': the ecology and evolution of flammable ecosystems. </w:t>
      </w:r>
      <w:r w:rsidRPr="002D1D62">
        <w:rPr>
          <w:rFonts w:ascii="Tahoma" w:hAnsi="Tahoma" w:cs="Tahoma"/>
          <w:sz w:val="20"/>
          <w:szCs w:val="20"/>
        </w:rPr>
        <w:t>Trends in Ecology &amp; Evolution, 20(7), 387-394.</w:t>
      </w:r>
    </w:p>
  </w:footnote>
  <w:footnote w:id="347">
    <w:p w:rsidR="0083519B" w:rsidRPr="0053334D" w:rsidRDefault="0083519B" w:rsidP="0053334D">
      <w:pPr>
        <w:spacing w:after="0"/>
        <w:jc w:val="both"/>
        <w:rPr>
          <w:rFonts w:ascii="Tahoma" w:hAnsi="Tahoma" w:cs="Tahoma"/>
          <w:sz w:val="20"/>
          <w:szCs w:val="20"/>
        </w:rPr>
      </w:pPr>
      <w:r w:rsidRPr="002D1D62">
        <w:rPr>
          <w:rStyle w:val="Appelnotedebasdep"/>
          <w:rFonts w:ascii="Tahoma" w:hAnsi="Tahoma" w:cs="Tahoma"/>
          <w:sz w:val="20"/>
          <w:szCs w:val="20"/>
        </w:rPr>
        <w:footnoteRef/>
      </w:r>
      <w:r w:rsidRPr="002D1D62">
        <w:rPr>
          <w:rFonts w:ascii="Tahoma" w:hAnsi="Tahoma" w:cs="Tahoma"/>
          <w:sz w:val="20"/>
          <w:szCs w:val="20"/>
        </w:rPr>
        <w:t xml:space="preserve"> Keeley, J. E., Pausas, J. G., Rundel, P. W., Bond, W. J., &amp; Bradstock, R. A. (2011). Fire as an evolutionary pressure shaping plant traits. Trends in Plant Science, 16(8), 406-411.</w:t>
      </w:r>
    </w:p>
  </w:footnote>
  <w:footnote w:id="348">
    <w:p w:rsidR="0083519B" w:rsidRPr="0053334D" w:rsidRDefault="0083519B" w:rsidP="0053334D">
      <w:pPr>
        <w:spacing w:after="0"/>
        <w:jc w:val="both"/>
        <w:rPr>
          <w:rFonts w:ascii="Tahoma" w:hAnsi="Tahoma" w:cs="Tahoma"/>
          <w:sz w:val="20"/>
          <w:szCs w:val="20"/>
        </w:rPr>
      </w:pPr>
      <w:r w:rsidRPr="002D1D62">
        <w:rPr>
          <w:rStyle w:val="Appelnotedebasdep"/>
          <w:rFonts w:ascii="Tahoma" w:hAnsi="Tahoma" w:cs="Tahoma"/>
          <w:sz w:val="20"/>
          <w:szCs w:val="20"/>
        </w:rPr>
        <w:footnoteRef/>
      </w:r>
      <w:r w:rsidRPr="002D1D62">
        <w:rPr>
          <w:rFonts w:ascii="Tahoma" w:hAnsi="Tahoma" w:cs="Tahoma"/>
          <w:sz w:val="20"/>
          <w:szCs w:val="20"/>
        </w:rPr>
        <w:t xml:space="preserve"> Lund, H. G. (2007). Accounting for the world's rangelands. Rangelands, 29(1), 3-10.</w:t>
      </w:r>
    </w:p>
  </w:footnote>
  <w:footnote w:id="349">
    <w:p w:rsidR="0083519B" w:rsidRPr="0053334D" w:rsidRDefault="0083519B" w:rsidP="0053334D">
      <w:pPr>
        <w:spacing w:after="0"/>
        <w:jc w:val="both"/>
        <w:rPr>
          <w:rFonts w:ascii="Tahoma" w:hAnsi="Tahoma" w:cs="Tahoma"/>
          <w:sz w:val="20"/>
          <w:szCs w:val="20"/>
        </w:rPr>
      </w:pPr>
      <w:r w:rsidRPr="002D1D62">
        <w:rPr>
          <w:rStyle w:val="Appelnotedebasdep"/>
          <w:rFonts w:ascii="Tahoma" w:hAnsi="Tahoma" w:cs="Tahoma"/>
          <w:sz w:val="20"/>
          <w:szCs w:val="20"/>
        </w:rPr>
        <w:footnoteRef/>
      </w:r>
      <w:r w:rsidRPr="002D1D62">
        <w:rPr>
          <w:rFonts w:ascii="Tahoma" w:hAnsi="Tahoma" w:cs="Tahoma"/>
          <w:sz w:val="20"/>
          <w:szCs w:val="20"/>
        </w:rPr>
        <w:t xml:space="preserve"> Agrawal, A., Chhatre, A., &amp; Hardin, R. (2008). Changing governance of the world's forests. Science, 320(5882), 1460-1462.</w:t>
      </w:r>
    </w:p>
  </w:footnote>
  <w:footnote w:id="350">
    <w:p w:rsidR="0083519B" w:rsidRPr="0053334D" w:rsidRDefault="0083519B" w:rsidP="0053334D">
      <w:pPr>
        <w:spacing w:after="0"/>
        <w:jc w:val="both"/>
        <w:rPr>
          <w:rFonts w:ascii="Tahoma" w:hAnsi="Tahoma" w:cs="Tahoma"/>
          <w:sz w:val="20"/>
          <w:szCs w:val="20"/>
        </w:rPr>
      </w:pPr>
      <w:r w:rsidRPr="002D1D62">
        <w:rPr>
          <w:rStyle w:val="Appelnotedebasdep"/>
          <w:rFonts w:ascii="Tahoma" w:hAnsi="Tahoma" w:cs="Tahoma"/>
          <w:sz w:val="20"/>
          <w:szCs w:val="20"/>
        </w:rPr>
        <w:footnoteRef/>
      </w:r>
      <w:r w:rsidRPr="002D1D62">
        <w:rPr>
          <w:rFonts w:ascii="Tahoma" w:hAnsi="Tahoma" w:cs="Tahoma"/>
          <w:sz w:val="20"/>
          <w:szCs w:val="20"/>
        </w:rPr>
        <w:t xml:space="preserve"> Shanley, P., Pierce, A. R., Laird, S. A., &amp; Guillen, A. (Eds.). (2002). Tapping the green market: certification and management of non-timber forest products. Earthscan.</w:t>
      </w:r>
    </w:p>
  </w:footnote>
  <w:footnote w:id="351">
    <w:p w:rsidR="0083519B" w:rsidRPr="0053334D" w:rsidRDefault="0083519B" w:rsidP="0053334D">
      <w:pPr>
        <w:spacing w:after="0"/>
        <w:jc w:val="both"/>
        <w:rPr>
          <w:rFonts w:ascii="Tahoma" w:hAnsi="Tahoma" w:cs="Tahoma"/>
          <w:sz w:val="20"/>
          <w:szCs w:val="20"/>
        </w:rPr>
      </w:pPr>
      <w:r w:rsidRPr="002D1D62">
        <w:rPr>
          <w:rStyle w:val="Appelnotedebasdep"/>
          <w:rFonts w:ascii="Tahoma" w:hAnsi="Tahoma" w:cs="Tahoma"/>
          <w:sz w:val="20"/>
          <w:szCs w:val="20"/>
        </w:rPr>
        <w:footnoteRef/>
      </w:r>
      <w:r w:rsidRPr="002D1D62">
        <w:rPr>
          <w:rFonts w:ascii="Tahoma" w:hAnsi="Tahoma" w:cs="Tahoma"/>
          <w:sz w:val="20"/>
          <w:szCs w:val="20"/>
        </w:rPr>
        <w:t xml:space="preserve"> Lindenmayer, D. B., Laurance, W. F., &amp; Franklin, J. F. (2012). Global decline in large old trees. Science, 338(6112), 1305-1306.</w:t>
      </w:r>
    </w:p>
  </w:footnote>
  <w:footnote w:id="352">
    <w:p w:rsidR="0083519B" w:rsidRPr="002D1D62" w:rsidRDefault="0083519B" w:rsidP="0053334D">
      <w:pPr>
        <w:spacing w:after="0"/>
        <w:jc w:val="both"/>
        <w:rPr>
          <w:rFonts w:ascii="Tahoma" w:hAnsi="Tahoma" w:cs="Tahoma"/>
          <w:sz w:val="20"/>
          <w:szCs w:val="20"/>
        </w:rPr>
      </w:pPr>
      <w:r w:rsidRPr="002D1D62">
        <w:rPr>
          <w:rStyle w:val="Appelnotedebasdep"/>
          <w:rFonts w:ascii="Tahoma" w:hAnsi="Tahoma" w:cs="Tahoma"/>
          <w:sz w:val="20"/>
          <w:szCs w:val="20"/>
        </w:rPr>
        <w:footnoteRef/>
      </w:r>
      <w:r w:rsidRPr="002D1D62">
        <w:rPr>
          <w:rFonts w:ascii="Tahoma" w:hAnsi="Tahoma" w:cs="Tahoma"/>
          <w:sz w:val="20"/>
          <w:szCs w:val="20"/>
        </w:rPr>
        <w:t xml:space="preserve"> Young, A., Boyle, T., &amp; Brown, T. (1996). The population genetic consequences of habitat fragmentation for plants. Trends in Ecology &amp; Evolution, 11(10), 413-418.</w:t>
      </w:r>
    </w:p>
    <w:p w:rsidR="0083519B" w:rsidRPr="002D1D62" w:rsidRDefault="0083519B" w:rsidP="00664463">
      <w:pPr>
        <w:pStyle w:val="Notedebasdepage"/>
        <w:rPr>
          <w:rFonts w:ascii="Tahoma" w:hAnsi="Tahoma" w:cs="Tahoma"/>
        </w:rPr>
      </w:pPr>
    </w:p>
  </w:footnote>
  <w:footnote w:id="353">
    <w:p w:rsidR="0083519B" w:rsidRPr="00C804D0" w:rsidRDefault="0083519B" w:rsidP="00C804D0">
      <w:pPr>
        <w:spacing w:after="0"/>
        <w:jc w:val="both"/>
        <w:rPr>
          <w:rFonts w:ascii="Tahoma" w:hAnsi="Tahoma" w:cs="Tahoma"/>
          <w:sz w:val="20"/>
          <w:szCs w:val="20"/>
        </w:rPr>
      </w:pPr>
      <w:r w:rsidRPr="002D1D62">
        <w:rPr>
          <w:rStyle w:val="Appelnotedebasdep"/>
          <w:rFonts w:ascii="Tahoma" w:hAnsi="Tahoma" w:cs="Tahoma"/>
          <w:sz w:val="20"/>
          <w:szCs w:val="20"/>
        </w:rPr>
        <w:footnoteRef/>
      </w:r>
      <w:r w:rsidRPr="002D1D62">
        <w:rPr>
          <w:rFonts w:ascii="Tahoma" w:hAnsi="Tahoma" w:cs="Tahoma"/>
          <w:sz w:val="20"/>
          <w:szCs w:val="20"/>
        </w:rPr>
        <w:t>IPCC. (2021). Climate Change 2021: The Physical Science Basis. Cambridge University Press.</w:t>
      </w:r>
    </w:p>
  </w:footnote>
  <w:footnote w:id="354">
    <w:p w:rsidR="0083519B" w:rsidRPr="00C804D0" w:rsidRDefault="0083519B" w:rsidP="00C804D0">
      <w:pPr>
        <w:spacing w:after="0"/>
        <w:jc w:val="both"/>
        <w:rPr>
          <w:rFonts w:ascii="Tahoma" w:hAnsi="Tahoma" w:cs="Tahoma"/>
          <w:sz w:val="20"/>
          <w:szCs w:val="20"/>
        </w:rPr>
      </w:pPr>
      <w:r w:rsidRPr="002D1D62">
        <w:rPr>
          <w:rStyle w:val="Appelnotedebasdep"/>
          <w:rFonts w:ascii="Tahoma" w:hAnsi="Tahoma" w:cs="Tahoma"/>
          <w:sz w:val="20"/>
          <w:szCs w:val="20"/>
        </w:rPr>
        <w:footnoteRef/>
      </w:r>
      <w:r w:rsidRPr="002D1D62">
        <w:rPr>
          <w:rFonts w:ascii="Tahoma" w:hAnsi="Tahoma" w:cs="Tahoma"/>
          <w:sz w:val="20"/>
          <w:szCs w:val="20"/>
        </w:rPr>
        <w:t xml:space="preserve"> Allen, C. D., Macalady, A. K., Chenchouni, H., Bachelet, D., McDowell, N., Vennetier, M., ... &amp; Cobb, N. (2010). A global overview of drought and heat-induced tree mortality reveals emerging climate change risks for forests. Forest Ecology and Management, 259(4), 660-684.</w:t>
      </w:r>
    </w:p>
  </w:footnote>
  <w:footnote w:id="355">
    <w:p w:rsidR="0083519B" w:rsidRPr="00C804D0" w:rsidRDefault="0083519B" w:rsidP="00C804D0">
      <w:pPr>
        <w:spacing w:after="0"/>
        <w:jc w:val="both"/>
        <w:rPr>
          <w:rFonts w:ascii="Tahoma" w:hAnsi="Tahoma" w:cs="Tahoma"/>
          <w:sz w:val="20"/>
          <w:szCs w:val="20"/>
        </w:rPr>
      </w:pPr>
      <w:r w:rsidRPr="002D1D62">
        <w:rPr>
          <w:rStyle w:val="Appelnotedebasdep"/>
          <w:rFonts w:ascii="Tahoma" w:hAnsi="Tahoma" w:cs="Tahoma"/>
          <w:sz w:val="20"/>
          <w:szCs w:val="20"/>
        </w:rPr>
        <w:footnoteRef/>
      </w:r>
      <w:r w:rsidRPr="002D1D62">
        <w:rPr>
          <w:rFonts w:ascii="Tahoma" w:hAnsi="Tahoma" w:cs="Tahoma"/>
          <w:sz w:val="20"/>
          <w:szCs w:val="20"/>
        </w:rPr>
        <w:t xml:space="preserve"> Mokssit, A., Fink, A., Krämer, J., &amp; Königstein, N. (2012). Trends in daily extremes of temperature and precipitation in Morocco. Theoretical and Applied Climatology, 110(1-2), 115-130.</w:t>
      </w:r>
    </w:p>
  </w:footnote>
  <w:footnote w:id="356">
    <w:p w:rsidR="0083519B" w:rsidRPr="00C804D0" w:rsidRDefault="0083519B" w:rsidP="00C804D0">
      <w:pPr>
        <w:spacing w:after="0"/>
        <w:jc w:val="both"/>
        <w:rPr>
          <w:rFonts w:ascii="Tahoma" w:hAnsi="Tahoma" w:cs="Tahoma"/>
          <w:sz w:val="20"/>
          <w:szCs w:val="20"/>
        </w:rPr>
      </w:pPr>
      <w:r w:rsidRPr="002D1D62">
        <w:rPr>
          <w:rStyle w:val="Appelnotedebasdep"/>
          <w:rFonts w:ascii="Tahoma" w:hAnsi="Tahoma" w:cs="Tahoma"/>
          <w:sz w:val="20"/>
          <w:szCs w:val="20"/>
        </w:rPr>
        <w:footnoteRef/>
      </w:r>
      <w:r w:rsidRPr="002D1D62">
        <w:rPr>
          <w:rFonts w:ascii="Tahoma" w:hAnsi="Tahoma" w:cs="Tahoma"/>
          <w:sz w:val="20"/>
          <w:szCs w:val="20"/>
        </w:rPr>
        <w:t xml:space="preserve"> Driouech, F., Déqué, M., &amp; Mokssit, A. (2009). Numerical simulation of the probability distribution function of precipitation over Morocco. Climate Dynamics, 32(7-8), 1055-1063.</w:t>
      </w:r>
    </w:p>
  </w:footnote>
  <w:footnote w:id="357">
    <w:p w:rsidR="0083519B" w:rsidRPr="00C804D0" w:rsidRDefault="0083519B" w:rsidP="00C804D0">
      <w:pPr>
        <w:spacing w:after="0"/>
        <w:jc w:val="both"/>
        <w:rPr>
          <w:rFonts w:ascii="Tahoma" w:hAnsi="Tahoma" w:cs="Tahoma"/>
          <w:sz w:val="20"/>
          <w:szCs w:val="20"/>
        </w:rPr>
      </w:pPr>
      <w:r w:rsidRPr="002D1D62">
        <w:rPr>
          <w:rStyle w:val="Appelnotedebasdep"/>
          <w:rFonts w:ascii="Tahoma" w:hAnsi="Tahoma" w:cs="Tahoma"/>
          <w:sz w:val="20"/>
          <w:szCs w:val="20"/>
        </w:rPr>
        <w:footnoteRef/>
      </w:r>
      <w:r w:rsidRPr="002D1D62">
        <w:rPr>
          <w:rFonts w:ascii="Tahoma" w:hAnsi="Tahoma" w:cs="Tahoma"/>
          <w:sz w:val="20"/>
          <w:szCs w:val="20"/>
        </w:rPr>
        <w:t xml:space="preserve"> Born, K., Fink, A. H., &amp; Paeth, H. (2008). Dry and wet periods in the northwestern Maghreb for present day and future climate conditions. Meteorologische Zeitschrift, 17(5), 533-551.</w:t>
      </w:r>
    </w:p>
  </w:footnote>
  <w:footnote w:id="358">
    <w:p w:rsidR="0083519B" w:rsidRPr="00C804D0" w:rsidRDefault="0083519B" w:rsidP="00C804D0">
      <w:pPr>
        <w:spacing w:after="0"/>
        <w:jc w:val="both"/>
        <w:rPr>
          <w:rFonts w:ascii="Tahoma" w:hAnsi="Tahoma" w:cs="Tahoma"/>
          <w:sz w:val="20"/>
          <w:szCs w:val="20"/>
        </w:rPr>
      </w:pPr>
      <w:r w:rsidRPr="002D1D62">
        <w:rPr>
          <w:rStyle w:val="Appelnotedebasdep"/>
          <w:rFonts w:ascii="Tahoma" w:hAnsi="Tahoma" w:cs="Tahoma"/>
          <w:sz w:val="20"/>
          <w:szCs w:val="20"/>
        </w:rPr>
        <w:footnoteRef/>
      </w:r>
      <w:r w:rsidRPr="002D1D62">
        <w:rPr>
          <w:rFonts w:ascii="Tahoma" w:hAnsi="Tahoma" w:cs="Tahoma"/>
          <w:sz w:val="20"/>
          <w:szCs w:val="20"/>
        </w:rPr>
        <w:t xml:space="preserve"> Breshears, D. D., et al. (2005). Regional vegetation die‐off in response to global‐change‐type drought. Proceedings of the National Academy of Sciences, 102(42), 15144-15148.</w:t>
      </w:r>
    </w:p>
  </w:footnote>
  <w:footnote w:id="359">
    <w:p w:rsidR="0083519B" w:rsidRPr="002D1D62" w:rsidRDefault="0083519B" w:rsidP="00C804D0">
      <w:pPr>
        <w:spacing w:after="0"/>
        <w:jc w:val="both"/>
        <w:rPr>
          <w:rFonts w:ascii="Tahoma" w:hAnsi="Tahoma" w:cs="Tahoma"/>
          <w:sz w:val="20"/>
          <w:szCs w:val="20"/>
        </w:rPr>
      </w:pPr>
      <w:r w:rsidRPr="002D1D62">
        <w:rPr>
          <w:rStyle w:val="Appelnotedebasdep"/>
          <w:rFonts w:ascii="Tahoma" w:hAnsi="Tahoma" w:cs="Tahoma"/>
          <w:sz w:val="20"/>
          <w:szCs w:val="20"/>
        </w:rPr>
        <w:footnoteRef/>
      </w:r>
      <w:r w:rsidRPr="002D1D62">
        <w:rPr>
          <w:rFonts w:ascii="Tahoma" w:hAnsi="Tahoma" w:cs="Tahoma"/>
          <w:sz w:val="20"/>
          <w:szCs w:val="20"/>
        </w:rPr>
        <w:t xml:space="preserve"> Anderegg, W. R., Kane, J. M., &amp; Anderegg, L. D. (2013). Consequences of widespread tree mortality triggered by drought and temperature stress. Nature Climate Change, 3(1), 30-36.</w:t>
      </w:r>
    </w:p>
    <w:p w:rsidR="0083519B" w:rsidRPr="002D1D62" w:rsidRDefault="0083519B" w:rsidP="00664463">
      <w:pPr>
        <w:pStyle w:val="Notedebasdepage"/>
        <w:rPr>
          <w:rFonts w:ascii="Tahoma" w:hAnsi="Tahoma" w:cs="Tahoma"/>
        </w:rPr>
      </w:pPr>
    </w:p>
  </w:footnote>
  <w:footnote w:id="360">
    <w:p w:rsidR="0083519B" w:rsidRPr="00FC4FA8" w:rsidRDefault="0083519B" w:rsidP="00FC4FA8">
      <w:pPr>
        <w:spacing w:after="0"/>
        <w:jc w:val="both"/>
        <w:rPr>
          <w:rFonts w:ascii="Tahoma" w:hAnsi="Tahoma" w:cs="Tahoma"/>
          <w:sz w:val="20"/>
          <w:szCs w:val="20"/>
        </w:rPr>
      </w:pPr>
      <w:r w:rsidRPr="002D1D62">
        <w:rPr>
          <w:rStyle w:val="Appelnotedebasdep"/>
          <w:rFonts w:ascii="Tahoma" w:hAnsi="Tahoma" w:cs="Tahoma"/>
          <w:sz w:val="20"/>
          <w:szCs w:val="20"/>
        </w:rPr>
        <w:footnoteRef/>
      </w:r>
      <w:r w:rsidRPr="002D1D62">
        <w:rPr>
          <w:rFonts w:ascii="Tahoma" w:hAnsi="Tahoma" w:cs="Tahoma"/>
          <w:sz w:val="20"/>
          <w:szCs w:val="20"/>
        </w:rPr>
        <w:t xml:space="preserve"> Huntington, T. G. (2006). Evidence for intensification of the global water cycle: review and synthesis. Journal of Hydrology, 319(1-4), 83-95.</w:t>
      </w:r>
    </w:p>
  </w:footnote>
  <w:footnote w:id="361">
    <w:p w:rsidR="0083519B" w:rsidRPr="00FC4FA8" w:rsidRDefault="0083519B" w:rsidP="00FC4FA8">
      <w:pPr>
        <w:spacing w:after="0"/>
        <w:jc w:val="both"/>
        <w:rPr>
          <w:rFonts w:ascii="Tahoma" w:hAnsi="Tahoma" w:cs="Tahoma"/>
          <w:sz w:val="20"/>
          <w:szCs w:val="20"/>
        </w:rPr>
      </w:pPr>
      <w:r w:rsidRPr="002D1D62">
        <w:rPr>
          <w:rStyle w:val="Appelnotedebasdep"/>
          <w:rFonts w:ascii="Tahoma" w:hAnsi="Tahoma" w:cs="Tahoma"/>
          <w:sz w:val="20"/>
          <w:szCs w:val="20"/>
        </w:rPr>
        <w:footnoteRef/>
      </w:r>
      <w:r w:rsidRPr="002D1D62">
        <w:rPr>
          <w:rFonts w:ascii="Tahoma" w:hAnsi="Tahoma" w:cs="Tahoma"/>
          <w:sz w:val="20"/>
          <w:szCs w:val="20"/>
        </w:rPr>
        <w:t xml:space="preserve"> Haddeland, I., et al. (2014). Global water resources affected by human interventions and climate change. Proceedings of the National Academy of Sciences, 111(9), 3251-3256.</w:t>
      </w:r>
    </w:p>
  </w:footnote>
  <w:footnote w:id="362">
    <w:p w:rsidR="0083519B" w:rsidRPr="00FC4FA8" w:rsidRDefault="0083519B" w:rsidP="00FC4FA8">
      <w:pPr>
        <w:spacing w:after="0"/>
        <w:jc w:val="both"/>
        <w:rPr>
          <w:rFonts w:ascii="Tahoma" w:hAnsi="Tahoma" w:cs="Tahoma"/>
          <w:sz w:val="20"/>
          <w:szCs w:val="20"/>
        </w:rPr>
      </w:pPr>
      <w:r w:rsidRPr="002D1D62">
        <w:rPr>
          <w:rStyle w:val="Appelnotedebasdep"/>
          <w:rFonts w:ascii="Tahoma" w:hAnsi="Tahoma" w:cs="Tahoma"/>
          <w:sz w:val="20"/>
          <w:szCs w:val="20"/>
        </w:rPr>
        <w:footnoteRef/>
      </w:r>
      <w:r w:rsidRPr="002D1D62">
        <w:rPr>
          <w:rFonts w:ascii="Tahoma" w:hAnsi="Tahoma" w:cs="Tahoma"/>
          <w:sz w:val="20"/>
          <w:szCs w:val="20"/>
        </w:rPr>
        <w:t xml:space="preserve">  Giorgi, F., &amp; Lionello, P. (2008). Climate change projections for the Mediterranean region. Global and Planetary Change, 63(2-3), 90-104.</w:t>
      </w:r>
    </w:p>
  </w:footnote>
  <w:footnote w:id="363">
    <w:p w:rsidR="0083519B" w:rsidRPr="00FC4FA8" w:rsidRDefault="0083519B" w:rsidP="00FC4FA8">
      <w:pPr>
        <w:spacing w:after="0"/>
        <w:jc w:val="both"/>
        <w:rPr>
          <w:rFonts w:ascii="Tahoma" w:hAnsi="Tahoma" w:cs="Tahoma"/>
          <w:sz w:val="20"/>
          <w:szCs w:val="20"/>
        </w:rPr>
      </w:pPr>
      <w:r>
        <w:rPr>
          <w:rStyle w:val="Appelnotedebasdep"/>
        </w:rPr>
        <w:footnoteRef/>
      </w:r>
      <w:r>
        <w:t xml:space="preserve"> </w:t>
      </w:r>
      <w:r w:rsidRPr="006452CA">
        <w:rPr>
          <w:rFonts w:ascii="Tahoma" w:hAnsi="Tahoma" w:cs="Tahoma"/>
          <w:sz w:val="20"/>
          <w:szCs w:val="20"/>
        </w:rPr>
        <w:t>Bréda, N., Huc, R., Granier, A., &amp; Dreyer, E. (2006). Temperate forest trees and stands under severe drought: a review of ecophysiological responses, adaptation processes and long-term consequences. Annals of Forest Science, 63(6), 625-644.</w:t>
      </w:r>
    </w:p>
  </w:footnote>
  <w:footnote w:id="364">
    <w:p w:rsidR="0083519B" w:rsidRPr="00712A1A" w:rsidRDefault="0083519B" w:rsidP="00FC4FA8">
      <w:pPr>
        <w:spacing w:after="0"/>
        <w:jc w:val="both"/>
        <w:rPr>
          <w:rFonts w:ascii="Tahoma" w:hAnsi="Tahoma" w:cs="Tahoma"/>
          <w:sz w:val="20"/>
          <w:szCs w:val="20"/>
          <w:lang w:val="es-ES"/>
        </w:rPr>
      </w:pPr>
      <w:r>
        <w:rPr>
          <w:rStyle w:val="Appelnotedebasdep"/>
        </w:rPr>
        <w:footnoteRef/>
      </w:r>
      <w:r>
        <w:t xml:space="preserve"> </w:t>
      </w:r>
      <w:r w:rsidRPr="006452CA">
        <w:rPr>
          <w:rFonts w:ascii="Tahoma" w:hAnsi="Tahoma" w:cs="Tahoma"/>
          <w:sz w:val="20"/>
          <w:szCs w:val="20"/>
        </w:rPr>
        <w:t xml:space="preserve">Stromberg, J. C., Tiller, R., &amp; Richter, B. (1996). </w:t>
      </w:r>
      <w:r w:rsidRPr="00712A1A">
        <w:rPr>
          <w:rFonts w:ascii="Tahoma" w:hAnsi="Tahoma" w:cs="Tahoma"/>
          <w:sz w:val="20"/>
          <w:szCs w:val="20"/>
          <w:lang w:val="es-ES"/>
        </w:rPr>
        <w:t>Effects of groundwater decline on riparian vegetation of semiarid regions: the San Pedro, Arizona. Ecological Applications, 6(1), 113-131.</w:t>
      </w:r>
    </w:p>
  </w:footnote>
  <w:footnote w:id="365">
    <w:p w:rsidR="0083519B" w:rsidRPr="00FC4FA8" w:rsidRDefault="0083519B" w:rsidP="00FC4FA8">
      <w:pPr>
        <w:spacing w:after="0"/>
        <w:jc w:val="both"/>
        <w:rPr>
          <w:rFonts w:ascii="Tahoma" w:hAnsi="Tahoma" w:cs="Tahoma"/>
          <w:sz w:val="20"/>
          <w:szCs w:val="20"/>
        </w:rPr>
      </w:pPr>
      <w:r>
        <w:rPr>
          <w:rStyle w:val="Appelnotedebasdep"/>
        </w:rPr>
        <w:footnoteRef/>
      </w:r>
      <w:r w:rsidRPr="00712A1A">
        <w:rPr>
          <w:lang w:val="es-ES"/>
        </w:rPr>
        <w:t xml:space="preserve"> </w:t>
      </w:r>
      <w:r w:rsidRPr="00712A1A">
        <w:rPr>
          <w:rFonts w:ascii="Tahoma" w:hAnsi="Tahoma" w:cs="Tahoma"/>
          <w:sz w:val="20"/>
          <w:szCs w:val="20"/>
          <w:lang w:val="es-ES"/>
        </w:rPr>
        <w:t xml:space="preserve">García‐Ruiz, J. M., López‐Moreno, J. I., Vicente‐Serrano, S. M., Lasanta–Martínez, T., &amp; Beguería, S. (2011). </w:t>
      </w:r>
      <w:r w:rsidRPr="006452CA">
        <w:rPr>
          <w:rFonts w:ascii="Tahoma" w:hAnsi="Tahoma" w:cs="Tahoma"/>
          <w:sz w:val="20"/>
          <w:szCs w:val="20"/>
        </w:rPr>
        <w:t>Mediterranean water resources in a global change scenario. Earth-Science Reviews, 105(3-4), 121-139.</w:t>
      </w:r>
    </w:p>
  </w:footnote>
  <w:footnote w:id="366">
    <w:p w:rsidR="0083519B" w:rsidRPr="008D3838" w:rsidRDefault="0083519B" w:rsidP="008D3838">
      <w:pPr>
        <w:spacing w:after="0"/>
        <w:jc w:val="both"/>
        <w:rPr>
          <w:rFonts w:ascii="Tahoma" w:hAnsi="Tahoma" w:cs="Tahoma"/>
          <w:sz w:val="20"/>
          <w:szCs w:val="20"/>
        </w:rPr>
      </w:pPr>
      <w:r w:rsidRPr="004E75AF">
        <w:rPr>
          <w:rStyle w:val="Appelnotedebasdep"/>
          <w:sz w:val="20"/>
          <w:szCs w:val="20"/>
        </w:rPr>
        <w:footnoteRef/>
      </w:r>
      <w:r>
        <w:rPr>
          <w:rFonts w:ascii="Tahoma" w:hAnsi="Tahoma" w:cs="Tahoma"/>
          <w:sz w:val="20"/>
          <w:szCs w:val="20"/>
        </w:rPr>
        <w:t xml:space="preserve"> </w:t>
      </w:r>
      <w:r w:rsidRPr="004E75AF">
        <w:rPr>
          <w:rFonts w:ascii="Tahoma" w:hAnsi="Tahoma" w:cs="Tahoma"/>
          <w:sz w:val="20"/>
          <w:szCs w:val="20"/>
        </w:rPr>
        <w:t>Huntley, B., &amp; Webb III, T. (1989). Migration: species' response to climatic variations caused by changes in the earth's orbit. Journa</w:t>
      </w:r>
      <w:r>
        <w:rPr>
          <w:rFonts w:ascii="Tahoma" w:hAnsi="Tahoma" w:cs="Tahoma"/>
          <w:sz w:val="20"/>
          <w:szCs w:val="20"/>
        </w:rPr>
        <w:t>l of Biogeography, 16(1), 5-19.</w:t>
      </w:r>
    </w:p>
  </w:footnote>
  <w:footnote w:id="367">
    <w:p w:rsidR="0083519B" w:rsidRPr="00FC4FA8" w:rsidRDefault="0083519B" w:rsidP="00FC4FA8">
      <w:pPr>
        <w:spacing w:after="0"/>
        <w:jc w:val="both"/>
        <w:rPr>
          <w:rFonts w:ascii="Tahoma" w:hAnsi="Tahoma" w:cs="Tahoma"/>
          <w:sz w:val="20"/>
          <w:szCs w:val="20"/>
        </w:rPr>
      </w:pPr>
      <w:r>
        <w:rPr>
          <w:rStyle w:val="Appelnotedebasdep"/>
        </w:rPr>
        <w:footnoteRef/>
      </w:r>
      <w:r>
        <w:t xml:space="preserve"> </w:t>
      </w:r>
      <w:r w:rsidRPr="004E75AF">
        <w:rPr>
          <w:rFonts w:ascii="Tahoma" w:hAnsi="Tahoma" w:cs="Tahoma"/>
          <w:sz w:val="20"/>
          <w:szCs w:val="20"/>
        </w:rPr>
        <w:t>Davis, M. B., &amp; Shaw, R. G. (2001). Range shifts and adaptive responses to Quaternary climate change. Science, 292(5517), 673-679.</w:t>
      </w:r>
    </w:p>
  </w:footnote>
  <w:footnote w:id="368">
    <w:p w:rsidR="0083519B" w:rsidRPr="00FC4FA8" w:rsidRDefault="0083519B" w:rsidP="00FC4FA8">
      <w:pPr>
        <w:spacing w:after="0"/>
        <w:jc w:val="both"/>
        <w:rPr>
          <w:rFonts w:ascii="Tahoma" w:hAnsi="Tahoma" w:cs="Tahoma"/>
          <w:sz w:val="20"/>
          <w:szCs w:val="20"/>
        </w:rPr>
      </w:pPr>
      <w:r>
        <w:rPr>
          <w:rStyle w:val="Appelnotedebasdep"/>
        </w:rPr>
        <w:footnoteRef/>
      </w:r>
      <w:r>
        <w:t xml:space="preserve"> </w:t>
      </w:r>
      <w:r w:rsidRPr="004E75AF">
        <w:rPr>
          <w:rFonts w:ascii="Tahoma" w:hAnsi="Tahoma" w:cs="Tahoma"/>
          <w:sz w:val="20"/>
          <w:szCs w:val="20"/>
        </w:rPr>
        <w:t>Graham, C. H., Carnaval, A. C., Cadena, C. D., Zamudio, K. R., Roberts, T. E., Sanders, N. J., ... &amp; Sanders, N. J. (2010). The origin and maintenance of montane diversity: integrating the role of geography and climate. The American Naturalist, 176(6), 711-719.</w:t>
      </w:r>
    </w:p>
  </w:footnote>
  <w:footnote w:id="369">
    <w:p w:rsidR="0083519B" w:rsidRPr="00FC4FA8" w:rsidRDefault="0083519B" w:rsidP="00FC4FA8">
      <w:pPr>
        <w:spacing w:after="0"/>
        <w:jc w:val="both"/>
        <w:rPr>
          <w:rFonts w:ascii="Tahoma" w:hAnsi="Tahoma" w:cs="Tahoma"/>
          <w:sz w:val="20"/>
          <w:szCs w:val="20"/>
        </w:rPr>
      </w:pPr>
      <w:r>
        <w:rPr>
          <w:rStyle w:val="Appelnotedebasdep"/>
        </w:rPr>
        <w:footnoteRef/>
      </w:r>
      <w:r w:rsidRPr="005802B8">
        <w:rPr>
          <w:rFonts w:ascii="Tahoma" w:hAnsi="Tahoma" w:cs="Tahoma"/>
          <w:sz w:val="20"/>
          <w:szCs w:val="20"/>
        </w:rPr>
        <w:t xml:space="preserve"> Parmesan, C. (2006). Ecological and evolutionary responses to recent climate change. Annual Review of Ecology, Evolution, and Systematics, 37, 637-669.</w:t>
      </w:r>
    </w:p>
  </w:footnote>
  <w:footnote w:id="370">
    <w:p w:rsidR="0083519B" w:rsidRPr="00FC4FA8" w:rsidRDefault="0083519B" w:rsidP="00FC4FA8">
      <w:pPr>
        <w:spacing w:after="0"/>
        <w:jc w:val="both"/>
        <w:rPr>
          <w:rFonts w:ascii="Tahoma" w:hAnsi="Tahoma" w:cs="Tahoma"/>
          <w:sz w:val="20"/>
          <w:szCs w:val="20"/>
        </w:rPr>
      </w:pPr>
      <w:r>
        <w:rPr>
          <w:rStyle w:val="Appelnotedebasdep"/>
        </w:rPr>
        <w:footnoteRef/>
      </w:r>
      <w:r w:rsidRPr="00712A1A">
        <w:rPr>
          <w:rFonts w:ascii="Tahoma" w:hAnsi="Tahoma" w:cs="Tahoma"/>
          <w:sz w:val="20"/>
          <w:szCs w:val="20"/>
          <w:lang w:val="es-ES"/>
        </w:rPr>
        <w:t xml:space="preserve"> Urban, M. C., Bocedi, G., Hendry, A. P., Mihoub, J. B., Pe'er, G., Singer, A., ... </w:t>
      </w:r>
      <w:r w:rsidRPr="005802B8">
        <w:rPr>
          <w:rFonts w:ascii="Tahoma" w:hAnsi="Tahoma" w:cs="Tahoma"/>
          <w:sz w:val="20"/>
          <w:szCs w:val="20"/>
        </w:rPr>
        <w:t>&amp; Travis, J. M. (2016). Improving the forecast for biodiversity under climate change. Science, 353(6304).</w:t>
      </w:r>
    </w:p>
  </w:footnote>
  <w:footnote w:id="371">
    <w:p w:rsidR="0083519B" w:rsidRPr="00FC4FA8" w:rsidRDefault="0083519B" w:rsidP="00FC4FA8">
      <w:pPr>
        <w:spacing w:after="0"/>
        <w:jc w:val="both"/>
        <w:rPr>
          <w:rFonts w:ascii="Tahoma" w:hAnsi="Tahoma" w:cs="Tahoma"/>
          <w:sz w:val="20"/>
          <w:szCs w:val="20"/>
        </w:rPr>
      </w:pPr>
      <w:r w:rsidRPr="005770E9">
        <w:rPr>
          <w:rStyle w:val="Appelnotedebasdep"/>
        </w:rPr>
        <w:footnoteRef/>
      </w:r>
      <w:r w:rsidRPr="005770E9">
        <w:rPr>
          <w:rFonts w:ascii="Tahoma" w:hAnsi="Tahoma" w:cs="Tahoma"/>
          <w:sz w:val="20"/>
          <w:szCs w:val="20"/>
        </w:rPr>
        <w:t xml:space="preserve"> Bellard, C., Bertelsmeier, C., Leadley, P., Thuiller, W., &amp; Courchamp, F. (2012). Impacts of climate change on the future of biodiversity. Ecology Letters, 15(4), 365-377.</w:t>
      </w:r>
    </w:p>
  </w:footnote>
  <w:footnote w:id="372">
    <w:p w:rsidR="0083519B" w:rsidRPr="00FC4FA8" w:rsidRDefault="0083519B" w:rsidP="00FC4FA8">
      <w:pPr>
        <w:spacing w:after="0"/>
        <w:jc w:val="both"/>
        <w:rPr>
          <w:rFonts w:ascii="Tahoma" w:hAnsi="Tahoma" w:cs="Tahoma"/>
          <w:sz w:val="20"/>
          <w:szCs w:val="20"/>
        </w:rPr>
      </w:pPr>
      <w:r>
        <w:rPr>
          <w:rStyle w:val="Appelnotedebasdep"/>
        </w:rPr>
        <w:footnoteRef/>
      </w:r>
      <w:r>
        <w:t xml:space="preserve"> </w:t>
      </w:r>
      <w:r w:rsidRPr="005770E9">
        <w:rPr>
          <w:rFonts w:ascii="Tahoma" w:hAnsi="Tahoma" w:cs="Tahoma"/>
          <w:sz w:val="20"/>
          <w:szCs w:val="20"/>
        </w:rPr>
        <w:t>Huey, R. B., &amp; Stevenson, R. D. (1979). Integrating thermal physiology and ecology of ectotherms: a discussion of approaches. American Zoologist, 19(1), 357-366.</w:t>
      </w:r>
    </w:p>
  </w:footnote>
  <w:footnote w:id="373">
    <w:p w:rsidR="0083519B" w:rsidRPr="00FC4FA8" w:rsidRDefault="0083519B" w:rsidP="008D3838">
      <w:pPr>
        <w:spacing w:after="0"/>
        <w:jc w:val="both"/>
        <w:rPr>
          <w:rFonts w:ascii="Tahoma" w:hAnsi="Tahoma" w:cs="Tahoma"/>
          <w:sz w:val="20"/>
          <w:szCs w:val="20"/>
        </w:rPr>
      </w:pPr>
      <w:r>
        <w:rPr>
          <w:rStyle w:val="Appelnotedebasdep"/>
        </w:rPr>
        <w:footnoteRef/>
      </w:r>
      <w:r>
        <w:t xml:space="preserve"> </w:t>
      </w:r>
      <w:r w:rsidRPr="005770E9">
        <w:rPr>
          <w:rFonts w:ascii="Tahoma" w:hAnsi="Tahoma" w:cs="Tahoma"/>
          <w:sz w:val="20"/>
          <w:szCs w:val="20"/>
        </w:rPr>
        <w:t>Rambal, S., Joffre, R., Ourcival, J. M., Cavender‐Bares, J., &amp; Rocheteau, A. (2004). The growth respiration component in eddy CO2 flux from a Quercus ilex mediterranean forest. Global Change Biology, 10(9), 1460-1469.</w:t>
      </w:r>
    </w:p>
  </w:footnote>
  <w:footnote w:id="374">
    <w:p w:rsidR="0083519B" w:rsidRPr="00FC4FA8" w:rsidRDefault="0083519B" w:rsidP="00FC4FA8">
      <w:pPr>
        <w:spacing w:after="0"/>
        <w:jc w:val="both"/>
        <w:rPr>
          <w:rFonts w:ascii="Tahoma" w:hAnsi="Tahoma" w:cs="Tahoma"/>
          <w:sz w:val="20"/>
          <w:szCs w:val="20"/>
        </w:rPr>
      </w:pPr>
      <w:r w:rsidRPr="00FC4FA8">
        <w:footnoteRef/>
      </w:r>
      <w:r w:rsidRPr="00FC4FA8">
        <w:rPr>
          <w:rFonts w:ascii="Tahoma" w:hAnsi="Tahoma" w:cs="Tahoma"/>
          <w:sz w:val="20"/>
          <w:szCs w:val="20"/>
        </w:rPr>
        <w:t xml:space="preserve"> Hanski, I. (1999). Metapopulation ecology. Oxford University Press.</w:t>
      </w:r>
    </w:p>
  </w:footnote>
  <w:footnote w:id="375">
    <w:p w:rsidR="0083519B" w:rsidRPr="00FC4FA8" w:rsidRDefault="0083519B" w:rsidP="00FC4FA8">
      <w:pPr>
        <w:spacing w:after="0"/>
        <w:jc w:val="both"/>
        <w:rPr>
          <w:rFonts w:ascii="Tahoma" w:hAnsi="Tahoma" w:cs="Tahoma"/>
          <w:sz w:val="20"/>
          <w:szCs w:val="20"/>
        </w:rPr>
      </w:pPr>
      <w:r w:rsidRPr="00FC4FA8">
        <w:footnoteRef/>
      </w:r>
      <w:r w:rsidRPr="00FC4FA8">
        <w:rPr>
          <w:rFonts w:ascii="Tahoma" w:hAnsi="Tahoma" w:cs="Tahoma"/>
          <w:sz w:val="20"/>
          <w:szCs w:val="20"/>
        </w:rPr>
        <w:t xml:space="preserve"> Opdam, P., &amp; Wascher, D. (2004). Climate change meets habitat fragmentation: linking landscape and biogeographical scale levels in research and conservation. Biological Conservation, 117(3), 285-297.</w:t>
      </w:r>
    </w:p>
  </w:footnote>
  <w:footnote w:id="376">
    <w:p w:rsidR="0083519B" w:rsidRPr="00FC4FA8" w:rsidRDefault="0083519B" w:rsidP="00FC4FA8">
      <w:pPr>
        <w:spacing w:after="0"/>
        <w:jc w:val="both"/>
        <w:rPr>
          <w:rFonts w:ascii="Tahoma" w:hAnsi="Tahoma" w:cs="Tahoma"/>
          <w:sz w:val="20"/>
          <w:szCs w:val="20"/>
        </w:rPr>
      </w:pPr>
      <w:r w:rsidRPr="00FC4FA8">
        <w:footnoteRef/>
      </w:r>
      <w:r w:rsidRPr="00FC4FA8">
        <w:rPr>
          <w:rFonts w:ascii="Tahoma" w:hAnsi="Tahoma" w:cs="Tahoma"/>
          <w:sz w:val="20"/>
          <w:szCs w:val="20"/>
        </w:rPr>
        <w:t xml:space="preserve">  Schilling, J., Freier, K. P., Hertig, E., &amp; Scheffran, J. (2012). Climate change, vulnerability and adaptation in North Africa with focus on Morocco. Agriculture, Ecosystems &amp; Environment, 156, 12-26.</w:t>
      </w:r>
    </w:p>
  </w:footnote>
  <w:footnote w:id="377">
    <w:p w:rsidR="0083519B" w:rsidRPr="00FC4FA8" w:rsidRDefault="0083519B" w:rsidP="00FC4FA8">
      <w:pPr>
        <w:spacing w:after="0"/>
        <w:jc w:val="both"/>
        <w:rPr>
          <w:rFonts w:ascii="Tahoma" w:hAnsi="Tahoma" w:cs="Tahoma"/>
          <w:sz w:val="20"/>
          <w:szCs w:val="20"/>
        </w:rPr>
      </w:pPr>
      <w:r w:rsidRPr="00FC4FA8">
        <w:footnoteRef/>
      </w:r>
      <w:r w:rsidRPr="00FC4FA8">
        <w:rPr>
          <w:rFonts w:ascii="Tahoma" w:hAnsi="Tahoma" w:cs="Tahoma"/>
          <w:sz w:val="20"/>
          <w:szCs w:val="20"/>
        </w:rPr>
        <w:t xml:space="preserve"> Driouech, F., Déqué, M., &amp; Mokssit, A. (2009). Op. cit.</w:t>
      </w:r>
    </w:p>
  </w:footnote>
  <w:footnote w:id="378">
    <w:p w:rsidR="0083519B" w:rsidRPr="00FC4FA8" w:rsidRDefault="0083519B" w:rsidP="00FC4FA8">
      <w:pPr>
        <w:spacing w:after="0"/>
        <w:jc w:val="both"/>
        <w:rPr>
          <w:rFonts w:ascii="Tahoma" w:hAnsi="Tahoma" w:cs="Tahoma"/>
          <w:sz w:val="20"/>
          <w:szCs w:val="20"/>
        </w:rPr>
      </w:pPr>
      <w:r w:rsidRPr="00FC4FA8">
        <w:footnoteRef/>
      </w:r>
      <w:r w:rsidRPr="00FC4FA8">
        <w:rPr>
          <w:rFonts w:ascii="Tahoma" w:hAnsi="Tahoma" w:cs="Tahoma"/>
          <w:sz w:val="20"/>
          <w:szCs w:val="20"/>
        </w:rPr>
        <w:t xml:space="preserve">  Knippertz, P., Christoph, M., &amp; Speth, P. (2003). Long‐term precipitation variability in Morocco and the link to the large‐scale circulation in recent and future climates. Meteorology and Atmospheric Physics, 83(1-2), 67-88.</w:t>
      </w:r>
    </w:p>
  </w:footnote>
  <w:footnote w:id="379">
    <w:p w:rsidR="0083519B" w:rsidRPr="00FC4FA8" w:rsidRDefault="0083519B" w:rsidP="00FC4FA8">
      <w:pPr>
        <w:spacing w:after="0"/>
        <w:jc w:val="both"/>
        <w:rPr>
          <w:rFonts w:ascii="Tahoma" w:hAnsi="Tahoma" w:cs="Tahoma"/>
          <w:sz w:val="20"/>
          <w:szCs w:val="20"/>
        </w:rPr>
      </w:pPr>
      <w:r w:rsidRPr="00FC4FA8">
        <w:footnoteRef/>
      </w:r>
      <w:r w:rsidRPr="00FC4FA8">
        <w:rPr>
          <w:rFonts w:ascii="Tahoma" w:hAnsi="Tahoma" w:cs="Tahoma"/>
          <w:sz w:val="20"/>
          <w:szCs w:val="20"/>
        </w:rPr>
        <w:t xml:space="preserve">  Giorgi, F. (2006). Climate change hot‐spots. Geophysical Research Letters, 33(8).</w:t>
      </w:r>
    </w:p>
  </w:footnote>
  <w:footnote w:id="380">
    <w:p w:rsidR="0083519B" w:rsidRPr="00C54FA4" w:rsidRDefault="0083519B" w:rsidP="00C54FA4">
      <w:pPr>
        <w:spacing w:after="0"/>
        <w:jc w:val="both"/>
        <w:rPr>
          <w:rFonts w:ascii="Tahoma" w:hAnsi="Tahoma" w:cs="Tahoma"/>
          <w:sz w:val="20"/>
          <w:szCs w:val="20"/>
        </w:rPr>
      </w:pPr>
      <w:r w:rsidRPr="00FC4FA8">
        <w:footnoteRef/>
      </w:r>
      <w:r w:rsidRPr="00FC4FA8">
        <w:rPr>
          <w:rFonts w:ascii="Tahoma" w:hAnsi="Tahoma" w:cs="Tahoma"/>
          <w:sz w:val="20"/>
          <w:szCs w:val="20"/>
        </w:rPr>
        <w:t xml:space="preserve">  Born, K., Fink, A. H</w:t>
      </w:r>
      <w:r>
        <w:rPr>
          <w:rFonts w:ascii="Tahoma" w:hAnsi="Tahoma" w:cs="Tahoma"/>
          <w:sz w:val="20"/>
          <w:szCs w:val="20"/>
        </w:rPr>
        <w:t>., &amp; Paeth, H. (2008). Op. cit.</w:t>
      </w:r>
    </w:p>
  </w:footnote>
  <w:footnote w:id="381">
    <w:p w:rsidR="0083519B" w:rsidRPr="00975815" w:rsidRDefault="0083519B" w:rsidP="00FC4FA8">
      <w:pPr>
        <w:spacing w:after="0"/>
        <w:jc w:val="both"/>
        <w:rPr>
          <w:rFonts w:ascii="Tahoma" w:hAnsi="Tahoma" w:cs="Tahoma"/>
          <w:sz w:val="20"/>
          <w:szCs w:val="20"/>
        </w:rPr>
      </w:pPr>
      <w:r w:rsidRPr="00975815">
        <w:rPr>
          <w:rStyle w:val="Appelnotedebasdep"/>
          <w:rFonts w:ascii="Tahoma" w:hAnsi="Tahoma" w:cs="Tahoma"/>
          <w:sz w:val="20"/>
          <w:szCs w:val="20"/>
        </w:rPr>
        <w:footnoteRef/>
      </w:r>
      <w:r w:rsidRPr="00975815">
        <w:rPr>
          <w:rFonts w:ascii="Tahoma" w:hAnsi="Tahoma" w:cs="Tahoma"/>
          <w:sz w:val="20"/>
          <w:szCs w:val="20"/>
        </w:rPr>
        <w:t xml:space="preserve"> Diffenbaugh, N. S., &amp; Giorgi, F. (2012). Climate change hotspots in the CMIP5 global climate model ensemble. Climatic Change, 114(3-4), 813-822.</w:t>
      </w:r>
    </w:p>
  </w:footnote>
  <w:footnote w:id="382">
    <w:p w:rsidR="0083519B" w:rsidRPr="00975815" w:rsidRDefault="0083519B" w:rsidP="00FC4FA8">
      <w:pPr>
        <w:spacing w:after="0"/>
        <w:jc w:val="both"/>
        <w:rPr>
          <w:rFonts w:ascii="Tahoma" w:hAnsi="Tahoma" w:cs="Tahoma"/>
          <w:sz w:val="20"/>
          <w:szCs w:val="20"/>
        </w:rPr>
      </w:pPr>
      <w:r w:rsidRPr="00975815">
        <w:rPr>
          <w:rStyle w:val="Appelnotedebasdep"/>
          <w:rFonts w:ascii="Tahoma" w:hAnsi="Tahoma" w:cs="Tahoma"/>
          <w:sz w:val="20"/>
          <w:szCs w:val="20"/>
        </w:rPr>
        <w:footnoteRef/>
      </w:r>
      <w:r w:rsidRPr="00975815">
        <w:rPr>
          <w:rFonts w:ascii="Tahoma" w:hAnsi="Tahoma" w:cs="Tahoma"/>
          <w:sz w:val="20"/>
          <w:szCs w:val="20"/>
        </w:rPr>
        <w:t xml:space="preserve"> Parmesan, C., &amp; Yohe, G. (2003). A globally coherent fingerprint of climate change impacts across natural systems. Nature, 421(6918), 37-42.</w:t>
      </w:r>
    </w:p>
  </w:footnote>
  <w:footnote w:id="383">
    <w:p w:rsidR="0083519B" w:rsidRPr="00975815" w:rsidRDefault="0083519B" w:rsidP="00FC4FA8">
      <w:pPr>
        <w:spacing w:after="0"/>
        <w:jc w:val="both"/>
        <w:rPr>
          <w:rFonts w:ascii="Tahoma" w:hAnsi="Tahoma" w:cs="Tahoma"/>
          <w:sz w:val="20"/>
          <w:szCs w:val="20"/>
        </w:rPr>
      </w:pPr>
      <w:r w:rsidRPr="00975815">
        <w:rPr>
          <w:rStyle w:val="Appelnotedebasdep"/>
          <w:rFonts w:ascii="Tahoma" w:hAnsi="Tahoma" w:cs="Tahoma"/>
          <w:sz w:val="20"/>
          <w:szCs w:val="20"/>
        </w:rPr>
        <w:footnoteRef/>
      </w:r>
      <w:r w:rsidRPr="00975815">
        <w:rPr>
          <w:rFonts w:ascii="Tahoma" w:hAnsi="Tahoma" w:cs="Tahoma"/>
          <w:sz w:val="20"/>
          <w:szCs w:val="20"/>
        </w:rPr>
        <w:t xml:space="preserve"> Lenoir, J., Gégout, J. C., Marquet, P. A., De Ruffray, P., &amp; Brisse, H. (2008). A significant upward shift in plant species optimum elevation during the 20th century. Science, 320(5884), 1768-1771.</w:t>
      </w:r>
    </w:p>
  </w:footnote>
  <w:footnote w:id="384">
    <w:p w:rsidR="0083519B" w:rsidRPr="00975815" w:rsidRDefault="0083519B" w:rsidP="00FC4FA8">
      <w:pPr>
        <w:spacing w:after="0"/>
        <w:jc w:val="both"/>
        <w:rPr>
          <w:rFonts w:ascii="Tahoma" w:hAnsi="Tahoma" w:cs="Tahoma"/>
          <w:sz w:val="20"/>
          <w:szCs w:val="20"/>
        </w:rPr>
      </w:pPr>
      <w:r w:rsidRPr="00975815">
        <w:rPr>
          <w:rStyle w:val="Appelnotedebasdep"/>
          <w:rFonts w:ascii="Tahoma" w:hAnsi="Tahoma" w:cs="Tahoma"/>
          <w:sz w:val="20"/>
          <w:szCs w:val="20"/>
        </w:rPr>
        <w:footnoteRef/>
      </w:r>
      <w:r w:rsidRPr="00975815">
        <w:rPr>
          <w:rFonts w:ascii="Tahoma" w:hAnsi="Tahoma" w:cs="Tahoma"/>
          <w:sz w:val="20"/>
          <w:szCs w:val="20"/>
        </w:rPr>
        <w:t xml:space="preserve"> Grabherr, G., Gottfried, M., &amp; Pauli, H. (1994). Climate effects on mountain plants. Nature, 369(6480), 448-448.</w:t>
      </w:r>
    </w:p>
  </w:footnote>
  <w:footnote w:id="385">
    <w:p w:rsidR="0083519B" w:rsidRPr="00975815" w:rsidRDefault="0083519B" w:rsidP="00FC4FA8">
      <w:pPr>
        <w:pStyle w:val="Notedebasdepage"/>
        <w:rPr>
          <w:rFonts w:ascii="Tahoma" w:hAnsi="Tahoma" w:cs="Tahoma"/>
        </w:rPr>
      </w:pPr>
      <w:r w:rsidRPr="00975815">
        <w:rPr>
          <w:rStyle w:val="Appelnotedebasdep"/>
          <w:rFonts w:ascii="Tahoma" w:hAnsi="Tahoma" w:cs="Tahoma"/>
        </w:rPr>
        <w:footnoteRef/>
      </w:r>
      <w:r w:rsidRPr="00975815">
        <w:rPr>
          <w:rFonts w:ascii="Tahoma" w:hAnsi="Tahoma" w:cs="Tahoma"/>
        </w:rPr>
        <w:t xml:space="preserve">  Thomas, C. D., et al. (2004). Extinction risk from climate change. Nature, 427(6970), 145-148.</w:t>
      </w:r>
    </w:p>
  </w:footnote>
  <w:footnote w:id="386">
    <w:p w:rsidR="0083519B" w:rsidRPr="00975815" w:rsidRDefault="0083519B" w:rsidP="00FC4FA8">
      <w:pPr>
        <w:pStyle w:val="Notedebasdepage"/>
        <w:rPr>
          <w:rFonts w:ascii="Tahoma" w:hAnsi="Tahoma" w:cs="Tahoma"/>
        </w:rPr>
      </w:pPr>
      <w:r w:rsidRPr="00975815">
        <w:rPr>
          <w:rStyle w:val="Appelnotedebasdep"/>
          <w:rFonts w:ascii="Tahoma" w:hAnsi="Tahoma" w:cs="Tahoma"/>
        </w:rPr>
        <w:footnoteRef/>
      </w:r>
      <w:r w:rsidRPr="00975815">
        <w:rPr>
          <w:rFonts w:ascii="Tahoma" w:hAnsi="Tahoma" w:cs="Tahoma"/>
        </w:rPr>
        <w:t xml:space="preserve">  Thuiller, W., Lavorel, S., Araújo, M. B., Sykes, M. T., &amp; Prentice, I. C. (2005). Climate change threats to plant diversity in Europe. Proceedings of the National Academy of Sciences, 102(23), 8245-8250</w:t>
      </w:r>
    </w:p>
  </w:footnote>
  <w:footnote w:id="387">
    <w:p w:rsidR="0083519B" w:rsidRPr="00975815" w:rsidRDefault="0083519B" w:rsidP="00FC4FA8">
      <w:pPr>
        <w:spacing w:after="0"/>
        <w:jc w:val="both"/>
        <w:rPr>
          <w:rFonts w:ascii="Tahoma" w:hAnsi="Tahoma" w:cs="Tahoma"/>
          <w:sz w:val="20"/>
          <w:szCs w:val="20"/>
        </w:rPr>
      </w:pPr>
      <w:r w:rsidRPr="00975815">
        <w:rPr>
          <w:rStyle w:val="Appelnotedebasdep"/>
          <w:rFonts w:ascii="Tahoma" w:hAnsi="Tahoma" w:cs="Tahoma"/>
          <w:sz w:val="20"/>
          <w:szCs w:val="20"/>
        </w:rPr>
        <w:footnoteRef/>
      </w:r>
      <w:r w:rsidRPr="00975815">
        <w:rPr>
          <w:rFonts w:ascii="Tahoma" w:hAnsi="Tahoma" w:cs="Tahoma"/>
          <w:sz w:val="20"/>
          <w:szCs w:val="20"/>
        </w:rPr>
        <w:t xml:space="preserve"> Beniston, M. (2003). Climatic change in mountain regions: a review of possible impacts. Climatic Change, 59(1-2), 5-31.</w:t>
      </w:r>
    </w:p>
  </w:footnote>
  <w:footnote w:id="388">
    <w:p w:rsidR="0083519B" w:rsidRPr="00975815" w:rsidRDefault="0083519B" w:rsidP="00FC4FA8">
      <w:pPr>
        <w:spacing w:after="0"/>
        <w:jc w:val="both"/>
        <w:rPr>
          <w:rFonts w:ascii="Tahoma" w:hAnsi="Tahoma" w:cs="Tahoma"/>
          <w:sz w:val="20"/>
          <w:szCs w:val="20"/>
        </w:rPr>
      </w:pPr>
      <w:r w:rsidRPr="00975815">
        <w:rPr>
          <w:rStyle w:val="Appelnotedebasdep"/>
          <w:rFonts w:ascii="Tahoma" w:hAnsi="Tahoma" w:cs="Tahoma"/>
          <w:sz w:val="20"/>
          <w:szCs w:val="20"/>
        </w:rPr>
        <w:footnoteRef/>
      </w:r>
      <w:r w:rsidRPr="00975815">
        <w:rPr>
          <w:rFonts w:ascii="Tahoma" w:hAnsi="Tahoma" w:cs="Tahoma"/>
          <w:sz w:val="20"/>
          <w:szCs w:val="20"/>
        </w:rPr>
        <w:t xml:space="preserve"> 132^ Sandel, B., et al. (2011). The influence of Late Quaternary climate‐change velocity on species endemism. Science, 334(6056), 660-664.</w:t>
      </w:r>
    </w:p>
  </w:footnote>
  <w:footnote w:id="389">
    <w:p w:rsidR="0083519B" w:rsidRPr="00975815" w:rsidRDefault="0083519B" w:rsidP="00FC4FA8">
      <w:pPr>
        <w:spacing w:after="0"/>
        <w:jc w:val="both"/>
        <w:rPr>
          <w:rFonts w:ascii="Tahoma" w:hAnsi="Tahoma" w:cs="Tahoma"/>
          <w:sz w:val="20"/>
          <w:szCs w:val="20"/>
        </w:rPr>
      </w:pPr>
      <w:r w:rsidRPr="00975815">
        <w:rPr>
          <w:rStyle w:val="Appelnotedebasdep"/>
          <w:rFonts w:ascii="Tahoma" w:hAnsi="Tahoma" w:cs="Tahoma"/>
          <w:sz w:val="20"/>
          <w:szCs w:val="20"/>
        </w:rPr>
        <w:footnoteRef/>
      </w:r>
      <w:r w:rsidRPr="003F4DF6">
        <w:rPr>
          <w:rFonts w:ascii="Tahoma" w:hAnsi="Tahoma" w:cs="Tahoma"/>
          <w:sz w:val="20"/>
          <w:szCs w:val="20"/>
          <w:lang w:val="es-ES"/>
        </w:rPr>
        <w:t xml:space="preserve"> Linares, J. C., &amp; Tiscar, P. A. (2010). </w:t>
      </w:r>
      <w:r w:rsidRPr="00975815">
        <w:rPr>
          <w:rFonts w:ascii="Tahoma" w:hAnsi="Tahoma" w:cs="Tahoma"/>
          <w:sz w:val="20"/>
          <w:szCs w:val="20"/>
        </w:rPr>
        <w:t>Climate change impacts and vulnerability of the southern populations of Pinus nigra subsp. salzmannii. Tree Physiology, 30(6), 795-806.</w:t>
      </w:r>
    </w:p>
  </w:footnote>
  <w:footnote w:id="390">
    <w:p w:rsidR="0083519B" w:rsidRPr="00975815" w:rsidRDefault="0083519B" w:rsidP="00FC4FA8">
      <w:pPr>
        <w:spacing w:after="0"/>
        <w:jc w:val="both"/>
        <w:rPr>
          <w:rFonts w:ascii="Tahoma" w:hAnsi="Tahoma" w:cs="Tahoma"/>
          <w:sz w:val="20"/>
          <w:szCs w:val="20"/>
        </w:rPr>
      </w:pPr>
      <w:r w:rsidRPr="00975815">
        <w:rPr>
          <w:rStyle w:val="Appelnotedebasdep"/>
          <w:rFonts w:ascii="Tahoma" w:hAnsi="Tahoma" w:cs="Tahoma"/>
          <w:sz w:val="20"/>
          <w:szCs w:val="20"/>
        </w:rPr>
        <w:footnoteRef/>
      </w:r>
      <w:r>
        <w:rPr>
          <w:rFonts w:ascii="Tahoma" w:hAnsi="Tahoma" w:cs="Tahoma"/>
          <w:sz w:val="20"/>
          <w:szCs w:val="20"/>
        </w:rPr>
        <w:t xml:space="preserve"> </w:t>
      </w:r>
      <w:r w:rsidRPr="00975815">
        <w:rPr>
          <w:rFonts w:ascii="Tahoma" w:hAnsi="Tahoma" w:cs="Tahoma"/>
          <w:sz w:val="20"/>
          <w:szCs w:val="20"/>
        </w:rPr>
        <w:t>Cheddadi, R., et al. (2017). Revisiting tree-migration rates: Abies alba (Mill.), a case study. Vegetation History and Archaeobotany, 26(1), 91-104.</w:t>
      </w:r>
    </w:p>
  </w:footnote>
  <w:footnote w:id="391">
    <w:p w:rsidR="0083519B" w:rsidRPr="00975815" w:rsidRDefault="0083519B" w:rsidP="00FC4FA8">
      <w:pPr>
        <w:spacing w:after="0"/>
        <w:jc w:val="both"/>
        <w:rPr>
          <w:rFonts w:ascii="Tahoma" w:hAnsi="Tahoma" w:cs="Tahoma"/>
          <w:sz w:val="20"/>
          <w:szCs w:val="20"/>
        </w:rPr>
      </w:pPr>
      <w:r w:rsidRPr="00975815">
        <w:rPr>
          <w:rStyle w:val="Appelnotedebasdep"/>
          <w:rFonts w:ascii="Tahoma" w:hAnsi="Tahoma" w:cs="Tahoma"/>
          <w:sz w:val="20"/>
          <w:szCs w:val="20"/>
        </w:rPr>
        <w:footnoteRef/>
      </w:r>
      <w:r w:rsidRPr="00975815">
        <w:rPr>
          <w:rFonts w:ascii="Tahoma" w:hAnsi="Tahoma" w:cs="Tahoma"/>
          <w:sz w:val="20"/>
          <w:szCs w:val="20"/>
        </w:rPr>
        <w:t xml:space="preserve"> Vennetier, M., et al. (2008). Adaptation of forest ecosystems to air warming: a global overview. Forest Systems, 17(3), 252-264.</w:t>
      </w:r>
    </w:p>
  </w:footnote>
  <w:footnote w:id="392">
    <w:p w:rsidR="0083519B" w:rsidRPr="00975815" w:rsidRDefault="0083519B" w:rsidP="00FC4FA8">
      <w:pPr>
        <w:spacing w:after="0"/>
        <w:jc w:val="both"/>
        <w:rPr>
          <w:rFonts w:ascii="Tahoma" w:hAnsi="Tahoma" w:cs="Tahoma"/>
          <w:sz w:val="20"/>
          <w:szCs w:val="20"/>
        </w:rPr>
      </w:pPr>
      <w:r w:rsidRPr="00B67B78">
        <w:rPr>
          <w:rFonts w:ascii="Tahoma" w:hAnsi="Tahoma" w:cs="Tahoma"/>
          <w:sz w:val="20"/>
          <w:szCs w:val="20"/>
          <w:vertAlign w:val="superscript"/>
        </w:rPr>
        <w:footnoteRef/>
      </w:r>
      <w:r w:rsidRPr="00975815">
        <w:rPr>
          <w:rFonts w:ascii="Tahoma" w:hAnsi="Tahoma" w:cs="Tahoma"/>
          <w:sz w:val="20"/>
          <w:szCs w:val="20"/>
        </w:rPr>
        <w:t xml:space="preserve"> Université Hassan II. (2020). Les dynamiques de migration des espèces dans les forêts de cèdre du Moyen Atlas. Revue des Sciences Forestières, Université Hassan II.</w:t>
      </w:r>
    </w:p>
  </w:footnote>
  <w:footnote w:id="393">
    <w:p w:rsidR="0083519B" w:rsidRPr="00FC4FA8" w:rsidRDefault="0083519B" w:rsidP="00FC4FA8">
      <w:pPr>
        <w:spacing w:after="0"/>
        <w:jc w:val="both"/>
        <w:rPr>
          <w:rFonts w:ascii="Tahoma" w:hAnsi="Tahoma" w:cs="Tahoma"/>
          <w:sz w:val="20"/>
          <w:szCs w:val="20"/>
        </w:rPr>
      </w:pPr>
      <w:r w:rsidRPr="00B67B78">
        <w:rPr>
          <w:rFonts w:ascii="Tahoma" w:hAnsi="Tahoma" w:cs="Tahoma"/>
          <w:sz w:val="20"/>
          <w:szCs w:val="20"/>
          <w:vertAlign w:val="superscript"/>
        </w:rPr>
        <w:footnoteRef/>
      </w:r>
      <w:r w:rsidRPr="00975815">
        <w:rPr>
          <w:rFonts w:ascii="Tahoma" w:hAnsi="Tahoma" w:cs="Tahoma"/>
          <w:sz w:val="20"/>
          <w:szCs w:val="20"/>
        </w:rPr>
        <w:t xml:space="preserve">  Jump, A. S., Hunt, J. M., &amp; Peñuelas, J. (2006). Rapid climate change‐related tree mortality versus slow changes in forest structure: comparing the ecological implications. Global Change Biology, 12(2), 206-215.</w:t>
      </w:r>
    </w:p>
  </w:footnote>
  <w:footnote w:id="394">
    <w:p w:rsidR="0083519B" w:rsidRPr="00975815" w:rsidRDefault="0083519B" w:rsidP="00FC4FA8">
      <w:pPr>
        <w:spacing w:after="0"/>
        <w:jc w:val="both"/>
        <w:rPr>
          <w:rFonts w:ascii="Tahoma" w:hAnsi="Tahoma" w:cs="Tahoma"/>
          <w:sz w:val="20"/>
          <w:szCs w:val="20"/>
        </w:rPr>
      </w:pPr>
      <w:r w:rsidRPr="00B67B78">
        <w:rPr>
          <w:rFonts w:ascii="Tahoma" w:hAnsi="Tahoma" w:cs="Tahoma"/>
          <w:sz w:val="20"/>
          <w:szCs w:val="20"/>
          <w:vertAlign w:val="superscript"/>
        </w:rPr>
        <w:footnoteRef/>
      </w:r>
      <w:r w:rsidRPr="00B67B78">
        <w:rPr>
          <w:rFonts w:ascii="Tahoma" w:hAnsi="Tahoma" w:cs="Tahoma"/>
          <w:sz w:val="20"/>
          <w:szCs w:val="20"/>
          <w:vertAlign w:val="superscript"/>
        </w:rPr>
        <w:t xml:space="preserve"> </w:t>
      </w:r>
      <w:r w:rsidRPr="00975815">
        <w:rPr>
          <w:rFonts w:ascii="Tahoma" w:hAnsi="Tahoma" w:cs="Tahoma"/>
          <w:sz w:val="20"/>
          <w:szCs w:val="20"/>
        </w:rPr>
        <w:t xml:space="preserve"> Körner, C. (2000). Biosphere responses to CO2 enrichment. Ecological Applications, 10(6), 1590-1619.</w:t>
      </w:r>
    </w:p>
  </w:footnote>
  <w:footnote w:id="395">
    <w:p w:rsidR="0083519B" w:rsidRPr="008146C3" w:rsidRDefault="0083519B" w:rsidP="00FC4FA8">
      <w:pPr>
        <w:spacing w:after="0"/>
        <w:jc w:val="both"/>
        <w:rPr>
          <w:rFonts w:ascii="Tahoma" w:hAnsi="Tahoma" w:cs="Tahoma"/>
          <w:sz w:val="20"/>
          <w:szCs w:val="20"/>
          <w:lang w:val="es-ES"/>
        </w:rPr>
      </w:pPr>
      <w:r w:rsidRPr="00B67B78">
        <w:rPr>
          <w:rFonts w:ascii="Tahoma" w:hAnsi="Tahoma" w:cs="Tahoma"/>
          <w:sz w:val="20"/>
          <w:szCs w:val="20"/>
          <w:vertAlign w:val="superscript"/>
        </w:rPr>
        <w:footnoteRef/>
      </w:r>
      <w:r w:rsidRPr="008146C3">
        <w:rPr>
          <w:rFonts w:ascii="Tahoma" w:hAnsi="Tahoma" w:cs="Tahoma"/>
          <w:sz w:val="20"/>
          <w:szCs w:val="20"/>
          <w:lang w:val="es-ES"/>
        </w:rPr>
        <w:t xml:space="preserve"> Bonan, G. B. (2008). Op. cit.</w:t>
      </w:r>
    </w:p>
  </w:footnote>
  <w:footnote w:id="396">
    <w:p w:rsidR="0083519B" w:rsidRPr="00B67B78" w:rsidRDefault="0083519B" w:rsidP="00E35382">
      <w:pPr>
        <w:spacing w:after="0"/>
        <w:jc w:val="both"/>
        <w:rPr>
          <w:rFonts w:ascii="Tahoma" w:hAnsi="Tahoma" w:cs="Tahoma"/>
          <w:sz w:val="20"/>
          <w:szCs w:val="20"/>
        </w:rPr>
      </w:pPr>
      <w:r w:rsidRPr="00E35382">
        <w:rPr>
          <w:rFonts w:ascii="Tahoma" w:hAnsi="Tahoma" w:cs="Tahoma"/>
          <w:sz w:val="20"/>
          <w:szCs w:val="20"/>
          <w:vertAlign w:val="superscript"/>
        </w:rPr>
        <w:footnoteRef/>
      </w:r>
      <w:r w:rsidRPr="00E35382">
        <w:rPr>
          <w:rFonts w:ascii="Tahoma" w:hAnsi="Tahoma" w:cs="Tahoma"/>
          <w:sz w:val="20"/>
          <w:szCs w:val="20"/>
          <w:vertAlign w:val="superscript"/>
        </w:rPr>
        <w:t xml:space="preserve"> </w:t>
      </w:r>
      <w:r w:rsidRPr="00B67B78">
        <w:rPr>
          <w:rFonts w:ascii="Tahoma" w:hAnsi="Tahoma" w:cs="Tahoma"/>
          <w:sz w:val="20"/>
          <w:szCs w:val="20"/>
        </w:rPr>
        <w:t xml:space="preserve"> Quézel, P., Barbero, M., &amp; Loisel, R. (1994). Changes in the Mediterranean vegetation over the last 10000 years: possible causes and consequences. GeoJournal, 33(1), 33-43.</w:t>
      </w:r>
    </w:p>
  </w:footnote>
  <w:footnote w:id="397">
    <w:p w:rsidR="0083519B" w:rsidRPr="00B67B78" w:rsidRDefault="0083519B" w:rsidP="00E35382">
      <w:pPr>
        <w:spacing w:after="0"/>
        <w:jc w:val="both"/>
        <w:rPr>
          <w:rFonts w:ascii="Tahoma" w:hAnsi="Tahoma" w:cs="Tahoma"/>
          <w:sz w:val="20"/>
          <w:szCs w:val="20"/>
        </w:rPr>
      </w:pPr>
      <w:r w:rsidRPr="00E35382">
        <w:rPr>
          <w:rFonts w:ascii="Tahoma" w:hAnsi="Tahoma" w:cs="Tahoma"/>
          <w:sz w:val="20"/>
          <w:szCs w:val="20"/>
          <w:vertAlign w:val="superscript"/>
        </w:rPr>
        <w:footnoteRef/>
      </w:r>
      <w:r w:rsidRPr="00E35382">
        <w:rPr>
          <w:rFonts w:ascii="Tahoma" w:hAnsi="Tahoma" w:cs="Tahoma"/>
          <w:sz w:val="20"/>
          <w:szCs w:val="20"/>
          <w:vertAlign w:val="superscript"/>
        </w:rPr>
        <w:t xml:space="preserve"> </w:t>
      </w:r>
      <w:r w:rsidRPr="00E35382">
        <w:rPr>
          <w:rFonts w:ascii="Tahoma" w:hAnsi="Tahoma" w:cs="Tahoma"/>
          <w:sz w:val="20"/>
          <w:szCs w:val="20"/>
        </w:rPr>
        <w:t xml:space="preserve"> </w:t>
      </w:r>
      <w:r w:rsidRPr="00B67B78">
        <w:rPr>
          <w:rFonts w:ascii="Tahoma" w:hAnsi="Tahoma" w:cs="Tahoma"/>
          <w:sz w:val="20"/>
          <w:szCs w:val="20"/>
        </w:rPr>
        <w:t>Le Houérou, H. N. (1996). Climate change, drought and desertification. Journal of Arid Environments, 34(2), 133-185.</w:t>
      </w:r>
    </w:p>
  </w:footnote>
  <w:footnote w:id="398">
    <w:p w:rsidR="0083519B" w:rsidRPr="00712A1A" w:rsidRDefault="0083519B" w:rsidP="00E35382">
      <w:pPr>
        <w:spacing w:after="0"/>
        <w:jc w:val="both"/>
        <w:rPr>
          <w:rFonts w:ascii="Tahoma" w:hAnsi="Tahoma" w:cs="Tahoma"/>
          <w:sz w:val="20"/>
          <w:szCs w:val="20"/>
          <w:lang w:val="es-ES"/>
        </w:rPr>
      </w:pPr>
      <w:r w:rsidRPr="00E35382">
        <w:rPr>
          <w:vertAlign w:val="superscript"/>
        </w:rPr>
        <w:footnoteRef/>
      </w:r>
      <w:r w:rsidRPr="00E35382">
        <w:rPr>
          <w:rFonts w:ascii="Tahoma" w:hAnsi="Tahoma" w:cs="Tahoma"/>
          <w:sz w:val="20"/>
          <w:szCs w:val="20"/>
          <w:vertAlign w:val="superscript"/>
        </w:rPr>
        <w:t xml:space="preserve"> </w:t>
      </w:r>
      <w:r w:rsidRPr="00B67B78">
        <w:rPr>
          <w:rFonts w:ascii="Tahoma" w:hAnsi="Tahoma" w:cs="Tahoma"/>
          <w:sz w:val="20"/>
          <w:szCs w:val="20"/>
        </w:rPr>
        <w:t xml:space="preserve"> Thomas, C. D. Climate change: Biodiversity losses accelerate. </w:t>
      </w:r>
      <w:r w:rsidRPr="00712A1A">
        <w:rPr>
          <w:rFonts w:ascii="Tahoma" w:hAnsi="Tahoma" w:cs="Tahoma"/>
          <w:sz w:val="20"/>
          <w:szCs w:val="20"/>
          <w:lang w:val="es-ES"/>
        </w:rPr>
        <w:t>Nature, 467(7316), 2010, 548-549.</w:t>
      </w:r>
    </w:p>
  </w:footnote>
  <w:footnote w:id="399">
    <w:p w:rsidR="0083519B" w:rsidRPr="00B67B78" w:rsidRDefault="0083519B" w:rsidP="00E35382">
      <w:pPr>
        <w:spacing w:after="0"/>
        <w:jc w:val="both"/>
        <w:rPr>
          <w:rFonts w:ascii="Tahoma" w:hAnsi="Tahoma" w:cs="Tahoma"/>
          <w:sz w:val="20"/>
          <w:szCs w:val="20"/>
        </w:rPr>
      </w:pPr>
      <w:r w:rsidRPr="00E35382">
        <w:rPr>
          <w:rFonts w:ascii="Tahoma" w:hAnsi="Tahoma" w:cs="Tahoma"/>
          <w:sz w:val="20"/>
          <w:szCs w:val="20"/>
          <w:vertAlign w:val="superscript"/>
        </w:rPr>
        <w:footnoteRef/>
      </w:r>
      <w:r w:rsidRPr="00712A1A">
        <w:rPr>
          <w:rFonts w:ascii="Tahoma" w:hAnsi="Tahoma" w:cs="Tahoma"/>
          <w:sz w:val="20"/>
          <w:szCs w:val="20"/>
          <w:vertAlign w:val="superscript"/>
          <w:lang w:val="es-ES"/>
        </w:rPr>
        <w:t xml:space="preserve"> </w:t>
      </w:r>
      <w:r w:rsidRPr="00712A1A">
        <w:rPr>
          <w:rFonts w:ascii="Tahoma" w:hAnsi="Tahoma" w:cs="Tahoma"/>
          <w:sz w:val="20"/>
          <w:szCs w:val="20"/>
          <w:lang w:val="es-ES"/>
        </w:rPr>
        <w:t xml:space="preserve"> Sala, O. E., et al. (2000). Global biodiversity scenarios for the year 2100. </w:t>
      </w:r>
      <w:r w:rsidRPr="00B67B78">
        <w:rPr>
          <w:rFonts w:ascii="Tahoma" w:hAnsi="Tahoma" w:cs="Tahoma"/>
          <w:sz w:val="20"/>
          <w:szCs w:val="20"/>
        </w:rPr>
        <w:t>Science, 287(5459), 1770-1774.</w:t>
      </w:r>
    </w:p>
  </w:footnote>
  <w:footnote w:id="400">
    <w:p w:rsidR="0083519B" w:rsidRPr="00B67B78" w:rsidRDefault="0083519B" w:rsidP="00E35382">
      <w:pPr>
        <w:spacing w:after="0"/>
        <w:jc w:val="both"/>
        <w:rPr>
          <w:rFonts w:ascii="Tahoma" w:hAnsi="Tahoma" w:cs="Tahoma"/>
          <w:sz w:val="20"/>
          <w:szCs w:val="20"/>
        </w:rPr>
      </w:pPr>
      <w:r w:rsidRPr="00E35382">
        <w:rPr>
          <w:rFonts w:ascii="Tahoma" w:hAnsi="Tahoma" w:cs="Tahoma"/>
          <w:sz w:val="20"/>
          <w:szCs w:val="20"/>
          <w:vertAlign w:val="superscript"/>
        </w:rPr>
        <w:footnoteRef/>
      </w:r>
      <w:r w:rsidRPr="00B67B78">
        <w:rPr>
          <w:rFonts w:ascii="Tahoma" w:hAnsi="Tahoma" w:cs="Tahoma"/>
          <w:sz w:val="20"/>
          <w:szCs w:val="20"/>
        </w:rPr>
        <w:t xml:space="preserve"> Thuiller, W., Brotons, L., Araújo, M. B., &amp; Lavorel, S. (2004). Effects of restricting environmental range of data to project current and future species distributions. Ecography, 27(2), 165-172.</w:t>
      </w:r>
    </w:p>
  </w:footnote>
  <w:footnote w:id="401">
    <w:p w:rsidR="0083519B" w:rsidRPr="00B67B78" w:rsidRDefault="0083519B" w:rsidP="00E35382">
      <w:pPr>
        <w:spacing w:after="0"/>
        <w:jc w:val="both"/>
        <w:rPr>
          <w:rFonts w:ascii="Tahoma" w:hAnsi="Tahoma" w:cs="Tahoma"/>
          <w:sz w:val="20"/>
          <w:szCs w:val="20"/>
        </w:rPr>
      </w:pPr>
      <w:r w:rsidRPr="00E35382">
        <w:rPr>
          <w:rFonts w:ascii="Tahoma" w:hAnsi="Tahoma" w:cs="Tahoma"/>
          <w:sz w:val="20"/>
          <w:szCs w:val="20"/>
          <w:vertAlign w:val="superscript"/>
        </w:rPr>
        <w:footnoteRef/>
      </w:r>
      <w:r w:rsidRPr="00B67B78">
        <w:rPr>
          <w:rFonts w:ascii="Tahoma" w:hAnsi="Tahoma" w:cs="Tahoma"/>
          <w:sz w:val="20"/>
          <w:szCs w:val="20"/>
        </w:rPr>
        <w:t xml:space="preserve"> Brook, B. W., Sodhi, N. S., &amp; Bradshaw, C. J. (2008). Synergies among extinction drivers under global change. Trends in Ecology &amp; Evolution, 23(8), 453-460.</w:t>
      </w:r>
    </w:p>
  </w:footnote>
  <w:footnote w:id="402">
    <w:p w:rsidR="0083519B" w:rsidRPr="00B67B78" w:rsidRDefault="0083519B" w:rsidP="00E35382">
      <w:pPr>
        <w:spacing w:after="0"/>
        <w:jc w:val="both"/>
        <w:rPr>
          <w:rFonts w:ascii="Tahoma" w:hAnsi="Tahoma" w:cs="Tahoma"/>
          <w:sz w:val="20"/>
          <w:szCs w:val="20"/>
        </w:rPr>
      </w:pPr>
      <w:r w:rsidRPr="00E35382">
        <w:rPr>
          <w:rFonts w:ascii="Tahoma" w:hAnsi="Tahoma" w:cs="Tahoma"/>
          <w:sz w:val="20"/>
          <w:szCs w:val="20"/>
          <w:vertAlign w:val="superscript"/>
        </w:rPr>
        <w:footnoteRef/>
      </w:r>
      <w:r w:rsidRPr="00B67B78">
        <w:rPr>
          <w:rFonts w:ascii="Tahoma" w:hAnsi="Tahoma" w:cs="Tahoma"/>
          <w:sz w:val="20"/>
          <w:szCs w:val="20"/>
        </w:rPr>
        <w:t xml:space="preserve">  Millennium Ecosystem Assessment. (2005). Op. cit.</w:t>
      </w:r>
    </w:p>
  </w:footnote>
  <w:footnote w:id="403">
    <w:p w:rsidR="0083519B" w:rsidRPr="00975815" w:rsidRDefault="0083519B" w:rsidP="00E35382">
      <w:pPr>
        <w:spacing w:after="0"/>
        <w:jc w:val="both"/>
        <w:rPr>
          <w:rFonts w:ascii="Tahoma" w:hAnsi="Tahoma" w:cs="Tahoma"/>
          <w:sz w:val="20"/>
          <w:szCs w:val="20"/>
        </w:rPr>
      </w:pPr>
      <w:r w:rsidRPr="00E35382">
        <w:rPr>
          <w:rFonts w:ascii="Tahoma" w:hAnsi="Tahoma" w:cs="Tahoma"/>
          <w:sz w:val="20"/>
          <w:szCs w:val="20"/>
          <w:vertAlign w:val="superscript"/>
        </w:rPr>
        <w:footnoteRef/>
      </w:r>
      <w:r w:rsidRPr="00B67B78">
        <w:rPr>
          <w:rFonts w:ascii="Tahoma" w:hAnsi="Tahoma" w:cs="Tahoma"/>
          <w:sz w:val="20"/>
          <w:szCs w:val="20"/>
        </w:rPr>
        <w:t xml:space="preserve">  Fennane, M., &amp; Ibn Tattou, M. (2005). Flore vasculaire du Maroc: inventaire et chorologie. Travaux de l'Institut Scientifique, Série Botanique, 36.</w:t>
      </w:r>
    </w:p>
  </w:footnote>
  <w:footnote w:id="404">
    <w:p w:rsidR="0083519B" w:rsidRPr="00975815" w:rsidRDefault="0083519B" w:rsidP="00607994">
      <w:pPr>
        <w:spacing w:after="0"/>
        <w:jc w:val="both"/>
        <w:rPr>
          <w:rFonts w:ascii="Tahoma" w:hAnsi="Tahoma" w:cs="Tahoma"/>
          <w:sz w:val="20"/>
          <w:szCs w:val="20"/>
        </w:rPr>
      </w:pPr>
      <w:r w:rsidRPr="00C54FA4">
        <w:footnoteRef/>
      </w:r>
      <w:r w:rsidRPr="00975815">
        <w:rPr>
          <w:rFonts w:ascii="Tahoma" w:hAnsi="Tahoma" w:cs="Tahoma"/>
          <w:sz w:val="20"/>
          <w:szCs w:val="20"/>
        </w:rPr>
        <w:t xml:space="preserve"> Barbéro, M., Quézel, P., &amp; Rivas‐Martínez, S. (1981). Contribution à l'étude des groupements forestiers et préforestiers du Maroc. Phytocoenologia, 9(3), 311-412.</w:t>
      </w:r>
    </w:p>
  </w:footnote>
  <w:footnote w:id="405">
    <w:p w:rsidR="0083519B" w:rsidRPr="00975815" w:rsidRDefault="0083519B" w:rsidP="00607994">
      <w:pPr>
        <w:spacing w:after="0"/>
        <w:jc w:val="both"/>
        <w:rPr>
          <w:rFonts w:ascii="Tahoma" w:hAnsi="Tahoma" w:cs="Tahoma"/>
          <w:sz w:val="20"/>
          <w:szCs w:val="20"/>
        </w:rPr>
      </w:pPr>
      <w:r w:rsidRPr="00975815">
        <w:rPr>
          <w:rStyle w:val="Appelnotedebasdep"/>
          <w:rFonts w:ascii="Tahoma" w:hAnsi="Tahoma" w:cs="Tahoma"/>
          <w:sz w:val="20"/>
          <w:szCs w:val="20"/>
        </w:rPr>
        <w:footnoteRef/>
      </w:r>
      <w:r w:rsidRPr="00975815">
        <w:rPr>
          <w:rFonts w:ascii="Tahoma" w:hAnsi="Tahoma" w:cs="Tahoma"/>
          <w:sz w:val="20"/>
          <w:szCs w:val="20"/>
        </w:rPr>
        <w:t xml:space="preserve"> Gottfried, M., et al. (2012). Continent-wide response of mountain vegetation to climate change. Nature Climate Change, 2(2), 111-115.</w:t>
      </w:r>
    </w:p>
  </w:footnote>
  <w:footnote w:id="406">
    <w:p w:rsidR="0083519B" w:rsidRPr="00975815" w:rsidRDefault="0083519B" w:rsidP="00607994">
      <w:pPr>
        <w:spacing w:after="0"/>
        <w:jc w:val="both"/>
        <w:rPr>
          <w:rFonts w:ascii="Tahoma" w:hAnsi="Tahoma" w:cs="Tahoma"/>
          <w:sz w:val="20"/>
          <w:szCs w:val="20"/>
        </w:rPr>
      </w:pPr>
      <w:r w:rsidRPr="00975815">
        <w:rPr>
          <w:rStyle w:val="Appelnotedebasdep"/>
          <w:rFonts w:ascii="Tahoma" w:hAnsi="Tahoma" w:cs="Tahoma"/>
          <w:sz w:val="20"/>
          <w:szCs w:val="20"/>
        </w:rPr>
        <w:footnoteRef/>
      </w:r>
      <w:r w:rsidRPr="00975815">
        <w:rPr>
          <w:rFonts w:ascii="Tahoma" w:hAnsi="Tahoma" w:cs="Tahoma"/>
          <w:sz w:val="20"/>
          <w:szCs w:val="20"/>
        </w:rPr>
        <w:t xml:space="preserve"> Médail, F., &amp; Quézel, P. (1997). Hot-spots analysis for conservation of plant biodiversity in the Mediterranean Basin. Annals of the Missouri Botanical Garden, 84(1), 112-127.</w:t>
      </w:r>
    </w:p>
  </w:footnote>
  <w:footnote w:id="407">
    <w:p w:rsidR="0083519B" w:rsidRPr="00975815" w:rsidRDefault="0083519B" w:rsidP="00607994">
      <w:pPr>
        <w:spacing w:after="0"/>
        <w:jc w:val="both"/>
        <w:rPr>
          <w:rFonts w:ascii="Tahoma" w:hAnsi="Tahoma" w:cs="Tahoma"/>
          <w:sz w:val="20"/>
          <w:szCs w:val="20"/>
        </w:rPr>
      </w:pPr>
      <w:r w:rsidRPr="00975815">
        <w:rPr>
          <w:rStyle w:val="Appelnotedebasdep"/>
          <w:rFonts w:ascii="Tahoma" w:hAnsi="Tahoma" w:cs="Tahoma"/>
          <w:sz w:val="20"/>
          <w:szCs w:val="20"/>
        </w:rPr>
        <w:footnoteRef/>
      </w:r>
      <w:r w:rsidRPr="00975815">
        <w:rPr>
          <w:rFonts w:ascii="Tahoma" w:hAnsi="Tahoma" w:cs="Tahoma"/>
          <w:sz w:val="20"/>
          <w:szCs w:val="20"/>
        </w:rPr>
        <w:t xml:space="preserve"> Barbéro, M., &amp; Quézel, P. (1979). La végétation forestière du Maroc. In Forêts et maquis méditerranéens: écologie, conservation et aménagement (pp. 9-33). UNESCO.</w:t>
      </w:r>
    </w:p>
  </w:footnote>
  <w:footnote w:id="408">
    <w:p w:rsidR="0083519B" w:rsidRPr="00C54FA4" w:rsidRDefault="0083519B" w:rsidP="00C54FA4">
      <w:pPr>
        <w:spacing w:after="0"/>
        <w:jc w:val="both"/>
        <w:rPr>
          <w:rFonts w:ascii="Tahoma" w:hAnsi="Tahoma" w:cs="Tahoma"/>
          <w:sz w:val="20"/>
          <w:szCs w:val="20"/>
        </w:rPr>
      </w:pPr>
      <w:r w:rsidRPr="00975815">
        <w:rPr>
          <w:rStyle w:val="Appelnotedebasdep"/>
          <w:rFonts w:ascii="Tahoma" w:hAnsi="Tahoma" w:cs="Tahoma"/>
          <w:sz w:val="20"/>
          <w:szCs w:val="20"/>
        </w:rPr>
        <w:footnoteRef/>
      </w:r>
      <w:r w:rsidRPr="00975815">
        <w:rPr>
          <w:rFonts w:ascii="Tahoma" w:hAnsi="Tahoma" w:cs="Tahoma"/>
          <w:sz w:val="20"/>
          <w:szCs w:val="20"/>
        </w:rPr>
        <w:t xml:space="preserve"> Thuiller, W., Lavorel, S., Araújo, M. B., Sykes, M. T., &amp; P</w:t>
      </w:r>
      <w:r>
        <w:rPr>
          <w:rFonts w:ascii="Tahoma" w:hAnsi="Tahoma" w:cs="Tahoma"/>
          <w:sz w:val="20"/>
          <w:szCs w:val="20"/>
        </w:rPr>
        <w:t>rentice, I. C. (2005). Op. cit.</w:t>
      </w:r>
    </w:p>
  </w:footnote>
  <w:footnote w:id="409">
    <w:p w:rsidR="0083519B" w:rsidRPr="00975815" w:rsidRDefault="0083519B" w:rsidP="00975815">
      <w:pPr>
        <w:spacing w:after="0"/>
        <w:jc w:val="both"/>
        <w:rPr>
          <w:rFonts w:ascii="Tahoma" w:hAnsi="Tahoma" w:cs="Tahoma"/>
          <w:sz w:val="20"/>
          <w:szCs w:val="20"/>
        </w:rPr>
      </w:pPr>
      <w:r w:rsidRPr="00C54FA4">
        <w:rPr>
          <w:rFonts w:ascii="Tahoma" w:hAnsi="Tahoma" w:cs="Tahoma"/>
          <w:sz w:val="20"/>
          <w:szCs w:val="20"/>
          <w:vertAlign w:val="superscript"/>
        </w:rPr>
        <w:footnoteRef/>
      </w:r>
      <w:r w:rsidRPr="00975815">
        <w:rPr>
          <w:rFonts w:ascii="Tahoma" w:hAnsi="Tahoma" w:cs="Tahoma"/>
          <w:sz w:val="20"/>
          <w:szCs w:val="20"/>
        </w:rPr>
        <w:t xml:space="preserve"> Dullinger, S., et al. (2012). Extinction debt of high‐mountain plants under twenty‐first‐century climate change. Nature Climate Change, 2(8), 619-622.</w:t>
      </w:r>
    </w:p>
  </w:footnote>
  <w:footnote w:id="410">
    <w:p w:rsidR="0083519B" w:rsidRPr="00975815" w:rsidRDefault="0083519B" w:rsidP="00607994">
      <w:pPr>
        <w:spacing w:after="0"/>
        <w:jc w:val="both"/>
        <w:rPr>
          <w:rFonts w:ascii="Tahoma" w:hAnsi="Tahoma" w:cs="Tahoma"/>
          <w:sz w:val="20"/>
          <w:szCs w:val="20"/>
        </w:rPr>
      </w:pPr>
      <w:r w:rsidRPr="00C54FA4">
        <w:rPr>
          <w:rFonts w:ascii="Tahoma" w:hAnsi="Tahoma" w:cs="Tahoma"/>
          <w:sz w:val="20"/>
          <w:szCs w:val="20"/>
          <w:vertAlign w:val="superscript"/>
        </w:rPr>
        <w:footnoteRef/>
      </w:r>
      <w:r w:rsidRPr="00975815">
        <w:rPr>
          <w:rFonts w:ascii="Tahoma" w:hAnsi="Tahoma" w:cs="Tahoma"/>
          <w:sz w:val="20"/>
          <w:szCs w:val="20"/>
        </w:rPr>
        <w:t xml:space="preserve"> Engler, R., et al. (2011). 21st century climate change threatens mountain flora unequally across Europe. Global Change Biology, 17(7), 2330-2341.</w:t>
      </w:r>
    </w:p>
  </w:footnote>
  <w:footnote w:id="411">
    <w:p w:rsidR="0083519B" w:rsidRPr="00326A33" w:rsidRDefault="0083519B" w:rsidP="00607994">
      <w:pPr>
        <w:spacing w:after="0"/>
        <w:jc w:val="both"/>
        <w:rPr>
          <w:rFonts w:ascii="Tahoma" w:hAnsi="Tahoma" w:cs="Tahoma"/>
          <w:sz w:val="20"/>
          <w:szCs w:val="20"/>
        </w:rPr>
      </w:pPr>
      <w:r w:rsidRPr="00326A33">
        <w:rPr>
          <w:rFonts w:ascii="Tahoma" w:hAnsi="Tahoma" w:cs="Tahoma"/>
          <w:sz w:val="20"/>
          <w:szCs w:val="20"/>
          <w:vertAlign w:val="superscript"/>
        </w:rPr>
        <w:footnoteRef/>
      </w:r>
      <w:r w:rsidRPr="00326A33">
        <w:rPr>
          <w:rFonts w:ascii="Tahoma" w:hAnsi="Tahoma" w:cs="Tahoma"/>
          <w:sz w:val="20"/>
          <w:szCs w:val="20"/>
        </w:rPr>
        <w:t xml:space="preserve"> Scherrer, D., &amp; Körner, C. (2010). Infra‐red thermometry of alpine landscapes challenges climatic warming projections. Global Change Biology, 16(9), 2602-2613.</w:t>
      </w:r>
    </w:p>
  </w:footnote>
  <w:footnote w:id="412">
    <w:p w:rsidR="0083519B" w:rsidRPr="00326A33" w:rsidRDefault="0083519B" w:rsidP="00607994">
      <w:pPr>
        <w:spacing w:after="0"/>
        <w:jc w:val="both"/>
        <w:rPr>
          <w:rFonts w:ascii="Tahoma" w:hAnsi="Tahoma" w:cs="Tahoma"/>
          <w:sz w:val="20"/>
          <w:szCs w:val="20"/>
        </w:rPr>
      </w:pPr>
      <w:r w:rsidRPr="00326A33">
        <w:rPr>
          <w:rFonts w:ascii="Tahoma" w:hAnsi="Tahoma" w:cs="Tahoma"/>
          <w:sz w:val="20"/>
          <w:szCs w:val="20"/>
          <w:vertAlign w:val="superscript"/>
        </w:rPr>
        <w:footnoteRef/>
      </w:r>
      <w:r w:rsidRPr="00326A33">
        <w:rPr>
          <w:rFonts w:ascii="Tahoma" w:hAnsi="Tahoma" w:cs="Tahoma"/>
          <w:sz w:val="20"/>
          <w:szCs w:val="20"/>
        </w:rPr>
        <w:t xml:space="preserve"> Hampe, A., &amp; Petit, R. J. (2005). Conserving biodiversity under climate change: the rear edge matters. Ecology Letters, 8(5), 461-467.</w:t>
      </w:r>
    </w:p>
  </w:footnote>
  <w:footnote w:id="413">
    <w:p w:rsidR="0083519B" w:rsidRPr="00326A33" w:rsidRDefault="0083519B" w:rsidP="00607994">
      <w:pPr>
        <w:spacing w:after="0"/>
        <w:jc w:val="both"/>
        <w:rPr>
          <w:rFonts w:ascii="Tahoma" w:hAnsi="Tahoma" w:cs="Tahoma"/>
          <w:sz w:val="20"/>
          <w:szCs w:val="20"/>
        </w:rPr>
      </w:pPr>
      <w:r w:rsidRPr="00326A33">
        <w:rPr>
          <w:rFonts w:ascii="Tahoma" w:hAnsi="Tahoma" w:cs="Tahoma"/>
          <w:sz w:val="20"/>
          <w:szCs w:val="20"/>
          <w:vertAlign w:val="superscript"/>
        </w:rPr>
        <w:footnoteRef/>
      </w:r>
      <w:r w:rsidRPr="00326A33">
        <w:rPr>
          <w:rFonts w:ascii="Tahoma" w:hAnsi="Tahoma" w:cs="Tahoma"/>
          <w:sz w:val="20"/>
          <w:szCs w:val="20"/>
        </w:rPr>
        <w:t xml:space="preserve"> Gibson, L., et al. (2011). Primary forests are irreplaceable for sustaining tropical biodiversity. Nature, 478(7369), 378-381.</w:t>
      </w:r>
    </w:p>
  </w:footnote>
  <w:footnote w:id="414">
    <w:p w:rsidR="0083519B" w:rsidRPr="00326A33" w:rsidRDefault="0083519B" w:rsidP="00607994">
      <w:pPr>
        <w:spacing w:after="0"/>
        <w:jc w:val="both"/>
        <w:rPr>
          <w:rFonts w:ascii="Tahoma" w:hAnsi="Tahoma" w:cs="Tahoma"/>
          <w:sz w:val="20"/>
          <w:szCs w:val="20"/>
        </w:rPr>
      </w:pPr>
      <w:r w:rsidRPr="00326A33">
        <w:rPr>
          <w:rFonts w:ascii="Tahoma" w:hAnsi="Tahoma" w:cs="Tahoma"/>
          <w:sz w:val="20"/>
          <w:szCs w:val="20"/>
          <w:vertAlign w:val="superscript"/>
        </w:rPr>
        <w:footnoteRef/>
      </w:r>
      <w:r w:rsidRPr="00326A33">
        <w:rPr>
          <w:rFonts w:ascii="Tahoma" w:hAnsi="Tahoma" w:cs="Tahoma"/>
          <w:sz w:val="20"/>
          <w:szCs w:val="20"/>
        </w:rPr>
        <w:t xml:space="preserve">  Aafi, A., et al. (2005). Op. cit.</w:t>
      </w:r>
    </w:p>
  </w:footnote>
  <w:footnote w:id="415">
    <w:p w:rsidR="0083519B" w:rsidRPr="00326A33" w:rsidRDefault="0083519B" w:rsidP="00BE5A55">
      <w:pPr>
        <w:spacing w:after="0"/>
        <w:jc w:val="both"/>
        <w:rPr>
          <w:rFonts w:ascii="Tahoma" w:hAnsi="Tahoma" w:cs="Tahoma"/>
          <w:sz w:val="20"/>
          <w:szCs w:val="20"/>
        </w:rPr>
      </w:pPr>
      <w:r w:rsidRPr="00326A33">
        <w:rPr>
          <w:rFonts w:ascii="Tahoma" w:hAnsi="Tahoma" w:cs="Tahoma"/>
          <w:vertAlign w:val="superscript"/>
        </w:rPr>
        <w:footnoteRef/>
      </w:r>
      <w:r w:rsidRPr="00326A33">
        <w:rPr>
          <w:rFonts w:ascii="Tahoma" w:hAnsi="Tahoma" w:cs="Tahoma"/>
          <w:sz w:val="20"/>
          <w:szCs w:val="20"/>
          <w:vertAlign w:val="superscript"/>
        </w:rPr>
        <w:t xml:space="preserve"> </w:t>
      </w:r>
      <w:r w:rsidRPr="00326A33">
        <w:rPr>
          <w:rFonts w:ascii="Tahoma" w:hAnsi="Tahoma" w:cs="Tahoma"/>
          <w:sz w:val="20"/>
          <w:szCs w:val="20"/>
        </w:rPr>
        <w:t>M'Hirit, O., et al. (1998). Op. cit.</w:t>
      </w:r>
    </w:p>
  </w:footnote>
  <w:footnote w:id="416">
    <w:p w:rsidR="0083519B" w:rsidRPr="00326A33" w:rsidRDefault="0083519B" w:rsidP="00975815">
      <w:pPr>
        <w:spacing w:after="0"/>
        <w:jc w:val="both"/>
        <w:rPr>
          <w:rFonts w:ascii="Tahoma" w:hAnsi="Tahoma" w:cs="Tahoma"/>
          <w:sz w:val="20"/>
          <w:szCs w:val="20"/>
        </w:rPr>
      </w:pPr>
      <w:r w:rsidRPr="00E35382">
        <w:rPr>
          <w:rFonts w:ascii="Tahoma" w:hAnsi="Tahoma" w:cs="Tahoma"/>
          <w:vertAlign w:val="superscript"/>
        </w:rPr>
        <w:footnoteRef/>
      </w:r>
      <w:r w:rsidRPr="00E35382">
        <w:rPr>
          <w:rFonts w:ascii="Tahoma" w:hAnsi="Tahoma" w:cs="Tahoma"/>
          <w:sz w:val="20"/>
          <w:szCs w:val="20"/>
          <w:vertAlign w:val="superscript"/>
        </w:rPr>
        <w:t xml:space="preserve">  </w:t>
      </w:r>
      <w:r w:rsidRPr="00326A33">
        <w:rPr>
          <w:rFonts w:ascii="Tahoma" w:hAnsi="Tahoma" w:cs="Tahoma"/>
          <w:sz w:val="20"/>
          <w:szCs w:val="20"/>
        </w:rPr>
        <w:t>Aulagnier, S., &amp; Thévenot, M. (2006). Catalogue des mammifères sauvages du Maroc. Travaux de l'Institut Scientifique, Série Zoologie.</w:t>
      </w:r>
    </w:p>
  </w:footnote>
  <w:footnote w:id="417">
    <w:p w:rsidR="0083519B" w:rsidRPr="0057505F" w:rsidRDefault="0083519B" w:rsidP="00975815">
      <w:pPr>
        <w:spacing w:after="0"/>
        <w:jc w:val="both"/>
        <w:rPr>
          <w:rFonts w:ascii="Tahoma" w:hAnsi="Tahoma" w:cs="Tahoma"/>
          <w:sz w:val="20"/>
          <w:szCs w:val="20"/>
          <w:highlight w:val="magenta"/>
        </w:rPr>
      </w:pPr>
      <w:r w:rsidRPr="00E35382">
        <w:rPr>
          <w:rFonts w:ascii="Tahoma" w:hAnsi="Tahoma" w:cs="Tahoma"/>
          <w:vertAlign w:val="superscript"/>
        </w:rPr>
        <w:footnoteRef/>
      </w:r>
      <w:r w:rsidRPr="00326A33">
        <w:rPr>
          <w:rFonts w:ascii="Tahoma" w:hAnsi="Tahoma" w:cs="Tahoma"/>
          <w:sz w:val="20"/>
          <w:szCs w:val="20"/>
        </w:rPr>
        <w:t xml:space="preserve">  Ceballos, G., et al. (2015). Accelerated modern human–induced species losses: Entering the sixth mass extinction. Science Advances, 1(5), e1400253.</w:t>
      </w:r>
    </w:p>
  </w:footnote>
  <w:footnote w:id="418">
    <w:p w:rsidR="0083519B" w:rsidRPr="00E35382" w:rsidRDefault="0083519B" w:rsidP="00975815">
      <w:pPr>
        <w:spacing w:after="0"/>
        <w:jc w:val="both"/>
        <w:rPr>
          <w:rFonts w:ascii="Tahoma" w:hAnsi="Tahoma" w:cs="Tahoma"/>
          <w:sz w:val="20"/>
          <w:szCs w:val="20"/>
        </w:rPr>
      </w:pPr>
      <w:r w:rsidRPr="00E35382">
        <w:rPr>
          <w:rFonts w:ascii="Tahoma" w:hAnsi="Tahoma" w:cs="Tahoma"/>
          <w:sz w:val="20"/>
          <w:szCs w:val="20"/>
          <w:vertAlign w:val="superscript"/>
        </w:rPr>
        <w:footnoteRef/>
      </w:r>
      <w:r w:rsidRPr="00E35382">
        <w:rPr>
          <w:rFonts w:ascii="Tahoma" w:hAnsi="Tahoma" w:cs="Tahoma"/>
          <w:sz w:val="20"/>
          <w:szCs w:val="20"/>
          <w:vertAlign w:val="superscript"/>
        </w:rPr>
        <w:t xml:space="preserve"> </w:t>
      </w:r>
      <w:r w:rsidRPr="00E35382">
        <w:rPr>
          <w:rFonts w:ascii="Tahoma" w:hAnsi="Tahoma" w:cs="Tahoma"/>
          <w:sz w:val="20"/>
          <w:szCs w:val="20"/>
        </w:rPr>
        <w:t xml:space="preserve"> BirdLife International. (2017). State of the world's birds: taking the pulse of the planet. BirdLife International.</w:t>
      </w:r>
    </w:p>
  </w:footnote>
  <w:footnote w:id="419">
    <w:p w:rsidR="0083519B" w:rsidRPr="00E35382" w:rsidRDefault="0083519B" w:rsidP="00975815">
      <w:pPr>
        <w:spacing w:after="0"/>
        <w:jc w:val="both"/>
        <w:rPr>
          <w:rFonts w:ascii="Tahoma" w:hAnsi="Tahoma" w:cs="Tahoma"/>
          <w:sz w:val="20"/>
          <w:szCs w:val="20"/>
        </w:rPr>
      </w:pPr>
      <w:r w:rsidRPr="00E35382">
        <w:rPr>
          <w:rStyle w:val="Appelnotedebasdep"/>
          <w:rFonts w:ascii="Tahoma" w:hAnsi="Tahoma" w:cs="Tahoma"/>
          <w:sz w:val="20"/>
          <w:szCs w:val="20"/>
        </w:rPr>
        <w:footnoteRef/>
      </w:r>
      <w:r w:rsidRPr="00E35382">
        <w:rPr>
          <w:rFonts w:ascii="Tahoma" w:hAnsi="Tahoma" w:cs="Tahoma"/>
          <w:sz w:val="20"/>
          <w:szCs w:val="20"/>
        </w:rPr>
        <w:t xml:space="preserve"> Gregory, R. D., et al. (2005). Developing indicators for European birds. Philosophical Transactions of the Royal Society B, 360(1454), 269-288.</w:t>
      </w:r>
    </w:p>
  </w:footnote>
  <w:footnote w:id="420">
    <w:p w:rsidR="0083519B" w:rsidRPr="00E35382" w:rsidRDefault="0083519B" w:rsidP="00975815">
      <w:pPr>
        <w:spacing w:after="0"/>
        <w:jc w:val="both"/>
        <w:rPr>
          <w:rFonts w:ascii="Tahoma" w:hAnsi="Tahoma" w:cs="Tahoma"/>
          <w:sz w:val="20"/>
          <w:szCs w:val="20"/>
        </w:rPr>
      </w:pPr>
      <w:r w:rsidRPr="00E35382">
        <w:rPr>
          <w:rStyle w:val="Appelnotedebasdep"/>
          <w:rFonts w:ascii="Tahoma" w:hAnsi="Tahoma" w:cs="Tahoma"/>
          <w:sz w:val="20"/>
          <w:szCs w:val="20"/>
        </w:rPr>
        <w:footnoteRef/>
      </w:r>
      <w:r w:rsidRPr="00E35382">
        <w:rPr>
          <w:rFonts w:ascii="Tahoma" w:hAnsi="Tahoma" w:cs="Tahoma"/>
          <w:sz w:val="20"/>
          <w:szCs w:val="20"/>
        </w:rPr>
        <w:t xml:space="preserve"> Brito, J. C., et al. (2014). Unravelling biodiversity, evolution and threats to conservation in the Sahara-Sahel. Biological Reviews, 89(1), 215-231.</w:t>
      </w:r>
    </w:p>
  </w:footnote>
  <w:footnote w:id="421">
    <w:p w:rsidR="0083519B" w:rsidRPr="00E35382" w:rsidRDefault="0083519B" w:rsidP="00BE5A55">
      <w:pPr>
        <w:spacing w:after="0"/>
        <w:jc w:val="both"/>
        <w:rPr>
          <w:rFonts w:ascii="Tahoma" w:hAnsi="Tahoma" w:cs="Tahoma"/>
          <w:sz w:val="20"/>
          <w:szCs w:val="20"/>
        </w:rPr>
      </w:pPr>
      <w:r w:rsidRPr="00E35382">
        <w:rPr>
          <w:rStyle w:val="Appelnotedebasdep"/>
          <w:rFonts w:ascii="Tahoma" w:hAnsi="Tahoma" w:cs="Tahoma"/>
          <w:sz w:val="20"/>
          <w:szCs w:val="20"/>
        </w:rPr>
        <w:footnoteRef/>
      </w:r>
      <w:r w:rsidRPr="00E35382">
        <w:rPr>
          <w:rFonts w:ascii="Tahoma" w:hAnsi="Tahoma" w:cs="Tahoma"/>
          <w:sz w:val="20"/>
          <w:szCs w:val="20"/>
        </w:rPr>
        <w:t xml:space="preserve"> Dirzo, R., et al. (2014). Defaunation in the Anthropocene. Science, 345(6195), 401-406.</w:t>
      </w:r>
    </w:p>
  </w:footnote>
  <w:footnote w:id="422">
    <w:p w:rsidR="0083519B" w:rsidRPr="00E35382" w:rsidRDefault="0083519B" w:rsidP="00975815">
      <w:pPr>
        <w:spacing w:after="0"/>
        <w:jc w:val="both"/>
        <w:rPr>
          <w:rFonts w:ascii="Tahoma" w:hAnsi="Tahoma" w:cs="Tahoma"/>
          <w:sz w:val="20"/>
          <w:szCs w:val="20"/>
        </w:rPr>
      </w:pPr>
      <w:r w:rsidRPr="00E35382">
        <w:rPr>
          <w:rFonts w:ascii="Tahoma" w:hAnsi="Tahoma" w:cs="Tahoma"/>
          <w:sz w:val="20"/>
          <w:szCs w:val="20"/>
          <w:vertAlign w:val="superscript"/>
        </w:rPr>
        <w:footnoteRef/>
      </w:r>
      <w:r w:rsidRPr="00E35382">
        <w:rPr>
          <w:rFonts w:ascii="Tahoma" w:hAnsi="Tahoma" w:cs="Tahoma"/>
          <w:sz w:val="20"/>
          <w:szCs w:val="20"/>
        </w:rPr>
        <w:t xml:space="preserve"> Thévenot, M., Vernon, R., &amp; Bergier, P. (2003). The birds of Morocco. British Ornithologists' Union.</w:t>
      </w:r>
    </w:p>
  </w:footnote>
  <w:footnote w:id="423">
    <w:p w:rsidR="0083519B" w:rsidRPr="00712A1A" w:rsidRDefault="0083519B" w:rsidP="00975815">
      <w:pPr>
        <w:spacing w:after="0"/>
        <w:jc w:val="both"/>
        <w:rPr>
          <w:rFonts w:ascii="Tahoma" w:hAnsi="Tahoma" w:cs="Tahoma"/>
          <w:sz w:val="20"/>
          <w:szCs w:val="20"/>
          <w:lang w:val="es-ES"/>
        </w:rPr>
      </w:pPr>
      <w:r w:rsidRPr="00E35382">
        <w:rPr>
          <w:rFonts w:ascii="Tahoma" w:hAnsi="Tahoma" w:cs="Tahoma"/>
          <w:sz w:val="20"/>
          <w:szCs w:val="20"/>
          <w:vertAlign w:val="superscript"/>
        </w:rPr>
        <w:footnoteRef/>
      </w:r>
      <w:r w:rsidRPr="00712A1A">
        <w:rPr>
          <w:rFonts w:ascii="Tahoma" w:hAnsi="Tahoma" w:cs="Tahoma"/>
          <w:sz w:val="20"/>
          <w:szCs w:val="20"/>
          <w:vertAlign w:val="superscript"/>
          <w:lang w:val="es-ES"/>
        </w:rPr>
        <w:t xml:space="preserve"> </w:t>
      </w:r>
      <w:r w:rsidRPr="00712A1A">
        <w:rPr>
          <w:rFonts w:ascii="Tahoma" w:hAnsi="Tahoma" w:cs="Tahoma"/>
          <w:sz w:val="20"/>
          <w:szCs w:val="20"/>
          <w:lang w:val="es-ES"/>
        </w:rPr>
        <w:t>Şekercioğlu, Ç. H. (2006). Increasing awareness of avian ecological function. Trends in Ecology &amp; Evolution, 21(8), 464-471.</w:t>
      </w:r>
    </w:p>
  </w:footnote>
  <w:footnote w:id="424">
    <w:p w:rsidR="0083519B" w:rsidRPr="00975815" w:rsidRDefault="0083519B" w:rsidP="00975815">
      <w:pPr>
        <w:spacing w:after="0"/>
        <w:jc w:val="both"/>
        <w:rPr>
          <w:rFonts w:ascii="Tahoma" w:hAnsi="Tahoma" w:cs="Tahoma"/>
          <w:sz w:val="20"/>
          <w:szCs w:val="20"/>
        </w:rPr>
      </w:pPr>
      <w:r w:rsidRPr="00E35382">
        <w:rPr>
          <w:rFonts w:ascii="Tahoma" w:hAnsi="Tahoma" w:cs="Tahoma"/>
          <w:sz w:val="20"/>
          <w:szCs w:val="20"/>
          <w:vertAlign w:val="superscript"/>
        </w:rPr>
        <w:footnoteRef/>
      </w:r>
      <w:r w:rsidRPr="00712A1A">
        <w:rPr>
          <w:rFonts w:ascii="Tahoma" w:hAnsi="Tahoma" w:cs="Tahoma"/>
          <w:sz w:val="20"/>
          <w:szCs w:val="20"/>
          <w:lang w:val="es-ES"/>
        </w:rPr>
        <w:t xml:space="preserve"> Ménard, N., &amp; Qarro, M. (1999). Seasonal variation in diet and behaviour of Barbary macaques (Macaca sylvanus) in the cedar forest of Ain Kahla, Morocco. </w:t>
      </w:r>
      <w:r w:rsidRPr="00E35382">
        <w:rPr>
          <w:rFonts w:ascii="Tahoma" w:hAnsi="Tahoma" w:cs="Tahoma"/>
          <w:sz w:val="20"/>
          <w:szCs w:val="20"/>
        </w:rPr>
        <w:t>Primates, 40(2), 263-270.</w:t>
      </w:r>
    </w:p>
  </w:footnote>
  <w:footnote w:id="425">
    <w:p w:rsidR="0083519B" w:rsidRPr="00975815" w:rsidRDefault="0083519B" w:rsidP="00975815">
      <w:pPr>
        <w:spacing w:after="0"/>
        <w:jc w:val="both"/>
        <w:rPr>
          <w:rFonts w:ascii="Tahoma" w:hAnsi="Tahoma" w:cs="Tahoma"/>
          <w:sz w:val="20"/>
          <w:szCs w:val="20"/>
        </w:rPr>
      </w:pPr>
      <w:r w:rsidRPr="00BE5A55">
        <w:rPr>
          <w:rFonts w:ascii="Tahoma" w:hAnsi="Tahoma" w:cs="Tahoma"/>
          <w:sz w:val="20"/>
          <w:szCs w:val="20"/>
          <w:vertAlign w:val="superscript"/>
        </w:rPr>
        <w:footnoteRef/>
      </w:r>
      <w:r w:rsidRPr="00975815">
        <w:rPr>
          <w:rFonts w:ascii="Tahoma" w:hAnsi="Tahoma" w:cs="Tahoma"/>
          <w:sz w:val="20"/>
          <w:szCs w:val="20"/>
        </w:rPr>
        <w:t xml:space="preserve"> </w:t>
      </w:r>
      <w:r w:rsidRPr="00804FC9">
        <w:rPr>
          <w:rFonts w:ascii="Tahoma" w:hAnsi="Tahoma" w:cs="Tahoma"/>
          <w:sz w:val="20"/>
          <w:szCs w:val="20"/>
        </w:rPr>
        <w:t>Drucker, G. R. (1984). The feeding ecology of the Barbary macaque and cedar forest conservation in the Moroccan Moyen Atlas. In The Barbary m</w:t>
      </w:r>
      <w:r>
        <w:rPr>
          <w:rFonts w:ascii="Tahoma" w:hAnsi="Tahoma" w:cs="Tahoma"/>
          <w:sz w:val="20"/>
          <w:szCs w:val="20"/>
        </w:rPr>
        <w:t>acaque (pp. 135-164). Springer.</w:t>
      </w:r>
    </w:p>
  </w:footnote>
  <w:footnote w:id="426">
    <w:p w:rsidR="0083519B" w:rsidRPr="00975815" w:rsidRDefault="0083519B" w:rsidP="00975815">
      <w:pPr>
        <w:spacing w:after="0"/>
        <w:jc w:val="both"/>
        <w:rPr>
          <w:rFonts w:ascii="Tahoma" w:hAnsi="Tahoma" w:cs="Tahoma"/>
          <w:sz w:val="20"/>
          <w:szCs w:val="20"/>
        </w:rPr>
      </w:pPr>
      <w:r w:rsidRPr="00BE5A55">
        <w:rPr>
          <w:rFonts w:ascii="Tahoma" w:hAnsi="Tahoma" w:cs="Tahoma"/>
          <w:sz w:val="20"/>
          <w:szCs w:val="20"/>
          <w:vertAlign w:val="superscript"/>
        </w:rPr>
        <w:footnoteRef/>
      </w:r>
      <w:r w:rsidRPr="00BE5A55">
        <w:rPr>
          <w:rFonts w:ascii="Tahoma" w:hAnsi="Tahoma" w:cs="Tahoma"/>
          <w:sz w:val="20"/>
          <w:szCs w:val="20"/>
          <w:vertAlign w:val="superscript"/>
        </w:rPr>
        <w:t xml:space="preserve"> </w:t>
      </w:r>
      <w:r w:rsidRPr="00804FC9">
        <w:rPr>
          <w:rFonts w:ascii="Tahoma" w:hAnsi="Tahoma" w:cs="Tahoma"/>
          <w:sz w:val="20"/>
          <w:szCs w:val="20"/>
        </w:rPr>
        <w:t>Taub, D. M. (1977). Geographic distribution and habitat diversity of the Barbary macaque Macaca sylvanus L. Folia</w:t>
      </w:r>
      <w:r>
        <w:rPr>
          <w:rFonts w:ascii="Tahoma" w:hAnsi="Tahoma" w:cs="Tahoma"/>
          <w:sz w:val="20"/>
          <w:szCs w:val="20"/>
        </w:rPr>
        <w:t xml:space="preserve"> Primatologica, 27(2), 108-133.</w:t>
      </w:r>
    </w:p>
  </w:footnote>
  <w:footnote w:id="427">
    <w:p w:rsidR="0083519B" w:rsidRPr="00975815" w:rsidRDefault="0083519B" w:rsidP="00975815">
      <w:pPr>
        <w:spacing w:after="0"/>
        <w:jc w:val="both"/>
        <w:rPr>
          <w:rFonts w:ascii="Tahoma" w:hAnsi="Tahoma" w:cs="Tahoma"/>
          <w:sz w:val="20"/>
          <w:szCs w:val="20"/>
        </w:rPr>
      </w:pPr>
      <w:r w:rsidRPr="00BE5A55">
        <w:rPr>
          <w:rFonts w:ascii="Tahoma" w:hAnsi="Tahoma" w:cs="Tahoma"/>
          <w:sz w:val="20"/>
          <w:szCs w:val="20"/>
          <w:vertAlign w:val="superscript"/>
        </w:rPr>
        <w:footnoteRef/>
      </w:r>
      <w:r w:rsidRPr="00975815">
        <w:rPr>
          <w:rFonts w:ascii="Tahoma" w:hAnsi="Tahoma" w:cs="Tahoma"/>
          <w:sz w:val="20"/>
          <w:szCs w:val="20"/>
        </w:rPr>
        <w:t xml:space="preserve"> </w:t>
      </w:r>
      <w:r w:rsidRPr="00D87356">
        <w:rPr>
          <w:rFonts w:ascii="Tahoma" w:hAnsi="Tahoma" w:cs="Tahoma"/>
          <w:sz w:val="20"/>
          <w:szCs w:val="20"/>
        </w:rPr>
        <w:t>Mehlman, P. T. (1988). Food resources of the wild Barbary macaque (Macaca sylvanus) in highland Morocco. Journ</w:t>
      </w:r>
      <w:r>
        <w:rPr>
          <w:rFonts w:ascii="Tahoma" w:hAnsi="Tahoma" w:cs="Tahoma"/>
          <w:sz w:val="20"/>
          <w:szCs w:val="20"/>
        </w:rPr>
        <w:t>al of Zoology, 214(3), 469-490.</w:t>
      </w:r>
    </w:p>
  </w:footnote>
  <w:footnote w:id="428">
    <w:p w:rsidR="0083519B" w:rsidRPr="00975815" w:rsidRDefault="0083519B" w:rsidP="00975815">
      <w:pPr>
        <w:spacing w:after="0"/>
        <w:jc w:val="both"/>
        <w:rPr>
          <w:rFonts w:ascii="Tahoma" w:hAnsi="Tahoma" w:cs="Tahoma"/>
          <w:sz w:val="20"/>
          <w:szCs w:val="20"/>
        </w:rPr>
      </w:pPr>
      <w:r w:rsidRPr="00CB22E0">
        <w:rPr>
          <w:rFonts w:ascii="Tahoma" w:hAnsi="Tahoma" w:cs="Tahoma"/>
          <w:sz w:val="20"/>
          <w:szCs w:val="20"/>
          <w:vertAlign w:val="superscript"/>
        </w:rPr>
        <w:footnoteRef/>
      </w:r>
      <w:r w:rsidRPr="00D87356">
        <w:rPr>
          <w:rFonts w:ascii="Tahoma" w:hAnsi="Tahoma" w:cs="Tahoma"/>
          <w:sz w:val="20"/>
          <w:szCs w:val="20"/>
        </w:rPr>
        <w:t xml:space="preserve"> Fennane, M., et al. (2007). Flore pratique du Maroc: manuel de détermination des plantes vasculaires. Travaux de l'Institut</w:t>
      </w:r>
      <w:r>
        <w:rPr>
          <w:rFonts w:ascii="Tahoma" w:hAnsi="Tahoma" w:cs="Tahoma"/>
          <w:sz w:val="20"/>
          <w:szCs w:val="20"/>
        </w:rPr>
        <w:t xml:space="preserve"> Scientifique, Série Botanique.</w:t>
      </w:r>
    </w:p>
  </w:footnote>
  <w:footnote w:id="429">
    <w:p w:rsidR="0083519B" w:rsidRPr="00975815" w:rsidRDefault="0083519B" w:rsidP="00975815">
      <w:pPr>
        <w:spacing w:after="0"/>
        <w:jc w:val="both"/>
        <w:rPr>
          <w:rFonts w:ascii="Tahoma" w:hAnsi="Tahoma" w:cs="Tahoma"/>
          <w:sz w:val="20"/>
          <w:szCs w:val="20"/>
        </w:rPr>
      </w:pPr>
      <w:r w:rsidRPr="00CB22E0">
        <w:rPr>
          <w:rFonts w:ascii="Tahoma" w:hAnsi="Tahoma" w:cs="Tahoma"/>
          <w:sz w:val="20"/>
          <w:szCs w:val="20"/>
          <w:vertAlign w:val="superscript"/>
        </w:rPr>
        <w:footnoteRef/>
      </w:r>
      <w:r w:rsidRPr="00CB22E0">
        <w:rPr>
          <w:rFonts w:ascii="Tahoma" w:hAnsi="Tahoma" w:cs="Tahoma"/>
          <w:sz w:val="20"/>
          <w:szCs w:val="20"/>
          <w:vertAlign w:val="superscript"/>
        </w:rPr>
        <w:t xml:space="preserve"> </w:t>
      </w:r>
      <w:r w:rsidRPr="00D87356">
        <w:rPr>
          <w:rFonts w:ascii="Tahoma" w:hAnsi="Tahoma" w:cs="Tahoma"/>
          <w:sz w:val="20"/>
          <w:szCs w:val="20"/>
        </w:rPr>
        <w:t xml:space="preserve"> Médail, F., &amp; Quézel, P. (1999). Biodiversity hotspots in the Mediterranean Basin: setting global conservation priorities. Conserva</w:t>
      </w:r>
      <w:r>
        <w:rPr>
          <w:rFonts w:ascii="Tahoma" w:hAnsi="Tahoma" w:cs="Tahoma"/>
          <w:sz w:val="20"/>
          <w:szCs w:val="20"/>
        </w:rPr>
        <w:t>tion Biology, 13(6), 1510-1513.</w:t>
      </w:r>
    </w:p>
  </w:footnote>
  <w:footnote w:id="430">
    <w:p w:rsidR="0083519B" w:rsidRPr="00D87356" w:rsidRDefault="0083519B" w:rsidP="00975815">
      <w:pPr>
        <w:spacing w:after="0"/>
        <w:jc w:val="both"/>
        <w:rPr>
          <w:rFonts w:ascii="Tahoma" w:hAnsi="Tahoma" w:cs="Tahoma"/>
          <w:sz w:val="20"/>
          <w:szCs w:val="20"/>
        </w:rPr>
      </w:pPr>
      <w:r w:rsidRPr="00CB22E0">
        <w:rPr>
          <w:rFonts w:ascii="Tahoma" w:hAnsi="Tahoma" w:cs="Tahoma"/>
          <w:sz w:val="20"/>
          <w:szCs w:val="20"/>
          <w:vertAlign w:val="superscript"/>
        </w:rPr>
        <w:footnoteRef/>
      </w:r>
      <w:r w:rsidRPr="00975815">
        <w:rPr>
          <w:rFonts w:ascii="Tahoma" w:hAnsi="Tahoma" w:cs="Tahoma"/>
          <w:sz w:val="20"/>
          <w:szCs w:val="20"/>
        </w:rPr>
        <w:t xml:space="preserve"> </w:t>
      </w:r>
      <w:r w:rsidRPr="00D87356">
        <w:rPr>
          <w:rFonts w:ascii="Tahoma" w:hAnsi="Tahoma" w:cs="Tahoma"/>
          <w:sz w:val="20"/>
          <w:szCs w:val="20"/>
        </w:rPr>
        <w:t xml:space="preserve"> Inventaire Forestier National (IFN). (1994). Inventaire forestier national du Maroc. Administration des Eaux et Forêts.</w:t>
      </w:r>
    </w:p>
    <w:p w:rsidR="0083519B" w:rsidRPr="00975815" w:rsidRDefault="0083519B" w:rsidP="00975815">
      <w:pPr>
        <w:spacing w:after="0"/>
        <w:jc w:val="both"/>
        <w:rPr>
          <w:rFonts w:ascii="Tahoma" w:hAnsi="Tahoma" w:cs="Tahoma"/>
          <w:sz w:val="20"/>
          <w:szCs w:val="20"/>
        </w:rPr>
      </w:pPr>
      <w:r w:rsidRPr="00D87356">
        <w:rPr>
          <w:rFonts w:ascii="Tahoma" w:hAnsi="Tahoma" w:cs="Tahoma"/>
          <w:sz w:val="20"/>
          <w:szCs w:val="20"/>
        </w:rPr>
        <w:t xml:space="preserve">Mahlmalat, N., &amp; Bennis, F. (2012). Changement climatique et biodiversité au Maroc : défis et opportunités. Rabat: Publications du ministère de l'Énergie, des Mines, </w:t>
      </w:r>
      <w:r>
        <w:rPr>
          <w:rFonts w:ascii="Tahoma" w:hAnsi="Tahoma" w:cs="Tahoma"/>
          <w:sz w:val="20"/>
          <w:szCs w:val="20"/>
        </w:rPr>
        <w:t>de l'Eau et de l'Environnement.</w:t>
      </w:r>
    </w:p>
    <w:p w:rsidR="0083519B" w:rsidRPr="002D1D62" w:rsidRDefault="0083519B" w:rsidP="00975815">
      <w:pPr>
        <w:spacing w:after="0"/>
        <w:jc w:val="both"/>
        <w:rPr>
          <w:rFonts w:ascii="Tahoma" w:hAnsi="Tahoma" w:cs="Tahoma"/>
          <w:sz w:val="20"/>
          <w:szCs w:val="20"/>
        </w:rPr>
      </w:pPr>
      <w:r w:rsidRPr="00CB22E0">
        <w:rPr>
          <w:rFonts w:ascii="Tahoma" w:hAnsi="Tahoma" w:cs="Tahoma"/>
          <w:sz w:val="20"/>
          <w:szCs w:val="20"/>
          <w:vertAlign w:val="superscript"/>
        </w:rPr>
        <w:footnoteRef/>
      </w:r>
      <w:r w:rsidRPr="00CB22E0">
        <w:rPr>
          <w:rFonts w:ascii="Tahoma" w:hAnsi="Tahoma" w:cs="Tahoma"/>
          <w:sz w:val="20"/>
          <w:szCs w:val="20"/>
          <w:vertAlign w:val="superscript"/>
        </w:rPr>
        <w:t xml:space="preserve"> </w:t>
      </w:r>
      <w:r>
        <w:rPr>
          <w:rFonts w:ascii="Tahoma" w:hAnsi="Tahoma" w:cs="Tahoma"/>
          <w:sz w:val="20"/>
          <w:szCs w:val="20"/>
        </w:rPr>
        <w:t>Benabid, A. (2000). Op. cit.</w:t>
      </w:r>
    </w:p>
    <w:p w:rsidR="0083519B" w:rsidRPr="00975815" w:rsidRDefault="0083519B" w:rsidP="00975815">
      <w:pPr>
        <w:spacing w:after="0"/>
        <w:jc w:val="both"/>
        <w:rPr>
          <w:rFonts w:ascii="Tahoma" w:hAnsi="Tahoma" w:cs="Tahoma"/>
          <w:sz w:val="20"/>
          <w:szCs w:val="20"/>
        </w:rPr>
      </w:pPr>
      <w:r w:rsidRPr="00CB22E0">
        <w:rPr>
          <w:rFonts w:ascii="Tahoma" w:hAnsi="Tahoma" w:cs="Tahoma"/>
          <w:sz w:val="20"/>
          <w:szCs w:val="20"/>
          <w:vertAlign w:val="superscript"/>
        </w:rPr>
        <w:footnoteRef/>
      </w:r>
      <w:r w:rsidRPr="00975815">
        <w:rPr>
          <w:rFonts w:ascii="Tahoma" w:hAnsi="Tahoma" w:cs="Tahoma"/>
          <w:sz w:val="20"/>
          <w:szCs w:val="20"/>
        </w:rPr>
        <w:t xml:space="preserve"> </w:t>
      </w:r>
      <w:r w:rsidRPr="00D87356">
        <w:rPr>
          <w:rFonts w:ascii="Tahoma" w:hAnsi="Tahoma" w:cs="Tahoma"/>
          <w:sz w:val="20"/>
          <w:szCs w:val="20"/>
        </w:rPr>
        <w:t>Mye</w:t>
      </w:r>
      <w:r>
        <w:rPr>
          <w:rFonts w:ascii="Tahoma" w:hAnsi="Tahoma" w:cs="Tahoma"/>
          <w:sz w:val="20"/>
          <w:szCs w:val="20"/>
        </w:rPr>
        <w:t>rs, N., et al. (2000). Op.</w:t>
      </w:r>
    </w:p>
  </w:footnote>
  <w:footnote w:id="431">
    <w:p w:rsidR="0083519B" w:rsidRPr="00975815" w:rsidRDefault="0083519B" w:rsidP="00975815">
      <w:pPr>
        <w:spacing w:after="0"/>
        <w:jc w:val="both"/>
        <w:rPr>
          <w:rFonts w:ascii="Tahoma" w:hAnsi="Tahoma" w:cs="Tahoma"/>
          <w:sz w:val="20"/>
          <w:szCs w:val="20"/>
        </w:rPr>
      </w:pPr>
      <w:r w:rsidRPr="00CB22E0">
        <w:rPr>
          <w:rFonts w:ascii="Tahoma" w:hAnsi="Tahoma" w:cs="Tahoma"/>
          <w:sz w:val="20"/>
          <w:szCs w:val="20"/>
          <w:vertAlign w:val="superscript"/>
        </w:rPr>
        <w:footnoteRef/>
      </w:r>
      <w:r w:rsidRPr="00975815">
        <w:rPr>
          <w:rFonts w:ascii="Tahoma" w:hAnsi="Tahoma" w:cs="Tahoma"/>
          <w:sz w:val="20"/>
          <w:szCs w:val="20"/>
        </w:rPr>
        <w:t xml:space="preserve"> </w:t>
      </w:r>
      <w:r w:rsidRPr="00D87356">
        <w:rPr>
          <w:rFonts w:ascii="Tahoma" w:hAnsi="Tahoma" w:cs="Tahoma"/>
          <w:sz w:val="20"/>
          <w:szCs w:val="20"/>
        </w:rPr>
        <w:t xml:space="preserve"> Pauli, H., et al. (2012). Recent plant diversity changes on Europe's mountain summit</w:t>
      </w:r>
      <w:r>
        <w:rPr>
          <w:rFonts w:ascii="Tahoma" w:hAnsi="Tahoma" w:cs="Tahoma"/>
          <w:sz w:val="20"/>
          <w:szCs w:val="20"/>
        </w:rPr>
        <w:t>s. Science, 336(6079), 353-355.</w:t>
      </w:r>
    </w:p>
  </w:footnote>
  <w:footnote w:id="432">
    <w:p w:rsidR="0083519B" w:rsidRPr="00CB22E0" w:rsidRDefault="0083519B" w:rsidP="00975815">
      <w:pPr>
        <w:spacing w:after="0"/>
        <w:jc w:val="both"/>
        <w:rPr>
          <w:rFonts w:ascii="Tahoma" w:hAnsi="Tahoma" w:cs="Tahoma"/>
          <w:sz w:val="20"/>
          <w:szCs w:val="20"/>
        </w:rPr>
      </w:pPr>
      <w:r w:rsidRPr="00CB22E0">
        <w:rPr>
          <w:rFonts w:ascii="Tahoma" w:hAnsi="Tahoma" w:cs="Tahoma"/>
          <w:sz w:val="20"/>
          <w:szCs w:val="20"/>
          <w:vertAlign w:val="superscript"/>
        </w:rPr>
        <w:footnoteRef/>
      </w:r>
      <w:r w:rsidRPr="00CB22E0">
        <w:rPr>
          <w:rFonts w:ascii="Tahoma" w:hAnsi="Tahoma" w:cs="Tahoma"/>
          <w:sz w:val="20"/>
          <w:szCs w:val="20"/>
        </w:rPr>
        <w:t xml:space="preserve">  Colwell, R. K., Brehm, G., Cardelús, C. L., Gilman, A. C., &amp; Longino, J. T. (2008). Global warming, elevational range shifts, and lowland biotic attrition in the wet tropics. Science, 322(5899), 258-261.</w:t>
      </w:r>
    </w:p>
  </w:footnote>
  <w:footnote w:id="433">
    <w:p w:rsidR="0083519B" w:rsidRPr="00CB22E0" w:rsidRDefault="0083519B" w:rsidP="00975815">
      <w:pPr>
        <w:spacing w:after="0"/>
        <w:jc w:val="both"/>
        <w:rPr>
          <w:rFonts w:ascii="Tahoma" w:hAnsi="Tahoma" w:cs="Tahoma"/>
          <w:sz w:val="20"/>
          <w:szCs w:val="20"/>
        </w:rPr>
      </w:pPr>
      <w:r w:rsidRPr="00CB22E0">
        <w:rPr>
          <w:rFonts w:ascii="Tahoma" w:hAnsi="Tahoma" w:cs="Tahoma"/>
          <w:sz w:val="20"/>
          <w:szCs w:val="20"/>
          <w:vertAlign w:val="superscript"/>
        </w:rPr>
        <w:footnoteRef/>
      </w:r>
      <w:r w:rsidRPr="00CB22E0">
        <w:rPr>
          <w:rFonts w:ascii="Tahoma" w:hAnsi="Tahoma" w:cs="Tahoma"/>
          <w:sz w:val="20"/>
          <w:szCs w:val="20"/>
        </w:rPr>
        <w:t xml:space="preserve"> Mahlmalat, N., &amp; Bennis, F. (2012). Changement climatique et biodiversité au Maroc : défis et opportunités. Rabat: Publications du ministère de l'Énergie, des Mines, de l'Eau et de l'Environnement.</w:t>
      </w:r>
    </w:p>
  </w:footnote>
  <w:footnote w:id="434">
    <w:p w:rsidR="0083519B" w:rsidRPr="00CB22E0" w:rsidRDefault="0083519B" w:rsidP="002D1D62">
      <w:pPr>
        <w:spacing w:after="0"/>
        <w:jc w:val="both"/>
        <w:rPr>
          <w:rFonts w:ascii="Tahoma" w:hAnsi="Tahoma" w:cs="Tahoma"/>
          <w:sz w:val="20"/>
          <w:szCs w:val="20"/>
        </w:rPr>
      </w:pPr>
      <w:r w:rsidRPr="00CB22E0">
        <w:rPr>
          <w:rFonts w:ascii="Tahoma" w:hAnsi="Tahoma" w:cs="Tahoma"/>
          <w:sz w:val="20"/>
          <w:szCs w:val="20"/>
          <w:vertAlign w:val="superscript"/>
        </w:rPr>
        <w:footnoteRef/>
      </w:r>
      <w:r w:rsidRPr="00CB22E0">
        <w:rPr>
          <w:rFonts w:ascii="Tahoma" w:hAnsi="Tahoma" w:cs="Tahoma"/>
          <w:sz w:val="20"/>
          <w:szCs w:val="20"/>
          <w:vertAlign w:val="superscript"/>
        </w:rPr>
        <w:t xml:space="preserve"> </w:t>
      </w:r>
      <w:r w:rsidRPr="00CB22E0">
        <w:rPr>
          <w:rFonts w:ascii="Tahoma" w:hAnsi="Tahoma" w:cs="Tahoma"/>
          <w:sz w:val="20"/>
          <w:szCs w:val="20"/>
        </w:rPr>
        <w:t>Benabid, A. (2000). Op. cit.</w:t>
      </w:r>
    </w:p>
  </w:footnote>
  <w:footnote w:id="435">
    <w:p w:rsidR="0083519B" w:rsidRPr="00CB22E0" w:rsidRDefault="0083519B" w:rsidP="002D1D62">
      <w:pPr>
        <w:spacing w:after="0"/>
        <w:jc w:val="both"/>
        <w:rPr>
          <w:rFonts w:ascii="Tahoma" w:hAnsi="Tahoma" w:cs="Tahoma"/>
          <w:sz w:val="20"/>
          <w:szCs w:val="20"/>
        </w:rPr>
      </w:pPr>
      <w:r w:rsidRPr="00CB22E0">
        <w:rPr>
          <w:rFonts w:ascii="Tahoma" w:hAnsi="Tahoma" w:cs="Tahoma"/>
          <w:sz w:val="20"/>
          <w:szCs w:val="20"/>
        </w:rPr>
        <w:footnoteRef/>
      </w:r>
      <w:r w:rsidRPr="00CB22E0">
        <w:rPr>
          <w:rFonts w:ascii="Tahoma" w:hAnsi="Tahoma" w:cs="Tahoma"/>
          <w:sz w:val="20"/>
          <w:szCs w:val="20"/>
        </w:rPr>
        <w:t xml:space="preserve"> Myers, N., et al. (2000). Op. cit.</w:t>
      </w:r>
    </w:p>
  </w:footnote>
  <w:footnote w:id="436">
    <w:p w:rsidR="0083519B" w:rsidRPr="00CB22E0" w:rsidRDefault="0083519B" w:rsidP="002D1D62">
      <w:pPr>
        <w:spacing w:after="0"/>
        <w:jc w:val="both"/>
        <w:rPr>
          <w:rFonts w:ascii="Tahoma" w:hAnsi="Tahoma" w:cs="Tahoma"/>
          <w:sz w:val="20"/>
          <w:szCs w:val="20"/>
        </w:rPr>
      </w:pPr>
      <w:r w:rsidRPr="00CB22E0">
        <w:rPr>
          <w:rStyle w:val="Appelnotedebasdep"/>
          <w:rFonts w:ascii="Tahoma" w:hAnsi="Tahoma" w:cs="Tahoma"/>
          <w:sz w:val="20"/>
          <w:szCs w:val="20"/>
        </w:rPr>
        <w:footnoteRef/>
      </w:r>
      <w:r w:rsidRPr="00CB22E0">
        <w:rPr>
          <w:rFonts w:ascii="Tahoma" w:hAnsi="Tahoma" w:cs="Tahoma"/>
          <w:sz w:val="20"/>
          <w:szCs w:val="20"/>
        </w:rPr>
        <w:t xml:space="preserve"> Hughes, L. (2000). Biological consequences of global warming: is the signal already apparent? Trends in Ecology &amp; Evolution, 15(2), 56-61.</w:t>
      </w:r>
    </w:p>
  </w:footnote>
  <w:footnote w:id="437">
    <w:p w:rsidR="0083519B" w:rsidRPr="00CB22E0" w:rsidRDefault="0083519B" w:rsidP="002D1D62">
      <w:pPr>
        <w:spacing w:after="0"/>
        <w:jc w:val="both"/>
        <w:rPr>
          <w:rFonts w:ascii="Tahoma" w:hAnsi="Tahoma" w:cs="Tahoma"/>
          <w:sz w:val="20"/>
          <w:szCs w:val="20"/>
        </w:rPr>
      </w:pPr>
      <w:r w:rsidRPr="00CB22E0">
        <w:rPr>
          <w:rFonts w:ascii="Tahoma" w:hAnsi="Tahoma" w:cs="Tahoma"/>
          <w:sz w:val="20"/>
          <w:szCs w:val="20"/>
          <w:vertAlign w:val="superscript"/>
        </w:rPr>
        <w:footnoteRef/>
      </w:r>
      <w:r w:rsidRPr="00CB22E0">
        <w:rPr>
          <w:rFonts w:ascii="Tahoma" w:hAnsi="Tahoma" w:cs="Tahoma"/>
          <w:sz w:val="20"/>
          <w:szCs w:val="20"/>
        </w:rPr>
        <w:t xml:space="preserve"> Quézel, P. (1957). Peuplement végétal des hautes montagnes de l'Afrique du Nord. Lechevalier.</w:t>
      </w:r>
    </w:p>
  </w:footnote>
  <w:footnote w:id="438">
    <w:p w:rsidR="0083519B" w:rsidRPr="00CB22E0" w:rsidRDefault="0083519B" w:rsidP="002D1D62">
      <w:pPr>
        <w:spacing w:after="0"/>
        <w:jc w:val="both"/>
        <w:rPr>
          <w:rFonts w:ascii="Tahoma" w:hAnsi="Tahoma" w:cs="Tahoma"/>
          <w:sz w:val="20"/>
          <w:szCs w:val="20"/>
        </w:rPr>
      </w:pPr>
      <w:r w:rsidRPr="00CB22E0">
        <w:rPr>
          <w:rFonts w:ascii="Tahoma" w:hAnsi="Tahoma" w:cs="Tahoma"/>
          <w:sz w:val="20"/>
          <w:szCs w:val="20"/>
          <w:vertAlign w:val="superscript"/>
        </w:rPr>
        <w:footnoteRef/>
      </w:r>
      <w:r w:rsidRPr="00CB22E0">
        <w:rPr>
          <w:rFonts w:ascii="Tahoma" w:hAnsi="Tahoma" w:cs="Tahoma"/>
          <w:sz w:val="20"/>
          <w:szCs w:val="20"/>
          <w:vertAlign w:val="superscript"/>
        </w:rPr>
        <w:t xml:space="preserve"> </w:t>
      </w:r>
      <w:r w:rsidRPr="00CB22E0">
        <w:rPr>
          <w:rFonts w:ascii="Tahoma" w:hAnsi="Tahoma" w:cs="Tahoma"/>
          <w:sz w:val="20"/>
          <w:szCs w:val="20"/>
        </w:rPr>
        <w:t xml:space="preserve"> Messaoudène, M., et al. (2007). The North African juniper forests: ecological vulnerability and conservation concerns. Environmental Conservation, 34(1), 11-18.</w:t>
      </w:r>
    </w:p>
  </w:footnote>
  <w:footnote w:id="439">
    <w:p w:rsidR="0083519B" w:rsidRPr="00975815" w:rsidRDefault="0083519B" w:rsidP="002D1D62">
      <w:pPr>
        <w:spacing w:after="0"/>
        <w:jc w:val="both"/>
        <w:rPr>
          <w:rFonts w:ascii="Tahoma" w:hAnsi="Tahoma" w:cs="Tahoma"/>
          <w:sz w:val="20"/>
          <w:szCs w:val="20"/>
        </w:rPr>
      </w:pPr>
      <w:r w:rsidRPr="00CB22E0">
        <w:rPr>
          <w:rFonts w:ascii="Tahoma" w:hAnsi="Tahoma" w:cs="Tahoma"/>
          <w:sz w:val="20"/>
          <w:szCs w:val="20"/>
          <w:vertAlign w:val="superscript"/>
        </w:rPr>
        <w:footnoteRef/>
      </w:r>
      <w:r w:rsidRPr="00CB22E0">
        <w:rPr>
          <w:rFonts w:ascii="Tahoma" w:hAnsi="Tahoma" w:cs="Tahoma"/>
          <w:sz w:val="20"/>
          <w:szCs w:val="20"/>
          <w:vertAlign w:val="superscript"/>
        </w:rPr>
        <w:t xml:space="preserve"> </w:t>
      </w:r>
      <w:r w:rsidRPr="00CB22E0">
        <w:rPr>
          <w:rFonts w:ascii="Tahoma" w:hAnsi="Tahoma" w:cs="Tahoma"/>
          <w:sz w:val="20"/>
          <w:szCs w:val="20"/>
        </w:rPr>
        <w:t xml:space="preserve"> Smit, B., &amp; Wandel, J. (2006). Adaptation, adaptive capacity and vulnerability. Global Environmental Change, 16(3), 282-292.</w:t>
      </w:r>
    </w:p>
  </w:footnote>
  <w:footnote w:id="440">
    <w:p w:rsidR="0083519B" w:rsidRPr="00975815" w:rsidRDefault="0083519B" w:rsidP="002D1D62">
      <w:pPr>
        <w:spacing w:after="0"/>
        <w:jc w:val="both"/>
        <w:rPr>
          <w:rFonts w:ascii="Tahoma" w:hAnsi="Tahoma" w:cs="Tahoma"/>
          <w:sz w:val="20"/>
          <w:szCs w:val="20"/>
        </w:rPr>
      </w:pPr>
      <w:r w:rsidRPr="009141BF">
        <w:rPr>
          <w:vertAlign w:val="superscript"/>
        </w:rPr>
        <w:footnoteRef/>
      </w:r>
      <w:r w:rsidRPr="00975815">
        <w:rPr>
          <w:rFonts w:ascii="Tahoma" w:hAnsi="Tahoma" w:cs="Tahoma"/>
          <w:sz w:val="20"/>
          <w:szCs w:val="20"/>
        </w:rPr>
        <w:t xml:space="preserve">  Folke, C. (2006). Resilience: The emergence of a perspective for social–ecological systems analyses. Global Environmental Change, 16(3), 253-267.</w:t>
      </w:r>
    </w:p>
  </w:footnote>
  <w:footnote w:id="441">
    <w:p w:rsidR="0083519B" w:rsidRPr="00975815" w:rsidRDefault="0083519B" w:rsidP="002D1D62">
      <w:pPr>
        <w:spacing w:after="0"/>
        <w:jc w:val="both"/>
        <w:rPr>
          <w:rFonts w:ascii="Tahoma" w:hAnsi="Tahoma" w:cs="Tahoma"/>
          <w:sz w:val="20"/>
          <w:szCs w:val="20"/>
        </w:rPr>
      </w:pPr>
      <w:r w:rsidRPr="009141BF">
        <w:rPr>
          <w:vertAlign w:val="superscript"/>
        </w:rPr>
        <w:footnoteRef/>
      </w:r>
      <w:r>
        <w:rPr>
          <w:rFonts w:ascii="Tahoma" w:hAnsi="Tahoma" w:cs="Tahoma"/>
          <w:sz w:val="20"/>
          <w:szCs w:val="20"/>
        </w:rPr>
        <w:t xml:space="preserve"> </w:t>
      </w:r>
      <w:r w:rsidRPr="00975815">
        <w:rPr>
          <w:rFonts w:ascii="Tahoma" w:hAnsi="Tahoma" w:cs="Tahoma"/>
          <w:sz w:val="20"/>
          <w:szCs w:val="20"/>
        </w:rPr>
        <w:t>Gunderson, L. H. (2000). Ecological resilience—in theory and application. Annual Review of Ecology and Systematics, 31(1), 425-439.</w:t>
      </w:r>
    </w:p>
  </w:footnote>
  <w:footnote w:id="442">
    <w:p w:rsidR="0083519B" w:rsidRPr="00236D1C" w:rsidRDefault="0083519B" w:rsidP="00236D1C">
      <w:pPr>
        <w:spacing w:after="0"/>
        <w:jc w:val="both"/>
        <w:rPr>
          <w:rFonts w:ascii="Tahoma" w:hAnsi="Tahoma" w:cs="Tahoma"/>
          <w:sz w:val="20"/>
          <w:szCs w:val="20"/>
        </w:rPr>
      </w:pPr>
      <w:r w:rsidRPr="009141BF">
        <w:rPr>
          <w:vertAlign w:val="superscript"/>
        </w:rPr>
        <w:footnoteRef/>
      </w:r>
      <w:r>
        <w:rPr>
          <w:rFonts w:ascii="Tahoma" w:hAnsi="Tahoma" w:cs="Tahoma"/>
          <w:sz w:val="20"/>
          <w:szCs w:val="20"/>
        </w:rPr>
        <w:t xml:space="preserve"> </w:t>
      </w:r>
      <w:r w:rsidRPr="00975815">
        <w:rPr>
          <w:rFonts w:ascii="Tahoma" w:hAnsi="Tahoma" w:cs="Tahoma"/>
          <w:sz w:val="20"/>
          <w:szCs w:val="20"/>
        </w:rPr>
        <w:t>O'Brien, K., &amp; Wolf, J. (2010). A values‐based approach to vulnerability and adaptation to climate change. Wiley Interdisciplinary Reviews:</w:t>
      </w:r>
      <w:r>
        <w:rPr>
          <w:rFonts w:ascii="Tahoma" w:hAnsi="Tahoma" w:cs="Tahoma"/>
          <w:sz w:val="20"/>
          <w:szCs w:val="20"/>
        </w:rPr>
        <w:t xml:space="preserve"> Climate Change, 1(2), 232-242.</w:t>
      </w:r>
    </w:p>
  </w:footnote>
  <w:footnote w:id="443">
    <w:p w:rsidR="0083519B" w:rsidRPr="0054641A" w:rsidRDefault="0083519B" w:rsidP="00712860">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Lamb, D., Erskine, P. D., &amp; Parrotta, J. A. (2005). Restoration of degraded tropical forest landscapes. Science, 310(5754), 1628-1632.</w:t>
      </w:r>
    </w:p>
  </w:footnote>
  <w:footnote w:id="444">
    <w:p w:rsidR="0083519B" w:rsidRPr="0054641A" w:rsidRDefault="0083519B" w:rsidP="00712860">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Millennium Ecosystem Assessment. (2005). Ecosystems and Human Well-being: Synthesis. Island Press.</w:t>
      </w:r>
    </w:p>
  </w:footnote>
  <w:footnote w:id="445">
    <w:p w:rsidR="0083519B" w:rsidRPr="0054641A" w:rsidRDefault="0083519B" w:rsidP="00712860">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Chazdon, R. L. (2008). Beyond deforestation: restoring forests and ecosystem services on degraded lands. Science, 320(5882), 1458-1460.</w:t>
      </w:r>
    </w:p>
  </w:footnote>
  <w:footnote w:id="446">
    <w:p w:rsidR="0083519B" w:rsidRPr="0054641A" w:rsidRDefault="0083519B" w:rsidP="00712860">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Geist, H. J., &amp; Lambin, E. F. (2002). Proximate causes and underlying driving forces of tropical deforestation. BioScience, 52(2), 143-150.</w:t>
      </w:r>
    </w:p>
  </w:footnote>
  <w:footnote w:id="447">
    <w:p w:rsidR="0083519B" w:rsidRPr="0054641A" w:rsidRDefault="0083519B" w:rsidP="00712860">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Mohammed EZZAHIRI, Bioclimatologie et phytogéographie des écosystèmes forestiers du Maroc*, Rabat, Publications de l'ENFI, 2019, p. 127.</w:t>
      </w:r>
    </w:p>
  </w:footnote>
  <w:footnote w:id="448">
    <w:p w:rsidR="0083519B" w:rsidRPr="0054641A" w:rsidRDefault="0083519B" w:rsidP="00712860">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Abdelmalek BENABID, Flore et écosystèmes du Maroc : évaluation et préservation de la biodiversité, Paris, Ibis Press, 2000, p. 89.</w:t>
      </w:r>
    </w:p>
  </w:footnote>
  <w:footnote w:id="449">
    <w:p w:rsidR="0083519B" w:rsidRPr="0054641A" w:rsidRDefault="0083519B" w:rsidP="00712860">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Pierre QUÉZEL et Frédéric MÉDAIL, Écologie et biogéographie des forêts du bassin méditerranéen, Paris, Elsevier, 2003, 573 p.</w:t>
      </w:r>
    </w:p>
  </w:footnote>
  <w:footnote w:id="450">
    <w:p w:rsidR="0083519B" w:rsidRPr="0054641A" w:rsidRDefault="0083519B" w:rsidP="00712860">
      <w:pPr>
        <w:pStyle w:val="Corpsdetexte"/>
        <w:spacing w:line="360" w:lineRule="auto"/>
        <w:jc w:val="both"/>
        <w:rPr>
          <w:rFonts w:ascii="Tahoma" w:hAnsi="Tahoma" w:cs="Tahoma"/>
          <w:sz w:val="20"/>
          <w:szCs w:val="20"/>
        </w:rPr>
      </w:pPr>
      <w:r w:rsidRPr="0054641A">
        <w:rPr>
          <w:rStyle w:val="Appelnotedebasdep"/>
          <w:rFonts w:ascii="Tahoma" w:hAnsi="Tahoma" w:cs="Tahoma"/>
          <w:sz w:val="20"/>
          <w:szCs w:val="20"/>
        </w:rPr>
        <w:footnoteRef/>
      </w:r>
      <w:r w:rsidRPr="0054641A">
        <w:rPr>
          <w:rFonts w:ascii="Tahoma" w:hAnsi="Tahoma" w:cs="Tahoma"/>
          <w:sz w:val="20"/>
          <w:szCs w:val="20"/>
        </w:rPr>
        <w:t xml:space="preserve"> 3 120,20 ha / 40 ans = 78,01 ha/an</w:t>
      </w:r>
    </w:p>
    <w:p w:rsidR="0083519B" w:rsidRPr="0054641A" w:rsidRDefault="0083519B" w:rsidP="00712860">
      <w:pPr>
        <w:pStyle w:val="Notedebasdepage"/>
        <w:rPr>
          <w:rFonts w:ascii="Tahoma" w:hAnsi="Tahoma" w:cs="Tahoma"/>
        </w:rPr>
      </w:pPr>
    </w:p>
  </w:footnote>
  <w:footnote w:id="451">
    <w:p w:rsidR="0083519B" w:rsidRPr="00EA1F31" w:rsidRDefault="0083519B" w:rsidP="00236D1C">
      <w:pPr>
        <w:widowControl w:val="0"/>
        <w:autoSpaceDE w:val="0"/>
        <w:autoSpaceDN w:val="0"/>
        <w:spacing w:after="0" w:line="240" w:lineRule="auto"/>
        <w:jc w:val="both"/>
        <w:rPr>
          <w:rFonts w:ascii="Tahoma" w:eastAsia="Times New Roman" w:hAnsi="Tahoma" w:cs="Tahoma"/>
          <w:sz w:val="20"/>
          <w:szCs w:val="20"/>
        </w:rPr>
      </w:pPr>
      <w:r>
        <w:rPr>
          <w:rStyle w:val="Appelnotedebasdep"/>
        </w:rPr>
        <w:footnoteRef/>
      </w:r>
      <w:r>
        <w:t xml:space="preserve"> </w:t>
      </w:r>
      <w:r w:rsidRPr="00EA1F31">
        <w:rPr>
          <w:rFonts w:ascii="Tahoma" w:eastAsia="Times New Roman" w:hAnsi="Tahoma" w:cs="Tahoma"/>
          <w:sz w:val="20"/>
          <w:szCs w:val="20"/>
        </w:rPr>
        <w:t>Global Forest Watch (GFW), une plateforme développée par le World Resources Institute (WRI). GFW utilise des données satellitaires pour monitorer les changements de couverture forestière mondiale.</w:t>
      </w:r>
    </w:p>
    <w:p w:rsidR="0083519B" w:rsidRDefault="0083519B" w:rsidP="00B51C09">
      <w:pPr>
        <w:pStyle w:val="Notedebasdepage"/>
      </w:pPr>
    </w:p>
  </w:footnote>
  <w:footnote w:id="452">
    <w:p w:rsidR="0083519B" w:rsidRPr="0054641A" w:rsidRDefault="0083519B" w:rsidP="00712860">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Haut-Commissariat aux Eaux et Forêts et à la Lutte contre la Désertification, Plan d'aménagement de la forêt de Korifla (2017-2026), Rabat, HCEFLCD, 2017, p. 45.</w:t>
      </w:r>
    </w:p>
  </w:footnote>
  <w:footnote w:id="453">
    <w:p w:rsidR="0083519B" w:rsidRPr="0054641A" w:rsidRDefault="0083519B" w:rsidP="00712860">
      <w:pPr>
        <w:pStyle w:val="Notedebasdepage"/>
        <w:rPr>
          <w:rFonts w:ascii="Tahoma" w:hAnsi="Tahoma" w:cs="Tahoma"/>
        </w:rPr>
      </w:pPr>
      <w:r w:rsidRPr="0054641A">
        <w:rPr>
          <w:rStyle w:val="Appelnotedebasdep"/>
          <w:rFonts w:ascii="Tahoma" w:hAnsi="Tahoma" w:cs="Tahoma"/>
        </w:rPr>
        <w:footnoteRef/>
      </w:r>
      <w:r w:rsidRPr="0054641A">
        <w:rPr>
          <w:rFonts w:ascii="Tahoma" w:hAnsi="Tahoma" w:cs="Tahoma"/>
        </w:rPr>
        <w:t xml:space="preserve"> Ibid.  p. 47.</w:t>
      </w:r>
    </w:p>
  </w:footnote>
  <w:footnote w:id="454">
    <w:p w:rsidR="0083519B" w:rsidRPr="00EC244D" w:rsidRDefault="0083519B" w:rsidP="00EC244D">
      <w:pPr>
        <w:pStyle w:val="Notedebasdepage"/>
        <w:jc w:val="both"/>
        <w:rPr>
          <w:rFonts w:ascii="Tahoma" w:hAnsi="Tahoma" w:cs="Tahoma"/>
        </w:rPr>
      </w:pPr>
      <w:r w:rsidRPr="00EC244D">
        <w:rPr>
          <w:rStyle w:val="Appelnotedebasdep"/>
          <w:rFonts w:ascii="Tahoma" w:hAnsi="Tahoma" w:cs="Tahoma"/>
        </w:rPr>
        <w:footnoteRef/>
      </w:r>
      <w:r w:rsidRPr="00EC244D">
        <w:rPr>
          <w:rFonts w:ascii="Tahoma" w:hAnsi="Tahoma" w:cs="Tahoma"/>
        </w:rPr>
        <w:t xml:space="preserve"> Ibid. p. 48</w:t>
      </w:r>
    </w:p>
  </w:footnote>
  <w:footnote w:id="455">
    <w:p w:rsidR="0083519B" w:rsidRPr="00EC244D" w:rsidRDefault="0083519B" w:rsidP="00EC244D">
      <w:pPr>
        <w:pStyle w:val="Notedebasdepage"/>
        <w:jc w:val="both"/>
        <w:rPr>
          <w:rFonts w:ascii="Tahoma" w:hAnsi="Tahoma" w:cs="Tahoma"/>
        </w:rPr>
      </w:pPr>
      <w:r w:rsidRPr="00EC244D">
        <w:rPr>
          <w:rStyle w:val="Appelnotedebasdep"/>
          <w:rFonts w:ascii="Tahoma" w:hAnsi="Tahoma" w:cs="Tahoma"/>
        </w:rPr>
        <w:footnoteRef/>
      </w:r>
      <w:r w:rsidRPr="00EC244D">
        <w:rPr>
          <w:rFonts w:ascii="Tahoma" w:hAnsi="Tahoma" w:cs="Tahoma"/>
        </w:rPr>
        <w:t xml:space="preserve"> Abdallah LAOUINA, « Processus de dégradation des sols au Maroc », Revue de géographie du Maroc, vol. 21, n° 1-2, 1999, p. 43-65.</w:t>
      </w:r>
    </w:p>
  </w:footnote>
  <w:footnote w:id="456">
    <w:p w:rsidR="0083519B" w:rsidRPr="00EC244D" w:rsidRDefault="0083519B" w:rsidP="00EC244D">
      <w:pPr>
        <w:pStyle w:val="Notedebasdepage"/>
        <w:jc w:val="both"/>
        <w:rPr>
          <w:rFonts w:ascii="Tahoma" w:hAnsi="Tahoma" w:cs="Tahoma"/>
        </w:rPr>
      </w:pPr>
      <w:r w:rsidRPr="00EC244D">
        <w:rPr>
          <w:rStyle w:val="Appelnotedebasdep"/>
          <w:rFonts w:ascii="Tahoma" w:hAnsi="Tahoma" w:cs="Tahoma"/>
        </w:rPr>
        <w:footnoteRef/>
      </w:r>
      <w:r w:rsidRPr="00EC244D">
        <w:rPr>
          <w:rFonts w:ascii="Tahoma" w:hAnsi="Tahoma" w:cs="Tahoma"/>
        </w:rPr>
        <w:t xml:space="preserve"> Mohamed SABIR et Rachida BOULLI, « Impact du changement climatique sur la forêt marocaine », Annales de la recherche forestière au Maroc, n° 42, 2018, p. 123-138.</w:t>
      </w:r>
    </w:p>
  </w:footnote>
  <w:footnote w:id="457">
    <w:p w:rsidR="0083519B" w:rsidRPr="00EC244D" w:rsidRDefault="0083519B" w:rsidP="00EC244D">
      <w:pPr>
        <w:pStyle w:val="Notedebasdepage"/>
        <w:jc w:val="both"/>
        <w:rPr>
          <w:rFonts w:ascii="Tahoma" w:hAnsi="Tahoma" w:cs="Tahoma"/>
        </w:rPr>
      </w:pPr>
      <w:r w:rsidRPr="00EC244D">
        <w:rPr>
          <w:rStyle w:val="Appelnotedebasdep"/>
          <w:rFonts w:ascii="Tahoma" w:hAnsi="Tahoma" w:cs="Tahoma"/>
        </w:rPr>
        <w:footnoteRef/>
      </w:r>
      <w:r w:rsidRPr="00EC244D">
        <w:rPr>
          <w:rFonts w:ascii="Tahoma" w:hAnsi="Tahoma" w:cs="Tahoma"/>
        </w:rPr>
        <w:t xml:space="preserve"> Haut-Commissariat aux Eaux et Forêts et à la Lutte contre la Désertification, op. cit., p. 78.</w:t>
      </w:r>
    </w:p>
  </w:footnote>
  <w:footnote w:id="458">
    <w:p w:rsidR="0083519B" w:rsidRPr="0054641A" w:rsidRDefault="0083519B" w:rsidP="00EC244D">
      <w:pPr>
        <w:pStyle w:val="Notedebasdepage"/>
        <w:jc w:val="both"/>
        <w:rPr>
          <w:rFonts w:ascii="Tahoma" w:hAnsi="Tahoma" w:cs="Tahoma"/>
        </w:rPr>
      </w:pPr>
      <w:r w:rsidRPr="00EC244D">
        <w:rPr>
          <w:rStyle w:val="Appelnotedebasdep"/>
          <w:rFonts w:ascii="Tahoma" w:hAnsi="Tahoma" w:cs="Tahoma"/>
        </w:rPr>
        <w:footnoteRef/>
      </w:r>
      <w:r w:rsidRPr="00EC244D">
        <w:rPr>
          <w:rFonts w:ascii="Tahoma" w:hAnsi="Tahoma" w:cs="Tahoma"/>
        </w:rPr>
        <w:t xml:space="preserve"> Ibid. p. 79</w:t>
      </w:r>
    </w:p>
  </w:footnote>
  <w:footnote w:id="459">
    <w:p w:rsidR="0083519B" w:rsidRPr="0054641A" w:rsidRDefault="0083519B" w:rsidP="00712860">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Direction générale de l'hydraulique, Étude du bassin versant de l'Oued Bouregreg, Rabat, Ministère de l'Équipement et de l'Eau, 2015, p. 23.</w:t>
      </w:r>
    </w:p>
  </w:footnote>
  <w:footnote w:id="460">
    <w:p w:rsidR="0083519B" w:rsidRPr="0054641A" w:rsidRDefault="0083519B" w:rsidP="00712860">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Ibid. p. 67.</w:t>
      </w:r>
    </w:p>
  </w:footnote>
  <w:footnote w:id="461">
    <w:p w:rsidR="0083519B" w:rsidRPr="0054641A" w:rsidRDefault="0083519B" w:rsidP="00712860">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Mohammed CHIKHAOUI, Hydrologie et ressources en eau du Maroc central, Rabat, Éditions Okad, 2008, p. 156.</w:t>
      </w:r>
    </w:p>
  </w:footnote>
  <w:footnote w:id="462">
    <w:p w:rsidR="0083519B" w:rsidRPr="0054641A" w:rsidRDefault="0083519B" w:rsidP="00712860">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Ibid. p. 178</w:t>
      </w:r>
    </w:p>
  </w:footnote>
  <w:footnote w:id="463">
    <w:p w:rsidR="0083519B" w:rsidRPr="0054641A" w:rsidRDefault="0083519B" w:rsidP="00712860">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Ibid. p. 183. </w:t>
      </w:r>
    </w:p>
  </w:footnote>
  <w:footnote w:id="464">
    <w:p w:rsidR="0083519B" w:rsidRPr="0054641A" w:rsidRDefault="0083519B" w:rsidP="00712860">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Mostafa BOUAMRANE, « Érosion et dégradation des terres au Maroc », Géomorphologie : relief, processus, environnement, vol. 24, n° 3, 2018, p. 287-302.</w:t>
      </w:r>
    </w:p>
  </w:footnote>
  <w:footnote w:id="465">
    <w:p w:rsidR="0083519B" w:rsidRPr="00712A1A" w:rsidRDefault="0083519B" w:rsidP="00712860">
      <w:pPr>
        <w:pStyle w:val="Notedebasdepage"/>
        <w:jc w:val="both"/>
        <w:rPr>
          <w:rFonts w:ascii="Tahoma" w:hAnsi="Tahoma" w:cs="Tahoma"/>
          <w:lang w:val="es-ES"/>
        </w:rPr>
      </w:pPr>
      <w:r w:rsidRPr="0054641A">
        <w:rPr>
          <w:rStyle w:val="Appelnotedebasdep"/>
          <w:rFonts w:ascii="Tahoma" w:hAnsi="Tahoma" w:cs="Tahoma"/>
        </w:rPr>
        <w:footnoteRef/>
      </w:r>
      <w:r w:rsidRPr="00712A1A">
        <w:rPr>
          <w:rFonts w:ascii="Tahoma" w:hAnsi="Tahoma" w:cs="Tahoma"/>
          <w:lang w:val="es-ES"/>
        </w:rPr>
        <w:t xml:space="preserve"> Ibid. p. 294.</w:t>
      </w:r>
    </w:p>
  </w:footnote>
  <w:footnote w:id="466">
    <w:p w:rsidR="0083519B" w:rsidRPr="00C8198A" w:rsidRDefault="0083519B" w:rsidP="00712860">
      <w:pPr>
        <w:pStyle w:val="Notedebasdepage"/>
        <w:jc w:val="both"/>
        <w:rPr>
          <w:rFonts w:ascii="Tahoma" w:hAnsi="Tahoma" w:cs="Tahoma"/>
        </w:rPr>
      </w:pPr>
      <w:r w:rsidRPr="0054641A">
        <w:rPr>
          <w:rStyle w:val="Appelnotedebasdep"/>
          <w:rFonts w:ascii="Tahoma" w:hAnsi="Tahoma" w:cs="Tahoma"/>
        </w:rPr>
        <w:footnoteRef/>
      </w:r>
      <w:r w:rsidRPr="00712A1A">
        <w:rPr>
          <w:rFonts w:ascii="Tahoma" w:hAnsi="Tahoma" w:cs="Tahoma"/>
          <w:lang w:val="es-ES"/>
        </w:rPr>
        <w:t xml:space="preserve"> Abdallah LAOUINA, op. cit.  </w:t>
      </w:r>
      <w:r w:rsidRPr="00C8198A">
        <w:rPr>
          <w:rFonts w:ascii="Tahoma" w:hAnsi="Tahoma" w:cs="Tahoma"/>
        </w:rPr>
        <w:t>p. 52.</w:t>
      </w:r>
    </w:p>
  </w:footnote>
  <w:footnote w:id="467">
    <w:p w:rsidR="0083519B" w:rsidRPr="0054641A" w:rsidRDefault="0083519B" w:rsidP="00712860">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Mostafa BOUAMRANE, op. cit.  p. 298</w:t>
      </w:r>
    </w:p>
  </w:footnote>
  <w:footnote w:id="468">
    <w:p w:rsidR="0083519B" w:rsidRPr="0054641A" w:rsidRDefault="0083519B" w:rsidP="00712860">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Ibid. p. 299.</w:t>
      </w:r>
    </w:p>
  </w:footnote>
  <w:footnote w:id="469">
    <w:p w:rsidR="0083519B" w:rsidRPr="0054641A" w:rsidRDefault="0083519B" w:rsidP="00712860">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Haut-Commissariat aux Eaux et Forêts et à la Lutte contre la Désertification, op. cit. p. 85.</w:t>
      </w:r>
    </w:p>
  </w:footnote>
  <w:footnote w:id="470">
    <w:p w:rsidR="0083519B" w:rsidRPr="0054641A" w:rsidRDefault="0083519B" w:rsidP="00712860">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Ibid. p. 86.</w:t>
      </w:r>
    </w:p>
  </w:footnote>
  <w:footnote w:id="471">
    <w:p w:rsidR="0083519B" w:rsidRPr="0054641A" w:rsidRDefault="0083519B" w:rsidP="00712860">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Ibid. p. 82.</w:t>
      </w:r>
    </w:p>
  </w:footnote>
  <w:footnote w:id="472">
    <w:p w:rsidR="0083519B" w:rsidRPr="0054641A" w:rsidRDefault="0083519B" w:rsidP="00712860">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M'hammed BENZYANE et al. , « Stratégies de restauration des écosystèmes forestiers dégradés au Maroc », Forêt méditerranéenne, t. XXXIX, n° 2, 2018, p. 145-158.</w:t>
      </w:r>
    </w:p>
  </w:footnote>
  <w:footnote w:id="473">
    <w:p w:rsidR="0083519B" w:rsidRPr="0054641A" w:rsidRDefault="0083519B" w:rsidP="00712860">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Miguel ARAÚJO et al. , « Climate change threatens European conservation areas », Ecology Letters, vol. 14, n° 5, 2011, p. 484-492. </w:t>
      </w:r>
    </w:p>
  </w:footnote>
  <w:footnote w:id="474">
    <w:p w:rsidR="0083519B" w:rsidRPr="003F4DF6" w:rsidRDefault="0083519B" w:rsidP="00712860">
      <w:pPr>
        <w:pStyle w:val="Notedebasdepage"/>
        <w:jc w:val="both"/>
        <w:rPr>
          <w:rFonts w:ascii="Tahoma" w:hAnsi="Tahoma" w:cs="Tahoma"/>
          <w:lang w:val="es-ES"/>
        </w:rPr>
      </w:pPr>
      <w:r w:rsidRPr="0054641A">
        <w:rPr>
          <w:rStyle w:val="Appelnotedebasdep"/>
          <w:rFonts w:ascii="Tahoma" w:hAnsi="Tahoma" w:cs="Tahoma"/>
        </w:rPr>
        <w:footnoteRef/>
      </w:r>
      <w:r w:rsidRPr="003F4DF6">
        <w:rPr>
          <w:rFonts w:ascii="Tahoma" w:hAnsi="Tahoma" w:cs="Tahoma"/>
          <w:lang w:val="es-ES"/>
        </w:rPr>
        <w:t xml:space="preserve"> Abdelmalek BENABID, op. cit. p. 234. </w:t>
      </w:r>
    </w:p>
  </w:footnote>
  <w:footnote w:id="475">
    <w:p w:rsidR="0083519B" w:rsidRPr="0054641A" w:rsidRDefault="0083519B" w:rsidP="00712860">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Lenore FAHRIG, « Effects of habitat fragmentation on biodiversity », Annual Review of Ecology, Evolution, and Systematics, vol. 34, 2003, p. 487-515.</w:t>
      </w:r>
    </w:p>
  </w:footnote>
  <w:footnote w:id="476">
    <w:p w:rsidR="0083519B" w:rsidRPr="0054641A" w:rsidRDefault="0083519B" w:rsidP="00712860">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José BOSCH et Josep PEÑUELAS, « The role of Mediterranean forests in the water cycle », Forest Ecology and Management, vol. 262, n° 9, 2011, p. 1614-1626.</w:t>
      </w:r>
    </w:p>
  </w:footnote>
  <w:footnote w:id="477">
    <w:p w:rsidR="0083519B" w:rsidRPr="0054641A" w:rsidRDefault="0083519B" w:rsidP="00712860">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Ibid. p. 1620.</w:t>
      </w:r>
    </w:p>
  </w:footnote>
  <w:footnote w:id="478">
    <w:p w:rsidR="0083519B" w:rsidRPr="0054641A" w:rsidRDefault="0083519B" w:rsidP="00712860">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Alessandro BACCINI et al., « Estimated carbon dioxide emissions from tropical deforestation improved by carbon-density maps », Nature Climate Change, vol. 2, n° 3, 2012, p. 182-185.</w:t>
      </w:r>
    </w:p>
  </w:footnote>
  <w:footnote w:id="479">
    <w:p w:rsidR="0083519B" w:rsidRPr="0054641A" w:rsidRDefault="0083519B" w:rsidP="00712860">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Richard HOUGHTON, « The emissions of carbon from deforestation and degradation in the tropics : past trends and future potential », Carbon Management, vol. 4, n° 5, 2013, p. 539-546.</w:t>
      </w:r>
    </w:p>
  </w:footnote>
  <w:footnote w:id="480">
    <w:p w:rsidR="0083519B" w:rsidRPr="0054641A" w:rsidRDefault="0083519B" w:rsidP="00712860">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Rattan LAL, « Soil erosion and the global carbon budget », Environment International, vol. 29, n° 4, 2003, p. 437-450.</w:t>
      </w:r>
    </w:p>
  </w:footnote>
  <w:footnote w:id="481">
    <w:p w:rsidR="0083519B" w:rsidRPr="0054641A" w:rsidRDefault="0083519B" w:rsidP="00712860">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Francesco FACCINI et al., « Role of rainfall intensity and urban sprawl in the 2014 flash flood in Genoa City, Bisagno catchment (Liguria, Italy) », Applied Geography*, vol. 98, 2018, p. 224-241.</w:t>
      </w:r>
    </w:p>
  </w:footnote>
  <w:footnote w:id="482">
    <w:p w:rsidR="0083519B" w:rsidRPr="0054641A" w:rsidRDefault="0083519B" w:rsidP="00712860">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Sheona SHACKLETON et Charlie SHACKLETON, « Linking poverty, HIV/AIDS and climate change to human and ecosystem vulnerability in southern Africa », Regional Environmental Change, vol. 12, n° 2, 2012, p. 275-286.</w:t>
      </w:r>
    </w:p>
  </w:footnote>
  <w:footnote w:id="483">
    <w:p w:rsidR="0083519B" w:rsidRPr="0054641A" w:rsidRDefault="0083519B" w:rsidP="00712860">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Ibid. p. 282.</w:t>
      </w:r>
    </w:p>
  </w:footnote>
  <w:footnote w:id="484">
    <w:p w:rsidR="0083519B" w:rsidRPr="0054641A" w:rsidRDefault="0083519B" w:rsidP="00712860">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HCEFLCD, Plan de gestion de la forêt de Korifla, Bureau d'études TTOBA, 2018, p. 7.</w:t>
      </w:r>
    </w:p>
  </w:footnote>
  <w:footnote w:id="485">
    <w:p w:rsidR="0083519B" w:rsidRPr="0054641A" w:rsidRDefault="0083519B" w:rsidP="00712860">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Ibid., p. 10.</w:t>
      </w:r>
    </w:p>
  </w:footnote>
  <w:footnote w:id="486">
    <w:p w:rsidR="0083519B" w:rsidRPr="0054641A" w:rsidRDefault="0083519B" w:rsidP="002D1D62">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THOMPSON, Warren S., "Population", American Journal of Sociology, vol. 34, n° 6, 1929, pp. 959-975.</w:t>
      </w:r>
    </w:p>
  </w:footnote>
  <w:footnote w:id="487">
    <w:p w:rsidR="0083519B" w:rsidRPr="0054641A" w:rsidRDefault="0083519B" w:rsidP="00712860">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HCP, Recensement Général de la Population et de l'Habitat (RGPH), 1994-2004-2014-2024.</w:t>
      </w:r>
    </w:p>
  </w:footnote>
  <w:footnote w:id="488">
    <w:p w:rsidR="0083519B" w:rsidRPr="0054641A" w:rsidRDefault="0083519B" w:rsidP="00712860">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Ibid.</w:t>
      </w:r>
    </w:p>
  </w:footnote>
  <w:footnote w:id="489">
    <w:p w:rsidR="0083519B" w:rsidRPr="0054641A" w:rsidRDefault="0083519B" w:rsidP="00712860">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EHRLICH, Paul R., The Population Bomb, Ballantine Books, New York, 1968.</w:t>
      </w:r>
    </w:p>
  </w:footnote>
  <w:footnote w:id="490">
    <w:p w:rsidR="0083519B" w:rsidRPr="0054641A" w:rsidRDefault="0083519B" w:rsidP="00712860">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GEIST, Helmut J., LAMBIN, Eric F., "Proximate Causes and Underlying Driving Forces of Tropical Deforestation", BioScience, vol. 52, n° 2, 2002, pp. 143-150</w:t>
      </w:r>
    </w:p>
  </w:footnote>
  <w:footnote w:id="491">
    <w:p w:rsidR="0083519B" w:rsidRPr="0054641A" w:rsidRDefault="0083519B" w:rsidP="00712860">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HCP, op. cit.</w:t>
      </w:r>
    </w:p>
  </w:footnote>
  <w:footnote w:id="492">
    <w:p w:rsidR="0083519B" w:rsidRPr="0054641A" w:rsidRDefault="0083519B" w:rsidP="00712860">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BARBIER, Edward B., "The Economics of Environment and Development", Edward Elgar Publishing, 1998. </w:t>
      </w:r>
    </w:p>
  </w:footnote>
  <w:footnote w:id="493">
    <w:p w:rsidR="0083519B" w:rsidRPr="0054641A" w:rsidRDefault="0083519B" w:rsidP="00712860">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LAMBIN, Eric F. et al., "The causes of land-use and land-cover change: moving beyond the myths", Global Environmental Change, vol. 11, n° 4, 2001, pp. 261-269</w:t>
      </w:r>
    </w:p>
  </w:footnote>
  <w:footnote w:id="494">
    <w:p w:rsidR="0083519B" w:rsidRPr="00712A1A" w:rsidRDefault="0083519B" w:rsidP="00712860">
      <w:pPr>
        <w:pStyle w:val="Notedebasdepage"/>
        <w:jc w:val="both"/>
        <w:rPr>
          <w:rFonts w:ascii="Tahoma" w:hAnsi="Tahoma" w:cs="Tahoma"/>
          <w:lang w:val="es-ES"/>
        </w:rPr>
      </w:pPr>
      <w:r w:rsidRPr="0054641A">
        <w:rPr>
          <w:rStyle w:val="Appelnotedebasdep"/>
          <w:rFonts w:ascii="Tahoma" w:hAnsi="Tahoma" w:cs="Tahoma"/>
        </w:rPr>
        <w:footnoteRef/>
      </w:r>
      <w:r w:rsidRPr="00712A1A">
        <w:rPr>
          <w:rFonts w:ascii="Tahoma" w:hAnsi="Tahoma" w:cs="Tahoma"/>
          <w:lang w:val="es-ES"/>
        </w:rPr>
        <w:t xml:space="preserve"> HCEFLCD, op. cit., p. 8.</w:t>
      </w:r>
    </w:p>
  </w:footnote>
  <w:footnote w:id="495">
    <w:p w:rsidR="0083519B" w:rsidRPr="00712A1A" w:rsidRDefault="0083519B" w:rsidP="00712860">
      <w:pPr>
        <w:pStyle w:val="Notedebasdepage"/>
        <w:jc w:val="both"/>
        <w:rPr>
          <w:rFonts w:ascii="Tahoma" w:hAnsi="Tahoma" w:cs="Tahoma"/>
          <w:lang w:val="es-ES"/>
        </w:rPr>
      </w:pPr>
      <w:r w:rsidRPr="0054641A">
        <w:rPr>
          <w:rStyle w:val="Appelnotedebasdep"/>
          <w:rFonts w:ascii="Tahoma" w:hAnsi="Tahoma" w:cs="Tahoma"/>
        </w:rPr>
        <w:footnoteRef/>
      </w:r>
      <w:r w:rsidRPr="00712A1A">
        <w:rPr>
          <w:rFonts w:ascii="Tahoma" w:hAnsi="Tahoma" w:cs="Tahoma"/>
          <w:lang w:val="es-ES"/>
        </w:rPr>
        <w:t xml:space="preserve"> Ibid.</w:t>
      </w:r>
    </w:p>
  </w:footnote>
  <w:footnote w:id="496">
    <w:p w:rsidR="0083519B" w:rsidRPr="0054641A" w:rsidRDefault="0083519B" w:rsidP="00712860">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OSTROM, Elinor, Governing the Commons: The Evolution of Institutions for Collective Action, Cambridge University Press, 1990.</w:t>
      </w:r>
    </w:p>
  </w:footnote>
  <w:footnote w:id="497">
    <w:p w:rsidR="0083519B" w:rsidRPr="0054641A" w:rsidRDefault="0083519B" w:rsidP="00712860">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HARDIN, Garrett, "The Tragedy of the Commons", Science, vol. 162, n° 3859, 1968, pp. 1243-1248.</w:t>
      </w:r>
    </w:p>
  </w:footnote>
  <w:footnote w:id="498">
    <w:p w:rsidR="0083519B" w:rsidRPr="0054641A" w:rsidRDefault="0083519B" w:rsidP="00712860">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HCEFLCD, op. cit., p. 14..</w:t>
      </w:r>
    </w:p>
  </w:footnote>
  <w:footnote w:id="499">
    <w:p w:rsidR="0083519B" w:rsidRPr="0054641A" w:rsidRDefault="0083519B" w:rsidP="00712860">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KUZNETS, Simon, "Economic Growth and Income Inequality", American Economic Review, vol. 45, n° 1, 1955, pp. 1-28.</w:t>
      </w:r>
    </w:p>
  </w:footnote>
  <w:footnote w:id="500">
    <w:p w:rsidR="0083519B" w:rsidRPr="0054641A" w:rsidRDefault="0083519B" w:rsidP="00712860">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HCP, Carte de la pauvreté, 2014.</w:t>
      </w:r>
    </w:p>
  </w:footnote>
  <w:footnote w:id="501">
    <w:p w:rsidR="0083519B" w:rsidRPr="0054641A" w:rsidRDefault="0083519B" w:rsidP="00712860">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ANGELSEN, Arild, WUNDER, Sven, "Exploring the forest-poverty link", CIFOR Occasional Paper, n° 40, 2003.</w:t>
      </w:r>
    </w:p>
  </w:footnote>
  <w:footnote w:id="502">
    <w:p w:rsidR="0083519B" w:rsidRPr="0054641A" w:rsidRDefault="0083519B" w:rsidP="00712860">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Monica et al., "Household welfare and forest dependence in Southern Malawi", Environment and Development Economics, vol. 10, n° 2, 2005, pp. 135-154.</w:t>
      </w:r>
    </w:p>
  </w:footnote>
  <w:footnote w:id="503">
    <w:p w:rsidR="0083519B" w:rsidRPr="0054641A" w:rsidRDefault="0083519B" w:rsidP="00712860">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HCP, Indice de vulnérabilité socio-économique, RGPH 2014.</w:t>
      </w:r>
    </w:p>
  </w:footnote>
  <w:footnote w:id="504">
    <w:p w:rsidR="0083519B" w:rsidRPr="0054641A" w:rsidRDefault="0083519B" w:rsidP="00712860">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SEN, Amartya, Development as Freedom, Oxford University Press, 1999.</w:t>
      </w:r>
    </w:p>
  </w:footnote>
  <w:footnote w:id="505">
    <w:p w:rsidR="0083519B" w:rsidRPr="0054641A" w:rsidRDefault="0083519B" w:rsidP="00712860">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DASGUPTA, Partha, "Human Well-Being and the Natural Environment", Oxford University Press, 2001.</w:t>
      </w:r>
    </w:p>
  </w:footnote>
  <w:footnote w:id="506">
    <w:p w:rsidR="0083519B" w:rsidRPr="0054641A" w:rsidRDefault="0083519B" w:rsidP="00712860">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HCEFLCD, op. cit., p. 14.</w:t>
      </w:r>
    </w:p>
  </w:footnote>
  <w:footnote w:id="507">
    <w:p w:rsidR="0083519B" w:rsidRPr="0054641A" w:rsidRDefault="0083519B" w:rsidP="00712860">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Ibid.</w:t>
      </w:r>
    </w:p>
  </w:footnote>
  <w:footnote w:id="508">
    <w:p w:rsidR="0083519B" w:rsidRPr="0054641A" w:rsidRDefault="0083519B" w:rsidP="00712860">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Ibid.</w:t>
      </w:r>
    </w:p>
  </w:footnote>
  <w:footnote w:id="509">
    <w:p w:rsidR="0083519B" w:rsidRPr="0054641A" w:rsidRDefault="0083519B" w:rsidP="00712860">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MILLENNIUM ECOSYSTEM ASSESSMENT, Ecosystems and Human Well-being: Synthesis, Island Press, Washington DC, 2005.</w:t>
      </w:r>
    </w:p>
  </w:footnote>
  <w:footnote w:id="510">
    <w:p w:rsidR="0083519B" w:rsidRPr="0054641A" w:rsidRDefault="0083519B" w:rsidP="00712860">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Direction Régionale des Eaux et Forêts, Inventaire forestier régional, 2018.</w:t>
      </w:r>
    </w:p>
  </w:footnote>
  <w:footnote w:id="511">
    <w:p w:rsidR="0083519B" w:rsidRPr="0054641A" w:rsidRDefault="0083519B" w:rsidP="00712860">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FAHRIG, Lenore, "Effects of habitat fragmentation on biodiversity", Annual Review of Ecology, Evolution, and Systematics, vol. 34, 2003, pp. 487-515.</w:t>
      </w:r>
    </w:p>
  </w:footnote>
  <w:footnote w:id="512">
    <w:p w:rsidR="0083519B" w:rsidRPr="0054641A" w:rsidRDefault="0083519B" w:rsidP="00712860">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HCEFLCD, op. cit., p. 14.</w:t>
      </w:r>
    </w:p>
  </w:footnote>
  <w:footnote w:id="513">
    <w:p w:rsidR="0083519B" w:rsidRPr="0054641A" w:rsidRDefault="0083519B" w:rsidP="00712860">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FAO, State of the World's Forests 2018 - Forest pathways to sustainable development, Rome, 2018.</w:t>
      </w:r>
    </w:p>
  </w:footnote>
  <w:footnote w:id="514">
    <w:p w:rsidR="0083519B" w:rsidRPr="0054641A" w:rsidRDefault="0083519B" w:rsidP="00712860">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CHIDUMAYO, Emmanuel N., GUMBO, Davison J., The environmental impacts of charcoal production in tropical ecosystems of the world, Energy for Sustainable Development, vol. 17, n° 2, 2013, pp. 86-94.</w:t>
      </w:r>
    </w:p>
  </w:footnote>
  <w:footnote w:id="515">
    <w:p w:rsidR="0083519B" w:rsidRPr="0054641A" w:rsidRDefault="0083519B" w:rsidP="00712860">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WALKER, Brian et al., "Resilience, adaptability and transformability in social-ecological systems", Ecology and Society, vol. 9, n° 2, 2004.</w:t>
      </w:r>
    </w:p>
  </w:footnote>
  <w:footnote w:id="516">
    <w:p w:rsidR="0083519B" w:rsidRPr="0054641A" w:rsidRDefault="0083519B" w:rsidP="00712860">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FOLEY, Jonathan A. et al., "Global consequences of land use", Science, vol. 309, n° 5734, 2005, pp. 570-574.</w:t>
      </w:r>
    </w:p>
  </w:footnote>
  <w:footnote w:id="517">
    <w:p w:rsidR="0083519B" w:rsidRPr="0054641A" w:rsidRDefault="0083519B" w:rsidP="00712860">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PIMENTEL, David et al., "Environmental and economic costs of soil erosion and conservation benefits", Science, vol. 267, n° 5201, 1995, pp. 1117-1123.</w:t>
      </w:r>
    </w:p>
  </w:footnote>
  <w:footnote w:id="518">
    <w:p w:rsidR="0083519B" w:rsidRPr="0054641A" w:rsidRDefault="0083519B" w:rsidP="00712860">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HCEFLCD, op. cit., p. 16-18</w:t>
      </w:r>
    </w:p>
  </w:footnote>
  <w:footnote w:id="519">
    <w:p w:rsidR="0083519B" w:rsidRPr="0054641A" w:rsidRDefault="0083519B" w:rsidP="00712860">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COSTANZA, Robert et al., "The value of the world's ecosystem services and natural capital", Nature, vol. 387, 1997, pp. 253-260.</w:t>
      </w:r>
    </w:p>
  </w:footnote>
  <w:footnote w:id="520">
    <w:p w:rsidR="0083519B" w:rsidRPr="0054641A" w:rsidRDefault="0083519B" w:rsidP="00712860">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SAYER, Jeffrey et al. , "The role of the forest frontier in landscapes and livelihoods", Forestry, vol. 80, n° 5, 2007, pp. 497-505.</w:t>
      </w:r>
    </w:p>
  </w:footnote>
  <w:footnote w:id="521">
    <w:p w:rsidR="0083519B" w:rsidRPr="0054641A" w:rsidRDefault="0083519B" w:rsidP="00712860">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HCEFLCD, Plan de gestion de la forêt de Korifla, Bureau d'études TTOBA, 2018, p. 22.</w:t>
      </w:r>
    </w:p>
  </w:footnote>
  <w:footnote w:id="522">
    <w:p w:rsidR="0083519B" w:rsidRPr="0054641A" w:rsidRDefault="0083519B" w:rsidP="00712860">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Michel GODET, Manuel de prospective stratégique, tome 2, L'art et la méthode, Paris, Dunod, 2001.</w:t>
      </w:r>
    </w:p>
  </w:footnote>
  <w:footnote w:id="523">
    <w:p w:rsidR="0083519B" w:rsidRPr="0054641A" w:rsidRDefault="0083519B" w:rsidP="00712860">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Carl FOLKE et al., « Resilience and sustainable development: building adaptive capacity in a world of transformations », AMBIO, vol. 31, n° 5, 2002, pp. 437-440.</w:t>
      </w:r>
    </w:p>
  </w:footnote>
  <w:footnote w:id="524">
    <w:p w:rsidR="0083519B" w:rsidRPr="0054641A" w:rsidRDefault="0083519B" w:rsidP="00712860">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Michel GODET, De l'anticipation à l'action : manuel de prospective et de stratégie, Paris, Dunod, 1991.</w:t>
      </w:r>
    </w:p>
  </w:footnote>
  <w:footnote w:id="525">
    <w:p w:rsidR="0083519B" w:rsidRPr="00712A1A" w:rsidRDefault="0083519B" w:rsidP="00712860">
      <w:pPr>
        <w:pStyle w:val="Notedebasdepage"/>
        <w:jc w:val="both"/>
        <w:rPr>
          <w:rFonts w:ascii="Tahoma" w:hAnsi="Tahoma" w:cs="Tahoma"/>
          <w:lang w:val="es-ES"/>
        </w:rPr>
      </w:pPr>
      <w:r w:rsidRPr="0054641A">
        <w:rPr>
          <w:rStyle w:val="Appelnotedebasdep"/>
          <w:rFonts w:ascii="Tahoma" w:hAnsi="Tahoma" w:cs="Tahoma"/>
        </w:rPr>
        <w:footnoteRef/>
      </w:r>
      <w:r w:rsidRPr="00712A1A">
        <w:rPr>
          <w:rFonts w:ascii="Tahoma" w:hAnsi="Tahoma" w:cs="Tahoma"/>
          <w:lang w:val="es-ES"/>
        </w:rPr>
        <w:t xml:space="preserve"> HCEFLCD, op. cit., p. 24.</w:t>
      </w:r>
      <w:r w:rsidRPr="00712A1A">
        <w:rPr>
          <w:rFonts w:ascii="Tahoma" w:hAnsi="Tahoma" w:cs="Tahoma"/>
          <w:lang w:val="es-ES"/>
        </w:rPr>
        <w:tab/>
      </w:r>
      <w:r w:rsidRPr="00712A1A">
        <w:rPr>
          <w:rFonts w:ascii="Tahoma" w:hAnsi="Tahoma" w:cs="Tahoma"/>
          <w:lang w:val="es-ES"/>
        </w:rPr>
        <w:tab/>
      </w:r>
    </w:p>
  </w:footnote>
  <w:footnote w:id="526">
    <w:p w:rsidR="0083519B" w:rsidRPr="00712A1A" w:rsidRDefault="0083519B" w:rsidP="00712860">
      <w:pPr>
        <w:pStyle w:val="Notedebasdepage"/>
        <w:jc w:val="both"/>
        <w:rPr>
          <w:rFonts w:ascii="Tahoma" w:hAnsi="Tahoma" w:cs="Tahoma"/>
          <w:lang w:val="es-ES"/>
        </w:rPr>
      </w:pPr>
      <w:r w:rsidRPr="0054641A">
        <w:rPr>
          <w:rStyle w:val="Appelnotedebasdep"/>
          <w:rFonts w:ascii="Tahoma" w:hAnsi="Tahoma" w:cs="Tahoma"/>
        </w:rPr>
        <w:footnoteRef/>
      </w:r>
      <w:r w:rsidRPr="00712A1A">
        <w:rPr>
          <w:rFonts w:ascii="Tahoma" w:hAnsi="Tahoma" w:cs="Tahoma"/>
          <w:lang w:val="es-ES"/>
        </w:rPr>
        <w:t xml:space="preserve"> Ibid., p. 22.</w:t>
      </w:r>
    </w:p>
  </w:footnote>
  <w:footnote w:id="527">
    <w:p w:rsidR="0083519B" w:rsidRPr="00712A1A" w:rsidRDefault="0083519B" w:rsidP="00712860">
      <w:pPr>
        <w:pStyle w:val="Notedebasdepage"/>
        <w:jc w:val="both"/>
        <w:rPr>
          <w:rFonts w:ascii="Tahoma" w:hAnsi="Tahoma" w:cs="Tahoma"/>
          <w:lang w:val="es-ES"/>
        </w:rPr>
      </w:pPr>
      <w:r w:rsidRPr="0054641A">
        <w:rPr>
          <w:rStyle w:val="Appelnotedebasdep"/>
          <w:rFonts w:ascii="Tahoma" w:hAnsi="Tahoma" w:cs="Tahoma"/>
        </w:rPr>
        <w:footnoteRef/>
      </w:r>
      <w:r w:rsidRPr="00712A1A">
        <w:rPr>
          <w:rFonts w:ascii="Tahoma" w:hAnsi="Tahoma" w:cs="Tahoma"/>
          <w:lang w:val="es-ES"/>
        </w:rPr>
        <w:t xml:space="preserve"> Ibid., p. 24.</w:t>
      </w:r>
    </w:p>
  </w:footnote>
  <w:footnote w:id="528">
    <w:p w:rsidR="0083519B" w:rsidRPr="00712A1A" w:rsidRDefault="0083519B" w:rsidP="00712860">
      <w:pPr>
        <w:pStyle w:val="Notedebasdepage"/>
        <w:jc w:val="both"/>
        <w:rPr>
          <w:rFonts w:ascii="Tahoma" w:hAnsi="Tahoma" w:cs="Tahoma"/>
          <w:lang w:val="es-ES"/>
        </w:rPr>
      </w:pPr>
      <w:r w:rsidRPr="0054641A">
        <w:rPr>
          <w:rStyle w:val="Appelnotedebasdep"/>
          <w:rFonts w:ascii="Tahoma" w:hAnsi="Tahoma" w:cs="Tahoma"/>
        </w:rPr>
        <w:footnoteRef/>
      </w:r>
      <w:r w:rsidRPr="00712A1A">
        <w:rPr>
          <w:rFonts w:ascii="Tahoma" w:hAnsi="Tahoma" w:cs="Tahoma"/>
          <w:lang w:val="es-ES"/>
        </w:rPr>
        <w:t xml:space="preserve"> Ibid., p. 22.</w:t>
      </w:r>
    </w:p>
  </w:footnote>
  <w:footnote w:id="529">
    <w:p w:rsidR="0083519B" w:rsidRPr="00712A1A" w:rsidRDefault="0083519B" w:rsidP="00712860">
      <w:pPr>
        <w:pStyle w:val="Notedebasdepage"/>
        <w:jc w:val="both"/>
        <w:rPr>
          <w:rFonts w:ascii="Tahoma" w:hAnsi="Tahoma" w:cs="Tahoma"/>
          <w:lang w:val="es-ES"/>
        </w:rPr>
      </w:pPr>
      <w:r w:rsidRPr="0054641A">
        <w:rPr>
          <w:rStyle w:val="Appelnotedebasdep"/>
          <w:rFonts w:ascii="Tahoma" w:hAnsi="Tahoma" w:cs="Tahoma"/>
        </w:rPr>
        <w:footnoteRef/>
      </w:r>
      <w:r w:rsidRPr="00712A1A">
        <w:rPr>
          <w:rFonts w:ascii="Tahoma" w:hAnsi="Tahoma" w:cs="Tahoma"/>
          <w:lang w:val="es-ES"/>
        </w:rPr>
        <w:t xml:space="preserve"> Ibid., p. 22.</w:t>
      </w:r>
    </w:p>
  </w:footnote>
  <w:footnote w:id="530">
    <w:p w:rsidR="0083519B" w:rsidRPr="0054641A" w:rsidRDefault="0083519B" w:rsidP="00712860">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Ibid., p. 125.</w:t>
      </w:r>
      <w:r w:rsidRPr="0054641A">
        <w:rPr>
          <w:rFonts w:ascii="Tahoma" w:hAnsi="Tahoma" w:cs="Tahoma"/>
        </w:rPr>
        <w:tab/>
      </w:r>
    </w:p>
  </w:footnote>
  <w:footnote w:id="531">
    <w:p w:rsidR="0083519B" w:rsidRPr="0054641A" w:rsidRDefault="0083519B" w:rsidP="00712860">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Ibid., p. 135.</w:t>
      </w:r>
    </w:p>
  </w:footnote>
  <w:footnote w:id="532">
    <w:p w:rsidR="0083519B" w:rsidRPr="0054641A" w:rsidRDefault="0083519B" w:rsidP="00712860">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Elinor OSTROM, « Collective action and the evolution of social norms », Journal of Economic Perspectives, vol. 14, n° 3, 2000, pp. 137-158.</w:t>
      </w:r>
    </w:p>
  </w:footnote>
  <w:footnote w:id="533">
    <w:p w:rsidR="0083519B" w:rsidRPr="00712A1A" w:rsidRDefault="0083519B" w:rsidP="00712860">
      <w:pPr>
        <w:pStyle w:val="Notedebasdepage"/>
        <w:jc w:val="both"/>
        <w:rPr>
          <w:rFonts w:ascii="Tahoma" w:hAnsi="Tahoma" w:cs="Tahoma"/>
          <w:lang w:val="es-ES"/>
        </w:rPr>
      </w:pPr>
      <w:r w:rsidRPr="0054641A">
        <w:rPr>
          <w:rStyle w:val="Appelnotedebasdep"/>
          <w:rFonts w:ascii="Tahoma" w:hAnsi="Tahoma" w:cs="Tahoma"/>
        </w:rPr>
        <w:footnoteRef/>
      </w:r>
      <w:r w:rsidRPr="00712A1A">
        <w:rPr>
          <w:rFonts w:ascii="Tahoma" w:hAnsi="Tahoma" w:cs="Tahoma"/>
          <w:lang w:val="es-ES"/>
        </w:rPr>
        <w:t xml:space="preserve"> HCEFLCD, op. cit., p. 133.</w:t>
      </w:r>
    </w:p>
  </w:footnote>
  <w:footnote w:id="534">
    <w:p w:rsidR="0083519B" w:rsidRPr="00712A1A" w:rsidRDefault="0083519B" w:rsidP="00712860">
      <w:pPr>
        <w:pStyle w:val="Notedebasdepage"/>
        <w:jc w:val="both"/>
        <w:rPr>
          <w:rFonts w:ascii="Tahoma" w:hAnsi="Tahoma" w:cs="Tahoma"/>
          <w:lang w:val="es-ES"/>
        </w:rPr>
      </w:pPr>
      <w:r w:rsidRPr="0054641A">
        <w:rPr>
          <w:rStyle w:val="Appelnotedebasdep"/>
          <w:rFonts w:ascii="Tahoma" w:hAnsi="Tahoma" w:cs="Tahoma"/>
        </w:rPr>
        <w:footnoteRef/>
      </w:r>
      <w:r w:rsidRPr="00712A1A">
        <w:rPr>
          <w:rFonts w:ascii="Tahoma" w:hAnsi="Tahoma" w:cs="Tahoma"/>
          <w:lang w:val="es-ES"/>
        </w:rPr>
        <w:t xml:space="preserve"> Ibid., p. 74-76.</w:t>
      </w:r>
    </w:p>
  </w:footnote>
  <w:footnote w:id="535">
    <w:p w:rsidR="0083519B" w:rsidRPr="00712A1A" w:rsidRDefault="0083519B" w:rsidP="00712860">
      <w:pPr>
        <w:pStyle w:val="Notedebasdepage"/>
        <w:jc w:val="both"/>
        <w:rPr>
          <w:rFonts w:ascii="Tahoma" w:hAnsi="Tahoma" w:cs="Tahoma"/>
          <w:lang w:val="es-ES"/>
        </w:rPr>
      </w:pPr>
      <w:r w:rsidRPr="0054641A">
        <w:rPr>
          <w:rStyle w:val="Appelnotedebasdep"/>
          <w:rFonts w:ascii="Tahoma" w:hAnsi="Tahoma" w:cs="Tahoma"/>
        </w:rPr>
        <w:footnoteRef/>
      </w:r>
      <w:r w:rsidRPr="00712A1A">
        <w:rPr>
          <w:rFonts w:ascii="Tahoma" w:hAnsi="Tahoma" w:cs="Tahoma"/>
          <w:lang w:val="es-ES"/>
        </w:rPr>
        <w:t xml:space="preserve"> Ibid., p. 10-11.</w:t>
      </w:r>
    </w:p>
  </w:footnote>
  <w:footnote w:id="536">
    <w:p w:rsidR="0083519B" w:rsidRPr="00712A1A" w:rsidRDefault="0083519B" w:rsidP="00712860">
      <w:pPr>
        <w:pStyle w:val="Notedebasdepage"/>
        <w:jc w:val="both"/>
        <w:rPr>
          <w:rFonts w:ascii="Tahoma" w:hAnsi="Tahoma" w:cs="Tahoma"/>
          <w:lang w:val="es-ES"/>
        </w:rPr>
      </w:pPr>
      <w:r w:rsidRPr="0054641A">
        <w:rPr>
          <w:rStyle w:val="Appelnotedebasdep"/>
          <w:rFonts w:ascii="Tahoma" w:hAnsi="Tahoma" w:cs="Tahoma"/>
        </w:rPr>
        <w:footnoteRef/>
      </w:r>
      <w:r w:rsidRPr="00712A1A">
        <w:rPr>
          <w:rFonts w:ascii="Tahoma" w:hAnsi="Tahoma" w:cs="Tahoma"/>
          <w:lang w:val="es-ES"/>
        </w:rPr>
        <w:t xml:space="preserve"> Ibid., p. 25.</w:t>
      </w:r>
    </w:p>
  </w:footnote>
  <w:footnote w:id="537">
    <w:p w:rsidR="0083519B" w:rsidRPr="00712A1A" w:rsidRDefault="0083519B" w:rsidP="00712860">
      <w:pPr>
        <w:pStyle w:val="Notedebasdepage"/>
        <w:jc w:val="both"/>
        <w:rPr>
          <w:rFonts w:ascii="Tahoma" w:hAnsi="Tahoma" w:cs="Tahoma"/>
          <w:lang w:val="es-ES"/>
        </w:rPr>
      </w:pPr>
      <w:r w:rsidRPr="0054641A">
        <w:rPr>
          <w:rStyle w:val="Appelnotedebasdep"/>
          <w:rFonts w:ascii="Tahoma" w:hAnsi="Tahoma" w:cs="Tahoma"/>
        </w:rPr>
        <w:footnoteRef/>
      </w:r>
      <w:r w:rsidRPr="00712A1A">
        <w:rPr>
          <w:rFonts w:ascii="Tahoma" w:hAnsi="Tahoma" w:cs="Tahoma"/>
          <w:lang w:val="es-ES"/>
        </w:rPr>
        <w:t xml:space="preserve"> Ibid., p. 14.</w:t>
      </w:r>
    </w:p>
  </w:footnote>
  <w:footnote w:id="538">
    <w:p w:rsidR="0083519B" w:rsidRPr="0054641A" w:rsidRDefault="0083519B" w:rsidP="00712860">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Ibid., p. 14.</w:t>
      </w:r>
    </w:p>
  </w:footnote>
  <w:footnote w:id="539">
    <w:p w:rsidR="0083519B" w:rsidRPr="0054641A" w:rsidRDefault="0083519B" w:rsidP="00712860">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Matthew C. HANSEN et al., « High-resolution global maps of 21st-century forest cover change », Science, vol. 342, n° 6160, 2013, pp. 850-853.</w:t>
      </w:r>
      <w:r w:rsidRPr="0054641A">
        <w:rPr>
          <w:rFonts w:ascii="Tahoma" w:hAnsi="Tahoma" w:cs="Tahoma"/>
        </w:rPr>
        <w:tab/>
      </w:r>
    </w:p>
  </w:footnote>
  <w:footnote w:id="540">
    <w:p w:rsidR="0083519B" w:rsidRPr="00712A1A" w:rsidRDefault="0083519B" w:rsidP="00712860">
      <w:pPr>
        <w:pStyle w:val="Notedebasdepage"/>
        <w:jc w:val="both"/>
        <w:rPr>
          <w:rFonts w:ascii="Tahoma" w:hAnsi="Tahoma" w:cs="Tahoma"/>
          <w:lang w:val="es-ES"/>
        </w:rPr>
      </w:pPr>
      <w:r w:rsidRPr="0054641A">
        <w:rPr>
          <w:rStyle w:val="Appelnotedebasdep"/>
          <w:rFonts w:ascii="Tahoma" w:hAnsi="Tahoma" w:cs="Tahoma"/>
        </w:rPr>
        <w:footnoteRef/>
      </w:r>
      <w:r w:rsidRPr="00712A1A">
        <w:rPr>
          <w:rFonts w:ascii="Tahoma" w:hAnsi="Tahoma" w:cs="Tahoma"/>
          <w:lang w:val="es-ES"/>
        </w:rPr>
        <w:t xml:space="preserve"> HCEFLCD, op. cit., p. 24.</w:t>
      </w:r>
    </w:p>
  </w:footnote>
  <w:footnote w:id="541">
    <w:p w:rsidR="0083519B" w:rsidRPr="00712A1A" w:rsidRDefault="0083519B" w:rsidP="00712860">
      <w:pPr>
        <w:pStyle w:val="Notedebasdepage"/>
        <w:jc w:val="both"/>
        <w:rPr>
          <w:rFonts w:ascii="Tahoma" w:hAnsi="Tahoma" w:cs="Tahoma"/>
          <w:lang w:val="es-ES"/>
        </w:rPr>
      </w:pPr>
      <w:r w:rsidRPr="0054641A">
        <w:rPr>
          <w:rStyle w:val="Appelnotedebasdep"/>
          <w:rFonts w:ascii="Tahoma" w:hAnsi="Tahoma" w:cs="Tahoma"/>
        </w:rPr>
        <w:footnoteRef/>
      </w:r>
      <w:r w:rsidRPr="00712A1A">
        <w:rPr>
          <w:rFonts w:ascii="Tahoma" w:hAnsi="Tahoma" w:cs="Tahoma"/>
          <w:lang w:val="es-ES"/>
        </w:rPr>
        <w:t xml:space="preserve"> Ibid., p. 62.</w:t>
      </w:r>
    </w:p>
  </w:footnote>
  <w:footnote w:id="542">
    <w:p w:rsidR="0083519B" w:rsidRPr="0054641A" w:rsidRDefault="0083519B" w:rsidP="00712860">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Ibid., p. 35.</w:t>
      </w:r>
    </w:p>
  </w:footnote>
  <w:footnote w:id="543">
    <w:p w:rsidR="0083519B" w:rsidRPr="0054641A" w:rsidRDefault="0083519B" w:rsidP="00712860">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Robin L. CHAZDON, « Beyond deforestation: restoring forests and ecosystem services on degraded lands », Science, vol. 320, n° 5882, 2008, pp. 1458-1460.</w:t>
      </w:r>
    </w:p>
  </w:footnote>
  <w:footnote w:id="544">
    <w:p w:rsidR="0083519B" w:rsidRPr="0054641A" w:rsidRDefault="0083519B" w:rsidP="00712860">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HCEFLCD, op. cit., p. 133.</w:t>
      </w:r>
    </w:p>
  </w:footnote>
  <w:footnote w:id="545">
    <w:p w:rsidR="0083519B" w:rsidRPr="0054641A" w:rsidRDefault="0083519B" w:rsidP="00712860">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Elinor OSTROM, Governing the Commons: The Evolution of Institutions for Collective Action, Cambridge, Cambridge University Press, 1990.</w:t>
      </w:r>
    </w:p>
  </w:footnote>
  <w:footnote w:id="546">
    <w:p w:rsidR="0083519B" w:rsidRPr="00712A1A" w:rsidRDefault="0083519B" w:rsidP="00712860">
      <w:pPr>
        <w:pStyle w:val="Notedebasdepage"/>
        <w:jc w:val="both"/>
        <w:rPr>
          <w:rFonts w:ascii="Tahoma" w:hAnsi="Tahoma" w:cs="Tahoma"/>
          <w:lang w:val="es-ES"/>
        </w:rPr>
      </w:pPr>
      <w:r w:rsidRPr="0054641A">
        <w:rPr>
          <w:rStyle w:val="Appelnotedebasdep"/>
          <w:rFonts w:ascii="Tahoma" w:hAnsi="Tahoma" w:cs="Tahoma"/>
        </w:rPr>
        <w:footnoteRef/>
      </w:r>
      <w:r w:rsidRPr="00712A1A">
        <w:rPr>
          <w:rFonts w:ascii="Tahoma" w:hAnsi="Tahoma" w:cs="Tahoma"/>
          <w:lang w:val="es-ES"/>
        </w:rPr>
        <w:t xml:space="preserve"> HCEFLCD, op. cit., p. 74.</w:t>
      </w:r>
    </w:p>
  </w:footnote>
  <w:footnote w:id="547">
    <w:p w:rsidR="0083519B" w:rsidRPr="00712A1A" w:rsidRDefault="0083519B" w:rsidP="00712860">
      <w:pPr>
        <w:pStyle w:val="Notedebasdepage"/>
        <w:jc w:val="both"/>
        <w:rPr>
          <w:rFonts w:ascii="Tahoma" w:hAnsi="Tahoma" w:cs="Tahoma"/>
          <w:lang w:val="es-ES"/>
        </w:rPr>
      </w:pPr>
      <w:r w:rsidRPr="0054641A">
        <w:rPr>
          <w:rStyle w:val="Appelnotedebasdep"/>
          <w:rFonts w:ascii="Tahoma" w:hAnsi="Tahoma" w:cs="Tahoma"/>
        </w:rPr>
        <w:footnoteRef/>
      </w:r>
      <w:r w:rsidRPr="00712A1A">
        <w:rPr>
          <w:rFonts w:ascii="Tahoma" w:hAnsi="Tahoma" w:cs="Tahoma"/>
          <w:lang w:val="es-ES"/>
        </w:rPr>
        <w:t xml:space="preserve"> Ibid., p. 129.</w:t>
      </w:r>
      <w:r w:rsidRPr="00712A1A">
        <w:rPr>
          <w:rFonts w:ascii="Tahoma" w:hAnsi="Tahoma" w:cs="Tahoma"/>
          <w:lang w:val="es-ES"/>
        </w:rPr>
        <w:tab/>
      </w:r>
    </w:p>
  </w:footnote>
  <w:footnote w:id="548">
    <w:p w:rsidR="0083519B" w:rsidRPr="0054641A" w:rsidRDefault="0083519B" w:rsidP="00712860">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Ibid., p. 129.</w:t>
      </w:r>
    </w:p>
  </w:footnote>
  <w:footnote w:id="549">
    <w:p w:rsidR="0083519B" w:rsidRPr="0054641A" w:rsidRDefault="0083519B" w:rsidP="00712860">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Ibid., p. 113.</w:t>
      </w:r>
    </w:p>
  </w:footnote>
  <w:footnote w:id="550">
    <w:p w:rsidR="0083519B" w:rsidRPr="0054641A" w:rsidRDefault="0083519B" w:rsidP="00712860">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Adrian NEWTON et al., « Forest landscape restoration in the drylands of Latin America », Ecology and Society, vol. 17, n° 1, 2012.</w:t>
      </w:r>
    </w:p>
  </w:footnote>
  <w:footnote w:id="551">
    <w:p w:rsidR="0083519B" w:rsidRPr="00712A1A" w:rsidRDefault="0083519B" w:rsidP="00712860">
      <w:pPr>
        <w:pStyle w:val="Notedebasdepage"/>
        <w:jc w:val="both"/>
        <w:rPr>
          <w:rFonts w:ascii="Tahoma" w:hAnsi="Tahoma" w:cs="Tahoma"/>
          <w:lang w:val="es-ES"/>
        </w:rPr>
      </w:pPr>
      <w:r w:rsidRPr="0054641A">
        <w:rPr>
          <w:rStyle w:val="Appelnotedebasdep"/>
          <w:rFonts w:ascii="Tahoma" w:hAnsi="Tahoma" w:cs="Tahoma"/>
        </w:rPr>
        <w:footnoteRef/>
      </w:r>
      <w:r w:rsidRPr="00712A1A">
        <w:rPr>
          <w:rFonts w:ascii="Tahoma" w:hAnsi="Tahoma" w:cs="Tahoma"/>
          <w:lang w:val="es-ES"/>
        </w:rPr>
        <w:t xml:space="preserve">  HCEFLCD, op. cit., p. 14.</w:t>
      </w:r>
      <w:r w:rsidRPr="00712A1A">
        <w:rPr>
          <w:rFonts w:ascii="Tahoma" w:hAnsi="Tahoma" w:cs="Tahoma"/>
          <w:lang w:val="es-ES"/>
        </w:rPr>
        <w:tab/>
      </w:r>
    </w:p>
  </w:footnote>
  <w:footnote w:id="552">
    <w:p w:rsidR="0083519B" w:rsidRPr="00712A1A" w:rsidRDefault="0083519B" w:rsidP="00712860">
      <w:pPr>
        <w:pStyle w:val="Notedebasdepage"/>
        <w:jc w:val="both"/>
        <w:rPr>
          <w:rFonts w:ascii="Tahoma" w:hAnsi="Tahoma" w:cs="Tahoma"/>
          <w:lang w:val="es-ES"/>
        </w:rPr>
      </w:pPr>
      <w:r w:rsidRPr="0054641A">
        <w:rPr>
          <w:rStyle w:val="Appelnotedebasdep"/>
          <w:rFonts w:ascii="Tahoma" w:hAnsi="Tahoma" w:cs="Tahoma"/>
        </w:rPr>
        <w:footnoteRef/>
      </w:r>
      <w:r w:rsidRPr="00712A1A">
        <w:rPr>
          <w:rFonts w:ascii="Tahoma" w:hAnsi="Tahoma" w:cs="Tahoma"/>
          <w:lang w:val="es-ES"/>
        </w:rPr>
        <w:t xml:space="preserve"> Ibid., p. 16-18.</w:t>
      </w:r>
    </w:p>
  </w:footnote>
  <w:footnote w:id="553">
    <w:p w:rsidR="0083519B" w:rsidRPr="0054641A" w:rsidRDefault="0083519B" w:rsidP="00712860">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MILLENNIUM ECOSYSTEM ASSESSMENT, Ecosystems and Human Well-being: Synthesis, Washington DC, Island Press, 2005.</w:t>
      </w:r>
    </w:p>
  </w:footnote>
  <w:footnote w:id="554">
    <w:p w:rsidR="0083519B" w:rsidRPr="00712A1A" w:rsidRDefault="0083519B" w:rsidP="00712860">
      <w:pPr>
        <w:pStyle w:val="Notedebasdepage"/>
        <w:jc w:val="both"/>
        <w:rPr>
          <w:rFonts w:ascii="Tahoma" w:hAnsi="Tahoma" w:cs="Tahoma"/>
          <w:lang w:val="es-ES"/>
        </w:rPr>
      </w:pPr>
      <w:r w:rsidRPr="0054641A">
        <w:rPr>
          <w:rStyle w:val="Appelnotedebasdep"/>
          <w:rFonts w:ascii="Tahoma" w:hAnsi="Tahoma" w:cs="Tahoma"/>
        </w:rPr>
        <w:footnoteRef/>
      </w:r>
      <w:r w:rsidRPr="00712A1A">
        <w:rPr>
          <w:rFonts w:ascii="Tahoma" w:hAnsi="Tahoma" w:cs="Tahoma"/>
          <w:lang w:val="es-ES"/>
        </w:rPr>
        <w:t xml:space="preserve"> HCEFLCD, op. cit., p. 76.</w:t>
      </w:r>
    </w:p>
  </w:footnote>
  <w:footnote w:id="555">
    <w:p w:rsidR="0083519B" w:rsidRPr="00712A1A" w:rsidRDefault="0083519B" w:rsidP="00712860">
      <w:pPr>
        <w:pStyle w:val="Notedebasdepage"/>
        <w:jc w:val="both"/>
        <w:rPr>
          <w:rFonts w:ascii="Tahoma" w:hAnsi="Tahoma" w:cs="Tahoma"/>
          <w:lang w:val="es-ES"/>
        </w:rPr>
      </w:pPr>
      <w:r w:rsidRPr="0054641A">
        <w:rPr>
          <w:rStyle w:val="Appelnotedebasdep"/>
          <w:rFonts w:ascii="Tahoma" w:hAnsi="Tahoma" w:cs="Tahoma"/>
        </w:rPr>
        <w:footnoteRef/>
      </w:r>
      <w:r w:rsidRPr="00712A1A">
        <w:rPr>
          <w:rFonts w:ascii="Tahoma" w:hAnsi="Tahoma" w:cs="Tahoma"/>
          <w:lang w:val="es-ES"/>
        </w:rPr>
        <w:t xml:space="preserve"> Ibid., p. 135.</w:t>
      </w:r>
    </w:p>
  </w:footnote>
  <w:footnote w:id="556">
    <w:p w:rsidR="0083519B" w:rsidRPr="00C8198A" w:rsidRDefault="0083519B" w:rsidP="00712860">
      <w:pPr>
        <w:pStyle w:val="Notedebasdepage"/>
        <w:jc w:val="both"/>
        <w:rPr>
          <w:rFonts w:ascii="Tahoma" w:hAnsi="Tahoma" w:cs="Tahoma"/>
          <w:lang w:val="es-ES"/>
        </w:rPr>
      </w:pPr>
      <w:r w:rsidRPr="0054641A">
        <w:rPr>
          <w:rStyle w:val="Appelnotedebasdep"/>
          <w:rFonts w:ascii="Tahoma" w:hAnsi="Tahoma" w:cs="Tahoma"/>
        </w:rPr>
        <w:footnoteRef/>
      </w:r>
      <w:r w:rsidRPr="00C8198A">
        <w:rPr>
          <w:rFonts w:ascii="Tahoma" w:hAnsi="Tahoma" w:cs="Tahoma"/>
          <w:lang w:val="es-ES"/>
        </w:rPr>
        <w:t xml:space="preserve"> Ibid., p. 130.</w:t>
      </w:r>
    </w:p>
  </w:footnote>
  <w:footnote w:id="557">
    <w:p w:rsidR="0083519B" w:rsidRPr="00C8198A" w:rsidRDefault="0083519B" w:rsidP="00712860">
      <w:pPr>
        <w:pStyle w:val="Notedebasdepage"/>
        <w:jc w:val="both"/>
        <w:rPr>
          <w:rFonts w:ascii="Tahoma" w:hAnsi="Tahoma" w:cs="Tahoma"/>
          <w:lang w:val="es-ES"/>
        </w:rPr>
      </w:pPr>
      <w:r w:rsidRPr="0054641A">
        <w:rPr>
          <w:rStyle w:val="Appelnotedebasdep"/>
          <w:rFonts w:ascii="Tahoma" w:hAnsi="Tahoma" w:cs="Tahoma"/>
        </w:rPr>
        <w:footnoteRef/>
      </w:r>
      <w:r w:rsidRPr="00C8198A">
        <w:rPr>
          <w:rFonts w:ascii="Tahoma" w:hAnsi="Tahoma" w:cs="Tahoma"/>
          <w:lang w:val="es-ES"/>
        </w:rPr>
        <w:t xml:space="preserve"> Ibid., p. 122.</w:t>
      </w:r>
    </w:p>
  </w:footnote>
  <w:footnote w:id="558">
    <w:p w:rsidR="0083519B" w:rsidRPr="00C8198A" w:rsidRDefault="0083519B" w:rsidP="00712860">
      <w:pPr>
        <w:pStyle w:val="Notedebasdepage"/>
        <w:jc w:val="both"/>
        <w:rPr>
          <w:rFonts w:ascii="Tahoma" w:hAnsi="Tahoma" w:cs="Tahoma"/>
          <w:lang w:val="es-ES"/>
        </w:rPr>
      </w:pPr>
      <w:r w:rsidRPr="0054641A">
        <w:rPr>
          <w:rStyle w:val="Appelnotedebasdep"/>
          <w:rFonts w:ascii="Tahoma" w:hAnsi="Tahoma" w:cs="Tahoma"/>
        </w:rPr>
        <w:footnoteRef/>
      </w:r>
      <w:r w:rsidRPr="00C8198A">
        <w:rPr>
          <w:rFonts w:ascii="Tahoma" w:hAnsi="Tahoma" w:cs="Tahoma"/>
          <w:lang w:val="es-ES"/>
        </w:rPr>
        <w:t xml:space="preserve"> Carl FOLKE et al., art. cit., pp. 437-440.</w:t>
      </w:r>
    </w:p>
  </w:footnote>
  <w:footnote w:id="559">
    <w:p w:rsidR="0083519B" w:rsidRPr="00712A1A" w:rsidRDefault="0083519B" w:rsidP="00712860">
      <w:pPr>
        <w:pStyle w:val="Notedebasdepage"/>
        <w:jc w:val="both"/>
        <w:rPr>
          <w:rFonts w:ascii="Tahoma" w:hAnsi="Tahoma" w:cs="Tahoma"/>
          <w:lang w:val="es-ES"/>
        </w:rPr>
      </w:pPr>
      <w:r w:rsidRPr="0054641A">
        <w:rPr>
          <w:rStyle w:val="Appelnotedebasdep"/>
          <w:rFonts w:ascii="Tahoma" w:hAnsi="Tahoma" w:cs="Tahoma"/>
        </w:rPr>
        <w:footnoteRef/>
      </w:r>
      <w:r w:rsidRPr="00712A1A">
        <w:rPr>
          <w:rFonts w:ascii="Tahoma" w:hAnsi="Tahoma" w:cs="Tahoma"/>
          <w:lang w:val="es-ES"/>
        </w:rPr>
        <w:t xml:space="preserve"> HCEFLCD, op. cit., p. 133.</w:t>
      </w:r>
    </w:p>
  </w:footnote>
  <w:footnote w:id="560">
    <w:p w:rsidR="0083519B" w:rsidRPr="00712A1A" w:rsidRDefault="0083519B" w:rsidP="00712860">
      <w:pPr>
        <w:pStyle w:val="Notedebasdepage"/>
        <w:jc w:val="both"/>
        <w:rPr>
          <w:rFonts w:ascii="Tahoma" w:hAnsi="Tahoma" w:cs="Tahoma"/>
          <w:lang w:val="es-ES"/>
        </w:rPr>
      </w:pPr>
      <w:r w:rsidRPr="0054641A">
        <w:rPr>
          <w:rStyle w:val="Appelnotedebasdep"/>
          <w:rFonts w:ascii="Tahoma" w:hAnsi="Tahoma" w:cs="Tahoma"/>
        </w:rPr>
        <w:footnoteRef/>
      </w:r>
      <w:r w:rsidRPr="00712A1A">
        <w:rPr>
          <w:rFonts w:ascii="Tahoma" w:hAnsi="Tahoma" w:cs="Tahoma"/>
          <w:lang w:val="es-ES"/>
        </w:rPr>
        <w:t xml:space="preserve"> Ibid., p. 87.</w:t>
      </w:r>
    </w:p>
  </w:footnote>
  <w:footnote w:id="561">
    <w:p w:rsidR="0083519B" w:rsidRPr="00712A1A" w:rsidRDefault="0083519B" w:rsidP="00712860">
      <w:pPr>
        <w:pStyle w:val="Notedebasdepage"/>
        <w:jc w:val="both"/>
        <w:rPr>
          <w:rFonts w:ascii="Tahoma" w:hAnsi="Tahoma" w:cs="Tahoma"/>
          <w:lang w:val="es-ES"/>
        </w:rPr>
      </w:pPr>
      <w:r w:rsidRPr="0054641A">
        <w:rPr>
          <w:rStyle w:val="Appelnotedebasdep"/>
          <w:rFonts w:ascii="Tahoma" w:hAnsi="Tahoma" w:cs="Tahoma"/>
        </w:rPr>
        <w:footnoteRef/>
      </w:r>
      <w:r w:rsidRPr="00712A1A">
        <w:rPr>
          <w:rFonts w:ascii="Tahoma" w:hAnsi="Tahoma" w:cs="Tahoma"/>
          <w:lang w:val="es-ES"/>
        </w:rPr>
        <w:t xml:space="preserve"> Ibid., p. 14-15.</w:t>
      </w:r>
    </w:p>
  </w:footnote>
  <w:footnote w:id="562">
    <w:p w:rsidR="0083519B" w:rsidRPr="00712A1A" w:rsidRDefault="0083519B" w:rsidP="00712860">
      <w:pPr>
        <w:pStyle w:val="Notedebasdepage"/>
        <w:jc w:val="both"/>
        <w:rPr>
          <w:rFonts w:ascii="Tahoma" w:hAnsi="Tahoma" w:cs="Tahoma"/>
          <w:lang w:val="es-ES"/>
        </w:rPr>
      </w:pPr>
      <w:r w:rsidRPr="0054641A">
        <w:rPr>
          <w:rStyle w:val="Appelnotedebasdep"/>
          <w:rFonts w:ascii="Tahoma" w:hAnsi="Tahoma" w:cs="Tahoma"/>
        </w:rPr>
        <w:footnoteRef/>
      </w:r>
      <w:r w:rsidRPr="00712A1A">
        <w:rPr>
          <w:rFonts w:ascii="Tahoma" w:hAnsi="Tahoma" w:cs="Tahoma"/>
          <w:lang w:val="es-ES"/>
        </w:rPr>
        <w:t xml:space="preserve"> Ibid., p. 27-33.</w:t>
      </w:r>
      <w:r w:rsidRPr="00712A1A">
        <w:rPr>
          <w:rFonts w:ascii="Tahoma" w:hAnsi="Tahoma" w:cs="Tahoma"/>
          <w:lang w:val="es-ES"/>
        </w:rPr>
        <w:tab/>
      </w:r>
    </w:p>
  </w:footnote>
  <w:footnote w:id="563">
    <w:p w:rsidR="0083519B" w:rsidRPr="00712A1A" w:rsidRDefault="0083519B" w:rsidP="00712860">
      <w:pPr>
        <w:pStyle w:val="Notedebasdepage"/>
        <w:jc w:val="both"/>
        <w:rPr>
          <w:rFonts w:ascii="Tahoma" w:hAnsi="Tahoma" w:cs="Tahoma"/>
          <w:lang w:val="es-ES"/>
        </w:rPr>
      </w:pPr>
      <w:r w:rsidRPr="0054641A">
        <w:rPr>
          <w:rStyle w:val="Appelnotedebasdep"/>
          <w:rFonts w:ascii="Tahoma" w:hAnsi="Tahoma" w:cs="Tahoma"/>
        </w:rPr>
        <w:footnoteRef/>
      </w:r>
      <w:r w:rsidRPr="00712A1A">
        <w:rPr>
          <w:rFonts w:ascii="Tahoma" w:hAnsi="Tahoma" w:cs="Tahoma"/>
          <w:lang w:val="es-ES"/>
        </w:rPr>
        <w:t xml:space="preserve"> Ibid., p. 87-107.</w:t>
      </w:r>
    </w:p>
  </w:footnote>
  <w:footnote w:id="564">
    <w:p w:rsidR="0083519B" w:rsidRPr="00712A1A" w:rsidRDefault="0083519B" w:rsidP="00712860">
      <w:pPr>
        <w:pStyle w:val="Notedebasdepage"/>
        <w:jc w:val="both"/>
        <w:rPr>
          <w:rFonts w:ascii="Tahoma" w:hAnsi="Tahoma" w:cs="Tahoma"/>
          <w:lang w:val="es-ES"/>
        </w:rPr>
      </w:pPr>
      <w:r w:rsidRPr="0054641A">
        <w:rPr>
          <w:rStyle w:val="Appelnotedebasdep"/>
          <w:rFonts w:ascii="Tahoma" w:hAnsi="Tahoma" w:cs="Tahoma"/>
        </w:rPr>
        <w:footnoteRef/>
      </w:r>
      <w:r w:rsidRPr="00712A1A">
        <w:rPr>
          <w:rFonts w:ascii="Tahoma" w:hAnsi="Tahoma" w:cs="Tahoma"/>
          <w:lang w:val="es-ES"/>
        </w:rPr>
        <w:t xml:space="preserve"> Ibid., p. 125.</w:t>
      </w:r>
    </w:p>
  </w:footnote>
  <w:footnote w:id="565">
    <w:p w:rsidR="0083519B" w:rsidRPr="00712A1A" w:rsidRDefault="0083519B" w:rsidP="00712860">
      <w:pPr>
        <w:pStyle w:val="Notedebasdepage"/>
        <w:jc w:val="both"/>
        <w:rPr>
          <w:rFonts w:ascii="Tahoma" w:hAnsi="Tahoma" w:cs="Tahoma"/>
          <w:lang w:val="es-ES"/>
        </w:rPr>
      </w:pPr>
      <w:r w:rsidRPr="0054641A">
        <w:rPr>
          <w:rStyle w:val="Appelnotedebasdep"/>
          <w:rFonts w:ascii="Tahoma" w:hAnsi="Tahoma" w:cs="Tahoma"/>
        </w:rPr>
        <w:footnoteRef/>
      </w:r>
      <w:r w:rsidRPr="00712A1A">
        <w:rPr>
          <w:rFonts w:ascii="Tahoma" w:hAnsi="Tahoma" w:cs="Tahoma"/>
          <w:lang w:val="es-ES"/>
        </w:rPr>
        <w:t xml:space="preserve"> Ibid., p. 63. </w:t>
      </w:r>
    </w:p>
  </w:footnote>
  <w:footnote w:id="566">
    <w:p w:rsidR="0083519B" w:rsidRPr="00712A1A" w:rsidRDefault="0083519B" w:rsidP="00712860">
      <w:pPr>
        <w:pStyle w:val="Notedebasdepage"/>
        <w:jc w:val="both"/>
        <w:rPr>
          <w:rFonts w:ascii="Tahoma" w:hAnsi="Tahoma" w:cs="Tahoma"/>
          <w:lang w:val="es-ES"/>
        </w:rPr>
      </w:pPr>
      <w:r w:rsidRPr="0054641A">
        <w:rPr>
          <w:rStyle w:val="Appelnotedebasdep"/>
          <w:rFonts w:ascii="Tahoma" w:hAnsi="Tahoma" w:cs="Tahoma"/>
        </w:rPr>
        <w:footnoteRef/>
      </w:r>
      <w:r w:rsidRPr="00712A1A">
        <w:rPr>
          <w:rFonts w:ascii="Tahoma" w:hAnsi="Tahoma" w:cs="Tahoma"/>
          <w:lang w:val="es-ES"/>
        </w:rPr>
        <w:t xml:space="preserve"> Ibid., p. 70.</w:t>
      </w:r>
    </w:p>
  </w:footnote>
  <w:footnote w:id="567">
    <w:p w:rsidR="0083519B" w:rsidRPr="00712A1A" w:rsidRDefault="0083519B" w:rsidP="00712860">
      <w:pPr>
        <w:pStyle w:val="Notedebasdepage"/>
        <w:jc w:val="both"/>
        <w:rPr>
          <w:rFonts w:ascii="Tahoma" w:hAnsi="Tahoma" w:cs="Tahoma"/>
          <w:lang w:val="es-ES"/>
        </w:rPr>
      </w:pPr>
      <w:r w:rsidRPr="0054641A">
        <w:rPr>
          <w:rStyle w:val="Appelnotedebasdep"/>
          <w:rFonts w:ascii="Tahoma" w:hAnsi="Tahoma" w:cs="Tahoma"/>
        </w:rPr>
        <w:footnoteRef/>
      </w:r>
      <w:r w:rsidRPr="00712A1A">
        <w:rPr>
          <w:rFonts w:ascii="Tahoma" w:hAnsi="Tahoma" w:cs="Tahoma"/>
          <w:lang w:val="es-ES"/>
        </w:rPr>
        <w:t xml:space="preserve"> Ibid., p. 72-73.</w:t>
      </w:r>
      <w:r w:rsidRPr="00712A1A">
        <w:rPr>
          <w:rFonts w:ascii="Tahoma" w:hAnsi="Tahoma" w:cs="Tahoma"/>
          <w:lang w:val="es-ES"/>
        </w:rPr>
        <w:tab/>
      </w:r>
      <w:r w:rsidRPr="00712A1A">
        <w:rPr>
          <w:rFonts w:ascii="Tahoma" w:hAnsi="Tahoma" w:cs="Tahoma"/>
          <w:lang w:val="es-ES"/>
        </w:rPr>
        <w:tab/>
      </w:r>
    </w:p>
  </w:footnote>
  <w:footnote w:id="568">
    <w:p w:rsidR="0083519B" w:rsidRPr="00712A1A" w:rsidRDefault="0083519B" w:rsidP="00712860">
      <w:pPr>
        <w:pStyle w:val="Notedebasdepage"/>
        <w:jc w:val="both"/>
        <w:rPr>
          <w:rFonts w:ascii="Tahoma" w:hAnsi="Tahoma" w:cs="Tahoma"/>
          <w:lang w:val="es-ES"/>
        </w:rPr>
      </w:pPr>
      <w:r w:rsidRPr="0054641A">
        <w:rPr>
          <w:rStyle w:val="Appelnotedebasdep"/>
          <w:rFonts w:ascii="Tahoma" w:hAnsi="Tahoma" w:cs="Tahoma"/>
        </w:rPr>
        <w:footnoteRef/>
      </w:r>
      <w:r w:rsidRPr="00712A1A">
        <w:rPr>
          <w:rFonts w:ascii="Tahoma" w:hAnsi="Tahoma" w:cs="Tahoma"/>
          <w:lang w:val="es-ES"/>
        </w:rPr>
        <w:t xml:space="preserve"> Ibid., p. 72.</w:t>
      </w:r>
    </w:p>
  </w:footnote>
  <w:footnote w:id="569">
    <w:p w:rsidR="0083519B" w:rsidRPr="00C8198A" w:rsidRDefault="0083519B" w:rsidP="00712860">
      <w:pPr>
        <w:pStyle w:val="Notedebasdepage"/>
        <w:jc w:val="both"/>
        <w:rPr>
          <w:rFonts w:ascii="Tahoma" w:hAnsi="Tahoma" w:cs="Tahoma"/>
        </w:rPr>
      </w:pPr>
      <w:r w:rsidRPr="0054641A">
        <w:rPr>
          <w:rStyle w:val="Appelnotedebasdep"/>
          <w:rFonts w:ascii="Tahoma" w:hAnsi="Tahoma" w:cs="Tahoma"/>
        </w:rPr>
        <w:footnoteRef/>
      </w:r>
      <w:r w:rsidRPr="00C8198A">
        <w:rPr>
          <w:rFonts w:ascii="Tahoma" w:hAnsi="Tahoma" w:cs="Tahoma"/>
        </w:rPr>
        <w:t xml:space="preserve"> Robin L. CHAZDON, Pedro H.S. BRANCALION, « Restoring forests as a means to many ends », Science, vol. 365, n° 6448, 2019, pp. 24-25.</w:t>
      </w:r>
    </w:p>
  </w:footnote>
  <w:footnote w:id="570">
    <w:p w:rsidR="0083519B" w:rsidRPr="00712A1A" w:rsidRDefault="0083519B" w:rsidP="00712860">
      <w:pPr>
        <w:pStyle w:val="Notedebasdepage"/>
        <w:jc w:val="both"/>
        <w:rPr>
          <w:rFonts w:ascii="Tahoma" w:hAnsi="Tahoma" w:cs="Tahoma"/>
          <w:lang w:val="es-ES"/>
        </w:rPr>
      </w:pPr>
      <w:r w:rsidRPr="0054641A">
        <w:rPr>
          <w:rStyle w:val="Appelnotedebasdep"/>
          <w:rFonts w:ascii="Tahoma" w:hAnsi="Tahoma" w:cs="Tahoma"/>
        </w:rPr>
        <w:footnoteRef/>
      </w:r>
      <w:r w:rsidRPr="00712A1A">
        <w:rPr>
          <w:rFonts w:ascii="Tahoma" w:hAnsi="Tahoma" w:cs="Tahoma"/>
          <w:lang w:val="es-ES"/>
        </w:rPr>
        <w:t xml:space="preserve"> HCEFLCD, op. cit., p. 16.</w:t>
      </w:r>
    </w:p>
  </w:footnote>
  <w:footnote w:id="571">
    <w:p w:rsidR="0083519B" w:rsidRPr="00712A1A" w:rsidRDefault="0083519B" w:rsidP="00712860">
      <w:pPr>
        <w:pStyle w:val="Notedebasdepage"/>
        <w:jc w:val="both"/>
        <w:rPr>
          <w:rFonts w:ascii="Tahoma" w:hAnsi="Tahoma" w:cs="Tahoma"/>
          <w:lang w:val="es-ES"/>
        </w:rPr>
      </w:pPr>
      <w:r w:rsidRPr="0054641A">
        <w:rPr>
          <w:rStyle w:val="Appelnotedebasdep"/>
          <w:rFonts w:ascii="Tahoma" w:hAnsi="Tahoma" w:cs="Tahoma"/>
        </w:rPr>
        <w:footnoteRef/>
      </w:r>
      <w:r w:rsidRPr="00712A1A">
        <w:rPr>
          <w:rFonts w:ascii="Tahoma" w:hAnsi="Tahoma" w:cs="Tahoma"/>
          <w:lang w:val="es-ES"/>
        </w:rPr>
        <w:t xml:space="preserve"> Ibid., p. 76.</w:t>
      </w:r>
    </w:p>
  </w:footnote>
  <w:footnote w:id="572">
    <w:p w:rsidR="0083519B" w:rsidRPr="0054641A" w:rsidRDefault="0083519B" w:rsidP="00712860">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Ibid., p. 135.</w:t>
      </w:r>
    </w:p>
  </w:footnote>
  <w:footnote w:id="573">
    <w:p w:rsidR="0083519B" w:rsidRPr="0054641A" w:rsidRDefault="0083519B" w:rsidP="00712860">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Stephanie MANSOURIAN et al., « Forest landscape restoration: increasing the positive impacts of responsible forest management », Journal of Sustainable Forestry, vol. 26, n° 3, 2007, pp. 169-209.</w:t>
      </w:r>
    </w:p>
  </w:footnote>
  <w:footnote w:id="574">
    <w:p w:rsidR="0083519B" w:rsidRPr="0054641A" w:rsidRDefault="0083519B" w:rsidP="00712860">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Crawford S. HOLLING, « Resilience and stability of ecological systems », Annual Review of Ecology and Systematics, vol. 4, 1973, pp. 1-23.</w:t>
      </w:r>
    </w:p>
  </w:footnote>
  <w:footnote w:id="575">
    <w:p w:rsidR="0083519B" w:rsidRPr="0054641A" w:rsidRDefault="0083519B" w:rsidP="00712860">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HCP, Projections démographiques, RGPH 2024.</w:t>
      </w:r>
    </w:p>
  </w:footnote>
  <w:footnote w:id="576">
    <w:p w:rsidR="0083519B" w:rsidRPr="0054641A" w:rsidRDefault="0083519B" w:rsidP="00712860">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Helmut J. GEIST, Eric F. LAMBIN, « Proximate Causes and Underlying Driving Forces of Tropical Deforestation », BioScience, vol. 52, n° 2, 2002, pp. 143-150.</w:t>
      </w:r>
    </w:p>
  </w:footnote>
  <w:footnote w:id="577">
    <w:p w:rsidR="0083519B" w:rsidRPr="0054641A" w:rsidRDefault="0083519B" w:rsidP="00712860">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IPCC, Climate Change 2021: The Physical Science Basis, Cambridge, Cambridge University Press, 2021.</w:t>
      </w:r>
    </w:p>
  </w:footnote>
  <w:footnote w:id="578">
    <w:p w:rsidR="0083519B" w:rsidRPr="00712A1A" w:rsidRDefault="0083519B" w:rsidP="00712860">
      <w:pPr>
        <w:pStyle w:val="Notedebasdepage"/>
        <w:jc w:val="both"/>
        <w:rPr>
          <w:rFonts w:ascii="Tahoma" w:hAnsi="Tahoma" w:cs="Tahoma"/>
          <w:lang w:val="es-ES"/>
        </w:rPr>
      </w:pPr>
      <w:r w:rsidRPr="0054641A">
        <w:rPr>
          <w:rStyle w:val="Appelnotedebasdep"/>
          <w:rFonts w:ascii="Tahoma" w:hAnsi="Tahoma" w:cs="Tahoma"/>
        </w:rPr>
        <w:footnoteRef/>
      </w:r>
      <w:r w:rsidRPr="00712A1A">
        <w:rPr>
          <w:rFonts w:ascii="Tahoma" w:hAnsi="Tahoma" w:cs="Tahoma"/>
          <w:lang w:val="es-ES"/>
        </w:rPr>
        <w:t xml:space="preserve"> HCEFLCD, op. cit., p. 133.</w:t>
      </w:r>
    </w:p>
  </w:footnote>
  <w:footnote w:id="579">
    <w:p w:rsidR="0083519B" w:rsidRPr="00712A1A" w:rsidRDefault="0083519B" w:rsidP="00712860">
      <w:pPr>
        <w:pStyle w:val="Notedebasdepage"/>
        <w:jc w:val="both"/>
        <w:rPr>
          <w:rFonts w:ascii="Tahoma" w:hAnsi="Tahoma" w:cs="Tahoma"/>
          <w:lang w:val="es-ES"/>
        </w:rPr>
      </w:pPr>
      <w:r w:rsidRPr="0054641A">
        <w:rPr>
          <w:rStyle w:val="Appelnotedebasdep"/>
          <w:rFonts w:ascii="Tahoma" w:hAnsi="Tahoma" w:cs="Tahoma"/>
        </w:rPr>
        <w:footnoteRef/>
      </w:r>
      <w:r w:rsidRPr="00712A1A">
        <w:rPr>
          <w:rFonts w:ascii="Tahoma" w:hAnsi="Tahoma" w:cs="Tahoma"/>
          <w:lang w:val="es-ES"/>
        </w:rPr>
        <w:t xml:space="preserve"> Ibid., p. 125.</w:t>
      </w:r>
      <w:r w:rsidRPr="00712A1A">
        <w:rPr>
          <w:rFonts w:ascii="Tahoma" w:hAnsi="Tahoma" w:cs="Tahoma"/>
          <w:lang w:val="es-ES"/>
        </w:rPr>
        <w:tab/>
      </w:r>
      <w:r w:rsidRPr="00712A1A">
        <w:rPr>
          <w:rFonts w:ascii="Tahoma" w:hAnsi="Tahoma" w:cs="Tahoma"/>
          <w:lang w:val="es-ES"/>
        </w:rPr>
        <w:tab/>
      </w:r>
    </w:p>
  </w:footnote>
  <w:footnote w:id="580">
    <w:p w:rsidR="0083519B" w:rsidRPr="0054641A" w:rsidRDefault="0083519B" w:rsidP="00712860">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Ibid., p. 74.</w:t>
      </w:r>
    </w:p>
  </w:footnote>
  <w:footnote w:id="581">
    <w:p w:rsidR="0083519B" w:rsidRPr="0054641A" w:rsidRDefault="0083519B" w:rsidP="00712860">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Ibid., p. 115.</w:t>
      </w:r>
    </w:p>
  </w:footnote>
  <w:footnote w:id="582">
    <w:p w:rsidR="0083519B" w:rsidRPr="0054641A" w:rsidRDefault="0083519B" w:rsidP="00712860">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Celia A. HARVEY et al., « Patterns of animal diversity in different forms of tree cover in agricultural landscapes », Ecological Applications, vol. 18, n° 8, 2008, pp. 1948-1963.</w:t>
      </w:r>
    </w:p>
  </w:footnote>
  <w:footnote w:id="583">
    <w:p w:rsidR="0083519B" w:rsidRPr="0054641A" w:rsidRDefault="0083519B" w:rsidP="00712860">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David M.J.S. BOWMAN et al., « Fire in the Earth system », Science, vol. 324, n° 5926, 2009, pp. 481-</w:t>
      </w:r>
    </w:p>
  </w:footnote>
  <w:footnote w:id="584">
    <w:p w:rsidR="0083519B" w:rsidRPr="0054641A" w:rsidRDefault="0083519B" w:rsidP="00712860">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David M.J.S. BOWMAN et al., « Fire in the Earth system », Science, vol. 324, n° 5926, 2009, pp. 481-484.</w:t>
      </w:r>
    </w:p>
  </w:footnote>
  <w:footnote w:id="585">
    <w:p w:rsidR="0083519B" w:rsidRPr="0054641A" w:rsidRDefault="0083519B" w:rsidP="00712860">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Arild ANGELSEN, Sven WUNDER, « Exploring the forest-poverty link », CIFOR Occasional Paper, n° 40, 2003.</w:t>
      </w:r>
    </w:p>
  </w:footnote>
  <w:footnote w:id="586">
    <w:p w:rsidR="0083519B" w:rsidRPr="0054641A" w:rsidRDefault="0083519B" w:rsidP="00712860">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Marten SCHEFFER et al., Critical transitions in nature and society, Princeton, Princeton University Press, 2009.</w:t>
      </w:r>
    </w:p>
  </w:footnote>
  <w:footnote w:id="587">
    <w:p w:rsidR="0083519B" w:rsidRPr="00712A1A" w:rsidRDefault="0083519B" w:rsidP="00712860">
      <w:pPr>
        <w:pStyle w:val="Notedebasdepage"/>
        <w:jc w:val="both"/>
        <w:rPr>
          <w:rFonts w:ascii="Tahoma" w:hAnsi="Tahoma" w:cs="Tahoma"/>
          <w:lang w:val="es-ES"/>
        </w:rPr>
      </w:pPr>
      <w:r w:rsidRPr="0054641A">
        <w:rPr>
          <w:rStyle w:val="Appelnotedebasdep"/>
          <w:rFonts w:ascii="Tahoma" w:hAnsi="Tahoma" w:cs="Tahoma"/>
        </w:rPr>
        <w:footnoteRef/>
      </w:r>
      <w:r w:rsidRPr="00712A1A">
        <w:rPr>
          <w:rFonts w:ascii="Tahoma" w:hAnsi="Tahoma" w:cs="Tahoma"/>
          <w:lang w:val="es-ES"/>
        </w:rPr>
        <w:t xml:space="preserve"> HCEFLCD, op. cit., p. 133.</w:t>
      </w:r>
    </w:p>
  </w:footnote>
  <w:footnote w:id="588">
    <w:p w:rsidR="0083519B" w:rsidRPr="00712A1A" w:rsidRDefault="0083519B" w:rsidP="00712860">
      <w:pPr>
        <w:pStyle w:val="Notedebasdepage"/>
        <w:jc w:val="both"/>
        <w:rPr>
          <w:rFonts w:ascii="Tahoma" w:hAnsi="Tahoma" w:cs="Tahoma"/>
          <w:lang w:val="es-ES"/>
        </w:rPr>
      </w:pPr>
      <w:r w:rsidRPr="0054641A">
        <w:rPr>
          <w:rStyle w:val="Appelnotedebasdep"/>
          <w:rFonts w:ascii="Tahoma" w:hAnsi="Tahoma" w:cs="Tahoma"/>
        </w:rPr>
        <w:footnoteRef/>
      </w:r>
      <w:r w:rsidRPr="00712A1A">
        <w:rPr>
          <w:rFonts w:ascii="Tahoma" w:hAnsi="Tahoma" w:cs="Tahoma"/>
          <w:lang w:val="es-ES"/>
        </w:rPr>
        <w:t xml:space="preserve"> Ibid., p. 10-11.</w:t>
      </w:r>
      <w:r w:rsidRPr="00712A1A">
        <w:rPr>
          <w:rFonts w:ascii="Tahoma" w:hAnsi="Tahoma" w:cs="Tahoma"/>
          <w:lang w:val="es-ES"/>
        </w:rPr>
        <w:tab/>
      </w:r>
    </w:p>
  </w:footnote>
  <w:footnote w:id="589">
    <w:p w:rsidR="0083519B" w:rsidRPr="0054641A" w:rsidRDefault="0083519B" w:rsidP="00712860">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Ibid., p. 14-15.</w:t>
      </w:r>
    </w:p>
  </w:footnote>
  <w:footnote w:id="590">
    <w:p w:rsidR="0083519B" w:rsidRPr="0054641A" w:rsidRDefault="0083519B" w:rsidP="00712860">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Ibid., p. 87.</w:t>
      </w:r>
    </w:p>
  </w:footnote>
  <w:footnote w:id="591">
    <w:p w:rsidR="0083519B" w:rsidRPr="0054641A" w:rsidRDefault="0083519B" w:rsidP="00712860">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Matthew C. HANSEN, Thomas R. LOVELAND, « A review of large area monitoring of land cover change using Landsat data », Remote Sensing of Environment, vol. 122, 2012, pp. 66-74.</w:t>
      </w:r>
    </w:p>
  </w:footnote>
  <w:footnote w:id="592">
    <w:p w:rsidR="0083519B" w:rsidRPr="0054641A" w:rsidRDefault="0083519B" w:rsidP="00712860">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Analyse basée sur HCEFLCD, op. cit., p. 133.</w:t>
      </w:r>
    </w:p>
  </w:footnote>
  <w:footnote w:id="593">
    <w:p w:rsidR="0083519B" w:rsidRPr="0054641A" w:rsidRDefault="0083519B" w:rsidP="00712860">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Elinor OSTROM, op. cit., 1990.</w:t>
      </w:r>
    </w:p>
  </w:footnote>
  <w:footnote w:id="594">
    <w:p w:rsidR="0083519B" w:rsidRPr="0054641A" w:rsidRDefault="0083519B" w:rsidP="00712860">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Robert T. PAINE et al., « Compounded perturbations yield ecological surprises », Ecosystems, vol. 1, n° 6, 1998, pp. 535-545.</w:t>
      </w:r>
    </w:p>
  </w:footnote>
  <w:footnote w:id="595">
    <w:p w:rsidR="0083519B" w:rsidRPr="007D7A96" w:rsidRDefault="0083519B" w:rsidP="002D1D62">
      <w:pPr>
        <w:pStyle w:val="Notedebasdepage"/>
        <w:jc w:val="both"/>
        <w:rPr>
          <w:rFonts w:ascii="Tahoma" w:hAnsi="Tahoma" w:cs="Tahoma"/>
          <w:color w:val="000000" w:themeColor="text1"/>
        </w:rPr>
      </w:pPr>
      <w:r w:rsidRPr="007D7A96">
        <w:rPr>
          <w:rFonts w:ascii="Tahoma" w:hAnsi="Tahoma" w:cs="Tahoma"/>
          <w:vertAlign w:val="superscript"/>
        </w:rPr>
        <w:footnoteRef/>
      </w:r>
      <w:r w:rsidRPr="007D7A96">
        <w:rPr>
          <w:rFonts w:ascii="Tahoma" w:hAnsi="Tahoma" w:cs="Tahoma"/>
          <w:vertAlign w:val="superscript"/>
        </w:rPr>
        <w:t xml:space="preserve"> </w:t>
      </w:r>
      <w:r w:rsidRPr="007D7A96">
        <w:rPr>
          <w:rFonts w:ascii="Tahoma" w:hAnsi="Tahoma" w:cs="Tahoma"/>
          <w:color w:val="000000" w:themeColor="text1"/>
        </w:rPr>
        <w:t>Communautés rurales et migration : Une évaluation des facteurs de la migration dans le sud de la Méditerranée."ICMPD,</w:t>
      </w:r>
      <w:hyperlink r:id="rId8" w:history="1">
        <w:r w:rsidRPr="007D7A96">
          <w:rPr>
            <w:rStyle w:val="Lienhypertexte"/>
            <w:rFonts w:ascii="Tahoma" w:hAnsi="Tahoma" w:cs="Tahoma"/>
            <w:color w:val="000000" w:themeColor="text1"/>
            <w:u w:val="none"/>
          </w:rPr>
          <w:t>www.icmpd.org/file/download/58920/file/EMM5_Rural%2520Communities%2520and%2520Migration_FR_Web.pdf</w:t>
        </w:r>
      </w:hyperlink>
      <w:r w:rsidRPr="007D7A96">
        <w:rPr>
          <w:rFonts w:ascii="Tahoma" w:hAnsi="Tahoma" w:cs="Tahoma"/>
          <w:color w:val="000000" w:themeColor="text1"/>
        </w:rPr>
        <w:t>. Consulté le 20 janvier 2025.</w:t>
      </w:r>
    </w:p>
  </w:footnote>
  <w:footnote w:id="596">
    <w:p w:rsidR="0083519B" w:rsidRPr="007D7A96" w:rsidRDefault="0083519B" w:rsidP="00FA6C95">
      <w:pPr>
        <w:pStyle w:val="Notedebasdepage"/>
        <w:jc w:val="both"/>
        <w:rPr>
          <w:rFonts w:ascii="Tahoma" w:hAnsi="Tahoma" w:cs="Tahoma"/>
          <w:color w:val="000000" w:themeColor="text1"/>
        </w:rPr>
      </w:pPr>
      <w:r w:rsidRPr="007D7A96">
        <w:rPr>
          <w:rStyle w:val="Appelnotedebasdep"/>
          <w:rFonts w:ascii="Tahoma" w:hAnsi="Tahoma" w:cs="Tahoma"/>
          <w:color w:val="000000" w:themeColor="text1"/>
        </w:rPr>
        <w:footnoteRef/>
      </w:r>
      <w:r w:rsidRPr="007D7A96">
        <w:rPr>
          <w:rFonts w:ascii="Tahoma" w:hAnsi="Tahoma" w:cs="Tahoma"/>
          <w:color w:val="000000" w:themeColor="text1"/>
        </w:rPr>
        <w:t xml:space="preserve"> Ibid.</w:t>
      </w:r>
    </w:p>
  </w:footnote>
  <w:footnote w:id="597">
    <w:p w:rsidR="0083519B" w:rsidRPr="007D7A96" w:rsidRDefault="0083519B" w:rsidP="00FA6C95">
      <w:pPr>
        <w:pStyle w:val="Notedebasdepage"/>
        <w:jc w:val="both"/>
        <w:rPr>
          <w:rFonts w:ascii="Tahoma" w:hAnsi="Tahoma" w:cs="Tahoma"/>
          <w:color w:val="000000" w:themeColor="text1"/>
        </w:rPr>
      </w:pPr>
      <w:r w:rsidRPr="007D7A96">
        <w:rPr>
          <w:rStyle w:val="Appelnotedebasdep"/>
          <w:rFonts w:ascii="Tahoma" w:hAnsi="Tahoma" w:cs="Tahoma"/>
          <w:color w:val="000000" w:themeColor="text1"/>
        </w:rPr>
        <w:footnoteRef/>
      </w:r>
      <w:r>
        <w:rPr>
          <w:rFonts w:ascii="Tahoma" w:hAnsi="Tahoma" w:cs="Tahoma"/>
          <w:color w:val="000000" w:themeColor="text1"/>
        </w:rPr>
        <w:t xml:space="preserve"> </w:t>
      </w:r>
      <w:r w:rsidRPr="007D7A96">
        <w:rPr>
          <w:rFonts w:ascii="Tahoma" w:hAnsi="Tahoma" w:cs="Tahoma"/>
          <w:color w:val="000000" w:themeColor="text1"/>
        </w:rPr>
        <w:t>Aménagement du territoire." Géoconfluences, ENS de Lyon, geoconfluences.ens-lyon.fr/glossaire/amenagement-du-territoire. Consulté le 20 avril 2025.</w:t>
      </w:r>
    </w:p>
  </w:footnote>
  <w:footnote w:id="598">
    <w:p w:rsidR="0083519B" w:rsidRPr="007D7A96" w:rsidRDefault="0083519B" w:rsidP="00FA6C95">
      <w:pPr>
        <w:pStyle w:val="Notedebasdepage"/>
        <w:jc w:val="both"/>
        <w:rPr>
          <w:rFonts w:ascii="Tahoma" w:hAnsi="Tahoma" w:cs="Tahoma"/>
          <w:color w:val="000000" w:themeColor="text1"/>
        </w:rPr>
      </w:pPr>
      <w:r w:rsidRPr="007D7A96">
        <w:rPr>
          <w:rStyle w:val="Appelnotedebasdep"/>
          <w:rFonts w:ascii="Tahoma" w:hAnsi="Tahoma" w:cs="Tahoma"/>
          <w:color w:val="000000" w:themeColor="text1"/>
        </w:rPr>
        <w:footnoteRef/>
      </w:r>
      <w:r w:rsidRPr="007D7A96">
        <w:rPr>
          <w:rFonts w:ascii="Tahoma" w:hAnsi="Tahoma" w:cs="Tahoma"/>
          <w:color w:val="000000" w:themeColor="text1"/>
        </w:rPr>
        <w:t xml:space="preserve"> Ibid.</w:t>
      </w:r>
    </w:p>
  </w:footnote>
  <w:footnote w:id="599">
    <w:p w:rsidR="0083519B" w:rsidRPr="0054641A" w:rsidRDefault="0083519B" w:rsidP="00FA6C95">
      <w:pPr>
        <w:pStyle w:val="Notedebasdepage"/>
        <w:jc w:val="both"/>
        <w:rPr>
          <w:rFonts w:ascii="Tahoma" w:hAnsi="Tahoma" w:cs="Tahoma"/>
          <w:color w:val="000000" w:themeColor="text1"/>
        </w:rPr>
      </w:pPr>
      <w:r w:rsidRPr="007D7A96">
        <w:rPr>
          <w:rStyle w:val="Appelnotedebasdep"/>
          <w:rFonts w:ascii="Tahoma" w:hAnsi="Tahoma" w:cs="Tahoma"/>
          <w:color w:val="000000" w:themeColor="text1"/>
        </w:rPr>
        <w:footnoteRef/>
      </w:r>
      <w:r w:rsidRPr="007D7A96">
        <w:rPr>
          <w:rFonts w:ascii="Tahoma" w:hAnsi="Tahoma" w:cs="Tahoma"/>
          <w:color w:val="000000" w:themeColor="text1"/>
        </w:rPr>
        <w:t xml:space="preserve"> "Aménagement du territoire."</w:t>
      </w:r>
    </w:p>
  </w:footnote>
  <w:footnote w:id="600">
    <w:p w:rsidR="0083519B" w:rsidRPr="007D7A96" w:rsidRDefault="0083519B" w:rsidP="007D7A96">
      <w:pPr>
        <w:spacing w:after="0"/>
        <w:jc w:val="both"/>
        <w:rPr>
          <w:rFonts w:ascii="Tahoma" w:hAnsi="Tahoma" w:cs="Tahoma"/>
          <w:color w:val="000000" w:themeColor="text1"/>
          <w:sz w:val="20"/>
          <w:szCs w:val="20"/>
        </w:rPr>
      </w:pPr>
      <w:r w:rsidRPr="007D7A96">
        <w:rPr>
          <w:rStyle w:val="Appelnotedebasdep"/>
          <w:rFonts w:ascii="Tahoma" w:hAnsi="Tahoma" w:cs="Tahoma"/>
          <w:color w:val="000000" w:themeColor="text1"/>
          <w:sz w:val="20"/>
          <w:szCs w:val="20"/>
        </w:rPr>
        <w:footnoteRef/>
      </w:r>
      <w:r w:rsidRPr="007D7A96">
        <w:rPr>
          <w:rFonts w:ascii="Tahoma" w:hAnsi="Tahoma" w:cs="Tahoma"/>
          <w:color w:val="000000" w:themeColor="text1"/>
          <w:sz w:val="20"/>
          <w:szCs w:val="20"/>
        </w:rPr>
        <w:t xml:space="preserve"> Aménagement du Territoire." Ministère de l'Aménagement du Territoire National, de l'Urbanisme, de l'Habitat et de la Politique de la Ville, </w:t>
      </w:r>
      <w:hyperlink r:id="rId9" w:history="1">
        <w:r w:rsidRPr="007D7A96">
          <w:rPr>
            <w:rFonts w:ascii="Tahoma" w:hAnsi="Tahoma" w:cs="Tahoma"/>
            <w:color w:val="000000" w:themeColor="text1"/>
            <w:sz w:val="20"/>
            <w:szCs w:val="20"/>
          </w:rPr>
          <w:t>www.muat.gov.ma/?q=fr/article/am%C3%A9nagement-du-territoire</w:t>
        </w:r>
      </w:hyperlink>
      <w:r w:rsidRPr="007D7A96">
        <w:rPr>
          <w:rFonts w:ascii="Tahoma" w:hAnsi="Tahoma" w:cs="Tahoma"/>
          <w:color w:val="000000" w:themeColor="text1"/>
          <w:sz w:val="20"/>
          <w:szCs w:val="20"/>
        </w:rPr>
        <w:t>. Consulté le 20 janvier 2025.</w:t>
      </w:r>
    </w:p>
  </w:footnote>
  <w:footnote w:id="601">
    <w:p w:rsidR="0083519B" w:rsidRPr="007D7A96" w:rsidRDefault="0083519B" w:rsidP="007D7A96">
      <w:pPr>
        <w:spacing w:after="0"/>
        <w:jc w:val="both"/>
        <w:rPr>
          <w:rFonts w:ascii="Tahoma" w:eastAsia="Times New Roman" w:hAnsi="Tahoma" w:cs="Tahoma"/>
          <w:color w:val="000000" w:themeColor="text1"/>
          <w:sz w:val="20"/>
          <w:szCs w:val="20"/>
          <w:lang w:eastAsia="fr-FR"/>
        </w:rPr>
      </w:pPr>
      <w:r w:rsidRPr="007D7A96">
        <w:rPr>
          <w:rStyle w:val="Appelnotedebasdep"/>
          <w:rFonts w:ascii="Tahoma" w:hAnsi="Tahoma" w:cs="Tahoma"/>
          <w:color w:val="000000" w:themeColor="text1"/>
          <w:sz w:val="20"/>
          <w:szCs w:val="20"/>
        </w:rPr>
        <w:footnoteRef/>
      </w:r>
      <w:r w:rsidRPr="007D7A96">
        <w:rPr>
          <w:rFonts w:ascii="Tahoma" w:hAnsi="Tahoma" w:cs="Tahoma"/>
          <w:color w:val="000000" w:themeColor="text1"/>
          <w:sz w:val="20"/>
          <w:szCs w:val="20"/>
        </w:rPr>
        <w:t xml:space="preserve"> Fogg, G. E. </w:t>
      </w:r>
      <w:r w:rsidRPr="007D7A96">
        <w:rPr>
          <w:rStyle w:val="Accentuation"/>
          <w:rFonts w:ascii="Tahoma" w:hAnsi="Tahoma" w:cs="Tahoma"/>
          <w:i w:val="0"/>
          <w:iCs w:val="0"/>
          <w:color w:val="000000" w:themeColor="text1"/>
          <w:sz w:val="20"/>
          <w:szCs w:val="20"/>
        </w:rPr>
        <w:t>A History of African Exploration</w:t>
      </w:r>
      <w:r w:rsidRPr="007D7A96">
        <w:rPr>
          <w:rFonts w:ascii="Tahoma" w:hAnsi="Tahoma" w:cs="Tahoma"/>
          <w:color w:val="000000" w:themeColor="text1"/>
          <w:sz w:val="20"/>
          <w:szCs w:val="20"/>
        </w:rPr>
        <w:t>. Hodder &amp; Stoughton, 1992.</w:t>
      </w:r>
    </w:p>
  </w:footnote>
  <w:footnote w:id="602">
    <w:p w:rsidR="0083519B" w:rsidRPr="007D7A96" w:rsidRDefault="0083519B" w:rsidP="007D7A96">
      <w:pPr>
        <w:spacing w:after="0"/>
        <w:jc w:val="both"/>
        <w:rPr>
          <w:rFonts w:ascii="Tahoma" w:eastAsia="Times New Roman" w:hAnsi="Tahoma" w:cs="Tahoma"/>
          <w:sz w:val="20"/>
          <w:szCs w:val="20"/>
          <w:lang w:eastAsia="fr-FR"/>
        </w:rPr>
      </w:pPr>
      <w:r w:rsidRPr="007D7A96">
        <w:rPr>
          <w:rStyle w:val="Appelnotedebasdep"/>
          <w:rFonts w:ascii="Tahoma" w:hAnsi="Tahoma" w:cs="Tahoma"/>
          <w:sz w:val="20"/>
          <w:szCs w:val="20"/>
        </w:rPr>
        <w:footnoteRef/>
      </w:r>
      <w:r w:rsidRPr="007D7A96">
        <w:rPr>
          <w:rFonts w:ascii="Tahoma" w:hAnsi="Tahoma" w:cs="Tahoma"/>
          <w:sz w:val="20"/>
          <w:szCs w:val="20"/>
        </w:rPr>
        <w:t xml:space="preserve"> </w:t>
      </w:r>
      <w:r w:rsidRPr="007D7A96">
        <w:rPr>
          <w:rFonts w:ascii="Tahoma" w:eastAsia="Times New Roman" w:hAnsi="Tahoma" w:cs="Tahoma"/>
          <w:sz w:val="20"/>
          <w:szCs w:val="20"/>
          <w:lang w:eastAsia="fr-FR"/>
        </w:rPr>
        <w:t>Pascon, Paul. Le Haouz de Marrakech. Éditions Marocaines et Internationales, 1977.</w:t>
      </w:r>
    </w:p>
  </w:footnote>
  <w:footnote w:id="603">
    <w:p w:rsidR="0083519B" w:rsidRPr="0054641A" w:rsidRDefault="0083519B" w:rsidP="007D7A96">
      <w:pPr>
        <w:pStyle w:val="Notedebasdepage"/>
        <w:jc w:val="both"/>
        <w:rPr>
          <w:rFonts w:ascii="Tahoma" w:hAnsi="Tahoma" w:cs="Tahoma"/>
        </w:rPr>
      </w:pPr>
      <w:r w:rsidRPr="007D7A96">
        <w:rPr>
          <w:rStyle w:val="Appelnotedebasdep"/>
          <w:rFonts w:ascii="Tahoma" w:hAnsi="Tahoma" w:cs="Tahoma"/>
        </w:rPr>
        <w:footnoteRef/>
      </w:r>
      <w:r w:rsidRPr="007D7A96">
        <w:rPr>
          <w:rFonts w:ascii="Tahoma" w:hAnsi="Tahoma" w:cs="Tahoma"/>
        </w:rPr>
        <w:t xml:space="preserve">  Haut-Commissariat au Plan du Maroc. "Recensement général de la population et de l'habitat 2024." Site officiel du HCP, www.hcp.ma. Consulté le 20 février 2025.</w:t>
      </w:r>
    </w:p>
  </w:footnote>
  <w:footnote w:id="604">
    <w:p w:rsidR="0083519B" w:rsidRPr="002D1D62" w:rsidRDefault="0083519B" w:rsidP="007D7A96">
      <w:pPr>
        <w:spacing w:after="0"/>
        <w:jc w:val="both"/>
        <w:rPr>
          <w:rFonts w:ascii="Tahoma" w:hAnsi="Tahoma" w:cs="Tahoma"/>
          <w:sz w:val="20"/>
          <w:szCs w:val="20"/>
        </w:rPr>
      </w:pPr>
      <w:r w:rsidRPr="0054641A">
        <w:rPr>
          <w:rFonts w:ascii="Tahoma" w:hAnsi="Tahoma" w:cs="Tahoma"/>
          <w:sz w:val="20"/>
          <w:szCs w:val="20"/>
          <w:vertAlign w:val="superscript"/>
        </w:rPr>
        <w:footnoteRef/>
      </w:r>
      <w:r w:rsidRPr="0054641A">
        <w:rPr>
          <w:rFonts w:ascii="Tahoma" w:hAnsi="Tahoma" w:cs="Tahoma"/>
          <w:sz w:val="20"/>
          <w:szCs w:val="20"/>
          <w:vertAlign w:val="superscript"/>
        </w:rPr>
        <w:t xml:space="preserve"> </w:t>
      </w:r>
      <w:r w:rsidRPr="0054641A">
        <w:rPr>
          <w:rFonts w:ascii="Tahoma" w:hAnsi="Tahoma" w:cs="Tahoma"/>
          <w:sz w:val="20"/>
          <w:szCs w:val="20"/>
        </w:rPr>
        <w:t xml:space="preserve">ALDHUY, J. (2008). « Au-delà du territoire, la territorialité ? </w:t>
      </w:r>
      <w:r>
        <w:rPr>
          <w:rFonts w:ascii="Tahoma" w:hAnsi="Tahoma" w:cs="Tahoma"/>
          <w:sz w:val="20"/>
          <w:szCs w:val="20"/>
        </w:rPr>
        <w:t>». In, Géodoc, N° 55, pp.35-42.</w:t>
      </w:r>
    </w:p>
  </w:footnote>
  <w:footnote w:id="605">
    <w:p w:rsidR="0083519B" w:rsidRPr="0054641A" w:rsidRDefault="0083519B" w:rsidP="007D7A96">
      <w:pPr>
        <w:pStyle w:val="Notedebasdepage"/>
        <w:jc w:val="both"/>
        <w:rPr>
          <w:rFonts w:ascii="Tahoma" w:hAnsi="Tahoma" w:cs="Tahoma"/>
          <w:color w:val="000000" w:themeColor="text1"/>
        </w:rPr>
      </w:pPr>
      <w:r w:rsidRPr="0054641A">
        <w:rPr>
          <w:rStyle w:val="Appelnotedebasdep"/>
          <w:rFonts w:ascii="Tahoma" w:hAnsi="Tahoma" w:cs="Tahoma"/>
        </w:rPr>
        <w:footnoteRef/>
      </w:r>
      <w:r w:rsidRPr="0054641A">
        <w:rPr>
          <w:rFonts w:ascii="Tahoma" w:hAnsi="Tahoma" w:cs="Tahoma"/>
        </w:rPr>
        <w:t xml:space="preserve"> </w:t>
      </w:r>
      <w:r w:rsidRPr="0054641A">
        <w:rPr>
          <w:rFonts w:ascii="Tahoma" w:hAnsi="Tahoma" w:cs="Tahoma"/>
          <w:color w:val="000000" w:themeColor="text1"/>
        </w:rPr>
        <w:t>BONNEMAISON, J., CAMBREZY, L. (1997). « Les aspects théoriques de la question du territoire ». In,</w:t>
      </w:r>
      <w:r w:rsidRPr="0054641A">
        <w:rPr>
          <w:rFonts w:ascii="Tahoma" w:hAnsi="Tahoma" w:cs="Tahoma"/>
          <w:color w:val="000000" w:themeColor="text1"/>
          <w:spacing w:val="-47"/>
        </w:rPr>
        <w:t xml:space="preserve"> </w:t>
      </w:r>
      <w:r w:rsidRPr="0054641A">
        <w:rPr>
          <w:rFonts w:ascii="Tahoma" w:hAnsi="Tahoma" w:cs="Tahoma"/>
          <w:color w:val="000000" w:themeColor="text1"/>
        </w:rPr>
        <w:t>Géographie</w:t>
      </w:r>
      <w:r w:rsidRPr="0054641A">
        <w:rPr>
          <w:rFonts w:ascii="Tahoma" w:hAnsi="Tahoma" w:cs="Tahoma"/>
          <w:color w:val="000000" w:themeColor="text1"/>
          <w:spacing w:val="-1"/>
        </w:rPr>
        <w:t xml:space="preserve"> </w:t>
      </w:r>
      <w:r w:rsidRPr="0054641A">
        <w:rPr>
          <w:rFonts w:ascii="Tahoma" w:hAnsi="Tahoma" w:cs="Tahoma"/>
          <w:color w:val="000000" w:themeColor="text1"/>
        </w:rPr>
        <w:t>et</w:t>
      </w:r>
      <w:r w:rsidRPr="0054641A">
        <w:rPr>
          <w:rFonts w:ascii="Tahoma" w:hAnsi="Tahoma" w:cs="Tahoma"/>
          <w:color w:val="000000" w:themeColor="text1"/>
          <w:spacing w:val="-1"/>
        </w:rPr>
        <w:t xml:space="preserve"> </w:t>
      </w:r>
      <w:r w:rsidRPr="0054641A">
        <w:rPr>
          <w:rFonts w:ascii="Tahoma" w:hAnsi="Tahoma" w:cs="Tahoma"/>
          <w:color w:val="000000" w:themeColor="text1"/>
        </w:rPr>
        <w:t>Cultures,</w:t>
      </w:r>
      <w:r w:rsidRPr="0054641A">
        <w:rPr>
          <w:rFonts w:ascii="Tahoma" w:hAnsi="Tahoma" w:cs="Tahoma"/>
          <w:color w:val="000000" w:themeColor="text1"/>
          <w:spacing w:val="-1"/>
        </w:rPr>
        <w:t xml:space="preserve"> </w:t>
      </w:r>
      <w:r w:rsidRPr="0054641A">
        <w:rPr>
          <w:rFonts w:ascii="Tahoma" w:hAnsi="Tahoma" w:cs="Tahoma"/>
          <w:color w:val="000000" w:themeColor="text1"/>
        </w:rPr>
        <w:t>N°</w:t>
      </w:r>
      <w:r w:rsidRPr="0054641A">
        <w:rPr>
          <w:rFonts w:ascii="Tahoma" w:hAnsi="Tahoma" w:cs="Tahoma"/>
          <w:color w:val="000000" w:themeColor="text1"/>
          <w:spacing w:val="-1"/>
        </w:rPr>
        <w:t xml:space="preserve"> </w:t>
      </w:r>
      <w:r w:rsidRPr="0054641A">
        <w:rPr>
          <w:rFonts w:ascii="Tahoma" w:hAnsi="Tahoma" w:cs="Tahoma"/>
          <w:color w:val="000000" w:themeColor="text1"/>
        </w:rPr>
        <w:t>20, pp.</w:t>
      </w:r>
      <w:r w:rsidRPr="0054641A">
        <w:rPr>
          <w:rFonts w:ascii="Tahoma" w:hAnsi="Tahoma" w:cs="Tahoma"/>
          <w:color w:val="000000" w:themeColor="text1"/>
          <w:spacing w:val="-1"/>
        </w:rPr>
        <w:t xml:space="preserve"> </w:t>
      </w:r>
      <w:r w:rsidRPr="0054641A">
        <w:rPr>
          <w:rFonts w:ascii="Tahoma" w:hAnsi="Tahoma" w:cs="Tahoma"/>
          <w:color w:val="000000" w:themeColor="text1"/>
        </w:rPr>
        <w:t>3-5.</w:t>
      </w:r>
    </w:p>
  </w:footnote>
  <w:footnote w:id="606">
    <w:p w:rsidR="0083519B" w:rsidRPr="002D1D62" w:rsidRDefault="0083519B" w:rsidP="007D7A96">
      <w:pPr>
        <w:spacing w:after="0"/>
        <w:jc w:val="both"/>
        <w:rPr>
          <w:rFonts w:ascii="Tahoma" w:hAnsi="Tahoma" w:cs="Tahoma"/>
          <w:color w:val="000000" w:themeColor="text1"/>
          <w:sz w:val="20"/>
          <w:szCs w:val="20"/>
        </w:rPr>
      </w:pPr>
      <w:r w:rsidRPr="0054641A">
        <w:rPr>
          <w:rStyle w:val="Appelnotedebasdep"/>
          <w:rFonts w:ascii="Tahoma" w:hAnsi="Tahoma" w:cs="Tahoma"/>
          <w:color w:val="000000" w:themeColor="text1"/>
          <w:sz w:val="20"/>
          <w:szCs w:val="20"/>
        </w:rPr>
        <w:footnoteRef/>
      </w:r>
      <w:r w:rsidRPr="0054641A">
        <w:rPr>
          <w:rFonts w:ascii="Tahoma" w:hAnsi="Tahoma" w:cs="Tahoma"/>
          <w:color w:val="000000" w:themeColor="text1"/>
          <w:sz w:val="20"/>
          <w:szCs w:val="20"/>
        </w:rPr>
        <w:t xml:space="preserve"> </w:t>
      </w:r>
      <w:r w:rsidRPr="0054641A">
        <w:rPr>
          <w:rFonts w:ascii="Tahoma" w:hAnsi="Tahoma" w:cs="Tahoma"/>
          <w:color w:val="000000" w:themeColor="text1"/>
          <w:w w:val="85"/>
          <w:sz w:val="20"/>
          <w:szCs w:val="20"/>
        </w:rPr>
        <w:t>PAQUOT,</w:t>
      </w:r>
      <w:r w:rsidRPr="0054641A">
        <w:rPr>
          <w:rFonts w:ascii="Tahoma" w:hAnsi="Tahoma" w:cs="Tahoma"/>
          <w:color w:val="000000" w:themeColor="text1"/>
          <w:spacing w:val="29"/>
          <w:w w:val="85"/>
          <w:sz w:val="20"/>
          <w:szCs w:val="20"/>
        </w:rPr>
        <w:t xml:space="preserve"> </w:t>
      </w:r>
      <w:r w:rsidRPr="0054641A">
        <w:rPr>
          <w:rFonts w:ascii="Tahoma" w:hAnsi="Tahoma" w:cs="Tahoma"/>
          <w:color w:val="000000" w:themeColor="text1"/>
          <w:w w:val="85"/>
          <w:sz w:val="20"/>
          <w:szCs w:val="20"/>
        </w:rPr>
        <w:t>T.</w:t>
      </w:r>
      <w:r w:rsidRPr="0054641A">
        <w:rPr>
          <w:rFonts w:ascii="Tahoma" w:hAnsi="Tahoma" w:cs="Tahoma"/>
          <w:color w:val="000000" w:themeColor="text1"/>
          <w:spacing w:val="12"/>
          <w:w w:val="85"/>
          <w:sz w:val="20"/>
          <w:szCs w:val="20"/>
        </w:rPr>
        <w:t xml:space="preserve"> </w:t>
      </w:r>
      <w:r w:rsidRPr="0054641A">
        <w:rPr>
          <w:rFonts w:ascii="Tahoma" w:hAnsi="Tahoma" w:cs="Tahoma"/>
          <w:color w:val="000000" w:themeColor="text1"/>
          <w:w w:val="85"/>
          <w:sz w:val="20"/>
          <w:szCs w:val="20"/>
        </w:rPr>
        <w:t>(2011).</w:t>
      </w:r>
      <w:r w:rsidRPr="0054641A">
        <w:rPr>
          <w:rFonts w:ascii="Tahoma" w:hAnsi="Tahoma" w:cs="Tahoma"/>
          <w:color w:val="000000" w:themeColor="text1"/>
          <w:spacing w:val="10"/>
          <w:w w:val="85"/>
          <w:sz w:val="20"/>
          <w:szCs w:val="20"/>
        </w:rPr>
        <w:t xml:space="preserve"> </w:t>
      </w:r>
      <w:r w:rsidRPr="0054641A">
        <w:rPr>
          <w:rFonts w:ascii="Tahoma" w:hAnsi="Tahoma" w:cs="Tahoma"/>
          <w:color w:val="000000" w:themeColor="text1"/>
          <w:w w:val="85"/>
          <w:sz w:val="20"/>
          <w:szCs w:val="20"/>
        </w:rPr>
        <w:t>«</w:t>
      </w:r>
      <w:r w:rsidRPr="0054641A">
        <w:rPr>
          <w:rFonts w:ascii="Tahoma" w:hAnsi="Tahoma" w:cs="Tahoma"/>
          <w:color w:val="000000" w:themeColor="text1"/>
          <w:spacing w:val="11"/>
          <w:w w:val="85"/>
          <w:sz w:val="20"/>
          <w:szCs w:val="20"/>
        </w:rPr>
        <w:t xml:space="preserve"> </w:t>
      </w:r>
      <w:r w:rsidRPr="0054641A">
        <w:rPr>
          <w:rFonts w:ascii="Tahoma" w:hAnsi="Tahoma" w:cs="Tahoma"/>
          <w:color w:val="000000" w:themeColor="text1"/>
          <w:w w:val="85"/>
          <w:sz w:val="20"/>
          <w:szCs w:val="20"/>
        </w:rPr>
        <w:t>Qu’est-ce</w:t>
      </w:r>
      <w:r w:rsidRPr="0054641A">
        <w:rPr>
          <w:rFonts w:ascii="Tahoma" w:hAnsi="Tahoma" w:cs="Tahoma"/>
          <w:color w:val="000000" w:themeColor="text1"/>
          <w:spacing w:val="17"/>
          <w:w w:val="85"/>
          <w:sz w:val="20"/>
          <w:szCs w:val="20"/>
        </w:rPr>
        <w:t xml:space="preserve"> </w:t>
      </w:r>
      <w:r w:rsidRPr="0054641A">
        <w:rPr>
          <w:rFonts w:ascii="Tahoma" w:hAnsi="Tahoma" w:cs="Tahoma"/>
          <w:color w:val="000000" w:themeColor="text1"/>
          <w:w w:val="85"/>
          <w:sz w:val="20"/>
          <w:szCs w:val="20"/>
        </w:rPr>
        <w:t>qu’un</w:t>
      </w:r>
      <w:r w:rsidRPr="0054641A">
        <w:rPr>
          <w:rFonts w:ascii="Tahoma" w:hAnsi="Tahoma" w:cs="Tahoma"/>
          <w:color w:val="000000" w:themeColor="text1"/>
          <w:spacing w:val="16"/>
          <w:w w:val="85"/>
          <w:sz w:val="20"/>
          <w:szCs w:val="20"/>
        </w:rPr>
        <w:t xml:space="preserve"> </w:t>
      </w:r>
      <w:r w:rsidRPr="0054641A">
        <w:rPr>
          <w:rFonts w:ascii="Tahoma" w:hAnsi="Tahoma" w:cs="Tahoma"/>
          <w:color w:val="000000" w:themeColor="text1"/>
          <w:w w:val="85"/>
          <w:sz w:val="20"/>
          <w:szCs w:val="20"/>
        </w:rPr>
        <w:t>«</w:t>
      </w:r>
      <w:r w:rsidRPr="0054641A">
        <w:rPr>
          <w:rFonts w:ascii="Tahoma" w:hAnsi="Tahoma" w:cs="Tahoma"/>
          <w:color w:val="000000" w:themeColor="text1"/>
          <w:spacing w:val="16"/>
          <w:w w:val="85"/>
          <w:sz w:val="20"/>
          <w:szCs w:val="20"/>
        </w:rPr>
        <w:t xml:space="preserve"> </w:t>
      </w:r>
      <w:r w:rsidRPr="0054641A">
        <w:rPr>
          <w:rFonts w:ascii="Tahoma" w:hAnsi="Tahoma" w:cs="Tahoma"/>
          <w:color w:val="000000" w:themeColor="text1"/>
          <w:w w:val="85"/>
          <w:sz w:val="20"/>
          <w:szCs w:val="20"/>
        </w:rPr>
        <w:t>territoire</w:t>
      </w:r>
      <w:r w:rsidRPr="0054641A">
        <w:rPr>
          <w:rFonts w:ascii="Tahoma" w:hAnsi="Tahoma" w:cs="Tahoma"/>
          <w:color w:val="000000" w:themeColor="text1"/>
          <w:spacing w:val="16"/>
          <w:w w:val="85"/>
          <w:sz w:val="20"/>
          <w:szCs w:val="20"/>
        </w:rPr>
        <w:t xml:space="preserve"> </w:t>
      </w:r>
      <w:r w:rsidRPr="0054641A">
        <w:rPr>
          <w:rFonts w:ascii="Tahoma" w:hAnsi="Tahoma" w:cs="Tahoma"/>
          <w:color w:val="000000" w:themeColor="text1"/>
          <w:w w:val="85"/>
          <w:sz w:val="20"/>
          <w:szCs w:val="20"/>
        </w:rPr>
        <w:t>»</w:t>
      </w:r>
      <w:r w:rsidRPr="0054641A">
        <w:rPr>
          <w:rFonts w:ascii="Tahoma" w:hAnsi="Tahoma" w:cs="Tahoma"/>
          <w:color w:val="000000" w:themeColor="text1"/>
          <w:spacing w:val="17"/>
          <w:w w:val="85"/>
          <w:sz w:val="20"/>
          <w:szCs w:val="20"/>
        </w:rPr>
        <w:t xml:space="preserve"> </w:t>
      </w:r>
      <w:r w:rsidRPr="0054641A">
        <w:rPr>
          <w:rFonts w:ascii="Tahoma" w:hAnsi="Tahoma" w:cs="Tahoma"/>
          <w:color w:val="000000" w:themeColor="text1"/>
          <w:w w:val="85"/>
          <w:sz w:val="20"/>
          <w:szCs w:val="20"/>
        </w:rPr>
        <w:t>?</w:t>
      </w:r>
      <w:r w:rsidRPr="0054641A">
        <w:rPr>
          <w:rFonts w:ascii="Tahoma" w:hAnsi="Tahoma" w:cs="Tahoma"/>
          <w:color w:val="000000" w:themeColor="text1"/>
          <w:spacing w:val="-3"/>
          <w:w w:val="85"/>
          <w:sz w:val="20"/>
          <w:szCs w:val="20"/>
        </w:rPr>
        <w:t xml:space="preserve"> </w:t>
      </w:r>
      <w:r w:rsidRPr="0054641A">
        <w:rPr>
          <w:rFonts w:ascii="Tahoma" w:hAnsi="Tahoma" w:cs="Tahoma"/>
          <w:color w:val="000000" w:themeColor="text1"/>
          <w:w w:val="85"/>
          <w:sz w:val="20"/>
          <w:szCs w:val="20"/>
        </w:rPr>
        <w:t>».</w:t>
      </w:r>
      <w:r w:rsidRPr="0054641A">
        <w:rPr>
          <w:rFonts w:ascii="Tahoma" w:hAnsi="Tahoma" w:cs="Tahoma"/>
          <w:color w:val="000000" w:themeColor="text1"/>
          <w:spacing w:val="11"/>
          <w:w w:val="85"/>
          <w:sz w:val="20"/>
          <w:szCs w:val="20"/>
        </w:rPr>
        <w:t xml:space="preserve"> </w:t>
      </w:r>
      <w:r w:rsidRPr="0054641A">
        <w:rPr>
          <w:rFonts w:ascii="Tahoma" w:hAnsi="Tahoma" w:cs="Tahoma"/>
          <w:color w:val="000000" w:themeColor="text1"/>
          <w:w w:val="85"/>
          <w:sz w:val="20"/>
          <w:szCs w:val="20"/>
        </w:rPr>
        <w:t>In,</w:t>
      </w:r>
      <w:r w:rsidRPr="0054641A">
        <w:rPr>
          <w:rFonts w:ascii="Tahoma" w:hAnsi="Tahoma" w:cs="Tahoma"/>
          <w:color w:val="000000" w:themeColor="text1"/>
          <w:spacing w:val="13"/>
          <w:w w:val="85"/>
          <w:sz w:val="20"/>
          <w:szCs w:val="20"/>
        </w:rPr>
        <w:t xml:space="preserve"> </w:t>
      </w:r>
      <w:r w:rsidRPr="0054641A">
        <w:rPr>
          <w:rFonts w:ascii="Tahoma" w:hAnsi="Tahoma" w:cs="Tahoma"/>
          <w:color w:val="000000" w:themeColor="text1"/>
          <w:w w:val="85"/>
          <w:sz w:val="20"/>
          <w:szCs w:val="20"/>
        </w:rPr>
        <w:t>Vie</w:t>
      </w:r>
      <w:r w:rsidRPr="0054641A">
        <w:rPr>
          <w:rFonts w:ascii="Tahoma" w:hAnsi="Tahoma" w:cs="Tahoma"/>
          <w:color w:val="000000" w:themeColor="text1"/>
          <w:spacing w:val="16"/>
          <w:w w:val="85"/>
          <w:sz w:val="20"/>
          <w:szCs w:val="20"/>
        </w:rPr>
        <w:t xml:space="preserve"> </w:t>
      </w:r>
      <w:r w:rsidRPr="0054641A">
        <w:rPr>
          <w:rFonts w:ascii="Tahoma" w:hAnsi="Tahoma" w:cs="Tahoma"/>
          <w:color w:val="000000" w:themeColor="text1"/>
          <w:w w:val="85"/>
          <w:sz w:val="20"/>
          <w:szCs w:val="20"/>
        </w:rPr>
        <w:t>Sociale</w:t>
      </w:r>
      <w:r w:rsidRPr="0054641A">
        <w:rPr>
          <w:rFonts w:ascii="Tahoma" w:hAnsi="Tahoma" w:cs="Tahoma"/>
          <w:color w:val="000000" w:themeColor="text1"/>
          <w:spacing w:val="15"/>
          <w:w w:val="85"/>
          <w:sz w:val="20"/>
          <w:szCs w:val="20"/>
        </w:rPr>
        <w:t>,</w:t>
      </w:r>
      <w:r w:rsidRPr="0054641A">
        <w:rPr>
          <w:rFonts w:ascii="Tahoma" w:hAnsi="Tahoma" w:cs="Tahoma"/>
          <w:color w:val="000000" w:themeColor="text1"/>
          <w:spacing w:val="12"/>
          <w:w w:val="85"/>
          <w:sz w:val="20"/>
          <w:szCs w:val="20"/>
        </w:rPr>
        <w:t xml:space="preserve"> </w:t>
      </w:r>
      <w:r w:rsidRPr="0054641A">
        <w:rPr>
          <w:rFonts w:ascii="Tahoma" w:hAnsi="Tahoma" w:cs="Tahoma"/>
          <w:color w:val="000000" w:themeColor="text1"/>
          <w:w w:val="85"/>
          <w:sz w:val="20"/>
          <w:szCs w:val="20"/>
        </w:rPr>
        <w:t>n°</w:t>
      </w:r>
      <w:r w:rsidRPr="0054641A">
        <w:rPr>
          <w:rFonts w:ascii="Tahoma" w:hAnsi="Tahoma" w:cs="Tahoma"/>
          <w:color w:val="000000" w:themeColor="text1"/>
          <w:spacing w:val="16"/>
          <w:w w:val="85"/>
          <w:sz w:val="20"/>
          <w:szCs w:val="20"/>
        </w:rPr>
        <w:t xml:space="preserve"> </w:t>
      </w:r>
      <w:r w:rsidRPr="0054641A">
        <w:rPr>
          <w:rFonts w:ascii="Tahoma" w:hAnsi="Tahoma" w:cs="Tahoma"/>
          <w:color w:val="000000" w:themeColor="text1"/>
          <w:w w:val="85"/>
          <w:sz w:val="20"/>
          <w:szCs w:val="20"/>
        </w:rPr>
        <w:t>2/2011,</w:t>
      </w:r>
      <w:r w:rsidRPr="0054641A">
        <w:rPr>
          <w:rFonts w:ascii="Tahoma" w:hAnsi="Tahoma" w:cs="Tahoma"/>
          <w:color w:val="000000" w:themeColor="text1"/>
          <w:spacing w:val="6"/>
          <w:w w:val="85"/>
          <w:sz w:val="20"/>
          <w:szCs w:val="20"/>
        </w:rPr>
        <w:t xml:space="preserve"> </w:t>
      </w:r>
      <w:r w:rsidRPr="0054641A">
        <w:rPr>
          <w:rFonts w:ascii="Tahoma" w:hAnsi="Tahoma" w:cs="Tahoma"/>
          <w:color w:val="000000" w:themeColor="text1"/>
          <w:w w:val="85"/>
          <w:sz w:val="20"/>
          <w:szCs w:val="20"/>
        </w:rPr>
        <w:t>P</w:t>
      </w:r>
      <w:r w:rsidRPr="0054641A">
        <w:rPr>
          <w:rFonts w:ascii="Tahoma" w:hAnsi="Tahoma" w:cs="Tahoma"/>
          <w:color w:val="000000" w:themeColor="text1"/>
          <w:spacing w:val="5"/>
          <w:w w:val="85"/>
          <w:sz w:val="20"/>
          <w:szCs w:val="20"/>
        </w:rPr>
        <w:t xml:space="preserve"> </w:t>
      </w:r>
      <w:r w:rsidRPr="0054641A">
        <w:rPr>
          <w:rFonts w:ascii="Tahoma" w:hAnsi="Tahoma" w:cs="Tahoma"/>
          <w:color w:val="000000" w:themeColor="text1"/>
          <w:w w:val="85"/>
          <w:sz w:val="20"/>
          <w:szCs w:val="20"/>
        </w:rPr>
        <w:t>: 23.</w:t>
      </w:r>
    </w:p>
  </w:footnote>
  <w:footnote w:id="607">
    <w:p w:rsidR="0083519B" w:rsidRPr="0054641A" w:rsidRDefault="0083519B" w:rsidP="007D7A96">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Gilles DELEUZE, Félix GUATTARI, Mille plateaux, Paris, Ed. de Minuit, 1980</w:t>
      </w:r>
    </w:p>
  </w:footnote>
  <w:footnote w:id="608">
    <w:p w:rsidR="0083519B" w:rsidRPr="0054641A" w:rsidRDefault="0083519B" w:rsidP="007D7A96">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Ripoll, F. et Veschambre, V., "Le territoire des géographes. Quelques points de repère sur ses usages contemporains", in Cursente, B. et Mousnier, M. (dir.), Les territoires du médiéviste, Rennes, Presses universitaires de Rennes, 2005, pp. 271-291.</w:t>
      </w:r>
    </w:p>
  </w:footnote>
  <w:footnote w:id="609">
    <w:p w:rsidR="0083519B" w:rsidRPr="0054641A" w:rsidRDefault="0083519B" w:rsidP="007D7A96">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Le Berre, M., "Territoires", in Bailly, A., Ferras, R. et Pumain, D. (dir.), Encyclopédie de géographie, Paris, Economica, 1995, pp. 601-617.</w:t>
      </w:r>
    </w:p>
  </w:footnote>
  <w:footnote w:id="610">
    <w:p w:rsidR="0083519B" w:rsidRPr="0054641A" w:rsidRDefault="0083519B" w:rsidP="007D7A96">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Raffestin, C., Pour une géographie du pouvoir, Paris, Librairie Technique (LITEC), 1980, 249 p.</w:t>
      </w:r>
    </w:p>
  </w:footnote>
  <w:footnote w:id="611">
    <w:p w:rsidR="0083519B" w:rsidRPr="0054641A" w:rsidRDefault="0083519B" w:rsidP="007D7A96">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Dardel, É., L'Histoire, science du concret, Paris, PUF, 1946, pp. 62-85.</w:t>
      </w:r>
    </w:p>
  </w:footnote>
  <w:footnote w:id="612">
    <w:p w:rsidR="0083519B" w:rsidRPr="0054641A" w:rsidRDefault="0083519B" w:rsidP="007D7A96">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Dardel, É., L'Homme et la Terre. Nature de la réalité géographique, Paris, PUF, 1952 (réédition CTHS, 1990), pp. 46-47.</w:t>
      </w:r>
    </w:p>
  </w:footnote>
  <w:footnote w:id="613">
    <w:p w:rsidR="0083519B" w:rsidRPr="0054641A" w:rsidRDefault="0083519B" w:rsidP="007D7A96">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Heidegger, M., Lettre sur l'humanisme, trad. R. Munier, Paris, Aubier, 1964, pp. 151-152.</w:t>
      </w:r>
    </w:p>
  </w:footnote>
  <w:footnote w:id="614">
    <w:p w:rsidR="0083519B" w:rsidRPr="0054641A" w:rsidRDefault="0083519B" w:rsidP="007D7A96">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Lorenz, K., "Les fondements de l'éthologie", Paris, Flammarion, 1984, pp. 10-25.</w:t>
      </w:r>
    </w:p>
  </w:footnote>
  <w:footnote w:id="615">
    <w:p w:rsidR="0083519B" w:rsidRPr="0054641A" w:rsidRDefault="0083519B" w:rsidP="007D7A96">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Von Uexküll, J., "Mondes animaux et monde humain", Paris, Denoël, (1934) 1965, pp. 24-36.</w:t>
      </w:r>
    </w:p>
  </w:footnote>
  <w:footnote w:id="616">
    <w:p w:rsidR="0083519B" w:rsidRPr="0054641A" w:rsidRDefault="0083519B" w:rsidP="00FA6C95">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Tinbergen, N., "L'étude de l'instinct", Paris, Payot, 1971, pp. 80-95.</w:t>
      </w:r>
    </w:p>
  </w:footnote>
  <w:footnote w:id="617">
    <w:p w:rsidR="0083519B" w:rsidRPr="0054641A" w:rsidRDefault="0083519B" w:rsidP="00FA6C95">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Dosse, F., "Gilles Deleuze et Félix Guattari. Biographie croisée", Paris, La Découverte, 2007, pp. 296-298.</w:t>
      </w:r>
    </w:p>
  </w:footnote>
  <w:footnote w:id="618">
    <w:p w:rsidR="0083519B" w:rsidRPr="0054641A" w:rsidRDefault="0083519B" w:rsidP="00FA6C95">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Deleuze, G. et Guattari, F., "Mille Plateaux", Paris, Minuit, 1980, pp. 381-382.</w:t>
      </w:r>
    </w:p>
  </w:footnote>
  <w:footnote w:id="619">
    <w:p w:rsidR="0083519B" w:rsidRPr="0054641A" w:rsidRDefault="0083519B" w:rsidP="00FA6C95">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Deleuze, G. et Guattari, F., "Mille Plateaux", Paris, Minuit, 1980, pp. 392-394.</w:t>
      </w:r>
    </w:p>
  </w:footnote>
  <w:footnote w:id="620">
    <w:p w:rsidR="0083519B" w:rsidRPr="0054641A" w:rsidRDefault="0083519B" w:rsidP="00FA6C95">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Goffman, E., La mise en scène de la vie quotidienne, Tome 2 : Les relations en public, Paris, Minuit, 1973, pp. 43-45.</w:t>
      </w:r>
    </w:p>
  </w:footnote>
  <w:footnote w:id="621">
    <w:p w:rsidR="0083519B" w:rsidRPr="0054641A" w:rsidRDefault="0083519B" w:rsidP="00FA6C95">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Joseph, I., Erving Goffman et la microsociologie, Paris, PUF, 1998, pp. 73-78.</w:t>
      </w:r>
    </w:p>
  </w:footnote>
  <w:footnote w:id="622">
    <w:p w:rsidR="0083519B" w:rsidRPr="0054641A" w:rsidRDefault="0083519B" w:rsidP="00FA6C95">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Muir Watt, H., "La fonction économique du droit international privé", Revue internationale de droit économique, Vol. 24, n° 1, 2010, pp. 103-121.</w:t>
      </w:r>
    </w:p>
  </w:footnote>
  <w:footnote w:id="623">
    <w:p w:rsidR="0083519B" w:rsidRPr="002D1D62" w:rsidRDefault="0083519B" w:rsidP="002D1D62">
      <w:pPr>
        <w:spacing w:after="0"/>
        <w:jc w:val="both"/>
        <w:rPr>
          <w:rFonts w:ascii="Tahoma" w:hAnsi="Tahoma" w:cs="Tahoma"/>
          <w:sz w:val="20"/>
          <w:szCs w:val="20"/>
        </w:rPr>
      </w:pPr>
      <w:r w:rsidRPr="0054641A">
        <w:rPr>
          <w:rStyle w:val="Appelnotedebasdep"/>
          <w:rFonts w:ascii="Tahoma" w:hAnsi="Tahoma" w:cs="Tahoma"/>
          <w:sz w:val="20"/>
          <w:szCs w:val="20"/>
        </w:rPr>
        <w:footnoteRef/>
      </w:r>
      <w:r w:rsidRPr="0054641A">
        <w:rPr>
          <w:rFonts w:ascii="Tahoma" w:hAnsi="Tahoma" w:cs="Tahoma"/>
          <w:sz w:val="20"/>
          <w:szCs w:val="20"/>
        </w:rPr>
        <w:t xml:space="preserve"> Supiot, A., "L'inscription territoriale des lois", Espr</w:t>
      </w:r>
      <w:r>
        <w:rPr>
          <w:rFonts w:ascii="Tahoma" w:hAnsi="Tahoma" w:cs="Tahoma"/>
          <w:sz w:val="20"/>
          <w:szCs w:val="20"/>
        </w:rPr>
        <w:t>it, novembre 2008, pp. 151-170.</w:t>
      </w:r>
    </w:p>
  </w:footnote>
  <w:footnote w:id="624">
    <w:p w:rsidR="0083519B" w:rsidRPr="0054641A" w:rsidRDefault="0083519B" w:rsidP="00FA6C95">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Badie, B. et Smouts, M.-C., "L'international sans territoire", Cultures &amp; Conflits, vol. 21-22, 1996, pp. 9-27.</w:t>
      </w:r>
    </w:p>
  </w:footnote>
  <w:footnote w:id="625">
    <w:p w:rsidR="0083519B" w:rsidRPr="0054641A" w:rsidRDefault="0083519B" w:rsidP="00FA6C95">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Goffman, E., La mise en scène de la vie quotidienne, Tome 2 : Les relations en public, Paris, Minuit, 1973, pp. 43-45.</w:t>
      </w:r>
    </w:p>
  </w:footnote>
  <w:footnote w:id="626">
    <w:p w:rsidR="0083519B" w:rsidRPr="0054641A" w:rsidRDefault="0083519B" w:rsidP="00FA6C95">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Ledrut, R., Sociologie urbaine, Paris, PUF, 1979, pp. 17-25.</w:t>
      </w:r>
    </w:p>
  </w:footnote>
  <w:footnote w:id="627">
    <w:p w:rsidR="0083519B" w:rsidRPr="0054641A" w:rsidRDefault="0083519B" w:rsidP="00FA6C95">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Paquot, T. et al., La ville et l'urbain, Paris, La Découverte, 2000, pp. 145-160.</w:t>
      </w:r>
    </w:p>
  </w:footnote>
  <w:footnote w:id="628">
    <w:p w:rsidR="0083519B" w:rsidRPr="0054641A" w:rsidRDefault="0083519B" w:rsidP="00FA6C95">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Pouvreau, B., "La politique d'aménagement du territoire d'Eugène Claudius-Petit", Vingtième Siècle. Revue d'histoire, n° 79, 2003, pp. 43-52.</w:t>
      </w:r>
    </w:p>
  </w:footnote>
  <w:footnote w:id="629">
    <w:p w:rsidR="0083519B" w:rsidRPr="002D1D62" w:rsidRDefault="0083519B" w:rsidP="002D1D62">
      <w:pPr>
        <w:spacing w:after="0"/>
        <w:jc w:val="both"/>
        <w:rPr>
          <w:rFonts w:ascii="Tahoma" w:hAnsi="Tahoma" w:cs="Tahoma"/>
          <w:sz w:val="20"/>
          <w:szCs w:val="20"/>
        </w:rPr>
      </w:pPr>
      <w:r w:rsidRPr="0054641A">
        <w:rPr>
          <w:rStyle w:val="Appelnotedebasdep"/>
          <w:rFonts w:ascii="Tahoma" w:hAnsi="Tahoma" w:cs="Tahoma"/>
          <w:sz w:val="20"/>
          <w:szCs w:val="20"/>
        </w:rPr>
        <w:footnoteRef/>
      </w:r>
      <w:r w:rsidRPr="0054641A">
        <w:rPr>
          <w:rFonts w:ascii="Tahoma" w:hAnsi="Tahoma" w:cs="Tahoma"/>
          <w:sz w:val="20"/>
          <w:szCs w:val="20"/>
        </w:rPr>
        <w:t xml:space="preserve"> Kleinschmager, R., "Territoire", in Pumain, D., Paquot, T., Kleinschmager, R. (dir.), Dictionnaire, la ville et l'urbain, Paris, Eco</w:t>
      </w:r>
      <w:r>
        <w:rPr>
          <w:rFonts w:ascii="Tahoma" w:hAnsi="Tahoma" w:cs="Tahoma"/>
          <w:sz w:val="20"/>
          <w:szCs w:val="20"/>
        </w:rPr>
        <w:t>nomica/Anthropos, 2006, p. 123.</w:t>
      </w:r>
    </w:p>
  </w:footnote>
  <w:footnote w:id="630">
    <w:p w:rsidR="0083519B" w:rsidRPr="0054641A" w:rsidRDefault="0083519B" w:rsidP="00FA6C95">
      <w:pPr>
        <w:pStyle w:val="Notedebasdepage"/>
        <w:rPr>
          <w:rFonts w:ascii="Tahoma" w:hAnsi="Tahoma" w:cs="Tahoma"/>
        </w:rPr>
      </w:pPr>
      <w:r w:rsidRPr="0054641A">
        <w:rPr>
          <w:rFonts w:ascii="Tahoma" w:hAnsi="Tahoma" w:cs="Tahoma"/>
          <w:vertAlign w:val="superscript"/>
        </w:rPr>
        <w:footnoteRef/>
      </w:r>
      <w:r w:rsidRPr="0054641A">
        <w:rPr>
          <w:rFonts w:ascii="Tahoma" w:hAnsi="Tahoma" w:cs="Tahoma"/>
        </w:rPr>
        <w:t xml:space="preserve"> Ibid, p. 125.</w:t>
      </w:r>
    </w:p>
  </w:footnote>
  <w:footnote w:id="631">
    <w:p w:rsidR="0083519B" w:rsidRPr="0054641A" w:rsidRDefault="0083519B" w:rsidP="00FA6C95">
      <w:pPr>
        <w:pStyle w:val="Notedebasdepage"/>
        <w:rPr>
          <w:rFonts w:ascii="Tahoma" w:hAnsi="Tahoma" w:cs="Tahoma"/>
        </w:rPr>
      </w:pPr>
      <w:r w:rsidRPr="0054641A">
        <w:rPr>
          <w:rFonts w:ascii="Tahoma" w:hAnsi="Tahoma" w:cs="Tahoma"/>
          <w:vertAlign w:val="superscript"/>
        </w:rPr>
        <w:footnoteRef/>
      </w:r>
      <w:r w:rsidRPr="0054641A">
        <w:rPr>
          <w:rFonts w:ascii="Tahoma" w:hAnsi="Tahoma" w:cs="Tahoma"/>
          <w:vertAlign w:val="superscript"/>
        </w:rPr>
        <w:t xml:space="preserve"> </w:t>
      </w:r>
      <w:r w:rsidRPr="0054641A">
        <w:rPr>
          <w:rFonts w:ascii="Tahoma" w:hAnsi="Tahoma" w:cs="Tahoma"/>
        </w:rPr>
        <w:t>Corboz, A., "Le territoire comme palimpseste", Diogène, n° 121, janvier-mars, 1983, pp. 14-35.</w:t>
      </w:r>
    </w:p>
  </w:footnote>
  <w:footnote w:id="632">
    <w:p w:rsidR="0083519B" w:rsidRPr="0054641A" w:rsidRDefault="0083519B" w:rsidP="00FA6C95">
      <w:pPr>
        <w:pStyle w:val="Notedebasdepage"/>
        <w:jc w:val="both"/>
        <w:rPr>
          <w:rFonts w:ascii="Tahoma" w:hAnsi="Tahoma" w:cs="Tahoma"/>
        </w:rPr>
      </w:pPr>
      <w:r w:rsidRPr="0054641A">
        <w:rPr>
          <w:rFonts w:ascii="Tahoma" w:hAnsi="Tahoma" w:cs="Tahoma"/>
          <w:vertAlign w:val="superscript"/>
        </w:rPr>
        <w:footnoteRef/>
      </w:r>
      <w:r w:rsidRPr="0054641A">
        <w:rPr>
          <w:rFonts w:ascii="Tahoma" w:hAnsi="Tahoma" w:cs="Tahoma"/>
        </w:rPr>
        <w:t xml:space="preserve"> Corboz, A., Le territoire comme palimpseste et autres essais, Besançon, Les éditions de l'imprimeur, 2001, pp. 212-228.</w:t>
      </w:r>
    </w:p>
  </w:footnote>
  <w:footnote w:id="633">
    <w:p w:rsidR="0083519B" w:rsidRPr="0054641A" w:rsidRDefault="0083519B" w:rsidP="00FA6C95">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Magnaghi, A., Le projet local, traduit par M. Raiola et A. Petita, Liège, Mardaga, 2003, p. 82.</w:t>
      </w:r>
    </w:p>
  </w:footnote>
  <w:footnote w:id="634">
    <w:p w:rsidR="0083519B" w:rsidRPr="0054641A" w:rsidRDefault="0083519B" w:rsidP="00FA6C95">
      <w:pPr>
        <w:jc w:val="both"/>
        <w:rPr>
          <w:rFonts w:ascii="Tahoma" w:hAnsi="Tahoma" w:cs="Tahoma"/>
          <w:sz w:val="20"/>
          <w:szCs w:val="20"/>
        </w:rPr>
      </w:pPr>
      <w:r w:rsidRPr="0054641A">
        <w:rPr>
          <w:rStyle w:val="Appelnotedebasdep"/>
          <w:rFonts w:ascii="Tahoma" w:hAnsi="Tahoma" w:cs="Tahoma"/>
          <w:sz w:val="20"/>
          <w:szCs w:val="20"/>
        </w:rPr>
        <w:footnoteRef/>
      </w:r>
      <w:r w:rsidRPr="0054641A">
        <w:rPr>
          <w:rFonts w:ascii="Tahoma" w:hAnsi="Tahoma" w:cs="Tahoma"/>
          <w:sz w:val="20"/>
          <w:szCs w:val="20"/>
        </w:rPr>
        <w:t xml:space="preserve"> Magnaghi, A., La biorégion urbaine. Petit traité sur le territoire bien commun, Paris, Eterotopia France, 2014, pp. 45-58.</w:t>
      </w:r>
    </w:p>
    <w:p w:rsidR="0083519B" w:rsidRPr="0054641A" w:rsidRDefault="0083519B" w:rsidP="00FA6C95">
      <w:pPr>
        <w:pStyle w:val="Notedebasdepage"/>
        <w:jc w:val="both"/>
        <w:rPr>
          <w:rFonts w:ascii="Tahoma" w:hAnsi="Tahoma" w:cs="Tahoma"/>
        </w:rPr>
      </w:pPr>
    </w:p>
  </w:footnote>
  <w:footnote w:id="635">
    <w:p w:rsidR="0083519B" w:rsidRPr="0054641A" w:rsidRDefault="0083519B" w:rsidP="00FA6C95">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Raffestin, C. (1986). "Territorialité : concept ou paradigme de la géographie sociale ?", Geographica Helvetica, n° 2, pp. 91-96.</w:t>
      </w:r>
    </w:p>
  </w:footnote>
  <w:footnote w:id="636">
    <w:p w:rsidR="0083519B" w:rsidRPr="0054641A" w:rsidRDefault="0083519B" w:rsidP="00FA6C95">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Benko, G. et Lipietz, A. (2000). La richesse des régions. La nouvelle géographie socio-économique. Paris : Presses Universitaires de France.</w:t>
      </w:r>
    </w:p>
  </w:footnote>
  <w:footnote w:id="637">
    <w:p w:rsidR="0083519B" w:rsidRPr="0054641A" w:rsidRDefault="0083519B" w:rsidP="00FA6C95">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Gumuchian, H., Grasset, E., Lajarge, R. et Roux, E. (2003). Les acteurs, ces oubliés du territoire. Paris : Anthropos.</w:t>
      </w:r>
    </w:p>
  </w:footnote>
  <w:footnote w:id="638">
    <w:p w:rsidR="0083519B" w:rsidRPr="002D1D62" w:rsidRDefault="0083519B" w:rsidP="002D1D62">
      <w:pPr>
        <w:spacing w:after="0"/>
        <w:jc w:val="both"/>
        <w:rPr>
          <w:rFonts w:ascii="Tahoma" w:eastAsia="Times New Roman" w:hAnsi="Tahoma" w:cs="Tahoma"/>
          <w:sz w:val="20"/>
          <w:szCs w:val="20"/>
          <w:lang w:eastAsia="fr-FR"/>
        </w:rPr>
      </w:pPr>
      <w:r w:rsidRPr="0054641A">
        <w:rPr>
          <w:rStyle w:val="Appelnotedebasdep"/>
          <w:rFonts w:ascii="Tahoma" w:hAnsi="Tahoma" w:cs="Tahoma"/>
          <w:sz w:val="20"/>
          <w:szCs w:val="20"/>
        </w:rPr>
        <w:footnoteRef/>
      </w:r>
      <w:r w:rsidRPr="0054641A">
        <w:rPr>
          <w:rFonts w:ascii="Tahoma" w:hAnsi="Tahoma" w:cs="Tahoma"/>
          <w:sz w:val="20"/>
          <w:szCs w:val="20"/>
        </w:rPr>
        <w:t xml:space="preserve"> Haddy, Mohamed.</w:t>
      </w:r>
      <w:r w:rsidRPr="0054641A">
        <w:rPr>
          <w:rFonts w:ascii="Tahoma" w:eastAsia="Times New Roman" w:hAnsi="Tahoma" w:cs="Tahoma"/>
          <w:sz w:val="20"/>
          <w:szCs w:val="20"/>
          <w:lang w:eastAsia="fr-FR"/>
        </w:rPr>
        <w:t xml:space="preserve"> La Régionalisation au Maroc : Des Errances au Projet Sociétal. Cabreraet Mdm Publication,</w:t>
      </w:r>
      <w:r w:rsidRPr="0054641A">
        <w:rPr>
          <w:rFonts w:ascii="Tahoma" w:hAnsi="Tahoma" w:cs="Tahoma"/>
          <w:sz w:val="20"/>
          <w:szCs w:val="20"/>
        </w:rPr>
        <w:t xml:space="preserve"> </w:t>
      </w:r>
      <w:r>
        <w:rPr>
          <w:rFonts w:ascii="Tahoma" w:eastAsia="Times New Roman" w:hAnsi="Tahoma" w:cs="Tahoma"/>
          <w:sz w:val="20"/>
          <w:szCs w:val="20"/>
          <w:lang w:eastAsia="fr-FR"/>
        </w:rPr>
        <w:t>Paris, 2011, p. 77.</w:t>
      </w:r>
    </w:p>
  </w:footnote>
  <w:footnote w:id="639">
    <w:p w:rsidR="0083519B" w:rsidRPr="0054641A" w:rsidRDefault="0083519B" w:rsidP="002D1D62">
      <w:pPr>
        <w:spacing w:after="0"/>
        <w:jc w:val="both"/>
        <w:rPr>
          <w:rFonts w:ascii="Tahoma" w:eastAsia="Times New Roman" w:hAnsi="Tahoma" w:cs="Tahoma"/>
          <w:sz w:val="20"/>
          <w:szCs w:val="20"/>
          <w:lang w:eastAsia="fr-FR"/>
        </w:rPr>
      </w:pPr>
      <w:r w:rsidRPr="0054641A">
        <w:rPr>
          <w:rStyle w:val="Appelnotedebasdep"/>
          <w:rFonts w:ascii="Tahoma" w:hAnsi="Tahoma" w:cs="Tahoma"/>
          <w:sz w:val="20"/>
          <w:szCs w:val="20"/>
        </w:rPr>
        <w:footnoteRef/>
      </w:r>
      <w:r w:rsidRPr="0054641A">
        <w:rPr>
          <w:rFonts w:ascii="Tahoma" w:hAnsi="Tahoma" w:cs="Tahoma"/>
          <w:sz w:val="20"/>
          <w:szCs w:val="20"/>
        </w:rPr>
        <w:t xml:space="preserve"> </w:t>
      </w:r>
      <w:r w:rsidRPr="0054641A">
        <w:rPr>
          <w:rFonts w:ascii="Tahoma" w:eastAsia="Times New Roman" w:hAnsi="Tahoma" w:cs="Tahoma"/>
          <w:sz w:val="20"/>
          <w:szCs w:val="20"/>
          <w:lang w:eastAsia="fr-FR"/>
        </w:rPr>
        <w:t>Ibid., 78.</w:t>
      </w:r>
    </w:p>
  </w:footnote>
  <w:footnote w:id="640">
    <w:p w:rsidR="0083519B" w:rsidRPr="0054641A" w:rsidRDefault="0083519B" w:rsidP="002D1D62">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w:t>
      </w:r>
      <w:r w:rsidRPr="0054641A">
        <w:rPr>
          <w:rFonts w:ascii="Tahoma" w:hAnsi="Tahoma" w:cs="Tahoma"/>
          <w:color w:val="000000" w:themeColor="text1"/>
        </w:rPr>
        <w:t>Naciri, Mohamed. "Territoire : contrôler ou développer, le dilemme du pouvoir depuis un siècle." Maghreb-Machrek 164 (1999): 9-35.</w:t>
      </w:r>
    </w:p>
  </w:footnote>
  <w:footnote w:id="641">
    <w:p w:rsidR="0083519B" w:rsidRPr="0054641A" w:rsidRDefault="0083519B" w:rsidP="00FA6C95">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Benjelloun, A. (2015). Gouvernance territoriale au Maroc : défis et perspectives. Rabat : Éditions Universitaires.</w:t>
      </w:r>
    </w:p>
  </w:footnote>
  <w:footnote w:id="642">
    <w:p w:rsidR="0083519B" w:rsidRPr="0054641A" w:rsidRDefault="0083519B" w:rsidP="00FA6C95">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Boujrouf, Saïd. "Les territoires de l'eau au Maroc : entre logiques de développement et logiques sociales." Géocarrefour 93.1 (2019).</w:t>
      </w:r>
    </w:p>
  </w:footnote>
  <w:footnote w:id="643">
    <w:p w:rsidR="0083519B" w:rsidRPr="0054641A" w:rsidRDefault="0083519B" w:rsidP="00FA6C95">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El Alaoui, M. (2018). Inégalités territoriales et développement régional au Maroc. Casablanca : Éditions Maghrébines.</w:t>
      </w:r>
    </w:p>
  </w:footnote>
  <w:footnote w:id="644">
    <w:p w:rsidR="0083519B" w:rsidRPr="0054641A" w:rsidRDefault="0083519B" w:rsidP="00FA6C95">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Mghari, Mohamed. "Migration et développement territorial au Maroc : quelles interactions et quels impacts ?" Hommes &amp; Migrations 1312 (2015) : 105-110.</w:t>
      </w:r>
    </w:p>
  </w:footnote>
  <w:footnote w:id="645">
    <w:p w:rsidR="0083519B" w:rsidRPr="0054641A" w:rsidRDefault="0083519B" w:rsidP="00FA6C95">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Haut-Commissariat au Plan. (2014). Enquête nationale sur la culture et les pratiques culturelles au Maroc. Rabat : HCP.</w:t>
      </w:r>
    </w:p>
  </w:footnote>
  <w:footnote w:id="646">
    <w:p w:rsidR="0083519B" w:rsidRPr="0054641A" w:rsidRDefault="0083519B" w:rsidP="00FA6C95">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Ministère de l'Énergie, des Mines et de l'Environnement. (2020). Stratégie nationale de développement durable. Rabat.</w:t>
      </w:r>
    </w:p>
  </w:footnote>
  <w:footnote w:id="647">
    <w:p w:rsidR="0083519B" w:rsidRPr="0054641A" w:rsidRDefault="0083519B" w:rsidP="00FA6C95">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Sedjari, A. (2008). Gouvernance, réforme et gestion du changement : ou quand le Maroc se modernisera. L'Harmattan, Paris.</w:t>
      </w:r>
    </w:p>
  </w:footnote>
  <w:footnote w:id="648">
    <w:p w:rsidR="0083519B" w:rsidRPr="0054641A" w:rsidRDefault="0083519B" w:rsidP="00FA6C95">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Bellaoui, A. (2012). "Aménagement du territoire au Maroc : quel modèle pour quel territoire ?". Revue de Géographie Alpine, 100(2).</w:t>
      </w:r>
    </w:p>
  </w:footnote>
  <w:footnote w:id="649">
    <w:p w:rsidR="0083519B" w:rsidRPr="0054641A" w:rsidRDefault="0083519B" w:rsidP="00FA6C95">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Troin, J.F. (2002). Maroc : régions, pays, territoires. Maisonneuve et Larose, Paris.</w:t>
      </w:r>
    </w:p>
  </w:footnote>
  <w:footnote w:id="650">
    <w:p w:rsidR="0083519B" w:rsidRPr="0054641A" w:rsidRDefault="0083519B" w:rsidP="00FA6C95">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Naciri, M. (2011). "Territoire : contrôler ou développer, le dilemme du pouvoir depuis un siècle". Maghreb-Machrek, 202-203, pp. 9-25.</w:t>
      </w:r>
    </w:p>
  </w:footnote>
  <w:footnote w:id="651">
    <w:p w:rsidR="0083519B" w:rsidRPr="0054641A" w:rsidRDefault="0083519B" w:rsidP="00FA6C95">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Berriane, M. et Kagermeier, A. (2010). Recherches sur les disparités socio-spatiales au Maroc. Publications de la Faculté des Lettres et des Sciences Humaines, Rabat.</w:t>
      </w:r>
    </w:p>
  </w:footnote>
  <w:footnote w:id="652">
    <w:p w:rsidR="0083519B" w:rsidRPr="002D1D62" w:rsidRDefault="0083519B" w:rsidP="002D1D62">
      <w:pPr>
        <w:spacing w:after="0"/>
        <w:ind w:right="600"/>
        <w:jc w:val="both"/>
        <w:rPr>
          <w:rFonts w:ascii="Tahoma" w:hAnsi="Tahoma" w:cs="Tahoma"/>
          <w:sz w:val="20"/>
          <w:szCs w:val="20"/>
        </w:rPr>
      </w:pPr>
      <w:r w:rsidRPr="0054641A">
        <w:rPr>
          <w:rStyle w:val="Appelnotedebasdep"/>
          <w:rFonts w:ascii="Tahoma" w:hAnsi="Tahoma" w:cs="Tahoma"/>
          <w:sz w:val="20"/>
          <w:szCs w:val="20"/>
        </w:rPr>
        <w:footnoteRef/>
      </w:r>
      <w:r w:rsidRPr="0054641A">
        <w:rPr>
          <w:rFonts w:ascii="Tahoma" w:hAnsi="Tahoma" w:cs="Tahoma"/>
          <w:sz w:val="20"/>
          <w:szCs w:val="20"/>
        </w:rPr>
        <w:t xml:space="preserve"> NACHOUI, M.</w:t>
      </w:r>
      <w:r w:rsidRPr="0054641A">
        <w:rPr>
          <w:rFonts w:ascii="Tahoma" w:hAnsi="Tahoma" w:cs="Tahoma"/>
          <w:spacing w:val="1"/>
          <w:sz w:val="20"/>
          <w:szCs w:val="20"/>
        </w:rPr>
        <w:t xml:space="preserve"> </w:t>
      </w:r>
      <w:r w:rsidRPr="0054641A">
        <w:rPr>
          <w:rFonts w:ascii="Tahoma" w:hAnsi="Tahoma" w:cs="Tahoma"/>
          <w:sz w:val="20"/>
          <w:szCs w:val="20"/>
        </w:rPr>
        <w:t>Aménagement et développement du territoire au Maroc : contexte et vision. Université Hassan</w:t>
      </w:r>
      <w:r w:rsidRPr="0054641A">
        <w:rPr>
          <w:rFonts w:ascii="Tahoma" w:hAnsi="Tahoma" w:cs="Tahoma"/>
          <w:spacing w:val="-47"/>
          <w:sz w:val="20"/>
          <w:szCs w:val="20"/>
        </w:rPr>
        <w:t xml:space="preserve"> </w:t>
      </w:r>
      <w:r w:rsidRPr="0054641A">
        <w:rPr>
          <w:rFonts w:ascii="Tahoma" w:hAnsi="Tahoma" w:cs="Tahoma"/>
          <w:sz w:val="20"/>
          <w:szCs w:val="20"/>
        </w:rPr>
        <w:t>II,</w:t>
      </w:r>
      <w:r w:rsidRPr="0054641A">
        <w:rPr>
          <w:rFonts w:ascii="Tahoma" w:hAnsi="Tahoma" w:cs="Tahoma"/>
          <w:spacing w:val="-1"/>
          <w:sz w:val="20"/>
          <w:szCs w:val="20"/>
        </w:rPr>
        <w:t xml:space="preserve"> </w:t>
      </w:r>
      <w:r w:rsidRPr="0054641A">
        <w:rPr>
          <w:rFonts w:ascii="Tahoma" w:hAnsi="Tahoma" w:cs="Tahoma"/>
          <w:sz w:val="20"/>
          <w:szCs w:val="20"/>
        </w:rPr>
        <w:t>Casablanca,</w:t>
      </w:r>
      <w:r w:rsidRPr="0054641A">
        <w:rPr>
          <w:rFonts w:ascii="Tahoma" w:hAnsi="Tahoma" w:cs="Tahoma"/>
          <w:spacing w:val="-2"/>
          <w:sz w:val="20"/>
          <w:szCs w:val="20"/>
        </w:rPr>
        <w:t xml:space="preserve"> </w:t>
      </w:r>
      <w:r w:rsidRPr="0054641A">
        <w:rPr>
          <w:rFonts w:ascii="Tahoma" w:hAnsi="Tahoma" w:cs="Tahoma"/>
          <w:sz w:val="20"/>
          <w:szCs w:val="20"/>
        </w:rPr>
        <w:t>P</w:t>
      </w:r>
      <w:r w:rsidRPr="0054641A">
        <w:rPr>
          <w:rFonts w:ascii="Tahoma" w:hAnsi="Tahoma" w:cs="Tahoma"/>
          <w:spacing w:val="1"/>
          <w:sz w:val="20"/>
          <w:szCs w:val="20"/>
        </w:rPr>
        <w:t xml:space="preserve"> </w:t>
      </w:r>
      <w:r>
        <w:rPr>
          <w:rFonts w:ascii="Tahoma" w:hAnsi="Tahoma" w:cs="Tahoma"/>
          <w:sz w:val="20"/>
          <w:szCs w:val="20"/>
        </w:rPr>
        <w:t>: 77.</w:t>
      </w:r>
    </w:p>
  </w:footnote>
  <w:footnote w:id="653">
    <w:p w:rsidR="0083519B" w:rsidRPr="0054641A" w:rsidRDefault="0083519B" w:rsidP="002D1D62">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Naciri, M. (2011). "Territoire : contrôler ou développer, le dilemme du pouvoir depuis un siècle". Maghreb-Machrek, 202-203, pp. 9-25.</w:t>
      </w:r>
    </w:p>
  </w:footnote>
  <w:footnote w:id="654">
    <w:p w:rsidR="0083519B" w:rsidRPr="0054641A" w:rsidRDefault="0083519B" w:rsidP="002D1D62">
      <w:pPr>
        <w:spacing w:after="0"/>
        <w:jc w:val="both"/>
        <w:rPr>
          <w:rFonts w:ascii="Tahoma" w:hAnsi="Tahoma" w:cs="Tahoma"/>
          <w:sz w:val="20"/>
          <w:szCs w:val="20"/>
        </w:rPr>
      </w:pPr>
      <w:r w:rsidRPr="0054641A">
        <w:rPr>
          <w:rStyle w:val="Appelnotedebasdep"/>
          <w:rFonts w:ascii="Tahoma" w:hAnsi="Tahoma" w:cs="Tahoma"/>
          <w:sz w:val="20"/>
          <w:szCs w:val="20"/>
        </w:rPr>
        <w:footnoteRef/>
      </w:r>
      <w:r w:rsidRPr="0054641A">
        <w:rPr>
          <w:rFonts w:ascii="Tahoma" w:hAnsi="Tahoma" w:cs="Tahoma"/>
          <w:sz w:val="20"/>
          <w:szCs w:val="20"/>
        </w:rPr>
        <w:t xml:space="preserve"> Bellaoui, A. (2012). "Aménagement du territoire au Maroc : quel modèle pour quel territoire ?". Revue de Géographie Alpine, 100(2).</w:t>
      </w:r>
    </w:p>
  </w:footnote>
  <w:footnote w:id="655">
    <w:p w:rsidR="0083519B" w:rsidRPr="002D1D62" w:rsidRDefault="0083519B" w:rsidP="002D1D62">
      <w:pPr>
        <w:spacing w:after="0"/>
        <w:jc w:val="both"/>
        <w:rPr>
          <w:rFonts w:ascii="Tahoma" w:hAnsi="Tahoma" w:cs="Tahoma"/>
          <w:sz w:val="20"/>
          <w:szCs w:val="20"/>
        </w:rPr>
      </w:pPr>
      <w:r w:rsidRPr="0054641A">
        <w:rPr>
          <w:rStyle w:val="Appelnotedebasdep"/>
          <w:rFonts w:ascii="Tahoma" w:hAnsi="Tahoma" w:cs="Tahoma"/>
          <w:sz w:val="20"/>
          <w:szCs w:val="20"/>
        </w:rPr>
        <w:footnoteRef/>
      </w:r>
      <w:r w:rsidRPr="0054641A">
        <w:rPr>
          <w:rFonts w:ascii="Tahoma" w:hAnsi="Tahoma" w:cs="Tahoma"/>
          <w:sz w:val="20"/>
          <w:szCs w:val="20"/>
        </w:rPr>
        <w:t xml:space="preserve"> Ministère de l'Urbanisme et de l'Aménagement du Territoire. (2016). *Recueil des textes juridiques relatifs à l'urbanisme et à l'aménagement du</w:t>
      </w:r>
      <w:r>
        <w:rPr>
          <w:rFonts w:ascii="Tahoma" w:hAnsi="Tahoma" w:cs="Tahoma"/>
          <w:sz w:val="20"/>
          <w:szCs w:val="20"/>
        </w:rPr>
        <w:t xml:space="preserve"> territoire*. Royaume du Maroc.</w:t>
      </w:r>
    </w:p>
  </w:footnote>
  <w:footnote w:id="656">
    <w:p w:rsidR="0083519B" w:rsidRPr="0054641A" w:rsidRDefault="0083519B" w:rsidP="002D1D62">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Planel, S. (2009). "Transformations de l'État et politiques territoriales dans le Maroc contemporain". L'Espace Politique, 7(1).</w:t>
      </w:r>
    </w:p>
  </w:footnote>
  <w:footnote w:id="657">
    <w:p w:rsidR="0083519B" w:rsidRPr="0054641A" w:rsidRDefault="0083519B" w:rsidP="002D1D62">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Direction de l'Aménagement du Territoire. (2001). Schéma National d'Aménagement du Territoire (SNAT). Ministère de l'Aménagement du Territoire, de l'Urbanisme, de l'Habitat et de l'Environnement, Royaume du Maroc.</w:t>
      </w:r>
    </w:p>
  </w:footnote>
  <w:footnote w:id="658">
    <w:p w:rsidR="0083519B" w:rsidRPr="0054641A" w:rsidRDefault="0083519B" w:rsidP="002D1D62">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Sedjari, A. (2008). Gouvernance, réforme et gestion du changement : ou quand le Maroc se modernisera. L'Harmattan, Paris.</w:t>
      </w:r>
    </w:p>
  </w:footnote>
  <w:footnote w:id="659">
    <w:p w:rsidR="0083519B" w:rsidRPr="0054641A" w:rsidRDefault="0083519B" w:rsidP="00FA6C95">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El Kadiri, N. (2007). "Genèse et développement de l'approche territoriale au Maroc". Revue Marocaine d'Administration Locale et de Développement, 45.</w:t>
      </w:r>
    </w:p>
  </w:footnote>
  <w:footnote w:id="660">
    <w:p w:rsidR="0083519B" w:rsidRPr="0054641A" w:rsidRDefault="0083519B" w:rsidP="00045C15">
      <w:pPr>
        <w:pStyle w:val="Notedebasdepage"/>
        <w:rPr>
          <w:rFonts w:ascii="Tahoma" w:hAnsi="Tahoma" w:cs="Tahoma"/>
        </w:rPr>
      </w:pPr>
      <w:r w:rsidRPr="0054641A">
        <w:rPr>
          <w:rStyle w:val="Appelnotedebasdep"/>
          <w:rFonts w:ascii="Tahoma" w:hAnsi="Tahoma" w:cs="Tahoma"/>
        </w:rPr>
        <w:footnoteRef/>
      </w:r>
      <w:r w:rsidRPr="0054641A">
        <w:rPr>
          <w:rFonts w:ascii="Tahoma" w:hAnsi="Tahoma" w:cs="Tahoma"/>
        </w:rPr>
        <w:t xml:space="preserve"> Troin, J.F. (2002). Maroc : régions, pays, territoires. Maisonneuve et Larose, Paris.</w:t>
      </w:r>
    </w:p>
  </w:footnote>
  <w:footnote w:id="661">
    <w:p w:rsidR="0083519B" w:rsidRPr="0054641A" w:rsidRDefault="0083519B" w:rsidP="00045C15">
      <w:pPr>
        <w:pStyle w:val="Notedebasdepage"/>
        <w:rPr>
          <w:rFonts w:ascii="Tahoma" w:hAnsi="Tahoma" w:cs="Tahoma"/>
        </w:rPr>
      </w:pPr>
      <w:r w:rsidRPr="0054641A">
        <w:rPr>
          <w:rStyle w:val="Appelnotedebasdep"/>
          <w:rFonts w:ascii="Tahoma" w:hAnsi="Tahoma" w:cs="Tahoma"/>
        </w:rPr>
        <w:footnoteRef/>
      </w:r>
      <w:r w:rsidRPr="0054641A">
        <w:rPr>
          <w:rFonts w:ascii="Tahoma" w:hAnsi="Tahoma" w:cs="Tahoma"/>
        </w:rPr>
        <w:t xml:space="preserve"> Berriane, M. et Kagermeier, A. (2010). Recherches sur les disparités socio-spatiales au Maroc. Publications de la Faculté des Lettres et des Sciences Humaines, Rabat.</w:t>
      </w:r>
    </w:p>
  </w:footnote>
  <w:footnote w:id="662">
    <w:p w:rsidR="0083519B" w:rsidRPr="0054641A" w:rsidRDefault="0083519B" w:rsidP="00045C15">
      <w:pPr>
        <w:pStyle w:val="Notedebasdepage"/>
        <w:rPr>
          <w:rFonts w:ascii="Tahoma" w:hAnsi="Tahoma" w:cs="Tahoma"/>
        </w:rPr>
      </w:pPr>
      <w:r w:rsidRPr="0054641A">
        <w:rPr>
          <w:rStyle w:val="Appelnotedebasdep"/>
          <w:rFonts w:ascii="Tahoma" w:hAnsi="Tahoma" w:cs="Tahoma"/>
        </w:rPr>
        <w:footnoteRef/>
      </w:r>
      <w:r w:rsidRPr="0054641A">
        <w:rPr>
          <w:rFonts w:ascii="Tahoma" w:hAnsi="Tahoma" w:cs="Tahoma"/>
        </w:rPr>
        <w:t xml:space="preserve"> Iraki, A. et Tamim, M. (2009). "Organisation des populations et place des élites locales dans la gestion politique d'une périphérie de Grand Casablanca : le cas de Dar Bouazza (Maroc)". Les Cahiers d'EMAM, 17, pp. 11-30.</w:t>
      </w:r>
    </w:p>
  </w:footnote>
  <w:footnote w:id="663">
    <w:p w:rsidR="0083519B" w:rsidRPr="0054641A" w:rsidRDefault="0083519B" w:rsidP="00045C15">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Chouiki, M. (2013). Le Maroc face au défi urbain : quelle politique de la ville ?. Dar Attaouhidi, Rabat.</w:t>
      </w:r>
    </w:p>
  </w:footnote>
  <w:footnote w:id="664">
    <w:p w:rsidR="0083519B" w:rsidRPr="0054641A" w:rsidRDefault="0083519B" w:rsidP="00045C15">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Signoles, P. (2014). "Territoires et politiques dans les périphéries des grandes villes du Maghreb". Les Cahiers d'EMAM, 23.</w:t>
      </w:r>
    </w:p>
  </w:footnote>
  <w:footnote w:id="665">
    <w:p w:rsidR="0083519B" w:rsidRPr="0054641A" w:rsidRDefault="0083519B" w:rsidP="00045C15">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Vermeren, P. (2010). Histoire du Maroc depuis l'indépendance. La Découverte, Paris.</w:t>
      </w:r>
    </w:p>
  </w:footnote>
  <w:footnote w:id="666">
    <w:p w:rsidR="0083519B" w:rsidRPr="0054641A" w:rsidRDefault="0083519B" w:rsidP="00045C15">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Rousset, M. (2004). "Développement local et aménagement du territoire au Maroc". Revue Marocaine d'Administration Locale et de Développement, 56-57.</w:t>
      </w:r>
    </w:p>
  </w:footnote>
  <w:footnote w:id="667">
    <w:p w:rsidR="0083519B" w:rsidRPr="0054641A" w:rsidRDefault="0083519B" w:rsidP="00045C15">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Direction de l'Aménagement du Territoire. (2004). Le débat national sur l'aménagement du territoire : éléments introductifs. Ministère de l'Aménagement du Territoire, de l'Eau et de l'Environnement, Royaume du Maroc.</w:t>
      </w:r>
    </w:p>
  </w:footnote>
  <w:footnote w:id="668">
    <w:p w:rsidR="0083519B" w:rsidRPr="0054641A" w:rsidRDefault="0083519B" w:rsidP="00045C15">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Navez-Bouchanine, F. (2007). "Le développement urbain durable : « best practice » ou leurre méthodologique ?". Espaces et sociétés, 131, pp. 101-116.</w:t>
      </w:r>
    </w:p>
  </w:footnote>
  <w:footnote w:id="669">
    <w:p w:rsidR="0083519B" w:rsidRPr="0054641A" w:rsidRDefault="0083519B" w:rsidP="00045C15">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Philifert, P. (2017). "Transition démographique et urbaine au Maroc". Territoire en mouvement, 33.</w:t>
      </w:r>
    </w:p>
  </w:footnote>
  <w:footnote w:id="670">
    <w:p w:rsidR="0083519B" w:rsidRPr="0054641A" w:rsidRDefault="0083519B" w:rsidP="00045C15">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Zaki, L. (2011). "L'action publique au bidonville : l'État entre gestion par le manque, « éradication » des kariens et accompagnement social des habitants". L'Année du Maghreb, VII, pp. 303-320.</w:t>
      </w:r>
    </w:p>
  </w:footnote>
  <w:footnote w:id="671">
    <w:p w:rsidR="0083519B" w:rsidRPr="0054641A" w:rsidRDefault="0083519B" w:rsidP="00045C15">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Barthel, P.A. et Zaki, L. (2011). Expérimenter la "ville durable" au sud de la Méditerranée : chercheurs et professionnels en dialogues. L'Aube, La Tour d'Aigues.</w:t>
      </w:r>
    </w:p>
  </w:footnote>
  <w:footnote w:id="672">
    <w:p w:rsidR="0083519B" w:rsidRPr="002D1D62" w:rsidRDefault="0083519B" w:rsidP="00045C15">
      <w:pPr>
        <w:pStyle w:val="NormalWeb"/>
        <w:spacing w:before="0" w:beforeAutospacing="0" w:after="0" w:afterAutospacing="0"/>
        <w:jc w:val="both"/>
        <w:rPr>
          <w:rFonts w:ascii="Tahoma" w:eastAsiaTheme="minorHAnsi" w:hAnsi="Tahoma" w:cs="Tahoma"/>
          <w:sz w:val="20"/>
          <w:szCs w:val="20"/>
          <w:lang w:eastAsia="en-US"/>
        </w:rPr>
      </w:pPr>
      <w:r w:rsidRPr="0054641A">
        <w:rPr>
          <w:rStyle w:val="Appelnotedebasdep"/>
          <w:rFonts w:ascii="Tahoma" w:hAnsi="Tahoma" w:cs="Tahoma"/>
          <w:sz w:val="20"/>
          <w:szCs w:val="20"/>
        </w:rPr>
        <w:footnoteRef/>
      </w:r>
      <w:r w:rsidRPr="0054641A">
        <w:rPr>
          <w:rFonts w:ascii="Tahoma" w:eastAsiaTheme="minorHAnsi" w:hAnsi="Tahoma" w:cs="Tahoma"/>
          <w:sz w:val="20"/>
          <w:szCs w:val="20"/>
          <w:lang w:eastAsia="en-US"/>
        </w:rPr>
        <w:t>Adidi, A. “De l’aménagement du territoire au développement territorial : quelle transition et quelle articulation ?” 1ère Conférence Intercontinentale d’Intelligence Territoriale – I.C.I. les territoires, l’Intelligence, la Communication et l’Ingénierie territoriales pour penser ensemble le développement des territoires, 2011, Gatineau, Canada. HAL, halshs-00960909, https://shs</w:t>
      </w:r>
      <w:r>
        <w:rPr>
          <w:rFonts w:ascii="Tahoma" w:eastAsiaTheme="minorHAnsi" w:hAnsi="Tahoma" w:cs="Tahoma"/>
          <w:sz w:val="20"/>
          <w:szCs w:val="20"/>
          <w:lang w:eastAsia="en-US"/>
        </w:rPr>
        <w:t>.hal.science/halshs-00960909v1.</w:t>
      </w:r>
    </w:p>
  </w:footnote>
  <w:footnote w:id="673">
    <w:p w:rsidR="0083519B" w:rsidRPr="007D7A96" w:rsidRDefault="0083519B" w:rsidP="007D7A96">
      <w:pPr>
        <w:spacing w:after="0"/>
        <w:jc w:val="both"/>
        <w:rPr>
          <w:rFonts w:ascii="Tahoma" w:hAnsi="Tahoma" w:cs="Tahoma"/>
          <w:sz w:val="20"/>
          <w:szCs w:val="20"/>
        </w:rPr>
      </w:pPr>
      <w:r w:rsidRPr="0054641A">
        <w:rPr>
          <w:rStyle w:val="Appelnotedebasdep"/>
          <w:rFonts w:ascii="Tahoma" w:hAnsi="Tahoma" w:cs="Tahoma"/>
          <w:sz w:val="20"/>
          <w:szCs w:val="20"/>
        </w:rPr>
        <w:footnoteRef/>
      </w:r>
      <w:r w:rsidRPr="0054641A">
        <w:rPr>
          <w:rFonts w:ascii="Tahoma" w:hAnsi="Tahoma" w:cs="Tahoma"/>
          <w:sz w:val="20"/>
          <w:szCs w:val="20"/>
        </w:rPr>
        <w:t xml:space="preserve"> Berriane, Mohamed et Nora Mareï. Mobilités et développement territorial au Maroc : Effets territoriaux des migrations internes et internationales. Rabat : Univ</w:t>
      </w:r>
      <w:r>
        <w:rPr>
          <w:rFonts w:ascii="Tahoma" w:hAnsi="Tahoma" w:cs="Tahoma"/>
          <w:sz w:val="20"/>
          <w:szCs w:val="20"/>
        </w:rPr>
        <w:t>ersité Mohammed V, 2019, p. 18.</w:t>
      </w:r>
    </w:p>
  </w:footnote>
  <w:footnote w:id="674">
    <w:p w:rsidR="0083519B" w:rsidRPr="002D1D62" w:rsidRDefault="0083519B" w:rsidP="002D1D62">
      <w:pPr>
        <w:spacing w:after="0"/>
        <w:jc w:val="both"/>
        <w:rPr>
          <w:rFonts w:ascii="Tahoma" w:hAnsi="Tahoma" w:cs="Tahoma"/>
          <w:sz w:val="20"/>
          <w:szCs w:val="20"/>
        </w:rPr>
      </w:pPr>
      <w:r w:rsidRPr="0054641A">
        <w:rPr>
          <w:rStyle w:val="Appelnotedebasdep"/>
          <w:rFonts w:ascii="Tahoma" w:hAnsi="Tahoma" w:cs="Tahoma"/>
          <w:sz w:val="20"/>
          <w:szCs w:val="20"/>
        </w:rPr>
        <w:footnoteRef/>
      </w:r>
      <w:r w:rsidRPr="0054641A">
        <w:rPr>
          <w:rFonts w:ascii="Tahoma" w:hAnsi="Tahoma" w:cs="Tahoma"/>
          <w:sz w:val="20"/>
          <w:szCs w:val="20"/>
        </w:rPr>
        <w:t xml:space="preserve"> Naciri, Mohamed. "Territoire : contrôler ou développer, le dilemme du pouvoir depuis un siècle." Mag</w:t>
      </w:r>
      <w:r>
        <w:rPr>
          <w:rFonts w:ascii="Tahoma" w:hAnsi="Tahoma" w:cs="Tahoma"/>
          <w:sz w:val="20"/>
          <w:szCs w:val="20"/>
        </w:rPr>
        <w:t>hreb-Machrek 164 (1999) : 9-35.</w:t>
      </w:r>
    </w:p>
  </w:footnote>
  <w:footnote w:id="675">
    <w:p w:rsidR="0083519B" w:rsidRPr="007D7A96" w:rsidRDefault="0083519B" w:rsidP="007D7A96">
      <w:pPr>
        <w:spacing w:after="0"/>
        <w:jc w:val="both"/>
        <w:rPr>
          <w:rFonts w:ascii="Tahoma" w:hAnsi="Tahoma" w:cs="Tahoma"/>
          <w:sz w:val="20"/>
          <w:szCs w:val="20"/>
        </w:rPr>
      </w:pPr>
      <w:r w:rsidRPr="0054641A">
        <w:rPr>
          <w:rStyle w:val="Appelnotedebasdep"/>
          <w:rFonts w:ascii="Tahoma" w:hAnsi="Tahoma" w:cs="Tahoma"/>
          <w:sz w:val="20"/>
          <w:szCs w:val="20"/>
        </w:rPr>
        <w:footnoteRef/>
      </w:r>
      <w:r w:rsidRPr="0054641A">
        <w:rPr>
          <w:rFonts w:ascii="Tahoma" w:hAnsi="Tahoma" w:cs="Tahoma"/>
          <w:sz w:val="20"/>
          <w:szCs w:val="20"/>
        </w:rPr>
        <w:t xml:space="preserve"> Bouderbala, Négib. "Les terres collectives du Maroc dans la première période du protectorat (1912-1930)." Revue du monde musulman et de la Médi</w:t>
      </w:r>
      <w:r>
        <w:rPr>
          <w:rFonts w:ascii="Tahoma" w:hAnsi="Tahoma" w:cs="Tahoma"/>
          <w:sz w:val="20"/>
          <w:szCs w:val="20"/>
        </w:rPr>
        <w:t>terranée. 79.1 (1996): 143-156.</w:t>
      </w:r>
    </w:p>
  </w:footnote>
  <w:footnote w:id="676">
    <w:p w:rsidR="0083519B" w:rsidRPr="002D1D62" w:rsidRDefault="0083519B" w:rsidP="002D1D62">
      <w:pPr>
        <w:spacing w:after="0"/>
        <w:jc w:val="both"/>
        <w:rPr>
          <w:rFonts w:ascii="Tahoma" w:hAnsi="Tahoma" w:cs="Tahoma"/>
          <w:sz w:val="20"/>
          <w:szCs w:val="20"/>
        </w:rPr>
      </w:pPr>
      <w:r w:rsidRPr="0054641A">
        <w:rPr>
          <w:rStyle w:val="Appelnotedebasdep"/>
          <w:rFonts w:ascii="Tahoma" w:hAnsi="Tahoma" w:cs="Tahoma"/>
          <w:sz w:val="20"/>
          <w:szCs w:val="20"/>
        </w:rPr>
        <w:footnoteRef/>
      </w:r>
      <w:r w:rsidRPr="0054641A">
        <w:rPr>
          <w:rFonts w:ascii="Tahoma" w:hAnsi="Tahoma" w:cs="Tahoma"/>
          <w:sz w:val="20"/>
          <w:szCs w:val="20"/>
        </w:rPr>
        <w:t xml:space="preserve"> Naciri, Mohamed. "L'aménagement de l'espace territorial au Maroc : lieux d'autonomie et centralisation étatique." In L'État du Maghreb, édité par Camille Lacoste et Yves Lacoste, 271-27</w:t>
      </w:r>
      <w:r>
        <w:rPr>
          <w:rFonts w:ascii="Tahoma" w:hAnsi="Tahoma" w:cs="Tahoma"/>
          <w:sz w:val="20"/>
          <w:szCs w:val="20"/>
        </w:rPr>
        <w:t>6. Paris : La Découverte, 1991.</w:t>
      </w:r>
    </w:p>
  </w:footnote>
  <w:footnote w:id="677">
    <w:p w:rsidR="0083519B" w:rsidRPr="002D1D62" w:rsidRDefault="0083519B" w:rsidP="002D1D62">
      <w:pPr>
        <w:spacing w:after="0"/>
        <w:jc w:val="both"/>
        <w:rPr>
          <w:rFonts w:ascii="Tahoma" w:hAnsi="Tahoma" w:cs="Tahoma"/>
          <w:sz w:val="20"/>
          <w:szCs w:val="20"/>
        </w:rPr>
      </w:pPr>
      <w:r w:rsidRPr="0054641A">
        <w:rPr>
          <w:rStyle w:val="Appelnotedebasdep"/>
          <w:rFonts w:ascii="Tahoma" w:hAnsi="Tahoma" w:cs="Tahoma"/>
          <w:sz w:val="20"/>
          <w:szCs w:val="20"/>
        </w:rPr>
        <w:footnoteRef/>
      </w:r>
      <w:r w:rsidRPr="0054641A">
        <w:rPr>
          <w:rFonts w:ascii="Tahoma" w:hAnsi="Tahoma" w:cs="Tahoma"/>
          <w:sz w:val="20"/>
          <w:szCs w:val="20"/>
        </w:rPr>
        <w:t xml:space="preserve"> Davis, Diana K. Les mythes environnementaux de la colonisation française au Maghreb. Seysse</w:t>
      </w:r>
      <w:r>
        <w:rPr>
          <w:rFonts w:ascii="Tahoma" w:hAnsi="Tahoma" w:cs="Tahoma"/>
          <w:sz w:val="20"/>
          <w:szCs w:val="20"/>
        </w:rPr>
        <w:t>l : Champ Vallon, 2012, p. 172.</w:t>
      </w:r>
    </w:p>
  </w:footnote>
  <w:footnote w:id="678">
    <w:p w:rsidR="0083519B" w:rsidRPr="002D1D62" w:rsidRDefault="0083519B" w:rsidP="002D1D62">
      <w:pPr>
        <w:spacing w:after="0"/>
        <w:jc w:val="both"/>
        <w:rPr>
          <w:rFonts w:ascii="Tahoma" w:hAnsi="Tahoma" w:cs="Tahoma"/>
          <w:sz w:val="20"/>
          <w:szCs w:val="20"/>
        </w:rPr>
      </w:pPr>
      <w:r w:rsidRPr="0054641A">
        <w:rPr>
          <w:rStyle w:val="Appelnotedebasdep"/>
          <w:rFonts w:ascii="Tahoma" w:hAnsi="Tahoma" w:cs="Tahoma"/>
          <w:sz w:val="20"/>
          <w:szCs w:val="20"/>
        </w:rPr>
        <w:footnoteRef/>
      </w:r>
      <w:r w:rsidRPr="0054641A">
        <w:rPr>
          <w:rFonts w:ascii="Tahoma" w:hAnsi="Tahoma" w:cs="Tahoma"/>
          <w:sz w:val="20"/>
          <w:szCs w:val="20"/>
        </w:rPr>
        <w:t xml:space="preserve"> Royaume du Maroc. Schéma National d'Aménagement du Territoire. Rabat : Ministère de l'Aménagement du Territoire, de l'Eau et d</w:t>
      </w:r>
      <w:r>
        <w:rPr>
          <w:rFonts w:ascii="Tahoma" w:hAnsi="Tahoma" w:cs="Tahoma"/>
          <w:sz w:val="20"/>
          <w:szCs w:val="20"/>
        </w:rPr>
        <w:t>e l'Environnement, 2004, p. 25.</w:t>
      </w:r>
    </w:p>
  </w:footnote>
  <w:footnote w:id="679">
    <w:p w:rsidR="0083519B" w:rsidRPr="0054641A" w:rsidRDefault="0083519B" w:rsidP="002D1D62">
      <w:pPr>
        <w:spacing w:after="0"/>
        <w:jc w:val="both"/>
        <w:rPr>
          <w:rFonts w:ascii="Tahoma" w:hAnsi="Tahoma" w:cs="Tahoma"/>
          <w:sz w:val="20"/>
          <w:szCs w:val="20"/>
        </w:rPr>
      </w:pPr>
      <w:r w:rsidRPr="0054641A">
        <w:rPr>
          <w:rFonts w:ascii="Tahoma" w:hAnsi="Tahoma" w:cs="Tahoma"/>
          <w:sz w:val="20"/>
          <w:szCs w:val="20"/>
        </w:rPr>
        <w:footnoteRef/>
      </w:r>
      <w:r w:rsidRPr="0054641A">
        <w:rPr>
          <w:rFonts w:ascii="Tahoma" w:hAnsi="Tahoma" w:cs="Tahoma"/>
          <w:sz w:val="20"/>
          <w:szCs w:val="20"/>
        </w:rPr>
        <w:t xml:space="preserve"> Kabbaj, Mohammed. "Les politiques d'aménagement et de développement des zones de montagne au Maroc." Revue de Géograp</w:t>
      </w:r>
      <w:r>
        <w:rPr>
          <w:rFonts w:ascii="Tahoma" w:hAnsi="Tahoma" w:cs="Tahoma"/>
          <w:sz w:val="20"/>
          <w:szCs w:val="20"/>
        </w:rPr>
        <w:t>hie Alpine 85.3 (1997) : 75-86.</w:t>
      </w:r>
    </w:p>
  </w:footnote>
  <w:footnote w:id="680">
    <w:p w:rsidR="0083519B" w:rsidRPr="0054641A" w:rsidRDefault="0083519B" w:rsidP="00E11C36">
      <w:pPr>
        <w:spacing w:after="0"/>
        <w:jc w:val="both"/>
        <w:rPr>
          <w:rFonts w:ascii="Tahoma" w:hAnsi="Tahoma" w:cs="Tahoma"/>
          <w:sz w:val="20"/>
          <w:szCs w:val="20"/>
        </w:rPr>
      </w:pPr>
      <w:r w:rsidRPr="0054641A">
        <w:rPr>
          <w:rFonts w:ascii="Tahoma" w:hAnsi="Tahoma" w:cs="Tahoma"/>
          <w:sz w:val="20"/>
          <w:szCs w:val="20"/>
        </w:rPr>
        <w:footnoteRef/>
      </w:r>
      <w:r w:rsidRPr="0054641A">
        <w:rPr>
          <w:rFonts w:ascii="Tahoma" w:hAnsi="Tahoma" w:cs="Tahoma"/>
          <w:sz w:val="20"/>
          <w:szCs w:val="20"/>
        </w:rPr>
        <w:t xml:space="preserve"> Mahdi, Mohamed. "Patrimonialisation des ressources et développement durable : le cas de la vallée des Aït Bouguemez dans le Haut Atlas marocain." Development and</w:t>
      </w:r>
      <w:r>
        <w:rPr>
          <w:rFonts w:ascii="Tahoma" w:hAnsi="Tahoma" w:cs="Tahoma"/>
          <w:sz w:val="20"/>
          <w:szCs w:val="20"/>
        </w:rPr>
        <w:t xml:space="preserve"> Environment 2.3 (2013): 47-63.</w:t>
      </w:r>
    </w:p>
  </w:footnote>
  <w:footnote w:id="681">
    <w:p w:rsidR="0083519B" w:rsidRPr="0054641A" w:rsidRDefault="0083519B" w:rsidP="002D1D62">
      <w:pPr>
        <w:spacing w:after="0"/>
        <w:jc w:val="both"/>
        <w:rPr>
          <w:rFonts w:ascii="Tahoma" w:hAnsi="Tahoma" w:cs="Tahoma"/>
          <w:sz w:val="20"/>
          <w:szCs w:val="20"/>
        </w:rPr>
      </w:pPr>
      <w:r w:rsidRPr="0054641A">
        <w:rPr>
          <w:rFonts w:ascii="Tahoma" w:hAnsi="Tahoma" w:cs="Tahoma"/>
          <w:sz w:val="20"/>
          <w:szCs w:val="20"/>
        </w:rPr>
        <w:footnoteRef/>
      </w:r>
      <w:r w:rsidRPr="0054641A">
        <w:rPr>
          <w:rFonts w:ascii="Tahoma" w:hAnsi="Tahoma" w:cs="Tahoma"/>
          <w:sz w:val="20"/>
          <w:szCs w:val="20"/>
        </w:rPr>
        <w:t xml:space="preserve"> Boujrouf, Saïd. "Innovation et recomposition territoriale au Maroc : une mise en perspective géo-historique." In Développement rural, Environnement et Enjeux territoriaux : Regards croisés Oriental marocain et Sud-Est tunisien édité par Pierre Bonte et al., 67-84. Tunis: Cérès Éditions, 2009.</w:t>
      </w:r>
    </w:p>
  </w:footnote>
  <w:footnote w:id="682">
    <w:p w:rsidR="0083519B" w:rsidRPr="0054641A" w:rsidRDefault="0083519B" w:rsidP="002D1D62">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Royaume du Maroc. Stratégie Nationale de Développement Durable 2030. Rabat: Ministère délégué auprès du Ministre de l'Énergie, des Mines, de l'Eau et de l'Environnement, 2017, p. 43.</w:t>
      </w:r>
    </w:p>
  </w:footnote>
  <w:footnote w:id="683">
    <w:p w:rsidR="0083519B" w:rsidRPr="00E11C36" w:rsidRDefault="0083519B" w:rsidP="00E11C36">
      <w:pPr>
        <w:spacing w:after="0"/>
        <w:jc w:val="both"/>
        <w:rPr>
          <w:rFonts w:ascii="Tahoma" w:hAnsi="Tahoma" w:cs="Tahoma"/>
          <w:sz w:val="20"/>
          <w:szCs w:val="20"/>
        </w:rPr>
      </w:pPr>
      <w:r w:rsidRPr="0054641A">
        <w:rPr>
          <w:rStyle w:val="Appelnotedebasdep"/>
          <w:rFonts w:ascii="Tahoma" w:hAnsi="Tahoma" w:cs="Tahoma"/>
          <w:sz w:val="20"/>
          <w:szCs w:val="20"/>
        </w:rPr>
        <w:footnoteRef/>
      </w:r>
      <w:r w:rsidRPr="0054641A">
        <w:rPr>
          <w:rFonts w:ascii="Tahoma" w:hAnsi="Tahoma" w:cs="Tahoma"/>
          <w:sz w:val="20"/>
          <w:szCs w:val="20"/>
        </w:rPr>
        <w:t xml:space="preserve"> Tozy, Mohamed. "La régionalisation au Maroc : réforme territoriale et dynamiques politiques." In Les terrains du politique au Maghreb, édité par Jean-Noël Ferrié et Jean-Claude Santucci, </w:t>
      </w:r>
      <w:r>
        <w:rPr>
          <w:rFonts w:ascii="Tahoma" w:hAnsi="Tahoma" w:cs="Tahoma"/>
          <w:sz w:val="20"/>
          <w:szCs w:val="20"/>
        </w:rPr>
        <w:t>111-128. Paris: Karthala, 2006.</w:t>
      </w:r>
    </w:p>
  </w:footnote>
  <w:footnote w:id="684">
    <w:p w:rsidR="0083519B" w:rsidRPr="002D1D62" w:rsidRDefault="0083519B" w:rsidP="002D1D62">
      <w:pPr>
        <w:spacing w:after="0"/>
        <w:jc w:val="both"/>
        <w:rPr>
          <w:rFonts w:ascii="Tahoma" w:hAnsi="Tahoma" w:cs="Tahoma"/>
          <w:sz w:val="20"/>
          <w:szCs w:val="20"/>
        </w:rPr>
      </w:pPr>
      <w:r w:rsidRPr="0054641A">
        <w:rPr>
          <w:rStyle w:val="Appelnotedebasdep"/>
          <w:rFonts w:ascii="Tahoma" w:hAnsi="Tahoma" w:cs="Tahoma"/>
          <w:sz w:val="20"/>
          <w:szCs w:val="20"/>
        </w:rPr>
        <w:footnoteRef/>
      </w:r>
      <w:r w:rsidRPr="0054641A">
        <w:rPr>
          <w:rFonts w:ascii="Tahoma" w:hAnsi="Tahoma" w:cs="Tahoma"/>
          <w:sz w:val="20"/>
          <w:szCs w:val="20"/>
        </w:rPr>
        <w:t xml:space="preserve"> Akesbi, Najib. "Une nouvelle stratégie pour l'agriculture marocaine : Le 'Plan Maroc Vert'.</w:t>
      </w:r>
      <w:r>
        <w:rPr>
          <w:rFonts w:ascii="Tahoma" w:hAnsi="Tahoma" w:cs="Tahoma"/>
          <w:sz w:val="20"/>
          <w:szCs w:val="20"/>
        </w:rPr>
        <w:t>" New Medit 11.2 (2012): 12-23.</w:t>
      </w:r>
    </w:p>
  </w:footnote>
  <w:footnote w:id="685">
    <w:p w:rsidR="0083519B" w:rsidRPr="002D1D62" w:rsidRDefault="0083519B" w:rsidP="002D1D62">
      <w:pPr>
        <w:spacing w:after="0"/>
        <w:jc w:val="both"/>
        <w:rPr>
          <w:rFonts w:ascii="Tahoma" w:hAnsi="Tahoma" w:cs="Tahoma"/>
          <w:sz w:val="20"/>
          <w:szCs w:val="20"/>
        </w:rPr>
      </w:pPr>
      <w:r w:rsidRPr="0054641A">
        <w:rPr>
          <w:rStyle w:val="Appelnotedebasdep"/>
          <w:rFonts w:ascii="Tahoma" w:hAnsi="Tahoma" w:cs="Tahoma"/>
          <w:sz w:val="20"/>
          <w:szCs w:val="20"/>
        </w:rPr>
        <w:footnoteRef/>
      </w:r>
      <w:r w:rsidRPr="0054641A">
        <w:rPr>
          <w:rFonts w:ascii="Tahoma" w:hAnsi="Tahoma" w:cs="Tahoma"/>
          <w:sz w:val="20"/>
          <w:szCs w:val="20"/>
        </w:rPr>
        <w:t xml:space="preserve"> Royaume du Maroc. Stratégie Forestière Nationale 2020-2030. Rabat : Département d</w:t>
      </w:r>
      <w:r>
        <w:rPr>
          <w:rFonts w:ascii="Tahoma" w:hAnsi="Tahoma" w:cs="Tahoma"/>
          <w:sz w:val="20"/>
          <w:szCs w:val="20"/>
        </w:rPr>
        <w:t>es Eaux et Forêts, 2019, p. 31.</w:t>
      </w:r>
    </w:p>
  </w:footnote>
  <w:footnote w:id="686">
    <w:p w:rsidR="0083519B" w:rsidRPr="00E11C36" w:rsidRDefault="0083519B" w:rsidP="002D1D62">
      <w:pPr>
        <w:pStyle w:val="Notedebasdepage"/>
        <w:jc w:val="both"/>
        <w:rPr>
          <w:rFonts w:ascii="Tahoma" w:hAnsi="Tahoma" w:cs="Tahoma"/>
          <w:color w:val="000000" w:themeColor="text1"/>
        </w:rPr>
      </w:pPr>
      <w:r w:rsidRPr="00E11C36">
        <w:rPr>
          <w:rStyle w:val="Appelnotedebasdep"/>
          <w:rFonts w:ascii="Tahoma" w:hAnsi="Tahoma" w:cs="Tahoma"/>
        </w:rPr>
        <w:footnoteRef/>
      </w:r>
      <w:r w:rsidRPr="00E11C36">
        <w:rPr>
          <w:rFonts w:ascii="Tahoma" w:hAnsi="Tahoma" w:cs="Tahoma"/>
        </w:rPr>
        <w:t xml:space="preserve"> Pélissier, </w:t>
      </w:r>
      <w:r w:rsidRPr="00E11C36">
        <w:rPr>
          <w:rFonts w:ascii="Tahoma" w:hAnsi="Tahoma" w:cs="Tahoma"/>
          <w:color w:val="000000" w:themeColor="text1"/>
        </w:rPr>
        <w:t>Paul. "Transition foncière en Afrique noire : du temps des terroirs au temps des finages." In Études rurales, 153-154 (2000) : 21-36.</w:t>
      </w:r>
    </w:p>
  </w:footnote>
  <w:footnote w:id="687">
    <w:p w:rsidR="0083519B" w:rsidRPr="002D1D62" w:rsidRDefault="0083519B" w:rsidP="002D1D62">
      <w:pPr>
        <w:pStyle w:val="Notedebasdepage"/>
        <w:jc w:val="both"/>
        <w:rPr>
          <w:rFonts w:ascii="Tahoma" w:hAnsi="Tahoma" w:cs="Tahoma"/>
          <w:color w:val="000000" w:themeColor="text1"/>
        </w:rPr>
      </w:pPr>
      <w:r w:rsidRPr="00E11C36">
        <w:rPr>
          <w:rStyle w:val="Appelnotedebasdep"/>
          <w:rFonts w:ascii="Tahoma" w:hAnsi="Tahoma" w:cs="Tahoma"/>
          <w:color w:val="000000" w:themeColor="text1"/>
        </w:rPr>
        <w:footnoteRef/>
      </w:r>
      <w:r w:rsidRPr="00E11C36">
        <w:rPr>
          <w:rFonts w:ascii="Tahoma" w:hAnsi="Tahoma" w:cs="Tahoma"/>
          <w:color w:val="000000" w:themeColor="text1"/>
        </w:rPr>
        <w:t xml:space="preserve"> </w:t>
      </w:r>
      <w:r w:rsidRPr="00E11C36">
        <w:rPr>
          <w:rStyle w:val="lev"/>
          <w:rFonts w:ascii="Tahoma" w:hAnsi="Tahoma" w:cs="Tahoma"/>
          <w:b w:val="0"/>
          <w:bCs w:val="0"/>
          <w:color w:val="000000" w:themeColor="text1"/>
        </w:rPr>
        <w:t xml:space="preserve">Haut-Commissariat au Plan. </w:t>
      </w:r>
      <w:r w:rsidRPr="00E11C36">
        <w:rPr>
          <w:rStyle w:val="Accentuation"/>
          <w:rFonts w:ascii="Tahoma" w:hAnsi="Tahoma" w:cs="Tahoma"/>
          <w:color w:val="000000" w:themeColor="text1"/>
        </w:rPr>
        <w:t>Pauvreté et vulnérabilité.</w:t>
      </w:r>
      <w:r w:rsidRPr="00E11C36">
        <w:rPr>
          <w:rStyle w:val="lev"/>
          <w:rFonts w:ascii="Tahoma" w:hAnsi="Tahoma" w:cs="Tahoma"/>
          <w:b w:val="0"/>
          <w:bCs w:val="0"/>
          <w:color w:val="000000" w:themeColor="text1"/>
        </w:rPr>
        <w:t xml:space="preserve"> Haut-Commissariat au Plan du Royaume du Maroc, 2025,</w:t>
      </w:r>
      <w:r w:rsidRPr="00E11C36">
        <w:rPr>
          <w:rFonts w:ascii="Tahoma" w:hAnsi="Tahoma" w:cs="Tahoma"/>
          <w:color w:val="000000" w:themeColor="text1"/>
        </w:rPr>
        <w:t xml:space="preserve"> </w:t>
      </w:r>
      <w:hyperlink r:id="rId10" w:tgtFrame="_new" w:history="1">
        <w:r w:rsidRPr="00E11C36">
          <w:rPr>
            <w:rStyle w:val="Lienhypertexte"/>
            <w:rFonts w:ascii="Tahoma" w:hAnsi="Tahoma" w:cs="Tahoma"/>
            <w:color w:val="000000" w:themeColor="text1"/>
            <w:u w:val="none"/>
          </w:rPr>
          <w:t>https://www.hcp.ma/Pauvrete-vulnerabilite_r493.html</w:t>
        </w:r>
      </w:hyperlink>
      <w:r w:rsidRPr="00E11C36">
        <w:rPr>
          <w:rFonts w:ascii="Tahoma" w:hAnsi="Tahoma" w:cs="Tahoma"/>
          <w:color w:val="000000" w:themeColor="text1"/>
        </w:rPr>
        <w:t>.</w:t>
      </w:r>
    </w:p>
  </w:footnote>
  <w:footnote w:id="688">
    <w:p w:rsidR="0083519B" w:rsidRPr="0054641A" w:rsidRDefault="0083519B" w:rsidP="002D1D62">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Billaud, Jean-Paul. "L'environnement, nouveau paysage des inégalités." Économie rurale. 294.295 (2006): 11-29.</w:t>
      </w:r>
    </w:p>
  </w:footnote>
  <w:footnote w:id="689">
    <w:p w:rsidR="0083519B" w:rsidRPr="002D1D62" w:rsidRDefault="0083519B" w:rsidP="002D1D62">
      <w:pPr>
        <w:spacing w:after="0"/>
        <w:jc w:val="both"/>
        <w:rPr>
          <w:rFonts w:ascii="Tahoma" w:hAnsi="Tahoma" w:cs="Tahoma"/>
          <w:sz w:val="20"/>
          <w:szCs w:val="20"/>
        </w:rPr>
      </w:pPr>
      <w:r w:rsidRPr="0054641A">
        <w:rPr>
          <w:rStyle w:val="Appelnotedebasdep"/>
          <w:rFonts w:ascii="Tahoma" w:hAnsi="Tahoma" w:cs="Tahoma"/>
          <w:sz w:val="20"/>
          <w:szCs w:val="20"/>
        </w:rPr>
        <w:footnoteRef/>
      </w:r>
      <w:r w:rsidRPr="0054641A">
        <w:rPr>
          <w:rFonts w:ascii="Tahoma" w:hAnsi="Tahoma" w:cs="Tahoma"/>
          <w:sz w:val="20"/>
          <w:szCs w:val="20"/>
        </w:rPr>
        <w:t xml:space="preserve"> El Jihad, Moulay-Driss. "Développement rural et conservation des ressources naturelles au Maroc : quelles articulations ?" </w:t>
      </w:r>
      <w:r>
        <w:rPr>
          <w:rFonts w:ascii="Tahoma" w:hAnsi="Tahoma" w:cs="Tahoma"/>
          <w:sz w:val="20"/>
          <w:szCs w:val="20"/>
        </w:rPr>
        <w:t>Géocarrefour 92.3 (2017): 1-19.</w:t>
      </w:r>
    </w:p>
  </w:footnote>
  <w:footnote w:id="690">
    <w:p w:rsidR="0083519B" w:rsidRPr="0054641A" w:rsidRDefault="0083519B" w:rsidP="00FA6C95">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Banque Mondiale. Évaluation de l'Initiative Nationale pour le Développement Humain : bilan et perspectives. Washington DC: Banque mondiale, 2018, p. 57.</w:t>
      </w:r>
    </w:p>
  </w:footnote>
  <w:footnote w:id="691">
    <w:p w:rsidR="0083519B" w:rsidRPr="0054641A" w:rsidRDefault="0083519B" w:rsidP="00FA6C95">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Faysse, Nicolas. "The rationale of the Green Morocco Plan: missing links between goals and implementation." The Journal of North African Studies 20.4 (2015): 622-634.</w:t>
      </w:r>
    </w:p>
  </w:footnote>
  <w:footnote w:id="692">
    <w:p w:rsidR="0083519B" w:rsidRPr="0054641A" w:rsidRDefault="0083519B" w:rsidP="00FA6C95">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Auclair, Laurent et al. "Gestion participative des forêts au Maroc : mythe ou réalité ?" Revue Forestière Française. 63.2 (2011): 157-172.</w:t>
      </w:r>
    </w:p>
  </w:footnote>
  <w:footnote w:id="693">
    <w:p w:rsidR="0083519B" w:rsidRPr="0054641A" w:rsidRDefault="0083519B" w:rsidP="00FA6C95">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Berriane, Yasmine. "La participation des femmes aux structures de gouvernance locale au Maroc : dynamiques et contraintes." Méditerranée. 129 (2017): 113-124.</w:t>
      </w:r>
    </w:p>
  </w:footnote>
  <w:footnote w:id="694">
    <w:p w:rsidR="0083519B" w:rsidRPr="0054641A" w:rsidRDefault="0083519B" w:rsidP="00FA6C95">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Martinez-Alier, Joan. L'écologisme des pauvres : Une étude des conflits environnementaux dans le monde. Paris: Les Petits Matins, 2014, p. 87.</w:t>
      </w:r>
    </w:p>
  </w:footnote>
  <w:footnote w:id="695">
    <w:p w:rsidR="0083519B" w:rsidRPr="0054641A" w:rsidRDefault="0083519B" w:rsidP="00FA6C95">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Simenel, Romain. L'origine est aux frontières : Les Aït Ba'amran, un exil en terre d'arganiers (Sud Maroc). Paris: CNRS Éditions/MSH, 2010, p. 142.</w:t>
      </w:r>
    </w:p>
  </w:footnote>
  <w:footnote w:id="696">
    <w:p w:rsidR="0083519B" w:rsidRPr="00236D1C" w:rsidRDefault="0083519B" w:rsidP="00236D1C">
      <w:pPr>
        <w:spacing w:after="0"/>
        <w:jc w:val="both"/>
        <w:rPr>
          <w:rFonts w:ascii="Tahoma" w:hAnsi="Tahoma" w:cs="Tahoma"/>
          <w:sz w:val="20"/>
          <w:szCs w:val="20"/>
        </w:rPr>
      </w:pPr>
      <w:r w:rsidRPr="0054641A">
        <w:rPr>
          <w:rStyle w:val="Appelnotedebasdep"/>
          <w:rFonts w:ascii="Tahoma" w:hAnsi="Tahoma" w:cs="Tahoma"/>
          <w:sz w:val="20"/>
          <w:szCs w:val="20"/>
        </w:rPr>
        <w:footnoteRef/>
      </w:r>
      <w:r w:rsidRPr="0054641A">
        <w:rPr>
          <w:rFonts w:ascii="Tahoma" w:hAnsi="Tahoma" w:cs="Tahoma"/>
          <w:sz w:val="20"/>
          <w:szCs w:val="20"/>
        </w:rPr>
        <w:t xml:space="preserve"> Commission Spéciale sur le Modèle de Développement. Le Nouveau Modèle de Développement : Libérer les énergies et restaurer la confiance pour accélérer la marche vers le progrès et la prospérité pour tous. Rabat :</w:t>
      </w:r>
      <w:r>
        <w:rPr>
          <w:rFonts w:ascii="Tahoma" w:hAnsi="Tahoma" w:cs="Tahoma"/>
          <w:sz w:val="20"/>
          <w:szCs w:val="20"/>
        </w:rPr>
        <w:t xml:space="preserve"> Royaume du Maroc, 2021, p. 24.</w:t>
      </w:r>
    </w:p>
  </w:footnote>
  <w:footnote w:id="697">
    <w:p w:rsidR="0083519B" w:rsidRPr="0054641A" w:rsidRDefault="0083519B" w:rsidP="00FA6C95">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Kamal, Abderrahim. "Le nouveau modèle de développement au Maroc : enjeux, défis et perspectives." Revue Marocaine des Sciences Politiques et Sociales. 18.2 (2022) : 31-54.</w:t>
      </w:r>
    </w:p>
  </w:footnote>
  <w:footnote w:id="698">
    <w:p w:rsidR="0083519B" w:rsidRPr="0054641A" w:rsidRDefault="0083519B" w:rsidP="00FA6C95">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Bekkali, Souad et Ahmed Rhouzlane. "Territorialisation des politiques publiques au Maroc : De la régionalisation avancée au Nouveau Modèle de Développement." Revue Économie, Gestion et Société. 35 (2023): 117-139.</w:t>
      </w:r>
    </w:p>
  </w:footnote>
  <w:footnote w:id="699">
    <w:p w:rsidR="0083519B" w:rsidRPr="0054641A" w:rsidRDefault="0083519B" w:rsidP="00FA6C95">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Commission Spéciale sur le Modèle de Développement. Le Nouveau Modèle de Développement : Annexe II - Recueil des notes thématiques, projets et perspectives de réformes élaborés par les institutions et forces vives de la Nation. Rabat : Royaume du Maroc, 2021, p. 153.</w:t>
      </w:r>
    </w:p>
  </w:footnote>
  <w:footnote w:id="700">
    <w:p w:rsidR="0083519B" w:rsidRPr="0054641A" w:rsidRDefault="0083519B" w:rsidP="00FA6C95">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El Faiz, Mohammed et Hassan Ramou. "Le développement durable des zones oasiennes et de montagne dans le cadre du Nouveau Modèle de Développement." Les Cahiers du Plan. 54 (2022) : 81-97.</w:t>
      </w:r>
    </w:p>
  </w:footnote>
  <w:footnote w:id="701">
    <w:p w:rsidR="0083519B" w:rsidRPr="0054641A" w:rsidRDefault="0083519B" w:rsidP="00FA6C95">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Houdret, Annabelle et Simon Hartmann. "The hidden side of sustainability politics : The Moroccan green growth narrative and forestry policies." Journal of Environmental Policy &amp; Planning 23.4 (2021) : 418-434.</w:t>
      </w:r>
    </w:p>
  </w:footnote>
  <w:footnote w:id="702">
    <w:p w:rsidR="0083519B" w:rsidRPr="0054641A" w:rsidRDefault="0083519B" w:rsidP="00FA6C95">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Royaume du Maroc. Stratégie Nationale de Développement Rural 2023-2035 : Vers un rural prospère et durable. Rabat : Ministère de l'Agriculture, de la Pêche Maritime, du Développement Rural et des Eaux et Forêts, 2023, p. 42.</w:t>
      </w:r>
    </w:p>
  </w:footnote>
  <w:footnote w:id="703">
    <w:p w:rsidR="0083519B" w:rsidRPr="0054641A" w:rsidRDefault="0083519B" w:rsidP="00FA6C95">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Mouline, Tawfik. Changement climatique : Impacts sur le Maroc et options d'adaptation globales. Rabat : Institut Royal des Études Stratégiques, 2022, p. 76.</w:t>
      </w:r>
    </w:p>
  </w:footnote>
  <w:footnote w:id="704">
    <w:p w:rsidR="0083519B" w:rsidRPr="0054641A" w:rsidRDefault="0083519B" w:rsidP="00FA6C95">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Jaidi, Larabi et Mohamed Moussaoui. "La mise en œuvre du Nouveau Modèle de Développement : enjeux de gouvernance et défis opérationnels." Policy Paper, Policy Center for the New South, 2022, p. 14.</w:t>
      </w:r>
    </w:p>
  </w:footnote>
  <w:footnote w:id="705">
    <w:p w:rsidR="0083519B" w:rsidRPr="0054641A" w:rsidRDefault="0083519B" w:rsidP="00FA6C95">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Boujrouf, Saïd et Mohamed Aderghal. "La territorialisation de l'action publique à l'épreuve des faits : le cas des zones de montagne au Maroc." Revue de Géographie Alpine.109.1 (2021) : 1-17.</w:t>
      </w:r>
    </w:p>
  </w:footnote>
  <w:footnote w:id="706">
    <w:p w:rsidR="0083519B" w:rsidRPr="0054641A" w:rsidRDefault="0083519B" w:rsidP="00FA6C95">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Raffestin, Claude. Pour une géographie du pouvoir. Paris: LITEC, 1980, p. 129.</w:t>
      </w:r>
    </w:p>
  </w:footnote>
  <w:footnote w:id="707">
    <w:p w:rsidR="0083519B" w:rsidRPr="0054641A" w:rsidRDefault="0083519B" w:rsidP="00FA6C95">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Ostrom, Elinor. Governing the Commons: The Evolution of Institutions for Collective Action. Cambridge: Cambridge University Press, 1990, p. 88.</w:t>
      </w:r>
    </w:p>
  </w:footnote>
  <w:footnote w:id="708">
    <w:p w:rsidR="0083519B" w:rsidRPr="0054641A" w:rsidRDefault="0083519B" w:rsidP="00FA6C95">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Pecqueur, Bernard. "Le développement territorial : une nouvelle approche des processus de développement pour les économies du Sud." In. Le territoire est mort, vive les territoires !, édité par Benoît Antheaume et Frédéric Giraut, 295-316. Paris: IRD Éditions, 2005.</w:t>
      </w:r>
    </w:p>
  </w:footnote>
  <w:footnote w:id="709">
    <w:p w:rsidR="0083519B" w:rsidRPr="0054641A" w:rsidRDefault="0083519B" w:rsidP="00FA6C95">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Scott, J. C. (1998). Seeing Like a State : How Certain Schemes to Improve the Human Condition Have Failed. Yale University Press</w:t>
      </w:r>
    </w:p>
  </w:footnote>
  <w:footnote w:id="710">
    <w:p w:rsidR="0083519B" w:rsidRPr="0054641A" w:rsidRDefault="0083519B" w:rsidP="00FA6C95">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Agrawal, A. (2005). Environmentality : Technologies of Government and the Making of Subjects. Duke University Press.</w:t>
      </w:r>
    </w:p>
  </w:footnote>
  <w:footnote w:id="711">
    <w:p w:rsidR="0083519B" w:rsidRPr="0054641A" w:rsidRDefault="0083519B" w:rsidP="00FA6C95">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Pecqueur, B. (2000). Le développement territorial : une réponse émergente à la mondialisation. Paris : Syros, pp. 45–62.</w:t>
      </w:r>
    </w:p>
  </w:footnote>
  <w:footnote w:id="712">
    <w:p w:rsidR="0083519B" w:rsidRPr="0054641A" w:rsidRDefault="0083519B" w:rsidP="00FA6C95">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Lajarge, R., &amp; Roux, J.-M. (2010). Le projet de territoire : outils, méthodes et pratiques. Paris : Le Moniteur, pp. 12–19.</w:t>
      </w:r>
    </w:p>
  </w:footnote>
  <w:footnote w:id="713">
    <w:p w:rsidR="0083519B" w:rsidRPr="0054641A" w:rsidRDefault="0083519B" w:rsidP="00FA6C95">
      <w:pPr>
        <w:pStyle w:val="Notedebasdepage"/>
        <w:rPr>
          <w:rFonts w:ascii="Tahoma" w:hAnsi="Tahoma" w:cs="Tahoma"/>
        </w:rPr>
      </w:pPr>
      <w:r w:rsidRPr="0054641A">
        <w:rPr>
          <w:rStyle w:val="Appelnotedebasdep"/>
          <w:rFonts w:ascii="Tahoma" w:hAnsi="Tahoma" w:cs="Tahoma"/>
        </w:rPr>
        <w:footnoteRef/>
      </w:r>
      <w:r w:rsidRPr="0054641A">
        <w:rPr>
          <w:rFonts w:ascii="Tahoma" w:hAnsi="Tahoma" w:cs="Tahoma"/>
        </w:rPr>
        <w:t xml:space="preserve"> Aubert, P. (2014). Projets de développement et changements dans l'action publique. Revue Tiers Monde, n° 220(4), 221-237.</w:t>
      </w:r>
    </w:p>
  </w:footnote>
  <w:footnote w:id="714">
    <w:p w:rsidR="0083519B" w:rsidRPr="0054641A" w:rsidRDefault="0083519B" w:rsidP="00FA6C95">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Le terme "régulier" est utilisé par les agents de l'administration forestière eux-mêmes pour désigner tout ce qui se passe dans l'administration en dehors des projets.</w:t>
      </w:r>
    </w:p>
  </w:footnote>
  <w:footnote w:id="715">
    <w:p w:rsidR="0083519B" w:rsidRPr="0054641A" w:rsidRDefault="0083519B" w:rsidP="00FA6C95">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Ibid., p.233. Cette notion fait écho aux analyses de G. Blundo (2011) sur "l'administration à deux vitesses" dans les pays du Sahel.</w:t>
      </w:r>
    </w:p>
  </w:footnote>
  <w:footnote w:id="716">
    <w:p w:rsidR="0083519B" w:rsidRPr="0054641A" w:rsidRDefault="0083519B" w:rsidP="00FA6C95">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Aubert P.-M., Leroy M., Auclair L. (2009). Moroccan forestry policies and local forestry management in the High Atlas : A cross analysis of forestry administration and local institutions. Small-scale Forestry, 8, 175-191.</w:t>
      </w:r>
    </w:p>
  </w:footnote>
  <w:footnote w:id="717">
    <w:p w:rsidR="0083519B" w:rsidRPr="0054641A" w:rsidRDefault="0083519B" w:rsidP="00FA6C95">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Berriane, M., &amp; Kagermeier, A. (2020). La gouvernance territoriale à l'épreuve des temporalités politiques au Maroc. Rabat : Publications de l'Institut Universitaire de la Recherche Scientifique.</w:t>
      </w:r>
    </w:p>
  </w:footnote>
  <w:footnote w:id="718">
    <w:p w:rsidR="0083519B" w:rsidRPr="0054641A" w:rsidRDefault="0083519B" w:rsidP="00FA6C95">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El Alami, H., Mostadi, A., &amp; Zine El Abidine, A. (2017). "Dynamiques spatio-temporelles des écosystèmes forestiers marocains face aux changements climatiques." Revue Marocaine des Sciences Agronomiques et Vétérinaires, 5(3), pp. 278-291.</w:t>
      </w:r>
    </w:p>
  </w:footnote>
  <w:footnote w:id="719">
    <w:p w:rsidR="0083519B" w:rsidRPr="0054641A" w:rsidRDefault="0083519B" w:rsidP="00FA6C95">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M'Hirit, O., &amp; Benchekroun, F. (2006). Les écosystèmes forestiers marocains : situation actuelle et perspectives d'avenir. Rabat : Académie Hassan II des Sciences et Techniques.</w:t>
      </w:r>
    </w:p>
  </w:footnote>
  <w:footnote w:id="720">
    <w:p w:rsidR="0083519B" w:rsidRPr="0054641A" w:rsidRDefault="0083519B" w:rsidP="00FA6C95">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Naciri, M. (2018). "Temporalités divergentes et gouvernance environnementale au Maroc : le cas des forêts du Moyen Atlas." Méditerranée, 131, pp. 45-57.</w:t>
      </w:r>
    </w:p>
  </w:footnote>
  <w:footnote w:id="721">
    <w:p w:rsidR="0083519B" w:rsidRPr="0054641A" w:rsidRDefault="0083519B" w:rsidP="004A7AD6">
      <w:pPr>
        <w:pStyle w:val="Notedebasdepage"/>
        <w:rPr>
          <w:rFonts w:ascii="Tahoma" w:hAnsi="Tahoma" w:cs="Tahoma"/>
        </w:rPr>
      </w:pPr>
      <w:r w:rsidRPr="0054641A">
        <w:rPr>
          <w:rStyle w:val="Appelnotedebasdep"/>
          <w:rFonts w:ascii="Tahoma" w:hAnsi="Tahoma" w:cs="Tahoma"/>
        </w:rPr>
        <w:footnoteRef/>
      </w:r>
      <w:r w:rsidRPr="0054641A">
        <w:rPr>
          <w:rFonts w:ascii="Tahoma" w:hAnsi="Tahoma" w:cs="Tahoma"/>
        </w:rPr>
        <w:t xml:space="preserve"> Elloumi, M. Développement territorial et ressources patrimoniales : le Sud-Est tunisien comme exemple. Les Cahiers du Cread, 2015, 111, 53-74.</w:t>
      </w:r>
    </w:p>
  </w:footnote>
  <w:footnote w:id="722">
    <w:p w:rsidR="0083519B" w:rsidRPr="0054641A" w:rsidRDefault="0083519B" w:rsidP="00FA6C95">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Leloup, F., Moyart, L., &amp; Pecqueur, B., La gouvernance territoriale comme nouveau mode de coordination territoriale? Géographie, économie, société, 7 (4), 2005, 321-332.</w:t>
      </w:r>
    </w:p>
  </w:footnote>
  <w:footnote w:id="723">
    <w:p w:rsidR="0083519B" w:rsidRPr="0054641A" w:rsidRDefault="0083519B" w:rsidP="00FA6C95">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El Alaoui, E. Y., El Abbassi, A., &amp; Lahssini, S. (2018). La décentralisation de la gestion forestière au Maroc: enjeux et perspectives. Revue Marocaine d'Administration Locale et de Développement, 139, 51-68.</w:t>
      </w:r>
    </w:p>
  </w:footnote>
  <w:footnote w:id="724">
    <w:p w:rsidR="0083519B" w:rsidRPr="0054641A" w:rsidRDefault="0083519B" w:rsidP="00FA6C95">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Aubert, P. M., Leroy, M., &amp; Auclair, L. (2009). Moroccan forestry policies and local forestry management in the High Atlas: a cross analysis of forestry administration and local institutions. *Small-scale Forestry*, 8(2), 175-191.</w:t>
      </w:r>
    </w:p>
  </w:footnote>
  <w:footnote w:id="725">
    <w:p w:rsidR="0083519B" w:rsidRPr="0054641A" w:rsidRDefault="0083519B" w:rsidP="008F2A3E">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FAO.</w:t>
      </w:r>
      <w:r>
        <w:rPr>
          <w:rFonts w:ascii="Tahoma" w:hAnsi="Tahoma" w:cs="Tahoma"/>
        </w:rPr>
        <w:t xml:space="preserve"> </w:t>
      </w:r>
      <w:r w:rsidRPr="0054641A">
        <w:rPr>
          <w:rFonts w:ascii="Tahoma" w:hAnsi="Tahoma" w:cs="Tahoma"/>
        </w:rPr>
        <w:t>Quarante ans de foresterie communautaire : Un bilan global*. Organisation des Nations Unies pour l'alimentation et l'agriculture</w:t>
      </w:r>
      <w:r>
        <w:rPr>
          <w:rFonts w:ascii="Tahoma" w:hAnsi="Tahoma" w:cs="Tahoma"/>
        </w:rPr>
        <w:t xml:space="preserve">, </w:t>
      </w:r>
      <w:r w:rsidRPr="0054641A">
        <w:rPr>
          <w:rFonts w:ascii="Tahoma" w:hAnsi="Tahoma" w:cs="Tahoma"/>
        </w:rPr>
        <w:t>(2016.</w:t>
      </w:r>
    </w:p>
  </w:footnote>
  <w:footnote w:id="726">
    <w:p w:rsidR="0083519B" w:rsidRPr="0054641A" w:rsidRDefault="0083519B" w:rsidP="00FA6C95">
      <w:pPr>
        <w:pStyle w:val="Notedebasdepage"/>
        <w:rPr>
          <w:rFonts w:ascii="Tahoma" w:hAnsi="Tahoma" w:cs="Tahoma"/>
        </w:rPr>
      </w:pPr>
      <w:r w:rsidRPr="0054641A">
        <w:rPr>
          <w:rStyle w:val="Appelnotedebasdep"/>
          <w:rFonts w:ascii="Tahoma" w:hAnsi="Tahoma" w:cs="Tahoma"/>
        </w:rPr>
        <w:footnoteRef/>
      </w:r>
      <w:r w:rsidRPr="0054641A">
        <w:rPr>
          <w:rFonts w:ascii="Tahoma" w:hAnsi="Tahoma" w:cs="Tahoma"/>
        </w:rPr>
        <w:t xml:space="preserve"> Bouderbala, N. (2010). *La loi entre ciel et terre : le foncier et la recomposition sociale au Maroc*. Ed. Sochepress.</w:t>
      </w:r>
    </w:p>
  </w:footnote>
  <w:footnote w:id="727">
    <w:p w:rsidR="0083519B" w:rsidRPr="0054641A" w:rsidRDefault="0083519B" w:rsidP="008F2A3E">
      <w:pPr>
        <w:pStyle w:val="Notedebasdepage"/>
        <w:rPr>
          <w:rFonts w:ascii="Tahoma" w:hAnsi="Tahoma" w:cs="Tahoma"/>
        </w:rPr>
      </w:pPr>
      <w:r w:rsidRPr="0054641A">
        <w:rPr>
          <w:rStyle w:val="Appelnotedebasdep"/>
          <w:rFonts w:ascii="Tahoma" w:hAnsi="Tahoma" w:cs="Tahoma"/>
        </w:rPr>
        <w:footnoteRef/>
      </w:r>
      <w:r>
        <w:rPr>
          <w:rFonts w:ascii="Tahoma" w:hAnsi="Tahoma" w:cs="Tahoma"/>
        </w:rPr>
        <w:t xml:space="preserve"> Berkes, F. </w:t>
      </w:r>
      <w:r w:rsidRPr="0054641A">
        <w:rPr>
          <w:rFonts w:ascii="Tahoma" w:hAnsi="Tahoma" w:cs="Tahoma"/>
        </w:rPr>
        <w:t>Evolution of co-management : role of knowledge generation, bridging organizations and social learning. *Journal of Environmental Management*, 90(5), 1692-1702.</w:t>
      </w:r>
      <w:r>
        <w:rPr>
          <w:rFonts w:ascii="Tahoma" w:hAnsi="Tahoma" w:cs="Tahoma"/>
        </w:rPr>
        <w:t xml:space="preserve">, </w:t>
      </w:r>
      <w:r w:rsidRPr="0054641A">
        <w:rPr>
          <w:rFonts w:ascii="Tahoma" w:hAnsi="Tahoma" w:cs="Tahoma"/>
        </w:rPr>
        <w:t>2009</w:t>
      </w:r>
      <w:r>
        <w:rPr>
          <w:rFonts w:ascii="Tahoma" w:hAnsi="Tahoma" w:cs="Tahoma"/>
        </w:rPr>
        <w:t>.</w:t>
      </w:r>
    </w:p>
  </w:footnote>
  <w:footnote w:id="728">
    <w:p w:rsidR="0083519B" w:rsidRPr="0054641A" w:rsidRDefault="0083519B" w:rsidP="008F2A3E">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Ostrom, E. (1990). *Governing the commons : The evolution of institutions for collective action*. Cambridge University Press.</w:t>
      </w:r>
    </w:p>
  </w:footnote>
  <w:footnote w:id="729">
    <w:p w:rsidR="0083519B" w:rsidRPr="002D1D62" w:rsidRDefault="0083519B" w:rsidP="008F2A3E">
      <w:pPr>
        <w:spacing w:after="0"/>
        <w:jc w:val="both"/>
        <w:rPr>
          <w:rFonts w:ascii="Tahoma" w:hAnsi="Tahoma" w:cs="Tahoma"/>
          <w:sz w:val="20"/>
          <w:szCs w:val="20"/>
        </w:rPr>
      </w:pPr>
      <w:r w:rsidRPr="0054641A">
        <w:rPr>
          <w:rStyle w:val="Appelnotedebasdep"/>
          <w:rFonts w:ascii="Tahoma" w:hAnsi="Tahoma" w:cs="Tahoma"/>
          <w:sz w:val="20"/>
          <w:szCs w:val="20"/>
        </w:rPr>
        <w:footnoteRef/>
      </w:r>
      <w:r w:rsidRPr="0054641A">
        <w:rPr>
          <w:rFonts w:ascii="Tahoma" w:hAnsi="Tahoma" w:cs="Tahoma"/>
          <w:sz w:val="20"/>
          <w:szCs w:val="20"/>
        </w:rPr>
        <w:t xml:space="preserve"> Armitage, D. R., Plummer, R., Berkes, F., Arthur, R. I., Charles, A. T., Davidson-Hunt, I. J., ... &amp; Wollenberg, E. K. (2009). Adaptive co‐management for social–ecological complexity. *Frontiers in Ecology and </w:t>
      </w:r>
      <w:r>
        <w:rPr>
          <w:rFonts w:ascii="Tahoma" w:hAnsi="Tahoma" w:cs="Tahoma"/>
          <w:sz w:val="20"/>
          <w:szCs w:val="20"/>
        </w:rPr>
        <w:t>the Environment*, 7(2), 95-102.</w:t>
      </w:r>
    </w:p>
  </w:footnote>
  <w:footnote w:id="730">
    <w:p w:rsidR="0083519B" w:rsidRPr="0054641A" w:rsidRDefault="0083519B" w:rsidP="008F2A3E">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FIDA. (2018). Évaluation du programme de développement rural dans les zones montagneuses du Maroc. Fonds International de Développement Agricole.</w:t>
      </w:r>
    </w:p>
  </w:footnote>
  <w:footnote w:id="731">
    <w:p w:rsidR="0083519B" w:rsidRPr="0054641A" w:rsidRDefault="0083519B" w:rsidP="008F2A3E">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Berkes, F. (2009). Evolution of co-management : role of knowledge generation, bridging organizations and social learning. Journal of Environmental Management, 90(5), 1692-1702.</w:t>
      </w:r>
    </w:p>
  </w:footnote>
  <w:footnote w:id="732">
    <w:p w:rsidR="0083519B" w:rsidRPr="0054641A" w:rsidRDefault="0083519B" w:rsidP="00FA6C95">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Benjelloun, M. (2017). Développement territorial et valorisation des ressources : le cas des arrière-pays méditerranéens du Maroc. Hespéris-Tamuda, 52(1), 337-367.</w:t>
      </w:r>
    </w:p>
  </w:footnote>
  <w:footnote w:id="733">
    <w:p w:rsidR="0083519B" w:rsidRPr="0054641A" w:rsidRDefault="0083519B" w:rsidP="00FA6C95">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Aderghal, M., Berriane, M., Amzil, L., &amp; Romagny, B. (2019). Patrimoine et patrimonialisation dans la région Souss-Massa. *Hespéris-Tamuda*, 54(1), 13-54.</w:t>
      </w:r>
    </w:p>
  </w:footnote>
  <w:footnote w:id="734">
    <w:p w:rsidR="0083519B" w:rsidRPr="0054641A" w:rsidRDefault="0083519B" w:rsidP="00FA6C95">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Bassett, T. J., &amp; Gautier, D. (2014). Regulation by territorialization : The political </w:t>
      </w:r>
      <w:r w:rsidRPr="008F2A3E">
        <w:rPr>
          <w:rFonts w:ascii="Tahoma" w:hAnsi="Tahoma" w:cs="Tahoma"/>
        </w:rPr>
        <w:t>ecology of</w:t>
      </w:r>
      <w:r w:rsidRPr="0054641A">
        <w:rPr>
          <w:rFonts w:ascii="Tahoma" w:hAnsi="Tahoma" w:cs="Tahoma"/>
        </w:rPr>
        <w:t xml:space="preserve"> conservation &amp; development territories. *EchoGéo*, (29), 1-15.</w:t>
      </w:r>
    </w:p>
  </w:footnote>
  <w:footnote w:id="735">
    <w:p w:rsidR="0083519B" w:rsidRPr="0054641A" w:rsidRDefault="0083519B" w:rsidP="00FA6C95">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Agrawal, A., &amp; Lemos, M. C. (2007). A greener revolution in the making ? Environmental governance in the 21st century. *Environment : Science and Policy for Sustainable Development*, 49(5), 36-45.</w:t>
      </w:r>
    </w:p>
  </w:footnote>
  <w:footnote w:id="736">
    <w:p w:rsidR="0083519B" w:rsidRPr="0054641A" w:rsidRDefault="0083519B" w:rsidP="00FA6C95">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Robbins, P. (2012). *Political ecology : A critical introduction*. John Wiley &amp; Sons.</w:t>
      </w:r>
    </w:p>
  </w:footnote>
  <w:footnote w:id="737">
    <w:p w:rsidR="0083519B" w:rsidRPr="0054641A" w:rsidRDefault="0083519B" w:rsidP="00FA6C95">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Lazarev, G. (2019). Les territoires en développement dans les zones de montagne au Maroc. CIHEAM.</w:t>
      </w:r>
    </w:p>
  </w:footnote>
  <w:footnote w:id="738">
    <w:p w:rsidR="0083519B" w:rsidRPr="0054641A" w:rsidRDefault="0083519B" w:rsidP="00FA6C95">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Aubert, P. M., Romagny, B., Genin, D., &amp; Dominguez, P. (2011). Quels instruments pour une gestion territorialisée des ressources forestières au Maroc ? Pôle Sud, (1), 55-76.</w:t>
      </w:r>
    </w:p>
  </w:footnote>
  <w:footnote w:id="739">
    <w:p w:rsidR="0083519B" w:rsidRPr="0054641A" w:rsidRDefault="0083519B" w:rsidP="00FA6C95">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Robbins, P. (2012). Political ecology : A critical introduction. John Wiley &amp; Sons.</w:t>
      </w:r>
    </w:p>
  </w:footnote>
  <w:footnote w:id="740">
    <w:p w:rsidR="0083519B" w:rsidRPr="0054641A" w:rsidRDefault="0083519B" w:rsidP="00FA6C95">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Larson, A. M., &amp; Ribot, J. C. (2004). Democratic decentralisation through a natural resource lens : An introduction. The European Journal of Development Research, 16(1), 1-25.</w:t>
      </w:r>
    </w:p>
  </w:footnote>
  <w:footnote w:id="741">
    <w:p w:rsidR="0083519B" w:rsidRPr="0054641A" w:rsidRDefault="0083519B" w:rsidP="00FA6C95">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Sabir, M., &amp; Roose, E. (2017). Gestion durable des eaux et des sols au Maroc : valorisation des techniques traditionnelles méditerranéennes. IRD Éditions.</w:t>
      </w:r>
    </w:p>
  </w:footnote>
  <w:footnote w:id="742">
    <w:p w:rsidR="0083519B" w:rsidRPr="0054641A" w:rsidRDefault="0083519B" w:rsidP="00FA6C95">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Aubert, P. M., Leroy, M., &amp; Descroix, L. (2021). Évolution des paradigmes en foresterie tropicale : l'exemple du Maroc et du Niger. Natures Sciences Sociétés, 29(1), 34-45.</w:t>
      </w:r>
    </w:p>
  </w:footnote>
  <w:footnote w:id="743">
    <w:p w:rsidR="0083519B" w:rsidRPr="0054641A" w:rsidRDefault="0083519B" w:rsidP="00FA6C95">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Aderghal, M., &amp; Romagny, B. (2017). Les communautés rurales face aux mutations des politiques publiques et des modes d'accès aux ressources naturelles : crise ou opportunité pour l'action collective locale. Hespéris-Tamuda, 52(1), 289-301.</w:t>
      </w:r>
    </w:p>
  </w:footnote>
  <w:footnote w:id="744">
    <w:p w:rsidR="0083519B" w:rsidRPr="0054641A" w:rsidRDefault="0083519B" w:rsidP="00236D1C">
      <w:pPr>
        <w:spacing w:after="0"/>
        <w:jc w:val="both"/>
        <w:rPr>
          <w:rFonts w:ascii="Tahoma" w:hAnsi="Tahoma" w:cs="Tahoma"/>
          <w:sz w:val="20"/>
          <w:szCs w:val="20"/>
        </w:rPr>
      </w:pPr>
      <w:r w:rsidRPr="0054641A">
        <w:rPr>
          <w:rStyle w:val="Appelnotedebasdep"/>
          <w:rFonts w:ascii="Tahoma" w:hAnsi="Tahoma" w:cs="Tahoma"/>
          <w:sz w:val="20"/>
          <w:szCs w:val="20"/>
        </w:rPr>
        <w:footnoteRef/>
      </w:r>
      <w:r w:rsidRPr="0054641A">
        <w:rPr>
          <w:rFonts w:ascii="Tahoma" w:hAnsi="Tahoma" w:cs="Tahoma"/>
          <w:sz w:val="20"/>
          <w:szCs w:val="20"/>
        </w:rPr>
        <w:t xml:space="preserve"> Davis, D. K. (2014). Desert 'wastes' of the Maghreb : desertification narratives in French colonial environmental history of North Africa. Cultural Geographies, 11(4), 359-387.</w:t>
      </w:r>
    </w:p>
  </w:footnote>
  <w:footnote w:id="745">
    <w:p w:rsidR="0083519B" w:rsidRPr="0054641A" w:rsidRDefault="0083519B" w:rsidP="00FA6C95">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Bouderbala, N. (2010). La loi entre ciel et terre : le foncier et la recomposition sociale au Maroc. Ed. Sochepress.</w:t>
      </w:r>
    </w:p>
  </w:footnote>
  <w:footnote w:id="746">
    <w:p w:rsidR="0083519B" w:rsidRPr="0054641A" w:rsidRDefault="0083519B" w:rsidP="00FA6C95">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Boujrouf, S. (2014). Ressources patrimoniales et développement des territoires touristiques dans le Haut Atlas et les régions sud du Maroc. Journal of Alpine Research, 102(1), 2-16.</w:t>
      </w:r>
    </w:p>
  </w:footnote>
  <w:footnote w:id="747">
    <w:p w:rsidR="0083519B" w:rsidRPr="0054641A" w:rsidRDefault="0083519B" w:rsidP="00FA6C95">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El Jihad, M. D. (2016). Changements institutionnels et gouvernance des ressources forestières au Maroc. Développement durable et territoires, 7(1), 1-20.</w:t>
      </w:r>
    </w:p>
  </w:footnote>
  <w:footnote w:id="748">
    <w:p w:rsidR="0083519B" w:rsidRPr="0054641A" w:rsidRDefault="0083519B" w:rsidP="00FA6C95">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Boutinot, L., Viau, A. A., &amp; Leclerc, G. (2018). Questions d'échelle et de participation dans la gouvernance environnementale : la gestion participative des forêts. VertigO, 18(2), 1-23.</w:t>
      </w:r>
    </w:p>
  </w:footnote>
  <w:footnote w:id="749">
    <w:p w:rsidR="0083519B" w:rsidRPr="0054641A" w:rsidRDefault="0083519B" w:rsidP="00FA6C95">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Berriane, M., &amp; Aderghal, M. (2020). La contractualisation dans la gestion des ressources naturelles au Maroc : une approche territoriale. Revue de Géographie Alpine, 108(1), 1-15.</w:t>
      </w:r>
    </w:p>
  </w:footnote>
  <w:footnote w:id="750">
    <w:p w:rsidR="0083519B" w:rsidRPr="0054641A" w:rsidRDefault="0083519B" w:rsidP="00FA6C95">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Aderghal, M., Berriane, M., Amzil, L., &amp; Romagny, B. (2019). Patrimoine et patrimonialisation dans la région Souss-Massa. Hespéris-Tamuda, 54(1), 13-54.</w:t>
      </w:r>
    </w:p>
  </w:footnote>
  <w:footnote w:id="751">
    <w:p w:rsidR="0083519B" w:rsidRPr="0054641A" w:rsidRDefault="0083519B" w:rsidP="00FA6C95">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Auclair, L., Baudot, P., Genin, D., Romagny, B., &amp; Simenel, R. (2018). Patrimoine, savoirs locaux et gouvernance des ressources forestières au Maroc. Revue Forestière Française, 70(5), 469-483.</w:t>
      </w:r>
    </w:p>
  </w:footnote>
  <w:footnote w:id="752">
    <w:p w:rsidR="0083519B" w:rsidRPr="0054641A" w:rsidRDefault="0083519B" w:rsidP="00FA6C95">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Berkat, O., &amp; Tazi, M. (2021). La valeur économique des forêts marocaines : approches, méthodes et perspectives. Journal of Environmental Economics and Policy, 10(3), 312-330.</w:t>
      </w:r>
    </w:p>
  </w:footnote>
  <w:footnote w:id="753">
    <w:p w:rsidR="0083519B" w:rsidRPr="0054641A" w:rsidRDefault="0083519B" w:rsidP="00FA6C95">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El Alaoui El Fels, A., &amp; Achour, A. (2022). La stratégie Forêts du Maroc 2020-2030 : vers un nouveau paradigme de gestion durable des écosystèmes forestiers. Revue Marocaine des Sciences Agronomiques et Vétérinaires, 10(1), 38-47.</w:t>
      </w:r>
    </w:p>
  </w:footnote>
  <w:footnote w:id="754">
    <w:p w:rsidR="0083519B" w:rsidRPr="0054641A" w:rsidRDefault="0083519B" w:rsidP="00FA6C95">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Ftouhi, H., Kadiri, Z., &amp; Abdellaoui, E. H. (2021). The gendered dimension of territorial development policies in Morocco : The case of rural women's exclusion from land entitlements in the Gharb irrigated perimeter. Gender, Place &amp; Culture, 28(5), 587-608.</w:t>
      </w:r>
    </w:p>
  </w:footnote>
  <w:footnote w:id="755">
    <w:p w:rsidR="0083519B" w:rsidRPr="0054641A" w:rsidRDefault="0083519B" w:rsidP="00FA6C95">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Benjelloun, S. (2022). Distribution des bénéfices et équité dans la valorisation des ressources forestières au Maroc. Revue d'Économie du Développement, 35(2), 113-132.</w:t>
      </w:r>
    </w:p>
  </w:footnote>
  <w:footnote w:id="756">
    <w:p w:rsidR="0083519B" w:rsidRPr="0054641A" w:rsidRDefault="0083519B" w:rsidP="00FA6C95">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Agrawal, A., &amp; Lemos, M. C. (2017). Adaptive development and environmental governance : New frontiers of environmental policy. In Environmental Governance Reconsidered (pp. 19-44). MIT Press.</w:t>
      </w:r>
    </w:p>
  </w:footnote>
  <w:footnote w:id="757">
    <w:p w:rsidR="0083519B" w:rsidRPr="0054641A" w:rsidRDefault="0083519B" w:rsidP="00FA6C95">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Ait Hamza, M., &amp; Popp, H. (2020). Politiques environnementales et dynamiques rurales au Maroc : entre global et local. Éditions Universitaires Européennes.</w:t>
      </w:r>
    </w:p>
  </w:footnote>
  <w:footnote w:id="758">
    <w:p w:rsidR="0083519B" w:rsidRPr="0054641A" w:rsidRDefault="0083519B" w:rsidP="00FA6C95">
      <w:pPr>
        <w:pStyle w:val="Notedebasdepage"/>
        <w:rPr>
          <w:rFonts w:ascii="Tahoma" w:hAnsi="Tahoma" w:cs="Tahoma"/>
        </w:rPr>
      </w:pPr>
      <w:r w:rsidRPr="0054641A">
        <w:rPr>
          <w:rStyle w:val="Appelnotedebasdep"/>
          <w:rFonts w:ascii="Tahoma" w:hAnsi="Tahoma" w:cs="Tahoma"/>
        </w:rPr>
        <w:footnoteRef/>
      </w:r>
      <w:r w:rsidRPr="0054641A">
        <w:rPr>
          <w:rFonts w:ascii="Tahoma" w:hAnsi="Tahoma" w:cs="Tahoma"/>
        </w:rPr>
        <w:t xml:space="preserve"> Bekkari, L., &amp; Del Vecchio, K. (2020). Des projets de développement rural aux réarrangements institutionnels locaux : le cas du Moyen Atlas central. Revue Marocaine des Sciences Agronomiques et Vétérinaires, 8(2), 191-200.</w:t>
      </w:r>
    </w:p>
  </w:footnote>
  <w:footnote w:id="759">
    <w:p w:rsidR="0083519B" w:rsidRPr="0054641A" w:rsidRDefault="0083519B" w:rsidP="00FA6C95">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Aderghal, M., Genin, D., &amp; Simenel, R. (2022). La forêt rurale au Maroc : entre usages, pratiques et politiques. Revue Forestière Française.</w:t>
      </w:r>
    </w:p>
  </w:footnote>
  <w:footnote w:id="760">
    <w:p w:rsidR="0083519B" w:rsidRPr="0054641A" w:rsidRDefault="0083519B" w:rsidP="00FA6C95">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Benjaminsen, T.A. &amp; Svarstad, H. (2021). "Environmental governance in the Global South: Dilemmas and contestations in forest management". Journal of Political Ecology, 28(1), pp. 175-192.</w:t>
      </w:r>
    </w:p>
  </w:footnote>
  <w:footnote w:id="761">
    <w:p w:rsidR="0083519B" w:rsidRPr="0054641A" w:rsidRDefault="0083519B" w:rsidP="00FA6C95">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Ostrom, E. (2009). "A General Framework for Analyzing Sustainability of Social-Ecological Systems". Science, 325(5939), pp. 419-422.</w:t>
      </w:r>
    </w:p>
  </w:footnote>
  <w:footnote w:id="762">
    <w:p w:rsidR="0083519B" w:rsidRPr="0054641A" w:rsidRDefault="0083519B" w:rsidP="00FA6C95">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Haut-Commissariat aux Eaux et Forêts et à la Lutte Contre la Désertification (HCEFLCD). (2018). Rapport sur l'état des forêts périurbaines de la région de Rabat-Salé-Kénitra, Royaume du Maroc, p. 43. </w:t>
      </w:r>
    </w:p>
  </w:footnote>
  <w:footnote w:id="763">
    <w:p w:rsidR="0083519B" w:rsidRPr="0054641A" w:rsidRDefault="0083519B" w:rsidP="00FA6C95">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Direction Régionale des Eaux et Forêts et de la Lutte Contre la Désertification (DREFLCD) de Rabat-Salé-Zemmour-Zaer. (2019). Plan d'aménagement de la forêt de Korifla 2020-2040, p. 12. Ce document technique officiel décrit la structure administrative de gestion de la forêt de Korifla.</w:t>
      </w:r>
    </w:p>
  </w:footnote>
  <w:footnote w:id="764">
    <w:p w:rsidR="0083519B" w:rsidRPr="0054641A" w:rsidRDefault="0083519B" w:rsidP="00FA6C95">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Naciri, M. (2019). "Les découpages territoriaux au Maroc : entre héritage colonial et réformes contemporaines". Revue Marocaine de Sciences Politiques et Sociales, 16(2), pp. 67-92. Cette analyse historique retrace l'évolution des découpages administratifs au Maroc depuis la période coloniale. Voir également Bono, I. (2016). Une lecture d'économie politique de la "segmentation territoriale" au Maroc, éditions Karthala, Paris, pp. 103-128.</w:t>
      </w:r>
    </w:p>
  </w:footnote>
  <w:footnote w:id="765">
    <w:p w:rsidR="0083519B" w:rsidRPr="0054641A" w:rsidRDefault="0083519B" w:rsidP="00FA6C95">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Tozy, M. (2018). "Généalogie de la territorialisation au Maroc". In Mondialisation et sociétés rurales en Méditerranée, Karthala, Paris, pp. 309-324. Cette analyse historique examine les racines coloniales des découpages administratifs contemporains au Maroc.</w:t>
      </w:r>
    </w:p>
  </w:footnote>
  <w:footnote w:id="766">
    <w:p w:rsidR="0083519B" w:rsidRPr="0054641A" w:rsidRDefault="0083519B" w:rsidP="00FA6C95">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El Morchid, B. &amp; Hourmat Allah, H. (2021). "La régionalisation avancée au Maroc : entre ambitions institutionnelles et réalités territoriales". Revue Marocaine d'Administration Locale et de Développement, n°157, pp. 45-68. </w:t>
      </w:r>
    </w:p>
  </w:footnote>
  <w:footnote w:id="767">
    <w:p w:rsidR="0083519B" w:rsidRPr="0054641A" w:rsidRDefault="0083519B" w:rsidP="00FA6C95">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Bouderbala, N. (2017). "La persistance des structures foncières coloniales dans le Maroc contemporain". In Terres, pouvoirs et identités : Nouvelles perspectives de recherche, Université Mohammed V, Rabat, pp. 187-206. </w:t>
      </w:r>
    </w:p>
  </w:footnote>
  <w:footnote w:id="768">
    <w:p w:rsidR="0083519B" w:rsidRPr="0054641A" w:rsidRDefault="0083519B" w:rsidP="00FA6C95">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Mahoney, J. &amp; Thelen, K. (2010). Explaining Institutional Change: Ambiguity, Agency, and Power. Cambridge University Press, pp. 1-37. Cet ouvrage théorique développe le concept de "dépendance au sentier" pour expliquer les dynamiques de changement institutionnel.</w:t>
      </w:r>
    </w:p>
  </w:footnote>
  <w:footnote w:id="769">
    <w:p w:rsidR="0083519B" w:rsidRPr="0054641A" w:rsidRDefault="0083519B" w:rsidP="00FA6C95">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Hammoudi, A. &amp; Rachik, H. (2019). Autorité et pouvoir dans les campagnes marocaines. Éditions La Croisée des Chemins, Casablanca, pp. 143-162. </w:t>
      </w:r>
    </w:p>
  </w:footnote>
  <w:footnote w:id="770">
    <w:p w:rsidR="0083519B" w:rsidRPr="0054641A" w:rsidRDefault="0083519B" w:rsidP="00FA6C95">
      <w:pPr>
        <w:pStyle w:val="Notedebasdepage"/>
        <w:rPr>
          <w:rFonts w:ascii="Tahoma" w:hAnsi="Tahoma" w:cs="Tahoma"/>
        </w:rPr>
      </w:pPr>
      <w:r w:rsidRPr="0054641A">
        <w:rPr>
          <w:rStyle w:val="Appelnotedebasdep"/>
          <w:rFonts w:ascii="Tahoma" w:hAnsi="Tahoma" w:cs="Tahoma"/>
        </w:rPr>
        <w:footnoteRef/>
      </w:r>
      <w:r w:rsidRPr="0054641A">
        <w:rPr>
          <w:rFonts w:ascii="Tahoma" w:hAnsi="Tahoma" w:cs="Tahoma"/>
        </w:rPr>
        <w:t xml:space="preserve"> Vermeren, P. &amp; Bennani-Chraïbi, M. (2016). "Les transformations de l'autorité au Maroc". Revue des Mondes Musulmans et de la Méditerranée, n°140, pp. 7-22. </w:t>
      </w:r>
    </w:p>
  </w:footnote>
  <w:footnote w:id="771">
    <w:p w:rsidR="0083519B" w:rsidRPr="0054641A" w:rsidRDefault="0083519B" w:rsidP="00FA6C95">
      <w:pPr>
        <w:pStyle w:val="Notedebasdepage"/>
        <w:rPr>
          <w:rFonts w:ascii="Tahoma" w:hAnsi="Tahoma" w:cs="Tahoma"/>
        </w:rPr>
      </w:pPr>
      <w:r w:rsidRPr="0054641A">
        <w:rPr>
          <w:rStyle w:val="Appelnotedebasdep"/>
          <w:rFonts w:ascii="Tahoma" w:hAnsi="Tahoma" w:cs="Tahoma"/>
        </w:rPr>
        <w:footnoteRef/>
      </w:r>
      <w:r w:rsidRPr="0054641A">
        <w:rPr>
          <w:rFonts w:ascii="Tahoma" w:hAnsi="Tahoma" w:cs="Tahoma"/>
        </w:rPr>
        <w:t>Catusse, M. &amp; Karam, K. (2017). "Le 'local' dans la réforme territoriale au Maroc et au Liban : entre émancipation et contrôle". L'Année du Maghreb, n°16, pp. 59-78. Cette étude comparative analyse les paradoxes de la décentralisation dans deux pays méditerranéens.</w:t>
      </w:r>
    </w:p>
  </w:footnote>
  <w:footnote w:id="772">
    <w:p w:rsidR="0083519B" w:rsidRPr="0054641A" w:rsidRDefault="0083519B" w:rsidP="00FA6C95">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El Adnani, J. (2020). "Gouvernance locale et développement territorial au Maroc : entre discours et pratiques". Revue Marocaine des Sciences Politiques et Sociales, 17(1), pp. 115-136. </w:t>
      </w:r>
    </w:p>
  </w:footnote>
  <w:footnote w:id="773">
    <w:p w:rsidR="0083519B" w:rsidRPr="0054641A" w:rsidRDefault="0083519B" w:rsidP="00FA6C95">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Bergh, S.I. (2021). "The Politics of Forest Management in Morocco: Institutional Constraints on Local Participation". World Development, vol. 149, article 105694. </w:t>
      </w:r>
    </w:p>
  </w:footnote>
  <w:footnote w:id="774">
    <w:p w:rsidR="0083519B" w:rsidRPr="0054641A" w:rsidRDefault="0083519B" w:rsidP="00FA6C95">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Royaume du Maroc &amp; PNUD. (2019). Évaluation de la gouvernance locale et de la participation citoyenne au Maroc. Rapport technique, pp. 67-85. </w:t>
      </w:r>
    </w:p>
  </w:footnote>
  <w:footnote w:id="775">
    <w:p w:rsidR="0083519B" w:rsidRPr="0054641A" w:rsidRDefault="0083519B" w:rsidP="00FA6C95">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Gibson, C.C., Ostrom, E. &amp; Ahn, T.K. (2000). "The concept of scale and the human dimensions of global change: a survey". Ecological Economics, 32(2), pp. 217-239.</w:t>
      </w:r>
    </w:p>
  </w:footnote>
  <w:footnote w:id="776">
    <w:p w:rsidR="0083519B" w:rsidRPr="0054641A" w:rsidRDefault="0083519B" w:rsidP="00FA6C95">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El Farah, F. (2022). "Pour une refonte écologique du découpage territorial au Maroc". Les Cahiers de la Gouvernance, Institut Royal des Études Stratégiques, Rabat, pp. 34-52. </w:t>
      </w:r>
    </w:p>
  </w:footnote>
  <w:footnote w:id="777">
    <w:p w:rsidR="0083519B" w:rsidRPr="0054641A" w:rsidRDefault="0083519B" w:rsidP="00FA6C95">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Bache, I. &amp; Flinders, M. (2004). Multi-level Governance. Oxford University Press, pp. 15-30. Cet ouvrage développe le concept de "gouvernance multi-niveaux" pour analyser les complexités institutionnelles contemporaines.</w:t>
      </w:r>
    </w:p>
  </w:footnote>
  <w:footnote w:id="778">
    <w:p w:rsidR="0083519B" w:rsidRPr="0054641A" w:rsidRDefault="0083519B" w:rsidP="00FA6C95">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Ribot, J.C., Agrawal, A. &amp; Larson, A.M. (2006). "Recentralizing While Decentralizing: How National Governments Reappropriate Forest Resources". World Development, 34(11), pp. 1864-1886. </w:t>
      </w:r>
    </w:p>
  </w:footnote>
  <w:footnote w:id="779">
    <w:p w:rsidR="0083519B" w:rsidRPr="0054641A" w:rsidRDefault="0083519B" w:rsidP="00FA6C95">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El Jihad, M.D. (2020). "Organisation et fonctionnement de l'administration forestière marocaine : entre héritage colonial et réformes contemporaines". Revue Géographique des Pays Méditerranéens, n°134, pp. 57-72. Cette analyse institutionnelle détaille l'organisation administrative du secteur forestier marocain.</w:t>
      </w:r>
    </w:p>
  </w:footnote>
  <w:footnote w:id="780">
    <w:p w:rsidR="0083519B" w:rsidRPr="0054641A" w:rsidRDefault="0083519B" w:rsidP="00FA6C95">
      <w:pPr>
        <w:pStyle w:val="Notedebasdepage"/>
        <w:jc w:val="both"/>
        <w:rPr>
          <w:rFonts w:ascii="Tahoma" w:hAnsi="Tahoma" w:cs="Tahoma"/>
        </w:rPr>
      </w:pPr>
      <w:r w:rsidRPr="0054641A">
        <w:rPr>
          <w:rStyle w:val="Appelnotedebasdep"/>
          <w:rFonts w:ascii="Tahoma" w:hAnsi="Tahoma" w:cs="Tahoma"/>
        </w:rPr>
        <w:footnoteRef/>
      </w:r>
      <w:r w:rsidRPr="00712A1A">
        <w:rPr>
          <w:rFonts w:ascii="Tahoma" w:hAnsi="Tahoma" w:cs="Tahoma"/>
          <w:lang w:val="es-ES"/>
        </w:rPr>
        <w:t xml:space="preserve">  Benjaminsen, T.A. &amp; Ba, B. (2019). </w:t>
      </w:r>
      <w:r w:rsidRPr="0054641A">
        <w:rPr>
          <w:rFonts w:ascii="Tahoma" w:hAnsi="Tahoma" w:cs="Tahoma"/>
        </w:rPr>
        <w:t>"Pourquoi les approches de gestion forestière échouent-elles au Maghreb? Une analyse comparative". European Journal of Development Research, 31(5), pp. 1461-1480. Voir également Buttoud, G. (2012). La forêt et l'État en Afrique sèche et à Madagascar. Karthala, Paris, p. 145.</w:t>
      </w:r>
    </w:p>
  </w:footnote>
  <w:footnote w:id="781">
    <w:p w:rsidR="0083519B" w:rsidRPr="0054641A" w:rsidRDefault="0083519B" w:rsidP="00F853EC">
      <w:pPr>
        <w:spacing w:after="0" w:line="240" w:lineRule="auto"/>
        <w:jc w:val="both"/>
        <w:rPr>
          <w:rFonts w:ascii="Tahoma" w:eastAsia="Times New Roman" w:hAnsi="Tahoma" w:cs="Tahoma"/>
          <w:sz w:val="20"/>
          <w:szCs w:val="20"/>
          <w:lang w:eastAsia="fr-FR"/>
        </w:rPr>
      </w:pPr>
      <w:r w:rsidRPr="0054641A">
        <w:rPr>
          <w:rStyle w:val="Appelnotedebasdep"/>
          <w:rFonts w:ascii="Tahoma" w:hAnsi="Tahoma" w:cs="Tahoma"/>
          <w:sz w:val="20"/>
          <w:szCs w:val="20"/>
        </w:rPr>
        <w:footnoteRef/>
      </w:r>
      <w:r w:rsidRPr="0054641A">
        <w:rPr>
          <w:rFonts w:ascii="Tahoma" w:hAnsi="Tahoma" w:cs="Tahoma"/>
          <w:sz w:val="20"/>
          <w:szCs w:val="20"/>
        </w:rPr>
        <w:t xml:space="preserve"> </w:t>
      </w:r>
      <w:r w:rsidRPr="0054641A">
        <w:rPr>
          <w:rFonts w:ascii="Tahoma" w:eastAsia="Times New Roman" w:hAnsi="Tahoma" w:cs="Tahoma"/>
          <w:sz w:val="20"/>
          <w:szCs w:val="20"/>
          <w:lang w:eastAsia="fr-FR"/>
        </w:rPr>
        <w:t>Brahim El Fasskaoui,. "La déconcentration administrative au Maroc : entre réformes institutionnelles et réalités territoriales." Revue Marocaine d'Administration Locale et de Développement, no. 148, 2019, pp. 33–52.</w:t>
      </w:r>
    </w:p>
  </w:footnote>
  <w:footnote w:id="782">
    <w:p w:rsidR="0083519B" w:rsidRPr="0054641A" w:rsidRDefault="0083519B" w:rsidP="00F853EC">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M’Hirit, Omar, and Farid Benchekroun. </w:t>
      </w:r>
      <w:r w:rsidRPr="0054641A">
        <w:rPr>
          <w:rStyle w:val="Accentuation"/>
          <w:rFonts w:ascii="Tahoma" w:eastAsia="Calibri Light" w:hAnsi="Tahoma" w:cs="Tahoma"/>
          <w:i w:val="0"/>
          <w:iCs w:val="0"/>
        </w:rPr>
        <w:t>Gestion forestière et décentralisation au Maroc : Enjeux et limites</w:t>
      </w:r>
      <w:r w:rsidRPr="0054641A">
        <w:rPr>
          <w:rFonts w:ascii="Tahoma" w:hAnsi="Tahoma" w:cs="Tahoma"/>
        </w:rPr>
        <w:t>. Revue Marocaine de l’Environnement, vol. 12, no. 2, 2005, pp. 45–60.</w:t>
      </w:r>
    </w:p>
  </w:footnote>
  <w:footnote w:id="783">
    <w:p w:rsidR="0083519B" w:rsidRPr="005979B4" w:rsidRDefault="0083519B" w:rsidP="005979B4">
      <w:pPr>
        <w:spacing w:after="0" w:line="240" w:lineRule="auto"/>
        <w:jc w:val="both"/>
        <w:rPr>
          <w:rFonts w:ascii="Tahoma" w:eastAsia="Times New Roman" w:hAnsi="Tahoma" w:cs="Tahoma"/>
          <w:sz w:val="20"/>
          <w:szCs w:val="20"/>
          <w:lang w:eastAsia="fr-FR"/>
        </w:rPr>
      </w:pPr>
      <w:r w:rsidRPr="0054641A">
        <w:rPr>
          <w:rStyle w:val="Appelnotedebasdep"/>
          <w:rFonts w:ascii="Tahoma" w:hAnsi="Tahoma" w:cs="Tahoma"/>
          <w:sz w:val="20"/>
          <w:szCs w:val="20"/>
        </w:rPr>
        <w:footnoteRef/>
      </w:r>
      <w:r w:rsidRPr="0054641A">
        <w:rPr>
          <w:rFonts w:ascii="Tahoma" w:eastAsia="Times New Roman" w:hAnsi="Tahoma" w:cs="Tahoma"/>
          <w:sz w:val="20"/>
          <w:szCs w:val="20"/>
          <w:lang w:eastAsia="fr-FR"/>
        </w:rPr>
        <w:t xml:space="preserve"> Michae Lipsky, l. Street-Level Bureaucracy: Dilemmas of the Individual in Public Services. 30th Anniversary ed., Russell Sa</w:t>
      </w:r>
      <w:r>
        <w:rPr>
          <w:rFonts w:ascii="Tahoma" w:eastAsia="Times New Roman" w:hAnsi="Tahoma" w:cs="Tahoma"/>
          <w:sz w:val="20"/>
          <w:szCs w:val="20"/>
          <w:lang w:eastAsia="fr-FR"/>
        </w:rPr>
        <w:t>ge Foundation, 2010, pp. 13–25.</w:t>
      </w:r>
    </w:p>
  </w:footnote>
  <w:footnote w:id="784">
    <w:p w:rsidR="0083519B" w:rsidRPr="0054641A" w:rsidRDefault="0083519B" w:rsidP="00F853EC">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w:t>
      </w:r>
      <w:r w:rsidRPr="0054641A">
        <w:rPr>
          <w:rFonts w:ascii="Tahoma" w:hAnsi="Tahoma" w:cs="Tahoma"/>
          <w:lang w:eastAsia="fr-FR"/>
        </w:rPr>
        <w:t>Royaume du Maroc, and FAO. Cartographie des unités de gestion forestière au Maroc. Rapport technique, 2019, pp. 28–34</w:t>
      </w:r>
      <w:r w:rsidRPr="0054641A">
        <w:rPr>
          <w:rFonts w:ascii="Tahoma" w:hAnsi="Tahoma" w:cs="Tahoma"/>
        </w:rPr>
        <w:t xml:space="preserve"> </w:t>
      </w:r>
    </w:p>
  </w:footnote>
  <w:footnote w:id="785">
    <w:p w:rsidR="0083519B" w:rsidRPr="0054641A" w:rsidRDefault="0083519B" w:rsidP="00F853EC">
      <w:pPr>
        <w:spacing w:after="0" w:line="240" w:lineRule="auto"/>
        <w:jc w:val="both"/>
        <w:rPr>
          <w:rFonts w:ascii="Tahoma" w:eastAsia="Times New Roman" w:hAnsi="Tahoma" w:cs="Tahoma"/>
          <w:sz w:val="20"/>
          <w:szCs w:val="20"/>
          <w:lang w:eastAsia="fr-FR"/>
        </w:rPr>
      </w:pPr>
      <w:r w:rsidRPr="0054641A">
        <w:rPr>
          <w:rStyle w:val="Appelnotedebasdep"/>
          <w:rFonts w:ascii="Tahoma" w:hAnsi="Tahoma" w:cs="Tahoma"/>
          <w:sz w:val="20"/>
          <w:szCs w:val="20"/>
        </w:rPr>
        <w:footnoteRef/>
      </w:r>
      <w:r w:rsidRPr="0054641A">
        <w:rPr>
          <w:rFonts w:ascii="Tahoma" w:hAnsi="Tahoma" w:cs="Tahoma"/>
          <w:sz w:val="20"/>
          <w:szCs w:val="20"/>
        </w:rPr>
        <w:t xml:space="preserve"> </w:t>
      </w:r>
      <w:r w:rsidRPr="0054641A">
        <w:rPr>
          <w:rFonts w:ascii="Tahoma" w:eastAsia="Times New Roman" w:hAnsi="Tahoma" w:cs="Tahoma"/>
          <w:sz w:val="20"/>
          <w:szCs w:val="20"/>
          <w:lang w:eastAsia="fr-FR"/>
        </w:rPr>
        <w:t>David W Cash,., et al. "Scale and Cross-Scale Dynamics: Governance and Information in a Multilevel World." Ecology and Society, vol. 11, no. 2, 2006, article 8.</w:t>
      </w:r>
    </w:p>
  </w:footnote>
  <w:footnote w:id="786">
    <w:p w:rsidR="0083519B" w:rsidRPr="0054641A" w:rsidRDefault="0083519B" w:rsidP="00F853EC">
      <w:pPr>
        <w:spacing w:after="0" w:line="240" w:lineRule="auto"/>
        <w:jc w:val="both"/>
        <w:rPr>
          <w:rFonts w:ascii="Tahoma" w:eastAsia="Times New Roman" w:hAnsi="Tahoma" w:cs="Tahoma"/>
          <w:sz w:val="20"/>
          <w:szCs w:val="20"/>
          <w:lang w:eastAsia="fr-FR"/>
        </w:rPr>
      </w:pPr>
      <w:r w:rsidRPr="0054641A">
        <w:rPr>
          <w:rStyle w:val="Appelnotedebasdep"/>
          <w:rFonts w:ascii="Tahoma" w:hAnsi="Tahoma" w:cs="Tahoma"/>
          <w:sz w:val="20"/>
          <w:szCs w:val="20"/>
        </w:rPr>
        <w:footnoteRef/>
      </w:r>
      <w:r w:rsidRPr="0054641A">
        <w:rPr>
          <w:rFonts w:ascii="Tahoma" w:hAnsi="Tahoma" w:cs="Tahoma"/>
          <w:sz w:val="20"/>
          <w:szCs w:val="20"/>
        </w:rPr>
        <w:t xml:space="preserve"> </w:t>
      </w:r>
      <w:r w:rsidRPr="0054641A">
        <w:rPr>
          <w:rFonts w:ascii="Tahoma" w:eastAsia="Times New Roman" w:hAnsi="Tahoma" w:cs="Tahoma"/>
          <w:sz w:val="20"/>
          <w:szCs w:val="20"/>
          <w:lang w:eastAsia="fr-FR"/>
        </w:rPr>
        <w:t>Stéphane Nahrath, , Frédéric Varone, and Jean-David Gerber. "Les espaces fonctionnels: nouveau référentiel de la gestion durable des ressources?" VertigO - la revue électronique en sciences de l'environnement, vol. 9, no. 1, 2009, pp. 1–14.</w:t>
      </w:r>
    </w:p>
  </w:footnote>
  <w:footnote w:id="787">
    <w:p w:rsidR="0083519B" w:rsidRPr="0054641A" w:rsidRDefault="0083519B" w:rsidP="00F853EC">
      <w:pPr>
        <w:spacing w:after="0" w:line="240" w:lineRule="auto"/>
        <w:jc w:val="both"/>
        <w:rPr>
          <w:rFonts w:ascii="Tahoma" w:eastAsia="Times New Roman" w:hAnsi="Tahoma" w:cs="Tahoma"/>
          <w:sz w:val="20"/>
          <w:szCs w:val="20"/>
          <w:lang w:eastAsia="fr-FR"/>
        </w:rPr>
      </w:pPr>
      <w:r w:rsidRPr="0054641A">
        <w:rPr>
          <w:rStyle w:val="Appelnotedebasdep"/>
          <w:rFonts w:ascii="Tahoma" w:hAnsi="Tahoma" w:cs="Tahoma"/>
          <w:sz w:val="20"/>
          <w:szCs w:val="20"/>
        </w:rPr>
        <w:footnoteRef/>
      </w:r>
      <w:r w:rsidRPr="0054641A">
        <w:rPr>
          <w:rFonts w:ascii="Tahoma" w:hAnsi="Tahoma" w:cs="Tahoma"/>
          <w:sz w:val="20"/>
          <w:szCs w:val="20"/>
        </w:rPr>
        <w:t xml:space="preserve"> Mohammed </w:t>
      </w:r>
      <w:r w:rsidRPr="0054641A">
        <w:rPr>
          <w:rFonts w:ascii="Tahoma" w:eastAsia="Times New Roman" w:hAnsi="Tahoma" w:cs="Tahoma"/>
          <w:sz w:val="20"/>
          <w:szCs w:val="20"/>
          <w:lang w:eastAsia="fr-FR"/>
        </w:rPr>
        <w:t>El Amrani, Droit forestier marocain : entre conservation et développement durable. Éditions La Croisée des Chemins, 2021, pp. 187–203.</w:t>
      </w:r>
    </w:p>
  </w:footnote>
  <w:footnote w:id="788">
    <w:p w:rsidR="0083519B" w:rsidRPr="0054641A" w:rsidRDefault="0083519B" w:rsidP="00F853EC">
      <w:pPr>
        <w:spacing w:after="0" w:line="240" w:lineRule="auto"/>
        <w:jc w:val="both"/>
        <w:rPr>
          <w:rFonts w:ascii="Tahoma" w:eastAsia="Times New Roman" w:hAnsi="Tahoma" w:cs="Tahoma"/>
          <w:sz w:val="20"/>
          <w:szCs w:val="20"/>
          <w:lang w:eastAsia="fr-FR"/>
        </w:rPr>
      </w:pPr>
      <w:r w:rsidRPr="0054641A">
        <w:rPr>
          <w:rStyle w:val="Appelnotedebasdep"/>
          <w:rFonts w:ascii="Tahoma" w:hAnsi="Tahoma" w:cs="Tahoma"/>
          <w:sz w:val="20"/>
          <w:szCs w:val="20"/>
        </w:rPr>
        <w:footnoteRef/>
      </w:r>
      <w:r w:rsidRPr="0054641A">
        <w:rPr>
          <w:rFonts w:ascii="Tahoma" w:hAnsi="Tahoma" w:cs="Tahoma"/>
          <w:sz w:val="20"/>
          <w:szCs w:val="20"/>
        </w:rPr>
        <w:t xml:space="preserve"> </w:t>
      </w:r>
      <w:r w:rsidRPr="0054641A">
        <w:rPr>
          <w:rFonts w:ascii="Tahoma" w:eastAsia="Times New Roman" w:hAnsi="Tahoma" w:cs="Tahoma"/>
          <w:sz w:val="20"/>
          <w:szCs w:val="20"/>
          <w:lang w:eastAsia="fr-FR"/>
        </w:rPr>
        <w:t>Liesbet Hooghe, and Gary Marks. "Unraveling the Central State, but How? Types of Multi-level Governance." American Political Science Review, vol. 97, no. 2, 2003, pp. 233–243.</w:t>
      </w:r>
    </w:p>
  </w:footnote>
  <w:footnote w:id="789">
    <w:p w:rsidR="0083519B" w:rsidRPr="0054641A" w:rsidRDefault="0083519B" w:rsidP="00F853EC">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Direction Régionale des Eaux et Forêts et de la Lutte Contre la Désertification (DREFLCD) de Rabat-Salé-Zemmour-Zaer. (2019). Plan d'aménagement de la forêt de Korifla 2020-2040, pp. 15-17. </w:t>
      </w:r>
    </w:p>
  </w:footnote>
  <w:footnote w:id="790">
    <w:p w:rsidR="0083519B" w:rsidRPr="0054641A" w:rsidRDefault="0083519B" w:rsidP="00FA6C95">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Masson-Vincent, M. &amp; Dubus, N. (2013). Géogouvernance: utilité sociale de l'analyse spatiale. Éditions Quæ, Versailles, pp. 78-95.  </w:t>
      </w:r>
    </w:p>
  </w:footnote>
  <w:footnote w:id="791">
    <w:p w:rsidR="0083519B" w:rsidRPr="0054641A" w:rsidRDefault="0083519B" w:rsidP="00FA6C95">
      <w:pPr>
        <w:pStyle w:val="Notedebasdepage"/>
        <w:rPr>
          <w:rFonts w:ascii="Tahoma" w:hAnsi="Tahoma" w:cs="Tahoma"/>
        </w:rPr>
      </w:pPr>
      <w:r w:rsidRPr="0054641A">
        <w:rPr>
          <w:rStyle w:val="Appelnotedebasdep"/>
          <w:rFonts w:ascii="Tahoma" w:hAnsi="Tahoma" w:cs="Tahoma"/>
        </w:rPr>
        <w:footnoteRef/>
      </w:r>
      <w:r w:rsidRPr="0054641A">
        <w:rPr>
          <w:rFonts w:ascii="Tahoma" w:hAnsi="Tahoma" w:cs="Tahoma"/>
        </w:rPr>
        <w:t xml:space="preserve"> Kouba, Y., Gartzia, M. &amp; El Aich, A. (2022). "Forestry education in North Africa: bridging ecological and social dimensions". *Journal of Forestry Research*, 33(1), pp. 1-13. </w:t>
      </w:r>
    </w:p>
  </w:footnote>
  <w:footnote w:id="792">
    <w:p w:rsidR="0083519B" w:rsidRPr="0054641A" w:rsidRDefault="0083519B" w:rsidP="00FA6C95">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Forsyth, T. (2003). Critical Political Ecology: The Politics of Environmental Science. Routledge, London, pp. 76-103.</w:t>
      </w:r>
    </w:p>
  </w:footnote>
  <w:footnote w:id="793">
    <w:p w:rsidR="0083519B" w:rsidRPr="0054641A" w:rsidRDefault="0083519B" w:rsidP="00FA6C95">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Adams, W.M. (2020). Against Extinction: The Story of Conservation. Routledge, 2nd Edition, pp. 111-134. </w:t>
      </w:r>
    </w:p>
  </w:footnote>
  <w:footnote w:id="794">
    <w:p w:rsidR="0083519B" w:rsidRPr="0054641A" w:rsidRDefault="0083519B" w:rsidP="00FA6C95">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Agence Nationale des Eaux et Forêts. (2020). Diagnostic territorial participatif de la forêt de Korifla. Royaume du Maroc, pp. 28-45.</w:t>
      </w:r>
    </w:p>
  </w:footnote>
  <w:footnote w:id="795">
    <w:p w:rsidR="0083519B" w:rsidRPr="0054641A" w:rsidRDefault="0083519B" w:rsidP="00F5371B">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w:t>
      </w:r>
      <w:r w:rsidRPr="0054641A">
        <w:rPr>
          <w:rFonts w:ascii="Tahoma" w:hAnsi="Tahoma" w:cs="Tahoma"/>
          <w:lang w:eastAsia="fr-FR"/>
        </w:rPr>
        <w:t>Pierre-Marie Aubert, Marc Leroy, and Laurent Auclair. "The Implementation of the Forestry Regime in the High Atlas of Morocco: The Influence of Social-Ecological Context on Forest Agent Practices." Society &amp; Natural Resources, vol. 29, no. 12, 2016, pp. 1453–1472.</w:t>
      </w:r>
    </w:p>
  </w:footnote>
  <w:footnote w:id="796">
    <w:p w:rsidR="0083519B" w:rsidRPr="0054641A" w:rsidRDefault="0083519B" w:rsidP="00F5371B">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Goeury, D. (2019). "Les relations entre populations rurales et administration forestière au Maroc : entre méfiance et accommodements". L'Espace Politique, 37(1), pp. 1-22. </w:t>
      </w:r>
    </w:p>
  </w:footnote>
  <w:footnote w:id="797">
    <w:p w:rsidR="0083519B" w:rsidRPr="0054641A" w:rsidRDefault="0083519B" w:rsidP="00F5371B">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lang w:eastAsia="fr-FR"/>
        </w:rPr>
        <w:t xml:space="preserve"> Nancy Lee Peluso. "Conflicts of Access and Control in Southeast Asian Forests." The Social Lives of Forests, University of Chicago Press, 2018, pp. 132–147.                                     </w:t>
      </w:r>
    </w:p>
  </w:footnote>
  <w:footnote w:id="798">
    <w:p w:rsidR="0083519B" w:rsidRPr="0054641A" w:rsidRDefault="0083519B" w:rsidP="00F5371B">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lang w:eastAsia="fr-FR"/>
        </w:rPr>
        <w:t xml:space="preserve"> David Goeury. "Les relations entre populations rurales et administration forestière au Maroc : entre méfiance et accommodements." L’Espace Politique, no. 37, vol. 1, 2019, pp. 1–22.Montanari, Bernadette, and Sylvia I. Bergh. "A Gendered Analysis of the Income Generating Activities under the Green Morocco Plan: Who Profits?" Human Ecology, vol. 47, no. 3, 2019, pp. 409–417.                                                                                                   </w:t>
      </w:r>
    </w:p>
  </w:footnote>
  <w:footnote w:id="799">
    <w:p w:rsidR="0083519B" w:rsidRPr="0054641A" w:rsidRDefault="0083519B" w:rsidP="00F5371B">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w:t>
      </w:r>
      <w:r w:rsidRPr="0054641A">
        <w:rPr>
          <w:rFonts w:ascii="Tahoma" w:hAnsi="Tahoma" w:cs="Tahoma"/>
          <w:lang w:eastAsia="fr-FR"/>
        </w:rPr>
        <w:t>Jesse C Ribot. Cause and Response: Vulnerability and Climate in the Anthropocene. Penang: World Institute for Development Economics Research, 2017, pp. 78–94</w:t>
      </w:r>
    </w:p>
  </w:footnote>
  <w:footnote w:id="800">
    <w:p w:rsidR="0083519B" w:rsidRPr="0054641A" w:rsidRDefault="0083519B" w:rsidP="00921955">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lang w:eastAsia="fr-FR"/>
        </w:rPr>
        <w:t xml:space="preserve"> Abderrahim Mokaddem, Camille Lejars, Farid Benchekroun, and Rachid Doukkali. "Réformes institutionnelles et gestion des ressources naturelles au Maroc : le cas du secteur forestier." Économie Rurale, no. 380, 2022, pp. 85–103.</w:t>
      </w:r>
    </w:p>
  </w:footnote>
  <w:footnote w:id="801">
    <w:p w:rsidR="0083519B" w:rsidRPr="0054641A" w:rsidRDefault="0083519B" w:rsidP="00FA6C95">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Ribot, J.C., Lund, J.F. &amp; Treue, T. (2010). "Democratic decentralization in sub-Saharan Africa: its contribution to forest management, livelihoods, and enfranchisement". Environmental Conservation, 37(1), pp. 35-44.  </w:t>
      </w:r>
    </w:p>
  </w:footnote>
  <w:footnote w:id="802">
    <w:p w:rsidR="0083519B" w:rsidRPr="0054641A" w:rsidRDefault="0083519B" w:rsidP="00FA6C95">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Agrawal, A. (2005). Environmentality: Technologies of Government and the Making of Subjects. Duke University Press, pp. 201-230. </w:t>
      </w:r>
    </w:p>
  </w:footnote>
  <w:footnote w:id="803">
    <w:p w:rsidR="0083519B" w:rsidRPr="0054641A" w:rsidRDefault="0083519B" w:rsidP="00FA6C95">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Boisvert, V. &amp; Vivien, F.D. (2010). "Le développement soutenable : deux siècles de controverses économiques". In Le développement durable : enjeux politiques, économiques et sociaux, La Documentation française, pp. 15-45. Voir également Jessop, B. (2001). "Institutional re(turns) and the strategic-relational approach". Environment and Planning A, 33(7), pp. 1213-1235.</w:t>
      </w:r>
    </w:p>
  </w:footnote>
  <w:footnote w:id="804">
    <w:p w:rsidR="0083519B" w:rsidRPr="0054641A" w:rsidRDefault="0083519B" w:rsidP="00FA6C95">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Torre, A. (2018). "Les proximités relationnelles, moteurs des dynamiques territoriales". In *Ressources, territoires et proximités : nouvelles perspectives de développement, Hermann, Paris, pp. 57-78. </w:t>
      </w:r>
    </w:p>
  </w:footnote>
  <w:footnote w:id="805">
    <w:p w:rsidR="0083519B" w:rsidRPr="0054641A" w:rsidRDefault="0083519B" w:rsidP="00FA6C95">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Direction Générale des Collectivités Locales (DGCL). (2018). Guide pratique de la coopération intercommunale au Maroc. Ministère de l'Intérieur, Royaume du Maroc, pp. 15-32. </w:t>
      </w:r>
    </w:p>
  </w:footnote>
  <w:footnote w:id="806">
    <w:p w:rsidR="0083519B" w:rsidRPr="0054641A" w:rsidRDefault="0083519B" w:rsidP="00FA6C95">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Zair, T. (2020). "L'intercommunalité au Maroc : cadre juridique et défis pratiques". Revue Marocaine d'Administration Locale et de Développement, n°154, pp. 57-84.</w:t>
      </w:r>
    </w:p>
  </w:footnote>
  <w:footnote w:id="807">
    <w:p w:rsidR="0083519B" w:rsidRPr="0054641A" w:rsidRDefault="0083519B" w:rsidP="00FA6C95">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Taabni, M. &amp; Kouti, A. (2019). "Stratégies intercommunales de gestion des espaces naturels en Algérie : opportunités et contraintes". Développement durable et territoires, 10(3), pp. 1-18.</w:t>
      </w:r>
    </w:p>
  </w:footnote>
  <w:footnote w:id="808">
    <w:p w:rsidR="0083519B" w:rsidRPr="0054641A" w:rsidRDefault="0083519B" w:rsidP="00FA6C95">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Bono, I. (2018). "Clientélisme et action publique locale au Maroc". Gouvernement et action publique, 7(2), pp. 61-85. </w:t>
      </w:r>
    </w:p>
  </w:footnote>
  <w:footnote w:id="809">
    <w:p w:rsidR="0083519B" w:rsidRPr="0054641A" w:rsidRDefault="0083519B" w:rsidP="00FA6C95">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Cherkaoui, M. &amp; El Malki, H. (2022). "Les élus locaux face aux réformes territoriales au Maroc : perceptions et stratégies d'adaptation". Revue Marocaine de Science Politique, 7(1), pp. 45-67. </w:t>
      </w:r>
    </w:p>
  </w:footnote>
  <w:footnote w:id="810">
    <w:p w:rsidR="0083519B" w:rsidRPr="0054641A" w:rsidRDefault="0083519B" w:rsidP="00FA6C95">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Harsi, A. (2019). "Fiscalité locale et coopération intercommunale au Maroc : les limites du cadre actuel". Revue Marocaine des Finances Publiques et de l'Économie Locale, n°4, pp. 79-103.</w:t>
      </w:r>
    </w:p>
  </w:footnote>
  <w:footnote w:id="811">
    <w:p w:rsidR="0083519B" w:rsidRPr="0054641A" w:rsidRDefault="0083519B" w:rsidP="00FA6C95">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El Yaâgoubi, M. (2021). "Les établissements de coopération intercommunale au Maroc : entre ambitions normatives et réalités pratiques". Revue Marocaine d'Administration Locale et de Développement, n°156, pp. 91-114. </w:t>
      </w:r>
    </w:p>
  </w:footnote>
  <w:footnote w:id="812">
    <w:p w:rsidR="0083519B" w:rsidRPr="0054641A" w:rsidRDefault="0083519B" w:rsidP="00FA6C95">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Négrier, E. &amp; Tomas, M. (2016). "L'intercommunalité en France et en Europe : des modèles en compétition ?". Revue Française d'Administration Publique, n°160, pp. 1069-1082. </w:t>
      </w:r>
    </w:p>
  </w:footnote>
  <w:footnote w:id="813">
    <w:p w:rsidR="0083519B" w:rsidRPr="0054641A" w:rsidRDefault="0083519B" w:rsidP="00FA6C95">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El Fasskaoui, B. &amp; Kagermeier, A. (2020). "Les communes rurales et la gestion forestière au Maroc : potentialités et contraintes". In Aménagement du territoire et développement durable au Maroc, Publications de la Faculté des Lettres et Sciences Humaines, Université Hassan II, Mohammedia, pp. 157-176.</w:t>
      </w:r>
    </w:p>
  </w:footnote>
  <w:footnote w:id="814">
    <w:p w:rsidR="0083519B" w:rsidRPr="0054641A" w:rsidRDefault="0083519B" w:rsidP="00FA6C95">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Haut-Commissariat aux Eaux et Forêts et à la Lutte Contre la Désertification. (2019). Étude sur la gestion des interfaces forêt-agriculture dans la région de Rabat-Salé-Kénitra. Royaume du Maroc, pp. 53-68.</w:t>
      </w:r>
    </w:p>
  </w:footnote>
  <w:footnote w:id="815">
    <w:p w:rsidR="0083519B" w:rsidRPr="0054641A" w:rsidRDefault="0083519B" w:rsidP="00FA6C95">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Naciri, M. (2021). "Pour une approche progressive de l'intercommunalité au Maroc". Revue Marocaine des Collectivités Territoriales, n°7, pp. 23-41. </w:t>
      </w:r>
    </w:p>
  </w:footnote>
  <w:footnote w:id="816">
    <w:p w:rsidR="0083519B" w:rsidRPr="0054641A" w:rsidRDefault="0083519B" w:rsidP="00FA6C95">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Bergh, S.I. (2020). "Building institutional capacity for territorial development: lessons from Morocco's 'Advanced Regionalization' reform". Regional &amp; Federal Studies, 30(1), pp. 25-46.</w:t>
      </w:r>
    </w:p>
  </w:footnote>
  <w:footnote w:id="817">
    <w:p w:rsidR="0083519B" w:rsidRPr="0054641A" w:rsidRDefault="0083519B" w:rsidP="00FA6C95">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Romagny, B., Boujrouf, S. &amp; Ait Errays, N. (2018). "Les entrepreneurs institutionnels de la gouvernance territoriale des ressources naturelles au Maroc". Économie Rurale, n°363, pp. 81-99.</w:t>
      </w:r>
    </w:p>
  </w:footnote>
  <w:footnote w:id="818">
    <w:p w:rsidR="0083519B" w:rsidRPr="0054641A" w:rsidRDefault="0083519B" w:rsidP="002D04C1">
      <w:pPr>
        <w:spacing w:after="0"/>
        <w:jc w:val="both"/>
        <w:rPr>
          <w:rFonts w:ascii="Tahoma" w:hAnsi="Tahoma" w:cs="Tahoma"/>
          <w:color w:val="000000" w:themeColor="text1"/>
          <w:sz w:val="20"/>
          <w:szCs w:val="20"/>
        </w:rPr>
      </w:pPr>
      <w:r w:rsidRPr="0054641A">
        <w:rPr>
          <w:rStyle w:val="Appelnotedebasdep"/>
          <w:rFonts w:ascii="Tahoma" w:hAnsi="Tahoma" w:cs="Tahoma"/>
          <w:sz w:val="20"/>
          <w:szCs w:val="20"/>
        </w:rPr>
        <w:footnoteRef/>
      </w:r>
      <w:r w:rsidRPr="0054641A">
        <w:rPr>
          <w:rFonts w:ascii="Tahoma" w:hAnsi="Tahoma" w:cs="Tahoma"/>
          <w:sz w:val="20"/>
          <w:szCs w:val="20"/>
        </w:rPr>
        <w:t xml:space="preserve"> METZGER, Pascale. Contribution à la réflexion sur les risques en géographie et dans les sciences sociales. Habilitation à Diriger des Recherches, Institut de Recherche pour le Développement, 2018. [En ligne]. Disponible sur : https://ird.hal.science/tel-02007382/file/HDR%20Pascale%20Metzger.pdf (consulté le 03.01.2025).</w:t>
      </w:r>
    </w:p>
  </w:footnote>
  <w:footnote w:id="819">
    <w:p w:rsidR="0083519B" w:rsidRPr="0054641A" w:rsidRDefault="0083519B" w:rsidP="002B500C">
      <w:pPr>
        <w:pStyle w:val="Notedebasdepage"/>
        <w:rPr>
          <w:rFonts w:ascii="Tahoma" w:hAnsi="Tahoma" w:cs="Tahoma"/>
        </w:rPr>
      </w:pPr>
      <w:r w:rsidRPr="0054641A">
        <w:rPr>
          <w:rStyle w:val="Appelnotedebasdep"/>
          <w:rFonts w:ascii="Tahoma" w:hAnsi="Tahoma" w:cs="Tahoma"/>
        </w:rPr>
        <w:footnoteRef/>
      </w:r>
      <w:r w:rsidRPr="0054641A">
        <w:rPr>
          <w:rFonts w:ascii="Tahoma" w:hAnsi="Tahoma" w:cs="Tahoma"/>
        </w:rPr>
        <w:t xml:space="preserve"> </w:t>
      </w:r>
      <w:r w:rsidRPr="0054641A">
        <w:rPr>
          <w:rStyle w:val="lev"/>
          <w:rFonts w:ascii="Tahoma" w:hAnsi="Tahoma" w:cs="Tahoma"/>
          <w:b w:val="0"/>
          <w:bCs w:val="0"/>
        </w:rPr>
        <w:t>Ibid.</w:t>
      </w:r>
      <w:r w:rsidRPr="0054641A">
        <w:rPr>
          <w:rFonts w:ascii="Tahoma" w:hAnsi="Tahoma" w:cs="Tahoma"/>
        </w:rPr>
        <w:t>, p. 11.</w:t>
      </w:r>
    </w:p>
  </w:footnote>
  <w:footnote w:id="820">
    <w:p w:rsidR="0083519B" w:rsidRPr="0054641A" w:rsidRDefault="0083519B" w:rsidP="00050F2D">
      <w:pPr>
        <w:pStyle w:val="Notedebasdepage"/>
        <w:rPr>
          <w:rFonts w:ascii="Tahoma" w:hAnsi="Tahoma" w:cs="Tahoma"/>
        </w:rPr>
      </w:pPr>
      <w:r w:rsidRPr="0054641A">
        <w:rPr>
          <w:rStyle w:val="Appelnotedebasdep"/>
          <w:rFonts w:ascii="Tahoma" w:hAnsi="Tahoma" w:cs="Tahoma"/>
        </w:rPr>
        <w:footnoteRef/>
      </w:r>
      <w:r w:rsidRPr="0054641A">
        <w:rPr>
          <w:rFonts w:ascii="Tahoma" w:hAnsi="Tahoma" w:cs="Tahoma"/>
        </w:rPr>
        <w:t xml:space="preserve"> Ibid., p. 11.</w:t>
      </w:r>
    </w:p>
  </w:footnote>
  <w:footnote w:id="821">
    <w:p w:rsidR="0083519B" w:rsidRPr="0054641A" w:rsidRDefault="0083519B" w:rsidP="002B500C">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L'analyse systémique née dans les années 1940-1950 de la « Théorie Générale des Systèmes » et développée par le biologiste Ludwig von Bertalanffy, constitue une rupture épistémologique face aux approches réductionnistes dominantes en proposant une vision holistique des phénomènes complexes. L'importation en sciences sociales s'opère principalement par Talcott Parsons (sociologie), David Easton (science politique), et Jay Forrester (dynamique des systèmes), révolutionnant l'</w:t>
      </w:r>
      <w:r>
        <w:rPr>
          <w:rFonts w:ascii="Tahoma" w:hAnsi="Tahoma" w:cs="Tahoma"/>
        </w:rPr>
        <w:t>appréhension des faits sociaux.</w:t>
      </w:r>
    </w:p>
  </w:footnote>
  <w:footnote w:id="822">
    <w:p w:rsidR="0083519B" w:rsidRPr="0054641A" w:rsidRDefault="0083519B" w:rsidP="00050F2D">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Niklas Luhmann, La Société de la société, trad. française, Paris, Presses Universitaires de France, 1997, 810 p. </w:t>
      </w:r>
    </w:p>
  </w:footnote>
  <w:footnote w:id="823">
    <w:p w:rsidR="0083519B" w:rsidRPr="00C52490" w:rsidRDefault="0083519B" w:rsidP="002D04C1">
      <w:pPr>
        <w:pStyle w:val="Notedebasdepage"/>
        <w:jc w:val="both"/>
        <w:rPr>
          <w:rStyle w:val="Appelnotedebasdep"/>
          <w:rFonts w:ascii="Tahoma" w:hAnsi="Tahoma" w:cs="Tahoma"/>
          <w:vertAlign w:val="baseline"/>
        </w:rPr>
      </w:pPr>
      <w:r w:rsidRPr="005979B4">
        <w:rPr>
          <w:rStyle w:val="Appelnotedebasdep"/>
          <w:rFonts w:ascii="Tahoma" w:hAnsi="Tahoma" w:cs="Tahoma"/>
        </w:rPr>
        <w:footnoteRef/>
      </w:r>
      <w:r w:rsidRPr="00C52490">
        <w:rPr>
          <w:rStyle w:val="Appelnotedebasdep"/>
          <w:rFonts w:ascii="Tahoma" w:hAnsi="Tahoma" w:cs="Tahoma"/>
          <w:vertAlign w:val="baseline"/>
        </w:rPr>
        <w:t xml:space="preserve"> David Harvey, Justice sociale et urbanité, trad. française, Paris, Éditions Amsterdam, 2009, 367 p.</w:t>
      </w:r>
    </w:p>
  </w:footnote>
  <w:footnote w:id="824">
    <w:p w:rsidR="0083519B" w:rsidRPr="00167FA1" w:rsidRDefault="0083519B" w:rsidP="002D04C1">
      <w:pPr>
        <w:pStyle w:val="Notedebasdepage"/>
        <w:jc w:val="both"/>
        <w:rPr>
          <w:rStyle w:val="Appelnotedebasdep"/>
          <w:rFonts w:ascii="Tahoma" w:hAnsi="Tahoma" w:cs="Tahoma"/>
        </w:rPr>
      </w:pPr>
      <w:r w:rsidRPr="005979B4">
        <w:rPr>
          <w:rStyle w:val="Appelnotedebasdep"/>
          <w:rFonts w:ascii="Tahoma" w:hAnsi="Tahoma" w:cs="Tahoma"/>
        </w:rPr>
        <w:footnoteRef/>
      </w:r>
      <w:r w:rsidRPr="00C52490">
        <w:rPr>
          <w:rStyle w:val="Appelnotedebasdep"/>
          <w:rFonts w:ascii="Tahoma" w:hAnsi="Tahoma" w:cs="Tahoma"/>
          <w:vertAlign w:val="baseline"/>
        </w:rPr>
        <w:t xml:space="preserve"> Doreen Massey, Pour une géographie de la différence, trad. française, Paris, Presses Universitaires de France, 2007, 178 p.</w:t>
      </w:r>
      <w:r w:rsidRPr="00167FA1">
        <w:rPr>
          <w:rStyle w:val="Appelnotedebasdep"/>
          <w:rFonts w:ascii="Tahoma" w:hAnsi="Tahoma" w:cs="Tahoma"/>
        </w:rPr>
        <w:t xml:space="preserve"> </w:t>
      </w:r>
    </w:p>
  </w:footnote>
  <w:footnote w:id="825">
    <w:p w:rsidR="0083519B" w:rsidRPr="0054641A" w:rsidRDefault="0083519B" w:rsidP="00050F2D">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CONSEIL ÉCONOMIQUE, SOCIAL ET ENVIRONNEMENTAL. Avis du Conseil Économique Social et Environnemental sur les écosystèmes forestiers du Maroc : Risques, défis et opportunités. Rabat : CESE, 2022, p. 18.</w:t>
      </w:r>
    </w:p>
  </w:footnote>
  <w:footnote w:id="826">
    <w:p w:rsidR="0083519B" w:rsidRPr="0054641A" w:rsidRDefault="0083519B" w:rsidP="00050F2D">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w:t>
      </w:r>
      <w:r w:rsidRPr="0054641A">
        <w:rPr>
          <w:rStyle w:val="lev"/>
          <w:rFonts w:ascii="Tahoma" w:hAnsi="Tahoma" w:cs="Tahoma"/>
          <w:b w:val="0"/>
          <w:bCs w:val="0"/>
        </w:rPr>
        <w:t>COUR DES COMPTES</w:t>
      </w:r>
      <w:r w:rsidRPr="0054641A">
        <w:rPr>
          <w:rFonts w:ascii="Tahoma" w:hAnsi="Tahoma" w:cs="Tahoma"/>
        </w:rPr>
        <w:t xml:space="preserve">, </w:t>
      </w:r>
      <w:r w:rsidRPr="0054641A">
        <w:rPr>
          <w:rStyle w:val="Accentuation"/>
          <w:rFonts w:ascii="Tahoma" w:hAnsi="Tahoma" w:cs="Tahoma"/>
          <w:i w:val="0"/>
          <w:iCs w:val="0"/>
        </w:rPr>
        <w:t>Evaluation de la gestion des parcs nationaux</w:t>
      </w:r>
      <w:r w:rsidRPr="0054641A">
        <w:rPr>
          <w:rFonts w:ascii="Tahoma" w:hAnsi="Tahoma" w:cs="Tahoma"/>
        </w:rPr>
        <w:t>, Rabat, 2020, p. 2.</w:t>
      </w:r>
    </w:p>
  </w:footnote>
  <w:footnote w:id="827">
    <w:p w:rsidR="0083519B" w:rsidRPr="0054641A" w:rsidRDefault="0083519B" w:rsidP="00050F2D">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Mohamed BENZYANE. et all. Les écosystèmes naturels marocains et les changements climatiques : la résilience écologique à l’épreuve, Centre de Recherche Forestière, Collection Maroc Nature. 2010. P : 27.  </w:t>
      </w:r>
    </w:p>
  </w:footnote>
  <w:footnote w:id="828">
    <w:p w:rsidR="0083519B" w:rsidRPr="00C52490" w:rsidRDefault="0083519B" w:rsidP="00A05126">
      <w:pPr>
        <w:pStyle w:val="Notedebasdepage"/>
        <w:jc w:val="both"/>
        <w:rPr>
          <w:rStyle w:val="Appelnotedebasdep"/>
          <w:rFonts w:ascii="Tahoma" w:hAnsi="Tahoma" w:cs="Tahoma"/>
          <w:vertAlign w:val="baseline"/>
        </w:rPr>
      </w:pPr>
      <w:r w:rsidRPr="005979B4">
        <w:rPr>
          <w:rStyle w:val="Appelnotedebasdep"/>
          <w:rFonts w:ascii="Tahoma" w:hAnsi="Tahoma" w:cs="Tahoma"/>
        </w:rPr>
        <w:footnoteRef/>
      </w:r>
      <w:r w:rsidRPr="005979B4">
        <w:rPr>
          <w:rStyle w:val="Appelnotedebasdep"/>
          <w:rFonts w:ascii="Tahoma" w:hAnsi="Tahoma" w:cs="Tahoma"/>
        </w:rPr>
        <w:t xml:space="preserve"> </w:t>
      </w:r>
      <w:r w:rsidRPr="00C52490">
        <w:rPr>
          <w:rStyle w:val="Appelnotedebasdep"/>
          <w:rFonts w:ascii="Tahoma" w:hAnsi="Tahoma" w:cs="Tahoma"/>
          <w:vertAlign w:val="baseline"/>
        </w:rPr>
        <w:t>IRES, op. cit., p. 18.</w:t>
      </w:r>
    </w:p>
  </w:footnote>
  <w:footnote w:id="829">
    <w:p w:rsidR="0083519B" w:rsidRPr="00C52490" w:rsidRDefault="0083519B" w:rsidP="00A05126">
      <w:pPr>
        <w:pStyle w:val="Notedebasdepage"/>
        <w:jc w:val="both"/>
        <w:rPr>
          <w:rStyle w:val="Appelnotedebasdep"/>
          <w:rFonts w:ascii="Tahoma" w:hAnsi="Tahoma" w:cs="Tahoma"/>
          <w:vertAlign w:val="baseline"/>
        </w:rPr>
      </w:pPr>
      <w:r w:rsidRPr="005979B4">
        <w:rPr>
          <w:rStyle w:val="Appelnotedebasdep"/>
          <w:rFonts w:ascii="Tahoma" w:hAnsi="Tahoma" w:cs="Tahoma"/>
        </w:rPr>
        <w:footnoteRef/>
      </w:r>
      <w:r w:rsidRPr="00C52490">
        <w:rPr>
          <w:rStyle w:val="Appelnotedebasdep"/>
          <w:rFonts w:ascii="Tahoma" w:hAnsi="Tahoma" w:cs="Tahoma"/>
          <w:vertAlign w:val="baseline"/>
        </w:rPr>
        <w:t xml:space="preserve"> IRES, op. cit., p. 9.</w:t>
      </w:r>
    </w:p>
  </w:footnote>
  <w:footnote w:id="830">
    <w:p w:rsidR="0083519B" w:rsidRPr="00401D4C" w:rsidRDefault="0083519B" w:rsidP="00A05126">
      <w:pPr>
        <w:pStyle w:val="Notedebasdepage"/>
        <w:jc w:val="both"/>
        <w:rPr>
          <w:rStyle w:val="Appelnotedebasdep"/>
        </w:rPr>
      </w:pPr>
      <w:r w:rsidRPr="005979B4">
        <w:rPr>
          <w:rStyle w:val="Appelnotedebasdep"/>
          <w:rFonts w:ascii="Tahoma" w:hAnsi="Tahoma" w:cs="Tahoma"/>
        </w:rPr>
        <w:footnoteRef/>
      </w:r>
      <w:r w:rsidRPr="00C52490">
        <w:rPr>
          <w:rStyle w:val="Appelnotedebasdep"/>
          <w:rFonts w:ascii="Tahoma" w:hAnsi="Tahoma" w:cs="Tahoma"/>
          <w:vertAlign w:val="baseline"/>
        </w:rPr>
        <w:t xml:space="preserve"> IRES, op. cit., p. 9.</w:t>
      </w:r>
    </w:p>
  </w:footnote>
  <w:footnote w:id="831">
    <w:p w:rsidR="0083519B" w:rsidRPr="00C52490" w:rsidRDefault="0083519B" w:rsidP="00A05126">
      <w:pPr>
        <w:pStyle w:val="Notedebasdepage"/>
        <w:jc w:val="both"/>
        <w:rPr>
          <w:rFonts w:ascii="Tahoma" w:hAnsi="Tahoma" w:cs="Tahoma"/>
        </w:rPr>
      </w:pPr>
      <w:r w:rsidRPr="00C52490">
        <w:rPr>
          <w:rFonts w:ascii="Tahoma" w:hAnsi="Tahoma" w:cs="Tahoma"/>
          <w:vertAlign w:val="superscript"/>
        </w:rPr>
        <w:footnoteRef/>
      </w:r>
      <w:r>
        <w:rPr>
          <w:rFonts w:ascii="Tahoma" w:hAnsi="Tahoma" w:cs="Tahoma"/>
        </w:rPr>
        <w:t xml:space="preserve"> </w:t>
      </w:r>
      <w:r w:rsidRPr="00C52490">
        <w:rPr>
          <w:rFonts w:ascii="Tahoma" w:hAnsi="Tahoma" w:cs="Tahoma"/>
        </w:rPr>
        <w:t>Dans le cadre de la production pastorale, les forêts offrent durant toute l'année des ressources fourragères librement accessibles à tous types de bétail. Cette situation de gratuité engendre un surpâturage des ressources sylvopastorales. IRES, op. cit., p. 9.</w:t>
      </w:r>
    </w:p>
  </w:footnote>
  <w:footnote w:id="832">
    <w:p w:rsidR="0083519B" w:rsidRPr="00C52490" w:rsidRDefault="0083519B" w:rsidP="00A05126">
      <w:pPr>
        <w:pStyle w:val="Notedebasdepage"/>
        <w:jc w:val="both"/>
        <w:rPr>
          <w:rFonts w:ascii="Tahoma" w:hAnsi="Tahoma" w:cs="Tahoma"/>
        </w:rPr>
      </w:pPr>
      <w:r w:rsidRPr="00C52490">
        <w:rPr>
          <w:rFonts w:ascii="Tahoma" w:hAnsi="Tahoma" w:cs="Tahoma"/>
        </w:rPr>
        <w:footnoteRef/>
      </w:r>
      <w:r w:rsidRPr="00C52490">
        <w:rPr>
          <w:rFonts w:ascii="Tahoma" w:hAnsi="Tahoma" w:cs="Tahoma"/>
        </w:rPr>
        <w:t>HARDIN Garrett, « The Tragedy of the Commons », Science, vol. 162, n° 3859, 1968, p. 1243-1248. Cette théorie trouve une application directe dans le cas des forêts marocaines où l'accès libre aux ressources forestières conduit à leur surexploitation.</w:t>
      </w:r>
    </w:p>
  </w:footnote>
  <w:footnote w:id="833">
    <w:p w:rsidR="0083519B" w:rsidRPr="00C52490" w:rsidRDefault="0083519B" w:rsidP="00A05126">
      <w:pPr>
        <w:pStyle w:val="Notedebasdepage"/>
        <w:jc w:val="both"/>
        <w:rPr>
          <w:rFonts w:ascii="Tahoma" w:hAnsi="Tahoma" w:cs="Tahoma"/>
        </w:rPr>
      </w:pPr>
      <w:r w:rsidRPr="00222FF8">
        <w:rPr>
          <w:rFonts w:ascii="Tahoma" w:hAnsi="Tahoma" w:cs="Tahoma"/>
          <w:vertAlign w:val="superscript"/>
        </w:rPr>
        <w:footnoteRef/>
      </w:r>
      <w:r w:rsidRPr="00C52490">
        <w:rPr>
          <w:rFonts w:ascii="Tahoma" w:hAnsi="Tahoma" w:cs="Tahoma"/>
        </w:rPr>
        <w:t xml:space="preserve"> Cette situation est aggravée par des contrats d'association entre les populations locales et des investisseurs externes aux communautés d'usagers. IRES, op. cit., p. 9.</w:t>
      </w:r>
    </w:p>
  </w:footnote>
  <w:footnote w:id="834">
    <w:p w:rsidR="0083519B" w:rsidRPr="00C52490" w:rsidRDefault="0083519B" w:rsidP="00DF2513">
      <w:pPr>
        <w:pStyle w:val="Notedebasdepage"/>
        <w:jc w:val="both"/>
        <w:rPr>
          <w:rFonts w:ascii="Tahoma" w:hAnsi="Tahoma" w:cs="Tahoma"/>
        </w:rPr>
      </w:pPr>
      <w:r w:rsidRPr="00C52490">
        <w:rPr>
          <w:rFonts w:ascii="Tahoma" w:hAnsi="Tahoma" w:cs="Tahoma"/>
        </w:rPr>
        <w:footnoteRef/>
      </w:r>
      <w:r w:rsidRPr="00C52490">
        <w:rPr>
          <w:rFonts w:ascii="Tahoma" w:hAnsi="Tahoma" w:cs="Tahoma"/>
        </w:rPr>
        <w:t>Même dans le cadre de la nouvelle stratégie forestière 2020-2030, le reboisement n'a pas dépassé 20 000 hectares par an depuis sa mise en œuvre, un chiffre largement inférieur à l'objectif fixé de 100 000 hectares par an à l'horizon 2030. IRES, op. cit., p. 12.</w:t>
      </w:r>
    </w:p>
  </w:footnote>
  <w:footnote w:id="835">
    <w:p w:rsidR="0083519B" w:rsidRPr="004544CC" w:rsidRDefault="0083519B" w:rsidP="00A00BE5">
      <w:pPr>
        <w:pStyle w:val="Notedebasdepage"/>
        <w:jc w:val="both"/>
        <w:rPr>
          <w:rStyle w:val="Appelnotedebasdep"/>
          <w:rFonts w:ascii="Tahoma" w:hAnsi="Tahoma" w:cs="Tahoma"/>
        </w:rPr>
      </w:pPr>
      <w:r w:rsidRPr="00C52490">
        <w:rPr>
          <w:rFonts w:ascii="Tahoma" w:hAnsi="Tahoma" w:cs="Tahoma"/>
        </w:rPr>
        <w:footnoteRef/>
      </w:r>
      <w:r w:rsidRPr="00C52490">
        <w:rPr>
          <w:rFonts w:ascii="Tahoma" w:hAnsi="Tahoma" w:cs="Tahoma"/>
        </w:rPr>
        <w:t>En plus du budget de l'État, ces efforts ont bénéficié aussi d'un appui technique</w:t>
      </w:r>
      <w:r w:rsidRPr="00C52490">
        <w:rPr>
          <w:rStyle w:val="Appelnotedebasdep"/>
          <w:rFonts w:ascii="Tahoma" w:hAnsi="Tahoma" w:cs="Tahoma"/>
          <w:vertAlign w:val="baseline"/>
        </w:rPr>
        <w:t xml:space="preserve"> et financier dans le cadre de la coopération internationale, axée sur le développement forestier et la préservation de la biodiversité. IRES, op. cit., p. 12.</w:t>
      </w:r>
    </w:p>
  </w:footnote>
  <w:footnote w:id="836">
    <w:p w:rsidR="0083519B" w:rsidRPr="0054641A" w:rsidRDefault="0083519B" w:rsidP="00A00BE5">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De plus, le secteur privé investit peu dans les efforts de reforestation. Hormis une initiative menée avec la Caisse de Dépôt et de Gestion dans les années 1990, les investissements privés dans la gestion forestière restent absents. IRES, op. cit., p. 20.</w:t>
      </w:r>
    </w:p>
  </w:footnote>
  <w:footnote w:id="837">
    <w:p w:rsidR="0083519B" w:rsidRPr="0054641A" w:rsidRDefault="0083519B" w:rsidP="00A00BE5">
      <w:pPr>
        <w:spacing w:after="0" w:line="240" w:lineRule="auto"/>
        <w:jc w:val="both"/>
        <w:rPr>
          <w:rFonts w:ascii="Tahoma" w:hAnsi="Tahoma" w:cs="Tahoma"/>
          <w:sz w:val="20"/>
          <w:szCs w:val="20"/>
        </w:rPr>
      </w:pPr>
      <w:r w:rsidRPr="0054641A">
        <w:rPr>
          <w:rStyle w:val="Appelnotedebasdep"/>
          <w:rFonts w:ascii="Tahoma" w:hAnsi="Tahoma" w:cs="Tahoma"/>
          <w:sz w:val="20"/>
          <w:szCs w:val="20"/>
        </w:rPr>
        <w:footnoteRef/>
      </w:r>
      <w:r w:rsidRPr="0054641A">
        <w:rPr>
          <w:rFonts w:ascii="Tahoma" w:hAnsi="Tahoma" w:cs="Tahoma"/>
          <w:sz w:val="20"/>
          <w:szCs w:val="20"/>
        </w:rPr>
        <w:t>Depuis 2010, la restructuration de l'administration forestière et la réduction d'un tiers des unités de gestion de proximité ont conduit à une présence limitée de gestionnaires sur le terrain. IRES, op. cit., p. 19.</w:t>
      </w:r>
    </w:p>
  </w:footnote>
  <w:footnote w:id="838">
    <w:p w:rsidR="0083519B" w:rsidRPr="0054641A" w:rsidRDefault="0083519B" w:rsidP="00A00BE5">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Le manque de ressources humaines, tant techniques qu'administratives, se fait sentir, compromettant la surveillance, le suivi et l'encadrement nécessaires à une gestion durable des forêts. IRES, op. cit., p. 19.</w:t>
      </w:r>
    </w:p>
  </w:footnote>
  <w:footnote w:id="839">
    <w:p w:rsidR="0083519B" w:rsidRPr="0054641A" w:rsidRDefault="0083519B" w:rsidP="00FF7634">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w:t>
      </w:r>
      <w:r>
        <w:rPr>
          <w:rFonts w:ascii="Tahoma" w:hAnsi="Tahoma" w:cs="Tahoma"/>
        </w:rPr>
        <w:t>Ibid. p19</w:t>
      </w:r>
    </w:p>
  </w:footnote>
  <w:footnote w:id="840">
    <w:p w:rsidR="0083519B" w:rsidRPr="00316A70" w:rsidRDefault="0083519B" w:rsidP="005824DA">
      <w:pPr>
        <w:spacing w:after="0"/>
        <w:jc w:val="both"/>
        <w:rPr>
          <w:rFonts w:ascii="Tahoma" w:hAnsi="Tahoma" w:cs="Tahoma"/>
          <w:sz w:val="20"/>
          <w:szCs w:val="20"/>
        </w:rPr>
      </w:pPr>
      <w:r w:rsidRPr="00316A70">
        <w:rPr>
          <w:rFonts w:ascii="Tahoma" w:hAnsi="Tahoma" w:cs="Tahoma"/>
          <w:sz w:val="20"/>
          <w:szCs w:val="20"/>
        </w:rPr>
        <w:footnoteRef/>
      </w:r>
      <w:r w:rsidRPr="00316A70">
        <w:rPr>
          <w:rFonts w:ascii="Tahoma" w:hAnsi="Tahoma" w:cs="Tahoma"/>
          <w:sz w:val="20"/>
          <w:szCs w:val="20"/>
        </w:rPr>
        <w:t xml:space="preserve"> Le secteur souffre également d'une discontinuité dans la mise en œuvre des programmes, avec une insuffisance constatée dans le suivi et l'évaluation des projets programmes réalisés dans le passé, limitant ainsi l'analyse de leurs efficacités et efficiences. IRES, op. cit., p. 20.</w:t>
      </w:r>
    </w:p>
  </w:footnote>
  <w:footnote w:id="841">
    <w:p w:rsidR="0083519B" w:rsidRPr="003F4DF6" w:rsidRDefault="0083519B" w:rsidP="005824DA">
      <w:pPr>
        <w:spacing w:after="0"/>
        <w:jc w:val="both"/>
        <w:rPr>
          <w:rFonts w:ascii="Tahoma" w:hAnsi="Tahoma" w:cs="Tahoma"/>
          <w:sz w:val="20"/>
          <w:szCs w:val="20"/>
        </w:rPr>
      </w:pPr>
      <w:r w:rsidRPr="003F4DF6">
        <w:rPr>
          <w:rFonts w:ascii="Tahoma" w:hAnsi="Tahoma" w:cs="Tahoma"/>
          <w:sz w:val="20"/>
          <w:szCs w:val="20"/>
          <w:vertAlign w:val="superscript"/>
        </w:rPr>
        <w:footnoteRef/>
      </w:r>
      <w:r w:rsidRPr="003F4DF6">
        <w:rPr>
          <w:rFonts w:ascii="Tahoma" w:hAnsi="Tahoma" w:cs="Tahoma"/>
          <w:sz w:val="20"/>
          <w:szCs w:val="20"/>
        </w:rPr>
        <w:t xml:space="preserve"> La gestion des écosystèmes forestiers ne peut être dissociée de son contexte rural ou péri-urbain et de ses liens organiques avec les secteurs connexes : eau, agriculture, environnement, tourisme, artisanat. Institut Royal des Études Stratégiques (IRES), Rapport de synthèse des travaux de la journée de réflexion prospective : L'avenir des écosystèmes forestiers marocains dans un contexte d'accélération du changement climatique, septembre 2024, p. 19.</w:t>
      </w:r>
    </w:p>
  </w:footnote>
  <w:footnote w:id="842">
    <w:p w:rsidR="0083519B" w:rsidRPr="003F4DF6" w:rsidRDefault="0083519B" w:rsidP="005824DA">
      <w:pPr>
        <w:spacing w:after="0"/>
        <w:jc w:val="both"/>
        <w:rPr>
          <w:rFonts w:ascii="Tahoma" w:hAnsi="Tahoma" w:cs="Tahoma"/>
          <w:sz w:val="20"/>
          <w:szCs w:val="20"/>
        </w:rPr>
      </w:pPr>
      <w:r w:rsidRPr="003F4DF6">
        <w:rPr>
          <w:rFonts w:ascii="Tahoma" w:hAnsi="Tahoma" w:cs="Tahoma"/>
          <w:sz w:val="20"/>
          <w:szCs w:val="20"/>
          <w:vertAlign w:val="superscript"/>
        </w:rPr>
        <w:footnoteRef/>
      </w:r>
      <w:r w:rsidRPr="003F4DF6">
        <w:rPr>
          <w:rFonts w:ascii="Tahoma" w:hAnsi="Tahoma" w:cs="Tahoma"/>
          <w:sz w:val="20"/>
          <w:szCs w:val="20"/>
        </w:rPr>
        <w:t>Dans le cadre de projets communs avec d'autres départements sectoriels, il est constaté également une insuffisance dans la synchronisation des interventions, comme c'est le cas pour la protection phytosanitaire. IRES, op. cit., p. 19.</w:t>
      </w:r>
    </w:p>
  </w:footnote>
  <w:footnote w:id="843">
    <w:p w:rsidR="0083519B" w:rsidRPr="0054641A" w:rsidRDefault="0083519B" w:rsidP="005824DA">
      <w:pPr>
        <w:spacing w:after="0"/>
        <w:jc w:val="both"/>
        <w:rPr>
          <w:rFonts w:ascii="Tahoma" w:hAnsi="Tahoma" w:cs="Tahoma"/>
          <w:sz w:val="20"/>
          <w:szCs w:val="20"/>
          <w:lang w:eastAsia="fr-FR"/>
        </w:rPr>
      </w:pPr>
      <w:r w:rsidRPr="003F4DF6">
        <w:rPr>
          <w:rFonts w:ascii="Tahoma" w:hAnsi="Tahoma" w:cs="Tahoma"/>
          <w:sz w:val="20"/>
          <w:szCs w:val="20"/>
          <w:vertAlign w:val="superscript"/>
        </w:rPr>
        <w:footnoteRef/>
      </w:r>
      <w:r w:rsidRPr="003F4DF6">
        <w:rPr>
          <w:rFonts w:ascii="Tahoma" w:hAnsi="Tahoma" w:cs="Tahoma"/>
          <w:sz w:val="20"/>
          <w:szCs w:val="20"/>
        </w:rPr>
        <w:t xml:space="preserve"> Ibid., où l'action, réalisée avec retard, aggrave parfois</w:t>
      </w:r>
      <w:r w:rsidRPr="00316A70">
        <w:rPr>
          <w:rFonts w:ascii="Tahoma" w:hAnsi="Tahoma" w:cs="Tahoma"/>
          <w:sz w:val="20"/>
          <w:szCs w:val="20"/>
        </w:rPr>
        <w:t xml:space="preserve"> les dommages sur les peuplements forestiers.</w:t>
      </w:r>
    </w:p>
  </w:footnote>
  <w:footnote w:id="844">
    <w:p w:rsidR="0083519B" w:rsidRPr="00C53138" w:rsidRDefault="0083519B" w:rsidP="00316A70">
      <w:pPr>
        <w:spacing w:after="0"/>
        <w:jc w:val="both"/>
        <w:rPr>
          <w:rFonts w:ascii="Tahoma" w:hAnsi="Tahoma" w:cs="Tahoma"/>
          <w:sz w:val="20"/>
          <w:szCs w:val="20"/>
        </w:rPr>
      </w:pPr>
      <w:r w:rsidRPr="003F4DF6">
        <w:rPr>
          <w:rFonts w:ascii="Tahoma" w:hAnsi="Tahoma" w:cs="Tahoma"/>
          <w:sz w:val="20"/>
          <w:szCs w:val="20"/>
          <w:vertAlign w:val="superscript"/>
        </w:rPr>
        <w:footnoteRef/>
      </w:r>
      <w:r w:rsidRPr="00C53138">
        <w:rPr>
          <w:rFonts w:ascii="Tahoma" w:hAnsi="Tahoma" w:cs="Tahoma"/>
          <w:sz w:val="20"/>
          <w:szCs w:val="20"/>
        </w:rPr>
        <w:t xml:space="preserve"> Le développement et la préservation des forêts doivent être réfléchis dans le cadre d'un processus global de développement du pays, qui se doit d'être à la fois multidimensionnel et multisectoriel et articulé avec les autres politiques pastorales, agricoles, énergétiques, hydriques ainsi que pénales. IRES, op. cit., p. 19.</w:t>
      </w:r>
    </w:p>
  </w:footnote>
  <w:footnote w:id="845">
    <w:p w:rsidR="0083519B" w:rsidRPr="00C53138" w:rsidRDefault="0083519B" w:rsidP="00316A70">
      <w:pPr>
        <w:spacing w:after="0"/>
        <w:jc w:val="both"/>
        <w:rPr>
          <w:rFonts w:ascii="Tahoma" w:hAnsi="Tahoma" w:cs="Tahoma"/>
          <w:sz w:val="20"/>
          <w:szCs w:val="20"/>
        </w:rPr>
      </w:pPr>
      <w:r w:rsidRPr="003F4DF6">
        <w:rPr>
          <w:rFonts w:ascii="Tahoma" w:hAnsi="Tahoma" w:cs="Tahoma"/>
          <w:sz w:val="20"/>
          <w:szCs w:val="20"/>
          <w:vertAlign w:val="superscript"/>
        </w:rPr>
        <w:footnoteRef/>
      </w:r>
      <w:r w:rsidRPr="00C53138">
        <w:rPr>
          <w:rFonts w:ascii="Tahoma" w:hAnsi="Tahoma" w:cs="Tahoma"/>
          <w:sz w:val="20"/>
          <w:szCs w:val="20"/>
        </w:rPr>
        <w:t xml:space="preserve"> L'absence d'intégration institutionnelle, caractérisant le déploiement des programmes, projets et politiques forestières, pâtit d'un manque de territorialisation des politiques, des moyens et des pouvoirs, constituant ainsi un défi majeur à surmonter. IRES, op. cit., p. 19.</w:t>
      </w:r>
    </w:p>
  </w:footnote>
  <w:footnote w:id="846">
    <w:p w:rsidR="0083519B" w:rsidRPr="00C53138" w:rsidRDefault="0083519B" w:rsidP="00316A70">
      <w:pPr>
        <w:spacing w:after="0"/>
        <w:jc w:val="both"/>
        <w:rPr>
          <w:rFonts w:ascii="Tahoma" w:hAnsi="Tahoma" w:cs="Tahoma"/>
          <w:sz w:val="20"/>
          <w:szCs w:val="20"/>
        </w:rPr>
      </w:pPr>
      <w:r w:rsidRPr="003F4DF6">
        <w:rPr>
          <w:rFonts w:ascii="Tahoma" w:hAnsi="Tahoma" w:cs="Tahoma"/>
          <w:sz w:val="20"/>
          <w:szCs w:val="20"/>
          <w:vertAlign w:val="superscript"/>
        </w:rPr>
        <w:footnoteRef/>
      </w:r>
      <w:r w:rsidRPr="00C53138">
        <w:rPr>
          <w:rFonts w:ascii="Tahoma" w:hAnsi="Tahoma" w:cs="Tahoma"/>
          <w:sz w:val="20"/>
          <w:szCs w:val="20"/>
        </w:rPr>
        <w:t xml:space="preserve"> Un autre défi majeur réside dans la participation insuffisante des communautés locales. Les populations rurales, qui dépendent souvent directement des ressources forestières pour leur subsistance, sont rarement incluses dans les processus de décision concernant la gestion des forêts. IRES, op. cit., p. 19.</w:t>
      </w:r>
    </w:p>
  </w:footnote>
  <w:footnote w:id="847">
    <w:p w:rsidR="0083519B" w:rsidRPr="00C53138" w:rsidRDefault="0083519B" w:rsidP="00316A70">
      <w:pPr>
        <w:spacing w:after="0"/>
        <w:jc w:val="both"/>
        <w:rPr>
          <w:rFonts w:ascii="Tahoma" w:hAnsi="Tahoma" w:cs="Tahoma"/>
          <w:sz w:val="20"/>
          <w:szCs w:val="20"/>
          <w:lang w:eastAsia="fr-FR"/>
        </w:rPr>
      </w:pPr>
      <w:r w:rsidRPr="003F4DF6">
        <w:rPr>
          <w:rFonts w:ascii="Tahoma" w:hAnsi="Tahoma" w:cs="Tahoma"/>
          <w:sz w:val="20"/>
          <w:szCs w:val="20"/>
          <w:vertAlign w:val="superscript"/>
        </w:rPr>
        <w:footnoteRef/>
      </w:r>
      <w:r w:rsidRPr="00C53138">
        <w:rPr>
          <w:rFonts w:ascii="Tahoma" w:hAnsi="Tahoma" w:cs="Tahoma"/>
          <w:sz w:val="20"/>
          <w:szCs w:val="20"/>
        </w:rPr>
        <w:t xml:space="preserve"> Pourtant, leur implication active est cruciale pour assurer la réussite des politiques de gestion durable. IRES, op. cit., p. 19.</w:t>
      </w:r>
    </w:p>
  </w:footnote>
  <w:footnote w:id="848">
    <w:p w:rsidR="0083519B" w:rsidRPr="00316A70" w:rsidRDefault="0083519B" w:rsidP="00316A70">
      <w:pPr>
        <w:spacing w:after="0"/>
        <w:jc w:val="both"/>
        <w:rPr>
          <w:rFonts w:ascii="Tahoma" w:hAnsi="Tahoma" w:cs="Tahoma"/>
          <w:sz w:val="20"/>
          <w:szCs w:val="20"/>
        </w:rPr>
      </w:pPr>
      <w:r w:rsidRPr="003F4DF6">
        <w:rPr>
          <w:rFonts w:ascii="Tahoma" w:hAnsi="Tahoma" w:cs="Tahoma"/>
          <w:sz w:val="20"/>
          <w:szCs w:val="20"/>
          <w:vertAlign w:val="superscript"/>
        </w:rPr>
        <w:footnoteRef/>
      </w:r>
      <w:r w:rsidRPr="00C53138">
        <w:rPr>
          <w:rFonts w:ascii="Tahoma" w:hAnsi="Tahoma" w:cs="Tahoma"/>
          <w:sz w:val="20"/>
          <w:szCs w:val="20"/>
        </w:rPr>
        <w:t xml:space="preserve"> La gouvernance actuelle du secteur présente de nombreux dysfonctionnements, notamment en ce qui concerne la coordination avec les diverses parties prenantes, tels que les groupements d'usagers</w:t>
      </w:r>
      <w:r w:rsidRPr="00316A70">
        <w:rPr>
          <w:rFonts w:ascii="Tahoma" w:hAnsi="Tahoma" w:cs="Tahoma"/>
          <w:sz w:val="20"/>
          <w:szCs w:val="20"/>
        </w:rPr>
        <w:t xml:space="preserve"> (associations, coopératives, organismes de développement forestier, groupements d'intérêt économique). IRES, op. cit., p. 19.</w:t>
      </w:r>
    </w:p>
  </w:footnote>
  <w:footnote w:id="849">
    <w:p w:rsidR="0083519B" w:rsidRPr="00316A70" w:rsidRDefault="0083519B" w:rsidP="00316A70">
      <w:pPr>
        <w:spacing w:after="0"/>
        <w:jc w:val="both"/>
        <w:rPr>
          <w:rFonts w:ascii="Tahoma" w:hAnsi="Tahoma" w:cs="Tahoma"/>
          <w:sz w:val="20"/>
          <w:szCs w:val="20"/>
        </w:rPr>
      </w:pPr>
      <w:r w:rsidRPr="003F4DF6">
        <w:rPr>
          <w:rFonts w:ascii="Tahoma" w:hAnsi="Tahoma" w:cs="Tahoma"/>
          <w:sz w:val="20"/>
          <w:szCs w:val="20"/>
          <w:vertAlign w:val="superscript"/>
        </w:rPr>
        <w:footnoteRef/>
      </w:r>
      <w:r w:rsidRPr="00316A70">
        <w:rPr>
          <w:rFonts w:ascii="Tahoma" w:hAnsi="Tahoma" w:cs="Tahoma"/>
          <w:sz w:val="20"/>
          <w:szCs w:val="20"/>
        </w:rPr>
        <w:t xml:space="preserve"> Cette logique descendante trouve ses origines dans le modèle de gestion forestière colonial qui privilégiait l'approche répressive, exclusivement dirigée par l'État, avant d'évoluer vers une méthode plus participative. IRES, op. cit., p. 8.</w:t>
      </w:r>
    </w:p>
  </w:footnote>
  <w:footnote w:id="850">
    <w:p w:rsidR="0083519B" w:rsidRPr="00316A70" w:rsidRDefault="0083519B" w:rsidP="00316A70">
      <w:pPr>
        <w:spacing w:after="0"/>
        <w:jc w:val="both"/>
        <w:rPr>
          <w:rFonts w:ascii="Tahoma" w:hAnsi="Tahoma" w:cs="Tahoma"/>
          <w:sz w:val="20"/>
          <w:szCs w:val="20"/>
        </w:rPr>
      </w:pPr>
      <w:r w:rsidRPr="003F4DF6">
        <w:rPr>
          <w:rFonts w:ascii="Tahoma" w:hAnsi="Tahoma" w:cs="Tahoma"/>
          <w:sz w:val="20"/>
          <w:szCs w:val="20"/>
          <w:vertAlign w:val="superscript"/>
        </w:rPr>
        <w:footnoteRef/>
      </w:r>
      <w:r w:rsidRPr="00316A70">
        <w:rPr>
          <w:rFonts w:ascii="Tahoma" w:hAnsi="Tahoma" w:cs="Tahoma"/>
          <w:sz w:val="20"/>
          <w:szCs w:val="20"/>
        </w:rPr>
        <w:t xml:space="preserve"> Enfin, les plans d'aménagement forestier, conçus pour assurer la gestion durable des ressources, peinent à être appliqués en raison de leur faible opposabilité aux tiers, compromettant leur efficacité sur le long terme. IRES, op. cit., p. 20.</w:t>
      </w:r>
    </w:p>
  </w:footnote>
  <w:footnote w:id="851">
    <w:p w:rsidR="0083519B" w:rsidRPr="00316A70" w:rsidRDefault="0083519B" w:rsidP="00316A70">
      <w:pPr>
        <w:spacing w:after="0"/>
        <w:jc w:val="both"/>
        <w:rPr>
          <w:rFonts w:ascii="Tahoma" w:hAnsi="Tahoma" w:cs="Tahoma"/>
          <w:sz w:val="20"/>
          <w:szCs w:val="20"/>
        </w:rPr>
      </w:pPr>
      <w:r w:rsidRPr="003F4DF6">
        <w:rPr>
          <w:rFonts w:ascii="Tahoma" w:hAnsi="Tahoma" w:cs="Tahoma"/>
          <w:sz w:val="20"/>
          <w:szCs w:val="20"/>
          <w:vertAlign w:val="superscript"/>
        </w:rPr>
        <w:footnoteRef/>
      </w:r>
      <w:r w:rsidRPr="00316A70">
        <w:rPr>
          <w:rFonts w:ascii="Tahoma" w:hAnsi="Tahoma" w:cs="Tahoma"/>
          <w:sz w:val="20"/>
          <w:szCs w:val="20"/>
        </w:rPr>
        <w:t xml:space="preserve"> La législation forestière, notamment les Dahirs de 1916 et 1917, bien que fondamentale, est devenue obsolète, ne reflétant plus les évolutions sociales et économiques du pays. IRES, op. cit., p. 20.</w:t>
      </w:r>
    </w:p>
  </w:footnote>
  <w:footnote w:id="852">
    <w:p w:rsidR="0083519B" w:rsidRPr="00316A70" w:rsidRDefault="0083519B" w:rsidP="00316A70">
      <w:pPr>
        <w:spacing w:after="0"/>
        <w:jc w:val="both"/>
        <w:rPr>
          <w:rFonts w:ascii="Tahoma" w:hAnsi="Tahoma" w:cs="Tahoma"/>
          <w:sz w:val="20"/>
          <w:szCs w:val="20"/>
        </w:rPr>
      </w:pPr>
      <w:r w:rsidRPr="003F4DF6">
        <w:rPr>
          <w:rFonts w:ascii="Tahoma" w:hAnsi="Tahoma" w:cs="Tahoma"/>
          <w:sz w:val="20"/>
          <w:szCs w:val="20"/>
          <w:vertAlign w:val="superscript"/>
        </w:rPr>
        <w:footnoteRef/>
      </w:r>
      <w:r w:rsidRPr="00316A70">
        <w:rPr>
          <w:rFonts w:ascii="Tahoma" w:hAnsi="Tahoma" w:cs="Tahoma"/>
          <w:sz w:val="20"/>
          <w:szCs w:val="20"/>
        </w:rPr>
        <w:t xml:space="preserve"> IRES, op. cit., p. 20.</w:t>
      </w:r>
    </w:p>
  </w:footnote>
  <w:footnote w:id="853">
    <w:p w:rsidR="0083519B" w:rsidRPr="003F4DF6" w:rsidRDefault="0083519B" w:rsidP="003F4DF6">
      <w:pPr>
        <w:spacing w:after="0"/>
        <w:jc w:val="both"/>
        <w:rPr>
          <w:rFonts w:ascii="Tahoma" w:hAnsi="Tahoma" w:cs="Tahoma"/>
          <w:sz w:val="20"/>
          <w:szCs w:val="20"/>
        </w:rPr>
      </w:pPr>
      <w:r w:rsidRPr="003F4DF6">
        <w:rPr>
          <w:rFonts w:ascii="Tahoma" w:hAnsi="Tahoma" w:cs="Tahoma"/>
          <w:sz w:val="20"/>
          <w:szCs w:val="20"/>
          <w:vertAlign w:val="superscript"/>
        </w:rPr>
        <w:footnoteRef/>
      </w:r>
      <w:r w:rsidRPr="00316A70">
        <w:rPr>
          <w:rFonts w:ascii="Tahoma" w:hAnsi="Tahoma" w:cs="Tahoma"/>
          <w:sz w:val="20"/>
          <w:szCs w:val="20"/>
        </w:rPr>
        <w:t xml:space="preserve"> IRES, op. cit., p. 20.</w:t>
      </w:r>
    </w:p>
  </w:footnote>
  <w:footnote w:id="854">
    <w:p w:rsidR="0083519B" w:rsidRPr="00C53138" w:rsidRDefault="0083519B" w:rsidP="00316A70">
      <w:pPr>
        <w:spacing w:after="0"/>
        <w:jc w:val="both"/>
        <w:rPr>
          <w:rFonts w:ascii="Tahoma" w:hAnsi="Tahoma" w:cs="Tahoma"/>
          <w:sz w:val="20"/>
          <w:szCs w:val="20"/>
        </w:rPr>
      </w:pPr>
      <w:r w:rsidRPr="003F4DF6">
        <w:rPr>
          <w:rFonts w:ascii="Tahoma" w:hAnsi="Tahoma" w:cs="Tahoma"/>
          <w:sz w:val="20"/>
          <w:szCs w:val="20"/>
          <w:vertAlign w:val="superscript"/>
        </w:rPr>
        <w:footnoteRef/>
      </w:r>
      <w:r w:rsidRPr="00C53138">
        <w:rPr>
          <w:rFonts w:ascii="Tahoma" w:hAnsi="Tahoma" w:cs="Tahoma"/>
          <w:sz w:val="20"/>
          <w:szCs w:val="20"/>
        </w:rPr>
        <w:t xml:space="preserve"> Les causes de cette défaillance sont nombreuses et comprennent aussi bien les conditions climatiques parfois défavorables, que des approches techniques non maîtrisées et non adaptées, des modalités de gestion et de suivi non rigoureuses et non transparentes, des oppositions des communautés locales, des défaillances d'honorer leurs engagements de la part de certaines entreprises en charge des travaux, ou des pratiques d'exploitation excessive comme le surpâturage. IRES, op. cit., p. 12.</w:t>
      </w:r>
    </w:p>
  </w:footnote>
  <w:footnote w:id="855">
    <w:p w:rsidR="0083519B" w:rsidRPr="00C53138" w:rsidRDefault="0083519B" w:rsidP="00316A70">
      <w:pPr>
        <w:spacing w:after="0"/>
        <w:jc w:val="both"/>
        <w:rPr>
          <w:rFonts w:ascii="Tahoma" w:hAnsi="Tahoma" w:cs="Tahoma"/>
          <w:sz w:val="20"/>
          <w:szCs w:val="20"/>
        </w:rPr>
      </w:pPr>
      <w:r w:rsidRPr="003F4DF6">
        <w:rPr>
          <w:rFonts w:ascii="Tahoma" w:hAnsi="Tahoma" w:cs="Tahoma"/>
          <w:sz w:val="20"/>
          <w:szCs w:val="20"/>
          <w:vertAlign w:val="superscript"/>
        </w:rPr>
        <w:footnoteRef/>
      </w:r>
      <w:r w:rsidRPr="00C53138">
        <w:rPr>
          <w:rFonts w:ascii="Tahoma" w:hAnsi="Tahoma" w:cs="Tahoma"/>
          <w:sz w:val="20"/>
          <w:szCs w:val="20"/>
        </w:rPr>
        <w:t xml:space="preserve"> Le développement et la préservation des forêts doivent être réfléchis dans le cadre d'un processus global de développement du pays, qui se doit d'être à la fois multidimensionnel et multisectoriel et articulé avec les autres politiques pastorales, agricoles, énergétiques, hydriques ainsi que pénales. IRES, op. cit., p. 19.</w:t>
      </w:r>
    </w:p>
  </w:footnote>
  <w:footnote w:id="856">
    <w:p w:rsidR="0083519B" w:rsidRPr="0054641A" w:rsidRDefault="0083519B" w:rsidP="00316A70">
      <w:pPr>
        <w:spacing w:after="0"/>
        <w:jc w:val="both"/>
        <w:rPr>
          <w:rFonts w:ascii="Tahoma" w:hAnsi="Tahoma" w:cs="Tahoma"/>
          <w:sz w:val="20"/>
          <w:szCs w:val="20"/>
        </w:rPr>
      </w:pPr>
      <w:r w:rsidRPr="003F4DF6">
        <w:rPr>
          <w:rFonts w:ascii="Tahoma" w:hAnsi="Tahoma" w:cs="Tahoma"/>
          <w:sz w:val="20"/>
          <w:szCs w:val="20"/>
          <w:vertAlign w:val="superscript"/>
        </w:rPr>
        <w:footnoteRef/>
      </w:r>
      <w:r w:rsidRPr="00C53138">
        <w:rPr>
          <w:rFonts w:ascii="Tahoma" w:hAnsi="Tahoma" w:cs="Tahoma"/>
          <w:sz w:val="20"/>
          <w:szCs w:val="20"/>
        </w:rPr>
        <w:t xml:space="preserve"> Ces facteurs structurels s'inscrivent dans la complexité du fonctionnement des écosystèmes forestiers, intrinsèquement lié à la diversité des espèces, des structures et des interactions avec les sols et le climat. Institut Royal des Études Stratégiques (IRES), Rapport de synthèse des travaux de la journée de réflexion prospective : L'avenir des écosystèmes</w:t>
      </w:r>
      <w:r w:rsidRPr="00316A70">
        <w:rPr>
          <w:rFonts w:ascii="Tahoma" w:hAnsi="Tahoma" w:cs="Tahoma"/>
          <w:sz w:val="20"/>
          <w:szCs w:val="20"/>
        </w:rPr>
        <w:t xml:space="preserve"> forestiers marocains dans un contexte d'accélération du changement climatique, septembre 2024, p. 16.</w:t>
      </w:r>
    </w:p>
  </w:footnote>
  <w:footnote w:id="857">
    <w:p w:rsidR="0083519B" w:rsidRPr="00C53138" w:rsidRDefault="0083519B" w:rsidP="00C53138">
      <w:pPr>
        <w:spacing w:after="0"/>
        <w:jc w:val="both"/>
        <w:rPr>
          <w:rFonts w:ascii="Tahoma" w:hAnsi="Tahoma" w:cs="Tahoma"/>
          <w:sz w:val="20"/>
          <w:szCs w:val="20"/>
        </w:rPr>
      </w:pPr>
      <w:r w:rsidRPr="003F4DF6">
        <w:rPr>
          <w:rFonts w:ascii="Tahoma" w:hAnsi="Tahoma" w:cs="Tahoma"/>
          <w:sz w:val="20"/>
          <w:szCs w:val="20"/>
          <w:vertAlign w:val="superscript"/>
        </w:rPr>
        <w:footnoteRef/>
      </w:r>
      <w:r w:rsidRPr="00C53138">
        <w:rPr>
          <w:rFonts w:ascii="Tahoma" w:hAnsi="Tahoma" w:cs="Tahoma"/>
          <w:sz w:val="20"/>
          <w:szCs w:val="20"/>
        </w:rPr>
        <w:t>L'analyse systémique s'impose face aux échecs répétés des programmes de reboisement et de restauration, révélant la nécessité d'identifier les causes profondes de ces dysfonctionnements. IRES, op. cit., p. 12.</w:t>
      </w:r>
    </w:p>
  </w:footnote>
  <w:footnote w:id="858">
    <w:p w:rsidR="0083519B" w:rsidRPr="00C53138" w:rsidRDefault="0083519B" w:rsidP="00C53138">
      <w:pPr>
        <w:spacing w:after="0"/>
        <w:jc w:val="both"/>
        <w:rPr>
          <w:rFonts w:ascii="Tahoma" w:hAnsi="Tahoma" w:cs="Tahoma"/>
          <w:sz w:val="20"/>
          <w:szCs w:val="20"/>
        </w:rPr>
      </w:pPr>
      <w:r w:rsidRPr="003F4DF6">
        <w:rPr>
          <w:rFonts w:ascii="Tahoma" w:hAnsi="Tahoma" w:cs="Tahoma"/>
          <w:sz w:val="20"/>
          <w:szCs w:val="20"/>
          <w:vertAlign w:val="superscript"/>
        </w:rPr>
        <w:footnoteRef/>
      </w:r>
      <w:r w:rsidRPr="00C53138">
        <w:rPr>
          <w:rFonts w:ascii="Tahoma" w:hAnsi="Tahoma" w:cs="Tahoma"/>
          <w:sz w:val="20"/>
          <w:szCs w:val="20"/>
        </w:rPr>
        <w:t>Les populations vivant dans ou à proximité de ces forêts dépendent largement des ressources naturelles pour leur subsistance, en particulier le bois de chauffage, le pâturage ainsi que d'autres produits forestiers non ligneux. IRES, op. cit., p. 18.</w:t>
      </w:r>
    </w:p>
  </w:footnote>
  <w:footnote w:id="859">
    <w:p w:rsidR="0083519B" w:rsidRPr="00C53138" w:rsidRDefault="0083519B" w:rsidP="00C53138">
      <w:pPr>
        <w:spacing w:after="0"/>
        <w:jc w:val="both"/>
        <w:rPr>
          <w:rFonts w:ascii="Tahoma" w:hAnsi="Tahoma" w:cs="Tahoma"/>
          <w:sz w:val="20"/>
          <w:szCs w:val="20"/>
        </w:rPr>
      </w:pPr>
      <w:r w:rsidRPr="003F4DF6">
        <w:rPr>
          <w:rFonts w:ascii="Tahoma" w:hAnsi="Tahoma" w:cs="Tahoma"/>
          <w:sz w:val="20"/>
          <w:szCs w:val="20"/>
          <w:vertAlign w:val="superscript"/>
        </w:rPr>
        <w:footnoteRef/>
      </w:r>
      <w:r w:rsidRPr="00C53138">
        <w:rPr>
          <w:rFonts w:ascii="Tahoma" w:hAnsi="Tahoma" w:cs="Tahoma"/>
          <w:sz w:val="20"/>
          <w:szCs w:val="20"/>
        </w:rPr>
        <w:t>Les zones forestières se situent souvent dans des régions rurales où les taux de pauvreté et de chômage sont relativement élevés. IRES, op. cit., p. 18.</w:t>
      </w:r>
    </w:p>
  </w:footnote>
  <w:footnote w:id="860">
    <w:p w:rsidR="0083519B" w:rsidRPr="0054641A" w:rsidRDefault="0083519B" w:rsidP="00C53138">
      <w:pPr>
        <w:spacing w:after="0"/>
        <w:jc w:val="both"/>
        <w:rPr>
          <w:rFonts w:ascii="Tahoma" w:hAnsi="Tahoma" w:cs="Tahoma"/>
          <w:sz w:val="20"/>
          <w:szCs w:val="20"/>
        </w:rPr>
      </w:pPr>
      <w:r w:rsidRPr="003F4DF6">
        <w:rPr>
          <w:rFonts w:ascii="Tahoma" w:hAnsi="Tahoma" w:cs="Tahoma"/>
          <w:sz w:val="20"/>
          <w:szCs w:val="20"/>
          <w:vertAlign w:val="superscript"/>
        </w:rPr>
        <w:footnoteRef/>
      </w:r>
      <w:r w:rsidRPr="00C53138">
        <w:rPr>
          <w:rFonts w:ascii="Tahoma" w:hAnsi="Tahoma" w:cs="Tahoma"/>
          <w:sz w:val="20"/>
          <w:szCs w:val="20"/>
        </w:rPr>
        <w:t>L'absence d'opportunités économiques alternatives pousse les populations locales à exploiter davantage les ressources forestières, augmentant ainsi les risques de surexploitation. IRES, op. cit., p. 18.</w:t>
      </w:r>
    </w:p>
  </w:footnote>
  <w:footnote w:id="861">
    <w:p w:rsidR="0083519B" w:rsidRPr="00C53138" w:rsidRDefault="0083519B" w:rsidP="00C53138">
      <w:pPr>
        <w:spacing w:after="0"/>
        <w:jc w:val="both"/>
        <w:rPr>
          <w:rFonts w:ascii="Tahoma" w:hAnsi="Tahoma" w:cs="Tahoma"/>
          <w:sz w:val="20"/>
          <w:szCs w:val="20"/>
        </w:rPr>
      </w:pPr>
      <w:r w:rsidRPr="003F4DF6">
        <w:rPr>
          <w:vertAlign w:val="superscript"/>
        </w:rPr>
        <w:footnoteRef/>
      </w:r>
      <w:r w:rsidRPr="0054641A">
        <w:rPr>
          <w:rFonts w:ascii="Tahoma" w:hAnsi="Tahoma" w:cs="Tahoma"/>
          <w:sz w:val="20"/>
          <w:szCs w:val="20"/>
        </w:rPr>
        <w:t>En termes de temporalité, l'utilisation des ressources forestières par les communautés rurales pour répondre à leurs besoins quotidiens entre parfois en conflit avec les efforts de conservation à lon</w:t>
      </w:r>
      <w:r>
        <w:rPr>
          <w:rFonts w:ascii="Tahoma" w:hAnsi="Tahoma" w:cs="Tahoma"/>
          <w:sz w:val="20"/>
          <w:szCs w:val="20"/>
        </w:rPr>
        <w:t>g terme. IRES, op. cit., p. 18.</w:t>
      </w:r>
    </w:p>
  </w:footnote>
  <w:footnote w:id="862">
    <w:p w:rsidR="0083519B" w:rsidRPr="00694DE3" w:rsidRDefault="0083519B" w:rsidP="0070335B">
      <w:pPr>
        <w:spacing w:after="0" w:line="240" w:lineRule="auto"/>
        <w:jc w:val="both"/>
        <w:rPr>
          <w:rFonts w:ascii="Tahoma" w:hAnsi="Tahoma" w:cs="Tahoma"/>
          <w:sz w:val="20"/>
          <w:szCs w:val="20"/>
        </w:rPr>
      </w:pPr>
      <w:r w:rsidRPr="00694DE3">
        <w:rPr>
          <w:rFonts w:ascii="Tahoma" w:hAnsi="Tahoma" w:cs="Tahoma"/>
          <w:sz w:val="20"/>
          <w:szCs w:val="20"/>
          <w:vertAlign w:val="superscript"/>
        </w:rPr>
        <w:footnoteRef/>
      </w:r>
      <w:r w:rsidRPr="00694DE3">
        <w:rPr>
          <w:rFonts w:ascii="Tahoma" w:hAnsi="Tahoma" w:cs="Tahoma"/>
          <w:sz w:val="20"/>
          <w:szCs w:val="20"/>
        </w:rPr>
        <w:t xml:space="preserve"> Cependant, cette exploitation, même si elle est encadrée par des régulations suffisantes (les droits d'usage), contribue progressivement à la dégradation des forêts et à l'épuisement des ressources, à cause des pratiques illicites, menaçant ainsi la durabilité des forêts à long terme. IRES, op. cit., p. 18.</w:t>
      </w:r>
    </w:p>
  </w:footnote>
  <w:footnote w:id="863">
    <w:p w:rsidR="0083519B" w:rsidRPr="00694DE3" w:rsidRDefault="0083519B" w:rsidP="0070335B">
      <w:pPr>
        <w:spacing w:after="0" w:line="240" w:lineRule="auto"/>
        <w:jc w:val="both"/>
        <w:rPr>
          <w:rFonts w:ascii="Tahoma" w:hAnsi="Tahoma" w:cs="Tahoma"/>
          <w:sz w:val="20"/>
          <w:szCs w:val="20"/>
        </w:rPr>
      </w:pPr>
      <w:r w:rsidRPr="00694DE3">
        <w:rPr>
          <w:rFonts w:ascii="Tahoma" w:hAnsi="Tahoma" w:cs="Tahoma"/>
          <w:sz w:val="20"/>
          <w:szCs w:val="20"/>
          <w:vertAlign w:val="superscript"/>
        </w:rPr>
        <w:footnoteRef/>
      </w:r>
      <w:r w:rsidRPr="00694DE3">
        <w:rPr>
          <w:rFonts w:ascii="Tahoma" w:hAnsi="Tahoma" w:cs="Tahoma"/>
          <w:sz w:val="20"/>
          <w:szCs w:val="20"/>
        </w:rPr>
        <w:t xml:space="preserve"> Le développement d'alternatives économiques durables et viables pour ces communautés est donc crucial afin de réduire la dépendance vis-à-vis des forêts et d'assurer un avenir plus équilibré pour ces écosystèmes et les populations qui en dépendent. IRES, op. cit., p. 18.</w:t>
      </w:r>
    </w:p>
  </w:footnote>
  <w:footnote w:id="864">
    <w:p w:rsidR="0083519B" w:rsidRPr="0054641A" w:rsidRDefault="0083519B" w:rsidP="0070335B">
      <w:pPr>
        <w:spacing w:after="0" w:line="240" w:lineRule="auto"/>
        <w:jc w:val="both"/>
        <w:rPr>
          <w:rFonts w:ascii="Tahoma" w:hAnsi="Tahoma" w:cs="Tahoma"/>
          <w:sz w:val="20"/>
          <w:szCs w:val="20"/>
        </w:rPr>
      </w:pPr>
      <w:r w:rsidRPr="00694DE3">
        <w:rPr>
          <w:rStyle w:val="Appelnotedebasdep"/>
          <w:rFonts w:ascii="Tahoma" w:hAnsi="Tahoma" w:cs="Tahoma"/>
          <w:sz w:val="20"/>
          <w:szCs w:val="20"/>
        </w:rPr>
        <w:footnoteRef/>
      </w:r>
      <w:r w:rsidRPr="00694DE3">
        <w:rPr>
          <w:rFonts w:ascii="Tahoma" w:hAnsi="Tahoma" w:cs="Tahoma"/>
          <w:sz w:val="20"/>
          <w:szCs w:val="20"/>
        </w:rPr>
        <w:t xml:space="preserve">  Les écosystèmes forestiers font face à des défis complexes, principalement liés au changement climatique, nécessitant une approche intégrée en matière de recherche et d'innovation. IRES, op. cit., p. 20.</w:t>
      </w:r>
    </w:p>
  </w:footnote>
  <w:footnote w:id="865">
    <w:p w:rsidR="0083519B" w:rsidRPr="00C53138" w:rsidRDefault="0083519B" w:rsidP="00C53138">
      <w:pPr>
        <w:spacing w:after="0"/>
        <w:jc w:val="both"/>
        <w:rPr>
          <w:rFonts w:ascii="Tahoma" w:hAnsi="Tahoma" w:cs="Tahoma"/>
          <w:sz w:val="20"/>
          <w:szCs w:val="20"/>
        </w:rPr>
      </w:pPr>
      <w:r w:rsidRPr="003F4DF6">
        <w:rPr>
          <w:rFonts w:ascii="Tahoma" w:hAnsi="Tahoma" w:cs="Tahoma"/>
          <w:sz w:val="20"/>
          <w:szCs w:val="20"/>
          <w:vertAlign w:val="superscript"/>
        </w:rPr>
        <w:footnoteRef/>
      </w:r>
      <w:r w:rsidRPr="00C53138">
        <w:rPr>
          <w:rFonts w:ascii="Tahoma" w:hAnsi="Tahoma" w:cs="Tahoma"/>
          <w:sz w:val="20"/>
          <w:szCs w:val="20"/>
        </w:rPr>
        <w:t xml:space="preserve"> De plus, l'insuffisance d'études sur la vulnérabilité aux impacts du changement climatique des essences forestières et des écosystèmes dans différentes régions biogéographiques du Maroc limite la capacité d'adaptation face aux menaces émergentes. IRES, op. cit., p. 20.</w:t>
      </w:r>
    </w:p>
  </w:footnote>
  <w:footnote w:id="866">
    <w:p w:rsidR="0083519B" w:rsidRPr="0054641A" w:rsidRDefault="0083519B" w:rsidP="00C53138">
      <w:pPr>
        <w:spacing w:after="0"/>
        <w:jc w:val="both"/>
        <w:rPr>
          <w:rFonts w:ascii="Tahoma" w:hAnsi="Tahoma" w:cs="Tahoma"/>
          <w:sz w:val="20"/>
          <w:szCs w:val="20"/>
        </w:rPr>
      </w:pPr>
      <w:r w:rsidRPr="003F4DF6">
        <w:rPr>
          <w:rFonts w:ascii="Tahoma" w:hAnsi="Tahoma" w:cs="Tahoma"/>
          <w:sz w:val="20"/>
          <w:szCs w:val="20"/>
          <w:vertAlign w:val="superscript"/>
        </w:rPr>
        <w:footnoteRef/>
      </w:r>
      <w:r w:rsidRPr="00C53138">
        <w:rPr>
          <w:rFonts w:ascii="Tahoma" w:hAnsi="Tahoma" w:cs="Tahoma"/>
          <w:sz w:val="20"/>
          <w:szCs w:val="20"/>
        </w:rPr>
        <w:t xml:space="preserve"> L'absence d'une plateforme dédiée servant d'interface entre la recherche et la gestion forestière empêche une intégration fluide des connaissances dans les politiques et pratiques. IRES, op. cit., p. 20.</w:t>
      </w:r>
    </w:p>
  </w:footnote>
  <w:footnote w:id="867">
    <w:p w:rsidR="0083519B" w:rsidRPr="00C53138" w:rsidRDefault="0083519B" w:rsidP="00C53138">
      <w:pPr>
        <w:spacing w:after="0"/>
        <w:jc w:val="both"/>
        <w:rPr>
          <w:rFonts w:ascii="Tahoma" w:hAnsi="Tahoma" w:cs="Tahoma"/>
          <w:sz w:val="20"/>
          <w:szCs w:val="20"/>
        </w:rPr>
      </w:pPr>
      <w:r w:rsidRPr="003F4DF6">
        <w:rPr>
          <w:vertAlign w:val="superscript"/>
        </w:rPr>
        <w:footnoteRef/>
      </w:r>
      <w:r w:rsidRPr="0054641A">
        <w:rPr>
          <w:rFonts w:ascii="Tahoma" w:hAnsi="Tahoma" w:cs="Tahoma"/>
          <w:sz w:val="20"/>
          <w:szCs w:val="20"/>
        </w:rPr>
        <w:t xml:space="preserve"> Ce décalage entre la recherche et la gestion sur le terrain entraîne souvent des pratiques inadaptées aux réalités écologiques </w:t>
      </w:r>
      <w:r>
        <w:rPr>
          <w:rFonts w:ascii="Tahoma" w:hAnsi="Tahoma" w:cs="Tahoma"/>
          <w:sz w:val="20"/>
          <w:szCs w:val="20"/>
        </w:rPr>
        <w:t>locales. IRES, op. cit., p. 20.</w:t>
      </w:r>
    </w:p>
  </w:footnote>
  <w:footnote w:id="868">
    <w:p w:rsidR="0083519B" w:rsidRPr="0054641A" w:rsidRDefault="0083519B" w:rsidP="00C53138">
      <w:pPr>
        <w:spacing w:after="0"/>
        <w:jc w:val="both"/>
        <w:rPr>
          <w:rFonts w:ascii="Tahoma" w:hAnsi="Tahoma" w:cs="Tahoma"/>
          <w:sz w:val="20"/>
          <w:szCs w:val="20"/>
        </w:rPr>
      </w:pPr>
      <w:r w:rsidRPr="003F4DF6">
        <w:rPr>
          <w:vertAlign w:val="superscript"/>
        </w:rPr>
        <w:footnoteRef/>
      </w:r>
      <w:r w:rsidRPr="0054641A">
        <w:rPr>
          <w:rFonts w:ascii="Tahoma" w:hAnsi="Tahoma" w:cs="Tahoma"/>
          <w:sz w:val="20"/>
          <w:szCs w:val="20"/>
        </w:rPr>
        <w:t xml:space="preserve">  Le manque de mécanismes efficaces pour transférer les résultats de la recherche aux gestionnaires forestiers et aux décideurs handicape l'utilisation optimale des connaissances disponibles, aussi limitées qu'elles soient. IRES, op. cit., p. 20.</w:t>
      </w:r>
    </w:p>
  </w:footnote>
  <w:footnote w:id="869">
    <w:p w:rsidR="0083519B" w:rsidRPr="0054641A" w:rsidRDefault="0083519B" w:rsidP="00C53138">
      <w:pPr>
        <w:spacing w:after="0"/>
        <w:jc w:val="both"/>
        <w:rPr>
          <w:rFonts w:ascii="Tahoma" w:hAnsi="Tahoma" w:cs="Tahoma"/>
          <w:sz w:val="20"/>
          <w:szCs w:val="20"/>
        </w:rPr>
      </w:pPr>
      <w:r w:rsidRPr="003F4DF6">
        <w:rPr>
          <w:vertAlign w:val="superscript"/>
        </w:rPr>
        <w:footnoteRef/>
      </w:r>
      <w:r w:rsidRPr="0054641A">
        <w:rPr>
          <w:rFonts w:ascii="Tahoma" w:hAnsi="Tahoma" w:cs="Tahoma"/>
          <w:sz w:val="20"/>
          <w:szCs w:val="20"/>
        </w:rPr>
        <w:t xml:space="preserve"> L'absence de ce "courtage de connaissances" entrave l'échange de savoirs entre chercheurs, décideurs politiques et praticiens. IRES, op. cit., p. 20.</w:t>
      </w:r>
    </w:p>
  </w:footnote>
  <w:footnote w:id="870">
    <w:p w:rsidR="0083519B" w:rsidRPr="003F4DF6" w:rsidRDefault="0083519B" w:rsidP="003F4DF6">
      <w:pPr>
        <w:spacing w:after="0"/>
        <w:jc w:val="both"/>
        <w:rPr>
          <w:rFonts w:ascii="Tahoma" w:hAnsi="Tahoma" w:cs="Tahoma"/>
          <w:sz w:val="20"/>
          <w:szCs w:val="20"/>
        </w:rPr>
      </w:pPr>
      <w:r w:rsidRPr="00DB67C7">
        <w:rPr>
          <w:vertAlign w:val="superscript"/>
        </w:rPr>
        <w:footnoteRef/>
      </w:r>
      <w:r w:rsidRPr="0054641A">
        <w:rPr>
          <w:rFonts w:ascii="Tahoma" w:hAnsi="Tahoma" w:cs="Tahoma"/>
          <w:sz w:val="20"/>
          <w:szCs w:val="20"/>
        </w:rPr>
        <w:t xml:space="preserve"> L'évaluation des programmes forestiers, souvent réalisée en interne sans système de suivi indépendant, réduit la capacité à obtenir des données fiables pour évaluer l'état des écosystèmes et l'efficacité des interventions menées antérieurement en vue d'en tirer des leçons. IRES, op. cit., p. 21.</w:t>
      </w:r>
    </w:p>
  </w:footnote>
  <w:footnote w:id="871">
    <w:p w:rsidR="0083519B" w:rsidRPr="0054641A" w:rsidRDefault="0083519B" w:rsidP="00505C69">
      <w:pPr>
        <w:pStyle w:val="Notedebasdepage"/>
        <w:jc w:val="both"/>
        <w:rPr>
          <w:rFonts w:ascii="Tahoma" w:hAnsi="Tahoma" w:cs="Tahoma"/>
        </w:rPr>
      </w:pPr>
      <w:r w:rsidRPr="00DB67C7">
        <w:rPr>
          <w:rFonts w:ascii="Tahoma" w:hAnsi="Tahoma" w:cs="Tahoma"/>
          <w:vertAlign w:val="superscript"/>
        </w:rPr>
        <w:footnoteRef/>
      </w:r>
      <w:r w:rsidRPr="0054641A">
        <w:rPr>
          <w:rFonts w:ascii="Tahoma" w:hAnsi="Tahoma" w:cs="Tahoma"/>
        </w:rPr>
        <w:t xml:space="preserve"> Enfin, le manque de données complètes, précises et fiables et d'outils d'aide à la décision pour anticiper les risques climatiques, tels que des systèmes d'alerte précoce ou des modélisations climatiques, complique la planification à long terme et expose les écosystèmes forestiers à des impacts plus sévères. IRES, op. cit., p. 21.</w:t>
      </w:r>
    </w:p>
  </w:footnote>
  <w:footnote w:id="872">
    <w:p w:rsidR="0083519B" w:rsidRPr="0054641A" w:rsidRDefault="0083519B" w:rsidP="00505C69">
      <w:pPr>
        <w:pStyle w:val="Notedebasdepage"/>
        <w:jc w:val="both"/>
        <w:rPr>
          <w:rFonts w:ascii="Tahoma" w:hAnsi="Tahoma" w:cs="Tahoma"/>
        </w:rPr>
      </w:pPr>
      <w:r w:rsidRPr="00DB67C7">
        <w:rPr>
          <w:rFonts w:ascii="Tahoma" w:hAnsi="Tahoma" w:cs="Tahoma"/>
          <w:vertAlign w:val="superscript"/>
        </w:rPr>
        <w:footnoteRef/>
      </w:r>
      <w:r w:rsidRPr="0054641A">
        <w:rPr>
          <w:rFonts w:ascii="Tahoma" w:hAnsi="Tahoma" w:cs="Tahoma"/>
        </w:rPr>
        <w:t xml:space="preserve"> Cette nécessité d'une approche collaborative est soulignée par les experts comme condition sine qua non pour une gestion forestière efficace et durable. IRES, op. cit., p. 23.</w:t>
      </w:r>
    </w:p>
  </w:footnote>
  <w:footnote w:id="873">
    <w:p w:rsidR="0083519B" w:rsidRPr="0054641A" w:rsidRDefault="0083519B" w:rsidP="00050F2D">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Le changement climatique, en particulier au Maroc, a des effets dévastateurs sur cet équilibre fragile, une situation soulignée par les différents ateliers et enquêtes, menés sur la gestion des forêts marocaines. Institut Royal des Études Stratégiques (IRES), Rapport de synthèse des travaux de la journée de réflexion prospective : L'avenir des écosystèmes forestiers marocains dans un contexte d'accélération du changement climatique, septembre 2024, p. 16.</w:t>
      </w:r>
    </w:p>
  </w:footnote>
  <w:footnote w:id="874">
    <w:p w:rsidR="0083519B" w:rsidRPr="0054641A" w:rsidRDefault="0083519B" w:rsidP="00050F2D">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Les sécheresses récurrentes et la réduction des précipitations ont gravement perturbé le cycle hydrologique des écosystèmes forestiers, compromettant leur pérennité. IRES, op. cit., p. 16.</w:t>
      </w:r>
    </w:p>
  </w:footnote>
  <w:footnote w:id="875">
    <w:p w:rsidR="0083519B" w:rsidRPr="0054641A" w:rsidRDefault="0083519B" w:rsidP="003F4DF6">
      <w:pPr>
        <w:spacing w:after="0"/>
        <w:jc w:val="both"/>
        <w:rPr>
          <w:rFonts w:ascii="Tahoma" w:hAnsi="Tahoma" w:cs="Tahoma"/>
          <w:sz w:val="20"/>
          <w:szCs w:val="20"/>
        </w:rPr>
      </w:pPr>
      <w:r w:rsidRPr="0054641A">
        <w:rPr>
          <w:rStyle w:val="Appelnotedebasdep"/>
          <w:rFonts w:ascii="Tahoma" w:hAnsi="Tahoma" w:cs="Tahoma"/>
          <w:sz w:val="20"/>
          <w:szCs w:val="20"/>
        </w:rPr>
        <w:footnoteRef/>
      </w:r>
      <w:r w:rsidRPr="0054641A">
        <w:rPr>
          <w:rFonts w:ascii="Tahoma" w:hAnsi="Tahoma" w:cs="Tahoma"/>
          <w:sz w:val="20"/>
          <w:szCs w:val="20"/>
        </w:rPr>
        <w:t xml:space="preserve">  Les forêts marocaines, déjà fragilisées, peinent à se régénérer naturellement, une difficulté exacerbée par la fréquence des sécheresses et le manque d'eau. IRES, op. cit., p. 16.</w:t>
      </w:r>
    </w:p>
  </w:footnote>
  <w:footnote w:id="876">
    <w:p w:rsidR="0083519B" w:rsidRPr="0054641A" w:rsidRDefault="0083519B" w:rsidP="00236D1C">
      <w:pPr>
        <w:spacing w:after="0"/>
        <w:jc w:val="both"/>
        <w:rPr>
          <w:rFonts w:ascii="Tahoma" w:hAnsi="Tahoma" w:cs="Tahoma"/>
          <w:sz w:val="20"/>
          <w:szCs w:val="20"/>
        </w:rPr>
      </w:pPr>
      <w:r w:rsidRPr="0054641A">
        <w:rPr>
          <w:rStyle w:val="Appelnotedebasdep"/>
          <w:rFonts w:ascii="Tahoma" w:hAnsi="Tahoma" w:cs="Tahoma"/>
          <w:sz w:val="20"/>
          <w:szCs w:val="20"/>
        </w:rPr>
        <w:footnoteRef/>
      </w:r>
      <w:r w:rsidRPr="0054641A">
        <w:rPr>
          <w:rFonts w:ascii="Tahoma" w:hAnsi="Tahoma" w:cs="Tahoma"/>
          <w:sz w:val="20"/>
          <w:szCs w:val="20"/>
        </w:rPr>
        <w:t xml:space="preserve"> Des espèces comme le cèdre de l'Atlas, les genévriers et l'arganier, pourtant réputées pour leur résilience, voient leur capacité de régénération fortement affectée. IRES, op. cit., p. 16.</w:t>
      </w:r>
    </w:p>
  </w:footnote>
  <w:footnote w:id="877">
    <w:p w:rsidR="0083519B" w:rsidRPr="0054641A" w:rsidRDefault="0083519B" w:rsidP="003F4DF6">
      <w:pPr>
        <w:spacing w:after="0"/>
        <w:jc w:val="both"/>
        <w:rPr>
          <w:rFonts w:ascii="Tahoma" w:hAnsi="Tahoma" w:cs="Tahoma"/>
          <w:sz w:val="20"/>
          <w:szCs w:val="20"/>
        </w:rPr>
      </w:pPr>
      <w:r w:rsidRPr="0054641A">
        <w:rPr>
          <w:rStyle w:val="Appelnotedebasdep"/>
          <w:rFonts w:ascii="Tahoma" w:hAnsi="Tahoma" w:cs="Tahoma"/>
          <w:sz w:val="20"/>
          <w:szCs w:val="20"/>
        </w:rPr>
        <w:footnoteRef/>
      </w:r>
      <w:r w:rsidRPr="0054641A">
        <w:rPr>
          <w:rFonts w:ascii="Tahoma" w:hAnsi="Tahoma" w:cs="Tahoma"/>
          <w:sz w:val="20"/>
          <w:szCs w:val="20"/>
        </w:rPr>
        <w:t xml:space="preserve"> Ces espèces endémiques, essentielles à l'équilibre des écosystèmes, subissent les conséquences directes de la baisse des précipitations et de l'augmentation des températures. IRES, op. cit., p. 16.</w:t>
      </w:r>
    </w:p>
  </w:footnote>
  <w:footnote w:id="878">
    <w:p w:rsidR="0083519B" w:rsidRPr="0054641A" w:rsidRDefault="0083519B" w:rsidP="003F4DF6">
      <w:pPr>
        <w:spacing w:after="0"/>
        <w:jc w:val="both"/>
        <w:rPr>
          <w:rFonts w:ascii="Tahoma" w:hAnsi="Tahoma" w:cs="Tahoma"/>
          <w:sz w:val="20"/>
          <w:szCs w:val="20"/>
        </w:rPr>
      </w:pPr>
      <w:r w:rsidRPr="0054641A">
        <w:rPr>
          <w:rStyle w:val="Appelnotedebasdep"/>
          <w:rFonts w:ascii="Tahoma" w:hAnsi="Tahoma" w:cs="Tahoma"/>
          <w:sz w:val="20"/>
          <w:szCs w:val="20"/>
        </w:rPr>
        <w:footnoteRef/>
      </w:r>
      <w:r w:rsidRPr="0054641A">
        <w:rPr>
          <w:rFonts w:ascii="Tahoma" w:hAnsi="Tahoma" w:cs="Tahoma"/>
          <w:sz w:val="20"/>
          <w:szCs w:val="20"/>
        </w:rPr>
        <w:t xml:space="preserve"> Les altérations du régime de précipitations et les températures élevées, provoquées par le réchauffement climatique, influencent non seulement la productivité, mais aussi l'étendue des forêts. IRES, op. cit., p. 16.</w:t>
      </w:r>
    </w:p>
  </w:footnote>
  <w:footnote w:id="879">
    <w:p w:rsidR="0083519B" w:rsidRPr="0054641A" w:rsidRDefault="0083519B" w:rsidP="003F4DF6">
      <w:pPr>
        <w:spacing w:after="0"/>
        <w:jc w:val="both"/>
        <w:rPr>
          <w:rFonts w:ascii="Tahoma" w:hAnsi="Tahoma" w:cs="Tahoma"/>
          <w:sz w:val="20"/>
          <w:szCs w:val="20"/>
        </w:rPr>
      </w:pPr>
      <w:r w:rsidRPr="0054641A">
        <w:rPr>
          <w:rStyle w:val="Appelnotedebasdep"/>
          <w:rFonts w:ascii="Tahoma" w:hAnsi="Tahoma" w:cs="Tahoma"/>
          <w:sz w:val="20"/>
          <w:szCs w:val="20"/>
        </w:rPr>
        <w:footnoteRef/>
      </w:r>
      <w:r w:rsidRPr="0054641A">
        <w:rPr>
          <w:rFonts w:ascii="Tahoma" w:hAnsi="Tahoma" w:cs="Tahoma"/>
          <w:sz w:val="20"/>
          <w:szCs w:val="20"/>
        </w:rPr>
        <w:t xml:space="preserve"> Ce phénomène fragilise la santé des forêts dans de nombreuses régions du pays, entraînant des conséquences graves comme les incendies de forêt, les infestations d'insectes ravageurs et la perte de biodiversité. Les incendies, de plus en plus fréquents, notamment dans la région du Rif, se propagent dans des zones broussailleuses en raison des sécheresses prolongées et des vagues de chaleur estivales, aggravant encore la situation. IRES, op. cit., p. 16.</w:t>
      </w:r>
    </w:p>
  </w:footnote>
  <w:footnote w:id="880">
    <w:p w:rsidR="0083519B" w:rsidRPr="0054641A" w:rsidRDefault="0083519B" w:rsidP="00C53138">
      <w:pPr>
        <w:spacing w:after="0"/>
        <w:jc w:val="both"/>
        <w:rPr>
          <w:rFonts w:ascii="Tahoma" w:hAnsi="Tahoma" w:cs="Tahoma"/>
          <w:sz w:val="20"/>
          <w:szCs w:val="20"/>
        </w:rPr>
      </w:pPr>
      <w:r w:rsidRPr="0054641A">
        <w:rPr>
          <w:rStyle w:val="Appelnotedebasdep"/>
          <w:rFonts w:ascii="Tahoma" w:hAnsi="Tahoma" w:cs="Tahoma"/>
          <w:sz w:val="20"/>
          <w:szCs w:val="20"/>
        </w:rPr>
        <w:footnoteRef/>
      </w:r>
      <w:r w:rsidRPr="0054641A">
        <w:rPr>
          <w:rFonts w:ascii="Tahoma" w:hAnsi="Tahoma" w:cs="Tahoma"/>
          <w:sz w:val="20"/>
          <w:szCs w:val="20"/>
        </w:rPr>
        <w:t xml:space="preserve"> En outre, les tempêtes violentes, liées au changement climatique, provoquent des glissements de terrain et une érosion accrue des sols, compromettant ainsi la capacité des forêts à remplir leurs fonctions écologiques, telles que la protection des bassins versants. IRES, op. cit., p. 17.</w:t>
      </w:r>
    </w:p>
  </w:footnote>
  <w:footnote w:id="881">
    <w:p w:rsidR="0083519B" w:rsidRPr="0054641A" w:rsidRDefault="0083519B" w:rsidP="00C53138">
      <w:pPr>
        <w:spacing w:after="0"/>
        <w:jc w:val="both"/>
        <w:rPr>
          <w:rFonts w:ascii="Tahoma" w:hAnsi="Tahoma" w:cs="Tahoma"/>
          <w:sz w:val="20"/>
          <w:szCs w:val="20"/>
        </w:rPr>
      </w:pPr>
      <w:r w:rsidRPr="0054641A">
        <w:rPr>
          <w:rStyle w:val="Appelnotedebasdep"/>
          <w:rFonts w:ascii="Tahoma" w:hAnsi="Tahoma" w:cs="Tahoma"/>
          <w:sz w:val="20"/>
          <w:szCs w:val="20"/>
        </w:rPr>
        <w:footnoteRef/>
      </w:r>
      <w:r w:rsidRPr="0054641A">
        <w:rPr>
          <w:rFonts w:ascii="Tahoma" w:hAnsi="Tahoma" w:cs="Tahoma"/>
          <w:sz w:val="20"/>
          <w:szCs w:val="20"/>
        </w:rPr>
        <w:t xml:space="preserve"> Cette situation accentue la dégradation des sols, rendant les forêts encore plus vulnérables à la désertification et compliquant les efforts de restauration forestière. IRES, op. cit., p. 17.</w:t>
      </w:r>
    </w:p>
  </w:footnote>
  <w:footnote w:id="882">
    <w:p w:rsidR="0083519B" w:rsidRPr="0054641A" w:rsidRDefault="0083519B" w:rsidP="00C53138">
      <w:pPr>
        <w:spacing w:after="0"/>
        <w:jc w:val="both"/>
        <w:rPr>
          <w:rFonts w:ascii="Tahoma" w:hAnsi="Tahoma" w:cs="Tahoma"/>
          <w:sz w:val="20"/>
          <w:szCs w:val="20"/>
        </w:rPr>
      </w:pPr>
      <w:r w:rsidRPr="0054641A">
        <w:rPr>
          <w:rStyle w:val="Appelnotedebasdep"/>
          <w:rFonts w:ascii="Tahoma" w:hAnsi="Tahoma" w:cs="Tahoma"/>
          <w:sz w:val="20"/>
          <w:szCs w:val="20"/>
        </w:rPr>
        <w:footnoteRef/>
      </w:r>
      <w:r w:rsidRPr="0054641A">
        <w:rPr>
          <w:rFonts w:ascii="Tahoma" w:hAnsi="Tahoma" w:cs="Tahoma"/>
          <w:sz w:val="20"/>
          <w:szCs w:val="20"/>
        </w:rPr>
        <w:t xml:space="preserve"> La modification des régimes de précipitations et l'intensification des périodes sèches augmentent également le stress hydrique des forêts, menaçant directement la survie des arbres dans un contexte où une grande partie du territoire marocain est marqué par l'aridité. IRES, op. cit., p. 17.</w:t>
      </w:r>
    </w:p>
  </w:footnote>
  <w:footnote w:id="883">
    <w:p w:rsidR="0083519B" w:rsidRPr="00C53138" w:rsidRDefault="0083519B" w:rsidP="00C53138">
      <w:pPr>
        <w:spacing w:after="0"/>
        <w:jc w:val="both"/>
        <w:rPr>
          <w:rFonts w:ascii="Tahoma" w:hAnsi="Tahoma" w:cs="Tahoma"/>
          <w:sz w:val="20"/>
          <w:szCs w:val="20"/>
        </w:rPr>
      </w:pPr>
      <w:r w:rsidRPr="0054641A">
        <w:rPr>
          <w:rStyle w:val="Appelnotedebasdep"/>
          <w:rFonts w:ascii="Tahoma" w:hAnsi="Tahoma" w:cs="Tahoma"/>
          <w:sz w:val="20"/>
          <w:szCs w:val="20"/>
        </w:rPr>
        <w:footnoteRef/>
      </w:r>
      <w:r w:rsidRPr="0054641A">
        <w:rPr>
          <w:rFonts w:ascii="Tahoma" w:hAnsi="Tahoma" w:cs="Tahoma"/>
          <w:sz w:val="20"/>
          <w:szCs w:val="20"/>
        </w:rPr>
        <w:t xml:space="preserve"> Le manque d'eau devient un facteur limitant majeur, créant une concurrence entre les peuplements forestiers et les autres végétaux pour cette ressource pr</w:t>
      </w:r>
      <w:r>
        <w:rPr>
          <w:rFonts w:ascii="Tahoma" w:hAnsi="Tahoma" w:cs="Tahoma"/>
          <w:sz w:val="20"/>
          <w:szCs w:val="20"/>
        </w:rPr>
        <w:t>écieuse. IRES, op. cit., p. 17.</w:t>
      </w:r>
    </w:p>
  </w:footnote>
  <w:footnote w:id="884">
    <w:p w:rsidR="0083519B" w:rsidRPr="0054641A" w:rsidRDefault="0083519B" w:rsidP="00C53138">
      <w:pPr>
        <w:spacing w:after="0"/>
        <w:jc w:val="both"/>
        <w:rPr>
          <w:rFonts w:ascii="Tahoma" w:hAnsi="Tahoma" w:cs="Tahoma"/>
          <w:sz w:val="20"/>
          <w:szCs w:val="20"/>
        </w:rPr>
      </w:pPr>
      <w:r w:rsidRPr="0054641A">
        <w:rPr>
          <w:rStyle w:val="Appelnotedebasdep"/>
          <w:rFonts w:ascii="Tahoma" w:hAnsi="Tahoma" w:cs="Tahoma"/>
          <w:sz w:val="20"/>
          <w:szCs w:val="20"/>
        </w:rPr>
        <w:footnoteRef/>
      </w:r>
      <w:r w:rsidRPr="0054641A">
        <w:rPr>
          <w:rFonts w:ascii="Tahoma" w:hAnsi="Tahoma" w:cs="Tahoma"/>
          <w:sz w:val="20"/>
          <w:szCs w:val="20"/>
        </w:rPr>
        <w:t xml:space="preserve">  Les sols forestiers, souvent érodés et appauvris, aggravent cette situation en favorisant le ruissellement au lieu de retenir l'eau, rendant encore plus difficile l'accès des arbres à cette ressource vitale. IRES, op. cit., p. 17.</w:t>
      </w:r>
    </w:p>
  </w:footnote>
  <w:footnote w:id="885">
    <w:p w:rsidR="0083519B" w:rsidRPr="0054641A" w:rsidRDefault="0083519B" w:rsidP="00C53138">
      <w:pPr>
        <w:spacing w:after="0"/>
        <w:jc w:val="both"/>
        <w:rPr>
          <w:rFonts w:ascii="Tahoma" w:hAnsi="Tahoma" w:cs="Tahoma"/>
          <w:sz w:val="20"/>
          <w:szCs w:val="20"/>
        </w:rPr>
      </w:pPr>
      <w:r w:rsidRPr="00C53138">
        <w:footnoteRef/>
      </w:r>
      <w:r w:rsidRPr="0054641A">
        <w:rPr>
          <w:rFonts w:ascii="Tahoma" w:hAnsi="Tahoma" w:cs="Tahoma"/>
          <w:sz w:val="20"/>
          <w:szCs w:val="20"/>
        </w:rPr>
        <w:t xml:space="preserve"> Les experts notent que cette pénurie d'eau ralentit considérablement la croissance des arbres et la régénération naturelle, phénomène particulièrement observé chez le cèdre de l'Atlas dans certaines zones du Moyen et du Haut Atlas. IRES, op. cit., p. 17.</w:t>
      </w:r>
    </w:p>
  </w:footnote>
  <w:footnote w:id="886">
    <w:p w:rsidR="0083519B" w:rsidRPr="00C53138" w:rsidRDefault="0083519B" w:rsidP="00C53138">
      <w:pPr>
        <w:spacing w:after="0"/>
        <w:jc w:val="both"/>
        <w:rPr>
          <w:rFonts w:ascii="Tahoma" w:hAnsi="Tahoma" w:cs="Tahoma"/>
          <w:sz w:val="20"/>
          <w:szCs w:val="20"/>
        </w:rPr>
      </w:pPr>
      <w:r w:rsidRPr="00C53138">
        <w:rPr>
          <w:sz w:val="20"/>
          <w:szCs w:val="20"/>
        </w:rPr>
        <w:footnoteRef/>
      </w:r>
      <w:r w:rsidRPr="00C53138">
        <w:rPr>
          <w:rFonts w:ascii="Tahoma" w:hAnsi="Tahoma" w:cs="Tahoma"/>
          <w:sz w:val="20"/>
          <w:szCs w:val="20"/>
        </w:rPr>
        <w:t xml:space="preserve">  Parallèlement, les forêts marocaines jouent un rôle crucial dans la régulation du climat en stockant du carbone, atténuant ainsi les effets du réchauffement climatique. Cependant, la déforestation et la dégradation des forêts libèrent le carbone stocké, contribuant ainsi à aggraver les changements climatiques. IRES, op. cit., p. 17.</w:t>
      </w:r>
    </w:p>
  </w:footnote>
  <w:footnote w:id="887">
    <w:p w:rsidR="0083519B" w:rsidRPr="0054641A" w:rsidRDefault="0083519B" w:rsidP="00C53138">
      <w:pPr>
        <w:spacing w:after="0"/>
        <w:jc w:val="both"/>
        <w:rPr>
          <w:rFonts w:ascii="Tahoma" w:hAnsi="Tahoma" w:cs="Tahoma"/>
          <w:sz w:val="20"/>
          <w:szCs w:val="20"/>
        </w:rPr>
      </w:pPr>
      <w:r w:rsidRPr="00C53138">
        <w:footnoteRef/>
      </w:r>
      <w:r w:rsidRPr="0054641A">
        <w:rPr>
          <w:rFonts w:ascii="Tahoma" w:hAnsi="Tahoma" w:cs="Tahoma"/>
          <w:sz w:val="20"/>
          <w:szCs w:val="20"/>
        </w:rPr>
        <w:t xml:space="preserve"> Le changement climatique progresse plus rapidement que la capacité d'adaptation des forêts. Pour s'adapter, ces écosystèmes doivent renforcer leur résilience. IRES, op. cit., p. 17.</w:t>
      </w:r>
    </w:p>
  </w:footnote>
  <w:footnote w:id="888">
    <w:p w:rsidR="0083519B" w:rsidRPr="0054641A" w:rsidRDefault="0083519B" w:rsidP="00C53138">
      <w:pPr>
        <w:spacing w:after="0"/>
        <w:jc w:val="both"/>
        <w:rPr>
          <w:rFonts w:ascii="Tahoma" w:hAnsi="Tahoma" w:cs="Tahoma"/>
          <w:sz w:val="20"/>
          <w:szCs w:val="20"/>
        </w:rPr>
      </w:pPr>
      <w:r w:rsidRPr="00C53138">
        <w:footnoteRef/>
      </w:r>
      <w:r w:rsidRPr="0054641A">
        <w:rPr>
          <w:rFonts w:ascii="Tahoma" w:hAnsi="Tahoma" w:cs="Tahoma"/>
          <w:sz w:val="20"/>
          <w:szCs w:val="20"/>
        </w:rPr>
        <w:t xml:space="preserve">  Le Maroc a déjà pris des mesures pour lutter contre le changement climatique, notamment en actualisant en 2021 sa contribution déterminée au niveau national (CDN) dans le cadre de l'Accord de Paris. Cette stratégie prévoit des projets d'atténuation touchant sept secteurs, dont la foresterie, pour renforcer la résilience climatique du pays d'ici 2050. IRES, op. cit., p. 17.</w:t>
      </w:r>
    </w:p>
  </w:footnote>
  <w:footnote w:id="889">
    <w:p w:rsidR="0083519B" w:rsidRPr="0054641A" w:rsidRDefault="0083519B" w:rsidP="003F4DF6">
      <w:pPr>
        <w:spacing w:after="0"/>
        <w:jc w:val="both"/>
        <w:rPr>
          <w:rFonts w:ascii="Tahoma" w:hAnsi="Tahoma" w:cs="Tahoma"/>
          <w:sz w:val="20"/>
          <w:szCs w:val="20"/>
        </w:rPr>
      </w:pPr>
      <w:r w:rsidRPr="0054641A">
        <w:rPr>
          <w:rStyle w:val="Appelnotedebasdep"/>
          <w:rFonts w:ascii="Tahoma" w:hAnsi="Tahoma" w:cs="Tahoma"/>
          <w:sz w:val="20"/>
          <w:szCs w:val="20"/>
        </w:rPr>
        <w:footnoteRef/>
      </w:r>
      <w:r w:rsidRPr="0054641A">
        <w:rPr>
          <w:rFonts w:ascii="Tahoma" w:hAnsi="Tahoma" w:cs="Tahoma"/>
          <w:sz w:val="20"/>
          <w:szCs w:val="20"/>
        </w:rPr>
        <w:t xml:space="preserve"> Toutefois, les impacts du changement climatique sur les forêts entraînent des répercussions socio-économiques importantes, compromettant les moyens de subsistance des populations qui dépendent des services écosystémiques fournis par les forêts. Cela a aussi des conséquences économiques directes sur des secteurs clés comme l'agriculture, le tourisme et l'industrie du bois. IRES, op. cit., p. 17.</w:t>
      </w:r>
    </w:p>
  </w:footnote>
  <w:footnote w:id="890">
    <w:p w:rsidR="0083519B" w:rsidRPr="00C53138" w:rsidRDefault="0083519B" w:rsidP="003F4DF6">
      <w:pPr>
        <w:spacing w:after="0"/>
        <w:jc w:val="both"/>
        <w:rPr>
          <w:rFonts w:ascii="Tahoma" w:hAnsi="Tahoma" w:cs="Tahoma"/>
          <w:sz w:val="20"/>
          <w:szCs w:val="20"/>
        </w:rPr>
      </w:pPr>
      <w:r w:rsidRPr="0054641A">
        <w:rPr>
          <w:rStyle w:val="Appelnotedebasdep"/>
          <w:rFonts w:ascii="Tahoma" w:hAnsi="Tahoma" w:cs="Tahoma"/>
          <w:sz w:val="20"/>
          <w:szCs w:val="20"/>
        </w:rPr>
        <w:footnoteRef/>
      </w:r>
      <w:r w:rsidRPr="0054641A">
        <w:rPr>
          <w:rFonts w:ascii="Tahoma" w:hAnsi="Tahoma" w:cs="Tahoma"/>
          <w:sz w:val="20"/>
          <w:szCs w:val="20"/>
        </w:rPr>
        <w:t xml:space="preserve"> Le changement climatique ne constitue donc pas seulement une menace écologique pour les forêts marocaines, mais aussi un enjeu socio-économique majeur. L'intégration des défis climatiques dans la gestion forestière est imp</w:t>
      </w:r>
      <w:r>
        <w:rPr>
          <w:rFonts w:ascii="Tahoma" w:hAnsi="Tahoma" w:cs="Tahoma"/>
          <w:sz w:val="20"/>
          <w:szCs w:val="20"/>
        </w:rPr>
        <w:t>érative. IRES, op. cit., p. 18.</w:t>
      </w:r>
    </w:p>
  </w:footnote>
  <w:footnote w:id="891">
    <w:p w:rsidR="0083519B" w:rsidRPr="00236D1C" w:rsidRDefault="0083519B" w:rsidP="00236D1C">
      <w:pPr>
        <w:jc w:val="both"/>
        <w:rPr>
          <w:rFonts w:ascii="Tahoma" w:hAnsi="Tahoma" w:cs="Tahoma"/>
          <w:sz w:val="20"/>
          <w:szCs w:val="20"/>
        </w:rPr>
      </w:pPr>
      <w:r w:rsidRPr="0054641A">
        <w:rPr>
          <w:rStyle w:val="Appelnotedebasdep"/>
          <w:rFonts w:ascii="Tahoma" w:hAnsi="Tahoma" w:cs="Tahoma"/>
          <w:sz w:val="20"/>
          <w:szCs w:val="20"/>
        </w:rPr>
        <w:footnoteRef/>
      </w:r>
      <w:r w:rsidRPr="0054641A">
        <w:rPr>
          <w:rFonts w:ascii="Tahoma" w:hAnsi="Tahoma" w:cs="Tahoma"/>
          <w:sz w:val="20"/>
          <w:szCs w:val="20"/>
        </w:rPr>
        <w:t xml:space="preserve"> Cela exige des approches innovantes, des financements adéquats et l'implication des acteurs locaux pour répondre aux nouvelles exigences climatiques. Préserver la résilience des forêts marocaines face à ces bouleversements est essentiel pour assurer la durabilité environnementale, économique et sociale </w:t>
      </w:r>
      <w:r>
        <w:rPr>
          <w:rFonts w:ascii="Tahoma" w:hAnsi="Tahoma" w:cs="Tahoma"/>
          <w:sz w:val="20"/>
          <w:szCs w:val="20"/>
        </w:rPr>
        <w:t>du pays. IRES, op. cit., p. 18</w:t>
      </w:r>
    </w:p>
  </w:footnote>
  <w:footnote w:id="892">
    <w:p w:rsidR="0083519B" w:rsidRPr="00AB64DD" w:rsidRDefault="0083519B" w:rsidP="00A54D9A">
      <w:pPr>
        <w:pStyle w:val="Notedebasdepage"/>
        <w:jc w:val="both"/>
      </w:pPr>
      <w:r w:rsidRPr="003F4DF6">
        <w:rPr>
          <w:vertAlign w:val="superscript"/>
        </w:rPr>
        <w:footnoteRef/>
      </w:r>
      <w:r>
        <w:t xml:space="preserve"> </w:t>
      </w:r>
      <w:r w:rsidRPr="00AB64DD">
        <w:t>Lambin E.F. et Geist H.J. (dir.), Land-Use and Land-Cover Change: Local Processes and Global Impacts, Springer, 2006.</w:t>
      </w:r>
    </w:p>
    <w:p w:rsidR="0083519B" w:rsidRPr="00AB64DD" w:rsidRDefault="0083519B" w:rsidP="00A54D9A">
      <w:pPr>
        <w:pStyle w:val="Notedebasdepage"/>
        <w:jc w:val="both"/>
        <w:rPr>
          <w:sz w:val="2"/>
          <w:szCs w:val="2"/>
        </w:rPr>
      </w:pPr>
    </w:p>
  </w:footnote>
  <w:footnote w:id="893">
    <w:p w:rsidR="0083519B" w:rsidRPr="00AB64DD" w:rsidRDefault="0083519B" w:rsidP="00A54D9A">
      <w:pPr>
        <w:pStyle w:val="Notedebasdepage"/>
        <w:jc w:val="both"/>
      </w:pPr>
      <w:r w:rsidRPr="003F4DF6">
        <w:rPr>
          <w:vertAlign w:val="superscript"/>
        </w:rPr>
        <w:footnoteRef/>
      </w:r>
      <w:r w:rsidRPr="00AB64DD">
        <w:t xml:space="preserve"> Ribot J.C., « Theorizing Access: Forest Profits Along Senegal’s Charcoal Commodity Chain », Development and Change, vol. 29, n° 2, 1998, p. 307-341.</w:t>
      </w:r>
    </w:p>
    <w:p w:rsidR="0083519B" w:rsidRPr="00AB64DD" w:rsidRDefault="0083519B" w:rsidP="00A54D9A">
      <w:pPr>
        <w:pStyle w:val="Notedebasdepage"/>
        <w:jc w:val="both"/>
        <w:rPr>
          <w:sz w:val="2"/>
          <w:szCs w:val="2"/>
        </w:rPr>
      </w:pPr>
    </w:p>
  </w:footnote>
  <w:footnote w:id="894">
    <w:p w:rsidR="0083519B" w:rsidRDefault="0083519B" w:rsidP="00A54D9A">
      <w:pPr>
        <w:pStyle w:val="Notedebasdepage"/>
        <w:jc w:val="both"/>
      </w:pPr>
      <w:r>
        <w:rPr>
          <w:rStyle w:val="Appelnotedebasdep"/>
        </w:rPr>
        <w:footnoteRef/>
      </w:r>
      <w:r>
        <w:t xml:space="preserve"> Robbins P., </w:t>
      </w:r>
      <w:r>
        <w:rPr>
          <w:rStyle w:val="Accentuation"/>
        </w:rPr>
        <w:t>Political Ecology: A Critical Introduction</w:t>
      </w:r>
      <w:r>
        <w:t>, 2e éd., Wiley-Blackwell, 2012.</w:t>
      </w:r>
    </w:p>
  </w:footnote>
  <w:footnote w:id="895">
    <w:p w:rsidR="0083519B" w:rsidRPr="00F80AF3" w:rsidRDefault="0083519B" w:rsidP="00713E54">
      <w:pPr>
        <w:pStyle w:val="Notedebasdepage"/>
        <w:jc w:val="both"/>
        <w:rPr>
          <w:rFonts w:ascii="Tahoma" w:hAnsi="Tahoma" w:cs="Tahoma"/>
        </w:rPr>
      </w:pPr>
      <w:r w:rsidRPr="00F80AF3">
        <w:rPr>
          <w:rFonts w:ascii="Tahoma" w:hAnsi="Tahoma" w:cs="Tahoma"/>
          <w:vertAlign w:val="superscript"/>
        </w:rPr>
        <w:footnoteRef/>
      </w:r>
      <w:r w:rsidRPr="00F80AF3">
        <w:rPr>
          <w:rFonts w:ascii="Tahoma" w:hAnsi="Tahoma" w:cs="Tahoma"/>
          <w:vertAlign w:val="superscript"/>
        </w:rPr>
        <w:t xml:space="preserve"> </w:t>
      </w:r>
      <w:r w:rsidRPr="00F80AF3">
        <w:rPr>
          <w:rFonts w:ascii="Tahoma" w:hAnsi="Tahoma" w:cs="Tahoma"/>
        </w:rPr>
        <w:t>Haut-Commissariat au Plan (HCP), Enquête nationale sur la santé et la protection sociale, Rabat, Haut-Commissariat au Plan, 2014, p. 45-47.</w:t>
      </w:r>
    </w:p>
    <w:p w:rsidR="0083519B" w:rsidRPr="00F80AF3" w:rsidRDefault="0083519B" w:rsidP="00713E54">
      <w:pPr>
        <w:pStyle w:val="Notedebasdepage"/>
        <w:jc w:val="both"/>
        <w:rPr>
          <w:rFonts w:ascii="Tahoma" w:hAnsi="Tahoma" w:cs="Tahoma"/>
          <w:sz w:val="6"/>
          <w:szCs w:val="6"/>
        </w:rPr>
      </w:pPr>
    </w:p>
  </w:footnote>
  <w:footnote w:id="896">
    <w:p w:rsidR="0083519B" w:rsidRPr="00F80AF3" w:rsidRDefault="0083519B" w:rsidP="00236D1C">
      <w:pPr>
        <w:pStyle w:val="Notedebasdepage"/>
        <w:jc w:val="both"/>
        <w:rPr>
          <w:rFonts w:ascii="Tahoma" w:hAnsi="Tahoma" w:cs="Tahoma"/>
        </w:rPr>
      </w:pPr>
      <w:r w:rsidRPr="00F80AF3">
        <w:rPr>
          <w:rFonts w:ascii="Tahoma" w:hAnsi="Tahoma" w:cs="Tahoma"/>
          <w:vertAlign w:val="superscript"/>
        </w:rPr>
        <w:footnoteRef/>
      </w:r>
      <w:r w:rsidRPr="00F80AF3">
        <w:rPr>
          <w:rFonts w:ascii="Tahoma" w:hAnsi="Tahoma" w:cs="Tahoma"/>
          <w:vertAlign w:val="superscript"/>
        </w:rPr>
        <w:t xml:space="preserve"> </w:t>
      </w:r>
      <w:r w:rsidRPr="00F80AF3">
        <w:rPr>
          <w:rFonts w:ascii="Tahoma" w:hAnsi="Tahoma" w:cs="Tahoma"/>
        </w:rPr>
        <w:t xml:space="preserve">Conseil Économique, Social et Environnemental (CESE), Les soins de santé de base : Vers un accès équitable et généralisé, Rabat, Conseil Économique, Social et </w:t>
      </w:r>
      <w:r>
        <w:rPr>
          <w:rFonts w:ascii="Tahoma" w:hAnsi="Tahoma" w:cs="Tahoma"/>
        </w:rPr>
        <w:t>Environnemental, 2013, p. 23-25</w:t>
      </w:r>
    </w:p>
  </w:footnote>
  <w:footnote w:id="897">
    <w:p w:rsidR="0083519B" w:rsidRPr="00F80AF3" w:rsidRDefault="0083519B" w:rsidP="00713B6A">
      <w:pPr>
        <w:pStyle w:val="Notedebasdepage"/>
        <w:jc w:val="both"/>
        <w:rPr>
          <w:rFonts w:ascii="Tahoma" w:hAnsi="Tahoma" w:cs="Tahoma"/>
        </w:rPr>
      </w:pPr>
      <w:r w:rsidRPr="00F80AF3">
        <w:rPr>
          <w:rStyle w:val="Appelnotedebasdep"/>
          <w:rFonts w:ascii="Tahoma" w:hAnsi="Tahoma" w:cs="Tahoma"/>
        </w:rPr>
        <w:footnoteRef/>
      </w:r>
      <w:r w:rsidRPr="00F80AF3">
        <w:rPr>
          <w:rFonts w:ascii="Tahoma" w:hAnsi="Tahoma" w:cs="Tahoma"/>
        </w:rPr>
        <w:t xml:space="preserve"> Conseil économique, social et environnemental (CESE), « Assurer un accès équitable et généralisé aux soins de santé de base », rapport présenté le 9 décembre 2013, La Vie Éco, 13 décembre 2013 </w:t>
      </w:r>
      <w:hyperlink r:id="rId11" w:tgtFrame="_blank" w:history="1">
        <w:r w:rsidRPr="00F80AF3">
          <w:rPr>
            <w:rFonts w:ascii="Tahoma" w:hAnsi="Tahoma" w:cs="Tahoma"/>
          </w:rPr>
          <w:t>Santé de base : le CESE dresse un état des lieux alarmant - Lavieeco</w:t>
        </w:r>
      </w:hyperlink>
    </w:p>
  </w:footnote>
  <w:footnote w:id="898">
    <w:p w:rsidR="0083519B" w:rsidRPr="00535B68" w:rsidRDefault="0083519B" w:rsidP="00713B6A">
      <w:pPr>
        <w:pStyle w:val="Notedebasdepage"/>
        <w:jc w:val="both"/>
        <w:rPr>
          <w:rFonts w:ascii="Tahoma" w:hAnsi="Tahoma" w:cs="Tahoma"/>
        </w:rPr>
      </w:pPr>
      <w:r w:rsidRPr="00F80AF3">
        <w:rPr>
          <w:rStyle w:val="Appelnotedebasdep"/>
          <w:rFonts w:ascii="Tahoma" w:hAnsi="Tahoma" w:cs="Tahoma"/>
        </w:rPr>
        <w:footnoteRef/>
      </w:r>
      <w:r w:rsidRPr="00F80AF3">
        <w:rPr>
          <w:rFonts w:ascii="Tahoma" w:hAnsi="Tahoma" w:cs="Tahoma"/>
        </w:rPr>
        <w:t xml:space="preserve"> Amartya SEN, Un nouveau modèle économique. Développement, justice, liberté, Paris, Éditions Odile Jacob, 2003 [1999], 479 p. Éditions Odile JacobAmazon France (traduction française de Development as Freedom, Oxford University Press, 1999).</w:t>
      </w:r>
    </w:p>
  </w:footnote>
  <w:footnote w:id="899">
    <w:p w:rsidR="0083519B" w:rsidRPr="006815F2" w:rsidRDefault="0083519B" w:rsidP="006815F2">
      <w:pPr>
        <w:pStyle w:val="Notedebasdepage"/>
        <w:jc w:val="both"/>
        <w:rPr>
          <w:rFonts w:ascii="Tahoma" w:hAnsi="Tahoma" w:cs="Tahoma"/>
        </w:rPr>
      </w:pPr>
      <w:r w:rsidRPr="006815F2">
        <w:rPr>
          <w:rStyle w:val="Appelnotedebasdep"/>
          <w:rFonts w:ascii="Tahoma" w:hAnsi="Tahoma" w:cs="Tahoma"/>
        </w:rPr>
        <w:footnoteRef/>
      </w:r>
      <w:r w:rsidRPr="006815F2">
        <w:rPr>
          <w:rFonts w:ascii="Tahoma" w:hAnsi="Tahoma" w:cs="Tahoma"/>
        </w:rPr>
        <w:t xml:space="preserve"> FAO, IFAD, UNICEF, WFP et OMS, </w:t>
      </w:r>
      <w:r w:rsidRPr="006815F2">
        <w:rPr>
          <w:rStyle w:val="Accentuation"/>
          <w:rFonts w:ascii="Tahoma" w:hAnsi="Tahoma" w:cs="Tahoma"/>
          <w:i w:val="0"/>
          <w:iCs w:val="0"/>
        </w:rPr>
        <w:t>État de la sécurité alimentaire et de la nutrition dans le monde 2020. Transformer les systèmes alimentaires pour assurer la sécurité alimentaire, une meilleure nutrition et un avenir durable</w:t>
      </w:r>
      <w:r w:rsidRPr="006815F2">
        <w:rPr>
          <w:rFonts w:ascii="Tahoma" w:hAnsi="Tahoma" w:cs="Tahoma"/>
          <w:i/>
          <w:iCs/>
        </w:rPr>
        <w:t xml:space="preserve">, </w:t>
      </w:r>
      <w:r w:rsidRPr="006815F2">
        <w:rPr>
          <w:rFonts w:ascii="Tahoma" w:hAnsi="Tahoma" w:cs="Tahoma"/>
        </w:rPr>
        <w:t>Rome, FAO, 2020</w:t>
      </w:r>
    </w:p>
  </w:footnote>
  <w:footnote w:id="900">
    <w:p w:rsidR="0083519B" w:rsidRDefault="0083519B" w:rsidP="006815F2">
      <w:pPr>
        <w:pStyle w:val="Notedebasdepage"/>
      </w:pPr>
      <w:r w:rsidRPr="006815F2">
        <w:rPr>
          <w:rStyle w:val="Appelnotedebasdep"/>
          <w:rFonts w:ascii="Tahoma" w:hAnsi="Tahoma" w:cs="Tahoma"/>
        </w:rPr>
        <w:footnoteRef/>
      </w:r>
      <w:r w:rsidRPr="006815F2">
        <w:rPr>
          <w:rFonts w:ascii="Tahoma" w:hAnsi="Tahoma" w:cs="Tahoma"/>
        </w:rPr>
        <w:t xml:space="preserve"> Haut-Commissariat au Plan (HCP), </w:t>
      </w:r>
      <w:r w:rsidRPr="006815F2">
        <w:rPr>
          <w:rStyle w:val="Accentuation"/>
          <w:rFonts w:ascii="Tahoma" w:hAnsi="Tahoma" w:cs="Tahoma"/>
          <w:i w:val="0"/>
          <w:iCs w:val="0"/>
        </w:rPr>
        <w:t>Enquête nationale sur la consommation et les dépenses des ménages 2019/2020</w:t>
      </w:r>
      <w:r w:rsidRPr="006815F2">
        <w:rPr>
          <w:rFonts w:ascii="Tahoma" w:hAnsi="Tahoma" w:cs="Tahoma"/>
          <w:i/>
          <w:iCs/>
        </w:rPr>
        <w:t>,</w:t>
      </w:r>
      <w:r w:rsidRPr="006815F2">
        <w:rPr>
          <w:rFonts w:ascii="Tahoma" w:hAnsi="Tahoma" w:cs="Tahoma"/>
        </w:rPr>
        <w:t xml:space="preserve"> Rabat, HCP, 2021, p. 78-80.</w:t>
      </w:r>
    </w:p>
  </w:footnote>
  <w:footnote w:id="901">
    <w:p w:rsidR="0083519B" w:rsidRPr="00F80AF3" w:rsidRDefault="0083519B" w:rsidP="00F80AF3">
      <w:pPr>
        <w:spacing w:before="100" w:beforeAutospacing="1" w:after="100" w:afterAutospacing="1" w:line="360" w:lineRule="auto"/>
        <w:jc w:val="both"/>
        <w:rPr>
          <w:rFonts w:ascii="Tahoma" w:hAnsi="Tahoma" w:cs="Tahoma"/>
          <w:sz w:val="20"/>
          <w:szCs w:val="20"/>
          <w:lang w:eastAsia="fr-FR"/>
        </w:rPr>
      </w:pPr>
      <w:r w:rsidRPr="00F80AF3">
        <w:rPr>
          <w:rStyle w:val="Appelnotedebasdep"/>
          <w:rFonts w:ascii="Tahoma" w:hAnsi="Tahoma" w:cs="Tahoma"/>
          <w:sz w:val="20"/>
          <w:szCs w:val="20"/>
        </w:rPr>
        <w:footnoteRef/>
      </w:r>
      <w:r w:rsidRPr="00F80AF3">
        <w:rPr>
          <w:rFonts w:ascii="Tahoma" w:hAnsi="Tahoma" w:cs="Tahoma"/>
          <w:sz w:val="20"/>
          <w:szCs w:val="20"/>
        </w:rPr>
        <w:t xml:space="preserve"> Cet indice composite agrège six dimensions de vulnérabilité sanitaire selon une approche multidimensionnelle conforme aux recommandations de l'OMS sur les déterminants sociaux de la santé : (1) accessibilité géographique aux soins (distance &gt;10km), (2) couverture sociale (non-bénéficiaires RAMED), (3) sécurité alimentaire qualitative (alimentation déséquilibrée), (4) sécurité alimentaire quantitative (budget alimentaire &lt;37%), (5) vulnérabilités spécifiques (prévalence du handicap), et (6) santé reproductive (mortalité infantile). Chaque dimension est normalisée sur une échelle 0-100% puis agrégée par moyenne arithmétique simple. L'indice final oscille entre 27% (vulnérabilité faible) et 50% (vulnérabilité élevée), permettant une classification territoriale en trois classes : vulnérabilité faible (&lt;50%), moyenne (50-75%) et forte (&gt;75%). Cette approche quantitative facilite l'identification des douars prioritaires pour les interventions de santé publique.</w:t>
      </w:r>
    </w:p>
    <w:p w:rsidR="0083519B" w:rsidRPr="006C7279" w:rsidRDefault="0083519B" w:rsidP="00FA4E19">
      <w:pPr>
        <w:pStyle w:val="Notedebasdepage"/>
        <w:jc w:val="both"/>
        <w:rPr>
          <w:rFonts w:ascii="Tahoma" w:hAnsi="Tahoma" w:cs="Tahoma"/>
        </w:rPr>
      </w:pPr>
    </w:p>
  </w:footnote>
  <w:footnote w:id="902">
    <w:p w:rsidR="0083519B" w:rsidRPr="008D1AF0" w:rsidRDefault="0083519B" w:rsidP="004E542C">
      <w:pPr>
        <w:pStyle w:val="Notedebasdepage"/>
        <w:rPr>
          <w:rFonts w:ascii="Tahoma" w:hAnsi="Tahoma" w:cs="Tahoma"/>
        </w:rPr>
      </w:pPr>
      <w:r w:rsidRPr="008D1AF0">
        <w:rPr>
          <w:rStyle w:val="Appelnotedebasdep"/>
          <w:rFonts w:ascii="Tahoma" w:hAnsi="Tahoma" w:cs="Tahoma"/>
        </w:rPr>
        <w:footnoteRef/>
      </w:r>
      <w:r w:rsidRPr="008D1AF0">
        <w:rPr>
          <w:rFonts w:ascii="Tahoma" w:hAnsi="Tahoma" w:cs="Tahoma"/>
        </w:rPr>
        <w:t xml:space="preserve"> </w:t>
      </w:r>
      <w:r w:rsidRPr="009864C5">
        <w:rPr>
          <w:rFonts w:ascii="Tahoma" w:hAnsi="Tahoma" w:cs="Tahoma"/>
          <w:lang w:eastAsia="fr-FR"/>
        </w:rPr>
        <w:t xml:space="preserve">OUAZZANI, Mohamed, </w:t>
      </w:r>
      <w:r w:rsidRPr="004E542C">
        <w:rPr>
          <w:rFonts w:ascii="Tahoma" w:hAnsi="Tahoma" w:cs="Tahoma"/>
          <w:lang w:eastAsia="fr-FR"/>
        </w:rPr>
        <w:t>Éducation et inégalités territoriales au Maroc, Casablanca, Éditions Afrique Orient, 2018, p. 101-117.</w:t>
      </w:r>
      <w:r w:rsidRPr="004E542C">
        <w:rPr>
          <w:rFonts w:ascii="Tahoma" w:hAnsi="Tahoma" w:cs="Tahoma"/>
          <w:lang w:eastAsia="fr-FR"/>
        </w:rPr>
        <w:br/>
      </w:r>
    </w:p>
  </w:footnote>
  <w:footnote w:id="903">
    <w:p w:rsidR="0083519B" w:rsidRPr="009368F2" w:rsidRDefault="0083519B" w:rsidP="009368F2">
      <w:pPr>
        <w:pStyle w:val="Notedebasdepage"/>
        <w:jc w:val="both"/>
        <w:rPr>
          <w:rStyle w:val="Appelnotedebasdep"/>
          <w:rFonts w:ascii="Tahoma" w:hAnsi="Tahoma" w:cs="Tahoma"/>
          <w:vertAlign w:val="baseline"/>
        </w:rPr>
      </w:pPr>
      <w:r w:rsidRPr="009368F2">
        <w:rPr>
          <w:rStyle w:val="Appelnotedebasdep"/>
          <w:rFonts w:ascii="Tahoma" w:hAnsi="Tahoma" w:cs="Tahoma"/>
        </w:rPr>
        <w:footnoteRef/>
      </w:r>
      <w:r w:rsidRPr="009368F2">
        <w:rPr>
          <w:rStyle w:val="Appelnotedebasdep"/>
          <w:rFonts w:ascii="Tahoma" w:hAnsi="Tahoma" w:cs="Tahoma"/>
          <w:vertAlign w:val="baseline"/>
        </w:rPr>
        <w:t xml:space="preserve"> SEN, Amartya, Les idées d’Amartya Sen sur le développement et la liberté, Paris, Éditions du Seuil, 1999, p. 45-68.</w:t>
      </w:r>
    </w:p>
  </w:footnote>
  <w:footnote w:id="904">
    <w:p w:rsidR="0083519B" w:rsidRPr="009368F2" w:rsidRDefault="0083519B" w:rsidP="009368F2">
      <w:pPr>
        <w:pStyle w:val="Notedebasdepage"/>
        <w:jc w:val="both"/>
        <w:rPr>
          <w:rStyle w:val="Appelnotedebasdep"/>
          <w:rFonts w:ascii="Tahoma" w:hAnsi="Tahoma" w:cs="Tahoma"/>
          <w:vertAlign w:val="baseline"/>
        </w:rPr>
      </w:pPr>
      <w:r w:rsidRPr="009368F2">
        <w:rPr>
          <w:rStyle w:val="Appelnotedebasdep"/>
          <w:rFonts w:ascii="Tahoma" w:hAnsi="Tahoma" w:cs="Tahoma"/>
        </w:rPr>
        <w:footnoteRef/>
      </w:r>
      <w:r w:rsidRPr="009368F2">
        <w:rPr>
          <w:rStyle w:val="Appelnotedebasdep"/>
          <w:rFonts w:ascii="Tahoma" w:hAnsi="Tahoma" w:cs="Tahoma"/>
          <w:vertAlign w:val="baseline"/>
        </w:rPr>
        <w:t xml:space="preserve"> BANQUE MONDIALE, Rapport sur le développement humain au Maroc, Washington D.C., Banque mondiale, 2015, p. 57-73.</w:t>
      </w:r>
    </w:p>
    <w:p w:rsidR="0083519B" w:rsidRPr="00632BF5" w:rsidRDefault="0083519B" w:rsidP="009368F2">
      <w:pPr>
        <w:pStyle w:val="Notedebasdepage"/>
        <w:rPr>
          <w:rFonts w:ascii="Tahoma" w:hAnsi="Tahoma" w:cs="Tahoma"/>
        </w:rPr>
      </w:pPr>
    </w:p>
  </w:footnote>
  <w:footnote w:id="905">
    <w:p w:rsidR="0083519B" w:rsidRPr="00045A68" w:rsidRDefault="0083519B" w:rsidP="005A2E68">
      <w:pPr>
        <w:jc w:val="both"/>
        <w:rPr>
          <w:rFonts w:ascii="Tahoma" w:hAnsi="Tahoma" w:cs="Tahoma"/>
          <w:sz w:val="20"/>
          <w:szCs w:val="20"/>
        </w:rPr>
      </w:pPr>
      <w:r w:rsidRPr="00045A68">
        <w:rPr>
          <w:rStyle w:val="Appelnotedebasdep"/>
          <w:rFonts w:ascii="Tahoma" w:hAnsi="Tahoma" w:cs="Tahoma"/>
        </w:rPr>
        <w:footnoteRef/>
      </w:r>
      <w:r w:rsidRPr="00045A68">
        <w:rPr>
          <w:rFonts w:ascii="Tahoma" w:hAnsi="Tahoma" w:cs="Tahoma"/>
        </w:rPr>
        <w:t xml:space="preserve"> </w:t>
      </w:r>
      <w:r w:rsidRPr="00045A68">
        <w:rPr>
          <w:rFonts w:ascii="Tahoma" w:hAnsi="Tahoma" w:cs="Tahoma"/>
          <w:sz w:val="20"/>
          <w:szCs w:val="20"/>
        </w:rPr>
        <w:t xml:space="preserve">Cet indice composite intègre quatre dimensions de vulnérabilité éducative identifiées par l'enquête du terrain : (1) transmission intergénérationnelle des déficits éducatifs (analphabétisme parental), (2) efficacité du système scolaire actuel (analphabétisme des enfants), (3) déperdition scolaire (abandons), et (4) accessibilité territoriale (distance école &gt;3km). Cette méthodologie distingue les facteurs structurels (héritage parental, contraintes géographiques) des facteurs conjoncturels (performance scolaire actuelle). Chaque dimension est normalisée sur une échelle 0-100% puis agrégée par moyenne arithmétique simple, permettant une classification en trois niveaux de vulnérabilité éducative : faible (&lt;50%), modérée (50-75%) et critique (&gt;75%). </w:t>
      </w:r>
    </w:p>
    <w:p w:rsidR="0083519B" w:rsidRPr="00045A68" w:rsidRDefault="0083519B" w:rsidP="005A2E68">
      <w:pPr>
        <w:pStyle w:val="Notedebasdepage"/>
        <w:rPr>
          <w:rFonts w:ascii="Tahoma" w:hAnsi="Tahoma" w:cs="Tahoma"/>
        </w:rPr>
      </w:pPr>
    </w:p>
  </w:footnote>
  <w:footnote w:id="906">
    <w:p w:rsidR="0083519B" w:rsidRPr="00FE2565" w:rsidRDefault="0083519B" w:rsidP="00FE2565">
      <w:pPr>
        <w:widowControl w:val="0"/>
        <w:autoSpaceDE w:val="0"/>
        <w:autoSpaceDN w:val="0"/>
        <w:spacing w:after="0" w:line="360" w:lineRule="auto"/>
        <w:jc w:val="both"/>
        <w:rPr>
          <w:rFonts w:ascii="Tahoma" w:eastAsia="Times New Roman" w:hAnsi="Tahoma" w:cs="Tahoma"/>
          <w:sz w:val="20"/>
          <w:szCs w:val="20"/>
        </w:rPr>
      </w:pPr>
      <w:r w:rsidRPr="00FE2565">
        <w:rPr>
          <w:rFonts w:ascii="Tahoma" w:eastAsia="Times New Roman" w:hAnsi="Tahoma" w:cs="Tahoma"/>
          <w:sz w:val="20"/>
          <w:szCs w:val="20"/>
          <w:vertAlign w:val="superscript"/>
        </w:rPr>
        <w:footnoteRef/>
      </w:r>
      <w:r w:rsidRPr="00FE2565">
        <w:rPr>
          <w:rFonts w:ascii="Tahoma" w:eastAsia="Times New Roman" w:hAnsi="Tahoma" w:cs="Tahoma"/>
          <w:sz w:val="20"/>
          <w:szCs w:val="20"/>
          <w:vertAlign w:val="superscript"/>
        </w:rPr>
        <w:t xml:space="preserve"> </w:t>
      </w:r>
      <w:r w:rsidRPr="00FE2565">
        <w:rPr>
          <w:rFonts w:ascii="Tahoma" w:eastAsia="Times New Roman" w:hAnsi="Tahoma" w:cs="Tahoma"/>
          <w:sz w:val="20"/>
          <w:szCs w:val="20"/>
        </w:rPr>
        <w:t xml:space="preserve">Haut-Commissariat au Plan (HCP), Enquête Nationale sur la Pauvreté, la Pauvreté Extrême et l'Inclusion Sociale au Maroc, Rabat, 2021, consultée le 20/01/2025 sur </w:t>
      </w:r>
      <w:hyperlink r:id="rId12" w:tgtFrame="_new" w:history="1">
        <w:r w:rsidRPr="00FE2565">
          <w:rPr>
            <w:rFonts w:ascii="Tahoma" w:eastAsia="Times New Roman" w:hAnsi="Tahoma" w:cs="Tahoma"/>
            <w:sz w:val="20"/>
            <w:szCs w:val="20"/>
          </w:rPr>
          <w:t>https://www.hcp.ma</w:t>
        </w:r>
      </w:hyperlink>
      <w:r w:rsidRPr="00FE2565">
        <w:rPr>
          <w:rFonts w:ascii="Tahoma" w:eastAsia="Times New Roman" w:hAnsi="Tahoma" w:cs="Tahoma"/>
          <w:sz w:val="20"/>
          <w:szCs w:val="20"/>
        </w:rPr>
        <w:t>.</w:t>
      </w:r>
    </w:p>
  </w:footnote>
  <w:footnote w:id="907">
    <w:p w:rsidR="0083519B" w:rsidRPr="00FE2565" w:rsidRDefault="0083519B" w:rsidP="00FE2565">
      <w:pPr>
        <w:widowControl w:val="0"/>
        <w:autoSpaceDE w:val="0"/>
        <w:autoSpaceDN w:val="0"/>
        <w:spacing w:after="0" w:line="360" w:lineRule="auto"/>
        <w:jc w:val="both"/>
        <w:rPr>
          <w:rFonts w:ascii="Tahoma" w:eastAsia="Times New Roman" w:hAnsi="Tahoma" w:cs="Tahoma"/>
          <w:sz w:val="20"/>
          <w:szCs w:val="20"/>
        </w:rPr>
      </w:pPr>
      <w:r w:rsidRPr="00FE2565">
        <w:rPr>
          <w:rFonts w:ascii="Tahoma" w:eastAsia="Times New Roman" w:hAnsi="Tahoma" w:cs="Tahoma"/>
          <w:sz w:val="20"/>
          <w:szCs w:val="20"/>
          <w:vertAlign w:val="superscript"/>
        </w:rPr>
        <w:footnoteRef/>
      </w:r>
      <w:r w:rsidRPr="00FE2565">
        <w:rPr>
          <w:rFonts w:ascii="Tahoma" w:eastAsia="Times New Roman" w:hAnsi="Tahoma" w:cs="Tahoma"/>
          <w:sz w:val="20"/>
          <w:szCs w:val="20"/>
          <w:vertAlign w:val="superscript"/>
        </w:rPr>
        <w:t xml:space="preserve"> </w:t>
      </w:r>
      <w:r w:rsidRPr="00FE2565">
        <w:rPr>
          <w:rFonts w:ascii="Tahoma" w:eastAsia="Times New Roman" w:hAnsi="Tahoma" w:cs="Tahoma"/>
          <w:sz w:val="20"/>
          <w:szCs w:val="20"/>
        </w:rPr>
        <w:t xml:space="preserve">Ministère du Travail et de l’Insertion Professionnelle, Bulletin Officiel du Royaume du Maroc, n° 7282, 31 décembre 2024, arrêté relatif au Salaire Minimum Agricole Garanti (SMAG) pour l’année 2025, consulté sur </w:t>
      </w:r>
      <w:hyperlink r:id="rId13" w:tgtFrame="_new" w:history="1">
        <w:r w:rsidRPr="00FE2565">
          <w:rPr>
            <w:rFonts w:ascii="Tahoma" w:eastAsia="Times New Roman" w:hAnsi="Tahoma" w:cs="Tahoma"/>
            <w:sz w:val="20"/>
            <w:szCs w:val="20"/>
          </w:rPr>
          <w:t>https://www.sgg.gov.ma</w:t>
        </w:r>
      </w:hyperlink>
      <w:r w:rsidRPr="00FE2565">
        <w:rPr>
          <w:rFonts w:ascii="Tahoma" w:eastAsia="Times New Roman" w:hAnsi="Tahoma" w:cs="Tahoma"/>
          <w:sz w:val="20"/>
          <w:szCs w:val="20"/>
        </w:rPr>
        <w:t>.</w:t>
      </w:r>
    </w:p>
    <w:p w:rsidR="0083519B" w:rsidRPr="00FE2565" w:rsidRDefault="0083519B" w:rsidP="00FE2565">
      <w:pPr>
        <w:widowControl w:val="0"/>
        <w:autoSpaceDE w:val="0"/>
        <w:autoSpaceDN w:val="0"/>
        <w:spacing w:after="0" w:line="360" w:lineRule="auto"/>
        <w:jc w:val="both"/>
        <w:rPr>
          <w:rFonts w:ascii="Tahoma" w:eastAsia="Times New Roman" w:hAnsi="Tahoma" w:cs="Tahoma"/>
          <w:sz w:val="24"/>
          <w:szCs w:val="24"/>
          <w:vertAlign w:val="superscript"/>
        </w:rPr>
      </w:pPr>
    </w:p>
  </w:footnote>
  <w:footnote w:id="908">
    <w:p w:rsidR="0083519B" w:rsidRPr="00BF53BE" w:rsidRDefault="0083519B" w:rsidP="005C014D">
      <w:pPr>
        <w:jc w:val="both"/>
        <w:rPr>
          <w:rFonts w:ascii="Tahoma" w:hAnsi="Tahoma" w:cs="Tahoma"/>
          <w:sz w:val="20"/>
          <w:szCs w:val="20"/>
          <w:lang w:eastAsia="fr-FR"/>
        </w:rPr>
      </w:pPr>
      <w:r>
        <w:rPr>
          <w:rStyle w:val="Appelnotedebasdep"/>
        </w:rPr>
        <w:footnoteRef/>
      </w:r>
      <w:r w:rsidRPr="00BF53BE">
        <w:rPr>
          <w:rFonts w:ascii="Tahoma" w:hAnsi="Tahoma" w:cs="Tahoma"/>
          <w:sz w:val="20"/>
          <w:szCs w:val="20"/>
          <w:lang w:eastAsia="fr-FR"/>
        </w:rPr>
        <w:t>Cet indice composite évalue la vulnérabilité économique des ménages ruraux à travers quatre dimensions fondamentales de la précarité monétaire : (1) inactivité économique principale (absence d'activité génératrice de revenus réguliers), (2) inactivité économique secondaire (manque de diversification des sources de revenus), (3) insuffisance du revenu principal (revenus inférieurs au seuil de référence de 1860 DH), et (4) exclusion des transferts financiers familiaux (absence de soutien économique externe). Cette approche multidimensionnelle permet d'appréhender la pauvreté monétaire au-delà du seul niveau de revenu, en intégrant les dimensions de diversification économique et de résilience financière des ménages. Chaque dimension reflète un aspect spécifique de la vulnérabilité économique rurale dans le contexte forestier marocain.</w:t>
      </w:r>
      <w:r>
        <w:rPr>
          <w:rFonts w:ascii="Tahoma" w:hAnsi="Tahoma" w:cs="Tahoma"/>
          <w:sz w:val="20"/>
          <w:szCs w:val="20"/>
          <w:lang w:eastAsia="fr-FR"/>
        </w:rPr>
        <w:t xml:space="preserve"> </w:t>
      </w:r>
      <w:r w:rsidRPr="00BF53BE">
        <w:rPr>
          <w:rFonts w:ascii="Tahoma" w:hAnsi="Tahoma" w:cs="Tahoma"/>
          <w:sz w:val="20"/>
          <w:szCs w:val="20"/>
          <w:lang w:eastAsia="fr-FR"/>
        </w:rPr>
        <w:t>Les variables sont normalisées sur une échelle 0-100% puis agrégées par moyenne arithmétique simple. L'indice oscille entre 25% (Oulad Dlim) et 65% (Lâarâara), révélant des disparités territoriales significatives qui orientent l'identification des douars prioritaires pour les interventions de développement économique local et de lutte contre la pauvreté rurale.</w:t>
      </w:r>
    </w:p>
    <w:p w:rsidR="0083519B" w:rsidRDefault="0083519B" w:rsidP="005C014D">
      <w:pPr>
        <w:pStyle w:val="Notedebasdepage"/>
      </w:pPr>
    </w:p>
  </w:footnote>
  <w:footnote w:id="909">
    <w:p w:rsidR="0083519B" w:rsidRPr="00772AD6" w:rsidRDefault="0083519B" w:rsidP="005C014D">
      <w:pPr>
        <w:spacing w:before="100" w:beforeAutospacing="1" w:after="100" w:afterAutospacing="1"/>
        <w:jc w:val="both"/>
        <w:rPr>
          <w:rFonts w:ascii="Tahoma" w:hAnsi="Tahoma" w:cs="Tahoma"/>
          <w:sz w:val="20"/>
          <w:szCs w:val="20"/>
          <w:lang w:eastAsia="fr-FR"/>
        </w:rPr>
      </w:pPr>
      <w:r>
        <w:rPr>
          <w:rStyle w:val="Appelnotedebasdep"/>
        </w:rPr>
        <w:footnoteRef/>
      </w:r>
      <w:r>
        <w:t xml:space="preserve"> </w:t>
      </w:r>
      <w:r w:rsidRPr="00772AD6">
        <w:rPr>
          <w:rFonts w:ascii="Tahoma" w:hAnsi="Tahoma" w:cs="Tahoma"/>
          <w:sz w:val="20"/>
          <w:szCs w:val="20"/>
          <w:lang w:eastAsia="fr-FR"/>
        </w:rPr>
        <w:t>Cet indice composite agrège six dimensions de vulnérabilité environnementale selon une approche multidimensionnelle conforme aux principes d'évaluation écosystémique intégrée : (1) perception de la dégradation forestière (consensus local sur l'état de l'écosystème), (2) perception du changement climatique (impact des variations climatiques sur l'écosystème), (3) pression pastorale (taux d'éleveurs en tant qu'activité principale), (4) échec des politiques de reboisement (insatisfaction vis-à-vis des programmes de restauration), (5) opposition aux mises en défens (résistance aux politiques de protection), et (6) exploitation des ressources ligneuses (prélèvement de bois de feu pour la cuisson).</w:t>
      </w:r>
      <w:r w:rsidRPr="004F355E">
        <w:rPr>
          <w:rFonts w:ascii="Tahoma" w:hAnsi="Tahoma" w:cs="Tahoma"/>
          <w:sz w:val="20"/>
          <w:szCs w:val="20"/>
          <w:lang w:eastAsia="fr-FR"/>
        </w:rPr>
        <w:t xml:space="preserve"> </w:t>
      </w:r>
      <w:r w:rsidRPr="00772AD6">
        <w:rPr>
          <w:rFonts w:ascii="Tahoma" w:hAnsi="Tahoma" w:cs="Tahoma"/>
          <w:sz w:val="20"/>
          <w:szCs w:val="20"/>
          <w:lang w:eastAsia="fr-FR"/>
        </w:rPr>
        <w:t xml:space="preserve">Chaque dimension est normalisée sur une échelle 0-100% puis agrégée par moyenne arithmétique simple. L'indice final oscille entre 55% (vulnérabilité modérée) et 93% (vulnérabilité critique), permettant une classification territoriale en trois classes : vulnérabilité relative (&lt;65%), vulnérabilité modérée (65-80%) et vulnérabilité critique (&gt;80%). Cette approche quantitative facilite l'identification des douars prioritaires pour les interventions de restauration écologique </w:t>
      </w:r>
      <w:r>
        <w:rPr>
          <w:rFonts w:ascii="Tahoma" w:hAnsi="Tahoma" w:cs="Tahoma"/>
          <w:sz w:val="20"/>
          <w:szCs w:val="20"/>
          <w:lang w:eastAsia="fr-FR"/>
        </w:rPr>
        <w:t>et de gestion forestière soutenable</w:t>
      </w:r>
      <w:r w:rsidRPr="00772AD6">
        <w:rPr>
          <w:rFonts w:ascii="Tahoma" w:hAnsi="Tahoma" w:cs="Tahoma"/>
          <w:sz w:val="20"/>
          <w:szCs w:val="20"/>
          <w:lang w:eastAsia="fr-FR"/>
        </w:rPr>
        <w:t>.</w:t>
      </w:r>
    </w:p>
    <w:p w:rsidR="0083519B" w:rsidRDefault="0083519B" w:rsidP="005C014D">
      <w:pPr>
        <w:pStyle w:val="Notedebasdepage"/>
      </w:pPr>
    </w:p>
  </w:footnote>
  <w:footnote w:id="910">
    <w:p w:rsidR="0083519B" w:rsidRDefault="0083519B" w:rsidP="005C014D">
      <w:pPr>
        <w:pStyle w:val="Notedebasdepage"/>
      </w:pPr>
      <w:r>
        <w:rPr>
          <w:rStyle w:val="Appelnotedebasdep"/>
        </w:rPr>
        <w:footnoteRef/>
      </w:r>
      <w:r>
        <w:t xml:space="preserve"> Pierre BOURDIEU, « Effets de lieu », dans Pierre BOURDIEU (dir.), </w:t>
      </w:r>
      <w:r w:rsidRPr="008D5E36">
        <w:rPr>
          <w:i/>
          <w:iCs/>
        </w:rPr>
        <w:t>La Misère du monde</w:t>
      </w:r>
      <w:r>
        <w:t>, Paris, Éditions du Seuil, 1993, p. 249-262.</w:t>
      </w:r>
    </w:p>
  </w:footnote>
  <w:footnote w:id="911">
    <w:p w:rsidR="0083519B" w:rsidRDefault="0083519B" w:rsidP="005C014D">
      <w:pPr>
        <w:pStyle w:val="Notedebasdepage"/>
      </w:pPr>
      <w:r>
        <w:rPr>
          <w:rStyle w:val="Appelnotedebasdep"/>
        </w:rPr>
        <w:footnoteRef/>
      </w:r>
      <w:r>
        <w:t xml:space="preserve"> Bernard PECQUEUR, « Le développement territorial : une nouvelle approche des processus de développement pour les économies du Sud », dans Antheaume BENOIT et Frédéric GIRAUT (dir.), </w:t>
      </w:r>
      <w:r>
        <w:rPr>
          <w:rStyle w:val="Accentuation"/>
        </w:rPr>
        <w:t>Le territoire est mort, vive les territoires !</w:t>
      </w:r>
      <w:r>
        <w:t>, Paris, IRD Éditions, 2005, p. 295-316.</w:t>
      </w:r>
    </w:p>
  </w:footnote>
  <w:footnote w:id="912">
    <w:p w:rsidR="0083519B" w:rsidRPr="00BE580F" w:rsidRDefault="0083519B" w:rsidP="005C014D">
      <w:pPr>
        <w:pStyle w:val="Notedebasdepage"/>
        <w:jc w:val="both"/>
        <w:rPr>
          <w:rFonts w:ascii="Tahoma" w:hAnsi="Tahoma" w:cs="Tahoma"/>
        </w:rPr>
      </w:pPr>
      <w:r>
        <w:rPr>
          <w:rStyle w:val="Appelnotedebasdep"/>
        </w:rPr>
        <w:footnoteRef/>
      </w:r>
      <w:r>
        <w:t xml:space="preserve"> </w:t>
      </w:r>
      <w:r w:rsidRPr="00BE580F">
        <w:rPr>
          <w:rFonts w:ascii="Tahoma" w:hAnsi="Tahoma" w:cs="Tahoma"/>
        </w:rPr>
        <w:t xml:space="preserve">Paul STREETEN, </w:t>
      </w:r>
      <w:r w:rsidRPr="00BE580F">
        <w:rPr>
          <w:rStyle w:val="Accentuation"/>
          <w:rFonts w:ascii="Tahoma" w:hAnsi="Tahoma" w:cs="Tahoma"/>
        </w:rPr>
        <w:t>First Things First: Meeting Basic Human Needs in Developing Countries</w:t>
      </w:r>
      <w:r w:rsidRPr="00BE580F">
        <w:rPr>
          <w:rFonts w:ascii="Tahoma" w:hAnsi="Tahoma" w:cs="Tahoma"/>
        </w:rPr>
        <w:t>, New York, Oxford University Press, 1981, p. 432</w:t>
      </w:r>
    </w:p>
  </w:footnote>
  <w:footnote w:id="913">
    <w:p w:rsidR="0083519B" w:rsidRDefault="0083519B" w:rsidP="005C014D">
      <w:pPr>
        <w:pStyle w:val="Notedebasdepage"/>
        <w:jc w:val="both"/>
      </w:pPr>
      <w:r w:rsidRPr="00BE580F">
        <w:rPr>
          <w:rStyle w:val="Appelnotedebasdep"/>
          <w:rFonts w:ascii="Tahoma" w:hAnsi="Tahoma" w:cs="Tahoma"/>
        </w:rPr>
        <w:footnoteRef/>
      </w:r>
      <w:r w:rsidRPr="00BE580F">
        <w:rPr>
          <w:rFonts w:ascii="Tahoma" w:hAnsi="Tahoma" w:cs="Tahoma"/>
        </w:rPr>
        <w:t xml:space="preserve"> Bernard PECQUEUR, </w:t>
      </w:r>
      <w:r w:rsidRPr="00BE580F">
        <w:rPr>
          <w:rStyle w:val="Accentuation"/>
          <w:rFonts w:ascii="Tahoma" w:hAnsi="Tahoma" w:cs="Tahoma"/>
        </w:rPr>
        <w:t>Le développement local</w:t>
      </w:r>
      <w:r w:rsidRPr="00BE580F">
        <w:rPr>
          <w:rFonts w:ascii="Tahoma" w:hAnsi="Tahoma" w:cs="Tahoma"/>
        </w:rPr>
        <w:t>, Paris, Syros, 2000, p. 128.</w:t>
      </w:r>
    </w:p>
  </w:footnote>
  <w:footnote w:id="914">
    <w:p w:rsidR="0083519B" w:rsidRPr="0054641A" w:rsidRDefault="0083519B" w:rsidP="000D57A1">
      <w:pPr>
        <w:pStyle w:val="Notedebasdepage"/>
        <w:jc w:val="both"/>
        <w:rPr>
          <w:rFonts w:ascii="Tahoma" w:hAnsi="Tahoma" w:cs="Tahoma"/>
        </w:rPr>
      </w:pPr>
      <w:r w:rsidRPr="0054641A">
        <w:rPr>
          <w:rStyle w:val="Appelnotedebasdep"/>
          <w:rFonts w:ascii="Tahoma" w:hAnsi="Tahoma" w:cs="Tahoma"/>
        </w:rPr>
        <w:footnoteRef/>
      </w:r>
      <w:r w:rsidRPr="0054641A">
        <w:rPr>
          <w:rFonts w:ascii="Tahoma" w:hAnsi="Tahoma" w:cs="Tahoma"/>
        </w:rPr>
        <w:t xml:space="preserve"> Markku SIMULA. Vers Une Définition De La Dégradation Des Forêts : analyse comparative des définitions existantes.  Rome, Italie. Septembre. 2009. 66 p.</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F55CC3"/>
    <w:multiLevelType w:val="hybridMultilevel"/>
    <w:tmpl w:val="C94C08A6"/>
    <w:lvl w:ilvl="0" w:tplc="040C0001">
      <w:start w:val="1"/>
      <w:numFmt w:val="bullet"/>
      <w:lvlText w:val=""/>
      <w:lvlJc w:val="left"/>
      <w:pPr>
        <w:ind w:left="1428" w:hanging="360"/>
      </w:pPr>
      <w:rPr>
        <w:rFonts w:ascii="Symbol" w:hAnsi="Symbol"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1" w15:restartNumberingAfterBreak="0">
    <w:nsid w:val="014C67C0"/>
    <w:multiLevelType w:val="multilevel"/>
    <w:tmpl w:val="13F4E61E"/>
    <w:lvl w:ilvl="0">
      <w:numFmt w:val="bullet"/>
      <w:lvlText w:val="•"/>
      <w:lvlJc w:val="left"/>
      <w:pPr>
        <w:tabs>
          <w:tab w:val="num" w:pos="1068"/>
        </w:tabs>
        <w:ind w:left="1068" w:hanging="360"/>
      </w:pPr>
      <w:rPr>
        <w:rFonts w:hint="default"/>
        <w:sz w:val="20"/>
        <w:lang w:val="fr-FR" w:eastAsia="en-US" w:bidi="ar-SA"/>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 w15:restartNumberingAfterBreak="0">
    <w:nsid w:val="0305082C"/>
    <w:multiLevelType w:val="hybridMultilevel"/>
    <w:tmpl w:val="8506B5F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5DD281E"/>
    <w:multiLevelType w:val="hybridMultilevel"/>
    <w:tmpl w:val="91A046CA"/>
    <w:lvl w:ilvl="0" w:tplc="0AEA0C90">
      <w:numFmt w:val="bullet"/>
      <w:lvlText w:val=""/>
      <w:lvlJc w:val="left"/>
      <w:pPr>
        <w:ind w:left="2192" w:hanging="360"/>
      </w:pPr>
      <w:rPr>
        <w:rFonts w:ascii="Symbol" w:eastAsia="Symbol" w:hAnsi="Symbol" w:cs="Symbol" w:hint="default"/>
        <w:w w:val="100"/>
        <w:sz w:val="24"/>
        <w:szCs w:val="24"/>
        <w:lang w:val="fr-FR" w:eastAsia="en-US" w:bidi="ar-SA"/>
      </w:rPr>
    </w:lvl>
    <w:lvl w:ilvl="1" w:tplc="32683170">
      <w:numFmt w:val="bullet"/>
      <w:lvlText w:val="•"/>
      <w:lvlJc w:val="left"/>
      <w:pPr>
        <w:ind w:left="3047" w:hanging="360"/>
      </w:pPr>
      <w:rPr>
        <w:rFonts w:hint="default"/>
        <w:lang w:val="fr-FR" w:eastAsia="en-US" w:bidi="ar-SA"/>
      </w:rPr>
    </w:lvl>
    <w:lvl w:ilvl="2" w:tplc="F1C81B56">
      <w:numFmt w:val="bullet"/>
      <w:lvlText w:val="•"/>
      <w:lvlJc w:val="left"/>
      <w:pPr>
        <w:ind w:left="3894" w:hanging="360"/>
      </w:pPr>
      <w:rPr>
        <w:rFonts w:hint="default"/>
        <w:lang w:val="fr-FR" w:eastAsia="en-US" w:bidi="ar-SA"/>
      </w:rPr>
    </w:lvl>
    <w:lvl w:ilvl="3" w:tplc="01161716">
      <w:numFmt w:val="bullet"/>
      <w:lvlText w:val="•"/>
      <w:lvlJc w:val="left"/>
      <w:pPr>
        <w:ind w:left="4741" w:hanging="360"/>
      </w:pPr>
      <w:rPr>
        <w:rFonts w:hint="default"/>
        <w:lang w:val="fr-FR" w:eastAsia="en-US" w:bidi="ar-SA"/>
      </w:rPr>
    </w:lvl>
    <w:lvl w:ilvl="4" w:tplc="E6C26194">
      <w:numFmt w:val="bullet"/>
      <w:lvlText w:val="•"/>
      <w:lvlJc w:val="left"/>
      <w:pPr>
        <w:ind w:left="5588" w:hanging="360"/>
      </w:pPr>
      <w:rPr>
        <w:rFonts w:hint="default"/>
        <w:lang w:val="fr-FR" w:eastAsia="en-US" w:bidi="ar-SA"/>
      </w:rPr>
    </w:lvl>
    <w:lvl w:ilvl="5" w:tplc="FED009BE">
      <w:numFmt w:val="bullet"/>
      <w:lvlText w:val="•"/>
      <w:lvlJc w:val="left"/>
      <w:pPr>
        <w:ind w:left="6435" w:hanging="360"/>
      </w:pPr>
      <w:rPr>
        <w:rFonts w:hint="default"/>
        <w:lang w:val="fr-FR" w:eastAsia="en-US" w:bidi="ar-SA"/>
      </w:rPr>
    </w:lvl>
    <w:lvl w:ilvl="6" w:tplc="0C20882C">
      <w:numFmt w:val="bullet"/>
      <w:lvlText w:val="•"/>
      <w:lvlJc w:val="left"/>
      <w:pPr>
        <w:ind w:left="7282" w:hanging="360"/>
      </w:pPr>
      <w:rPr>
        <w:rFonts w:hint="default"/>
        <w:lang w:val="fr-FR" w:eastAsia="en-US" w:bidi="ar-SA"/>
      </w:rPr>
    </w:lvl>
    <w:lvl w:ilvl="7" w:tplc="7B2824F4">
      <w:numFmt w:val="bullet"/>
      <w:lvlText w:val="•"/>
      <w:lvlJc w:val="left"/>
      <w:pPr>
        <w:ind w:left="8129" w:hanging="360"/>
      </w:pPr>
      <w:rPr>
        <w:rFonts w:hint="default"/>
        <w:lang w:val="fr-FR" w:eastAsia="en-US" w:bidi="ar-SA"/>
      </w:rPr>
    </w:lvl>
    <w:lvl w:ilvl="8" w:tplc="1D6403AC">
      <w:numFmt w:val="bullet"/>
      <w:lvlText w:val="•"/>
      <w:lvlJc w:val="left"/>
      <w:pPr>
        <w:ind w:left="8976" w:hanging="360"/>
      </w:pPr>
      <w:rPr>
        <w:rFonts w:hint="default"/>
        <w:lang w:val="fr-FR" w:eastAsia="en-US" w:bidi="ar-SA"/>
      </w:rPr>
    </w:lvl>
  </w:abstractNum>
  <w:abstractNum w:abstractNumId="4" w15:restartNumberingAfterBreak="0">
    <w:nsid w:val="066E6BEB"/>
    <w:multiLevelType w:val="hybridMultilevel"/>
    <w:tmpl w:val="C1683B24"/>
    <w:lvl w:ilvl="0" w:tplc="2BFCD9AC">
      <w:numFmt w:val="bullet"/>
      <w:lvlText w:val=""/>
      <w:lvlJc w:val="left"/>
      <w:pPr>
        <w:ind w:left="844" w:hanging="246"/>
      </w:pPr>
      <w:rPr>
        <w:rFonts w:ascii="Symbol" w:eastAsia="Symbol" w:hAnsi="Symbol" w:cs="Symbol" w:hint="default"/>
        <w:b w:val="0"/>
        <w:bCs w:val="0"/>
        <w:i w:val="0"/>
        <w:iCs w:val="0"/>
        <w:spacing w:val="0"/>
        <w:w w:val="99"/>
        <w:sz w:val="22"/>
        <w:szCs w:val="22"/>
        <w:lang w:val="fr-FR" w:eastAsia="en-US" w:bidi="ar-SA"/>
      </w:rPr>
    </w:lvl>
    <w:lvl w:ilvl="1" w:tplc="3C7A70B8">
      <w:numFmt w:val="bullet"/>
      <w:lvlText w:val="•"/>
      <w:lvlJc w:val="left"/>
      <w:pPr>
        <w:ind w:left="1052" w:hanging="246"/>
      </w:pPr>
      <w:rPr>
        <w:lang w:val="fr-FR" w:eastAsia="en-US" w:bidi="ar-SA"/>
      </w:rPr>
    </w:lvl>
    <w:lvl w:ilvl="2" w:tplc="CA222042">
      <w:numFmt w:val="bullet"/>
      <w:lvlText w:val="•"/>
      <w:lvlJc w:val="left"/>
      <w:pPr>
        <w:ind w:left="1264" w:hanging="246"/>
      </w:pPr>
      <w:rPr>
        <w:lang w:val="fr-FR" w:eastAsia="en-US" w:bidi="ar-SA"/>
      </w:rPr>
    </w:lvl>
    <w:lvl w:ilvl="3" w:tplc="EE3274CA">
      <w:numFmt w:val="bullet"/>
      <w:lvlText w:val="•"/>
      <w:lvlJc w:val="left"/>
      <w:pPr>
        <w:ind w:left="1476" w:hanging="246"/>
      </w:pPr>
      <w:rPr>
        <w:lang w:val="fr-FR" w:eastAsia="en-US" w:bidi="ar-SA"/>
      </w:rPr>
    </w:lvl>
    <w:lvl w:ilvl="4" w:tplc="D4ECEF6A">
      <w:numFmt w:val="bullet"/>
      <w:lvlText w:val="•"/>
      <w:lvlJc w:val="left"/>
      <w:pPr>
        <w:ind w:left="1688" w:hanging="246"/>
      </w:pPr>
      <w:rPr>
        <w:lang w:val="fr-FR" w:eastAsia="en-US" w:bidi="ar-SA"/>
      </w:rPr>
    </w:lvl>
    <w:lvl w:ilvl="5" w:tplc="52004EE2">
      <w:numFmt w:val="bullet"/>
      <w:lvlText w:val="•"/>
      <w:lvlJc w:val="left"/>
      <w:pPr>
        <w:ind w:left="1900" w:hanging="246"/>
      </w:pPr>
      <w:rPr>
        <w:lang w:val="fr-FR" w:eastAsia="en-US" w:bidi="ar-SA"/>
      </w:rPr>
    </w:lvl>
    <w:lvl w:ilvl="6" w:tplc="C5F859A8">
      <w:numFmt w:val="bullet"/>
      <w:lvlText w:val="•"/>
      <w:lvlJc w:val="left"/>
      <w:pPr>
        <w:ind w:left="2112" w:hanging="246"/>
      </w:pPr>
      <w:rPr>
        <w:lang w:val="fr-FR" w:eastAsia="en-US" w:bidi="ar-SA"/>
      </w:rPr>
    </w:lvl>
    <w:lvl w:ilvl="7" w:tplc="0C48A418">
      <w:numFmt w:val="bullet"/>
      <w:lvlText w:val="•"/>
      <w:lvlJc w:val="left"/>
      <w:pPr>
        <w:ind w:left="2324" w:hanging="246"/>
      </w:pPr>
      <w:rPr>
        <w:lang w:val="fr-FR" w:eastAsia="en-US" w:bidi="ar-SA"/>
      </w:rPr>
    </w:lvl>
    <w:lvl w:ilvl="8" w:tplc="D03C06FE">
      <w:numFmt w:val="bullet"/>
      <w:lvlText w:val="•"/>
      <w:lvlJc w:val="left"/>
      <w:pPr>
        <w:ind w:left="2536" w:hanging="246"/>
      </w:pPr>
      <w:rPr>
        <w:lang w:val="fr-FR" w:eastAsia="en-US" w:bidi="ar-SA"/>
      </w:rPr>
    </w:lvl>
  </w:abstractNum>
  <w:abstractNum w:abstractNumId="5" w15:restartNumberingAfterBreak="0">
    <w:nsid w:val="0A644D42"/>
    <w:multiLevelType w:val="multilevel"/>
    <w:tmpl w:val="5956B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317579"/>
    <w:multiLevelType w:val="hybridMultilevel"/>
    <w:tmpl w:val="F0628D72"/>
    <w:lvl w:ilvl="0" w:tplc="040C000F">
      <w:start w:val="1"/>
      <w:numFmt w:val="decimal"/>
      <w:lvlText w:val="%1."/>
      <w:lvlJc w:val="left"/>
      <w:pPr>
        <w:ind w:left="1210" w:hanging="360"/>
      </w:p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0D110258"/>
    <w:multiLevelType w:val="hybridMultilevel"/>
    <w:tmpl w:val="522CC022"/>
    <w:lvl w:ilvl="0" w:tplc="040C0001">
      <w:start w:val="1"/>
      <w:numFmt w:val="bullet"/>
      <w:lvlText w:val=""/>
      <w:lvlJc w:val="left"/>
      <w:pPr>
        <w:ind w:left="1428" w:hanging="360"/>
      </w:pPr>
      <w:rPr>
        <w:rFonts w:ascii="Symbol" w:hAnsi="Symbol"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8" w15:restartNumberingAfterBreak="0">
    <w:nsid w:val="0D8F49E0"/>
    <w:multiLevelType w:val="hybridMultilevel"/>
    <w:tmpl w:val="D52C8F4A"/>
    <w:lvl w:ilvl="0" w:tplc="4882F960">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0EB271B7"/>
    <w:multiLevelType w:val="hybridMultilevel"/>
    <w:tmpl w:val="D5DAAB38"/>
    <w:lvl w:ilvl="0" w:tplc="7472A574">
      <w:start w:val="1"/>
      <w:numFmt w:val="upperLetter"/>
      <w:lvlText w:val="%1."/>
      <w:lvlJc w:val="left"/>
      <w:pPr>
        <w:ind w:left="890" w:hanging="450"/>
      </w:pPr>
      <w:rPr>
        <w:rFonts w:hint="default"/>
      </w:rPr>
    </w:lvl>
    <w:lvl w:ilvl="1" w:tplc="040C0019" w:tentative="1">
      <w:start w:val="1"/>
      <w:numFmt w:val="lowerLetter"/>
      <w:lvlText w:val="%2."/>
      <w:lvlJc w:val="left"/>
      <w:pPr>
        <w:ind w:left="1520" w:hanging="360"/>
      </w:pPr>
    </w:lvl>
    <w:lvl w:ilvl="2" w:tplc="040C001B" w:tentative="1">
      <w:start w:val="1"/>
      <w:numFmt w:val="lowerRoman"/>
      <w:lvlText w:val="%3."/>
      <w:lvlJc w:val="right"/>
      <w:pPr>
        <w:ind w:left="2240" w:hanging="180"/>
      </w:pPr>
    </w:lvl>
    <w:lvl w:ilvl="3" w:tplc="040C000F" w:tentative="1">
      <w:start w:val="1"/>
      <w:numFmt w:val="decimal"/>
      <w:lvlText w:val="%4."/>
      <w:lvlJc w:val="left"/>
      <w:pPr>
        <w:ind w:left="2960" w:hanging="360"/>
      </w:pPr>
    </w:lvl>
    <w:lvl w:ilvl="4" w:tplc="040C0019" w:tentative="1">
      <w:start w:val="1"/>
      <w:numFmt w:val="lowerLetter"/>
      <w:lvlText w:val="%5."/>
      <w:lvlJc w:val="left"/>
      <w:pPr>
        <w:ind w:left="3680" w:hanging="360"/>
      </w:pPr>
    </w:lvl>
    <w:lvl w:ilvl="5" w:tplc="040C001B" w:tentative="1">
      <w:start w:val="1"/>
      <w:numFmt w:val="lowerRoman"/>
      <w:lvlText w:val="%6."/>
      <w:lvlJc w:val="right"/>
      <w:pPr>
        <w:ind w:left="4400" w:hanging="180"/>
      </w:pPr>
    </w:lvl>
    <w:lvl w:ilvl="6" w:tplc="040C000F" w:tentative="1">
      <w:start w:val="1"/>
      <w:numFmt w:val="decimal"/>
      <w:lvlText w:val="%7."/>
      <w:lvlJc w:val="left"/>
      <w:pPr>
        <w:ind w:left="5120" w:hanging="360"/>
      </w:pPr>
    </w:lvl>
    <w:lvl w:ilvl="7" w:tplc="040C0019" w:tentative="1">
      <w:start w:val="1"/>
      <w:numFmt w:val="lowerLetter"/>
      <w:lvlText w:val="%8."/>
      <w:lvlJc w:val="left"/>
      <w:pPr>
        <w:ind w:left="5840" w:hanging="360"/>
      </w:pPr>
    </w:lvl>
    <w:lvl w:ilvl="8" w:tplc="040C001B" w:tentative="1">
      <w:start w:val="1"/>
      <w:numFmt w:val="lowerRoman"/>
      <w:lvlText w:val="%9."/>
      <w:lvlJc w:val="right"/>
      <w:pPr>
        <w:ind w:left="6560" w:hanging="180"/>
      </w:pPr>
    </w:lvl>
  </w:abstractNum>
  <w:abstractNum w:abstractNumId="10" w15:restartNumberingAfterBreak="0">
    <w:nsid w:val="100E1671"/>
    <w:multiLevelType w:val="hybridMultilevel"/>
    <w:tmpl w:val="5BB0C3C6"/>
    <w:lvl w:ilvl="0" w:tplc="040C0001">
      <w:start w:val="1"/>
      <w:numFmt w:val="bullet"/>
      <w:lvlText w:val=""/>
      <w:lvlJc w:val="left"/>
      <w:pPr>
        <w:ind w:left="2655" w:hanging="360"/>
      </w:pPr>
      <w:rPr>
        <w:rFonts w:ascii="Symbol" w:hAnsi="Symbol" w:hint="default"/>
      </w:rPr>
    </w:lvl>
    <w:lvl w:ilvl="1" w:tplc="040C0003" w:tentative="1">
      <w:start w:val="1"/>
      <w:numFmt w:val="bullet"/>
      <w:lvlText w:val="o"/>
      <w:lvlJc w:val="left"/>
      <w:pPr>
        <w:ind w:left="3375" w:hanging="360"/>
      </w:pPr>
      <w:rPr>
        <w:rFonts w:ascii="Courier New" w:hAnsi="Courier New" w:cs="Courier New" w:hint="default"/>
      </w:rPr>
    </w:lvl>
    <w:lvl w:ilvl="2" w:tplc="040C0005" w:tentative="1">
      <w:start w:val="1"/>
      <w:numFmt w:val="bullet"/>
      <w:lvlText w:val=""/>
      <w:lvlJc w:val="left"/>
      <w:pPr>
        <w:ind w:left="4095" w:hanging="360"/>
      </w:pPr>
      <w:rPr>
        <w:rFonts w:ascii="Wingdings" w:hAnsi="Wingdings" w:hint="default"/>
      </w:rPr>
    </w:lvl>
    <w:lvl w:ilvl="3" w:tplc="040C0001" w:tentative="1">
      <w:start w:val="1"/>
      <w:numFmt w:val="bullet"/>
      <w:lvlText w:val=""/>
      <w:lvlJc w:val="left"/>
      <w:pPr>
        <w:ind w:left="4815" w:hanging="360"/>
      </w:pPr>
      <w:rPr>
        <w:rFonts w:ascii="Symbol" w:hAnsi="Symbol" w:hint="default"/>
      </w:rPr>
    </w:lvl>
    <w:lvl w:ilvl="4" w:tplc="040C0003" w:tentative="1">
      <w:start w:val="1"/>
      <w:numFmt w:val="bullet"/>
      <w:lvlText w:val="o"/>
      <w:lvlJc w:val="left"/>
      <w:pPr>
        <w:ind w:left="5535" w:hanging="360"/>
      </w:pPr>
      <w:rPr>
        <w:rFonts w:ascii="Courier New" w:hAnsi="Courier New" w:cs="Courier New" w:hint="default"/>
      </w:rPr>
    </w:lvl>
    <w:lvl w:ilvl="5" w:tplc="040C0005" w:tentative="1">
      <w:start w:val="1"/>
      <w:numFmt w:val="bullet"/>
      <w:lvlText w:val=""/>
      <w:lvlJc w:val="left"/>
      <w:pPr>
        <w:ind w:left="6255" w:hanging="360"/>
      </w:pPr>
      <w:rPr>
        <w:rFonts w:ascii="Wingdings" w:hAnsi="Wingdings" w:hint="default"/>
      </w:rPr>
    </w:lvl>
    <w:lvl w:ilvl="6" w:tplc="040C0001" w:tentative="1">
      <w:start w:val="1"/>
      <w:numFmt w:val="bullet"/>
      <w:lvlText w:val=""/>
      <w:lvlJc w:val="left"/>
      <w:pPr>
        <w:ind w:left="6975" w:hanging="360"/>
      </w:pPr>
      <w:rPr>
        <w:rFonts w:ascii="Symbol" w:hAnsi="Symbol" w:hint="default"/>
      </w:rPr>
    </w:lvl>
    <w:lvl w:ilvl="7" w:tplc="040C0003" w:tentative="1">
      <w:start w:val="1"/>
      <w:numFmt w:val="bullet"/>
      <w:lvlText w:val="o"/>
      <w:lvlJc w:val="left"/>
      <w:pPr>
        <w:ind w:left="7695" w:hanging="360"/>
      </w:pPr>
      <w:rPr>
        <w:rFonts w:ascii="Courier New" w:hAnsi="Courier New" w:cs="Courier New" w:hint="default"/>
      </w:rPr>
    </w:lvl>
    <w:lvl w:ilvl="8" w:tplc="040C0005" w:tentative="1">
      <w:start w:val="1"/>
      <w:numFmt w:val="bullet"/>
      <w:lvlText w:val=""/>
      <w:lvlJc w:val="left"/>
      <w:pPr>
        <w:ind w:left="8415" w:hanging="360"/>
      </w:pPr>
      <w:rPr>
        <w:rFonts w:ascii="Wingdings" w:hAnsi="Wingdings" w:hint="default"/>
      </w:rPr>
    </w:lvl>
  </w:abstractNum>
  <w:abstractNum w:abstractNumId="11" w15:restartNumberingAfterBreak="0">
    <w:nsid w:val="151045AA"/>
    <w:multiLevelType w:val="hybridMultilevel"/>
    <w:tmpl w:val="A39AFE96"/>
    <w:lvl w:ilvl="0" w:tplc="040C0001">
      <w:start w:val="1"/>
      <w:numFmt w:val="bullet"/>
      <w:lvlText w:val=""/>
      <w:lvlJc w:val="left"/>
      <w:pPr>
        <w:ind w:left="1428" w:hanging="360"/>
      </w:pPr>
      <w:rPr>
        <w:rFonts w:ascii="Symbol" w:hAnsi="Symbol"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12" w15:restartNumberingAfterBreak="0">
    <w:nsid w:val="173D3416"/>
    <w:multiLevelType w:val="hybridMultilevel"/>
    <w:tmpl w:val="6862EAC8"/>
    <w:lvl w:ilvl="0" w:tplc="4882F960">
      <w:numFmt w:val="bullet"/>
      <w:lvlText w:val="-"/>
      <w:lvlJc w:val="left"/>
      <w:pPr>
        <w:ind w:left="3192" w:hanging="360"/>
      </w:pPr>
      <w:rPr>
        <w:rFonts w:ascii="Times New Roman" w:eastAsiaTheme="minorHAnsi" w:hAnsi="Times New Roman" w:cs="Times New Roman" w:hint="default"/>
      </w:rPr>
    </w:lvl>
    <w:lvl w:ilvl="1" w:tplc="040C0003" w:tentative="1">
      <w:start w:val="1"/>
      <w:numFmt w:val="bullet"/>
      <w:lvlText w:val="o"/>
      <w:lvlJc w:val="left"/>
      <w:pPr>
        <w:ind w:left="3912" w:hanging="360"/>
      </w:pPr>
      <w:rPr>
        <w:rFonts w:ascii="Courier New" w:hAnsi="Courier New" w:cs="Courier New" w:hint="default"/>
      </w:rPr>
    </w:lvl>
    <w:lvl w:ilvl="2" w:tplc="040C0005" w:tentative="1">
      <w:start w:val="1"/>
      <w:numFmt w:val="bullet"/>
      <w:lvlText w:val=""/>
      <w:lvlJc w:val="left"/>
      <w:pPr>
        <w:ind w:left="4632" w:hanging="360"/>
      </w:pPr>
      <w:rPr>
        <w:rFonts w:ascii="Wingdings" w:hAnsi="Wingdings" w:hint="default"/>
      </w:rPr>
    </w:lvl>
    <w:lvl w:ilvl="3" w:tplc="040C0001" w:tentative="1">
      <w:start w:val="1"/>
      <w:numFmt w:val="bullet"/>
      <w:lvlText w:val=""/>
      <w:lvlJc w:val="left"/>
      <w:pPr>
        <w:ind w:left="5352" w:hanging="360"/>
      </w:pPr>
      <w:rPr>
        <w:rFonts w:ascii="Symbol" w:hAnsi="Symbol" w:hint="default"/>
      </w:rPr>
    </w:lvl>
    <w:lvl w:ilvl="4" w:tplc="040C0003" w:tentative="1">
      <w:start w:val="1"/>
      <w:numFmt w:val="bullet"/>
      <w:lvlText w:val="o"/>
      <w:lvlJc w:val="left"/>
      <w:pPr>
        <w:ind w:left="6072" w:hanging="360"/>
      </w:pPr>
      <w:rPr>
        <w:rFonts w:ascii="Courier New" w:hAnsi="Courier New" w:cs="Courier New" w:hint="default"/>
      </w:rPr>
    </w:lvl>
    <w:lvl w:ilvl="5" w:tplc="040C0005" w:tentative="1">
      <w:start w:val="1"/>
      <w:numFmt w:val="bullet"/>
      <w:lvlText w:val=""/>
      <w:lvlJc w:val="left"/>
      <w:pPr>
        <w:ind w:left="6792" w:hanging="360"/>
      </w:pPr>
      <w:rPr>
        <w:rFonts w:ascii="Wingdings" w:hAnsi="Wingdings" w:hint="default"/>
      </w:rPr>
    </w:lvl>
    <w:lvl w:ilvl="6" w:tplc="040C0001" w:tentative="1">
      <w:start w:val="1"/>
      <w:numFmt w:val="bullet"/>
      <w:lvlText w:val=""/>
      <w:lvlJc w:val="left"/>
      <w:pPr>
        <w:ind w:left="7512" w:hanging="360"/>
      </w:pPr>
      <w:rPr>
        <w:rFonts w:ascii="Symbol" w:hAnsi="Symbol" w:hint="default"/>
      </w:rPr>
    </w:lvl>
    <w:lvl w:ilvl="7" w:tplc="040C0003" w:tentative="1">
      <w:start w:val="1"/>
      <w:numFmt w:val="bullet"/>
      <w:lvlText w:val="o"/>
      <w:lvlJc w:val="left"/>
      <w:pPr>
        <w:ind w:left="8232" w:hanging="360"/>
      </w:pPr>
      <w:rPr>
        <w:rFonts w:ascii="Courier New" w:hAnsi="Courier New" w:cs="Courier New" w:hint="default"/>
      </w:rPr>
    </w:lvl>
    <w:lvl w:ilvl="8" w:tplc="040C0005" w:tentative="1">
      <w:start w:val="1"/>
      <w:numFmt w:val="bullet"/>
      <w:lvlText w:val=""/>
      <w:lvlJc w:val="left"/>
      <w:pPr>
        <w:ind w:left="8952" w:hanging="360"/>
      </w:pPr>
      <w:rPr>
        <w:rFonts w:ascii="Wingdings" w:hAnsi="Wingdings" w:hint="default"/>
      </w:rPr>
    </w:lvl>
  </w:abstractNum>
  <w:abstractNum w:abstractNumId="13" w15:restartNumberingAfterBreak="0">
    <w:nsid w:val="19E348D4"/>
    <w:multiLevelType w:val="hybridMultilevel"/>
    <w:tmpl w:val="5066AB44"/>
    <w:lvl w:ilvl="0" w:tplc="040C0001">
      <w:start w:val="1"/>
      <w:numFmt w:val="bullet"/>
      <w:lvlText w:val=""/>
      <w:lvlJc w:val="left"/>
      <w:pPr>
        <w:ind w:left="1068" w:hanging="360"/>
      </w:pPr>
      <w:rPr>
        <w:rFonts w:ascii="Symbol" w:hAnsi="Symbol" w:hint="default"/>
      </w:rPr>
    </w:lvl>
    <w:lvl w:ilvl="1" w:tplc="040C0003">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4" w15:restartNumberingAfterBreak="0">
    <w:nsid w:val="1A6C5ABA"/>
    <w:multiLevelType w:val="hybridMultilevel"/>
    <w:tmpl w:val="F4FABB8C"/>
    <w:lvl w:ilvl="0" w:tplc="040C0001">
      <w:start w:val="1"/>
      <w:numFmt w:val="bullet"/>
      <w:lvlText w:val=""/>
      <w:lvlJc w:val="left"/>
      <w:pPr>
        <w:ind w:left="720" w:hanging="360"/>
      </w:pPr>
      <w:rPr>
        <w:rFonts w:ascii="Symbol" w:hAnsi="Symbol" w:hint="default"/>
      </w:rPr>
    </w:lvl>
    <w:lvl w:ilvl="1" w:tplc="35F675BE">
      <w:numFmt w:val="bullet"/>
      <w:lvlText w:val="•"/>
      <w:lvlJc w:val="left"/>
      <w:pPr>
        <w:ind w:left="2520" w:hanging="1440"/>
      </w:pPr>
      <w:rPr>
        <w:rFonts w:ascii="Tahoma" w:eastAsia="Times New Roman" w:hAnsi="Tahoma" w:cs="Tahoma"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1AF8439A"/>
    <w:multiLevelType w:val="hybridMultilevel"/>
    <w:tmpl w:val="4ECC6DAE"/>
    <w:lvl w:ilvl="0" w:tplc="040C0001">
      <w:start w:val="1"/>
      <w:numFmt w:val="bullet"/>
      <w:lvlText w:val=""/>
      <w:lvlJc w:val="left"/>
      <w:pPr>
        <w:ind w:left="1805" w:hanging="360"/>
      </w:pPr>
      <w:rPr>
        <w:rFonts w:ascii="Symbol" w:hAnsi="Symbol" w:hint="default"/>
      </w:rPr>
    </w:lvl>
    <w:lvl w:ilvl="1" w:tplc="040C0003" w:tentative="1">
      <w:start w:val="1"/>
      <w:numFmt w:val="bullet"/>
      <w:lvlText w:val="o"/>
      <w:lvlJc w:val="left"/>
      <w:pPr>
        <w:ind w:left="2525" w:hanging="360"/>
      </w:pPr>
      <w:rPr>
        <w:rFonts w:ascii="Courier New" w:hAnsi="Courier New" w:cs="Courier New" w:hint="default"/>
      </w:rPr>
    </w:lvl>
    <w:lvl w:ilvl="2" w:tplc="040C0005" w:tentative="1">
      <w:start w:val="1"/>
      <w:numFmt w:val="bullet"/>
      <w:lvlText w:val=""/>
      <w:lvlJc w:val="left"/>
      <w:pPr>
        <w:ind w:left="3245" w:hanging="360"/>
      </w:pPr>
      <w:rPr>
        <w:rFonts w:ascii="Wingdings" w:hAnsi="Wingdings" w:hint="default"/>
      </w:rPr>
    </w:lvl>
    <w:lvl w:ilvl="3" w:tplc="040C0001" w:tentative="1">
      <w:start w:val="1"/>
      <w:numFmt w:val="bullet"/>
      <w:lvlText w:val=""/>
      <w:lvlJc w:val="left"/>
      <w:pPr>
        <w:ind w:left="3965" w:hanging="360"/>
      </w:pPr>
      <w:rPr>
        <w:rFonts w:ascii="Symbol" w:hAnsi="Symbol" w:hint="default"/>
      </w:rPr>
    </w:lvl>
    <w:lvl w:ilvl="4" w:tplc="040C0003" w:tentative="1">
      <w:start w:val="1"/>
      <w:numFmt w:val="bullet"/>
      <w:lvlText w:val="o"/>
      <w:lvlJc w:val="left"/>
      <w:pPr>
        <w:ind w:left="4685" w:hanging="360"/>
      </w:pPr>
      <w:rPr>
        <w:rFonts w:ascii="Courier New" w:hAnsi="Courier New" w:cs="Courier New" w:hint="default"/>
      </w:rPr>
    </w:lvl>
    <w:lvl w:ilvl="5" w:tplc="040C0005" w:tentative="1">
      <w:start w:val="1"/>
      <w:numFmt w:val="bullet"/>
      <w:lvlText w:val=""/>
      <w:lvlJc w:val="left"/>
      <w:pPr>
        <w:ind w:left="5405" w:hanging="360"/>
      </w:pPr>
      <w:rPr>
        <w:rFonts w:ascii="Wingdings" w:hAnsi="Wingdings" w:hint="default"/>
      </w:rPr>
    </w:lvl>
    <w:lvl w:ilvl="6" w:tplc="040C0001" w:tentative="1">
      <w:start w:val="1"/>
      <w:numFmt w:val="bullet"/>
      <w:lvlText w:val=""/>
      <w:lvlJc w:val="left"/>
      <w:pPr>
        <w:ind w:left="6125" w:hanging="360"/>
      </w:pPr>
      <w:rPr>
        <w:rFonts w:ascii="Symbol" w:hAnsi="Symbol" w:hint="default"/>
      </w:rPr>
    </w:lvl>
    <w:lvl w:ilvl="7" w:tplc="040C0003" w:tentative="1">
      <w:start w:val="1"/>
      <w:numFmt w:val="bullet"/>
      <w:lvlText w:val="o"/>
      <w:lvlJc w:val="left"/>
      <w:pPr>
        <w:ind w:left="6845" w:hanging="360"/>
      </w:pPr>
      <w:rPr>
        <w:rFonts w:ascii="Courier New" w:hAnsi="Courier New" w:cs="Courier New" w:hint="default"/>
      </w:rPr>
    </w:lvl>
    <w:lvl w:ilvl="8" w:tplc="040C0005" w:tentative="1">
      <w:start w:val="1"/>
      <w:numFmt w:val="bullet"/>
      <w:lvlText w:val=""/>
      <w:lvlJc w:val="left"/>
      <w:pPr>
        <w:ind w:left="7565" w:hanging="360"/>
      </w:pPr>
      <w:rPr>
        <w:rFonts w:ascii="Wingdings" w:hAnsi="Wingdings" w:hint="default"/>
      </w:rPr>
    </w:lvl>
  </w:abstractNum>
  <w:abstractNum w:abstractNumId="16" w15:restartNumberingAfterBreak="0">
    <w:nsid w:val="1FF93A9F"/>
    <w:multiLevelType w:val="hybridMultilevel"/>
    <w:tmpl w:val="60AE5C2E"/>
    <w:lvl w:ilvl="0" w:tplc="A6269224">
      <w:numFmt w:val="bullet"/>
      <w:lvlText w:val=""/>
      <w:lvlJc w:val="left"/>
      <w:pPr>
        <w:ind w:left="844" w:hanging="246"/>
      </w:pPr>
      <w:rPr>
        <w:rFonts w:ascii="Symbol" w:eastAsia="Symbol" w:hAnsi="Symbol" w:cs="Symbol" w:hint="default"/>
        <w:b w:val="0"/>
        <w:bCs w:val="0"/>
        <w:i w:val="0"/>
        <w:iCs w:val="0"/>
        <w:spacing w:val="0"/>
        <w:w w:val="99"/>
        <w:sz w:val="22"/>
        <w:szCs w:val="22"/>
        <w:lang w:val="fr-FR" w:eastAsia="en-US" w:bidi="ar-SA"/>
      </w:rPr>
    </w:lvl>
    <w:lvl w:ilvl="1" w:tplc="14161422">
      <w:numFmt w:val="bullet"/>
      <w:lvlText w:val="•"/>
      <w:lvlJc w:val="left"/>
      <w:pPr>
        <w:ind w:left="1052" w:hanging="246"/>
      </w:pPr>
      <w:rPr>
        <w:lang w:val="fr-FR" w:eastAsia="en-US" w:bidi="ar-SA"/>
      </w:rPr>
    </w:lvl>
    <w:lvl w:ilvl="2" w:tplc="A5D8CF2A">
      <w:numFmt w:val="bullet"/>
      <w:lvlText w:val="•"/>
      <w:lvlJc w:val="left"/>
      <w:pPr>
        <w:ind w:left="1264" w:hanging="246"/>
      </w:pPr>
      <w:rPr>
        <w:lang w:val="fr-FR" w:eastAsia="en-US" w:bidi="ar-SA"/>
      </w:rPr>
    </w:lvl>
    <w:lvl w:ilvl="3" w:tplc="20ACD9FC">
      <w:numFmt w:val="bullet"/>
      <w:lvlText w:val="•"/>
      <w:lvlJc w:val="left"/>
      <w:pPr>
        <w:ind w:left="1476" w:hanging="246"/>
      </w:pPr>
      <w:rPr>
        <w:lang w:val="fr-FR" w:eastAsia="en-US" w:bidi="ar-SA"/>
      </w:rPr>
    </w:lvl>
    <w:lvl w:ilvl="4" w:tplc="2774D7CA">
      <w:numFmt w:val="bullet"/>
      <w:lvlText w:val="•"/>
      <w:lvlJc w:val="left"/>
      <w:pPr>
        <w:ind w:left="1688" w:hanging="246"/>
      </w:pPr>
      <w:rPr>
        <w:lang w:val="fr-FR" w:eastAsia="en-US" w:bidi="ar-SA"/>
      </w:rPr>
    </w:lvl>
    <w:lvl w:ilvl="5" w:tplc="140EB36E">
      <w:numFmt w:val="bullet"/>
      <w:lvlText w:val="•"/>
      <w:lvlJc w:val="left"/>
      <w:pPr>
        <w:ind w:left="1900" w:hanging="246"/>
      </w:pPr>
      <w:rPr>
        <w:lang w:val="fr-FR" w:eastAsia="en-US" w:bidi="ar-SA"/>
      </w:rPr>
    </w:lvl>
    <w:lvl w:ilvl="6" w:tplc="33107DE0">
      <w:numFmt w:val="bullet"/>
      <w:lvlText w:val="•"/>
      <w:lvlJc w:val="left"/>
      <w:pPr>
        <w:ind w:left="2112" w:hanging="246"/>
      </w:pPr>
      <w:rPr>
        <w:lang w:val="fr-FR" w:eastAsia="en-US" w:bidi="ar-SA"/>
      </w:rPr>
    </w:lvl>
    <w:lvl w:ilvl="7" w:tplc="5A92218C">
      <w:numFmt w:val="bullet"/>
      <w:lvlText w:val="•"/>
      <w:lvlJc w:val="left"/>
      <w:pPr>
        <w:ind w:left="2324" w:hanging="246"/>
      </w:pPr>
      <w:rPr>
        <w:lang w:val="fr-FR" w:eastAsia="en-US" w:bidi="ar-SA"/>
      </w:rPr>
    </w:lvl>
    <w:lvl w:ilvl="8" w:tplc="6E1EE8E0">
      <w:numFmt w:val="bullet"/>
      <w:lvlText w:val="•"/>
      <w:lvlJc w:val="left"/>
      <w:pPr>
        <w:ind w:left="2536" w:hanging="246"/>
      </w:pPr>
      <w:rPr>
        <w:lang w:val="fr-FR" w:eastAsia="en-US" w:bidi="ar-SA"/>
      </w:rPr>
    </w:lvl>
  </w:abstractNum>
  <w:abstractNum w:abstractNumId="17" w15:restartNumberingAfterBreak="0">
    <w:nsid w:val="24C250DD"/>
    <w:multiLevelType w:val="hybridMultilevel"/>
    <w:tmpl w:val="C3FE8686"/>
    <w:lvl w:ilvl="0" w:tplc="040C0001">
      <w:start w:val="1"/>
      <w:numFmt w:val="bullet"/>
      <w:lvlText w:val=""/>
      <w:lvlJc w:val="left"/>
      <w:pPr>
        <w:ind w:left="1068" w:hanging="360"/>
      </w:pPr>
      <w:rPr>
        <w:rFonts w:ascii="Symbol" w:hAnsi="Symbol"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8" w15:restartNumberingAfterBreak="0">
    <w:nsid w:val="2766316E"/>
    <w:multiLevelType w:val="multilevel"/>
    <w:tmpl w:val="06AAE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86857E5"/>
    <w:multiLevelType w:val="hybridMultilevel"/>
    <w:tmpl w:val="72906DB4"/>
    <w:lvl w:ilvl="0" w:tplc="EAF097F2">
      <w:numFmt w:val="bullet"/>
      <w:lvlText w:val=""/>
      <w:lvlJc w:val="left"/>
      <w:pPr>
        <w:ind w:left="844" w:hanging="246"/>
      </w:pPr>
      <w:rPr>
        <w:rFonts w:ascii="Symbol" w:eastAsia="Symbol" w:hAnsi="Symbol" w:cs="Symbol" w:hint="default"/>
        <w:b w:val="0"/>
        <w:bCs w:val="0"/>
        <w:i w:val="0"/>
        <w:iCs w:val="0"/>
        <w:spacing w:val="0"/>
        <w:w w:val="99"/>
        <w:sz w:val="22"/>
        <w:szCs w:val="22"/>
        <w:lang w:val="fr-FR" w:eastAsia="en-US" w:bidi="ar-SA"/>
      </w:rPr>
    </w:lvl>
    <w:lvl w:ilvl="1" w:tplc="B29EDFE8">
      <w:numFmt w:val="bullet"/>
      <w:lvlText w:val="•"/>
      <w:lvlJc w:val="left"/>
      <w:pPr>
        <w:ind w:left="1052" w:hanging="246"/>
      </w:pPr>
      <w:rPr>
        <w:lang w:val="fr-FR" w:eastAsia="en-US" w:bidi="ar-SA"/>
      </w:rPr>
    </w:lvl>
    <w:lvl w:ilvl="2" w:tplc="52784A56">
      <w:numFmt w:val="bullet"/>
      <w:lvlText w:val="•"/>
      <w:lvlJc w:val="left"/>
      <w:pPr>
        <w:ind w:left="1264" w:hanging="246"/>
      </w:pPr>
      <w:rPr>
        <w:lang w:val="fr-FR" w:eastAsia="en-US" w:bidi="ar-SA"/>
      </w:rPr>
    </w:lvl>
    <w:lvl w:ilvl="3" w:tplc="5D7610AE">
      <w:numFmt w:val="bullet"/>
      <w:lvlText w:val="•"/>
      <w:lvlJc w:val="left"/>
      <w:pPr>
        <w:ind w:left="1476" w:hanging="246"/>
      </w:pPr>
      <w:rPr>
        <w:lang w:val="fr-FR" w:eastAsia="en-US" w:bidi="ar-SA"/>
      </w:rPr>
    </w:lvl>
    <w:lvl w:ilvl="4" w:tplc="656C38DA">
      <w:numFmt w:val="bullet"/>
      <w:lvlText w:val="•"/>
      <w:lvlJc w:val="left"/>
      <w:pPr>
        <w:ind w:left="1688" w:hanging="246"/>
      </w:pPr>
      <w:rPr>
        <w:lang w:val="fr-FR" w:eastAsia="en-US" w:bidi="ar-SA"/>
      </w:rPr>
    </w:lvl>
    <w:lvl w:ilvl="5" w:tplc="517694DA">
      <w:numFmt w:val="bullet"/>
      <w:lvlText w:val="•"/>
      <w:lvlJc w:val="left"/>
      <w:pPr>
        <w:ind w:left="1900" w:hanging="246"/>
      </w:pPr>
      <w:rPr>
        <w:lang w:val="fr-FR" w:eastAsia="en-US" w:bidi="ar-SA"/>
      </w:rPr>
    </w:lvl>
    <w:lvl w:ilvl="6" w:tplc="16D09E0E">
      <w:numFmt w:val="bullet"/>
      <w:lvlText w:val="•"/>
      <w:lvlJc w:val="left"/>
      <w:pPr>
        <w:ind w:left="2112" w:hanging="246"/>
      </w:pPr>
      <w:rPr>
        <w:lang w:val="fr-FR" w:eastAsia="en-US" w:bidi="ar-SA"/>
      </w:rPr>
    </w:lvl>
    <w:lvl w:ilvl="7" w:tplc="0B4A7C1C">
      <w:numFmt w:val="bullet"/>
      <w:lvlText w:val="•"/>
      <w:lvlJc w:val="left"/>
      <w:pPr>
        <w:ind w:left="2324" w:hanging="246"/>
      </w:pPr>
      <w:rPr>
        <w:lang w:val="fr-FR" w:eastAsia="en-US" w:bidi="ar-SA"/>
      </w:rPr>
    </w:lvl>
    <w:lvl w:ilvl="8" w:tplc="AACE10DA">
      <w:numFmt w:val="bullet"/>
      <w:lvlText w:val="•"/>
      <w:lvlJc w:val="left"/>
      <w:pPr>
        <w:ind w:left="2536" w:hanging="246"/>
      </w:pPr>
      <w:rPr>
        <w:lang w:val="fr-FR" w:eastAsia="en-US" w:bidi="ar-SA"/>
      </w:rPr>
    </w:lvl>
  </w:abstractNum>
  <w:abstractNum w:abstractNumId="20" w15:restartNumberingAfterBreak="0">
    <w:nsid w:val="2B5E6F08"/>
    <w:multiLevelType w:val="hybridMultilevel"/>
    <w:tmpl w:val="94C6037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2C5A431E"/>
    <w:multiLevelType w:val="hybridMultilevel"/>
    <w:tmpl w:val="3F24ADBE"/>
    <w:lvl w:ilvl="0" w:tplc="7D20CE44">
      <w:numFmt w:val="bullet"/>
      <w:lvlText w:val=""/>
      <w:lvlJc w:val="left"/>
      <w:pPr>
        <w:ind w:left="720" w:hanging="360"/>
      </w:pPr>
      <w:rPr>
        <w:rFonts w:ascii="Symbol" w:eastAsia="Symbol" w:hAnsi="Symbol" w:cs="Symbol" w:hint="default"/>
        <w:w w:val="100"/>
        <w:sz w:val="24"/>
        <w:szCs w:val="24"/>
        <w:lang w:val="fr-FR" w:eastAsia="en-US" w:bidi="ar-SA"/>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2DA54D08"/>
    <w:multiLevelType w:val="multilevel"/>
    <w:tmpl w:val="0488534A"/>
    <w:lvl w:ilvl="0">
      <w:numFmt w:val="bullet"/>
      <w:lvlText w:val="•"/>
      <w:lvlJc w:val="left"/>
      <w:pPr>
        <w:tabs>
          <w:tab w:val="num" w:pos="1068"/>
        </w:tabs>
        <w:ind w:left="1068" w:hanging="360"/>
      </w:pPr>
      <w:rPr>
        <w:rFonts w:hint="default"/>
        <w:sz w:val="20"/>
        <w:lang w:val="fr-FR" w:eastAsia="en-US" w:bidi="ar-SA"/>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3" w15:restartNumberingAfterBreak="0">
    <w:nsid w:val="32372047"/>
    <w:multiLevelType w:val="hybridMultilevel"/>
    <w:tmpl w:val="BD420E98"/>
    <w:lvl w:ilvl="0" w:tplc="72022B90">
      <w:start w:val="1"/>
      <w:numFmt w:val="lowerRoman"/>
      <w:lvlText w:val="(%1)"/>
      <w:lvlJc w:val="left"/>
      <w:pPr>
        <w:ind w:left="765" w:hanging="720"/>
      </w:pPr>
      <w:rPr>
        <w:rFonts w:hint="default"/>
      </w:rPr>
    </w:lvl>
    <w:lvl w:ilvl="1" w:tplc="040C0019" w:tentative="1">
      <w:start w:val="1"/>
      <w:numFmt w:val="lowerLetter"/>
      <w:lvlText w:val="%2."/>
      <w:lvlJc w:val="left"/>
      <w:pPr>
        <w:ind w:left="1125" w:hanging="360"/>
      </w:pPr>
    </w:lvl>
    <w:lvl w:ilvl="2" w:tplc="040C001B" w:tentative="1">
      <w:start w:val="1"/>
      <w:numFmt w:val="lowerRoman"/>
      <w:lvlText w:val="%3."/>
      <w:lvlJc w:val="right"/>
      <w:pPr>
        <w:ind w:left="1845" w:hanging="180"/>
      </w:pPr>
    </w:lvl>
    <w:lvl w:ilvl="3" w:tplc="040C000F" w:tentative="1">
      <w:start w:val="1"/>
      <w:numFmt w:val="decimal"/>
      <w:lvlText w:val="%4."/>
      <w:lvlJc w:val="left"/>
      <w:pPr>
        <w:ind w:left="2565" w:hanging="360"/>
      </w:pPr>
    </w:lvl>
    <w:lvl w:ilvl="4" w:tplc="040C0019" w:tentative="1">
      <w:start w:val="1"/>
      <w:numFmt w:val="lowerLetter"/>
      <w:lvlText w:val="%5."/>
      <w:lvlJc w:val="left"/>
      <w:pPr>
        <w:ind w:left="3285" w:hanging="360"/>
      </w:pPr>
    </w:lvl>
    <w:lvl w:ilvl="5" w:tplc="040C001B" w:tentative="1">
      <w:start w:val="1"/>
      <w:numFmt w:val="lowerRoman"/>
      <w:lvlText w:val="%6."/>
      <w:lvlJc w:val="right"/>
      <w:pPr>
        <w:ind w:left="4005" w:hanging="180"/>
      </w:pPr>
    </w:lvl>
    <w:lvl w:ilvl="6" w:tplc="040C000F" w:tentative="1">
      <w:start w:val="1"/>
      <w:numFmt w:val="decimal"/>
      <w:lvlText w:val="%7."/>
      <w:lvlJc w:val="left"/>
      <w:pPr>
        <w:ind w:left="4725" w:hanging="360"/>
      </w:pPr>
    </w:lvl>
    <w:lvl w:ilvl="7" w:tplc="040C0019" w:tentative="1">
      <w:start w:val="1"/>
      <w:numFmt w:val="lowerLetter"/>
      <w:lvlText w:val="%8."/>
      <w:lvlJc w:val="left"/>
      <w:pPr>
        <w:ind w:left="5445" w:hanging="360"/>
      </w:pPr>
    </w:lvl>
    <w:lvl w:ilvl="8" w:tplc="040C001B" w:tentative="1">
      <w:start w:val="1"/>
      <w:numFmt w:val="lowerRoman"/>
      <w:lvlText w:val="%9."/>
      <w:lvlJc w:val="right"/>
      <w:pPr>
        <w:ind w:left="6165" w:hanging="180"/>
      </w:pPr>
    </w:lvl>
  </w:abstractNum>
  <w:abstractNum w:abstractNumId="24" w15:restartNumberingAfterBreak="0">
    <w:nsid w:val="37905E7B"/>
    <w:multiLevelType w:val="hybridMultilevel"/>
    <w:tmpl w:val="B54E2A08"/>
    <w:lvl w:ilvl="0" w:tplc="FAC020CE">
      <w:numFmt w:val="bullet"/>
      <w:lvlText w:val=""/>
      <w:lvlJc w:val="left"/>
      <w:pPr>
        <w:ind w:left="844" w:hanging="246"/>
      </w:pPr>
      <w:rPr>
        <w:rFonts w:ascii="Symbol" w:eastAsia="Symbol" w:hAnsi="Symbol" w:cs="Symbol" w:hint="default"/>
        <w:b w:val="0"/>
        <w:bCs w:val="0"/>
        <w:i w:val="0"/>
        <w:iCs w:val="0"/>
        <w:spacing w:val="0"/>
        <w:w w:val="99"/>
        <w:sz w:val="22"/>
        <w:szCs w:val="22"/>
        <w:lang w:val="fr-FR" w:eastAsia="en-US" w:bidi="ar-SA"/>
      </w:rPr>
    </w:lvl>
    <w:lvl w:ilvl="1" w:tplc="BF7CA1CC">
      <w:numFmt w:val="bullet"/>
      <w:lvlText w:val="•"/>
      <w:lvlJc w:val="left"/>
      <w:pPr>
        <w:ind w:left="1052" w:hanging="246"/>
      </w:pPr>
      <w:rPr>
        <w:lang w:val="fr-FR" w:eastAsia="en-US" w:bidi="ar-SA"/>
      </w:rPr>
    </w:lvl>
    <w:lvl w:ilvl="2" w:tplc="9EC6C00A">
      <w:numFmt w:val="bullet"/>
      <w:lvlText w:val="•"/>
      <w:lvlJc w:val="left"/>
      <w:pPr>
        <w:ind w:left="1264" w:hanging="246"/>
      </w:pPr>
      <w:rPr>
        <w:lang w:val="fr-FR" w:eastAsia="en-US" w:bidi="ar-SA"/>
      </w:rPr>
    </w:lvl>
    <w:lvl w:ilvl="3" w:tplc="CA56E0A6">
      <w:numFmt w:val="bullet"/>
      <w:lvlText w:val="•"/>
      <w:lvlJc w:val="left"/>
      <w:pPr>
        <w:ind w:left="1476" w:hanging="246"/>
      </w:pPr>
      <w:rPr>
        <w:lang w:val="fr-FR" w:eastAsia="en-US" w:bidi="ar-SA"/>
      </w:rPr>
    </w:lvl>
    <w:lvl w:ilvl="4" w:tplc="D8A4CB82">
      <w:numFmt w:val="bullet"/>
      <w:lvlText w:val="•"/>
      <w:lvlJc w:val="left"/>
      <w:pPr>
        <w:ind w:left="1688" w:hanging="246"/>
      </w:pPr>
      <w:rPr>
        <w:lang w:val="fr-FR" w:eastAsia="en-US" w:bidi="ar-SA"/>
      </w:rPr>
    </w:lvl>
    <w:lvl w:ilvl="5" w:tplc="D7B25FD6">
      <w:numFmt w:val="bullet"/>
      <w:lvlText w:val="•"/>
      <w:lvlJc w:val="left"/>
      <w:pPr>
        <w:ind w:left="1900" w:hanging="246"/>
      </w:pPr>
      <w:rPr>
        <w:lang w:val="fr-FR" w:eastAsia="en-US" w:bidi="ar-SA"/>
      </w:rPr>
    </w:lvl>
    <w:lvl w:ilvl="6" w:tplc="2BB425F8">
      <w:numFmt w:val="bullet"/>
      <w:lvlText w:val="•"/>
      <w:lvlJc w:val="left"/>
      <w:pPr>
        <w:ind w:left="2112" w:hanging="246"/>
      </w:pPr>
      <w:rPr>
        <w:lang w:val="fr-FR" w:eastAsia="en-US" w:bidi="ar-SA"/>
      </w:rPr>
    </w:lvl>
    <w:lvl w:ilvl="7" w:tplc="0B1EFE0C">
      <w:numFmt w:val="bullet"/>
      <w:lvlText w:val="•"/>
      <w:lvlJc w:val="left"/>
      <w:pPr>
        <w:ind w:left="2324" w:hanging="246"/>
      </w:pPr>
      <w:rPr>
        <w:lang w:val="fr-FR" w:eastAsia="en-US" w:bidi="ar-SA"/>
      </w:rPr>
    </w:lvl>
    <w:lvl w:ilvl="8" w:tplc="A20C2854">
      <w:numFmt w:val="bullet"/>
      <w:lvlText w:val="•"/>
      <w:lvlJc w:val="left"/>
      <w:pPr>
        <w:ind w:left="2536" w:hanging="246"/>
      </w:pPr>
      <w:rPr>
        <w:lang w:val="fr-FR" w:eastAsia="en-US" w:bidi="ar-SA"/>
      </w:rPr>
    </w:lvl>
  </w:abstractNum>
  <w:abstractNum w:abstractNumId="25" w15:restartNumberingAfterBreak="0">
    <w:nsid w:val="397F0B57"/>
    <w:multiLevelType w:val="hybridMultilevel"/>
    <w:tmpl w:val="7B62F71C"/>
    <w:lvl w:ilvl="0" w:tplc="040C0001">
      <w:start w:val="1"/>
      <w:numFmt w:val="bullet"/>
      <w:lvlText w:val=""/>
      <w:lvlJc w:val="left"/>
      <w:pPr>
        <w:ind w:left="2655" w:hanging="360"/>
      </w:pPr>
      <w:rPr>
        <w:rFonts w:ascii="Symbol" w:hAnsi="Symbol" w:hint="default"/>
      </w:rPr>
    </w:lvl>
    <w:lvl w:ilvl="1" w:tplc="040C0003" w:tentative="1">
      <w:start w:val="1"/>
      <w:numFmt w:val="bullet"/>
      <w:lvlText w:val="o"/>
      <w:lvlJc w:val="left"/>
      <w:pPr>
        <w:ind w:left="3375" w:hanging="360"/>
      </w:pPr>
      <w:rPr>
        <w:rFonts w:ascii="Courier New" w:hAnsi="Courier New" w:cs="Courier New" w:hint="default"/>
      </w:rPr>
    </w:lvl>
    <w:lvl w:ilvl="2" w:tplc="040C0005" w:tentative="1">
      <w:start w:val="1"/>
      <w:numFmt w:val="bullet"/>
      <w:lvlText w:val=""/>
      <w:lvlJc w:val="left"/>
      <w:pPr>
        <w:ind w:left="4095" w:hanging="360"/>
      </w:pPr>
      <w:rPr>
        <w:rFonts w:ascii="Wingdings" w:hAnsi="Wingdings" w:hint="default"/>
      </w:rPr>
    </w:lvl>
    <w:lvl w:ilvl="3" w:tplc="040C0001" w:tentative="1">
      <w:start w:val="1"/>
      <w:numFmt w:val="bullet"/>
      <w:lvlText w:val=""/>
      <w:lvlJc w:val="left"/>
      <w:pPr>
        <w:ind w:left="4815" w:hanging="360"/>
      </w:pPr>
      <w:rPr>
        <w:rFonts w:ascii="Symbol" w:hAnsi="Symbol" w:hint="default"/>
      </w:rPr>
    </w:lvl>
    <w:lvl w:ilvl="4" w:tplc="040C0003" w:tentative="1">
      <w:start w:val="1"/>
      <w:numFmt w:val="bullet"/>
      <w:lvlText w:val="o"/>
      <w:lvlJc w:val="left"/>
      <w:pPr>
        <w:ind w:left="5535" w:hanging="360"/>
      </w:pPr>
      <w:rPr>
        <w:rFonts w:ascii="Courier New" w:hAnsi="Courier New" w:cs="Courier New" w:hint="default"/>
      </w:rPr>
    </w:lvl>
    <w:lvl w:ilvl="5" w:tplc="040C0005" w:tentative="1">
      <w:start w:val="1"/>
      <w:numFmt w:val="bullet"/>
      <w:lvlText w:val=""/>
      <w:lvlJc w:val="left"/>
      <w:pPr>
        <w:ind w:left="6255" w:hanging="360"/>
      </w:pPr>
      <w:rPr>
        <w:rFonts w:ascii="Wingdings" w:hAnsi="Wingdings" w:hint="default"/>
      </w:rPr>
    </w:lvl>
    <w:lvl w:ilvl="6" w:tplc="040C0001" w:tentative="1">
      <w:start w:val="1"/>
      <w:numFmt w:val="bullet"/>
      <w:lvlText w:val=""/>
      <w:lvlJc w:val="left"/>
      <w:pPr>
        <w:ind w:left="6975" w:hanging="360"/>
      </w:pPr>
      <w:rPr>
        <w:rFonts w:ascii="Symbol" w:hAnsi="Symbol" w:hint="default"/>
      </w:rPr>
    </w:lvl>
    <w:lvl w:ilvl="7" w:tplc="040C0003" w:tentative="1">
      <w:start w:val="1"/>
      <w:numFmt w:val="bullet"/>
      <w:lvlText w:val="o"/>
      <w:lvlJc w:val="left"/>
      <w:pPr>
        <w:ind w:left="7695" w:hanging="360"/>
      </w:pPr>
      <w:rPr>
        <w:rFonts w:ascii="Courier New" w:hAnsi="Courier New" w:cs="Courier New" w:hint="default"/>
      </w:rPr>
    </w:lvl>
    <w:lvl w:ilvl="8" w:tplc="040C0005" w:tentative="1">
      <w:start w:val="1"/>
      <w:numFmt w:val="bullet"/>
      <w:lvlText w:val=""/>
      <w:lvlJc w:val="left"/>
      <w:pPr>
        <w:ind w:left="8415" w:hanging="360"/>
      </w:pPr>
      <w:rPr>
        <w:rFonts w:ascii="Wingdings" w:hAnsi="Wingdings" w:hint="default"/>
      </w:rPr>
    </w:lvl>
  </w:abstractNum>
  <w:abstractNum w:abstractNumId="26" w15:restartNumberingAfterBreak="0">
    <w:nsid w:val="3A8E08C1"/>
    <w:multiLevelType w:val="hybridMultilevel"/>
    <w:tmpl w:val="FFF85B24"/>
    <w:lvl w:ilvl="0" w:tplc="FD46F9B4">
      <w:start w:val="1"/>
      <w:numFmt w:val="lowerLetter"/>
      <w:pStyle w:val="Titre6"/>
      <w:lvlText w:val="%1."/>
      <w:lvlJc w:val="left"/>
      <w:pPr>
        <w:ind w:left="720" w:hanging="360"/>
      </w:pPr>
      <w:rPr>
        <w:b/>
        <w:bCs/>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67C2E52A">
      <w:start w:val="1"/>
      <w:numFmt w:val="decimal"/>
      <w:lvlText w:val="%2)"/>
      <w:lvlJc w:val="left"/>
      <w:pPr>
        <w:ind w:left="1440" w:hanging="360"/>
      </w:pPr>
      <w:rPr>
        <w:rFonts w:hint="default"/>
      </w:r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7" w15:restartNumberingAfterBreak="0">
    <w:nsid w:val="3C043261"/>
    <w:multiLevelType w:val="hybridMultilevel"/>
    <w:tmpl w:val="0330BBA0"/>
    <w:lvl w:ilvl="0" w:tplc="32683170">
      <w:numFmt w:val="bullet"/>
      <w:lvlText w:val="•"/>
      <w:lvlJc w:val="left"/>
      <w:pPr>
        <w:ind w:left="1776" w:hanging="360"/>
      </w:pPr>
      <w:rPr>
        <w:rFonts w:hint="default"/>
        <w:lang w:val="fr-FR" w:eastAsia="en-US" w:bidi="ar-SA"/>
      </w:rPr>
    </w:lvl>
    <w:lvl w:ilvl="1" w:tplc="040C0003" w:tentative="1">
      <w:start w:val="1"/>
      <w:numFmt w:val="bullet"/>
      <w:lvlText w:val="o"/>
      <w:lvlJc w:val="left"/>
      <w:pPr>
        <w:ind w:left="2496" w:hanging="360"/>
      </w:pPr>
      <w:rPr>
        <w:rFonts w:ascii="Courier New" w:hAnsi="Courier New" w:cs="Courier New" w:hint="default"/>
      </w:rPr>
    </w:lvl>
    <w:lvl w:ilvl="2" w:tplc="040C0005" w:tentative="1">
      <w:start w:val="1"/>
      <w:numFmt w:val="bullet"/>
      <w:lvlText w:val=""/>
      <w:lvlJc w:val="left"/>
      <w:pPr>
        <w:ind w:left="3216" w:hanging="360"/>
      </w:pPr>
      <w:rPr>
        <w:rFonts w:ascii="Wingdings" w:hAnsi="Wingdings" w:hint="default"/>
      </w:rPr>
    </w:lvl>
    <w:lvl w:ilvl="3" w:tplc="040C0001" w:tentative="1">
      <w:start w:val="1"/>
      <w:numFmt w:val="bullet"/>
      <w:lvlText w:val=""/>
      <w:lvlJc w:val="left"/>
      <w:pPr>
        <w:ind w:left="3936" w:hanging="360"/>
      </w:pPr>
      <w:rPr>
        <w:rFonts w:ascii="Symbol" w:hAnsi="Symbol" w:hint="default"/>
      </w:rPr>
    </w:lvl>
    <w:lvl w:ilvl="4" w:tplc="040C0003" w:tentative="1">
      <w:start w:val="1"/>
      <w:numFmt w:val="bullet"/>
      <w:lvlText w:val="o"/>
      <w:lvlJc w:val="left"/>
      <w:pPr>
        <w:ind w:left="4656" w:hanging="360"/>
      </w:pPr>
      <w:rPr>
        <w:rFonts w:ascii="Courier New" w:hAnsi="Courier New" w:cs="Courier New" w:hint="default"/>
      </w:rPr>
    </w:lvl>
    <w:lvl w:ilvl="5" w:tplc="040C0005" w:tentative="1">
      <w:start w:val="1"/>
      <w:numFmt w:val="bullet"/>
      <w:lvlText w:val=""/>
      <w:lvlJc w:val="left"/>
      <w:pPr>
        <w:ind w:left="5376" w:hanging="360"/>
      </w:pPr>
      <w:rPr>
        <w:rFonts w:ascii="Wingdings" w:hAnsi="Wingdings" w:hint="default"/>
      </w:rPr>
    </w:lvl>
    <w:lvl w:ilvl="6" w:tplc="040C0001" w:tentative="1">
      <w:start w:val="1"/>
      <w:numFmt w:val="bullet"/>
      <w:lvlText w:val=""/>
      <w:lvlJc w:val="left"/>
      <w:pPr>
        <w:ind w:left="6096" w:hanging="360"/>
      </w:pPr>
      <w:rPr>
        <w:rFonts w:ascii="Symbol" w:hAnsi="Symbol" w:hint="default"/>
      </w:rPr>
    </w:lvl>
    <w:lvl w:ilvl="7" w:tplc="040C0003" w:tentative="1">
      <w:start w:val="1"/>
      <w:numFmt w:val="bullet"/>
      <w:lvlText w:val="o"/>
      <w:lvlJc w:val="left"/>
      <w:pPr>
        <w:ind w:left="6816" w:hanging="360"/>
      </w:pPr>
      <w:rPr>
        <w:rFonts w:ascii="Courier New" w:hAnsi="Courier New" w:cs="Courier New" w:hint="default"/>
      </w:rPr>
    </w:lvl>
    <w:lvl w:ilvl="8" w:tplc="040C0005" w:tentative="1">
      <w:start w:val="1"/>
      <w:numFmt w:val="bullet"/>
      <w:lvlText w:val=""/>
      <w:lvlJc w:val="left"/>
      <w:pPr>
        <w:ind w:left="7536" w:hanging="360"/>
      </w:pPr>
      <w:rPr>
        <w:rFonts w:ascii="Wingdings" w:hAnsi="Wingdings" w:hint="default"/>
      </w:rPr>
    </w:lvl>
  </w:abstractNum>
  <w:abstractNum w:abstractNumId="28" w15:restartNumberingAfterBreak="0">
    <w:nsid w:val="3E075F3F"/>
    <w:multiLevelType w:val="hybridMultilevel"/>
    <w:tmpl w:val="63B4598C"/>
    <w:lvl w:ilvl="0" w:tplc="040C0001">
      <w:start w:val="1"/>
      <w:numFmt w:val="bullet"/>
      <w:lvlText w:val=""/>
      <w:lvlJc w:val="left"/>
      <w:pPr>
        <w:ind w:left="2655" w:hanging="360"/>
      </w:pPr>
      <w:rPr>
        <w:rFonts w:ascii="Symbol" w:hAnsi="Symbol" w:hint="default"/>
      </w:rPr>
    </w:lvl>
    <w:lvl w:ilvl="1" w:tplc="040C0003" w:tentative="1">
      <w:start w:val="1"/>
      <w:numFmt w:val="bullet"/>
      <w:lvlText w:val="o"/>
      <w:lvlJc w:val="left"/>
      <w:pPr>
        <w:ind w:left="3375" w:hanging="360"/>
      </w:pPr>
      <w:rPr>
        <w:rFonts w:ascii="Courier New" w:hAnsi="Courier New" w:cs="Courier New" w:hint="default"/>
      </w:rPr>
    </w:lvl>
    <w:lvl w:ilvl="2" w:tplc="040C0005" w:tentative="1">
      <w:start w:val="1"/>
      <w:numFmt w:val="bullet"/>
      <w:lvlText w:val=""/>
      <w:lvlJc w:val="left"/>
      <w:pPr>
        <w:ind w:left="4095" w:hanging="360"/>
      </w:pPr>
      <w:rPr>
        <w:rFonts w:ascii="Wingdings" w:hAnsi="Wingdings" w:hint="default"/>
      </w:rPr>
    </w:lvl>
    <w:lvl w:ilvl="3" w:tplc="040C0001" w:tentative="1">
      <w:start w:val="1"/>
      <w:numFmt w:val="bullet"/>
      <w:lvlText w:val=""/>
      <w:lvlJc w:val="left"/>
      <w:pPr>
        <w:ind w:left="4815" w:hanging="360"/>
      </w:pPr>
      <w:rPr>
        <w:rFonts w:ascii="Symbol" w:hAnsi="Symbol" w:hint="default"/>
      </w:rPr>
    </w:lvl>
    <w:lvl w:ilvl="4" w:tplc="040C0003" w:tentative="1">
      <w:start w:val="1"/>
      <w:numFmt w:val="bullet"/>
      <w:lvlText w:val="o"/>
      <w:lvlJc w:val="left"/>
      <w:pPr>
        <w:ind w:left="5535" w:hanging="360"/>
      </w:pPr>
      <w:rPr>
        <w:rFonts w:ascii="Courier New" w:hAnsi="Courier New" w:cs="Courier New" w:hint="default"/>
      </w:rPr>
    </w:lvl>
    <w:lvl w:ilvl="5" w:tplc="040C0005" w:tentative="1">
      <w:start w:val="1"/>
      <w:numFmt w:val="bullet"/>
      <w:lvlText w:val=""/>
      <w:lvlJc w:val="left"/>
      <w:pPr>
        <w:ind w:left="6255" w:hanging="360"/>
      </w:pPr>
      <w:rPr>
        <w:rFonts w:ascii="Wingdings" w:hAnsi="Wingdings" w:hint="default"/>
      </w:rPr>
    </w:lvl>
    <w:lvl w:ilvl="6" w:tplc="040C0001" w:tentative="1">
      <w:start w:val="1"/>
      <w:numFmt w:val="bullet"/>
      <w:lvlText w:val=""/>
      <w:lvlJc w:val="left"/>
      <w:pPr>
        <w:ind w:left="6975" w:hanging="360"/>
      </w:pPr>
      <w:rPr>
        <w:rFonts w:ascii="Symbol" w:hAnsi="Symbol" w:hint="default"/>
      </w:rPr>
    </w:lvl>
    <w:lvl w:ilvl="7" w:tplc="040C0003" w:tentative="1">
      <w:start w:val="1"/>
      <w:numFmt w:val="bullet"/>
      <w:lvlText w:val="o"/>
      <w:lvlJc w:val="left"/>
      <w:pPr>
        <w:ind w:left="7695" w:hanging="360"/>
      </w:pPr>
      <w:rPr>
        <w:rFonts w:ascii="Courier New" w:hAnsi="Courier New" w:cs="Courier New" w:hint="default"/>
      </w:rPr>
    </w:lvl>
    <w:lvl w:ilvl="8" w:tplc="040C0005" w:tentative="1">
      <w:start w:val="1"/>
      <w:numFmt w:val="bullet"/>
      <w:lvlText w:val=""/>
      <w:lvlJc w:val="left"/>
      <w:pPr>
        <w:ind w:left="8415" w:hanging="360"/>
      </w:pPr>
      <w:rPr>
        <w:rFonts w:ascii="Wingdings" w:hAnsi="Wingdings" w:hint="default"/>
      </w:rPr>
    </w:lvl>
  </w:abstractNum>
  <w:abstractNum w:abstractNumId="29" w15:restartNumberingAfterBreak="0">
    <w:nsid w:val="3EE648A6"/>
    <w:multiLevelType w:val="hybridMultilevel"/>
    <w:tmpl w:val="A5FC5A20"/>
    <w:lvl w:ilvl="0" w:tplc="7D20CE44">
      <w:numFmt w:val="bullet"/>
      <w:lvlText w:val=""/>
      <w:lvlJc w:val="left"/>
      <w:pPr>
        <w:ind w:left="720" w:hanging="360"/>
      </w:pPr>
      <w:rPr>
        <w:rFonts w:ascii="Symbol" w:eastAsia="Symbol" w:hAnsi="Symbol" w:cs="Symbol" w:hint="default"/>
        <w:w w:val="100"/>
        <w:sz w:val="24"/>
        <w:szCs w:val="24"/>
        <w:lang w:val="fr-FR" w:eastAsia="en-US" w:bidi="ar-SA"/>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42253D5D"/>
    <w:multiLevelType w:val="hybridMultilevel"/>
    <w:tmpl w:val="D688B01C"/>
    <w:lvl w:ilvl="0" w:tplc="4882F960">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15:restartNumberingAfterBreak="0">
    <w:nsid w:val="4276718C"/>
    <w:multiLevelType w:val="hybridMultilevel"/>
    <w:tmpl w:val="E6D65810"/>
    <w:lvl w:ilvl="0" w:tplc="32683170">
      <w:numFmt w:val="bullet"/>
      <w:lvlText w:val="•"/>
      <w:lvlJc w:val="left"/>
      <w:pPr>
        <w:ind w:left="3204" w:hanging="360"/>
      </w:pPr>
      <w:rPr>
        <w:rFonts w:hint="default"/>
        <w:lang w:val="fr-FR" w:eastAsia="en-US" w:bidi="ar-SA"/>
      </w:rPr>
    </w:lvl>
    <w:lvl w:ilvl="1" w:tplc="040C0003" w:tentative="1">
      <w:start w:val="1"/>
      <w:numFmt w:val="bullet"/>
      <w:lvlText w:val="o"/>
      <w:lvlJc w:val="left"/>
      <w:pPr>
        <w:ind w:left="3924" w:hanging="360"/>
      </w:pPr>
      <w:rPr>
        <w:rFonts w:ascii="Courier New" w:hAnsi="Courier New" w:cs="Courier New" w:hint="default"/>
      </w:rPr>
    </w:lvl>
    <w:lvl w:ilvl="2" w:tplc="040C0005" w:tentative="1">
      <w:start w:val="1"/>
      <w:numFmt w:val="bullet"/>
      <w:lvlText w:val=""/>
      <w:lvlJc w:val="left"/>
      <w:pPr>
        <w:ind w:left="4644" w:hanging="360"/>
      </w:pPr>
      <w:rPr>
        <w:rFonts w:ascii="Wingdings" w:hAnsi="Wingdings" w:hint="default"/>
      </w:rPr>
    </w:lvl>
    <w:lvl w:ilvl="3" w:tplc="040C0001" w:tentative="1">
      <w:start w:val="1"/>
      <w:numFmt w:val="bullet"/>
      <w:lvlText w:val=""/>
      <w:lvlJc w:val="left"/>
      <w:pPr>
        <w:ind w:left="5364" w:hanging="360"/>
      </w:pPr>
      <w:rPr>
        <w:rFonts w:ascii="Symbol" w:hAnsi="Symbol" w:hint="default"/>
      </w:rPr>
    </w:lvl>
    <w:lvl w:ilvl="4" w:tplc="040C0003" w:tentative="1">
      <w:start w:val="1"/>
      <w:numFmt w:val="bullet"/>
      <w:lvlText w:val="o"/>
      <w:lvlJc w:val="left"/>
      <w:pPr>
        <w:ind w:left="6084" w:hanging="360"/>
      </w:pPr>
      <w:rPr>
        <w:rFonts w:ascii="Courier New" w:hAnsi="Courier New" w:cs="Courier New" w:hint="default"/>
      </w:rPr>
    </w:lvl>
    <w:lvl w:ilvl="5" w:tplc="040C0005" w:tentative="1">
      <w:start w:val="1"/>
      <w:numFmt w:val="bullet"/>
      <w:lvlText w:val=""/>
      <w:lvlJc w:val="left"/>
      <w:pPr>
        <w:ind w:left="6804" w:hanging="360"/>
      </w:pPr>
      <w:rPr>
        <w:rFonts w:ascii="Wingdings" w:hAnsi="Wingdings" w:hint="default"/>
      </w:rPr>
    </w:lvl>
    <w:lvl w:ilvl="6" w:tplc="040C0001" w:tentative="1">
      <w:start w:val="1"/>
      <w:numFmt w:val="bullet"/>
      <w:lvlText w:val=""/>
      <w:lvlJc w:val="left"/>
      <w:pPr>
        <w:ind w:left="7524" w:hanging="360"/>
      </w:pPr>
      <w:rPr>
        <w:rFonts w:ascii="Symbol" w:hAnsi="Symbol" w:hint="default"/>
      </w:rPr>
    </w:lvl>
    <w:lvl w:ilvl="7" w:tplc="040C0003" w:tentative="1">
      <w:start w:val="1"/>
      <w:numFmt w:val="bullet"/>
      <w:lvlText w:val="o"/>
      <w:lvlJc w:val="left"/>
      <w:pPr>
        <w:ind w:left="8244" w:hanging="360"/>
      </w:pPr>
      <w:rPr>
        <w:rFonts w:ascii="Courier New" w:hAnsi="Courier New" w:cs="Courier New" w:hint="default"/>
      </w:rPr>
    </w:lvl>
    <w:lvl w:ilvl="8" w:tplc="040C0005" w:tentative="1">
      <w:start w:val="1"/>
      <w:numFmt w:val="bullet"/>
      <w:lvlText w:val=""/>
      <w:lvlJc w:val="left"/>
      <w:pPr>
        <w:ind w:left="8964" w:hanging="360"/>
      </w:pPr>
      <w:rPr>
        <w:rFonts w:ascii="Wingdings" w:hAnsi="Wingdings" w:hint="default"/>
      </w:rPr>
    </w:lvl>
  </w:abstractNum>
  <w:abstractNum w:abstractNumId="32" w15:restartNumberingAfterBreak="0">
    <w:nsid w:val="46237C34"/>
    <w:multiLevelType w:val="hybridMultilevel"/>
    <w:tmpl w:val="6FAA2F86"/>
    <w:lvl w:ilvl="0" w:tplc="FAAAE256">
      <w:start w:val="2"/>
      <w:numFmt w:val="bullet"/>
      <w:lvlText w:val=""/>
      <w:lvlJc w:val="left"/>
      <w:pPr>
        <w:ind w:left="1794" w:hanging="720"/>
      </w:pPr>
      <w:rPr>
        <w:rFonts w:ascii="Symbol" w:eastAsia="Calibri Light" w:hAnsi="Symbol" w:cs="Calibri Light" w:hint="default"/>
        <w:w w:val="100"/>
        <w:sz w:val="24"/>
        <w:szCs w:val="24"/>
        <w:lang w:val="fr-FR" w:eastAsia="en-US" w:bidi="ar-SA"/>
      </w:rPr>
    </w:lvl>
    <w:lvl w:ilvl="1" w:tplc="C0BA196A">
      <w:numFmt w:val="bullet"/>
      <w:lvlText w:val="•"/>
      <w:lvlJc w:val="left"/>
      <w:pPr>
        <w:ind w:left="2687" w:hanging="720"/>
      </w:pPr>
      <w:rPr>
        <w:rFonts w:hint="default"/>
        <w:lang w:val="fr-FR" w:eastAsia="en-US" w:bidi="ar-SA"/>
      </w:rPr>
    </w:lvl>
    <w:lvl w:ilvl="2" w:tplc="3D42755A">
      <w:numFmt w:val="bullet"/>
      <w:lvlText w:val="•"/>
      <w:lvlJc w:val="left"/>
      <w:pPr>
        <w:ind w:left="3574" w:hanging="720"/>
      </w:pPr>
      <w:rPr>
        <w:rFonts w:hint="default"/>
        <w:lang w:val="fr-FR" w:eastAsia="en-US" w:bidi="ar-SA"/>
      </w:rPr>
    </w:lvl>
    <w:lvl w:ilvl="3" w:tplc="A220568C">
      <w:numFmt w:val="bullet"/>
      <w:lvlText w:val="•"/>
      <w:lvlJc w:val="left"/>
      <w:pPr>
        <w:ind w:left="4461" w:hanging="720"/>
      </w:pPr>
      <w:rPr>
        <w:rFonts w:hint="default"/>
        <w:lang w:val="fr-FR" w:eastAsia="en-US" w:bidi="ar-SA"/>
      </w:rPr>
    </w:lvl>
    <w:lvl w:ilvl="4" w:tplc="CC7AF1A0">
      <w:numFmt w:val="bullet"/>
      <w:lvlText w:val="•"/>
      <w:lvlJc w:val="left"/>
      <w:pPr>
        <w:ind w:left="5348" w:hanging="720"/>
      </w:pPr>
      <w:rPr>
        <w:rFonts w:hint="default"/>
        <w:lang w:val="fr-FR" w:eastAsia="en-US" w:bidi="ar-SA"/>
      </w:rPr>
    </w:lvl>
    <w:lvl w:ilvl="5" w:tplc="128CFEC0">
      <w:numFmt w:val="bullet"/>
      <w:lvlText w:val="•"/>
      <w:lvlJc w:val="left"/>
      <w:pPr>
        <w:ind w:left="6235" w:hanging="720"/>
      </w:pPr>
      <w:rPr>
        <w:rFonts w:hint="default"/>
        <w:lang w:val="fr-FR" w:eastAsia="en-US" w:bidi="ar-SA"/>
      </w:rPr>
    </w:lvl>
    <w:lvl w:ilvl="6" w:tplc="D1264272">
      <w:numFmt w:val="bullet"/>
      <w:lvlText w:val="•"/>
      <w:lvlJc w:val="left"/>
      <w:pPr>
        <w:ind w:left="7122" w:hanging="720"/>
      </w:pPr>
      <w:rPr>
        <w:rFonts w:hint="default"/>
        <w:lang w:val="fr-FR" w:eastAsia="en-US" w:bidi="ar-SA"/>
      </w:rPr>
    </w:lvl>
    <w:lvl w:ilvl="7" w:tplc="9774ED28">
      <w:numFmt w:val="bullet"/>
      <w:lvlText w:val="•"/>
      <w:lvlJc w:val="left"/>
      <w:pPr>
        <w:ind w:left="8009" w:hanging="720"/>
      </w:pPr>
      <w:rPr>
        <w:rFonts w:hint="default"/>
        <w:lang w:val="fr-FR" w:eastAsia="en-US" w:bidi="ar-SA"/>
      </w:rPr>
    </w:lvl>
    <w:lvl w:ilvl="8" w:tplc="AE04552A">
      <w:numFmt w:val="bullet"/>
      <w:lvlText w:val="•"/>
      <w:lvlJc w:val="left"/>
      <w:pPr>
        <w:ind w:left="8896" w:hanging="720"/>
      </w:pPr>
      <w:rPr>
        <w:rFonts w:hint="default"/>
        <w:lang w:val="fr-FR" w:eastAsia="en-US" w:bidi="ar-SA"/>
      </w:rPr>
    </w:lvl>
  </w:abstractNum>
  <w:abstractNum w:abstractNumId="33" w15:restartNumberingAfterBreak="0">
    <w:nsid w:val="48565DF5"/>
    <w:multiLevelType w:val="hybridMultilevel"/>
    <w:tmpl w:val="9C08736E"/>
    <w:lvl w:ilvl="0" w:tplc="040C0001">
      <w:start w:val="1"/>
      <w:numFmt w:val="bullet"/>
      <w:lvlText w:val=""/>
      <w:lvlJc w:val="left"/>
      <w:pPr>
        <w:ind w:left="2655" w:hanging="360"/>
      </w:pPr>
      <w:rPr>
        <w:rFonts w:ascii="Symbol" w:hAnsi="Symbol" w:hint="default"/>
      </w:rPr>
    </w:lvl>
    <w:lvl w:ilvl="1" w:tplc="040C0003" w:tentative="1">
      <w:start w:val="1"/>
      <w:numFmt w:val="bullet"/>
      <w:lvlText w:val="o"/>
      <w:lvlJc w:val="left"/>
      <w:pPr>
        <w:ind w:left="3375" w:hanging="360"/>
      </w:pPr>
      <w:rPr>
        <w:rFonts w:ascii="Courier New" w:hAnsi="Courier New" w:cs="Courier New" w:hint="default"/>
      </w:rPr>
    </w:lvl>
    <w:lvl w:ilvl="2" w:tplc="040C0005" w:tentative="1">
      <w:start w:val="1"/>
      <w:numFmt w:val="bullet"/>
      <w:lvlText w:val=""/>
      <w:lvlJc w:val="left"/>
      <w:pPr>
        <w:ind w:left="4095" w:hanging="360"/>
      </w:pPr>
      <w:rPr>
        <w:rFonts w:ascii="Wingdings" w:hAnsi="Wingdings" w:hint="default"/>
      </w:rPr>
    </w:lvl>
    <w:lvl w:ilvl="3" w:tplc="040C0001" w:tentative="1">
      <w:start w:val="1"/>
      <w:numFmt w:val="bullet"/>
      <w:lvlText w:val=""/>
      <w:lvlJc w:val="left"/>
      <w:pPr>
        <w:ind w:left="4815" w:hanging="360"/>
      </w:pPr>
      <w:rPr>
        <w:rFonts w:ascii="Symbol" w:hAnsi="Symbol" w:hint="default"/>
      </w:rPr>
    </w:lvl>
    <w:lvl w:ilvl="4" w:tplc="040C0003" w:tentative="1">
      <w:start w:val="1"/>
      <w:numFmt w:val="bullet"/>
      <w:lvlText w:val="o"/>
      <w:lvlJc w:val="left"/>
      <w:pPr>
        <w:ind w:left="5535" w:hanging="360"/>
      </w:pPr>
      <w:rPr>
        <w:rFonts w:ascii="Courier New" w:hAnsi="Courier New" w:cs="Courier New" w:hint="default"/>
      </w:rPr>
    </w:lvl>
    <w:lvl w:ilvl="5" w:tplc="040C0005" w:tentative="1">
      <w:start w:val="1"/>
      <w:numFmt w:val="bullet"/>
      <w:lvlText w:val=""/>
      <w:lvlJc w:val="left"/>
      <w:pPr>
        <w:ind w:left="6255" w:hanging="360"/>
      </w:pPr>
      <w:rPr>
        <w:rFonts w:ascii="Wingdings" w:hAnsi="Wingdings" w:hint="default"/>
      </w:rPr>
    </w:lvl>
    <w:lvl w:ilvl="6" w:tplc="040C0001" w:tentative="1">
      <w:start w:val="1"/>
      <w:numFmt w:val="bullet"/>
      <w:lvlText w:val=""/>
      <w:lvlJc w:val="left"/>
      <w:pPr>
        <w:ind w:left="6975" w:hanging="360"/>
      </w:pPr>
      <w:rPr>
        <w:rFonts w:ascii="Symbol" w:hAnsi="Symbol" w:hint="default"/>
      </w:rPr>
    </w:lvl>
    <w:lvl w:ilvl="7" w:tplc="040C0003" w:tentative="1">
      <w:start w:val="1"/>
      <w:numFmt w:val="bullet"/>
      <w:lvlText w:val="o"/>
      <w:lvlJc w:val="left"/>
      <w:pPr>
        <w:ind w:left="7695" w:hanging="360"/>
      </w:pPr>
      <w:rPr>
        <w:rFonts w:ascii="Courier New" w:hAnsi="Courier New" w:cs="Courier New" w:hint="default"/>
      </w:rPr>
    </w:lvl>
    <w:lvl w:ilvl="8" w:tplc="040C0005" w:tentative="1">
      <w:start w:val="1"/>
      <w:numFmt w:val="bullet"/>
      <w:lvlText w:val=""/>
      <w:lvlJc w:val="left"/>
      <w:pPr>
        <w:ind w:left="8415" w:hanging="360"/>
      </w:pPr>
      <w:rPr>
        <w:rFonts w:ascii="Wingdings" w:hAnsi="Wingdings" w:hint="default"/>
      </w:rPr>
    </w:lvl>
  </w:abstractNum>
  <w:abstractNum w:abstractNumId="34" w15:restartNumberingAfterBreak="0">
    <w:nsid w:val="489366A7"/>
    <w:multiLevelType w:val="hybridMultilevel"/>
    <w:tmpl w:val="67D02C3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5" w15:restartNumberingAfterBreak="0">
    <w:nsid w:val="4BC207F0"/>
    <w:multiLevelType w:val="multilevel"/>
    <w:tmpl w:val="4F3E7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EA254C7"/>
    <w:multiLevelType w:val="hybridMultilevel"/>
    <w:tmpl w:val="32D45ED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7" w15:restartNumberingAfterBreak="0">
    <w:nsid w:val="4EEC0306"/>
    <w:multiLevelType w:val="hybridMultilevel"/>
    <w:tmpl w:val="415A8198"/>
    <w:lvl w:ilvl="0" w:tplc="4882F960">
      <w:numFmt w:val="bullet"/>
      <w:lvlText w:val="-"/>
      <w:lvlJc w:val="left"/>
      <w:pPr>
        <w:ind w:left="1068" w:hanging="360"/>
      </w:pPr>
      <w:rPr>
        <w:rFonts w:ascii="Times New Roman" w:eastAsiaTheme="minorHAnsi" w:hAnsi="Times New Roman" w:cs="Times New Roman" w:hint="default"/>
      </w:rPr>
    </w:lvl>
    <w:lvl w:ilvl="1" w:tplc="040C0003">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38" w15:restartNumberingAfterBreak="0">
    <w:nsid w:val="4F6A5B55"/>
    <w:multiLevelType w:val="hybridMultilevel"/>
    <w:tmpl w:val="0FDA8C44"/>
    <w:lvl w:ilvl="0" w:tplc="040C0001">
      <w:start w:val="1"/>
      <w:numFmt w:val="bullet"/>
      <w:lvlText w:val=""/>
      <w:lvlJc w:val="left"/>
      <w:pPr>
        <w:ind w:left="2655" w:hanging="360"/>
      </w:pPr>
      <w:rPr>
        <w:rFonts w:ascii="Symbol" w:hAnsi="Symbol" w:hint="default"/>
      </w:rPr>
    </w:lvl>
    <w:lvl w:ilvl="1" w:tplc="040C0003" w:tentative="1">
      <w:start w:val="1"/>
      <w:numFmt w:val="bullet"/>
      <w:lvlText w:val="o"/>
      <w:lvlJc w:val="left"/>
      <w:pPr>
        <w:ind w:left="3375" w:hanging="360"/>
      </w:pPr>
      <w:rPr>
        <w:rFonts w:ascii="Courier New" w:hAnsi="Courier New" w:cs="Courier New" w:hint="default"/>
      </w:rPr>
    </w:lvl>
    <w:lvl w:ilvl="2" w:tplc="040C0005" w:tentative="1">
      <w:start w:val="1"/>
      <w:numFmt w:val="bullet"/>
      <w:lvlText w:val=""/>
      <w:lvlJc w:val="left"/>
      <w:pPr>
        <w:ind w:left="4095" w:hanging="360"/>
      </w:pPr>
      <w:rPr>
        <w:rFonts w:ascii="Wingdings" w:hAnsi="Wingdings" w:hint="default"/>
      </w:rPr>
    </w:lvl>
    <w:lvl w:ilvl="3" w:tplc="040C0001" w:tentative="1">
      <w:start w:val="1"/>
      <w:numFmt w:val="bullet"/>
      <w:lvlText w:val=""/>
      <w:lvlJc w:val="left"/>
      <w:pPr>
        <w:ind w:left="4815" w:hanging="360"/>
      </w:pPr>
      <w:rPr>
        <w:rFonts w:ascii="Symbol" w:hAnsi="Symbol" w:hint="default"/>
      </w:rPr>
    </w:lvl>
    <w:lvl w:ilvl="4" w:tplc="040C0003" w:tentative="1">
      <w:start w:val="1"/>
      <w:numFmt w:val="bullet"/>
      <w:lvlText w:val="o"/>
      <w:lvlJc w:val="left"/>
      <w:pPr>
        <w:ind w:left="5535" w:hanging="360"/>
      </w:pPr>
      <w:rPr>
        <w:rFonts w:ascii="Courier New" w:hAnsi="Courier New" w:cs="Courier New" w:hint="default"/>
      </w:rPr>
    </w:lvl>
    <w:lvl w:ilvl="5" w:tplc="040C0005" w:tentative="1">
      <w:start w:val="1"/>
      <w:numFmt w:val="bullet"/>
      <w:lvlText w:val=""/>
      <w:lvlJc w:val="left"/>
      <w:pPr>
        <w:ind w:left="6255" w:hanging="360"/>
      </w:pPr>
      <w:rPr>
        <w:rFonts w:ascii="Wingdings" w:hAnsi="Wingdings" w:hint="default"/>
      </w:rPr>
    </w:lvl>
    <w:lvl w:ilvl="6" w:tplc="040C0001" w:tentative="1">
      <w:start w:val="1"/>
      <w:numFmt w:val="bullet"/>
      <w:lvlText w:val=""/>
      <w:lvlJc w:val="left"/>
      <w:pPr>
        <w:ind w:left="6975" w:hanging="360"/>
      </w:pPr>
      <w:rPr>
        <w:rFonts w:ascii="Symbol" w:hAnsi="Symbol" w:hint="default"/>
      </w:rPr>
    </w:lvl>
    <w:lvl w:ilvl="7" w:tplc="040C0003" w:tentative="1">
      <w:start w:val="1"/>
      <w:numFmt w:val="bullet"/>
      <w:lvlText w:val="o"/>
      <w:lvlJc w:val="left"/>
      <w:pPr>
        <w:ind w:left="7695" w:hanging="360"/>
      </w:pPr>
      <w:rPr>
        <w:rFonts w:ascii="Courier New" w:hAnsi="Courier New" w:cs="Courier New" w:hint="default"/>
      </w:rPr>
    </w:lvl>
    <w:lvl w:ilvl="8" w:tplc="040C0005" w:tentative="1">
      <w:start w:val="1"/>
      <w:numFmt w:val="bullet"/>
      <w:lvlText w:val=""/>
      <w:lvlJc w:val="left"/>
      <w:pPr>
        <w:ind w:left="8415" w:hanging="360"/>
      </w:pPr>
      <w:rPr>
        <w:rFonts w:ascii="Wingdings" w:hAnsi="Wingdings" w:hint="default"/>
      </w:rPr>
    </w:lvl>
  </w:abstractNum>
  <w:abstractNum w:abstractNumId="39" w15:restartNumberingAfterBreak="0">
    <w:nsid w:val="4FE077D0"/>
    <w:multiLevelType w:val="multilevel"/>
    <w:tmpl w:val="9D8EC8E0"/>
    <w:lvl w:ilvl="0">
      <w:start w:val="1"/>
      <w:numFmt w:val="decimal"/>
      <w:pStyle w:val="Titre5"/>
      <w:lvlText w:val="%1."/>
      <w:lvlJc w:val="left"/>
      <w:pPr>
        <w:ind w:left="1069" w:hanging="360"/>
      </w:pPr>
      <w:rPr>
        <w:b/>
        <w:bCs/>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isLgl/>
      <w:lvlText w:val="%1.%2"/>
      <w:lvlJc w:val="left"/>
      <w:pPr>
        <w:ind w:left="2376" w:hanging="720"/>
      </w:pPr>
      <w:rPr>
        <w:rFonts w:hint="default"/>
      </w:rPr>
    </w:lvl>
    <w:lvl w:ilvl="2">
      <w:start w:val="1"/>
      <w:numFmt w:val="decimal"/>
      <w:isLgl/>
      <w:lvlText w:val="%1.%2.%3"/>
      <w:lvlJc w:val="left"/>
      <w:pPr>
        <w:ind w:left="3683" w:hanging="1080"/>
      </w:pPr>
      <w:rPr>
        <w:rFonts w:hint="default"/>
      </w:rPr>
    </w:lvl>
    <w:lvl w:ilvl="3">
      <w:start w:val="1"/>
      <w:numFmt w:val="decimal"/>
      <w:isLgl/>
      <w:lvlText w:val="%1.%2.%3.%4"/>
      <w:lvlJc w:val="left"/>
      <w:pPr>
        <w:ind w:left="4630" w:hanging="1080"/>
      </w:pPr>
      <w:rPr>
        <w:rFonts w:hint="default"/>
      </w:rPr>
    </w:lvl>
    <w:lvl w:ilvl="4">
      <w:start w:val="1"/>
      <w:numFmt w:val="decimal"/>
      <w:isLgl/>
      <w:lvlText w:val="%1.%2.%3.%4.%5"/>
      <w:lvlJc w:val="left"/>
      <w:pPr>
        <w:ind w:left="5937" w:hanging="1440"/>
      </w:pPr>
      <w:rPr>
        <w:rFonts w:hint="default"/>
      </w:rPr>
    </w:lvl>
    <w:lvl w:ilvl="5">
      <w:start w:val="1"/>
      <w:numFmt w:val="decimal"/>
      <w:isLgl/>
      <w:lvlText w:val="%1.%2.%3.%4.%5.%6"/>
      <w:lvlJc w:val="left"/>
      <w:pPr>
        <w:ind w:left="7244" w:hanging="1800"/>
      </w:pPr>
      <w:rPr>
        <w:rFonts w:hint="default"/>
      </w:rPr>
    </w:lvl>
    <w:lvl w:ilvl="6">
      <w:start w:val="1"/>
      <w:numFmt w:val="decimal"/>
      <w:isLgl/>
      <w:lvlText w:val="%1.%2.%3.%4.%5.%6.%7"/>
      <w:lvlJc w:val="left"/>
      <w:pPr>
        <w:ind w:left="8551" w:hanging="2160"/>
      </w:pPr>
      <w:rPr>
        <w:rFonts w:hint="default"/>
      </w:rPr>
    </w:lvl>
    <w:lvl w:ilvl="7">
      <w:start w:val="1"/>
      <w:numFmt w:val="decimal"/>
      <w:isLgl/>
      <w:lvlText w:val="%1.%2.%3.%4.%5.%6.%7.%8"/>
      <w:lvlJc w:val="left"/>
      <w:pPr>
        <w:ind w:left="9498" w:hanging="2160"/>
      </w:pPr>
      <w:rPr>
        <w:rFonts w:hint="default"/>
      </w:rPr>
    </w:lvl>
    <w:lvl w:ilvl="8">
      <w:start w:val="1"/>
      <w:numFmt w:val="decimal"/>
      <w:isLgl/>
      <w:lvlText w:val="%1.%2.%3.%4.%5.%6.%7.%8.%9"/>
      <w:lvlJc w:val="left"/>
      <w:pPr>
        <w:ind w:left="10805" w:hanging="2520"/>
      </w:pPr>
      <w:rPr>
        <w:rFonts w:hint="default"/>
      </w:rPr>
    </w:lvl>
  </w:abstractNum>
  <w:abstractNum w:abstractNumId="40" w15:restartNumberingAfterBreak="0">
    <w:nsid w:val="50521BE2"/>
    <w:multiLevelType w:val="hybridMultilevel"/>
    <w:tmpl w:val="22CEBBB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1" w15:restartNumberingAfterBreak="0">
    <w:nsid w:val="529D0D63"/>
    <w:multiLevelType w:val="multilevel"/>
    <w:tmpl w:val="800E1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2DE50EE"/>
    <w:multiLevelType w:val="hybridMultilevel"/>
    <w:tmpl w:val="ECE46696"/>
    <w:lvl w:ilvl="0" w:tplc="F564A266">
      <w:numFmt w:val="bullet"/>
      <w:lvlText w:val=""/>
      <w:lvlJc w:val="left"/>
      <w:pPr>
        <w:ind w:left="849" w:hanging="251"/>
      </w:pPr>
      <w:rPr>
        <w:rFonts w:ascii="Symbol" w:eastAsia="Symbol" w:hAnsi="Symbol" w:cs="Symbol" w:hint="default"/>
        <w:b w:val="0"/>
        <w:bCs w:val="0"/>
        <w:i w:val="0"/>
        <w:iCs w:val="0"/>
        <w:spacing w:val="0"/>
        <w:w w:val="99"/>
        <w:sz w:val="22"/>
        <w:szCs w:val="22"/>
        <w:lang w:val="fr-FR" w:eastAsia="en-US" w:bidi="ar-SA"/>
      </w:rPr>
    </w:lvl>
    <w:lvl w:ilvl="1" w:tplc="B7EC73FC">
      <w:numFmt w:val="bullet"/>
      <w:lvlText w:val="•"/>
      <w:lvlJc w:val="left"/>
      <w:pPr>
        <w:ind w:left="1052" w:hanging="251"/>
      </w:pPr>
      <w:rPr>
        <w:lang w:val="fr-FR" w:eastAsia="en-US" w:bidi="ar-SA"/>
      </w:rPr>
    </w:lvl>
    <w:lvl w:ilvl="2" w:tplc="0E74FCF6">
      <w:numFmt w:val="bullet"/>
      <w:lvlText w:val="•"/>
      <w:lvlJc w:val="left"/>
      <w:pPr>
        <w:ind w:left="1264" w:hanging="251"/>
      </w:pPr>
      <w:rPr>
        <w:lang w:val="fr-FR" w:eastAsia="en-US" w:bidi="ar-SA"/>
      </w:rPr>
    </w:lvl>
    <w:lvl w:ilvl="3" w:tplc="0B3A078A">
      <w:numFmt w:val="bullet"/>
      <w:lvlText w:val="•"/>
      <w:lvlJc w:val="left"/>
      <w:pPr>
        <w:ind w:left="1476" w:hanging="251"/>
      </w:pPr>
      <w:rPr>
        <w:lang w:val="fr-FR" w:eastAsia="en-US" w:bidi="ar-SA"/>
      </w:rPr>
    </w:lvl>
    <w:lvl w:ilvl="4" w:tplc="A5A2A0D2">
      <w:numFmt w:val="bullet"/>
      <w:lvlText w:val="•"/>
      <w:lvlJc w:val="left"/>
      <w:pPr>
        <w:ind w:left="1688" w:hanging="251"/>
      </w:pPr>
      <w:rPr>
        <w:lang w:val="fr-FR" w:eastAsia="en-US" w:bidi="ar-SA"/>
      </w:rPr>
    </w:lvl>
    <w:lvl w:ilvl="5" w:tplc="1A325C20">
      <w:numFmt w:val="bullet"/>
      <w:lvlText w:val="•"/>
      <w:lvlJc w:val="left"/>
      <w:pPr>
        <w:ind w:left="1900" w:hanging="251"/>
      </w:pPr>
      <w:rPr>
        <w:lang w:val="fr-FR" w:eastAsia="en-US" w:bidi="ar-SA"/>
      </w:rPr>
    </w:lvl>
    <w:lvl w:ilvl="6" w:tplc="8FC2A208">
      <w:numFmt w:val="bullet"/>
      <w:lvlText w:val="•"/>
      <w:lvlJc w:val="left"/>
      <w:pPr>
        <w:ind w:left="2112" w:hanging="251"/>
      </w:pPr>
      <w:rPr>
        <w:lang w:val="fr-FR" w:eastAsia="en-US" w:bidi="ar-SA"/>
      </w:rPr>
    </w:lvl>
    <w:lvl w:ilvl="7" w:tplc="8F86AC2A">
      <w:numFmt w:val="bullet"/>
      <w:lvlText w:val="•"/>
      <w:lvlJc w:val="left"/>
      <w:pPr>
        <w:ind w:left="2324" w:hanging="251"/>
      </w:pPr>
      <w:rPr>
        <w:lang w:val="fr-FR" w:eastAsia="en-US" w:bidi="ar-SA"/>
      </w:rPr>
    </w:lvl>
    <w:lvl w:ilvl="8" w:tplc="789A4224">
      <w:numFmt w:val="bullet"/>
      <w:lvlText w:val="•"/>
      <w:lvlJc w:val="left"/>
      <w:pPr>
        <w:ind w:left="2536" w:hanging="251"/>
      </w:pPr>
      <w:rPr>
        <w:lang w:val="fr-FR" w:eastAsia="en-US" w:bidi="ar-SA"/>
      </w:rPr>
    </w:lvl>
  </w:abstractNum>
  <w:abstractNum w:abstractNumId="43" w15:restartNumberingAfterBreak="0">
    <w:nsid w:val="543A7AE2"/>
    <w:multiLevelType w:val="hybridMultilevel"/>
    <w:tmpl w:val="EE468C5A"/>
    <w:lvl w:ilvl="0" w:tplc="4882F960">
      <w:numFmt w:val="bullet"/>
      <w:lvlText w:val="-"/>
      <w:lvlJc w:val="left"/>
      <w:pPr>
        <w:ind w:left="1068" w:hanging="360"/>
      </w:pPr>
      <w:rPr>
        <w:rFonts w:ascii="Times New Roman" w:eastAsiaTheme="minorHAnsi" w:hAnsi="Times New Roman" w:cs="Times New Roman" w:hint="default"/>
      </w:rPr>
    </w:lvl>
    <w:lvl w:ilvl="1" w:tplc="040C0003">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44" w15:restartNumberingAfterBreak="0">
    <w:nsid w:val="54D950CC"/>
    <w:multiLevelType w:val="hybridMultilevel"/>
    <w:tmpl w:val="8C840DD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5" w15:restartNumberingAfterBreak="0">
    <w:nsid w:val="582A7EF3"/>
    <w:multiLevelType w:val="hybridMultilevel"/>
    <w:tmpl w:val="100033F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6" w15:restartNumberingAfterBreak="0">
    <w:nsid w:val="5C39531D"/>
    <w:multiLevelType w:val="hybridMultilevel"/>
    <w:tmpl w:val="A8D22088"/>
    <w:lvl w:ilvl="0" w:tplc="7FBAA172">
      <w:numFmt w:val="bullet"/>
      <w:lvlText w:val=""/>
      <w:lvlJc w:val="left"/>
      <w:pPr>
        <w:ind w:left="844" w:hanging="246"/>
      </w:pPr>
      <w:rPr>
        <w:rFonts w:ascii="Symbol" w:eastAsia="Symbol" w:hAnsi="Symbol" w:cs="Symbol" w:hint="default"/>
        <w:b w:val="0"/>
        <w:bCs w:val="0"/>
        <w:i w:val="0"/>
        <w:iCs w:val="0"/>
        <w:spacing w:val="0"/>
        <w:w w:val="99"/>
        <w:sz w:val="22"/>
        <w:szCs w:val="22"/>
        <w:lang w:val="fr-FR" w:eastAsia="en-US" w:bidi="ar-SA"/>
      </w:rPr>
    </w:lvl>
    <w:lvl w:ilvl="1" w:tplc="3DE62ECE">
      <w:numFmt w:val="bullet"/>
      <w:lvlText w:val="•"/>
      <w:lvlJc w:val="left"/>
      <w:pPr>
        <w:ind w:left="1052" w:hanging="246"/>
      </w:pPr>
      <w:rPr>
        <w:lang w:val="fr-FR" w:eastAsia="en-US" w:bidi="ar-SA"/>
      </w:rPr>
    </w:lvl>
    <w:lvl w:ilvl="2" w:tplc="FEBC0B8C">
      <w:numFmt w:val="bullet"/>
      <w:lvlText w:val="•"/>
      <w:lvlJc w:val="left"/>
      <w:pPr>
        <w:ind w:left="1264" w:hanging="246"/>
      </w:pPr>
      <w:rPr>
        <w:lang w:val="fr-FR" w:eastAsia="en-US" w:bidi="ar-SA"/>
      </w:rPr>
    </w:lvl>
    <w:lvl w:ilvl="3" w:tplc="75A605CA">
      <w:numFmt w:val="bullet"/>
      <w:lvlText w:val="•"/>
      <w:lvlJc w:val="left"/>
      <w:pPr>
        <w:ind w:left="1476" w:hanging="246"/>
      </w:pPr>
      <w:rPr>
        <w:lang w:val="fr-FR" w:eastAsia="en-US" w:bidi="ar-SA"/>
      </w:rPr>
    </w:lvl>
    <w:lvl w:ilvl="4" w:tplc="86223DE8">
      <w:numFmt w:val="bullet"/>
      <w:lvlText w:val="•"/>
      <w:lvlJc w:val="left"/>
      <w:pPr>
        <w:ind w:left="1688" w:hanging="246"/>
      </w:pPr>
      <w:rPr>
        <w:lang w:val="fr-FR" w:eastAsia="en-US" w:bidi="ar-SA"/>
      </w:rPr>
    </w:lvl>
    <w:lvl w:ilvl="5" w:tplc="382C5D6A">
      <w:numFmt w:val="bullet"/>
      <w:lvlText w:val="•"/>
      <w:lvlJc w:val="left"/>
      <w:pPr>
        <w:ind w:left="1900" w:hanging="246"/>
      </w:pPr>
      <w:rPr>
        <w:lang w:val="fr-FR" w:eastAsia="en-US" w:bidi="ar-SA"/>
      </w:rPr>
    </w:lvl>
    <w:lvl w:ilvl="6" w:tplc="3780A716">
      <w:numFmt w:val="bullet"/>
      <w:lvlText w:val="•"/>
      <w:lvlJc w:val="left"/>
      <w:pPr>
        <w:ind w:left="2112" w:hanging="246"/>
      </w:pPr>
      <w:rPr>
        <w:lang w:val="fr-FR" w:eastAsia="en-US" w:bidi="ar-SA"/>
      </w:rPr>
    </w:lvl>
    <w:lvl w:ilvl="7" w:tplc="697C34FA">
      <w:numFmt w:val="bullet"/>
      <w:lvlText w:val="•"/>
      <w:lvlJc w:val="left"/>
      <w:pPr>
        <w:ind w:left="2324" w:hanging="246"/>
      </w:pPr>
      <w:rPr>
        <w:lang w:val="fr-FR" w:eastAsia="en-US" w:bidi="ar-SA"/>
      </w:rPr>
    </w:lvl>
    <w:lvl w:ilvl="8" w:tplc="A3C43940">
      <w:numFmt w:val="bullet"/>
      <w:lvlText w:val="•"/>
      <w:lvlJc w:val="left"/>
      <w:pPr>
        <w:ind w:left="2536" w:hanging="246"/>
      </w:pPr>
      <w:rPr>
        <w:lang w:val="fr-FR" w:eastAsia="en-US" w:bidi="ar-SA"/>
      </w:rPr>
    </w:lvl>
  </w:abstractNum>
  <w:abstractNum w:abstractNumId="47" w15:restartNumberingAfterBreak="0">
    <w:nsid w:val="5C847899"/>
    <w:multiLevelType w:val="hybridMultilevel"/>
    <w:tmpl w:val="EF8C66E6"/>
    <w:lvl w:ilvl="0" w:tplc="FAAAE256">
      <w:start w:val="2"/>
      <w:numFmt w:val="bullet"/>
      <w:lvlText w:val=""/>
      <w:lvlJc w:val="left"/>
      <w:pPr>
        <w:ind w:left="2217" w:hanging="360"/>
      </w:pPr>
      <w:rPr>
        <w:rFonts w:ascii="Symbol" w:eastAsia="Calibri Light" w:hAnsi="Symbol" w:cs="Calibri Light" w:hint="default"/>
        <w:w w:val="100"/>
        <w:sz w:val="24"/>
        <w:szCs w:val="24"/>
        <w:lang w:val="fr-FR" w:eastAsia="en-US" w:bidi="ar-SA"/>
      </w:rPr>
    </w:lvl>
    <w:lvl w:ilvl="1" w:tplc="040C0003" w:tentative="1">
      <w:start w:val="1"/>
      <w:numFmt w:val="bullet"/>
      <w:lvlText w:val="o"/>
      <w:lvlJc w:val="left"/>
      <w:pPr>
        <w:ind w:left="2937" w:hanging="360"/>
      </w:pPr>
      <w:rPr>
        <w:rFonts w:ascii="Courier New" w:hAnsi="Courier New" w:cs="Courier New" w:hint="default"/>
      </w:rPr>
    </w:lvl>
    <w:lvl w:ilvl="2" w:tplc="040C0005" w:tentative="1">
      <w:start w:val="1"/>
      <w:numFmt w:val="bullet"/>
      <w:lvlText w:val=""/>
      <w:lvlJc w:val="left"/>
      <w:pPr>
        <w:ind w:left="3657" w:hanging="360"/>
      </w:pPr>
      <w:rPr>
        <w:rFonts w:ascii="Wingdings" w:hAnsi="Wingdings" w:hint="default"/>
      </w:rPr>
    </w:lvl>
    <w:lvl w:ilvl="3" w:tplc="040C0001" w:tentative="1">
      <w:start w:val="1"/>
      <w:numFmt w:val="bullet"/>
      <w:lvlText w:val=""/>
      <w:lvlJc w:val="left"/>
      <w:pPr>
        <w:ind w:left="4377" w:hanging="360"/>
      </w:pPr>
      <w:rPr>
        <w:rFonts w:ascii="Symbol" w:hAnsi="Symbol" w:hint="default"/>
      </w:rPr>
    </w:lvl>
    <w:lvl w:ilvl="4" w:tplc="040C0003" w:tentative="1">
      <w:start w:val="1"/>
      <w:numFmt w:val="bullet"/>
      <w:lvlText w:val="o"/>
      <w:lvlJc w:val="left"/>
      <w:pPr>
        <w:ind w:left="5097" w:hanging="360"/>
      </w:pPr>
      <w:rPr>
        <w:rFonts w:ascii="Courier New" w:hAnsi="Courier New" w:cs="Courier New" w:hint="default"/>
      </w:rPr>
    </w:lvl>
    <w:lvl w:ilvl="5" w:tplc="040C0005" w:tentative="1">
      <w:start w:val="1"/>
      <w:numFmt w:val="bullet"/>
      <w:lvlText w:val=""/>
      <w:lvlJc w:val="left"/>
      <w:pPr>
        <w:ind w:left="5817" w:hanging="360"/>
      </w:pPr>
      <w:rPr>
        <w:rFonts w:ascii="Wingdings" w:hAnsi="Wingdings" w:hint="default"/>
      </w:rPr>
    </w:lvl>
    <w:lvl w:ilvl="6" w:tplc="040C0001" w:tentative="1">
      <w:start w:val="1"/>
      <w:numFmt w:val="bullet"/>
      <w:lvlText w:val=""/>
      <w:lvlJc w:val="left"/>
      <w:pPr>
        <w:ind w:left="6537" w:hanging="360"/>
      </w:pPr>
      <w:rPr>
        <w:rFonts w:ascii="Symbol" w:hAnsi="Symbol" w:hint="default"/>
      </w:rPr>
    </w:lvl>
    <w:lvl w:ilvl="7" w:tplc="040C0003" w:tentative="1">
      <w:start w:val="1"/>
      <w:numFmt w:val="bullet"/>
      <w:lvlText w:val="o"/>
      <w:lvlJc w:val="left"/>
      <w:pPr>
        <w:ind w:left="7257" w:hanging="360"/>
      </w:pPr>
      <w:rPr>
        <w:rFonts w:ascii="Courier New" w:hAnsi="Courier New" w:cs="Courier New" w:hint="default"/>
      </w:rPr>
    </w:lvl>
    <w:lvl w:ilvl="8" w:tplc="040C0005" w:tentative="1">
      <w:start w:val="1"/>
      <w:numFmt w:val="bullet"/>
      <w:lvlText w:val=""/>
      <w:lvlJc w:val="left"/>
      <w:pPr>
        <w:ind w:left="7977" w:hanging="360"/>
      </w:pPr>
      <w:rPr>
        <w:rFonts w:ascii="Wingdings" w:hAnsi="Wingdings" w:hint="default"/>
      </w:rPr>
    </w:lvl>
  </w:abstractNum>
  <w:abstractNum w:abstractNumId="48" w15:restartNumberingAfterBreak="0">
    <w:nsid w:val="5EBC2659"/>
    <w:multiLevelType w:val="multilevel"/>
    <w:tmpl w:val="9986215A"/>
    <w:lvl w:ilvl="0">
      <w:start w:val="1"/>
      <w:numFmt w:val="decimal"/>
      <w:lvlText w:val="%1."/>
      <w:lvlJc w:val="left"/>
      <w:pPr>
        <w:tabs>
          <w:tab w:val="num" w:pos="720"/>
        </w:tabs>
        <w:ind w:left="720" w:hanging="360"/>
      </w:pPr>
    </w:lvl>
    <w:lvl w:ilvl="1">
      <w:start w:val="1"/>
      <w:numFmt w:val="low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60EC786C"/>
    <w:multiLevelType w:val="hybridMultilevel"/>
    <w:tmpl w:val="505EA97E"/>
    <w:lvl w:ilvl="0" w:tplc="040C0001">
      <w:start w:val="1"/>
      <w:numFmt w:val="bullet"/>
      <w:lvlText w:val=""/>
      <w:lvlJc w:val="left"/>
      <w:pPr>
        <w:ind w:left="2655" w:hanging="360"/>
      </w:pPr>
      <w:rPr>
        <w:rFonts w:ascii="Symbol" w:hAnsi="Symbol" w:hint="default"/>
      </w:rPr>
    </w:lvl>
    <w:lvl w:ilvl="1" w:tplc="040C0003" w:tentative="1">
      <w:start w:val="1"/>
      <w:numFmt w:val="bullet"/>
      <w:lvlText w:val="o"/>
      <w:lvlJc w:val="left"/>
      <w:pPr>
        <w:ind w:left="3375" w:hanging="360"/>
      </w:pPr>
      <w:rPr>
        <w:rFonts w:ascii="Courier New" w:hAnsi="Courier New" w:cs="Courier New" w:hint="default"/>
      </w:rPr>
    </w:lvl>
    <w:lvl w:ilvl="2" w:tplc="040C0005" w:tentative="1">
      <w:start w:val="1"/>
      <w:numFmt w:val="bullet"/>
      <w:lvlText w:val=""/>
      <w:lvlJc w:val="left"/>
      <w:pPr>
        <w:ind w:left="4095" w:hanging="360"/>
      </w:pPr>
      <w:rPr>
        <w:rFonts w:ascii="Wingdings" w:hAnsi="Wingdings" w:hint="default"/>
      </w:rPr>
    </w:lvl>
    <w:lvl w:ilvl="3" w:tplc="040C0001" w:tentative="1">
      <w:start w:val="1"/>
      <w:numFmt w:val="bullet"/>
      <w:lvlText w:val=""/>
      <w:lvlJc w:val="left"/>
      <w:pPr>
        <w:ind w:left="4815" w:hanging="360"/>
      </w:pPr>
      <w:rPr>
        <w:rFonts w:ascii="Symbol" w:hAnsi="Symbol" w:hint="default"/>
      </w:rPr>
    </w:lvl>
    <w:lvl w:ilvl="4" w:tplc="040C0003" w:tentative="1">
      <w:start w:val="1"/>
      <w:numFmt w:val="bullet"/>
      <w:lvlText w:val="o"/>
      <w:lvlJc w:val="left"/>
      <w:pPr>
        <w:ind w:left="5535" w:hanging="360"/>
      </w:pPr>
      <w:rPr>
        <w:rFonts w:ascii="Courier New" w:hAnsi="Courier New" w:cs="Courier New" w:hint="default"/>
      </w:rPr>
    </w:lvl>
    <w:lvl w:ilvl="5" w:tplc="040C0005" w:tentative="1">
      <w:start w:val="1"/>
      <w:numFmt w:val="bullet"/>
      <w:lvlText w:val=""/>
      <w:lvlJc w:val="left"/>
      <w:pPr>
        <w:ind w:left="6255" w:hanging="360"/>
      </w:pPr>
      <w:rPr>
        <w:rFonts w:ascii="Wingdings" w:hAnsi="Wingdings" w:hint="default"/>
      </w:rPr>
    </w:lvl>
    <w:lvl w:ilvl="6" w:tplc="040C0001" w:tentative="1">
      <w:start w:val="1"/>
      <w:numFmt w:val="bullet"/>
      <w:lvlText w:val=""/>
      <w:lvlJc w:val="left"/>
      <w:pPr>
        <w:ind w:left="6975" w:hanging="360"/>
      </w:pPr>
      <w:rPr>
        <w:rFonts w:ascii="Symbol" w:hAnsi="Symbol" w:hint="default"/>
      </w:rPr>
    </w:lvl>
    <w:lvl w:ilvl="7" w:tplc="040C0003" w:tentative="1">
      <w:start w:val="1"/>
      <w:numFmt w:val="bullet"/>
      <w:lvlText w:val="o"/>
      <w:lvlJc w:val="left"/>
      <w:pPr>
        <w:ind w:left="7695" w:hanging="360"/>
      </w:pPr>
      <w:rPr>
        <w:rFonts w:ascii="Courier New" w:hAnsi="Courier New" w:cs="Courier New" w:hint="default"/>
      </w:rPr>
    </w:lvl>
    <w:lvl w:ilvl="8" w:tplc="040C0005" w:tentative="1">
      <w:start w:val="1"/>
      <w:numFmt w:val="bullet"/>
      <w:lvlText w:val=""/>
      <w:lvlJc w:val="left"/>
      <w:pPr>
        <w:ind w:left="8415" w:hanging="360"/>
      </w:pPr>
      <w:rPr>
        <w:rFonts w:ascii="Wingdings" w:hAnsi="Wingdings" w:hint="default"/>
      </w:rPr>
    </w:lvl>
  </w:abstractNum>
  <w:abstractNum w:abstractNumId="50" w15:restartNumberingAfterBreak="0">
    <w:nsid w:val="61327380"/>
    <w:multiLevelType w:val="multilevel"/>
    <w:tmpl w:val="A7DAF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19D1DEB"/>
    <w:multiLevelType w:val="hybridMultilevel"/>
    <w:tmpl w:val="BFA487A4"/>
    <w:lvl w:ilvl="0" w:tplc="6128CE38">
      <w:start w:val="1"/>
      <w:numFmt w:val="upperLetter"/>
      <w:lvlText w:val="%1."/>
      <w:lvlJc w:val="left"/>
      <w:pPr>
        <w:ind w:left="890" w:hanging="450"/>
      </w:pPr>
      <w:rPr>
        <w:rFonts w:hint="default"/>
      </w:rPr>
    </w:lvl>
    <w:lvl w:ilvl="1" w:tplc="040C0019" w:tentative="1">
      <w:start w:val="1"/>
      <w:numFmt w:val="lowerLetter"/>
      <w:lvlText w:val="%2."/>
      <w:lvlJc w:val="left"/>
      <w:pPr>
        <w:ind w:left="1520" w:hanging="360"/>
      </w:pPr>
    </w:lvl>
    <w:lvl w:ilvl="2" w:tplc="040C001B" w:tentative="1">
      <w:start w:val="1"/>
      <w:numFmt w:val="lowerRoman"/>
      <w:lvlText w:val="%3."/>
      <w:lvlJc w:val="right"/>
      <w:pPr>
        <w:ind w:left="2240" w:hanging="180"/>
      </w:pPr>
    </w:lvl>
    <w:lvl w:ilvl="3" w:tplc="040C000F" w:tentative="1">
      <w:start w:val="1"/>
      <w:numFmt w:val="decimal"/>
      <w:lvlText w:val="%4."/>
      <w:lvlJc w:val="left"/>
      <w:pPr>
        <w:ind w:left="2960" w:hanging="360"/>
      </w:pPr>
    </w:lvl>
    <w:lvl w:ilvl="4" w:tplc="040C0019" w:tentative="1">
      <w:start w:val="1"/>
      <w:numFmt w:val="lowerLetter"/>
      <w:lvlText w:val="%5."/>
      <w:lvlJc w:val="left"/>
      <w:pPr>
        <w:ind w:left="3680" w:hanging="360"/>
      </w:pPr>
    </w:lvl>
    <w:lvl w:ilvl="5" w:tplc="040C001B" w:tentative="1">
      <w:start w:val="1"/>
      <w:numFmt w:val="lowerRoman"/>
      <w:lvlText w:val="%6."/>
      <w:lvlJc w:val="right"/>
      <w:pPr>
        <w:ind w:left="4400" w:hanging="180"/>
      </w:pPr>
    </w:lvl>
    <w:lvl w:ilvl="6" w:tplc="040C000F" w:tentative="1">
      <w:start w:val="1"/>
      <w:numFmt w:val="decimal"/>
      <w:lvlText w:val="%7."/>
      <w:lvlJc w:val="left"/>
      <w:pPr>
        <w:ind w:left="5120" w:hanging="360"/>
      </w:pPr>
    </w:lvl>
    <w:lvl w:ilvl="7" w:tplc="040C0019" w:tentative="1">
      <w:start w:val="1"/>
      <w:numFmt w:val="lowerLetter"/>
      <w:lvlText w:val="%8."/>
      <w:lvlJc w:val="left"/>
      <w:pPr>
        <w:ind w:left="5840" w:hanging="360"/>
      </w:pPr>
    </w:lvl>
    <w:lvl w:ilvl="8" w:tplc="040C001B" w:tentative="1">
      <w:start w:val="1"/>
      <w:numFmt w:val="lowerRoman"/>
      <w:lvlText w:val="%9."/>
      <w:lvlJc w:val="right"/>
      <w:pPr>
        <w:ind w:left="6560" w:hanging="180"/>
      </w:pPr>
    </w:lvl>
  </w:abstractNum>
  <w:abstractNum w:abstractNumId="52" w15:restartNumberingAfterBreak="0">
    <w:nsid w:val="630F741D"/>
    <w:multiLevelType w:val="hybridMultilevel"/>
    <w:tmpl w:val="76A03B2E"/>
    <w:lvl w:ilvl="0" w:tplc="4882F960">
      <w:numFmt w:val="bullet"/>
      <w:lvlText w:val="-"/>
      <w:lvlJc w:val="left"/>
      <w:pPr>
        <w:ind w:left="1068" w:hanging="360"/>
      </w:pPr>
      <w:rPr>
        <w:rFonts w:ascii="Times New Roman" w:eastAsiaTheme="minorHAnsi" w:hAnsi="Times New Roman" w:cs="Times New Roman" w:hint="default"/>
      </w:rPr>
    </w:lvl>
    <w:lvl w:ilvl="1" w:tplc="040C0001">
      <w:start w:val="1"/>
      <w:numFmt w:val="bullet"/>
      <w:lvlText w:val=""/>
      <w:lvlJc w:val="left"/>
      <w:pPr>
        <w:ind w:left="1788" w:hanging="360"/>
      </w:pPr>
      <w:rPr>
        <w:rFonts w:ascii="Symbol" w:hAnsi="Symbol"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53" w15:restartNumberingAfterBreak="0">
    <w:nsid w:val="636328B5"/>
    <w:multiLevelType w:val="hybridMultilevel"/>
    <w:tmpl w:val="476EBA8E"/>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4" w15:restartNumberingAfterBreak="0">
    <w:nsid w:val="653F6599"/>
    <w:multiLevelType w:val="hybridMultilevel"/>
    <w:tmpl w:val="C7602412"/>
    <w:lvl w:ilvl="0" w:tplc="040C0001">
      <w:start w:val="1"/>
      <w:numFmt w:val="bullet"/>
      <w:lvlText w:val=""/>
      <w:lvlJc w:val="left"/>
      <w:pPr>
        <w:ind w:left="2655" w:hanging="360"/>
      </w:pPr>
      <w:rPr>
        <w:rFonts w:ascii="Symbol" w:hAnsi="Symbol" w:hint="default"/>
      </w:rPr>
    </w:lvl>
    <w:lvl w:ilvl="1" w:tplc="040C0003" w:tentative="1">
      <w:start w:val="1"/>
      <w:numFmt w:val="bullet"/>
      <w:lvlText w:val="o"/>
      <w:lvlJc w:val="left"/>
      <w:pPr>
        <w:ind w:left="3375" w:hanging="360"/>
      </w:pPr>
      <w:rPr>
        <w:rFonts w:ascii="Courier New" w:hAnsi="Courier New" w:cs="Courier New" w:hint="default"/>
      </w:rPr>
    </w:lvl>
    <w:lvl w:ilvl="2" w:tplc="040C0005" w:tentative="1">
      <w:start w:val="1"/>
      <w:numFmt w:val="bullet"/>
      <w:lvlText w:val=""/>
      <w:lvlJc w:val="left"/>
      <w:pPr>
        <w:ind w:left="4095" w:hanging="360"/>
      </w:pPr>
      <w:rPr>
        <w:rFonts w:ascii="Wingdings" w:hAnsi="Wingdings" w:hint="default"/>
      </w:rPr>
    </w:lvl>
    <w:lvl w:ilvl="3" w:tplc="040C0001" w:tentative="1">
      <w:start w:val="1"/>
      <w:numFmt w:val="bullet"/>
      <w:lvlText w:val=""/>
      <w:lvlJc w:val="left"/>
      <w:pPr>
        <w:ind w:left="4815" w:hanging="360"/>
      </w:pPr>
      <w:rPr>
        <w:rFonts w:ascii="Symbol" w:hAnsi="Symbol" w:hint="default"/>
      </w:rPr>
    </w:lvl>
    <w:lvl w:ilvl="4" w:tplc="040C0003" w:tentative="1">
      <w:start w:val="1"/>
      <w:numFmt w:val="bullet"/>
      <w:lvlText w:val="o"/>
      <w:lvlJc w:val="left"/>
      <w:pPr>
        <w:ind w:left="5535" w:hanging="360"/>
      </w:pPr>
      <w:rPr>
        <w:rFonts w:ascii="Courier New" w:hAnsi="Courier New" w:cs="Courier New" w:hint="default"/>
      </w:rPr>
    </w:lvl>
    <w:lvl w:ilvl="5" w:tplc="040C0005" w:tentative="1">
      <w:start w:val="1"/>
      <w:numFmt w:val="bullet"/>
      <w:lvlText w:val=""/>
      <w:lvlJc w:val="left"/>
      <w:pPr>
        <w:ind w:left="6255" w:hanging="360"/>
      </w:pPr>
      <w:rPr>
        <w:rFonts w:ascii="Wingdings" w:hAnsi="Wingdings" w:hint="default"/>
      </w:rPr>
    </w:lvl>
    <w:lvl w:ilvl="6" w:tplc="040C0001" w:tentative="1">
      <w:start w:val="1"/>
      <w:numFmt w:val="bullet"/>
      <w:lvlText w:val=""/>
      <w:lvlJc w:val="left"/>
      <w:pPr>
        <w:ind w:left="6975" w:hanging="360"/>
      </w:pPr>
      <w:rPr>
        <w:rFonts w:ascii="Symbol" w:hAnsi="Symbol" w:hint="default"/>
      </w:rPr>
    </w:lvl>
    <w:lvl w:ilvl="7" w:tplc="040C0003" w:tentative="1">
      <w:start w:val="1"/>
      <w:numFmt w:val="bullet"/>
      <w:lvlText w:val="o"/>
      <w:lvlJc w:val="left"/>
      <w:pPr>
        <w:ind w:left="7695" w:hanging="360"/>
      </w:pPr>
      <w:rPr>
        <w:rFonts w:ascii="Courier New" w:hAnsi="Courier New" w:cs="Courier New" w:hint="default"/>
      </w:rPr>
    </w:lvl>
    <w:lvl w:ilvl="8" w:tplc="040C0005" w:tentative="1">
      <w:start w:val="1"/>
      <w:numFmt w:val="bullet"/>
      <w:lvlText w:val=""/>
      <w:lvlJc w:val="left"/>
      <w:pPr>
        <w:ind w:left="8415" w:hanging="360"/>
      </w:pPr>
      <w:rPr>
        <w:rFonts w:ascii="Wingdings" w:hAnsi="Wingdings" w:hint="default"/>
      </w:rPr>
    </w:lvl>
  </w:abstractNum>
  <w:abstractNum w:abstractNumId="55" w15:restartNumberingAfterBreak="0">
    <w:nsid w:val="65C21B2D"/>
    <w:multiLevelType w:val="hybridMultilevel"/>
    <w:tmpl w:val="C24A0576"/>
    <w:lvl w:ilvl="0" w:tplc="FEEAF1C8">
      <w:start w:val="1"/>
      <w:numFmt w:val="decimal"/>
      <w:lvlText w:val="%1."/>
      <w:lvlJc w:val="left"/>
      <w:pPr>
        <w:ind w:left="1794" w:hanging="720"/>
        <w:jc w:val="right"/>
      </w:pPr>
      <w:rPr>
        <w:rFonts w:ascii="Calibri Light" w:eastAsia="Calibri Light" w:hAnsi="Calibri Light" w:cs="Calibri Light" w:hint="default"/>
        <w:i/>
        <w:iCs/>
        <w:color w:val="2E2D21" w:themeColor="text2" w:themeShade="BF"/>
        <w:w w:val="99"/>
        <w:sz w:val="22"/>
        <w:szCs w:val="22"/>
        <w:lang w:val="fr-FR" w:eastAsia="en-US" w:bidi="ar-SA"/>
      </w:rPr>
    </w:lvl>
    <w:lvl w:ilvl="1" w:tplc="1A545D54">
      <w:start w:val="1"/>
      <w:numFmt w:val="lowerLetter"/>
      <w:lvlText w:val="(%2)"/>
      <w:lvlJc w:val="left"/>
      <w:pPr>
        <w:ind w:left="3222" w:hanging="237"/>
      </w:pPr>
      <w:rPr>
        <w:rFonts w:ascii="Calibri" w:eastAsia="Calibri" w:hAnsi="Calibri" w:cs="Calibri" w:hint="default"/>
        <w:spacing w:val="-1"/>
        <w:w w:val="99"/>
        <w:position w:val="11"/>
        <w:sz w:val="16"/>
        <w:szCs w:val="16"/>
        <w:lang w:val="fr-FR" w:eastAsia="en-US" w:bidi="ar-SA"/>
      </w:rPr>
    </w:lvl>
    <w:lvl w:ilvl="2" w:tplc="FC563836">
      <w:numFmt w:val="bullet"/>
      <w:lvlText w:val="•"/>
      <w:lvlJc w:val="left"/>
      <w:pPr>
        <w:ind w:left="4047" w:hanging="237"/>
      </w:pPr>
      <w:rPr>
        <w:rFonts w:hint="default"/>
        <w:lang w:val="fr-FR" w:eastAsia="en-US" w:bidi="ar-SA"/>
      </w:rPr>
    </w:lvl>
    <w:lvl w:ilvl="3" w:tplc="F614E568">
      <w:numFmt w:val="bullet"/>
      <w:lvlText w:val="•"/>
      <w:lvlJc w:val="left"/>
      <w:pPr>
        <w:ind w:left="4875" w:hanging="237"/>
      </w:pPr>
      <w:rPr>
        <w:rFonts w:hint="default"/>
        <w:lang w:val="fr-FR" w:eastAsia="en-US" w:bidi="ar-SA"/>
      </w:rPr>
    </w:lvl>
    <w:lvl w:ilvl="4" w:tplc="443051C6">
      <w:numFmt w:val="bullet"/>
      <w:lvlText w:val="•"/>
      <w:lvlJc w:val="left"/>
      <w:pPr>
        <w:ind w:left="5703" w:hanging="237"/>
      </w:pPr>
      <w:rPr>
        <w:rFonts w:hint="default"/>
        <w:lang w:val="fr-FR" w:eastAsia="en-US" w:bidi="ar-SA"/>
      </w:rPr>
    </w:lvl>
    <w:lvl w:ilvl="5" w:tplc="8752FCF6">
      <w:numFmt w:val="bullet"/>
      <w:lvlText w:val="•"/>
      <w:lvlJc w:val="left"/>
      <w:pPr>
        <w:ind w:left="6531" w:hanging="237"/>
      </w:pPr>
      <w:rPr>
        <w:rFonts w:hint="default"/>
        <w:lang w:val="fr-FR" w:eastAsia="en-US" w:bidi="ar-SA"/>
      </w:rPr>
    </w:lvl>
    <w:lvl w:ilvl="6" w:tplc="2F58BBB4">
      <w:numFmt w:val="bullet"/>
      <w:lvlText w:val="•"/>
      <w:lvlJc w:val="left"/>
      <w:pPr>
        <w:ind w:left="7358" w:hanging="237"/>
      </w:pPr>
      <w:rPr>
        <w:rFonts w:hint="default"/>
        <w:lang w:val="fr-FR" w:eastAsia="en-US" w:bidi="ar-SA"/>
      </w:rPr>
    </w:lvl>
    <w:lvl w:ilvl="7" w:tplc="9618B8DA">
      <w:numFmt w:val="bullet"/>
      <w:lvlText w:val="•"/>
      <w:lvlJc w:val="left"/>
      <w:pPr>
        <w:ind w:left="8186" w:hanging="237"/>
      </w:pPr>
      <w:rPr>
        <w:rFonts w:hint="default"/>
        <w:lang w:val="fr-FR" w:eastAsia="en-US" w:bidi="ar-SA"/>
      </w:rPr>
    </w:lvl>
    <w:lvl w:ilvl="8" w:tplc="097C5C88">
      <w:numFmt w:val="bullet"/>
      <w:lvlText w:val="•"/>
      <w:lvlJc w:val="left"/>
      <w:pPr>
        <w:ind w:left="9014" w:hanging="237"/>
      </w:pPr>
      <w:rPr>
        <w:rFonts w:hint="default"/>
        <w:lang w:val="fr-FR" w:eastAsia="en-US" w:bidi="ar-SA"/>
      </w:rPr>
    </w:lvl>
  </w:abstractNum>
  <w:abstractNum w:abstractNumId="56" w15:restartNumberingAfterBreak="0">
    <w:nsid w:val="664C360D"/>
    <w:multiLevelType w:val="hybridMultilevel"/>
    <w:tmpl w:val="9E0A7278"/>
    <w:lvl w:ilvl="0" w:tplc="CC8EFA60">
      <w:numFmt w:val="bullet"/>
      <w:lvlText w:val=""/>
      <w:lvlJc w:val="left"/>
      <w:pPr>
        <w:ind w:left="720" w:hanging="360"/>
      </w:pPr>
      <w:rPr>
        <w:rFonts w:ascii="Symbol" w:eastAsia="Symbol" w:hAnsi="Symbol" w:cs="Symbol" w:hint="default"/>
        <w:w w:val="100"/>
        <w:sz w:val="24"/>
        <w:szCs w:val="24"/>
        <w:lang w:val="fr-FR" w:eastAsia="en-US" w:bidi="ar-SA"/>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7" w15:restartNumberingAfterBreak="0">
    <w:nsid w:val="68124720"/>
    <w:multiLevelType w:val="hybridMultilevel"/>
    <w:tmpl w:val="C9D0B3C2"/>
    <w:lvl w:ilvl="0" w:tplc="040C0001">
      <w:start w:val="1"/>
      <w:numFmt w:val="bullet"/>
      <w:lvlText w:val=""/>
      <w:lvlJc w:val="left"/>
      <w:pPr>
        <w:ind w:left="927"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8" w15:restartNumberingAfterBreak="0">
    <w:nsid w:val="6AA6213F"/>
    <w:multiLevelType w:val="hybridMultilevel"/>
    <w:tmpl w:val="5D563FF6"/>
    <w:lvl w:ilvl="0" w:tplc="040C0001">
      <w:start w:val="1"/>
      <w:numFmt w:val="bullet"/>
      <w:lvlText w:val=""/>
      <w:lvlJc w:val="left"/>
      <w:pPr>
        <w:ind w:left="1652" w:hanging="721"/>
      </w:pPr>
      <w:rPr>
        <w:rFonts w:ascii="Symbol" w:hAnsi="Symbol" w:hint="default"/>
        <w:w w:val="100"/>
        <w:sz w:val="18"/>
        <w:szCs w:val="18"/>
        <w:lang w:val="fr-FR" w:eastAsia="en-US" w:bidi="ar-SA"/>
      </w:rPr>
    </w:lvl>
    <w:lvl w:ilvl="1" w:tplc="2F6A3F50">
      <w:numFmt w:val="bullet"/>
      <w:lvlText w:val=""/>
      <w:lvlJc w:val="left"/>
      <w:pPr>
        <w:ind w:left="2460" w:hanging="360"/>
      </w:pPr>
      <w:rPr>
        <w:rFonts w:ascii="Wingdings" w:eastAsia="Wingdings" w:hAnsi="Wingdings" w:cs="Wingdings" w:hint="default"/>
        <w:w w:val="100"/>
        <w:sz w:val="24"/>
        <w:szCs w:val="24"/>
        <w:lang w:val="fr-FR" w:eastAsia="en-US" w:bidi="ar-SA"/>
      </w:rPr>
    </w:lvl>
    <w:lvl w:ilvl="2" w:tplc="55364A4A">
      <w:numFmt w:val="bullet"/>
      <w:lvlText w:val="•"/>
      <w:lvlJc w:val="left"/>
      <w:pPr>
        <w:ind w:left="3372" w:hanging="360"/>
      </w:pPr>
      <w:rPr>
        <w:rFonts w:hint="default"/>
        <w:lang w:val="fr-FR" w:eastAsia="en-US" w:bidi="ar-SA"/>
      </w:rPr>
    </w:lvl>
    <w:lvl w:ilvl="3" w:tplc="524EE2BE">
      <w:numFmt w:val="bullet"/>
      <w:lvlText w:val="•"/>
      <w:lvlJc w:val="left"/>
      <w:pPr>
        <w:ind w:left="4284" w:hanging="360"/>
      </w:pPr>
      <w:rPr>
        <w:rFonts w:hint="default"/>
        <w:lang w:val="fr-FR" w:eastAsia="en-US" w:bidi="ar-SA"/>
      </w:rPr>
    </w:lvl>
    <w:lvl w:ilvl="4" w:tplc="2982B3EC">
      <w:numFmt w:val="bullet"/>
      <w:lvlText w:val="•"/>
      <w:lvlJc w:val="left"/>
      <w:pPr>
        <w:ind w:left="5196" w:hanging="360"/>
      </w:pPr>
      <w:rPr>
        <w:rFonts w:hint="default"/>
        <w:lang w:val="fr-FR" w:eastAsia="en-US" w:bidi="ar-SA"/>
      </w:rPr>
    </w:lvl>
    <w:lvl w:ilvl="5" w:tplc="EEB09E46">
      <w:numFmt w:val="bullet"/>
      <w:lvlText w:val="•"/>
      <w:lvlJc w:val="left"/>
      <w:pPr>
        <w:ind w:left="6108" w:hanging="360"/>
      </w:pPr>
      <w:rPr>
        <w:rFonts w:hint="default"/>
        <w:lang w:val="fr-FR" w:eastAsia="en-US" w:bidi="ar-SA"/>
      </w:rPr>
    </w:lvl>
    <w:lvl w:ilvl="6" w:tplc="6D302ACE">
      <w:numFmt w:val="bullet"/>
      <w:lvlText w:val="•"/>
      <w:lvlJc w:val="left"/>
      <w:pPr>
        <w:ind w:left="7021" w:hanging="360"/>
      </w:pPr>
      <w:rPr>
        <w:rFonts w:hint="default"/>
        <w:lang w:val="fr-FR" w:eastAsia="en-US" w:bidi="ar-SA"/>
      </w:rPr>
    </w:lvl>
    <w:lvl w:ilvl="7" w:tplc="669A91A4">
      <w:numFmt w:val="bullet"/>
      <w:lvlText w:val="•"/>
      <w:lvlJc w:val="left"/>
      <w:pPr>
        <w:ind w:left="7933" w:hanging="360"/>
      </w:pPr>
      <w:rPr>
        <w:rFonts w:hint="default"/>
        <w:lang w:val="fr-FR" w:eastAsia="en-US" w:bidi="ar-SA"/>
      </w:rPr>
    </w:lvl>
    <w:lvl w:ilvl="8" w:tplc="BF4C3B5E">
      <w:numFmt w:val="bullet"/>
      <w:lvlText w:val="•"/>
      <w:lvlJc w:val="left"/>
      <w:pPr>
        <w:ind w:left="8845" w:hanging="360"/>
      </w:pPr>
      <w:rPr>
        <w:rFonts w:hint="default"/>
        <w:lang w:val="fr-FR" w:eastAsia="en-US" w:bidi="ar-SA"/>
      </w:rPr>
    </w:lvl>
  </w:abstractNum>
  <w:abstractNum w:abstractNumId="59" w15:restartNumberingAfterBreak="0">
    <w:nsid w:val="6DB470FE"/>
    <w:multiLevelType w:val="hybridMultilevel"/>
    <w:tmpl w:val="171E311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0" w15:restartNumberingAfterBreak="0">
    <w:nsid w:val="6EAB63AA"/>
    <w:multiLevelType w:val="hybridMultilevel"/>
    <w:tmpl w:val="A24CD02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1" w15:restartNumberingAfterBreak="0">
    <w:nsid w:val="6F8A4974"/>
    <w:multiLevelType w:val="hybridMultilevel"/>
    <w:tmpl w:val="0AA81FBC"/>
    <w:lvl w:ilvl="0" w:tplc="D3DC55CC">
      <w:start w:val="1"/>
      <w:numFmt w:val="upperLetter"/>
      <w:pStyle w:val="Titre4"/>
      <w:lvlText w:val="%1."/>
      <w:lvlJc w:val="left"/>
      <w:pPr>
        <w:ind w:left="720" w:hanging="360"/>
      </w:pPr>
      <w:rPr>
        <w:b/>
        <w:bCs/>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2" w15:restartNumberingAfterBreak="0">
    <w:nsid w:val="726423FE"/>
    <w:multiLevelType w:val="hybridMultilevel"/>
    <w:tmpl w:val="FDFC354E"/>
    <w:lvl w:ilvl="0" w:tplc="51F6E06A">
      <w:start w:val="1"/>
      <w:numFmt w:val="lowerRoman"/>
      <w:pStyle w:val="Titre7"/>
      <w:lvlText w:val="%1."/>
      <w:lvlJc w:val="righ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3" w15:restartNumberingAfterBreak="0">
    <w:nsid w:val="743E3E2E"/>
    <w:multiLevelType w:val="multilevel"/>
    <w:tmpl w:val="654C79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74704347"/>
    <w:multiLevelType w:val="hybridMultilevel"/>
    <w:tmpl w:val="462EC970"/>
    <w:lvl w:ilvl="0" w:tplc="BC6AA9EC">
      <w:numFmt w:val="bullet"/>
      <w:lvlText w:val=""/>
      <w:lvlJc w:val="left"/>
      <w:pPr>
        <w:ind w:left="1497" w:hanging="360"/>
      </w:pPr>
      <w:rPr>
        <w:rFonts w:ascii="Symbol" w:eastAsiaTheme="minorHAnsi" w:hAnsi="Symbol" w:cstheme="majorBidi" w:hint="default"/>
      </w:rPr>
    </w:lvl>
    <w:lvl w:ilvl="1" w:tplc="040C0003" w:tentative="1">
      <w:start w:val="1"/>
      <w:numFmt w:val="bullet"/>
      <w:lvlText w:val="o"/>
      <w:lvlJc w:val="left"/>
      <w:pPr>
        <w:ind w:left="2217" w:hanging="360"/>
      </w:pPr>
      <w:rPr>
        <w:rFonts w:ascii="Courier New" w:hAnsi="Courier New" w:cs="Courier New" w:hint="default"/>
      </w:rPr>
    </w:lvl>
    <w:lvl w:ilvl="2" w:tplc="040C0005" w:tentative="1">
      <w:start w:val="1"/>
      <w:numFmt w:val="bullet"/>
      <w:lvlText w:val=""/>
      <w:lvlJc w:val="left"/>
      <w:pPr>
        <w:ind w:left="2937" w:hanging="360"/>
      </w:pPr>
      <w:rPr>
        <w:rFonts w:ascii="Wingdings" w:hAnsi="Wingdings" w:hint="default"/>
      </w:rPr>
    </w:lvl>
    <w:lvl w:ilvl="3" w:tplc="040C0001" w:tentative="1">
      <w:start w:val="1"/>
      <w:numFmt w:val="bullet"/>
      <w:lvlText w:val=""/>
      <w:lvlJc w:val="left"/>
      <w:pPr>
        <w:ind w:left="3657" w:hanging="360"/>
      </w:pPr>
      <w:rPr>
        <w:rFonts w:ascii="Symbol" w:hAnsi="Symbol" w:hint="default"/>
      </w:rPr>
    </w:lvl>
    <w:lvl w:ilvl="4" w:tplc="040C0003" w:tentative="1">
      <w:start w:val="1"/>
      <w:numFmt w:val="bullet"/>
      <w:lvlText w:val="o"/>
      <w:lvlJc w:val="left"/>
      <w:pPr>
        <w:ind w:left="4377" w:hanging="360"/>
      </w:pPr>
      <w:rPr>
        <w:rFonts w:ascii="Courier New" w:hAnsi="Courier New" w:cs="Courier New" w:hint="default"/>
      </w:rPr>
    </w:lvl>
    <w:lvl w:ilvl="5" w:tplc="040C0005" w:tentative="1">
      <w:start w:val="1"/>
      <w:numFmt w:val="bullet"/>
      <w:lvlText w:val=""/>
      <w:lvlJc w:val="left"/>
      <w:pPr>
        <w:ind w:left="5097" w:hanging="360"/>
      </w:pPr>
      <w:rPr>
        <w:rFonts w:ascii="Wingdings" w:hAnsi="Wingdings" w:hint="default"/>
      </w:rPr>
    </w:lvl>
    <w:lvl w:ilvl="6" w:tplc="040C0001" w:tentative="1">
      <w:start w:val="1"/>
      <w:numFmt w:val="bullet"/>
      <w:lvlText w:val=""/>
      <w:lvlJc w:val="left"/>
      <w:pPr>
        <w:ind w:left="5817" w:hanging="360"/>
      </w:pPr>
      <w:rPr>
        <w:rFonts w:ascii="Symbol" w:hAnsi="Symbol" w:hint="default"/>
      </w:rPr>
    </w:lvl>
    <w:lvl w:ilvl="7" w:tplc="040C0003" w:tentative="1">
      <w:start w:val="1"/>
      <w:numFmt w:val="bullet"/>
      <w:lvlText w:val="o"/>
      <w:lvlJc w:val="left"/>
      <w:pPr>
        <w:ind w:left="6537" w:hanging="360"/>
      </w:pPr>
      <w:rPr>
        <w:rFonts w:ascii="Courier New" w:hAnsi="Courier New" w:cs="Courier New" w:hint="default"/>
      </w:rPr>
    </w:lvl>
    <w:lvl w:ilvl="8" w:tplc="040C0005" w:tentative="1">
      <w:start w:val="1"/>
      <w:numFmt w:val="bullet"/>
      <w:lvlText w:val=""/>
      <w:lvlJc w:val="left"/>
      <w:pPr>
        <w:ind w:left="7257" w:hanging="360"/>
      </w:pPr>
      <w:rPr>
        <w:rFonts w:ascii="Wingdings" w:hAnsi="Wingdings" w:hint="default"/>
      </w:rPr>
    </w:lvl>
  </w:abstractNum>
  <w:abstractNum w:abstractNumId="65" w15:restartNumberingAfterBreak="0">
    <w:nsid w:val="77C50E2A"/>
    <w:multiLevelType w:val="hybridMultilevel"/>
    <w:tmpl w:val="B79C4C76"/>
    <w:lvl w:ilvl="0" w:tplc="040C0001">
      <w:start w:val="1"/>
      <w:numFmt w:val="bullet"/>
      <w:lvlText w:val=""/>
      <w:lvlJc w:val="left"/>
      <w:pPr>
        <w:ind w:left="1068" w:hanging="360"/>
      </w:pPr>
      <w:rPr>
        <w:rFonts w:ascii="Symbol" w:hAnsi="Symbol"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66" w15:restartNumberingAfterBreak="0">
    <w:nsid w:val="77D631D3"/>
    <w:multiLevelType w:val="hybridMultilevel"/>
    <w:tmpl w:val="3AFC50A2"/>
    <w:lvl w:ilvl="0" w:tplc="040C0001">
      <w:start w:val="1"/>
      <w:numFmt w:val="bullet"/>
      <w:lvlText w:val=""/>
      <w:lvlJc w:val="left"/>
      <w:pPr>
        <w:ind w:left="2655" w:hanging="360"/>
      </w:pPr>
      <w:rPr>
        <w:rFonts w:ascii="Symbol" w:hAnsi="Symbol" w:hint="default"/>
      </w:rPr>
    </w:lvl>
    <w:lvl w:ilvl="1" w:tplc="040C0003" w:tentative="1">
      <w:start w:val="1"/>
      <w:numFmt w:val="bullet"/>
      <w:lvlText w:val="o"/>
      <w:lvlJc w:val="left"/>
      <w:pPr>
        <w:ind w:left="3375" w:hanging="360"/>
      </w:pPr>
      <w:rPr>
        <w:rFonts w:ascii="Courier New" w:hAnsi="Courier New" w:cs="Courier New" w:hint="default"/>
      </w:rPr>
    </w:lvl>
    <w:lvl w:ilvl="2" w:tplc="040C0005" w:tentative="1">
      <w:start w:val="1"/>
      <w:numFmt w:val="bullet"/>
      <w:lvlText w:val=""/>
      <w:lvlJc w:val="left"/>
      <w:pPr>
        <w:ind w:left="4095" w:hanging="360"/>
      </w:pPr>
      <w:rPr>
        <w:rFonts w:ascii="Wingdings" w:hAnsi="Wingdings" w:hint="default"/>
      </w:rPr>
    </w:lvl>
    <w:lvl w:ilvl="3" w:tplc="040C0001" w:tentative="1">
      <w:start w:val="1"/>
      <w:numFmt w:val="bullet"/>
      <w:lvlText w:val=""/>
      <w:lvlJc w:val="left"/>
      <w:pPr>
        <w:ind w:left="4815" w:hanging="360"/>
      </w:pPr>
      <w:rPr>
        <w:rFonts w:ascii="Symbol" w:hAnsi="Symbol" w:hint="default"/>
      </w:rPr>
    </w:lvl>
    <w:lvl w:ilvl="4" w:tplc="040C0003" w:tentative="1">
      <w:start w:val="1"/>
      <w:numFmt w:val="bullet"/>
      <w:lvlText w:val="o"/>
      <w:lvlJc w:val="left"/>
      <w:pPr>
        <w:ind w:left="5535" w:hanging="360"/>
      </w:pPr>
      <w:rPr>
        <w:rFonts w:ascii="Courier New" w:hAnsi="Courier New" w:cs="Courier New" w:hint="default"/>
      </w:rPr>
    </w:lvl>
    <w:lvl w:ilvl="5" w:tplc="040C0005" w:tentative="1">
      <w:start w:val="1"/>
      <w:numFmt w:val="bullet"/>
      <w:lvlText w:val=""/>
      <w:lvlJc w:val="left"/>
      <w:pPr>
        <w:ind w:left="6255" w:hanging="360"/>
      </w:pPr>
      <w:rPr>
        <w:rFonts w:ascii="Wingdings" w:hAnsi="Wingdings" w:hint="default"/>
      </w:rPr>
    </w:lvl>
    <w:lvl w:ilvl="6" w:tplc="040C0001" w:tentative="1">
      <w:start w:val="1"/>
      <w:numFmt w:val="bullet"/>
      <w:lvlText w:val=""/>
      <w:lvlJc w:val="left"/>
      <w:pPr>
        <w:ind w:left="6975" w:hanging="360"/>
      </w:pPr>
      <w:rPr>
        <w:rFonts w:ascii="Symbol" w:hAnsi="Symbol" w:hint="default"/>
      </w:rPr>
    </w:lvl>
    <w:lvl w:ilvl="7" w:tplc="040C0003" w:tentative="1">
      <w:start w:val="1"/>
      <w:numFmt w:val="bullet"/>
      <w:lvlText w:val="o"/>
      <w:lvlJc w:val="left"/>
      <w:pPr>
        <w:ind w:left="7695" w:hanging="360"/>
      </w:pPr>
      <w:rPr>
        <w:rFonts w:ascii="Courier New" w:hAnsi="Courier New" w:cs="Courier New" w:hint="default"/>
      </w:rPr>
    </w:lvl>
    <w:lvl w:ilvl="8" w:tplc="040C0005" w:tentative="1">
      <w:start w:val="1"/>
      <w:numFmt w:val="bullet"/>
      <w:lvlText w:val=""/>
      <w:lvlJc w:val="left"/>
      <w:pPr>
        <w:ind w:left="8415" w:hanging="360"/>
      </w:pPr>
      <w:rPr>
        <w:rFonts w:ascii="Wingdings" w:hAnsi="Wingdings" w:hint="default"/>
      </w:rPr>
    </w:lvl>
  </w:abstractNum>
  <w:abstractNum w:abstractNumId="67" w15:restartNumberingAfterBreak="0">
    <w:nsid w:val="79214C55"/>
    <w:multiLevelType w:val="hybridMultilevel"/>
    <w:tmpl w:val="AD1EC58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8" w15:restartNumberingAfterBreak="0">
    <w:nsid w:val="797551F1"/>
    <w:multiLevelType w:val="hybridMultilevel"/>
    <w:tmpl w:val="C6AC4F04"/>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9" w15:restartNumberingAfterBreak="0">
    <w:nsid w:val="79EB70BF"/>
    <w:multiLevelType w:val="hybridMultilevel"/>
    <w:tmpl w:val="F572CAFA"/>
    <w:lvl w:ilvl="0" w:tplc="040C0001">
      <w:start w:val="1"/>
      <w:numFmt w:val="bullet"/>
      <w:lvlText w:val=""/>
      <w:lvlJc w:val="left"/>
      <w:pPr>
        <w:ind w:left="1428" w:hanging="360"/>
      </w:pPr>
      <w:rPr>
        <w:rFonts w:ascii="Symbol" w:hAnsi="Symbol"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70" w15:restartNumberingAfterBreak="0">
    <w:nsid w:val="7AA73D8A"/>
    <w:multiLevelType w:val="multilevel"/>
    <w:tmpl w:val="51E40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BD02887"/>
    <w:multiLevelType w:val="hybridMultilevel"/>
    <w:tmpl w:val="20C4647E"/>
    <w:lvl w:ilvl="0" w:tplc="16701BF6">
      <w:start w:val="4"/>
      <w:numFmt w:val="decimal"/>
      <w:lvlText w:val="%1)"/>
      <w:lvlJc w:val="left"/>
      <w:pPr>
        <w:ind w:left="1440" w:hanging="360"/>
      </w:pPr>
      <w:rPr>
        <w:rFonts w:hint="default"/>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72" w15:restartNumberingAfterBreak="0">
    <w:nsid w:val="7BF425AA"/>
    <w:multiLevelType w:val="hybridMultilevel"/>
    <w:tmpl w:val="282207E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3" w15:restartNumberingAfterBreak="0">
    <w:nsid w:val="7CAF1D79"/>
    <w:multiLevelType w:val="hybridMultilevel"/>
    <w:tmpl w:val="CAD26668"/>
    <w:lvl w:ilvl="0" w:tplc="040C0001">
      <w:start w:val="1"/>
      <w:numFmt w:val="bullet"/>
      <w:lvlText w:val=""/>
      <w:lvlJc w:val="left"/>
      <w:pPr>
        <w:ind w:left="2655" w:hanging="360"/>
      </w:pPr>
      <w:rPr>
        <w:rFonts w:ascii="Symbol" w:hAnsi="Symbol" w:hint="default"/>
      </w:rPr>
    </w:lvl>
    <w:lvl w:ilvl="1" w:tplc="040C0003" w:tentative="1">
      <w:start w:val="1"/>
      <w:numFmt w:val="bullet"/>
      <w:lvlText w:val="o"/>
      <w:lvlJc w:val="left"/>
      <w:pPr>
        <w:ind w:left="3375" w:hanging="360"/>
      </w:pPr>
      <w:rPr>
        <w:rFonts w:ascii="Courier New" w:hAnsi="Courier New" w:cs="Courier New" w:hint="default"/>
      </w:rPr>
    </w:lvl>
    <w:lvl w:ilvl="2" w:tplc="040C0005" w:tentative="1">
      <w:start w:val="1"/>
      <w:numFmt w:val="bullet"/>
      <w:lvlText w:val=""/>
      <w:lvlJc w:val="left"/>
      <w:pPr>
        <w:ind w:left="4095" w:hanging="360"/>
      </w:pPr>
      <w:rPr>
        <w:rFonts w:ascii="Wingdings" w:hAnsi="Wingdings" w:hint="default"/>
      </w:rPr>
    </w:lvl>
    <w:lvl w:ilvl="3" w:tplc="040C0001" w:tentative="1">
      <w:start w:val="1"/>
      <w:numFmt w:val="bullet"/>
      <w:lvlText w:val=""/>
      <w:lvlJc w:val="left"/>
      <w:pPr>
        <w:ind w:left="4815" w:hanging="360"/>
      </w:pPr>
      <w:rPr>
        <w:rFonts w:ascii="Symbol" w:hAnsi="Symbol" w:hint="default"/>
      </w:rPr>
    </w:lvl>
    <w:lvl w:ilvl="4" w:tplc="040C0003" w:tentative="1">
      <w:start w:val="1"/>
      <w:numFmt w:val="bullet"/>
      <w:lvlText w:val="o"/>
      <w:lvlJc w:val="left"/>
      <w:pPr>
        <w:ind w:left="5535" w:hanging="360"/>
      </w:pPr>
      <w:rPr>
        <w:rFonts w:ascii="Courier New" w:hAnsi="Courier New" w:cs="Courier New" w:hint="default"/>
      </w:rPr>
    </w:lvl>
    <w:lvl w:ilvl="5" w:tplc="040C0005" w:tentative="1">
      <w:start w:val="1"/>
      <w:numFmt w:val="bullet"/>
      <w:lvlText w:val=""/>
      <w:lvlJc w:val="left"/>
      <w:pPr>
        <w:ind w:left="6255" w:hanging="360"/>
      </w:pPr>
      <w:rPr>
        <w:rFonts w:ascii="Wingdings" w:hAnsi="Wingdings" w:hint="default"/>
      </w:rPr>
    </w:lvl>
    <w:lvl w:ilvl="6" w:tplc="040C0001" w:tentative="1">
      <w:start w:val="1"/>
      <w:numFmt w:val="bullet"/>
      <w:lvlText w:val=""/>
      <w:lvlJc w:val="left"/>
      <w:pPr>
        <w:ind w:left="6975" w:hanging="360"/>
      </w:pPr>
      <w:rPr>
        <w:rFonts w:ascii="Symbol" w:hAnsi="Symbol" w:hint="default"/>
      </w:rPr>
    </w:lvl>
    <w:lvl w:ilvl="7" w:tplc="040C0003" w:tentative="1">
      <w:start w:val="1"/>
      <w:numFmt w:val="bullet"/>
      <w:lvlText w:val="o"/>
      <w:lvlJc w:val="left"/>
      <w:pPr>
        <w:ind w:left="7695" w:hanging="360"/>
      </w:pPr>
      <w:rPr>
        <w:rFonts w:ascii="Courier New" w:hAnsi="Courier New" w:cs="Courier New" w:hint="default"/>
      </w:rPr>
    </w:lvl>
    <w:lvl w:ilvl="8" w:tplc="040C0005" w:tentative="1">
      <w:start w:val="1"/>
      <w:numFmt w:val="bullet"/>
      <w:lvlText w:val=""/>
      <w:lvlJc w:val="left"/>
      <w:pPr>
        <w:ind w:left="8415" w:hanging="360"/>
      </w:pPr>
      <w:rPr>
        <w:rFonts w:ascii="Wingdings" w:hAnsi="Wingdings" w:hint="default"/>
      </w:rPr>
    </w:lvl>
  </w:abstractNum>
  <w:num w:numId="1">
    <w:abstractNumId w:val="64"/>
  </w:num>
  <w:num w:numId="2">
    <w:abstractNumId w:val="47"/>
  </w:num>
  <w:num w:numId="3">
    <w:abstractNumId w:val="3"/>
  </w:num>
  <w:num w:numId="4">
    <w:abstractNumId w:val="55"/>
  </w:num>
  <w:num w:numId="5">
    <w:abstractNumId w:val="60"/>
  </w:num>
  <w:num w:numId="6">
    <w:abstractNumId w:val="45"/>
  </w:num>
  <w:num w:numId="7">
    <w:abstractNumId w:val="29"/>
  </w:num>
  <w:num w:numId="8">
    <w:abstractNumId w:val="21"/>
  </w:num>
  <w:num w:numId="9">
    <w:abstractNumId w:val="72"/>
  </w:num>
  <w:num w:numId="10">
    <w:abstractNumId w:val="15"/>
  </w:num>
  <w:num w:numId="11">
    <w:abstractNumId w:val="40"/>
  </w:num>
  <w:num w:numId="12">
    <w:abstractNumId w:val="14"/>
  </w:num>
  <w:num w:numId="13">
    <w:abstractNumId w:val="34"/>
  </w:num>
  <w:num w:numId="14">
    <w:abstractNumId w:val="2"/>
  </w:num>
  <w:num w:numId="15">
    <w:abstractNumId w:val="73"/>
  </w:num>
  <w:num w:numId="16">
    <w:abstractNumId w:val="33"/>
  </w:num>
  <w:num w:numId="17">
    <w:abstractNumId w:val="49"/>
  </w:num>
  <w:num w:numId="18">
    <w:abstractNumId w:val="38"/>
  </w:num>
  <w:num w:numId="19">
    <w:abstractNumId w:val="28"/>
  </w:num>
  <w:num w:numId="20">
    <w:abstractNumId w:val="10"/>
  </w:num>
  <w:num w:numId="21">
    <w:abstractNumId w:val="66"/>
  </w:num>
  <w:num w:numId="22">
    <w:abstractNumId w:val="25"/>
  </w:num>
  <w:num w:numId="23">
    <w:abstractNumId w:val="54"/>
  </w:num>
  <w:num w:numId="24">
    <w:abstractNumId w:val="20"/>
  </w:num>
  <w:num w:numId="25">
    <w:abstractNumId w:val="58"/>
  </w:num>
  <w:num w:numId="26">
    <w:abstractNumId w:val="32"/>
  </w:num>
  <w:num w:numId="27">
    <w:abstractNumId w:val="56"/>
  </w:num>
  <w:num w:numId="28">
    <w:abstractNumId w:val="36"/>
  </w:num>
  <w:num w:numId="29">
    <w:abstractNumId w:val="59"/>
  </w:num>
  <w:num w:numId="30">
    <w:abstractNumId w:val="30"/>
  </w:num>
  <w:num w:numId="31">
    <w:abstractNumId w:val="8"/>
  </w:num>
  <w:num w:numId="32">
    <w:abstractNumId w:val="18"/>
  </w:num>
  <w:num w:numId="33">
    <w:abstractNumId w:val="0"/>
  </w:num>
  <w:num w:numId="34">
    <w:abstractNumId w:val="7"/>
  </w:num>
  <w:num w:numId="35">
    <w:abstractNumId w:val="11"/>
  </w:num>
  <w:num w:numId="36">
    <w:abstractNumId w:val="69"/>
  </w:num>
  <w:num w:numId="37">
    <w:abstractNumId w:val="44"/>
  </w:num>
  <w:num w:numId="38">
    <w:abstractNumId w:val="41"/>
  </w:num>
  <w:num w:numId="39">
    <w:abstractNumId w:val="70"/>
  </w:num>
  <w:num w:numId="40">
    <w:abstractNumId w:val="5"/>
  </w:num>
  <w:num w:numId="41">
    <w:abstractNumId w:val="35"/>
  </w:num>
  <w:num w:numId="42">
    <w:abstractNumId w:val="50"/>
  </w:num>
  <w:num w:numId="43">
    <w:abstractNumId w:val="37"/>
  </w:num>
  <w:num w:numId="44">
    <w:abstractNumId w:val="65"/>
  </w:num>
  <w:num w:numId="45">
    <w:abstractNumId w:val="57"/>
  </w:num>
  <w:num w:numId="46">
    <w:abstractNumId w:val="6"/>
  </w:num>
  <w:num w:numId="47">
    <w:abstractNumId w:val="26"/>
  </w:num>
  <w:num w:numId="48">
    <w:abstractNumId w:val="26"/>
    <w:lvlOverride w:ilvl="0">
      <w:startOverride w:val="1"/>
    </w:lvlOverride>
  </w:num>
  <w:num w:numId="49">
    <w:abstractNumId w:val="26"/>
    <w:lvlOverride w:ilvl="0">
      <w:startOverride w:val="1"/>
    </w:lvlOverride>
  </w:num>
  <w:num w:numId="50">
    <w:abstractNumId w:val="26"/>
    <w:lvlOverride w:ilvl="0">
      <w:startOverride w:val="1"/>
    </w:lvlOverride>
  </w:num>
  <w:num w:numId="51">
    <w:abstractNumId w:val="26"/>
    <w:lvlOverride w:ilvl="0">
      <w:startOverride w:val="1"/>
    </w:lvlOverride>
  </w:num>
  <w:num w:numId="52">
    <w:abstractNumId w:val="16"/>
  </w:num>
  <w:num w:numId="53">
    <w:abstractNumId w:val="24"/>
  </w:num>
  <w:num w:numId="54">
    <w:abstractNumId w:val="42"/>
  </w:num>
  <w:num w:numId="55">
    <w:abstractNumId w:val="19"/>
  </w:num>
  <w:num w:numId="56">
    <w:abstractNumId w:val="4"/>
  </w:num>
  <w:num w:numId="57">
    <w:abstractNumId w:val="46"/>
  </w:num>
  <w:num w:numId="58">
    <w:abstractNumId w:val="23"/>
  </w:num>
  <w:num w:numId="59">
    <w:abstractNumId w:val="61"/>
  </w:num>
  <w:num w:numId="60">
    <w:abstractNumId w:val="61"/>
    <w:lvlOverride w:ilvl="0">
      <w:startOverride w:val="1"/>
    </w:lvlOverride>
  </w:num>
  <w:num w:numId="61">
    <w:abstractNumId w:val="61"/>
    <w:lvlOverride w:ilvl="0">
      <w:startOverride w:val="1"/>
    </w:lvlOverride>
  </w:num>
  <w:num w:numId="62">
    <w:abstractNumId w:val="61"/>
    <w:lvlOverride w:ilvl="0">
      <w:startOverride w:val="1"/>
    </w:lvlOverride>
  </w:num>
  <w:num w:numId="63">
    <w:abstractNumId w:val="26"/>
    <w:lvlOverride w:ilvl="0">
      <w:startOverride w:val="1"/>
    </w:lvlOverride>
  </w:num>
  <w:num w:numId="64">
    <w:abstractNumId w:val="26"/>
    <w:lvlOverride w:ilvl="0">
      <w:startOverride w:val="1"/>
    </w:lvlOverride>
  </w:num>
  <w:num w:numId="65">
    <w:abstractNumId w:val="26"/>
    <w:lvlOverride w:ilvl="0">
      <w:startOverride w:val="1"/>
    </w:lvlOverride>
  </w:num>
  <w:num w:numId="66">
    <w:abstractNumId w:val="61"/>
    <w:lvlOverride w:ilvl="0">
      <w:startOverride w:val="1"/>
    </w:lvlOverride>
  </w:num>
  <w:num w:numId="67">
    <w:abstractNumId w:val="61"/>
    <w:lvlOverride w:ilvl="0">
      <w:startOverride w:val="1"/>
    </w:lvlOverride>
  </w:num>
  <w:num w:numId="68">
    <w:abstractNumId w:val="48"/>
  </w:num>
  <w:num w:numId="69">
    <w:abstractNumId w:val="63"/>
  </w:num>
  <w:num w:numId="70">
    <w:abstractNumId w:val="61"/>
    <w:lvlOverride w:ilvl="0">
      <w:startOverride w:val="1"/>
    </w:lvlOverride>
  </w:num>
  <w:num w:numId="71">
    <w:abstractNumId w:val="61"/>
    <w:lvlOverride w:ilvl="0">
      <w:startOverride w:val="1"/>
    </w:lvlOverride>
  </w:num>
  <w:num w:numId="72">
    <w:abstractNumId w:val="26"/>
    <w:lvlOverride w:ilvl="0">
      <w:startOverride w:val="1"/>
    </w:lvlOverride>
  </w:num>
  <w:num w:numId="73">
    <w:abstractNumId w:val="12"/>
  </w:num>
  <w:num w:numId="74">
    <w:abstractNumId w:val="62"/>
  </w:num>
  <w:num w:numId="75">
    <w:abstractNumId w:val="13"/>
  </w:num>
  <w:num w:numId="76">
    <w:abstractNumId w:val="62"/>
    <w:lvlOverride w:ilvl="0">
      <w:startOverride w:val="1"/>
    </w:lvlOverride>
  </w:num>
  <w:num w:numId="77">
    <w:abstractNumId w:val="39"/>
  </w:num>
  <w:num w:numId="78">
    <w:abstractNumId w:val="39"/>
    <w:lvlOverride w:ilvl="0">
      <w:startOverride w:val="1"/>
    </w:lvlOverride>
  </w:num>
  <w:num w:numId="79">
    <w:abstractNumId w:val="39"/>
    <w:lvlOverride w:ilvl="0">
      <w:startOverride w:val="1"/>
    </w:lvlOverride>
  </w:num>
  <w:num w:numId="80">
    <w:abstractNumId w:val="39"/>
    <w:lvlOverride w:ilvl="0">
      <w:startOverride w:val="1"/>
    </w:lvlOverride>
  </w:num>
  <w:num w:numId="81">
    <w:abstractNumId w:val="26"/>
    <w:lvlOverride w:ilvl="0">
      <w:startOverride w:val="1"/>
    </w:lvlOverride>
  </w:num>
  <w:num w:numId="82">
    <w:abstractNumId w:val="39"/>
    <w:lvlOverride w:ilvl="0">
      <w:startOverride w:val="1"/>
    </w:lvlOverride>
  </w:num>
  <w:num w:numId="83">
    <w:abstractNumId w:val="39"/>
    <w:lvlOverride w:ilvl="0">
      <w:startOverride w:val="1"/>
    </w:lvlOverride>
  </w:num>
  <w:num w:numId="84">
    <w:abstractNumId w:val="26"/>
    <w:lvlOverride w:ilvl="0">
      <w:startOverride w:val="1"/>
    </w:lvlOverride>
  </w:num>
  <w:num w:numId="85">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6">
    <w:abstractNumId w:val="26"/>
    <w:lvlOverride w:ilvl="0">
      <w:startOverride w:val="1"/>
    </w:lvlOverride>
  </w:num>
  <w:num w:numId="87">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8">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9">
    <w:abstractNumId w:val="52"/>
  </w:num>
  <w:num w:numId="90">
    <w:abstractNumId w:val="43"/>
  </w:num>
  <w:num w:numId="91">
    <w:abstractNumId w:val="62"/>
    <w:lvlOverride w:ilvl="0">
      <w:startOverride w:val="1"/>
    </w:lvlOverride>
  </w:num>
  <w:num w:numId="92">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3">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4">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5">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6">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7">
    <w:abstractNumId w:val="1"/>
  </w:num>
  <w:num w:numId="98">
    <w:abstractNumId w:val="22"/>
  </w:num>
  <w:num w:numId="99">
    <w:abstractNumId w:val="17"/>
  </w:num>
  <w:num w:numId="100">
    <w:abstractNumId w:val="26"/>
    <w:lvlOverride w:ilvl="0">
      <w:startOverride w:val="1"/>
    </w:lvlOverride>
  </w:num>
  <w:num w:numId="101">
    <w:abstractNumId w:val="51"/>
  </w:num>
  <w:num w:numId="102">
    <w:abstractNumId w:val="9"/>
  </w:num>
  <w:num w:numId="103">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
    <w:abstractNumId w:val="67"/>
  </w:num>
  <w:num w:numId="105">
    <w:abstractNumId w:val="26"/>
    <w:lvlOverride w:ilvl="0">
      <w:startOverride w:val="1"/>
    </w:lvlOverride>
  </w:num>
  <w:num w:numId="106">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
    <w:abstractNumId w:val="68"/>
  </w:num>
  <w:num w:numId="108">
    <w:abstractNumId w:val="53"/>
  </w:num>
  <w:num w:numId="109">
    <w:abstractNumId w:val="71"/>
  </w:num>
  <w:num w:numId="110">
    <w:abstractNumId w:val="31"/>
  </w:num>
  <w:num w:numId="111">
    <w:abstractNumId w:val="27"/>
  </w:num>
  <w:numIdMacAtCleanup w:val="1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hideGrammaticalErrors/>
  <w:defaultTabStop w:val="709"/>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22E53"/>
    <w:rsid w:val="00000A63"/>
    <w:rsid w:val="0000386F"/>
    <w:rsid w:val="0000561F"/>
    <w:rsid w:val="00005CB8"/>
    <w:rsid w:val="00005D61"/>
    <w:rsid w:val="00007B69"/>
    <w:rsid w:val="00010E11"/>
    <w:rsid w:val="00012FFC"/>
    <w:rsid w:val="00015E21"/>
    <w:rsid w:val="00016E4C"/>
    <w:rsid w:val="00021712"/>
    <w:rsid w:val="00021B0C"/>
    <w:rsid w:val="0002231D"/>
    <w:rsid w:val="00022580"/>
    <w:rsid w:val="00030AFC"/>
    <w:rsid w:val="00031401"/>
    <w:rsid w:val="0003207E"/>
    <w:rsid w:val="000351A9"/>
    <w:rsid w:val="000355E5"/>
    <w:rsid w:val="00040D02"/>
    <w:rsid w:val="00041AE8"/>
    <w:rsid w:val="00041B20"/>
    <w:rsid w:val="00042489"/>
    <w:rsid w:val="00042D7C"/>
    <w:rsid w:val="000433BD"/>
    <w:rsid w:val="000436F7"/>
    <w:rsid w:val="000445F8"/>
    <w:rsid w:val="00045C15"/>
    <w:rsid w:val="000464F8"/>
    <w:rsid w:val="00046F30"/>
    <w:rsid w:val="0004729D"/>
    <w:rsid w:val="00047A94"/>
    <w:rsid w:val="000501BC"/>
    <w:rsid w:val="000506B0"/>
    <w:rsid w:val="00050F2D"/>
    <w:rsid w:val="00050F46"/>
    <w:rsid w:val="000516B0"/>
    <w:rsid w:val="00051813"/>
    <w:rsid w:val="000526A1"/>
    <w:rsid w:val="00052E50"/>
    <w:rsid w:val="00053881"/>
    <w:rsid w:val="00053A32"/>
    <w:rsid w:val="00054201"/>
    <w:rsid w:val="00060CE3"/>
    <w:rsid w:val="000622F8"/>
    <w:rsid w:val="00062602"/>
    <w:rsid w:val="000636DA"/>
    <w:rsid w:val="00072651"/>
    <w:rsid w:val="00072CEC"/>
    <w:rsid w:val="00072E58"/>
    <w:rsid w:val="000736EA"/>
    <w:rsid w:val="00076D47"/>
    <w:rsid w:val="000770C1"/>
    <w:rsid w:val="00080187"/>
    <w:rsid w:val="00080322"/>
    <w:rsid w:val="00080796"/>
    <w:rsid w:val="00082573"/>
    <w:rsid w:val="000827BA"/>
    <w:rsid w:val="00084990"/>
    <w:rsid w:val="00091E68"/>
    <w:rsid w:val="00091E71"/>
    <w:rsid w:val="00094374"/>
    <w:rsid w:val="000971FC"/>
    <w:rsid w:val="0009795F"/>
    <w:rsid w:val="000A33B4"/>
    <w:rsid w:val="000A379A"/>
    <w:rsid w:val="000A56EE"/>
    <w:rsid w:val="000A7532"/>
    <w:rsid w:val="000B0970"/>
    <w:rsid w:val="000B2A49"/>
    <w:rsid w:val="000B3825"/>
    <w:rsid w:val="000B5FD2"/>
    <w:rsid w:val="000B6BA8"/>
    <w:rsid w:val="000C077A"/>
    <w:rsid w:val="000C1CA7"/>
    <w:rsid w:val="000C305C"/>
    <w:rsid w:val="000C3CCF"/>
    <w:rsid w:val="000C6CC4"/>
    <w:rsid w:val="000D3128"/>
    <w:rsid w:val="000D57A1"/>
    <w:rsid w:val="000D64E7"/>
    <w:rsid w:val="000E42A4"/>
    <w:rsid w:val="000E6E23"/>
    <w:rsid w:val="000F2062"/>
    <w:rsid w:val="000F2336"/>
    <w:rsid w:val="000F4262"/>
    <w:rsid w:val="000F4497"/>
    <w:rsid w:val="000F60E3"/>
    <w:rsid w:val="000F7CD3"/>
    <w:rsid w:val="00103984"/>
    <w:rsid w:val="0010613B"/>
    <w:rsid w:val="00107902"/>
    <w:rsid w:val="00111853"/>
    <w:rsid w:val="00112B79"/>
    <w:rsid w:val="0011420C"/>
    <w:rsid w:val="001201D2"/>
    <w:rsid w:val="001220A8"/>
    <w:rsid w:val="00123BFB"/>
    <w:rsid w:val="0012493B"/>
    <w:rsid w:val="00124AFB"/>
    <w:rsid w:val="00125DF0"/>
    <w:rsid w:val="00126D3C"/>
    <w:rsid w:val="0012737D"/>
    <w:rsid w:val="00133A18"/>
    <w:rsid w:val="00133B5B"/>
    <w:rsid w:val="0013448F"/>
    <w:rsid w:val="00134DA6"/>
    <w:rsid w:val="00135BA5"/>
    <w:rsid w:val="00136E62"/>
    <w:rsid w:val="001408E6"/>
    <w:rsid w:val="00141025"/>
    <w:rsid w:val="001410FD"/>
    <w:rsid w:val="001426C1"/>
    <w:rsid w:val="0014577C"/>
    <w:rsid w:val="001462F5"/>
    <w:rsid w:val="00146A38"/>
    <w:rsid w:val="00147AAB"/>
    <w:rsid w:val="00150797"/>
    <w:rsid w:val="00151637"/>
    <w:rsid w:val="00153D3D"/>
    <w:rsid w:val="001561FB"/>
    <w:rsid w:val="001602A0"/>
    <w:rsid w:val="00160F62"/>
    <w:rsid w:val="00162BFE"/>
    <w:rsid w:val="00162EBF"/>
    <w:rsid w:val="00163E44"/>
    <w:rsid w:val="0016441E"/>
    <w:rsid w:val="00166C15"/>
    <w:rsid w:val="001676D0"/>
    <w:rsid w:val="00167CF5"/>
    <w:rsid w:val="00170EF5"/>
    <w:rsid w:val="001726A1"/>
    <w:rsid w:val="0017358B"/>
    <w:rsid w:val="00174604"/>
    <w:rsid w:val="00175649"/>
    <w:rsid w:val="00176475"/>
    <w:rsid w:val="001772B2"/>
    <w:rsid w:val="00177670"/>
    <w:rsid w:val="001823DC"/>
    <w:rsid w:val="001831DA"/>
    <w:rsid w:val="001845C2"/>
    <w:rsid w:val="001861BE"/>
    <w:rsid w:val="00187E17"/>
    <w:rsid w:val="00191008"/>
    <w:rsid w:val="001915DF"/>
    <w:rsid w:val="0019634D"/>
    <w:rsid w:val="001A0706"/>
    <w:rsid w:val="001A08B7"/>
    <w:rsid w:val="001A1349"/>
    <w:rsid w:val="001A36FE"/>
    <w:rsid w:val="001A37A5"/>
    <w:rsid w:val="001A6280"/>
    <w:rsid w:val="001B0345"/>
    <w:rsid w:val="001B13DD"/>
    <w:rsid w:val="001B1D3C"/>
    <w:rsid w:val="001B3F20"/>
    <w:rsid w:val="001B4251"/>
    <w:rsid w:val="001B4455"/>
    <w:rsid w:val="001B5466"/>
    <w:rsid w:val="001B5FFC"/>
    <w:rsid w:val="001C1751"/>
    <w:rsid w:val="001C179B"/>
    <w:rsid w:val="001C53BD"/>
    <w:rsid w:val="001C56FB"/>
    <w:rsid w:val="001D03C5"/>
    <w:rsid w:val="001D1EC7"/>
    <w:rsid w:val="001D3396"/>
    <w:rsid w:val="001D4741"/>
    <w:rsid w:val="001D4992"/>
    <w:rsid w:val="001D52DF"/>
    <w:rsid w:val="001D58F7"/>
    <w:rsid w:val="001E10F3"/>
    <w:rsid w:val="001E12AE"/>
    <w:rsid w:val="001E1BDB"/>
    <w:rsid w:val="001E21BC"/>
    <w:rsid w:val="001E32A1"/>
    <w:rsid w:val="001E3CF8"/>
    <w:rsid w:val="001E547D"/>
    <w:rsid w:val="001E6952"/>
    <w:rsid w:val="001E72FE"/>
    <w:rsid w:val="001E735C"/>
    <w:rsid w:val="001E7471"/>
    <w:rsid w:val="001F088B"/>
    <w:rsid w:val="001F3204"/>
    <w:rsid w:val="001F435D"/>
    <w:rsid w:val="001F4363"/>
    <w:rsid w:val="001F4DDF"/>
    <w:rsid w:val="001F4E1F"/>
    <w:rsid w:val="001F61E7"/>
    <w:rsid w:val="001F6639"/>
    <w:rsid w:val="001F7B7C"/>
    <w:rsid w:val="002011A5"/>
    <w:rsid w:val="00201DF2"/>
    <w:rsid w:val="00205212"/>
    <w:rsid w:val="002062B1"/>
    <w:rsid w:val="002072A6"/>
    <w:rsid w:val="002072FE"/>
    <w:rsid w:val="00213EF0"/>
    <w:rsid w:val="002155A8"/>
    <w:rsid w:val="0021708D"/>
    <w:rsid w:val="00220569"/>
    <w:rsid w:val="00222161"/>
    <w:rsid w:val="00222FF8"/>
    <w:rsid w:val="002239AE"/>
    <w:rsid w:val="00223BB0"/>
    <w:rsid w:val="0022424C"/>
    <w:rsid w:val="00225ED1"/>
    <w:rsid w:val="00226816"/>
    <w:rsid w:val="00230601"/>
    <w:rsid w:val="00236576"/>
    <w:rsid w:val="00236D1C"/>
    <w:rsid w:val="00237A71"/>
    <w:rsid w:val="00242475"/>
    <w:rsid w:val="00244884"/>
    <w:rsid w:val="002462E6"/>
    <w:rsid w:val="00246431"/>
    <w:rsid w:val="00246834"/>
    <w:rsid w:val="0024759C"/>
    <w:rsid w:val="00247FE0"/>
    <w:rsid w:val="00253AD9"/>
    <w:rsid w:val="00254C9B"/>
    <w:rsid w:val="0025618D"/>
    <w:rsid w:val="00256884"/>
    <w:rsid w:val="0026055E"/>
    <w:rsid w:val="00261C6A"/>
    <w:rsid w:val="0026259D"/>
    <w:rsid w:val="00262EC2"/>
    <w:rsid w:val="00263B66"/>
    <w:rsid w:val="002676C3"/>
    <w:rsid w:val="00270B16"/>
    <w:rsid w:val="00272D61"/>
    <w:rsid w:val="00274396"/>
    <w:rsid w:val="00275A4A"/>
    <w:rsid w:val="00280B98"/>
    <w:rsid w:val="00280E88"/>
    <w:rsid w:val="00281EA3"/>
    <w:rsid w:val="0028362A"/>
    <w:rsid w:val="00283995"/>
    <w:rsid w:val="002846E7"/>
    <w:rsid w:val="00286825"/>
    <w:rsid w:val="00286BE3"/>
    <w:rsid w:val="0028796C"/>
    <w:rsid w:val="002914C6"/>
    <w:rsid w:val="002915E6"/>
    <w:rsid w:val="002934FA"/>
    <w:rsid w:val="00294A09"/>
    <w:rsid w:val="002953DA"/>
    <w:rsid w:val="00296ADE"/>
    <w:rsid w:val="00297403"/>
    <w:rsid w:val="002974A3"/>
    <w:rsid w:val="002A1E81"/>
    <w:rsid w:val="002A2A8B"/>
    <w:rsid w:val="002A5B6E"/>
    <w:rsid w:val="002A62C6"/>
    <w:rsid w:val="002A76BA"/>
    <w:rsid w:val="002B0CA6"/>
    <w:rsid w:val="002B0DFA"/>
    <w:rsid w:val="002B2379"/>
    <w:rsid w:val="002B28AE"/>
    <w:rsid w:val="002B3256"/>
    <w:rsid w:val="002B500C"/>
    <w:rsid w:val="002B6D2B"/>
    <w:rsid w:val="002B768E"/>
    <w:rsid w:val="002C1692"/>
    <w:rsid w:val="002C7984"/>
    <w:rsid w:val="002D038A"/>
    <w:rsid w:val="002D04C1"/>
    <w:rsid w:val="002D0B52"/>
    <w:rsid w:val="002D1D62"/>
    <w:rsid w:val="002D286C"/>
    <w:rsid w:val="002D373B"/>
    <w:rsid w:val="002D5403"/>
    <w:rsid w:val="002D58A6"/>
    <w:rsid w:val="002D5DE4"/>
    <w:rsid w:val="002D5FB1"/>
    <w:rsid w:val="002D6D4A"/>
    <w:rsid w:val="002D7461"/>
    <w:rsid w:val="002E1809"/>
    <w:rsid w:val="002E2362"/>
    <w:rsid w:val="002E4C77"/>
    <w:rsid w:val="002E6679"/>
    <w:rsid w:val="002F03FC"/>
    <w:rsid w:val="002F0415"/>
    <w:rsid w:val="002F168E"/>
    <w:rsid w:val="002F1A32"/>
    <w:rsid w:val="002F3D53"/>
    <w:rsid w:val="002F6183"/>
    <w:rsid w:val="00300077"/>
    <w:rsid w:val="00300161"/>
    <w:rsid w:val="00303125"/>
    <w:rsid w:val="00303BCD"/>
    <w:rsid w:val="00305B22"/>
    <w:rsid w:val="00306264"/>
    <w:rsid w:val="00307867"/>
    <w:rsid w:val="003122E6"/>
    <w:rsid w:val="00312607"/>
    <w:rsid w:val="00314A89"/>
    <w:rsid w:val="00315512"/>
    <w:rsid w:val="003157F3"/>
    <w:rsid w:val="00316A70"/>
    <w:rsid w:val="00316CFE"/>
    <w:rsid w:val="00323965"/>
    <w:rsid w:val="00326A33"/>
    <w:rsid w:val="00327B3C"/>
    <w:rsid w:val="003307F9"/>
    <w:rsid w:val="0033269A"/>
    <w:rsid w:val="003340DD"/>
    <w:rsid w:val="00335088"/>
    <w:rsid w:val="00335100"/>
    <w:rsid w:val="00335143"/>
    <w:rsid w:val="0033560B"/>
    <w:rsid w:val="00335A31"/>
    <w:rsid w:val="003368AA"/>
    <w:rsid w:val="00343B0B"/>
    <w:rsid w:val="003449E1"/>
    <w:rsid w:val="003463EB"/>
    <w:rsid w:val="00347432"/>
    <w:rsid w:val="003500C3"/>
    <w:rsid w:val="0035414C"/>
    <w:rsid w:val="00354DA0"/>
    <w:rsid w:val="00355B38"/>
    <w:rsid w:val="00356166"/>
    <w:rsid w:val="00360969"/>
    <w:rsid w:val="0036147B"/>
    <w:rsid w:val="003619BC"/>
    <w:rsid w:val="0036372E"/>
    <w:rsid w:val="00363BF1"/>
    <w:rsid w:val="00365460"/>
    <w:rsid w:val="00366A7B"/>
    <w:rsid w:val="00370682"/>
    <w:rsid w:val="0037526F"/>
    <w:rsid w:val="00377A86"/>
    <w:rsid w:val="00377E91"/>
    <w:rsid w:val="00382346"/>
    <w:rsid w:val="00382DF9"/>
    <w:rsid w:val="00384E9E"/>
    <w:rsid w:val="00385E02"/>
    <w:rsid w:val="00386575"/>
    <w:rsid w:val="0039191B"/>
    <w:rsid w:val="00393688"/>
    <w:rsid w:val="003951DA"/>
    <w:rsid w:val="003956B0"/>
    <w:rsid w:val="003A19B0"/>
    <w:rsid w:val="003A1C84"/>
    <w:rsid w:val="003A1C98"/>
    <w:rsid w:val="003A29D8"/>
    <w:rsid w:val="003A507D"/>
    <w:rsid w:val="003A5636"/>
    <w:rsid w:val="003A5C6B"/>
    <w:rsid w:val="003A5E7A"/>
    <w:rsid w:val="003A7A6C"/>
    <w:rsid w:val="003B0D5E"/>
    <w:rsid w:val="003B11C6"/>
    <w:rsid w:val="003B2E35"/>
    <w:rsid w:val="003B30D7"/>
    <w:rsid w:val="003B5D78"/>
    <w:rsid w:val="003B5EFF"/>
    <w:rsid w:val="003B6BD4"/>
    <w:rsid w:val="003B7C48"/>
    <w:rsid w:val="003B7D81"/>
    <w:rsid w:val="003C4049"/>
    <w:rsid w:val="003C4F6B"/>
    <w:rsid w:val="003C662A"/>
    <w:rsid w:val="003C6930"/>
    <w:rsid w:val="003C7075"/>
    <w:rsid w:val="003C7FC3"/>
    <w:rsid w:val="003D00A3"/>
    <w:rsid w:val="003D0205"/>
    <w:rsid w:val="003D058A"/>
    <w:rsid w:val="003D0DDD"/>
    <w:rsid w:val="003D1C6B"/>
    <w:rsid w:val="003D3C3B"/>
    <w:rsid w:val="003D568D"/>
    <w:rsid w:val="003D5863"/>
    <w:rsid w:val="003E064F"/>
    <w:rsid w:val="003E1584"/>
    <w:rsid w:val="003E38C7"/>
    <w:rsid w:val="003E476D"/>
    <w:rsid w:val="003E63F6"/>
    <w:rsid w:val="003F2579"/>
    <w:rsid w:val="003F3805"/>
    <w:rsid w:val="003F4104"/>
    <w:rsid w:val="003F4239"/>
    <w:rsid w:val="003F499A"/>
    <w:rsid w:val="003F4DF6"/>
    <w:rsid w:val="003F6ED7"/>
    <w:rsid w:val="00400B37"/>
    <w:rsid w:val="00407429"/>
    <w:rsid w:val="004074BC"/>
    <w:rsid w:val="00411461"/>
    <w:rsid w:val="004118F7"/>
    <w:rsid w:val="0041328F"/>
    <w:rsid w:val="00413370"/>
    <w:rsid w:val="00415817"/>
    <w:rsid w:val="0041777D"/>
    <w:rsid w:val="00420134"/>
    <w:rsid w:val="00420D6A"/>
    <w:rsid w:val="00421A48"/>
    <w:rsid w:val="00422446"/>
    <w:rsid w:val="00422D86"/>
    <w:rsid w:val="00423015"/>
    <w:rsid w:val="00423F85"/>
    <w:rsid w:val="00424234"/>
    <w:rsid w:val="004242A6"/>
    <w:rsid w:val="00427ACD"/>
    <w:rsid w:val="00431CBE"/>
    <w:rsid w:val="00434C65"/>
    <w:rsid w:val="004354AE"/>
    <w:rsid w:val="00437F55"/>
    <w:rsid w:val="004421E7"/>
    <w:rsid w:val="00442521"/>
    <w:rsid w:val="00443F5A"/>
    <w:rsid w:val="00446B66"/>
    <w:rsid w:val="00446EDC"/>
    <w:rsid w:val="0045141B"/>
    <w:rsid w:val="00457924"/>
    <w:rsid w:val="0046063D"/>
    <w:rsid w:val="004643BD"/>
    <w:rsid w:val="00466886"/>
    <w:rsid w:val="004668AE"/>
    <w:rsid w:val="00470D28"/>
    <w:rsid w:val="004730BB"/>
    <w:rsid w:val="00474692"/>
    <w:rsid w:val="004746C0"/>
    <w:rsid w:val="00475BD5"/>
    <w:rsid w:val="00480BAD"/>
    <w:rsid w:val="004813E5"/>
    <w:rsid w:val="0048296C"/>
    <w:rsid w:val="00483402"/>
    <w:rsid w:val="00490060"/>
    <w:rsid w:val="00492C2A"/>
    <w:rsid w:val="00493404"/>
    <w:rsid w:val="0049578D"/>
    <w:rsid w:val="00495F6F"/>
    <w:rsid w:val="00497939"/>
    <w:rsid w:val="004A0390"/>
    <w:rsid w:val="004A2473"/>
    <w:rsid w:val="004A38FA"/>
    <w:rsid w:val="004A426F"/>
    <w:rsid w:val="004A5539"/>
    <w:rsid w:val="004A5FC5"/>
    <w:rsid w:val="004A626B"/>
    <w:rsid w:val="004A7654"/>
    <w:rsid w:val="004A7AD6"/>
    <w:rsid w:val="004B128D"/>
    <w:rsid w:val="004B1F08"/>
    <w:rsid w:val="004B2DBD"/>
    <w:rsid w:val="004B5FE5"/>
    <w:rsid w:val="004B7827"/>
    <w:rsid w:val="004C0D54"/>
    <w:rsid w:val="004C1329"/>
    <w:rsid w:val="004C6D34"/>
    <w:rsid w:val="004D074B"/>
    <w:rsid w:val="004D0BBC"/>
    <w:rsid w:val="004D1AD5"/>
    <w:rsid w:val="004D1AE2"/>
    <w:rsid w:val="004D4E91"/>
    <w:rsid w:val="004D5F61"/>
    <w:rsid w:val="004D730C"/>
    <w:rsid w:val="004E107B"/>
    <w:rsid w:val="004E2621"/>
    <w:rsid w:val="004E286B"/>
    <w:rsid w:val="004E403A"/>
    <w:rsid w:val="004E430B"/>
    <w:rsid w:val="004E4CA2"/>
    <w:rsid w:val="004E4FED"/>
    <w:rsid w:val="004E5225"/>
    <w:rsid w:val="004E542C"/>
    <w:rsid w:val="004E63FD"/>
    <w:rsid w:val="004E7B97"/>
    <w:rsid w:val="004F0D5C"/>
    <w:rsid w:val="004F23D5"/>
    <w:rsid w:val="004F50D5"/>
    <w:rsid w:val="004F5A84"/>
    <w:rsid w:val="004F5D3F"/>
    <w:rsid w:val="005003B3"/>
    <w:rsid w:val="00500A81"/>
    <w:rsid w:val="00501003"/>
    <w:rsid w:val="005011C2"/>
    <w:rsid w:val="00501736"/>
    <w:rsid w:val="00501E54"/>
    <w:rsid w:val="00503A7D"/>
    <w:rsid w:val="00504EAB"/>
    <w:rsid w:val="00505C69"/>
    <w:rsid w:val="00506CF2"/>
    <w:rsid w:val="00511C8C"/>
    <w:rsid w:val="00513966"/>
    <w:rsid w:val="00514490"/>
    <w:rsid w:val="00517CFB"/>
    <w:rsid w:val="0052266F"/>
    <w:rsid w:val="0052502A"/>
    <w:rsid w:val="00525EA0"/>
    <w:rsid w:val="00527BC6"/>
    <w:rsid w:val="005310B6"/>
    <w:rsid w:val="0053334D"/>
    <w:rsid w:val="00533C8F"/>
    <w:rsid w:val="005342FA"/>
    <w:rsid w:val="0053443A"/>
    <w:rsid w:val="00534638"/>
    <w:rsid w:val="00536E3A"/>
    <w:rsid w:val="00540F44"/>
    <w:rsid w:val="00540FF7"/>
    <w:rsid w:val="00543594"/>
    <w:rsid w:val="00543BA9"/>
    <w:rsid w:val="00544C56"/>
    <w:rsid w:val="0054641A"/>
    <w:rsid w:val="00547754"/>
    <w:rsid w:val="00553A5C"/>
    <w:rsid w:val="005557DC"/>
    <w:rsid w:val="005561B0"/>
    <w:rsid w:val="005608C9"/>
    <w:rsid w:val="005613F6"/>
    <w:rsid w:val="00561562"/>
    <w:rsid w:val="0056332D"/>
    <w:rsid w:val="005637B2"/>
    <w:rsid w:val="0056723A"/>
    <w:rsid w:val="00567F5F"/>
    <w:rsid w:val="005706CB"/>
    <w:rsid w:val="00571B76"/>
    <w:rsid w:val="00571C90"/>
    <w:rsid w:val="00573EA5"/>
    <w:rsid w:val="00574078"/>
    <w:rsid w:val="0057414B"/>
    <w:rsid w:val="0057456E"/>
    <w:rsid w:val="0057486D"/>
    <w:rsid w:val="0057505F"/>
    <w:rsid w:val="00575F23"/>
    <w:rsid w:val="00577734"/>
    <w:rsid w:val="00580D43"/>
    <w:rsid w:val="005813F8"/>
    <w:rsid w:val="005824DA"/>
    <w:rsid w:val="005829EB"/>
    <w:rsid w:val="00583B30"/>
    <w:rsid w:val="005865D7"/>
    <w:rsid w:val="0059032B"/>
    <w:rsid w:val="00592551"/>
    <w:rsid w:val="005979B4"/>
    <w:rsid w:val="00597D16"/>
    <w:rsid w:val="005A2398"/>
    <w:rsid w:val="005A2E68"/>
    <w:rsid w:val="005A5533"/>
    <w:rsid w:val="005A7215"/>
    <w:rsid w:val="005A78CA"/>
    <w:rsid w:val="005B1B5E"/>
    <w:rsid w:val="005B1BA5"/>
    <w:rsid w:val="005B2148"/>
    <w:rsid w:val="005B3F00"/>
    <w:rsid w:val="005B4F81"/>
    <w:rsid w:val="005B63DB"/>
    <w:rsid w:val="005B66C7"/>
    <w:rsid w:val="005C014D"/>
    <w:rsid w:val="005C0BCE"/>
    <w:rsid w:val="005C0E5C"/>
    <w:rsid w:val="005C3480"/>
    <w:rsid w:val="005C562E"/>
    <w:rsid w:val="005C5885"/>
    <w:rsid w:val="005C5AD2"/>
    <w:rsid w:val="005C6307"/>
    <w:rsid w:val="005D220F"/>
    <w:rsid w:val="005D2B7C"/>
    <w:rsid w:val="005D46E0"/>
    <w:rsid w:val="005D608E"/>
    <w:rsid w:val="005E2832"/>
    <w:rsid w:val="005E415C"/>
    <w:rsid w:val="005E43B0"/>
    <w:rsid w:val="005E58D4"/>
    <w:rsid w:val="005E6490"/>
    <w:rsid w:val="005E6A96"/>
    <w:rsid w:val="005E6B90"/>
    <w:rsid w:val="005F14FB"/>
    <w:rsid w:val="005F249E"/>
    <w:rsid w:val="005F2CE2"/>
    <w:rsid w:val="005F345A"/>
    <w:rsid w:val="005F4D5C"/>
    <w:rsid w:val="005F59C1"/>
    <w:rsid w:val="005F6B4D"/>
    <w:rsid w:val="0060030A"/>
    <w:rsid w:val="00603278"/>
    <w:rsid w:val="006058AF"/>
    <w:rsid w:val="00605E9F"/>
    <w:rsid w:val="00606EAF"/>
    <w:rsid w:val="00607994"/>
    <w:rsid w:val="0061179F"/>
    <w:rsid w:val="00611F74"/>
    <w:rsid w:val="00614C08"/>
    <w:rsid w:val="00615C30"/>
    <w:rsid w:val="006172DB"/>
    <w:rsid w:val="006173EC"/>
    <w:rsid w:val="00621605"/>
    <w:rsid w:val="00621D68"/>
    <w:rsid w:val="00622255"/>
    <w:rsid w:val="00623CEB"/>
    <w:rsid w:val="00624080"/>
    <w:rsid w:val="006252B4"/>
    <w:rsid w:val="0062531D"/>
    <w:rsid w:val="00625C14"/>
    <w:rsid w:val="006271ED"/>
    <w:rsid w:val="006307DC"/>
    <w:rsid w:val="00630831"/>
    <w:rsid w:val="00631897"/>
    <w:rsid w:val="006337C2"/>
    <w:rsid w:val="00633BDF"/>
    <w:rsid w:val="00634ED8"/>
    <w:rsid w:val="00635927"/>
    <w:rsid w:val="00635D2B"/>
    <w:rsid w:val="00640F12"/>
    <w:rsid w:val="00642CE5"/>
    <w:rsid w:val="0064388A"/>
    <w:rsid w:val="00643C7D"/>
    <w:rsid w:val="00643CAD"/>
    <w:rsid w:val="00645D5A"/>
    <w:rsid w:val="00646D29"/>
    <w:rsid w:val="006528B4"/>
    <w:rsid w:val="0066059C"/>
    <w:rsid w:val="00661078"/>
    <w:rsid w:val="00662105"/>
    <w:rsid w:val="00663E41"/>
    <w:rsid w:val="006641DA"/>
    <w:rsid w:val="00664463"/>
    <w:rsid w:val="00666475"/>
    <w:rsid w:val="00667BAA"/>
    <w:rsid w:val="00671389"/>
    <w:rsid w:val="0067172C"/>
    <w:rsid w:val="00672033"/>
    <w:rsid w:val="00673BE3"/>
    <w:rsid w:val="00673FE6"/>
    <w:rsid w:val="00674961"/>
    <w:rsid w:val="00674D65"/>
    <w:rsid w:val="00674F33"/>
    <w:rsid w:val="00675E72"/>
    <w:rsid w:val="006776F3"/>
    <w:rsid w:val="0068026E"/>
    <w:rsid w:val="006815F2"/>
    <w:rsid w:val="0068233F"/>
    <w:rsid w:val="0068491D"/>
    <w:rsid w:val="006876AA"/>
    <w:rsid w:val="006905F3"/>
    <w:rsid w:val="0069248A"/>
    <w:rsid w:val="00694DE3"/>
    <w:rsid w:val="006A15C2"/>
    <w:rsid w:val="006A51AE"/>
    <w:rsid w:val="006B01D5"/>
    <w:rsid w:val="006B3DFE"/>
    <w:rsid w:val="006B3F9A"/>
    <w:rsid w:val="006B5420"/>
    <w:rsid w:val="006B547C"/>
    <w:rsid w:val="006B56DB"/>
    <w:rsid w:val="006B5866"/>
    <w:rsid w:val="006B7752"/>
    <w:rsid w:val="006C17B7"/>
    <w:rsid w:val="006C28D0"/>
    <w:rsid w:val="006C28FE"/>
    <w:rsid w:val="006C2F78"/>
    <w:rsid w:val="006C4AF1"/>
    <w:rsid w:val="006C4F7C"/>
    <w:rsid w:val="006C61C0"/>
    <w:rsid w:val="006D2C1E"/>
    <w:rsid w:val="006D2DD3"/>
    <w:rsid w:val="006D5F85"/>
    <w:rsid w:val="006E13BF"/>
    <w:rsid w:val="006E1E73"/>
    <w:rsid w:val="006E5F1E"/>
    <w:rsid w:val="006E6660"/>
    <w:rsid w:val="006E7BAF"/>
    <w:rsid w:val="006F3FB2"/>
    <w:rsid w:val="006F501D"/>
    <w:rsid w:val="006F5206"/>
    <w:rsid w:val="006F5E37"/>
    <w:rsid w:val="006F63D7"/>
    <w:rsid w:val="006F656C"/>
    <w:rsid w:val="006F6908"/>
    <w:rsid w:val="006F7C91"/>
    <w:rsid w:val="00701768"/>
    <w:rsid w:val="0070335B"/>
    <w:rsid w:val="007036B0"/>
    <w:rsid w:val="0070389A"/>
    <w:rsid w:val="00705790"/>
    <w:rsid w:val="0071005D"/>
    <w:rsid w:val="00710FB4"/>
    <w:rsid w:val="00712015"/>
    <w:rsid w:val="00712860"/>
    <w:rsid w:val="00712A1A"/>
    <w:rsid w:val="00713B6A"/>
    <w:rsid w:val="00713E54"/>
    <w:rsid w:val="00715CFD"/>
    <w:rsid w:val="00717ACB"/>
    <w:rsid w:val="00720002"/>
    <w:rsid w:val="00721137"/>
    <w:rsid w:val="0072314E"/>
    <w:rsid w:val="00724A66"/>
    <w:rsid w:val="00725D8C"/>
    <w:rsid w:val="00725F83"/>
    <w:rsid w:val="00726C67"/>
    <w:rsid w:val="00726EDC"/>
    <w:rsid w:val="00727C56"/>
    <w:rsid w:val="0073088F"/>
    <w:rsid w:val="0073264A"/>
    <w:rsid w:val="0073627F"/>
    <w:rsid w:val="00737D18"/>
    <w:rsid w:val="00737D8A"/>
    <w:rsid w:val="00745905"/>
    <w:rsid w:val="007459E8"/>
    <w:rsid w:val="00745BCF"/>
    <w:rsid w:val="00745D1A"/>
    <w:rsid w:val="0074634C"/>
    <w:rsid w:val="00750002"/>
    <w:rsid w:val="007524AF"/>
    <w:rsid w:val="00752A91"/>
    <w:rsid w:val="00753614"/>
    <w:rsid w:val="00754707"/>
    <w:rsid w:val="007548D5"/>
    <w:rsid w:val="0075609D"/>
    <w:rsid w:val="00760BB8"/>
    <w:rsid w:val="00761FED"/>
    <w:rsid w:val="00763136"/>
    <w:rsid w:val="00763C28"/>
    <w:rsid w:val="007658EE"/>
    <w:rsid w:val="00765D4A"/>
    <w:rsid w:val="00766A0F"/>
    <w:rsid w:val="007670A8"/>
    <w:rsid w:val="00767C0E"/>
    <w:rsid w:val="00773EE9"/>
    <w:rsid w:val="007742AC"/>
    <w:rsid w:val="00774ABC"/>
    <w:rsid w:val="007750B0"/>
    <w:rsid w:val="0078337A"/>
    <w:rsid w:val="0078410B"/>
    <w:rsid w:val="00784974"/>
    <w:rsid w:val="00785220"/>
    <w:rsid w:val="00785B82"/>
    <w:rsid w:val="007910CC"/>
    <w:rsid w:val="00795C28"/>
    <w:rsid w:val="00797A48"/>
    <w:rsid w:val="007A3B82"/>
    <w:rsid w:val="007A71CC"/>
    <w:rsid w:val="007A7265"/>
    <w:rsid w:val="007B06A3"/>
    <w:rsid w:val="007B2FA6"/>
    <w:rsid w:val="007C173C"/>
    <w:rsid w:val="007C23A7"/>
    <w:rsid w:val="007C26F3"/>
    <w:rsid w:val="007C5788"/>
    <w:rsid w:val="007C7391"/>
    <w:rsid w:val="007C7535"/>
    <w:rsid w:val="007C7E78"/>
    <w:rsid w:val="007D0590"/>
    <w:rsid w:val="007D05EE"/>
    <w:rsid w:val="007D2A67"/>
    <w:rsid w:val="007D3402"/>
    <w:rsid w:val="007D3EBC"/>
    <w:rsid w:val="007D4768"/>
    <w:rsid w:val="007D4F49"/>
    <w:rsid w:val="007D633A"/>
    <w:rsid w:val="007D649B"/>
    <w:rsid w:val="007D6BFC"/>
    <w:rsid w:val="007D7A96"/>
    <w:rsid w:val="007E0488"/>
    <w:rsid w:val="007E0BDC"/>
    <w:rsid w:val="007E1EC8"/>
    <w:rsid w:val="007E399B"/>
    <w:rsid w:val="007E502F"/>
    <w:rsid w:val="007E5760"/>
    <w:rsid w:val="007E6AC8"/>
    <w:rsid w:val="007E78DF"/>
    <w:rsid w:val="007F006B"/>
    <w:rsid w:val="007F0B4A"/>
    <w:rsid w:val="00800644"/>
    <w:rsid w:val="0080081B"/>
    <w:rsid w:val="008018BA"/>
    <w:rsid w:val="00805DEF"/>
    <w:rsid w:val="008077EE"/>
    <w:rsid w:val="0081322F"/>
    <w:rsid w:val="008141E9"/>
    <w:rsid w:val="008146C3"/>
    <w:rsid w:val="008149DB"/>
    <w:rsid w:val="008164B3"/>
    <w:rsid w:val="008168C0"/>
    <w:rsid w:val="00816F41"/>
    <w:rsid w:val="00820B7F"/>
    <w:rsid w:val="00822775"/>
    <w:rsid w:val="00823C2C"/>
    <w:rsid w:val="00823CF6"/>
    <w:rsid w:val="008245A2"/>
    <w:rsid w:val="00824D0F"/>
    <w:rsid w:val="00824F3F"/>
    <w:rsid w:val="008261C9"/>
    <w:rsid w:val="008262EA"/>
    <w:rsid w:val="008264AC"/>
    <w:rsid w:val="0082753E"/>
    <w:rsid w:val="0083004B"/>
    <w:rsid w:val="008303AA"/>
    <w:rsid w:val="008313F3"/>
    <w:rsid w:val="008316A6"/>
    <w:rsid w:val="00831E15"/>
    <w:rsid w:val="00834779"/>
    <w:rsid w:val="00834AE9"/>
    <w:rsid w:val="0083519B"/>
    <w:rsid w:val="00836781"/>
    <w:rsid w:val="00837A5A"/>
    <w:rsid w:val="008412B9"/>
    <w:rsid w:val="00842124"/>
    <w:rsid w:val="00844389"/>
    <w:rsid w:val="00846469"/>
    <w:rsid w:val="008553E3"/>
    <w:rsid w:val="008576F2"/>
    <w:rsid w:val="00863ECD"/>
    <w:rsid w:val="008642EC"/>
    <w:rsid w:val="00864F8A"/>
    <w:rsid w:val="00870236"/>
    <w:rsid w:val="00870B3B"/>
    <w:rsid w:val="00871D9E"/>
    <w:rsid w:val="0087240F"/>
    <w:rsid w:val="00875727"/>
    <w:rsid w:val="008767DC"/>
    <w:rsid w:val="008823CC"/>
    <w:rsid w:val="00886779"/>
    <w:rsid w:val="00886C61"/>
    <w:rsid w:val="0089245A"/>
    <w:rsid w:val="00892F0A"/>
    <w:rsid w:val="0089600F"/>
    <w:rsid w:val="00896448"/>
    <w:rsid w:val="008A05FC"/>
    <w:rsid w:val="008A2036"/>
    <w:rsid w:val="008A2074"/>
    <w:rsid w:val="008A2BCA"/>
    <w:rsid w:val="008A2F31"/>
    <w:rsid w:val="008A490E"/>
    <w:rsid w:val="008A4EB9"/>
    <w:rsid w:val="008A7436"/>
    <w:rsid w:val="008A7E97"/>
    <w:rsid w:val="008B1A1C"/>
    <w:rsid w:val="008B37B2"/>
    <w:rsid w:val="008B3B6A"/>
    <w:rsid w:val="008B67C0"/>
    <w:rsid w:val="008C0E88"/>
    <w:rsid w:val="008C7149"/>
    <w:rsid w:val="008D14C0"/>
    <w:rsid w:val="008D3838"/>
    <w:rsid w:val="008D5E36"/>
    <w:rsid w:val="008D5F18"/>
    <w:rsid w:val="008D6A11"/>
    <w:rsid w:val="008D707A"/>
    <w:rsid w:val="008D73DC"/>
    <w:rsid w:val="008E0827"/>
    <w:rsid w:val="008E5BF4"/>
    <w:rsid w:val="008E667A"/>
    <w:rsid w:val="008E738D"/>
    <w:rsid w:val="008F0C69"/>
    <w:rsid w:val="008F1A16"/>
    <w:rsid w:val="008F2A3E"/>
    <w:rsid w:val="008F36F9"/>
    <w:rsid w:val="008F4C09"/>
    <w:rsid w:val="008F6A97"/>
    <w:rsid w:val="009002D1"/>
    <w:rsid w:val="00901687"/>
    <w:rsid w:val="0090350B"/>
    <w:rsid w:val="00903C3B"/>
    <w:rsid w:val="00903F13"/>
    <w:rsid w:val="00905944"/>
    <w:rsid w:val="009141BF"/>
    <w:rsid w:val="009215AF"/>
    <w:rsid w:val="00921955"/>
    <w:rsid w:val="00921A25"/>
    <w:rsid w:val="00925625"/>
    <w:rsid w:val="009279AE"/>
    <w:rsid w:val="00930379"/>
    <w:rsid w:val="00930B81"/>
    <w:rsid w:val="00933097"/>
    <w:rsid w:val="00934295"/>
    <w:rsid w:val="00935408"/>
    <w:rsid w:val="00935A5D"/>
    <w:rsid w:val="009368F2"/>
    <w:rsid w:val="00936C58"/>
    <w:rsid w:val="009406B5"/>
    <w:rsid w:val="0094106B"/>
    <w:rsid w:val="009427DE"/>
    <w:rsid w:val="00942E4A"/>
    <w:rsid w:val="00945071"/>
    <w:rsid w:val="00945BC3"/>
    <w:rsid w:val="00946C44"/>
    <w:rsid w:val="00946E76"/>
    <w:rsid w:val="00946F32"/>
    <w:rsid w:val="009471D5"/>
    <w:rsid w:val="00947AA3"/>
    <w:rsid w:val="00953B8E"/>
    <w:rsid w:val="00954B06"/>
    <w:rsid w:val="00954B3A"/>
    <w:rsid w:val="00955E29"/>
    <w:rsid w:val="00956EF6"/>
    <w:rsid w:val="00957347"/>
    <w:rsid w:val="009612FC"/>
    <w:rsid w:val="009615AF"/>
    <w:rsid w:val="0096212D"/>
    <w:rsid w:val="00965133"/>
    <w:rsid w:val="00967CB4"/>
    <w:rsid w:val="0097088E"/>
    <w:rsid w:val="00972D7B"/>
    <w:rsid w:val="00972F10"/>
    <w:rsid w:val="0097345B"/>
    <w:rsid w:val="00974172"/>
    <w:rsid w:val="00975815"/>
    <w:rsid w:val="00980075"/>
    <w:rsid w:val="00981983"/>
    <w:rsid w:val="009835F6"/>
    <w:rsid w:val="00983BBA"/>
    <w:rsid w:val="00984959"/>
    <w:rsid w:val="00985AA1"/>
    <w:rsid w:val="00990942"/>
    <w:rsid w:val="00991016"/>
    <w:rsid w:val="00991E89"/>
    <w:rsid w:val="00994955"/>
    <w:rsid w:val="00995AC0"/>
    <w:rsid w:val="009A0E46"/>
    <w:rsid w:val="009A2861"/>
    <w:rsid w:val="009A60EC"/>
    <w:rsid w:val="009A6171"/>
    <w:rsid w:val="009A6577"/>
    <w:rsid w:val="009B3F0D"/>
    <w:rsid w:val="009B611B"/>
    <w:rsid w:val="009B791A"/>
    <w:rsid w:val="009B7A64"/>
    <w:rsid w:val="009C19CB"/>
    <w:rsid w:val="009C1CE6"/>
    <w:rsid w:val="009C1E3C"/>
    <w:rsid w:val="009C326F"/>
    <w:rsid w:val="009C3EEA"/>
    <w:rsid w:val="009C53F4"/>
    <w:rsid w:val="009C609D"/>
    <w:rsid w:val="009C6A6F"/>
    <w:rsid w:val="009C7B58"/>
    <w:rsid w:val="009C7D13"/>
    <w:rsid w:val="009D0024"/>
    <w:rsid w:val="009D1D90"/>
    <w:rsid w:val="009D1F56"/>
    <w:rsid w:val="009D21C4"/>
    <w:rsid w:val="009D2528"/>
    <w:rsid w:val="009D27E5"/>
    <w:rsid w:val="009D3AD3"/>
    <w:rsid w:val="009D3DCF"/>
    <w:rsid w:val="009D4478"/>
    <w:rsid w:val="009D4E43"/>
    <w:rsid w:val="009D7654"/>
    <w:rsid w:val="009D7F3F"/>
    <w:rsid w:val="009E0898"/>
    <w:rsid w:val="009E2511"/>
    <w:rsid w:val="009E27F5"/>
    <w:rsid w:val="009E3DBC"/>
    <w:rsid w:val="009E6021"/>
    <w:rsid w:val="009E7139"/>
    <w:rsid w:val="009F1953"/>
    <w:rsid w:val="009F4B7F"/>
    <w:rsid w:val="009F4EC9"/>
    <w:rsid w:val="009F5DC0"/>
    <w:rsid w:val="009F6511"/>
    <w:rsid w:val="009F6F0C"/>
    <w:rsid w:val="00A00BE5"/>
    <w:rsid w:val="00A02A4C"/>
    <w:rsid w:val="00A033C3"/>
    <w:rsid w:val="00A03E02"/>
    <w:rsid w:val="00A0407E"/>
    <w:rsid w:val="00A0415F"/>
    <w:rsid w:val="00A04E3E"/>
    <w:rsid w:val="00A05126"/>
    <w:rsid w:val="00A06CF5"/>
    <w:rsid w:val="00A10881"/>
    <w:rsid w:val="00A108EF"/>
    <w:rsid w:val="00A12D23"/>
    <w:rsid w:val="00A12F71"/>
    <w:rsid w:val="00A13F5B"/>
    <w:rsid w:val="00A1517F"/>
    <w:rsid w:val="00A1704A"/>
    <w:rsid w:val="00A17610"/>
    <w:rsid w:val="00A17E0E"/>
    <w:rsid w:val="00A20A60"/>
    <w:rsid w:val="00A20D7E"/>
    <w:rsid w:val="00A20F4C"/>
    <w:rsid w:val="00A21E0A"/>
    <w:rsid w:val="00A22E53"/>
    <w:rsid w:val="00A23201"/>
    <w:rsid w:val="00A23DB8"/>
    <w:rsid w:val="00A240B0"/>
    <w:rsid w:val="00A25BA2"/>
    <w:rsid w:val="00A26089"/>
    <w:rsid w:val="00A2662C"/>
    <w:rsid w:val="00A26D89"/>
    <w:rsid w:val="00A27083"/>
    <w:rsid w:val="00A3061F"/>
    <w:rsid w:val="00A327B2"/>
    <w:rsid w:val="00A33B4B"/>
    <w:rsid w:val="00A37C7C"/>
    <w:rsid w:val="00A4102E"/>
    <w:rsid w:val="00A42C98"/>
    <w:rsid w:val="00A46190"/>
    <w:rsid w:val="00A4653C"/>
    <w:rsid w:val="00A47D0F"/>
    <w:rsid w:val="00A502BC"/>
    <w:rsid w:val="00A51FC4"/>
    <w:rsid w:val="00A5363C"/>
    <w:rsid w:val="00A53780"/>
    <w:rsid w:val="00A53DAF"/>
    <w:rsid w:val="00A54D9A"/>
    <w:rsid w:val="00A57B78"/>
    <w:rsid w:val="00A65003"/>
    <w:rsid w:val="00A65154"/>
    <w:rsid w:val="00A65713"/>
    <w:rsid w:val="00A66616"/>
    <w:rsid w:val="00A66F2C"/>
    <w:rsid w:val="00A71005"/>
    <w:rsid w:val="00A716AB"/>
    <w:rsid w:val="00A73409"/>
    <w:rsid w:val="00A75A05"/>
    <w:rsid w:val="00A76D5B"/>
    <w:rsid w:val="00A76E39"/>
    <w:rsid w:val="00A773C9"/>
    <w:rsid w:val="00A77F01"/>
    <w:rsid w:val="00A812F6"/>
    <w:rsid w:val="00A81EA4"/>
    <w:rsid w:val="00A82190"/>
    <w:rsid w:val="00A86438"/>
    <w:rsid w:val="00A877BD"/>
    <w:rsid w:val="00A87C34"/>
    <w:rsid w:val="00A90B6D"/>
    <w:rsid w:val="00A92321"/>
    <w:rsid w:val="00A939EC"/>
    <w:rsid w:val="00A97167"/>
    <w:rsid w:val="00A97A29"/>
    <w:rsid w:val="00A97BF0"/>
    <w:rsid w:val="00AA09B6"/>
    <w:rsid w:val="00AA14E5"/>
    <w:rsid w:val="00AA2D59"/>
    <w:rsid w:val="00AA3B1B"/>
    <w:rsid w:val="00AA5494"/>
    <w:rsid w:val="00AA5E72"/>
    <w:rsid w:val="00AA693D"/>
    <w:rsid w:val="00AB08D2"/>
    <w:rsid w:val="00AB137A"/>
    <w:rsid w:val="00AB299B"/>
    <w:rsid w:val="00AB3C41"/>
    <w:rsid w:val="00AB4332"/>
    <w:rsid w:val="00AB476D"/>
    <w:rsid w:val="00AB6372"/>
    <w:rsid w:val="00AB6B2E"/>
    <w:rsid w:val="00AC1E3F"/>
    <w:rsid w:val="00AC4C27"/>
    <w:rsid w:val="00AC59BD"/>
    <w:rsid w:val="00AC61B7"/>
    <w:rsid w:val="00AC7550"/>
    <w:rsid w:val="00AD1780"/>
    <w:rsid w:val="00AD26DA"/>
    <w:rsid w:val="00AD2998"/>
    <w:rsid w:val="00AD37F2"/>
    <w:rsid w:val="00AD47A4"/>
    <w:rsid w:val="00AD4F47"/>
    <w:rsid w:val="00AD6060"/>
    <w:rsid w:val="00AE3538"/>
    <w:rsid w:val="00AE60DA"/>
    <w:rsid w:val="00AE69C8"/>
    <w:rsid w:val="00AF2BCF"/>
    <w:rsid w:val="00AF5E6C"/>
    <w:rsid w:val="00AF7A45"/>
    <w:rsid w:val="00B01037"/>
    <w:rsid w:val="00B039AB"/>
    <w:rsid w:val="00B03C4E"/>
    <w:rsid w:val="00B06BA3"/>
    <w:rsid w:val="00B1155F"/>
    <w:rsid w:val="00B141A8"/>
    <w:rsid w:val="00B15CA9"/>
    <w:rsid w:val="00B15CE1"/>
    <w:rsid w:val="00B166EE"/>
    <w:rsid w:val="00B17912"/>
    <w:rsid w:val="00B20B49"/>
    <w:rsid w:val="00B22BDE"/>
    <w:rsid w:val="00B23F2B"/>
    <w:rsid w:val="00B26097"/>
    <w:rsid w:val="00B261A3"/>
    <w:rsid w:val="00B276D7"/>
    <w:rsid w:val="00B278D2"/>
    <w:rsid w:val="00B302D5"/>
    <w:rsid w:val="00B30CB6"/>
    <w:rsid w:val="00B36F9C"/>
    <w:rsid w:val="00B37732"/>
    <w:rsid w:val="00B43530"/>
    <w:rsid w:val="00B449CB"/>
    <w:rsid w:val="00B451EA"/>
    <w:rsid w:val="00B452BC"/>
    <w:rsid w:val="00B504DB"/>
    <w:rsid w:val="00B51C09"/>
    <w:rsid w:val="00B52362"/>
    <w:rsid w:val="00B52FB6"/>
    <w:rsid w:val="00B534F1"/>
    <w:rsid w:val="00B56CD8"/>
    <w:rsid w:val="00B60607"/>
    <w:rsid w:val="00B608DF"/>
    <w:rsid w:val="00B635DE"/>
    <w:rsid w:val="00B64F43"/>
    <w:rsid w:val="00B6624E"/>
    <w:rsid w:val="00B67B78"/>
    <w:rsid w:val="00B71370"/>
    <w:rsid w:val="00B71E97"/>
    <w:rsid w:val="00B7322E"/>
    <w:rsid w:val="00B739DC"/>
    <w:rsid w:val="00B7626E"/>
    <w:rsid w:val="00B768A2"/>
    <w:rsid w:val="00B80E12"/>
    <w:rsid w:val="00B8186A"/>
    <w:rsid w:val="00B83456"/>
    <w:rsid w:val="00B84FD6"/>
    <w:rsid w:val="00B84FDD"/>
    <w:rsid w:val="00B856BA"/>
    <w:rsid w:val="00B8590A"/>
    <w:rsid w:val="00B87681"/>
    <w:rsid w:val="00B9327D"/>
    <w:rsid w:val="00B93558"/>
    <w:rsid w:val="00B9695F"/>
    <w:rsid w:val="00B96EC1"/>
    <w:rsid w:val="00B97485"/>
    <w:rsid w:val="00B97880"/>
    <w:rsid w:val="00B97F6A"/>
    <w:rsid w:val="00BA1815"/>
    <w:rsid w:val="00BA248A"/>
    <w:rsid w:val="00BA27F4"/>
    <w:rsid w:val="00BA648C"/>
    <w:rsid w:val="00BA6530"/>
    <w:rsid w:val="00BA7465"/>
    <w:rsid w:val="00BA7A26"/>
    <w:rsid w:val="00BB03F7"/>
    <w:rsid w:val="00BB1727"/>
    <w:rsid w:val="00BB3799"/>
    <w:rsid w:val="00BB3DD5"/>
    <w:rsid w:val="00BB3EAA"/>
    <w:rsid w:val="00BB4913"/>
    <w:rsid w:val="00BB49DC"/>
    <w:rsid w:val="00BB5E2E"/>
    <w:rsid w:val="00BB690B"/>
    <w:rsid w:val="00BB6EC9"/>
    <w:rsid w:val="00BC004F"/>
    <w:rsid w:val="00BC6422"/>
    <w:rsid w:val="00BC7FBC"/>
    <w:rsid w:val="00BD0A97"/>
    <w:rsid w:val="00BD111D"/>
    <w:rsid w:val="00BD14F1"/>
    <w:rsid w:val="00BD2C25"/>
    <w:rsid w:val="00BD3E07"/>
    <w:rsid w:val="00BD4EF9"/>
    <w:rsid w:val="00BD67E0"/>
    <w:rsid w:val="00BD69A1"/>
    <w:rsid w:val="00BD6E48"/>
    <w:rsid w:val="00BD70A7"/>
    <w:rsid w:val="00BE04B0"/>
    <w:rsid w:val="00BE1C04"/>
    <w:rsid w:val="00BE54B1"/>
    <w:rsid w:val="00BE5A55"/>
    <w:rsid w:val="00BE5F36"/>
    <w:rsid w:val="00BE7306"/>
    <w:rsid w:val="00BF16A0"/>
    <w:rsid w:val="00BF1F48"/>
    <w:rsid w:val="00BF3FCB"/>
    <w:rsid w:val="00BF5B52"/>
    <w:rsid w:val="00BF6DCF"/>
    <w:rsid w:val="00C018D8"/>
    <w:rsid w:val="00C02024"/>
    <w:rsid w:val="00C02A22"/>
    <w:rsid w:val="00C02A50"/>
    <w:rsid w:val="00C04F3C"/>
    <w:rsid w:val="00C06E5E"/>
    <w:rsid w:val="00C073AC"/>
    <w:rsid w:val="00C100C4"/>
    <w:rsid w:val="00C129D6"/>
    <w:rsid w:val="00C12D4C"/>
    <w:rsid w:val="00C15C3A"/>
    <w:rsid w:val="00C1608C"/>
    <w:rsid w:val="00C167E8"/>
    <w:rsid w:val="00C16F51"/>
    <w:rsid w:val="00C17286"/>
    <w:rsid w:val="00C21721"/>
    <w:rsid w:val="00C22561"/>
    <w:rsid w:val="00C226EF"/>
    <w:rsid w:val="00C23CB8"/>
    <w:rsid w:val="00C262D2"/>
    <w:rsid w:val="00C2733A"/>
    <w:rsid w:val="00C31A16"/>
    <w:rsid w:val="00C3213A"/>
    <w:rsid w:val="00C3365D"/>
    <w:rsid w:val="00C35920"/>
    <w:rsid w:val="00C374EB"/>
    <w:rsid w:val="00C41103"/>
    <w:rsid w:val="00C411BF"/>
    <w:rsid w:val="00C412F7"/>
    <w:rsid w:val="00C41873"/>
    <w:rsid w:val="00C45703"/>
    <w:rsid w:val="00C46F8B"/>
    <w:rsid w:val="00C503B4"/>
    <w:rsid w:val="00C50BEF"/>
    <w:rsid w:val="00C52ACB"/>
    <w:rsid w:val="00C53138"/>
    <w:rsid w:val="00C533B3"/>
    <w:rsid w:val="00C54FA4"/>
    <w:rsid w:val="00C62A66"/>
    <w:rsid w:val="00C66104"/>
    <w:rsid w:val="00C66733"/>
    <w:rsid w:val="00C67460"/>
    <w:rsid w:val="00C67E80"/>
    <w:rsid w:val="00C71EEA"/>
    <w:rsid w:val="00C720DB"/>
    <w:rsid w:val="00C72A61"/>
    <w:rsid w:val="00C72BA4"/>
    <w:rsid w:val="00C72C2A"/>
    <w:rsid w:val="00C74967"/>
    <w:rsid w:val="00C75BC8"/>
    <w:rsid w:val="00C77257"/>
    <w:rsid w:val="00C804D0"/>
    <w:rsid w:val="00C8198A"/>
    <w:rsid w:val="00C8275E"/>
    <w:rsid w:val="00C90DDD"/>
    <w:rsid w:val="00C9448A"/>
    <w:rsid w:val="00C951A3"/>
    <w:rsid w:val="00C96FDE"/>
    <w:rsid w:val="00CA062F"/>
    <w:rsid w:val="00CA1815"/>
    <w:rsid w:val="00CA2240"/>
    <w:rsid w:val="00CA2F68"/>
    <w:rsid w:val="00CA3615"/>
    <w:rsid w:val="00CA3639"/>
    <w:rsid w:val="00CA4166"/>
    <w:rsid w:val="00CA5247"/>
    <w:rsid w:val="00CA569D"/>
    <w:rsid w:val="00CA6322"/>
    <w:rsid w:val="00CA6406"/>
    <w:rsid w:val="00CA7581"/>
    <w:rsid w:val="00CB14AB"/>
    <w:rsid w:val="00CB1D9F"/>
    <w:rsid w:val="00CB22E0"/>
    <w:rsid w:val="00CB4E48"/>
    <w:rsid w:val="00CB6D8C"/>
    <w:rsid w:val="00CC1024"/>
    <w:rsid w:val="00CC11E4"/>
    <w:rsid w:val="00CC1593"/>
    <w:rsid w:val="00CC1EAA"/>
    <w:rsid w:val="00CC2D2A"/>
    <w:rsid w:val="00CC3DFD"/>
    <w:rsid w:val="00CC46F4"/>
    <w:rsid w:val="00CC496F"/>
    <w:rsid w:val="00CC6A9D"/>
    <w:rsid w:val="00CD0A2F"/>
    <w:rsid w:val="00CD1903"/>
    <w:rsid w:val="00CD19A5"/>
    <w:rsid w:val="00CD1FE4"/>
    <w:rsid w:val="00CD2837"/>
    <w:rsid w:val="00CD2EA0"/>
    <w:rsid w:val="00CD363B"/>
    <w:rsid w:val="00CD536C"/>
    <w:rsid w:val="00CD613A"/>
    <w:rsid w:val="00CD63E9"/>
    <w:rsid w:val="00CE01A1"/>
    <w:rsid w:val="00CE0E1C"/>
    <w:rsid w:val="00CE0F6E"/>
    <w:rsid w:val="00CE160D"/>
    <w:rsid w:val="00CE3D9F"/>
    <w:rsid w:val="00CE4C75"/>
    <w:rsid w:val="00CE56FD"/>
    <w:rsid w:val="00CE5CA3"/>
    <w:rsid w:val="00CE6E60"/>
    <w:rsid w:val="00CE7A1C"/>
    <w:rsid w:val="00CF45E2"/>
    <w:rsid w:val="00CF4902"/>
    <w:rsid w:val="00CF50B2"/>
    <w:rsid w:val="00CF559F"/>
    <w:rsid w:val="00CF79CF"/>
    <w:rsid w:val="00CF7AE3"/>
    <w:rsid w:val="00CF7BF9"/>
    <w:rsid w:val="00D031A2"/>
    <w:rsid w:val="00D04F13"/>
    <w:rsid w:val="00D051D7"/>
    <w:rsid w:val="00D05277"/>
    <w:rsid w:val="00D05769"/>
    <w:rsid w:val="00D103D3"/>
    <w:rsid w:val="00D11C47"/>
    <w:rsid w:val="00D12210"/>
    <w:rsid w:val="00D145B7"/>
    <w:rsid w:val="00D169C4"/>
    <w:rsid w:val="00D17A2D"/>
    <w:rsid w:val="00D21AAC"/>
    <w:rsid w:val="00D21CC2"/>
    <w:rsid w:val="00D22AD9"/>
    <w:rsid w:val="00D22DF4"/>
    <w:rsid w:val="00D240D1"/>
    <w:rsid w:val="00D2426C"/>
    <w:rsid w:val="00D25841"/>
    <w:rsid w:val="00D30D6F"/>
    <w:rsid w:val="00D31457"/>
    <w:rsid w:val="00D320AA"/>
    <w:rsid w:val="00D3238B"/>
    <w:rsid w:val="00D32637"/>
    <w:rsid w:val="00D33645"/>
    <w:rsid w:val="00D336FF"/>
    <w:rsid w:val="00D41FAD"/>
    <w:rsid w:val="00D425BA"/>
    <w:rsid w:val="00D42907"/>
    <w:rsid w:val="00D429DC"/>
    <w:rsid w:val="00D447C1"/>
    <w:rsid w:val="00D450F1"/>
    <w:rsid w:val="00D474B9"/>
    <w:rsid w:val="00D50304"/>
    <w:rsid w:val="00D50FF2"/>
    <w:rsid w:val="00D57342"/>
    <w:rsid w:val="00D60A66"/>
    <w:rsid w:val="00D60EE3"/>
    <w:rsid w:val="00D6326F"/>
    <w:rsid w:val="00D63D38"/>
    <w:rsid w:val="00D6509B"/>
    <w:rsid w:val="00D650D1"/>
    <w:rsid w:val="00D7253E"/>
    <w:rsid w:val="00D73432"/>
    <w:rsid w:val="00D73ED2"/>
    <w:rsid w:val="00D74FAB"/>
    <w:rsid w:val="00D76511"/>
    <w:rsid w:val="00D7735B"/>
    <w:rsid w:val="00D77F94"/>
    <w:rsid w:val="00D808EA"/>
    <w:rsid w:val="00D80A13"/>
    <w:rsid w:val="00D85262"/>
    <w:rsid w:val="00D85C07"/>
    <w:rsid w:val="00D9068A"/>
    <w:rsid w:val="00D91381"/>
    <w:rsid w:val="00D9390F"/>
    <w:rsid w:val="00D957FD"/>
    <w:rsid w:val="00D95DD0"/>
    <w:rsid w:val="00D95DE6"/>
    <w:rsid w:val="00D96731"/>
    <w:rsid w:val="00DA12C0"/>
    <w:rsid w:val="00DA1C36"/>
    <w:rsid w:val="00DA1F3F"/>
    <w:rsid w:val="00DA2522"/>
    <w:rsid w:val="00DA25B5"/>
    <w:rsid w:val="00DA3847"/>
    <w:rsid w:val="00DA3930"/>
    <w:rsid w:val="00DA689A"/>
    <w:rsid w:val="00DB084E"/>
    <w:rsid w:val="00DB0FE0"/>
    <w:rsid w:val="00DB2A74"/>
    <w:rsid w:val="00DB34D1"/>
    <w:rsid w:val="00DB37A2"/>
    <w:rsid w:val="00DB3A85"/>
    <w:rsid w:val="00DB67C7"/>
    <w:rsid w:val="00DB7C61"/>
    <w:rsid w:val="00DC06AE"/>
    <w:rsid w:val="00DC12A2"/>
    <w:rsid w:val="00DC1B17"/>
    <w:rsid w:val="00DC22F3"/>
    <w:rsid w:val="00DC2867"/>
    <w:rsid w:val="00DC4255"/>
    <w:rsid w:val="00DC69E5"/>
    <w:rsid w:val="00DC6FDE"/>
    <w:rsid w:val="00DD0041"/>
    <w:rsid w:val="00DD1BED"/>
    <w:rsid w:val="00DD45E5"/>
    <w:rsid w:val="00DD5419"/>
    <w:rsid w:val="00DD72C7"/>
    <w:rsid w:val="00DD74D5"/>
    <w:rsid w:val="00DE3643"/>
    <w:rsid w:val="00DE4F0D"/>
    <w:rsid w:val="00DE5337"/>
    <w:rsid w:val="00DE5D33"/>
    <w:rsid w:val="00DE6BF7"/>
    <w:rsid w:val="00DE6D6C"/>
    <w:rsid w:val="00DE7263"/>
    <w:rsid w:val="00DF00D2"/>
    <w:rsid w:val="00DF02B7"/>
    <w:rsid w:val="00DF2513"/>
    <w:rsid w:val="00DF26DA"/>
    <w:rsid w:val="00DF41A0"/>
    <w:rsid w:val="00DF4FD0"/>
    <w:rsid w:val="00DF521C"/>
    <w:rsid w:val="00DF54B1"/>
    <w:rsid w:val="00DF6169"/>
    <w:rsid w:val="00DF74D6"/>
    <w:rsid w:val="00E01A30"/>
    <w:rsid w:val="00E01D01"/>
    <w:rsid w:val="00E04727"/>
    <w:rsid w:val="00E10849"/>
    <w:rsid w:val="00E115B1"/>
    <w:rsid w:val="00E11C36"/>
    <w:rsid w:val="00E11FDF"/>
    <w:rsid w:val="00E13F3A"/>
    <w:rsid w:val="00E1600C"/>
    <w:rsid w:val="00E16A27"/>
    <w:rsid w:val="00E176F4"/>
    <w:rsid w:val="00E20DED"/>
    <w:rsid w:val="00E22644"/>
    <w:rsid w:val="00E22BC1"/>
    <w:rsid w:val="00E2533A"/>
    <w:rsid w:val="00E25830"/>
    <w:rsid w:val="00E25966"/>
    <w:rsid w:val="00E32006"/>
    <w:rsid w:val="00E34489"/>
    <w:rsid w:val="00E35254"/>
    <w:rsid w:val="00E35382"/>
    <w:rsid w:val="00E36361"/>
    <w:rsid w:val="00E37950"/>
    <w:rsid w:val="00E40340"/>
    <w:rsid w:val="00E40700"/>
    <w:rsid w:val="00E407A1"/>
    <w:rsid w:val="00E4173F"/>
    <w:rsid w:val="00E41D9D"/>
    <w:rsid w:val="00E45CE1"/>
    <w:rsid w:val="00E462E9"/>
    <w:rsid w:val="00E50DFF"/>
    <w:rsid w:val="00E53C60"/>
    <w:rsid w:val="00E577E9"/>
    <w:rsid w:val="00E62AAC"/>
    <w:rsid w:val="00E643FE"/>
    <w:rsid w:val="00E646FF"/>
    <w:rsid w:val="00E701F3"/>
    <w:rsid w:val="00E73E86"/>
    <w:rsid w:val="00E741D0"/>
    <w:rsid w:val="00E74857"/>
    <w:rsid w:val="00E77C1A"/>
    <w:rsid w:val="00E823C3"/>
    <w:rsid w:val="00E83389"/>
    <w:rsid w:val="00E8504E"/>
    <w:rsid w:val="00E86925"/>
    <w:rsid w:val="00E869A7"/>
    <w:rsid w:val="00E87B82"/>
    <w:rsid w:val="00E87EE7"/>
    <w:rsid w:val="00E9156E"/>
    <w:rsid w:val="00E92CE4"/>
    <w:rsid w:val="00E92E20"/>
    <w:rsid w:val="00E9372C"/>
    <w:rsid w:val="00E93855"/>
    <w:rsid w:val="00E93CDE"/>
    <w:rsid w:val="00E95E58"/>
    <w:rsid w:val="00E95FD6"/>
    <w:rsid w:val="00E96F87"/>
    <w:rsid w:val="00EA015C"/>
    <w:rsid w:val="00EA0B9D"/>
    <w:rsid w:val="00EA1217"/>
    <w:rsid w:val="00EA131A"/>
    <w:rsid w:val="00EA1DB0"/>
    <w:rsid w:val="00EA4ADC"/>
    <w:rsid w:val="00EA7628"/>
    <w:rsid w:val="00EB0506"/>
    <w:rsid w:val="00EB117E"/>
    <w:rsid w:val="00EB16E3"/>
    <w:rsid w:val="00EB1ADD"/>
    <w:rsid w:val="00EB21FD"/>
    <w:rsid w:val="00EB43F0"/>
    <w:rsid w:val="00EB60E0"/>
    <w:rsid w:val="00EB671D"/>
    <w:rsid w:val="00EC080B"/>
    <w:rsid w:val="00EC1C13"/>
    <w:rsid w:val="00EC244D"/>
    <w:rsid w:val="00EC3839"/>
    <w:rsid w:val="00EC470C"/>
    <w:rsid w:val="00EC4A03"/>
    <w:rsid w:val="00EC5E5B"/>
    <w:rsid w:val="00EC612F"/>
    <w:rsid w:val="00EC79CA"/>
    <w:rsid w:val="00ED1B06"/>
    <w:rsid w:val="00ED249E"/>
    <w:rsid w:val="00ED43DF"/>
    <w:rsid w:val="00ED5E70"/>
    <w:rsid w:val="00ED7743"/>
    <w:rsid w:val="00EE16ED"/>
    <w:rsid w:val="00EE1A05"/>
    <w:rsid w:val="00EE28C5"/>
    <w:rsid w:val="00EE5252"/>
    <w:rsid w:val="00EE5BF3"/>
    <w:rsid w:val="00EE6C4D"/>
    <w:rsid w:val="00EE73AF"/>
    <w:rsid w:val="00EE74E3"/>
    <w:rsid w:val="00EF0DA6"/>
    <w:rsid w:val="00EF47C4"/>
    <w:rsid w:val="00F0272E"/>
    <w:rsid w:val="00F03C89"/>
    <w:rsid w:val="00F07613"/>
    <w:rsid w:val="00F10CBC"/>
    <w:rsid w:val="00F15268"/>
    <w:rsid w:val="00F202D7"/>
    <w:rsid w:val="00F2074A"/>
    <w:rsid w:val="00F20BEC"/>
    <w:rsid w:val="00F20EFB"/>
    <w:rsid w:val="00F2501F"/>
    <w:rsid w:val="00F26512"/>
    <w:rsid w:val="00F27DEA"/>
    <w:rsid w:val="00F30D12"/>
    <w:rsid w:val="00F343E1"/>
    <w:rsid w:val="00F36FD4"/>
    <w:rsid w:val="00F372F3"/>
    <w:rsid w:val="00F402AC"/>
    <w:rsid w:val="00F4195D"/>
    <w:rsid w:val="00F41C8E"/>
    <w:rsid w:val="00F429CE"/>
    <w:rsid w:val="00F44A41"/>
    <w:rsid w:val="00F44A78"/>
    <w:rsid w:val="00F44C4F"/>
    <w:rsid w:val="00F458CC"/>
    <w:rsid w:val="00F46184"/>
    <w:rsid w:val="00F478CA"/>
    <w:rsid w:val="00F510AB"/>
    <w:rsid w:val="00F513F8"/>
    <w:rsid w:val="00F53534"/>
    <w:rsid w:val="00F5371B"/>
    <w:rsid w:val="00F540C5"/>
    <w:rsid w:val="00F573FE"/>
    <w:rsid w:val="00F57B07"/>
    <w:rsid w:val="00F57DB6"/>
    <w:rsid w:val="00F64A19"/>
    <w:rsid w:val="00F64C2D"/>
    <w:rsid w:val="00F65F16"/>
    <w:rsid w:val="00F67122"/>
    <w:rsid w:val="00F675E5"/>
    <w:rsid w:val="00F70A6E"/>
    <w:rsid w:val="00F73E87"/>
    <w:rsid w:val="00F74F4A"/>
    <w:rsid w:val="00F775DA"/>
    <w:rsid w:val="00F77C57"/>
    <w:rsid w:val="00F806B8"/>
    <w:rsid w:val="00F80AF3"/>
    <w:rsid w:val="00F80BF3"/>
    <w:rsid w:val="00F81C9E"/>
    <w:rsid w:val="00F82D10"/>
    <w:rsid w:val="00F83E0C"/>
    <w:rsid w:val="00F847DA"/>
    <w:rsid w:val="00F853EC"/>
    <w:rsid w:val="00F86229"/>
    <w:rsid w:val="00F86ED0"/>
    <w:rsid w:val="00F90419"/>
    <w:rsid w:val="00F90635"/>
    <w:rsid w:val="00F9180C"/>
    <w:rsid w:val="00F9262A"/>
    <w:rsid w:val="00F93B59"/>
    <w:rsid w:val="00F93C41"/>
    <w:rsid w:val="00F9411C"/>
    <w:rsid w:val="00F943FB"/>
    <w:rsid w:val="00F9592A"/>
    <w:rsid w:val="00F9749C"/>
    <w:rsid w:val="00F978A4"/>
    <w:rsid w:val="00FA2596"/>
    <w:rsid w:val="00FA341B"/>
    <w:rsid w:val="00FA34CC"/>
    <w:rsid w:val="00FA3730"/>
    <w:rsid w:val="00FA42F1"/>
    <w:rsid w:val="00FA4D41"/>
    <w:rsid w:val="00FA4E19"/>
    <w:rsid w:val="00FA607C"/>
    <w:rsid w:val="00FA6A2B"/>
    <w:rsid w:val="00FA6C95"/>
    <w:rsid w:val="00FA7234"/>
    <w:rsid w:val="00FA7275"/>
    <w:rsid w:val="00FB08B7"/>
    <w:rsid w:val="00FB253A"/>
    <w:rsid w:val="00FB2DA5"/>
    <w:rsid w:val="00FB435F"/>
    <w:rsid w:val="00FB52B3"/>
    <w:rsid w:val="00FB7630"/>
    <w:rsid w:val="00FB778B"/>
    <w:rsid w:val="00FB7DB4"/>
    <w:rsid w:val="00FC18DD"/>
    <w:rsid w:val="00FC1CAD"/>
    <w:rsid w:val="00FC2226"/>
    <w:rsid w:val="00FC23F6"/>
    <w:rsid w:val="00FC4FA8"/>
    <w:rsid w:val="00FC6C2C"/>
    <w:rsid w:val="00FD026F"/>
    <w:rsid w:val="00FD1D56"/>
    <w:rsid w:val="00FD264E"/>
    <w:rsid w:val="00FD4949"/>
    <w:rsid w:val="00FD54C5"/>
    <w:rsid w:val="00FD5EF6"/>
    <w:rsid w:val="00FE1B64"/>
    <w:rsid w:val="00FE2565"/>
    <w:rsid w:val="00FF00FF"/>
    <w:rsid w:val="00FF1C25"/>
    <w:rsid w:val="00FF2B5B"/>
    <w:rsid w:val="00FF611C"/>
    <w:rsid w:val="00FF6466"/>
    <w:rsid w:val="00FF64CA"/>
    <w:rsid w:val="00FF6863"/>
    <w:rsid w:val="00FF6D7E"/>
    <w:rsid w:val="00FF7634"/>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5:docId w15:val="{BC012EED-9DB1-4ACB-8389-4C6E916CFF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qFormat="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44C4F"/>
  </w:style>
  <w:style w:type="paragraph" w:styleId="Titre1">
    <w:name w:val="heading 1"/>
    <w:basedOn w:val="Normal"/>
    <w:link w:val="Titre1Car"/>
    <w:autoRedefine/>
    <w:uiPriority w:val="9"/>
    <w:qFormat/>
    <w:rsid w:val="004A7654"/>
    <w:pPr>
      <w:widowControl w:val="0"/>
      <w:autoSpaceDE w:val="0"/>
      <w:autoSpaceDN w:val="0"/>
      <w:spacing w:before="16" w:after="0" w:line="240" w:lineRule="auto"/>
      <w:jc w:val="both"/>
      <w:outlineLvl w:val="0"/>
    </w:pPr>
    <w:rPr>
      <w:rFonts w:ascii="Tahoma" w:eastAsia="Calibri Light" w:hAnsi="Tahoma" w:cs="Calibri Light"/>
      <w:b/>
      <w:sz w:val="32"/>
      <w:szCs w:val="32"/>
    </w:rPr>
  </w:style>
  <w:style w:type="paragraph" w:styleId="Titre2">
    <w:name w:val="heading 2"/>
    <w:basedOn w:val="Normal"/>
    <w:link w:val="Titre2Car"/>
    <w:autoRedefine/>
    <w:uiPriority w:val="9"/>
    <w:qFormat/>
    <w:rsid w:val="00BA27F4"/>
    <w:pPr>
      <w:widowControl w:val="0"/>
      <w:autoSpaceDE w:val="0"/>
      <w:autoSpaceDN w:val="0"/>
      <w:spacing w:after="0" w:line="240" w:lineRule="auto"/>
      <w:outlineLvl w:val="1"/>
    </w:pPr>
    <w:rPr>
      <w:rFonts w:ascii="Tahoma" w:eastAsia="Times New Roman" w:hAnsi="Tahoma" w:cs="Times New Roman"/>
      <w:b/>
      <w:bCs/>
      <w:color w:val="6E9400" w:themeColor="accent1" w:themeShade="BF"/>
      <w:sz w:val="32"/>
      <w:szCs w:val="28"/>
    </w:rPr>
  </w:style>
  <w:style w:type="paragraph" w:styleId="Titre3">
    <w:name w:val="heading 3"/>
    <w:basedOn w:val="Normal"/>
    <w:link w:val="Titre3Car"/>
    <w:autoRedefine/>
    <w:uiPriority w:val="9"/>
    <w:qFormat/>
    <w:rsid w:val="007A71CC"/>
    <w:pPr>
      <w:widowControl w:val="0"/>
      <w:autoSpaceDE w:val="0"/>
      <w:autoSpaceDN w:val="0"/>
      <w:spacing w:before="120" w:after="120" w:line="240" w:lineRule="auto"/>
      <w:jc w:val="both"/>
      <w:outlineLvl w:val="2"/>
    </w:pPr>
    <w:rPr>
      <w:rFonts w:ascii="Tahoma" w:eastAsia="Calibri Light" w:hAnsi="Tahoma" w:cs="Calibri Light"/>
      <w:b/>
      <w:color w:val="000000" w:themeColor="text1"/>
      <w:sz w:val="32"/>
      <w:szCs w:val="32"/>
      <w:lang w:eastAsia="fr-FR"/>
    </w:rPr>
  </w:style>
  <w:style w:type="paragraph" w:styleId="Titre4">
    <w:name w:val="heading 4"/>
    <w:basedOn w:val="Normal"/>
    <w:link w:val="Titre4Car"/>
    <w:autoRedefine/>
    <w:uiPriority w:val="9"/>
    <w:qFormat/>
    <w:rsid w:val="00DF02B7"/>
    <w:pPr>
      <w:widowControl w:val="0"/>
      <w:numPr>
        <w:numId w:val="59"/>
      </w:numPr>
      <w:autoSpaceDE w:val="0"/>
      <w:autoSpaceDN w:val="0"/>
      <w:spacing w:before="120" w:after="120" w:line="240" w:lineRule="auto"/>
      <w:jc w:val="both"/>
      <w:outlineLvl w:val="3"/>
    </w:pPr>
    <w:rPr>
      <w:rFonts w:ascii="Tahoma" w:eastAsia="Times New Roman" w:hAnsi="Tahoma" w:cs="Tahoma"/>
      <w:b/>
      <w:bCs/>
      <w:color w:val="000000" w:themeColor="text1"/>
      <w:sz w:val="32"/>
      <w:szCs w:val="28"/>
    </w:rPr>
  </w:style>
  <w:style w:type="paragraph" w:styleId="Titre5">
    <w:name w:val="heading 5"/>
    <w:basedOn w:val="Normal"/>
    <w:link w:val="Titre5Car"/>
    <w:autoRedefine/>
    <w:uiPriority w:val="9"/>
    <w:qFormat/>
    <w:rsid w:val="00BF1F48"/>
    <w:pPr>
      <w:widowControl w:val="0"/>
      <w:numPr>
        <w:numId w:val="77"/>
      </w:numPr>
      <w:autoSpaceDE w:val="0"/>
      <w:autoSpaceDN w:val="0"/>
      <w:spacing w:before="120" w:after="120" w:line="360" w:lineRule="auto"/>
      <w:outlineLvl w:val="4"/>
    </w:pPr>
    <w:rPr>
      <w:rFonts w:ascii="Tahoma" w:eastAsia="Times New Roman" w:hAnsi="Tahoma" w:cs="Times New Roman"/>
      <w:b/>
      <w:bCs/>
      <w:iCs/>
      <w:sz w:val="24"/>
      <w:szCs w:val="24"/>
      <w:lang w:eastAsia="fr-FR"/>
    </w:rPr>
  </w:style>
  <w:style w:type="paragraph" w:styleId="Titre6">
    <w:name w:val="heading 6"/>
    <w:basedOn w:val="Normal"/>
    <w:next w:val="Normal"/>
    <w:link w:val="Titre6Car"/>
    <w:autoRedefine/>
    <w:uiPriority w:val="9"/>
    <w:unhideWhenUsed/>
    <w:qFormat/>
    <w:rsid w:val="008D3838"/>
    <w:pPr>
      <w:keepNext/>
      <w:keepLines/>
      <w:numPr>
        <w:numId w:val="47"/>
      </w:numPr>
      <w:spacing w:before="40" w:after="0" w:line="360" w:lineRule="auto"/>
      <w:outlineLvl w:val="5"/>
    </w:pPr>
    <w:rPr>
      <w:rFonts w:ascii="Tahoma" w:eastAsia="Calibri" w:hAnsi="Tahoma" w:cstheme="majorBidi"/>
      <w:b/>
      <w:bCs/>
      <w:color w:val="000000" w:themeColor="text1"/>
      <w:sz w:val="24"/>
      <w:szCs w:val="24"/>
      <w:lang w:eastAsia="fr-FR"/>
      <w14:scene3d>
        <w14:camera w14:prst="orthographicFront"/>
        <w14:lightRig w14:rig="threePt" w14:dir="t">
          <w14:rot w14:lat="0" w14:lon="0" w14:rev="0"/>
        </w14:lightRig>
      </w14:scene3d>
    </w:rPr>
  </w:style>
  <w:style w:type="paragraph" w:styleId="Titre7">
    <w:name w:val="heading 7"/>
    <w:basedOn w:val="Normal"/>
    <w:next w:val="Normal"/>
    <w:link w:val="Titre7Car"/>
    <w:autoRedefine/>
    <w:uiPriority w:val="9"/>
    <w:unhideWhenUsed/>
    <w:qFormat/>
    <w:rsid w:val="00C23CB8"/>
    <w:pPr>
      <w:keepNext/>
      <w:keepLines/>
      <w:numPr>
        <w:numId w:val="74"/>
      </w:numPr>
      <w:spacing w:before="200" w:after="0"/>
      <w:outlineLvl w:val="6"/>
    </w:pPr>
    <w:rPr>
      <w:rFonts w:ascii="Tahoma" w:eastAsia="Times New Roman" w:hAnsi="Tahoma" w:cstheme="majorBidi"/>
      <w:b/>
      <w:iCs/>
      <w:color w:val="000000" w:themeColor="text1"/>
      <w:sz w:val="24"/>
      <w:lang w:eastAsia="fr-FR"/>
    </w:rPr>
  </w:style>
  <w:style w:type="paragraph" w:styleId="Titre8">
    <w:name w:val="heading 8"/>
    <w:basedOn w:val="Normal"/>
    <w:next w:val="Normal"/>
    <w:link w:val="Titre8Car"/>
    <w:autoRedefine/>
    <w:uiPriority w:val="9"/>
    <w:unhideWhenUsed/>
    <w:qFormat/>
    <w:rsid w:val="007C5788"/>
    <w:pPr>
      <w:keepNext/>
      <w:keepLines/>
      <w:spacing w:before="200" w:after="0"/>
      <w:outlineLvl w:val="7"/>
    </w:pPr>
    <w:rPr>
      <w:rFonts w:ascii="Tahoma" w:eastAsiaTheme="majorEastAsia" w:hAnsi="Tahoma" w:cstheme="majorBidi"/>
      <w:b/>
      <w:color w:val="404040" w:themeColor="text1" w:themeTint="BF"/>
      <w:sz w:val="24"/>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4A7654"/>
    <w:rPr>
      <w:rFonts w:ascii="Tahoma" w:eastAsia="Calibri Light" w:hAnsi="Tahoma" w:cs="Calibri Light"/>
      <w:b/>
      <w:sz w:val="32"/>
      <w:szCs w:val="32"/>
    </w:rPr>
  </w:style>
  <w:style w:type="character" w:customStyle="1" w:styleId="Titre2Car">
    <w:name w:val="Titre 2 Car"/>
    <w:basedOn w:val="Policepardfaut"/>
    <w:link w:val="Titre2"/>
    <w:uiPriority w:val="9"/>
    <w:rsid w:val="00BA27F4"/>
    <w:rPr>
      <w:rFonts w:ascii="Tahoma" w:eastAsia="Times New Roman" w:hAnsi="Tahoma" w:cs="Times New Roman"/>
      <w:b/>
      <w:bCs/>
      <w:color w:val="6E9400" w:themeColor="accent1" w:themeShade="BF"/>
      <w:sz w:val="32"/>
      <w:szCs w:val="28"/>
    </w:rPr>
  </w:style>
  <w:style w:type="character" w:customStyle="1" w:styleId="Titre3Car">
    <w:name w:val="Titre 3 Car"/>
    <w:basedOn w:val="Policepardfaut"/>
    <w:link w:val="Titre3"/>
    <w:uiPriority w:val="9"/>
    <w:rsid w:val="007A71CC"/>
    <w:rPr>
      <w:rFonts w:ascii="Tahoma" w:eastAsia="Calibri Light" w:hAnsi="Tahoma" w:cs="Calibri Light"/>
      <w:b/>
      <w:color w:val="000000" w:themeColor="text1"/>
      <w:sz w:val="32"/>
      <w:szCs w:val="32"/>
      <w:lang w:eastAsia="fr-FR"/>
    </w:rPr>
  </w:style>
  <w:style w:type="character" w:customStyle="1" w:styleId="Titre4Car">
    <w:name w:val="Titre 4 Car"/>
    <w:basedOn w:val="Policepardfaut"/>
    <w:link w:val="Titre4"/>
    <w:uiPriority w:val="9"/>
    <w:rsid w:val="00DF02B7"/>
    <w:rPr>
      <w:rFonts w:ascii="Tahoma" w:eastAsia="Times New Roman" w:hAnsi="Tahoma" w:cs="Tahoma"/>
      <w:b/>
      <w:bCs/>
      <w:color w:val="000000" w:themeColor="text1"/>
      <w:sz w:val="32"/>
      <w:szCs w:val="28"/>
    </w:rPr>
  </w:style>
  <w:style w:type="character" w:customStyle="1" w:styleId="Titre5Car">
    <w:name w:val="Titre 5 Car"/>
    <w:basedOn w:val="Policepardfaut"/>
    <w:link w:val="Titre5"/>
    <w:uiPriority w:val="9"/>
    <w:rsid w:val="00BF1F48"/>
    <w:rPr>
      <w:rFonts w:ascii="Tahoma" w:eastAsia="Times New Roman" w:hAnsi="Tahoma" w:cs="Times New Roman"/>
      <w:b/>
      <w:bCs/>
      <w:iCs/>
      <w:sz w:val="24"/>
      <w:szCs w:val="24"/>
      <w:lang w:eastAsia="fr-FR"/>
    </w:rPr>
  </w:style>
  <w:style w:type="numbering" w:customStyle="1" w:styleId="Aucuneliste1">
    <w:name w:val="Aucune liste1"/>
    <w:next w:val="Aucuneliste"/>
    <w:uiPriority w:val="99"/>
    <w:semiHidden/>
    <w:unhideWhenUsed/>
    <w:rsid w:val="000A7532"/>
  </w:style>
  <w:style w:type="table" w:customStyle="1" w:styleId="TableNormal">
    <w:name w:val="Table Normal"/>
    <w:uiPriority w:val="2"/>
    <w:semiHidden/>
    <w:unhideWhenUsed/>
    <w:qFormat/>
    <w:rsid w:val="000A7532"/>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styleId="TM1">
    <w:name w:val="toc 1"/>
    <w:basedOn w:val="Normal"/>
    <w:autoRedefine/>
    <w:uiPriority w:val="39"/>
    <w:qFormat/>
    <w:rsid w:val="00263B66"/>
    <w:pPr>
      <w:tabs>
        <w:tab w:val="right" w:leader="dot" w:pos="9346"/>
      </w:tabs>
      <w:spacing w:after="0" w:line="360" w:lineRule="auto"/>
      <w:jc w:val="both"/>
    </w:pPr>
    <w:rPr>
      <w:rFonts w:ascii="Tahoma" w:hAnsi="Tahoma" w:cs="Tahoma"/>
      <w:b/>
      <w:bCs/>
      <w:iCs/>
      <w:caps/>
      <w:noProof/>
      <w:sz w:val="24"/>
      <w:szCs w:val="32"/>
    </w:rPr>
  </w:style>
  <w:style w:type="paragraph" w:styleId="TM2">
    <w:name w:val="toc 2"/>
    <w:basedOn w:val="Normal"/>
    <w:uiPriority w:val="39"/>
    <w:qFormat/>
    <w:rsid w:val="000A7532"/>
    <w:pPr>
      <w:spacing w:after="0"/>
      <w:ind w:left="220"/>
    </w:pPr>
    <w:rPr>
      <w:rFonts w:cstheme="minorHAnsi"/>
      <w:smallCaps/>
      <w:sz w:val="20"/>
      <w:szCs w:val="24"/>
    </w:rPr>
  </w:style>
  <w:style w:type="paragraph" w:styleId="TM3">
    <w:name w:val="toc 3"/>
    <w:basedOn w:val="Normal"/>
    <w:uiPriority w:val="39"/>
    <w:qFormat/>
    <w:rsid w:val="000A7532"/>
    <w:pPr>
      <w:spacing w:after="0"/>
      <w:ind w:left="440"/>
    </w:pPr>
    <w:rPr>
      <w:rFonts w:cstheme="minorHAnsi"/>
      <w:i/>
      <w:iCs/>
      <w:sz w:val="20"/>
      <w:szCs w:val="24"/>
    </w:rPr>
  </w:style>
  <w:style w:type="paragraph" w:styleId="TM4">
    <w:name w:val="toc 4"/>
    <w:basedOn w:val="Normal"/>
    <w:uiPriority w:val="39"/>
    <w:qFormat/>
    <w:rsid w:val="000A7532"/>
    <w:pPr>
      <w:spacing w:after="0"/>
      <w:ind w:left="660"/>
    </w:pPr>
    <w:rPr>
      <w:rFonts w:cstheme="minorHAnsi"/>
      <w:sz w:val="18"/>
      <w:szCs w:val="21"/>
    </w:rPr>
  </w:style>
  <w:style w:type="paragraph" w:styleId="TM5">
    <w:name w:val="toc 5"/>
    <w:basedOn w:val="Normal"/>
    <w:uiPriority w:val="39"/>
    <w:qFormat/>
    <w:rsid w:val="000A7532"/>
    <w:pPr>
      <w:spacing w:after="0"/>
      <w:ind w:left="880"/>
    </w:pPr>
    <w:rPr>
      <w:rFonts w:cstheme="minorHAnsi"/>
      <w:sz w:val="18"/>
      <w:szCs w:val="21"/>
    </w:rPr>
  </w:style>
  <w:style w:type="paragraph" w:styleId="TM6">
    <w:name w:val="toc 6"/>
    <w:basedOn w:val="Normal"/>
    <w:uiPriority w:val="39"/>
    <w:qFormat/>
    <w:rsid w:val="000A7532"/>
    <w:pPr>
      <w:spacing w:after="0"/>
      <w:ind w:left="1100"/>
    </w:pPr>
    <w:rPr>
      <w:rFonts w:cstheme="minorHAnsi"/>
      <w:sz w:val="18"/>
      <w:szCs w:val="21"/>
    </w:rPr>
  </w:style>
  <w:style w:type="paragraph" w:styleId="Corpsdetexte">
    <w:name w:val="Body Text"/>
    <w:basedOn w:val="Normal"/>
    <w:link w:val="CorpsdetexteCar"/>
    <w:uiPriority w:val="1"/>
    <w:qFormat/>
    <w:rsid w:val="000A7532"/>
    <w:pPr>
      <w:widowControl w:val="0"/>
      <w:autoSpaceDE w:val="0"/>
      <w:autoSpaceDN w:val="0"/>
      <w:spacing w:after="0" w:line="240" w:lineRule="auto"/>
    </w:pPr>
    <w:rPr>
      <w:rFonts w:ascii="Times New Roman" w:eastAsia="Times New Roman" w:hAnsi="Times New Roman" w:cs="Times New Roman"/>
      <w:sz w:val="24"/>
      <w:szCs w:val="24"/>
    </w:rPr>
  </w:style>
  <w:style w:type="character" w:customStyle="1" w:styleId="CorpsdetexteCar">
    <w:name w:val="Corps de texte Car"/>
    <w:basedOn w:val="Policepardfaut"/>
    <w:link w:val="Corpsdetexte"/>
    <w:uiPriority w:val="1"/>
    <w:rsid w:val="000A7532"/>
    <w:rPr>
      <w:rFonts w:ascii="Times New Roman" w:eastAsia="Times New Roman" w:hAnsi="Times New Roman" w:cs="Times New Roman"/>
      <w:sz w:val="24"/>
      <w:szCs w:val="24"/>
    </w:rPr>
  </w:style>
  <w:style w:type="paragraph" w:styleId="Titre">
    <w:name w:val="Title"/>
    <w:basedOn w:val="Normal"/>
    <w:link w:val="TitreCar"/>
    <w:autoRedefine/>
    <w:uiPriority w:val="1"/>
    <w:qFormat/>
    <w:rsid w:val="008D5E36"/>
    <w:pPr>
      <w:widowControl w:val="0"/>
      <w:tabs>
        <w:tab w:val="right" w:pos="10162"/>
      </w:tabs>
      <w:autoSpaceDE w:val="0"/>
      <w:autoSpaceDN w:val="0"/>
      <w:bidi/>
      <w:spacing w:before="240" w:after="240" w:line="360" w:lineRule="auto"/>
      <w:jc w:val="center"/>
    </w:pPr>
    <w:rPr>
      <w:rFonts w:ascii="Tahoma" w:eastAsia="Calibri" w:hAnsi="Tahoma" w:cs="Times New Roman"/>
      <w:b/>
      <w:bCs/>
      <w:iCs/>
      <w:noProof/>
      <w:color w:val="000000" w:themeColor="text1"/>
      <w:sz w:val="36"/>
      <w:szCs w:val="40"/>
      <w:lang w:eastAsia="fr-FR"/>
    </w:rPr>
  </w:style>
  <w:style w:type="character" w:customStyle="1" w:styleId="TitreCar">
    <w:name w:val="Titre Car"/>
    <w:basedOn w:val="Policepardfaut"/>
    <w:link w:val="Titre"/>
    <w:uiPriority w:val="1"/>
    <w:rsid w:val="008D5E36"/>
    <w:rPr>
      <w:rFonts w:ascii="Tahoma" w:eastAsia="Calibri" w:hAnsi="Tahoma" w:cs="Times New Roman"/>
      <w:b/>
      <w:bCs/>
      <w:iCs/>
      <w:noProof/>
      <w:color w:val="000000" w:themeColor="text1"/>
      <w:sz w:val="36"/>
      <w:szCs w:val="40"/>
      <w:lang w:eastAsia="fr-FR"/>
    </w:rPr>
  </w:style>
  <w:style w:type="paragraph" w:styleId="Paragraphedeliste">
    <w:name w:val="List Paragraph"/>
    <w:basedOn w:val="Normal"/>
    <w:uiPriority w:val="34"/>
    <w:qFormat/>
    <w:rsid w:val="000A7532"/>
    <w:pPr>
      <w:widowControl w:val="0"/>
      <w:autoSpaceDE w:val="0"/>
      <w:autoSpaceDN w:val="0"/>
      <w:spacing w:after="0" w:line="240" w:lineRule="auto"/>
      <w:ind w:left="1380" w:hanging="360"/>
      <w:jc w:val="both"/>
    </w:pPr>
    <w:rPr>
      <w:rFonts w:ascii="Times New Roman" w:eastAsia="Times New Roman" w:hAnsi="Times New Roman" w:cs="Times New Roman"/>
    </w:rPr>
  </w:style>
  <w:style w:type="paragraph" w:customStyle="1" w:styleId="TableParagraph">
    <w:name w:val="Table Paragraph"/>
    <w:basedOn w:val="Normal"/>
    <w:uiPriority w:val="1"/>
    <w:qFormat/>
    <w:rsid w:val="000A7532"/>
    <w:pPr>
      <w:widowControl w:val="0"/>
      <w:autoSpaceDE w:val="0"/>
      <w:autoSpaceDN w:val="0"/>
      <w:spacing w:after="0" w:line="240" w:lineRule="auto"/>
    </w:pPr>
    <w:rPr>
      <w:rFonts w:ascii="Arial MT" w:eastAsia="Arial MT" w:hAnsi="Arial MT" w:cs="Arial MT"/>
    </w:rPr>
  </w:style>
  <w:style w:type="character" w:styleId="Accentuation">
    <w:name w:val="Emphasis"/>
    <w:basedOn w:val="Policepardfaut"/>
    <w:uiPriority w:val="20"/>
    <w:qFormat/>
    <w:rsid w:val="000A7532"/>
    <w:rPr>
      <w:i/>
      <w:iCs/>
    </w:rPr>
  </w:style>
  <w:style w:type="paragraph" w:styleId="NormalWeb">
    <w:name w:val="Normal (Web)"/>
    <w:basedOn w:val="Normal"/>
    <w:uiPriority w:val="99"/>
    <w:unhideWhenUsed/>
    <w:rsid w:val="000A7532"/>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0A7532"/>
    <w:rPr>
      <w:b/>
      <w:bCs/>
    </w:rPr>
  </w:style>
  <w:style w:type="table" w:customStyle="1" w:styleId="Grilledutableau1">
    <w:name w:val="Grille du tableau1"/>
    <w:basedOn w:val="TableauNormal"/>
    <w:next w:val="Grilledutableau"/>
    <w:uiPriority w:val="39"/>
    <w:rsid w:val="000A753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tedebasdepage">
    <w:name w:val="footnote text"/>
    <w:basedOn w:val="Normal"/>
    <w:link w:val="NotedebasdepageCar"/>
    <w:uiPriority w:val="99"/>
    <w:unhideWhenUsed/>
    <w:rsid w:val="000A7532"/>
    <w:pPr>
      <w:widowControl w:val="0"/>
      <w:autoSpaceDE w:val="0"/>
      <w:autoSpaceDN w:val="0"/>
      <w:spacing w:after="0" w:line="240" w:lineRule="auto"/>
    </w:pPr>
    <w:rPr>
      <w:rFonts w:ascii="Times New Roman" w:eastAsia="Times New Roman" w:hAnsi="Times New Roman" w:cs="Times New Roman"/>
      <w:sz w:val="20"/>
      <w:szCs w:val="20"/>
    </w:rPr>
  </w:style>
  <w:style w:type="character" w:customStyle="1" w:styleId="NotedebasdepageCar">
    <w:name w:val="Note de bas de page Car"/>
    <w:basedOn w:val="Policepardfaut"/>
    <w:link w:val="Notedebasdepage"/>
    <w:uiPriority w:val="99"/>
    <w:rsid w:val="000A7532"/>
    <w:rPr>
      <w:rFonts w:ascii="Times New Roman" w:eastAsia="Times New Roman" w:hAnsi="Times New Roman" w:cs="Times New Roman"/>
      <w:sz w:val="20"/>
      <w:szCs w:val="20"/>
    </w:rPr>
  </w:style>
  <w:style w:type="character" w:styleId="Appelnotedebasdep">
    <w:name w:val="footnote reference"/>
    <w:basedOn w:val="Policepardfaut"/>
    <w:uiPriority w:val="99"/>
    <w:unhideWhenUsed/>
    <w:rsid w:val="000A7532"/>
    <w:rPr>
      <w:vertAlign w:val="superscript"/>
    </w:rPr>
  </w:style>
  <w:style w:type="paragraph" w:styleId="En-tte">
    <w:name w:val="header"/>
    <w:basedOn w:val="Normal"/>
    <w:link w:val="En-tteCar"/>
    <w:uiPriority w:val="99"/>
    <w:unhideWhenUsed/>
    <w:rsid w:val="000A7532"/>
    <w:pPr>
      <w:widowControl w:val="0"/>
      <w:tabs>
        <w:tab w:val="center" w:pos="4536"/>
        <w:tab w:val="right" w:pos="9072"/>
      </w:tabs>
      <w:autoSpaceDE w:val="0"/>
      <w:autoSpaceDN w:val="0"/>
      <w:spacing w:after="0" w:line="240" w:lineRule="auto"/>
    </w:pPr>
    <w:rPr>
      <w:rFonts w:ascii="Times New Roman" w:eastAsia="Times New Roman" w:hAnsi="Times New Roman" w:cs="Times New Roman"/>
    </w:rPr>
  </w:style>
  <w:style w:type="character" w:customStyle="1" w:styleId="En-tteCar">
    <w:name w:val="En-tête Car"/>
    <w:basedOn w:val="Policepardfaut"/>
    <w:link w:val="En-tte"/>
    <w:uiPriority w:val="99"/>
    <w:rsid w:val="000A7532"/>
    <w:rPr>
      <w:rFonts w:ascii="Times New Roman" w:eastAsia="Times New Roman" w:hAnsi="Times New Roman" w:cs="Times New Roman"/>
    </w:rPr>
  </w:style>
  <w:style w:type="paragraph" w:styleId="Pieddepage">
    <w:name w:val="footer"/>
    <w:basedOn w:val="Normal"/>
    <w:link w:val="PieddepageCar"/>
    <w:uiPriority w:val="99"/>
    <w:unhideWhenUsed/>
    <w:rsid w:val="000A7532"/>
    <w:pPr>
      <w:widowControl w:val="0"/>
      <w:tabs>
        <w:tab w:val="center" w:pos="4536"/>
        <w:tab w:val="right" w:pos="9072"/>
      </w:tabs>
      <w:autoSpaceDE w:val="0"/>
      <w:autoSpaceDN w:val="0"/>
      <w:spacing w:after="0" w:line="240" w:lineRule="auto"/>
    </w:pPr>
    <w:rPr>
      <w:rFonts w:ascii="Times New Roman" w:eastAsia="Times New Roman" w:hAnsi="Times New Roman" w:cs="Times New Roman"/>
    </w:rPr>
  </w:style>
  <w:style w:type="character" w:customStyle="1" w:styleId="PieddepageCar">
    <w:name w:val="Pied de page Car"/>
    <w:basedOn w:val="Policepardfaut"/>
    <w:link w:val="Pieddepage"/>
    <w:uiPriority w:val="99"/>
    <w:rsid w:val="000A7532"/>
    <w:rPr>
      <w:rFonts w:ascii="Times New Roman" w:eastAsia="Times New Roman" w:hAnsi="Times New Roman" w:cs="Times New Roman"/>
    </w:rPr>
  </w:style>
  <w:style w:type="character" w:customStyle="1" w:styleId="Lienhypertexte1">
    <w:name w:val="Lien hypertexte1"/>
    <w:basedOn w:val="Policepardfaut"/>
    <w:uiPriority w:val="99"/>
    <w:unhideWhenUsed/>
    <w:rsid w:val="000A7532"/>
    <w:rPr>
      <w:color w:val="0000FF"/>
      <w:u w:val="single"/>
    </w:rPr>
  </w:style>
  <w:style w:type="paragraph" w:styleId="Sansinterligne">
    <w:name w:val="No Spacing"/>
    <w:link w:val="SansinterligneCar"/>
    <w:uiPriority w:val="1"/>
    <w:qFormat/>
    <w:rsid w:val="000A7532"/>
    <w:pPr>
      <w:widowControl w:val="0"/>
      <w:autoSpaceDE w:val="0"/>
      <w:autoSpaceDN w:val="0"/>
      <w:spacing w:after="0" w:line="240" w:lineRule="auto"/>
    </w:pPr>
    <w:rPr>
      <w:rFonts w:ascii="Times New Roman" w:eastAsia="Times New Roman" w:hAnsi="Times New Roman" w:cs="Times New Roman"/>
    </w:rPr>
  </w:style>
  <w:style w:type="paragraph" w:customStyle="1" w:styleId="Lgende1">
    <w:name w:val="Légende1"/>
    <w:basedOn w:val="Normal"/>
    <w:next w:val="Normal"/>
    <w:uiPriority w:val="35"/>
    <w:unhideWhenUsed/>
    <w:qFormat/>
    <w:rsid w:val="000A7532"/>
    <w:pPr>
      <w:widowControl w:val="0"/>
      <w:autoSpaceDE w:val="0"/>
      <w:autoSpaceDN w:val="0"/>
      <w:spacing w:after="200" w:line="240" w:lineRule="auto"/>
    </w:pPr>
    <w:rPr>
      <w:rFonts w:ascii="Times New Roman" w:eastAsia="Times New Roman" w:hAnsi="Times New Roman" w:cs="Times New Roman"/>
      <w:i/>
      <w:iCs/>
      <w:color w:val="1F497D"/>
      <w:sz w:val="18"/>
      <w:szCs w:val="18"/>
    </w:rPr>
  </w:style>
  <w:style w:type="character" w:customStyle="1" w:styleId="UnresolvedMention">
    <w:name w:val="Unresolved Mention"/>
    <w:basedOn w:val="Policepardfaut"/>
    <w:uiPriority w:val="99"/>
    <w:semiHidden/>
    <w:unhideWhenUsed/>
    <w:rsid w:val="000A7532"/>
    <w:rPr>
      <w:color w:val="605E5C"/>
      <w:shd w:val="clear" w:color="auto" w:fill="E1DFDD"/>
    </w:rPr>
  </w:style>
  <w:style w:type="paragraph" w:styleId="PrformatHTML">
    <w:name w:val="HTML Preformatted"/>
    <w:basedOn w:val="Normal"/>
    <w:link w:val="PrformatHTMLCar"/>
    <w:uiPriority w:val="99"/>
    <w:semiHidden/>
    <w:unhideWhenUsed/>
    <w:rsid w:val="000A7532"/>
    <w:pPr>
      <w:widowControl w:val="0"/>
      <w:autoSpaceDE w:val="0"/>
      <w:autoSpaceDN w:val="0"/>
      <w:spacing w:after="0" w:line="240" w:lineRule="auto"/>
    </w:pPr>
    <w:rPr>
      <w:rFonts w:ascii="Consolas" w:eastAsia="Times New Roman" w:hAnsi="Consolas" w:cs="Times New Roman"/>
      <w:sz w:val="20"/>
      <w:szCs w:val="20"/>
    </w:rPr>
  </w:style>
  <w:style w:type="character" w:customStyle="1" w:styleId="PrformatHTMLCar">
    <w:name w:val="Préformaté HTML Car"/>
    <w:basedOn w:val="Policepardfaut"/>
    <w:link w:val="PrformatHTML"/>
    <w:uiPriority w:val="99"/>
    <w:semiHidden/>
    <w:rsid w:val="000A7532"/>
    <w:rPr>
      <w:rFonts w:ascii="Consolas" w:eastAsia="Times New Roman" w:hAnsi="Consolas" w:cs="Times New Roman"/>
      <w:sz w:val="20"/>
      <w:szCs w:val="20"/>
    </w:rPr>
  </w:style>
  <w:style w:type="paragraph" w:styleId="Tabledesillustrations">
    <w:name w:val="table of figures"/>
    <w:basedOn w:val="Normal"/>
    <w:next w:val="Normal"/>
    <w:uiPriority w:val="99"/>
    <w:unhideWhenUsed/>
    <w:rsid w:val="000A7532"/>
    <w:pPr>
      <w:widowControl w:val="0"/>
      <w:autoSpaceDE w:val="0"/>
      <w:autoSpaceDN w:val="0"/>
      <w:spacing w:after="0" w:line="240" w:lineRule="auto"/>
    </w:pPr>
    <w:rPr>
      <w:rFonts w:ascii="Times New Roman" w:eastAsia="Times New Roman" w:hAnsi="Times New Roman" w:cs="Times New Roman"/>
    </w:rPr>
  </w:style>
  <w:style w:type="table" w:customStyle="1" w:styleId="TableauListe3-Accentuation31">
    <w:name w:val="Tableau Liste 3 - Accentuation 31"/>
    <w:basedOn w:val="TableauNormal"/>
    <w:uiPriority w:val="48"/>
    <w:rsid w:val="000A7532"/>
    <w:pPr>
      <w:widowControl w:val="0"/>
      <w:autoSpaceDE w:val="0"/>
      <w:autoSpaceDN w:val="0"/>
      <w:spacing w:after="0" w:line="240" w:lineRule="auto"/>
    </w:pPr>
    <w:rPr>
      <w:lang w:val="en-US"/>
    </w:rPr>
    <w:tblPr>
      <w:tblStyleRowBandSize w:val="1"/>
      <w:tblStyleColBandSize w:val="1"/>
      <w:tblBorders>
        <w:top w:val="single" w:sz="4" w:space="0" w:color="9BBB59"/>
        <w:left w:val="single" w:sz="4" w:space="0" w:color="9BBB59"/>
        <w:bottom w:val="single" w:sz="4" w:space="0" w:color="9BBB59"/>
        <w:right w:val="single" w:sz="4" w:space="0" w:color="9BBB59"/>
      </w:tblBorders>
    </w:tblPr>
    <w:tblStylePr w:type="firstRow">
      <w:rPr>
        <w:b/>
        <w:bCs/>
        <w:color w:val="FFFFFF"/>
      </w:rPr>
      <w:tblPr/>
      <w:tcPr>
        <w:shd w:val="clear" w:color="auto" w:fill="9BBB59"/>
      </w:tcPr>
    </w:tblStylePr>
    <w:tblStylePr w:type="lastRow">
      <w:rPr>
        <w:b/>
        <w:bCs/>
      </w:rPr>
      <w:tblPr/>
      <w:tcPr>
        <w:tcBorders>
          <w:top w:val="double" w:sz="4" w:space="0" w:color="9BBB59"/>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9BBB59"/>
          <w:right w:val="single" w:sz="4" w:space="0" w:color="9BBB59"/>
        </w:tcBorders>
      </w:tcPr>
    </w:tblStylePr>
    <w:tblStylePr w:type="band1Horz">
      <w:tblPr/>
      <w:tcPr>
        <w:tcBorders>
          <w:top w:val="single" w:sz="4" w:space="0" w:color="9BBB59"/>
          <w:bottom w:val="single" w:sz="4" w:space="0" w:color="9BBB59"/>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left w:val="nil"/>
        </w:tcBorders>
      </w:tcPr>
    </w:tblStylePr>
    <w:tblStylePr w:type="swCell">
      <w:tblPr/>
      <w:tcPr>
        <w:tcBorders>
          <w:top w:val="double" w:sz="4" w:space="0" w:color="9BBB59"/>
          <w:right w:val="nil"/>
        </w:tcBorders>
      </w:tcPr>
    </w:tblStylePr>
  </w:style>
  <w:style w:type="table" w:customStyle="1" w:styleId="TableauGrille4-Accentuation51">
    <w:name w:val="Tableau Grille 4 - Accentuation 51"/>
    <w:basedOn w:val="TableauNormal"/>
    <w:uiPriority w:val="49"/>
    <w:rsid w:val="000A7532"/>
    <w:pPr>
      <w:widowControl w:val="0"/>
      <w:autoSpaceDE w:val="0"/>
      <w:autoSpaceDN w:val="0"/>
      <w:spacing w:after="0" w:line="240" w:lineRule="auto"/>
    </w:pPr>
    <w:rPr>
      <w:lang w:val="en-US"/>
    </w:rPr>
    <w:tblPr>
      <w:tblStyleRowBandSize w:val="1"/>
      <w:tblStyleColBandSize w:val="1"/>
      <w:tblBorders>
        <w:top w:val="single" w:sz="4" w:space="0" w:color="92CDDC"/>
        <w:left w:val="single" w:sz="4" w:space="0" w:color="92CDDC"/>
        <w:bottom w:val="single" w:sz="4" w:space="0" w:color="92CDDC"/>
        <w:right w:val="single" w:sz="4" w:space="0" w:color="92CDDC"/>
        <w:insideH w:val="single" w:sz="4" w:space="0" w:color="92CDDC"/>
        <w:insideV w:val="single" w:sz="4" w:space="0" w:color="92CDDC"/>
      </w:tblBorders>
    </w:tblPr>
    <w:tblStylePr w:type="firstRow">
      <w:rPr>
        <w:b/>
        <w:bCs/>
        <w:color w:val="FFFFFF"/>
      </w:rPr>
      <w:tblPr/>
      <w:tcPr>
        <w:tcBorders>
          <w:top w:val="single" w:sz="4" w:space="0" w:color="4BACC6"/>
          <w:left w:val="single" w:sz="4" w:space="0" w:color="4BACC6"/>
          <w:bottom w:val="single" w:sz="4" w:space="0" w:color="4BACC6"/>
          <w:right w:val="single" w:sz="4" w:space="0" w:color="4BACC6"/>
          <w:insideH w:val="nil"/>
          <w:insideV w:val="nil"/>
        </w:tcBorders>
        <w:shd w:val="clear" w:color="auto" w:fill="4BACC6"/>
      </w:tcPr>
    </w:tblStylePr>
    <w:tblStylePr w:type="lastRow">
      <w:rPr>
        <w:b/>
        <w:bCs/>
      </w:rPr>
      <w:tblPr/>
      <w:tcPr>
        <w:tcBorders>
          <w:top w:val="double" w:sz="4" w:space="0" w:color="4BACC6"/>
        </w:tcBorders>
      </w:tcPr>
    </w:tblStylePr>
    <w:tblStylePr w:type="firstCol">
      <w:rPr>
        <w:b/>
        <w:bCs/>
      </w:rPr>
    </w:tblStylePr>
    <w:tblStylePr w:type="lastCol">
      <w:rPr>
        <w:b/>
        <w:bCs/>
      </w:rPr>
    </w:tblStylePr>
    <w:tblStylePr w:type="band1Vert">
      <w:tblPr/>
      <w:tcPr>
        <w:shd w:val="clear" w:color="auto" w:fill="DAEEF3"/>
      </w:tcPr>
    </w:tblStylePr>
    <w:tblStylePr w:type="band1Horz">
      <w:tblPr/>
      <w:tcPr>
        <w:shd w:val="clear" w:color="auto" w:fill="DAEEF3"/>
      </w:tcPr>
    </w:tblStylePr>
  </w:style>
  <w:style w:type="character" w:customStyle="1" w:styleId="Lienhypertextesuivivisit1">
    <w:name w:val="Lien hypertexte suivi visité1"/>
    <w:basedOn w:val="Policepardfaut"/>
    <w:uiPriority w:val="99"/>
    <w:semiHidden/>
    <w:unhideWhenUsed/>
    <w:rsid w:val="000A7532"/>
    <w:rPr>
      <w:color w:val="800080"/>
      <w:u w:val="single"/>
    </w:rPr>
  </w:style>
  <w:style w:type="paragraph" w:customStyle="1" w:styleId="En-ttedetabledesmatires1">
    <w:name w:val="En-tête de table des matières1"/>
    <w:basedOn w:val="Titre1"/>
    <w:next w:val="Normal"/>
    <w:uiPriority w:val="39"/>
    <w:unhideWhenUsed/>
    <w:qFormat/>
    <w:rsid w:val="000A7532"/>
    <w:pPr>
      <w:keepNext/>
      <w:keepLines/>
      <w:widowControl/>
      <w:autoSpaceDE/>
      <w:autoSpaceDN/>
      <w:spacing w:before="240" w:line="259" w:lineRule="auto"/>
      <w:outlineLvl w:val="9"/>
    </w:pPr>
    <w:rPr>
      <w:rFonts w:ascii="Cambria" w:eastAsia="Times New Roman" w:hAnsi="Cambria" w:cs="Times New Roman"/>
      <w:color w:val="365F91"/>
      <w:lang w:eastAsia="fr-FR"/>
      <w14:textFill>
        <w14:solidFill>
          <w14:srgbClr w14:val="365F91">
            <w14:lumMod w14:val="50000"/>
          </w14:srgbClr>
        </w14:solidFill>
      </w14:textFill>
    </w:rPr>
  </w:style>
  <w:style w:type="character" w:styleId="Marquedecommentaire">
    <w:name w:val="annotation reference"/>
    <w:basedOn w:val="Policepardfaut"/>
    <w:uiPriority w:val="99"/>
    <w:semiHidden/>
    <w:unhideWhenUsed/>
    <w:rsid w:val="000A7532"/>
    <w:rPr>
      <w:sz w:val="16"/>
      <w:szCs w:val="16"/>
    </w:rPr>
  </w:style>
  <w:style w:type="paragraph" w:customStyle="1" w:styleId="Commentaire1">
    <w:name w:val="Commentaire1"/>
    <w:basedOn w:val="Normal"/>
    <w:next w:val="Commentaire"/>
    <w:link w:val="CommentaireCar"/>
    <w:uiPriority w:val="99"/>
    <w:semiHidden/>
    <w:unhideWhenUsed/>
    <w:rsid w:val="000A7532"/>
    <w:pPr>
      <w:spacing w:line="240" w:lineRule="auto"/>
    </w:pPr>
    <w:rPr>
      <w:sz w:val="20"/>
      <w:szCs w:val="20"/>
    </w:rPr>
  </w:style>
  <w:style w:type="character" w:customStyle="1" w:styleId="CommentaireCar">
    <w:name w:val="Commentaire Car"/>
    <w:basedOn w:val="Policepardfaut"/>
    <w:link w:val="Commentaire1"/>
    <w:uiPriority w:val="99"/>
    <w:semiHidden/>
    <w:rsid w:val="000A7532"/>
    <w:rPr>
      <w:sz w:val="20"/>
      <w:szCs w:val="20"/>
      <w:lang w:val="fr-FR"/>
    </w:rPr>
  </w:style>
  <w:style w:type="paragraph" w:customStyle="1" w:styleId="Objetducommentaire1">
    <w:name w:val="Objet du commentaire1"/>
    <w:basedOn w:val="Commentaire"/>
    <w:next w:val="Commentaire"/>
    <w:uiPriority w:val="99"/>
    <w:semiHidden/>
    <w:unhideWhenUsed/>
    <w:rsid w:val="000A7532"/>
    <w:rPr>
      <w:b/>
      <w:bCs/>
    </w:rPr>
  </w:style>
  <w:style w:type="character" w:customStyle="1" w:styleId="ObjetducommentaireCar">
    <w:name w:val="Objet du commentaire Car"/>
    <w:basedOn w:val="CommentaireCar"/>
    <w:link w:val="Objetducommentaire"/>
    <w:uiPriority w:val="99"/>
    <w:semiHidden/>
    <w:rsid w:val="000A7532"/>
    <w:rPr>
      <w:b/>
      <w:bCs/>
      <w:sz w:val="20"/>
      <w:szCs w:val="20"/>
      <w:lang w:val="fr-FR"/>
    </w:rPr>
  </w:style>
  <w:style w:type="paragraph" w:customStyle="1" w:styleId="Textedebulles1">
    <w:name w:val="Texte de bulles1"/>
    <w:basedOn w:val="Normal"/>
    <w:next w:val="Textedebulles"/>
    <w:link w:val="TextedebullesCar"/>
    <w:uiPriority w:val="99"/>
    <w:semiHidden/>
    <w:unhideWhenUsed/>
    <w:rsid w:val="000A7532"/>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1"/>
    <w:uiPriority w:val="99"/>
    <w:semiHidden/>
    <w:rsid w:val="000A7532"/>
    <w:rPr>
      <w:rFonts w:ascii="Segoe UI" w:hAnsi="Segoe UI" w:cs="Segoe UI"/>
      <w:sz w:val="18"/>
      <w:szCs w:val="18"/>
      <w:lang w:val="fr-FR"/>
    </w:rPr>
  </w:style>
  <w:style w:type="paragraph" w:customStyle="1" w:styleId="text-base">
    <w:name w:val="text-base"/>
    <w:basedOn w:val="Normal"/>
    <w:rsid w:val="000A7532"/>
    <w:pPr>
      <w:spacing w:before="100" w:beforeAutospacing="1" w:after="100" w:afterAutospacing="1" w:line="240" w:lineRule="auto"/>
    </w:pPr>
    <w:rPr>
      <w:rFonts w:ascii="Times New Roman" w:eastAsia="Times New Roman" w:hAnsi="Times New Roman" w:cs="Times New Roman"/>
      <w:sz w:val="24"/>
      <w:szCs w:val="24"/>
      <w:lang w:eastAsia="fr-FR"/>
    </w:rPr>
  </w:style>
  <w:style w:type="table" w:styleId="Grilledutableau">
    <w:name w:val="Table Grid"/>
    <w:basedOn w:val="TableauNormal"/>
    <w:uiPriority w:val="39"/>
    <w:rsid w:val="000A753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enhypertexte">
    <w:name w:val="Hyperlink"/>
    <w:basedOn w:val="Policepardfaut"/>
    <w:uiPriority w:val="99"/>
    <w:unhideWhenUsed/>
    <w:rsid w:val="000A7532"/>
    <w:rPr>
      <w:color w:val="E68200" w:themeColor="hyperlink"/>
      <w:u w:val="single"/>
    </w:rPr>
  </w:style>
  <w:style w:type="character" w:styleId="Lienhypertextesuivivisit">
    <w:name w:val="FollowedHyperlink"/>
    <w:basedOn w:val="Policepardfaut"/>
    <w:uiPriority w:val="99"/>
    <w:semiHidden/>
    <w:unhideWhenUsed/>
    <w:rsid w:val="000A7532"/>
    <w:rPr>
      <w:color w:val="FFA94A" w:themeColor="followedHyperlink"/>
      <w:u w:val="single"/>
    </w:rPr>
  </w:style>
  <w:style w:type="paragraph" w:styleId="Commentaire">
    <w:name w:val="annotation text"/>
    <w:basedOn w:val="Normal"/>
    <w:link w:val="CommentaireCar1"/>
    <w:uiPriority w:val="99"/>
    <w:semiHidden/>
    <w:unhideWhenUsed/>
    <w:rsid w:val="000A7532"/>
    <w:pPr>
      <w:spacing w:line="240" w:lineRule="auto"/>
    </w:pPr>
    <w:rPr>
      <w:sz w:val="20"/>
      <w:szCs w:val="20"/>
    </w:rPr>
  </w:style>
  <w:style w:type="character" w:customStyle="1" w:styleId="CommentaireCar1">
    <w:name w:val="Commentaire Car1"/>
    <w:basedOn w:val="Policepardfaut"/>
    <w:link w:val="Commentaire"/>
    <w:uiPriority w:val="99"/>
    <w:semiHidden/>
    <w:rsid w:val="000A7532"/>
    <w:rPr>
      <w:sz w:val="20"/>
      <w:szCs w:val="20"/>
    </w:rPr>
  </w:style>
  <w:style w:type="paragraph" w:styleId="Objetducommentaire">
    <w:name w:val="annotation subject"/>
    <w:basedOn w:val="Commentaire"/>
    <w:next w:val="Commentaire"/>
    <w:link w:val="ObjetducommentaireCar"/>
    <w:uiPriority w:val="99"/>
    <w:semiHidden/>
    <w:unhideWhenUsed/>
    <w:rsid w:val="000A7532"/>
    <w:rPr>
      <w:b/>
      <w:bCs/>
    </w:rPr>
  </w:style>
  <w:style w:type="character" w:customStyle="1" w:styleId="ObjetducommentaireCar1">
    <w:name w:val="Objet du commentaire Car1"/>
    <w:basedOn w:val="CommentaireCar1"/>
    <w:uiPriority w:val="99"/>
    <w:semiHidden/>
    <w:rsid w:val="000A7532"/>
    <w:rPr>
      <w:b/>
      <w:bCs/>
      <w:sz w:val="20"/>
      <w:szCs w:val="20"/>
    </w:rPr>
  </w:style>
  <w:style w:type="paragraph" w:styleId="Textedebulles">
    <w:name w:val="Balloon Text"/>
    <w:basedOn w:val="Normal"/>
    <w:link w:val="TextedebullesCar1"/>
    <w:uiPriority w:val="99"/>
    <w:semiHidden/>
    <w:unhideWhenUsed/>
    <w:rsid w:val="000A7532"/>
    <w:pPr>
      <w:spacing w:after="0" w:line="240" w:lineRule="auto"/>
    </w:pPr>
    <w:rPr>
      <w:rFonts w:ascii="Tahoma" w:hAnsi="Tahoma" w:cs="Tahoma"/>
      <w:sz w:val="16"/>
      <w:szCs w:val="16"/>
    </w:rPr>
  </w:style>
  <w:style w:type="character" w:customStyle="1" w:styleId="TextedebullesCar1">
    <w:name w:val="Texte de bulles Car1"/>
    <w:basedOn w:val="Policepardfaut"/>
    <w:link w:val="Textedebulles"/>
    <w:uiPriority w:val="99"/>
    <w:semiHidden/>
    <w:rsid w:val="000A7532"/>
    <w:rPr>
      <w:rFonts w:ascii="Tahoma" w:hAnsi="Tahoma" w:cs="Tahoma"/>
      <w:sz w:val="16"/>
      <w:szCs w:val="16"/>
    </w:rPr>
  </w:style>
  <w:style w:type="numbering" w:customStyle="1" w:styleId="Aucuneliste2">
    <w:name w:val="Aucune liste2"/>
    <w:next w:val="Aucuneliste"/>
    <w:uiPriority w:val="99"/>
    <w:semiHidden/>
    <w:unhideWhenUsed/>
    <w:rsid w:val="000A7532"/>
  </w:style>
  <w:style w:type="table" w:customStyle="1" w:styleId="TableNormal1">
    <w:name w:val="Table Normal1"/>
    <w:uiPriority w:val="2"/>
    <w:semiHidden/>
    <w:unhideWhenUsed/>
    <w:qFormat/>
    <w:rsid w:val="000A7532"/>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customStyle="1" w:styleId="Grilledutableau2">
    <w:name w:val="Grille du tableau2"/>
    <w:basedOn w:val="TableauNormal"/>
    <w:next w:val="Grilledutableau"/>
    <w:uiPriority w:val="39"/>
    <w:rsid w:val="000A753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gende2">
    <w:name w:val="Légende2"/>
    <w:basedOn w:val="Normal"/>
    <w:next w:val="Normal"/>
    <w:uiPriority w:val="35"/>
    <w:unhideWhenUsed/>
    <w:qFormat/>
    <w:rsid w:val="000A7532"/>
    <w:pPr>
      <w:widowControl w:val="0"/>
      <w:autoSpaceDE w:val="0"/>
      <w:autoSpaceDN w:val="0"/>
      <w:spacing w:after="200" w:line="240" w:lineRule="auto"/>
    </w:pPr>
    <w:rPr>
      <w:rFonts w:ascii="Times New Roman" w:eastAsia="Times New Roman" w:hAnsi="Times New Roman" w:cs="Times New Roman"/>
      <w:i/>
      <w:iCs/>
      <w:color w:val="1F497D"/>
      <w:sz w:val="18"/>
      <w:szCs w:val="18"/>
    </w:rPr>
  </w:style>
  <w:style w:type="table" w:customStyle="1" w:styleId="ListTable3Accent31">
    <w:name w:val="List Table 3 Accent 31"/>
    <w:basedOn w:val="TableauNormal"/>
    <w:uiPriority w:val="48"/>
    <w:rsid w:val="000A7532"/>
    <w:pPr>
      <w:widowControl w:val="0"/>
      <w:autoSpaceDE w:val="0"/>
      <w:autoSpaceDN w:val="0"/>
      <w:spacing w:after="0" w:line="240" w:lineRule="auto"/>
    </w:pPr>
    <w:rPr>
      <w:lang w:val="en-US"/>
    </w:rPr>
    <w:tblPr>
      <w:tblStyleRowBandSize w:val="1"/>
      <w:tblStyleColBandSize w:val="1"/>
      <w:tblBorders>
        <w:top w:val="single" w:sz="4" w:space="0" w:color="9BBB59"/>
        <w:left w:val="single" w:sz="4" w:space="0" w:color="9BBB59"/>
        <w:bottom w:val="single" w:sz="4" w:space="0" w:color="9BBB59"/>
        <w:right w:val="single" w:sz="4" w:space="0" w:color="9BBB59"/>
      </w:tblBorders>
    </w:tblPr>
    <w:tblStylePr w:type="firstRow">
      <w:rPr>
        <w:b/>
        <w:bCs/>
        <w:color w:val="FFFFFF"/>
      </w:rPr>
      <w:tblPr/>
      <w:tcPr>
        <w:shd w:val="clear" w:color="auto" w:fill="9BBB59"/>
      </w:tcPr>
    </w:tblStylePr>
    <w:tblStylePr w:type="lastRow">
      <w:rPr>
        <w:b/>
        <w:bCs/>
      </w:rPr>
      <w:tblPr/>
      <w:tcPr>
        <w:tcBorders>
          <w:top w:val="double" w:sz="4" w:space="0" w:color="9BBB59"/>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9BBB59"/>
          <w:right w:val="single" w:sz="4" w:space="0" w:color="9BBB59"/>
        </w:tcBorders>
      </w:tcPr>
    </w:tblStylePr>
    <w:tblStylePr w:type="band1Horz">
      <w:tblPr/>
      <w:tcPr>
        <w:tcBorders>
          <w:top w:val="single" w:sz="4" w:space="0" w:color="9BBB59"/>
          <w:bottom w:val="single" w:sz="4" w:space="0" w:color="9BBB59"/>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left w:val="nil"/>
        </w:tcBorders>
      </w:tcPr>
    </w:tblStylePr>
    <w:tblStylePr w:type="swCell">
      <w:tblPr/>
      <w:tcPr>
        <w:tcBorders>
          <w:top w:val="double" w:sz="4" w:space="0" w:color="9BBB59"/>
          <w:right w:val="nil"/>
        </w:tcBorders>
      </w:tcPr>
    </w:tblStylePr>
  </w:style>
  <w:style w:type="table" w:customStyle="1" w:styleId="GridTable4Accent51">
    <w:name w:val="Grid Table 4 Accent 51"/>
    <w:basedOn w:val="TableauNormal"/>
    <w:uiPriority w:val="49"/>
    <w:rsid w:val="000A7532"/>
    <w:pPr>
      <w:widowControl w:val="0"/>
      <w:autoSpaceDE w:val="0"/>
      <w:autoSpaceDN w:val="0"/>
      <w:spacing w:after="0" w:line="240" w:lineRule="auto"/>
    </w:pPr>
    <w:rPr>
      <w:lang w:val="en-US"/>
    </w:rPr>
    <w:tblPr>
      <w:tblStyleRowBandSize w:val="1"/>
      <w:tblStyleColBandSize w:val="1"/>
      <w:tblBorders>
        <w:top w:val="single" w:sz="4" w:space="0" w:color="92CDDC"/>
        <w:left w:val="single" w:sz="4" w:space="0" w:color="92CDDC"/>
        <w:bottom w:val="single" w:sz="4" w:space="0" w:color="92CDDC"/>
        <w:right w:val="single" w:sz="4" w:space="0" w:color="92CDDC"/>
        <w:insideH w:val="single" w:sz="4" w:space="0" w:color="92CDDC"/>
        <w:insideV w:val="single" w:sz="4" w:space="0" w:color="92CDDC"/>
      </w:tblBorders>
    </w:tblPr>
    <w:tblStylePr w:type="firstRow">
      <w:rPr>
        <w:b/>
        <w:bCs/>
        <w:color w:val="FFFFFF"/>
      </w:rPr>
      <w:tblPr/>
      <w:tcPr>
        <w:tcBorders>
          <w:top w:val="single" w:sz="4" w:space="0" w:color="4BACC6"/>
          <w:left w:val="single" w:sz="4" w:space="0" w:color="4BACC6"/>
          <w:bottom w:val="single" w:sz="4" w:space="0" w:color="4BACC6"/>
          <w:right w:val="single" w:sz="4" w:space="0" w:color="4BACC6"/>
          <w:insideH w:val="nil"/>
          <w:insideV w:val="nil"/>
        </w:tcBorders>
        <w:shd w:val="clear" w:color="auto" w:fill="4BACC6"/>
      </w:tcPr>
    </w:tblStylePr>
    <w:tblStylePr w:type="lastRow">
      <w:rPr>
        <w:b/>
        <w:bCs/>
      </w:rPr>
      <w:tblPr/>
      <w:tcPr>
        <w:tcBorders>
          <w:top w:val="double" w:sz="4" w:space="0" w:color="4BACC6"/>
        </w:tcBorders>
      </w:tcPr>
    </w:tblStylePr>
    <w:tblStylePr w:type="firstCol">
      <w:rPr>
        <w:b/>
        <w:bCs/>
      </w:rPr>
    </w:tblStylePr>
    <w:tblStylePr w:type="lastCol">
      <w:rPr>
        <w:b/>
        <w:bCs/>
      </w:rPr>
    </w:tblStylePr>
    <w:tblStylePr w:type="band1Vert">
      <w:tblPr/>
      <w:tcPr>
        <w:shd w:val="clear" w:color="auto" w:fill="DAEEF3"/>
      </w:tcPr>
    </w:tblStylePr>
    <w:tblStylePr w:type="band1Horz">
      <w:tblPr/>
      <w:tcPr>
        <w:shd w:val="clear" w:color="auto" w:fill="DAEEF3"/>
      </w:tcPr>
    </w:tblStylePr>
  </w:style>
  <w:style w:type="paragraph" w:customStyle="1" w:styleId="En-ttedetabledesmatires2">
    <w:name w:val="En-tête de table des matières2"/>
    <w:basedOn w:val="Titre1"/>
    <w:next w:val="Normal"/>
    <w:uiPriority w:val="39"/>
    <w:unhideWhenUsed/>
    <w:qFormat/>
    <w:rsid w:val="000A7532"/>
    <w:pPr>
      <w:keepNext/>
      <w:keepLines/>
      <w:widowControl/>
      <w:autoSpaceDE/>
      <w:autoSpaceDN/>
      <w:spacing w:before="240" w:line="259" w:lineRule="auto"/>
      <w:outlineLvl w:val="9"/>
    </w:pPr>
    <w:rPr>
      <w:rFonts w:ascii="Cambria" w:eastAsia="Times New Roman" w:hAnsi="Cambria" w:cs="Times New Roman"/>
      <w:color w:val="365F91"/>
      <w:lang w:eastAsia="fr-FR"/>
      <w14:textFill>
        <w14:solidFill>
          <w14:srgbClr w14:val="365F91">
            <w14:lumMod w14:val="50000"/>
          </w14:srgbClr>
        </w14:solidFill>
      </w14:textFill>
    </w:rPr>
  </w:style>
  <w:style w:type="table" w:customStyle="1" w:styleId="Grillemoyenne3-Accent61">
    <w:name w:val="Grille moyenne 3 - Accent 61"/>
    <w:basedOn w:val="TableauNormal"/>
    <w:next w:val="Grillemoyenne3-Accent6"/>
    <w:uiPriority w:val="69"/>
    <w:rsid w:val="00FC1CAD"/>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BEB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70AD47"/>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70AD47"/>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70AD47"/>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70AD47"/>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7D8A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7D8A0"/>
      </w:tcPr>
    </w:tblStylePr>
  </w:style>
  <w:style w:type="table" w:styleId="Grillemoyenne3-Accent6">
    <w:name w:val="Medium Grid 3 Accent 6"/>
    <w:basedOn w:val="TableauNormal"/>
    <w:uiPriority w:val="69"/>
    <w:rsid w:val="00FC1CAD"/>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EE7C8"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EA022"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EA022"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EA022"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EA022"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ECF9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ECF90" w:themeFill="accent6" w:themeFillTint="7F"/>
      </w:tcPr>
    </w:tblStylePr>
  </w:style>
  <w:style w:type="table" w:styleId="Tramemoyenne2-Accent6">
    <w:name w:val="Medium Shading 2 Accent 6"/>
    <w:basedOn w:val="TableauNormal"/>
    <w:uiPriority w:val="64"/>
    <w:rsid w:val="000355E5"/>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EA022"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EA022" w:themeFill="accent6"/>
      </w:tcPr>
    </w:tblStylePr>
    <w:tblStylePr w:type="lastCol">
      <w:rPr>
        <w:b/>
        <w:bCs/>
        <w:color w:val="FFFFFF" w:themeColor="background1"/>
      </w:rPr>
      <w:tblPr/>
      <w:tcPr>
        <w:tcBorders>
          <w:left w:val="nil"/>
          <w:right w:val="nil"/>
          <w:insideH w:val="nil"/>
          <w:insideV w:val="nil"/>
        </w:tcBorders>
        <w:shd w:val="clear" w:color="auto" w:fill="FEA022"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rillemoyenne1-Accent6">
    <w:name w:val="Medium Grid 1 Accent 6"/>
    <w:basedOn w:val="TableauNormal"/>
    <w:uiPriority w:val="67"/>
    <w:rsid w:val="000355E5"/>
    <w:pPr>
      <w:spacing w:after="0" w:line="240" w:lineRule="auto"/>
    </w:pPr>
    <w:tblPr>
      <w:tblStyleRowBandSize w:val="1"/>
      <w:tblStyleColBandSize w:val="1"/>
      <w:tblBorders>
        <w:top w:val="single" w:sz="8" w:space="0" w:color="FEB759" w:themeColor="accent6" w:themeTint="BF"/>
        <w:left w:val="single" w:sz="8" w:space="0" w:color="FEB759" w:themeColor="accent6" w:themeTint="BF"/>
        <w:bottom w:val="single" w:sz="8" w:space="0" w:color="FEB759" w:themeColor="accent6" w:themeTint="BF"/>
        <w:right w:val="single" w:sz="8" w:space="0" w:color="FEB759" w:themeColor="accent6" w:themeTint="BF"/>
        <w:insideH w:val="single" w:sz="8" w:space="0" w:color="FEB759" w:themeColor="accent6" w:themeTint="BF"/>
        <w:insideV w:val="single" w:sz="8" w:space="0" w:color="FEB759" w:themeColor="accent6" w:themeTint="BF"/>
      </w:tblBorders>
    </w:tblPr>
    <w:tcPr>
      <w:shd w:val="clear" w:color="auto" w:fill="FEE7C8" w:themeFill="accent6" w:themeFillTint="3F"/>
    </w:tcPr>
    <w:tblStylePr w:type="firstRow">
      <w:rPr>
        <w:b/>
        <w:bCs/>
      </w:rPr>
    </w:tblStylePr>
    <w:tblStylePr w:type="lastRow">
      <w:rPr>
        <w:b/>
        <w:bCs/>
      </w:rPr>
      <w:tblPr/>
      <w:tcPr>
        <w:tcBorders>
          <w:top w:val="single" w:sz="18" w:space="0" w:color="FEB759" w:themeColor="accent6" w:themeTint="BF"/>
        </w:tcBorders>
      </w:tcPr>
    </w:tblStylePr>
    <w:tblStylePr w:type="firstCol">
      <w:rPr>
        <w:b/>
        <w:bCs/>
      </w:rPr>
    </w:tblStylePr>
    <w:tblStylePr w:type="lastCol">
      <w:rPr>
        <w:b/>
        <w:bCs/>
      </w:rPr>
    </w:tblStylePr>
    <w:tblStylePr w:type="band1Vert">
      <w:tblPr/>
      <w:tcPr>
        <w:shd w:val="clear" w:color="auto" w:fill="FECF90" w:themeFill="accent6" w:themeFillTint="7F"/>
      </w:tcPr>
    </w:tblStylePr>
    <w:tblStylePr w:type="band1Horz">
      <w:tblPr/>
      <w:tcPr>
        <w:shd w:val="clear" w:color="auto" w:fill="FECF90" w:themeFill="accent6" w:themeFillTint="7F"/>
      </w:tcPr>
    </w:tblStylePr>
  </w:style>
  <w:style w:type="numbering" w:customStyle="1" w:styleId="Aucuneliste3">
    <w:name w:val="Aucune liste3"/>
    <w:next w:val="Aucuneliste"/>
    <w:uiPriority w:val="99"/>
    <w:semiHidden/>
    <w:unhideWhenUsed/>
    <w:rsid w:val="00726EDC"/>
  </w:style>
  <w:style w:type="table" w:customStyle="1" w:styleId="TableNormal2">
    <w:name w:val="Table Normal2"/>
    <w:uiPriority w:val="2"/>
    <w:semiHidden/>
    <w:unhideWhenUsed/>
    <w:qFormat/>
    <w:rsid w:val="00726EDC"/>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customStyle="1" w:styleId="Grilledutableau3">
    <w:name w:val="Grille du tableau3"/>
    <w:basedOn w:val="TableauNormal"/>
    <w:next w:val="Grilledutableau"/>
    <w:uiPriority w:val="39"/>
    <w:rsid w:val="00726E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gende3">
    <w:name w:val="Légende3"/>
    <w:basedOn w:val="Normal"/>
    <w:next w:val="Normal"/>
    <w:uiPriority w:val="35"/>
    <w:unhideWhenUsed/>
    <w:qFormat/>
    <w:rsid w:val="00726EDC"/>
    <w:pPr>
      <w:widowControl w:val="0"/>
      <w:autoSpaceDE w:val="0"/>
      <w:autoSpaceDN w:val="0"/>
      <w:spacing w:after="200" w:line="240" w:lineRule="auto"/>
    </w:pPr>
    <w:rPr>
      <w:rFonts w:ascii="Times New Roman" w:eastAsia="Times New Roman" w:hAnsi="Times New Roman" w:cs="Times New Roman"/>
      <w:i/>
      <w:iCs/>
      <w:color w:val="1F497D"/>
      <w:sz w:val="18"/>
      <w:szCs w:val="18"/>
    </w:rPr>
  </w:style>
  <w:style w:type="table" w:customStyle="1" w:styleId="ListTable3Accent32">
    <w:name w:val="List Table 3 Accent 32"/>
    <w:basedOn w:val="TableauNormal"/>
    <w:uiPriority w:val="48"/>
    <w:rsid w:val="00726EDC"/>
    <w:pPr>
      <w:widowControl w:val="0"/>
      <w:autoSpaceDE w:val="0"/>
      <w:autoSpaceDN w:val="0"/>
      <w:spacing w:after="0" w:line="240" w:lineRule="auto"/>
    </w:pPr>
    <w:rPr>
      <w:lang w:val="en-US"/>
    </w:rPr>
    <w:tblPr>
      <w:tblStyleRowBandSize w:val="1"/>
      <w:tblStyleColBandSize w:val="1"/>
      <w:tblBorders>
        <w:top w:val="single" w:sz="4" w:space="0" w:color="9BBB59"/>
        <w:left w:val="single" w:sz="4" w:space="0" w:color="9BBB59"/>
        <w:bottom w:val="single" w:sz="4" w:space="0" w:color="9BBB59"/>
        <w:right w:val="single" w:sz="4" w:space="0" w:color="9BBB59"/>
      </w:tblBorders>
    </w:tblPr>
    <w:tblStylePr w:type="firstRow">
      <w:rPr>
        <w:b/>
        <w:bCs/>
        <w:color w:val="FFFFFF"/>
      </w:rPr>
      <w:tblPr/>
      <w:tcPr>
        <w:shd w:val="clear" w:color="auto" w:fill="9BBB59"/>
      </w:tcPr>
    </w:tblStylePr>
    <w:tblStylePr w:type="lastRow">
      <w:rPr>
        <w:b/>
        <w:bCs/>
      </w:rPr>
      <w:tblPr/>
      <w:tcPr>
        <w:tcBorders>
          <w:top w:val="double" w:sz="4" w:space="0" w:color="9BBB59"/>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9BBB59"/>
          <w:right w:val="single" w:sz="4" w:space="0" w:color="9BBB59"/>
        </w:tcBorders>
      </w:tcPr>
    </w:tblStylePr>
    <w:tblStylePr w:type="band1Horz">
      <w:tblPr/>
      <w:tcPr>
        <w:tcBorders>
          <w:top w:val="single" w:sz="4" w:space="0" w:color="9BBB59"/>
          <w:bottom w:val="single" w:sz="4" w:space="0" w:color="9BBB59"/>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left w:val="nil"/>
        </w:tcBorders>
      </w:tcPr>
    </w:tblStylePr>
    <w:tblStylePr w:type="swCell">
      <w:tblPr/>
      <w:tcPr>
        <w:tcBorders>
          <w:top w:val="double" w:sz="4" w:space="0" w:color="9BBB59"/>
          <w:right w:val="nil"/>
        </w:tcBorders>
      </w:tcPr>
    </w:tblStylePr>
  </w:style>
  <w:style w:type="table" w:customStyle="1" w:styleId="GridTable4Accent52">
    <w:name w:val="Grid Table 4 Accent 52"/>
    <w:basedOn w:val="TableauNormal"/>
    <w:uiPriority w:val="49"/>
    <w:rsid w:val="00726EDC"/>
    <w:pPr>
      <w:widowControl w:val="0"/>
      <w:autoSpaceDE w:val="0"/>
      <w:autoSpaceDN w:val="0"/>
      <w:spacing w:after="0" w:line="240" w:lineRule="auto"/>
    </w:pPr>
    <w:rPr>
      <w:lang w:val="en-US"/>
    </w:rPr>
    <w:tblPr>
      <w:tblStyleRowBandSize w:val="1"/>
      <w:tblStyleColBandSize w:val="1"/>
      <w:tblBorders>
        <w:top w:val="single" w:sz="4" w:space="0" w:color="92CDDC"/>
        <w:left w:val="single" w:sz="4" w:space="0" w:color="92CDDC"/>
        <w:bottom w:val="single" w:sz="4" w:space="0" w:color="92CDDC"/>
        <w:right w:val="single" w:sz="4" w:space="0" w:color="92CDDC"/>
        <w:insideH w:val="single" w:sz="4" w:space="0" w:color="92CDDC"/>
        <w:insideV w:val="single" w:sz="4" w:space="0" w:color="92CDDC"/>
      </w:tblBorders>
    </w:tblPr>
    <w:tblStylePr w:type="firstRow">
      <w:rPr>
        <w:b/>
        <w:bCs/>
        <w:color w:val="FFFFFF"/>
      </w:rPr>
      <w:tblPr/>
      <w:tcPr>
        <w:tcBorders>
          <w:top w:val="single" w:sz="4" w:space="0" w:color="4BACC6"/>
          <w:left w:val="single" w:sz="4" w:space="0" w:color="4BACC6"/>
          <w:bottom w:val="single" w:sz="4" w:space="0" w:color="4BACC6"/>
          <w:right w:val="single" w:sz="4" w:space="0" w:color="4BACC6"/>
          <w:insideH w:val="nil"/>
          <w:insideV w:val="nil"/>
        </w:tcBorders>
        <w:shd w:val="clear" w:color="auto" w:fill="4BACC6"/>
      </w:tcPr>
    </w:tblStylePr>
    <w:tblStylePr w:type="lastRow">
      <w:rPr>
        <w:b/>
        <w:bCs/>
      </w:rPr>
      <w:tblPr/>
      <w:tcPr>
        <w:tcBorders>
          <w:top w:val="double" w:sz="4" w:space="0" w:color="4BACC6"/>
        </w:tcBorders>
      </w:tcPr>
    </w:tblStylePr>
    <w:tblStylePr w:type="firstCol">
      <w:rPr>
        <w:b/>
        <w:bCs/>
      </w:rPr>
    </w:tblStylePr>
    <w:tblStylePr w:type="lastCol">
      <w:rPr>
        <w:b/>
        <w:bCs/>
      </w:rPr>
    </w:tblStylePr>
    <w:tblStylePr w:type="band1Vert">
      <w:tblPr/>
      <w:tcPr>
        <w:shd w:val="clear" w:color="auto" w:fill="DAEEF3"/>
      </w:tcPr>
    </w:tblStylePr>
    <w:tblStylePr w:type="band1Horz">
      <w:tblPr/>
      <w:tcPr>
        <w:shd w:val="clear" w:color="auto" w:fill="DAEEF3"/>
      </w:tcPr>
    </w:tblStylePr>
  </w:style>
  <w:style w:type="paragraph" w:customStyle="1" w:styleId="En-ttedetabledesmatires3">
    <w:name w:val="En-tête de table des matières3"/>
    <w:basedOn w:val="Titre1"/>
    <w:next w:val="Normal"/>
    <w:uiPriority w:val="39"/>
    <w:unhideWhenUsed/>
    <w:qFormat/>
    <w:rsid w:val="00726EDC"/>
    <w:pPr>
      <w:keepNext/>
      <w:keepLines/>
      <w:widowControl/>
      <w:autoSpaceDE/>
      <w:autoSpaceDN/>
      <w:spacing w:before="240" w:line="259" w:lineRule="auto"/>
      <w:outlineLvl w:val="9"/>
    </w:pPr>
    <w:rPr>
      <w:rFonts w:ascii="Cambria" w:eastAsia="Times New Roman" w:hAnsi="Cambria" w:cs="Times New Roman"/>
      <w:color w:val="365F91"/>
      <w:lang w:eastAsia="fr-FR"/>
      <w14:textFill>
        <w14:solidFill>
          <w14:srgbClr w14:val="365F91">
            <w14:lumMod w14:val="50000"/>
          </w14:srgbClr>
        </w14:solidFill>
      </w14:textFill>
    </w:rPr>
  </w:style>
  <w:style w:type="table" w:customStyle="1" w:styleId="Grilleclaire-Accent11">
    <w:name w:val="Grille claire - Accent 11"/>
    <w:basedOn w:val="TableauNormal"/>
    <w:next w:val="Grilleclaire-Accent1"/>
    <w:uiPriority w:val="62"/>
    <w:rsid w:val="001A36FE"/>
    <w:pPr>
      <w:spacing w:after="0" w:line="240" w:lineRule="auto"/>
    </w:p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Times New Roman"/>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styleId="Grilleclaire-Accent1">
    <w:name w:val="Light Grid Accent 1"/>
    <w:basedOn w:val="TableauNormal"/>
    <w:uiPriority w:val="62"/>
    <w:rsid w:val="001A36FE"/>
    <w:pPr>
      <w:spacing w:after="0" w:line="240" w:lineRule="auto"/>
    </w:pPr>
    <w:tblPr>
      <w:tblStyleRowBandSize w:val="1"/>
      <w:tblStyleColBandSize w:val="1"/>
      <w:tblBorders>
        <w:top w:val="single" w:sz="8" w:space="0" w:color="94C600" w:themeColor="accent1"/>
        <w:left w:val="single" w:sz="8" w:space="0" w:color="94C600" w:themeColor="accent1"/>
        <w:bottom w:val="single" w:sz="8" w:space="0" w:color="94C600" w:themeColor="accent1"/>
        <w:right w:val="single" w:sz="8" w:space="0" w:color="94C600" w:themeColor="accent1"/>
        <w:insideH w:val="single" w:sz="8" w:space="0" w:color="94C600" w:themeColor="accent1"/>
        <w:insideV w:val="single" w:sz="8" w:space="0" w:color="94C600"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4C600" w:themeColor="accent1"/>
          <w:left w:val="single" w:sz="8" w:space="0" w:color="94C600" w:themeColor="accent1"/>
          <w:bottom w:val="single" w:sz="18" w:space="0" w:color="94C600" w:themeColor="accent1"/>
          <w:right w:val="single" w:sz="8" w:space="0" w:color="94C600" w:themeColor="accent1"/>
          <w:insideH w:val="nil"/>
          <w:insideV w:val="single" w:sz="8" w:space="0" w:color="94C600"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4C600" w:themeColor="accent1"/>
          <w:left w:val="single" w:sz="8" w:space="0" w:color="94C600" w:themeColor="accent1"/>
          <w:bottom w:val="single" w:sz="8" w:space="0" w:color="94C600" w:themeColor="accent1"/>
          <w:right w:val="single" w:sz="8" w:space="0" w:color="94C600" w:themeColor="accent1"/>
          <w:insideH w:val="nil"/>
          <w:insideV w:val="single" w:sz="8" w:space="0" w:color="94C600"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4C600" w:themeColor="accent1"/>
          <w:left w:val="single" w:sz="8" w:space="0" w:color="94C600" w:themeColor="accent1"/>
          <w:bottom w:val="single" w:sz="8" w:space="0" w:color="94C600" w:themeColor="accent1"/>
          <w:right w:val="single" w:sz="8" w:space="0" w:color="94C600" w:themeColor="accent1"/>
        </w:tcBorders>
      </w:tcPr>
    </w:tblStylePr>
    <w:tblStylePr w:type="band1Vert">
      <w:tblPr/>
      <w:tcPr>
        <w:tcBorders>
          <w:top w:val="single" w:sz="8" w:space="0" w:color="94C600" w:themeColor="accent1"/>
          <w:left w:val="single" w:sz="8" w:space="0" w:color="94C600" w:themeColor="accent1"/>
          <w:bottom w:val="single" w:sz="8" w:space="0" w:color="94C600" w:themeColor="accent1"/>
          <w:right w:val="single" w:sz="8" w:space="0" w:color="94C600" w:themeColor="accent1"/>
        </w:tcBorders>
        <w:shd w:val="clear" w:color="auto" w:fill="EBFFB1" w:themeFill="accent1" w:themeFillTint="3F"/>
      </w:tcPr>
    </w:tblStylePr>
    <w:tblStylePr w:type="band1Horz">
      <w:tblPr/>
      <w:tcPr>
        <w:tcBorders>
          <w:top w:val="single" w:sz="8" w:space="0" w:color="94C600" w:themeColor="accent1"/>
          <w:left w:val="single" w:sz="8" w:space="0" w:color="94C600" w:themeColor="accent1"/>
          <w:bottom w:val="single" w:sz="8" w:space="0" w:color="94C600" w:themeColor="accent1"/>
          <w:right w:val="single" w:sz="8" w:space="0" w:color="94C600" w:themeColor="accent1"/>
          <w:insideV w:val="single" w:sz="8" w:space="0" w:color="94C600" w:themeColor="accent1"/>
        </w:tcBorders>
        <w:shd w:val="clear" w:color="auto" w:fill="EBFFB1" w:themeFill="accent1" w:themeFillTint="3F"/>
      </w:tcPr>
    </w:tblStylePr>
    <w:tblStylePr w:type="band2Horz">
      <w:tblPr/>
      <w:tcPr>
        <w:tcBorders>
          <w:top w:val="single" w:sz="8" w:space="0" w:color="94C600" w:themeColor="accent1"/>
          <w:left w:val="single" w:sz="8" w:space="0" w:color="94C600" w:themeColor="accent1"/>
          <w:bottom w:val="single" w:sz="8" w:space="0" w:color="94C600" w:themeColor="accent1"/>
          <w:right w:val="single" w:sz="8" w:space="0" w:color="94C600" w:themeColor="accent1"/>
          <w:insideV w:val="single" w:sz="8" w:space="0" w:color="94C600" w:themeColor="accent1"/>
        </w:tcBorders>
      </w:tcPr>
    </w:tblStylePr>
  </w:style>
  <w:style w:type="character" w:customStyle="1" w:styleId="Titre6Car">
    <w:name w:val="Titre 6 Car"/>
    <w:basedOn w:val="Policepardfaut"/>
    <w:link w:val="Titre6"/>
    <w:uiPriority w:val="9"/>
    <w:rsid w:val="008D3838"/>
    <w:rPr>
      <w:rFonts w:ascii="Tahoma" w:eastAsia="Calibri" w:hAnsi="Tahoma" w:cstheme="majorBidi"/>
      <w:b/>
      <w:bCs/>
      <w:color w:val="000000" w:themeColor="text1"/>
      <w:sz w:val="24"/>
      <w:szCs w:val="24"/>
      <w:lang w:eastAsia="fr-FR"/>
      <w14:scene3d>
        <w14:camera w14:prst="orthographicFront"/>
        <w14:lightRig w14:rig="threePt" w14:dir="t">
          <w14:rot w14:lat="0" w14:lon="0" w14:rev="0"/>
        </w14:lightRig>
      </w14:scene3d>
    </w:rPr>
  </w:style>
  <w:style w:type="character" w:customStyle="1" w:styleId="touchw-38px">
    <w:name w:val="touch:w-[38px]"/>
    <w:basedOn w:val="Policepardfaut"/>
    <w:rsid w:val="00FA6C95"/>
  </w:style>
  <w:style w:type="character" w:customStyle="1" w:styleId="hidden">
    <w:name w:val="hidden"/>
    <w:basedOn w:val="Policepardfaut"/>
    <w:rsid w:val="00FA6C95"/>
  </w:style>
  <w:style w:type="character" w:customStyle="1" w:styleId="overflow-hidden">
    <w:name w:val="overflow-hidden"/>
    <w:basedOn w:val="Policepardfaut"/>
    <w:rsid w:val="00FA6C95"/>
  </w:style>
  <w:style w:type="character" w:customStyle="1" w:styleId="align-middle">
    <w:name w:val="align-middle"/>
    <w:basedOn w:val="Policepardfaut"/>
    <w:rsid w:val="00FA6C95"/>
  </w:style>
  <w:style w:type="paragraph" w:styleId="z-Hautduformulaire">
    <w:name w:val="HTML Top of Form"/>
    <w:basedOn w:val="Normal"/>
    <w:next w:val="Normal"/>
    <w:link w:val="z-HautduformulaireCar"/>
    <w:hidden/>
    <w:uiPriority w:val="99"/>
    <w:semiHidden/>
    <w:unhideWhenUsed/>
    <w:rsid w:val="00FA6C95"/>
    <w:pPr>
      <w:pBdr>
        <w:bottom w:val="single" w:sz="6" w:space="1" w:color="auto"/>
      </w:pBdr>
      <w:spacing w:after="0" w:line="240" w:lineRule="auto"/>
      <w:jc w:val="center"/>
    </w:pPr>
    <w:rPr>
      <w:rFonts w:ascii="Arial" w:eastAsia="Times New Roman" w:hAnsi="Arial" w:cs="Arial"/>
      <w:vanish/>
      <w:sz w:val="16"/>
      <w:szCs w:val="16"/>
      <w:lang w:eastAsia="fr-FR"/>
    </w:rPr>
  </w:style>
  <w:style w:type="character" w:customStyle="1" w:styleId="z-HautduformulaireCar">
    <w:name w:val="z-Haut du formulaire Car"/>
    <w:basedOn w:val="Policepardfaut"/>
    <w:link w:val="z-Hautduformulaire"/>
    <w:uiPriority w:val="99"/>
    <w:semiHidden/>
    <w:rsid w:val="00FA6C95"/>
    <w:rPr>
      <w:rFonts w:ascii="Arial" w:eastAsia="Times New Roman" w:hAnsi="Arial" w:cs="Arial"/>
      <w:vanish/>
      <w:sz w:val="16"/>
      <w:szCs w:val="16"/>
      <w:lang w:eastAsia="fr-FR"/>
    </w:rPr>
  </w:style>
  <w:style w:type="paragraph" w:customStyle="1" w:styleId="placeholder">
    <w:name w:val="placeholder"/>
    <w:basedOn w:val="Normal"/>
    <w:rsid w:val="00FA6C95"/>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z-Basduformulaire">
    <w:name w:val="HTML Bottom of Form"/>
    <w:basedOn w:val="Normal"/>
    <w:next w:val="Normal"/>
    <w:link w:val="z-BasduformulaireCar"/>
    <w:hidden/>
    <w:uiPriority w:val="99"/>
    <w:semiHidden/>
    <w:unhideWhenUsed/>
    <w:rsid w:val="00FA6C95"/>
    <w:pPr>
      <w:pBdr>
        <w:top w:val="single" w:sz="6" w:space="1" w:color="auto"/>
      </w:pBdr>
      <w:spacing w:after="0" w:line="240" w:lineRule="auto"/>
      <w:jc w:val="center"/>
    </w:pPr>
    <w:rPr>
      <w:rFonts w:ascii="Arial" w:eastAsia="Times New Roman" w:hAnsi="Arial" w:cs="Arial"/>
      <w:vanish/>
      <w:sz w:val="16"/>
      <w:szCs w:val="16"/>
      <w:lang w:eastAsia="fr-FR"/>
    </w:rPr>
  </w:style>
  <w:style w:type="character" w:customStyle="1" w:styleId="z-BasduformulaireCar">
    <w:name w:val="z-Bas du formulaire Car"/>
    <w:basedOn w:val="Policepardfaut"/>
    <w:link w:val="z-Basduformulaire"/>
    <w:uiPriority w:val="99"/>
    <w:semiHidden/>
    <w:rsid w:val="00FA6C95"/>
    <w:rPr>
      <w:rFonts w:ascii="Arial" w:eastAsia="Times New Roman" w:hAnsi="Arial" w:cs="Arial"/>
      <w:vanish/>
      <w:sz w:val="16"/>
      <w:szCs w:val="16"/>
      <w:lang w:eastAsia="fr-FR"/>
    </w:rPr>
  </w:style>
  <w:style w:type="table" w:styleId="Listemoyenne1-Accent6">
    <w:name w:val="Medium List 1 Accent 6"/>
    <w:basedOn w:val="TableauNormal"/>
    <w:uiPriority w:val="65"/>
    <w:rsid w:val="00F57B07"/>
    <w:pPr>
      <w:spacing w:after="0" w:line="240" w:lineRule="auto"/>
    </w:pPr>
    <w:rPr>
      <w:color w:val="000000" w:themeColor="text1"/>
    </w:rPr>
    <w:tblPr>
      <w:tblStyleRowBandSize w:val="1"/>
      <w:tblStyleColBandSize w:val="1"/>
      <w:tblBorders>
        <w:top w:val="single" w:sz="8" w:space="0" w:color="FEA022" w:themeColor="accent6"/>
        <w:bottom w:val="single" w:sz="8" w:space="0" w:color="FEA022" w:themeColor="accent6"/>
      </w:tblBorders>
    </w:tblPr>
    <w:tblStylePr w:type="firstRow">
      <w:rPr>
        <w:rFonts w:asciiTheme="majorHAnsi" w:eastAsiaTheme="majorEastAsia" w:hAnsiTheme="majorHAnsi" w:cstheme="majorBidi"/>
      </w:rPr>
      <w:tblPr/>
      <w:tcPr>
        <w:tcBorders>
          <w:top w:val="nil"/>
          <w:bottom w:val="single" w:sz="8" w:space="0" w:color="FEA022" w:themeColor="accent6"/>
        </w:tcBorders>
      </w:tcPr>
    </w:tblStylePr>
    <w:tblStylePr w:type="lastRow">
      <w:rPr>
        <w:b/>
        <w:bCs/>
        <w:color w:val="3E3D2D" w:themeColor="text2"/>
      </w:rPr>
      <w:tblPr/>
      <w:tcPr>
        <w:tcBorders>
          <w:top w:val="single" w:sz="8" w:space="0" w:color="FEA022" w:themeColor="accent6"/>
          <w:bottom w:val="single" w:sz="8" w:space="0" w:color="FEA022" w:themeColor="accent6"/>
        </w:tcBorders>
      </w:tcPr>
    </w:tblStylePr>
    <w:tblStylePr w:type="firstCol">
      <w:rPr>
        <w:b/>
        <w:bCs/>
      </w:rPr>
    </w:tblStylePr>
    <w:tblStylePr w:type="lastCol">
      <w:rPr>
        <w:b/>
        <w:bCs/>
      </w:rPr>
      <w:tblPr/>
      <w:tcPr>
        <w:tcBorders>
          <w:top w:val="single" w:sz="8" w:space="0" w:color="FEA022" w:themeColor="accent6"/>
          <w:bottom w:val="single" w:sz="8" w:space="0" w:color="FEA022" w:themeColor="accent6"/>
        </w:tcBorders>
      </w:tcPr>
    </w:tblStylePr>
    <w:tblStylePr w:type="band1Vert">
      <w:tblPr/>
      <w:tcPr>
        <w:shd w:val="clear" w:color="auto" w:fill="FEE7C8" w:themeFill="accent6" w:themeFillTint="3F"/>
      </w:tcPr>
    </w:tblStylePr>
    <w:tblStylePr w:type="band1Horz">
      <w:tblPr/>
      <w:tcPr>
        <w:shd w:val="clear" w:color="auto" w:fill="FEE7C8" w:themeFill="accent6" w:themeFillTint="3F"/>
      </w:tcPr>
    </w:tblStylePr>
  </w:style>
  <w:style w:type="table" w:styleId="Tramemoyenne1-Accent6">
    <w:name w:val="Medium Shading 1 Accent 6"/>
    <w:basedOn w:val="TableauNormal"/>
    <w:uiPriority w:val="63"/>
    <w:rsid w:val="00F57B07"/>
    <w:pPr>
      <w:spacing w:after="0" w:line="240" w:lineRule="auto"/>
    </w:pPr>
    <w:tblPr>
      <w:tblStyleRowBandSize w:val="1"/>
      <w:tblStyleColBandSize w:val="1"/>
      <w:tblBorders>
        <w:top w:val="single" w:sz="8" w:space="0" w:color="FEB759" w:themeColor="accent6" w:themeTint="BF"/>
        <w:left w:val="single" w:sz="8" w:space="0" w:color="FEB759" w:themeColor="accent6" w:themeTint="BF"/>
        <w:bottom w:val="single" w:sz="8" w:space="0" w:color="FEB759" w:themeColor="accent6" w:themeTint="BF"/>
        <w:right w:val="single" w:sz="8" w:space="0" w:color="FEB759" w:themeColor="accent6" w:themeTint="BF"/>
        <w:insideH w:val="single" w:sz="8" w:space="0" w:color="FEB759" w:themeColor="accent6" w:themeTint="BF"/>
      </w:tblBorders>
    </w:tblPr>
    <w:tblStylePr w:type="firstRow">
      <w:pPr>
        <w:spacing w:before="0" w:after="0" w:line="240" w:lineRule="auto"/>
      </w:pPr>
      <w:rPr>
        <w:b/>
        <w:bCs/>
        <w:color w:val="FFFFFF" w:themeColor="background1"/>
      </w:rPr>
      <w:tblPr/>
      <w:tcPr>
        <w:tcBorders>
          <w:top w:val="single" w:sz="8" w:space="0" w:color="FEB759" w:themeColor="accent6" w:themeTint="BF"/>
          <w:left w:val="single" w:sz="8" w:space="0" w:color="FEB759" w:themeColor="accent6" w:themeTint="BF"/>
          <w:bottom w:val="single" w:sz="8" w:space="0" w:color="FEB759" w:themeColor="accent6" w:themeTint="BF"/>
          <w:right w:val="single" w:sz="8" w:space="0" w:color="FEB759" w:themeColor="accent6" w:themeTint="BF"/>
          <w:insideH w:val="nil"/>
          <w:insideV w:val="nil"/>
        </w:tcBorders>
        <w:shd w:val="clear" w:color="auto" w:fill="FEA022" w:themeFill="accent6"/>
      </w:tcPr>
    </w:tblStylePr>
    <w:tblStylePr w:type="lastRow">
      <w:pPr>
        <w:spacing w:before="0" w:after="0" w:line="240" w:lineRule="auto"/>
      </w:pPr>
      <w:rPr>
        <w:b/>
        <w:bCs/>
      </w:rPr>
      <w:tblPr/>
      <w:tcPr>
        <w:tcBorders>
          <w:top w:val="double" w:sz="6" w:space="0" w:color="FEB759" w:themeColor="accent6" w:themeTint="BF"/>
          <w:left w:val="single" w:sz="8" w:space="0" w:color="FEB759" w:themeColor="accent6" w:themeTint="BF"/>
          <w:bottom w:val="single" w:sz="8" w:space="0" w:color="FEB759" w:themeColor="accent6" w:themeTint="BF"/>
          <w:right w:val="single" w:sz="8" w:space="0" w:color="FEB759" w:themeColor="accent6" w:themeTint="BF"/>
          <w:insideH w:val="nil"/>
          <w:insideV w:val="nil"/>
        </w:tcBorders>
      </w:tcPr>
    </w:tblStylePr>
    <w:tblStylePr w:type="firstCol">
      <w:rPr>
        <w:b/>
        <w:bCs/>
      </w:rPr>
    </w:tblStylePr>
    <w:tblStylePr w:type="lastCol">
      <w:rPr>
        <w:b/>
        <w:bCs/>
      </w:rPr>
    </w:tblStylePr>
    <w:tblStylePr w:type="band1Vert">
      <w:tblPr/>
      <w:tcPr>
        <w:shd w:val="clear" w:color="auto" w:fill="FEE7C8" w:themeFill="accent6" w:themeFillTint="3F"/>
      </w:tcPr>
    </w:tblStylePr>
    <w:tblStylePr w:type="band1Horz">
      <w:tblPr/>
      <w:tcPr>
        <w:tcBorders>
          <w:insideH w:val="nil"/>
          <w:insideV w:val="nil"/>
        </w:tcBorders>
        <w:shd w:val="clear" w:color="auto" w:fill="FEE7C8" w:themeFill="accent6" w:themeFillTint="3F"/>
      </w:tcPr>
    </w:tblStylePr>
    <w:tblStylePr w:type="band2Horz">
      <w:tblPr/>
      <w:tcPr>
        <w:tcBorders>
          <w:insideH w:val="nil"/>
          <w:insideV w:val="nil"/>
        </w:tcBorders>
      </w:tcPr>
    </w:tblStylePr>
  </w:style>
  <w:style w:type="paragraph" w:customStyle="1" w:styleId="whitespace-normal">
    <w:name w:val="whitespace-normal"/>
    <w:basedOn w:val="Normal"/>
    <w:rsid w:val="00EB60E0"/>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is-empty">
    <w:name w:val="is-empty"/>
    <w:basedOn w:val="Normal"/>
    <w:rsid w:val="003D568D"/>
    <w:pPr>
      <w:spacing w:before="100" w:beforeAutospacing="1" w:after="100" w:afterAutospacing="1" w:line="240" w:lineRule="auto"/>
    </w:pPr>
    <w:rPr>
      <w:rFonts w:ascii="Times New Roman" w:eastAsia="Times New Roman" w:hAnsi="Times New Roman" w:cs="Times New Roman"/>
      <w:sz w:val="24"/>
      <w:szCs w:val="24"/>
      <w:lang w:eastAsia="fr-FR"/>
    </w:rPr>
  </w:style>
  <w:style w:type="table" w:customStyle="1" w:styleId="Grilledetableauclaire1">
    <w:name w:val="Grille de tableau claire1"/>
    <w:basedOn w:val="TableauNormal"/>
    <w:uiPriority w:val="40"/>
    <w:rsid w:val="00BD111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M7">
    <w:name w:val="toc 7"/>
    <w:basedOn w:val="Normal"/>
    <w:next w:val="Normal"/>
    <w:autoRedefine/>
    <w:uiPriority w:val="39"/>
    <w:unhideWhenUsed/>
    <w:rsid w:val="00AC59BD"/>
    <w:pPr>
      <w:spacing w:after="0"/>
      <w:ind w:left="1320"/>
    </w:pPr>
    <w:rPr>
      <w:rFonts w:cstheme="minorHAnsi"/>
      <w:sz w:val="18"/>
      <w:szCs w:val="21"/>
    </w:rPr>
  </w:style>
  <w:style w:type="paragraph" w:styleId="TM8">
    <w:name w:val="toc 8"/>
    <w:basedOn w:val="Normal"/>
    <w:next w:val="Normal"/>
    <w:autoRedefine/>
    <w:uiPriority w:val="39"/>
    <w:unhideWhenUsed/>
    <w:rsid w:val="00AC59BD"/>
    <w:pPr>
      <w:spacing w:after="0"/>
      <w:ind w:left="1540"/>
    </w:pPr>
    <w:rPr>
      <w:rFonts w:cstheme="minorHAnsi"/>
      <w:sz w:val="18"/>
      <w:szCs w:val="21"/>
    </w:rPr>
  </w:style>
  <w:style w:type="paragraph" w:styleId="TM9">
    <w:name w:val="toc 9"/>
    <w:basedOn w:val="Normal"/>
    <w:next w:val="Normal"/>
    <w:autoRedefine/>
    <w:uiPriority w:val="39"/>
    <w:unhideWhenUsed/>
    <w:rsid w:val="00AC59BD"/>
    <w:pPr>
      <w:spacing w:after="0"/>
      <w:ind w:left="1760"/>
    </w:pPr>
    <w:rPr>
      <w:rFonts w:cstheme="minorHAnsi"/>
      <w:sz w:val="18"/>
      <w:szCs w:val="21"/>
    </w:rPr>
  </w:style>
  <w:style w:type="paragraph" w:styleId="Sous-titre">
    <w:name w:val="Subtitle"/>
    <w:basedOn w:val="Normal"/>
    <w:next w:val="Normal"/>
    <w:link w:val="Sous-titreCar"/>
    <w:autoRedefine/>
    <w:uiPriority w:val="11"/>
    <w:qFormat/>
    <w:rsid w:val="000D57A1"/>
    <w:pPr>
      <w:numPr>
        <w:ilvl w:val="1"/>
      </w:numPr>
      <w:spacing w:line="360" w:lineRule="auto"/>
      <w:jc w:val="center"/>
    </w:pPr>
    <w:rPr>
      <w:rFonts w:ascii="Tahoma" w:eastAsia="Times New Roman" w:hAnsi="Tahoma" w:cs="Tahoma"/>
      <w:b/>
      <w:sz w:val="24"/>
      <w:szCs w:val="24"/>
    </w:rPr>
  </w:style>
  <w:style w:type="character" w:customStyle="1" w:styleId="Sous-titreCar">
    <w:name w:val="Sous-titre Car"/>
    <w:basedOn w:val="Policepardfaut"/>
    <w:link w:val="Sous-titre"/>
    <w:uiPriority w:val="11"/>
    <w:rsid w:val="000D57A1"/>
    <w:rPr>
      <w:rFonts w:ascii="Tahoma" w:eastAsia="Times New Roman" w:hAnsi="Tahoma" w:cs="Tahoma"/>
      <w:b/>
      <w:sz w:val="24"/>
      <w:szCs w:val="24"/>
    </w:rPr>
  </w:style>
  <w:style w:type="paragraph" w:styleId="Lgende">
    <w:name w:val="caption"/>
    <w:basedOn w:val="Normal"/>
    <w:next w:val="Normal"/>
    <w:uiPriority w:val="35"/>
    <w:unhideWhenUsed/>
    <w:qFormat/>
    <w:rsid w:val="00AA5E72"/>
    <w:pPr>
      <w:spacing w:after="200" w:line="240" w:lineRule="auto"/>
    </w:pPr>
    <w:rPr>
      <w:b/>
      <w:bCs/>
      <w:color w:val="94C600" w:themeColor="accent1"/>
      <w:sz w:val="18"/>
      <w:szCs w:val="18"/>
    </w:rPr>
  </w:style>
  <w:style w:type="paragraph" w:styleId="En-ttedetabledesmatires">
    <w:name w:val="TOC Heading"/>
    <w:basedOn w:val="Titre1"/>
    <w:next w:val="Normal"/>
    <w:uiPriority w:val="39"/>
    <w:unhideWhenUsed/>
    <w:qFormat/>
    <w:rsid w:val="0062531D"/>
    <w:pPr>
      <w:keepNext/>
      <w:keepLines/>
      <w:widowControl/>
      <w:autoSpaceDE/>
      <w:autoSpaceDN/>
      <w:spacing w:before="480" w:line="276" w:lineRule="auto"/>
      <w:outlineLvl w:val="9"/>
    </w:pPr>
    <w:rPr>
      <w:rFonts w:asciiTheme="majorHAnsi" w:eastAsiaTheme="majorEastAsia" w:hAnsiTheme="majorHAnsi" w:cstheme="majorBidi"/>
      <w:bCs/>
      <w:color w:val="4A6300" w:themeColor="accent1" w:themeShade="80"/>
      <w:sz w:val="28"/>
      <w:szCs w:val="28"/>
      <w:lang w:eastAsia="fr-FR"/>
    </w:rPr>
  </w:style>
  <w:style w:type="character" w:customStyle="1" w:styleId="Titre7Car">
    <w:name w:val="Titre 7 Car"/>
    <w:basedOn w:val="Policepardfaut"/>
    <w:link w:val="Titre7"/>
    <w:uiPriority w:val="9"/>
    <w:rsid w:val="00C23CB8"/>
    <w:rPr>
      <w:rFonts w:ascii="Tahoma" w:eastAsia="Times New Roman" w:hAnsi="Tahoma" w:cstheme="majorBidi"/>
      <w:b/>
      <w:iCs/>
      <w:color w:val="000000" w:themeColor="text1"/>
      <w:sz w:val="24"/>
      <w:lang w:eastAsia="fr-FR"/>
    </w:rPr>
  </w:style>
  <w:style w:type="paragraph" w:styleId="Notedefin">
    <w:name w:val="endnote text"/>
    <w:basedOn w:val="Normal"/>
    <w:link w:val="NotedefinCar"/>
    <w:uiPriority w:val="99"/>
    <w:semiHidden/>
    <w:unhideWhenUsed/>
    <w:rsid w:val="001220A8"/>
    <w:pPr>
      <w:spacing w:after="0" w:line="240" w:lineRule="auto"/>
    </w:pPr>
    <w:rPr>
      <w:sz w:val="20"/>
      <w:szCs w:val="20"/>
    </w:rPr>
  </w:style>
  <w:style w:type="character" w:customStyle="1" w:styleId="NotedefinCar">
    <w:name w:val="Note de fin Car"/>
    <w:basedOn w:val="Policepardfaut"/>
    <w:link w:val="Notedefin"/>
    <w:uiPriority w:val="99"/>
    <w:semiHidden/>
    <w:rsid w:val="001220A8"/>
    <w:rPr>
      <w:sz w:val="20"/>
      <w:szCs w:val="20"/>
    </w:rPr>
  </w:style>
  <w:style w:type="character" w:styleId="Appeldenotedefin">
    <w:name w:val="endnote reference"/>
    <w:basedOn w:val="Policepardfaut"/>
    <w:uiPriority w:val="99"/>
    <w:semiHidden/>
    <w:unhideWhenUsed/>
    <w:rsid w:val="001220A8"/>
    <w:rPr>
      <w:vertAlign w:val="superscript"/>
    </w:rPr>
  </w:style>
  <w:style w:type="table" w:styleId="Tramemoyenne1-Accent1">
    <w:name w:val="Medium Shading 1 Accent 1"/>
    <w:basedOn w:val="TableauNormal"/>
    <w:uiPriority w:val="63"/>
    <w:rsid w:val="008A2BCA"/>
    <w:pPr>
      <w:spacing w:after="0" w:line="240" w:lineRule="auto"/>
    </w:pPr>
    <w:tblPr>
      <w:tblStyleRowBandSize w:val="1"/>
      <w:tblStyleColBandSize w:val="1"/>
      <w:tblBorders>
        <w:top w:val="single" w:sz="8" w:space="0" w:color="C3FF15" w:themeColor="accent1" w:themeTint="BF"/>
        <w:left w:val="single" w:sz="8" w:space="0" w:color="C3FF15" w:themeColor="accent1" w:themeTint="BF"/>
        <w:bottom w:val="single" w:sz="8" w:space="0" w:color="C3FF15" w:themeColor="accent1" w:themeTint="BF"/>
        <w:right w:val="single" w:sz="8" w:space="0" w:color="C3FF15" w:themeColor="accent1" w:themeTint="BF"/>
        <w:insideH w:val="single" w:sz="8" w:space="0" w:color="C3FF15" w:themeColor="accent1" w:themeTint="BF"/>
      </w:tblBorders>
    </w:tblPr>
    <w:tblStylePr w:type="firstRow">
      <w:pPr>
        <w:spacing w:before="0" w:after="0" w:line="240" w:lineRule="auto"/>
      </w:pPr>
      <w:rPr>
        <w:b/>
        <w:bCs/>
        <w:color w:val="FFFFFF" w:themeColor="background1"/>
      </w:rPr>
      <w:tblPr/>
      <w:tcPr>
        <w:tcBorders>
          <w:top w:val="single" w:sz="8" w:space="0" w:color="C3FF15" w:themeColor="accent1" w:themeTint="BF"/>
          <w:left w:val="single" w:sz="8" w:space="0" w:color="C3FF15" w:themeColor="accent1" w:themeTint="BF"/>
          <w:bottom w:val="single" w:sz="8" w:space="0" w:color="C3FF15" w:themeColor="accent1" w:themeTint="BF"/>
          <w:right w:val="single" w:sz="8" w:space="0" w:color="C3FF15" w:themeColor="accent1" w:themeTint="BF"/>
          <w:insideH w:val="nil"/>
          <w:insideV w:val="nil"/>
        </w:tcBorders>
        <w:shd w:val="clear" w:color="auto" w:fill="94C600" w:themeFill="accent1"/>
      </w:tcPr>
    </w:tblStylePr>
    <w:tblStylePr w:type="lastRow">
      <w:pPr>
        <w:spacing w:before="0" w:after="0" w:line="240" w:lineRule="auto"/>
      </w:pPr>
      <w:rPr>
        <w:b/>
        <w:bCs/>
      </w:rPr>
      <w:tblPr/>
      <w:tcPr>
        <w:tcBorders>
          <w:top w:val="double" w:sz="6" w:space="0" w:color="C3FF15" w:themeColor="accent1" w:themeTint="BF"/>
          <w:left w:val="single" w:sz="8" w:space="0" w:color="C3FF15" w:themeColor="accent1" w:themeTint="BF"/>
          <w:bottom w:val="single" w:sz="8" w:space="0" w:color="C3FF15" w:themeColor="accent1" w:themeTint="BF"/>
          <w:right w:val="single" w:sz="8" w:space="0" w:color="C3FF15" w:themeColor="accent1" w:themeTint="BF"/>
          <w:insideH w:val="nil"/>
          <w:insideV w:val="nil"/>
        </w:tcBorders>
      </w:tcPr>
    </w:tblStylePr>
    <w:tblStylePr w:type="firstCol">
      <w:rPr>
        <w:b/>
        <w:bCs/>
      </w:rPr>
    </w:tblStylePr>
    <w:tblStylePr w:type="lastCol">
      <w:rPr>
        <w:b/>
        <w:bCs/>
      </w:rPr>
    </w:tblStylePr>
    <w:tblStylePr w:type="band1Vert">
      <w:tblPr/>
      <w:tcPr>
        <w:shd w:val="clear" w:color="auto" w:fill="EBFFB1" w:themeFill="accent1" w:themeFillTint="3F"/>
      </w:tcPr>
    </w:tblStylePr>
    <w:tblStylePr w:type="band1Horz">
      <w:tblPr/>
      <w:tcPr>
        <w:tcBorders>
          <w:insideH w:val="nil"/>
          <w:insideV w:val="nil"/>
        </w:tcBorders>
        <w:shd w:val="clear" w:color="auto" w:fill="EBFFB1" w:themeFill="accent1" w:themeFillTint="3F"/>
      </w:tcPr>
    </w:tblStylePr>
    <w:tblStylePr w:type="band2Horz">
      <w:tblPr/>
      <w:tcPr>
        <w:tcBorders>
          <w:insideH w:val="nil"/>
          <w:insideV w:val="nil"/>
        </w:tcBorders>
      </w:tcPr>
    </w:tblStylePr>
  </w:style>
  <w:style w:type="table" w:customStyle="1" w:styleId="Tramemoyenne1-Accent61">
    <w:name w:val="Trame moyenne 1 - Accent 61"/>
    <w:basedOn w:val="TableauNormal"/>
    <w:next w:val="Tramemoyenne1-Accent6"/>
    <w:uiPriority w:val="63"/>
    <w:rsid w:val="001E12AE"/>
    <w:pPr>
      <w:spacing w:after="0" w:line="240" w:lineRule="auto"/>
    </w:pPr>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tblBorders>
    </w:tblPr>
    <w:tblStylePr w:type="firstRow">
      <w:pPr>
        <w:spacing w:before="0" w:after="0" w:line="240" w:lineRule="auto"/>
      </w:pPr>
      <w:rPr>
        <w:b/>
        <w:bCs/>
        <w:color w:val="FFFFFF"/>
      </w:rPr>
      <w:tblPr/>
      <w:tcPr>
        <w:tcBorders>
          <w:top w:val="single" w:sz="8" w:space="0" w:color="93C571"/>
          <w:left w:val="single" w:sz="8" w:space="0" w:color="93C571"/>
          <w:bottom w:val="single" w:sz="8" w:space="0" w:color="93C571"/>
          <w:right w:val="single" w:sz="8" w:space="0" w:color="93C571"/>
          <w:insideH w:val="nil"/>
          <w:insideV w:val="nil"/>
        </w:tcBorders>
        <w:shd w:val="clear" w:color="auto" w:fill="70AD47"/>
      </w:tcPr>
    </w:tblStylePr>
    <w:tblStylePr w:type="lastRow">
      <w:pPr>
        <w:spacing w:before="0" w:after="0" w:line="240" w:lineRule="auto"/>
      </w:pPr>
      <w:rPr>
        <w:b/>
        <w:bCs/>
      </w:rPr>
      <w:tblPr/>
      <w:tcPr>
        <w:tcBorders>
          <w:top w:val="double" w:sz="6" w:space="0" w:color="93C571"/>
          <w:left w:val="single" w:sz="8" w:space="0" w:color="93C571"/>
          <w:bottom w:val="single" w:sz="8" w:space="0" w:color="93C571"/>
          <w:right w:val="single" w:sz="8" w:space="0" w:color="93C571"/>
          <w:insideH w:val="nil"/>
          <w:insideV w:val="nil"/>
        </w:tcBorders>
      </w:tcPr>
    </w:tblStylePr>
    <w:tblStylePr w:type="firstCol">
      <w:rPr>
        <w:b/>
        <w:bCs/>
      </w:rPr>
    </w:tblStylePr>
    <w:tblStylePr w:type="lastCol">
      <w:rPr>
        <w:b/>
        <w:bCs/>
      </w:rPr>
    </w:tblStylePr>
    <w:tblStylePr w:type="band1Vert">
      <w:tblPr/>
      <w:tcPr>
        <w:shd w:val="clear" w:color="auto" w:fill="DBEBD0"/>
      </w:tcPr>
    </w:tblStylePr>
    <w:tblStylePr w:type="band1Horz">
      <w:tblPr/>
      <w:tcPr>
        <w:tcBorders>
          <w:insideH w:val="nil"/>
          <w:insideV w:val="nil"/>
        </w:tcBorders>
        <w:shd w:val="clear" w:color="auto" w:fill="DBEBD0"/>
      </w:tcPr>
    </w:tblStylePr>
    <w:tblStylePr w:type="band2Horz">
      <w:tblPr/>
      <w:tcPr>
        <w:tcBorders>
          <w:insideH w:val="nil"/>
          <w:insideV w:val="nil"/>
        </w:tcBorders>
      </w:tcPr>
    </w:tblStylePr>
  </w:style>
  <w:style w:type="table" w:customStyle="1" w:styleId="Tramemoyenne1-Accent62">
    <w:name w:val="Trame moyenne 1 - Accent 62"/>
    <w:basedOn w:val="TableauNormal"/>
    <w:next w:val="Tramemoyenne1-Accent6"/>
    <w:uiPriority w:val="63"/>
    <w:rsid w:val="001E12AE"/>
    <w:pPr>
      <w:spacing w:after="0" w:line="240" w:lineRule="auto"/>
    </w:pPr>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tblBorders>
    </w:tblPr>
    <w:tblStylePr w:type="firstRow">
      <w:pPr>
        <w:spacing w:before="0" w:after="0" w:line="240" w:lineRule="auto"/>
      </w:pPr>
      <w:rPr>
        <w:b/>
        <w:bCs/>
        <w:color w:val="FFFFFF"/>
      </w:rPr>
      <w:tblPr/>
      <w:tcPr>
        <w:tcBorders>
          <w:top w:val="single" w:sz="8" w:space="0" w:color="93C571"/>
          <w:left w:val="single" w:sz="8" w:space="0" w:color="93C571"/>
          <w:bottom w:val="single" w:sz="8" w:space="0" w:color="93C571"/>
          <w:right w:val="single" w:sz="8" w:space="0" w:color="93C571"/>
          <w:insideH w:val="nil"/>
          <w:insideV w:val="nil"/>
        </w:tcBorders>
        <w:shd w:val="clear" w:color="auto" w:fill="70AD47"/>
      </w:tcPr>
    </w:tblStylePr>
    <w:tblStylePr w:type="lastRow">
      <w:pPr>
        <w:spacing w:before="0" w:after="0" w:line="240" w:lineRule="auto"/>
      </w:pPr>
      <w:rPr>
        <w:b/>
        <w:bCs/>
      </w:rPr>
      <w:tblPr/>
      <w:tcPr>
        <w:tcBorders>
          <w:top w:val="double" w:sz="6" w:space="0" w:color="93C571"/>
          <w:left w:val="single" w:sz="8" w:space="0" w:color="93C571"/>
          <w:bottom w:val="single" w:sz="8" w:space="0" w:color="93C571"/>
          <w:right w:val="single" w:sz="8" w:space="0" w:color="93C571"/>
          <w:insideH w:val="nil"/>
          <w:insideV w:val="nil"/>
        </w:tcBorders>
      </w:tcPr>
    </w:tblStylePr>
    <w:tblStylePr w:type="firstCol">
      <w:rPr>
        <w:b/>
        <w:bCs/>
      </w:rPr>
    </w:tblStylePr>
    <w:tblStylePr w:type="lastCol">
      <w:rPr>
        <w:b/>
        <w:bCs/>
      </w:rPr>
    </w:tblStylePr>
    <w:tblStylePr w:type="band1Vert">
      <w:tblPr/>
      <w:tcPr>
        <w:shd w:val="clear" w:color="auto" w:fill="DBEBD0"/>
      </w:tcPr>
    </w:tblStylePr>
    <w:tblStylePr w:type="band1Horz">
      <w:tblPr/>
      <w:tcPr>
        <w:tcBorders>
          <w:insideH w:val="nil"/>
          <w:insideV w:val="nil"/>
        </w:tcBorders>
        <w:shd w:val="clear" w:color="auto" w:fill="DBEBD0"/>
      </w:tcPr>
    </w:tblStylePr>
    <w:tblStylePr w:type="band2Horz">
      <w:tblPr/>
      <w:tcPr>
        <w:tcBorders>
          <w:insideH w:val="nil"/>
          <w:insideV w:val="nil"/>
        </w:tcBorders>
      </w:tcPr>
    </w:tblStylePr>
  </w:style>
  <w:style w:type="numbering" w:customStyle="1" w:styleId="Aucuneliste4">
    <w:name w:val="Aucune liste4"/>
    <w:next w:val="Aucuneliste"/>
    <w:uiPriority w:val="99"/>
    <w:semiHidden/>
    <w:unhideWhenUsed/>
    <w:rsid w:val="005C014D"/>
  </w:style>
  <w:style w:type="character" w:customStyle="1" w:styleId="SansinterligneCar">
    <w:name w:val="Sans interligne Car"/>
    <w:basedOn w:val="Policepardfaut"/>
    <w:link w:val="Sansinterligne"/>
    <w:uiPriority w:val="1"/>
    <w:rsid w:val="00FF611C"/>
    <w:rPr>
      <w:rFonts w:ascii="Times New Roman" w:eastAsia="Times New Roman" w:hAnsi="Times New Roman" w:cs="Times New Roman"/>
    </w:rPr>
  </w:style>
  <w:style w:type="character" w:customStyle="1" w:styleId="Titre8Car">
    <w:name w:val="Titre 8 Car"/>
    <w:basedOn w:val="Policepardfaut"/>
    <w:link w:val="Titre8"/>
    <w:uiPriority w:val="9"/>
    <w:rsid w:val="007C5788"/>
    <w:rPr>
      <w:rFonts w:ascii="Tahoma" w:eastAsiaTheme="majorEastAsia" w:hAnsi="Tahoma" w:cstheme="majorBidi"/>
      <w:b/>
      <w:color w:val="404040" w:themeColor="text1" w:themeTint="BF"/>
      <w:sz w:val="24"/>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5417449">
      <w:bodyDiv w:val="1"/>
      <w:marLeft w:val="0"/>
      <w:marRight w:val="0"/>
      <w:marTop w:val="0"/>
      <w:marBottom w:val="0"/>
      <w:divBdr>
        <w:top w:val="none" w:sz="0" w:space="0" w:color="auto"/>
        <w:left w:val="none" w:sz="0" w:space="0" w:color="auto"/>
        <w:bottom w:val="none" w:sz="0" w:space="0" w:color="auto"/>
        <w:right w:val="none" w:sz="0" w:space="0" w:color="auto"/>
      </w:divBdr>
    </w:div>
    <w:div w:id="170459458">
      <w:bodyDiv w:val="1"/>
      <w:marLeft w:val="0"/>
      <w:marRight w:val="0"/>
      <w:marTop w:val="0"/>
      <w:marBottom w:val="0"/>
      <w:divBdr>
        <w:top w:val="none" w:sz="0" w:space="0" w:color="auto"/>
        <w:left w:val="none" w:sz="0" w:space="0" w:color="auto"/>
        <w:bottom w:val="none" w:sz="0" w:space="0" w:color="auto"/>
        <w:right w:val="none" w:sz="0" w:space="0" w:color="auto"/>
      </w:divBdr>
      <w:divsChild>
        <w:div w:id="269047007">
          <w:marLeft w:val="0"/>
          <w:marRight w:val="0"/>
          <w:marTop w:val="0"/>
          <w:marBottom w:val="0"/>
          <w:divBdr>
            <w:top w:val="none" w:sz="0" w:space="0" w:color="auto"/>
            <w:left w:val="none" w:sz="0" w:space="0" w:color="auto"/>
            <w:bottom w:val="none" w:sz="0" w:space="0" w:color="auto"/>
            <w:right w:val="none" w:sz="0" w:space="0" w:color="auto"/>
          </w:divBdr>
          <w:divsChild>
            <w:div w:id="808327715">
              <w:marLeft w:val="0"/>
              <w:marRight w:val="0"/>
              <w:marTop w:val="0"/>
              <w:marBottom w:val="0"/>
              <w:divBdr>
                <w:top w:val="none" w:sz="0" w:space="0" w:color="auto"/>
                <w:left w:val="none" w:sz="0" w:space="0" w:color="auto"/>
                <w:bottom w:val="none" w:sz="0" w:space="0" w:color="auto"/>
                <w:right w:val="none" w:sz="0" w:space="0" w:color="auto"/>
              </w:divBdr>
            </w:div>
            <w:div w:id="1281302033">
              <w:marLeft w:val="0"/>
              <w:marRight w:val="0"/>
              <w:marTop w:val="0"/>
              <w:marBottom w:val="0"/>
              <w:divBdr>
                <w:top w:val="none" w:sz="0" w:space="0" w:color="auto"/>
                <w:left w:val="none" w:sz="0" w:space="0" w:color="auto"/>
                <w:bottom w:val="none" w:sz="0" w:space="0" w:color="auto"/>
                <w:right w:val="none" w:sz="0" w:space="0" w:color="auto"/>
              </w:divBdr>
            </w:div>
            <w:div w:id="1468627565">
              <w:marLeft w:val="0"/>
              <w:marRight w:val="0"/>
              <w:marTop w:val="0"/>
              <w:marBottom w:val="0"/>
              <w:divBdr>
                <w:top w:val="none" w:sz="0" w:space="0" w:color="auto"/>
                <w:left w:val="none" w:sz="0" w:space="0" w:color="auto"/>
                <w:bottom w:val="none" w:sz="0" w:space="0" w:color="auto"/>
                <w:right w:val="none" w:sz="0" w:space="0" w:color="auto"/>
              </w:divBdr>
              <w:divsChild>
                <w:div w:id="78983852">
                  <w:marLeft w:val="0"/>
                  <w:marRight w:val="0"/>
                  <w:marTop w:val="0"/>
                  <w:marBottom w:val="0"/>
                  <w:divBdr>
                    <w:top w:val="none" w:sz="0" w:space="0" w:color="auto"/>
                    <w:left w:val="none" w:sz="0" w:space="0" w:color="auto"/>
                    <w:bottom w:val="none" w:sz="0" w:space="0" w:color="auto"/>
                    <w:right w:val="none" w:sz="0" w:space="0" w:color="auto"/>
                  </w:divBdr>
                  <w:divsChild>
                    <w:div w:id="243104934">
                      <w:marLeft w:val="0"/>
                      <w:marRight w:val="0"/>
                      <w:marTop w:val="0"/>
                      <w:marBottom w:val="0"/>
                      <w:divBdr>
                        <w:top w:val="none" w:sz="0" w:space="0" w:color="auto"/>
                        <w:left w:val="none" w:sz="0" w:space="0" w:color="auto"/>
                        <w:bottom w:val="none" w:sz="0" w:space="0" w:color="auto"/>
                        <w:right w:val="none" w:sz="0" w:space="0" w:color="auto"/>
                      </w:divBdr>
                    </w:div>
                    <w:div w:id="387649645">
                      <w:marLeft w:val="0"/>
                      <w:marRight w:val="0"/>
                      <w:marTop w:val="0"/>
                      <w:marBottom w:val="0"/>
                      <w:divBdr>
                        <w:top w:val="none" w:sz="0" w:space="0" w:color="auto"/>
                        <w:left w:val="none" w:sz="0" w:space="0" w:color="auto"/>
                        <w:bottom w:val="none" w:sz="0" w:space="0" w:color="auto"/>
                        <w:right w:val="none" w:sz="0" w:space="0" w:color="auto"/>
                      </w:divBdr>
                    </w:div>
                    <w:div w:id="679163571">
                      <w:marLeft w:val="0"/>
                      <w:marRight w:val="0"/>
                      <w:marTop w:val="0"/>
                      <w:marBottom w:val="0"/>
                      <w:divBdr>
                        <w:top w:val="none" w:sz="0" w:space="0" w:color="auto"/>
                        <w:left w:val="none" w:sz="0" w:space="0" w:color="auto"/>
                        <w:bottom w:val="none" w:sz="0" w:space="0" w:color="auto"/>
                        <w:right w:val="none" w:sz="0" w:space="0" w:color="auto"/>
                      </w:divBdr>
                    </w:div>
                    <w:div w:id="896817315">
                      <w:marLeft w:val="0"/>
                      <w:marRight w:val="0"/>
                      <w:marTop w:val="0"/>
                      <w:marBottom w:val="0"/>
                      <w:divBdr>
                        <w:top w:val="none" w:sz="0" w:space="0" w:color="auto"/>
                        <w:left w:val="none" w:sz="0" w:space="0" w:color="auto"/>
                        <w:bottom w:val="none" w:sz="0" w:space="0" w:color="auto"/>
                        <w:right w:val="none" w:sz="0" w:space="0" w:color="auto"/>
                      </w:divBdr>
                    </w:div>
                  </w:divsChild>
                </w:div>
                <w:div w:id="583564540">
                  <w:marLeft w:val="0"/>
                  <w:marRight w:val="0"/>
                  <w:marTop w:val="0"/>
                  <w:marBottom w:val="0"/>
                  <w:divBdr>
                    <w:top w:val="none" w:sz="0" w:space="0" w:color="auto"/>
                    <w:left w:val="none" w:sz="0" w:space="0" w:color="auto"/>
                    <w:bottom w:val="none" w:sz="0" w:space="0" w:color="auto"/>
                    <w:right w:val="none" w:sz="0" w:space="0" w:color="auto"/>
                  </w:divBdr>
                  <w:divsChild>
                    <w:div w:id="365370964">
                      <w:marLeft w:val="0"/>
                      <w:marRight w:val="0"/>
                      <w:marTop w:val="0"/>
                      <w:marBottom w:val="0"/>
                      <w:divBdr>
                        <w:top w:val="none" w:sz="0" w:space="0" w:color="auto"/>
                        <w:left w:val="none" w:sz="0" w:space="0" w:color="auto"/>
                        <w:bottom w:val="none" w:sz="0" w:space="0" w:color="auto"/>
                        <w:right w:val="none" w:sz="0" w:space="0" w:color="auto"/>
                      </w:divBdr>
                    </w:div>
                    <w:div w:id="368993708">
                      <w:marLeft w:val="0"/>
                      <w:marRight w:val="0"/>
                      <w:marTop w:val="0"/>
                      <w:marBottom w:val="0"/>
                      <w:divBdr>
                        <w:top w:val="none" w:sz="0" w:space="0" w:color="auto"/>
                        <w:left w:val="none" w:sz="0" w:space="0" w:color="auto"/>
                        <w:bottom w:val="none" w:sz="0" w:space="0" w:color="auto"/>
                        <w:right w:val="none" w:sz="0" w:space="0" w:color="auto"/>
                      </w:divBdr>
                    </w:div>
                  </w:divsChild>
                </w:div>
                <w:div w:id="1684699850">
                  <w:marLeft w:val="0"/>
                  <w:marRight w:val="0"/>
                  <w:marTop w:val="0"/>
                  <w:marBottom w:val="0"/>
                  <w:divBdr>
                    <w:top w:val="none" w:sz="0" w:space="0" w:color="auto"/>
                    <w:left w:val="none" w:sz="0" w:space="0" w:color="auto"/>
                    <w:bottom w:val="none" w:sz="0" w:space="0" w:color="auto"/>
                    <w:right w:val="none" w:sz="0" w:space="0" w:color="auto"/>
                  </w:divBdr>
                  <w:divsChild>
                    <w:div w:id="50230420">
                      <w:marLeft w:val="0"/>
                      <w:marRight w:val="0"/>
                      <w:marTop w:val="0"/>
                      <w:marBottom w:val="0"/>
                      <w:divBdr>
                        <w:top w:val="none" w:sz="0" w:space="0" w:color="auto"/>
                        <w:left w:val="none" w:sz="0" w:space="0" w:color="auto"/>
                        <w:bottom w:val="none" w:sz="0" w:space="0" w:color="auto"/>
                        <w:right w:val="none" w:sz="0" w:space="0" w:color="auto"/>
                      </w:divBdr>
                    </w:div>
                    <w:div w:id="1800343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5324387">
      <w:bodyDiv w:val="1"/>
      <w:marLeft w:val="0"/>
      <w:marRight w:val="0"/>
      <w:marTop w:val="0"/>
      <w:marBottom w:val="0"/>
      <w:divBdr>
        <w:top w:val="none" w:sz="0" w:space="0" w:color="auto"/>
        <w:left w:val="none" w:sz="0" w:space="0" w:color="auto"/>
        <w:bottom w:val="none" w:sz="0" w:space="0" w:color="auto"/>
        <w:right w:val="none" w:sz="0" w:space="0" w:color="auto"/>
      </w:divBdr>
      <w:divsChild>
        <w:div w:id="836843107">
          <w:marLeft w:val="0"/>
          <w:marRight w:val="0"/>
          <w:marTop w:val="0"/>
          <w:marBottom w:val="0"/>
          <w:divBdr>
            <w:top w:val="none" w:sz="0" w:space="0" w:color="auto"/>
            <w:left w:val="none" w:sz="0" w:space="0" w:color="auto"/>
            <w:bottom w:val="none" w:sz="0" w:space="0" w:color="auto"/>
            <w:right w:val="none" w:sz="0" w:space="0" w:color="auto"/>
          </w:divBdr>
          <w:divsChild>
            <w:div w:id="986980856">
              <w:marLeft w:val="0"/>
              <w:marRight w:val="0"/>
              <w:marTop w:val="0"/>
              <w:marBottom w:val="0"/>
              <w:divBdr>
                <w:top w:val="none" w:sz="0" w:space="0" w:color="auto"/>
                <w:left w:val="none" w:sz="0" w:space="0" w:color="auto"/>
                <w:bottom w:val="none" w:sz="0" w:space="0" w:color="auto"/>
                <w:right w:val="none" w:sz="0" w:space="0" w:color="auto"/>
              </w:divBdr>
              <w:divsChild>
                <w:div w:id="1851409237">
                  <w:marLeft w:val="0"/>
                  <w:marRight w:val="0"/>
                  <w:marTop w:val="0"/>
                  <w:marBottom w:val="0"/>
                  <w:divBdr>
                    <w:top w:val="none" w:sz="0" w:space="0" w:color="auto"/>
                    <w:left w:val="none" w:sz="0" w:space="0" w:color="auto"/>
                    <w:bottom w:val="none" w:sz="0" w:space="0" w:color="auto"/>
                    <w:right w:val="none" w:sz="0" w:space="0" w:color="auto"/>
                  </w:divBdr>
                  <w:divsChild>
                    <w:div w:id="1625234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8045805">
              <w:marLeft w:val="0"/>
              <w:marRight w:val="0"/>
              <w:marTop w:val="0"/>
              <w:marBottom w:val="0"/>
              <w:divBdr>
                <w:top w:val="none" w:sz="0" w:space="0" w:color="auto"/>
                <w:left w:val="none" w:sz="0" w:space="0" w:color="auto"/>
                <w:bottom w:val="none" w:sz="0" w:space="0" w:color="auto"/>
                <w:right w:val="none" w:sz="0" w:space="0" w:color="auto"/>
              </w:divBdr>
              <w:divsChild>
                <w:div w:id="1046217988">
                  <w:marLeft w:val="0"/>
                  <w:marRight w:val="0"/>
                  <w:marTop w:val="0"/>
                  <w:marBottom w:val="0"/>
                  <w:divBdr>
                    <w:top w:val="none" w:sz="0" w:space="0" w:color="auto"/>
                    <w:left w:val="none" w:sz="0" w:space="0" w:color="auto"/>
                    <w:bottom w:val="none" w:sz="0" w:space="0" w:color="auto"/>
                    <w:right w:val="none" w:sz="0" w:space="0" w:color="auto"/>
                  </w:divBdr>
                  <w:divsChild>
                    <w:div w:id="1717898513">
                      <w:marLeft w:val="0"/>
                      <w:marRight w:val="0"/>
                      <w:marTop w:val="0"/>
                      <w:marBottom w:val="0"/>
                      <w:divBdr>
                        <w:top w:val="none" w:sz="0" w:space="0" w:color="auto"/>
                        <w:left w:val="none" w:sz="0" w:space="0" w:color="auto"/>
                        <w:bottom w:val="none" w:sz="0" w:space="0" w:color="auto"/>
                        <w:right w:val="none" w:sz="0" w:space="0" w:color="auto"/>
                      </w:divBdr>
                      <w:divsChild>
                        <w:div w:id="215819196">
                          <w:marLeft w:val="0"/>
                          <w:marRight w:val="0"/>
                          <w:marTop w:val="0"/>
                          <w:marBottom w:val="0"/>
                          <w:divBdr>
                            <w:top w:val="none" w:sz="0" w:space="0" w:color="auto"/>
                            <w:left w:val="none" w:sz="0" w:space="0" w:color="auto"/>
                            <w:bottom w:val="none" w:sz="0" w:space="0" w:color="auto"/>
                            <w:right w:val="none" w:sz="0" w:space="0" w:color="auto"/>
                          </w:divBdr>
                          <w:divsChild>
                            <w:div w:id="379015164">
                              <w:marLeft w:val="0"/>
                              <w:marRight w:val="0"/>
                              <w:marTop w:val="0"/>
                              <w:marBottom w:val="0"/>
                              <w:divBdr>
                                <w:top w:val="none" w:sz="0" w:space="0" w:color="auto"/>
                                <w:left w:val="none" w:sz="0" w:space="0" w:color="auto"/>
                                <w:bottom w:val="none" w:sz="0" w:space="0" w:color="auto"/>
                                <w:right w:val="none" w:sz="0" w:space="0" w:color="auto"/>
                              </w:divBdr>
                              <w:divsChild>
                                <w:div w:id="87892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6975527">
                          <w:marLeft w:val="0"/>
                          <w:marRight w:val="0"/>
                          <w:marTop w:val="0"/>
                          <w:marBottom w:val="0"/>
                          <w:divBdr>
                            <w:top w:val="none" w:sz="0" w:space="0" w:color="auto"/>
                            <w:left w:val="none" w:sz="0" w:space="0" w:color="auto"/>
                            <w:bottom w:val="none" w:sz="0" w:space="0" w:color="auto"/>
                            <w:right w:val="none" w:sz="0" w:space="0" w:color="auto"/>
                          </w:divBdr>
                          <w:divsChild>
                            <w:div w:id="1542791342">
                              <w:marLeft w:val="0"/>
                              <w:marRight w:val="0"/>
                              <w:marTop w:val="0"/>
                              <w:marBottom w:val="0"/>
                              <w:divBdr>
                                <w:top w:val="none" w:sz="0" w:space="0" w:color="auto"/>
                                <w:left w:val="none" w:sz="0" w:space="0" w:color="auto"/>
                                <w:bottom w:val="none" w:sz="0" w:space="0" w:color="auto"/>
                                <w:right w:val="none" w:sz="0" w:space="0" w:color="auto"/>
                              </w:divBdr>
                              <w:divsChild>
                                <w:div w:id="249048443">
                                  <w:marLeft w:val="0"/>
                                  <w:marRight w:val="0"/>
                                  <w:marTop w:val="0"/>
                                  <w:marBottom w:val="0"/>
                                  <w:divBdr>
                                    <w:top w:val="none" w:sz="0" w:space="0" w:color="auto"/>
                                    <w:left w:val="none" w:sz="0" w:space="0" w:color="auto"/>
                                    <w:bottom w:val="none" w:sz="0" w:space="0" w:color="auto"/>
                                    <w:right w:val="none" w:sz="0" w:space="0" w:color="auto"/>
                                  </w:divBdr>
                                  <w:divsChild>
                                    <w:div w:id="2036925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38634623">
          <w:marLeft w:val="0"/>
          <w:marRight w:val="0"/>
          <w:marTop w:val="0"/>
          <w:marBottom w:val="0"/>
          <w:divBdr>
            <w:top w:val="none" w:sz="0" w:space="0" w:color="auto"/>
            <w:left w:val="none" w:sz="0" w:space="0" w:color="auto"/>
            <w:bottom w:val="none" w:sz="0" w:space="0" w:color="auto"/>
            <w:right w:val="none" w:sz="0" w:space="0" w:color="auto"/>
          </w:divBdr>
          <w:divsChild>
            <w:div w:id="710302112">
              <w:marLeft w:val="0"/>
              <w:marRight w:val="0"/>
              <w:marTop w:val="0"/>
              <w:marBottom w:val="0"/>
              <w:divBdr>
                <w:top w:val="none" w:sz="0" w:space="0" w:color="auto"/>
                <w:left w:val="none" w:sz="0" w:space="0" w:color="auto"/>
                <w:bottom w:val="none" w:sz="0" w:space="0" w:color="auto"/>
                <w:right w:val="none" w:sz="0" w:space="0" w:color="auto"/>
              </w:divBdr>
              <w:divsChild>
                <w:div w:id="318462296">
                  <w:marLeft w:val="0"/>
                  <w:marRight w:val="0"/>
                  <w:marTop w:val="0"/>
                  <w:marBottom w:val="0"/>
                  <w:divBdr>
                    <w:top w:val="none" w:sz="0" w:space="0" w:color="auto"/>
                    <w:left w:val="none" w:sz="0" w:space="0" w:color="auto"/>
                    <w:bottom w:val="none" w:sz="0" w:space="0" w:color="auto"/>
                    <w:right w:val="none" w:sz="0" w:space="0" w:color="auto"/>
                  </w:divBdr>
                  <w:divsChild>
                    <w:div w:id="962006377">
                      <w:marLeft w:val="0"/>
                      <w:marRight w:val="0"/>
                      <w:marTop w:val="0"/>
                      <w:marBottom w:val="0"/>
                      <w:divBdr>
                        <w:top w:val="none" w:sz="0" w:space="0" w:color="auto"/>
                        <w:left w:val="none" w:sz="0" w:space="0" w:color="auto"/>
                        <w:bottom w:val="none" w:sz="0" w:space="0" w:color="auto"/>
                        <w:right w:val="none" w:sz="0" w:space="0" w:color="auto"/>
                      </w:divBdr>
                      <w:divsChild>
                        <w:div w:id="1604142964">
                          <w:marLeft w:val="0"/>
                          <w:marRight w:val="0"/>
                          <w:marTop w:val="0"/>
                          <w:marBottom w:val="0"/>
                          <w:divBdr>
                            <w:top w:val="none" w:sz="0" w:space="0" w:color="auto"/>
                            <w:left w:val="none" w:sz="0" w:space="0" w:color="auto"/>
                            <w:bottom w:val="none" w:sz="0" w:space="0" w:color="auto"/>
                            <w:right w:val="none" w:sz="0" w:space="0" w:color="auto"/>
                          </w:divBdr>
                          <w:divsChild>
                            <w:div w:id="181556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8144742">
                      <w:marLeft w:val="0"/>
                      <w:marRight w:val="0"/>
                      <w:marTop w:val="0"/>
                      <w:marBottom w:val="0"/>
                      <w:divBdr>
                        <w:top w:val="none" w:sz="0" w:space="0" w:color="auto"/>
                        <w:left w:val="none" w:sz="0" w:space="0" w:color="auto"/>
                        <w:bottom w:val="none" w:sz="0" w:space="0" w:color="auto"/>
                        <w:right w:val="none" w:sz="0" w:space="0" w:color="auto"/>
                      </w:divBdr>
                      <w:divsChild>
                        <w:div w:id="736247660">
                          <w:marLeft w:val="0"/>
                          <w:marRight w:val="0"/>
                          <w:marTop w:val="0"/>
                          <w:marBottom w:val="0"/>
                          <w:divBdr>
                            <w:top w:val="none" w:sz="0" w:space="0" w:color="auto"/>
                            <w:left w:val="none" w:sz="0" w:space="0" w:color="auto"/>
                            <w:bottom w:val="none" w:sz="0" w:space="0" w:color="auto"/>
                            <w:right w:val="none" w:sz="0" w:space="0" w:color="auto"/>
                          </w:divBdr>
                          <w:divsChild>
                            <w:div w:id="1494838818">
                              <w:marLeft w:val="0"/>
                              <w:marRight w:val="0"/>
                              <w:marTop w:val="0"/>
                              <w:marBottom w:val="0"/>
                              <w:divBdr>
                                <w:top w:val="none" w:sz="0" w:space="0" w:color="auto"/>
                                <w:left w:val="none" w:sz="0" w:space="0" w:color="auto"/>
                                <w:bottom w:val="none" w:sz="0" w:space="0" w:color="auto"/>
                                <w:right w:val="none" w:sz="0" w:space="0" w:color="auto"/>
                              </w:divBdr>
                              <w:divsChild>
                                <w:div w:id="86971319">
                                  <w:marLeft w:val="0"/>
                                  <w:marRight w:val="0"/>
                                  <w:marTop w:val="0"/>
                                  <w:marBottom w:val="0"/>
                                  <w:divBdr>
                                    <w:top w:val="none" w:sz="0" w:space="0" w:color="auto"/>
                                    <w:left w:val="none" w:sz="0" w:space="0" w:color="auto"/>
                                    <w:bottom w:val="none" w:sz="0" w:space="0" w:color="auto"/>
                                    <w:right w:val="none" w:sz="0" w:space="0" w:color="auto"/>
                                  </w:divBdr>
                                  <w:divsChild>
                                    <w:div w:id="283661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55083364">
      <w:bodyDiv w:val="1"/>
      <w:marLeft w:val="0"/>
      <w:marRight w:val="0"/>
      <w:marTop w:val="0"/>
      <w:marBottom w:val="0"/>
      <w:divBdr>
        <w:top w:val="none" w:sz="0" w:space="0" w:color="auto"/>
        <w:left w:val="none" w:sz="0" w:space="0" w:color="auto"/>
        <w:bottom w:val="none" w:sz="0" w:space="0" w:color="auto"/>
        <w:right w:val="none" w:sz="0" w:space="0" w:color="auto"/>
      </w:divBdr>
    </w:div>
    <w:div w:id="393965991">
      <w:bodyDiv w:val="1"/>
      <w:marLeft w:val="0"/>
      <w:marRight w:val="0"/>
      <w:marTop w:val="0"/>
      <w:marBottom w:val="0"/>
      <w:divBdr>
        <w:top w:val="none" w:sz="0" w:space="0" w:color="auto"/>
        <w:left w:val="none" w:sz="0" w:space="0" w:color="auto"/>
        <w:bottom w:val="none" w:sz="0" w:space="0" w:color="auto"/>
        <w:right w:val="none" w:sz="0" w:space="0" w:color="auto"/>
      </w:divBdr>
    </w:div>
    <w:div w:id="417334007">
      <w:bodyDiv w:val="1"/>
      <w:marLeft w:val="0"/>
      <w:marRight w:val="0"/>
      <w:marTop w:val="0"/>
      <w:marBottom w:val="0"/>
      <w:divBdr>
        <w:top w:val="none" w:sz="0" w:space="0" w:color="auto"/>
        <w:left w:val="none" w:sz="0" w:space="0" w:color="auto"/>
        <w:bottom w:val="none" w:sz="0" w:space="0" w:color="auto"/>
        <w:right w:val="none" w:sz="0" w:space="0" w:color="auto"/>
      </w:divBdr>
    </w:div>
    <w:div w:id="575361546">
      <w:bodyDiv w:val="1"/>
      <w:marLeft w:val="0"/>
      <w:marRight w:val="0"/>
      <w:marTop w:val="0"/>
      <w:marBottom w:val="0"/>
      <w:divBdr>
        <w:top w:val="none" w:sz="0" w:space="0" w:color="auto"/>
        <w:left w:val="none" w:sz="0" w:space="0" w:color="auto"/>
        <w:bottom w:val="none" w:sz="0" w:space="0" w:color="auto"/>
        <w:right w:val="none" w:sz="0" w:space="0" w:color="auto"/>
      </w:divBdr>
    </w:div>
    <w:div w:id="581377772">
      <w:bodyDiv w:val="1"/>
      <w:marLeft w:val="0"/>
      <w:marRight w:val="0"/>
      <w:marTop w:val="0"/>
      <w:marBottom w:val="0"/>
      <w:divBdr>
        <w:top w:val="none" w:sz="0" w:space="0" w:color="auto"/>
        <w:left w:val="none" w:sz="0" w:space="0" w:color="auto"/>
        <w:bottom w:val="none" w:sz="0" w:space="0" w:color="auto"/>
        <w:right w:val="none" w:sz="0" w:space="0" w:color="auto"/>
      </w:divBdr>
    </w:div>
    <w:div w:id="805316542">
      <w:bodyDiv w:val="1"/>
      <w:marLeft w:val="0"/>
      <w:marRight w:val="0"/>
      <w:marTop w:val="0"/>
      <w:marBottom w:val="0"/>
      <w:divBdr>
        <w:top w:val="none" w:sz="0" w:space="0" w:color="auto"/>
        <w:left w:val="none" w:sz="0" w:space="0" w:color="auto"/>
        <w:bottom w:val="none" w:sz="0" w:space="0" w:color="auto"/>
        <w:right w:val="none" w:sz="0" w:space="0" w:color="auto"/>
      </w:divBdr>
    </w:div>
    <w:div w:id="877426820">
      <w:bodyDiv w:val="1"/>
      <w:marLeft w:val="0"/>
      <w:marRight w:val="0"/>
      <w:marTop w:val="0"/>
      <w:marBottom w:val="0"/>
      <w:divBdr>
        <w:top w:val="none" w:sz="0" w:space="0" w:color="auto"/>
        <w:left w:val="none" w:sz="0" w:space="0" w:color="auto"/>
        <w:bottom w:val="none" w:sz="0" w:space="0" w:color="auto"/>
        <w:right w:val="none" w:sz="0" w:space="0" w:color="auto"/>
      </w:divBdr>
    </w:div>
    <w:div w:id="919291330">
      <w:bodyDiv w:val="1"/>
      <w:marLeft w:val="0"/>
      <w:marRight w:val="0"/>
      <w:marTop w:val="0"/>
      <w:marBottom w:val="0"/>
      <w:divBdr>
        <w:top w:val="none" w:sz="0" w:space="0" w:color="auto"/>
        <w:left w:val="none" w:sz="0" w:space="0" w:color="auto"/>
        <w:bottom w:val="none" w:sz="0" w:space="0" w:color="auto"/>
        <w:right w:val="none" w:sz="0" w:space="0" w:color="auto"/>
      </w:divBdr>
      <w:divsChild>
        <w:div w:id="401566464">
          <w:marLeft w:val="0"/>
          <w:marRight w:val="0"/>
          <w:marTop w:val="0"/>
          <w:marBottom w:val="0"/>
          <w:divBdr>
            <w:top w:val="none" w:sz="0" w:space="0" w:color="auto"/>
            <w:left w:val="none" w:sz="0" w:space="0" w:color="auto"/>
            <w:bottom w:val="none" w:sz="0" w:space="0" w:color="auto"/>
            <w:right w:val="none" w:sz="0" w:space="0" w:color="auto"/>
          </w:divBdr>
          <w:divsChild>
            <w:div w:id="1340084431">
              <w:marLeft w:val="0"/>
              <w:marRight w:val="0"/>
              <w:marTop w:val="0"/>
              <w:marBottom w:val="0"/>
              <w:divBdr>
                <w:top w:val="none" w:sz="0" w:space="0" w:color="auto"/>
                <w:left w:val="none" w:sz="0" w:space="0" w:color="auto"/>
                <w:bottom w:val="none" w:sz="0" w:space="0" w:color="auto"/>
                <w:right w:val="none" w:sz="0" w:space="0" w:color="auto"/>
              </w:divBdr>
              <w:divsChild>
                <w:div w:id="1332104857">
                  <w:marLeft w:val="0"/>
                  <w:marRight w:val="0"/>
                  <w:marTop w:val="0"/>
                  <w:marBottom w:val="0"/>
                  <w:divBdr>
                    <w:top w:val="none" w:sz="0" w:space="0" w:color="auto"/>
                    <w:left w:val="none" w:sz="0" w:space="0" w:color="auto"/>
                    <w:bottom w:val="none" w:sz="0" w:space="0" w:color="auto"/>
                    <w:right w:val="none" w:sz="0" w:space="0" w:color="auto"/>
                  </w:divBdr>
                  <w:divsChild>
                    <w:div w:id="1406604642">
                      <w:marLeft w:val="0"/>
                      <w:marRight w:val="0"/>
                      <w:marTop w:val="0"/>
                      <w:marBottom w:val="0"/>
                      <w:divBdr>
                        <w:top w:val="none" w:sz="0" w:space="0" w:color="auto"/>
                        <w:left w:val="none" w:sz="0" w:space="0" w:color="auto"/>
                        <w:bottom w:val="none" w:sz="0" w:space="0" w:color="auto"/>
                        <w:right w:val="none" w:sz="0" w:space="0" w:color="auto"/>
                      </w:divBdr>
                      <w:divsChild>
                        <w:div w:id="189926600">
                          <w:marLeft w:val="0"/>
                          <w:marRight w:val="0"/>
                          <w:marTop w:val="0"/>
                          <w:marBottom w:val="0"/>
                          <w:divBdr>
                            <w:top w:val="none" w:sz="0" w:space="0" w:color="auto"/>
                            <w:left w:val="none" w:sz="0" w:space="0" w:color="auto"/>
                            <w:bottom w:val="none" w:sz="0" w:space="0" w:color="auto"/>
                            <w:right w:val="none" w:sz="0" w:space="0" w:color="auto"/>
                          </w:divBdr>
                          <w:divsChild>
                            <w:div w:id="1454985268">
                              <w:marLeft w:val="0"/>
                              <w:marRight w:val="0"/>
                              <w:marTop w:val="0"/>
                              <w:marBottom w:val="0"/>
                              <w:divBdr>
                                <w:top w:val="none" w:sz="0" w:space="0" w:color="auto"/>
                                <w:left w:val="none" w:sz="0" w:space="0" w:color="auto"/>
                                <w:bottom w:val="none" w:sz="0" w:space="0" w:color="auto"/>
                                <w:right w:val="none" w:sz="0" w:space="0" w:color="auto"/>
                              </w:divBdr>
                              <w:divsChild>
                                <w:div w:id="1073620977">
                                  <w:marLeft w:val="0"/>
                                  <w:marRight w:val="0"/>
                                  <w:marTop w:val="0"/>
                                  <w:marBottom w:val="0"/>
                                  <w:divBdr>
                                    <w:top w:val="none" w:sz="0" w:space="0" w:color="auto"/>
                                    <w:left w:val="none" w:sz="0" w:space="0" w:color="auto"/>
                                    <w:bottom w:val="none" w:sz="0" w:space="0" w:color="auto"/>
                                    <w:right w:val="none" w:sz="0" w:space="0" w:color="auto"/>
                                  </w:divBdr>
                                  <w:divsChild>
                                    <w:div w:id="457918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1299242">
                          <w:marLeft w:val="0"/>
                          <w:marRight w:val="0"/>
                          <w:marTop w:val="0"/>
                          <w:marBottom w:val="0"/>
                          <w:divBdr>
                            <w:top w:val="none" w:sz="0" w:space="0" w:color="auto"/>
                            <w:left w:val="none" w:sz="0" w:space="0" w:color="auto"/>
                            <w:bottom w:val="none" w:sz="0" w:space="0" w:color="auto"/>
                            <w:right w:val="none" w:sz="0" w:space="0" w:color="auto"/>
                          </w:divBdr>
                          <w:divsChild>
                            <w:div w:id="20711924">
                              <w:marLeft w:val="0"/>
                              <w:marRight w:val="0"/>
                              <w:marTop w:val="0"/>
                              <w:marBottom w:val="0"/>
                              <w:divBdr>
                                <w:top w:val="none" w:sz="0" w:space="0" w:color="auto"/>
                                <w:left w:val="none" w:sz="0" w:space="0" w:color="auto"/>
                                <w:bottom w:val="none" w:sz="0" w:space="0" w:color="auto"/>
                                <w:right w:val="none" w:sz="0" w:space="0" w:color="auto"/>
                              </w:divBdr>
                              <w:divsChild>
                                <w:div w:id="172452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85585770">
              <w:marLeft w:val="0"/>
              <w:marRight w:val="0"/>
              <w:marTop w:val="0"/>
              <w:marBottom w:val="0"/>
              <w:divBdr>
                <w:top w:val="none" w:sz="0" w:space="0" w:color="auto"/>
                <w:left w:val="none" w:sz="0" w:space="0" w:color="auto"/>
                <w:bottom w:val="none" w:sz="0" w:space="0" w:color="auto"/>
                <w:right w:val="none" w:sz="0" w:space="0" w:color="auto"/>
              </w:divBdr>
              <w:divsChild>
                <w:div w:id="1779829973">
                  <w:marLeft w:val="0"/>
                  <w:marRight w:val="0"/>
                  <w:marTop w:val="0"/>
                  <w:marBottom w:val="0"/>
                  <w:divBdr>
                    <w:top w:val="none" w:sz="0" w:space="0" w:color="auto"/>
                    <w:left w:val="none" w:sz="0" w:space="0" w:color="auto"/>
                    <w:bottom w:val="none" w:sz="0" w:space="0" w:color="auto"/>
                    <w:right w:val="none" w:sz="0" w:space="0" w:color="auto"/>
                  </w:divBdr>
                  <w:divsChild>
                    <w:div w:id="1449737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4953016">
          <w:marLeft w:val="0"/>
          <w:marRight w:val="0"/>
          <w:marTop w:val="0"/>
          <w:marBottom w:val="0"/>
          <w:divBdr>
            <w:top w:val="none" w:sz="0" w:space="0" w:color="auto"/>
            <w:left w:val="none" w:sz="0" w:space="0" w:color="auto"/>
            <w:bottom w:val="none" w:sz="0" w:space="0" w:color="auto"/>
            <w:right w:val="none" w:sz="0" w:space="0" w:color="auto"/>
          </w:divBdr>
          <w:divsChild>
            <w:div w:id="746465585">
              <w:marLeft w:val="0"/>
              <w:marRight w:val="0"/>
              <w:marTop w:val="0"/>
              <w:marBottom w:val="0"/>
              <w:divBdr>
                <w:top w:val="none" w:sz="0" w:space="0" w:color="auto"/>
                <w:left w:val="none" w:sz="0" w:space="0" w:color="auto"/>
                <w:bottom w:val="none" w:sz="0" w:space="0" w:color="auto"/>
                <w:right w:val="none" w:sz="0" w:space="0" w:color="auto"/>
              </w:divBdr>
              <w:divsChild>
                <w:div w:id="190994669">
                  <w:marLeft w:val="0"/>
                  <w:marRight w:val="0"/>
                  <w:marTop w:val="0"/>
                  <w:marBottom w:val="0"/>
                  <w:divBdr>
                    <w:top w:val="none" w:sz="0" w:space="0" w:color="auto"/>
                    <w:left w:val="none" w:sz="0" w:space="0" w:color="auto"/>
                    <w:bottom w:val="none" w:sz="0" w:space="0" w:color="auto"/>
                    <w:right w:val="none" w:sz="0" w:space="0" w:color="auto"/>
                  </w:divBdr>
                  <w:divsChild>
                    <w:div w:id="308755977">
                      <w:marLeft w:val="0"/>
                      <w:marRight w:val="0"/>
                      <w:marTop w:val="0"/>
                      <w:marBottom w:val="0"/>
                      <w:divBdr>
                        <w:top w:val="none" w:sz="0" w:space="0" w:color="auto"/>
                        <w:left w:val="none" w:sz="0" w:space="0" w:color="auto"/>
                        <w:bottom w:val="none" w:sz="0" w:space="0" w:color="auto"/>
                        <w:right w:val="none" w:sz="0" w:space="0" w:color="auto"/>
                      </w:divBdr>
                      <w:divsChild>
                        <w:div w:id="544365201">
                          <w:marLeft w:val="0"/>
                          <w:marRight w:val="0"/>
                          <w:marTop w:val="0"/>
                          <w:marBottom w:val="0"/>
                          <w:divBdr>
                            <w:top w:val="none" w:sz="0" w:space="0" w:color="auto"/>
                            <w:left w:val="none" w:sz="0" w:space="0" w:color="auto"/>
                            <w:bottom w:val="none" w:sz="0" w:space="0" w:color="auto"/>
                            <w:right w:val="none" w:sz="0" w:space="0" w:color="auto"/>
                          </w:divBdr>
                          <w:divsChild>
                            <w:div w:id="54011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4096599">
                      <w:marLeft w:val="0"/>
                      <w:marRight w:val="0"/>
                      <w:marTop w:val="0"/>
                      <w:marBottom w:val="0"/>
                      <w:divBdr>
                        <w:top w:val="none" w:sz="0" w:space="0" w:color="auto"/>
                        <w:left w:val="none" w:sz="0" w:space="0" w:color="auto"/>
                        <w:bottom w:val="none" w:sz="0" w:space="0" w:color="auto"/>
                        <w:right w:val="none" w:sz="0" w:space="0" w:color="auto"/>
                      </w:divBdr>
                      <w:divsChild>
                        <w:div w:id="563181554">
                          <w:marLeft w:val="0"/>
                          <w:marRight w:val="0"/>
                          <w:marTop w:val="0"/>
                          <w:marBottom w:val="0"/>
                          <w:divBdr>
                            <w:top w:val="none" w:sz="0" w:space="0" w:color="auto"/>
                            <w:left w:val="none" w:sz="0" w:space="0" w:color="auto"/>
                            <w:bottom w:val="none" w:sz="0" w:space="0" w:color="auto"/>
                            <w:right w:val="none" w:sz="0" w:space="0" w:color="auto"/>
                          </w:divBdr>
                          <w:divsChild>
                            <w:div w:id="733822988">
                              <w:marLeft w:val="0"/>
                              <w:marRight w:val="0"/>
                              <w:marTop w:val="0"/>
                              <w:marBottom w:val="0"/>
                              <w:divBdr>
                                <w:top w:val="none" w:sz="0" w:space="0" w:color="auto"/>
                                <w:left w:val="none" w:sz="0" w:space="0" w:color="auto"/>
                                <w:bottom w:val="none" w:sz="0" w:space="0" w:color="auto"/>
                                <w:right w:val="none" w:sz="0" w:space="0" w:color="auto"/>
                              </w:divBdr>
                              <w:divsChild>
                                <w:div w:id="2083523616">
                                  <w:marLeft w:val="0"/>
                                  <w:marRight w:val="0"/>
                                  <w:marTop w:val="0"/>
                                  <w:marBottom w:val="0"/>
                                  <w:divBdr>
                                    <w:top w:val="none" w:sz="0" w:space="0" w:color="auto"/>
                                    <w:left w:val="none" w:sz="0" w:space="0" w:color="auto"/>
                                    <w:bottom w:val="none" w:sz="0" w:space="0" w:color="auto"/>
                                    <w:right w:val="none" w:sz="0" w:space="0" w:color="auto"/>
                                  </w:divBdr>
                                  <w:divsChild>
                                    <w:div w:id="2114932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58485696">
      <w:bodyDiv w:val="1"/>
      <w:marLeft w:val="0"/>
      <w:marRight w:val="0"/>
      <w:marTop w:val="0"/>
      <w:marBottom w:val="0"/>
      <w:divBdr>
        <w:top w:val="none" w:sz="0" w:space="0" w:color="auto"/>
        <w:left w:val="none" w:sz="0" w:space="0" w:color="auto"/>
        <w:bottom w:val="none" w:sz="0" w:space="0" w:color="auto"/>
        <w:right w:val="none" w:sz="0" w:space="0" w:color="auto"/>
      </w:divBdr>
    </w:div>
    <w:div w:id="978650612">
      <w:bodyDiv w:val="1"/>
      <w:marLeft w:val="0"/>
      <w:marRight w:val="0"/>
      <w:marTop w:val="0"/>
      <w:marBottom w:val="0"/>
      <w:divBdr>
        <w:top w:val="none" w:sz="0" w:space="0" w:color="auto"/>
        <w:left w:val="none" w:sz="0" w:space="0" w:color="auto"/>
        <w:bottom w:val="none" w:sz="0" w:space="0" w:color="auto"/>
        <w:right w:val="none" w:sz="0" w:space="0" w:color="auto"/>
      </w:divBdr>
    </w:div>
    <w:div w:id="1085765280">
      <w:bodyDiv w:val="1"/>
      <w:marLeft w:val="0"/>
      <w:marRight w:val="0"/>
      <w:marTop w:val="0"/>
      <w:marBottom w:val="0"/>
      <w:divBdr>
        <w:top w:val="none" w:sz="0" w:space="0" w:color="auto"/>
        <w:left w:val="none" w:sz="0" w:space="0" w:color="auto"/>
        <w:bottom w:val="none" w:sz="0" w:space="0" w:color="auto"/>
        <w:right w:val="none" w:sz="0" w:space="0" w:color="auto"/>
      </w:divBdr>
    </w:div>
    <w:div w:id="1224098624">
      <w:bodyDiv w:val="1"/>
      <w:marLeft w:val="0"/>
      <w:marRight w:val="0"/>
      <w:marTop w:val="0"/>
      <w:marBottom w:val="0"/>
      <w:divBdr>
        <w:top w:val="none" w:sz="0" w:space="0" w:color="auto"/>
        <w:left w:val="none" w:sz="0" w:space="0" w:color="auto"/>
        <w:bottom w:val="none" w:sz="0" w:space="0" w:color="auto"/>
        <w:right w:val="none" w:sz="0" w:space="0" w:color="auto"/>
      </w:divBdr>
    </w:div>
    <w:div w:id="1275600961">
      <w:bodyDiv w:val="1"/>
      <w:marLeft w:val="0"/>
      <w:marRight w:val="0"/>
      <w:marTop w:val="0"/>
      <w:marBottom w:val="0"/>
      <w:divBdr>
        <w:top w:val="none" w:sz="0" w:space="0" w:color="auto"/>
        <w:left w:val="none" w:sz="0" w:space="0" w:color="auto"/>
        <w:bottom w:val="none" w:sz="0" w:space="0" w:color="auto"/>
        <w:right w:val="none" w:sz="0" w:space="0" w:color="auto"/>
      </w:divBdr>
    </w:div>
    <w:div w:id="1386490704">
      <w:bodyDiv w:val="1"/>
      <w:marLeft w:val="0"/>
      <w:marRight w:val="0"/>
      <w:marTop w:val="0"/>
      <w:marBottom w:val="0"/>
      <w:divBdr>
        <w:top w:val="none" w:sz="0" w:space="0" w:color="auto"/>
        <w:left w:val="none" w:sz="0" w:space="0" w:color="auto"/>
        <w:bottom w:val="none" w:sz="0" w:space="0" w:color="auto"/>
        <w:right w:val="none" w:sz="0" w:space="0" w:color="auto"/>
      </w:divBdr>
    </w:div>
    <w:div w:id="1417048522">
      <w:bodyDiv w:val="1"/>
      <w:marLeft w:val="0"/>
      <w:marRight w:val="0"/>
      <w:marTop w:val="0"/>
      <w:marBottom w:val="0"/>
      <w:divBdr>
        <w:top w:val="none" w:sz="0" w:space="0" w:color="auto"/>
        <w:left w:val="none" w:sz="0" w:space="0" w:color="auto"/>
        <w:bottom w:val="none" w:sz="0" w:space="0" w:color="auto"/>
        <w:right w:val="none" w:sz="0" w:space="0" w:color="auto"/>
      </w:divBdr>
      <w:divsChild>
        <w:div w:id="704410743">
          <w:marLeft w:val="0"/>
          <w:marRight w:val="0"/>
          <w:marTop w:val="0"/>
          <w:marBottom w:val="0"/>
          <w:divBdr>
            <w:top w:val="none" w:sz="0" w:space="0" w:color="auto"/>
            <w:left w:val="none" w:sz="0" w:space="0" w:color="auto"/>
            <w:bottom w:val="none" w:sz="0" w:space="0" w:color="auto"/>
            <w:right w:val="none" w:sz="0" w:space="0" w:color="auto"/>
          </w:divBdr>
          <w:divsChild>
            <w:div w:id="477844040">
              <w:marLeft w:val="0"/>
              <w:marRight w:val="0"/>
              <w:marTop w:val="0"/>
              <w:marBottom w:val="0"/>
              <w:divBdr>
                <w:top w:val="none" w:sz="0" w:space="0" w:color="auto"/>
                <w:left w:val="none" w:sz="0" w:space="0" w:color="auto"/>
                <w:bottom w:val="none" w:sz="0" w:space="0" w:color="auto"/>
                <w:right w:val="none" w:sz="0" w:space="0" w:color="auto"/>
              </w:divBdr>
              <w:divsChild>
                <w:div w:id="909196146">
                  <w:marLeft w:val="0"/>
                  <w:marRight w:val="0"/>
                  <w:marTop w:val="0"/>
                  <w:marBottom w:val="0"/>
                  <w:divBdr>
                    <w:top w:val="none" w:sz="0" w:space="0" w:color="auto"/>
                    <w:left w:val="none" w:sz="0" w:space="0" w:color="auto"/>
                    <w:bottom w:val="none" w:sz="0" w:space="0" w:color="auto"/>
                    <w:right w:val="none" w:sz="0" w:space="0" w:color="auto"/>
                  </w:divBdr>
                  <w:divsChild>
                    <w:div w:id="562066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751715">
              <w:marLeft w:val="0"/>
              <w:marRight w:val="0"/>
              <w:marTop w:val="0"/>
              <w:marBottom w:val="0"/>
              <w:divBdr>
                <w:top w:val="none" w:sz="0" w:space="0" w:color="auto"/>
                <w:left w:val="none" w:sz="0" w:space="0" w:color="auto"/>
                <w:bottom w:val="none" w:sz="0" w:space="0" w:color="auto"/>
                <w:right w:val="none" w:sz="0" w:space="0" w:color="auto"/>
              </w:divBdr>
              <w:divsChild>
                <w:div w:id="1168716963">
                  <w:marLeft w:val="0"/>
                  <w:marRight w:val="0"/>
                  <w:marTop w:val="0"/>
                  <w:marBottom w:val="0"/>
                  <w:divBdr>
                    <w:top w:val="none" w:sz="0" w:space="0" w:color="auto"/>
                    <w:left w:val="none" w:sz="0" w:space="0" w:color="auto"/>
                    <w:bottom w:val="none" w:sz="0" w:space="0" w:color="auto"/>
                    <w:right w:val="none" w:sz="0" w:space="0" w:color="auto"/>
                  </w:divBdr>
                  <w:divsChild>
                    <w:div w:id="1556619008">
                      <w:marLeft w:val="0"/>
                      <w:marRight w:val="0"/>
                      <w:marTop w:val="0"/>
                      <w:marBottom w:val="0"/>
                      <w:divBdr>
                        <w:top w:val="none" w:sz="0" w:space="0" w:color="auto"/>
                        <w:left w:val="none" w:sz="0" w:space="0" w:color="auto"/>
                        <w:bottom w:val="none" w:sz="0" w:space="0" w:color="auto"/>
                        <w:right w:val="none" w:sz="0" w:space="0" w:color="auto"/>
                      </w:divBdr>
                      <w:divsChild>
                        <w:div w:id="1277567147">
                          <w:marLeft w:val="0"/>
                          <w:marRight w:val="0"/>
                          <w:marTop w:val="0"/>
                          <w:marBottom w:val="0"/>
                          <w:divBdr>
                            <w:top w:val="none" w:sz="0" w:space="0" w:color="auto"/>
                            <w:left w:val="none" w:sz="0" w:space="0" w:color="auto"/>
                            <w:bottom w:val="none" w:sz="0" w:space="0" w:color="auto"/>
                            <w:right w:val="none" w:sz="0" w:space="0" w:color="auto"/>
                          </w:divBdr>
                          <w:divsChild>
                            <w:div w:id="819342468">
                              <w:marLeft w:val="0"/>
                              <w:marRight w:val="0"/>
                              <w:marTop w:val="0"/>
                              <w:marBottom w:val="0"/>
                              <w:divBdr>
                                <w:top w:val="none" w:sz="0" w:space="0" w:color="auto"/>
                                <w:left w:val="none" w:sz="0" w:space="0" w:color="auto"/>
                                <w:bottom w:val="none" w:sz="0" w:space="0" w:color="auto"/>
                                <w:right w:val="none" w:sz="0" w:space="0" w:color="auto"/>
                              </w:divBdr>
                              <w:divsChild>
                                <w:div w:id="1235359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7355159">
                          <w:marLeft w:val="0"/>
                          <w:marRight w:val="0"/>
                          <w:marTop w:val="0"/>
                          <w:marBottom w:val="0"/>
                          <w:divBdr>
                            <w:top w:val="none" w:sz="0" w:space="0" w:color="auto"/>
                            <w:left w:val="none" w:sz="0" w:space="0" w:color="auto"/>
                            <w:bottom w:val="none" w:sz="0" w:space="0" w:color="auto"/>
                            <w:right w:val="none" w:sz="0" w:space="0" w:color="auto"/>
                          </w:divBdr>
                          <w:divsChild>
                            <w:div w:id="129055924">
                              <w:marLeft w:val="0"/>
                              <w:marRight w:val="0"/>
                              <w:marTop w:val="0"/>
                              <w:marBottom w:val="0"/>
                              <w:divBdr>
                                <w:top w:val="none" w:sz="0" w:space="0" w:color="auto"/>
                                <w:left w:val="none" w:sz="0" w:space="0" w:color="auto"/>
                                <w:bottom w:val="none" w:sz="0" w:space="0" w:color="auto"/>
                                <w:right w:val="none" w:sz="0" w:space="0" w:color="auto"/>
                              </w:divBdr>
                              <w:divsChild>
                                <w:div w:id="1742558498">
                                  <w:marLeft w:val="0"/>
                                  <w:marRight w:val="0"/>
                                  <w:marTop w:val="0"/>
                                  <w:marBottom w:val="0"/>
                                  <w:divBdr>
                                    <w:top w:val="none" w:sz="0" w:space="0" w:color="auto"/>
                                    <w:left w:val="none" w:sz="0" w:space="0" w:color="auto"/>
                                    <w:bottom w:val="none" w:sz="0" w:space="0" w:color="auto"/>
                                    <w:right w:val="none" w:sz="0" w:space="0" w:color="auto"/>
                                  </w:divBdr>
                                  <w:divsChild>
                                    <w:div w:id="1356613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76695387">
          <w:marLeft w:val="0"/>
          <w:marRight w:val="0"/>
          <w:marTop w:val="0"/>
          <w:marBottom w:val="0"/>
          <w:divBdr>
            <w:top w:val="none" w:sz="0" w:space="0" w:color="auto"/>
            <w:left w:val="none" w:sz="0" w:space="0" w:color="auto"/>
            <w:bottom w:val="none" w:sz="0" w:space="0" w:color="auto"/>
            <w:right w:val="none" w:sz="0" w:space="0" w:color="auto"/>
          </w:divBdr>
          <w:divsChild>
            <w:div w:id="168107720">
              <w:marLeft w:val="0"/>
              <w:marRight w:val="0"/>
              <w:marTop w:val="0"/>
              <w:marBottom w:val="0"/>
              <w:divBdr>
                <w:top w:val="none" w:sz="0" w:space="0" w:color="auto"/>
                <w:left w:val="none" w:sz="0" w:space="0" w:color="auto"/>
                <w:bottom w:val="none" w:sz="0" w:space="0" w:color="auto"/>
                <w:right w:val="none" w:sz="0" w:space="0" w:color="auto"/>
              </w:divBdr>
              <w:divsChild>
                <w:div w:id="1497112388">
                  <w:marLeft w:val="0"/>
                  <w:marRight w:val="0"/>
                  <w:marTop w:val="0"/>
                  <w:marBottom w:val="0"/>
                  <w:divBdr>
                    <w:top w:val="none" w:sz="0" w:space="0" w:color="auto"/>
                    <w:left w:val="none" w:sz="0" w:space="0" w:color="auto"/>
                    <w:bottom w:val="none" w:sz="0" w:space="0" w:color="auto"/>
                    <w:right w:val="none" w:sz="0" w:space="0" w:color="auto"/>
                  </w:divBdr>
                  <w:divsChild>
                    <w:div w:id="344985687">
                      <w:marLeft w:val="0"/>
                      <w:marRight w:val="0"/>
                      <w:marTop w:val="0"/>
                      <w:marBottom w:val="0"/>
                      <w:divBdr>
                        <w:top w:val="none" w:sz="0" w:space="0" w:color="auto"/>
                        <w:left w:val="none" w:sz="0" w:space="0" w:color="auto"/>
                        <w:bottom w:val="none" w:sz="0" w:space="0" w:color="auto"/>
                        <w:right w:val="none" w:sz="0" w:space="0" w:color="auto"/>
                      </w:divBdr>
                      <w:divsChild>
                        <w:div w:id="293680179">
                          <w:marLeft w:val="0"/>
                          <w:marRight w:val="0"/>
                          <w:marTop w:val="0"/>
                          <w:marBottom w:val="0"/>
                          <w:divBdr>
                            <w:top w:val="none" w:sz="0" w:space="0" w:color="auto"/>
                            <w:left w:val="none" w:sz="0" w:space="0" w:color="auto"/>
                            <w:bottom w:val="none" w:sz="0" w:space="0" w:color="auto"/>
                            <w:right w:val="none" w:sz="0" w:space="0" w:color="auto"/>
                          </w:divBdr>
                          <w:divsChild>
                            <w:div w:id="1997221455">
                              <w:marLeft w:val="0"/>
                              <w:marRight w:val="0"/>
                              <w:marTop w:val="0"/>
                              <w:marBottom w:val="0"/>
                              <w:divBdr>
                                <w:top w:val="none" w:sz="0" w:space="0" w:color="auto"/>
                                <w:left w:val="none" w:sz="0" w:space="0" w:color="auto"/>
                                <w:bottom w:val="none" w:sz="0" w:space="0" w:color="auto"/>
                                <w:right w:val="none" w:sz="0" w:space="0" w:color="auto"/>
                              </w:divBdr>
                              <w:divsChild>
                                <w:div w:id="2006274824">
                                  <w:marLeft w:val="0"/>
                                  <w:marRight w:val="0"/>
                                  <w:marTop w:val="0"/>
                                  <w:marBottom w:val="0"/>
                                  <w:divBdr>
                                    <w:top w:val="none" w:sz="0" w:space="0" w:color="auto"/>
                                    <w:left w:val="none" w:sz="0" w:space="0" w:color="auto"/>
                                    <w:bottom w:val="none" w:sz="0" w:space="0" w:color="auto"/>
                                    <w:right w:val="none" w:sz="0" w:space="0" w:color="auto"/>
                                  </w:divBdr>
                                  <w:divsChild>
                                    <w:div w:id="86659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3166900">
                      <w:marLeft w:val="0"/>
                      <w:marRight w:val="0"/>
                      <w:marTop w:val="0"/>
                      <w:marBottom w:val="0"/>
                      <w:divBdr>
                        <w:top w:val="none" w:sz="0" w:space="0" w:color="auto"/>
                        <w:left w:val="none" w:sz="0" w:space="0" w:color="auto"/>
                        <w:bottom w:val="none" w:sz="0" w:space="0" w:color="auto"/>
                        <w:right w:val="none" w:sz="0" w:space="0" w:color="auto"/>
                      </w:divBdr>
                      <w:divsChild>
                        <w:div w:id="1152328330">
                          <w:marLeft w:val="0"/>
                          <w:marRight w:val="0"/>
                          <w:marTop w:val="0"/>
                          <w:marBottom w:val="0"/>
                          <w:divBdr>
                            <w:top w:val="none" w:sz="0" w:space="0" w:color="auto"/>
                            <w:left w:val="none" w:sz="0" w:space="0" w:color="auto"/>
                            <w:bottom w:val="none" w:sz="0" w:space="0" w:color="auto"/>
                            <w:right w:val="none" w:sz="0" w:space="0" w:color="auto"/>
                          </w:divBdr>
                          <w:divsChild>
                            <w:div w:id="787508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73388585">
      <w:bodyDiv w:val="1"/>
      <w:marLeft w:val="0"/>
      <w:marRight w:val="0"/>
      <w:marTop w:val="0"/>
      <w:marBottom w:val="0"/>
      <w:divBdr>
        <w:top w:val="none" w:sz="0" w:space="0" w:color="auto"/>
        <w:left w:val="none" w:sz="0" w:space="0" w:color="auto"/>
        <w:bottom w:val="none" w:sz="0" w:space="0" w:color="auto"/>
        <w:right w:val="none" w:sz="0" w:space="0" w:color="auto"/>
      </w:divBdr>
    </w:div>
    <w:div w:id="1708335343">
      <w:bodyDiv w:val="1"/>
      <w:marLeft w:val="0"/>
      <w:marRight w:val="0"/>
      <w:marTop w:val="0"/>
      <w:marBottom w:val="0"/>
      <w:divBdr>
        <w:top w:val="none" w:sz="0" w:space="0" w:color="auto"/>
        <w:left w:val="none" w:sz="0" w:space="0" w:color="auto"/>
        <w:bottom w:val="none" w:sz="0" w:space="0" w:color="auto"/>
        <w:right w:val="none" w:sz="0" w:space="0" w:color="auto"/>
      </w:divBdr>
    </w:div>
    <w:div w:id="1786849769">
      <w:bodyDiv w:val="1"/>
      <w:marLeft w:val="0"/>
      <w:marRight w:val="0"/>
      <w:marTop w:val="0"/>
      <w:marBottom w:val="0"/>
      <w:divBdr>
        <w:top w:val="none" w:sz="0" w:space="0" w:color="auto"/>
        <w:left w:val="none" w:sz="0" w:space="0" w:color="auto"/>
        <w:bottom w:val="none" w:sz="0" w:space="0" w:color="auto"/>
        <w:right w:val="none" w:sz="0" w:space="0" w:color="auto"/>
      </w:divBdr>
    </w:div>
    <w:div w:id="1792240700">
      <w:bodyDiv w:val="1"/>
      <w:marLeft w:val="0"/>
      <w:marRight w:val="0"/>
      <w:marTop w:val="0"/>
      <w:marBottom w:val="0"/>
      <w:divBdr>
        <w:top w:val="none" w:sz="0" w:space="0" w:color="auto"/>
        <w:left w:val="none" w:sz="0" w:space="0" w:color="auto"/>
        <w:bottom w:val="none" w:sz="0" w:space="0" w:color="auto"/>
        <w:right w:val="none" w:sz="0" w:space="0" w:color="auto"/>
      </w:divBdr>
      <w:divsChild>
        <w:div w:id="191842251">
          <w:marLeft w:val="0"/>
          <w:marRight w:val="0"/>
          <w:marTop w:val="375"/>
          <w:marBottom w:val="375"/>
          <w:divBdr>
            <w:top w:val="none" w:sz="0" w:space="0" w:color="auto"/>
            <w:left w:val="single" w:sz="36" w:space="15" w:color="F57C00"/>
            <w:bottom w:val="none" w:sz="0" w:space="0" w:color="auto"/>
            <w:right w:val="none" w:sz="0" w:space="0" w:color="auto"/>
          </w:divBdr>
          <w:divsChild>
            <w:div w:id="321854286">
              <w:marLeft w:val="0"/>
              <w:marRight w:val="0"/>
              <w:marTop w:val="225"/>
              <w:marBottom w:val="0"/>
              <w:divBdr>
                <w:top w:val="none" w:sz="0" w:space="0" w:color="auto"/>
                <w:left w:val="none" w:sz="0" w:space="0" w:color="auto"/>
                <w:bottom w:val="none" w:sz="0" w:space="0" w:color="auto"/>
                <w:right w:val="none" w:sz="0" w:space="0" w:color="auto"/>
              </w:divBdr>
              <w:divsChild>
                <w:div w:id="1553156155">
                  <w:marLeft w:val="0"/>
                  <w:marRight w:val="0"/>
                  <w:marTop w:val="0"/>
                  <w:marBottom w:val="0"/>
                  <w:divBdr>
                    <w:top w:val="none" w:sz="0" w:space="0" w:color="auto"/>
                    <w:left w:val="none" w:sz="0" w:space="0" w:color="auto"/>
                    <w:bottom w:val="none" w:sz="0" w:space="0" w:color="auto"/>
                    <w:right w:val="none" w:sz="0" w:space="0" w:color="auto"/>
                  </w:divBdr>
                </w:div>
                <w:div w:id="1987584578">
                  <w:marLeft w:val="0"/>
                  <w:marRight w:val="0"/>
                  <w:marTop w:val="0"/>
                  <w:marBottom w:val="0"/>
                  <w:divBdr>
                    <w:top w:val="none" w:sz="0" w:space="0" w:color="auto"/>
                    <w:left w:val="none" w:sz="0" w:space="0" w:color="auto"/>
                    <w:bottom w:val="none" w:sz="0" w:space="0" w:color="auto"/>
                    <w:right w:val="none" w:sz="0" w:space="0" w:color="auto"/>
                  </w:divBdr>
                </w:div>
              </w:divsChild>
            </w:div>
            <w:div w:id="522329500">
              <w:marLeft w:val="0"/>
              <w:marRight w:val="0"/>
              <w:marTop w:val="0"/>
              <w:marBottom w:val="225"/>
              <w:divBdr>
                <w:top w:val="none" w:sz="0" w:space="0" w:color="auto"/>
                <w:left w:val="none" w:sz="0" w:space="0" w:color="auto"/>
                <w:bottom w:val="none" w:sz="0" w:space="0" w:color="auto"/>
                <w:right w:val="none" w:sz="0" w:space="0" w:color="auto"/>
              </w:divBdr>
            </w:div>
          </w:divsChild>
        </w:div>
        <w:div w:id="389960888">
          <w:marLeft w:val="0"/>
          <w:marRight w:val="0"/>
          <w:marTop w:val="0"/>
          <w:marBottom w:val="450"/>
          <w:divBdr>
            <w:top w:val="none" w:sz="0" w:space="0" w:color="auto"/>
            <w:left w:val="none" w:sz="0" w:space="0" w:color="auto"/>
            <w:bottom w:val="single" w:sz="18" w:space="11" w:color="3498DB"/>
            <w:right w:val="none" w:sz="0" w:space="0" w:color="auto"/>
          </w:divBdr>
        </w:div>
        <w:div w:id="395397659">
          <w:marLeft w:val="0"/>
          <w:marRight w:val="0"/>
          <w:marTop w:val="150"/>
          <w:marBottom w:val="150"/>
          <w:divBdr>
            <w:top w:val="none" w:sz="0" w:space="0" w:color="auto"/>
            <w:left w:val="none" w:sz="0" w:space="0" w:color="auto"/>
            <w:bottom w:val="none" w:sz="0" w:space="0" w:color="auto"/>
            <w:right w:val="none" w:sz="0" w:space="0" w:color="auto"/>
          </w:divBdr>
        </w:div>
        <w:div w:id="539902384">
          <w:marLeft w:val="0"/>
          <w:marRight w:val="0"/>
          <w:marTop w:val="150"/>
          <w:marBottom w:val="150"/>
          <w:divBdr>
            <w:top w:val="none" w:sz="0" w:space="0" w:color="auto"/>
            <w:left w:val="none" w:sz="0" w:space="0" w:color="auto"/>
            <w:bottom w:val="none" w:sz="0" w:space="0" w:color="auto"/>
            <w:right w:val="none" w:sz="0" w:space="0" w:color="auto"/>
          </w:divBdr>
        </w:div>
        <w:div w:id="782772703">
          <w:marLeft w:val="0"/>
          <w:marRight w:val="0"/>
          <w:marTop w:val="150"/>
          <w:marBottom w:val="150"/>
          <w:divBdr>
            <w:top w:val="none" w:sz="0" w:space="0" w:color="auto"/>
            <w:left w:val="none" w:sz="0" w:space="0" w:color="auto"/>
            <w:bottom w:val="none" w:sz="0" w:space="0" w:color="auto"/>
            <w:right w:val="none" w:sz="0" w:space="0" w:color="auto"/>
          </w:divBdr>
        </w:div>
        <w:div w:id="827747770">
          <w:marLeft w:val="0"/>
          <w:marRight w:val="0"/>
          <w:marTop w:val="375"/>
          <w:marBottom w:val="375"/>
          <w:divBdr>
            <w:top w:val="none" w:sz="0" w:space="0" w:color="auto"/>
            <w:left w:val="single" w:sz="36" w:space="15" w:color="C2185B"/>
            <w:bottom w:val="none" w:sz="0" w:space="0" w:color="auto"/>
            <w:right w:val="none" w:sz="0" w:space="0" w:color="auto"/>
          </w:divBdr>
          <w:divsChild>
            <w:div w:id="486752465">
              <w:marLeft w:val="0"/>
              <w:marRight w:val="0"/>
              <w:marTop w:val="225"/>
              <w:marBottom w:val="0"/>
              <w:divBdr>
                <w:top w:val="none" w:sz="0" w:space="0" w:color="auto"/>
                <w:left w:val="none" w:sz="0" w:space="0" w:color="auto"/>
                <w:bottom w:val="none" w:sz="0" w:space="0" w:color="auto"/>
                <w:right w:val="none" w:sz="0" w:space="0" w:color="auto"/>
              </w:divBdr>
              <w:divsChild>
                <w:div w:id="544607681">
                  <w:marLeft w:val="0"/>
                  <w:marRight w:val="0"/>
                  <w:marTop w:val="0"/>
                  <w:marBottom w:val="0"/>
                  <w:divBdr>
                    <w:top w:val="none" w:sz="0" w:space="0" w:color="auto"/>
                    <w:left w:val="none" w:sz="0" w:space="0" w:color="auto"/>
                    <w:bottom w:val="none" w:sz="0" w:space="0" w:color="auto"/>
                    <w:right w:val="none" w:sz="0" w:space="0" w:color="auto"/>
                  </w:divBdr>
                </w:div>
                <w:div w:id="971521802">
                  <w:marLeft w:val="0"/>
                  <w:marRight w:val="0"/>
                  <w:marTop w:val="0"/>
                  <w:marBottom w:val="0"/>
                  <w:divBdr>
                    <w:top w:val="none" w:sz="0" w:space="0" w:color="auto"/>
                    <w:left w:val="none" w:sz="0" w:space="0" w:color="auto"/>
                    <w:bottom w:val="none" w:sz="0" w:space="0" w:color="auto"/>
                    <w:right w:val="none" w:sz="0" w:space="0" w:color="auto"/>
                  </w:divBdr>
                </w:div>
                <w:div w:id="2019043308">
                  <w:marLeft w:val="0"/>
                  <w:marRight w:val="0"/>
                  <w:marTop w:val="0"/>
                  <w:marBottom w:val="0"/>
                  <w:divBdr>
                    <w:top w:val="none" w:sz="0" w:space="0" w:color="auto"/>
                    <w:left w:val="none" w:sz="0" w:space="0" w:color="auto"/>
                    <w:bottom w:val="none" w:sz="0" w:space="0" w:color="auto"/>
                    <w:right w:val="none" w:sz="0" w:space="0" w:color="auto"/>
                  </w:divBdr>
                </w:div>
              </w:divsChild>
            </w:div>
            <w:div w:id="647393759">
              <w:marLeft w:val="0"/>
              <w:marRight w:val="0"/>
              <w:marTop w:val="0"/>
              <w:marBottom w:val="225"/>
              <w:divBdr>
                <w:top w:val="none" w:sz="0" w:space="0" w:color="auto"/>
                <w:left w:val="none" w:sz="0" w:space="0" w:color="auto"/>
                <w:bottom w:val="none" w:sz="0" w:space="0" w:color="auto"/>
                <w:right w:val="none" w:sz="0" w:space="0" w:color="auto"/>
              </w:divBdr>
            </w:div>
          </w:divsChild>
        </w:div>
        <w:div w:id="1157265834">
          <w:marLeft w:val="0"/>
          <w:marRight w:val="0"/>
          <w:marTop w:val="375"/>
          <w:marBottom w:val="375"/>
          <w:divBdr>
            <w:top w:val="none" w:sz="0" w:space="0" w:color="auto"/>
            <w:left w:val="single" w:sz="36" w:space="15" w:color="388E3C"/>
            <w:bottom w:val="none" w:sz="0" w:space="0" w:color="auto"/>
            <w:right w:val="none" w:sz="0" w:space="0" w:color="auto"/>
          </w:divBdr>
          <w:divsChild>
            <w:div w:id="287668192">
              <w:marLeft w:val="0"/>
              <w:marRight w:val="0"/>
              <w:marTop w:val="0"/>
              <w:marBottom w:val="225"/>
              <w:divBdr>
                <w:top w:val="none" w:sz="0" w:space="0" w:color="auto"/>
                <w:left w:val="none" w:sz="0" w:space="0" w:color="auto"/>
                <w:bottom w:val="none" w:sz="0" w:space="0" w:color="auto"/>
                <w:right w:val="none" w:sz="0" w:space="0" w:color="auto"/>
              </w:divBdr>
            </w:div>
            <w:div w:id="1613633533">
              <w:marLeft w:val="0"/>
              <w:marRight w:val="0"/>
              <w:marTop w:val="225"/>
              <w:marBottom w:val="0"/>
              <w:divBdr>
                <w:top w:val="none" w:sz="0" w:space="0" w:color="auto"/>
                <w:left w:val="none" w:sz="0" w:space="0" w:color="auto"/>
                <w:bottom w:val="none" w:sz="0" w:space="0" w:color="auto"/>
                <w:right w:val="none" w:sz="0" w:space="0" w:color="auto"/>
              </w:divBdr>
              <w:divsChild>
                <w:div w:id="232357094">
                  <w:marLeft w:val="0"/>
                  <w:marRight w:val="0"/>
                  <w:marTop w:val="0"/>
                  <w:marBottom w:val="0"/>
                  <w:divBdr>
                    <w:top w:val="none" w:sz="0" w:space="0" w:color="auto"/>
                    <w:left w:val="none" w:sz="0" w:space="0" w:color="auto"/>
                    <w:bottom w:val="none" w:sz="0" w:space="0" w:color="auto"/>
                    <w:right w:val="none" w:sz="0" w:space="0" w:color="auto"/>
                  </w:divBdr>
                </w:div>
                <w:div w:id="854465407">
                  <w:marLeft w:val="0"/>
                  <w:marRight w:val="0"/>
                  <w:marTop w:val="0"/>
                  <w:marBottom w:val="0"/>
                  <w:divBdr>
                    <w:top w:val="none" w:sz="0" w:space="0" w:color="auto"/>
                    <w:left w:val="none" w:sz="0" w:space="0" w:color="auto"/>
                    <w:bottom w:val="none" w:sz="0" w:space="0" w:color="auto"/>
                    <w:right w:val="none" w:sz="0" w:space="0" w:color="auto"/>
                  </w:divBdr>
                </w:div>
                <w:div w:id="1905603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5171699">
          <w:marLeft w:val="0"/>
          <w:marRight w:val="0"/>
          <w:marTop w:val="150"/>
          <w:marBottom w:val="150"/>
          <w:divBdr>
            <w:top w:val="none" w:sz="0" w:space="0" w:color="auto"/>
            <w:left w:val="none" w:sz="0" w:space="0" w:color="auto"/>
            <w:bottom w:val="none" w:sz="0" w:space="0" w:color="auto"/>
            <w:right w:val="none" w:sz="0" w:space="0" w:color="auto"/>
          </w:divBdr>
        </w:div>
        <w:div w:id="1207567523">
          <w:marLeft w:val="0"/>
          <w:marRight w:val="0"/>
          <w:marTop w:val="450"/>
          <w:marBottom w:val="0"/>
          <w:divBdr>
            <w:top w:val="none" w:sz="0" w:space="0" w:color="auto"/>
            <w:left w:val="none" w:sz="0" w:space="0" w:color="auto"/>
            <w:bottom w:val="none" w:sz="0" w:space="0" w:color="auto"/>
            <w:right w:val="none" w:sz="0" w:space="0" w:color="auto"/>
          </w:divBdr>
        </w:div>
        <w:div w:id="1248030182">
          <w:marLeft w:val="0"/>
          <w:marRight w:val="0"/>
          <w:marTop w:val="375"/>
          <w:marBottom w:val="375"/>
          <w:divBdr>
            <w:top w:val="none" w:sz="0" w:space="0" w:color="auto"/>
            <w:left w:val="single" w:sz="36" w:space="15" w:color="7B1FA2"/>
            <w:bottom w:val="none" w:sz="0" w:space="0" w:color="auto"/>
            <w:right w:val="none" w:sz="0" w:space="0" w:color="auto"/>
          </w:divBdr>
          <w:divsChild>
            <w:div w:id="960916597">
              <w:marLeft w:val="0"/>
              <w:marRight w:val="0"/>
              <w:marTop w:val="0"/>
              <w:marBottom w:val="225"/>
              <w:divBdr>
                <w:top w:val="none" w:sz="0" w:space="0" w:color="auto"/>
                <w:left w:val="none" w:sz="0" w:space="0" w:color="auto"/>
                <w:bottom w:val="none" w:sz="0" w:space="0" w:color="auto"/>
                <w:right w:val="none" w:sz="0" w:space="0" w:color="auto"/>
              </w:divBdr>
            </w:div>
            <w:div w:id="1683891942">
              <w:marLeft w:val="0"/>
              <w:marRight w:val="0"/>
              <w:marTop w:val="225"/>
              <w:marBottom w:val="0"/>
              <w:divBdr>
                <w:top w:val="none" w:sz="0" w:space="0" w:color="auto"/>
                <w:left w:val="none" w:sz="0" w:space="0" w:color="auto"/>
                <w:bottom w:val="none" w:sz="0" w:space="0" w:color="auto"/>
                <w:right w:val="none" w:sz="0" w:space="0" w:color="auto"/>
              </w:divBdr>
            </w:div>
          </w:divsChild>
        </w:div>
        <w:div w:id="1316422023">
          <w:marLeft w:val="0"/>
          <w:marRight w:val="0"/>
          <w:marTop w:val="375"/>
          <w:marBottom w:val="375"/>
          <w:divBdr>
            <w:top w:val="none" w:sz="0" w:space="0" w:color="auto"/>
            <w:left w:val="single" w:sz="36" w:space="15" w:color="1976D2"/>
            <w:bottom w:val="none" w:sz="0" w:space="0" w:color="auto"/>
            <w:right w:val="none" w:sz="0" w:space="0" w:color="auto"/>
          </w:divBdr>
          <w:divsChild>
            <w:div w:id="921599369">
              <w:marLeft w:val="0"/>
              <w:marRight w:val="0"/>
              <w:marTop w:val="0"/>
              <w:marBottom w:val="225"/>
              <w:divBdr>
                <w:top w:val="none" w:sz="0" w:space="0" w:color="auto"/>
                <w:left w:val="none" w:sz="0" w:space="0" w:color="auto"/>
                <w:bottom w:val="none" w:sz="0" w:space="0" w:color="auto"/>
                <w:right w:val="none" w:sz="0" w:space="0" w:color="auto"/>
              </w:divBdr>
            </w:div>
            <w:div w:id="1196195367">
              <w:marLeft w:val="0"/>
              <w:marRight w:val="0"/>
              <w:marTop w:val="225"/>
              <w:marBottom w:val="0"/>
              <w:divBdr>
                <w:top w:val="none" w:sz="0" w:space="0" w:color="auto"/>
                <w:left w:val="none" w:sz="0" w:space="0" w:color="auto"/>
                <w:bottom w:val="none" w:sz="0" w:space="0" w:color="auto"/>
                <w:right w:val="none" w:sz="0" w:space="0" w:color="auto"/>
              </w:divBdr>
              <w:divsChild>
                <w:div w:id="179047406">
                  <w:marLeft w:val="0"/>
                  <w:marRight w:val="0"/>
                  <w:marTop w:val="0"/>
                  <w:marBottom w:val="0"/>
                  <w:divBdr>
                    <w:top w:val="none" w:sz="0" w:space="0" w:color="auto"/>
                    <w:left w:val="none" w:sz="0" w:space="0" w:color="auto"/>
                    <w:bottom w:val="none" w:sz="0" w:space="0" w:color="auto"/>
                    <w:right w:val="none" w:sz="0" w:space="0" w:color="auto"/>
                  </w:divBdr>
                </w:div>
                <w:div w:id="525875782">
                  <w:marLeft w:val="0"/>
                  <w:marRight w:val="0"/>
                  <w:marTop w:val="0"/>
                  <w:marBottom w:val="0"/>
                  <w:divBdr>
                    <w:top w:val="none" w:sz="0" w:space="0" w:color="auto"/>
                    <w:left w:val="none" w:sz="0" w:space="0" w:color="auto"/>
                    <w:bottom w:val="none" w:sz="0" w:space="0" w:color="auto"/>
                    <w:right w:val="none" w:sz="0" w:space="0" w:color="auto"/>
                  </w:divBdr>
                </w:div>
                <w:div w:id="534315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6774793">
          <w:marLeft w:val="0"/>
          <w:marRight w:val="0"/>
          <w:marTop w:val="150"/>
          <w:marBottom w:val="150"/>
          <w:divBdr>
            <w:top w:val="none" w:sz="0" w:space="0" w:color="auto"/>
            <w:left w:val="none" w:sz="0" w:space="0" w:color="auto"/>
            <w:bottom w:val="none" w:sz="0" w:space="0" w:color="auto"/>
            <w:right w:val="none" w:sz="0" w:space="0" w:color="auto"/>
          </w:divBdr>
        </w:div>
        <w:div w:id="2081056735">
          <w:marLeft w:val="0"/>
          <w:marRight w:val="0"/>
          <w:marTop w:val="375"/>
          <w:marBottom w:val="375"/>
          <w:divBdr>
            <w:top w:val="none" w:sz="0" w:space="0" w:color="auto"/>
            <w:left w:val="single" w:sz="36" w:space="15" w:color="D32F2F"/>
            <w:bottom w:val="none" w:sz="0" w:space="0" w:color="auto"/>
            <w:right w:val="none" w:sz="0" w:space="0" w:color="auto"/>
          </w:divBdr>
          <w:divsChild>
            <w:div w:id="1473405628">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 w:id="1946309320">
      <w:bodyDiv w:val="1"/>
      <w:marLeft w:val="0"/>
      <w:marRight w:val="0"/>
      <w:marTop w:val="0"/>
      <w:marBottom w:val="0"/>
      <w:divBdr>
        <w:top w:val="none" w:sz="0" w:space="0" w:color="auto"/>
        <w:left w:val="none" w:sz="0" w:space="0" w:color="auto"/>
        <w:bottom w:val="none" w:sz="0" w:space="0" w:color="auto"/>
        <w:right w:val="none" w:sz="0" w:space="0" w:color="auto"/>
      </w:divBdr>
    </w:div>
    <w:div w:id="21105403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png"/><Relationship Id="rId42" Type="http://schemas.openxmlformats.org/officeDocument/2006/relationships/chart" Target="charts/chart2.xml"/><Relationship Id="rId47" Type="http://schemas.openxmlformats.org/officeDocument/2006/relationships/chart" Target="charts/chart5.xml"/><Relationship Id="rId63" Type="http://schemas.openxmlformats.org/officeDocument/2006/relationships/chart" Target="charts/chart18.xml"/><Relationship Id="rId68" Type="http://schemas.openxmlformats.org/officeDocument/2006/relationships/chart" Target="charts/chart22.xml"/><Relationship Id="rId84" Type="http://schemas.openxmlformats.org/officeDocument/2006/relationships/image" Target="media/image37.jpeg"/><Relationship Id="rId89" Type="http://schemas.openxmlformats.org/officeDocument/2006/relationships/image" Target="media/image42.jpeg"/><Relationship Id="rId16" Type="http://schemas.microsoft.com/office/2007/relationships/hdphoto" Target="media/hdphoto1.wdp"/><Relationship Id="rId11" Type="http://schemas.openxmlformats.org/officeDocument/2006/relationships/image" Target="media/image4.png"/><Relationship Id="rId32" Type="http://schemas.openxmlformats.org/officeDocument/2006/relationships/image" Target="media/image22.png"/><Relationship Id="rId37" Type="http://schemas.openxmlformats.org/officeDocument/2006/relationships/image" Target="media/image26.png"/><Relationship Id="rId53" Type="http://schemas.openxmlformats.org/officeDocument/2006/relationships/chart" Target="charts/chart9.xml"/><Relationship Id="rId58" Type="http://schemas.openxmlformats.org/officeDocument/2006/relationships/chart" Target="charts/chart13.xml"/><Relationship Id="rId74" Type="http://schemas.openxmlformats.org/officeDocument/2006/relationships/hyperlink" Target="http://www.sciencedirect.com/science/article/pii/S0140196318301058" TargetMode="External"/><Relationship Id="rId79" Type="http://schemas.openxmlformats.org/officeDocument/2006/relationships/hyperlink" Target="file:///C:\Users\cellule\Videos\16%2007%202025\RAJAE%20%2016%20%2007%20%202025.docx" TargetMode="External"/><Relationship Id="rId102" Type="http://schemas.openxmlformats.org/officeDocument/2006/relationships/image" Target="media/image55.jpg"/><Relationship Id="rId5" Type="http://schemas.openxmlformats.org/officeDocument/2006/relationships/webSettings" Target="webSettings.xml"/><Relationship Id="rId90" Type="http://schemas.openxmlformats.org/officeDocument/2006/relationships/image" Target="media/image43.png"/><Relationship Id="rId95" Type="http://schemas.openxmlformats.org/officeDocument/2006/relationships/image" Target="media/image48.jpg"/><Relationship Id="rId22" Type="http://schemas.openxmlformats.org/officeDocument/2006/relationships/image" Target="media/image13.png"/><Relationship Id="rId27" Type="http://schemas.openxmlformats.org/officeDocument/2006/relationships/image" Target="media/image18.png"/><Relationship Id="rId43" Type="http://schemas.openxmlformats.org/officeDocument/2006/relationships/chart" Target="charts/chart3.xml"/><Relationship Id="rId48" Type="http://schemas.openxmlformats.org/officeDocument/2006/relationships/chart" Target="charts/chart6.xml"/><Relationship Id="rId64" Type="http://schemas.openxmlformats.org/officeDocument/2006/relationships/image" Target="media/image35.png"/><Relationship Id="rId69" Type="http://schemas.openxmlformats.org/officeDocument/2006/relationships/image" Target="media/image36.png"/><Relationship Id="rId80" Type="http://schemas.openxmlformats.org/officeDocument/2006/relationships/hyperlink" Target="file:///C:\Users\cellule\Videos\16%2007%202025\RAJAE%20%2016%20%2007%20%202025.docx" TargetMode="External"/><Relationship Id="rId85" Type="http://schemas.openxmlformats.org/officeDocument/2006/relationships/image" Target="media/image38.jpeg"/><Relationship Id="rId12" Type="http://schemas.openxmlformats.org/officeDocument/2006/relationships/image" Target="media/image5.png"/><Relationship Id="rId17" Type="http://schemas.openxmlformats.org/officeDocument/2006/relationships/image" Target="media/image9.png"/><Relationship Id="rId33" Type="http://schemas.openxmlformats.org/officeDocument/2006/relationships/image" Target="media/image23.png"/><Relationship Id="rId38" Type="http://schemas.openxmlformats.org/officeDocument/2006/relationships/image" Target="media/image27.png"/><Relationship Id="rId59" Type="http://schemas.openxmlformats.org/officeDocument/2006/relationships/chart" Target="charts/chart14.xml"/><Relationship Id="rId103" Type="http://schemas.openxmlformats.org/officeDocument/2006/relationships/footer" Target="footer2.xml"/><Relationship Id="rId20" Type="http://schemas.openxmlformats.org/officeDocument/2006/relationships/image" Target="media/image11.png"/><Relationship Id="rId41" Type="http://schemas.openxmlformats.org/officeDocument/2006/relationships/image" Target="media/image29.png"/><Relationship Id="rId54" Type="http://schemas.openxmlformats.org/officeDocument/2006/relationships/image" Target="media/image34.png"/><Relationship Id="rId62" Type="http://schemas.openxmlformats.org/officeDocument/2006/relationships/chart" Target="charts/chart17.xml"/><Relationship Id="rId70" Type="http://schemas.openxmlformats.org/officeDocument/2006/relationships/chart" Target="charts/chart23.xml"/><Relationship Id="rId75" Type="http://schemas.openxmlformats.org/officeDocument/2006/relationships/hyperlink" Target="http://www.lead-journal.org/content/18019.pdf" TargetMode="External"/><Relationship Id="rId83" Type="http://schemas.openxmlformats.org/officeDocument/2006/relationships/hyperlink" Target="file:///C:\Users\cellule\Videos\16%2007%202025\RAJAE%20%2016%20%2007%20%202025.docx" TargetMode="External"/><Relationship Id="rId88" Type="http://schemas.openxmlformats.org/officeDocument/2006/relationships/image" Target="media/image41.jpeg"/><Relationship Id="rId91" Type="http://schemas.openxmlformats.org/officeDocument/2006/relationships/image" Target="media/image44.jpeg"/><Relationship Id="rId96" Type="http://schemas.openxmlformats.org/officeDocument/2006/relationships/image" Target="media/image49.jpe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5.emf"/><Relationship Id="rId49" Type="http://schemas.openxmlformats.org/officeDocument/2006/relationships/chart" Target="charts/chart7.xml"/><Relationship Id="rId57" Type="http://schemas.openxmlformats.org/officeDocument/2006/relationships/chart" Target="charts/chart12.xml"/><Relationship Id="rId10" Type="http://schemas.openxmlformats.org/officeDocument/2006/relationships/image" Target="media/image3.png"/><Relationship Id="rId31" Type="http://schemas.openxmlformats.org/officeDocument/2006/relationships/image" Target="media/image21.emf"/><Relationship Id="rId44" Type="http://schemas.openxmlformats.org/officeDocument/2006/relationships/chart" Target="charts/chart4.xml"/><Relationship Id="rId52" Type="http://schemas.openxmlformats.org/officeDocument/2006/relationships/image" Target="media/image33.png"/><Relationship Id="rId60" Type="http://schemas.openxmlformats.org/officeDocument/2006/relationships/chart" Target="charts/chart15.xml"/><Relationship Id="rId65" Type="http://schemas.openxmlformats.org/officeDocument/2006/relationships/chart" Target="charts/chart19.xml"/><Relationship Id="rId73" Type="http://schemas.openxmlformats.org/officeDocument/2006/relationships/hyperlink" Target="http://www.sciencedirect.com/science/article/pii/S0921800908004424" TargetMode="External"/><Relationship Id="rId78" Type="http://schemas.openxmlformats.org/officeDocument/2006/relationships/hyperlink" Target="file:///C:\Users\cellule\Videos\16%2007%202025\RAJAE%20%2016%20%2007%20%202025.docx" TargetMode="External"/><Relationship Id="rId81" Type="http://schemas.openxmlformats.org/officeDocument/2006/relationships/hyperlink" Target="file:///C:\Users\cellule\Videos\16%2007%202025\RAJAE%20%2016%20%2007%20%202025.docx" TargetMode="External"/><Relationship Id="rId86" Type="http://schemas.openxmlformats.org/officeDocument/2006/relationships/image" Target="media/image39.jpeg"/><Relationship Id="rId94" Type="http://schemas.openxmlformats.org/officeDocument/2006/relationships/image" Target="media/image47.jpeg"/><Relationship Id="rId99" Type="http://schemas.openxmlformats.org/officeDocument/2006/relationships/image" Target="media/image52.jpeg"/><Relationship Id="rId101" Type="http://schemas.openxmlformats.org/officeDocument/2006/relationships/image" Target="media/image54.jpe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microsoft.com/office/2007/relationships/hdphoto" Target="media/hdphoto2.wdp"/><Relationship Id="rId39" Type="http://schemas.openxmlformats.org/officeDocument/2006/relationships/image" Target="media/image28.png"/><Relationship Id="rId34" Type="http://schemas.openxmlformats.org/officeDocument/2006/relationships/hyperlink" Target="http://www.global" TargetMode="External"/><Relationship Id="rId50" Type="http://schemas.openxmlformats.org/officeDocument/2006/relationships/chart" Target="charts/chart8.xml"/><Relationship Id="rId55" Type="http://schemas.openxmlformats.org/officeDocument/2006/relationships/chart" Target="charts/chart10.xml"/><Relationship Id="rId76" Type="http://schemas.openxmlformats.org/officeDocument/2006/relationships/hyperlink" Target="https://www.iddri.org/fr/publications-et-evenements/billet-de-blog/cop13-" TargetMode="External"/><Relationship Id="rId97" Type="http://schemas.openxmlformats.org/officeDocument/2006/relationships/image" Target="media/image50.jpeg"/><Relationship Id="rId104"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chart" Target="charts/chart24.xml"/><Relationship Id="rId92" Type="http://schemas.openxmlformats.org/officeDocument/2006/relationships/image" Target="media/image45.jpeg"/><Relationship Id="rId2" Type="http://schemas.openxmlformats.org/officeDocument/2006/relationships/numbering" Target="numbering.xml"/><Relationship Id="rId29" Type="http://schemas.openxmlformats.org/officeDocument/2006/relationships/footer" Target="footer1.xml"/><Relationship Id="rId24" Type="http://schemas.openxmlformats.org/officeDocument/2006/relationships/image" Target="media/image15.png"/><Relationship Id="rId40" Type="http://schemas.openxmlformats.org/officeDocument/2006/relationships/chart" Target="charts/chart1.xml"/><Relationship Id="rId45" Type="http://schemas.openxmlformats.org/officeDocument/2006/relationships/image" Target="media/image30.png"/><Relationship Id="rId66" Type="http://schemas.openxmlformats.org/officeDocument/2006/relationships/chart" Target="charts/chart20.xml"/><Relationship Id="rId87" Type="http://schemas.openxmlformats.org/officeDocument/2006/relationships/image" Target="media/image40.jpeg"/><Relationship Id="rId61" Type="http://schemas.openxmlformats.org/officeDocument/2006/relationships/chart" Target="charts/chart16.xml"/><Relationship Id="rId82" Type="http://schemas.openxmlformats.org/officeDocument/2006/relationships/hyperlink" Target="file:///C:\Users\cellule\Videos\16%2007%202025\RAJAE%20%2016%20%2007%20%202025.docx" TargetMode="External"/><Relationship Id="rId19" Type="http://schemas.openxmlformats.org/officeDocument/2006/relationships/image" Target="media/image10.png"/><Relationship Id="rId14" Type="http://schemas.openxmlformats.org/officeDocument/2006/relationships/image" Target="media/image7.png"/><Relationship Id="rId30" Type="http://schemas.openxmlformats.org/officeDocument/2006/relationships/image" Target="media/image20.jpeg"/><Relationship Id="rId35" Type="http://schemas.openxmlformats.org/officeDocument/2006/relationships/image" Target="media/image24.png"/><Relationship Id="rId56" Type="http://schemas.openxmlformats.org/officeDocument/2006/relationships/chart" Target="charts/chart11.xml"/><Relationship Id="rId77" Type="http://schemas.openxmlformats.org/officeDocument/2006/relationships/hyperlink" Target="http://www.unep-wcmc.org/protected_areas/data/un_annex.htm" TargetMode="External"/><Relationship Id="rId100" Type="http://schemas.openxmlformats.org/officeDocument/2006/relationships/image" Target="media/image53.jpeg"/><Relationship Id="rId105" Type="http://schemas.openxmlformats.org/officeDocument/2006/relationships/theme" Target="theme/theme1.xml"/><Relationship Id="rId8" Type="http://schemas.openxmlformats.org/officeDocument/2006/relationships/image" Target="media/image1.jpeg"/><Relationship Id="rId51" Type="http://schemas.openxmlformats.org/officeDocument/2006/relationships/image" Target="media/image32.png"/><Relationship Id="rId72" Type="http://schemas.openxmlformats.org/officeDocument/2006/relationships/hyperlink" Target="https://books.openedition.org/iremam/2423?lang=fr" TargetMode="External"/><Relationship Id="rId93" Type="http://schemas.openxmlformats.org/officeDocument/2006/relationships/image" Target="media/image46.jpeg"/><Relationship Id="rId98" Type="http://schemas.openxmlformats.org/officeDocument/2006/relationships/image" Target="media/image51.jpeg"/><Relationship Id="rId3" Type="http://schemas.openxmlformats.org/officeDocument/2006/relationships/styles" Target="styles.xml"/><Relationship Id="rId25" Type="http://schemas.openxmlformats.org/officeDocument/2006/relationships/image" Target="media/image16.png"/><Relationship Id="rId46" Type="http://schemas.openxmlformats.org/officeDocument/2006/relationships/image" Target="media/image31.png"/><Relationship Id="rId67" Type="http://schemas.openxmlformats.org/officeDocument/2006/relationships/chart" Target="charts/chart21.xml"/></Relationships>
</file>

<file path=word/_rels/footnotes.xml.rels><?xml version="1.0" encoding="UTF-8" standalone="yes"?>
<Relationships xmlns="http://schemas.openxmlformats.org/package/2006/relationships"><Relationship Id="rId8" Type="http://schemas.openxmlformats.org/officeDocument/2006/relationships/hyperlink" Target="http://www.icmpd.org/file/download/58920/file/EMM5_Rural%2520Communities%2520and%2520Migration_FR_Web.pdf" TargetMode="External"/><Relationship Id="rId13" Type="http://schemas.openxmlformats.org/officeDocument/2006/relationships/hyperlink" Target="https://www.sgg.gov.ma" TargetMode="External"/><Relationship Id="rId3" Type="http://schemas.openxmlformats.org/officeDocument/2006/relationships/hyperlink" Target="https://doi.org/10.3917/med.179.0085" TargetMode="External"/><Relationship Id="rId7" Type="http://schemas.openxmlformats.org/officeDocument/2006/relationships/hyperlink" Target="https://www.academia.edu/15276524" TargetMode="External"/><Relationship Id="rId12" Type="http://schemas.openxmlformats.org/officeDocument/2006/relationships/hyperlink" Target="https://www.hcp.ma" TargetMode="External"/><Relationship Id="rId2" Type="http://schemas.openxmlformats.org/officeDocument/2006/relationships/hyperlink" Target="https://doi.org/10.3917/rfas.151.0125" TargetMode="External"/><Relationship Id="rId1" Type="http://schemas.openxmlformats.org/officeDocument/2006/relationships/hyperlink" Target="https://doi.org/10.4060/ca8642fr" TargetMode="External"/><Relationship Id="rId6" Type="http://schemas.openxmlformats.org/officeDocument/2006/relationships/hyperlink" Target="https://www.libe.ma/Issam-Ahabri-Il-faut-rattraper-30-annees-de-degradation-de-la-foret_a124686.html" TargetMode="External"/><Relationship Id="rId11" Type="http://schemas.openxmlformats.org/officeDocument/2006/relationships/hyperlink" Target="https://www.lavieeco.com/news/economie/sante-de-base-le-cese-dresse-un-etat-des-lieux-alarmant-27713.html" TargetMode="External"/><Relationship Id="rId5" Type="http://schemas.openxmlformats.org/officeDocument/2006/relationships/hyperlink" Target="https://www.ires.ma/sites/default/files/docs_publications/les_ecosystemes_forestiers_face_au_changement_climatique_-_situation_et_perspectives_dadaptation_au_maroc_0.pdf" TargetMode="External"/><Relationship Id="rId10" Type="http://schemas.openxmlformats.org/officeDocument/2006/relationships/hyperlink" Target="https://www.hcp.ma/Pauvrete-vulnerabilite_r493.html" TargetMode="External"/><Relationship Id="rId4" Type="http://schemas.openxmlformats.org/officeDocument/2006/relationships/hyperlink" Target="https://doi.org/10.3917/rfas.151.0125" TargetMode="External"/><Relationship Id="rId9" Type="http://schemas.openxmlformats.org/officeDocument/2006/relationships/hyperlink" Target="http://www.muat.gov.ma/?q=fr/article/am%C3%A9nagement-du-territoire" TargetMode="External"/></Relationships>
</file>

<file path=word/charts/_rels/chart1.xml.rels><?xml version="1.0" encoding="UTF-8" standalone="yes"?>
<Relationships xmlns="http://schemas.openxmlformats.org/package/2006/relationships"><Relationship Id="rId2" Type="http://schemas.openxmlformats.org/officeDocument/2006/relationships/package" Target="../embeddings/Feuille_de_calcul_Microsoft_Excel1.xlsx"/><Relationship Id="rId1" Type="http://schemas.openxmlformats.org/officeDocument/2006/relationships/themeOverride" Target="../theme/themeOverride1.xml"/></Relationships>
</file>

<file path=word/charts/_rels/chart2.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themeOverride" Target="../theme/themeOverride2.xml"/></Relationships>
</file>

<file path=word/charts/_rels/chart3.xml.rels><?xml version="1.0" encoding="UTF-8" standalone="yes"?>
<Relationships xmlns="http://schemas.openxmlformats.org/package/2006/relationships"><Relationship Id="rId2" Type="http://schemas.openxmlformats.org/officeDocument/2006/relationships/oleObject" Target="../embeddings/oleObject2.bin"/><Relationship Id="rId1" Type="http://schemas.openxmlformats.org/officeDocument/2006/relationships/themeOverride" Target="../theme/themeOverride3.xml"/></Relationships>
</file>

<file path=word/charts/_rels/chart4.xml.rels><?xml version="1.0" encoding="UTF-8" standalone="yes"?>
<Relationships xmlns="http://schemas.openxmlformats.org/package/2006/relationships"><Relationship Id="rId2" Type="http://schemas.openxmlformats.org/officeDocument/2006/relationships/oleObject" Target="../embeddings/oleObject3.bin"/><Relationship Id="rId1" Type="http://schemas.openxmlformats.org/officeDocument/2006/relationships/themeOverride" Target="../theme/themeOverride4.xml"/></Relationships>
</file>

<file path=word/charts/_rels/chart5.xml.rels><?xml version="1.0" encoding="UTF-8" standalone="yes"?>
<Relationships xmlns="http://schemas.openxmlformats.org/package/2006/relationships"><Relationship Id="rId2" Type="http://schemas.openxmlformats.org/officeDocument/2006/relationships/oleObject" Target="file:///E:\these\Apr&#233;s%20soutenance\CartoFrancaisKorifla\Korfla%20Rajae%2000.xlsx" TargetMode="External"/><Relationship Id="rId1" Type="http://schemas.openxmlformats.org/officeDocument/2006/relationships/themeOverride" Target="../theme/themeOverride5.xml"/></Relationships>
</file>

<file path=word/charts/_rels/chart6.xml.rels><?xml version="1.0" encoding="UTF-8" standalone="yes"?>
<Relationships xmlns="http://schemas.openxmlformats.org/package/2006/relationships"><Relationship Id="rId2" Type="http://schemas.openxmlformats.org/officeDocument/2006/relationships/oleObject" Target="file:///E:\these\Apr&#233;s%20soutenance\CartoFrancaisKorifla\Korfla%20Rajae%2000.xlsx" TargetMode="External"/><Relationship Id="rId1" Type="http://schemas.openxmlformats.org/officeDocument/2006/relationships/themeOverride" Target="../theme/themeOverride6.xml"/></Relationships>
</file>

<file path=word/charts/_rels/chart7.xml.rels><?xml version="1.0" encoding="UTF-8" standalone="yes"?>
<Relationships xmlns="http://schemas.openxmlformats.org/package/2006/relationships"><Relationship Id="rId2" Type="http://schemas.openxmlformats.org/officeDocument/2006/relationships/package" Target="../embeddings/Feuille_de_calcul_Microsoft_Excel2.xlsx"/><Relationship Id="rId1" Type="http://schemas.openxmlformats.org/officeDocument/2006/relationships/themeOverride" Target="../theme/themeOverride7.xml"/></Relationships>
</file>

<file path=word/charts/_rels/chart8.xml.rels><?xml version="1.0" encoding="UTF-8" standalone="yes"?>
<Relationships xmlns="http://schemas.openxmlformats.org/package/2006/relationships"><Relationship Id="rId2" Type="http://schemas.openxmlformats.org/officeDocument/2006/relationships/oleObject" Target="file:///E:\these\Apr&#233;s%20soutenance\CartoFrancaisKorifla\Korfla%20Rajae%20v.xlsx" TargetMode="External"/><Relationship Id="rId1" Type="http://schemas.openxmlformats.org/officeDocument/2006/relationships/themeOverride" Target="../theme/themeOverride8.xml"/></Relationships>
</file>

<file path=word/charts/_rels/chart9.xml.rels><?xml version="1.0" encoding="UTF-8" standalone="yes"?>
<Relationships xmlns="http://schemas.openxmlformats.org/package/2006/relationships"><Relationship Id="rId2" Type="http://schemas.openxmlformats.org/officeDocument/2006/relationships/oleObject" Target="file:///E:\these\Apr&#233;s%20soutenance\CartoFrancaisKorifla\Korfla%20Rajae%20(Enregistr&#233;%20automatiquement).xlsx" TargetMode="External"/><Relationship Id="rId1" Type="http://schemas.openxmlformats.org/officeDocument/2006/relationships/themeOverride" Target="../theme/themeOverride9.xml"/></Relationships>
</file>

<file path=word/charts/_rels/chart10.xml.rels><?xml version="1.0" encoding="UTF-8" standalone="yes"?>
<Relationships xmlns="http://schemas.openxmlformats.org/package/2006/relationships"><Relationship Id="rId2" Type="http://schemas.openxmlformats.org/officeDocument/2006/relationships/oleObject" Target="file:///E:\these\Apr&#233;s%20soutenance\CartoFrancaisKorifla\Korfla%20Rajae%20(Enregistr&#233;%20automatiquement).xlsx" TargetMode="External"/><Relationship Id="rId1" Type="http://schemas.openxmlformats.org/officeDocument/2006/relationships/themeOverride" Target="../theme/themeOverride10.xml"/></Relationships>
</file>

<file path=word/charts/_rels/chart11.xml.rels><?xml version="1.0" encoding="UTF-8" standalone="yes"?>
<Relationships xmlns="http://schemas.openxmlformats.org/package/2006/relationships"><Relationship Id="rId2" Type="http://schemas.openxmlformats.org/officeDocument/2006/relationships/package" Target="../embeddings/Feuille_de_calcul_Microsoft_Excel3.xlsx"/><Relationship Id="rId1" Type="http://schemas.openxmlformats.org/officeDocument/2006/relationships/themeOverride" Target="../theme/themeOverride11.xml"/></Relationships>
</file>

<file path=word/charts/_rels/chart12.xml.rels><?xml version="1.0" encoding="UTF-8" standalone="yes"?>
<Relationships xmlns="http://schemas.openxmlformats.org/package/2006/relationships"><Relationship Id="rId2" Type="http://schemas.openxmlformats.org/officeDocument/2006/relationships/oleObject" Target="file:///E:\these\Apr&#233;s%20soutenance\CartoFrancaisKorifla\Korfla%20Rajae%2000.xlsx" TargetMode="External"/><Relationship Id="rId1" Type="http://schemas.openxmlformats.org/officeDocument/2006/relationships/themeOverride" Target="../theme/themeOverride12.xml"/></Relationships>
</file>

<file path=word/charts/_rels/chart13.xml.rels><?xml version="1.0" encoding="UTF-8" standalone="yes"?>
<Relationships xmlns="http://schemas.openxmlformats.org/package/2006/relationships"><Relationship Id="rId2" Type="http://schemas.openxmlformats.org/officeDocument/2006/relationships/oleObject" Target="../embeddings/oleObject4.bin"/><Relationship Id="rId1" Type="http://schemas.openxmlformats.org/officeDocument/2006/relationships/themeOverride" Target="../theme/themeOverride13.xml"/></Relationships>
</file>

<file path=word/charts/_rels/chart14.xml.rels><?xml version="1.0" encoding="UTF-8" standalone="yes"?>
<Relationships xmlns="http://schemas.openxmlformats.org/package/2006/relationships"><Relationship Id="rId2" Type="http://schemas.openxmlformats.org/officeDocument/2006/relationships/oleObject" Target="file:///E:\these\Apr&#233;s%20soutenance\CartoFrancaisKorifla\Korfla%20Rajae%2000.xlsx" TargetMode="External"/><Relationship Id="rId1" Type="http://schemas.openxmlformats.org/officeDocument/2006/relationships/themeOverride" Target="../theme/themeOverride14.xml"/></Relationships>
</file>

<file path=word/charts/_rels/chart15.xml.rels><?xml version="1.0" encoding="UTF-8" standalone="yes"?>
<Relationships xmlns="http://schemas.openxmlformats.org/package/2006/relationships"><Relationship Id="rId2" Type="http://schemas.openxmlformats.org/officeDocument/2006/relationships/oleObject" Target="../embeddings/oleObject5.bin"/><Relationship Id="rId1" Type="http://schemas.openxmlformats.org/officeDocument/2006/relationships/themeOverride" Target="../theme/themeOverride15.xml"/></Relationships>
</file>

<file path=word/charts/_rels/chart16.xml.rels><?xml version="1.0" encoding="UTF-8" standalone="yes"?>
<Relationships xmlns="http://schemas.openxmlformats.org/package/2006/relationships"><Relationship Id="rId2" Type="http://schemas.openxmlformats.org/officeDocument/2006/relationships/oleObject" Target="../embeddings/oleObject6.bin"/><Relationship Id="rId1" Type="http://schemas.openxmlformats.org/officeDocument/2006/relationships/themeOverride" Target="../theme/themeOverride16.xml"/></Relationships>
</file>

<file path=word/charts/_rels/chart17.xml.rels><?xml version="1.0" encoding="UTF-8" standalone="yes"?>
<Relationships xmlns="http://schemas.openxmlformats.org/package/2006/relationships"><Relationship Id="rId2" Type="http://schemas.openxmlformats.org/officeDocument/2006/relationships/oleObject" Target="file:///E:\these\Apr&#233;s%20soutenance\CartoFrancaisKorifla\Korfla%20Rajae%20(Enregistr&#233;%20automatiquement).xlsx" TargetMode="External"/><Relationship Id="rId1" Type="http://schemas.openxmlformats.org/officeDocument/2006/relationships/themeOverride" Target="../theme/themeOverride17.xml"/></Relationships>
</file>

<file path=word/charts/_rels/chart18.xml.rels><?xml version="1.0" encoding="UTF-8" standalone="yes"?>
<Relationships xmlns="http://schemas.openxmlformats.org/package/2006/relationships"><Relationship Id="rId2" Type="http://schemas.openxmlformats.org/officeDocument/2006/relationships/oleObject" Target="file:///E:\these\Apr&#233;s%20soutenance\CartoFrancaisKorifla\Korfla%20Rajae%2000.xlsx" TargetMode="External"/><Relationship Id="rId1" Type="http://schemas.openxmlformats.org/officeDocument/2006/relationships/themeOverride" Target="../theme/themeOverride18.xml"/></Relationships>
</file>

<file path=word/charts/_rels/chart19.xml.rels><?xml version="1.0" encoding="UTF-8" standalone="yes"?>
<Relationships xmlns="http://schemas.openxmlformats.org/package/2006/relationships"><Relationship Id="rId2" Type="http://schemas.openxmlformats.org/officeDocument/2006/relationships/oleObject" Target="../embeddings/oleObject7.bin"/><Relationship Id="rId1" Type="http://schemas.openxmlformats.org/officeDocument/2006/relationships/themeOverride" Target="../theme/themeOverride19.xml"/></Relationships>
</file>

<file path=word/charts/_rels/chart20.xml.rels><?xml version="1.0" encoding="UTF-8" standalone="yes"?>
<Relationships xmlns="http://schemas.openxmlformats.org/package/2006/relationships"><Relationship Id="rId2" Type="http://schemas.openxmlformats.org/officeDocument/2006/relationships/oleObject" Target="../embeddings/oleObject8.bin"/><Relationship Id="rId1" Type="http://schemas.openxmlformats.org/officeDocument/2006/relationships/themeOverride" Target="../theme/themeOverride20.xml"/></Relationships>
</file>

<file path=word/charts/_rels/chart21.xml.rels><?xml version="1.0" encoding="UTF-8" standalone="yes"?>
<Relationships xmlns="http://schemas.openxmlformats.org/package/2006/relationships"><Relationship Id="rId2" Type="http://schemas.openxmlformats.org/officeDocument/2006/relationships/oleObject" Target="file:///E:\these\Apr&#233;s%20soutenance\CartoFrancaisKorifla\Korfla%20Rajae%2099.xlsx" TargetMode="External"/><Relationship Id="rId1" Type="http://schemas.openxmlformats.org/officeDocument/2006/relationships/themeOverride" Target="../theme/themeOverride21.xml"/></Relationships>
</file>

<file path=word/charts/_rels/chart22.xml.rels><?xml version="1.0" encoding="UTF-8" standalone="yes"?>
<Relationships xmlns="http://schemas.openxmlformats.org/package/2006/relationships"><Relationship Id="rId2" Type="http://schemas.openxmlformats.org/officeDocument/2006/relationships/oleObject" Target="file:///E:\these\Apr&#233;s%20soutenance\CartoFrancaisKorifla\Korfla%20Rajae%2000.xlsx" TargetMode="External"/><Relationship Id="rId1" Type="http://schemas.openxmlformats.org/officeDocument/2006/relationships/themeOverride" Target="../theme/themeOverride22.xml"/></Relationships>
</file>

<file path=word/charts/_rels/chart23.xml.rels><?xml version="1.0" encoding="UTF-8" standalone="yes"?>
<Relationships xmlns="http://schemas.openxmlformats.org/package/2006/relationships"><Relationship Id="rId2" Type="http://schemas.openxmlformats.org/officeDocument/2006/relationships/oleObject" Target="../embeddings/oleObject9.bin"/><Relationship Id="rId1" Type="http://schemas.openxmlformats.org/officeDocument/2006/relationships/themeOverride" Target="../theme/themeOverride23.xml"/></Relationships>
</file>

<file path=word/charts/_rels/chart24.xml.rels><?xml version="1.0" encoding="UTF-8" standalone="yes"?>
<Relationships xmlns="http://schemas.openxmlformats.org/package/2006/relationships"><Relationship Id="rId2" Type="http://schemas.openxmlformats.org/officeDocument/2006/relationships/oleObject" Target="../embeddings/oleObject10.bin"/><Relationship Id="rId1" Type="http://schemas.openxmlformats.org/officeDocument/2006/relationships/themeOverride" Target="../theme/themeOverride24.xm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view3D>
      <c:rotX val="3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pie3DChart>
        <c:varyColors val="1"/>
        <c:ser>
          <c:idx val="0"/>
          <c:order val="0"/>
          <c:dPt>
            <c:idx val="0"/>
            <c:bubble3D val="0"/>
            <c:spPr>
              <a:solidFill>
                <a:srgbClr val="92D050"/>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xmlns:c16r2="http://schemas.microsoft.com/office/drawing/2015/06/chart">
              <c:ext xmlns:c16="http://schemas.microsoft.com/office/drawing/2014/chart" uri="{C3380CC4-5D6E-409C-BE32-E72D297353CC}">
                <c16:uniqueId val="{00000001-D4F8-4295-AD46-DDD8DCA8094A}"/>
              </c:ext>
            </c:extLst>
          </c:dPt>
          <c:dPt>
            <c:idx val="1"/>
            <c:bubble3D val="0"/>
            <c:spPr>
              <a:solidFill>
                <a:srgbClr val="FFC000"/>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xmlns:c16r2="http://schemas.microsoft.com/office/drawing/2015/06/chart">
              <c:ext xmlns:c16="http://schemas.microsoft.com/office/drawing/2014/chart" uri="{C3380CC4-5D6E-409C-BE32-E72D297353CC}">
                <c16:uniqueId val="{00000003-D4F8-4295-AD46-DDD8DCA8094A}"/>
              </c:ext>
            </c:extLst>
          </c:dPt>
          <c:dLbls>
            <c:dLbl>
              <c:idx val="0"/>
              <c:spPr>
                <a:noFill/>
                <a:ln>
                  <a:noFill/>
                </a:ln>
                <a:effectLst/>
              </c:spPr>
              <c:txPr>
                <a:bodyPr rot="0" spcFirstLastPara="1" vertOverflow="ellipsis" vert="horz" wrap="square" anchor="ctr" anchorCtr="1"/>
                <a:lstStyle/>
                <a:p>
                  <a:pPr>
                    <a:defRPr sz="1000" b="1" i="0" u="none" strike="noStrike" kern="1200" spc="0" baseline="0">
                      <a:solidFill>
                        <a:sysClr val="windowText" lastClr="000000"/>
                      </a:solidFill>
                      <a:latin typeface="Times New Roman" panose="02020603050405020304" pitchFamily="18" charset="0"/>
                      <a:ea typeface="+mn-ea"/>
                      <a:cs typeface="Times New Roman" panose="02020603050405020304" pitchFamily="18" charset="0"/>
                    </a:defRPr>
                  </a:pPr>
                  <a:endParaRPr lang="fr-FR"/>
                </a:p>
              </c:txPr>
              <c:dLblPos val="outEnd"/>
              <c:showLegendKey val="0"/>
              <c:showVal val="0"/>
              <c:showCatName val="1"/>
              <c:showSerName val="0"/>
              <c:showPercent val="1"/>
              <c:showBubbleSize val="0"/>
            </c:dLbl>
            <c:dLbl>
              <c:idx val="1"/>
              <c:spPr>
                <a:noFill/>
                <a:ln>
                  <a:noFill/>
                </a:ln>
                <a:effectLst/>
              </c:spPr>
              <c:txPr>
                <a:bodyPr rot="0" spcFirstLastPara="1" vertOverflow="ellipsis" vert="horz" wrap="square" anchor="ctr" anchorCtr="1"/>
                <a:lstStyle/>
                <a:p>
                  <a:pPr>
                    <a:defRPr sz="1000" b="1" i="0" u="none" strike="noStrike" kern="1200" spc="0" baseline="0">
                      <a:solidFill>
                        <a:sysClr val="windowText" lastClr="000000"/>
                      </a:solidFill>
                      <a:latin typeface="Times New Roman" panose="02020603050405020304" pitchFamily="18" charset="0"/>
                      <a:ea typeface="+mn-ea"/>
                      <a:cs typeface="Times New Roman" panose="02020603050405020304" pitchFamily="18" charset="0"/>
                    </a:defRPr>
                  </a:pPr>
                  <a:endParaRPr lang="fr-FR"/>
                </a:p>
              </c:txPr>
              <c:dLblPos val="bestFit"/>
              <c:showLegendKey val="0"/>
              <c:showVal val="0"/>
              <c:showCatName val="1"/>
              <c:showSerName val="0"/>
              <c:showPercent val="1"/>
              <c:showBubbleSize val="0"/>
              <c:extLst xmlns:c16r2="http://schemas.microsoft.com/office/drawing/2015/06/chart">
                <c:ext xmlns:c16="http://schemas.microsoft.com/office/drawing/2014/chart" uri="{C3380CC4-5D6E-409C-BE32-E72D297353CC}">
                  <c16:uniqueId val="{00000003-D4F8-4295-AD46-DDD8DCA8094A}"/>
                </c:ext>
                <c:ext xmlns:c15="http://schemas.microsoft.com/office/drawing/2012/chart" uri="{CE6537A1-D6FC-4f65-9D91-7224C49458BB}"/>
              </c:extLst>
            </c:dLbl>
            <c:spPr>
              <a:noFill/>
              <a:ln>
                <a:noFill/>
              </a:ln>
              <a:effectLst/>
            </c:spPr>
            <c:dLblPos val="outEnd"/>
            <c:showLegendKey val="0"/>
            <c:showVal val="0"/>
            <c:showCatName val="1"/>
            <c:showSerName val="0"/>
            <c:showPercent val="1"/>
            <c:showBubbleSize val="0"/>
            <c:showLeaderLines val="1"/>
            <c:leaderLines>
              <c:spPr>
                <a:ln w="9525" cap="flat" cmpd="sng" algn="ctr">
                  <a:solidFill>
                    <a:schemeClr val="tx1">
                      <a:lumMod val="35000"/>
                      <a:lumOff val="65000"/>
                    </a:schemeClr>
                  </a:solidFill>
                  <a:round/>
                </a:ln>
                <a:effectLst/>
              </c:spPr>
            </c:leaderLines>
            <c:extLst xmlns:c16r2="http://schemas.microsoft.com/office/drawing/2015/06/chart">
              <c:ext xmlns:c15="http://schemas.microsoft.com/office/drawing/2012/chart" uri="{CE6537A1-D6FC-4f65-9D91-7224C49458BB}"/>
            </c:extLst>
          </c:dLbls>
          <c:cat>
            <c:strRef>
              <c:f>Douar!$B$1227:$B$1228</c:f>
              <c:strCache>
                <c:ptCount val="2"/>
                <c:pt idx="0">
                  <c:v>Distance Plus de 10Km</c:v>
                </c:pt>
                <c:pt idx="1">
                  <c:v>Distance Moins de 10Km</c:v>
                </c:pt>
              </c:strCache>
            </c:strRef>
          </c:cat>
          <c:val>
            <c:numRef>
              <c:f>Douar!$C$1227:$C$1228</c:f>
              <c:numCache>
                <c:formatCode>###0</c:formatCode>
                <c:ptCount val="2"/>
                <c:pt idx="0">
                  <c:v>100</c:v>
                </c:pt>
                <c:pt idx="1">
                  <c:v>5</c:v>
                </c:pt>
              </c:numCache>
            </c:numRef>
          </c:val>
          <c:extLst xmlns:c16r2="http://schemas.microsoft.com/office/drawing/2015/06/chart">
            <c:ext xmlns:c16="http://schemas.microsoft.com/office/drawing/2014/chart" uri="{C3380CC4-5D6E-409C-BE32-E72D297353CC}">
              <c16:uniqueId val="{00000004-D4F8-4295-AD46-DDD8DCA8094A}"/>
            </c:ext>
          </c:extLst>
        </c:ser>
        <c:dLbls>
          <c:dLblPos val="outEnd"/>
          <c:showLegendKey val="0"/>
          <c:showVal val="0"/>
          <c:showCatName val="1"/>
          <c:showSerName val="0"/>
          <c:showPercent val="0"/>
          <c:showBubbleSize val="0"/>
          <c:showLeaderLines val="1"/>
        </c:dLbls>
      </c:pie3DChart>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solidFill>
            <a:sysClr val="windowText" lastClr="000000"/>
          </a:solidFill>
          <a:latin typeface="Times New Roman" panose="02020603050405020304" pitchFamily="18" charset="0"/>
          <a:cs typeface="Times New Roman" panose="02020603050405020304" pitchFamily="18" charset="0"/>
        </a:defRPr>
      </a:pPr>
      <a:endParaRPr lang="fr-FR"/>
    </a:p>
  </c:txPr>
  <c:externalData r:id="rId2">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view3D>
      <c:rotX val="3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pie3DChart>
        <c:varyColors val="1"/>
        <c:ser>
          <c:idx val="0"/>
          <c:order val="0"/>
          <c:dPt>
            <c:idx val="0"/>
            <c:bubble3D val="0"/>
            <c:spPr>
              <a:solidFill>
                <a:srgbClr val="002060"/>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xmlns:c16r2="http://schemas.microsoft.com/office/drawing/2015/06/chart">
              <c:ext xmlns:c16="http://schemas.microsoft.com/office/drawing/2014/chart" uri="{C3380CC4-5D6E-409C-BE32-E72D297353CC}">
                <c16:uniqueId val="{00000001-6721-46A4-BB33-1027B09A8CCF}"/>
              </c:ext>
            </c:extLst>
          </c:dPt>
          <c:dPt>
            <c:idx val="1"/>
            <c:bubble3D val="0"/>
            <c:spPr>
              <a:solidFill>
                <a:srgbClr val="A5A5A5">
                  <a:lumMod val="20000"/>
                  <a:lumOff val="80000"/>
                </a:srgbClr>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xmlns:c16r2="http://schemas.microsoft.com/office/drawing/2015/06/chart">
              <c:ext xmlns:c16="http://schemas.microsoft.com/office/drawing/2014/chart" uri="{C3380CC4-5D6E-409C-BE32-E72D297353CC}">
                <c16:uniqueId val="{00000003-6721-46A4-BB33-1027B09A8CCF}"/>
              </c:ext>
            </c:extLst>
          </c:dPt>
          <c:dLbls>
            <c:dLbl>
              <c:idx val="0"/>
              <c:layout>
                <c:manualLayout>
                  <c:x val="0"/>
                  <c:y val="0.23282887077997683"/>
                </c:manualLayout>
              </c:layout>
              <c:spPr>
                <a:noFill/>
                <a:ln>
                  <a:noFill/>
                </a:ln>
                <a:effectLst/>
              </c:spPr>
              <c:txPr>
                <a:bodyPr rot="0" spcFirstLastPara="1" vertOverflow="ellipsis" vert="horz" wrap="square" anchor="ctr" anchorCtr="1"/>
                <a:lstStyle/>
                <a:p>
                  <a:pPr>
                    <a:defRPr sz="1000" b="1" i="0" u="none" strike="noStrike" kern="1200" spc="0" baseline="0">
                      <a:solidFill>
                        <a:sysClr val="windowText" lastClr="000000"/>
                      </a:solidFill>
                      <a:latin typeface="Times New Roman" panose="02020603050405020304" pitchFamily="18" charset="0"/>
                      <a:ea typeface="+mn-ea"/>
                      <a:cs typeface="Times New Roman" panose="02020603050405020304" pitchFamily="18" charset="0"/>
                    </a:defRPr>
                  </a:pPr>
                  <a:endParaRPr lang="fr-FR"/>
                </a:p>
              </c:txPr>
              <c:dLblPos val="bestFit"/>
              <c:showLegendKey val="0"/>
              <c:showVal val="0"/>
              <c:showCatName val="1"/>
              <c:showSerName val="0"/>
              <c:showPercent val="1"/>
              <c:showBubbleSize val="0"/>
              <c:extLst xmlns:c16r2="http://schemas.microsoft.com/office/drawing/2015/06/chart">
                <c:ext xmlns:c16="http://schemas.microsoft.com/office/drawing/2014/chart" uri="{C3380CC4-5D6E-409C-BE32-E72D297353CC}">
                  <c16:uniqueId val="{00000001-6721-46A4-BB33-1027B09A8CCF}"/>
                </c:ext>
                <c:ext xmlns:c15="http://schemas.microsoft.com/office/drawing/2012/chart" uri="{CE6537A1-D6FC-4f65-9D91-7224C49458BB}"/>
              </c:extLst>
            </c:dLbl>
            <c:dLbl>
              <c:idx val="1"/>
              <c:spPr>
                <a:noFill/>
                <a:ln>
                  <a:noFill/>
                </a:ln>
                <a:effectLst/>
              </c:spPr>
              <c:txPr>
                <a:bodyPr rot="0" spcFirstLastPara="1" vertOverflow="ellipsis" vert="horz" wrap="square" anchor="ctr" anchorCtr="1"/>
                <a:lstStyle/>
                <a:p>
                  <a:pPr>
                    <a:defRPr sz="1000" b="1" i="0" u="none" strike="noStrike" kern="1200" spc="0" baseline="0">
                      <a:solidFill>
                        <a:sysClr val="windowText" lastClr="000000"/>
                      </a:solidFill>
                      <a:latin typeface="Times New Roman" panose="02020603050405020304" pitchFamily="18" charset="0"/>
                      <a:ea typeface="+mn-ea"/>
                      <a:cs typeface="Times New Roman" panose="02020603050405020304" pitchFamily="18" charset="0"/>
                    </a:defRPr>
                  </a:pPr>
                  <a:endParaRPr lang="fr-FR"/>
                </a:p>
              </c:txPr>
              <c:dLblPos val="outEnd"/>
              <c:showLegendKey val="0"/>
              <c:showVal val="0"/>
              <c:showCatName val="1"/>
              <c:showSerName val="0"/>
              <c:showPercent val="1"/>
              <c:showBubbleSize val="0"/>
            </c:dLbl>
            <c:spPr>
              <a:noFill/>
              <a:ln>
                <a:noFill/>
              </a:ln>
              <a:effectLst/>
            </c:spPr>
            <c:dLblPos val="outEnd"/>
            <c:showLegendKey val="0"/>
            <c:showVal val="0"/>
            <c:showCatName val="1"/>
            <c:showSerName val="0"/>
            <c:showPercent val="1"/>
            <c:showBubbleSize val="0"/>
            <c:showLeaderLines val="1"/>
            <c:leaderLines>
              <c:spPr>
                <a:ln w="9525" cap="flat" cmpd="sng" algn="ctr">
                  <a:solidFill>
                    <a:schemeClr val="tx1">
                      <a:lumMod val="35000"/>
                      <a:lumOff val="65000"/>
                    </a:schemeClr>
                  </a:solidFill>
                  <a:round/>
                </a:ln>
                <a:effectLst/>
              </c:spPr>
            </c:leaderLines>
            <c:extLst xmlns:c16r2="http://schemas.microsoft.com/office/drawing/2015/06/chart">
              <c:ext xmlns:c15="http://schemas.microsoft.com/office/drawing/2012/chart" uri="{CE6537A1-D6FC-4f65-9D91-7224C49458BB}"/>
            </c:extLst>
          </c:dLbls>
          <c:cat>
            <c:strRef>
              <c:f>Douar!$C$370:$C$371</c:f>
              <c:strCache>
                <c:ptCount val="2"/>
                <c:pt idx="0">
                  <c:v>Ramédistes</c:v>
                </c:pt>
                <c:pt idx="1">
                  <c:v>Non ramédistes</c:v>
                </c:pt>
              </c:strCache>
            </c:strRef>
          </c:cat>
          <c:val>
            <c:numRef>
              <c:f>Douar!$D$370:$D$371</c:f>
              <c:numCache>
                <c:formatCode>General</c:formatCode>
                <c:ptCount val="2"/>
                <c:pt idx="0">
                  <c:v>66</c:v>
                </c:pt>
                <c:pt idx="1">
                  <c:v>39</c:v>
                </c:pt>
              </c:numCache>
            </c:numRef>
          </c:val>
          <c:extLst xmlns:c16r2="http://schemas.microsoft.com/office/drawing/2015/06/chart">
            <c:ext xmlns:c16="http://schemas.microsoft.com/office/drawing/2014/chart" uri="{C3380CC4-5D6E-409C-BE32-E72D297353CC}">
              <c16:uniqueId val="{00000004-6721-46A4-BB33-1027B09A8CCF}"/>
            </c:ext>
          </c:extLst>
        </c:ser>
        <c:dLbls>
          <c:dLblPos val="outEnd"/>
          <c:showLegendKey val="0"/>
          <c:showVal val="0"/>
          <c:showCatName val="1"/>
          <c:showSerName val="0"/>
          <c:showPercent val="0"/>
          <c:showBubbleSize val="0"/>
          <c:showLeaderLines val="1"/>
        </c:dLbls>
      </c:pie3DChart>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solidFill>
            <a:sysClr val="windowText" lastClr="000000"/>
          </a:solidFill>
          <a:latin typeface="Times New Roman" panose="02020603050405020304" pitchFamily="18" charset="0"/>
          <a:cs typeface="Times New Roman" panose="02020603050405020304" pitchFamily="18" charset="0"/>
        </a:defRPr>
      </a:pPr>
      <a:endParaRPr lang="fr-FR"/>
    </a:p>
  </c:txPr>
  <c:externalData r:id="rId2">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view3D>
      <c:rotX val="3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pie3DChart>
        <c:varyColors val="1"/>
        <c:ser>
          <c:idx val="0"/>
          <c:order val="0"/>
          <c:dPt>
            <c:idx val="0"/>
            <c:bubble3D val="0"/>
            <c:spPr>
              <a:solidFill>
                <a:srgbClr val="92D050"/>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xmlns:c16r2="http://schemas.microsoft.com/office/drawing/2015/06/chart">
              <c:ext xmlns:c16="http://schemas.microsoft.com/office/drawing/2014/chart" uri="{C3380CC4-5D6E-409C-BE32-E72D297353CC}">
                <c16:uniqueId val="{00000001-9C1B-44ED-ACBF-56689DBE35BD}"/>
              </c:ext>
            </c:extLst>
          </c:dPt>
          <c:dPt>
            <c:idx val="1"/>
            <c:bubble3D val="0"/>
            <c:spPr>
              <a:solidFill>
                <a:srgbClr val="FFC000"/>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xmlns:c16r2="http://schemas.microsoft.com/office/drawing/2015/06/chart">
              <c:ext xmlns:c16="http://schemas.microsoft.com/office/drawing/2014/chart" uri="{C3380CC4-5D6E-409C-BE32-E72D297353CC}">
                <c16:uniqueId val="{00000003-9C1B-44ED-ACBF-56689DBE35BD}"/>
              </c:ext>
            </c:extLst>
          </c:dPt>
          <c:dLbls>
            <c:dLbl>
              <c:idx val="0"/>
              <c:layout>
                <c:manualLayout>
                  <c:x val="0.28938028938028926"/>
                  <c:y val="1.3769363166953529E-2"/>
                </c:manualLayout>
              </c:layout>
              <c:spPr>
                <a:noFill/>
                <a:ln>
                  <a:noFill/>
                </a:ln>
                <a:effectLst/>
              </c:spPr>
              <c:txPr>
                <a:bodyPr rot="0" spcFirstLastPara="1" vertOverflow="ellipsis" vert="horz" wrap="square" anchor="ctr" anchorCtr="1"/>
                <a:lstStyle/>
                <a:p>
                  <a:pPr>
                    <a:defRPr sz="1000" b="1" i="0" u="none" strike="noStrike" kern="1200" spc="0" baseline="0">
                      <a:solidFill>
                        <a:sysClr val="windowText" lastClr="000000"/>
                      </a:solidFill>
                      <a:latin typeface="Times New Roman" panose="02020603050405020304" pitchFamily="18" charset="0"/>
                      <a:ea typeface="+mn-ea"/>
                      <a:cs typeface="Times New Roman" panose="02020603050405020304" pitchFamily="18" charset="0"/>
                    </a:defRPr>
                  </a:pPr>
                  <a:endParaRPr lang="fr-FR"/>
                </a:p>
              </c:txPr>
              <c:dLblPos val="bestFit"/>
              <c:showLegendKey val="0"/>
              <c:showVal val="0"/>
              <c:showCatName val="1"/>
              <c:showSerName val="0"/>
              <c:showPercent val="1"/>
              <c:showBubbleSize val="0"/>
              <c:extLst xmlns:c16r2="http://schemas.microsoft.com/office/drawing/2015/06/chart">
                <c:ext xmlns:c16="http://schemas.microsoft.com/office/drawing/2014/chart" uri="{C3380CC4-5D6E-409C-BE32-E72D297353CC}">
                  <c16:uniqueId val="{00000001-9C1B-44ED-ACBF-56689DBE35BD}"/>
                </c:ext>
                <c:ext xmlns:c15="http://schemas.microsoft.com/office/drawing/2012/chart" uri="{CE6537A1-D6FC-4f65-9D91-7224C49458BB}"/>
              </c:extLst>
            </c:dLbl>
            <c:dLbl>
              <c:idx val="1"/>
              <c:layout>
                <c:manualLayout>
                  <c:x val="-0.16380016380016379"/>
                  <c:y val="-6.8846815834767644E-3"/>
                </c:manualLayout>
              </c:layout>
              <c:spPr>
                <a:noFill/>
                <a:ln>
                  <a:noFill/>
                </a:ln>
                <a:effectLst/>
              </c:spPr>
              <c:txPr>
                <a:bodyPr rot="0" spcFirstLastPara="1" vertOverflow="ellipsis" vert="horz" wrap="square" anchor="ctr" anchorCtr="1"/>
                <a:lstStyle/>
                <a:p>
                  <a:pPr>
                    <a:defRPr sz="1000" b="1" i="0" u="none" strike="noStrike" kern="1200" spc="0" baseline="0">
                      <a:solidFill>
                        <a:sysClr val="windowText" lastClr="000000"/>
                      </a:solidFill>
                      <a:latin typeface="Times New Roman" panose="02020603050405020304" pitchFamily="18" charset="0"/>
                      <a:ea typeface="+mn-ea"/>
                      <a:cs typeface="Times New Roman" panose="02020603050405020304" pitchFamily="18" charset="0"/>
                    </a:defRPr>
                  </a:pPr>
                  <a:endParaRPr lang="fr-FR"/>
                </a:p>
              </c:txPr>
              <c:dLblPos val="bestFit"/>
              <c:showLegendKey val="0"/>
              <c:showVal val="0"/>
              <c:showCatName val="1"/>
              <c:showSerName val="0"/>
              <c:showPercent val="1"/>
              <c:showBubbleSize val="0"/>
              <c:extLst xmlns:c16r2="http://schemas.microsoft.com/office/drawing/2015/06/chart">
                <c:ext xmlns:c16="http://schemas.microsoft.com/office/drawing/2014/chart" uri="{C3380CC4-5D6E-409C-BE32-E72D297353CC}">
                  <c16:uniqueId val="{00000003-9C1B-44ED-ACBF-56689DBE35BD}"/>
                </c:ext>
                <c:ext xmlns:c15="http://schemas.microsoft.com/office/drawing/2012/chart" uri="{CE6537A1-D6FC-4f65-9D91-7224C49458BB}"/>
              </c:extLst>
            </c:dLbl>
            <c:spPr>
              <a:noFill/>
              <a:ln>
                <a:noFill/>
              </a:ln>
              <a:effectLst/>
            </c:spPr>
            <c:dLblPos val="outEnd"/>
            <c:showLegendKey val="0"/>
            <c:showVal val="0"/>
            <c:showCatName val="1"/>
            <c:showSerName val="0"/>
            <c:showPercent val="1"/>
            <c:showBubbleSize val="0"/>
            <c:showLeaderLines val="1"/>
            <c:leaderLines>
              <c:spPr>
                <a:ln w="9525" cap="flat" cmpd="sng" algn="ctr">
                  <a:solidFill>
                    <a:schemeClr val="tx1">
                      <a:lumMod val="35000"/>
                      <a:lumOff val="65000"/>
                    </a:schemeClr>
                  </a:solidFill>
                  <a:round/>
                </a:ln>
                <a:effectLst/>
              </c:spPr>
            </c:leaderLines>
            <c:extLst xmlns:c16r2="http://schemas.microsoft.com/office/drawing/2015/06/chart">
              <c:ext xmlns:c15="http://schemas.microsoft.com/office/drawing/2012/chart" uri="{CE6537A1-D6FC-4f65-9D91-7224C49458BB}"/>
            </c:extLst>
          </c:dLbls>
          <c:cat>
            <c:strRef>
              <c:f>Douar!$C$1061:$D$1061</c:f>
              <c:strCache>
                <c:ptCount val="2"/>
                <c:pt idx="0">
                  <c:v>Saine et équilibrée </c:v>
                </c:pt>
                <c:pt idx="1">
                  <c:v>Insalubre et déséquilibrée </c:v>
                </c:pt>
              </c:strCache>
            </c:strRef>
          </c:cat>
          <c:val>
            <c:numRef>
              <c:f>Douar!$C$1062:$D$1062</c:f>
              <c:numCache>
                <c:formatCode>###0</c:formatCode>
                <c:ptCount val="2"/>
                <c:pt idx="0">
                  <c:v>11</c:v>
                </c:pt>
                <c:pt idx="1">
                  <c:v>94</c:v>
                </c:pt>
              </c:numCache>
            </c:numRef>
          </c:val>
          <c:extLst xmlns:c16r2="http://schemas.microsoft.com/office/drawing/2015/06/chart">
            <c:ext xmlns:c16="http://schemas.microsoft.com/office/drawing/2014/chart" uri="{C3380CC4-5D6E-409C-BE32-E72D297353CC}">
              <c16:uniqueId val="{00000004-9C1B-44ED-ACBF-56689DBE35BD}"/>
            </c:ext>
          </c:extLst>
        </c:ser>
        <c:dLbls>
          <c:dLblPos val="outEnd"/>
          <c:showLegendKey val="0"/>
          <c:showVal val="0"/>
          <c:showCatName val="1"/>
          <c:showSerName val="0"/>
          <c:showPercent val="0"/>
          <c:showBubbleSize val="0"/>
          <c:showLeaderLines val="1"/>
        </c:dLbls>
      </c:pie3DChart>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solidFill>
            <a:sysClr val="windowText" lastClr="000000"/>
          </a:solidFill>
          <a:latin typeface="Times New Roman" panose="02020603050405020304" pitchFamily="18" charset="0"/>
          <a:cs typeface="Times New Roman" panose="02020603050405020304" pitchFamily="18" charset="0"/>
        </a:defRPr>
      </a:pPr>
      <a:endParaRPr lang="fr-FR"/>
    </a:p>
  </c:txPr>
  <c:externalData r:id="rId2">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0"/>
          <c:order val="0"/>
          <c:spPr>
            <a:solidFill>
              <a:srgbClr val="FFC000"/>
            </a:solidFill>
            <a:ln>
              <a:noFill/>
            </a:ln>
            <a:effectLst/>
            <a:sp3d/>
          </c:spPr>
          <c:invertIfNegative val="0"/>
          <c:dLbls>
            <c:delete val="1"/>
          </c:dLbls>
          <c:cat>
            <c:numRef>
              <c:f>Douar!$C$1072:$C$1089</c:f>
              <c:numCache>
                <c:formatCode>0%</c:formatCode>
                <c:ptCount val="18"/>
                <c:pt idx="0">
                  <c:v>0.25</c:v>
                </c:pt>
                <c:pt idx="1">
                  <c:v>0.35</c:v>
                </c:pt>
                <c:pt idx="2">
                  <c:v>0.41</c:v>
                </c:pt>
                <c:pt idx="3">
                  <c:v>0.44</c:v>
                </c:pt>
                <c:pt idx="4">
                  <c:v>0.54</c:v>
                </c:pt>
                <c:pt idx="5">
                  <c:v>0.28000000000000003</c:v>
                </c:pt>
                <c:pt idx="6">
                  <c:v>0.28999999999999998</c:v>
                </c:pt>
                <c:pt idx="7">
                  <c:v>0.31</c:v>
                </c:pt>
                <c:pt idx="8">
                  <c:v>0.39</c:v>
                </c:pt>
                <c:pt idx="9">
                  <c:v>0.5</c:v>
                </c:pt>
                <c:pt idx="10">
                  <c:v>0.32</c:v>
                </c:pt>
                <c:pt idx="11">
                  <c:v>0.37</c:v>
                </c:pt>
                <c:pt idx="12">
                  <c:v>0.3</c:v>
                </c:pt>
                <c:pt idx="13">
                  <c:v>0.36</c:v>
                </c:pt>
                <c:pt idx="14">
                  <c:v>0.33</c:v>
                </c:pt>
                <c:pt idx="15">
                  <c:v>0.38</c:v>
                </c:pt>
                <c:pt idx="16">
                  <c:v>0.42</c:v>
                </c:pt>
                <c:pt idx="17">
                  <c:v>0.4</c:v>
                </c:pt>
              </c:numCache>
            </c:numRef>
          </c:cat>
          <c:val>
            <c:numRef>
              <c:f>Douar!$D$1072:$D$1089</c:f>
              <c:numCache>
                <c:formatCode>###0</c:formatCode>
                <c:ptCount val="18"/>
                <c:pt idx="0">
                  <c:v>1</c:v>
                </c:pt>
                <c:pt idx="1">
                  <c:v>1</c:v>
                </c:pt>
                <c:pt idx="2">
                  <c:v>1</c:v>
                </c:pt>
                <c:pt idx="3">
                  <c:v>1</c:v>
                </c:pt>
                <c:pt idx="4">
                  <c:v>1</c:v>
                </c:pt>
                <c:pt idx="5">
                  <c:v>2</c:v>
                </c:pt>
                <c:pt idx="6">
                  <c:v>2</c:v>
                </c:pt>
                <c:pt idx="7">
                  <c:v>2</c:v>
                </c:pt>
                <c:pt idx="8">
                  <c:v>2</c:v>
                </c:pt>
                <c:pt idx="9">
                  <c:v>3</c:v>
                </c:pt>
                <c:pt idx="10">
                  <c:v>4</c:v>
                </c:pt>
                <c:pt idx="11">
                  <c:v>4</c:v>
                </c:pt>
                <c:pt idx="12">
                  <c:v>6</c:v>
                </c:pt>
                <c:pt idx="13">
                  <c:v>7</c:v>
                </c:pt>
                <c:pt idx="14">
                  <c:v>14</c:v>
                </c:pt>
                <c:pt idx="15">
                  <c:v>14</c:v>
                </c:pt>
                <c:pt idx="16">
                  <c:v>19</c:v>
                </c:pt>
                <c:pt idx="17">
                  <c:v>21</c:v>
                </c:pt>
              </c:numCache>
            </c:numRef>
          </c:val>
          <c:extLst xmlns:c16r2="http://schemas.microsoft.com/office/drawing/2015/06/chart">
            <c:ext xmlns:c16="http://schemas.microsoft.com/office/drawing/2014/chart" uri="{C3380CC4-5D6E-409C-BE32-E72D297353CC}">
              <c16:uniqueId val="{00000000-4A31-4921-A826-F82B981149F0}"/>
            </c:ext>
          </c:extLst>
        </c:ser>
        <c:dLbls>
          <c:showLegendKey val="0"/>
          <c:showVal val="1"/>
          <c:showCatName val="0"/>
          <c:showSerName val="0"/>
          <c:showPercent val="0"/>
          <c:showBubbleSize val="0"/>
        </c:dLbls>
        <c:gapWidth val="150"/>
        <c:axId val="564566624"/>
        <c:axId val="564563904"/>
      </c:barChart>
      <c:lineChart>
        <c:grouping val="stacked"/>
        <c:varyColors val="0"/>
        <c:ser>
          <c:idx val="1"/>
          <c:order val="1"/>
          <c:spPr>
            <a:ln w="9525" cap="rnd">
              <a:solidFill>
                <a:sysClr val="windowText" lastClr="000000"/>
              </a:solidFill>
              <a:round/>
            </a:ln>
            <a:effectLst/>
          </c:spPr>
          <c:marker>
            <c:symbol val="circle"/>
            <c:size val="5"/>
            <c:spPr>
              <a:solidFill>
                <a:sysClr val="window" lastClr="FFFFFF"/>
              </a:solidFill>
              <a:ln w="9525">
                <a:solidFill>
                  <a:sysClr val="windowText" lastClr="000000"/>
                </a:solidFill>
              </a:ln>
              <a:effectLst/>
            </c:spPr>
          </c:marker>
          <c:dLbls>
            <c:spPr>
              <a:noFill/>
              <a:ln>
                <a:noFill/>
              </a:ln>
              <a:effectLst/>
            </c:spPr>
            <c:txPr>
              <a:bodyPr rot="0" spcFirstLastPara="1" vertOverflow="ellipsis" vert="horz" wrap="square" lIns="38100" tIns="19050" rIns="38100" bIns="19050" anchor="ctr" anchorCtr="1">
                <a:spAutoFit/>
              </a:bodyPr>
              <a:lstStyle/>
              <a:p>
                <a:pPr>
                  <a:defRPr sz="700" b="1" i="0" u="none" strike="noStrike" kern="1200" baseline="0">
                    <a:solidFill>
                      <a:srgbClr val="FF0000"/>
                    </a:solidFill>
                    <a:latin typeface="Times New Roman" panose="02020603050405020304" pitchFamily="18" charset="0"/>
                    <a:ea typeface="+mn-ea"/>
                    <a:cs typeface="Times New Roman" panose="02020603050405020304" pitchFamily="18" charset="0"/>
                  </a:defRPr>
                </a:pPr>
                <a:endParaRPr lang="fr-FR"/>
              </a:p>
            </c:txPr>
            <c:dLblPos val="t"/>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Douar!$C$1072:$C$1089</c:f>
              <c:numCache>
                <c:formatCode>0%</c:formatCode>
                <c:ptCount val="18"/>
                <c:pt idx="0">
                  <c:v>0.25</c:v>
                </c:pt>
                <c:pt idx="1">
                  <c:v>0.35</c:v>
                </c:pt>
                <c:pt idx="2">
                  <c:v>0.41</c:v>
                </c:pt>
                <c:pt idx="3">
                  <c:v>0.44</c:v>
                </c:pt>
                <c:pt idx="4">
                  <c:v>0.54</c:v>
                </c:pt>
                <c:pt idx="5">
                  <c:v>0.28000000000000003</c:v>
                </c:pt>
                <c:pt idx="6">
                  <c:v>0.28999999999999998</c:v>
                </c:pt>
                <c:pt idx="7">
                  <c:v>0.31</c:v>
                </c:pt>
                <c:pt idx="8">
                  <c:v>0.39</c:v>
                </c:pt>
                <c:pt idx="9">
                  <c:v>0.5</c:v>
                </c:pt>
                <c:pt idx="10">
                  <c:v>0.32</c:v>
                </c:pt>
                <c:pt idx="11">
                  <c:v>0.37</c:v>
                </c:pt>
                <c:pt idx="12">
                  <c:v>0.3</c:v>
                </c:pt>
                <c:pt idx="13">
                  <c:v>0.36</c:v>
                </c:pt>
                <c:pt idx="14">
                  <c:v>0.33</c:v>
                </c:pt>
                <c:pt idx="15">
                  <c:v>0.38</c:v>
                </c:pt>
                <c:pt idx="16">
                  <c:v>0.42</c:v>
                </c:pt>
                <c:pt idx="17">
                  <c:v>0.4</c:v>
                </c:pt>
              </c:numCache>
            </c:numRef>
          </c:cat>
          <c:val>
            <c:numRef>
              <c:f>Douar!$E$1072:$E$1089</c:f>
              <c:numCache>
                <c:formatCode>0%</c:formatCode>
                <c:ptCount val="18"/>
                <c:pt idx="0">
                  <c:v>9.5238095238095247E-3</c:v>
                </c:pt>
                <c:pt idx="1">
                  <c:v>9.5238095238095247E-3</c:v>
                </c:pt>
                <c:pt idx="2">
                  <c:v>9.5238095238095247E-3</c:v>
                </c:pt>
                <c:pt idx="3">
                  <c:v>9.5238095238095247E-3</c:v>
                </c:pt>
                <c:pt idx="4">
                  <c:v>9.5238095238095247E-3</c:v>
                </c:pt>
                <c:pt idx="5">
                  <c:v>1.9047619047619049E-2</c:v>
                </c:pt>
                <c:pt idx="6">
                  <c:v>1.9047619047619049E-2</c:v>
                </c:pt>
                <c:pt idx="7">
                  <c:v>1.9047619047619049E-2</c:v>
                </c:pt>
                <c:pt idx="8">
                  <c:v>1.9047619047619049E-2</c:v>
                </c:pt>
                <c:pt idx="9">
                  <c:v>2.8571428571428571E-2</c:v>
                </c:pt>
                <c:pt idx="10">
                  <c:v>3.8095238095238099E-2</c:v>
                </c:pt>
                <c:pt idx="11">
                  <c:v>3.8095238095238099E-2</c:v>
                </c:pt>
                <c:pt idx="12">
                  <c:v>5.7142857142857141E-2</c:v>
                </c:pt>
                <c:pt idx="13">
                  <c:v>6.6666666666666666E-2</c:v>
                </c:pt>
                <c:pt idx="14">
                  <c:v>0.13333333333333333</c:v>
                </c:pt>
                <c:pt idx="15">
                  <c:v>0.13333333333333333</c:v>
                </c:pt>
                <c:pt idx="16">
                  <c:v>0.18095238095238095</c:v>
                </c:pt>
                <c:pt idx="17">
                  <c:v>0.2</c:v>
                </c:pt>
              </c:numCache>
            </c:numRef>
          </c:val>
          <c:smooth val="0"/>
          <c:extLst xmlns:c16r2="http://schemas.microsoft.com/office/drawing/2015/06/chart">
            <c:ext xmlns:c16="http://schemas.microsoft.com/office/drawing/2014/chart" uri="{C3380CC4-5D6E-409C-BE32-E72D297353CC}">
              <c16:uniqueId val="{00000001-4A31-4921-A826-F82B981149F0}"/>
            </c:ext>
          </c:extLst>
        </c:ser>
        <c:dLbls>
          <c:showLegendKey val="0"/>
          <c:showVal val="1"/>
          <c:showCatName val="0"/>
          <c:showSerName val="0"/>
          <c:showPercent val="0"/>
          <c:showBubbleSize val="0"/>
        </c:dLbls>
        <c:marker val="1"/>
        <c:smooth val="0"/>
        <c:axId val="648019904"/>
        <c:axId val="564565536"/>
      </c:lineChart>
      <c:catAx>
        <c:axId val="564566624"/>
        <c:scaling>
          <c:orientation val="minMax"/>
        </c:scaling>
        <c:delete val="0"/>
        <c:axPos val="b"/>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105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fr-FR"/>
          </a:p>
        </c:txPr>
        <c:crossAx val="564563904"/>
        <c:crosses val="autoZero"/>
        <c:auto val="1"/>
        <c:lblAlgn val="ctr"/>
        <c:lblOffset val="100"/>
        <c:noMultiLvlLbl val="0"/>
      </c:catAx>
      <c:valAx>
        <c:axId val="564563904"/>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50" b="0" i="0" u="none" strike="noStrike" kern="1200" baseline="0">
                    <a:solidFill>
                      <a:schemeClr val="tx1"/>
                    </a:solidFill>
                    <a:latin typeface="Times New Roman" panose="02020603050405020304" pitchFamily="18" charset="0"/>
                    <a:ea typeface="+mn-ea"/>
                    <a:cs typeface="Times New Roman" panose="02020603050405020304" pitchFamily="18" charset="0"/>
                  </a:defRPr>
                </a:pPr>
                <a:r>
                  <a:rPr lang="fr-FR"/>
                  <a:t>Nombre des enquêtés</a:t>
                </a:r>
              </a:p>
            </c:rich>
          </c:tx>
          <c:overlay val="0"/>
          <c:spPr>
            <a:noFill/>
            <a:ln>
              <a:noFill/>
            </a:ln>
            <a:effectLst/>
          </c:spPr>
        </c:title>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105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fr-FR"/>
          </a:p>
        </c:txPr>
        <c:crossAx val="564566624"/>
        <c:crosses val="autoZero"/>
        <c:crossBetween val="between"/>
      </c:valAx>
      <c:valAx>
        <c:axId val="564565536"/>
        <c:scaling>
          <c:orientation val="minMax"/>
        </c:scaling>
        <c:delete val="0"/>
        <c:axPos val="r"/>
        <c:title>
          <c:tx>
            <c:rich>
              <a:bodyPr rot="-5400000" spcFirstLastPara="1" vertOverflow="ellipsis" vert="horz" wrap="square" anchor="ctr" anchorCtr="1"/>
              <a:lstStyle/>
              <a:p>
                <a:pPr>
                  <a:defRPr sz="1050" b="0" i="0" u="none" strike="noStrike" kern="1200" baseline="0">
                    <a:solidFill>
                      <a:schemeClr val="tx1"/>
                    </a:solidFill>
                    <a:latin typeface="Times New Roman" panose="02020603050405020304" pitchFamily="18" charset="0"/>
                    <a:ea typeface="+mn-ea"/>
                    <a:cs typeface="Times New Roman" panose="02020603050405020304" pitchFamily="18" charset="0"/>
                  </a:defRPr>
                </a:pPr>
                <a:r>
                  <a:rPr lang="fr-FR"/>
                  <a:t>Enquêtés en % </a:t>
                </a:r>
              </a:p>
            </c:rich>
          </c:tx>
          <c:overlay val="0"/>
          <c:spPr>
            <a:noFill/>
            <a:ln>
              <a:noFill/>
            </a:ln>
            <a:effectLst/>
          </c:spPr>
        </c:title>
        <c:numFmt formatCode="0%" sourceLinked="1"/>
        <c:majorTickMark val="out"/>
        <c:minorTickMark val="none"/>
        <c:tickLblPos val="nextTo"/>
        <c:spPr>
          <a:noFill/>
          <a:ln>
            <a:noFill/>
          </a:ln>
          <a:effectLst/>
        </c:spPr>
        <c:txPr>
          <a:bodyPr rot="-60000000" spcFirstLastPara="1" vertOverflow="ellipsis" vert="horz" wrap="square" anchor="ctr" anchorCtr="1"/>
          <a:lstStyle/>
          <a:p>
            <a:pPr>
              <a:defRPr sz="105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fr-FR"/>
          </a:p>
        </c:txPr>
        <c:crossAx val="648019904"/>
        <c:crosses val="max"/>
        <c:crossBetween val="between"/>
      </c:valAx>
      <c:catAx>
        <c:axId val="648019904"/>
        <c:scaling>
          <c:orientation val="minMax"/>
        </c:scaling>
        <c:delete val="1"/>
        <c:axPos val="b"/>
        <c:numFmt formatCode="0%" sourceLinked="1"/>
        <c:majorTickMark val="out"/>
        <c:minorTickMark val="none"/>
        <c:tickLblPos val="nextTo"/>
        <c:crossAx val="564565536"/>
        <c:crosses val="autoZero"/>
        <c:auto val="1"/>
        <c:lblAlgn val="ctr"/>
        <c:lblOffset val="100"/>
        <c:noMultiLvlLbl val="0"/>
      </c:cat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1050">
          <a:solidFill>
            <a:schemeClr val="tx1"/>
          </a:solidFill>
          <a:latin typeface="Times New Roman" panose="02020603050405020304" pitchFamily="18" charset="0"/>
          <a:cs typeface="Times New Roman" panose="02020603050405020304" pitchFamily="18" charset="0"/>
        </a:defRPr>
      </a:pPr>
      <a:endParaRPr lang="fr-FR"/>
    </a:p>
  </c:txPr>
  <c:externalData r:id="rId2">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0"/>
          <c:order val="0"/>
          <c:spPr>
            <a:solidFill>
              <a:srgbClr val="002060"/>
            </a:solidFill>
            <a:ln>
              <a:noFill/>
            </a:ln>
            <a:effectLst/>
            <a:sp3d/>
          </c:spPr>
          <c:invertIfNegative val="0"/>
          <c:dLbls>
            <c:delete val="1"/>
          </c:dLbls>
          <c:cat>
            <c:strRef>
              <c:f>Douar!$C$90:$C$94</c:f>
              <c:strCache>
                <c:ptCount val="5"/>
                <c:pt idx="0">
                  <c:v>Primaire</c:v>
                </c:pt>
                <c:pt idx="1">
                  <c:v>Collège</c:v>
                </c:pt>
                <c:pt idx="2">
                  <c:v>Lycée</c:v>
                </c:pt>
                <c:pt idx="3">
                  <c:v>Université</c:v>
                </c:pt>
                <c:pt idx="4">
                  <c:v>Analphabètes</c:v>
                </c:pt>
              </c:strCache>
            </c:strRef>
          </c:cat>
          <c:val>
            <c:numRef>
              <c:f>Douar!$D$90:$D$94</c:f>
              <c:numCache>
                <c:formatCode>###0</c:formatCode>
                <c:ptCount val="5"/>
                <c:pt idx="0">
                  <c:v>31</c:v>
                </c:pt>
                <c:pt idx="1">
                  <c:v>16</c:v>
                </c:pt>
                <c:pt idx="2">
                  <c:v>4</c:v>
                </c:pt>
                <c:pt idx="3">
                  <c:v>3</c:v>
                </c:pt>
                <c:pt idx="4">
                  <c:v>51</c:v>
                </c:pt>
              </c:numCache>
            </c:numRef>
          </c:val>
          <c:extLst xmlns:c16r2="http://schemas.microsoft.com/office/drawing/2015/06/chart">
            <c:ext xmlns:c16="http://schemas.microsoft.com/office/drawing/2014/chart" uri="{C3380CC4-5D6E-409C-BE32-E72D297353CC}">
              <c16:uniqueId val="{00000000-A64C-4F5B-B1D5-41D3CCE8B63F}"/>
            </c:ext>
          </c:extLst>
        </c:ser>
        <c:dLbls>
          <c:showLegendKey val="0"/>
          <c:showVal val="1"/>
          <c:showCatName val="0"/>
          <c:showSerName val="0"/>
          <c:showPercent val="0"/>
          <c:showBubbleSize val="0"/>
        </c:dLbls>
        <c:gapWidth val="150"/>
        <c:axId val="648021536"/>
        <c:axId val="648009024"/>
      </c:barChart>
      <c:lineChart>
        <c:grouping val="stacked"/>
        <c:varyColors val="0"/>
        <c:ser>
          <c:idx val="1"/>
          <c:order val="1"/>
          <c:spPr>
            <a:ln w="9525" cap="rnd">
              <a:solidFill>
                <a:sysClr val="windowText" lastClr="000000"/>
              </a:solidFill>
              <a:round/>
            </a:ln>
            <a:effectLst/>
          </c:spPr>
          <c:marker>
            <c:symbol val="circle"/>
            <c:size val="5"/>
            <c:spPr>
              <a:solidFill>
                <a:sysClr val="window" lastClr="FFFFFF"/>
              </a:solidFill>
              <a:ln w="9525">
                <a:solidFill>
                  <a:sysClr val="windowText" lastClr="000000"/>
                </a:solidFill>
              </a:ln>
              <a:effectLst/>
            </c:spPr>
          </c:marker>
          <c:dLbls>
            <c:dLbl>
              <c:idx val="0"/>
              <c:layout>
                <c:manualLayout>
                  <c:x val="-3.4575759514508107E-2"/>
                  <c:y val="-5.1061731086498037E-2"/>
                </c:manualLayout>
              </c:layout>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1-A64C-4F5B-B1D5-41D3CCE8B63F}"/>
                </c:ext>
                <c:ext xmlns:c15="http://schemas.microsoft.com/office/drawing/2012/chart" uri="{CE6537A1-D6FC-4f65-9D91-7224C49458BB}"/>
              </c:extLst>
            </c:dLbl>
            <c:dLbl>
              <c:idx val="1"/>
              <c:layout>
                <c:manualLayout>
                  <c:x val="-3.704545662268726E-2"/>
                  <c:y val="-4.5388205410220477E-2"/>
                </c:manualLayout>
              </c:layout>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2-A64C-4F5B-B1D5-41D3CCE8B63F}"/>
                </c:ext>
                <c:ext xmlns:c15="http://schemas.microsoft.com/office/drawing/2012/chart" uri="{CE6537A1-D6FC-4f65-9D91-7224C49458BB}"/>
              </c:extLst>
            </c:dLbl>
            <c:dLbl>
              <c:idx val="2"/>
              <c:layout>
                <c:manualLayout>
                  <c:x val="-4.1984850839045559E-2"/>
                  <c:y val="-5.6735256762775597E-2"/>
                </c:manualLayout>
              </c:layout>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3-A64C-4F5B-B1D5-41D3CCE8B63F}"/>
                </c:ext>
                <c:ext xmlns:c15="http://schemas.microsoft.com/office/drawing/2012/chart" uri="{CE6537A1-D6FC-4f65-9D91-7224C49458BB}"/>
              </c:extLst>
            </c:dLbl>
            <c:dLbl>
              <c:idx val="3"/>
              <c:layout>
                <c:manualLayout>
                  <c:x val="-4.9393942163583011E-2"/>
                  <c:y val="-6.2408782439053158E-2"/>
                </c:manualLayout>
              </c:layout>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4-A64C-4F5B-B1D5-41D3CCE8B63F}"/>
                </c:ext>
                <c:ext xmlns:c15="http://schemas.microsoft.com/office/drawing/2012/chart" uri="{CE6537A1-D6FC-4f65-9D91-7224C49458BB}"/>
              </c:extLst>
            </c:dLbl>
            <c:dLbl>
              <c:idx val="4"/>
              <c:layout>
                <c:manualLayout>
                  <c:x val="-3.9515153730866413E-2"/>
                  <c:y val="-0.14183814190693902"/>
                </c:manualLayout>
              </c:layout>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5-A64C-4F5B-B1D5-41D3CCE8B63F}"/>
                </c:ext>
                <c:ext xmlns:c15="http://schemas.microsoft.com/office/drawing/2012/chart" uri="{CE6537A1-D6FC-4f65-9D91-7224C49458BB}"/>
              </c:extLst>
            </c:dLbl>
            <c:dLbl>
              <c:idx val="6"/>
              <c:layout>
                <c:manualLayout>
                  <c:x val="-1.9757576865433297E-2"/>
                  <c:y val="-8.5102885144163393E-2"/>
                </c:manualLayout>
              </c:layout>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6-A64C-4F5B-B1D5-41D3CCE8B63F}"/>
                </c:ext>
                <c:ext xmlns:c15="http://schemas.microsoft.com/office/drawing/2012/chart" uri="{CE6537A1-D6FC-4f65-9D91-7224C49458BB}"/>
              </c:extLst>
            </c:dLbl>
            <c:dLbl>
              <c:idx val="7"/>
              <c:layout>
                <c:manualLayout>
                  <c:x val="-2.9636365298149718E-2"/>
                  <c:y val="-7.9429359467885832E-2"/>
                </c:manualLayout>
              </c:layout>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7-A64C-4F5B-B1D5-41D3CCE8B63F}"/>
                </c:ext>
                <c:ext xmlns:c15="http://schemas.microsoft.com/office/drawing/2012/chart" uri="{CE6537A1-D6FC-4f65-9D91-7224C49458BB}"/>
              </c:extLst>
            </c:dLbl>
            <c:dLbl>
              <c:idx val="8"/>
              <c:layout>
                <c:manualLayout>
                  <c:x val="-3.704545662268726E-2"/>
                  <c:y val="-7.3755833791608272E-2"/>
                </c:manualLayout>
              </c:layout>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8-A64C-4F5B-B1D5-41D3CCE8B63F}"/>
                </c:ext>
                <c:ext xmlns:c15="http://schemas.microsoft.com/office/drawing/2012/chart" uri="{CE6537A1-D6FC-4f65-9D91-7224C49458BB}"/>
              </c:extLst>
            </c:dLbl>
            <c:dLbl>
              <c:idx val="9"/>
              <c:layout>
                <c:manualLayout>
                  <c:x val="-3.4575759514508107E-2"/>
                  <c:y val="-7.3755833791608272E-2"/>
                </c:manualLayout>
              </c:layout>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9-A64C-4F5B-B1D5-41D3CCE8B63F}"/>
                </c:ext>
                <c:ext xmlns:c15="http://schemas.microsoft.com/office/drawing/2012/chart" uri="{CE6537A1-D6FC-4f65-9D91-7224C49458BB}"/>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fr-FR"/>
              </a:p>
            </c:txPr>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Douar!$C$90:$C$94</c:f>
              <c:strCache>
                <c:ptCount val="5"/>
                <c:pt idx="0">
                  <c:v>Primaire</c:v>
                </c:pt>
                <c:pt idx="1">
                  <c:v>Collège</c:v>
                </c:pt>
                <c:pt idx="2">
                  <c:v>Lycée</c:v>
                </c:pt>
                <c:pt idx="3">
                  <c:v>Université</c:v>
                </c:pt>
                <c:pt idx="4">
                  <c:v>Analphabètes</c:v>
                </c:pt>
              </c:strCache>
            </c:strRef>
          </c:cat>
          <c:val>
            <c:numRef>
              <c:f>Douar!$E$90:$E$94</c:f>
              <c:numCache>
                <c:formatCode>0%</c:formatCode>
                <c:ptCount val="5"/>
                <c:pt idx="0">
                  <c:v>0.29523809523809524</c:v>
                </c:pt>
                <c:pt idx="1">
                  <c:v>0.15238095238095239</c:v>
                </c:pt>
                <c:pt idx="2">
                  <c:v>3.8095238095238099E-2</c:v>
                </c:pt>
                <c:pt idx="3">
                  <c:v>2.8571428571428571E-2</c:v>
                </c:pt>
                <c:pt idx="4">
                  <c:v>0.48571428571428571</c:v>
                </c:pt>
              </c:numCache>
            </c:numRef>
          </c:val>
          <c:smooth val="0"/>
          <c:extLst xmlns:c16r2="http://schemas.microsoft.com/office/drawing/2015/06/chart">
            <c:ext xmlns:c16="http://schemas.microsoft.com/office/drawing/2014/chart" uri="{C3380CC4-5D6E-409C-BE32-E72D297353CC}">
              <c16:uniqueId val="{0000000A-A64C-4F5B-B1D5-41D3CCE8B63F}"/>
            </c:ext>
          </c:extLst>
        </c:ser>
        <c:dLbls>
          <c:showLegendKey val="0"/>
          <c:showVal val="0"/>
          <c:showCatName val="0"/>
          <c:showSerName val="0"/>
          <c:showPercent val="0"/>
          <c:showBubbleSize val="0"/>
        </c:dLbls>
        <c:marker val="1"/>
        <c:smooth val="0"/>
        <c:axId val="648020992"/>
        <c:axId val="648014464"/>
      </c:lineChart>
      <c:catAx>
        <c:axId val="648021536"/>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fr-FR"/>
          </a:p>
        </c:txPr>
        <c:crossAx val="648009024"/>
        <c:crosses val="autoZero"/>
        <c:auto val="1"/>
        <c:lblAlgn val="ctr"/>
        <c:lblOffset val="100"/>
        <c:noMultiLvlLbl val="0"/>
      </c:catAx>
      <c:valAx>
        <c:axId val="648009024"/>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lgn="ctr" rtl="0">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r>
                  <a:rPr lang="fr-FR"/>
                  <a:t>Nombre des enquêtés</a:t>
                </a:r>
              </a:p>
              <a:p>
                <a:pPr algn="ctr" rtl="0">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fr-FR"/>
              </a:p>
            </c:rich>
          </c:tx>
          <c:overlay val="0"/>
          <c:spPr>
            <a:noFill/>
            <a:ln>
              <a:noFill/>
            </a:ln>
            <a:effectLst/>
          </c:spPr>
        </c:title>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fr-FR"/>
          </a:p>
        </c:txPr>
        <c:crossAx val="648021536"/>
        <c:crosses val="autoZero"/>
        <c:crossBetween val="between"/>
      </c:valAx>
      <c:valAx>
        <c:axId val="648014464"/>
        <c:scaling>
          <c:orientation val="minMax"/>
        </c:scaling>
        <c:delete val="0"/>
        <c:axPos val="r"/>
        <c:title>
          <c:tx>
            <c:rich>
              <a:bodyPr rot="-540000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r>
                  <a:rPr lang="fr-FR"/>
                  <a:t>Enquêtés en % </a:t>
                </a:r>
              </a:p>
            </c:rich>
          </c:tx>
          <c:overlay val="0"/>
          <c:spPr>
            <a:noFill/>
            <a:ln>
              <a:noFill/>
            </a:ln>
            <a:effectLst/>
          </c:spPr>
        </c:title>
        <c:numFmt formatCode="0%"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fr-FR"/>
          </a:p>
        </c:txPr>
        <c:crossAx val="648020992"/>
        <c:crosses val="max"/>
        <c:crossBetween val="between"/>
      </c:valAx>
      <c:catAx>
        <c:axId val="648020992"/>
        <c:scaling>
          <c:orientation val="minMax"/>
        </c:scaling>
        <c:delete val="1"/>
        <c:axPos val="b"/>
        <c:numFmt formatCode="General" sourceLinked="1"/>
        <c:majorTickMark val="out"/>
        <c:minorTickMark val="none"/>
        <c:tickLblPos val="nextTo"/>
        <c:crossAx val="648014464"/>
        <c:crosses val="autoZero"/>
        <c:auto val="1"/>
        <c:lblAlgn val="ctr"/>
        <c:lblOffset val="100"/>
        <c:noMultiLvlLbl val="0"/>
      </c:cat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900">
          <a:solidFill>
            <a:schemeClr val="tx1"/>
          </a:solidFill>
          <a:latin typeface="Times New Roman" panose="02020603050405020304" pitchFamily="18" charset="0"/>
          <a:cs typeface="Times New Roman" panose="02020603050405020304" pitchFamily="18" charset="0"/>
        </a:defRPr>
      </a:pPr>
      <a:endParaRPr lang="fr-FR"/>
    </a:p>
  </c:txPr>
  <c:externalData r:id="rId2">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0"/>
          <c:order val="0"/>
          <c:spPr>
            <a:gradFill rotWithShape="1">
              <a:gsLst>
                <a:gs pos="0">
                  <a:srgbClr val="FFC000">
                    <a:satMod val="103000"/>
                    <a:lumMod val="102000"/>
                    <a:tint val="94000"/>
                  </a:srgbClr>
                </a:gs>
                <a:gs pos="50000">
                  <a:srgbClr val="FFC000">
                    <a:satMod val="110000"/>
                    <a:lumMod val="100000"/>
                    <a:shade val="100000"/>
                  </a:srgbClr>
                </a:gs>
                <a:gs pos="100000">
                  <a:srgbClr val="FFC000">
                    <a:lumMod val="99000"/>
                    <a:satMod val="120000"/>
                    <a:shade val="78000"/>
                  </a:srgbClr>
                </a:gs>
              </a:gsLst>
              <a:lin ang="5400000" scaled="0"/>
            </a:gradFill>
            <a:ln>
              <a:noFill/>
            </a:ln>
            <a:effectLst>
              <a:outerShdw blurRad="57150" dist="19050" dir="5400000" algn="ctr" rotWithShape="0">
                <a:srgbClr val="000000">
                  <a:alpha val="63000"/>
                </a:srgbClr>
              </a:outerShdw>
            </a:effectLst>
            <a:scene3d>
              <a:camera prst="orthographicFront"/>
              <a:lightRig rig="threePt" dir="t"/>
            </a:scene3d>
            <a:sp3d prstMaterial="matte">
              <a:bevelT w="127000" h="63500"/>
            </a:sp3d>
          </c:spPr>
          <c:invertIfNegative val="0"/>
          <c:dLbls>
            <c:delete val="1"/>
          </c:dLbls>
          <c:cat>
            <c:strRef>
              <c:f>Douar!$G$132:$G$138</c:f>
              <c:strCache>
                <c:ptCount val="7"/>
                <c:pt idx="0">
                  <c:v>Primaire </c:v>
                </c:pt>
                <c:pt idx="1">
                  <c:v>Collège </c:v>
                </c:pt>
                <c:pt idx="2">
                  <c:v>Lycée</c:v>
                </c:pt>
                <c:pt idx="3">
                  <c:v>Université</c:v>
                </c:pt>
                <c:pt idx="4">
                  <c:v>Analphabètes</c:v>
                </c:pt>
                <c:pt idx="5">
                  <c:v>Non atteinte de l’âge de scolarité </c:v>
                </c:pt>
                <c:pt idx="6">
                  <c:v>Abandon scolaire</c:v>
                </c:pt>
              </c:strCache>
            </c:strRef>
          </c:cat>
          <c:val>
            <c:numRef>
              <c:f>Douar!$H$132:$H$138</c:f>
              <c:numCache>
                <c:formatCode>General</c:formatCode>
                <c:ptCount val="7"/>
                <c:pt idx="0">
                  <c:v>53</c:v>
                </c:pt>
                <c:pt idx="1">
                  <c:v>50</c:v>
                </c:pt>
                <c:pt idx="2">
                  <c:v>37</c:v>
                </c:pt>
                <c:pt idx="3">
                  <c:v>12</c:v>
                </c:pt>
                <c:pt idx="4">
                  <c:v>57</c:v>
                </c:pt>
                <c:pt idx="5">
                  <c:v>9</c:v>
                </c:pt>
                <c:pt idx="6">
                  <c:v>42</c:v>
                </c:pt>
              </c:numCache>
            </c:numRef>
          </c:val>
          <c:extLst xmlns:c16r2="http://schemas.microsoft.com/office/drawing/2015/06/chart">
            <c:ext xmlns:c16="http://schemas.microsoft.com/office/drawing/2014/chart" uri="{C3380CC4-5D6E-409C-BE32-E72D297353CC}">
              <c16:uniqueId val="{00000000-50CB-404E-A490-6341BD9753A6}"/>
            </c:ext>
          </c:extLst>
        </c:ser>
        <c:dLbls>
          <c:showLegendKey val="0"/>
          <c:showVal val="1"/>
          <c:showCatName val="0"/>
          <c:showSerName val="0"/>
          <c:showPercent val="0"/>
          <c:showBubbleSize val="0"/>
        </c:dLbls>
        <c:gapWidth val="150"/>
        <c:axId val="648010656"/>
        <c:axId val="648020448"/>
      </c:barChart>
      <c:lineChart>
        <c:grouping val="stacked"/>
        <c:varyColors val="0"/>
        <c:ser>
          <c:idx val="1"/>
          <c:order val="1"/>
          <c:spPr>
            <a:ln w="9525" cap="rnd">
              <a:solidFill>
                <a:sysClr val="windowText" lastClr="000000"/>
              </a:solidFill>
              <a:round/>
            </a:ln>
            <a:effectLst/>
          </c:spPr>
          <c:marker>
            <c:symbol val="circle"/>
            <c:size val="5"/>
            <c:spPr>
              <a:solidFill>
                <a:sysClr val="window" lastClr="FFFFFF"/>
              </a:solidFill>
              <a:ln w="9525">
                <a:solidFill>
                  <a:sysClr val="windowText" lastClr="000000"/>
                </a:solidFill>
              </a:ln>
              <a:effectLst/>
            </c:spPr>
          </c:marker>
          <c:dLbls>
            <c:dLbl>
              <c:idx val="0"/>
              <c:layout>
                <c:manualLayout>
                  <c:x val="-3.4575759514508107E-2"/>
                  <c:y val="-5.1061731086498037E-2"/>
                </c:manualLayout>
              </c:layout>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1-50CB-404E-A490-6341BD9753A6}"/>
                </c:ext>
                <c:ext xmlns:c15="http://schemas.microsoft.com/office/drawing/2012/chart" uri="{CE6537A1-D6FC-4f65-9D91-7224C49458BB}"/>
              </c:extLst>
            </c:dLbl>
            <c:dLbl>
              <c:idx val="1"/>
              <c:layout>
                <c:manualLayout>
                  <c:x val="-3.704545662268726E-2"/>
                  <c:y val="-4.5388205410220477E-2"/>
                </c:manualLayout>
              </c:layout>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2-50CB-404E-A490-6341BD9753A6}"/>
                </c:ext>
                <c:ext xmlns:c15="http://schemas.microsoft.com/office/drawing/2012/chart" uri="{CE6537A1-D6FC-4f65-9D91-7224C49458BB}"/>
              </c:extLst>
            </c:dLbl>
            <c:dLbl>
              <c:idx val="2"/>
              <c:layout>
                <c:manualLayout>
                  <c:x val="-4.1984850839045559E-2"/>
                  <c:y val="-5.6735256762775597E-2"/>
                </c:manualLayout>
              </c:layout>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3-50CB-404E-A490-6341BD9753A6}"/>
                </c:ext>
                <c:ext xmlns:c15="http://schemas.microsoft.com/office/drawing/2012/chart" uri="{CE6537A1-D6FC-4f65-9D91-7224C49458BB}"/>
              </c:extLst>
            </c:dLbl>
            <c:dLbl>
              <c:idx val="3"/>
              <c:layout>
                <c:manualLayout>
                  <c:x val="-2.9862649004811899E-2"/>
                  <c:y val="-0.13914556116672816"/>
                </c:manualLayout>
              </c:layout>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4-50CB-404E-A490-6341BD9753A6}"/>
                </c:ext>
                <c:ext xmlns:c15="http://schemas.microsoft.com/office/drawing/2012/chart" uri="{CE6537A1-D6FC-4f65-9D91-7224C49458BB}"/>
              </c:extLst>
            </c:dLbl>
            <c:dLbl>
              <c:idx val="4"/>
              <c:layout>
                <c:manualLayout>
                  <c:x val="-3.9515153730866413E-2"/>
                  <c:y val="-0.14183814190693902"/>
                </c:manualLayout>
              </c:layout>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5-50CB-404E-A490-6341BD9753A6}"/>
                </c:ext>
                <c:ext xmlns:c15="http://schemas.microsoft.com/office/drawing/2012/chart" uri="{CE6537A1-D6FC-4f65-9D91-7224C49458BB}"/>
              </c:extLst>
            </c:dLbl>
            <c:dLbl>
              <c:idx val="5"/>
              <c:layout>
                <c:manualLayout>
                  <c:x val="-2.1701388888888888E-2"/>
                  <c:y val="-0.10904684975767374"/>
                </c:manualLayout>
              </c:layout>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6-50CB-404E-A490-6341BD9753A6}"/>
                </c:ext>
                <c:ext xmlns:c15="http://schemas.microsoft.com/office/drawing/2012/chart" uri="{CE6537A1-D6FC-4f65-9D91-7224C49458BB}"/>
              </c:extLst>
            </c:dLbl>
            <c:dLbl>
              <c:idx val="6"/>
              <c:layout>
                <c:manualLayout>
                  <c:x val="-1.9757576865433297E-2"/>
                  <c:y val="-8.5102885144163393E-2"/>
                </c:manualLayout>
              </c:layout>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7-50CB-404E-A490-6341BD9753A6}"/>
                </c:ext>
                <c:ext xmlns:c15="http://schemas.microsoft.com/office/drawing/2012/chart" uri="{CE6537A1-D6FC-4f65-9D91-7224C49458BB}"/>
              </c:extLst>
            </c:dLbl>
            <c:dLbl>
              <c:idx val="7"/>
              <c:layout>
                <c:manualLayout>
                  <c:x val="-2.9636365298149718E-2"/>
                  <c:y val="-7.9429359467885832E-2"/>
                </c:manualLayout>
              </c:layout>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8-50CB-404E-A490-6341BD9753A6}"/>
                </c:ext>
                <c:ext xmlns:c15="http://schemas.microsoft.com/office/drawing/2012/chart" uri="{CE6537A1-D6FC-4f65-9D91-7224C49458BB}"/>
              </c:extLst>
            </c:dLbl>
            <c:dLbl>
              <c:idx val="8"/>
              <c:layout>
                <c:manualLayout>
                  <c:x val="-3.704545662268726E-2"/>
                  <c:y val="-7.3755833791608272E-2"/>
                </c:manualLayout>
              </c:layout>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9-50CB-404E-A490-6341BD9753A6}"/>
                </c:ext>
                <c:ext xmlns:c15="http://schemas.microsoft.com/office/drawing/2012/chart" uri="{CE6537A1-D6FC-4f65-9D91-7224C49458BB}"/>
              </c:extLst>
            </c:dLbl>
            <c:dLbl>
              <c:idx val="9"/>
              <c:layout>
                <c:manualLayout>
                  <c:x val="-3.4575759514508107E-2"/>
                  <c:y val="-7.3755833791608272E-2"/>
                </c:manualLayout>
              </c:layout>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A-50CB-404E-A490-6341BD9753A6}"/>
                </c:ext>
                <c:ext xmlns:c15="http://schemas.microsoft.com/office/drawing/2012/chart" uri="{CE6537A1-D6FC-4f65-9D91-7224C49458BB}"/>
              </c:extLst>
            </c:dLbl>
            <c:spPr>
              <a:noFill/>
              <a:ln>
                <a:noFill/>
              </a:ln>
              <a:effectLst/>
            </c:spPr>
            <c:txPr>
              <a:bodyPr rot="0" spcFirstLastPara="1" vertOverflow="ellipsis" vert="horz" wrap="square" lIns="38100" tIns="19050" rIns="38100" bIns="19050" anchor="ctr" anchorCtr="1">
                <a:spAutoFit/>
              </a:bodyPr>
              <a:lstStyle/>
              <a:p>
                <a:pPr>
                  <a:defRPr sz="8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fr-FR"/>
              </a:p>
            </c:txPr>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Douar!$G$132:$G$138</c:f>
              <c:strCache>
                <c:ptCount val="7"/>
                <c:pt idx="0">
                  <c:v>Primaire </c:v>
                </c:pt>
                <c:pt idx="1">
                  <c:v>Collège </c:v>
                </c:pt>
                <c:pt idx="2">
                  <c:v>Lycée</c:v>
                </c:pt>
                <c:pt idx="3">
                  <c:v>Université</c:v>
                </c:pt>
                <c:pt idx="4">
                  <c:v>Analphabètes</c:v>
                </c:pt>
                <c:pt idx="5">
                  <c:v>Non atteinte de l’âge de scolarité </c:v>
                </c:pt>
                <c:pt idx="6">
                  <c:v>Abandon scolaire</c:v>
                </c:pt>
              </c:strCache>
            </c:strRef>
          </c:cat>
          <c:val>
            <c:numRef>
              <c:f>Douar!$I$132:$I$138</c:f>
              <c:numCache>
                <c:formatCode>0%</c:formatCode>
                <c:ptCount val="7"/>
                <c:pt idx="0">
                  <c:v>0.20384615384615384</c:v>
                </c:pt>
                <c:pt idx="1">
                  <c:v>0.19230769230769232</c:v>
                </c:pt>
                <c:pt idx="2">
                  <c:v>0.1423076923076923</c:v>
                </c:pt>
                <c:pt idx="3">
                  <c:v>4.6153846153846156E-2</c:v>
                </c:pt>
                <c:pt idx="4">
                  <c:v>0.21923076923076923</c:v>
                </c:pt>
                <c:pt idx="5">
                  <c:v>3.4615384615384617E-2</c:v>
                </c:pt>
                <c:pt idx="6">
                  <c:v>0.16153846153846155</c:v>
                </c:pt>
              </c:numCache>
            </c:numRef>
          </c:val>
          <c:smooth val="0"/>
          <c:extLst xmlns:c16r2="http://schemas.microsoft.com/office/drawing/2015/06/chart">
            <c:ext xmlns:c16="http://schemas.microsoft.com/office/drawing/2014/chart" uri="{C3380CC4-5D6E-409C-BE32-E72D297353CC}">
              <c16:uniqueId val="{0000000B-50CB-404E-A490-6341BD9753A6}"/>
            </c:ext>
          </c:extLst>
        </c:ser>
        <c:dLbls>
          <c:showLegendKey val="0"/>
          <c:showVal val="0"/>
          <c:showCatName val="0"/>
          <c:showSerName val="0"/>
          <c:showPercent val="0"/>
          <c:showBubbleSize val="0"/>
        </c:dLbls>
        <c:marker val="1"/>
        <c:smooth val="0"/>
        <c:axId val="648011200"/>
        <c:axId val="648022080"/>
      </c:lineChart>
      <c:catAx>
        <c:axId val="648010656"/>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8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fr-FR"/>
          </a:p>
        </c:txPr>
        <c:crossAx val="648020448"/>
        <c:crosses val="autoZero"/>
        <c:auto val="1"/>
        <c:lblAlgn val="ctr"/>
        <c:lblOffset val="100"/>
        <c:noMultiLvlLbl val="0"/>
      </c:catAx>
      <c:valAx>
        <c:axId val="648020448"/>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800" b="0" i="0" u="none" strike="noStrike" kern="1200" baseline="0">
                    <a:solidFill>
                      <a:schemeClr val="tx1"/>
                    </a:solidFill>
                    <a:latin typeface="Times New Roman" panose="02020603050405020304" pitchFamily="18" charset="0"/>
                    <a:ea typeface="+mn-ea"/>
                    <a:cs typeface="Times New Roman" panose="02020603050405020304" pitchFamily="18" charset="0"/>
                  </a:defRPr>
                </a:pPr>
                <a:r>
                  <a:rPr lang="fr-FR"/>
                  <a:t>Nombre des enfants par ménage</a:t>
                </a:r>
              </a:p>
            </c:rich>
          </c:tx>
          <c:overlay val="0"/>
          <c:spPr>
            <a:noFill/>
            <a:ln>
              <a:noFill/>
            </a:ln>
            <a:effectLst/>
          </c:sp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8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fr-FR"/>
          </a:p>
        </c:txPr>
        <c:crossAx val="648010656"/>
        <c:crosses val="autoZero"/>
        <c:crossBetween val="between"/>
      </c:valAx>
      <c:valAx>
        <c:axId val="648022080"/>
        <c:scaling>
          <c:orientation val="minMax"/>
        </c:scaling>
        <c:delete val="0"/>
        <c:axPos val="r"/>
        <c:title>
          <c:tx>
            <c:rich>
              <a:bodyPr rot="-5400000" spcFirstLastPara="1" vertOverflow="ellipsis" vert="horz" wrap="square" anchor="ctr" anchorCtr="1"/>
              <a:lstStyle/>
              <a:p>
                <a:pPr>
                  <a:defRPr sz="800" b="0" i="0" u="none" strike="noStrike" kern="1200" baseline="0">
                    <a:solidFill>
                      <a:schemeClr val="tx1"/>
                    </a:solidFill>
                    <a:latin typeface="Times New Roman" panose="02020603050405020304" pitchFamily="18" charset="0"/>
                    <a:ea typeface="+mn-ea"/>
                    <a:cs typeface="Times New Roman" panose="02020603050405020304" pitchFamily="18" charset="0"/>
                  </a:defRPr>
                </a:pPr>
                <a:r>
                  <a:rPr lang="fr-FR"/>
                  <a:t>Enquêtés en % </a:t>
                </a:r>
              </a:p>
            </c:rich>
          </c:tx>
          <c:overlay val="0"/>
          <c:spPr>
            <a:noFill/>
            <a:ln>
              <a:noFill/>
            </a:ln>
            <a:effectLst/>
          </c:spPr>
        </c:title>
        <c:numFmt formatCode="0%" sourceLinked="1"/>
        <c:majorTickMark val="out"/>
        <c:minorTickMark val="none"/>
        <c:tickLblPos val="nextTo"/>
        <c:spPr>
          <a:noFill/>
          <a:ln>
            <a:noFill/>
          </a:ln>
          <a:effectLst/>
        </c:spPr>
        <c:txPr>
          <a:bodyPr rot="-60000000" spcFirstLastPara="1" vertOverflow="ellipsis" vert="horz" wrap="square" anchor="ctr" anchorCtr="1"/>
          <a:lstStyle/>
          <a:p>
            <a:pPr>
              <a:defRPr sz="8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fr-FR"/>
          </a:p>
        </c:txPr>
        <c:crossAx val="648011200"/>
        <c:crosses val="max"/>
        <c:crossBetween val="between"/>
      </c:valAx>
      <c:catAx>
        <c:axId val="648011200"/>
        <c:scaling>
          <c:orientation val="minMax"/>
        </c:scaling>
        <c:delete val="1"/>
        <c:axPos val="b"/>
        <c:numFmt formatCode="General" sourceLinked="1"/>
        <c:majorTickMark val="out"/>
        <c:minorTickMark val="none"/>
        <c:tickLblPos val="nextTo"/>
        <c:crossAx val="648022080"/>
        <c:crosses val="autoZero"/>
        <c:auto val="1"/>
        <c:lblAlgn val="ctr"/>
        <c:lblOffset val="100"/>
        <c:noMultiLvlLbl val="0"/>
      </c:cat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800">
          <a:solidFill>
            <a:schemeClr val="tx1"/>
          </a:solidFill>
          <a:latin typeface="Times New Roman" panose="02020603050405020304" pitchFamily="18" charset="0"/>
          <a:cs typeface="Times New Roman" panose="02020603050405020304" pitchFamily="18" charset="0"/>
        </a:defRPr>
      </a:pPr>
      <a:endParaRPr lang="fr-FR"/>
    </a:p>
  </c:txPr>
  <c:externalData r:id="rId2">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view3D>
      <c:rotX val="3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manualLayout>
          <c:layoutTarget val="inner"/>
          <c:xMode val="edge"/>
          <c:yMode val="edge"/>
          <c:x val="9.4965232872707528E-2"/>
          <c:y val="0.20260982837044264"/>
          <c:w val="0.72152787121905604"/>
          <c:h val="0.67780845023461977"/>
        </c:manualLayout>
      </c:layout>
      <c:pie3DChart>
        <c:varyColors val="1"/>
        <c:ser>
          <c:idx val="0"/>
          <c:order val="0"/>
          <c:dPt>
            <c:idx val="0"/>
            <c:bubble3D val="0"/>
            <c:spPr>
              <a:solidFill>
                <a:srgbClr val="002060"/>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xmlns:c16r2="http://schemas.microsoft.com/office/drawing/2015/06/chart">
              <c:ext xmlns:c16="http://schemas.microsoft.com/office/drawing/2014/chart" uri="{C3380CC4-5D6E-409C-BE32-E72D297353CC}">
                <c16:uniqueId val="{00000001-A0A4-4E87-B3A2-5CE34D2B002D}"/>
              </c:ext>
            </c:extLst>
          </c:dPt>
          <c:dPt>
            <c:idx val="1"/>
            <c:bubble3D val="0"/>
            <c:spPr>
              <a:solidFill>
                <a:srgbClr val="A5A5A5">
                  <a:lumMod val="20000"/>
                  <a:lumOff val="80000"/>
                </a:srgbClr>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xmlns:c16r2="http://schemas.microsoft.com/office/drawing/2015/06/chart">
              <c:ext xmlns:c16="http://schemas.microsoft.com/office/drawing/2014/chart" uri="{C3380CC4-5D6E-409C-BE32-E72D297353CC}">
                <c16:uniqueId val="{00000003-A0A4-4E87-B3A2-5CE34D2B002D}"/>
              </c:ext>
            </c:extLst>
          </c:dPt>
          <c:dLbls>
            <c:dLbl>
              <c:idx val="0"/>
              <c:spPr>
                <a:noFill/>
                <a:ln>
                  <a:noFill/>
                </a:ln>
                <a:effectLst/>
              </c:spPr>
              <c:txPr>
                <a:bodyPr rot="0" spcFirstLastPara="1" vertOverflow="ellipsis" vert="horz" wrap="square" anchor="ctr" anchorCtr="1"/>
                <a:lstStyle/>
                <a:p>
                  <a:pPr>
                    <a:defRPr sz="1000" b="1" i="0" u="none" strike="noStrike" kern="1200" spc="0" baseline="0">
                      <a:solidFill>
                        <a:sysClr val="windowText" lastClr="000000"/>
                      </a:solidFill>
                      <a:latin typeface="Times New Roman" panose="02020603050405020304" pitchFamily="18" charset="0"/>
                      <a:ea typeface="+mn-ea"/>
                      <a:cs typeface="Times New Roman" panose="02020603050405020304" pitchFamily="18" charset="0"/>
                    </a:defRPr>
                  </a:pPr>
                  <a:endParaRPr lang="fr-FR"/>
                </a:p>
              </c:txPr>
              <c:dLblPos val="outEnd"/>
              <c:showLegendKey val="0"/>
              <c:showVal val="0"/>
              <c:showCatName val="1"/>
              <c:showSerName val="0"/>
              <c:showPercent val="1"/>
              <c:showBubbleSize val="0"/>
            </c:dLbl>
            <c:dLbl>
              <c:idx val="1"/>
              <c:spPr>
                <a:noFill/>
                <a:ln>
                  <a:noFill/>
                </a:ln>
                <a:effectLst/>
              </c:spPr>
              <c:txPr>
                <a:bodyPr rot="0" spcFirstLastPara="1" vertOverflow="ellipsis" vert="horz" wrap="square" anchor="ctr" anchorCtr="1"/>
                <a:lstStyle/>
                <a:p>
                  <a:pPr>
                    <a:defRPr sz="1000" b="1" i="0" u="none" strike="noStrike" kern="1200" spc="0" baseline="0">
                      <a:solidFill>
                        <a:sysClr val="windowText" lastClr="000000"/>
                      </a:solidFill>
                      <a:latin typeface="Times New Roman" panose="02020603050405020304" pitchFamily="18" charset="0"/>
                      <a:ea typeface="+mn-ea"/>
                      <a:cs typeface="Times New Roman" panose="02020603050405020304" pitchFamily="18" charset="0"/>
                    </a:defRPr>
                  </a:pPr>
                  <a:endParaRPr lang="fr-FR"/>
                </a:p>
              </c:txPr>
              <c:dLblPos val="outEnd"/>
              <c:showLegendKey val="0"/>
              <c:showVal val="0"/>
              <c:showCatName val="1"/>
              <c:showSerName val="0"/>
              <c:showPercent val="1"/>
              <c:showBubbleSize val="0"/>
            </c:dLbl>
            <c:spPr>
              <a:noFill/>
              <a:ln>
                <a:noFill/>
              </a:ln>
              <a:effectLst/>
            </c:spPr>
            <c:dLblPos val="outEnd"/>
            <c:showLegendKey val="0"/>
            <c:showVal val="0"/>
            <c:showCatName val="1"/>
            <c:showSerName val="0"/>
            <c:showPercent val="1"/>
            <c:showBubbleSize val="0"/>
            <c:showLeaderLines val="1"/>
            <c:leaderLines>
              <c:spPr>
                <a:ln w="9525" cap="flat" cmpd="sng" algn="ctr">
                  <a:solidFill>
                    <a:schemeClr val="tx1">
                      <a:lumMod val="35000"/>
                      <a:lumOff val="65000"/>
                    </a:schemeClr>
                  </a:solidFill>
                  <a:round/>
                </a:ln>
                <a:effectLst/>
              </c:spPr>
            </c:leaderLines>
            <c:extLst xmlns:c16r2="http://schemas.microsoft.com/office/drawing/2015/06/chart">
              <c:ext xmlns:c15="http://schemas.microsoft.com/office/drawing/2012/chart" uri="{CE6537A1-D6FC-4f65-9D91-7224C49458BB}"/>
            </c:extLst>
          </c:dLbls>
          <c:cat>
            <c:strRef>
              <c:f>Douar!$B$1211:$B$1212</c:f>
              <c:strCache>
                <c:ptCount val="2"/>
                <c:pt idx="0">
                  <c:v>Distance Plus de 3Km</c:v>
                </c:pt>
                <c:pt idx="1">
                  <c:v>Distance Moins de 3Km</c:v>
                </c:pt>
              </c:strCache>
            </c:strRef>
          </c:cat>
          <c:val>
            <c:numRef>
              <c:f>Douar!$C$1211:$C$1212</c:f>
              <c:numCache>
                <c:formatCode>###0</c:formatCode>
                <c:ptCount val="2"/>
                <c:pt idx="0">
                  <c:v>56</c:v>
                </c:pt>
                <c:pt idx="1">
                  <c:v>49</c:v>
                </c:pt>
              </c:numCache>
            </c:numRef>
          </c:val>
          <c:extLst xmlns:c16r2="http://schemas.microsoft.com/office/drawing/2015/06/chart">
            <c:ext xmlns:c16="http://schemas.microsoft.com/office/drawing/2014/chart" uri="{C3380CC4-5D6E-409C-BE32-E72D297353CC}">
              <c16:uniqueId val="{00000004-A0A4-4E87-B3A2-5CE34D2B002D}"/>
            </c:ext>
          </c:extLst>
        </c:ser>
        <c:dLbls>
          <c:dLblPos val="outEnd"/>
          <c:showLegendKey val="0"/>
          <c:showVal val="0"/>
          <c:showCatName val="1"/>
          <c:showSerName val="0"/>
          <c:showPercent val="0"/>
          <c:showBubbleSize val="0"/>
          <c:showLeaderLines val="1"/>
        </c:dLbls>
      </c:pie3DChart>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solidFill>
            <a:sysClr val="windowText" lastClr="000000"/>
          </a:solidFill>
          <a:latin typeface="Times New Roman" panose="02020603050405020304" pitchFamily="18" charset="0"/>
          <a:cs typeface="Times New Roman" panose="02020603050405020304" pitchFamily="18" charset="0"/>
        </a:defRPr>
      </a:pPr>
      <a:endParaRPr lang="fr-FR"/>
    </a:p>
  </c:txPr>
  <c:externalData r:id="rId2">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fr-FR"/>
  <c:roundedCorners val="1"/>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50994660596677255"/>
          <c:y val="5.2973191469837325E-2"/>
          <c:w val="0.4587913392435583"/>
          <c:h val="0.74051971364899594"/>
        </c:manualLayout>
      </c:layout>
      <c:barChart>
        <c:barDir val="bar"/>
        <c:grouping val="clustered"/>
        <c:varyColors val="0"/>
        <c:ser>
          <c:idx val="0"/>
          <c:order val="0"/>
          <c:spPr>
            <a:solidFill>
              <a:srgbClr val="002060"/>
            </a:solidFill>
            <a:ln>
              <a:noFill/>
            </a:ln>
            <a:effectLst/>
            <a:sp3d/>
          </c:spPr>
          <c:invertIfNegative val="0"/>
          <c:dLbls>
            <c:delete val="1"/>
          </c:dLbls>
          <c:cat>
            <c:strRef>
              <c:f>Douar!$E$166:$E$173</c:f>
              <c:strCache>
                <c:ptCount val="8"/>
                <c:pt idx="0">
                  <c:v>Eloignement de l’école primaire du Douar  </c:v>
                </c:pt>
                <c:pt idx="1">
                  <c:v>Nécessité de déplacement pour étude en dehors de la zone</c:v>
                </c:pt>
                <c:pt idx="2">
                  <c:v>Indisponibilité du transport scolaire </c:v>
                </c:pt>
                <c:pt idx="3">
                  <c:v>Cherté des frais de transport scolaire  </c:v>
                </c:pt>
                <c:pt idx="4">
                  <c:v>Redoublement, éloignement de l’école primaire et indisponibilité du transport scolaire. </c:v>
                </c:pt>
                <c:pt idx="5">
                  <c:v>Raisons économiques  </c:v>
                </c:pt>
                <c:pt idx="6">
                  <c:v>Indisponibilité du livret de famille </c:v>
                </c:pt>
                <c:pt idx="7">
                  <c:v>Inexistence du collège dans le Douar </c:v>
                </c:pt>
              </c:strCache>
            </c:strRef>
          </c:cat>
          <c:val>
            <c:numRef>
              <c:f>Douar!$F$166:$F$173</c:f>
              <c:numCache>
                <c:formatCode>General</c:formatCode>
                <c:ptCount val="8"/>
                <c:pt idx="0">
                  <c:v>35</c:v>
                </c:pt>
                <c:pt idx="1">
                  <c:v>2</c:v>
                </c:pt>
                <c:pt idx="2">
                  <c:v>1</c:v>
                </c:pt>
                <c:pt idx="3">
                  <c:v>1</c:v>
                </c:pt>
                <c:pt idx="4">
                  <c:v>2</c:v>
                </c:pt>
                <c:pt idx="5">
                  <c:v>1</c:v>
                </c:pt>
                <c:pt idx="6">
                  <c:v>1</c:v>
                </c:pt>
                <c:pt idx="7">
                  <c:v>4</c:v>
                </c:pt>
              </c:numCache>
            </c:numRef>
          </c:val>
          <c:extLst xmlns:c16r2="http://schemas.microsoft.com/office/drawing/2015/06/chart">
            <c:ext xmlns:c16="http://schemas.microsoft.com/office/drawing/2014/chart" uri="{C3380CC4-5D6E-409C-BE32-E72D297353CC}">
              <c16:uniqueId val="{00000000-4D5C-42E6-ADCF-AF3E63CCE89D}"/>
            </c:ext>
          </c:extLst>
        </c:ser>
        <c:dLbls>
          <c:showLegendKey val="0"/>
          <c:showVal val="1"/>
          <c:showCatName val="0"/>
          <c:showSerName val="0"/>
          <c:showPercent val="0"/>
          <c:showBubbleSize val="0"/>
        </c:dLbls>
        <c:gapWidth val="150"/>
        <c:axId val="648011744"/>
        <c:axId val="648022624"/>
      </c:barChart>
      <c:catAx>
        <c:axId val="648011744"/>
        <c:scaling>
          <c:orientation val="minMax"/>
        </c:scaling>
        <c:delete val="0"/>
        <c:axPos val="l"/>
        <c:numFmt formatCode="General" sourceLinked="1"/>
        <c:majorTickMark val="none"/>
        <c:minorTickMark val="cross"/>
        <c:tickLblPos val="nextTo"/>
        <c:spPr>
          <a:noFill/>
          <a:ln>
            <a:solidFill>
              <a:schemeClr val="tx1">
                <a:lumMod val="15000"/>
                <a:lumOff val="85000"/>
              </a:schemeClr>
            </a:solidFill>
          </a:ln>
          <a:effectLst/>
        </c:spPr>
        <c:txPr>
          <a:bodyPr rot="0" spcFirstLastPara="1" vertOverflow="ellipsis"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fr-FR"/>
          </a:p>
        </c:txPr>
        <c:crossAx val="648022624"/>
        <c:crosses val="autoZero"/>
        <c:auto val="0"/>
        <c:lblAlgn val="ctr"/>
        <c:lblOffset val="100"/>
        <c:noMultiLvlLbl val="0"/>
      </c:catAx>
      <c:valAx>
        <c:axId val="648022624"/>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r>
                  <a:rPr lang="fr-FR"/>
                  <a:t>Nombre des enquêtés</a:t>
                </a:r>
              </a:p>
            </c:rich>
          </c:tx>
          <c:overlay val="0"/>
          <c:spPr>
            <a:noFill/>
            <a:ln>
              <a:noFill/>
            </a:ln>
            <a:effectLst/>
          </c:sp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fr-FR"/>
          </a:p>
        </c:txPr>
        <c:crossAx val="648011744"/>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bevel/>
    </a:ln>
    <a:effectLst/>
  </c:spPr>
  <c:txPr>
    <a:bodyPr/>
    <a:lstStyle/>
    <a:p>
      <a:pPr>
        <a:defRPr sz="900">
          <a:solidFill>
            <a:schemeClr val="tx1"/>
          </a:solidFill>
          <a:latin typeface="Times New Roman" panose="02020603050405020304" pitchFamily="18" charset="0"/>
          <a:cs typeface="Times New Roman" panose="02020603050405020304" pitchFamily="18" charset="0"/>
        </a:defRPr>
      </a:pPr>
      <a:endParaRPr lang="fr-FR"/>
    </a:p>
  </c:txPr>
  <c:externalData r:id="rId2">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view3D>
      <c:rotX val="3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pie3DChart>
        <c:varyColors val="1"/>
        <c:ser>
          <c:idx val="0"/>
          <c:order val="0"/>
          <c:dPt>
            <c:idx val="0"/>
            <c:bubble3D val="0"/>
            <c:spPr>
              <a:solidFill>
                <a:srgbClr val="002060"/>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xmlns:c16r2="http://schemas.microsoft.com/office/drawing/2015/06/chart">
              <c:ext xmlns:c16="http://schemas.microsoft.com/office/drawing/2014/chart" uri="{C3380CC4-5D6E-409C-BE32-E72D297353CC}">
                <c16:uniqueId val="{00000001-86B9-4F78-9F32-E749EE2F44DA}"/>
              </c:ext>
            </c:extLst>
          </c:dPt>
          <c:dPt>
            <c:idx val="1"/>
            <c:bubble3D val="0"/>
            <c:spPr>
              <a:solidFill>
                <a:srgbClr val="A5A5A5">
                  <a:lumMod val="20000"/>
                  <a:lumOff val="80000"/>
                </a:srgbClr>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xmlns:c16r2="http://schemas.microsoft.com/office/drawing/2015/06/chart">
              <c:ext xmlns:c16="http://schemas.microsoft.com/office/drawing/2014/chart" uri="{C3380CC4-5D6E-409C-BE32-E72D297353CC}">
                <c16:uniqueId val="{00000003-86B9-4F78-9F32-E749EE2F44DA}"/>
              </c:ext>
            </c:extLst>
          </c:dPt>
          <c:dLbls>
            <c:dLbl>
              <c:idx val="0"/>
              <c:layout>
                <c:manualLayout>
                  <c:x val="0.16481774960380349"/>
                  <c:y val="-6.6050198150594455E-3"/>
                </c:manualLayout>
              </c:layout>
              <c:spPr>
                <a:noFill/>
                <a:ln>
                  <a:noFill/>
                </a:ln>
                <a:effectLst/>
              </c:spPr>
              <c:txPr>
                <a:bodyPr rot="0" spcFirstLastPara="1" vertOverflow="ellipsis" vert="horz" wrap="square" anchor="ctr" anchorCtr="1"/>
                <a:lstStyle/>
                <a:p>
                  <a:pPr>
                    <a:defRPr sz="1000" b="1" i="0" u="none" strike="noStrike" kern="1200" spc="0" baseline="0">
                      <a:solidFill>
                        <a:sysClr val="windowText" lastClr="000000"/>
                      </a:solidFill>
                      <a:latin typeface="Times New Roman" panose="02020603050405020304" pitchFamily="18" charset="0"/>
                      <a:ea typeface="+mn-ea"/>
                      <a:cs typeface="Times New Roman" panose="02020603050405020304" pitchFamily="18" charset="0"/>
                    </a:defRPr>
                  </a:pPr>
                  <a:endParaRPr lang="fr-FR"/>
                </a:p>
              </c:txPr>
              <c:dLblPos val="bestFit"/>
              <c:showLegendKey val="0"/>
              <c:showVal val="0"/>
              <c:showCatName val="1"/>
              <c:showSerName val="0"/>
              <c:showPercent val="1"/>
              <c:showBubbleSize val="0"/>
              <c:extLst xmlns:c16r2="http://schemas.microsoft.com/office/drawing/2015/06/chart">
                <c:ext xmlns:c16="http://schemas.microsoft.com/office/drawing/2014/chart" uri="{C3380CC4-5D6E-409C-BE32-E72D297353CC}">
                  <c16:uniqueId val="{00000001-86B9-4F78-9F32-E749EE2F44DA}"/>
                </c:ext>
                <c:ext xmlns:c15="http://schemas.microsoft.com/office/drawing/2012/chart" uri="{CE6537A1-D6FC-4f65-9D91-7224C49458BB}"/>
              </c:extLst>
            </c:dLbl>
            <c:dLbl>
              <c:idx val="1"/>
              <c:layout>
                <c:manualLayout>
                  <c:x val="-0.19334389857369258"/>
                  <c:y val="1.9815059445178335E-2"/>
                </c:manualLayout>
              </c:layout>
              <c:spPr>
                <a:noFill/>
                <a:ln>
                  <a:noFill/>
                </a:ln>
                <a:effectLst/>
              </c:spPr>
              <c:txPr>
                <a:bodyPr rot="0" spcFirstLastPara="1" vertOverflow="ellipsis" vert="horz" wrap="square" anchor="ctr" anchorCtr="1"/>
                <a:lstStyle/>
                <a:p>
                  <a:pPr>
                    <a:defRPr sz="1000" b="1" i="0" u="none" strike="noStrike" kern="1200" spc="0" baseline="0">
                      <a:solidFill>
                        <a:sysClr val="windowText" lastClr="000000"/>
                      </a:solidFill>
                      <a:latin typeface="Times New Roman" panose="02020603050405020304" pitchFamily="18" charset="0"/>
                      <a:ea typeface="+mn-ea"/>
                      <a:cs typeface="Times New Roman" panose="02020603050405020304" pitchFamily="18" charset="0"/>
                    </a:defRPr>
                  </a:pPr>
                  <a:endParaRPr lang="fr-FR"/>
                </a:p>
              </c:txPr>
              <c:dLblPos val="bestFit"/>
              <c:showLegendKey val="0"/>
              <c:showVal val="0"/>
              <c:showCatName val="1"/>
              <c:showSerName val="0"/>
              <c:showPercent val="1"/>
              <c:showBubbleSize val="0"/>
              <c:extLst xmlns:c16r2="http://schemas.microsoft.com/office/drawing/2015/06/chart">
                <c:ext xmlns:c16="http://schemas.microsoft.com/office/drawing/2014/chart" uri="{C3380CC4-5D6E-409C-BE32-E72D297353CC}">
                  <c16:uniqueId val="{00000003-86B9-4F78-9F32-E749EE2F44DA}"/>
                </c:ext>
                <c:ext xmlns:c15="http://schemas.microsoft.com/office/drawing/2012/chart" uri="{CE6537A1-D6FC-4f65-9D91-7224C49458BB}"/>
              </c:extLst>
            </c:dLbl>
            <c:spPr>
              <a:noFill/>
              <a:ln>
                <a:noFill/>
              </a:ln>
              <a:effectLst/>
            </c:spPr>
            <c:dLblPos val="outEnd"/>
            <c:showLegendKey val="0"/>
            <c:showVal val="0"/>
            <c:showCatName val="1"/>
            <c:showSerName val="0"/>
            <c:showPercent val="1"/>
            <c:showBubbleSize val="0"/>
            <c:showLeaderLines val="1"/>
            <c:leaderLines>
              <c:spPr>
                <a:ln w="9525" cap="flat" cmpd="sng" algn="ctr">
                  <a:solidFill>
                    <a:schemeClr val="tx1">
                      <a:lumMod val="35000"/>
                      <a:lumOff val="65000"/>
                    </a:schemeClr>
                  </a:solidFill>
                  <a:round/>
                </a:ln>
                <a:effectLst/>
              </c:spPr>
            </c:leaderLines>
            <c:extLst xmlns:c16r2="http://schemas.microsoft.com/office/drawing/2015/06/chart">
              <c:ext xmlns:c15="http://schemas.microsoft.com/office/drawing/2012/chart" uri="{CE6537A1-D6FC-4f65-9D91-7224C49458BB}"/>
            </c:extLst>
          </c:dLbls>
          <c:cat>
            <c:strRef>
              <c:f>Douar!$C$257:$C$258</c:f>
              <c:strCache>
                <c:ptCount val="2"/>
                <c:pt idx="0">
                  <c:v>Douars électrifiés </c:v>
                </c:pt>
                <c:pt idx="1">
                  <c:v>Douars non électrifiés</c:v>
                </c:pt>
              </c:strCache>
            </c:strRef>
          </c:cat>
          <c:val>
            <c:numRef>
              <c:f>Douar!$D$257:$D$258</c:f>
              <c:numCache>
                <c:formatCode>General</c:formatCode>
                <c:ptCount val="2"/>
                <c:pt idx="0">
                  <c:v>91</c:v>
                </c:pt>
                <c:pt idx="1">
                  <c:v>14</c:v>
                </c:pt>
              </c:numCache>
            </c:numRef>
          </c:val>
          <c:extLst xmlns:c16r2="http://schemas.microsoft.com/office/drawing/2015/06/chart">
            <c:ext xmlns:c16="http://schemas.microsoft.com/office/drawing/2014/chart" uri="{C3380CC4-5D6E-409C-BE32-E72D297353CC}">
              <c16:uniqueId val="{00000004-86B9-4F78-9F32-E749EE2F44DA}"/>
            </c:ext>
          </c:extLst>
        </c:ser>
        <c:dLbls>
          <c:dLblPos val="outEnd"/>
          <c:showLegendKey val="0"/>
          <c:showVal val="0"/>
          <c:showCatName val="1"/>
          <c:showSerName val="0"/>
          <c:showPercent val="0"/>
          <c:showBubbleSize val="0"/>
          <c:showLeaderLines val="1"/>
        </c:dLbls>
      </c:pie3DChart>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solidFill>
            <a:sysClr val="windowText" lastClr="000000"/>
          </a:solidFill>
          <a:latin typeface="Times New Roman" panose="02020603050405020304" pitchFamily="18" charset="0"/>
          <a:cs typeface="Times New Roman" panose="02020603050405020304" pitchFamily="18" charset="0"/>
        </a:defRPr>
      </a:pPr>
      <a:endParaRPr lang="fr-FR"/>
    </a:p>
  </c:txPr>
  <c:externalData r:id="rId2">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0"/>
          <c:order val="0"/>
          <c:spPr>
            <a:solidFill>
              <a:srgbClr val="002060"/>
            </a:solidFill>
            <a:ln>
              <a:noFill/>
            </a:ln>
            <a:effectLst/>
            <a:sp3d/>
          </c:spPr>
          <c:invertIfNegative val="0"/>
          <c:dLbls>
            <c:delete val="1"/>
          </c:dLbls>
          <c:cat>
            <c:strRef>
              <c:f>Douar!$C$233:$C$236</c:f>
              <c:strCache>
                <c:ptCount val="4"/>
                <c:pt idx="0">
                  <c:v>Puits</c:v>
                </c:pt>
                <c:pt idx="1">
                  <c:v>Fontaine</c:v>
                </c:pt>
                <c:pt idx="2">
                  <c:v>Source d’eau naturelle                 </c:v>
                </c:pt>
                <c:pt idx="3">
                  <c:v>Raccordement au réseau d’eau potable</c:v>
                </c:pt>
              </c:strCache>
            </c:strRef>
          </c:cat>
          <c:val>
            <c:numRef>
              <c:f>Douar!$D$233:$D$236</c:f>
              <c:numCache>
                <c:formatCode>General</c:formatCode>
                <c:ptCount val="4"/>
                <c:pt idx="0">
                  <c:v>42</c:v>
                </c:pt>
                <c:pt idx="1">
                  <c:v>42</c:v>
                </c:pt>
                <c:pt idx="2">
                  <c:v>6</c:v>
                </c:pt>
                <c:pt idx="3">
                  <c:v>15</c:v>
                </c:pt>
              </c:numCache>
            </c:numRef>
          </c:val>
          <c:extLst xmlns:c16r2="http://schemas.microsoft.com/office/drawing/2015/06/chart">
            <c:ext xmlns:c16="http://schemas.microsoft.com/office/drawing/2014/chart" uri="{C3380CC4-5D6E-409C-BE32-E72D297353CC}">
              <c16:uniqueId val="{00000000-2F8F-4C45-AA8E-A0589AB79CEA}"/>
            </c:ext>
          </c:extLst>
        </c:ser>
        <c:dLbls>
          <c:showLegendKey val="0"/>
          <c:showVal val="1"/>
          <c:showCatName val="0"/>
          <c:showSerName val="0"/>
          <c:showPercent val="0"/>
          <c:showBubbleSize val="0"/>
        </c:dLbls>
        <c:gapWidth val="150"/>
        <c:axId val="648023168"/>
        <c:axId val="648023712"/>
      </c:barChart>
      <c:lineChart>
        <c:grouping val="stacked"/>
        <c:varyColors val="0"/>
        <c:ser>
          <c:idx val="1"/>
          <c:order val="1"/>
          <c:spPr>
            <a:ln w="9525" cap="rnd">
              <a:solidFill>
                <a:sysClr val="windowText" lastClr="000000"/>
              </a:solidFill>
              <a:round/>
            </a:ln>
            <a:effectLst/>
          </c:spPr>
          <c:marker>
            <c:symbol val="circle"/>
            <c:size val="5"/>
            <c:spPr>
              <a:solidFill>
                <a:sysClr val="window" lastClr="FFFFFF"/>
              </a:solidFill>
              <a:ln w="9525">
                <a:solidFill>
                  <a:sysClr val="windowText" lastClr="000000"/>
                </a:solidFill>
              </a:ln>
              <a:effectLst/>
            </c:spPr>
          </c:marker>
          <c:dLbls>
            <c:dLbl>
              <c:idx val="0"/>
              <c:layout>
                <c:manualLayout>
                  <c:x val="-3.4575813870230454E-2"/>
                  <c:y val="-9.1465839497335555E-2"/>
                </c:manualLayout>
              </c:layout>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1-2F8F-4C45-AA8E-A0589AB79CEA}"/>
                </c:ext>
                <c:ext xmlns:c15="http://schemas.microsoft.com/office/drawing/2012/chart" uri="{CE6537A1-D6FC-4f65-9D91-7224C49458BB}"/>
              </c:extLst>
            </c:dLbl>
            <c:dLbl>
              <c:idx val="1"/>
              <c:layout>
                <c:manualLayout>
                  <c:x val="-3.1500647254136253E-2"/>
                  <c:y val="-9.7336469304973236E-2"/>
                </c:manualLayout>
              </c:layout>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2-2F8F-4C45-AA8E-A0589AB79CEA}"/>
                </c:ext>
                <c:ext xmlns:c15="http://schemas.microsoft.com/office/drawing/2012/chart" uri="{CE6537A1-D6FC-4f65-9D91-7224C49458BB}"/>
              </c:extLst>
            </c:dLbl>
            <c:dLbl>
              <c:idx val="2"/>
              <c:layout>
                <c:manualLayout>
                  <c:x val="-4.1984850839045559E-2"/>
                  <c:y val="-5.6735256762775597E-2"/>
                </c:manualLayout>
              </c:layout>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3-2F8F-4C45-AA8E-A0589AB79CEA}"/>
                </c:ext>
                <c:ext xmlns:c15="http://schemas.microsoft.com/office/drawing/2012/chart" uri="{CE6537A1-D6FC-4f65-9D91-7224C49458BB}"/>
              </c:extLst>
            </c:dLbl>
            <c:dLbl>
              <c:idx val="3"/>
              <c:layout>
                <c:manualLayout>
                  <c:x val="-4.9393942163583011E-2"/>
                  <c:y val="-6.2408782439053158E-2"/>
                </c:manualLayout>
              </c:layout>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4-2F8F-4C45-AA8E-A0589AB79CEA}"/>
                </c:ext>
                <c:ext xmlns:c15="http://schemas.microsoft.com/office/drawing/2012/chart" uri="{CE6537A1-D6FC-4f65-9D91-7224C49458BB}"/>
              </c:extLst>
            </c:dLbl>
            <c:dLbl>
              <c:idx val="4"/>
              <c:layout>
                <c:manualLayout>
                  <c:x val="-3.9515153730866413E-2"/>
                  <c:y val="-0.14183814190693902"/>
                </c:manualLayout>
              </c:layout>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5-2F8F-4C45-AA8E-A0589AB79CEA}"/>
                </c:ext>
                <c:ext xmlns:c15="http://schemas.microsoft.com/office/drawing/2012/chart" uri="{CE6537A1-D6FC-4f65-9D91-7224C49458BB}"/>
              </c:extLst>
            </c:dLbl>
            <c:dLbl>
              <c:idx val="6"/>
              <c:layout>
                <c:manualLayout>
                  <c:x val="-1.9757576865433297E-2"/>
                  <c:y val="-8.5102885144163393E-2"/>
                </c:manualLayout>
              </c:layout>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6-2F8F-4C45-AA8E-A0589AB79CEA}"/>
                </c:ext>
                <c:ext xmlns:c15="http://schemas.microsoft.com/office/drawing/2012/chart" uri="{CE6537A1-D6FC-4f65-9D91-7224C49458BB}"/>
              </c:extLst>
            </c:dLbl>
            <c:dLbl>
              <c:idx val="7"/>
              <c:layout>
                <c:manualLayout>
                  <c:x val="-2.9636365298149718E-2"/>
                  <c:y val="-7.9429359467885832E-2"/>
                </c:manualLayout>
              </c:layout>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7-2F8F-4C45-AA8E-A0589AB79CEA}"/>
                </c:ext>
                <c:ext xmlns:c15="http://schemas.microsoft.com/office/drawing/2012/chart" uri="{CE6537A1-D6FC-4f65-9D91-7224C49458BB}"/>
              </c:extLst>
            </c:dLbl>
            <c:dLbl>
              <c:idx val="8"/>
              <c:layout>
                <c:manualLayout>
                  <c:x val="-3.704545662268726E-2"/>
                  <c:y val="-7.3755833791608272E-2"/>
                </c:manualLayout>
              </c:layout>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8-2F8F-4C45-AA8E-A0589AB79CEA}"/>
                </c:ext>
                <c:ext xmlns:c15="http://schemas.microsoft.com/office/drawing/2012/chart" uri="{CE6537A1-D6FC-4f65-9D91-7224C49458BB}"/>
              </c:extLst>
            </c:dLbl>
            <c:dLbl>
              <c:idx val="9"/>
              <c:layout>
                <c:manualLayout>
                  <c:x val="-3.4575759514508107E-2"/>
                  <c:y val="-7.3755833791608272E-2"/>
                </c:manualLayout>
              </c:layout>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9-2F8F-4C45-AA8E-A0589AB79CEA}"/>
                </c:ext>
                <c:ext xmlns:c15="http://schemas.microsoft.com/office/drawing/2012/chart" uri="{CE6537A1-D6FC-4f65-9D91-7224C49458BB}"/>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fr-FR"/>
              </a:p>
            </c:txPr>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Douar!$C$233:$C$236</c:f>
              <c:strCache>
                <c:ptCount val="4"/>
                <c:pt idx="0">
                  <c:v>Puits</c:v>
                </c:pt>
                <c:pt idx="1">
                  <c:v>Fontaine</c:v>
                </c:pt>
                <c:pt idx="2">
                  <c:v>Source d’eau naturelle                 </c:v>
                </c:pt>
                <c:pt idx="3">
                  <c:v>Raccordement au réseau d’eau potable</c:v>
                </c:pt>
              </c:strCache>
            </c:strRef>
          </c:cat>
          <c:val>
            <c:numRef>
              <c:f>Douar!$E$233:$E$236</c:f>
              <c:numCache>
                <c:formatCode>0%</c:formatCode>
                <c:ptCount val="4"/>
                <c:pt idx="0">
                  <c:v>0.4</c:v>
                </c:pt>
                <c:pt idx="1">
                  <c:v>0.4</c:v>
                </c:pt>
                <c:pt idx="2">
                  <c:v>5.7142857142857141E-2</c:v>
                </c:pt>
                <c:pt idx="3">
                  <c:v>0.14285714285714285</c:v>
                </c:pt>
              </c:numCache>
            </c:numRef>
          </c:val>
          <c:smooth val="0"/>
          <c:extLst xmlns:c16r2="http://schemas.microsoft.com/office/drawing/2015/06/chart">
            <c:ext xmlns:c16="http://schemas.microsoft.com/office/drawing/2014/chart" uri="{C3380CC4-5D6E-409C-BE32-E72D297353CC}">
              <c16:uniqueId val="{0000000A-2F8F-4C45-AA8E-A0589AB79CEA}"/>
            </c:ext>
          </c:extLst>
        </c:ser>
        <c:dLbls>
          <c:showLegendKey val="0"/>
          <c:showVal val="0"/>
          <c:showCatName val="0"/>
          <c:showSerName val="0"/>
          <c:showPercent val="0"/>
          <c:showBubbleSize val="0"/>
        </c:dLbls>
        <c:marker val="1"/>
        <c:smooth val="0"/>
        <c:axId val="648016640"/>
        <c:axId val="648024256"/>
      </c:lineChart>
      <c:catAx>
        <c:axId val="648023168"/>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fr-FR"/>
          </a:p>
        </c:txPr>
        <c:crossAx val="648023712"/>
        <c:crosses val="autoZero"/>
        <c:auto val="1"/>
        <c:lblAlgn val="ctr"/>
        <c:lblOffset val="100"/>
        <c:noMultiLvlLbl val="0"/>
      </c:catAx>
      <c:valAx>
        <c:axId val="648023712"/>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r>
                  <a:rPr lang="fr-FR"/>
                  <a:t>Nombre des enquêtés</a:t>
                </a:r>
              </a:p>
            </c:rich>
          </c:tx>
          <c:overlay val="0"/>
          <c:spPr>
            <a:noFill/>
            <a:ln>
              <a:noFill/>
            </a:ln>
            <a:effectLst/>
          </c:sp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fr-FR"/>
          </a:p>
        </c:txPr>
        <c:crossAx val="648023168"/>
        <c:crosses val="autoZero"/>
        <c:crossBetween val="between"/>
      </c:valAx>
      <c:valAx>
        <c:axId val="648024256"/>
        <c:scaling>
          <c:orientation val="minMax"/>
        </c:scaling>
        <c:delete val="0"/>
        <c:axPos val="r"/>
        <c:title>
          <c:tx>
            <c:rich>
              <a:bodyPr rot="-540000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r>
                  <a:rPr lang="fr-FR" sz="900" b="0" i="0" u="none" strike="noStrike" baseline="0">
                    <a:effectLst/>
                  </a:rPr>
                  <a:t>Enquêtés en % </a:t>
                </a:r>
                <a:endParaRPr lang="fr-FR"/>
              </a:p>
            </c:rich>
          </c:tx>
          <c:overlay val="0"/>
          <c:spPr>
            <a:noFill/>
            <a:ln>
              <a:noFill/>
            </a:ln>
            <a:effectLst/>
          </c:spPr>
        </c:title>
        <c:numFmt formatCode="0%"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fr-FR"/>
          </a:p>
        </c:txPr>
        <c:crossAx val="648016640"/>
        <c:crosses val="max"/>
        <c:crossBetween val="between"/>
      </c:valAx>
      <c:catAx>
        <c:axId val="648016640"/>
        <c:scaling>
          <c:orientation val="minMax"/>
        </c:scaling>
        <c:delete val="1"/>
        <c:axPos val="b"/>
        <c:numFmt formatCode="General" sourceLinked="1"/>
        <c:majorTickMark val="out"/>
        <c:minorTickMark val="none"/>
        <c:tickLblPos val="nextTo"/>
        <c:crossAx val="648024256"/>
        <c:crosses val="autoZero"/>
        <c:auto val="1"/>
        <c:lblAlgn val="ctr"/>
        <c:lblOffset val="100"/>
        <c:noMultiLvlLbl val="0"/>
      </c:cat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900">
          <a:solidFill>
            <a:schemeClr val="tx1"/>
          </a:solidFill>
          <a:latin typeface="Times New Roman" panose="02020603050405020304" pitchFamily="18" charset="0"/>
          <a:cs typeface="Times New Roman" panose="02020603050405020304" pitchFamily="18" charset="0"/>
        </a:defRPr>
      </a:pPr>
      <a:endParaRPr lang="fr-FR"/>
    </a:p>
  </c:txPr>
  <c:externalData r:id="rId2">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0"/>
          <c:order val="0"/>
          <c:spPr>
            <a:solidFill>
              <a:srgbClr val="002060"/>
            </a:solidFill>
            <a:ln>
              <a:noFill/>
            </a:ln>
            <a:effectLst/>
            <a:sp3d/>
          </c:spPr>
          <c:invertIfNegative val="0"/>
          <c:dLbls>
            <c:delete val="1"/>
          </c:dLbls>
          <c:cat>
            <c:strRef>
              <c:f>Douar!$B$317:$B$320</c:f>
              <c:strCache>
                <c:ptCount val="4"/>
                <c:pt idx="0">
                  <c:v>En tôle fine</c:v>
                </c:pt>
                <c:pt idx="1">
                  <c:v>Fragile</c:v>
                </c:pt>
                <c:pt idx="2">
                  <c:v>Dur rural</c:v>
                </c:pt>
                <c:pt idx="3">
                  <c:v>Dur avec architecture urbaine</c:v>
                </c:pt>
              </c:strCache>
            </c:strRef>
          </c:cat>
          <c:val>
            <c:numRef>
              <c:f>Douar!$C$317:$C$320</c:f>
              <c:numCache>
                <c:formatCode>General</c:formatCode>
                <c:ptCount val="4"/>
                <c:pt idx="0">
                  <c:v>20</c:v>
                </c:pt>
                <c:pt idx="1">
                  <c:v>24</c:v>
                </c:pt>
                <c:pt idx="2">
                  <c:v>45</c:v>
                </c:pt>
                <c:pt idx="3">
                  <c:v>16</c:v>
                </c:pt>
              </c:numCache>
            </c:numRef>
          </c:val>
          <c:extLst xmlns:c16r2="http://schemas.microsoft.com/office/drawing/2015/06/chart">
            <c:ext xmlns:c16="http://schemas.microsoft.com/office/drawing/2014/chart" uri="{C3380CC4-5D6E-409C-BE32-E72D297353CC}">
              <c16:uniqueId val="{00000000-BE21-438A-A198-B7B9C3D98465}"/>
            </c:ext>
          </c:extLst>
        </c:ser>
        <c:dLbls>
          <c:showLegendKey val="0"/>
          <c:showVal val="1"/>
          <c:showCatName val="0"/>
          <c:showSerName val="0"/>
          <c:showPercent val="0"/>
          <c:showBubbleSize val="0"/>
        </c:dLbls>
        <c:gapWidth val="150"/>
        <c:axId val="648009568"/>
        <c:axId val="648017184"/>
      </c:barChart>
      <c:lineChart>
        <c:grouping val="stacked"/>
        <c:varyColors val="0"/>
        <c:ser>
          <c:idx val="1"/>
          <c:order val="1"/>
          <c:spPr>
            <a:ln w="9525" cap="rnd">
              <a:solidFill>
                <a:sysClr val="windowText" lastClr="000000"/>
              </a:solidFill>
              <a:round/>
            </a:ln>
            <a:effectLst/>
          </c:spPr>
          <c:marker>
            <c:symbol val="circle"/>
            <c:size val="5"/>
            <c:spPr>
              <a:solidFill>
                <a:sysClr val="window" lastClr="FFFFFF"/>
              </a:solidFill>
              <a:ln w="9525">
                <a:solidFill>
                  <a:sysClr val="windowText" lastClr="000000"/>
                </a:solidFill>
              </a:ln>
              <a:effectLst/>
            </c:spPr>
          </c:marker>
          <c:dLbls>
            <c:dLbl>
              <c:idx val="0"/>
              <c:layout>
                <c:manualLayout>
                  <c:x val="-3.4575759514508107E-2"/>
                  <c:y val="-5.1061731086498037E-2"/>
                </c:manualLayout>
              </c:layout>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1-BE21-438A-A198-B7B9C3D98465}"/>
                </c:ext>
                <c:ext xmlns:c15="http://schemas.microsoft.com/office/drawing/2012/chart" uri="{CE6537A1-D6FC-4f65-9D91-7224C49458BB}"/>
              </c:extLst>
            </c:dLbl>
            <c:dLbl>
              <c:idx val="1"/>
              <c:layout>
                <c:manualLayout>
                  <c:x val="-3.704545662268726E-2"/>
                  <c:y val="-4.5388205410220477E-2"/>
                </c:manualLayout>
              </c:layout>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2-BE21-438A-A198-B7B9C3D98465}"/>
                </c:ext>
                <c:ext xmlns:c15="http://schemas.microsoft.com/office/drawing/2012/chart" uri="{CE6537A1-D6FC-4f65-9D91-7224C49458BB}"/>
              </c:extLst>
            </c:dLbl>
            <c:dLbl>
              <c:idx val="2"/>
              <c:layout>
                <c:manualLayout>
                  <c:x val="-4.1984850839045559E-2"/>
                  <c:y val="-5.6735256762775597E-2"/>
                </c:manualLayout>
              </c:layout>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3-BE21-438A-A198-B7B9C3D98465}"/>
                </c:ext>
                <c:ext xmlns:c15="http://schemas.microsoft.com/office/drawing/2012/chart" uri="{CE6537A1-D6FC-4f65-9D91-7224C49458BB}"/>
              </c:extLst>
            </c:dLbl>
            <c:dLbl>
              <c:idx val="3"/>
              <c:layout>
                <c:manualLayout>
                  <c:x val="-4.9393942163583011E-2"/>
                  <c:y val="-6.2408782439053158E-2"/>
                </c:manualLayout>
              </c:layout>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4-BE21-438A-A198-B7B9C3D98465}"/>
                </c:ext>
                <c:ext xmlns:c15="http://schemas.microsoft.com/office/drawing/2012/chart" uri="{CE6537A1-D6FC-4f65-9D91-7224C49458BB}"/>
              </c:extLst>
            </c:dLbl>
            <c:dLbl>
              <c:idx val="4"/>
              <c:layout>
                <c:manualLayout>
                  <c:x val="-3.9515153730866413E-2"/>
                  <c:y val="-0.14183814190693902"/>
                </c:manualLayout>
              </c:layout>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5-BE21-438A-A198-B7B9C3D98465}"/>
                </c:ext>
                <c:ext xmlns:c15="http://schemas.microsoft.com/office/drawing/2012/chart" uri="{CE6537A1-D6FC-4f65-9D91-7224C49458BB}"/>
              </c:extLst>
            </c:dLbl>
            <c:dLbl>
              <c:idx val="6"/>
              <c:layout>
                <c:manualLayout>
                  <c:x val="-1.9757576865433297E-2"/>
                  <c:y val="-8.5102885144163393E-2"/>
                </c:manualLayout>
              </c:layout>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6-BE21-438A-A198-B7B9C3D98465}"/>
                </c:ext>
                <c:ext xmlns:c15="http://schemas.microsoft.com/office/drawing/2012/chart" uri="{CE6537A1-D6FC-4f65-9D91-7224C49458BB}"/>
              </c:extLst>
            </c:dLbl>
            <c:dLbl>
              <c:idx val="7"/>
              <c:layout>
                <c:manualLayout>
                  <c:x val="-2.9636365298149718E-2"/>
                  <c:y val="-7.9429359467885832E-2"/>
                </c:manualLayout>
              </c:layout>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7-BE21-438A-A198-B7B9C3D98465}"/>
                </c:ext>
                <c:ext xmlns:c15="http://schemas.microsoft.com/office/drawing/2012/chart" uri="{CE6537A1-D6FC-4f65-9D91-7224C49458BB}"/>
              </c:extLst>
            </c:dLbl>
            <c:dLbl>
              <c:idx val="8"/>
              <c:layout>
                <c:manualLayout>
                  <c:x val="-3.704545662268726E-2"/>
                  <c:y val="-7.3755833791608272E-2"/>
                </c:manualLayout>
              </c:layout>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8-BE21-438A-A198-B7B9C3D98465}"/>
                </c:ext>
                <c:ext xmlns:c15="http://schemas.microsoft.com/office/drawing/2012/chart" uri="{CE6537A1-D6FC-4f65-9D91-7224C49458BB}"/>
              </c:extLst>
            </c:dLbl>
            <c:dLbl>
              <c:idx val="9"/>
              <c:layout>
                <c:manualLayout>
                  <c:x val="-3.4575759514508107E-2"/>
                  <c:y val="-7.3755833791608272E-2"/>
                </c:manualLayout>
              </c:layout>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9-BE21-438A-A198-B7B9C3D98465}"/>
                </c:ext>
                <c:ext xmlns:c15="http://schemas.microsoft.com/office/drawing/2012/chart" uri="{CE6537A1-D6FC-4f65-9D91-7224C49458BB}"/>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fr-FR"/>
              </a:p>
            </c:txPr>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Douar!$B$317:$B$320</c:f>
              <c:strCache>
                <c:ptCount val="4"/>
                <c:pt idx="0">
                  <c:v>En tôle fine</c:v>
                </c:pt>
                <c:pt idx="1">
                  <c:v>Fragile</c:v>
                </c:pt>
                <c:pt idx="2">
                  <c:v>Dur rural</c:v>
                </c:pt>
                <c:pt idx="3">
                  <c:v>Dur avec architecture urbaine</c:v>
                </c:pt>
              </c:strCache>
            </c:strRef>
          </c:cat>
          <c:val>
            <c:numRef>
              <c:f>Douar!$D$317:$D$320</c:f>
              <c:numCache>
                <c:formatCode>0%</c:formatCode>
                <c:ptCount val="4"/>
                <c:pt idx="0">
                  <c:v>0.19047619047619047</c:v>
                </c:pt>
                <c:pt idx="1">
                  <c:v>0.22857142857142856</c:v>
                </c:pt>
                <c:pt idx="2">
                  <c:v>0.42857142857142855</c:v>
                </c:pt>
                <c:pt idx="3">
                  <c:v>0.15238095238095239</c:v>
                </c:pt>
              </c:numCache>
            </c:numRef>
          </c:val>
          <c:smooth val="0"/>
          <c:extLst xmlns:c16r2="http://schemas.microsoft.com/office/drawing/2015/06/chart">
            <c:ext xmlns:c16="http://schemas.microsoft.com/office/drawing/2014/chart" uri="{C3380CC4-5D6E-409C-BE32-E72D297353CC}">
              <c16:uniqueId val="{0000000A-BE21-438A-A198-B7B9C3D98465}"/>
            </c:ext>
          </c:extLst>
        </c:ser>
        <c:dLbls>
          <c:showLegendKey val="0"/>
          <c:showVal val="0"/>
          <c:showCatName val="0"/>
          <c:showSerName val="0"/>
          <c:showPercent val="0"/>
          <c:showBubbleSize val="0"/>
        </c:dLbls>
        <c:marker val="1"/>
        <c:smooth val="0"/>
        <c:axId val="648010112"/>
        <c:axId val="648012288"/>
      </c:lineChart>
      <c:catAx>
        <c:axId val="648009568"/>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fr-FR"/>
          </a:p>
        </c:txPr>
        <c:crossAx val="648017184"/>
        <c:crosses val="autoZero"/>
        <c:auto val="1"/>
        <c:lblAlgn val="ctr"/>
        <c:lblOffset val="100"/>
        <c:noMultiLvlLbl val="0"/>
      </c:catAx>
      <c:valAx>
        <c:axId val="648017184"/>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100" b="0" i="0" u="none" strike="noStrike" kern="1200" baseline="0">
                    <a:solidFill>
                      <a:schemeClr val="tx1"/>
                    </a:solidFill>
                    <a:latin typeface="Times New Roman" panose="02020603050405020304" pitchFamily="18" charset="0"/>
                    <a:ea typeface="+mn-ea"/>
                    <a:cs typeface="Times New Roman" panose="02020603050405020304" pitchFamily="18" charset="0"/>
                  </a:defRPr>
                </a:pPr>
                <a:r>
                  <a:rPr lang="fr-FR" sz="1100" b="0" i="0" baseline="0">
                    <a:effectLst/>
                  </a:rPr>
                  <a:t>Nombre des enquêtés</a:t>
                </a:r>
                <a:endParaRPr lang="fr-FR" sz="1100">
                  <a:effectLst/>
                </a:endParaRPr>
              </a:p>
            </c:rich>
          </c:tx>
          <c:overlay val="0"/>
          <c:spPr>
            <a:noFill/>
            <a:ln>
              <a:noFill/>
            </a:ln>
            <a:effectLst/>
          </c:sp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fr-FR"/>
          </a:p>
        </c:txPr>
        <c:crossAx val="648009568"/>
        <c:crosses val="autoZero"/>
        <c:crossBetween val="between"/>
      </c:valAx>
      <c:valAx>
        <c:axId val="648012288"/>
        <c:scaling>
          <c:orientation val="minMax"/>
        </c:scaling>
        <c:delete val="0"/>
        <c:axPos val="r"/>
        <c:title>
          <c:tx>
            <c:rich>
              <a:bodyPr rot="-5400000" spcFirstLastPara="1" vertOverflow="ellipsis" vert="horz" wrap="square" anchor="ctr" anchorCtr="1"/>
              <a:lstStyle/>
              <a:p>
                <a:pPr>
                  <a:defRPr sz="1000" b="0" i="0" u="none" strike="noStrike" kern="1200" baseline="0">
                    <a:solidFill>
                      <a:schemeClr val="tx1"/>
                    </a:solidFill>
                    <a:latin typeface="Times New Roman" panose="02020603050405020304" pitchFamily="18" charset="0"/>
                    <a:ea typeface="+mn-ea"/>
                    <a:cs typeface="Times New Roman" panose="02020603050405020304" pitchFamily="18" charset="0"/>
                  </a:defRPr>
                </a:pPr>
                <a:r>
                  <a:rPr lang="fr-FR" sz="1000" b="0" i="0" u="none" strike="noStrike" baseline="0">
                    <a:effectLst/>
                  </a:rPr>
                  <a:t>Enquêtés en % </a:t>
                </a:r>
                <a:endParaRPr lang="fr-FR"/>
              </a:p>
            </c:rich>
          </c:tx>
          <c:overlay val="0"/>
          <c:spPr>
            <a:noFill/>
            <a:ln>
              <a:noFill/>
            </a:ln>
            <a:effectLst/>
          </c:spPr>
        </c:title>
        <c:numFmt formatCode="0%"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fr-FR"/>
          </a:p>
        </c:txPr>
        <c:crossAx val="648010112"/>
        <c:crosses val="max"/>
        <c:crossBetween val="between"/>
      </c:valAx>
      <c:catAx>
        <c:axId val="648010112"/>
        <c:scaling>
          <c:orientation val="minMax"/>
        </c:scaling>
        <c:delete val="1"/>
        <c:axPos val="b"/>
        <c:numFmt formatCode="General" sourceLinked="1"/>
        <c:majorTickMark val="out"/>
        <c:minorTickMark val="none"/>
        <c:tickLblPos val="nextTo"/>
        <c:crossAx val="648012288"/>
        <c:crosses val="autoZero"/>
        <c:auto val="1"/>
        <c:lblAlgn val="ctr"/>
        <c:lblOffset val="100"/>
        <c:noMultiLvlLbl val="0"/>
      </c:cat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solidFill>
            <a:schemeClr val="tx1"/>
          </a:solidFill>
          <a:latin typeface="Times New Roman" panose="02020603050405020304" pitchFamily="18" charset="0"/>
          <a:cs typeface="Times New Roman" panose="02020603050405020304" pitchFamily="18" charset="0"/>
        </a:defRPr>
      </a:pPr>
      <a:endParaRPr lang="fr-FR"/>
    </a:p>
  </c:txPr>
  <c:externalData r:id="rId2">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0"/>
          <c:order val="0"/>
          <c:spPr>
            <a:solidFill>
              <a:srgbClr val="FFC000"/>
            </a:solidFill>
            <a:ln w="19050" cap="flat" cmpd="sng" algn="ctr">
              <a:solidFill>
                <a:sysClr val="window" lastClr="FFFFFF"/>
              </a:solidFill>
              <a:prstDash val="solid"/>
              <a:miter lim="800000"/>
            </a:ln>
            <a:effectLst/>
            <a:scene3d>
              <a:camera prst="orthographicFront"/>
              <a:lightRig rig="threePt" dir="t"/>
            </a:scene3d>
            <a:sp3d prstMaterial="matte">
              <a:bevelT w="127000" h="63500"/>
            </a:sp3d>
          </c:spPr>
          <c:invertIfNegative val="0"/>
          <c:dLbls>
            <c:delete val="1"/>
          </c:dLbls>
          <c:cat>
            <c:strRef>
              <c:f>Douar!$G$306:$G$311</c:f>
              <c:strCache>
                <c:ptCount val="6"/>
                <c:pt idx="0">
                  <c:v>Une chambre</c:v>
                </c:pt>
                <c:pt idx="1">
                  <c:v>Deux chambres</c:v>
                </c:pt>
                <c:pt idx="2">
                  <c:v>Trois chambres  </c:v>
                </c:pt>
                <c:pt idx="3">
                  <c:v>Quatre chambres</c:v>
                </c:pt>
                <c:pt idx="4">
                  <c:v>Cinq chambres</c:v>
                </c:pt>
                <c:pt idx="5">
                  <c:v>Huit chambres</c:v>
                </c:pt>
              </c:strCache>
            </c:strRef>
          </c:cat>
          <c:val>
            <c:numRef>
              <c:f>Douar!$H$306:$H$311</c:f>
              <c:numCache>
                <c:formatCode>General</c:formatCode>
                <c:ptCount val="6"/>
                <c:pt idx="0">
                  <c:v>5</c:v>
                </c:pt>
                <c:pt idx="1">
                  <c:v>47</c:v>
                </c:pt>
                <c:pt idx="2">
                  <c:v>45</c:v>
                </c:pt>
                <c:pt idx="3">
                  <c:v>4</c:v>
                </c:pt>
                <c:pt idx="4">
                  <c:v>2</c:v>
                </c:pt>
                <c:pt idx="5">
                  <c:v>1</c:v>
                </c:pt>
              </c:numCache>
            </c:numRef>
          </c:val>
          <c:extLst xmlns:c16r2="http://schemas.microsoft.com/office/drawing/2015/06/chart">
            <c:ext xmlns:c16="http://schemas.microsoft.com/office/drawing/2014/chart" uri="{C3380CC4-5D6E-409C-BE32-E72D297353CC}">
              <c16:uniqueId val="{00000000-FD15-45B6-B720-CB02283A10B0}"/>
            </c:ext>
          </c:extLst>
        </c:ser>
        <c:dLbls>
          <c:showLegendKey val="0"/>
          <c:showVal val="1"/>
          <c:showCatName val="0"/>
          <c:showSerName val="0"/>
          <c:showPercent val="0"/>
          <c:showBubbleSize val="0"/>
        </c:dLbls>
        <c:gapWidth val="150"/>
        <c:axId val="648012832"/>
        <c:axId val="648013376"/>
      </c:barChart>
      <c:lineChart>
        <c:grouping val="stacked"/>
        <c:varyColors val="0"/>
        <c:ser>
          <c:idx val="1"/>
          <c:order val="1"/>
          <c:spPr>
            <a:ln w="9525" cap="rnd">
              <a:solidFill>
                <a:sysClr val="windowText" lastClr="000000"/>
              </a:solidFill>
              <a:round/>
            </a:ln>
            <a:effectLst/>
          </c:spPr>
          <c:marker>
            <c:symbol val="circle"/>
            <c:size val="5"/>
            <c:spPr>
              <a:solidFill>
                <a:sysClr val="window" lastClr="FFFFFF"/>
              </a:solidFill>
              <a:ln w="9525">
                <a:solidFill>
                  <a:sysClr val="windowText" lastClr="000000"/>
                </a:solidFill>
              </a:ln>
              <a:effectLst/>
            </c:spPr>
          </c:marker>
          <c:dLbls>
            <c:dLbl>
              <c:idx val="0"/>
              <c:layout>
                <c:manualLayout>
                  <c:x val="-5.1242344706911636E-2"/>
                  <c:y val="-0.12976560221638969"/>
                </c:manualLayout>
              </c:layout>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1-FD15-45B6-B720-CB02283A10B0}"/>
                </c:ext>
                <c:ext xmlns:c15="http://schemas.microsoft.com/office/drawing/2012/chart" uri="{CE6537A1-D6FC-4f65-9D91-7224C49458BB}"/>
              </c:extLst>
            </c:dLbl>
            <c:dLbl>
              <c:idx val="1"/>
              <c:layout>
                <c:manualLayout>
                  <c:x val="-5.3712160979877514E-2"/>
                  <c:y val="-8.2425269757946923E-2"/>
                </c:manualLayout>
              </c:layout>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2-FD15-45B6-B720-CB02283A10B0}"/>
                </c:ext>
                <c:ext xmlns:c15="http://schemas.microsoft.com/office/drawing/2012/chart" uri="{CE6537A1-D6FC-4f65-9D91-7224C49458BB}"/>
              </c:extLst>
            </c:dLbl>
            <c:dLbl>
              <c:idx val="2"/>
              <c:layout>
                <c:manualLayout>
                  <c:x val="-5.0318241469816276E-2"/>
                  <c:y val="-9.3772236803732867E-2"/>
                </c:manualLayout>
              </c:layout>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3-FD15-45B6-B720-CB02283A10B0}"/>
                </c:ext>
                <c:ext xmlns:c15="http://schemas.microsoft.com/office/drawing/2012/chart" uri="{CE6537A1-D6FC-4f65-9D91-7224C49458BB}"/>
              </c:extLst>
            </c:dLbl>
            <c:dLbl>
              <c:idx val="3"/>
              <c:layout>
                <c:manualLayout>
                  <c:x val="-2.7171697287839122E-2"/>
                  <c:y val="-0.1179644211140275"/>
                </c:manualLayout>
              </c:layout>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4-FD15-45B6-B720-CB02283A10B0}"/>
                </c:ext>
                <c:ext xmlns:c15="http://schemas.microsoft.com/office/drawing/2012/chart" uri="{CE6537A1-D6FC-4f65-9D91-7224C49458BB}"/>
              </c:extLst>
            </c:dLbl>
            <c:dLbl>
              <c:idx val="4"/>
              <c:layout>
                <c:manualLayout>
                  <c:x val="-3.9515153730866413E-2"/>
                  <c:y val="-0.14183814190693902"/>
                </c:manualLayout>
              </c:layout>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5-FD15-45B6-B720-CB02283A10B0}"/>
                </c:ext>
                <c:ext xmlns:c15="http://schemas.microsoft.com/office/drawing/2012/chart" uri="{CE6537A1-D6FC-4f65-9D91-7224C49458BB}"/>
              </c:extLst>
            </c:dLbl>
            <c:dLbl>
              <c:idx val="5"/>
              <c:layout>
                <c:manualLayout>
                  <c:x val="-2.2222222222222223E-2"/>
                  <c:y val="-9.2592592592592587E-2"/>
                </c:manualLayout>
              </c:layout>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6-FD15-45B6-B720-CB02283A10B0}"/>
                </c:ext>
                <c:ext xmlns:c15="http://schemas.microsoft.com/office/drawing/2012/chart" uri="{CE6537A1-D6FC-4f65-9D91-7224C49458BB}"/>
              </c:extLst>
            </c:dLbl>
            <c:dLbl>
              <c:idx val="6"/>
              <c:layout>
                <c:manualLayout>
                  <c:x val="-1.9757576865433297E-2"/>
                  <c:y val="-8.5102885144163393E-2"/>
                </c:manualLayout>
              </c:layout>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7-FD15-45B6-B720-CB02283A10B0}"/>
                </c:ext>
                <c:ext xmlns:c15="http://schemas.microsoft.com/office/drawing/2012/chart" uri="{CE6537A1-D6FC-4f65-9D91-7224C49458BB}"/>
              </c:extLst>
            </c:dLbl>
            <c:dLbl>
              <c:idx val="7"/>
              <c:layout>
                <c:manualLayout>
                  <c:x val="-2.9636365298149718E-2"/>
                  <c:y val="-7.9429359467885832E-2"/>
                </c:manualLayout>
              </c:layout>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8-FD15-45B6-B720-CB02283A10B0}"/>
                </c:ext>
                <c:ext xmlns:c15="http://schemas.microsoft.com/office/drawing/2012/chart" uri="{CE6537A1-D6FC-4f65-9D91-7224C49458BB}"/>
              </c:extLst>
            </c:dLbl>
            <c:dLbl>
              <c:idx val="8"/>
              <c:layout>
                <c:manualLayout>
                  <c:x val="-3.704545662268726E-2"/>
                  <c:y val="-7.3755833791608272E-2"/>
                </c:manualLayout>
              </c:layout>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9-FD15-45B6-B720-CB02283A10B0}"/>
                </c:ext>
                <c:ext xmlns:c15="http://schemas.microsoft.com/office/drawing/2012/chart" uri="{CE6537A1-D6FC-4f65-9D91-7224C49458BB}"/>
              </c:extLst>
            </c:dLbl>
            <c:dLbl>
              <c:idx val="9"/>
              <c:layout>
                <c:manualLayout>
                  <c:x val="-3.4575759514508107E-2"/>
                  <c:y val="-7.3755833791608272E-2"/>
                </c:manualLayout>
              </c:layout>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A-FD15-45B6-B720-CB02283A10B0}"/>
                </c:ext>
                <c:ext xmlns:c15="http://schemas.microsoft.com/office/drawing/2012/chart" uri="{CE6537A1-D6FC-4f65-9D91-7224C49458BB}"/>
              </c:extLst>
            </c:dLbl>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fr-FR"/>
              </a:p>
            </c:txPr>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Douar!$G$306:$G$311</c:f>
              <c:strCache>
                <c:ptCount val="6"/>
                <c:pt idx="0">
                  <c:v>Une chambre</c:v>
                </c:pt>
                <c:pt idx="1">
                  <c:v>Deux chambres</c:v>
                </c:pt>
                <c:pt idx="2">
                  <c:v>Trois chambres  </c:v>
                </c:pt>
                <c:pt idx="3">
                  <c:v>Quatre chambres</c:v>
                </c:pt>
                <c:pt idx="4">
                  <c:v>Cinq chambres</c:v>
                </c:pt>
                <c:pt idx="5">
                  <c:v>Huit chambres</c:v>
                </c:pt>
              </c:strCache>
            </c:strRef>
          </c:cat>
          <c:val>
            <c:numRef>
              <c:f>Douar!$I$306:$I$311</c:f>
              <c:numCache>
                <c:formatCode>0%</c:formatCode>
                <c:ptCount val="6"/>
                <c:pt idx="0">
                  <c:v>4.7619047619047616E-2</c:v>
                </c:pt>
                <c:pt idx="1">
                  <c:v>0.44761904761904764</c:v>
                </c:pt>
                <c:pt idx="2">
                  <c:v>0.42857142857142855</c:v>
                </c:pt>
                <c:pt idx="3">
                  <c:v>3.8095238095238099E-2</c:v>
                </c:pt>
                <c:pt idx="4">
                  <c:v>1.9047619047619049E-2</c:v>
                </c:pt>
                <c:pt idx="5">
                  <c:v>9.5238095238095247E-3</c:v>
                </c:pt>
              </c:numCache>
            </c:numRef>
          </c:val>
          <c:smooth val="0"/>
          <c:extLst xmlns:c16r2="http://schemas.microsoft.com/office/drawing/2015/06/chart">
            <c:ext xmlns:c16="http://schemas.microsoft.com/office/drawing/2014/chart" uri="{C3380CC4-5D6E-409C-BE32-E72D297353CC}">
              <c16:uniqueId val="{0000000B-FD15-45B6-B720-CB02283A10B0}"/>
            </c:ext>
          </c:extLst>
        </c:ser>
        <c:dLbls>
          <c:showLegendKey val="0"/>
          <c:showVal val="0"/>
          <c:showCatName val="0"/>
          <c:showSerName val="0"/>
          <c:showPercent val="0"/>
          <c:showBubbleSize val="0"/>
        </c:dLbls>
        <c:marker val="1"/>
        <c:smooth val="0"/>
        <c:axId val="648015008"/>
        <c:axId val="648013920"/>
      </c:lineChart>
      <c:catAx>
        <c:axId val="648012832"/>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solidFill>
                    <a:latin typeface="Times New Roman" panose="02020603050405020304" pitchFamily="18" charset="0"/>
                    <a:ea typeface="+mn-ea"/>
                    <a:cs typeface="Times New Roman" panose="02020603050405020304" pitchFamily="18" charset="0"/>
                  </a:defRPr>
                </a:pPr>
                <a:r>
                  <a:rPr lang="fr-FR" sz="1000" b="0" i="0" u="none" strike="noStrike" baseline="0">
                    <a:effectLst/>
                  </a:rPr>
                  <a:t>Nombre de chambres </a:t>
                </a:r>
                <a:endParaRPr lang="fr-FR"/>
              </a:p>
            </c:rich>
          </c:tx>
          <c:overlay val="0"/>
          <c:spPr>
            <a:noFill/>
            <a:ln>
              <a:noFill/>
            </a:ln>
            <a:effectLst/>
          </c:sp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0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fr-FR"/>
          </a:p>
        </c:txPr>
        <c:crossAx val="648013376"/>
        <c:crosses val="autoZero"/>
        <c:auto val="1"/>
        <c:lblAlgn val="ctr"/>
        <c:lblOffset val="100"/>
        <c:noMultiLvlLbl val="0"/>
      </c:catAx>
      <c:valAx>
        <c:axId val="648013376"/>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solidFill>
                    <a:latin typeface="Times New Roman" panose="02020603050405020304" pitchFamily="18" charset="0"/>
                    <a:ea typeface="+mn-ea"/>
                    <a:cs typeface="Times New Roman" panose="02020603050405020304" pitchFamily="18" charset="0"/>
                  </a:defRPr>
                </a:pPr>
                <a:r>
                  <a:rPr lang="fr-FR"/>
                  <a:t>Nombre des enquêtés</a:t>
                </a:r>
              </a:p>
            </c:rich>
          </c:tx>
          <c:overlay val="0"/>
          <c:spPr>
            <a:noFill/>
            <a:ln>
              <a:noFill/>
            </a:ln>
            <a:effectLst/>
          </c:sp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0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fr-FR"/>
          </a:p>
        </c:txPr>
        <c:crossAx val="648012832"/>
        <c:crosses val="autoZero"/>
        <c:crossBetween val="between"/>
      </c:valAx>
      <c:valAx>
        <c:axId val="648013920"/>
        <c:scaling>
          <c:orientation val="minMax"/>
        </c:scaling>
        <c:delete val="0"/>
        <c:axPos val="r"/>
        <c:title>
          <c:tx>
            <c:rich>
              <a:bodyPr rot="-5400000" spcFirstLastPara="1" vertOverflow="ellipsis" vert="horz" wrap="square" anchor="ctr" anchorCtr="1"/>
              <a:lstStyle/>
              <a:p>
                <a:pPr>
                  <a:defRPr sz="1000" b="0" i="0" u="none" strike="noStrike" kern="1200" baseline="0">
                    <a:solidFill>
                      <a:schemeClr val="tx1"/>
                    </a:solidFill>
                    <a:latin typeface="Times New Roman" panose="02020603050405020304" pitchFamily="18" charset="0"/>
                    <a:ea typeface="+mn-ea"/>
                    <a:cs typeface="Times New Roman" panose="02020603050405020304" pitchFamily="18" charset="0"/>
                  </a:defRPr>
                </a:pPr>
                <a:r>
                  <a:rPr lang="fr-FR"/>
                  <a:t>Enquêtés en % </a:t>
                </a:r>
              </a:p>
            </c:rich>
          </c:tx>
          <c:overlay val="0"/>
          <c:spPr>
            <a:noFill/>
            <a:ln>
              <a:noFill/>
            </a:ln>
            <a:effectLst/>
          </c:spPr>
        </c:title>
        <c:numFmt formatCode="0%" sourceLinked="1"/>
        <c:majorTickMark val="out"/>
        <c:minorTickMark val="none"/>
        <c:tickLblPos val="nextTo"/>
        <c:spPr>
          <a:noFill/>
          <a:ln>
            <a:noFill/>
          </a:ln>
          <a:effectLst/>
        </c:spPr>
        <c:txPr>
          <a:bodyPr rot="-60000000" spcFirstLastPara="1" vertOverflow="ellipsis" vert="horz" wrap="square" anchor="ctr" anchorCtr="1"/>
          <a:lstStyle/>
          <a:p>
            <a:pPr>
              <a:defRPr sz="10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fr-FR"/>
          </a:p>
        </c:txPr>
        <c:crossAx val="648015008"/>
        <c:crosses val="max"/>
        <c:crossBetween val="between"/>
      </c:valAx>
      <c:catAx>
        <c:axId val="648015008"/>
        <c:scaling>
          <c:orientation val="minMax"/>
        </c:scaling>
        <c:delete val="1"/>
        <c:axPos val="b"/>
        <c:numFmt formatCode="General" sourceLinked="1"/>
        <c:majorTickMark val="out"/>
        <c:minorTickMark val="none"/>
        <c:tickLblPos val="nextTo"/>
        <c:crossAx val="648013920"/>
        <c:crosses val="autoZero"/>
        <c:auto val="1"/>
        <c:lblAlgn val="ctr"/>
        <c:lblOffset val="100"/>
        <c:noMultiLvlLbl val="0"/>
      </c:cat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1000">
          <a:solidFill>
            <a:schemeClr val="tx1"/>
          </a:solidFill>
          <a:latin typeface="Times New Roman" panose="02020603050405020304" pitchFamily="18" charset="0"/>
          <a:cs typeface="Times New Roman" panose="02020603050405020304" pitchFamily="18" charset="0"/>
        </a:defRPr>
      </a:pPr>
      <a:endParaRPr lang="fr-FR"/>
    </a:p>
  </c:txPr>
  <c:externalData r:id="rId2">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view3D>
      <c:rotX val="3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pie3DChart>
        <c:varyColors val="1"/>
        <c:ser>
          <c:idx val="0"/>
          <c:order val="0"/>
          <c:dPt>
            <c:idx val="0"/>
            <c:bubble3D val="0"/>
            <c:spPr>
              <a:solidFill>
                <a:srgbClr val="92D050"/>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xmlns:c16r2="http://schemas.microsoft.com/office/drawing/2015/06/chart">
              <c:ext xmlns:c16="http://schemas.microsoft.com/office/drawing/2014/chart" uri="{C3380CC4-5D6E-409C-BE32-E72D297353CC}">
                <c16:uniqueId val="{00000001-8FD4-4AA9-93EA-8325037B1BDD}"/>
              </c:ext>
            </c:extLst>
          </c:dPt>
          <c:dPt>
            <c:idx val="1"/>
            <c:bubble3D val="0"/>
            <c:spPr>
              <a:solidFill>
                <a:srgbClr val="FFC000"/>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xmlns:c16r2="http://schemas.microsoft.com/office/drawing/2015/06/chart">
              <c:ext xmlns:c16="http://schemas.microsoft.com/office/drawing/2014/chart" uri="{C3380CC4-5D6E-409C-BE32-E72D297353CC}">
                <c16:uniqueId val="{00000003-8FD4-4AA9-93EA-8325037B1BDD}"/>
              </c:ext>
            </c:extLst>
          </c:dPt>
          <c:dLbls>
            <c:dLbl>
              <c:idx val="0"/>
              <c:spPr>
                <a:noFill/>
                <a:ln>
                  <a:noFill/>
                </a:ln>
                <a:effectLst/>
              </c:spPr>
              <c:txPr>
                <a:bodyPr rot="0" spcFirstLastPara="1" vertOverflow="ellipsis" vert="horz" wrap="square" anchor="ctr" anchorCtr="1"/>
                <a:lstStyle/>
                <a:p>
                  <a:pPr>
                    <a:defRPr sz="1000" b="1" i="0" u="none" strike="noStrike" kern="1200" spc="0" baseline="0">
                      <a:solidFill>
                        <a:sysClr val="windowText" lastClr="000000"/>
                      </a:solidFill>
                      <a:latin typeface="Times New Roman" panose="02020603050405020304" pitchFamily="18" charset="0"/>
                      <a:ea typeface="+mn-ea"/>
                      <a:cs typeface="Times New Roman" panose="02020603050405020304" pitchFamily="18" charset="0"/>
                    </a:defRPr>
                  </a:pPr>
                  <a:endParaRPr lang="fr-FR"/>
                </a:p>
              </c:txPr>
              <c:dLblPos val="outEnd"/>
              <c:showLegendKey val="0"/>
              <c:showVal val="0"/>
              <c:showCatName val="1"/>
              <c:showSerName val="0"/>
              <c:showPercent val="1"/>
              <c:showBubbleSize val="0"/>
            </c:dLbl>
            <c:dLbl>
              <c:idx val="1"/>
              <c:layout>
                <c:manualLayout>
                  <c:x val="0.10016390457111639"/>
                  <c:y val="-0.35476126967191252"/>
                </c:manualLayout>
              </c:layout>
              <c:spPr>
                <a:noFill/>
                <a:ln>
                  <a:noFill/>
                </a:ln>
                <a:effectLst/>
              </c:spPr>
              <c:txPr>
                <a:bodyPr rot="0" spcFirstLastPara="1" vertOverflow="ellipsis" vert="horz" wrap="square" anchor="ctr" anchorCtr="1"/>
                <a:lstStyle/>
                <a:p>
                  <a:pPr>
                    <a:defRPr sz="1000" b="1" i="0" u="none" strike="noStrike" kern="1200" spc="0" baseline="0">
                      <a:solidFill>
                        <a:sysClr val="windowText" lastClr="000000"/>
                      </a:solidFill>
                      <a:latin typeface="Times New Roman" panose="02020603050405020304" pitchFamily="18" charset="0"/>
                      <a:ea typeface="+mn-ea"/>
                      <a:cs typeface="Times New Roman" panose="02020603050405020304" pitchFamily="18" charset="0"/>
                    </a:defRPr>
                  </a:pPr>
                  <a:endParaRPr lang="fr-FR"/>
                </a:p>
              </c:txPr>
              <c:dLblPos val="bestFit"/>
              <c:showLegendKey val="0"/>
              <c:showVal val="0"/>
              <c:showCatName val="1"/>
              <c:showSerName val="0"/>
              <c:showPercent val="1"/>
              <c:showBubbleSize val="0"/>
              <c:extLst xmlns:c16r2="http://schemas.microsoft.com/office/drawing/2015/06/chart">
                <c:ext xmlns:c16="http://schemas.microsoft.com/office/drawing/2014/chart" uri="{C3380CC4-5D6E-409C-BE32-E72D297353CC}">
                  <c16:uniqueId val="{00000003-8FD4-4AA9-93EA-8325037B1BDD}"/>
                </c:ext>
                <c:ext xmlns:c15="http://schemas.microsoft.com/office/drawing/2012/chart" uri="{CE6537A1-D6FC-4f65-9D91-7224C49458BB}">
                  <c15:layout>
                    <c:manualLayout>
                      <c:w val="0.26304862502276455"/>
                      <c:h val="0.20538810349426515"/>
                    </c:manualLayout>
                  </c15:layout>
                </c:ext>
              </c:extLst>
            </c:dLbl>
            <c:spPr>
              <a:noFill/>
              <a:ln>
                <a:noFill/>
              </a:ln>
              <a:effectLst/>
            </c:spPr>
            <c:dLblPos val="outEnd"/>
            <c:showLegendKey val="0"/>
            <c:showVal val="0"/>
            <c:showCatName val="1"/>
            <c:showSerName val="0"/>
            <c:showPercent val="1"/>
            <c:showBubbleSize val="0"/>
            <c:showLeaderLines val="1"/>
            <c:leaderLines>
              <c:spPr>
                <a:ln w="9525" cap="flat" cmpd="sng" algn="ctr">
                  <a:solidFill>
                    <a:schemeClr val="tx1">
                      <a:lumMod val="35000"/>
                      <a:lumOff val="65000"/>
                    </a:schemeClr>
                  </a:solidFill>
                  <a:round/>
                </a:ln>
                <a:effectLst/>
              </c:spPr>
            </c:leaderLines>
            <c:extLst xmlns:c16r2="http://schemas.microsoft.com/office/drawing/2015/06/chart">
              <c:ext xmlns:c15="http://schemas.microsoft.com/office/drawing/2012/chart" uri="{CE6537A1-D6FC-4f65-9D91-7224C49458BB}"/>
            </c:extLst>
          </c:dLbls>
          <c:cat>
            <c:strRef>
              <c:f>Douar!$B$1040:$C$1040</c:f>
              <c:strCache>
                <c:ptCount val="2"/>
                <c:pt idx="0">
                  <c:v>Existantes </c:v>
                </c:pt>
                <c:pt idx="1">
                  <c:v>Inexistantes</c:v>
                </c:pt>
              </c:strCache>
            </c:strRef>
          </c:cat>
          <c:val>
            <c:numRef>
              <c:f>Douar!$B$1041:$C$1041</c:f>
              <c:numCache>
                <c:formatCode>###0</c:formatCode>
                <c:ptCount val="2"/>
                <c:pt idx="0">
                  <c:v>46</c:v>
                </c:pt>
                <c:pt idx="1">
                  <c:v>59</c:v>
                </c:pt>
              </c:numCache>
            </c:numRef>
          </c:val>
          <c:extLst xmlns:c16r2="http://schemas.microsoft.com/office/drawing/2015/06/chart">
            <c:ext xmlns:c16="http://schemas.microsoft.com/office/drawing/2014/chart" uri="{C3380CC4-5D6E-409C-BE32-E72D297353CC}">
              <c16:uniqueId val="{00000004-8FD4-4AA9-93EA-8325037B1BDD}"/>
            </c:ext>
          </c:extLst>
        </c:ser>
        <c:dLbls>
          <c:dLblPos val="outEnd"/>
          <c:showLegendKey val="0"/>
          <c:showVal val="0"/>
          <c:showCatName val="1"/>
          <c:showSerName val="0"/>
          <c:showPercent val="0"/>
          <c:showBubbleSize val="0"/>
          <c:showLeaderLines val="1"/>
        </c:dLbls>
      </c:pie3DChart>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solidFill>
            <a:sysClr val="windowText" lastClr="000000"/>
          </a:solidFill>
          <a:latin typeface="Times New Roman" panose="02020603050405020304" pitchFamily="18" charset="0"/>
          <a:cs typeface="Times New Roman" panose="02020603050405020304" pitchFamily="18" charset="0"/>
        </a:defRPr>
      </a:pPr>
      <a:endParaRPr lang="fr-FR"/>
    </a:p>
  </c:txPr>
  <c:externalData r:id="rId2">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view3D>
      <c:rotX val="3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pie3DChart>
        <c:varyColors val="1"/>
        <c:ser>
          <c:idx val="0"/>
          <c:order val="0"/>
          <c:dPt>
            <c:idx val="0"/>
            <c:bubble3D val="0"/>
            <c:spPr>
              <a:solidFill>
                <a:srgbClr val="92D050"/>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xmlns:c16r2="http://schemas.microsoft.com/office/drawing/2015/06/chart">
              <c:ext xmlns:c16="http://schemas.microsoft.com/office/drawing/2014/chart" uri="{C3380CC4-5D6E-409C-BE32-E72D297353CC}">
                <c16:uniqueId val="{00000001-3C5F-4800-8EDE-0C1F9AAB615A}"/>
              </c:ext>
            </c:extLst>
          </c:dPt>
          <c:dPt>
            <c:idx val="1"/>
            <c:bubble3D val="0"/>
            <c:spPr>
              <a:solidFill>
                <a:srgbClr val="FFC000"/>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xmlns:c16r2="http://schemas.microsoft.com/office/drawing/2015/06/chart">
              <c:ext xmlns:c16="http://schemas.microsoft.com/office/drawing/2014/chart" uri="{C3380CC4-5D6E-409C-BE32-E72D297353CC}">
                <c16:uniqueId val="{00000003-3C5F-4800-8EDE-0C1F9AAB615A}"/>
              </c:ext>
            </c:extLst>
          </c:dPt>
          <c:dLbls>
            <c:dLbl>
              <c:idx val="0"/>
              <c:spPr>
                <a:noFill/>
                <a:ln>
                  <a:noFill/>
                </a:ln>
                <a:effectLst/>
              </c:spPr>
              <c:txPr>
                <a:bodyPr rot="0" spcFirstLastPara="1" vertOverflow="ellipsis" vert="horz" wrap="square" anchor="ctr" anchorCtr="1"/>
                <a:lstStyle/>
                <a:p>
                  <a:pPr>
                    <a:defRPr sz="1000" b="1" i="0" u="none" strike="noStrike" kern="1200" spc="0" baseline="0">
                      <a:solidFill>
                        <a:sysClr val="windowText" lastClr="000000"/>
                      </a:solidFill>
                      <a:latin typeface="Times New Roman" panose="02020603050405020304" pitchFamily="18" charset="0"/>
                      <a:ea typeface="+mn-ea"/>
                      <a:cs typeface="Times New Roman" panose="02020603050405020304" pitchFamily="18" charset="0"/>
                    </a:defRPr>
                  </a:pPr>
                  <a:endParaRPr lang="fr-FR"/>
                </a:p>
              </c:txPr>
              <c:dLblPos val="outEnd"/>
              <c:showLegendKey val="0"/>
              <c:showVal val="0"/>
              <c:showCatName val="1"/>
              <c:showSerName val="0"/>
              <c:showPercent val="1"/>
              <c:showBubbleSize val="0"/>
            </c:dLbl>
            <c:dLbl>
              <c:idx val="1"/>
              <c:spPr>
                <a:noFill/>
                <a:ln>
                  <a:noFill/>
                </a:ln>
                <a:effectLst/>
              </c:spPr>
              <c:txPr>
                <a:bodyPr rot="0" spcFirstLastPara="1" vertOverflow="ellipsis" vert="horz" wrap="square" anchor="ctr" anchorCtr="1"/>
                <a:lstStyle/>
                <a:p>
                  <a:pPr>
                    <a:defRPr sz="1000" b="1" i="0" u="none" strike="noStrike" kern="1200" spc="0" baseline="0">
                      <a:solidFill>
                        <a:sysClr val="windowText" lastClr="000000"/>
                      </a:solidFill>
                      <a:latin typeface="Times New Roman" panose="02020603050405020304" pitchFamily="18" charset="0"/>
                      <a:ea typeface="+mn-ea"/>
                      <a:cs typeface="Times New Roman" panose="02020603050405020304" pitchFamily="18" charset="0"/>
                    </a:defRPr>
                  </a:pPr>
                  <a:endParaRPr lang="fr-FR"/>
                </a:p>
              </c:txPr>
              <c:dLblPos val="outEnd"/>
              <c:showLegendKey val="0"/>
              <c:showVal val="0"/>
              <c:showCatName val="1"/>
              <c:showSerName val="0"/>
              <c:showPercent val="1"/>
              <c:showBubbleSize val="0"/>
            </c:dLbl>
            <c:spPr>
              <a:noFill/>
              <a:ln>
                <a:noFill/>
              </a:ln>
              <a:effectLst/>
            </c:spPr>
            <c:dLblPos val="outEnd"/>
            <c:showLegendKey val="0"/>
            <c:showVal val="0"/>
            <c:showCatName val="1"/>
            <c:showSerName val="0"/>
            <c:showPercent val="1"/>
            <c:showBubbleSize val="0"/>
            <c:showLeaderLines val="1"/>
            <c:leaderLines>
              <c:spPr>
                <a:ln w="9525" cap="flat" cmpd="sng" algn="ctr">
                  <a:solidFill>
                    <a:schemeClr val="tx1">
                      <a:lumMod val="35000"/>
                      <a:lumOff val="65000"/>
                    </a:schemeClr>
                  </a:solidFill>
                  <a:round/>
                </a:ln>
                <a:effectLst/>
              </c:spPr>
            </c:leaderLines>
            <c:extLst xmlns:c16r2="http://schemas.microsoft.com/office/drawing/2015/06/chart">
              <c:ext xmlns:c15="http://schemas.microsoft.com/office/drawing/2012/chart" uri="{CE6537A1-D6FC-4f65-9D91-7224C49458BB}"/>
            </c:extLst>
          </c:dLbls>
          <c:cat>
            <c:strRef>
              <c:f>Douar!$B$1052:$C$1052</c:f>
              <c:strCache>
                <c:ptCount val="2"/>
                <c:pt idx="0">
                  <c:v>Praticables </c:v>
                </c:pt>
                <c:pt idx="1">
                  <c:v>Impraticables </c:v>
                </c:pt>
              </c:strCache>
            </c:strRef>
          </c:cat>
          <c:val>
            <c:numRef>
              <c:f>Douar!$B$1053:$C$1053</c:f>
              <c:numCache>
                <c:formatCode>###0</c:formatCode>
                <c:ptCount val="2"/>
                <c:pt idx="0">
                  <c:v>48</c:v>
                </c:pt>
                <c:pt idx="1">
                  <c:v>57</c:v>
                </c:pt>
              </c:numCache>
            </c:numRef>
          </c:val>
          <c:extLst xmlns:c16r2="http://schemas.microsoft.com/office/drawing/2015/06/chart">
            <c:ext xmlns:c16="http://schemas.microsoft.com/office/drawing/2014/chart" uri="{C3380CC4-5D6E-409C-BE32-E72D297353CC}">
              <c16:uniqueId val="{00000004-3C5F-4800-8EDE-0C1F9AAB615A}"/>
            </c:ext>
          </c:extLst>
        </c:ser>
        <c:dLbls>
          <c:dLblPos val="outEnd"/>
          <c:showLegendKey val="0"/>
          <c:showVal val="0"/>
          <c:showCatName val="1"/>
          <c:showSerName val="0"/>
          <c:showPercent val="0"/>
          <c:showBubbleSize val="0"/>
          <c:showLeaderLines val="1"/>
        </c:dLbls>
      </c:pie3DChart>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solidFill>
            <a:sysClr val="windowText" lastClr="000000"/>
          </a:solidFill>
          <a:latin typeface="Times New Roman" panose="02020603050405020304" pitchFamily="18" charset="0"/>
          <a:cs typeface="Times New Roman" panose="02020603050405020304" pitchFamily="18" charset="0"/>
        </a:defRPr>
      </a:pPr>
      <a:endParaRPr lang="fr-FR"/>
    </a:p>
  </c:txPr>
  <c:externalData r:id="rId2">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view3D>
      <c:rotX val="3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pie3DChart>
        <c:varyColors val="1"/>
        <c:ser>
          <c:idx val="0"/>
          <c:order val="0"/>
          <c:dPt>
            <c:idx val="0"/>
            <c:bubble3D val="0"/>
            <c:spPr>
              <a:solidFill>
                <a:srgbClr val="002060"/>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xmlns:c16r2="http://schemas.microsoft.com/office/drawing/2015/06/chart">
              <c:ext xmlns:c16="http://schemas.microsoft.com/office/drawing/2014/chart" uri="{C3380CC4-5D6E-409C-BE32-E72D297353CC}">
                <c16:uniqueId val="{00000001-B81E-4160-BAF2-1D8FCE8EA830}"/>
              </c:ext>
            </c:extLst>
          </c:dPt>
          <c:dPt>
            <c:idx val="1"/>
            <c:bubble3D val="0"/>
            <c:spPr>
              <a:solidFill>
                <a:srgbClr val="A5A5A5">
                  <a:lumMod val="20000"/>
                  <a:lumOff val="80000"/>
                </a:srgbClr>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xmlns:c16r2="http://schemas.microsoft.com/office/drawing/2015/06/chart">
              <c:ext xmlns:c16="http://schemas.microsoft.com/office/drawing/2014/chart" uri="{C3380CC4-5D6E-409C-BE32-E72D297353CC}">
                <c16:uniqueId val="{00000003-B81E-4160-BAF2-1D8FCE8EA830}"/>
              </c:ext>
            </c:extLst>
          </c:dPt>
          <c:dLbls>
            <c:dLbl>
              <c:idx val="0"/>
              <c:layout>
                <c:manualLayout>
                  <c:x val="0.34516244377373506"/>
                  <c:y val="-3.5995152598797472E-2"/>
                </c:manualLayout>
              </c:layout>
              <c:spPr>
                <a:noFill/>
                <a:ln>
                  <a:noFill/>
                </a:ln>
                <a:effectLst/>
              </c:spPr>
              <c:txPr>
                <a:bodyPr rot="0" spcFirstLastPara="1" vertOverflow="ellipsis" vert="horz" wrap="square" anchor="ctr" anchorCtr="1"/>
                <a:lstStyle/>
                <a:p>
                  <a:pPr>
                    <a:defRPr sz="1000" b="1" i="0" u="none" strike="noStrike" kern="1200" spc="0" baseline="0">
                      <a:solidFill>
                        <a:sysClr val="windowText" lastClr="000000"/>
                      </a:solidFill>
                      <a:latin typeface="Times New Roman" panose="02020603050405020304" pitchFamily="18" charset="0"/>
                      <a:ea typeface="+mn-ea"/>
                      <a:cs typeface="Times New Roman" panose="02020603050405020304" pitchFamily="18" charset="0"/>
                    </a:defRPr>
                  </a:pPr>
                  <a:endParaRPr lang="fr-FR"/>
                </a:p>
              </c:txPr>
              <c:dLblPos val="bestFit"/>
              <c:showLegendKey val="0"/>
              <c:showVal val="0"/>
              <c:showCatName val="1"/>
              <c:showSerName val="0"/>
              <c:showPercent val="1"/>
              <c:showBubbleSize val="0"/>
              <c:extLst xmlns:c16r2="http://schemas.microsoft.com/office/drawing/2015/06/chart">
                <c:ext xmlns:c16="http://schemas.microsoft.com/office/drawing/2014/chart" uri="{C3380CC4-5D6E-409C-BE32-E72D297353CC}">
                  <c16:uniqueId val="{00000001-B81E-4160-BAF2-1D8FCE8EA830}"/>
                </c:ext>
                <c:ext xmlns:c15="http://schemas.microsoft.com/office/drawing/2012/chart" uri="{CE6537A1-D6FC-4f65-9D91-7224C49458BB}"/>
              </c:extLst>
            </c:dLbl>
            <c:dLbl>
              <c:idx val="1"/>
              <c:layout>
                <c:manualLayout>
                  <c:x val="-0.3241525558918556"/>
                  <c:y val="5.1421646569710542E-3"/>
                </c:manualLayout>
              </c:layout>
              <c:spPr>
                <a:noFill/>
                <a:ln>
                  <a:noFill/>
                </a:ln>
                <a:effectLst/>
              </c:spPr>
              <c:txPr>
                <a:bodyPr rot="0" spcFirstLastPara="1" vertOverflow="ellipsis" vert="horz" wrap="square" anchor="ctr" anchorCtr="1"/>
                <a:lstStyle/>
                <a:p>
                  <a:pPr>
                    <a:defRPr sz="1000" b="1" i="0" u="none" strike="noStrike" kern="1200" spc="0" baseline="0">
                      <a:solidFill>
                        <a:sysClr val="windowText" lastClr="000000"/>
                      </a:solidFill>
                      <a:latin typeface="Times New Roman" panose="02020603050405020304" pitchFamily="18" charset="0"/>
                      <a:ea typeface="+mn-ea"/>
                      <a:cs typeface="Times New Roman" panose="02020603050405020304" pitchFamily="18" charset="0"/>
                    </a:defRPr>
                  </a:pPr>
                  <a:endParaRPr lang="fr-FR"/>
                </a:p>
              </c:txPr>
              <c:dLblPos val="bestFit"/>
              <c:showLegendKey val="0"/>
              <c:showVal val="0"/>
              <c:showCatName val="1"/>
              <c:showSerName val="0"/>
              <c:showPercent val="1"/>
              <c:showBubbleSize val="0"/>
              <c:extLst xmlns:c16r2="http://schemas.microsoft.com/office/drawing/2015/06/chart">
                <c:ext xmlns:c16="http://schemas.microsoft.com/office/drawing/2014/chart" uri="{C3380CC4-5D6E-409C-BE32-E72D297353CC}">
                  <c16:uniqueId val="{00000003-B81E-4160-BAF2-1D8FCE8EA830}"/>
                </c:ext>
                <c:ext xmlns:c15="http://schemas.microsoft.com/office/drawing/2012/chart" uri="{CE6537A1-D6FC-4f65-9D91-7224C49458BB}"/>
              </c:extLst>
            </c:dLbl>
            <c:spPr>
              <a:noFill/>
              <a:ln>
                <a:noFill/>
              </a:ln>
              <a:effectLst/>
            </c:spPr>
            <c:dLblPos val="outEnd"/>
            <c:showLegendKey val="0"/>
            <c:showVal val="0"/>
            <c:showCatName val="1"/>
            <c:showSerName val="0"/>
            <c:showPercent val="1"/>
            <c:showBubbleSize val="0"/>
            <c:showLeaderLines val="1"/>
            <c:leaderLines>
              <c:spPr>
                <a:ln w="9525" cap="flat" cmpd="sng" algn="ctr">
                  <a:solidFill>
                    <a:schemeClr val="tx1">
                      <a:lumMod val="35000"/>
                      <a:lumOff val="65000"/>
                    </a:schemeClr>
                  </a:solidFill>
                  <a:round/>
                </a:ln>
                <a:effectLst/>
              </c:spPr>
            </c:leaderLines>
            <c:extLst xmlns:c16r2="http://schemas.microsoft.com/office/drawing/2015/06/chart">
              <c:ext xmlns:c15="http://schemas.microsoft.com/office/drawing/2012/chart" uri="{CE6537A1-D6FC-4f65-9D91-7224C49458BB}"/>
            </c:extLst>
          </c:dLbls>
          <c:cat>
            <c:strRef>
              <c:f>Douar!$C$183:$C$184</c:f>
              <c:strCache>
                <c:ptCount val="2"/>
                <c:pt idx="0">
                  <c:v>Population active</c:v>
                </c:pt>
                <c:pt idx="1">
                  <c:v>Population inactive</c:v>
                </c:pt>
              </c:strCache>
            </c:strRef>
          </c:cat>
          <c:val>
            <c:numRef>
              <c:f>Douar!$D$183:$D$184</c:f>
              <c:numCache>
                <c:formatCode>General</c:formatCode>
                <c:ptCount val="2"/>
                <c:pt idx="0">
                  <c:v>102</c:v>
                </c:pt>
                <c:pt idx="1">
                  <c:v>3</c:v>
                </c:pt>
              </c:numCache>
            </c:numRef>
          </c:val>
          <c:extLst xmlns:c16r2="http://schemas.microsoft.com/office/drawing/2015/06/chart">
            <c:ext xmlns:c16="http://schemas.microsoft.com/office/drawing/2014/chart" uri="{C3380CC4-5D6E-409C-BE32-E72D297353CC}">
              <c16:uniqueId val="{00000004-B81E-4160-BAF2-1D8FCE8EA830}"/>
            </c:ext>
          </c:extLst>
        </c:ser>
        <c:dLbls>
          <c:dLblPos val="outEnd"/>
          <c:showLegendKey val="0"/>
          <c:showVal val="0"/>
          <c:showCatName val="1"/>
          <c:showSerName val="0"/>
          <c:showPercent val="0"/>
          <c:showBubbleSize val="0"/>
          <c:showLeaderLines val="1"/>
        </c:dLbls>
      </c:pie3DChart>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solidFill>
            <a:sysClr val="windowText" lastClr="000000"/>
          </a:solidFill>
          <a:latin typeface="Times New Roman" panose="02020603050405020304" pitchFamily="18" charset="0"/>
          <a:cs typeface="Times New Roman" panose="02020603050405020304" pitchFamily="18" charset="0"/>
        </a:defRPr>
      </a:pPr>
      <a:endParaRPr lang="fr-FR"/>
    </a:p>
  </c:txPr>
  <c:externalData r:id="rId2">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0"/>
          <c:order val="0"/>
          <c:spPr>
            <a:solidFill>
              <a:srgbClr val="002060"/>
            </a:solidFill>
            <a:ln>
              <a:noFill/>
            </a:ln>
            <a:effectLst/>
            <a:sp3d/>
          </c:spPr>
          <c:invertIfNegative val="0"/>
          <c:dLbls>
            <c:delete val="1"/>
          </c:dLbls>
          <c:cat>
            <c:strRef>
              <c:f>Douar!$B$192:$B$199</c:f>
              <c:strCache>
                <c:ptCount val="8"/>
                <c:pt idx="0">
                  <c:v>Eleveur</c:v>
                </c:pt>
                <c:pt idx="1">
                  <c:v>Paysan</c:v>
                </c:pt>
                <c:pt idx="2">
                  <c:v>Commerçant</c:v>
                </c:pt>
                <c:pt idx="3">
                  <c:v>Salarié</c:v>
                </c:pt>
                <c:pt idx="4">
                  <c:v>Travailleur journalier </c:v>
                </c:pt>
                <c:pt idx="5">
                  <c:v>Femme au foyer</c:v>
                </c:pt>
                <c:pt idx="6">
                  <c:v>Chômeur</c:v>
                </c:pt>
                <c:pt idx="7">
                  <c:v>Personnes âgées</c:v>
                </c:pt>
              </c:strCache>
            </c:strRef>
          </c:cat>
          <c:val>
            <c:numRef>
              <c:f>Douar!$C$192:$C$199</c:f>
              <c:numCache>
                <c:formatCode>General</c:formatCode>
                <c:ptCount val="8"/>
                <c:pt idx="0">
                  <c:v>81</c:v>
                </c:pt>
                <c:pt idx="1">
                  <c:v>9</c:v>
                </c:pt>
                <c:pt idx="2">
                  <c:v>1</c:v>
                </c:pt>
                <c:pt idx="3">
                  <c:v>1</c:v>
                </c:pt>
                <c:pt idx="4">
                  <c:v>10</c:v>
                </c:pt>
                <c:pt idx="5">
                  <c:v>1</c:v>
                </c:pt>
                <c:pt idx="6">
                  <c:v>1</c:v>
                </c:pt>
                <c:pt idx="7">
                  <c:v>1</c:v>
                </c:pt>
              </c:numCache>
            </c:numRef>
          </c:val>
          <c:extLst xmlns:c16r2="http://schemas.microsoft.com/office/drawing/2015/06/chart">
            <c:ext xmlns:c16="http://schemas.microsoft.com/office/drawing/2014/chart" uri="{C3380CC4-5D6E-409C-BE32-E72D297353CC}">
              <c16:uniqueId val="{00000000-C007-474F-8829-CB3B37EAD9EA}"/>
            </c:ext>
          </c:extLst>
        </c:ser>
        <c:dLbls>
          <c:showLegendKey val="0"/>
          <c:showVal val="1"/>
          <c:showCatName val="0"/>
          <c:showSerName val="0"/>
          <c:showPercent val="0"/>
          <c:showBubbleSize val="0"/>
        </c:dLbls>
        <c:gapWidth val="150"/>
        <c:axId val="648015552"/>
        <c:axId val="648016096"/>
      </c:barChart>
      <c:lineChart>
        <c:grouping val="stacked"/>
        <c:varyColors val="0"/>
        <c:ser>
          <c:idx val="1"/>
          <c:order val="1"/>
          <c:spPr>
            <a:ln w="9525" cap="rnd">
              <a:solidFill>
                <a:sysClr val="windowText" lastClr="000000"/>
              </a:solidFill>
              <a:round/>
            </a:ln>
            <a:effectLst/>
          </c:spPr>
          <c:marker>
            <c:symbol val="circle"/>
            <c:size val="5"/>
            <c:spPr>
              <a:solidFill>
                <a:sysClr val="window" lastClr="FFFFFF"/>
              </a:solidFill>
              <a:ln w="9525">
                <a:solidFill>
                  <a:sysClr val="windowText" lastClr="000000"/>
                </a:solidFill>
              </a:ln>
              <a:effectLst/>
            </c:spPr>
          </c:marker>
          <c:dLbls>
            <c:dLbl>
              <c:idx val="0"/>
              <c:layout>
                <c:manualLayout>
                  <c:x val="-3.4575759514508107E-2"/>
                  <c:y val="-5.1061731086498037E-2"/>
                </c:manualLayout>
              </c:layout>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1-C007-474F-8829-CB3B37EAD9EA}"/>
                </c:ext>
                <c:ext xmlns:c15="http://schemas.microsoft.com/office/drawing/2012/chart" uri="{CE6537A1-D6FC-4f65-9D91-7224C49458BB}"/>
              </c:extLst>
            </c:dLbl>
            <c:dLbl>
              <c:idx val="1"/>
              <c:layout>
                <c:manualLayout>
                  <c:x val="-3.704545662268726E-2"/>
                  <c:y val="-4.5388205410220477E-2"/>
                </c:manualLayout>
              </c:layout>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2-C007-474F-8829-CB3B37EAD9EA}"/>
                </c:ext>
                <c:ext xmlns:c15="http://schemas.microsoft.com/office/drawing/2012/chart" uri="{CE6537A1-D6FC-4f65-9D91-7224C49458BB}"/>
              </c:extLst>
            </c:dLbl>
            <c:dLbl>
              <c:idx val="2"/>
              <c:layout>
                <c:manualLayout>
                  <c:x val="-4.1984850839045559E-2"/>
                  <c:y val="-5.6735256762775597E-2"/>
                </c:manualLayout>
              </c:layout>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3-C007-474F-8829-CB3B37EAD9EA}"/>
                </c:ext>
                <c:ext xmlns:c15="http://schemas.microsoft.com/office/drawing/2012/chart" uri="{CE6537A1-D6FC-4f65-9D91-7224C49458BB}"/>
              </c:extLst>
            </c:dLbl>
            <c:dLbl>
              <c:idx val="3"/>
              <c:layout>
                <c:manualLayout>
                  <c:x val="-4.9393942163583011E-2"/>
                  <c:y val="-6.2408782439053158E-2"/>
                </c:manualLayout>
              </c:layout>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4-C007-474F-8829-CB3B37EAD9EA}"/>
                </c:ext>
                <c:ext xmlns:c15="http://schemas.microsoft.com/office/drawing/2012/chart" uri="{CE6537A1-D6FC-4f65-9D91-7224C49458BB}"/>
              </c:extLst>
            </c:dLbl>
            <c:dLbl>
              <c:idx val="4"/>
              <c:layout>
                <c:manualLayout>
                  <c:x val="-3.9515153730866413E-2"/>
                  <c:y val="-0.14183814190693902"/>
                </c:manualLayout>
              </c:layout>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5-C007-474F-8829-CB3B37EAD9EA}"/>
                </c:ext>
                <c:ext xmlns:c15="http://schemas.microsoft.com/office/drawing/2012/chart" uri="{CE6537A1-D6FC-4f65-9D91-7224C49458BB}"/>
              </c:extLst>
            </c:dLbl>
            <c:dLbl>
              <c:idx val="6"/>
              <c:layout>
                <c:manualLayout>
                  <c:x val="-1.9757576865433297E-2"/>
                  <c:y val="-8.5102885144163393E-2"/>
                </c:manualLayout>
              </c:layout>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6-C007-474F-8829-CB3B37EAD9EA}"/>
                </c:ext>
                <c:ext xmlns:c15="http://schemas.microsoft.com/office/drawing/2012/chart" uri="{CE6537A1-D6FC-4f65-9D91-7224C49458BB}"/>
              </c:extLst>
            </c:dLbl>
            <c:dLbl>
              <c:idx val="7"/>
              <c:layout>
                <c:manualLayout>
                  <c:x val="-2.9636365298149718E-2"/>
                  <c:y val="-7.9429359467885832E-2"/>
                </c:manualLayout>
              </c:layout>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7-C007-474F-8829-CB3B37EAD9EA}"/>
                </c:ext>
                <c:ext xmlns:c15="http://schemas.microsoft.com/office/drawing/2012/chart" uri="{CE6537A1-D6FC-4f65-9D91-7224C49458BB}"/>
              </c:extLst>
            </c:dLbl>
            <c:dLbl>
              <c:idx val="8"/>
              <c:layout>
                <c:manualLayout>
                  <c:x val="-3.704545662268726E-2"/>
                  <c:y val="-7.3755833791608272E-2"/>
                </c:manualLayout>
              </c:layout>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8-C007-474F-8829-CB3B37EAD9EA}"/>
                </c:ext>
                <c:ext xmlns:c15="http://schemas.microsoft.com/office/drawing/2012/chart" uri="{CE6537A1-D6FC-4f65-9D91-7224C49458BB}"/>
              </c:extLst>
            </c:dLbl>
            <c:dLbl>
              <c:idx val="9"/>
              <c:layout>
                <c:manualLayout>
                  <c:x val="-3.4575759514508107E-2"/>
                  <c:y val="-7.3755833791608272E-2"/>
                </c:manualLayout>
              </c:layout>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9-C007-474F-8829-CB3B37EAD9EA}"/>
                </c:ext>
                <c:ext xmlns:c15="http://schemas.microsoft.com/office/drawing/2012/chart" uri="{CE6537A1-D6FC-4f65-9D91-7224C49458BB}"/>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fr-FR"/>
              </a:p>
            </c:txPr>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Douar!$B$192:$B$199</c:f>
              <c:strCache>
                <c:ptCount val="8"/>
                <c:pt idx="0">
                  <c:v>Eleveur</c:v>
                </c:pt>
                <c:pt idx="1">
                  <c:v>Paysan</c:v>
                </c:pt>
                <c:pt idx="2">
                  <c:v>Commerçant</c:v>
                </c:pt>
                <c:pt idx="3">
                  <c:v>Salarié</c:v>
                </c:pt>
                <c:pt idx="4">
                  <c:v>Travailleur journalier </c:v>
                </c:pt>
                <c:pt idx="5">
                  <c:v>Femme au foyer</c:v>
                </c:pt>
                <c:pt idx="6">
                  <c:v>Chômeur</c:v>
                </c:pt>
                <c:pt idx="7">
                  <c:v>Personnes âgées</c:v>
                </c:pt>
              </c:strCache>
            </c:strRef>
          </c:cat>
          <c:val>
            <c:numRef>
              <c:f>Douar!$D$192:$D$199</c:f>
              <c:numCache>
                <c:formatCode>0%</c:formatCode>
                <c:ptCount val="8"/>
                <c:pt idx="0">
                  <c:v>0.77142857142857146</c:v>
                </c:pt>
                <c:pt idx="1">
                  <c:v>8.5714285714285715E-2</c:v>
                </c:pt>
                <c:pt idx="2">
                  <c:v>9.5238095238095247E-3</c:v>
                </c:pt>
                <c:pt idx="3">
                  <c:v>9.5238095238095247E-3</c:v>
                </c:pt>
                <c:pt idx="4">
                  <c:v>9.5238095238095233E-2</c:v>
                </c:pt>
                <c:pt idx="5">
                  <c:v>9.5238095238095247E-3</c:v>
                </c:pt>
                <c:pt idx="6">
                  <c:v>9.5238095238095247E-3</c:v>
                </c:pt>
                <c:pt idx="7">
                  <c:v>9.5238095238095247E-3</c:v>
                </c:pt>
              </c:numCache>
            </c:numRef>
          </c:val>
          <c:smooth val="0"/>
          <c:extLst xmlns:c16r2="http://schemas.microsoft.com/office/drawing/2015/06/chart">
            <c:ext xmlns:c16="http://schemas.microsoft.com/office/drawing/2014/chart" uri="{C3380CC4-5D6E-409C-BE32-E72D297353CC}">
              <c16:uniqueId val="{0000000A-C007-474F-8829-CB3B37EAD9EA}"/>
            </c:ext>
          </c:extLst>
        </c:ser>
        <c:dLbls>
          <c:showLegendKey val="0"/>
          <c:showVal val="0"/>
          <c:showCatName val="0"/>
          <c:showSerName val="0"/>
          <c:showPercent val="0"/>
          <c:showBubbleSize val="0"/>
        </c:dLbls>
        <c:marker val="1"/>
        <c:smooth val="0"/>
        <c:axId val="648018272"/>
        <c:axId val="648017728"/>
      </c:lineChart>
      <c:catAx>
        <c:axId val="648015552"/>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fr-FR"/>
          </a:p>
        </c:txPr>
        <c:crossAx val="648016096"/>
        <c:crosses val="autoZero"/>
        <c:auto val="1"/>
        <c:lblAlgn val="ctr"/>
        <c:lblOffset val="100"/>
        <c:noMultiLvlLbl val="0"/>
      </c:catAx>
      <c:valAx>
        <c:axId val="648016096"/>
        <c:scaling>
          <c:orientation val="minMax"/>
        </c:scaling>
        <c:delete val="0"/>
        <c:axPos val="l"/>
        <c:title>
          <c:tx>
            <c:rich>
              <a:bodyPr rot="-540000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r>
                  <a:rPr lang="fr-FR"/>
                  <a:t>Nombre des enquêtés</a:t>
                </a:r>
              </a:p>
            </c:rich>
          </c:tx>
          <c:overlay val="0"/>
          <c:spPr>
            <a:noFill/>
            <a:ln>
              <a:noFill/>
            </a:ln>
            <a:effectLst/>
          </c:sp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fr-FR"/>
          </a:p>
        </c:txPr>
        <c:crossAx val="648015552"/>
        <c:crosses val="autoZero"/>
        <c:crossBetween val="between"/>
      </c:valAx>
      <c:valAx>
        <c:axId val="648017728"/>
        <c:scaling>
          <c:orientation val="minMax"/>
        </c:scaling>
        <c:delete val="0"/>
        <c:axPos val="r"/>
        <c:title>
          <c:tx>
            <c:rich>
              <a:bodyPr rot="-540000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r>
                  <a:rPr lang="fr-FR" sz="900" b="0" i="0" u="none" strike="noStrike" baseline="0">
                    <a:effectLst/>
                  </a:rPr>
                  <a:t>Enquêtés en % </a:t>
                </a:r>
                <a:endParaRPr lang="fr-FR"/>
              </a:p>
            </c:rich>
          </c:tx>
          <c:overlay val="0"/>
          <c:spPr>
            <a:noFill/>
            <a:ln>
              <a:noFill/>
            </a:ln>
            <a:effectLst/>
          </c:spPr>
        </c:title>
        <c:numFmt formatCode="0%"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fr-FR"/>
          </a:p>
        </c:txPr>
        <c:crossAx val="648018272"/>
        <c:crosses val="max"/>
        <c:crossBetween val="between"/>
      </c:valAx>
      <c:catAx>
        <c:axId val="648018272"/>
        <c:scaling>
          <c:orientation val="minMax"/>
        </c:scaling>
        <c:delete val="1"/>
        <c:axPos val="b"/>
        <c:numFmt formatCode="General" sourceLinked="1"/>
        <c:majorTickMark val="out"/>
        <c:minorTickMark val="none"/>
        <c:tickLblPos val="nextTo"/>
        <c:crossAx val="648017728"/>
        <c:crosses val="autoZero"/>
        <c:auto val="1"/>
        <c:lblAlgn val="ctr"/>
        <c:lblOffset val="100"/>
        <c:noMultiLvlLbl val="0"/>
      </c:cat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900">
          <a:solidFill>
            <a:schemeClr val="tx1"/>
          </a:solidFill>
          <a:latin typeface="Times New Roman" panose="02020603050405020304" pitchFamily="18" charset="0"/>
          <a:cs typeface="Times New Roman" panose="02020603050405020304" pitchFamily="18" charset="0"/>
        </a:defRPr>
      </a:pPr>
      <a:endParaRPr lang="fr-FR"/>
    </a:p>
  </c:txPr>
  <c:externalData r:id="rId2">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0"/>
          <c:order val="0"/>
          <c:spPr>
            <a:solidFill>
              <a:srgbClr val="002060"/>
            </a:solidFill>
            <a:ln>
              <a:noFill/>
            </a:ln>
            <a:effectLst/>
            <a:sp3d/>
          </c:spPr>
          <c:invertIfNegative val="0"/>
          <c:dLbls>
            <c:delete val="1"/>
          </c:dLbls>
          <c:cat>
            <c:strRef>
              <c:f>Douar!$B$221:$B$226</c:f>
              <c:strCache>
                <c:ptCount val="6"/>
                <c:pt idx="0">
                  <c:v>Eleveur</c:v>
                </c:pt>
                <c:pt idx="1">
                  <c:v>Paysan</c:v>
                </c:pt>
                <c:pt idx="2">
                  <c:v>Commerçant</c:v>
                </c:pt>
                <c:pt idx="3">
                  <c:v>Salarié</c:v>
                </c:pt>
                <c:pt idx="4">
                  <c:v>Travailleur journalier </c:v>
                </c:pt>
                <c:pt idx="5">
                  <c:v>Sans activité secondaire</c:v>
                </c:pt>
              </c:strCache>
            </c:strRef>
          </c:cat>
          <c:val>
            <c:numRef>
              <c:f>Douar!$C$221:$C$226</c:f>
              <c:numCache>
                <c:formatCode>General</c:formatCode>
                <c:ptCount val="6"/>
                <c:pt idx="0">
                  <c:v>2</c:v>
                </c:pt>
                <c:pt idx="1">
                  <c:v>53</c:v>
                </c:pt>
                <c:pt idx="2">
                  <c:v>3</c:v>
                </c:pt>
                <c:pt idx="3">
                  <c:v>2</c:v>
                </c:pt>
                <c:pt idx="4">
                  <c:v>1</c:v>
                </c:pt>
                <c:pt idx="5">
                  <c:v>44</c:v>
                </c:pt>
              </c:numCache>
            </c:numRef>
          </c:val>
          <c:extLst xmlns:c16r2="http://schemas.microsoft.com/office/drawing/2015/06/chart">
            <c:ext xmlns:c16="http://schemas.microsoft.com/office/drawing/2014/chart" uri="{C3380CC4-5D6E-409C-BE32-E72D297353CC}">
              <c16:uniqueId val="{00000000-C57B-46DC-A330-9F1FACE9BF07}"/>
            </c:ext>
          </c:extLst>
        </c:ser>
        <c:dLbls>
          <c:showLegendKey val="0"/>
          <c:showVal val="1"/>
          <c:showCatName val="0"/>
          <c:showSerName val="0"/>
          <c:showPercent val="0"/>
          <c:showBubbleSize val="0"/>
        </c:dLbls>
        <c:gapWidth val="150"/>
        <c:axId val="648018816"/>
        <c:axId val="648019360"/>
      </c:barChart>
      <c:lineChart>
        <c:grouping val="stacked"/>
        <c:varyColors val="0"/>
        <c:ser>
          <c:idx val="1"/>
          <c:order val="1"/>
          <c:spPr>
            <a:ln w="9525" cap="rnd">
              <a:solidFill>
                <a:sysClr val="windowText" lastClr="000000"/>
              </a:solidFill>
              <a:round/>
            </a:ln>
            <a:effectLst/>
          </c:spPr>
          <c:marker>
            <c:symbol val="circle"/>
            <c:size val="5"/>
            <c:spPr>
              <a:solidFill>
                <a:sysClr val="window" lastClr="FFFFFF"/>
              </a:solidFill>
              <a:ln w="9525">
                <a:solidFill>
                  <a:sysClr val="windowText" lastClr="000000"/>
                </a:solidFill>
              </a:ln>
              <a:effectLst/>
            </c:spPr>
          </c:marker>
          <c:dLbls>
            <c:dLbl>
              <c:idx val="0"/>
              <c:layout>
                <c:manualLayout>
                  <c:x val="-5.2014798598605694E-2"/>
                  <c:y val="-0.13183697352855117"/>
                </c:manualLayout>
              </c:layout>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1-C57B-46DC-A330-9F1FACE9BF07}"/>
                </c:ext>
                <c:ext xmlns:c15="http://schemas.microsoft.com/office/drawing/2012/chart" uri="{CE6537A1-D6FC-4f65-9D91-7224C49458BB}"/>
              </c:extLst>
            </c:dLbl>
            <c:dLbl>
              <c:idx val="1"/>
              <c:layout>
                <c:manualLayout>
                  <c:x val="-5.4484501096555754E-2"/>
                  <c:y val="-9.3853433910421946E-2"/>
                </c:manualLayout>
              </c:layout>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2-C57B-46DC-A330-9F1FACE9BF07}"/>
                </c:ext>
                <c:ext xmlns:c15="http://schemas.microsoft.com/office/drawing/2012/chart" uri="{CE6537A1-D6FC-4f65-9D91-7224C49458BB}"/>
              </c:extLst>
            </c:dLbl>
            <c:dLbl>
              <c:idx val="2"/>
              <c:layout>
                <c:manualLayout>
                  <c:x val="-3.4511100910592452E-2"/>
                  <c:y val="-0.14289578907644632"/>
                </c:manualLayout>
              </c:layout>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3-C57B-46DC-A330-9F1FACE9BF07}"/>
                </c:ext>
                <c:ext xmlns:c15="http://schemas.microsoft.com/office/drawing/2012/chart" uri="{CE6537A1-D6FC-4f65-9D91-7224C49458BB}"/>
              </c:extLst>
            </c:dLbl>
            <c:dLbl>
              <c:idx val="3"/>
              <c:layout>
                <c:manualLayout>
                  <c:x val="-4.9393853795181429E-2"/>
                  <c:y val="-0.11087394366495797"/>
                </c:manualLayout>
              </c:layout>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4-C57B-46DC-A330-9F1FACE9BF07}"/>
                </c:ext>
                <c:ext xmlns:c15="http://schemas.microsoft.com/office/drawing/2012/chart" uri="{CE6537A1-D6FC-4f65-9D91-7224C49458BB}"/>
              </c:extLst>
            </c:dLbl>
            <c:dLbl>
              <c:idx val="4"/>
              <c:layout>
                <c:manualLayout>
                  <c:x val="-2.9550117894456111E-2"/>
                  <c:y val="-0.15260834721992556"/>
                </c:manualLayout>
              </c:layout>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5-C57B-46DC-A330-9F1FACE9BF07}"/>
                </c:ext>
                <c:ext xmlns:c15="http://schemas.microsoft.com/office/drawing/2012/chart" uri="{CE6537A1-D6FC-4f65-9D91-7224C49458BB}"/>
              </c:extLst>
            </c:dLbl>
            <c:dLbl>
              <c:idx val="5"/>
              <c:layout>
                <c:manualLayout>
                  <c:x val="-3.4877927254608872E-2"/>
                  <c:y val="-9.1545503500269271E-2"/>
                </c:manualLayout>
              </c:layout>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6-C57B-46DC-A330-9F1FACE9BF07}"/>
                </c:ext>
                <c:ext xmlns:c15="http://schemas.microsoft.com/office/drawing/2012/chart" uri="{CE6537A1-D6FC-4f65-9D91-7224C49458BB}"/>
              </c:extLst>
            </c:dLbl>
            <c:dLbl>
              <c:idx val="6"/>
              <c:layout>
                <c:manualLayout>
                  <c:x val="-1.9757576865433297E-2"/>
                  <c:y val="-8.5102885144163393E-2"/>
                </c:manualLayout>
              </c:layout>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7-C57B-46DC-A330-9F1FACE9BF07}"/>
                </c:ext>
                <c:ext xmlns:c15="http://schemas.microsoft.com/office/drawing/2012/chart" uri="{CE6537A1-D6FC-4f65-9D91-7224C49458BB}"/>
              </c:extLst>
            </c:dLbl>
            <c:dLbl>
              <c:idx val="7"/>
              <c:layout>
                <c:manualLayout>
                  <c:x val="-2.9636365298149718E-2"/>
                  <c:y val="-7.9429359467885832E-2"/>
                </c:manualLayout>
              </c:layout>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8-C57B-46DC-A330-9F1FACE9BF07}"/>
                </c:ext>
                <c:ext xmlns:c15="http://schemas.microsoft.com/office/drawing/2012/chart" uri="{CE6537A1-D6FC-4f65-9D91-7224C49458BB}"/>
              </c:extLst>
            </c:dLbl>
            <c:dLbl>
              <c:idx val="8"/>
              <c:layout>
                <c:manualLayout>
                  <c:x val="-3.704545662268726E-2"/>
                  <c:y val="-7.3755833791608272E-2"/>
                </c:manualLayout>
              </c:layout>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9-C57B-46DC-A330-9F1FACE9BF07}"/>
                </c:ext>
                <c:ext xmlns:c15="http://schemas.microsoft.com/office/drawing/2012/chart" uri="{CE6537A1-D6FC-4f65-9D91-7224C49458BB}"/>
              </c:extLst>
            </c:dLbl>
            <c:dLbl>
              <c:idx val="9"/>
              <c:layout>
                <c:manualLayout>
                  <c:x val="-3.4575759514508107E-2"/>
                  <c:y val="-7.3755833791608272E-2"/>
                </c:manualLayout>
              </c:layout>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A-C57B-46DC-A330-9F1FACE9BF07}"/>
                </c:ext>
                <c:ext xmlns:c15="http://schemas.microsoft.com/office/drawing/2012/chart" uri="{CE6537A1-D6FC-4f65-9D91-7224C49458BB}"/>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fr-FR"/>
              </a:p>
            </c:txPr>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Douar!$B$221:$B$226</c:f>
              <c:strCache>
                <c:ptCount val="6"/>
                <c:pt idx="0">
                  <c:v>Eleveur</c:v>
                </c:pt>
                <c:pt idx="1">
                  <c:v>Paysan</c:v>
                </c:pt>
                <c:pt idx="2">
                  <c:v>Commerçant</c:v>
                </c:pt>
                <c:pt idx="3">
                  <c:v>Salarié</c:v>
                </c:pt>
                <c:pt idx="4">
                  <c:v>Travailleur journalier </c:v>
                </c:pt>
                <c:pt idx="5">
                  <c:v>Sans activité secondaire</c:v>
                </c:pt>
              </c:strCache>
            </c:strRef>
          </c:cat>
          <c:val>
            <c:numRef>
              <c:f>Douar!$D$221:$D$226</c:f>
              <c:numCache>
                <c:formatCode>0%</c:formatCode>
                <c:ptCount val="6"/>
                <c:pt idx="0">
                  <c:v>1.9047619047619049E-2</c:v>
                </c:pt>
                <c:pt idx="1">
                  <c:v>0.50476190476190474</c:v>
                </c:pt>
                <c:pt idx="2">
                  <c:v>2.8571428571428571E-2</c:v>
                </c:pt>
                <c:pt idx="3">
                  <c:v>1.9047619047619049E-2</c:v>
                </c:pt>
                <c:pt idx="4">
                  <c:v>9.5238095238095247E-3</c:v>
                </c:pt>
                <c:pt idx="5">
                  <c:v>0.41904761904761906</c:v>
                </c:pt>
              </c:numCache>
            </c:numRef>
          </c:val>
          <c:smooth val="0"/>
          <c:extLst xmlns:c16r2="http://schemas.microsoft.com/office/drawing/2015/06/chart">
            <c:ext xmlns:c16="http://schemas.microsoft.com/office/drawing/2014/chart" uri="{C3380CC4-5D6E-409C-BE32-E72D297353CC}">
              <c16:uniqueId val="{0000000B-C57B-46DC-A330-9F1FACE9BF07}"/>
            </c:ext>
          </c:extLst>
        </c:ser>
        <c:dLbls>
          <c:showLegendKey val="0"/>
          <c:showVal val="0"/>
          <c:showCatName val="0"/>
          <c:showSerName val="0"/>
          <c:showPercent val="0"/>
          <c:showBubbleSize val="0"/>
        </c:dLbls>
        <c:marker val="1"/>
        <c:smooth val="0"/>
        <c:axId val="650706752"/>
        <c:axId val="650706208"/>
      </c:lineChart>
      <c:catAx>
        <c:axId val="648018816"/>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fr-FR"/>
          </a:p>
        </c:txPr>
        <c:crossAx val="648019360"/>
        <c:crosses val="autoZero"/>
        <c:auto val="1"/>
        <c:lblAlgn val="ctr"/>
        <c:lblOffset val="100"/>
        <c:noMultiLvlLbl val="0"/>
      </c:catAx>
      <c:valAx>
        <c:axId val="648019360"/>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marL="0" marR="0" indent="0" algn="ctr" defTabSz="914400" rtl="0" eaLnBrk="1" fontAlgn="auto" latinLnBrk="0" hangingPunct="1">
                  <a:lnSpc>
                    <a:spcPct val="100000"/>
                  </a:lnSpc>
                  <a:spcBef>
                    <a:spcPts val="0"/>
                  </a:spcBef>
                  <a:spcAft>
                    <a:spcPts val="0"/>
                  </a:spcAft>
                  <a:buClrTx/>
                  <a:buSzTx/>
                  <a:buFontTx/>
                  <a:buNone/>
                  <a:tabLst/>
                  <a:defRPr sz="105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fr-FR" sz="1050" b="0" i="0" baseline="0">
                    <a:effectLst/>
                  </a:rPr>
                  <a:t>Nombre des enquêtés</a:t>
                </a:r>
                <a:endParaRPr lang="fr-FR" sz="1050">
                  <a:effectLst/>
                </a:endParaRPr>
              </a:p>
              <a:p>
                <a:pPr marL="0" marR="0" indent="0" algn="ctr" defTabSz="914400" rtl="0" eaLnBrk="1" fontAlgn="auto" latinLnBrk="0" hangingPunct="1">
                  <a:lnSpc>
                    <a:spcPct val="100000"/>
                  </a:lnSpc>
                  <a:spcBef>
                    <a:spcPts val="0"/>
                  </a:spcBef>
                  <a:spcAft>
                    <a:spcPts val="0"/>
                  </a:spcAft>
                  <a:buClrTx/>
                  <a:buSzTx/>
                  <a:buFontTx/>
                  <a:buNone/>
                  <a:tabLst/>
                  <a:defRPr sz="105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fr-FR" sz="1050"/>
              </a:p>
            </c:rich>
          </c:tx>
          <c:overlay val="0"/>
          <c:spPr>
            <a:noFill/>
            <a:ln>
              <a:noFill/>
            </a:ln>
            <a:effectLst/>
          </c:sp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fr-FR"/>
          </a:p>
        </c:txPr>
        <c:crossAx val="648018816"/>
        <c:crosses val="autoZero"/>
        <c:crossBetween val="between"/>
      </c:valAx>
      <c:valAx>
        <c:axId val="650706208"/>
        <c:scaling>
          <c:orientation val="minMax"/>
        </c:scaling>
        <c:delete val="0"/>
        <c:axPos val="r"/>
        <c:title>
          <c:tx>
            <c:rich>
              <a:bodyPr rot="-5400000" spcFirstLastPara="1" vertOverflow="ellipsis" vert="horz" wrap="square" anchor="ctr" anchorCtr="1"/>
              <a:lstStyle/>
              <a:p>
                <a:pPr>
                  <a:defRPr sz="1000" b="0" i="0" u="none" strike="noStrike" kern="1200" baseline="0">
                    <a:solidFill>
                      <a:schemeClr val="tx1"/>
                    </a:solidFill>
                    <a:latin typeface="Times New Roman" panose="02020603050405020304" pitchFamily="18" charset="0"/>
                    <a:ea typeface="+mn-ea"/>
                    <a:cs typeface="Times New Roman" panose="02020603050405020304" pitchFamily="18" charset="0"/>
                  </a:defRPr>
                </a:pPr>
                <a:r>
                  <a:rPr lang="fr-FR" sz="1000" b="0" i="0" u="none" strike="noStrike" baseline="0">
                    <a:effectLst/>
                  </a:rPr>
                  <a:t>Enquêtés en % </a:t>
                </a:r>
                <a:endParaRPr lang="fr-FR"/>
              </a:p>
            </c:rich>
          </c:tx>
          <c:overlay val="0"/>
          <c:spPr>
            <a:noFill/>
            <a:ln>
              <a:noFill/>
            </a:ln>
            <a:effectLst/>
          </c:spPr>
        </c:title>
        <c:numFmt formatCode="0%"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fr-FR"/>
          </a:p>
        </c:txPr>
        <c:crossAx val="650706752"/>
        <c:crosses val="max"/>
        <c:crossBetween val="between"/>
      </c:valAx>
      <c:catAx>
        <c:axId val="650706752"/>
        <c:scaling>
          <c:orientation val="minMax"/>
        </c:scaling>
        <c:delete val="1"/>
        <c:axPos val="b"/>
        <c:numFmt formatCode="General" sourceLinked="1"/>
        <c:majorTickMark val="out"/>
        <c:minorTickMark val="none"/>
        <c:tickLblPos val="nextTo"/>
        <c:crossAx val="650706208"/>
        <c:crosses val="autoZero"/>
        <c:auto val="1"/>
        <c:lblAlgn val="ctr"/>
        <c:lblOffset val="100"/>
        <c:noMultiLvlLbl val="0"/>
      </c:cat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solidFill>
            <a:schemeClr val="tx1"/>
          </a:solidFill>
          <a:latin typeface="Times New Roman" panose="02020603050405020304" pitchFamily="18" charset="0"/>
          <a:cs typeface="Times New Roman" panose="02020603050405020304" pitchFamily="18" charset="0"/>
        </a:defRPr>
      </a:pPr>
      <a:endParaRPr lang="fr-FR"/>
    </a:p>
  </c:txPr>
  <c:externalData r:id="rId2">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view3D>
      <c:rotX val="3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pie3DChart>
        <c:varyColors val="1"/>
        <c:ser>
          <c:idx val="0"/>
          <c:order val="0"/>
          <c:dPt>
            <c:idx val="0"/>
            <c:bubble3D val="0"/>
            <c:spPr>
              <a:solidFill>
                <a:srgbClr val="92D050"/>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xmlns:c16r2="http://schemas.microsoft.com/office/drawing/2015/06/chart">
              <c:ext xmlns:c16="http://schemas.microsoft.com/office/drawing/2014/chart" uri="{C3380CC4-5D6E-409C-BE32-E72D297353CC}">
                <c16:uniqueId val="{00000001-290F-4304-94F2-792FD9E4F547}"/>
              </c:ext>
            </c:extLst>
          </c:dPt>
          <c:dPt>
            <c:idx val="1"/>
            <c:bubble3D val="0"/>
            <c:spPr>
              <a:solidFill>
                <a:srgbClr val="FFC000"/>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xmlns:c16r2="http://schemas.microsoft.com/office/drawing/2015/06/chart">
              <c:ext xmlns:c16="http://schemas.microsoft.com/office/drawing/2014/chart" uri="{C3380CC4-5D6E-409C-BE32-E72D297353CC}">
                <c16:uniqueId val="{00000003-290F-4304-94F2-792FD9E4F547}"/>
              </c:ext>
            </c:extLst>
          </c:dPt>
          <c:dLbls>
            <c:dLbl>
              <c:idx val="0"/>
              <c:layout>
                <c:manualLayout>
                  <c:x val="0.2351294611616514"/>
                  <c:y val="-4.6232085067036523E-3"/>
                </c:manualLayout>
              </c:layout>
              <c:spPr>
                <a:noFill/>
                <a:ln>
                  <a:noFill/>
                </a:ln>
                <a:effectLst/>
              </c:spPr>
              <c:txPr>
                <a:bodyPr rot="0" spcFirstLastPara="1" vertOverflow="ellipsis" vert="horz" wrap="square" anchor="ctr" anchorCtr="1"/>
                <a:lstStyle/>
                <a:p>
                  <a:pPr>
                    <a:defRPr sz="1000" b="1" i="0" u="none" strike="noStrike" kern="1200" spc="0" baseline="0">
                      <a:solidFill>
                        <a:sysClr val="windowText" lastClr="000000"/>
                      </a:solidFill>
                      <a:latin typeface="Times New Roman" panose="02020603050405020304" pitchFamily="18" charset="0"/>
                      <a:ea typeface="+mn-ea"/>
                      <a:cs typeface="Times New Roman" panose="02020603050405020304" pitchFamily="18" charset="0"/>
                    </a:defRPr>
                  </a:pPr>
                  <a:endParaRPr lang="fr-FR"/>
                </a:p>
              </c:txPr>
              <c:dLblPos val="bestFit"/>
              <c:showLegendKey val="0"/>
              <c:showVal val="0"/>
              <c:showCatName val="1"/>
              <c:showSerName val="0"/>
              <c:showPercent val="1"/>
              <c:showBubbleSize val="0"/>
              <c:extLst xmlns:c16r2="http://schemas.microsoft.com/office/drawing/2015/06/chart">
                <c:ext xmlns:c16="http://schemas.microsoft.com/office/drawing/2014/chart" uri="{C3380CC4-5D6E-409C-BE32-E72D297353CC}">
                  <c16:uniqueId val="{00000001-290F-4304-94F2-792FD9E4F547}"/>
                </c:ext>
                <c:ext xmlns:c15="http://schemas.microsoft.com/office/drawing/2012/chart" uri="{CE6537A1-D6FC-4f65-9D91-7224C49458BB}"/>
              </c:extLst>
            </c:dLbl>
            <c:dLbl>
              <c:idx val="1"/>
              <c:layout>
                <c:manualLayout>
                  <c:x val="-0.26032190342897138"/>
                  <c:y val="0"/>
                </c:manualLayout>
              </c:layout>
              <c:spPr>
                <a:noFill/>
                <a:ln>
                  <a:noFill/>
                </a:ln>
                <a:effectLst/>
              </c:spPr>
              <c:txPr>
                <a:bodyPr rot="0" spcFirstLastPara="1" vertOverflow="ellipsis" vert="horz" wrap="square" anchor="ctr" anchorCtr="1"/>
                <a:lstStyle/>
                <a:p>
                  <a:pPr>
                    <a:defRPr sz="1000" b="1" i="0" u="none" strike="noStrike" kern="1200" spc="0" baseline="0">
                      <a:solidFill>
                        <a:sysClr val="windowText" lastClr="000000"/>
                      </a:solidFill>
                      <a:latin typeface="Times New Roman" panose="02020603050405020304" pitchFamily="18" charset="0"/>
                      <a:ea typeface="+mn-ea"/>
                      <a:cs typeface="Times New Roman" panose="02020603050405020304" pitchFamily="18" charset="0"/>
                    </a:defRPr>
                  </a:pPr>
                  <a:endParaRPr lang="fr-FR"/>
                </a:p>
              </c:txPr>
              <c:dLblPos val="bestFit"/>
              <c:showLegendKey val="0"/>
              <c:showVal val="0"/>
              <c:showCatName val="1"/>
              <c:showSerName val="0"/>
              <c:showPercent val="1"/>
              <c:showBubbleSize val="0"/>
              <c:extLst xmlns:c16r2="http://schemas.microsoft.com/office/drawing/2015/06/chart">
                <c:ext xmlns:c16="http://schemas.microsoft.com/office/drawing/2014/chart" uri="{C3380CC4-5D6E-409C-BE32-E72D297353CC}">
                  <c16:uniqueId val="{00000003-290F-4304-94F2-792FD9E4F547}"/>
                </c:ext>
                <c:ext xmlns:c15="http://schemas.microsoft.com/office/drawing/2012/chart" uri="{CE6537A1-D6FC-4f65-9D91-7224C49458BB}"/>
              </c:extLst>
            </c:dLbl>
            <c:spPr>
              <a:noFill/>
              <a:ln>
                <a:noFill/>
              </a:ln>
              <a:effectLst/>
            </c:spPr>
            <c:dLblPos val="outEnd"/>
            <c:showLegendKey val="0"/>
            <c:showVal val="0"/>
            <c:showCatName val="1"/>
            <c:showSerName val="0"/>
            <c:showPercent val="1"/>
            <c:showBubbleSize val="0"/>
            <c:showLeaderLines val="1"/>
            <c:leaderLines>
              <c:spPr>
                <a:ln w="9525" cap="flat" cmpd="sng" algn="ctr">
                  <a:solidFill>
                    <a:schemeClr val="tx1">
                      <a:lumMod val="35000"/>
                      <a:lumOff val="65000"/>
                    </a:schemeClr>
                  </a:solidFill>
                  <a:round/>
                </a:ln>
                <a:effectLst/>
              </c:spPr>
            </c:leaderLines>
            <c:extLst xmlns:c16r2="http://schemas.microsoft.com/office/drawing/2015/06/chart">
              <c:ext xmlns:c15="http://schemas.microsoft.com/office/drawing/2012/chart" uri="{CE6537A1-D6FC-4f65-9D91-7224C49458BB}"/>
            </c:extLst>
          </c:dLbls>
          <c:cat>
            <c:strRef>
              <c:f>Douar!$B$919:$B$920</c:f>
              <c:strCache>
                <c:ptCount val="2"/>
                <c:pt idx="0">
                  <c:v>Non bénéficiaires de transferts familiaux</c:v>
                </c:pt>
                <c:pt idx="1">
                  <c:v>Bénéficiaires de transferts familiaux </c:v>
                </c:pt>
              </c:strCache>
            </c:strRef>
          </c:cat>
          <c:val>
            <c:numRef>
              <c:f>Douar!$C$919:$C$920</c:f>
              <c:numCache>
                <c:formatCode>###0</c:formatCode>
                <c:ptCount val="2"/>
                <c:pt idx="0">
                  <c:v>98</c:v>
                </c:pt>
                <c:pt idx="1">
                  <c:v>7</c:v>
                </c:pt>
              </c:numCache>
            </c:numRef>
          </c:val>
          <c:extLst xmlns:c16r2="http://schemas.microsoft.com/office/drawing/2015/06/chart">
            <c:ext xmlns:c16="http://schemas.microsoft.com/office/drawing/2014/chart" uri="{C3380CC4-5D6E-409C-BE32-E72D297353CC}">
              <c16:uniqueId val="{00000004-290F-4304-94F2-792FD9E4F547}"/>
            </c:ext>
          </c:extLst>
        </c:ser>
        <c:dLbls>
          <c:dLblPos val="outEnd"/>
          <c:showLegendKey val="0"/>
          <c:showVal val="0"/>
          <c:showCatName val="1"/>
          <c:showSerName val="0"/>
          <c:showPercent val="0"/>
          <c:showBubbleSize val="0"/>
          <c:showLeaderLines val="1"/>
        </c:dLbls>
      </c:pie3DChart>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solidFill>
            <a:sysClr val="windowText" lastClr="000000"/>
          </a:solidFill>
          <a:latin typeface="Times New Roman" panose="02020603050405020304" pitchFamily="18" charset="0"/>
          <a:cs typeface="Times New Roman" panose="02020603050405020304" pitchFamily="18" charset="0"/>
        </a:defRPr>
      </a:pPr>
      <a:endParaRPr lang="fr-FR"/>
    </a:p>
  </c:txPr>
  <c:externalData r:id="rId2">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view3D>
      <c:rotX val="3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pie3DChart>
        <c:varyColors val="1"/>
        <c:ser>
          <c:idx val="0"/>
          <c:order val="0"/>
          <c:dPt>
            <c:idx val="0"/>
            <c:bubble3D val="0"/>
            <c:spPr>
              <a:solidFill>
                <a:schemeClr val="accent2"/>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xmlns:c16r2="http://schemas.microsoft.com/office/drawing/2015/06/chart">
              <c:ext xmlns:c16="http://schemas.microsoft.com/office/drawing/2014/chart" uri="{C3380CC4-5D6E-409C-BE32-E72D297353CC}">
                <c16:uniqueId val="{00000001-7222-42AC-900E-EAF84907AD3B}"/>
              </c:ext>
            </c:extLst>
          </c:dPt>
          <c:dPt>
            <c:idx val="1"/>
            <c:bubble3D val="0"/>
            <c:spPr>
              <a:solidFill>
                <a:schemeClr val="accent4"/>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xmlns:c16r2="http://schemas.microsoft.com/office/drawing/2015/06/chart">
              <c:ext xmlns:c16="http://schemas.microsoft.com/office/drawing/2014/chart" uri="{C3380CC4-5D6E-409C-BE32-E72D297353CC}">
                <c16:uniqueId val="{00000003-7222-42AC-900E-EAF84907AD3B}"/>
              </c:ext>
            </c:extLst>
          </c:dPt>
          <c:dLbls>
            <c:dLbl>
              <c:idx val="0"/>
              <c:layout>
                <c:manualLayout>
                  <c:x val="0.25730994152046771"/>
                  <c:y val="-1.0379688964778773E-16"/>
                </c:manualLayout>
              </c:layout>
              <c:spPr>
                <a:noFill/>
                <a:ln>
                  <a:noFill/>
                </a:ln>
                <a:effectLst/>
              </c:spPr>
              <c:txPr>
                <a:bodyPr rot="0" spcFirstLastPara="1" vertOverflow="ellipsis" vert="horz" wrap="square" anchor="ctr" anchorCtr="1"/>
                <a:lstStyle/>
                <a:p>
                  <a:pPr>
                    <a:defRPr sz="1000" b="1" i="0" u="none" strike="noStrike" kern="1200" spc="0" baseline="0">
                      <a:solidFill>
                        <a:sysClr val="windowText" lastClr="000000"/>
                      </a:solidFill>
                      <a:latin typeface="Times New Roman" panose="02020603050405020304" pitchFamily="18" charset="0"/>
                      <a:ea typeface="+mn-ea"/>
                      <a:cs typeface="Times New Roman" panose="02020603050405020304" pitchFamily="18" charset="0"/>
                    </a:defRPr>
                  </a:pPr>
                  <a:endParaRPr lang="fr-FR"/>
                </a:p>
              </c:txPr>
              <c:dLblPos val="bestFit"/>
              <c:showLegendKey val="0"/>
              <c:showVal val="0"/>
              <c:showCatName val="1"/>
              <c:showSerName val="0"/>
              <c:showPercent val="1"/>
              <c:showBubbleSize val="0"/>
              <c:extLst xmlns:c16r2="http://schemas.microsoft.com/office/drawing/2015/06/chart">
                <c:ext xmlns:c16="http://schemas.microsoft.com/office/drawing/2014/chart" uri="{C3380CC4-5D6E-409C-BE32-E72D297353CC}">
                  <c16:uniqueId val="{00000001-7222-42AC-900E-EAF84907AD3B}"/>
                </c:ext>
                <c:ext xmlns:c15="http://schemas.microsoft.com/office/drawing/2012/chart" uri="{CE6537A1-D6FC-4f65-9D91-7224C49458BB}"/>
              </c:extLst>
            </c:dLbl>
            <c:dLbl>
              <c:idx val="1"/>
              <c:layout>
                <c:manualLayout>
                  <c:x val="-0.26733500417710948"/>
                  <c:y val="3.3970283580539218E-2"/>
                </c:manualLayout>
              </c:layout>
              <c:spPr>
                <a:noFill/>
                <a:ln>
                  <a:noFill/>
                </a:ln>
                <a:effectLst/>
              </c:spPr>
              <c:txPr>
                <a:bodyPr rot="0" spcFirstLastPara="1" vertOverflow="ellipsis" vert="horz" wrap="square" anchor="ctr" anchorCtr="1"/>
                <a:lstStyle/>
                <a:p>
                  <a:pPr>
                    <a:defRPr sz="1000" b="1" i="0" u="none" strike="noStrike" kern="1200" spc="0" baseline="0">
                      <a:solidFill>
                        <a:sysClr val="windowText" lastClr="000000"/>
                      </a:solidFill>
                      <a:latin typeface="Times New Roman" panose="02020603050405020304" pitchFamily="18" charset="0"/>
                      <a:ea typeface="+mn-ea"/>
                      <a:cs typeface="Times New Roman" panose="02020603050405020304" pitchFamily="18" charset="0"/>
                    </a:defRPr>
                  </a:pPr>
                  <a:endParaRPr lang="fr-FR"/>
                </a:p>
              </c:txPr>
              <c:dLblPos val="bestFit"/>
              <c:showLegendKey val="0"/>
              <c:showVal val="0"/>
              <c:showCatName val="1"/>
              <c:showSerName val="0"/>
              <c:showPercent val="1"/>
              <c:showBubbleSize val="0"/>
              <c:extLst xmlns:c16r2="http://schemas.microsoft.com/office/drawing/2015/06/chart">
                <c:ext xmlns:c16="http://schemas.microsoft.com/office/drawing/2014/chart" uri="{C3380CC4-5D6E-409C-BE32-E72D297353CC}">
                  <c16:uniqueId val="{00000003-7222-42AC-900E-EAF84907AD3B}"/>
                </c:ext>
                <c:ext xmlns:c15="http://schemas.microsoft.com/office/drawing/2012/chart" uri="{CE6537A1-D6FC-4f65-9D91-7224C49458BB}"/>
              </c:extLst>
            </c:dLbl>
            <c:spPr>
              <a:noFill/>
              <a:ln>
                <a:noFill/>
              </a:ln>
              <a:effectLst/>
            </c:spPr>
            <c:dLblPos val="outEnd"/>
            <c:showLegendKey val="0"/>
            <c:showVal val="0"/>
            <c:showCatName val="1"/>
            <c:showSerName val="0"/>
            <c:showPercent val="1"/>
            <c:showBubbleSize val="0"/>
            <c:showLeaderLines val="1"/>
            <c:leaderLines>
              <c:spPr>
                <a:ln w="9525" cap="flat" cmpd="sng" algn="ctr">
                  <a:solidFill>
                    <a:schemeClr val="tx1">
                      <a:lumMod val="35000"/>
                      <a:lumOff val="65000"/>
                    </a:schemeClr>
                  </a:solidFill>
                  <a:round/>
                </a:ln>
                <a:effectLst/>
              </c:spPr>
            </c:leaderLines>
            <c:extLst xmlns:c16r2="http://schemas.microsoft.com/office/drawing/2015/06/chart">
              <c:ext xmlns:c15="http://schemas.microsoft.com/office/drawing/2012/chart" uri="{CE6537A1-D6FC-4f65-9D91-7224C49458BB}"/>
            </c:extLst>
          </c:dLbls>
          <c:cat>
            <c:strRef>
              <c:f>Douar!$B$647:$B$648</c:f>
              <c:strCache>
                <c:ptCount val="2"/>
                <c:pt idx="0">
                  <c:v>Confirmation de dégradation</c:v>
                </c:pt>
                <c:pt idx="1">
                  <c:v>Infirmation de dégradation </c:v>
                </c:pt>
              </c:strCache>
            </c:strRef>
          </c:cat>
          <c:val>
            <c:numRef>
              <c:f>Douar!$C$647:$C$648</c:f>
              <c:numCache>
                <c:formatCode>General</c:formatCode>
                <c:ptCount val="2"/>
                <c:pt idx="0">
                  <c:v>100</c:v>
                </c:pt>
                <c:pt idx="1">
                  <c:v>5</c:v>
                </c:pt>
              </c:numCache>
            </c:numRef>
          </c:val>
          <c:extLst xmlns:c16r2="http://schemas.microsoft.com/office/drawing/2015/06/chart">
            <c:ext xmlns:c16="http://schemas.microsoft.com/office/drawing/2014/chart" uri="{C3380CC4-5D6E-409C-BE32-E72D297353CC}">
              <c16:uniqueId val="{00000004-7222-42AC-900E-EAF84907AD3B}"/>
            </c:ext>
          </c:extLst>
        </c:ser>
        <c:dLbls>
          <c:dLblPos val="outEnd"/>
          <c:showLegendKey val="0"/>
          <c:showVal val="0"/>
          <c:showCatName val="1"/>
          <c:showSerName val="0"/>
          <c:showPercent val="0"/>
          <c:showBubbleSize val="0"/>
          <c:showLeaderLines val="1"/>
        </c:dLbls>
      </c:pie3DChart>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solidFill>
            <a:sysClr val="windowText" lastClr="000000"/>
          </a:solidFill>
          <a:latin typeface="Times New Roman" panose="02020603050405020304" pitchFamily="18" charset="0"/>
          <a:cs typeface="Times New Roman" panose="02020603050405020304" pitchFamily="18" charset="0"/>
        </a:defRPr>
      </a:pPr>
      <a:endParaRPr lang="fr-FR"/>
    </a:p>
  </c:txPr>
  <c:externalData r:id="rId2">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view3D>
      <c:rotX val="3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manualLayout>
          <c:layoutTarget val="inner"/>
          <c:xMode val="edge"/>
          <c:yMode val="edge"/>
          <c:x val="5.4102108204215793E-4"/>
          <c:y val="2.780018351364611E-3"/>
          <c:w val="0.81573628954392652"/>
          <c:h val="0.75557045941356027"/>
        </c:manualLayout>
      </c:layout>
      <c:pie3DChart>
        <c:varyColors val="1"/>
        <c:ser>
          <c:idx val="0"/>
          <c:order val="0"/>
          <c:dPt>
            <c:idx val="0"/>
            <c:bubble3D val="0"/>
            <c:spPr>
              <a:solidFill>
                <a:srgbClr val="92D050"/>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xmlns:c16r2="http://schemas.microsoft.com/office/drawing/2015/06/chart">
              <c:ext xmlns:c16="http://schemas.microsoft.com/office/drawing/2014/chart" uri="{C3380CC4-5D6E-409C-BE32-E72D297353CC}">
                <c16:uniqueId val="{00000001-DB4D-4C5F-BA02-2D609BC9F168}"/>
              </c:ext>
            </c:extLst>
          </c:dPt>
          <c:dPt>
            <c:idx val="1"/>
            <c:bubble3D val="0"/>
            <c:spPr>
              <a:solidFill>
                <a:srgbClr val="FFC000"/>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xmlns:c16r2="http://schemas.microsoft.com/office/drawing/2015/06/chart">
              <c:ext xmlns:c16="http://schemas.microsoft.com/office/drawing/2014/chart" uri="{C3380CC4-5D6E-409C-BE32-E72D297353CC}">
                <c16:uniqueId val="{00000003-DB4D-4C5F-BA02-2D609BC9F168}"/>
              </c:ext>
            </c:extLst>
          </c:dPt>
          <c:dLbls>
            <c:dLbl>
              <c:idx val="0"/>
              <c:layout>
                <c:manualLayout>
                  <c:x val="0.38888881649842399"/>
                  <c:y val="-9.5698666007058748E-17"/>
                </c:manualLayout>
              </c:layout>
              <c:spPr>
                <a:noFill/>
                <a:ln>
                  <a:noFill/>
                </a:ln>
                <a:effectLst/>
              </c:spPr>
              <c:txPr>
                <a:bodyPr rot="0" spcFirstLastPara="1" vertOverflow="ellipsis" vert="horz" wrap="square" anchor="ctr" anchorCtr="1"/>
                <a:lstStyle/>
                <a:p>
                  <a:pPr>
                    <a:defRPr sz="1000" b="1" i="0" u="none" strike="noStrike" kern="1200" spc="0" baseline="0">
                      <a:solidFill>
                        <a:sysClr val="windowText" lastClr="000000"/>
                      </a:solidFill>
                      <a:latin typeface="Times New Roman" panose="02020603050405020304" pitchFamily="18" charset="0"/>
                      <a:ea typeface="+mn-ea"/>
                      <a:cs typeface="Times New Roman" panose="02020603050405020304" pitchFamily="18" charset="0"/>
                    </a:defRPr>
                  </a:pPr>
                  <a:endParaRPr lang="fr-FR"/>
                </a:p>
              </c:txPr>
              <c:dLblPos val="bestFit"/>
              <c:showLegendKey val="0"/>
              <c:showVal val="0"/>
              <c:showCatName val="1"/>
              <c:showSerName val="0"/>
              <c:showPercent val="1"/>
              <c:showBubbleSize val="0"/>
              <c:extLst xmlns:c16r2="http://schemas.microsoft.com/office/drawing/2015/06/chart">
                <c:ext xmlns:c16="http://schemas.microsoft.com/office/drawing/2014/chart" uri="{C3380CC4-5D6E-409C-BE32-E72D297353CC}">
                  <c16:uniqueId val="{00000001-DB4D-4C5F-BA02-2D609BC9F168}"/>
                </c:ext>
                <c:ext xmlns:c15="http://schemas.microsoft.com/office/drawing/2012/chart" uri="{CE6537A1-D6FC-4f65-9D91-7224C49458BB}"/>
              </c:extLst>
            </c:dLbl>
            <c:dLbl>
              <c:idx val="1"/>
              <c:layout>
                <c:manualLayout>
                  <c:x val="-0.37234035622189532"/>
                  <c:y val="0"/>
                </c:manualLayout>
              </c:layout>
              <c:spPr>
                <a:noFill/>
                <a:ln>
                  <a:noFill/>
                </a:ln>
                <a:effectLst/>
              </c:spPr>
              <c:txPr>
                <a:bodyPr rot="0" spcFirstLastPara="1" vertOverflow="ellipsis" vert="horz" wrap="square" anchor="ctr" anchorCtr="1"/>
                <a:lstStyle/>
                <a:p>
                  <a:pPr>
                    <a:defRPr sz="1000" b="1" i="0" u="none" strike="noStrike" kern="1200" spc="0" baseline="0">
                      <a:solidFill>
                        <a:sysClr val="windowText" lastClr="000000"/>
                      </a:solidFill>
                      <a:latin typeface="Times New Roman" panose="02020603050405020304" pitchFamily="18" charset="0"/>
                      <a:ea typeface="+mn-ea"/>
                      <a:cs typeface="Times New Roman" panose="02020603050405020304" pitchFamily="18" charset="0"/>
                    </a:defRPr>
                  </a:pPr>
                  <a:endParaRPr lang="fr-FR"/>
                </a:p>
              </c:txPr>
              <c:dLblPos val="bestFit"/>
              <c:showLegendKey val="0"/>
              <c:showVal val="0"/>
              <c:showCatName val="1"/>
              <c:showSerName val="0"/>
              <c:showPercent val="1"/>
              <c:showBubbleSize val="0"/>
              <c:extLst xmlns:c16r2="http://schemas.microsoft.com/office/drawing/2015/06/chart">
                <c:ext xmlns:c16="http://schemas.microsoft.com/office/drawing/2014/chart" uri="{C3380CC4-5D6E-409C-BE32-E72D297353CC}">
                  <c16:uniqueId val="{00000003-DB4D-4C5F-BA02-2D609BC9F168}"/>
                </c:ext>
                <c:ext xmlns:c15="http://schemas.microsoft.com/office/drawing/2012/chart" uri="{CE6537A1-D6FC-4f65-9D91-7224C49458BB}"/>
              </c:extLst>
            </c:dLbl>
            <c:spPr>
              <a:noFill/>
              <a:ln>
                <a:noFill/>
              </a:ln>
              <a:effectLst/>
            </c:spPr>
            <c:dLblPos val="outEnd"/>
            <c:showLegendKey val="0"/>
            <c:showVal val="0"/>
            <c:showCatName val="1"/>
            <c:showSerName val="0"/>
            <c:showPercent val="1"/>
            <c:showBubbleSize val="0"/>
            <c:showLeaderLines val="1"/>
            <c:leaderLines>
              <c:spPr>
                <a:ln w="9525" cap="flat" cmpd="sng" algn="ctr">
                  <a:solidFill>
                    <a:schemeClr val="tx1">
                      <a:lumMod val="35000"/>
                      <a:lumOff val="65000"/>
                    </a:schemeClr>
                  </a:solidFill>
                  <a:round/>
                </a:ln>
                <a:effectLst/>
              </c:spPr>
            </c:leaderLines>
            <c:extLst xmlns:c16r2="http://schemas.microsoft.com/office/drawing/2015/06/chart">
              <c:ext xmlns:c15="http://schemas.microsoft.com/office/drawing/2012/chart" uri="{CE6537A1-D6FC-4f65-9D91-7224C49458BB}"/>
            </c:extLst>
          </c:dLbls>
          <c:cat>
            <c:strRef>
              <c:f>Douar!$B$676:$B$677</c:f>
              <c:strCache>
                <c:ptCount val="2"/>
                <c:pt idx="0">
                  <c:v>Confirmation du changement climatique </c:v>
                </c:pt>
                <c:pt idx="1">
                  <c:v>Infirmation du changement climatique</c:v>
                </c:pt>
              </c:strCache>
            </c:strRef>
          </c:cat>
          <c:val>
            <c:numRef>
              <c:f>Douar!$C$676:$C$677</c:f>
              <c:numCache>
                <c:formatCode>General</c:formatCode>
                <c:ptCount val="2"/>
                <c:pt idx="0">
                  <c:v>100</c:v>
                </c:pt>
                <c:pt idx="1">
                  <c:v>1</c:v>
                </c:pt>
              </c:numCache>
            </c:numRef>
          </c:val>
          <c:extLst xmlns:c16r2="http://schemas.microsoft.com/office/drawing/2015/06/chart">
            <c:ext xmlns:c16="http://schemas.microsoft.com/office/drawing/2014/chart" uri="{C3380CC4-5D6E-409C-BE32-E72D297353CC}">
              <c16:uniqueId val="{00000004-DB4D-4C5F-BA02-2D609BC9F168}"/>
            </c:ext>
          </c:extLst>
        </c:ser>
        <c:dLbls>
          <c:dLblPos val="outEnd"/>
          <c:showLegendKey val="0"/>
          <c:showVal val="0"/>
          <c:showCatName val="1"/>
          <c:showSerName val="0"/>
          <c:showPercent val="0"/>
          <c:showBubbleSize val="0"/>
          <c:showLeaderLines val="1"/>
        </c:dLbls>
      </c:pie3DChart>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solidFill>
            <a:sysClr val="windowText" lastClr="000000"/>
          </a:solidFill>
          <a:latin typeface="Times New Roman" panose="02020603050405020304" pitchFamily="18" charset="0"/>
          <a:cs typeface="Times New Roman" panose="02020603050405020304" pitchFamily="18" charset="0"/>
        </a:defRPr>
      </a:pPr>
      <a:endParaRPr lang="fr-FR"/>
    </a:p>
  </c:txPr>
  <c:externalData r:id="rId2">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view3D>
      <c:rotX val="3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manualLayout>
          <c:layoutTarget val="inner"/>
          <c:xMode val="edge"/>
          <c:yMode val="edge"/>
          <c:x val="0.14472767539853171"/>
          <c:y val="0.2145948483268581"/>
          <c:w val="0.71994210574802453"/>
          <c:h val="0.60215683659347308"/>
        </c:manualLayout>
      </c:layout>
      <c:pie3DChart>
        <c:varyColors val="1"/>
        <c:ser>
          <c:idx val="0"/>
          <c:order val="0"/>
          <c:dPt>
            <c:idx val="0"/>
            <c:bubble3D val="0"/>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extLst xmlns:c16r2="http://schemas.microsoft.com/office/drawing/2015/06/chart">
              <c:ext xmlns:c16="http://schemas.microsoft.com/office/drawing/2014/chart" uri="{C3380CC4-5D6E-409C-BE32-E72D297353CC}">
                <c16:uniqueId val="{00000001-8BE4-48E6-BCF9-AFF14958F286}"/>
              </c:ext>
            </c:extLst>
          </c:dPt>
          <c:dPt>
            <c:idx val="1"/>
            <c:bubble3D val="0"/>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extLst xmlns:c16r2="http://schemas.microsoft.com/office/drawing/2015/06/chart">
              <c:ext xmlns:c16="http://schemas.microsoft.com/office/drawing/2014/chart" uri="{C3380CC4-5D6E-409C-BE32-E72D297353CC}">
                <c16:uniqueId val="{00000003-8BE4-48E6-BCF9-AFF14958F286}"/>
              </c:ext>
            </c:extLst>
          </c:dPt>
          <c:dPt>
            <c:idx val="2"/>
            <c:bubble3D val="0"/>
            <c:spPr>
              <a:gradFill rotWithShape="1">
                <a:gsLst>
                  <a:gs pos="0">
                    <a:schemeClr val="accent6">
                      <a:satMod val="103000"/>
                      <a:lumMod val="102000"/>
                      <a:tint val="94000"/>
                    </a:schemeClr>
                  </a:gs>
                  <a:gs pos="50000">
                    <a:schemeClr val="accent6">
                      <a:satMod val="110000"/>
                      <a:lumMod val="100000"/>
                      <a:shade val="100000"/>
                    </a:schemeClr>
                  </a:gs>
                  <a:gs pos="100000">
                    <a:schemeClr val="accent6">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extLst xmlns:c16r2="http://schemas.microsoft.com/office/drawing/2015/06/chart">
              <c:ext xmlns:c16="http://schemas.microsoft.com/office/drawing/2014/chart" uri="{C3380CC4-5D6E-409C-BE32-E72D297353CC}">
                <c16:uniqueId val="{00000005-8BE4-48E6-BCF9-AFF14958F286}"/>
              </c:ext>
            </c:extLst>
          </c:dPt>
          <c:dPt>
            <c:idx val="3"/>
            <c:bubble3D val="0"/>
            <c:spPr>
              <a:gradFill rotWithShape="1">
                <a:gsLst>
                  <a:gs pos="0">
                    <a:schemeClr val="accent2">
                      <a:lumMod val="60000"/>
                      <a:satMod val="103000"/>
                      <a:lumMod val="102000"/>
                      <a:tint val="94000"/>
                    </a:schemeClr>
                  </a:gs>
                  <a:gs pos="50000">
                    <a:schemeClr val="accent2">
                      <a:lumMod val="60000"/>
                      <a:satMod val="110000"/>
                      <a:lumMod val="100000"/>
                      <a:shade val="100000"/>
                    </a:schemeClr>
                  </a:gs>
                  <a:gs pos="100000">
                    <a:schemeClr val="accent2">
                      <a:lumMod val="60000"/>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extLst xmlns:c16r2="http://schemas.microsoft.com/office/drawing/2015/06/chart">
              <c:ext xmlns:c16="http://schemas.microsoft.com/office/drawing/2014/chart" uri="{C3380CC4-5D6E-409C-BE32-E72D297353CC}">
                <c16:uniqueId val="{00000007-8BE4-48E6-BCF9-AFF14958F286}"/>
              </c:ext>
            </c:extLst>
          </c:dPt>
          <c:dPt>
            <c:idx val="4"/>
            <c:bubble3D val="0"/>
            <c:spPr>
              <a:gradFill rotWithShape="1">
                <a:gsLst>
                  <a:gs pos="0">
                    <a:schemeClr val="accent4">
                      <a:lumMod val="60000"/>
                      <a:satMod val="103000"/>
                      <a:lumMod val="102000"/>
                      <a:tint val="94000"/>
                    </a:schemeClr>
                  </a:gs>
                  <a:gs pos="50000">
                    <a:schemeClr val="accent4">
                      <a:lumMod val="60000"/>
                      <a:satMod val="110000"/>
                      <a:lumMod val="100000"/>
                      <a:shade val="100000"/>
                    </a:schemeClr>
                  </a:gs>
                  <a:gs pos="100000">
                    <a:schemeClr val="accent4">
                      <a:lumMod val="60000"/>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extLst xmlns:c16r2="http://schemas.microsoft.com/office/drawing/2015/06/chart">
              <c:ext xmlns:c16="http://schemas.microsoft.com/office/drawing/2014/chart" uri="{C3380CC4-5D6E-409C-BE32-E72D297353CC}">
                <c16:uniqueId val="{00000009-8BE4-48E6-BCF9-AFF14958F286}"/>
              </c:ext>
            </c:extLst>
          </c:dPt>
          <c:dPt>
            <c:idx val="5"/>
            <c:bubble3D val="0"/>
            <c:spPr>
              <a:gradFill rotWithShape="1">
                <a:gsLst>
                  <a:gs pos="0">
                    <a:schemeClr val="accent6">
                      <a:lumMod val="60000"/>
                      <a:satMod val="103000"/>
                      <a:lumMod val="102000"/>
                      <a:tint val="94000"/>
                    </a:schemeClr>
                  </a:gs>
                  <a:gs pos="50000">
                    <a:schemeClr val="accent6">
                      <a:lumMod val="60000"/>
                      <a:satMod val="110000"/>
                      <a:lumMod val="100000"/>
                      <a:shade val="100000"/>
                    </a:schemeClr>
                  </a:gs>
                  <a:gs pos="100000">
                    <a:schemeClr val="accent6">
                      <a:lumMod val="60000"/>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extLst xmlns:c16r2="http://schemas.microsoft.com/office/drawing/2015/06/chart">
              <c:ext xmlns:c16="http://schemas.microsoft.com/office/drawing/2014/chart" uri="{C3380CC4-5D6E-409C-BE32-E72D297353CC}">
                <c16:uniqueId val="{0000000B-8BE4-48E6-BCF9-AFF14958F286}"/>
              </c:ext>
            </c:extLst>
          </c:dPt>
          <c:dLbls>
            <c:dLbl>
              <c:idx val="0"/>
              <c:layout>
                <c:manualLayout>
                  <c:x val="0.11511884267732789"/>
                  <c:y val="-6.1594209174350087E-2"/>
                </c:manualLayout>
              </c:layout>
              <c:dLblPos val="bestFit"/>
              <c:showLegendKey val="0"/>
              <c:showVal val="0"/>
              <c:showCatName val="1"/>
              <c:showSerName val="0"/>
              <c:showPercent val="1"/>
              <c:showBubbleSize val="0"/>
              <c:extLst xmlns:c16r2="http://schemas.microsoft.com/office/drawing/2015/06/chart">
                <c:ext xmlns:c16="http://schemas.microsoft.com/office/drawing/2014/chart" uri="{C3380CC4-5D6E-409C-BE32-E72D297353CC}">
                  <c16:uniqueId val="{00000001-8BE4-48E6-BCF9-AFF14958F286}"/>
                </c:ext>
                <c:ext xmlns:c15="http://schemas.microsoft.com/office/drawing/2012/chart" uri="{CE6537A1-D6FC-4f65-9D91-7224C49458BB}"/>
              </c:extLst>
            </c:dLbl>
            <c:dLbl>
              <c:idx val="1"/>
              <c:layout>
                <c:manualLayout>
                  <c:x val="0.23493641362719994"/>
                  <c:y val="-0.13638717745748943"/>
                </c:manualLayout>
              </c:layout>
              <c:dLblPos val="bestFit"/>
              <c:showLegendKey val="0"/>
              <c:showVal val="0"/>
              <c:showCatName val="1"/>
              <c:showSerName val="0"/>
              <c:showPercent val="1"/>
              <c:showBubbleSize val="0"/>
              <c:extLst xmlns:c16r2="http://schemas.microsoft.com/office/drawing/2015/06/chart">
                <c:ext xmlns:c16="http://schemas.microsoft.com/office/drawing/2014/chart" uri="{C3380CC4-5D6E-409C-BE32-E72D297353CC}">
                  <c16:uniqueId val="{00000003-8BE4-48E6-BCF9-AFF14958F286}"/>
                </c:ext>
                <c:ext xmlns:c15="http://schemas.microsoft.com/office/drawing/2012/chart" uri="{CE6537A1-D6FC-4f65-9D91-7224C49458BB}"/>
              </c:extLst>
            </c:dLbl>
            <c:dLbl>
              <c:idx val="2"/>
              <c:layout>
                <c:manualLayout>
                  <c:x val="-5.6384739270527985E-2"/>
                  <c:y val="0.13638717745748952"/>
                </c:manualLayout>
              </c:layout>
              <c:dLblPos val="bestFit"/>
              <c:showLegendKey val="0"/>
              <c:showVal val="0"/>
              <c:showCatName val="1"/>
              <c:showSerName val="0"/>
              <c:showPercent val="1"/>
              <c:showBubbleSize val="0"/>
              <c:extLst xmlns:c16r2="http://schemas.microsoft.com/office/drawing/2015/06/chart">
                <c:ext xmlns:c16="http://schemas.microsoft.com/office/drawing/2014/chart" uri="{C3380CC4-5D6E-409C-BE32-E72D297353CC}">
                  <c16:uniqueId val="{00000005-8BE4-48E6-BCF9-AFF14958F286}"/>
                </c:ext>
                <c:ext xmlns:c15="http://schemas.microsoft.com/office/drawing/2012/chart" uri="{CE6537A1-D6FC-4f65-9D91-7224C49458BB}"/>
              </c:extLst>
            </c:dLbl>
            <c:dLbl>
              <c:idx val="3"/>
              <c:layout>
                <c:manualLayout>
                  <c:x val="-0.14566057644886396"/>
                  <c:y val="-8.7991727391928867E-3"/>
                </c:manualLayout>
              </c:layout>
              <c:dLblPos val="bestFit"/>
              <c:showLegendKey val="0"/>
              <c:showVal val="0"/>
              <c:showCatName val="1"/>
              <c:showSerName val="0"/>
              <c:showPercent val="1"/>
              <c:showBubbleSize val="0"/>
              <c:extLst xmlns:c16r2="http://schemas.microsoft.com/office/drawing/2015/06/chart">
                <c:ext xmlns:c16="http://schemas.microsoft.com/office/drawing/2014/chart" uri="{C3380CC4-5D6E-409C-BE32-E72D297353CC}">
                  <c16:uniqueId val="{00000007-8BE4-48E6-BCF9-AFF14958F286}"/>
                </c:ext>
                <c:ext xmlns:c15="http://schemas.microsoft.com/office/drawing/2012/chart" uri="{CE6537A1-D6FC-4f65-9D91-7224C49458BB}"/>
              </c:extLst>
            </c:dLbl>
            <c:dLbl>
              <c:idx val="4"/>
              <c:layout>
                <c:manualLayout>
                  <c:x val="-2.1144277226447974E-2"/>
                  <c:y val="-0.12758800471829657"/>
                </c:manualLayout>
              </c:layout>
              <c:dLblPos val="bestFit"/>
              <c:showLegendKey val="0"/>
              <c:showVal val="0"/>
              <c:showCatName val="1"/>
              <c:showSerName val="0"/>
              <c:showPercent val="1"/>
              <c:showBubbleSize val="0"/>
              <c:extLst xmlns:c16r2="http://schemas.microsoft.com/office/drawing/2015/06/chart">
                <c:ext xmlns:c16="http://schemas.microsoft.com/office/drawing/2014/chart" uri="{C3380CC4-5D6E-409C-BE32-E72D297353CC}">
                  <c16:uniqueId val="{00000009-8BE4-48E6-BCF9-AFF14958F286}"/>
                </c:ext>
                <c:ext xmlns:c15="http://schemas.microsoft.com/office/drawing/2012/chart" uri="{CE6537A1-D6FC-4f65-9D91-7224C49458BB}"/>
              </c:extLst>
            </c:dLbl>
            <c:dLbl>
              <c:idx val="5"/>
              <c:layout>
                <c:manualLayout>
                  <c:x val="0.18794913090175996"/>
                  <c:y val="-8.3592141022332228E-2"/>
                </c:manualLayout>
              </c:layout>
              <c:dLblPos val="bestFit"/>
              <c:showLegendKey val="0"/>
              <c:showVal val="0"/>
              <c:showCatName val="1"/>
              <c:showSerName val="0"/>
              <c:showPercent val="1"/>
              <c:showBubbleSize val="0"/>
              <c:extLst xmlns:c16r2="http://schemas.microsoft.com/office/drawing/2015/06/chart">
                <c:ext xmlns:c16="http://schemas.microsoft.com/office/drawing/2014/chart" uri="{C3380CC4-5D6E-409C-BE32-E72D297353CC}">
                  <c16:uniqueId val="{0000000B-8BE4-48E6-BCF9-AFF14958F286}"/>
                </c:ext>
                <c:ext xmlns:c15="http://schemas.microsoft.com/office/drawing/2012/chart" uri="{CE6537A1-D6FC-4f65-9D91-7224C49458BB}"/>
              </c:extLst>
            </c:dLbl>
            <c:spPr>
              <a:noFill/>
              <a:ln>
                <a:noFill/>
              </a:ln>
              <a:effectLst/>
            </c:spPr>
            <c:txPr>
              <a:bodyPr rot="0" spcFirstLastPara="1" vertOverflow="ellipsis" vert="horz" wrap="square" lIns="38100" tIns="19050" rIns="38100" bIns="19050" anchor="ctr" anchorCtr="1">
                <a:spAutoFit/>
              </a:bodyPr>
              <a:lstStyle/>
              <a:p>
                <a:pPr>
                  <a:defRPr sz="8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fr-FR"/>
              </a:p>
            </c:txPr>
            <c:dLblPos val="outEnd"/>
            <c:showLegendKey val="0"/>
            <c:showVal val="0"/>
            <c:showCatName val="1"/>
            <c:showSerName val="0"/>
            <c:showPercent val="1"/>
            <c:showBubbleSize val="0"/>
            <c:showLeaderLines val="1"/>
            <c:leaderLines>
              <c:spPr>
                <a:ln w="9525" cap="flat" cmpd="sng" algn="ctr">
                  <a:solidFill>
                    <a:schemeClr val="tx1">
                      <a:lumMod val="35000"/>
                      <a:lumOff val="65000"/>
                    </a:schemeClr>
                  </a:solidFill>
                  <a:round/>
                </a:ln>
                <a:effectLst/>
              </c:spPr>
            </c:leaderLines>
            <c:extLst xmlns:c16r2="http://schemas.microsoft.com/office/drawing/2015/06/chart">
              <c:ext xmlns:c15="http://schemas.microsoft.com/office/drawing/2012/chart" uri="{CE6537A1-D6FC-4f65-9D91-7224C49458BB}"/>
            </c:extLst>
          </c:dLbls>
          <c:cat>
            <c:strRef>
              <c:f>Douar!$C$1166:$C$1169</c:f>
              <c:strCache>
                <c:ptCount val="4"/>
                <c:pt idx="0">
                  <c:v>Bois</c:v>
                </c:pt>
                <c:pt idx="1">
                  <c:v>charbon</c:v>
                </c:pt>
                <c:pt idx="2">
                  <c:v>Fumier</c:v>
                </c:pt>
                <c:pt idx="3">
                  <c:v>Gaz</c:v>
                </c:pt>
              </c:strCache>
            </c:strRef>
          </c:cat>
          <c:val>
            <c:numRef>
              <c:f>Douar!$E$1166:$E$1169</c:f>
              <c:numCache>
                <c:formatCode>0%</c:formatCode>
                <c:ptCount val="4"/>
                <c:pt idx="0">
                  <c:v>0.25714285714285712</c:v>
                </c:pt>
                <c:pt idx="1">
                  <c:v>0.14285714285714285</c:v>
                </c:pt>
                <c:pt idx="2">
                  <c:v>0.15238095238095239</c:v>
                </c:pt>
                <c:pt idx="3">
                  <c:v>0.44761904761904764</c:v>
                </c:pt>
              </c:numCache>
            </c:numRef>
          </c:val>
          <c:extLst xmlns:c16r2="http://schemas.microsoft.com/office/drawing/2015/06/chart">
            <c:ext xmlns:c16="http://schemas.microsoft.com/office/drawing/2014/chart" uri="{C3380CC4-5D6E-409C-BE32-E72D297353CC}">
              <c16:uniqueId val="{0000000C-8BE4-48E6-BCF9-AFF14958F286}"/>
            </c:ext>
          </c:extLst>
        </c:ser>
        <c:dLbls>
          <c:dLblPos val="outEnd"/>
          <c:showLegendKey val="0"/>
          <c:showVal val="0"/>
          <c:showCatName val="1"/>
          <c:showSerName val="0"/>
          <c:showPercent val="0"/>
          <c:showBubbleSize val="0"/>
          <c:showLeaderLines val="1"/>
        </c:dLbls>
      </c:pie3DChart>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800">
          <a:solidFill>
            <a:schemeClr val="tx1"/>
          </a:solidFill>
          <a:latin typeface="Times New Roman" panose="02020603050405020304" pitchFamily="18" charset="0"/>
          <a:cs typeface="Times New Roman" panose="02020603050405020304" pitchFamily="18" charset="0"/>
        </a:defRPr>
      </a:pPr>
      <a:endParaRPr lang="fr-FR"/>
    </a:p>
  </c:txPr>
  <c:externalData r:id="rId2">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view3D>
      <c:rotX val="3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pie3DChart>
        <c:varyColors val="1"/>
        <c:ser>
          <c:idx val="0"/>
          <c:order val="0"/>
          <c:explosion val="10"/>
          <c:dPt>
            <c:idx val="0"/>
            <c:bubble3D val="0"/>
            <c:spPr>
              <a:solidFill>
                <a:schemeClr val="accent1"/>
              </a:solidFill>
              <a:ln w="25400">
                <a:solidFill>
                  <a:schemeClr val="lt1"/>
                </a:solidFill>
              </a:ln>
              <a:effectLst/>
              <a:sp3d contourW="25400">
                <a:contourClr>
                  <a:schemeClr val="lt1"/>
                </a:contourClr>
              </a:sp3d>
            </c:spPr>
            <c:extLst xmlns:c16r2="http://schemas.microsoft.com/office/drawing/2015/06/chart">
              <c:ext xmlns:c16="http://schemas.microsoft.com/office/drawing/2014/chart" uri="{C3380CC4-5D6E-409C-BE32-E72D297353CC}">
                <c16:uniqueId val="{00000001-3A45-45B8-B0D4-A54A9F802A14}"/>
              </c:ext>
            </c:extLst>
          </c:dPt>
          <c:dPt>
            <c:idx val="1"/>
            <c:bubble3D val="0"/>
            <c:spPr>
              <a:solidFill>
                <a:schemeClr val="accent2"/>
              </a:solidFill>
              <a:ln w="25400">
                <a:solidFill>
                  <a:schemeClr val="lt1"/>
                </a:solidFill>
              </a:ln>
              <a:effectLst/>
              <a:sp3d contourW="25400">
                <a:contourClr>
                  <a:schemeClr val="lt1"/>
                </a:contourClr>
              </a:sp3d>
            </c:spPr>
            <c:extLst xmlns:c16r2="http://schemas.microsoft.com/office/drawing/2015/06/chart">
              <c:ext xmlns:c16="http://schemas.microsoft.com/office/drawing/2014/chart" uri="{C3380CC4-5D6E-409C-BE32-E72D297353CC}">
                <c16:uniqueId val="{00000003-3A45-45B8-B0D4-A54A9F802A14}"/>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fr-FR"/>
              </a:p>
            </c:txPr>
            <c:dLblPos val="outEnd"/>
            <c:showLegendKey val="0"/>
            <c:showVal val="0"/>
            <c:showCatName val="1"/>
            <c:showSerName val="0"/>
            <c:showPercent val="1"/>
            <c:showBubbleSize val="0"/>
            <c:showLeaderLines val="1"/>
            <c:leaderLines>
              <c:spPr>
                <a:ln w="9525" cap="flat" cmpd="sng" algn="ctr">
                  <a:solidFill>
                    <a:schemeClr val="tx1">
                      <a:lumMod val="35000"/>
                      <a:lumOff val="65000"/>
                    </a:schemeClr>
                  </a:solidFill>
                  <a:round/>
                </a:ln>
                <a:effectLst/>
              </c:spPr>
            </c:leaderLines>
            <c:extLst xmlns:c16r2="http://schemas.microsoft.com/office/drawing/2015/06/chart">
              <c:ext xmlns:c15="http://schemas.microsoft.com/office/drawing/2012/chart" uri="{CE6537A1-D6FC-4f65-9D91-7224C49458BB}"/>
            </c:extLst>
          </c:dLbls>
          <c:cat>
            <c:strRef>
              <c:f>Douar!$B$758:$B$759</c:f>
              <c:strCache>
                <c:ptCount val="2"/>
                <c:pt idx="0">
                  <c:v>Pour les mises en défens</c:v>
                </c:pt>
                <c:pt idx="1">
                  <c:v>Contre les mises en défens </c:v>
                </c:pt>
              </c:strCache>
            </c:strRef>
          </c:cat>
          <c:val>
            <c:numRef>
              <c:f>Douar!$C$758:$C$759</c:f>
              <c:numCache>
                <c:formatCode>General</c:formatCode>
                <c:ptCount val="2"/>
                <c:pt idx="0">
                  <c:v>32</c:v>
                </c:pt>
                <c:pt idx="1">
                  <c:v>73</c:v>
                </c:pt>
              </c:numCache>
            </c:numRef>
          </c:val>
          <c:extLst xmlns:c16r2="http://schemas.microsoft.com/office/drawing/2015/06/chart">
            <c:ext xmlns:c16="http://schemas.microsoft.com/office/drawing/2014/chart" uri="{C3380CC4-5D6E-409C-BE32-E72D297353CC}">
              <c16:uniqueId val="{00000004-3A45-45B8-B0D4-A54A9F802A14}"/>
            </c:ext>
          </c:extLst>
        </c:ser>
        <c:dLbls>
          <c:dLblPos val="outEnd"/>
          <c:showLegendKey val="0"/>
          <c:showVal val="0"/>
          <c:showCatName val="1"/>
          <c:showSerName val="0"/>
          <c:showPercent val="0"/>
          <c:showBubbleSize val="0"/>
          <c:showLeaderLines val="1"/>
        </c:dLbls>
      </c:pie3D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fr-FR"/>
    </a:p>
  </c:txPr>
  <c:externalData r:id="rId2">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view3D>
      <c:rotX val="3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manualLayout>
          <c:layoutTarget val="inner"/>
          <c:xMode val="edge"/>
          <c:yMode val="edge"/>
          <c:x val="0.14472767539853171"/>
          <c:y val="0.2145948483268581"/>
          <c:w val="0.71994210574802453"/>
          <c:h val="0.60215683659347308"/>
        </c:manualLayout>
      </c:layout>
      <c:pie3DChart>
        <c:varyColors val="1"/>
        <c:ser>
          <c:idx val="0"/>
          <c:order val="0"/>
          <c:dPt>
            <c:idx val="0"/>
            <c:bubble3D val="0"/>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extLst xmlns:c16r2="http://schemas.microsoft.com/office/drawing/2015/06/chart">
              <c:ext xmlns:c16="http://schemas.microsoft.com/office/drawing/2014/chart" uri="{C3380CC4-5D6E-409C-BE32-E72D297353CC}">
                <c16:uniqueId val="{00000001-8877-45A5-92B6-D198205A31F9}"/>
              </c:ext>
            </c:extLst>
          </c:dPt>
          <c:dPt>
            <c:idx val="1"/>
            <c:bubble3D val="0"/>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extLst xmlns:c16r2="http://schemas.microsoft.com/office/drawing/2015/06/chart">
              <c:ext xmlns:c16="http://schemas.microsoft.com/office/drawing/2014/chart" uri="{C3380CC4-5D6E-409C-BE32-E72D297353CC}">
                <c16:uniqueId val="{00000003-8877-45A5-92B6-D198205A31F9}"/>
              </c:ext>
            </c:extLst>
          </c:dPt>
          <c:dPt>
            <c:idx val="2"/>
            <c:bubble3D val="0"/>
            <c:spPr>
              <a:gradFill rotWithShape="1">
                <a:gsLst>
                  <a:gs pos="0">
                    <a:schemeClr val="accent3">
                      <a:satMod val="103000"/>
                      <a:lumMod val="102000"/>
                      <a:tint val="94000"/>
                    </a:schemeClr>
                  </a:gs>
                  <a:gs pos="50000">
                    <a:schemeClr val="accent3">
                      <a:satMod val="110000"/>
                      <a:lumMod val="100000"/>
                      <a:shade val="100000"/>
                    </a:schemeClr>
                  </a:gs>
                  <a:gs pos="100000">
                    <a:schemeClr val="accent3">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extLst xmlns:c16r2="http://schemas.microsoft.com/office/drawing/2015/06/chart">
              <c:ext xmlns:c16="http://schemas.microsoft.com/office/drawing/2014/chart" uri="{C3380CC4-5D6E-409C-BE32-E72D297353CC}">
                <c16:uniqueId val="{00000005-8877-45A5-92B6-D198205A31F9}"/>
              </c:ext>
            </c:extLst>
          </c:dPt>
          <c:dPt>
            <c:idx val="3"/>
            <c:bubble3D val="0"/>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extLst xmlns:c16r2="http://schemas.microsoft.com/office/drawing/2015/06/chart">
              <c:ext xmlns:c16="http://schemas.microsoft.com/office/drawing/2014/chart" uri="{C3380CC4-5D6E-409C-BE32-E72D297353CC}">
                <c16:uniqueId val="{00000007-8877-45A5-92B6-D198205A31F9}"/>
              </c:ext>
            </c:extLst>
          </c:dPt>
          <c:dPt>
            <c:idx val="4"/>
            <c:bubble3D val="0"/>
            <c:spPr>
              <a:gradFill rotWithShape="1">
                <a:gsLst>
                  <a:gs pos="0">
                    <a:schemeClr val="accent5">
                      <a:satMod val="103000"/>
                      <a:lumMod val="102000"/>
                      <a:tint val="94000"/>
                    </a:schemeClr>
                  </a:gs>
                  <a:gs pos="50000">
                    <a:schemeClr val="accent5">
                      <a:satMod val="110000"/>
                      <a:lumMod val="100000"/>
                      <a:shade val="100000"/>
                    </a:schemeClr>
                  </a:gs>
                  <a:gs pos="100000">
                    <a:schemeClr val="accent5">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extLst xmlns:c16r2="http://schemas.microsoft.com/office/drawing/2015/06/chart">
              <c:ext xmlns:c16="http://schemas.microsoft.com/office/drawing/2014/chart" uri="{C3380CC4-5D6E-409C-BE32-E72D297353CC}">
                <c16:uniqueId val="{00000009-8877-45A5-92B6-D198205A31F9}"/>
              </c:ext>
            </c:extLst>
          </c:dPt>
          <c:dLbls>
            <c:dLbl>
              <c:idx val="0"/>
              <c:layout>
                <c:manualLayout>
                  <c:x val="-0.17099234470691169"/>
                  <c:y val="-0.11714967920676582"/>
                </c:manualLayout>
              </c:layout>
              <c:dLblPos val="bestFit"/>
              <c:showLegendKey val="0"/>
              <c:showVal val="0"/>
              <c:showCatName val="1"/>
              <c:showSerName val="0"/>
              <c:showPercent val="1"/>
              <c:showBubbleSize val="0"/>
              <c:extLst xmlns:c16r2="http://schemas.microsoft.com/office/drawing/2015/06/chart">
                <c:ext xmlns:c16="http://schemas.microsoft.com/office/drawing/2014/chart" uri="{C3380CC4-5D6E-409C-BE32-E72D297353CC}">
                  <c16:uniqueId val="{00000001-8877-45A5-92B6-D198205A31F9}"/>
                </c:ext>
                <c:ext xmlns:c15="http://schemas.microsoft.com/office/drawing/2012/chart" uri="{CE6537A1-D6FC-4f65-9D91-7224C49458BB}"/>
              </c:extLst>
            </c:dLbl>
            <c:dLbl>
              <c:idx val="1"/>
              <c:layout>
                <c:manualLayout>
                  <c:x val="0.11325721784776903"/>
                  <c:y val="-0.20583151064450278"/>
                </c:manualLayout>
              </c:layout>
              <c:dLblPos val="bestFit"/>
              <c:showLegendKey val="0"/>
              <c:showVal val="0"/>
              <c:showCatName val="1"/>
              <c:showSerName val="0"/>
              <c:showPercent val="1"/>
              <c:showBubbleSize val="0"/>
              <c:extLst xmlns:c16r2="http://schemas.microsoft.com/office/drawing/2015/06/chart">
                <c:ext xmlns:c16="http://schemas.microsoft.com/office/drawing/2014/chart" uri="{C3380CC4-5D6E-409C-BE32-E72D297353CC}">
                  <c16:uniqueId val="{00000003-8877-45A5-92B6-D198205A31F9}"/>
                </c:ext>
                <c:ext xmlns:c15="http://schemas.microsoft.com/office/drawing/2012/chart" uri="{CE6537A1-D6FC-4f65-9D91-7224C49458BB}"/>
              </c:extLst>
            </c:dLbl>
            <c:dLbl>
              <c:idx val="2"/>
              <c:layout>
                <c:manualLayout>
                  <c:x val="0.1047263779527558"/>
                  <c:y val="-0.14139071157771946"/>
                </c:manualLayout>
              </c:layout>
              <c:dLblPos val="bestFit"/>
              <c:showLegendKey val="0"/>
              <c:showVal val="0"/>
              <c:showCatName val="1"/>
              <c:showSerName val="0"/>
              <c:showPercent val="1"/>
              <c:showBubbleSize val="0"/>
              <c:extLst xmlns:c16r2="http://schemas.microsoft.com/office/drawing/2015/06/chart">
                <c:ext xmlns:c16="http://schemas.microsoft.com/office/drawing/2014/chart" uri="{C3380CC4-5D6E-409C-BE32-E72D297353CC}">
                  <c16:uniqueId val="{00000005-8877-45A5-92B6-D198205A31F9}"/>
                </c:ext>
                <c:ext xmlns:c15="http://schemas.microsoft.com/office/drawing/2012/chart" uri="{CE6537A1-D6FC-4f65-9D91-7224C49458BB}"/>
              </c:extLst>
            </c:dLbl>
            <c:dLbl>
              <c:idx val="3"/>
              <c:layout>
                <c:manualLayout>
                  <c:x val="-4.5660542432196076E-2"/>
                  <c:y val="4.2126713327500731E-2"/>
                </c:manualLayout>
              </c:layout>
              <c:dLblPos val="bestFit"/>
              <c:showLegendKey val="0"/>
              <c:showVal val="0"/>
              <c:showCatName val="1"/>
              <c:showSerName val="0"/>
              <c:showPercent val="1"/>
              <c:showBubbleSize val="0"/>
              <c:extLst xmlns:c16r2="http://schemas.microsoft.com/office/drawing/2015/06/chart">
                <c:ext xmlns:c16="http://schemas.microsoft.com/office/drawing/2014/chart" uri="{C3380CC4-5D6E-409C-BE32-E72D297353CC}">
                  <c16:uniqueId val="{00000007-8877-45A5-92B6-D198205A31F9}"/>
                </c:ext>
                <c:ext xmlns:c15="http://schemas.microsoft.com/office/drawing/2012/chart" uri="{CE6537A1-D6FC-4f65-9D91-7224C49458BB}"/>
              </c:extLst>
            </c:dLbl>
            <c:dLbl>
              <c:idx val="4"/>
              <c:layout>
                <c:manualLayout>
                  <c:x val="-0.38781102362204722"/>
                  <c:y val="6.2226961213181685E-2"/>
                </c:manualLayout>
              </c:layout>
              <c:dLblPos val="bestFit"/>
              <c:showLegendKey val="0"/>
              <c:showVal val="0"/>
              <c:showCatName val="1"/>
              <c:showSerName val="0"/>
              <c:showPercent val="1"/>
              <c:showBubbleSize val="0"/>
              <c:extLst xmlns:c16r2="http://schemas.microsoft.com/office/drawing/2015/06/chart">
                <c:ext xmlns:c16="http://schemas.microsoft.com/office/drawing/2014/chart" uri="{C3380CC4-5D6E-409C-BE32-E72D297353CC}">
                  <c16:uniqueId val="{00000009-8877-45A5-92B6-D198205A31F9}"/>
                </c:ext>
                <c:ext xmlns:c15="http://schemas.microsoft.com/office/drawing/2012/chart" uri="{CE6537A1-D6FC-4f65-9D91-7224C49458BB}"/>
              </c:extLst>
            </c:dLbl>
            <c:spPr>
              <a:noFill/>
              <a:ln>
                <a:noFill/>
              </a:ln>
              <a:effectLst/>
            </c:spPr>
            <c:txPr>
              <a:bodyPr rot="0" spcFirstLastPara="1" vertOverflow="ellipsis" vert="horz" wrap="square" lIns="38100" tIns="19050" rIns="38100" bIns="19050" anchor="ctr" anchorCtr="1">
                <a:spAutoFit/>
              </a:bodyPr>
              <a:lstStyle/>
              <a:p>
                <a:pPr>
                  <a:defRPr sz="8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fr-FR"/>
              </a:p>
            </c:txPr>
            <c:dLblPos val="outEnd"/>
            <c:showLegendKey val="0"/>
            <c:showVal val="0"/>
            <c:showCatName val="1"/>
            <c:showSerName val="0"/>
            <c:showPercent val="1"/>
            <c:showBubbleSize val="0"/>
            <c:showLeaderLines val="1"/>
            <c:leaderLines>
              <c:spPr>
                <a:ln w="9525" cap="flat" cmpd="sng" algn="ctr">
                  <a:solidFill>
                    <a:schemeClr val="tx1">
                      <a:lumMod val="35000"/>
                      <a:lumOff val="65000"/>
                    </a:schemeClr>
                  </a:solidFill>
                  <a:round/>
                </a:ln>
                <a:effectLst/>
              </c:spPr>
            </c:leaderLines>
            <c:extLst xmlns:c16r2="http://schemas.microsoft.com/office/drawing/2015/06/chart">
              <c:ext xmlns:c15="http://schemas.microsoft.com/office/drawing/2012/chart" uri="{CE6537A1-D6FC-4f65-9D91-7224C49458BB}"/>
            </c:extLst>
          </c:dLbls>
          <c:cat>
            <c:strRef>
              <c:f>Douar!$C$992:$C$996</c:f>
              <c:strCache>
                <c:ptCount val="5"/>
                <c:pt idx="0">
                  <c:v>Poursuite des études </c:v>
                </c:pt>
                <c:pt idx="1">
                  <c:v>A la recherche de l’emploi </c:v>
                </c:pt>
                <c:pt idx="2">
                  <c:v>Mariage</c:v>
                </c:pt>
                <c:pt idx="3">
                  <c:v>Amélioration des conditions socio-économiques</c:v>
                </c:pt>
                <c:pt idx="4">
                  <c:v>Désintéressés par la migration  </c:v>
                </c:pt>
              </c:strCache>
            </c:strRef>
          </c:cat>
          <c:val>
            <c:numRef>
              <c:f>Douar!$E$992:$E$996</c:f>
              <c:numCache>
                <c:formatCode>0%</c:formatCode>
                <c:ptCount val="5"/>
                <c:pt idx="0">
                  <c:v>8.5714285714285715E-2</c:v>
                </c:pt>
                <c:pt idx="1">
                  <c:v>0.22857142857142856</c:v>
                </c:pt>
                <c:pt idx="2">
                  <c:v>9.5238095238095233E-2</c:v>
                </c:pt>
                <c:pt idx="3">
                  <c:v>0.10476190476190476</c:v>
                </c:pt>
                <c:pt idx="4">
                  <c:v>0.48571428571428571</c:v>
                </c:pt>
              </c:numCache>
            </c:numRef>
          </c:val>
          <c:extLst xmlns:c16r2="http://schemas.microsoft.com/office/drawing/2015/06/chart">
            <c:ext xmlns:c16="http://schemas.microsoft.com/office/drawing/2014/chart" uri="{C3380CC4-5D6E-409C-BE32-E72D297353CC}">
              <c16:uniqueId val="{0000000A-8877-45A5-92B6-D198205A31F9}"/>
            </c:ext>
          </c:extLst>
        </c:ser>
        <c:dLbls>
          <c:dLblPos val="outEnd"/>
          <c:showLegendKey val="0"/>
          <c:showVal val="0"/>
          <c:showCatName val="1"/>
          <c:showSerName val="0"/>
          <c:showPercent val="0"/>
          <c:showBubbleSize val="0"/>
          <c:showLeaderLines val="1"/>
        </c:dLbls>
      </c:pie3DChart>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800">
          <a:solidFill>
            <a:schemeClr val="tx1"/>
          </a:solidFill>
          <a:latin typeface="Times New Roman" panose="02020603050405020304" pitchFamily="18" charset="0"/>
          <a:cs typeface="Times New Roman" panose="02020603050405020304" pitchFamily="18" charset="0"/>
        </a:defRPr>
      </a:pPr>
      <a:endParaRPr lang="fr-FR"/>
    </a:p>
  </c:txPr>
  <c:externalData r:id="rId2">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view3D>
      <c:rotX val="3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manualLayout>
          <c:layoutTarget val="inner"/>
          <c:xMode val="edge"/>
          <c:yMode val="edge"/>
          <c:x val="0.14472767539853171"/>
          <c:y val="0.2145948483268581"/>
          <c:w val="0.71994210574802453"/>
          <c:h val="0.60215683659347308"/>
        </c:manualLayout>
      </c:layout>
      <c:pie3DChart>
        <c:varyColors val="1"/>
        <c:ser>
          <c:idx val="0"/>
          <c:order val="0"/>
          <c:dPt>
            <c:idx val="0"/>
            <c:bubble3D val="0"/>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extLst xmlns:c16r2="http://schemas.microsoft.com/office/drawing/2015/06/chart">
              <c:ext xmlns:c16="http://schemas.microsoft.com/office/drawing/2014/chart" uri="{C3380CC4-5D6E-409C-BE32-E72D297353CC}">
                <c16:uniqueId val="{00000001-AF7C-4E58-BB50-2474C883FF81}"/>
              </c:ext>
            </c:extLst>
          </c:dPt>
          <c:dPt>
            <c:idx val="1"/>
            <c:bubble3D val="0"/>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extLst xmlns:c16r2="http://schemas.microsoft.com/office/drawing/2015/06/chart">
              <c:ext xmlns:c16="http://schemas.microsoft.com/office/drawing/2014/chart" uri="{C3380CC4-5D6E-409C-BE32-E72D297353CC}">
                <c16:uniqueId val="{00000003-AF7C-4E58-BB50-2474C883FF81}"/>
              </c:ext>
            </c:extLst>
          </c:dPt>
          <c:dPt>
            <c:idx val="2"/>
            <c:bubble3D val="0"/>
            <c:spPr>
              <a:gradFill rotWithShape="1">
                <a:gsLst>
                  <a:gs pos="0">
                    <a:schemeClr val="accent6">
                      <a:satMod val="103000"/>
                      <a:lumMod val="102000"/>
                      <a:tint val="94000"/>
                    </a:schemeClr>
                  </a:gs>
                  <a:gs pos="50000">
                    <a:schemeClr val="accent6">
                      <a:satMod val="110000"/>
                      <a:lumMod val="100000"/>
                      <a:shade val="100000"/>
                    </a:schemeClr>
                  </a:gs>
                  <a:gs pos="100000">
                    <a:schemeClr val="accent6">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extLst xmlns:c16r2="http://schemas.microsoft.com/office/drawing/2015/06/chart">
              <c:ext xmlns:c16="http://schemas.microsoft.com/office/drawing/2014/chart" uri="{C3380CC4-5D6E-409C-BE32-E72D297353CC}">
                <c16:uniqueId val="{00000005-AF7C-4E58-BB50-2474C883FF81}"/>
              </c:ext>
            </c:extLst>
          </c:dPt>
          <c:dPt>
            <c:idx val="3"/>
            <c:bubble3D val="0"/>
            <c:spPr>
              <a:gradFill rotWithShape="1">
                <a:gsLst>
                  <a:gs pos="0">
                    <a:schemeClr val="accent2">
                      <a:lumMod val="60000"/>
                      <a:satMod val="103000"/>
                      <a:lumMod val="102000"/>
                      <a:tint val="94000"/>
                    </a:schemeClr>
                  </a:gs>
                  <a:gs pos="50000">
                    <a:schemeClr val="accent2">
                      <a:lumMod val="60000"/>
                      <a:satMod val="110000"/>
                      <a:lumMod val="100000"/>
                      <a:shade val="100000"/>
                    </a:schemeClr>
                  </a:gs>
                  <a:gs pos="100000">
                    <a:schemeClr val="accent2">
                      <a:lumMod val="60000"/>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extLst xmlns:c16r2="http://schemas.microsoft.com/office/drawing/2015/06/chart">
              <c:ext xmlns:c16="http://schemas.microsoft.com/office/drawing/2014/chart" uri="{C3380CC4-5D6E-409C-BE32-E72D297353CC}">
                <c16:uniqueId val="{00000007-AF7C-4E58-BB50-2474C883FF81}"/>
              </c:ext>
            </c:extLst>
          </c:dPt>
          <c:dPt>
            <c:idx val="4"/>
            <c:bubble3D val="0"/>
            <c:spPr>
              <a:gradFill rotWithShape="1">
                <a:gsLst>
                  <a:gs pos="0">
                    <a:schemeClr val="accent4">
                      <a:lumMod val="60000"/>
                      <a:satMod val="103000"/>
                      <a:lumMod val="102000"/>
                      <a:tint val="94000"/>
                    </a:schemeClr>
                  </a:gs>
                  <a:gs pos="50000">
                    <a:schemeClr val="accent4">
                      <a:lumMod val="60000"/>
                      <a:satMod val="110000"/>
                      <a:lumMod val="100000"/>
                      <a:shade val="100000"/>
                    </a:schemeClr>
                  </a:gs>
                  <a:gs pos="100000">
                    <a:schemeClr val="accent4">
                      <a:lumMod val="60000"/>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extLst xmlns:c16r2="http://schemas.microsoft.com/office/drawing/2015/06/chart">
              <c:ext xmlns:c16="http://schemas.microsoft.com/office/drawing/2014/chart" uri="{C3380CC4-5D6E-409C-BE32-E72D297353CC}">
                <c16:uniqueId val="{00000009-AF7C-4E58-BB50-2474C883FF81}"/>
              </c:ext>
            </c:extLst>
          </c:dPt>
          <c:dPt>
            <c:idx val="5"/>
            <c:bubble3D val="0"/>
            <c:spPr>
              <a:gradFill rotWithShape="1">
                <a:gsLst>
                  <a:gs pos="0">
                    <a:schemeClr val="accent6">
                      <a:lumMod val="60000"/>
                      <a:satMod val="103000"/>
                      <a:lumMod val="102000"/>
                      <a:tint val="94000"/>
                    </a:schemeClr>
                  </a:gs>
                  <a:gs pos="50000">
                    <a:schemeClr val="accent6">
                      <a:lumMod val="60000"/>
                      <a:satMod val="110000"/>
                      <a:lumMod val="100000"/>
                      <a:shade val="100000"/>
                    </a:schemeClr>
                  </a:gs>
                  <a:gs pos="100000">
                    <a:schemeClr val="accent6">
                      <a:lumMod val="60000"/>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extLst xmlns:c16r2="http://schemas.microsoft.com/office/drawing/2015/06/chart">
              <c:ext xmlns:c16="http://schemas.microsoft.com/office/drawing/2014/chart" uri="{C3380CC4-5D6E-409C-BE32-E72D297353CC}">
                <c16:uniqueId val="{0000000B-AF7C-4E58-BB50-2474C883FF81}"/>
              </c:ext>
            </c:extLst>
          </c:dPt>
          <c:dLbls>
            <c:dLbl>
              <c:idx val="0"/>
              <c:layout>
                <c:manualLayout>
                  <c:x val="0.11511884267732789"/>
                  <c:y val="-6.1594209174350087E-2"/>
                </c:manualLayout>
              </c:layout>
              <c:dLblPos val="bestFit"/>
              <c:showLegendKey val="0"/>
              <c:showVal val="0"/>
              <c:showCatName val="1"/>
              <c:showSerName val="0"/>
              <c:showPercent val="1"/>
              <c:showBubbleSize val="0"/>
              <c:extLst xmlns:c16r2="http://schemas.microsoft.com/office/drawing/2015/06/chart">
                <c:ext xmlns:c16="http://schemas.microsoft.com/office/drawing/2014/chart" uri="{C3380CC4-5D6E-409C-BE32-E72D297353CC}">
                  <c16:uniqueId val="{00000001-AF7C-4E58-BB50-2474C883FF81}"/>
                </c:ext>
                <c:ext xmlns:c15="http://schemas.microsoft.com/office/drawing/2012/chart" uri="{CE6537A1-D6FC-4f65-9D91-7224C49458BB}"/>
              </c:extLst>
            </c:dLbl>
            <c:dLbl>
              <c:idx val="1"/>
              <c:layout>
                <c:manualLayout>
                  <c:x val="0.15464903215996778"/>
                  <c:y val="7.4916756406199006E-2"/>
                </c:manualLayout>
              </c:layout>
              <c:dLblPos val="bestFit"/>
              <c:showLegendKey val="0"/>
              <c:showVal val="0"/>
              <c:showCatName val="1"/>
              <c:showSerName val="0"/>
              <c:showPercent val="1"/>
              <c:showBubbleSize val="0"/>
              <c:extLst xmlns:c16r2="http://schemas.microsoft.com/office/drawing/2015/06/chart">
                <c:ext xmlns:c16="http://schemas.microsoft.com/office/drawing/2014/chart" uri="{C3380CC4-5D6E-409C-BE32-E72D297353CC}">
                  <c16:uniqueId val="{00000003-AF7C-4E58-BB50-2474C883FF81}"/>
                </c:ext>
                <c:ext xmlns:c15="http://schemas.microsoft.com/office/drawing/2012/chart" uri="{CE6537A1-D6FC-4f65-9D91-7224C49458BB}"/>
              </c:extLst>
            </c:dLbl>
            <c:dLbl>
              <c:idx val="2"/>
              <c:layout>
                <c:manualLayout>
                  <c:x val="-5.6384739270527985E-2"/>
                  <c:y val="0.13638717745748952"/>
                </c:manualLayout>
              </c:layout>
              <c:dLblPos val="bestFit"/>
              <c:showLegendKey val="0"/>
              <c:showVal val="0"/>
              <c:showCatName val="1"/>
              <c:showSerName val="0"/>
              <c:showPercent val="1"/>
              <c:showBubbleSize val="0"/>
              <c:extLst xmlns:c16r2="http://schemas.microsoft.com/office/drawing/2015/06/chart">
                <c:ext xmlns:c16="http://schemas.microsoft.com/office/drawing/2014/chart" uri="{C3380CC4-5D6E-409C-BE32-E72D297353CC}">
                  <c16:uniqueId val="{00000005-AF7C-4E58-BB50-2474C883FF81}"/>
                </c:ext>
                <c:ext xmlns:c15="http://schemas.microsoft.com/office/drawing/2012/chart" uri="{CE6537A1-D6FC-4f65-9D91-7224C49458BB}"/>
              </c:extLst>
            </c:dLbl>
            <c:dLbl>
              <c:idx val="3"/>
              <c:layout>
                <c:manualLayout>
                  <c:x val="-0.14566057644886396"/>
                  <c:y val="-8.7991727391928867E-3"/>
                </c:manualLayout>
              </c:layout>
              <c:dLblPos val="bestFit"/>
              <c:showLegendKey val="0"/>
              <c:showVal val="0"/>
              <c:showCatName val="1"/>
              <c:showSerName val="0"/>
              <c:showPercent val="1"/>
              <c:showBubbleSize val="0"/>
              <c:extLst xmlns:c16r2="http://schemas.microsoft.com/office/drawing/2015/06/chart">
                <c:ext xmlns:c16="http://schemas.microsoft.com/office/drawing/2014/chart" uri="{C3380CC4-5D6E-409C-BE32-E72D297353CC}">
                  <c16:uniqueId val="{00000007-AF7C-4E58-BB50-2474C883FF81}"/>
                </c:ext>
                <c:ext xmlns:c15="http://schemas.microsoft.com/office/drawing/2012/chart" uri="{CE6537A1-D6FC-4f65-9D91-7224C49458BB}"/>
              </c:extLst>
            </c:dLbl>
            <c:dLbl>
              <c:idx val="4"/>
              <c:layout>
                <c:manualLayout>
                  <c:x val="-9.1466283448993671E-2"/>
                  <c:y val="0"/>
                </c:manualLayout>
              </c:layout>
              <c:dLblPos val="bestFit"/>
              <c:showLegendKey val="0"/>
              <c:showVal val="0"/>
              <c:showCatName val="1"/>
              <c:showSerName val="0"/>
              <c:showPercent val="1"/>
              <c:showBubbleSize val="0"/>
              <c:extLst xmlns:c16r2="http://schemas.microsoft.com/office/drawing/2015/06/chart">
                <c:ext xmlns:c16="http://schemas.microsoft.com/office/drawing/2014/chart" uri="{C3380CC4-5D6E-409C-BE32-E72D297353CC}">
                  <c16:uniqueId val="{00000009-AF7C-4E58-BB50-2474C883FF81}"/>
                </c:ext>
                <c:ext xmlns:c15="http://schemas.microsoft.com/office/drawing/2012/chart" uri="{CE6537A1-D6FC-4f65-9D91-7224C49458BB}"/>
              </c:extLst>
            </c:dLbl>
            <c:dLbl>
              <c:idx val="5"/>
              <c:layout>
                <c:manualLayout>
                  <c:x val="0.18794913090175996"/>
                  <c:y val="-8.3592141022332228E-2"/>
                </c:manualLayout>
              </c:layout>
              <c:dLblPos val="bestFit"/>
              <c:showLegendKey val="0"/>
              <c:showVal val="0"/>
              <c:showCatName val="1"/>
              <c:showSerName val="0"/>
              <c:showPercent val="1"/>
              <c:showBubbleSize val="0"/>
              <c:extLst xmlns:c16r2="http://schemas.microsoft.com/office/drawing/2015/06/chart">
                <c:ext xmlns:c16="http://schemas.microsoft.com/office/drawing/2014/chart" uri="{C3380CC4-5D6E-409C-BE32-E72D297353CC}">
                  <c16:uniqueId val="{0000000B-AF7C-4E58-BB50-2474C883FF81}"/>
                </c:ext>
                <c:ext xmlns:c15="http://schemas.microsoft.com/office/drawing/2012/chart" uri="{CE6537A1-D6FC-4f65-9D91-7224C49458BB}"/>
              </c:extLst>
            </c:dLbl>
            <c:spPr>
              <a:noFill/>
              <a:ln>
                <a:noFill/>
              </a:ln>
              <a:effectLst/>
            </c:spPr>
            <c:txPr>
              <a:bodyPr rot="0" spcFirstLastPara="1" vertOverflow="ellipsis" vert="horz" wrap="square" lIns="38100" tIns="19050" rIns="38100" bIns="19050" anchor="ctr" anchorCtr="1">
                <a:spAutoFit/>
              </a:bodyPr>
              <a:lstStyle/>
              <a:p>
                <a:pPr>
                  <a:defRPr sz="8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fr-FR"/>
              </a:p>
            </c:txPr>
            <c:dLblPos val="outEnd"/>
            <c:showLegendKey val="0"/>
            <c:showVal val="0"/>
            <c:showCatName val="1"/>
            <c:showSerName val="0"/>
            <c:showPercent val="1"/>
            <c:showBubbleSize val="0"/>
            <c:showLeaderLines val="1"/>
            <c:leaderLines>
              <c:spPr>
                <a:ln w="9525" cap="flat" cmpd="sng" algn="ctr">
                  <a:solidFill>
                    <a:schemeClr val="tx1">
                      <a:lumMod val="35000"/>
                      <a:lumOff val="65000"/>
                    </a:schemeClr>
                  </a:solidFill>
                  <a:round/>
                </a:ln>
                <a:effectLst/>
              </c:spPr>
            </c:leaderLines>
            <c:extLst xmlns:c16r2="http://schemas.microsoft.com/office/drawing/2015/06/chart">
              <c:ext xmlns:c15="http://schemas.microsoft.com/office/drawing/2012/chart" uri="{CE6537A1-D6FC-4f65-9D91-7224C49458BB}"/>
            </c:extLst>
          </c:dLbls>
          <c:cat>
            <c:strRef>
              <c:f>Douar!$D$854:$D$858</c:f>
              <c:strCache>
                <c:ptCount val="5"/>
                <c:pt idx="0">
                  <c:v>Surveillance de la forêt pour la protéger contre la dégradation anthropique </c:v>
                </c:pt>
                <c:pt idx="1">
                  <c:v>Appui pour la supplémentation fourragère et l’installation de nouveaux puits</c:v>
                </c:pt>
                <c:pt idx="2">
                  <c:v>Amélioration des systèmes  éducatif et sanitaire  et mise en place des infrastructures de base</c:v>
                </c:pt>
                <c:pt idx="3">
                  <c:v>Création d'opportunités d'emploi telles que  les  coopératives et amélioration des conditions sociales </c:v>
                </c:pt>
                <c:pt idx="4">
                  <c:v>Amélioration des systèmes  éducatif et sanitaire , mise en place des infrastructures et appui pour la supplémentation fourragère</c:v>
                </c:pt>
              </c:strCache>
            </c:strRef>
          </c:cat>
          <c:val>
            <c:numRef>
              <c:f>Douar!$F$854:$F$858</c:f>
              <c:numCache>
                <c:formatCode>###0</c:formatCode>
                <c:ptCount val="5"/>
                <c:pt idx="0">
                  <c:v>12</c:v>
                </c:pt>
                <c:pt idx="1">
                  <c:v>5</c:v>
                </c:pt>
                <c:pt idx="2">
                  <c:v>44</c:v>
                </c:pt>
                <c:pt idx="3">
                  <c:v>28</c:v>
                </c:pt>
                <c:pt idx="4">
                  <c:v>16</c:v>
                </c:pt>
              </c:numCache>
            </c:numRef>
          </c:val>
          <c:extLst xmlns:c16r2="http://schemas.microsoft.com/office/drawing/2015/06/chart">
            <c:ext xmlns:c16="http://schemas.microsoft.com/office/drawing/2014/chart" uri="{C3380CC4-5D6E-409C-BE32-E72D297353CC}">
              <c16:uniqueId val="{0000000C-AF7C-4E58-BB50-2474C883FF81}"/>
            </c:ext>
          </c:extLst>
        </c:ser>
        <c:dLbls>
          <c:dLblPos val="outEnd"/>
          <c:showLegendKey val="0"/>
          <c:showVal val="0"/>
          <c:showCatName val="1"/>
          <c:showSerName val="0"/>
          <c:showPercent val="0"/>
          <c:showBubbleSize val="0"/>
          <c:showLeaderLines val="1"/>
        </c:dLbls>
      </c:pie3DChart>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800">
          <a:solidFill>
            <a:schemeClr val="tx1"/>
          </a:solidFill>
          <a:latin typeface="Times New Roman" panose="02020603050405020304" pitchFamily="18" charset="0"/>
          <a:cs typeface="Times New Roman" panose="02020603050405020304" pitchFamily="18" charset="0"/>
        </a:defRPr>
      </a:pPr>
      <a:endParaRPr lang="fr-FR"/>
    </a:p>
  </c:txPr>
  <c:externalData r:id="rId2">
    <c:autoUpdate val="0"/>
  </c:externalData>
</c:chartSpace>
</file>

<file path=word/theme/theme1.xml><?xml version="1.0" encoding="utf-8"?>
<a:theme xmlns:a="http://schemas.openxmlformats.org/drawingml/2006/main" name="Thème Office">
  <a:themeElements>
    <a:clrScheme name="Austin">
      <a:dk1>
        <a:sysClr val="windowText" lastClr="000000"/>
      </a:dk1>
      <a:lt1>
        <a:sysClr val="window" lastClr="FFFFFF"/>
      </a:lt1>
      <a:dk2>
        <a:srgbClr val="3E3D2D"/>
      </a:dk2>
      <a:lt2>
        <a:srgbClr val="CAF278"/>
      </a:lt2>
      <a:accent1>
        <a:srgbClr val="94C600"/>
      </a:accent1>
      <a:accent2>
        <a:srgbClr val="71685A"/>
      </a:accent2>
      <a:accent3>
        <a:srgbClr val="FF6700"/>
      </a:accent3>
      <a:accent4>
        <a:srgbClr val="909465"/>
      </a:accent4>
      <a:accent5>
        <a:srgbClr val="956B43"/>
      </a:accent5>
      <a:accent6>
        <a:srgbClr val="FEA022"/>
      </a:accent6>
      <a:hlink>
        <a:srgbClr val="E68200"/>
      </a:hlink>
      <a:folHlink>
        <a:srgbClr val="FFA94A"/>
      </a:folHlink>
    </a:clrScheme>
    <a:fontScheme name="Office Classique">
      <a:majorFont>
        <a:latin typeface="Arial"/>
        <a:ea typeface=""/>
        <a:cs typeface=""/>
        <a:font script="Jpan" typeface="ＭＳ Ｐゴシック"/>
        <a:font script="Hang" typeface="돋움"/>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Times New Roman"/>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anose="020F030202020403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2.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anose="020F030202020403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3.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anose="020F030202020403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4.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5.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6.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7.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anose="020F030202020403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8.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9.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anose="020F030202020403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10.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1.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2.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3.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anose="020F030202020403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14.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anose="020F030202020403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15.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anose="020F030202020403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16.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7.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8.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anose="020F030202020403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19.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0.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anose="020F030202020403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21.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2.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3.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4.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MLA.XSL" StyleName="MLA"/>
</file>

<file path=customXml/itemProps1.xml><?xml version="1.0" encoding="utf-8"?>
<ds:datastoreItem xmlns:ds="http://schemas.openxmlformats.org/officeDocument/2006/customXml" ds:itemID="{1D582FD6-E1D4-4825-8C18-831E9C4BCB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149</Pages>
  <Words>120654</Words>
  <Characters>663597</Characters>
  <Application>Microsoft Office Word</Application>
  <DocSecurity>0</DocSecurity>
  <Lines>5529</Lines>
  <Paragraphs>1565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782686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Compte Microsoft</cp:lastModifiedBy>
  <cp:revision>2</cp:revision>
  <cp:lastPrinted>2025-07-17T12:47:00Z</cp:lastPrinted>
  <dcterms:created xsi:type="dcterms:W3CDTF">2025-07-18T07:04:00Z</dcterms:created>
  <dcterms:modified xsi:type="dcterms:W3CDTF">2025-07-18T07:04:00Z</dcterms:modified>
</cp:coreProperties>
</file>